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lang w:val="en-US"/>
        </w:rPr>
      </w:pPr>
      <w:r>
        <w:rPr>
          <w:rFonts w:hint="eastAsia" w:cs="宋体" w:asciiTheme="minorEastAsia" w:hAnsiTheme="minorEastAsia" w:eastAsiaTheme="minorEastAsia"/>
          <w:b/>
          <w:kern w:val="0"/>
          <w:sz w:val="48"/>
          <w:szCs w:val="48"/>
          <w:lang w:val="en-US" w:eastAsia="zh-CN"/>
        </w:rPr>
        <w:t>长沙市轨道交通4号线运营期2022年交通运输行业安全生产责任保险服务项目</w:t>
      </w:r>
    </w:p>
    <w:p>
      <w:pPr>
        <w:spacing w:line="560" w:lineRule="exact"/>
        <w:ind w:firstLine="3132" w:firstLineChars="600"/>
        <w:rPr>
          <w:rFonts w:cs="仿宋" w:asciiTheme="minorEastAsia" w:hAnsiTheme="minorEastAsia" w:eastAsiaTheme="minorEastAsia"/>
          <w:b/>
          <w:kern w:val="0"/>
          <w:sz w:val="52"/>
          <w:szCs w:val="52"/>
        </w:rPr>
      </w:pP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用</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户</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需</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宋体" w:asciiTheme="minorEastAsia" w:hAnsiTheme="minorEastAsia" w:eastAsiaTheme="minorEastAsia"/>
          <w:b/>
          <w:kern w:val="0"/>
          <w:sz w:val="48"/>
          <w:szCs w:val="48"/>
        </w:rPr>
      </w:pPr>
      <w:r>
        <w:rPr>
          <w:rFonts w:cs="宋体" w:asciiTheme="minorEastAsia" w:hAnsiTheme="minorEastAsia" w:eastAsiaTheme="minorEastAsia"/>
          <w:b/>
          <w:kern w:val="0"/>
          <w:sz w:val="48"/>
          <w:szCs w:val="48"/>
        </w:rPr>
        <w:t>求</w:t>
      </w:r>
    </w:p>
    <w:p>
      <w:pPr>
        <w:spacing w:line="360" w:lineRule="auto"/>
        <w:jc w:val="center"/>
        <w:rPr>
          <w:rFonts w:cs="宋体" w:asciiTheme="minorEastAsia" w:hAnsiTheme="minorEastAsia" w:eastAsiaTheme="minorEastAsia"/>
          <w:b/>
          <w:kern w:val="0"/>
          <w:sz w:val="48"/>
          <w:szCs w:val="48"/>
        </w:rPr>
      </w:pPr>
    </w:p>
    <w:p>
      <w:pPr>
        <w:spacing w:line="360" w:lineRule="auto"/>
        <w:jc w:val="center"/>
        <w:rPr>
          <w:rFonts w:cs="Cambria" w:asciiTheme="minorEastAsia" w:hAnsiTheme="minorEastAsia" w:eastAsiaTheme="minorEastAsia"/>
          <w:b/>
          <w:kern w:val="0"/>
          <w:sz w:val="48"/>
          <w:szCs w:val="48"/>
        </w:rPr>
      </w:pPr>
      <w:r>
        <w:rPr>
          <w:rFonts w:cs="宋体" w:asciiTheme="minorEastAsia" w:hAnsiTheme="minorEastAsia" w:eastAsiaTheme="minorEastAsia"/>
          <w:b/>
          <w:kern w:val="0"/>
          <w:sz w:val="48"/>
          <w:szCs w:val="48"/>
        </w:rPr>
        <w:t>书</w:t>
      </w:r>
    </w:p>
    <w:p>
      <w:pPr>
        <w:pStyle w:val="2"/>
        <w:ind w:left="0" w:leftChars="0" w:firstLine="0" w:firstLineChars="0"/>
        <w:rPr>
          <w:rFonts w:asciiTheme="minorEastAsia" w:hAnsiTheme="minorEastAsia" w:eastAsiaTheme="minorEastAsia"/>
          <w:kern w:val="0"/>
          <w:sz w:val="44"/>
        </w:rPr>
      </w:pPr>
    </w:p>
    <w:p>
      <w:pPr>
        <w:pStyle w:val="2"/>
        <w:rPr>
          <w:rFonts w:asciiTheme="minorEastAsia" w:hAnsiTheme="minorEastAsia" w:eastAsiaTheme="minorEastAsia"/>
          <w:kern w:val="0"/>
          <w:sz w:val="44"/>
        </w:rPr>
      </w:pPr>
    </w:p>
    <w:p>
      <w:pPr>
        <w:pStyle w:val="2"/>
        <w:rPr>
          <w:rFonts w:asciiTheme="minorEastAsia" w:hAnsiTheme="minorEastAsia" w:eastAsiaTheme="minorEastAsia"/>
          <w:kern w:val="0"/>
          <w:sz w:val="44"/>
        </w:rPr>
      </w:pPr>
    </w:p>
    <w:p>
      <w:pPr>
        <w:pStyle w:val="2"/>
        <w:rPr>
          <w:rFonts w:asciiTheme="minorEastAsia" w:hAnsiTheme="minorEastAsia" w:eastAsiaTheme="minorEastAsia"/>
          <w:kern w:val="0"/>
          <w:sz w:val="44"/>
        </w:rPr>
      </w:pPr>
    </w:p>
    <w:p>
      <w:pPr>
        <w:spacing w:line="360" w:lineRule="auto"/>
        <w:jc w:val="center"/>
        <w:rPr>
          <w:rFonts w:cs="宋体" w:asciiTheme="minorEastAsia" w:hAnsiTheme="minorEastAsia" w:eastAsiaTheme="minorEastAsia"/>
          <w:b/>
          <w:kern w:val="0"/>
          <w:sz w:val="48"/>
          <w:szCs w:val="48"/>
        </w:rPr>
      </w:pPr>
      <w:r>
        <w:rPr>
          <w:rFonts w:hint="eastAsia" w:asciiTheme="minorEastAsia" w:hAnsiTheme="minorEastAsia" w:eastAsiaTheme="minorEastAsia"/>
          <w:kern w:val="0"/>
          <w:sz w:val="48"/>
          <w:szCs w:val="48"/>
        </w:rPr>
        <w:t>编制时间：20</w:t>
      </w:r>
      <w:r>
        <w:rPr>
          <w:rFonts w:hint="eastAsia" w:asciiTheme="minorEastAsia" w:hAnsiTheme="minorEastAsia" w:eastAsiaTheme="minorEastAsia"/>
          <w:kern w:val="0"/>
          <w:sz w:val="48"/>
          <w:szCs w:val="48"/>
          <w:lang w:val="en-US" w:eastAsia="zh-CN"/>
        </w:rPr>
        <w:t>22</w:t>
      </w:r>
      <w:r>
        <w:rPr>
          <w:rFonts w:hint="eastAsia" w:asciiTheme="minorEastAsia" w:hAnsiTheme="minorEastAsia" w:eastAsiaTheme="minorEastAsia"/>
          <w:kern w:val="0"/>
          <w:sz w:val="48"/>
          <w:szCs w:val="48"/>
        </w:rPr>
        <w:t>年</w:t>
      </w:r>
      <w:r>
        <w:rPr>
          <w:rFonts w:hint="eastAsia" w:asciiTheme="minorEastAsia" w:hAnsiTheme="minorEastAsia" w:eastAsiaTheme="minorEastAsia"/>
          <w:kern w:val="0"/>
          <w:sz w:val="48"/>
          <w:szCs w:val="48"/>
          <w:lang w:val="en-US" w:eastAsia="zh-CN"/>
        </w:rPr>
        <w:t>3</w:t>
      </w:r>
      <w:r>
        <w:rPr>
          <w:rFonts w:hint="eastAsia" w:asciiTheme="minorEastAsia" w:hAnsiTheme="minorEastAsia" w:eastAsiaTheme="minorEastAsia"/>
          <w:kern w:val="0"/>
          <w:sz w:val="48"/>
          <w:szCs w:val="48"/>
        </w:rPr>
        <w:t>月</w:t>
      </w:r>
      <w:r>
        <w:rPr>
          <w:rFonts w:hint="eastAsia" w:asciiTheme="minorEastAsia" w:hAnsiTheme="minorEastAsia" w:eastAsiaTheme="minorEastAsia"/>
          <w:kern w:val="0"/>
          <w:sz w:val="48"/>
          <w:szCs w:val="48"/>
          <w:lang w:val="en-US" w:eastAsia="zh-CN"/>
        </w:rPr>
        <w:t>11</w:t>
      </w:r>
      <w:r>
        <w:rPr>
          <w:rFonts w:hint="eastAsia" w:asciiTheme="minorEastAsia" w:hAnsiTheme="minorEastAsia" w:eastAsiaTheme="minorEastAsia"/>
          <w:kern w:val="0"/>
          <w:sz w:val="48"/>
          <w:szCs w:val="48"/>
        </w:rPr>
        <w:t>日</w:t>
      </w:r>
    </w:p>
    <w:p>
      <w:pPr>
        <w:spacing w:line="360" w:lineRule="auto"/>
        <w:jc w:val="center"/>
        <w:rPr>
          <w:rFonts w:asciiTheme="minorEastAsia" w:hAnsiTheme="minorEastAsia" w:eastAsiaTheme="minorEastAsia"/>
          <w:kern w:val="0"/>
          <w:sz w:val="44"/>
          <w:szCs w:val="22"/>
        </w:rPr>
      </w:pPr>
      <w:r>
        <w:rPr>
          <w:rFonts w:asciiTheme="minorEastAsia" w:hAnsiTheme="minorEastAsia" w:eastAsiaTheme="minorEastAsia"/>
          <w:kern w:val="0"/>
          <w:sz w:val="44"/>
          <w:szCs w:val="22"/>
        </w:rPr>
        <w:br w:type="page"/>
      </w:r>
      <w:bookmarkStart w:id="0" w:name="_Toc459200613"/>
      <w:bookmarkStart w:id="1" w:name="_Toc440962585"/>
      <w:bookmarkStart w:id="2" w:name="_Toc13881"/>
    </w:p>
    <w:p>
      <w:pPr>
        <w:spacing w:line="360" w:lineRule="auto"/>
        <w:jc w:val="center"/>
        <w:rPr>
          <w:rFonts w:cs="宋体" w:asciiTheme="minorEastAsia" w:hAnsiTheme="minorEastAsia" w:eastAsiaTheme="minorEastAsia"/>
          <w:b/>
          <w:bCs/>
          <w:w w:val="90"/>
          <w:sz w:val="28"/>
          <w:szCs w:val="28"/>
        </w:rPr>
      </w:pPr>
      <w:r>
        <w:rPr>
          <w:rFonts w:cs="宋体" w:asciiTheme="minorEastAsia" w:hAnsiTheme="minorEastAsia" w:eastAsiaTheme="minorEastAsia"/>
          <w:b/>
          <w:bCs/>
          <w:w w:val="90"/>
          <w:sz w:val="28"/>
          <w:szCs w:val="28"/>
        </w:rPr>
        <w:t>目</w:t>
      </w:r>
      <w:r>
        <w:rPr>
          <w:rFonts w:hint="eastAsia" w:cs="宋体" w:asciiTheme="minorEastAsia" w:hAnsiTheme="minorEastAsia" w:eastAsiaTheme="minorEastAsia"/>
          <w:b/>
          <w:bCs/>
          <w:w w:val="90"/>
          <w:sz w:val="28"/>
          <w:szCs w:val="28"/>
        </w:rPr>
        <w:t xml:space="preserve"> </w:t>
      </w:r>
      <w:r>
        <w:rPr>
          <w:rFonts w:cs="宋体" w:asciiTheme="minorEastAsia" w:hAnsiTheme="minorEastAsia" w:eastAsiaTheme="minorEastAsia"/>
          <w:b/>
          <w:bCs/>
          <w:w w:val="90"/>
          <w:sz w:val="28"/>
          <w:szCs w:val="28"/>
        </w:rPr>
        <w:t>录</w:t>
      </w:r>
      <w:bookmarkEnd w:id="0"/>
      <w:bookmarkStart w:id="47" w:name="_GoBack"/>
      <w:bookmarkEnd w:id="47"/>
    </w:p>
    <w:p>
      <w:pPr>
        <w:pStyle w:val="11"/>
        <w:tabs>
          <w:tab w:val="right" w:leader="dot" w:pos="8306"/>
        </w:tabs>
        <w:spacing w:line="360" w:lineRule="auto"/>
      </w:pPr>
      <w:bookmarkStart w:id="3" w:name="_Toc459200614"/>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"1-2" \h \z \u </w:instrText>
      </w:r>
      <w:r>
        <w:rPr>
          <w:rFonts w:hint="eastAsia" w:ascii="宋体" w:hAnsi="宋体" w:eastAsia="宋体" w:cs="宋体"/>
          <w:b/>
          <w:bCs/>
          <w:sz w:val="28"/>
          <w:szCs w:val="28"/>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_Toc13797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rPr>
        <w:t>一、 项目概况及招标范围</w:t>
      </w:r>
      <w:r>
        <w:rPr>
          <w:sz w:val="24"/>
          <w:szCs w:val="24"/>
        </w:rPr>
        <w:tab/>
      </w:r>
      <w:r>
        <w:rPr>
          <w:sz w:val="24"/>
          <w:szCs w:val="24"/>
        </w:rPr>
        <w:fldChar w:fldCharType="begin"/>
      </w:r>
      <w:r>
        <w:rPr>
          <w:sz w:val="24"/>
          <w:szCs w:val="24"/>
        </w:rPr>
        <w:instrText xml:space="preserve"> PAGEREF _Toc13797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sz w:val="24"/>
          <w:szCs w:val="24"/>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_Toc24880 </w:instrText>
      </w:r>
      <w:r>
        <w:rPr>
          <w:rFonts w:hint="eastAsia" w:ascii="宋体" w:hAnsi="宋体" w:eastAsia="宋体" w:cs="宋体"/>
          <w:bCs/>
          <w:szCs w:val="28"/>
        </w:rPr>
        <w:fldChar w:fldCharType="separate"/>
      </w:r>
      <w:r>
        <w:rPr>
          <w:rFonts w:hint="eastAsia" w:ascii="楷体_GB2312" w:hAnsi="宋体" w:eastAsia="楷体_GB2312" w:cs="宋体"/>
          <w:szCs w:val="32"/>
        </w:rPr>
        <w:t>(一) 项目概况</w:t>
      </w:r>
      <w:r>
        <w:tab/>
      </w:r>
      <w:r>
        <w:fldChar w:fldCharType="begin"/>
      </w:r>
      <w:r>
        <w:instrText xml:space="preserve"> PAGEREF _Toc24880 \h </w:instrText>
      </w:r>
      <w:r>
        <w:fldChar w:fldCharType="separate"/>
      </w:r>
      <w:r>
        <w:t>1</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_Toc29934 </w:instrText>
      </w:r>
      <w:r>
        <w:rPr>
          <w:rFonts w:hint="eastAsia" w:ascii="宋体" w:hAnsi="宋体" w:eastAsia="宋体" w:cs="宋体"/>
          <w:bCs/>
          <w:szCs w:val="28"/>
        </w:rPr>
        <w:fldChar w:fldCharType="separate"/>
      </w:r>
      <w:r>
        <w:rPr>
          <w:rFonts w:hint="eastAsia" w:ascii="楷体_GB2312" w:hAnsi="宋体" w:eastAsia="楷体_GB2312" w:cs="宋体"/>
          <w:szCs w:val="32"/>
        </w:rPr>
        <w:t>(二) 招标范围</w:t>
      </w:r>
      <w:r>
        <w:tab/>
      </w:r>
      <w:r>
        <w:fldChar w:fldCharType="begin"/>
      </w:r>
      <w:r>
        <w:instrText xml:space="preserve"> PAGEREF _Toc29934 \h </w:instrText>
      </w:r>
      <w:r>
        <w:fldChar w:fldCharType="separate"/>
      </w:r>
      <w:r>
        <w:t>1</w:t>
      </w:r>
      <w:r>
        <w:fldChar w:fldCharType="end"/>
      </w:r>
      <w:r>
        <w:rPr>
          <w:rFonts w:hint="eastAsia" w:ascii="宋体" w:hAnsi="宋体" w:eastAsia="宋体" w:cs="宋体"/>
          <w:bCs/>
          <w:szCs w:val="28"/>
        </w:rPr>
        <w:fldChar w:fldCharType="end"/>
      </w:r>
    </w:p>
    <w:p>
      <w:pPr>
        <w:pStyle w:val="11"/>
        <w:tabs>
          <w:tab w:val="right" w:leader="dot" w:pos="8306"/>
        </w:tabs>
        <w:spacing w:line="360" w:lineRule="auto"/>
        <w:rPr>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_Toc6851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rPr>
        <w:t>二、 项目服务期限</w:t>
      </w:r>
      <w:r>
        <w:rPr>
          <w:sz w:val="24"/>
          <w:szCs w:val="24"/>
        </w:rPr>
        <w:tab/>
      </w:r>
      <w:r>
        <w:rPr>
          <w:sz w:val="24"/>
          <w:szCs w:val="24"/>
        </w:rPr>
        <w:fldChar w:fldCharType="begin"/>
      </w:r>
      <w:r>
        <w:rPr>
          <w:sz w:val="24"/>
          <w:szCs w:val="24"/>
        </w:rPr>
        <w:instrText xml:space="preserve"> PAGEREF _Toc6851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sz w:val="24"/>
          <w:szCs w:val="24"/>
        </w:rPr>
        <w:fldChar w:fldCharType="end"/>
      </w:r>
    </w:p>
    <w:p>
      <w:pPr>
        <w:pStyle w:val="11"/>
        <w:tabs>
          <w:tab w:val="right" w:leader="dot" w:pos="8306"/>
        </w:tabs>
        <w:spacing w:line="360" w:lineRule="auto"/>
        <w:rPr>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_Toc24642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rPr>
        <w:t>三、 项目管控要求</w:t>
      </w:r>
      <w:r>
        <w:rPr>
          <w:sz w:val="24"/>
          <w:szCs w:val="24"/>
        </w:rPr>
        <w:tab/>
      </w:r>
      <w:r>
        <w:rPr>
          <w:sz w:val="24"/>
          <w:szCs w:val="24"/>
        </w:rPr>
        <w:fldChar w:fldCharType="begin"/>
      </w:r>
      <w:r>
        <w:rPr>
          <w:sz w:val="24"/>
          <w:szCs w:val="24"/>
        </w:rPr>
        <w:instrText xml:space="preserve"> PAGEREF _Toc24642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sz w:val="24"/>
          <w:szCs w:val="24"/>
        </w:rPr>
        <w:fldChar w:fldCharType="end"/>
      </w:r>
    </w:p>
    <w:p>
      <w:pPr>
        <w:pStyle w:val="11"/>
        <w:tabs>
          <w:tab w:val="right" w:leader="dot" w:pos="8306"/>
        </w:tabs>
        <w:spacing w:line="360" w:lineRule="auto"/>
        <w:rPr>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_Toc7230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rPr>
        <w:t>四、 项目实施要求</w:t>
      </w:r>
      <w:r>
        <w:rPr>
          <w:sz w:val="24"/>
          <w:szCs w:val="24"/>
        </w:rPr>
        <w:tab/>
      </w:r>
      <w:r>
        <w:rPr>
          <w:sz w:val="24"/>
          <w:szCs w:val="24"/>
        </w:rPr>
        <w:fldChar w:fldCharType="begin"/>
      </w:r>
      <w:r>
        <w:rPr>
          <w:sz w:val="24"/>
          <w:szCs w:val="24"/>
        </w:rPr>
        <w:instrText xml:space="preserve"> PAGEREF _Toc7230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sz w:val="24"/>
          <w:szCs w:val="24"/>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_Toc28309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(一) 保险明细</w:t>
      </w:r>
      <w:r>
        <w:tab/>
      </w:r>
      <w:r>
        <w:fldChar w:fldCharType="begin"/>
      </w:r>
      <w:r>
        <w:instrText xml:space="preserve"> PAGEREF _Toc28309 \h </w:instrText>
      </w:r>
      <w:r>
        <w:fldChar w:fldCharType="separate"/>
      </w:r>
      <w:r>
        <w:t>1</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_Toc8607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(二) 理赔服务</w:t>
      </w:r>
      <w:r>
        <w:tab/>
      </w:r>
      <w:r>
        <w:fldChar w:fldCharType="begin"/>
      </w:r>
      <w:r>
        <w:instrText xml:space="preserve"> PAGEREF _Toc8607 \h </w:instrText>
      </w:r>
      <w:r>
        <w:fldChar w:fldCharType="separate"/>
      </w:r>
      <w:r>
        <w:t>5</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_Toc4990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(三) 风险管理及防灾防损服务</w:t>
      </w:r>
      <w:r>
        <w:tab/>
      </w:r>
      <w:r>
        <w:fldChar w:fldCharType="begin"/>
      </w:r>
      <w:r>
        <w:instrText xml:space="preserve"> PAGEREF _Toc4990 \h </w:instrText>
      </w:r>
      <w:r>
        <w:fldChar w:fldCharType="separate"/>
      </w:r>
      <w:r>
        <w:t>9</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_Toc16727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(四) 保险培训</w:t>
      </w:r>
      <w:r>
        <w:tab/>
      </w:r>
      <w:r>
        <w:fldChar w:fldCharType="begin"/>
      </w:r>
      <w:r>
        <w:instrText xml:space="preserve"> PAGEREF _Toc16727 \h </w:instrText>
      </w:r>
      <w:r>
        <w:fldChar w:fldCharType="separate"/>
      </w:r>
      <w:r>
        <w:t>9</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(五) 其他服务</w:t>
      </w:r>
      <w:r>
        <w:tab/>
      </w:r>
      <w:r>
        <w:fldChar w:fldCharType="begin"/>
      </w:r>
      <w:r>
        <w:instrText xml:space="preserve"> PAGEREF _Toc29 \h </w:instrText>
      </w:r>
      <w:r>
        <w:fldChar w:fldCharType="separate"/>
      </w:r>
      <w:r>
        <w:t>10</w:t>
      </w:r>
      <w:r>
        <w:fldChar w:fldCharType="end"/>
      </w:r>
      <w:r>
        <w:rPr>
          <w:rFonts w:hint="eastAsia" w:ascii="宋体" w:hAnsi="宋体" w:eastAsia="宋体" w:cs="宋体"/>
          <w:bCs/>
          <w:szCs w:val="28"/>
        </w:rPr>
        <w:fldChar w:fldCharType="end"/>
      </w:r>
    </w:p>
    <w:p>
      <w:pPr>
        <w:pStyle w:val="11"/>
        <w:tabs>
          <w:tab w:val="right" w:leader="dot" w:pos="8306"/>
        </w:tabs>
        <w:spacing w:line="360" w:lineRule="auto"/>
        <w:rPr>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_Toc12999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rPr>
        <w:t>五、 项目验收</w:t>
      </w:r>
      <w:r>
        <w:rPr>
          <w:sz w:val="24"/>
          <w:szCs w:val="24"/>
        </w:rPr>
        <w:tab/>
      </w:r>
      <w:r>
        <w:rPr>
          <w:sz w:val="24"/>
          <w:szCs w:val="24"/>
        </w:rPr>
        <w:fldChar w:fldCharType="begin"/>
      </w:r>
      <w:r>
        <w:rPr>
          <w:sz w:val="24"/>
          <w:szCs w:val="24"/>
        </w:rPr>
        <w:instrText xml:space="preserve"> PAGEREF _Toc12999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sz w:val="24"/>
          <w:szCs w:val="24"/>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_Toc13828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(一) 验收小组</w:t>
      </w:r>
      <w:r>
        <w:tab/>
      </w:r>
      <w:r>
        <w:fldChar w:fldCharType="begin"/>
      </w:r>
      <w:r>
        <w:instrText xml:space="preserve"> PAGEREF _Toc13828 \h </w:instrText>
      </w:r>
      <w:r>
        <w:fldChar w:fldCharType="separate"/>
      </w:r>
      <w:r>
        <w:t>10</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_Toc25100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(二) 验收周期</w:t>
      </w:r>
      <w:r>
        <w:tab/>
      </w:r>
      <w:r>
        <w:fldChar w:fldCharType="begin"/>
      </w:r>
      <w:r>
        <w:instrText xml:space="preserve"> PAGEREF _Toc25100 \h </w:instrText>
      </w:r>
      <w:r>
        <w:fldChar w:fldCharType="separate"/>
      </w:r>
      <w:r>
        <w:t>10</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_Toc26218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(三) 验收标准</w:t>
      </w:r>
      <w:r>
        <w:tab/>
      </w:r>
      <w:r>
        <w:fldChar w:fldCharType="begin"/>
      </w:r>
      <w:r>
        <w:instrText xml:space="preserve"> PAGEREF _Toc26218 \h </w:instrText>
      </w:r>
      <w:r>
        <w:fldChar w:fldCharType="separate"/>
      </w:r>
      <w:r>
        <w:t>10</w:t>
      </w:r>
      <w:r>
        <w:fldChar w:fldCharType="end"/>
      </w:r>
      <w:r>
        <w:rPr>
          <w:rFonts w:hint="eastAsia" w:ascii="宋体" w:hAnsi="宋体" w:eastAsia="宋体" w:cs="宋体"/>
          <w:bCs/>
          <w:szCs w:val="28"/>
        </w:rPr>
        <w:fldChar w:fldCharType="end"/>
      </w:r>
    </w:p>
    <w:p>
      <w:pPr>
        <w:pStyle w:val="12"/>
        <w:tabs>
          <w:tab w:val="right" w:leader="dot" w:pos="8306"/>
        </w:tabs>
        <w:spacing w:line="360" w:lineRule="auto"/>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_Toc739 </w:instrText>
      </w:r>
      <w:r>
        <w:rPr>
          <w:rFonts w:hint="eastAsia" w:ascii="宋体" w:hAnsi="宋体" w:eastAsia="宋体" w:cs="宋体"/>
          <w:bCs/>
          <w:szCs w:val="28"/>
        </w:rPr>
        <w:fldChar w:fldCharType="separate"/>
      </w:r>
      <w:r>
        <w:rPr>
          <w:rFonts w:hint="eastAsia" w:ascii="楷体_GB2312" w:hAnsi="宋体" w:eastAsia="楷体_GB2312" w:cs="宋体"/>
          <w:szCs w:val="32"/>
          <w:lang w:val="en-US" w:eastAsia="zh-CN"/>
        </w:rPr>
        <w:t>(四) 验收成果</w:t>
      </w:r>
      <w:r>
        <w:tab/>
      </w:r>
      <w:r>
        <w:fldChar w:fldCharType="begin"/>
      </w:r>
      <w:r>
        <w:instrText xml:space="preserve"> PAGEREF _Toc739 \h </w:instrText>
      </w:r>
      <w:r>
        <w:fldChar w:fldCharType="separate"/>
      </w:r>
      <w:r>
        <w:t>11</w:t>
      </w:r>
      <w:r>
        <w:fldChar w:fldCharType="end"/>
      </w:r>
      <w:r>
        <w:rPr>
          <w:rFonts w:hint="eastAsia" w:ascii="宋体" w:hAnsi="宋体" w:eastAsia="宋体" w:cs="宋体"/>
          <w:bCs/>
          <w:szCs w:val="28"/>
        </w:rPr>
        <w:fldChar w:fldCharType="end"/>
      </w:r>
    </w:p>
    <w:p>
      <w:pPr>
        <w:pStyle w:val="11"/>
        <w:tabs>
          <w:tab w:val="right" w:leader="dot" w:pos="8306"/>
        </w:tabs>
        <w:spacing w:line="360" w:lineRule="auto"/>
        <w:rPr>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_Toc10220 </w:instrText>
      </w:r>
      <w:r>
        <w:rPr>
          <w:rFonts w:hint="eastAsia" w:ascii="宋体" w:hAnsi="宋体" w:eastAsia="宋体" w:cs="宋体"/>
          <w:bCs/>
          <w:sz w:val="24"/>
          <w:szCs w:val="24"/>
        </w:rPr>
        <w:fldChar w:fldCharType="separate"/>
      </w:r>
      <w:r>
        <w:rPr>
          <w:rFonts w:hint="eastAsia" w:ascii="黑体" w:hAnsi="黑体" w:eastAsia="黑体" w:cs="楷体"/>
          <w:bCs w:val="0"/>
          <w:i w:val="0"/>
          <w:iCs w:val="0"/>
          <w:sz w:val="24"/>
          <w:szCs w:val="24"/>
          <w:lang w:eastAsia="zh-CN"/>
        </w:rPr>
        <w:t>六、 考核标准</w:t>
      </w:r>
      <w:r>
        <w:rPr>
          <w:sz w:val="24"/>
          <w:szCs w:val="24"/>
        </w:rPr>
        <w:tab/>
      </w:r>
      <w:r>
        <w:rPr>
          <w:sz w:val="24"/>
          <w:szCs w:val="24"/>
        </w:rPr>
        <w:fldChar w:fldCharType="begin"/>
      </w:r>
      <w:r>
        <w:rPr>
          <w:sz w:val="24"/>
          <w:szCs w:val="24"/>
        </w:rPr>
        <w:instrText xml:space="preserve"> PAGEREF _Toc10220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bCs/>
          <w:sz w:val="24"/>
          <w:szCs w:val="24"/>
        </w:rPr>
        <w:fldChar w:fldCharType="end"/>
      </w:r>
    </w:p>
    <w:p>
      <w:pPr>
        <w:pStyle w:val="11"/>
        <w:tabs>
          <w:tab w:val="right" w:leader="dot" w:pos="8306"/>
        </w:tabs>
        <w:spacing w:line="360" w:lineRule="auto"/>
        <w:rPr>
          <w:rFonts w:cs="宋体" w:asciiTheme="minorEastAsia" w:hAnsiTheme="minorEastAsia" w:eastAsiaTheme="minorEastAsia"/>
          <w:b/>
          <w:bCs/>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szCs w:val="28"/>
        </w:rPr>
        <w:fldChar w:fldCharType="end"/>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4" w:name="_Toc13797"/>
      <w:r>
        <w:rPr>
          <w:rFonts w:hint="eastAsia" w:ascii="黑体" w:hAnsi="黑体" w:eastAsia="黑体" w:cs="楷体"/>
          <w:b w:val="0"/>
          <w:bCs w:val="0"/>
          <w:i w:val="0"/>
          <w:iCs w:val="0"/>
          <w:sz w:val="32"/>
          <w:szCs w:val="32"/>
        </w:rPr>
        <w:t>项目概况及招标范围</w:t>
      </w:r>
      <w:bookmarkEnd w:id="1"/>
      <w:bookmarkEnd w:id="2"/>
      <w:bookmarkEnd w:id="3"/>
      <w:bookmarkEnd w:id="4"/>
    </w:p>
    <w:p>
      <w:pPr>
        <w:numPr>
          <w:ilvl w:val="0"/>
          <w:numId w:val="2"/>
        </w:numPr>
        <w:adjustRightInd w:val="0"/>
        <w:spacing w:line="560" w:lineRule="exact"/>
        <w:ind w:left="0" w:firstLine="640" w:firstLineChars="200"/>
        <w:outlineLvl w:val="1"/>
        <w:rPr>
          <w:rFonts w:hint="eastAsia" w:ascii="楷体_GB2312" w:hAnsi="宋体" w:eastAsia="楷体_GB2312" w:cs="宋体"/>
          <w:sz w:val="32"/>
          <w:szCs w:val="32"/>
        </w:rPr>
      </w:pPr>
      <w:bookmarkStart w:id="5" w:name="_Toc23676"/>
      <w:bookmarkStart w:id="6" w:name="_Toc24880"/>
      <w:bookmarkStart w:id="7" w:name="_Toc326847763"/>
      <w:bookmarkStart w:id="8" w:name="OLE_LINK3"/>
      <w:bookmarkStart w:id="9" w:name="OLE_LINK4"/>
      <w:r>
        <w:rPr>
          <w:rFonts w:hint="eastAsia" w:ascii="楷体_GB2312" w:hAnsi="宋体" w:eastAsia="楷体_GB2312" w:cs="宋体"/>
          <w:sz w:val="32"/>
          <w:szCs w:val="32"/>
        </w:rPr>
        <w:t>项目概况</w:t>
      </w:r>
      <w:bookmarkEnd w:id="5"/>
      <w:bookmarkEnd w:id="6"/>
    </w:p>
    <w:bookmarkEnd w:id="7"/>
    <w:bookmarkEnd w:id="8"/>
    <w:bookmarkEnd w:id="9"/>
    <w:p>
      <w:pPr>
        <w:spacing w:line="560" w:lineRule="exact"/>
        <w:ind w:firstLine="640" w:firstLineChars="200"/>
        <w:rPr>
          <w:rFonts w:hint="eastAsia" w:ascii="仿宋_GB2312" w:hAnsi="宋体" w:eastAsia="仿宋_GB2312" w:cs="宋体"/>
          <w:sz w:val="32"/>
          <w:szCs w:val="32"/>
          <w:lang w:val="en-US" w:eastAsia="zh-CN"/>
        </w:rPr>
      </w:pPr>
      <w:bookmarkStart w:id="10" w:name="_Toc13827"/>
      <w:r>
        <w:rPr>
          <w:rFonts w:hint="eastAsia" w:ascii="仿宋_GB2312" w:hAnsi="宋体" w:eastAsia="仿宋_GB2312" w:cs="宋体"/>
          <w:sz w:val="32"/>
          <w:szCs w:val="32"/>
          <w:lang w:eastAsia="zh-CN"/>
        </w:rPr>
        <w:t>长沙市轨道交通4号线一期工程范围为罐子岭站至杜家坪站</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线路全长33.5km，设25座车站，均为地下车站，其中换乘站13座；设星城车辆基地、黄榔停车场，设主变电站两座（分别为咸嘉湖、游泳中心）。车站名称分别为</w:t>
      </w:r>
      <w:r>
        <w:rPr>
          <w:rFonts w:hint="eastAsia" w:ascii="仿宋_GB2312" w:hAnsi="宋体" w:eastAsia="仿宋_GB2312" w:cs="宋体"/>
          <w:sz w:val="32"/>
          <w:szCs w:val="32"/>
          <w:lang w:eastAsia="zh-CN"/>
        </w:rPr>
        <w:fldChar w:fldCharType="begin"/>
      </w:r>
      <w:r>
        <w:rPr>
          <w:rFonts w:hint="eastAsia" w:ascii="仿宋_GB2312" w:hAnsi="宋体" w:eastAsia="仿宋_GB2312" w:cs="宋体"/>
          <w:sz w:val="32"/>
          <w:szCs w:val="32"/>
          <w:lang w:eastAsia="zh-CN"/>
        </w:rPr>
        <w:instrText xml:space="preserve"> HYPERLINK "https://baike.baidu.com/item/%E7%BD%90%E5%AD%90%E5%B2%AD%E7%AB%99/24366991" \t "https://baike.baidu.com/item/%E9%95%BF%E6%B2%99%E8%BD%A8%E9%81%93%E4%BA%A4%E9%80%9A4%E5%8F%B7%E7%BA%BF/_blank" </w:instrText>
      </w:r>
      <w:r>
        <w:rPr>
          <w:rFonts w:hint="eastAsia" w:ascii="仿宋_GB2312" w:hAnsi="宋体" w:eastAsia="仿宋_GB2312" w:cs="宋体"/>
          <w:sz w:val="32"/>
          <w:szCs w:val="32"/>
          <w:lang w:eastAsia="zh-CN"/>
        </w:rPr>
        <w:fldChar w:fldCharType="separate"/>
      </w:r>
      <w:r>
        <w:rPr>
          <w:rFonts w:hint="default" w:ascii="仿宋_GB2312" w:hAnsi="宋体" w:eastAsia="仿宋_GB2312" w:cs="宋体"/>
          <w:sz w:val="32"/>
          <w:szCs w:val="32"/>
          <w:lang w:eastAsia="zh-CN"/>
        </w:rPr>
        <w:t>罐子岭</w:t>
      </w:r>
      <w:r>
        <w:rPr>
          <w:rFonts w:hint="default" w:ascii="仿宋_GB2312" w:hAnsi="宋体" w:eastAsia="仿宋_GB2312" w:cs="宋体"/>
          <w:sz w:val="32"/>
          <w:szCs w:val="32"/>
          <w:lang w:eastAsia="zh-CN"/>
        </w:rPr>
        <w:fldChar w:fldCharType="end"/>
      </w:r>
      <w:r>
        <w:rPr>
          <w:rFonts w:hint="eastAsia" w:ascii="仿宋_GB2312" w:hAnsi="宋体" w:eastAsia="仿宋_GB2312" w:cs="宋体"/>
          <w:sz w:val="32"/>
          <w:szCs w:val="32"/>
          <w:lang w:eastAsia="zh-CN"/>
        </w:rPr>
        <w:t>、月亮岛西、湘江新城、汉王陵公园、福元大桥西、茶子山、观沙岭、六沟垅、望月湖、溁湾镇、湖南师大、湖南大学、阜埠河、碧沙湖、黄土岭、砂子塘、赤岗岭、树木岭、圭塘、沙湾公园、粟塘、平阳、长沙火车南站、光达、杜家坪。</w:t>
      </w:r>
    </w:p>
    <w:p>
      <w:pPr>
        <w:numPr>
          <w:ilvl w:val="0"/>
          <w:numId w:val="2"/>
        </w:numPr>
        <w:adjustRightInd w:val="0"/>
        <w:spacing w:line="560" w:lineRule="exact"/>
        <w:ind w:left="0" w:firstLine="640" w:firstLineChars="200"/>
        <w:outlineLvl w:val="1"/>
        <w:rPr>
          <w:rFonts w:hint="eastAsia" w:ascii="楷体_GB2312" w:hAnsi="宋体" w:eastAsia="楷体_GB2312" w:cs="宋体"/>
          <w:sz w:val="32"/>
          <w:szCs w:val="32"/>
        </w:rPr>
      </w:pPr>
      <w:bookmarkStart w:id="11" w:name="_Toc29934"/>
      <w:r>
        <w:rPr>
          <w:rFonts w:hint="eastAsia" w:ascii="楷体_GB2312" w:hAnsi="宋体" w:eastAsia="楷体_GB2312" w:cs="宋体"/>
          <w:sz w:val="32"/>
          <w:szCs w:val="32"/>
        </w:rPr>
        <w:t>招标范围</w:t>
      </w:r>
      <w:bookmarkEnd w:id="10"/>
      <w:bookmarkEnd w:id="11"/>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本次采购主要为长沙市轨道交通</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号线一期工程运营期交通运输行业安全生产责任保险。</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12" w:name="_Toc459200615"/>
      <w:bookmarkStart w:id="13" w:name="_Toc6851"/>
      <w:r>
        <w:rPr>
          <w:rFonts w:hint="eastAsia" w:ascii="黑体" w:hAnsi="黑体" w:eastAsia="黑体" w:cs="楷体"/>
          <w:b w:val="0"/>
          <w:bCs w:val="0"/>
          <w:i w:val="0"/>
          <w:iCs w:val="0"/>
          <w:sz w:val="32"/>
          <w:szCs w:val="32"/>
        </w:rPr>
        <w:t>项目</w:t>
      </w:r>
      <w:bookmarkEnd w:id="12"/>
      <w:r>
        <w:rPr>
          <w:rFonts w:hint="eastAsia" w:ascii="黑体" w:hAnsi="黑体" w:eastAsia="黑体" w:cs="楷体"/>
          <w:b w:val="0"/>
          <w:bCs w:val="0"/>
          <w:i w:val="0"/>
          <w:iCs w:val="0"/>
          <w:sz w:val="32"/>
          <w:szCs w:val="32"/>
        </w:rPr>
        <w:t>服务期限</w:t>
      </w:r>
      <w:bookmarkEnd w:id="13"/>
    </w:p>
    <w:p>
      <w:pPr>
        <w:spacing w:line="560" w:lineRule="exact"/>
        <w:ind w:firstLine="640" w:firstLineChars="200"/>
        <w:rPr>
          <w:rFonts w:hint="eastAsia" w:ascii="仿宋_GB2312" w:hAnsi="宋体" w:eastAsia="仿宋_GB2312" w:cs="宋体"/>
          <w:sz w:val="32"/>
          <w:szCs w:val="32"/>
          <w:u w:val="none"/>
          <w:lang w:val="en-US" w:eastAsia="zh-CN"/>
        </w:rPr>
      </w:pPr>
      <w:r>
        <w:rPr>
          <w:rFonts w:hint="eastAsia" w:ascii="仿宋_GB2312" w:hAnsi="宋体" w:eastAsia="仿宋_GB2312" w:cs="宋体"/>
          <w:sz w:val="32"/>
          <w:szCs w:val="32"/>
          <w:u w:val="none"/>
          <w:lang w:val="en-US" w:eastAsia="zh-CN"/>
        </w:rPr>
        <w:t>本项目服务期为一年，总计12个月（具体服务开始时间为2022年5月26日00：00至2023年5月25日24:00）。</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14" w:name="_Toc24642"/>
      <w:bookmarkStart w:id="15" w:name="_Toc432775099"/>
      <w:bookmarkStart w:id="16" w:name="_Toc459200617"/>
      <w:bookmarkStart w:id="17" w:name="_Toc435623772"/>
      <w:bookmarkStart w:id="18" w:name="_Toc27818"/>
      <w:bookmarkStart w:id="19" w:name="_Toc5672"/>
      <w:r>
        <w:rPr>
          <w:rFonts w:hint="eastAsia" w:ascii="黑体" w:hAnsi="黑体" w:eastAsia="黑体" w:cs="楷体"/>
          <w:b w:val="0"/>
          <w:bCs w:val="0"/>
          <w:i w:val="0"/>
          <w:iCs w:val="0"/>
          <w:sz w:val="32"/>
          <w:szCs w:val="32"/>
        </w:rPr>
        <w:t>项目管控要求</w:t>
      </w:r>
      <w:bookmarkEnd w:id="14"/>
      <w:bookmarkEnd w:id="15"/>
      <w:bookmarkEnd w:id="16"/>
      <w:bookmarkEnd w:id="17"/>
      <w:bookmarkEnd w:id="18"/>
      <w:bookmarkEnd w:id="19"/>
    </w:p>
    <w:p>
      <w:pPr>
        <w:spacing w:line="560" w:lineRule="exact"/>
        <w:ind w:firstLine="640" w:firstLineChars="200"/>
        <w:rPr>
          <w:rFonts w:hint="eastAsia" w:ascii="仿宋_GB2312" w:hAnsi="宋体" w:eastAsia="仿宋_GB2312" w:cs="宋体"/>
          <w:sz w:val="32"/>
          <w:szCs w:val="32"/>
          <w:u w:val="none"/>
          <w:lang w:eastAsia="zh-CN"/>
        </w:rPr>
      </w:pPr>
      <w:r>
        <w:rPr>
          <w:rFonts w:hint="eastAsia" w:ascii="仿宋_GB2312" w:hAnsi="宋体" w:eastAsia="仿宋_GB2312" w:cs="宋体"/>
          <w:sz w:val="32"/>
          <w:szCs w:val="32"/>
          <w:u w:val="none"/>
          <w:lang w:eastAsia="zh-CN"/>
        </w:rPr>
        <w:t>本项目承保人须设立项目服务小组，成员组成为：项目负责人</w:t>
      </w:r>
      <w:r>
        <w:rPr>
          <w:rFonts w:hint="eastAsia" w:ascii="仿宋_GB2312" w:hAnsi="宋体" w:eastAsia="仿宋_GB2312" w:cs="宋体"/>
          <w:sz w:val="32"/>
          <w:szCs w:val="32"/>
          <w:u w:val="none"/>
          <w:lang w:val="en-US" w:eastAsia="zh-CN"/>
        </w:rPr>
        <w:t>(</w:t>
      </w:r>
      <w:r>
        <w:rPr>
          <w:rFonts w:hint="eastAsia" w:ascii="仿宋_GB2312" w:hAnsi="宋体" w:eastAsia="仿宋_GB2312" w:cs="宋体"/>
          <w:sz w:val="32"/>
          <w:szCs w:val="32"/>
          <w:u w:val="none"/>
          <w:lang w:eastAsia="zh-CN"/>
        </w:rPr>
        <w:t>专项组长</w:t>
      </w:r>
      <w:r>
        <w:rPr>
          <w:rFonts w:hint="eastAsia" w:ascii="仿宋_GB2312" w:hAnsi="宋体" w:eastAsia="仿宋_GB2312" w:cs="宋体"/>
          <w:sz w:val="32"/>
          <w:szCs w:val="32"/>
          <w:u w:val="none"/>
          <w:lang w:val="en-US" w:eastAsia="zh-CN"/>
        </w:rPr>
        <w:t>)</w:t>
      </w:r>
      <w:r>
        <w:rPr>
          <w:rFonts w:hint="eastAsia" w:ascii="仿宋_GB2312" w:hAnsi="宋体" w:eastAsia="仿宋_GB2312" w:cs="宋体"/>
          <w:sz w:val="32"/>
          <w:szCs w:val="32"/>
          <w:u w:val="none"/>
          <w:lang w:eastAsia="zh-CN"/>
        </w:rPr>
        <w:t>1名，专项副组长3名，日常联系专员3名，防损防灾服务专员1名，核保服务专员1名，核赔服务专员1名，现场理赔服务专员2名，数据统计专员1名。</w:t>
      </w:r>
    </w:p>
    <w:p>
      <w:pPr>
        <w:spacing w:line="360" w:lineRule="auto"/>
        <w:ind w:firstLine="640" w:firstLineChars="200"/>
        <w:rPr>
          <w:rFonts w:cs="宋体" w:asciiTheme="minorEastAsia" w:hAnsiTheme="minorEastAsia" w:eastAsiaTheme="minorEastAsia"/>
          <w:bCs/>
          <w:w w:val="90"/>
          <w:sz w:val="28"/>
          <w:szCs w:val="28"/>
        </w:rPr>
      </w:pPr>
      <w:r>
        <w:rPr>
          <w:rFonts w:hint="eastAsia" w:ascii="仿宋_GB2312" w:hAnsi="宋体" w:eastAsia="仿宋_GB2312" w:cs="宋体"/>
          <w:sz w:val="32"/>
          <w:szCs w:val="32"/>
          <w:lang w:eastAsia="zh-CN"/>
        </w:rPr>
        <w:t>上述项目服务小组成员未经被保险人同意不得随意更换。</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20" w:name="_Toc459200618"/>
      <w:bookmarkStart w:id="21" w:name="_Toc7230"/>
      <w:r>
        <w:rPr>
          <w:rFonts w:hint="eastAsia" w:ascii="黑体" w:hAnsi="黑体" w:eastAsia="黑体" w:cs="楷体"/>
          <w:b w:val="0"/>
          <w:bCs w:val="0"/>
          <w:i w:val="0"/>
          <w:iCs w:val="0"/>
          <w:sz w:val="32"/>
          <w:szCs w:val="32"/>
        </w:rPr>
        <w:t>项目实施要求</w:t>
      </w:r>
      <w:bookmarkEnd w:id="20"/>
      <w:bookmarkEnd w:id="21"/>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22" w:name="_Toc28309"/>
      <w:r>
        <w:rPr>
          <w:rFonts w:hint="eastAsia" w:ascii="楷体_GB2312" w:hAnsi="宋体" w:eastAsia="楷体_GB2312" w:cs="宋体"/>
          <w:sz w:val="32"/>
          <w:szCs w:val="32"/>
          <w:lang w:val="en-US" w:eastAsia="zh-CN"/>
        </w:rPr>
        <w:t>保险明细</w:t>
      </w:r>
      <w:bookmarkEnd w:id="22"/>
    </w:p>
    <w:p>
      <w:pPr>
        <w:spacing w:line="560" w:lineRule="exact"/>
        <w:ind w:firstLine="640" w:firstLineChars="200"/>
        <w:rPr>
          <w:rFonts w:cs="仿宋" w:asciiTheme="minorEastAsia" w:hAnsiTheme="minorEastAsia" w:eastAsiaTheme="minorEastAsia"/>
          <w:b/>
          <w:sz w:val="24"/>
        </w:rPr>
      </w:pPr>
      <w:r>
        <w:rPr>
          <w:rFonts w:hint="eastAsia" w:ascii="仿宋_GB2312" w:hAnsi="宋体" w:eastAsia="仿宋_GB2312" w:cs="宋体"/>
          <w:sz w:val="32"/>
          <w:szCs w:val="32"/>
          <w:u w:val="none"/>
          <w:lang w:eastAsia="zh-CN"/>
        </w:rPr>
        <w:t>各投标公司需对下列明细中所列明的条款全部响应，条款具体内容以各投标公司向监管部门报备的条款内容为准，但须满足招标人的服务需求。</w:t>
      </w:r>
    </w:p>
    <w:p>
      <w:pPr>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交通运输行业安全生产责任保险</w:t>
      </w:r>
    </w:p>
    <w:tbl>
      <w:tblPr>
        <w:tblStyle w:val="14"/>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投 保 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cs="仿宋" w:asciiTheme="minorEastAsia" w:hAnsiTheme="minorEastAsia" w:eastAsiaTheme="minorEastAsia"/>
              </w:rPr>
            </w:pPr>
            <w:r>
              <w:rPr>
                <w:rFonts w:hint="eastAsia" w:cs="仿宋" w:asciiTheme="minorEastAsia" w:hAnsiTheme="minorEastAsia" w:eastAsiaTheme="minorEastAsia"/>
              </w:rPr>
              <w:t>长沙市轨道交通</w:t>
            </w:r>
            <w:r>
              <w:rPr>
                <w:rFonts w:hint="eastAsia" w:cs="仿宋" w:asciiTheme="minorEastAsia" w:hAnsiTheme="minorEastAsia" w:eastAsiaTheme="minorEastAsia"/>
                <w:lang w:eastAsia="zh-CN"/>
              </w:rPr>
              <w:t>四号线建设发展有限公司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被保险人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cs="仿宋" w:asciiTheme="minorEastAsia" w:hAnsiTheme="minorEastAsia" w:eastAsiaTheme="minorEastAsia"/>
              </w:rPr>
            </w:pPr>
            <w:r>
              <w:rPr>
                <w:rFonts w:hint="eastAsia" w:cs="仿宋" w:asciiTheme="minorEastAsia" w:hAnsiTheme="minorEastAsia" w:eastAsiaTheme="minorEastAsia"/>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u w:val="none"/>
              </w:rPr>
              <w:t>保险期限</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cs="仿宋" w:asciiTheme="minorEastAsia" w:hAnsiTheme="minorEastAsia" w:eastAsiaTheme="minorEastAsia"/>
              </w:rPr>
            </w:pPr>
            <w:r>
              <w:rPr>
                <w:rFonts w:hint="eastAsia" w:cs="仿宋" w:asciiTheme="minorEastAsia" w:hAnsiTheme="minorEastAsia" w:eastAsiaTheme="minorEastAsia"/>
                <w:u w:val="none"/>
                <w:lang w:val="en-US" w:eastAsia="zh-CN"/>
              </w:rPr>
              <w:t>2022</w:t>
            </w:r>
            <w:r>
              <w:rPr>
                <w:rFonts w:hint="eastAsia" w:cs="仿宋" w:asciiTheme="minorEastAsia" w:hAnsiTheme="minorEastAsia" w:eastAsiaTheme="minorEastAsia"/>
                <w:u w:val="none"/>
              </w:rPr>
              <w:t>年</w:t>
            </w:r>
            <w:r>
              <w:rPr>
                <w:rFonts w:hint="eastAsia" w:cs="仿宋" w:asciiTheme="minorEastAsia" w:hAnsiTheme="minorEastAsia" w:eastAsiaTheme="minorEastAsia"/>
                <w:u w:val="none"/>
                <w:lang w:val="en-US" w:eastAsia="zh-CN"/>
              </w:rPr>
              <w:t>5</w:t>
            </w:r>
            <w:r>
              <w:rPr>
                <w:rFonts w:hint="eastAsia" w:cs="仿宋" w:asciiTheme="minorEastAsia" w:hAnsiTheme="minorEastAsia" w:eastAsiaTheme="minorEastAsia"/>
                <w:u w:val="none"/>
              </w:rPr>
              <w:t>月2</w:t>
            </w:r>
            <w:r>
              <w:rPr>
                <w:rFonts w:hint="eastAsia" w:cs="仿宋" w:asciiTheme="minorEastAsia" w:hAnsiTheme="minorEastAsia" w:eastAsiaTheme="minorEastAsia"/>
                <w:u w:val="none"/>
                <w:lang w:val="en-US" w:eastAsia="zh-CN"/>
              </w:rPr>
              <w:t>6</w:t>
            </w:r>
            <w:r>
              <w:rPr>
                <w:rFonts w:hint="eastAsia" w:cs="仿宋" w:asciiTheme="minorEastAsia" w:hAnsiTheme="minorEastAsia" w:eastAsiaTheme="minorEastAsia"/>
                <w:u w:val="none"/>
              </w:rPr>
              <w:t>日00：00至202</w:t>
            </w:r>
            <w:r>
              <w:rPr>
                <w:rFonts w:hint="eastAsia" w:cs="仿宋" w:asciiTheme="minorEastAsia" w:hAnsiTheme="minorEastAsia" w:eastAsiaTheme="minorEastAsia"/>
                <w:u w:val="none"/>
                <w:lang w:val="en-US" w:eastAsia="zh-CN"/>
              </w:rPr>
              <w:t>3</w:t>
            </w:r>
            <w:r>
              <w:rPr>
                <w:rFonts w:hint="eastAsia" w:cs="仿宋" w:asciiTheme="minorEastAsia" w:hAnsiTheme="minorEastAsia" w:eastAsiaTheme="minorEastAsia"/>
                <w:u w:val="none"/>
              </w:rPr>
              <w:t>年</w:t>
            </w:r>
            <w:r>
              <w:rPr>
                <w:rFonts w:hint="eastAsia" w:cs="仿宋" w:asciiTheme="minorEastAsia" w:hAnsiTheme="minorEastAsia" w:eastAsiaTheme="minorEastAsia"/>
                <w:u w:val="none"/>
                <w:lang w:val="en-US" w:eastAsia="zh-CN"/>
              </w:rPr>
              <w:t>5</w:t>
            </w:r>
            <w:r>
              <w:rPr>
                <w:rFonts w:hint="eastAsia" w:cs="仿宋" w:asciiTheme="minorEastAsia" w:hAnsiTheme="minorEastAsia" w:eastAsiaTheme="minorEastAsia"/>
                <w:u w:val="none"/>
              </w:rPr>
              <w:t>月2</w:t>
            </w:r>
            <w:r>
              <w:rPr>
                <w:rFonts w:hint="eastAsia" w:cs="仿宋" w:asciiTheme="minorEastAsia" w:hAnsiTheme="minorEastAsia" w:eastAsiaTheme="minorEastAsia"/>
                <w:u w:val="none"/>
                <w:lang w:val="en-US" w:eastAsia="zh-CN"/>
              </w:rPr>
              <w:t>5</w:t>
            </w:r>
            <w:r>
              <w:rPr>
                <w:rFonts w:hint="eastAsia" w:cs="仿宋" w:asciiTheme="minorEastAsia" w:hAnsiTheme="minorEastAsia" w:eastAsiaTheme="minorEastAsia"/>
                <w:u w:val="none"/>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项目概况</w:t>
            </w:r>
          </w:p>
        </w:tc>
        <w:tc>
          <w:tcPr>
            <w:tcW w:w="7490" w:type="dxa"/>
            <w:tcBorders>
              <w:top w:val="single" w:color="auto" w:sz="4" w:space="0"/>
              <w:left w:val="single" w:color="auto" w:sz="4" w:space="0"/>
              <w:bottom w:val="single" w:color="auto" w:sz="4" w:space="0"/>
              <w:right w:val="single" w:color="auto" w:sz="4" w:space="0"/>
              <w:tl2br w:val="nil"/>
              <w:tr2bl w:val="nil"/>
            </w:tcBorders>
          </w:tcPr>
          <w:p>
            <w:pPr>
              <w:widowControl/>
              <w:jc w:val="left"/>
              <w:rPr>
                <w:rFonts w:cs="仿宋" w:asciiTheme="minorEastAsia" w:hAnsiTheme="minorEastAsia" w:eastAsiaTheme="minorEastAsia"/>
              </w:rPr>
            </w:pPr>
            <w:r>
              <w:rPr>
                <w:rFonts w:hint="eastAsia" w:cs="仿宋" w:asciiTheme="minorEastAsia" w:hAnsiTheme="minorEastAsia" w:eastAsiaTheme="minorEastAsia"/>
              </w:rPr>
              <w:t>长沙市轨道交通4号线</w:t>
            </w:r>
            <w:r>
              <w:rPr>
                <w:rFonts w:hint="eastAsia" w:cs="仿宋" w:asciiTheme="minorEastAsia" w:hAnsiTheme="minorEastAsia" w:eastAsiaTheme="minorEastAsia"/>
                <w:lang w:eastAsia="zh-CN"/>
              </w:rPr>
              <w:t>一期工程</w:t>
            </w:r>
            <w:r>
              <w:rPr>
                <w:rFonts w:hint="eastAsia" w:cs="仿宋" w:asciiTheme="minorEastAsia" w:hAnsiTheme="minorEastAsia" w:eastAsiaTheme="minorEastAsia"/>
              </w:rPr>
              <w:t>范围为罐子岭站至杜家坪站</w:t>
            </w:r>
            <w:r>
              <w:rPr>
                <w:rFonts w:hint="eastAsia" w:cs="仿宋" w:asciiTheme="minorEastAsia" w:hAnsiTheme="minorEastAsia" w:eastAsiaTheme="minorEastAsia"/>
                <w:lang w:val="en-US" w:eastAsia="zh-CN"/>
              </w:rPr>
              <w:t>，</w:t>
            </w:r>
            <w:r>
              <w:rPr>
                <w:rFonts w:hint="eastAsia" w:cs="仿宋" w:asciiTheme="minorEastAsia" w:hAnsiTheme="minorEastAsia" w:eastAsiaTheme="minorEastAsia"/>
              </w:rPr>
              <w:t>线路全长33.5km</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设25座车站，均为地下车站，其中换乘站13座</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设星城车辆基地、黄榔停车场</w:t>
            </w:r>
            <w:r>
              <w:rPr>
                <w:rFonts w:hint="eastAsia" w:cs="仿宋" w:asciiTheme="minorEastAsia" w:hAnsiTheme="minorEastAsia" w:eastAsiaTheme="minorEastAsia"/>
                <w:lang w:eastAsia="zh-CN"/>
              </w:rPr>
              <w:t>，</w:t>
            </w:r>
            <w:r>
              <w:rPr>
                <w:rFonts w:hint="eastAsia" w:cs="仿宋" w:asciiTheme="minorEastAsia" w:hAnsiTheme="minorEastAsia" w:eastAsiaTheme="minorEastAsia"/>
              </w:rPr>
              <w:t>设主变电站两座（分别为咸嘉湖、游泳中心）</w:t>
            </w:r>
            <w:r>
              <w:rPr>
                <w:rFonts w:hint="eastAsia" w:cs="仿宋" w:asciiTheme="minorEastAsia" w:hAnsiTheme="minorEastAsia" w:eastAsiaTheme="minorEastAsia"/>
                <w:lang w:eastAsia="zh-CN"/>
              </w:rPr>
              <w:t>。车站名称分别为</w:t>
            </w:r>
            <w:r>
              <w:rPr>
                <w:rFonts w:hint="eastAsia" w:cs="仿宋" w:asciiTheme="minorEastAsia" w:hAnsiTheme="minorEastAsia" w:eastAsiaTheme="minorEastAsia"/>
                <w:lang w:eastAsia="zh-CN"/>
              </w:rPr>
              <w:fldChar w:fldCharType="begin"/>
            </w:r>
            <w:r>
              <w:rPr>
                <w:rFonts w:hint="eastAsia" w:cs="仿宋" w:asciiTheme="minorEastAsia" w:hAnsiTheme="minorEastAsia" w:eastAsiaTheme="minorEastAsia"/>
                <w:lang w:eastAsia="zh-CN"/>
              </w:rPr>
              <w:instrText xml:space="preserve"> HYPERLINK "https://baike.baidu.com/item/%E7%BD%90%E5%AD%90%E5%B2%AD%E7%AB%99/24366991" \t "https://baike.baidu.com/item/%E9%95%BF%E6%B2%99%E8%BD%A8%E9%81%93%E4%BA%A4%E9%80%9A4%E5%8F%B7%E7%BA%BF/_blank" </w:instrText>
            </w:r>
            <w:r>
              <w:rPr>
                <w:rFonts w:hint="eastAsia" w:cs="仿宋" w:asciiTheme="minorEastAsia" w:hAnsiTheme="minorEastAsia" w:eastAsiaTheme="minorEastAsia"/>
                <w:lang w:eastAsia="zh-CN"/>
              </w:rPr>
              <w:fldChar w:fldCharType="separate"/>
            </w:r>
            <w:r>
              <w:rPr>
                <w:rFonts w:hint="default" w:cs="仿宋" w:asciiTheme="minorEastAsia" w:hAnsiTheme="minorEastAsia" w:eastAsiaTheme="minorEastAsia"/>
                <w:lang w:eastAsia="zh-CN"/>
              </w:rPr>
              <w:t>罐子岭</w:t>
            </w:r>
            <w:r>
              <w:rPr>
                <w:rFonts w:hint="default" w:cs="仿宋" w:asciiTheme="minorEastAsia" w:hAnsiTheme="minorEastAsia" w:eastAsiaTheme="minorEastAsia"/>
                <w:lang w:eastAsia="zh-CN"/>
              </w:rPr>
              <w:fldChar w:fldCharType="end"/>
            </w:r>
            <w:r>
              <w:rPr>
                <w:rFonts w:hint="eastAsia" w:cs="仿宋" w:asciiTheme="minorEastAsia" w:hAnsiTheme="minorEastAsia" w:eastAsiaTheme="minorEastAsia"/>
                <w:lang w:eastAsia="zh-CN"/>
              </w:rPr>
              <w:t>、月亮岛西、湘江新城、汉王陵公园、福元大桥西、茶子山、观沙岭、六沟垅、望月湖、溁湾镇、湖南师大、湖南大学、阜埠河、碧沙湖、黄土岭、砂子塘、赤岗岭、树木岭、圭塘、沙湾公园、粟塘、平阳、长沙火车南站、光达、杜家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保险范围和保险责任</w:t>
            </w:r>
          </w:p>
        </w:tc>
        <w:tc>
          <w:tcPr>
            <w:tcW w:w="7490" w:type="dxa"/>
            <w:tcBorders>
              <w:top w:val="single" w:color="auto" w:sz="4" w:space="0"/>
              <w:left w:val="single" w:color="auto" w:sz="4" w:space="0"/>
              <w:bottom w:val="single" w:color="auto" w:sz="4" w:space="0"/>
              <w:right w:val="single" w:color="auto" w:sz="4" w:space="0"/>
              <w:tl2br w:val="nil"/>
              <w:tr2bl w:val="nil"/>
            </w:tcBorders>
          </w:tcPr>
          <w:p>
            <w:pPr>
              <w:numPr>
                <w:ilvl w:val="0"/>
                <w:numId w:val="4"/>
              </w:numPr>
              <w:rPr>
                <w:rFonts w:hint="eastAsia" w:cs="仿宋" w:asciiTheme="minorEastAsia" w:hAnsiTheme="minorEastAsia" w:eastAsiaTheme="minorEastAsia"/>
                <w:u w:val="none"/>
              </w:rPr>
            </w:pPr>
            <w:r>
              <w:rPr>
                <w:rFonts w:hint="eastAsia" w:cs="仿宋" w:asciiTheme="minorEastAsia" w:hAnsiTheme="minorEastAsia" w:eastAsiaTheme="minorEastAsia"/>
                <w:u w:val="none"/>
              </w:rPr>
              <w:t>被保险人营业场所及安全保护区范围包括但不限于长沙市轨道交通</w:t>
            </w:r>
            <w:r>
              <w:rPr>
                <w:rFonts w:hint="eastAsia" w:cs="仿宋" w:asciiTheme="minorEastAsia" w:hAnsiTheme="minorEastAsia" w:eastAsiaTheme="minorEastAsia"/>
                <w:u w:val="none"/>
                <w:lang w:val="en-US" w:eastAsia="zh-CN"/>
              </w:rPr>
              <w:t>4</w:t>
            </w:r>
            <w:r>
              <w:rPr>
                <w:rFonts w:hint="eastAsia" w:cs="仿宋" w:asciiTheme="minorEastAsia" w:hAnsiTheme="minorEastAsia" w:eastAsiaTheme="minorEastAsia"/>
                <w:u w:val="none"/>
              </w:rPr>
              <w:t>号线所有车场、车站、车辆内、线路沿线，以及归属于或与被保险人经营范围有直接关系的任何地点及《长沙市轨道交通管理条例》规定的安全保护区内</w:t>
            </w:r>
            <w:r>
              <w:rPr>
                <w:rFonts w:hint="eastAsia" w:cs="仿宋" w:asciiTheme="minorEastAsia" w:hAnsiTheme="minorEastAsia" w:eastAsiaTheme="minorEastAsia"/>
                <w:u w:val="none"/>
                <w:lang w:eastAsia="zh-CN"/>
              </w:rPr>
              <w:t>。</w:t>
            </w:r>
          </w:p>
          <w:p>
            <w:pPr>
              <w:numPr>
                <w:ilvl w:val="0"/>
                <w:numId w:val="4"/>
              </w:numPr>
              <w:rPr>
                <w:rFonts w:hint="eastAsia" w:cs="仿宋" w:asciiTheme="minorEastAsia" w:hAnsiTheme="minorEastAsia" w:eastAsiaTheme="minorEastAsia"/>
                <w:u w:val="none"/>
              </w:rPr>
            </w:pPr>
            <w:r>
              <w:rPr>
                <w:rFonts w:hint="eastAsia" w:cs="仿宋" w:asciiTheme="minorEastAsia" w:hAnsiTheme="minorEastAsia" w:eastAsiaTheme="minorEastAsia"/>
                <w:u w:val="none"/>
                <w:lang w:eastAsia="zh-CN"/>
              </w:rPr>
              <w:t>被保险人</w:t>
            </w:r>
            <w:r>
              <w:rPr>
                <w:rFonts w:hint="eastAsia" w:cs="仿宋" w:asciiTheme="minorEastAsia" w:hAnsiTheme="minorEastAsia" w:eastAsiaTheme="minorEastAsia"/>
                <w:u w:val="none"/>
              </w:rPr>
              <w:t>在前述营业场所及安全保护区范围内因发生以下生产安全事故或意外事故造成的</w:t>
            </w:r>
            <w:r>
              <w:rPr>
                <w:rFonts w:hint="eastAsia" w:cs="仿宋" w:asciiTheme="minorEastAsia" w:hAnsiTheme="minorEastAsia" w:eastAsiaTheme="minorEastAsia"/>
                <w:u w:val="none"/>
                <w:lang w:eastAsia="zh-CN"/>
              </w:rPr>
              <w:t>从业人员（</w:t>
            </w:r>
            <w:r>
              <w:rPr>
                <w:rFonts w:hint="eastAsia" w:cs="仿宋" w:asciiTheme="minorEastAsia" w:hAnsiTheme="minorEastAsia" w:eastAsiaTheme="minorEastAsia"/>
                <w:u w:val="none"/>
                <w:lang w:val="en-US" w:eastAsia="zh-CN"/>
              </w:rPr>
              <w:t>非实名制</w:t>
            </w:r>
            <w:r>
              <w:rPr>
                <w:rFonts w:hint="eastAsia" w:cs="仿宋" w:asciiTheme="minorEastAsia" w:hAnsiTheme="minorEastAsia" w:eastAsiaTheme="minorEastAsia"/>
                <w:u w:val="none"/>
                <w:lang w:eastAsia="zh-CN"/>
              </w:rPr>
              <w:t>）、乘客和</w:t>
            </w:r>
            <w:r>
              <w:rPr>
                <w:rFonts w:hint="eastAsia" w:cs="仿宋" w:asciiTheme="minorEastAsia" w:hAnsiTheme="minorEastAsia" w:eastAsiaTheme="minorEastAsia"/>
                <w:u w:val="none"/>
              </w:rPr>
              <w:t>第三者</w:t>
            </w:r>
            <w:r>
              <w:rPr>
                <w:rFonts w:hint="eastAsia" w:cs="仿宋" w:asciiTheme="minorEastAsia" w:hAnsiTheme="minorEastAsia" w:eastAsiaTheme="minorEastAsia"/>
                <w:u w:val="none"/>
                <w:lang w:eastAsia="zh-CN"/>
              </w:rPr>
              <w:t>（不含乘客）</w:t>
            </w:r>
            <w:r>
              <w:rPr>
                <w:rFonts w:hint="eastAsia" w:cs="仿宋" w:asciiTheme="minorEastAsia" w:hAnsiTheme="minorEastAsia" w:eastAsiaTheme="minorEastAsia"/>
                <w:u w:val="none"/>
              </w:rPr>
              <w:t>人身伤亡和财产损失，根据中华人民共和国法律（不包括港澳台地区法律）应由被保险人承担的经济赔偿责任，</w:t>
            </w:r>
            <w:r>
              <w:rPr>
                <w:rFonts w:hint="eastAsia" w:cs="仿宋" w:asciiTheme="minorEastAsia" w:hAnsiTheme="minorEastAsia" w:eastAsiaTheme="minorEastAsia"/>
                <w:u w:val="none"/>
                <w:lang w:val="en-US" w:eastAsia="zh-CN"/>
              </w:rPr>
              <w:t>承保</w:t>
            </w:r>
            <w:r>
              <w:rPr>
                <w:rFonts w:hint="eastAsia" w:cs="仿宋" w:asciiTheme="minorEastAsia" w:hAnsiTheme="minorEastAsia" w:eastAsiaTheme="minorEastAsia"/>
                <w:u w:val="none"/>
              </w:rPr>
              <w:t>人依据本保险合同的约定予以赔偿。保险责任主要包括：</w:t>
            </w:r>
          </w:p>
          <w:p>
            <w:pPr>
              <w:rPr>
                <w:rFonts w:hint="eastAsia" w:cs="仿宋" w:asciiTheme="minorEastAsia" w:hAnsiTheme="minorEastAsia" w:eastAsiaTheme="minorEastAsia"/>
                <w:u w:val="none"/>
              </w:rPr>
            </w:pPr>
            <w:bookmarkStart w:id="23" w:name="bookmark134"/>
            <w:r>
              <w:rPr>
                <w:rFonts w:hint="eastAsia" w:cs="仿宋" w:asciiTheme="minorEastAsia" w:hAnsiTheme="minorEastAsia" w:eastAsiaTheme="minorEastAsia"/>
                <w:u w:val="none"/>
              </w:rPr>
              <w:t>（</w:t>
            </w:r>
            <w:bookmarkEnd w:id="23"/>
            <w:r>
              <w:rPr>
                <w:rFonts w:hint="eastAsia" w:cs="仿宋" w:asciiTheme="minorEastAsia" w:hAnsiTheme="minorEastAsia" w:eastAsiaTheme="minorEastAsia"/>
                <w:u w:val="none"/>
              </w:rPr>
              <w:t>1）火灾、爆炸事故；</w:t>
            </w:r>
          </w:p>
          <w:p>
            <w:pPr>
              <w:rPr>
                <w:rFonts w:hint="default" w:cs="仿宋" w:asciiTheme="minorEastAsia" w:hAnsiTheme="minorEastAsia" w:eastAsiaTheme="minorEastAsia"/>
                <w:highlight w:val="none"/>
                <w:u w:val="none"/>
                <w:lang w:val="en-US"/>
              </w:rPr>
            </w:pPr>
            <w:r>
              <w:rPr>
                <w:rFonts w:hint="eastAsia" w:cs="仿宋" w:asciiTheme="minorEastAsia" w:hAnsiTheme="minorEastAsia" w:eastAsiaTheme="minorEastAsia"/>
                <w:highlight w:val="none"/>
                <w:u w:val="none"/>
                <w:lang w:val="en-US" w:eastAsia="zh-CN"/>
              </w:rPr>
              <w:t>（2）雷击、暴雨、暴风、洪水、冰冻等自然灾害造成的事故；</w:t>
            </w:r>
          </w:p>
          <w:p>
            <w:pPr>
              <w:rPr>
                <w:rFonts w:hint="eastAsia" w:cs="仿宋" w:asciiTheme="minorEastAsia" w:hAnsiTheme="minorEastAsia" w:eastAsiaTheme="minorEastAsia"/>
                <w:u w:val="none"/>
              </w:rPr>
            </w:pPr>
            <w:bookmarkStart w:id="24" w:name="bookmark135"/>
            <w:r>
              <w:rPr>
                <w:rFonts w:hint="eastAsia" w:cs="仿宋" w:asciiTheme="minorEastAsia" w:hAnsiTheme="minorEastAsia" w:eastAsiaTheme="minorEastAsia"/>
                <w:u w:val="none"/>
              </w:rPr>
              <w:t>（</w:t>
            </w:r>
            <w:bookmarkEnd w:id="24"/>
            <w:r>
              <w:rPr>
                <w:rFonts w:hint="eastAsia" w:cs="仿宋" w:asciiTheme="minorEastAsia" w:hAnsiTheme="minorEastAsia" w:eastAsiaTheme="minorEastAsia"/>
                <w:u w:val="none"/>
                <w:lang w:val="en-US" w:eastAsia="zh-CN"/>
              </w:rPr>
              <w:t>3</w:t>
            </w:r>
            <w:r>
              <w:rPr>
                <w:rFonts w:hint="eastAsia" w:cs="仿宋" w:asciiTheme="minorEastAsia" w:hAnsiTheme="minorEastAsia" w:eastAsiaTheme="minorEastAsia"/>
                <w:u w:val="none"/>
              </w:rPr>
              <w:t>）被保</w:t>
            </w:r>
            <w:r>
              <w:rPr>
                <w:rFonts w:hint="eastAsia" w:cs="仿宋" w:asciiTheme="minorEastAsia" w:hAnsiTheme="minorEastAsia" w:eastAsiaTheme="minorEastAsia"/>
                <w:u w:val="none"/>
                <w:lang w:eastAsia="zh-CN"/>
              </w:rPr>
              <w:t>险</w:t>
            </w:r>
            <w:r>
              <w:rPr>
                <w:rFonts w:hint="eastAsia" w:cs="仿宋" w:asciiTheme="minorEastAsia" w:hAnsiTheme="minorEastAsia" w:eastAsiaTheme="minorEastAsia"/>
                <w:u w:val="none"/>
              </w:rPr>
              <w:t>人高空坠物、意外摔伤等事故；</w:t>
            </w:r>
          </w:p>
          <w:p>
            <w:pPr>
              <w:rPr>
                <w:rFonts w:hint="eastAsia" w:cs="仿宋" w:asciiTheme="minorEastAsia" w:hAnsiTheme="minorEastAsia" w:eastAsiaTheme="minorEastAsia"/>
                <w:u w:val="none"/>
              </w:rPr>
            </w:pPr>
            <w:bookmarkStart w:id="25" w:name="bookmark136"/>
            <w:r>
              <w:rPr>
                <w:rFonts w:hint="eastAsia" w:cs="仿宋" w:asciiTheme="minorEastAsia" w:hAnsiTheme="minorEastAsia" w:eastAsiaTheme="minorEastAsia"/>
                <w:u w:val="none"/>
              </w:rPr>
              <w:t>（</w:t>
            </w:r>
            <w:bookmarkEnd w:id="25"/>
            <w:r>
              <w:rPr>
                <w:rFonts w:hint="eastAsia" w:cs="仿宋" w:asciiTheme="minorEastAsia" w:hAnsiTheme="minorEastAsia" w:eastAsiaTheme="minorEastAsia"/>
                <w:u w:val="none"/>
                <w:lang w:val="en-US" w:eastAsia="zh-CN"/>
              </w:rPr>
              <w:t>4</w:t>
            </w:r>
            <w:r>
              <w:rPr>
                <w:rFonts w:hint="eastAsia" w:cs="仿宋" w:asciiTheme="minorEastAsia" w:hAnsiTheme="minorEastAsia" w:eastAsiaTheme="minorEastAsia"/>
                <w:u w:val="none"/>
              </w:rPr>
              <w:t>）被保险人所有或管理的电梯发生事故；</w:t>
            </w:r>
          </w:p>
          <w:p>
            <w:pPr>
              <w:rPr>
                <w:rFonts w:hint="eastAsia" w:cs="仿宋" w:asciiTheme="minorEastAsia" w:hAnsiTheme="minorEastAsia" w:eastAsiaTheme="minorEastAsia"/>
                <w:u w:val="none"/>
              </w:rPr>
            </w:pPr>
            <w:bookmarkStart w:id="26" w:name="bookmark137"/>
            <w:r>
              <w:rPr>
                <w:rFonts w:hint="eastAsia" w:cs="仿宋" w:asciiTheme="minorEastAsia" w:hAnsiTheme="minorEastAsia" w:eastAsiaTheme="minorEastAsia"/>
                <w:u w:val="none"/>
              </w:rPr>
              <w:t>（</w:t>
            </w:r>
            <w:bookmarkEnd w:id="26"/>
            <w:r>
              <w:rPr>
                <w:rFonts w:hint="eastAsia" w:cs="仿宋" w:asciiTheme="minorEastAsia" w:hAnsiTheme="minorEastAsia" w:eastAsiaTheme="minorEastAsia"/>
                <w:u w:val="none"/>
                <w:lang w:val="en-US" w:eastAsia="zh-CN"/>
              </w:rPr>
              <w:t>5</w:t>
            </w:r>
            <w:r>
              <w:rPr>
                <w:rFonts w:hint="eastAsia" w:cs="仿宋" w:asciiTheme="minorEastAsia" w:hAnsiTheme="minorEastAsia" w:eastAsiaTheme="minorEastAsia"/>
                <w:u w:val="none"/>
              </w:rPr>
              <w:t>）发生保险事故时，第三者因见义勇为发生的人身伤亡， 经政府部门认定属于见义勇为行为的，</w:t>
            </w:r>
            <w:r>
              <w:rPr>
                <w:rFonts w:hint="eastAsia" w:cs="仿宋" w:asciiTheme="minorEastAsia" w:hAnsiTheme="minorEastAsia" w:eastAsiaTheme="minorEastAsia"/>
                <w:u w:val="none"/>
                <w:lang w:val="en-US" w:eastAsia="zh-CN"/>
              </w:rPr>
              <w:t>承保</w:t>
            </w:r>
            <w:r>
              <w:rPr>
                <w:rFonts w:hint="eastAsia" w:cs="仿宋" w:asciiTheme="minorEastAsia" w:hAnsiTheme="minorEastAsia" w:eastAsiaTheme="minorEastAsia"/>
                <w:u w:val="none"/>
              </w:rPr>
              <w:t>人参照第三者人身伤亡赔付方式赔偿；</w:t>
            </w:r>
          </w:p>
          <w:p>
            <w:pPr>
              <w:rPr>
                <w:rFonts w:hint="eastAsia" w:cs="仿宋" w:asciiTheme="minorEastAsia" w:hAnsiTheme="minorEastAsia" w:eastAsiaTheme="minorEastAsia"/>
                <w:u w:val="none"/>
              </w:rPr>
            </w:pPr>
            <w:bookmarkStart w:id="27" w:name="bookmark138"/>
            <w:r>
              <w:rPr>
                <w:rFonts w:hint="eastAsia" w:cs="仿宋" w:asciiTheme="minorEastAsia" w:hAnsiTheme="minorEastAsia" w:eastAsiaTheme="minorEastAsia"/>
                <w:u w:val="none"/>
              </w:rPr>
              <w:t>（</w:t>
            </w:r>
            <w:bookmarkEnd w:id="27"/>
            <w:r>
              <w:rPr>
                <w:rFonts w:hint="eastAsia" w:cs="仿宋" w:asciiTheme="minorEastAsia" w:hAnsiTheme="minorEastAsia" w:eastAsiaTheme="minorEastAsia"/>
                <w:u w:val="none"/>
                <w:lang w:val="en-US" w:eastAsia="zh-CN"/>
              </w:rPr>
              <w:t>6</w:t>
            </w:r>
            <w:r>
              <w:rPr>
                <w:rFonts w:hint="eastAsia" w:cs="仿宋" w:asciiTheme="minorEastAsia" w:hAnsiTheme="minorEastAsia" w:eastAsiaTheme="minorEastAsia"/>
                <w:u w:val="none"/>
              </w:rPr>
              <w:t>）恐怖袭击、刑事治安案件；</w:t>
            </w:r>
          </w:p>
          <w:p>
            <w:pPr>
              <w:rPr>
                <w:rFonts w:hint="eastAsia" w:cs="仿宋" w:asciiTheme="minorEastAsia" w:hAnsiTheme="minorEastAsia" w:eastAsiaTheme="minorEastAsia"/>
                <w:u w:val="none"/>
              </w:rPr>
            </w:pPr>
            <w:r>
              <w:rPr>
                <w:rFonts w:hint="eastAsia" w:cs="仿宋" w:asciiTheme="minorEastAsia" w:hAnsiTheme="minorEastAsia" w:eastAsiaTheme="minorEastAsia"/>
                <w:u w:val="none"/>
                <w:lang w:eastAsia="zh-CN"/>
              </w:rPr>
              <w:t>（</w:t>
            </w:r>
            <w:r>
              <w:rPr>
                <w:rFonts w:hint="eastAsia" w:cs="仿宋" w:asciiTheme="minorEastAsia" w:hAnsiTheme="minorEastAsia" w:eastAsiaTheme="minorEastAsia"/>
                <w:u w:val="none"/>
                <w:lang w:val="en-US" w:eastAsia="zh-CN"/>
              </w:rPr>
              <w:t>7</w:t>
            </w:r>
            <w:r>
              <w:rPr>
                <w:rFonts w:hint="eastAsia" w:cs="仿宋" w:asciiTheme="minorEastAsia" w:hAnsiTheme="minorEastAsia" w:eastAsiaTheme="minorEastAsia"/>
                <w:u w:val="none"/>
                <w:lang w:eastAsia="zh-CN"/>
              </w:rPr>
              <w:t>）其它</w:t>
            </w:r>
            <w:r>
              <w:rPr>
                <w:rFonts w:hint="eastAsia" w:cs="仿宋" w:asciiTheme="minorEastAsia" w:hAnsiTheme="minorEastAsia" w:eastAsiaTheme="minorEastAsia"/>
                <w:u w:val="none"/>
              </w:rPr>
              <w:t>依法应由被保险人承担经济赔偿责任的人身伤亡或财产损失。</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被保险人的从业人员在从业过程中（含上下班途中、出差途中、营业性运输中）意外事故（含交通事故，恐袭、刑事治安案件）造成人身伤亡，根据中华人民共和国法律（不包括港澳台地区法律）应由被保险人承担的经济赔偿责任，承保人依据本保险合同的约定予以赔偿。</w:t>
            </w:r>
          </w:p>
          <w:p>
            <w:p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在保险期间内，被保险人的从业人员在从事生产、经营过程中，从业人员出现下列情形之一的：工作原因受到安全生产事故伤害，从事与履行其工作职责有关的预备性或者收尾性工作受到安全生产事故伤害，因履行工作职责受到暴力等意外伤害或者发生事故下落不明，突发疾病死亡或因突发疾病在48小时之内经抢救无效死亡以及根据法律、行政法规规定应当认定为安全生产事故的其他情形，依法应由被保险人承担的经济赔偿责任，承保人按照保险合同约定负责赔偿。</w:t>
            </w:r>
          </w:p>
          <w:p>
            <w:p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发生保险事故时，被保险人的从业人员在抢险过程中受到伤害导致伤亡的，依法应由被保险人承担的经济赔偿责任，承保人按照保险合同约定负责赔偿。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被保险人在</w:t>
            </w:r>
            <w:r>
              <w:rPr>
                <w:rFonts w:hint="eastAsia" w:cs="仿宋" w:asciiTheme="minorEastAsia" w:hAnsiTheme="minorEastAsia" w:eastAsiaTheme="minorEastAsia"/>
                <w:u w:val="none"/>
              </w:rPr>
              <w:t>前述营业场所及安全保护区范围内</w:t>
            </w:r>
            <w:r>
              <w:rPr>
                <w:rFonts w:hint="eastAsia" w:cs="仿宋" w:asciiTheme="minorEastAsia" w:hAnsiTheme="minorEastAsia" w:eastAsiaTheme="minorEastAsia"/>
                <w:u w:val="none"/>
                <w:lang w:val="en-US" w:eastAsia="zh-CN"/>
              </w:rPr>
              <w:t>，应由被保险人承担的因釆取紧急抢险救援措施而支出的必要、合理的救援费用，包括施工单位按照项目部制定的应急救援预案开展抢险救援所产生的费用，参与救援人员劳务费用，救援器材、设备的租赁、使用费用，救援工具购置费用，事故现场发生的医疗救援费用（以下简称</w:t>
            </w:r>
            <w:r>
              <w:rPr>
                <w:rFonts w:hint="eastAsia" w:cs="仿宋" w:asciiTheme="minorEastAsia" w:hAnsiTheme="minorEastAsia" w:eastAsiaTheme="minorEastAsia"/>
                <w:u w:val="none"/>
                <w:lang w:val="zh-CN" w:eastAsia="zh-CN"/>
              </w:rPr>
              <w:t>“抢</w:t>
            </w:r>
            <w:r>
              <w:rPr>
                <w:rFonts w:hint="eastAsia" w:cs="仿宋" w:asciiTheme="minorEastAsia" w:hAnsiTheme="minorEastAsia" w:eastAsiaTheme="minorEastAsia"/>
                <w:u w:val="none"/>
                <w:lang w:val="en-US" w:eastAsia="zh-CN"/>
              </w:rPr>
              <w:t>险救援费用”）等，承保人需予以赔偿。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rPr>
              <w:t>在前述营业场所及安全保护区范围内，由于被保险人的原因(包括但不限于地铁运营站点或时间等的调整、地铁工作人员的疏忽过失等）造成第三者（包含乘客）遭受人身及财产损失（如延误航班、高铁等所产生的费用），</w:t>
            </w:r>
            <w:r>
              <w:rPr>
                <w:rFonts w:hint="default" w:cs="仿宋" w:asciiTheme="minorEastAsia" w:hAnsiTheme="minorEastAsia" w:eastAsiaTheme="minorEastAsia"/>
                <w:u w:val="none"/>
              </w:rPr>
              <w:t>承保</w:t>
            </w:r>
            <w:r>
              <w:rPr>
                <w:rFonts w:hint="eastAsia" w:cs="仿宋" w:asciiTheme="minorEastAsia" w:hAnsiTheme="minorEastAsia" w:eastAsiaTheme="minorEastAsia"/>
                <w:u w:val="none"/>
              </w:rPr>
              <w:t>人亦负责赔偿。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在保险期间内，发生生产安全或意外事故，导致被保险人的施工人员或第三者（包含乘客）人身伤亡，被保险人因此被提起仲裁或者诉讼的，对应由被保险人支付的仲裁或诉讼费用以及事先经承保人书面同意支付的其它必要的、合理的费用，承保人需予以赔偿。</w:t>
            </w:r>
          </w:p>
          <w:p>
            <w:pPr>
              <w:numPr>
                <w:ilvl w:val="0"/>
                <w:numId w:val="4"/>
              </w:numPr>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对被保险人因上述2、3、4、5、6条原因而支付的诉讼费用，以及事先经保险人书面同意支付的其它费用，承保人亦负责赔偿。</w:t>
            </w:r>
          </w:p>
          <w:p>
            <w:pPr>
              <w:numPr>
                <w:ilvl w:val="0"/>
                <w:numId w:val="4"/>
              </w:numPr>
              <w:rPr>
                <w:rFonts w:cs="仿宋" w:asciiTheme="minorEastAsia" w:hAnsiTheme="minorEastAsia" w:eastAsiaTheme="minorEastAsia"/>
                <w:u w:val="none"/>
              </w:rPr>
            </w:pPr>
            <w:r>
              <w:rPr>
                <w:rFonts w:hint="eastAsia" w:cs="仿宋" w:asciiTheme="minorEastAsia" w:hAnsiTheme="minorEastAsia" w:eastAsiaTheme="minorEastAsia"/>
                <w:u w:val="none"/>
                <w:lang w:val="en-US" w:eastAsia="zh-CN"/>
              </w:rPr>
              <w:t>在保险期间内，为査明事故原因和责任而聘请具备资质的专业机构（部门）进行检测、评估（评价）、鉴定，并出具有法定证明效力的鉴定报告所发生的应由被保险人承担的费用（以下简称</w:t>
            </w:r>
            <w:r>
              <w:rPr>
                <w:rFonts w:hint="eastAsia" w:cs="仿宋" w:asciiTheme="minorEastAsia" w:hAnsiTheme="minorEastAsia" w:eastAsiaTheme="minorEastAsia"/>
                <w:u w:val="none"/>
                <w:lang w:val="zh-CN" w:eastAsia="zh-CN"/>
              </w:rPr>
              <w:t>“事</w:t>
            </w:r>
            <w:r>
              <w:rPr>
                <w:rFonts w:hint="eastAsia" w:cs="仿宋" w:asciiTheme="minorEastAsia" w:hAnsiTheme="minorEastAsia" w:eastAsiaTheme="minorEastAsia"/>
                <w:u w:val="none"/>
                <w:lang w:val="en-US" w:eastAsia="zh-CN"/>
              </w:rPr>
              <w:t>故鉴定费用”）,包括但不限于法医鉴定、公安</w:t>
            </w:r>
            <w:r>
              <w:rPr>
                <w:rFonts w:hint="eastAsia" w:cs="仿宋" w:asciiTheme="minorEastAsia" w:hAnsiTheme="minorEastAsia" w:eastAsiaTheme="minorEastAsia"/>
                <w:u w:val="none"/>
                <w:lang w:val="en-US" w:eastAsia="en-US"/>
              </w:rPr>
              <w:t>DNA</w:t>
            </w:r>
            <w:r>
              <w:rPr>
                <w:rFonts w:hint="eastAsia" w:cs="仿宋" w:asciiTheme="minorEastAsia" w:hAnsiTheme="minorEastAsia" w:eastAsiaTheme="minorEastAsia"/>
                <w:u w:val="none"/>
                <w:lang w:val="en-US" w:eastAsia="zh-CN"/>
              </w:rPr>
              <w:t>鉴定、职能部门形成的事故责任报告所需的保险事故有关鉴定费用，承保人应予以赔偿。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赔偿限额</w:t>
            </w:r>
          </w:p>
        </w:tc>
        <w:tc>
          <w:tcPr>
            <w:tcW w:w="7490" w:type="dxa"/>
            <w:tcBorders>
              <w:top w:val="single" w:color="auto" w:sz="4" w:space="0"/>
              <w:left w:val="single" w:color="auto" w:sz="4" w:space="0"/>
              <w:bottom w:val="single" w:color="auto" w:sz="4" w:space="0"/>
              <w:right w:val="single" w:color="auto" w:sz="4" w:space="0"/>
              <w:tl2br w:val="nil"/>
              <w:tr2bl w:val="nil"/>
            </w:tcBorders>
          </w:tcPr>
          <w:p>
            <w:pPr>
              <w:rPr>
                <w:rFonts w:hint="eastAsia" w:asciiTheme="minorEastAsia" w:hAnsiTheme="minorEastAsia" w:eastAsiaTheme="minorEastAsia" w:cstheme="minorEastAsia"/>
                <w:u w:val="none"/>
                <w:lang w:eastAsia="zh-CN"/>
              </w:rPr>
            </w:pPr>
            <w:r>
              <w:rPr>
                <w:rFonts w:hint="eastAsia"/>
                <w:u w:val="none"/>
                <w:lang w:eastAsia="zh-CN"/>
              </w:rPr>
              <w:t>从</w:t>
            </w:r>
            <w:r>
              <w:rPr>
                <w:rFonts w:hint="eastAsia" w:asciiTheme="minorEastAsia" w:hAnsiTheme="minorEastAsia" w:eastAsiaTheme="minorEastAsia" w:cstheme="minorEastAsia"/>
                <w:u w:val="none"/>
                <w:lang w:eastAsia="zh-CN"/>
              </w:rPr>
              <w:t>业人员：</w:t>
            </w:r>
          </w:p>
          <w:p>
            <w:pPr>
              <w:rPr>
                <w:rFonts w:hint="eastAsia" w:ascii="宋体" w:hAnsi="宋体" w:eastAsia="宋体" w:cs="宋体"/>
                <w:u w:val="none"/>
                <w:lang w:eastAsia="zh-CN"/>
              </w:rPr>
            </w:pPr>
            <w:r>
              <w:rPr>
                <w:rFonts w:hint="eastAsia" w:ascii="宋体" w:hAnsi="宋体" w:eastAsia="宋体" w:cs="宋体"/>
                <w:u w:val="none"/>
                <w:lang w:eastAsia="zh-CN"/>
              </w:rPr>
              <w:t>每人死亡伤残赔偿责任限额：RMB50万元</w:t>
            </w:r>
          </w:p>
          <w:p>
            <w:pPr>
              <w:rPr>
                <w:rFonts w:hint="eastAsia" w:ascii="宋体" w:hAnsi="宋体" w:eastAsia="宋体" w:cs="宋体"/>
                <w:u w:val="none"/>
                <w:lang w:eastAsia="zh-CN"/>
              </w:rPr>
            </w:pPr>
            <w:r>
              <w:rPr>
                <w:rFonts w:hint="eastAsia" w:ascii="宋体" w:hAnsi="宋体" w:eastAsia="宋体" w:cs="宋体"/>
                <w:u w:val="none"/>
                <w:lang w:eastAsia="zh-CN"/>
              </w:rPr>
              <w:t>每次事故每人医疗费用赔偿限额：RMB5万元</w:t>
            </w:r>
          </w:p>
          <w:p>
            <w:pPr>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eastAsia="zh-CN"/>
              </w:rPr>
              <w:t>乘客：</w:t>
            </w:r>
          </w:p>
          <w:p>
            <w:pPr>
              <w:rPr>
                <w:rFonts w:hint="eastAsia" w:ascii="宋体" w:hAnsi="宋体" w:eastAsia="宋体" w:cs="宋体"/>
                <w:u w:val="none"/>
                <w:lang w:eastAsia="zh-CN"/>
              </w:rPr>
            </w:pPr>
            <w:r>
              <w:rPr>
                <w:rFonts w:hint="eastAsia" w:ascii="宋体" w:hAnsi="宋体" w:eastAsia="宋体" w:cs="宋体"/>
                <w:u w:val="none"/>
                <w:lang w:val="en-US" w:eastAsia="zh-CN"/>
              </w:rPr>
              <w:t>每人伤残责任限额：</w:t>
            </w:r>
            <w:r>
              <w:rPr>
                <w:rFonts w:hint="eastAsia" w:ascii="宋体" w:hAnsi="宋体" w:eastAsia="宋体" w:cs="宋体"/>
                <w:u w:val="none"/>
                <w:lang w:eastAsia="zh-CN"/>
              </w:rPr>
              <w:t>RMB</w:t>
            </w:r>
            <w:r>
              <w:rPr>
                <w:rFonts w:hint="eastAsia" w:ascii="宋体" w:hAnsi="宋体" w:eastAsia="宋体" w:cs="宋体"/>
                <w:u w:val="none"/>
                <w:lang w:val="en-US" w:eastAsia="zh-CN"/>
              </w:rPr>
              <w:t>80万元</w:t>
            </w:r>
            <w:r>
              <w:rPr>
                <w:rFonts w:hint="eastAsia" w:ascii="宋体" w:hAnsi="宋体" w:eastAsia="宋体" w:cs="宋体"/>
                <w:u w:val="none"/>
                <w:lang w:val="en-US" w:eastAsia="zh-CN"/>
              </w:rPr>
              <w:br w:type="textWrapping"/>
            </w:r>
            <w:r>
              <w:rPr>
                <w:rFonts w:hint="eastAsia" w:ascii="宋体" w:hAnsi="宋体" w:eastAsia="宋体" w:cs="宋体"/>
                <w:u w:val="none"/>
                <w:lang w:val="en-US" w:eastAsia="zh-CN"/>
              </w:rPr>
              <w:t>每次事故每人医疗费用赔偿限额：</w:t>
            </w:r>
            <w:r>
              <w:rPr>
                <w:rFonts w:hint="eastAsia" w:ascii="宋体" w:hAnsi="宋体" w:eastAsia="宋体" w:cs="宋体"/>
                <w:u w:val="none"/>
                <w:lang w:eastAsia="zh-CN"/>
              </w:rPr>
              <w:t>RMB</w:t>
            </w:r>
            <w:r>
              <w:rPr>
                <w:rFonts w:hint="eastAsia" w:ascii="宋体" w:hAnsi="宋体" w:eastAsia="宋体" w:cs="宋体"/>
                <w:u w:val="none"/>
                <w:lang w:val="en-US" w:eastAsia="zh-CN"/>
              </w:rPr>
              <w:t>5万元</w:t>
            </w:r>
          </w:p>
          <w:p>
            <w:pPr>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eastAsia="zh-CN"/>
              </w:rPr>
              <w:t>第三者责任（不含乘客）：</w:t>
            </w:r>
          </w:p>
          <w:p>
            <w:pPr>
              <w:rPr>
                <w:rFonts w:hint="eastAsia" w:ascii="宋体" w:hAnsi="宋体" w:eastAsia="宋体" w:cs="宋体"/>
                <w:u w:val="none"/>
                <w:lang w:eastAsia="zh-CN"/>
              </w:rPr>
            </w:pPr>
            <w:r>
              <w:rPr>
                <w:rFonts w:hint="eastAsia" w:ascii="宋体" w:hAnsi="宋体" w:eastAsia="宋体" w:cs="宋体"/>
                <w:u w:val="none"/>
                <w:lang w:eastAsia="zh-CN"/>
              </w:rPr>
              <w:t>累计赔偿限额：RMB4000万</w:t>
            </w:r>
          </w:p>
          <w:p>
            <w:pPr>
              <w:rPr>
                <w:rFonts w:hint="eastAsia" w:ascii="宋体" w:hAnsi="宋体" w:eastAsia="宋体" w:cs="宋体"/>
                <w:u w:val="none"/>
                <w:lang w:eastAsia="zh-CN"/>
              </w:rPr>
            </w:pPr>
            <w:r>
              <w:rPr>
                <w:rFonts w:hint="eastAsia" w:ascii="宋体" w:hAnsi="宋体" w:eastAsia="宋体" w:cs="宋体"/>
                <w:u w:val="none"/>
                <w:lang w:eastAsia="zh-CN"/>
              </w:rPr>
              <w:t>每次事故赔偿限额：RMB2000万</w:t>
            </w:r>
          </w:p>
          <w:p>
            <w:pPr>
              <w:rPr>
                <w:rFonts w:hint="eastAsia" w:ascii="宋体" w:hAnsi="宋体" w:eastAsia="宋体" w:cs="宋体"/>
                <w:u w:val="none"/>
                <w:lang w:val="en-US" w:eastAsia="zh-CN"/>
              </w:rPr>
            </w:pPr>
            <w:r>
              <w:rPr>
                <w:rFonts w:hint="eastAsia" w:ascii="宋体" w:hAnsi="宋体" w:eastAsia="宋体" w:cs="宋体"/>
                <w:u w:val="none"/>
                <w:lang w:val="en-US" w:eastAsia="zh-CN"/>
              </w:rPr>
              <w:t>每人伤残责任限额：</w:t>
            </w:r>
            <w:r>
              <w:rPr>
                <w:rFonts w:hint="eastAsia" w:ascii="宋体" w:hAnsi="宋体" w:eastAsia="宋体" w:cs="宋体"/>
                <w:u w:val="none"/>
                <w:lang w:eastAsia="zh-CN"/>
              </w:rPr>
              <w:t>RMB</w:t>
            </w:r>
            <w:r>
              <w:rPr>
                <w:rFonts w:hint="eastAsia" w:ascii="宋体" w:hAnsi="宋体" w:eastAsia="宋体" w:cs="宋体"/>
                <w:u w:val="none"/>
                <w:lang w:val="en-US" w:eastAsia="zh-CN"/>
              </w:rPr>
              <w:t>80万元</w:t>
            </w:r>
            <w:r>
              <w:rPr>
                <w:rFonts w:hint="eastAsia" w:ascii="宋体" w:hAnsi="宋体" w:eastAsia="宋体" w:cs="宋体"/>
                <w:u w:val="none"/>
                <w:lang w:val="en-US" w:eastAsia="zh-CN"/>
              </w:rPr>
              <w:br w:type="textWrapping"/>
            </w:r>
            <w:r>
              <w:rPr>
                <w:rFonts w:hint="eastAsia" w:ascii="宋体" w:hAnsi="宋体" w:eastAsia="宋体" w:cs="宋体"/>
                <w:u w:val="none"/>
                <w:lang w:val="en-US" w:eastAsia="zh-CN"/>
              </w:rPr>
              <w:t>每次事故每人医疗费用赔偿限额：</w:t>
            </w:r>
            <w:r>
              <w:rPr>
                <w:rFonts w:hint="eastAsia" w:ascii="宋体" w:hAnsi="宋体" w:eastAsia="宋体" w:cs="宋体"/>
                <w:u w:val="none"/>
                <w:lang w:eastAsia="zh-CN"/>
              </w:rPr>
              <w:t>RMB</w:t>
            </w:r>
            <w:r>
              <w:rPr>
                <w:rFonts w:hint="eastAsia" w:ascii="宋体" w:hAnsi="宋体" w:eastAsia="宋体" w:cs="宋体"/>
                <w:u w:val="none"/>
                <w:lang w:val="en-US" w:eastAsia="zh-CN"/>
              </w:rPr>
              <w:t>5万元</w:t>
            </w:r>
          </w:p>
          <w:p>
            <w:pPr>
              <w:rPr>
                <w:rFonts w:hint="eastAsia" w:ascii="宋体" w:hAnsi="宋体" w:eastAsia="宋体" w:cs="宋体"/>
                <w:u w:val="none"/>
                <w:lang w:val="en-US" w:eastAsia="zh-CN"/>
              </w:rPr>
            </w:pPr>
            <w:r>
              <w:rPr>
                <w:rFonts w:hint="eastAsia" w:ascii="宋体" w:hAnsi="宋体" w:eastAsia="宋体" w:cs="宋体"/>
                <w:u w:val="none"/>
                <w:lang w:val="en-US" w:eastAsia="zh-CN"/>
              </w:rPr>
              <w:t>每次事故抢险救援费用补偿限额：</w:t>
            </w:r>
            <w:r>
              <w:rPr>
                <w:rFonts w:hint="eastAsia" w:ascii="宋体" w:hAnsi="宋体" w:eastAsia="宋体" w:cs="宋体"/>
                <w:u w:val="none"/>
                <w:lang w:eastAsia="zh-CN"/>
              </w:rPr>
              <w:t>RMB</w:t>
            </w:r>
            <w:r>
              <w:rPr>
                <w:rFonts w:hint="eastAsia" w:ascii="宋体" w:hAnsi="宋体" w:eastAsia="宋体" w:cs="宋体"/>
                <w:u w:val="none"/>
                <w:lang w:val="en-US" w:eastAsia="zh-CN"/>
              </w:rPr>
              <w:t>10万元</w:t>
            </w:r>
          </w:p>
          <w:p>
            <w:pPr>
              <w:rPr>
                <w:rFonts w:hint="eastAsia" w:ascii="宋体" w:hAnsi="宋体" w:eastAsia="宋体" w:cs="宋体"/>
                <w:u w:val="none"/>
                <w:lang w:val="en-US" w:eastAsia="zh-CN"/>
              </w:rPr>
            </w:pPr>
            <w:r>
              <w:rPr>
                <w:rFonts w:hint="eastAsia" w:ascii="宋体" w:hAnsi="宋体" w:eastAsia="宋体" w:cs="宋体"/>
                <w:u w:val="none"/>
                <w:lang w:val="en-US" w:eastAsia="zh-CN"/>
              </w:rPr>
              <w:t>每次事故法律服务费用赔偿限额：</w:t>
            </w:r>
            <w:r>
              <w:rPr>
                <w:rFonts w:hint="eastAsia" w:ascii="宋体" w:hAnsi="宋体" w:eastAsia="宋体" w:cs="宋体"/>
                <w:u w:val="none"/>
                <w:lang w:eastAsia="zh-CN"/>
              </w:rPr>
              <w:t>RMB</w:t>
            </w:r>
            <w:r>
              <w:rPr>
                <w:rFonts w:hint="eastAsia" w:ascii="宋体" w:hAnsi="宋体" w:eastAsia="宋体" w:cs="宋体"/>
                <w:u w:val="none"/>
                <w:lang w:val="en-US" w:eastAsia="zh-CN"/>
              </w:rPr>
              <w:t>5万元</w:t>
            </w:r>
          </w:p>
          <w:p>
            <w:pPr>
              <w:rPr>
                <w:rFonts w:hint="eastAsia" w:ascii="宋体" w:hAnsi="宋体" w:eastAsia="宋体" w:cs="宋体"/>
                <w:u w:val="none"/>
                <w:lang w:val="en-US" w:eastAsia="zh-CN"/>
              </w:rPr>
            </w:pPr>
            <w:r>
              <w:rPr>
                <w:rFonts w:hint="eastAsia" w:ascii="宋体" w:hAnsi="宋体" w:eastAsia="宋体" w:cs="宋体"/>
                <w:u w:val="none"/>
                <w:lang w:val="en-US" w:eastAsia="zh-CN"/>
              </w:rPr>
              <w:t>每次事故鉴定费用赔偿限额：</w:t>
            </w:r>
            <w:r>
              <w:rPr>
                <w:rFonts w:hint="eastAsia" w:ascii="宋体" w:hAnsi="宋体" w:eastAsia="宋体" w:cs="宋体"/>
                <w:u w:val="none"/>
                <w:lang w:eastAsia="zh-CN"/>
              </w:rPr>
              <w:t>RMB</w:t>
            </w:r>
            <w:r>
              <w:rPr>
                <w:rFonts w:hint="eastAsia" w:ascii="宋体" w:hAnsi="宋体" w:eastAsia="宋体" w:cs="宋体"/>
                <w:u w:val="none"/>
                <w:lang w:val="en-US" w:eastAsia="zh-CN"/>
              </w:rPr>
              <w:t>5万元</w:t>
            </w:r>
          </w:p>
          <w:p>
            <w:pPr>
              <w:rPr>
                <w:rFonts w:hint="eastAsia" w:cs="仿宋" w:asciiTheme="minorEastAsia" w:hAnsiTheme="minorEastAsia" w:eastAsiaTheme="minorEastAsia"/>
                <w:u w:val="none"/>
                <w:lang w:eastAsia="zh-CN"/>
              </w:rPr>
            </w:pPr>
            <w:r>
              <w:rPr>
                <w:rFonts w:hint="eastAsia" w:ascii="宋体" w:hAnsi="宋体" w:eastAsia="宋体" w:cs="宋体"/>
                <w:u w:val="none"/>
                <w:lang w:val="en-US" w:eastAsia="zh-CN"/>
              </w:rPr>
              <w:t>每次第三者财产损失赔偿限额：</w:t>
            </w:r>
            <w:r>
              <w:rPr>
                <w:rFonts w:hint="eastAsia" w:ascii="宋体" w:hAnsi="宋体" w:eastAsia="宋体" w:cs="宋体"/>
                <w:u w:val="none"/>
                <w:lang w:eastAsia="zh-CN"/>
              </w:rPr>
              <w:t>RMB</w:t>
            </w:r>
            <w:r>
              <w:rPr>
                <w:rFonts w:hint="eastAsia" w:ascii="宋体" w:hAnsi="宋体" w:eastAsia="宋体" w:cs="宋体"/>
                <w:u w:val="no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免赔额</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rPr>
                <w:rFonts w:cs="仿宋" w:asciiTheme="minorEastAsia" w:hAnsiTheme="minorEastAsia" w:eastAsiaTheme="minorEastAsia"/>
                <w:u w:val="none"/>
              </w:rPr>
            </w:pPr>
            <w:r>
              <w:rPr>
                <w:rFonts w:hint="eastAsia" w:cs="仿宋" w:asciiTheme="minorEastAsia" w:hAnsiTheme="minorEastAsia" w:eastAsiaTheme="minorEastAsia"/>
                <w:u w:val="none"/>
              </w:rPr>
              <w:t>无免赔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保险费</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仿宋" w:asciiTheme="minorEastAsia" w:hAnsiTheme="minorEastAsia" w:eastAsiaTheme="minorEastAsia"/>
                <w:highlight w:val="none"/>
                <w:u w:val="none"/>
                <w:lang w:val="en-US" w:eastAsia="zh-CN"/>
              </w:rPr>
            </w:pPr>
            <w:r>
              <w:rPr>
                <w:rFonts w:hint="eastAsia" w:cs="仿宋" w:asciiTheme="minorEastAsia" w:hAnsiTheme="minorEastAsia" w:eastAsiaTheme="minorEastAsia"/>
                <w:highlight w:val="none"/>
                <w:u w:val="none"/>
                <w:lang w:val="en-US" w:eastAsia="zh-CN"/>
              </w:rPr>
              <w:t>从业人员保险费+乘客责任保险费+第三者（不含乘客）责任保险费</w:t>
            </w:r>
          </w:p>
          <w:p>
            <w:pPr>
              <w:rPr>
                <w:rFonts w:hint="eastAsia" w:cs="仿宋" w:asciiTheme="minorEastAsia" w:hAnsiTheme="minorEastAsia" w:eastAsiaTheme="minorEastAsia"/>
                <w:highlight w:val="none"/>
                <w:u w:val="none"/>
                <w:lang w:val="en-US" w:eastAsia="zh-CN"/>
              </w:rPr>
            </w:pPr>
            <w:r>
              <w:rPr>
                <w:rFonts w:hint="eastAsia" w:cs="仿宋" w:asciiTheme="minorEastAsia" w:hAnsiTheme="minorEastAsia" w:eastAsiaTheme="minorEastAsia"/>
                <w:highlight w:val="none"/>
                <w:u w:val="none"/>
                <w:lang w:val="en-US" w:eastAsia="zh-CN"/>
              </w:rPr>
              <w:t>（从业人员1602人，平均每日每车次乘客人数为486人，每日运行车辆19辆）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u w:val="none"/>
              </w:rPr>
            </w:pPr>
            <w:r>
              <w:rPr>
                <w:rFonts w:hint="eastAsia" w:cs="仿宋" w:asciiTheme="minorEastAsia" w:hAnsiTheme="minorEastAsia" w:eastAsiaTheme="minorEastAsia"/>
                <w:u w:val="none"/>
              </w:rPr>
              <w:t>附加条款</w:t>
            </w:r>
          </w:p>
        </w:tc>
        <w:tc>
          <w:tcPr>
            <w:tcW w:w="7490" w:type="dxa"/>
            <w:tcBorders>
              <w:top w:val="single" w:color="auto" w:sz="4" w:space="0"/>
              <w:left w:val="single" w:color="auto" w:sz="4" w:space="0"/>
              <w:bottom w:val="single" w:color="auto" w:sz="4" w:space="0"/>
              <w:right w:val="single" w:color="auto" w:sz="4" w:space="0"/>
              <w:tl2br w:val="nil"/>
              <w:tr2bl w:val="nil"/>
            </w:tcBorders>
          </w:tcPr>
          <w:p>
            <w:pPr>
              <w:jc w:val="left"/>
              <w:rPr>
                <w:rFonts w:hint="eastAsia" w:cs="仿宋" w:asciiTheme="minorEastAsia" w:hAnsiTheme="minorEastAsia" w:eastAsiaTheme="minorEastAsia"/>
                <w:highlight w:val="none"/>
                <w:u w:val="none"/>
              </w:rPr>
            </w:pPr>
            <w:r>
              <w:rPr>
                <w:rFonts w:hint="eastAsia" w:cs="仿宋" w:asciiTheme="minorEastAsia" w:hAnsiTheme="minorEastAsia" w:eastAsiaTheme="minorEastAsia"/>
                <w:highlight w:val="none"/>
                <w:u w:val="none"/>
              </w:rPr>
              <w:t>1、广告及装饰装置责任条款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2、机车事故责任条款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3、电梯、升降机和自动扶梯责任条款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4、火灾、爆炸、烟熏和中毒责任条款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5、灭火及所致水损责任条款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6、急救费用条款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7、交叉责任条款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8、人身侵害责任条款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9、罢工、暴乱、民众骚动及恶意行为条款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10、放弃代位追偿扩展条款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11、保单终止条款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12、错误和遗漏条款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13、预付赔款条款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14、不受控制条款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15、指定公估人条款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16、董事及高级管理人员个人第三者责任条款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17、董事及非体力劳动雇员临时海外公干责任条款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18、无过失责任条款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19、提供物品及服务条款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20、违反条件条款</w:t>
            </w:r>
          </w:p>
          <w:p>
            <w:pPr>
              <w:jc w:val="left"/>
              <w:rPr>
                <w:rFonts w:hint="eastAsia" w:cs="仿宋" w:asciiTheme="minorEastAsia" w:hAnsiTheme="minorEastAsia" w:eastAsiaTheme="minorEastAsia"/>
                <w:highlight w:val="none"/>
                <w:u w:val="none"/>
              </w:rPr>
            </w:pPr>
            <w:r>
              <w:rPr>
                <w:rFonts w:hint="eastAsia" w:cs="仿宋" w:asciiTheme="minorEastAsia" w:hAnsiTheme="minorEastAsia" w:eastAsiaTheme="minorEastAsia"/>
                <w:highlight w:val="none"/>
                <w:u w:val="none"/>
              </w:rPr>
              <w:t>21、起重机械及不需注册车辆条款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22、服务人员条款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23、附加被保险人条款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24、试车责任条款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25、建筑物改变条款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26、车辆装卸责任条款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27、急救责任扩展条款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28、自动承保新地点条款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29、外出工作附加条款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30、精神损害赔偿扩展条款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31、恐怖活动条款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32、暴力行为、抢劫责任条款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33、出租人责任条款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34、租赁责任条款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35、契约责任条款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36、食品、饮料责任条款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37、救火损失条款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38、疏散费用扩展条款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39、锅炉爆炸条款</w:t>
            </w:r>
          </w:p>
          <w:p>
            <w:pPr>
              <w:jc w:val="left"/>
              <w:rPr>
                <w:rFonts w:hint="eastAsia" w:cs="仿宋" w:asciiTheme="minorEastAsia" w:hAnsiTheme="minorEastAsia" w:eastAsiaTheme="minorEastAsia"/>
                <w:u w:val="none"/>
              </w:rPr>
            </w:pPr>
            <w:r>
              <w:rPr>
                <w:rFonts w:hint="eastAsia" w:cs="仿宋" w:asciiTheme="minorEastAsia" w:hAnsiTheme="minorEastAsia" w:eastAsiaTheme="minorEastAsia"/>
                <w:u w:val="none"/>
              </w:rPr>
              <w:t>40、非拥有车辆责任条款</w:t>
            </w:r>
          </w:p>
          <w:p>
            <w:pPr>
              <w:jc w:val="left"/>
              <w:rPr>
                <w:rFonts w:hint="eastAsia" w:cs="仿宋" w:asciiTheme="minorEastAsia" w:hAnsiTheme="minorEastAsia" w:eastAsiaTheme="minorEastAsia"/>
                <w:u w:val="none"/>
                <w:lang w:eastAsia="zh-CN"/>
              </w:rPr>
            </w:pPr>
            <w:r>
              <w:rPr>
                <w:rFonts w:hint="eastAsia" w:cs="仿宋" w:asciiTheme="minorEastAsia" w:hAnsiTheme="minorEastAsia" w:eastAsiaTheme="minorEastAsia"/>
                <w:u w:val="none"/>
              </w:rPr>
              <w:t>41、停车场责任条款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42、公务出国责任险</w:t>
            </w:r>
          </w:p>
          <w:p>
            <w:pPr>
              <w:jc w:val="left"/>
              <w:rPr>
                <w:rFonts w:hint="eastAsia" w:cs="仿宋" w:asciiTheme="minorEastAsia" w:hAnsiTheme="minorEastAsia" w:eastAsiaTheme="minorEastAsia"/>
                <w:highlight w:val="yellow"/>
                <w:u w:val="none"/>
                <w:lang w:val="en-US" w:eastAsia="zh-CN"/>
              </w:rPr>
            </w:pPr>
            <w:r>
              <w:rPr>
                <w:rFonts w:hint="eastAsia" w:cs="仿宋" w:asciiTheme="minorEastAsia" w:hAnsiTheme="minorEastAsia" w:eastAsiaTheme="minorEastAsia"/>
                <w:u w:val="none"/>
                <w:lang w:val="en-US" w:eastAsia="zh-CN"/>
              </w:rPr>
              <w:t>43、自动保障新增雇员条款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44、违反条件条款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45、急救费用条款</w:t>
            </w:r>
          </w:p>
          <w:p>
            <w:pPr>
              <w:jc w:val="left"/>
              <w:rPr>
                <w:rFonts w:hint="eastAsia" w:cs="仿宋" w:asciiTheme="minorEastAsia" w:hAnsiTheme="minorEastAsia" w:eastAsiaTheme="minorEastAsia"/>
                <w:u w:val="none"/>
                <w:lang w:val="en-US" w:eastAsia="zh-CN"/>
              </w:rPr>
            </w:pPr>
            <w:r>
              <w:rPr>
                <w:rFonts w:hint="eastAsia" w:cs="仿宋" w:asciiTheme="minorEastAsia" w:hAnsiTheme="minorEastAsia" w:eastAsiaTheme="minorEastAsia"/>
                <w:u w:val="none"/>
                <w:lang w:val="en-US" w:eastAsia="zh-CN"/>
              </w:rPr>
              <w:t>46、附加职业病责任条款</w:t>
            </w:r>
          </w:p>
          <w:p>
            <w:pPr>
              <w:jc w:val="left"/>
              <w:rPr>
                <w:rFonts w:cs="仿宋" w:asciiTheme="minorEastAsia" w:hAnsiTheme="minorEastAsia" w:eastAsiaTheme="minorEastAsia"/>
                <w:u w:val="none"/>
              </w:rPr>
            </w:pPr>
            <w:r>
              <w:rPr>
                <w:rFonts w:hint="eastAsia" w:cs="仿宋" w:asciiTheme="minorEastAsia" w:hAnsiTheme="minorEastAsia" w:eastAsiaTheme="minorEastAsia"/>
                <w:u w:val="none"/>
                <w:lang w:val="en-US" w:eastAsia="zh-CN"/>
              </w:rPr>
              <w:t>47、24小时扩展条款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仿宋" w:asciiTheme="minorEastAsia" w:hAnsiTheme="minorEastAsia" w:eastAsiaTheme="minorEastAsia"/>
              </w:rPr>
            </w:pPr>
            <w:r>
              <w:rPr>
                <w:rFonts w:hint="eastAsia" w:cs="仿宋" w:asciiTheme="minorEastAsia" w:hAnsiTheme="minorEastAsia" w:eastAsiaTheme="minorEastAsia"/>
                <w:u w:val="single"/>
              </w:rPr>
              <w:t>★特别约定</w:t>
            </w:r>
          </w:p>
        </w:tc>
        <w:tc>
          <w:tcPr>
            <w:tcW w:w="7490" w:type="dxa"/>
            <w:tcBorders>
              <w:top w:val="single" w:color="auto" w:sz="4" w:space="0"/>
              <w:left w:val="single" w:color="auto" w:sz="4" w:space="0"/>
              <w:right w:val="single" w:color="auto" w:sz="4" w:space="0"/>
              <w:tl2br w:val="nil"/>
              <w:tr2bl w:val="nil"/>
            </w:tcBorders>
          </w:tcPr>
          <w:p>
            <w:pPr>
              <w:jc w:val="left"/>
              <w:rPr>
                <w:rFonts w:hint="eastAsia"/>
                <w:lang w:val="en-US" w:eastAsia="zh-CN"/>
              </w:rPr>
            </w:pPr>
            <w:r>
              <w:rPr>
                <w:rFonts w:hint="eastAsia"/>
                <w:lang w:val="en-US" w:eastAsia="zh-CN"/>
              </w:rPr>
              <w:t>1、兹经双方同意，如发生下列情况，保险双方本着实事求是的原则，妥善处理、解决与理赔要求不一致之问题及争议：</w:t>
            </w:r>
          </w:p>
          <w:p>
            <w:pPr>
              <w:jc w:val="left"/>
              <w:rPr>
                <w:rFonts w:hint="eastAsia"/>
                <w:lang w:val="en-US" w:eastAsia="zh-CN"/>
              </w:rPr>
            </w:pPr>
            <w:r>
              <w:rPr>
                <w:rFonts w:hint="eastAsia"/>
                <w:lang w:val="en-US" w:eastAsia="zh-CN"/>
              </w:rPr>
              <w:t>（1）特殊原因导致未能及时报案和现场保留，但提供相关事故证明、证据的；</w:t>
            </w:r>
          </w:p>
          <w:p>
            <w:pPr>
              <w:jc w:val="left"/>
              <w:rPr>
                <w:rFonts w:hint="eastAsia"/>
                <w:lang w:val="en-US" w:eastAsia="zh-CN"/>
              </w:rPr>
            </w:pPr>
            <w:r>
              <w:rPr>
                <w:rFonts w:hint="eastAsia"/>
                <w:lang w:val="en-US" w:eastAsia="zh-CN"/>
              </w:rPr>
              <w:t>（2）因事故现场保护而不能进入的；</w:t>
            </w:r>
          </w:p>
          <w:p>
            <w:pPr>
              <w:jc w:val="left"/>
              <w:rPr>
                <w:rFonts w:hint="eastAsia"/>
                <w:lang w:val="en-US" w:eastAsia="zh-CN"/>
              </w:rPr>
            </w:pPr>
            <w:r>
              <w:rPr>
                <w:rFonts w:hint="eastAsia"/>
                <w:lang w:val="en-US" w:eastAsia="zh-CN"/>
              </w:rPr>
              <w:t>（3）损失原因不能确定或有争议的；</w:t>
            </w:r>
          </w:p>
          <w:p>
            <w:pPr>
              <w:jc w:val="left"/>
              <w:rPr>
                <w:rFonts w:hint="eastAsia"/>
                <w:lang w:val="en-US" w:eastAsia="zh-CN"/>
              </w:rPr>
            </w:pPr>
            <w:r>
              <w:rPr>
                <w:rFonts w:hint="eastAsia"/>
                <w:lang w:val="en-US" w:eastAsia="zh-CN"/>
              </w:rPr>
              <w:t>（4）其他特殊情况与理赔规定不一致的。</w:t>
            </w:r>
          </w:p>
          <w:p>
            <w:pPr>
              <w:jc w:val="left"/>
              <w:rPr>
                <w:rFonts w:hint="eastAsia"/>
                <w:lang w:val="en-US" w:eastAsia="zh-CN"/>
              </w:rPr>
            </w:pPr>
            <w:r>
              <w:rPr>
                <w:rFonts w:hint="eastAsia"/>
                <w:lang w:val="en-US" w:eastAsia="zh-CN"/>
              </w:rPr>
              <w:t>2、兹经双方同意，承保人授予被保险人每次事故人民币1万元限额的现场快速处理权限，即被保险人的现场处理人员可以根据实际情况，迅速与受伤/受损第三方达成一次性赔偿协议，每次事故赔偿限额1万元。除了双方签字的赔偿协议、第三方身份证复印件和被保险人盖章的案情说明外，不需要提供其他单证。在保险期限内被保险将所有该类赔案按上述约定的三项文件整理后递交承保人。承保人在收到各赔案材料后，十五个工作日内结案并支付相应赔款。但被保险人应严格控制有权代表其行使该权限的人员数量，且该类赔案的累计赔偿限额为人民币10万元/年。</w:t>
            </w:r>
          </w:p>
          <w:p>
            <w:pPr>
              <w:jc w:val="left"/>
              <w:rPr>
                <w:rFonts w:hint="eastAsia"/>
                <w:lang w:val="en-US" w:eastAsia="zh-CN"/>
              </w:rPr>
            </w:pPr>
            <w:r>
              <w:rPr>
                <w:rFonts w:hint="eastAsia"/>
                <w:lang w:val="en-US" w:eastAsia="zh-CN"/>
              </w:rPr>
              <w:t>3、兹经双方同意，被保险人的自动售货机提供的不洁或有害的食品或饮料导致第三者人身伤害的，承保人负责对被保险人承担的赔偿责任，并在责任限额内进行赔偿。</w:t>
            </w:r>
          </w:p>
          <w:p>
            <w:pPr>
              <w:jc w:val="left"/>
              <w:rPr>
                <w:rFonts w:hint="eastAsia"/>
                <w:lang w:val="en-US" w:eastAsia="zh-CN"/>
              </w:rPr>
            </w:pPr>
            <w:r>
              <w:rPr>
                <w:rFonts w:hint="eastAsia"/>
                <w:lang w:val="en-US" w:eastAsia="zh-CN"/>
              </w:rPr>
              <w:t>4、兹经双方同意，对于事故中的治疗费和医药费，只需审核其发生的合理性和必要性。对于合理、必要发生的治疗费、医药费等费用，承保人在赔偿计算中不根据医保用药标准进行任何项目的扣减和任何形式的比例赔付，须在约定的赔偿限额内按实际发生的费用赔偿。</w:t>
            </w:r>
          </w:p>
          <w:p>
            <w:pPr>
              <w:jc w:val="left"/>
              <w:rPr>
                <w:rFonts w:hint="eastAsia"/>
                <w:highlight w:val="none"/>
                <w:lang w:val="en-US" w:eastAsia="zh-CN"/>
              </w:rPr>
            </w:pPr>
            <w:r>
              <w:rPr>
                <w:rFonts w:hint="eastAsia"/>
                <w:highlight w:val="none"/>
                <w:lang w:val="en-US" w:eastAsia="zh-CN"/>
              </w:rPr>
              <w:t>5、兹经双方同意，物品折旧按照下列比例执行：</w:t>
            </w:r>
          </w:p>
          <w:p>
            <w:pPr>
              <w:jc w:val="left"/>
              <w:rPr>
                <w:rFonts w:hint="eastAsia"/>
                <w:highlight w:val="none"/>
                <w:lang w:val="en-US" w:eastAsia="zh-CN"/>
              </w:rPr>
            </w:pPr>
            <w:r>
              <w:rPr>
                <w:rFonts w:hint="eastAsia"/>
                <w:highlight w:val="none"/>
                <w:lang w:val="en-US" w:eastAsia="zh-CN"/>
              </w:rPr>
              <w:t>（1）服装衣饰类：按每年折旧比例15%计算，超过五年上按35%剩余价值赔偿；</w:t>
            </w:r>
          </w:p>
          <w:p>
            <w:pPr>
              <w:jc w:val="left"/>
              <w:rPr>
                <w:rFonts w:hint="eastAsia"/>
                <w:highlight w:val="none"/>
                <w:lang w:val="en-US" w:eastAsia="zh-CN"/>
              </w:rPr>
            </w:pPr>
            <w:r>
              <w:rPr>
                <w:rFonts w:hint="eastAsia"/>
                <w:highlight w:val="none"/>
                <w:lang w:val="en-US" w:eastAsia="zh-CN"/>
              </w:rPr>
              <w:t>（2）电子产品类：按每年折旧比例20%计算，超过四年以上按30%剩余价值赔偿；</w:t>
            </w:r>
          </w:p>
          <w:p>
            <w:pPr>
              <w:jc w:val="left"/>
              <w:rPr>
                <w:rFonts w:hint="eastAsia"/>
                <w:highlight w:val="none"/>
                <w:lang w:val="en-US" w:eastAsia="zh-CN"/>
              </w:rPr>
            </w:pPr>
            <w:r>
              <w:rPr>
                <w:rFonts w:hint="eastAsia"/>
                <w:highlight w:val="none"/>
                <w:lang w:val="en-US" w:eastAsia="zh-CN"/>
              </w:rPr>
              <w:t>（3）其他物品类：按每年折旧比例15%计算，超过五年以上按30%剩余价值赔偿；</w:t>
            </w:r>
          </w:p>
          <w:p>
            <w:pPr>
              <w:jc w:val="left"/>
              <w:rPr>
                <w:rFonts w:hint="eastAsia"/>
                <w:highlight w:val="none"/>
                <w:lang w:val="en-US" w:eastAsia="zh-CN"/>
              </w:rPr>
            </w:pPr>
            <w:r>
              <w:rPr>
                <w:rFonts w:hint="eastAsia"/>
                <w:highlight w:val="none"/>
                <w:lang w:val="en-US" w:eastAsia="zh-CN"/>
              </w:rPr>
              <w:t>如以上物品可修复，其维修费用不得超过其全损赔偿价值的50%。</w:t>
            </w:r>
          </w:p>
          <w:p>
            <w:pPr>
              <w:jc w:val="left"/>
              <w:rPr>
                <w:rFonts w:hint="eastAsia"/>
                <w:highlight w:val="none"/>
                <w:lang w:val="en-US" w:eastAsia="zh-CN"/>
              </w:rPr>
            </w:pPr>
            <w:r>
              <w:rPr>
                <w:rFonts w:hint="eastAsia"/>
                <w:highlight w:val="none"/>
                <w:lang w:val="en-US" w:eastAsia="zh-CN"/>
              </w:rPr>
              <w:t>6、兹经双方同意，发生人身伤害事故导致第三者人员住院时，承保人同意对于被保险人向第三者赔偿的护理费按100元/天标准赔付，营养费按照30元/天标准赔付，护理人员的交通费按照实际发生的合理费用赔付。</w:t>
            </w:r>
          </w:p>
          <w:p>
            <w:pPr>
              <w:jc w:val="left"/>
              <w:rPr>
                <w:rFonts w:hint="eastAsia"/>
                <w:lang w:val="en-US" w:eastAsia="zh-CN"/>
              </w:rPr>
            </w:pPr>
            <w:r>
              <w:rPr>
                <w:rFonts w:hint="eastAsia"/>
                <w:lang w:val="en-US" w:eastAsia="zh-CN"/>
              </w:rPr>
              <w:t>7、兹经双方同意，被保险人如果有工伤保险或其他类似保障的，本保险单的伤残和死亡赔偿责任不因此而受影响。</w:t>
            </w:r>
          </w:p>
          <w:p>
            <w:pPr>
              <w:jc w:val="left"/>
              <w:rPr>
                <w:rFonts w:hint="eastAsia"/>
                <w:lang w:val="en-US" w:eastAsia="zh-CN"/>
              </w:rPr>
            </w:pPr>
            <w:r>
              <w:rPr>
                <w:rFonts w:hint="eastAsia"/>
                <w:lang w:val="en-US" w:eastAsia="zh-CN"/>
              </w:rPr>
              <w:t>8、兹经双方同意，发生保险事故后承保人履行赔付时，被保险人出具保险事故证明即可，无需提供由安全主管部门出具的有关保险事故性质等证明文件。</w:t>
            </w:r>
          </w:p>
          <w:p>
            <w:pPr>
              <w:jc w:val="left"/>
              <w:rPr>
                <w:rFonts w:hint="eastAsia"/>
                <w:lang w:val="en-US" w:eastAsia="zh-CN"/>
              </w:rPr>
            </w:pPr>
            <w:r>
              <w:rPr>
                <w:rFonts w:hint="eastAsia"/>
                <w:lang w:val="en-US" w:eastAsia="zh-CN"/>
              </w:rPr>
              <w:t>9、兹经双方同意，特别约定中的条款名称可以根据承保人在保监会备案的名称调整，但条款保障内容必须符合被保险人实际需求。</w:t>
            </w:r>
          </w:p>
          <w:p>
            <w:pPr>
              <w:jc w:val="left"/>
              <w:rPr>
                <w:rFonts w:hint="eastAsia"/>
                <w:lang w:val="en-US" w:eastAsia="zh-CN"/>
              </w:rPr>
            </w:pPr>
            <w:r>
              <w:rPr>
                <w:rFonts w:hint="eastAsia"/>
                <w:lang w:val="en-US" w:eastAsia="zh-CN"/>
              </w:rPr>
              <w:t>10、在保险期限内，如因上级政策调整造成承保人资质受到影响或其他由承保人原因，给被保险人造成损失的，承保人需根据实际损失进行赔偿。</w:t>
            </w:r>
          </w:p>
          <w:p>
            <w:pPr>
              <w:jc w:val="left"/>
              <w:rPr>
                <w:rFonts w:hint="eastAsia"/>
                <w:lang w:val="en-US" w:eastAsia="zh-CN"/>
              </w:rPr>
            </w:pPr>
            <w:r>
              <w:rPr>
                <w:rFonts w:hint="eastAsia"/>
                <w:lang w:val="en-US" w:eastAsia="zh-CN"/>
              </w:rPr>
              <w:t>11、在保险期限内，如因法律法规或相关政策调整造成保险内容调整变更的，承保人按照调整后的实际保险内容进行承保，合同结算金额按照实际保险内容进行结算。</w:t>
            </w:r>
          </w:p>
          <w:p>
            <w:pPr>
              <w:jc w:val="left"/>
            </w:pPr>
            <w:r>
              <w:rPr>
                <w:rFonts w:hint="eastAsia"/>
                <w:lang w:val="en-US" w:eastAsia="zh-CN"/>
              </w:rPr>
              <w:t>12、被保险人在理赔时，与承保人签署的相关理赔文件，承保人禁止使用格式条款或强制性条款，相关理赔文件必须符合被保险人利益并与保险人达成一致意见方能签署，如因使用格式条款或强制性条款造成理赔不及时或其他原因给被保险人带来损失，承保人需根据实际损失予以赔偿。</w:t>
            </w:r>
          </w:p>
        </w:tc>
      </w:tr>
    </w:tbl>
    <w:p>
      <w:pPr>
        <w:numPr>
          <w:ilvl w:val="0"/>
          <w:numId w:val="3"/>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28" w:name="_Toc8607"/>
      <w:r>
        <w:rPr>
          <w:rFonts w:hint="eastAsia" w:ascii="楷体_GB2312" w:hAnsi="宋体" w:eastAsia="楷体_GB2312" w:cs="宋体"/>
          <w:sz w:val="32"/>
          <w:szCs w:val="32"/>
          <w:lang w:val="en-US" w:eastAsia="zh-CN"/>
        </w:rPr>
        <w:t>理赔服务</w:t>
      </w:r>
      <w:bookmarkEnd w:id="28"/>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1、受理报案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（1）被保险人报案时，可通过24小时报案电话或传真报案，也可直接与专项服务小组对口人员联系。</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（2）承保人接到被保险人报案后，专项服务小组成员应在15分钟内给出处理意见，并回复是否前往现场查勘；如果没有回复，则表示专项服务小组不去现场查勘并同意以被保险人提供的索赔材料作为理赔依据。</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2、现场查勘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仿宋_GB2312" w:hAnsi="宋体" w:eastAsia="仿宋_GB2312" w:cs="宋体"/>
          <w:sz w:val="32"/>
          <w:szCs w:val="32"/>
          <w:lang w:val="zh-CN" w:eastAsia="zh-CN"/>
        </w:rPr>
        <w:t>及其委托人</w:t>
      </w:r>
      <w:r>
        <w:rPr>
          <w:rFonts w:hint="eastAsia" w:ascii="仿宋_GB2312" w:hAnsi="宋体" w:eastAsia="仿宋_GB2312" w:cs="宋体"/>
          <w:sz w:val="32"/>
          <w:szCs w:val="32"/>
          <w:lang w:val="en-US" w:eastAsia="zh-CN"/>
        </w:rPr>
        <w:t>自行处理事故现场，但被保险人应保留事故现场的有关照片或实物证据。</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w:t>
      </w:r>
      <w:r>
        <w:rPr>
          <w:rFonts w:hint="eastAsia" w:ascii="仿宋_GB2312" w:hAnsi="宋体" w:eastAsia="仿宋_GB2312" w:cs="宋体"/>
          <w:sz w:val="32"/>
          <w:szCs w:val="32"/>
          <w:lang w:val="zh-CN" w:eastAsia="zh-CN"/>
        </w:rPr>
        <w:t>在收到被保险人将采取施救措施的报告后，应立即安排理赔服务人员至施救现场进行现场响应式理赔服务，并承担保险责任事故施救所产生</w:t>
      </w:r>
      <w:r>
        <w:rPr>
          <w:rFonts w:hint="eastAsia" w:ascii="仿宋_GB2312" w:hAnsi="宋体" w:eastAsia="仿宋_GB2312" w:cs="宋体"/>
          <w:sz w:val="32"/>
          <w:szCs w:val="32"/>
          <w:lang w:val="en-US" w:eastAsia="zh-CN"/>
        </w:rPr>
        <w:t>的全部合理费用。</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3、受理赔案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（1）承保人应在收到被保险人及其代表的报案通知后3个工作日内，向被保险人提交《理赔工作安排日程表》；承保人应在收到被保险人预付赔款申请后5个工作日内，就预付时间、预付金额做出书面回复。</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（4）在被保险人按照上述3、（2）或3、（3）要求补充或澄清异议后10个工作日内，承保人、被保险人、投保人三方共同完成理赔定责定损工作。</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4、办理结案</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（1）对于损失金额在人民币10万元（含）以内的保险事故，承保人在按3、（4）款约定完成理赔定责定损后3个工作日内办理结案并支付赔款。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（2）对于损失金额在10万元（不含）至100万元（含）的保险事故，承保人在按3、（4）款约定完成理赔定责定损后5个工作日内办理结案并支付赔款。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（3）对于损失金额在100万元（不含）以上的保险事故，承保人在按3、（4）款约定完成理赔定责定损后7个工作日内办理结案并支付赔款。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如承保人、被保险人、投保人三方不能按照3、（4）款约定完成理赔定责定损且符合第9款（公估人）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（5）如为共保体，上述赔款由首席承保人先行全额垫付，各共保人按共保比例分担，具体操作按共保协议执行。</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5、赔款处理原则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发生保险事故后，承保人应以利于被保险人恢复地铁运营、重置设备及其它保险财产为前提，依照保单进行赔偿理算、支付赔款，并承担保险事故产生的一切合理费用和事故损失。</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6、赔款支付原则</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本项目办理结算前，年度保费按70%支付，但所有保险赔付须按理赔金额的百分之百赔付。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7、预付赔款</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zh-CN" w:eastAsia="zh-CN"/>
        </w:rPr>
        <w:t>绿色通道服务救治：针对涉及人员伤亡的案件，承保人需开通绿色通道救治服务，开通承保人与救治医院合理的医疗费用直赔服务，无需投保人先行垫付。</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zh-CN" w:eastAsia="zh-CN"/>
        </w:rPr>
        <w:t>当发生保险责任范围内的损失事故，在保险责任明确但损失金额尚不能准确确定的情况下，</w:t>
      </w:r>
      <w:r>
        <w:rPr>
          <w:rFonts w:hint="eastAsia" w:ascii="仿宋_GB2312" w:hAnsi="宋体" w:eastAsia="仿宋_GB2312" w:cs="宋体"/>
          <w:sz w:val="32"/>
          <w:szCs w:val="32"/>
          <w:lang w:val="en-US" w:eastAsia="zh-CN"/>
        </w:rPr>
        <w:t>承保人应按3、（1）书面回复确认的预付时间、预付金额（预付金额不得少于</w:t>
      </w:r>
      <w:r>
        <w:rPr>
          <w:rFonts w:hint="eastAsia" w:ascii="仿宋_GB2312" w:hAnsi="宋体" w:eastAsia="仿宋_GB2312" w:cs="宋体"/>
          <w:sz w:val="32"/>
          <w:szCs w:val="32"/>
          <w:lang w:val="zh-CN" w:eastAsia="zh-CN"/>
        </w:rPr>
        <w:t>预估损失金额的75%</w:t>
      </w:r>
      <w:r>
        <w:rPr>
          <w:rFonts w:hint="eastAsia" w:ascii="仿宋_GB2312" w:hAnsi="宋体" w:eastAsia="仿宋_GB2312" w:cs="宋体"/>
          <w:sz w:val="32"/>
          <w:szCs w:val="32"/>
          <w:lang w:val="en-US" w:eastAsia="zh-CN"/>
        </w:rPr>
        <w:t>）向被保险人办理预付赔款。</w:t>
      </w:r>
      <w:r>
        <w:rPr>
          <w:rFonts w:hint="eastAsia" w:ascii="仿宋_GB2312" w:hAnsi="宋体" w:eastAsia="仿宋_GB2312" w:cs="宋体"/>
          <w:sz w:val="32"/>
          <w:szCs w:val="32"/>
          <w:lang w:val="zh-CN" w:eastAsia="zh-CN"/>
        </w:rPr>
        <w:t>最终赔付金额确定后，再按最终赔付金额多退少补。</w:t>
      </w:r>
    </w:p>
    <w:p>
      <w:pPr>
        <w:spacing w:line="560" w:lineRule="exact"/>
        <w:ind w:firstLine="640" w:firstLineChars="200"/>
        <w:rPr>
          <w:rFonts w:hint="eastAsia" w:ascii="仿宋_GB2312" w:hAnsi="宋体" w:eastAsia="仿宋_GB2312" w:cs="宋体"/>
          <w:sz w:val="32"/>
          <w:szCs w:val="32"/>
          <w:lang w:val="zh-CN" w:eastAsia="zh-CN"/>
        </w:rPr>
      </w:pPr>
      <w:r>
        <w:rPr>
          <w:rFonts w:hint="eastAsia" w:ascii="仿宋_GB2312" w:hAnsi="宋体" w:eastAsia="仿宋_GB2312" w:cs="宋体"/>
          <w:sz w:val="32"/>
          <w:szCs w:val="32"/>
          <w:lang w:val="en-US" w:eastAsia="zh-CN"/>
        </w:rPr>
        <w:t>上述赔款由首席承保人先行全额垫付，各共保人按共保比例分担，具体操作按共保协议执行。</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8、拒赔时间要求</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9、公估人</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发生预估损失金额超过人民币50万元的保险事故，且承保人和投保人对事故的保险责任和损失金额的认定不能达成一致时，由承保人和投保人共同认可的公估公司（中国境内注册）作为公估人协助认定责任和金额，确定公估人的工作应在5个工作日内完成，聘请公估人的费用由承保人支付。</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如投保人和承保人无法就选定的公估人达成一致意见，则通过如下方式确定：由承保人自行选定三家备选公估公司，承保人在备选公估公司中随机抽选一家作为本项目的公估公司。</w:t>
      </w:r>
    </w:p>
    <w:p>
      <w:pPr>
        <w:numPr>
          <w:ilvl w:val="0"/>
          <w:numId w:val="3"/>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29" w:name="_Toc17823"/>
      <w:bookmarkStart w:id="30" w:name="_Toc4990"/>
      <w:r>
        <w:rPr>
          <w:rFonts w:hint="eastAsia" w:ascii="楷体_GB2312" w:hAnsi="宋体" w:eastAsia="楷体_GB2312" w:cs="宋体"/>
          <w:sz w:val="32"/>
          <w:szCs w:val="32"/>
          <w:lang w:val="en-US" w:eastAsia="zh-CN"/>
        </w:rPr>
        <w:t>风险管理及防灾防损服务</w:t>
      </w:r>
      <w:bookmarkEnd w:id="29"/>
      <w:bookmarkEnd w:id="30"/>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1、承保人应组织对本项目至少进行两次风险查勘并提交风险查勘报告，提出有针对性的防灾防损建议，相关费用由承保人承担。</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应为被保险人建立承保、理赔、防灾防损档案；承保人专项服务小组应于每季度结束后5个工作日内向被被保险人提供理赔统计报表，报表将包括损失发生的时间、地点、损失原因、估损金额、定损金额、赔款等与赔案处理有关的信息。</w:t>
      </w:r>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31" w:name="_Toc17469"/>
      <w:bookmarkStart w:id="32" w:name="_Toc16727"/>
      <w:r>
        <w:rPr>
          <w:rFonts w:hint="eastAsia" w:ascii="楷体_GB2312" w:hAnsi="宋体" w:eastAsia="楷体_GB2312" w:cs="宋体"/>
          <w:sz w:val="32"/>
          <w:szCs w:val="32"/>
          <w:lang w:val="en-US" w:eastAsia="zh-CN"/>
        </w:rPr>
        <w:t>保险培训</w:t>
      </w:r>
      <w:bookmarkEnd w:id="31"/>
      <w:bookmarkEnd w:id="32"/>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保险有效期内，承保人应组织至少两次保险培训服务或交流会议，以提高投保人、被保险人等的风险管理和防灾防损技能，有关费用由承保人承担。具体内容、次数、实施方案、举办时间和地点由投保人、承保人双方共同协商确定。</w:t>
      </w:r>
    </w:p>
    <w:p>
      <w:pPr>
        <w:numPr>
          <w:ilvl w:val="0"/>
          <w:numId w:val="3"/>
        </w:numPr>
        <w:adjustRightInd w:val="0"/>
        <w:spacing w:line="560" w:lineRule="exact"/>
        <w:ind w:left="0" w:firstLine="640" w:firstLineChars="200"/>
        <w:outlineLvl w:val="1"/>
        <w:rPr>
          <w:rFonts w:hint="default" w:ascii="楷体_GB2312" w:hAnsi="宋体" w:eastAsia="楷体_GB2312" w:cs="宋体"/>
          <w:sz w:val="32"/>
          <w:szCs w:val="32"/>
          <w:lang w:val="en-US" w:eastAsia="zh-CN"/>
        </w:rPr>
      </w:pPr>
      <w:bookmarkStart w:id="33" w:name="_Toc24721"/>
      <w:bookmarkStart w:id="34" w:name="_Toc29"/>
      <w:r>
        <w:rPr>
          <w:rFonts w:hint="eastAsia" w:ascii="楷体_GB2312" w:hAnsi="宋体" w:eastAsia="楷体_GB2312" w:cs="宋体"/>
          <w:sz w:val="32"/>
          <w:szCs w:val="32"/>
          <w:lang w:val="en-US" w:eastAsia="zh-CN"/>
        </w:rPr>
        <w:t>其他服务</w:t>
      </w:r>
      <w:bookmarkEnd w:id="33"/>
      <w:bookmarkEnd w:id="34"/>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1、保险咨询</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如被保险人有需要，承保人应为被保险人的其他项目提供保险咨询服务，并不收取任何费用。</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2、承保人有义务向被保险人提供有关保险及民事损害赔偿的法律服务，包括法律咨询、代为聘请律师、代理诉讼行为、协助拟定有关保险法律的文件、文书、合同等。</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3、发生事故时，专项服务小组应编制《理赔工作安排日程表》提交被保险人，与被保险人共同及时修订不合理的理算服务时间、理算服务流程。</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4、由承保人牵头，每季度与被保险人召开联席会议，对前一阶段工作进行总结并明确下阶段服务计划。</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如承保人未按本合同约定履行理赔义务或及时完成理赔事项，导致被保险人向承保人进行追偿（或委托他人代为追偿），由此产生的追偿费（包括但不限于诉讼费、财产保全费、律师费、交通费、通信费等与追偿有关的一切费用）和追偿款均由承保人承担。</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rPr>
      </w:pPr>
      <w:bookmarkStart w:id="35" w:name="_Toc14079"/>
      <w:bookmarkStart w:id="36" w:name="_Toc12999"/>
      <w:r>
        <w:rPr>
          <w:rFonts w:hint="eastAsia" w:ascii="黑体" w:hAnsi="黑体" w:eastAsia="黑体" w:cs="楷体"/>
          <w:b w:val="0"/>
          <w:bCs w:val="0"/>
          <w:i w:val="0"/>
          <w:iCs w:val="0"/>
          <w:sz w:val="32"/>
          <w:szCs w:val="32"/>
        </w:rPr>
        <w:t>项目验收</w:t>
      </w:r>
      <w:bookmarkEnd w:id="35"/>
      <w:bookmarkEnd w:id="36"/>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7" w:name="_Toc13828"/>
      <w:bookmarkStart w:id="38" w:name="_Toc5539"/>
      <w:r>
        <w:rPr>
          <w:rFonts w:hint="eastAsia" w:ascii="楷体_GB2312" w:hAnsi="宋体" w:eastAsia="楷体_GB2312" w:cs="宋体"/>
          <w:sz w:val="32"/>
          <w:szCs w:val="32"/>
          <w:lang w:val="en-US" w:eastAsia="zh-CN"/>
        </w:rPr>
        <w:t>验收小组</w:t>
      </w:r>
      <w:bookmarkEnd w:id="37"/>
      <w:bookmarkEnd w:id="38"/>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验收小组由被保险人相关人员组成。</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39" w:name="_Toc25100"/>
      <w:bookmarkStart w:id="40" w:name="_Toc26461"/>
      <w:r>
        <w:rPr>
          <w:rFonts w:hint="eastAsia" w:ascii="楷体_GB2312" w:hAnsi="宋体" w:eastAsia="楷体_GB2312" w:cs="宋体"/>
          <w:sz w:val="32"/>
          <w:szCs w:val="32"/>
          <w:lang w:val="en-US" w:eastAsia="zh-CN"/>
        </w:rPr>
        <w:t>验收周期</w:t>
      </w:r>
      <w:bookmarkEnd w:id="39"/>
      <w:bookmarkEnd w:id="40"/>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本项目共验收两次，第一次为保险生效后进行中间验收，第二次为保险到期后进行总体验收。</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41" w:name="_Toc12014"/>
      <w:bookmarkStart w:id="42" w:name="_Toc26218"/>
      <w:r>
        <w:rPr>
          <w:rFonts w:hint="eastAsia" w:ascii="楷体_GB2312" w:hAnsi="宋体" w:eastAsia="楷体_GB2312" w:cs="宋体"/>
          <w:sz w:val="32"/>
          <w:szCs w:val="32"/>
          <w:lang w:val="en-US" w:eastAsia="zh-CN"/>
        </w:rPr>
        <w:t>验收标准</w:t>
      </w:r>
      <w:bookmarkEnd w:id="41"/>
      <w:bookmarkEnd w:id="42"/>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1、在约定的时间内，按要求完成本项目合同及招标文件，所列内容符合国家及行业标准，服务内容获得被保险人认可。</w:t>
      </w:r>
    </w:p>
    <w:p>
      <w:pPr>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2、按要求完成保险理赔、风险查勘、培训或交流会议等服务。</w:t>
      </w:r>
    </w:p>
    <w:p>
      <w:pPr>
        <w:numPr>
          <w:ilvl w:val="0"/>
          <w:numId w:val="5"/>
        </w:numPr>
        <w:adjustRightInd w:val="0"/>
        <w:spacing w:line="560" w:lineRule="exact"/>
        <w:ind w:left="0" w:firstLine="640" w:firstLineChars="200"/>
        <w:outlineLvl w:val="1"/>
        <w:rPr>
          <w:rFonts w:hint="eastAsia" w:ascii="楷体_GB2312" w:hAnsi="宋体" w:eastAsia="楷体_GB2312" w:cs="宋体"/>
          <w:sz w:val="32"/>
          <w:szCs w:val="32"/>
          <w:lang w:val="en-US" w:eastAsia="zh-CN"/>
        </w:rPr>
      </w:pPr>
      <w:bookmarkStart w:id="43" w:name="_Toc20717"/>
      <w:bookmarkStart w:id="44" w:name="_Toc739"/>
      <w:r>
        <w:rPr>
          <w:rFonts w:hint="eastAsia" w:ascii="楷体_GB2312" w:hAnsi="宋体" w:eastAsia="楷体_GB2312" w:cs="宋体"/>
          <w:sz w:val="32"/>
          <w:szCs w:val="32"/>
          <w:lang w:val="en-US" w:eastAsia="zh-CN"/>
        </w:rPr>
        <w:t>验收成果</w:t>
      </w:r>
      <w:bookmarkEnd w:id="43"/>
      <w:bookmarkEnd w:id="44"/>
    </w:p>
    <w:p>
      <w:pPr>
        <w:numPr>
          <w:ilvl w:val="0"/>
          <w:numId w:val="0"/>
        </w:num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1、承保人及时向被保险人签发有效保险单或其他保险凭证。</w:t>
      </w:r>
    </w:p>
    <w:p>
      <w:pPr>
        <w:numPr>
          <w:ilvl w:val="0"/>
          <w:numId w:val="0"/>
        </w:num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2、承保人及时完成现场查勘、定责定损、保险金赔付等。</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3、承保人应组织对本项目至少进行两次风险查勘并提交风险查勘报告，提出有针对性的防灾防损建议。</w:t>
      </w:r>
    </w:p>
    <w:p>
      <w:pPr>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4、承保人应组织开展至少两次培训或交流会议，以提高被保险人风险管理和防灾防损技能。</w:t>
      </w:r>
    </w:p>
    <w:p>
      <w:pPr>
        <w:pStyle w:val="11"/>
        <w:numPr>
          <w:ilvl w:val="0"/>
          <w:numId w:val="1"/>
        </w:numPr>
        <w:tabs>
          <w:tab w:val="right" w:leader="dot" w:pos="8306"/>
        </w:tabs>
        <w:adjustRightInd w:val="0"/>
        <w:snapToGrid w:val="0"/>
        <w:spacing w:line="560" w:lineRule="exact"/>
        <w:ind w:firstLine="640" w:firstLineChars="200"/>
        <w:outlineLvl w:val="0"/>
        <w:rPr>
          <w:rFonts w:hint="eastAsia" w:ascii="黑体" w:hAnsi="黑体" w:eastAsia="黑体" w:cs="楷体"/>
          <w:b w:val="0"/>
          <w:bCs w:val="0"/>
          <w:i w:val="0"/>
          <w:iCs w:val="0"/>
          <w:sz w:val="32"/>
          <w:szCs w:val="32"/>
          <w:lang w:eastAsia="zh-CN"/>
        </w:rPr>
      </w:pPr>
      <w:bookmarkStart w:id="45" w:name="_Toc10220"/>
      <w:bookmarkStart w:id="46" w:name="_Toc13321"/>
      <w:r>
        <w:rPr>
          <w:rFonts w:hint="eastAsia" w:ascii="黑体" w:hAnsi="黑体" w:eastAsia="黑体" w:cs="楷体"/>
          <w:b w:val="0"/>
          <w:bCs w:val="0"/>
          <w:i w:val="0"/>
          <w:iCs w:val="0"/>
          <w:sz w:val="32"/>
          <w:szCs w:val="32"/>
          <w:lang w:eastAsia="zh-CN"/>
        </w:rPr>
        <w:t>考核标准</w:t>
      </w:r>
      <w:bookmarkEnd w:id="45"/>
      <w:bookmarkEnd w:id="46"/>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根据用户需求书中的相关条款，由被保险人对承保人进行考核评分，并按分值等级进行相关考核。当有考核项目重复发生时以最高程度考核项为考核标准。因承保人原因造成设备故障、客伤、采购单位或第三方人身财产损害的，除负责赔偿责任外，还需向采购单位赔付由采购单位依据安全事故的性质、受伤人员数量、受伤害的程度、采购单位的名誉、形象受损的范围和程度等确定的金额，并承担采购单位因此发生的诉讼费、律师费等一切费用及相应的法律责任。</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承保人违反被保险人相关规定、制度，按照表一质量考核标准、表二考核支付表执行（包括但不限于）：</w:t>
      </w:r>
    </w:p>
    <w:tbl>
      <w:tblPr>
        <w:tblStyle w:val="14"/>
        <w:tblW w:w="0" w:type="auto"/>
        <w:tblInd w:w="0" w:type="dxa"/>
        <w:tblLayout w:type="fixed"/>
        <w:tblCellMar>
          <w:top w:w="15" w:type="dxa"/>
          <w:left w:w="15" w:type="dxa"/>
          <w:bottom w:w="15" w:type="dxa"/>
          <w:right w:w="15" w:type="dxa"/>
        </w:tblCellMar>
      </w:tblPr>
      <w:tblGrid>
        <w:gridCol w:w="675"/>
        <w:gridCol w:w="5446"/>
        <w:gridCol w:w="2442"/>
        <w:gridCol w:w="1020"/>
      </w:tblGrid>
      <w:tr>
        <w:tblPrEx>
          <w:tblCellMar>
            <w:top w:w="15" w:type="dxa"/>
            <w:left w:w="15" w:type="dxa"/>
            <w:bottom w:w="15" w:type="dxa"/>
            <w:right w:w="15" w:type="dxa"/>
          </w:tblCellMar>
        </w:tblPrEx>
        <w:trPr>
          <w:trHeight w:val="323" w:hRule="atLeast"/>
        </w:trPr>
        <w:tc>
          <w:tcPr>
            <w:tcW w:w="95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ind w:firstLine="422" w:firstLineChars="200"/>
              <w:jc w:val="center"/>
              <w:textAlignment w:val="center"/>
              <w:rPr>
                <w:rFonts w:hint="eastAsia" w:ascii="宋体" w:hAnsi="宋体" w:cs="宋体"/>
                <w:b/>
                <w:color w:val="000000"/>
                <w:szCs w:val="21"/>
              </w:rPr>
            </w:pPr>
            <w:r>
              <w:rPr>
                <w:rFonts w:hint="eastAsia" w:ascii="宋体" w:hAnsi="宋体" w:cs="宋体"/>
                <w:b/>
                <w:color w:val="000000"/>
                <w:kern w:val="0"/>
                <w:szCs w:val="21"/>
              </w:rPr>
              <w:t>表</w:t>
            </w:r>
            <w:r>
              <w:rPr>
                <w:rFonts w:hint="eastAsia" w:ascii="宋体" w:hAnsi="宋体" w:cs="宋体"/>
                <w:b/>
                <w:color w:val="000000"/>
                <w:kern w:val="0"/>
                <w:szCs w:val="21"/>
                <w:lang w:eastAsia="zh-CN"/>
              </w:rPr>
              <w:t>一</w:t>
            </w:r>
            <w:r>
              <w:rPr>
                <w:rFonts w:hint="eastAsia" w:ascii="宋体" w:hAnsi="宋体" w:cs="宋体"/>
                <w:b/>
                <w:color w:val="000000"/>
                <w:kern w:val="0"/>
                <w:szCs w:val="21"/>
              </w:rPr>
              <w:t xml:space="preserve"> 质量考核标准表</w:t>
            </w:r>
          </w:p>
        </w:tc>
      </w:tr>
      <w:tr>
        <w:tblPrEx>
          <w:tblCellMar>
            <w:top w:w="15" w:type="dxa"/>
            <w:left w:w="15" w:type="dxa"/>
            <w:bottom w:w="15" w:type="dxa"/>
            <w:right w:w="15" w:type="dxa"/>
          </w:tblCellMar>
        </w:tblPrEx>
        <w:trPr>
          <w:trHeight w:val="323"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序号</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考核内容</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处罚结果</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5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color w:val="000000"/>
                <w:szCs w:val="21"/>
              </w:rPr>
              <w:t>1</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报案渠道不通畅，承保人未按时接报案。</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both"/>
              <w:textAlignment w:val="baseline"/>
              <w:rPr>
                <w:rFonts w:hint="default" w:ascii="宋体" w:hAnsi="宋体" w:eastAsia="宋体" w:cs="宋体"/>
                <w:bCs/>
                <w:szCs w:val="21"/>
                <w:lang w:val="en-US" w:eastAsia="zh-CN"/>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4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查勘人员未按照约定时间到达现场处理事故。</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29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3</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both"/>
              <w:rPr>
                <w:rFonts w:hint="eastAsia" w:ascii="宋体" w:hAnsi="宋体" w:eastAsia="宋体" w:cs="宋体"/>
                <w:bCs/>
                <w:szCs w:val="21"/>
                <w:lang w:eastAsia="zh-CN"/>
              </w:rPr>
            </w:pPr>
            <w:r>
              <w:rPr>
                <w:rFonts w:hint="eastAsia" w:ascii="宋体" w:hAnsi="宋体" w:cs="宋体"/>
                <w:bCs/>
                <w:szCs w:val="21"/>
                <w:lang w:eastAsia="zh-CN"/>
              </w:rPr>
              <w:t>因定损人员工作疏漏，导致损失核定出现问题。</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47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4</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因处理人员工作不到位，导致乘客投诉。</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5</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因承保人工作人员态度恶劣，导致被保险人声誉受影响。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20</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6</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hint="eastAsia" w:ascii="宋体" w:hAnsi="宋体" w:eastAsia="宋体" w:cs="宋体"/>
                <w:bCs/>
                <w:szCs w:val="21"/>
                <w:lang w:eastAsia="zh-CN"/>
              </w:rPr>
            </w:pPr>
            <w:r>
              <w:rPr>
                <w:rFonts w:hint="eastAsia" w:ascii="宋体" w:hAnsi="宋体" w:cs="宋体"/>
                <w:bCs/>
                <w:szCs w:val="21"/>
                <w:lang w:eastAsia="zh-CN"/>
              </w:rPr>
              <w:t>赔款未在约定时间内支付到位。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rPr>
                <w:rFonts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6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jc w:val="center"/>
              <w:rPr>
                <w:rFonts w:ascii="宋体" w:hAnsi="宋体" w:cs="宋体"/>
                <w:color w:val="000000"/>
                <w:szCs w:val="21"/>
              </w:rPr>
            </w:pPr>
            <w:r>
              <w:rPr>
                <w:rFonts w:hint="eastAsia" w:ascii="宋体" w:hAnsi="宋体" w:cs="宋体"/>
                <w:color w:val="000000"/>
                <w:szCs w:val="21"/>
              </w:rPr>
              <w:t>7</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未</w:t>
            </w:r>
            <w:r>
              <w:rPr>
                <w:rFonts w:hint="eastAsia" w:ascii="宋体" w:hAnsi="宋体" w:cs="宋体"/>
                <w:bCs/>
                <w:szCs w:val="21"/>
              </w:rPr>
              <w:t>对本项目至少进行两次风险查勘并提交风险查勘报告</w:t>
            </w:r>
            <w:r>
              <w:rPr>
                <w:rFonts w:hint="eastAsia" w:ascii="宋体" w:hAnsi="宋体" w:cs="宋体"/>
                <w:bCs/>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r>
        <w:tblPrEx>
          <w:tblCellMar>
            <w:top w:w="15" w:type="dxa"/>
            <w:left w:w="15" w:type="dxa"/>
            <w:bottom w:w="15" w:type="dxa"/>
            <w:right w:w="15" w:type="dxa"/>
          </w:tblCellMar>
        </w:tblPrEx>
        <w:trPr>
          <w:trHeight w:val="37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jc w:val="center"/>
              <w:rPr>
                <w:rFonts w:ascii="宋体" w:hAnsi="宋体" w:cs="宋体"/>
                <w:color w:val="000000"/>
                <w:szCs w:val="21"/>
              </w:rPr>
            </w:pPr>
            <w:r>
              <w:rPr>
                <w:rFonts w:hint="eastAsia" w:ascii="宋体" w:hAnsi="宋体" w:cs="宋体"/>
                <w:color w:val="000000"/>
                <w:szCs w:val="21"/>
              </w:rPr>
              <w:t>8</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未</w:t>
            </w:r>
            <w:r>
              <w:rPr>
                <w:rFonts w:hint="eastAsia" w:ascii="宋体" w:hAnsi="宋体" w:cs="宋体"/>
                <w:bCs/>
                <w:szCs w:val="21"/>
              </w:rPr>
              <w:t>组织</w:t>
            </w:r>
            <w:r>
              <w:rPr>
                <w:rFonts w:hint="eastAsia" w:ascii="宋体" w:hAnsi="宋体" w:cs="宋体"/>
                <w:bCs/>
                <w:szCs w:val="21"/>
                <w:lang w:eastAsia="zh-CN"/>
              </w:rPr>
              <w:t>至少两次</w:t>
            </w:r>
            <w:r>
              <w:rPr>
                <w:rFonts w:hint="eastAsia" w:ascii="宋体" w:hAnsi="宋体" w:cs="宋体"/>
                <w:bCs/>
                <w:szCs w:val="21"/>
              </w:rPr>
              <w:t>保险培训服务或交流会议、保险宣传活动</w:t>
            </w:r>
            <w:r>
              <w:rPr>
                <w:rFonts w:hint="eastAsia" w:ascii="宋体" w:hAnsi="宋体" w:cs="宋体"/>
                <w:bCs/>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cs="宋体"/>
                <w:color w:val="000000"/>
                <w:szCs w:val="21"/>
              </w:rPr>
            </w:pPr>
          </w:p>
        </w:tc>
      </w:tr>
    </w:tbl>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当</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的行为给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造成一定影响，发生影响运营安全的一般及以上的事故，直接扣20分，且</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以上同一内容频繁出现3次及以上，或累计扣分项超过20分，</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tbl>
      <w:tblPr>
        <w:tblStyle w:val="14"/>
        <w:tblW w:w="0" w:type="auto"/>
        <w:tblInd w:w="0" w:type="dxa"/>
        <w:tblLayout w:type="fixed"/>
        <w:tblCellMar>
          <w:top w:w="0" w:type="dxa"/>
          <w:left w:w="0" w:type="dxa"/>
          <w:bottom w:w="0" w:type="dxa"/>
          <w:right w:w="0" w:type="dxa"/>
        </w:tblCellMar>
      </w:tblPr>
      <w:tblGrid>
        <w:gridCol w:w="1942"/>
        <w:gridCol w:w="4192"/>
        <w:gridCol w:w="3389"/>
      </w:tblGrid>
      <w:tr>
        <w:tblPrEx>
          <w:tblCellMar>
            <w:top w:w="0" w:type="dxa"/>
            <w:left w:w="0" w:type="dxa"/>
            <w:bottom w:w="0" w:type="dxa"/>
            <w:right w:w="0" w:type="dxa"/>
          </w:tblCellMar>
        </w:tblPrEx>
        <w:trPr>
          <w:trHeight w:val="197"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表</w:t>
            </w:r>
            <w:r>
              <w:rPr>
                <w:rFonts w:hint="eastAsia" w:ascii="宋体" w:hAnsi="宋体" w:cs="宋体"/>
                <w:b/>
                <w:color w:val="000000"/>
                <w:kern w:val="0"/>
                <w:sz w:val="24"/>
                <w:lang w:eastAsia="zh-CN"/>
              </w:rPr>
              <w:t>二</w:t>
            </w:r>
            <w:r>
              <w:rPr>
                <w:rFonts w:hint="eastAsia" w:ascii="宋体" w:hAnsi="宋体" w:cs="宋体"/>
                <w:b/>
                <w:color w:val="000000"/>
                <w:kern w:val="0"/>
                <w:sz w:val="24"/>
              </w:rPr>
              <w:t xml:space="preserve">  考核支付表</w:t>
            </w:r>
          </w:p>
        </w:tc>
      </w:tr>
      <w:tr>
        <w:tblPrEx>
          <w:tblCellMar>
            <w:top w:w="0" w:type="dxa"/>
            <w:left w:w="0" w:type="dxa"/>
            <w:bottom w:w="0" w:type="dxa"/>
            <w:right w:w="0" w:type="dxa"/>
          </w:tblCellMar>
        </w:tblPrEx>
        <w:trPr>
          <w:trHeight w:val="20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考评等级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考评标准（基础分100分）</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A级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综合考评分≥90分,支付比例100%。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0元</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B级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80分≤综合考评分&lt;90分，支付比例90%。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扣除10%合同价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C级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70分≤综合考评分&lt;80分，支付比例80%。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扣除20%合同价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D级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综合考评分&lt;70分，支付比例70%。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扣除30%合同价，赔偿相关损失，</w:t>
            </w:r>
            <w:r>
              <w:rPr>
                <w:rFonts w:hint="eastAsia" w:ascii="宋体" w:hAnsi="宋体" w:cs="宋体"/>
                <w:bCs/>
                <w:szCs w:val="21"/>
                <w:lang w:eastAsia="zh-CN"/>
              </w:rPr>
              <w:t>被保险人</w:t>
            </w:r>
            <w:r>
              <w:rPr>
                <w:rFonts w:hint="eastAsia" w:ascii="宋体" w:hAnsi="宋体" w:cs="宋体"/>
                <w:bCs/>
                <w:szCs w:val="21"/>
              </w:rPr>
              <w:t>有权解除合同。</w:t>
            </w:r>
          </w:p>
        </w:tc>
      </w:tr>
      <w:tr>
        <w:tblPrEx>
          <w:tblCellMar>
            <w:top w:w="0" w:type="dxa"/>
            <w:left w:w="0" w:type="dxa"/>
            <w:bottom w:w="0" w:type="dxa"/>
            <w:right w:w="0" w:type="dxa"/>
          </w:tblCellMar>
        </w:tblPrEx>
        <w:trPr>
          <w:trHeight w:val="358"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rPr>
                <w:rFonts w:hint="eastAsia" w:ascii="宋体" w:hAnsi="宋体" w:cs="宋体"/>
                <w:bCs/>
                <w:szCs w:val="21"/>
              </w:rPr>
            </w:pPr>
            <w:r>
              <w:rPr>
                <w:rFonts w:hint="eastAsia" w:ascii="宋体" w:hAnsi="宋体" w:cs="宋体"/>
                <w:bCs/>
                <w:szCs w:val="21"/>
              </w:rPr>
              <w:t xml:space="preserve">当综合考评分90分以上（含90分）时，按照《运营公司承包商安全管理办法》进行考核，当综合考评分数在90分以下时，按照此表扣除相对应的服务费，扣除费用不再支付。同时，谈判单位应遵守《运营公司承包商安全管理办法》相关规定。 </w:t>
            </w:r>
          </w:p>
        </w:tc>
      </w:tr>
    </w:tbl>
    <w:p>
      <w:pPr>
        <w:pStyle w:val="2"/>
        <w:rPr>
          <w:rFonts w:hint="default"/>
          <w:lang w:val="en-US" w:eastAsia="zh-CN"/>
        </w:rPr>
      </w:pPr>
    </w:p>
    <w:sectPr>
      <w:footerReference r:id="rId4" w:type="default"/>
      <w:pgSz w:w="11906" w:h="16838"/>
      <w:pgMar w:top="1418"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firstLine="5565" w:firstLineChars="265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p>
    <w:pPr>
      <w:pStyle w:val="9"/>
      <w:ind w:firstLine="5565" w:firstLineChars="265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18E1"/>
    <w:multiLevelType w:val="multilevel"/>
    <w:tmpl w:val="D30618E1"/>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DBC861DF"/>
    <w:multiLevelType w:val="singleLevel"/>
    <w:tmpl w:val="DBC861DF"/>
    <w:lvl w:ilvl="0" w:tentative="0">
      <w:start w:val="1"/>
      <w:numFmt w:val="chineseCounting"/>
      <w:suff w:val="nothing"/>
      <w:lvlText w:val="%1、"/>
      <w:lvlJc w:val="left"/>
      <w:rPr>
        <w:rFonts w:hint="eastAsia"/>
        <w:sz w:val="32"/>
        <w:szCs w:val="32"/>
      </w:rPr>
    </w:lvl>
  </w:abstractNum>
  <w:abstractNum w:abstractNumId="2">
    <w:nsid w:val="EC054122"/>
    <w:multiLevelType w:val="multilevel"/>
    <w:tmpl w:val="EC054122"/>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D1516BE"/>
    <w:multiLevelType w:val="multilevel"/>
    <w:tmpl w:val="0D1516BE"/>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CE5FE73"/>
    <w:multiLevelType w:val="singleLevel"/>
    <w:tmpl w:val="6CE5FE73"/>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27"/>
    <w:rsid w:val="00065D11"/>
    <w:rsid w:val="00073365"/>
    <w:rsid w:val="00074960"/>
    <w:rsid w:val="000B28C5"/>
    <w:rsid w:val="000C1123"/>
    <w:rsid w:val="000C51EC"/>
    <w:rsid w:val="00144110"/>
    <w:rsid w:val="00165772"/>
    <w:rsid w:val="001D2876"/>
    <w:rsid w:val="001E078E"/>
    <w:rsid w:val="002B03A4"/>
    <w:rsid w:val="002F0D3D"/>
    <w:rsid w:val="00333D17"/>
    <w:rsid w:val="00376A32"/>
    <w:rsid w:val="003921CF"/>
    <w:rsid w:val="004634A1"/>
    <w:rsid w:val="00493764"/>
    <w:rsid w:val="0049552D"/>
    <w:rsid w:val="004A27E8"/>
    <w:rsid w:val="004C3D97"/>
    <w:rsid w:val="00596C66"/>
    <w:rsid w:val="005A1C25"/>
    <w:rsid w:val="005A285C"/>
    <w:rsid w:val="005C452E"/>
    <w:rsid w:val="005E2B84"/>
    <w:rsid w:val="005F56EC"/>
    <w:rsid w:val="00660B33"/>
    <w:rsid w:val="0076039C"/>
    <w:rsid w:val="007C3765"/>
    <w:rsid w:val="008A43CE"/>
    <w:rsid w:val="008A4573"/>
    <w:rsid w:val="008A7040"/>
    <w:rsid w:val="008E6A1E"/>
    <w:rsid w:val="009811D1"/>
    <w:rsid w:val="00982622"/>
    <w:rsid w:val="00A06C5A"/>
    <w:rsid w:val="00A20759"/>
    <w:rsid w:val="00A6495D"/>
    <w:rsid w:val="00A84679"/>
    <w:rsid w:val="00B0460C"/>
    <w:rsid w:val="00B54BEE"/>
    <w:rsid w:val="00B96ECE"/>
    <w:rsid w:val="00BA4E7F"/>
    <w:rsid w:val="00BE2E0C"/>
    <w:rsid w:val="00C1448F"/>
    <w:rsid w:val="00C3011B"/>
    <w:rsid w:val="00C7721F"/>
    <w:rsid w:val="00CC2E95"/>
    <w:rsid w:val="00D419B0"/>
    <w:rsid w:val="00D84078"/>
    <w:rsid w:val="00DC767D"/>
    <w:rsid w:val="00DD5026"/>
    <w:rsid w:val="00DF1511"/>
    <w:rsid w:val="00E03FFF"/>
    <w:rsid w:val="00E14764"/>
    <w:rsid w:val="00E40514"/>
    <w:rsid w:val="00E467D3"/>
    <w:rsid w:val="00EC77C0"/>
    <w:rsid w:val="00ED2F02"/>
    <w:rsid w:val="00F41B69"/>
    <w:rsid w:val="00F97727"/>
    <w:rsid w:val="01377A38"/>
    <w:rsid w:val="017F26B1"/>
    <w:rsid w:val="01A330E8"/>
    <w:rsid w:val="01D95DC0"/>
    <w:rsid w:val="02307C65"/>
    <w:rsid w:val="02AD7EA6"/>
    <w:rsid w:val="02BB5FE0"/>
    <w:rsid w:val="02D02D43"/>
    <w:rsid w:val="02DA0501"/>
    <w:rsid w:val="03451A26"/>
    <w:rsid w:val="036A7E90"/>
    <w:rsid w:val="0381095F"/>
    <w:rsid w:val="03B86859"/>
    <w:rsid w:val="03BE3BC2"/>
    <w:rsid w:val="0418521C"/>
    <w:rsid w:val="045C02EB"/>
    <w:rsid w:val="04A0622D"/>
    <w:rsid w:val="04AB4B55"/>
    <w:rsid w:val="04C542F7"/>
    <w:rsid w:val="04C611D0"/>
    <w:rsid w:val="04D66D0E"/>
    <w:rsid w:val="04EE56F9"/>
    <w:rsid w:val="0513654D"/>
    <w:rsid w:val="053E0BEF"/>
    <w:rsid w:val="05646583"/>
    <w:rsid w:val="057125B5"/>
    <w:rsid w:val="05C2695D"/>
    <w:rsid w:val="05CF0D51"/>
    <w:rsid w:val="064140C8"/>
    <w:rsid w:val="06461281"/>
    <w:rsid w:val="066153C3"/>
    <w:rsid w:val="06BB6DF2"/>
    <w:rsid w:val="06C83979"/>
    <w:rsid w:val="06E10DBC"/>
    <w:rsid w:val="072D54EF"/>
    <w:rsid w:val="076D32DD"/>
    <w:rsid w:val="081F05EF"/>
    <w:rsid w:val="082A328A"/>
    <w:rsid w:val="08504AC5"/>
    <w:rsid w:val="08B75CA7"/>
    <w:rsid w:val="08DF5373"/>
    <w:rsid w:val="096A4028"/>
    <w:rsid w:val="09D477A8"/>
    <w:rsid w:val="09EB28A1"/>
    <w:rsid w:val="0A317292"/>
    <w:rsid w:val="0A5C66D9"/>
    <w:rsid w:val="0A9C0030"/>
    <w:rsid w:val="0AA15CCF"/>
    <w:rsid w:val="0AC87DE5"/>
    <w:rsid w:val="0B1C653D"/>
    <w:rsid w:val="0B1E4695"/>
    <w:rsid w:val="0B8E57E1"/>
    <w:rsid w:val="0BA37261"/>
    <w:rsid w:val="0BC20D86"/>
    <w:rsid w:val="0BCC6C61"/>
    <w:rsid w:val="0BDA2D67"/>
    <w:rsid w:val="0BF040CD"/>
    <w:rsid w:val="0BF2380D"/>
    <w:rsid w:val="0C2449C8"/>
    <w:rsid w:val="0C3F0EE9"/>
    <w:rsid w:val="0C880BA0"/>
    <w:rsid w:val="0CAB17EC"/>
    <w:rsid w:val="0D0D66B9"/>
    <w:rsid w:val="0D5B4CE4"/>
    <w:rsid w:val="0D6410E6"/>
    <w:rsid w:val="0D9E1BF9"/>
    <w:rsid w:val="0DAE4995"/>
    <w:rsid w:val="0DF17088"/>
    <w:rsid w:val="0E4E24C7"/>
    <w:rsid w:val="0E50525E"/>
    <w:rsid w:val="0E891407"/>
    <w:rsid w:val="0EA21857"/>
    <w:rsid w:val="0EB90492"/>
    <w:rsid w:val="0EC10F4B"/>
    <w:rsid w:val="0F993A87"/>
    <w:rsid w:val="0FDC1639"/>
    <w:rsid w:val="0FFB3E98"/>
    <w:rsid w:val="10243135"/>
    <w:rsid w:val="10477685"/>
    <w:rsid w:val="10C167CE"/>
    <w:rsid w:val="111119AC"/>
    <w:rsid w:val="113D6FD6"/>
    <w:rsid w:val="117669F0"/>
    <w:rsid w:val="11D1155B"/>
    <w:rsid w:val="11FC1356"/>
    <w:rsid w:val="120775D7"/>
    <w:rsid w:val="123A7874"/>
    <w:rsid w:val="124B6500"/>
    <w:rsid w:val="125540EA"/>
    <w:rsid w:val="12564C87"/>
    <w:rsid w:val="12701FCE"/>
    <w:rsid w:val="12C85B27"/>
    <w:rsid w:val="12FB1844"/>
    <w:rsid w:val="13053647"/>
    <w:rsid w:val="133406F6"/>
    <w:rsid w:val="133C1702"/>
    <w:rsid w:val="133E4F0A"/>
    <w:rsid w:val="13532276"/>
    <w:rsid w:val="139B1BB5"/>
    <w:rsid w:val="13CB32CC"/>
    <w:rsid w:val="13E33B84"/>
    <w:rsid w:val="13EC6B3D"/>
    <w:rsid w:val="14001CCC"/>
    <w:rsid w:val="14383ED4"/>
    <w:rsid w:val="143F673F"/>
    <w:rsid w:val="14780966"/>
    <w:rsid w:val="14F13F43"/>
    <w:rsid w:val="1524665A"/>
    <w:rsid w:val="155D0DFF"/>
    <w:rsid w:val="15901729"/>
    <w:rsid w:val="15984704"/>
    <w:rsid w:val="159F6889"/>
    <w:rsid w:val="15AB6760"/>
    <w:rsid w:val="15DA7548"/>
    <w:rsid w:val="15E50ABD"/>
    <w:rsid w:val="15F86C35"/>
    <w:rsid w:val="167E041D"/>
    <w:rsid w:val="16E333FD"/>
    <w:rsid w:val="16F46A64"/>
    <w:rsid w:val="16F759D3"/>
    <w:rsid w:val="17083774"/>
    <w:rsid w:val="171A7742"/>
    <w:rsid w:val="17383F20"/>
    <w:rsid w:val="173F2B97"/>
    <w:rsid w:val="174C34B1"/>
    <w:rsid w:val="17571232"/>
    <w:rsid w:val="17677677"/>
    <w:rsid w:val="17AF77ED"/>
    <w:rsid w:val="17C44286"/>
    <w:rsid w:val="17FD59EA"/>
    <w:rsid w:val="1804545B"/>
    <w:rsid w:val="185775F5"/>
    <w:rsid w:val="185D62F6"/>
    <w:rsid w:val="18BF1429"/>
    <w:rsid w:val="18F9239E"/>
    <w:rsid w:val="191846F5"/>
    <w:rsid w:val="191A3D60"/>
    <w:rsid w:val="191F3EB3"/>
    <w:rsid w:val="19E02067"/>
    <w:rsid w:val="19E44E8B"/>
    <w:rsid w:val="1A667215"/>
    <w:rsid w:val="1ADE773D"/>
    <w:rsid w:val="1B541055"/>
    <w:rsid w:val="1BB2369A"/>
    <w:rsid w:val="1BBC119A"/>
    <w:rsid w:val="1BC7354C"/>
    <w:rsid w:val="1C184346"/>
    <w:rsid w:val="1C362240"/>
    <w:rsid w:val="1C855229"/>
    <w:rsid w:val="1C870A90"/>
    <w:rsid w:val="1CBA5E8A"/>
    <w:rsid w:val="1CE70820"/>
    <w:rsid w:val="1D3A3872"/>
    <w:rsid w:val="1D485C24"/>
    <w:rsid w:val="1DA544AC"/>
    <w:rsid w:val="1E170944"/>
    <w:rsid w:val="1E5D696C"/>
    <w:rsid w:val="1E6677EF"/>
    <w:rsid w:val="1ECC2CA1"/>
    <w:rsid w:val="1EDE2639"/>
    <w:rsid w:val="1EEC57DD"/>
    <w:rsid w:val="1F9A333A"/>
    <w:rsid w:val="1FBA383C"/>
    <w:rsid w:val="1FF0469F"/>
    <w:rsid w:val="20162C5A"/>
    <w:rsid w:val="203D5474"/>
    <w:rsid w:val="204E0F70"/>
    <w:rsid w:val="20926387"/>
    <w:rsid w:val="21311F94"/>
    <w:rsid w:val="21BF226C"/>
    <w:rsid w:val="21D03FE8"/>
    <w:rsid w:val="221C2D39"/>
    <w:rsid w:val="225267F4"/>
    <w:rsid w:val="225E7D16"/>
    <w:rsid w:val="2271058E"/>
    <w:rsid w:val="22A5587A"/>
    <w:rsid w:val="22F337B3"/>
    <w:rsid w:val="237A7416"/>
    <w:rsid w:val="237E1E86"/>
    <w:rsid w:val="23BF162E"/>
    <w:rsid w:val="23C10403"/>
    <w:rsid w:val="23D902C0"/>
    <w:rsid w:val="23E27C97"/>
    <w:rsid w:val="23F96B55"/>
    <w:rsid w:val="23FA7B27"/>
    <w:rsid w:val="241D3C97"/>
    <w:rsid w:val="2452747C"/>
    <w:rsid w:val="246C062E"/>
    <w:rsid w:val="248E0112"/>
    <w:rsid w:val="24B56371"/>
    <w:rsid w:val="24C529C0"/>
    <w:rsid w:val="24E3757B"/>
    <w:rsid w:val="25495F6A"/>
    <w:rsid w:val="2566090C"/>
    <w:rsid w:val="25730473"/>
    <w:rsid w:val="25790BDA"/>
    <w:rsid w:val="25C16668"/>
    <w:rsid w:val="25C7306F"/>
    <w:rsid w:val="26293CDC"/>
    <w:rsid w:val="265A248A"/>
    <w:rsid w:val="26D833A4"/>
    <w:rsid w:val="26D8527C"/>
    <w:rsid w:val="27254DBB"/>
    <w:rsid w:val="27594245"/>
    <w:rsid w:val="282431A8"/>
    <w:rsid w:val="28B639BD"/>
    <w:rsid w:val="28C61AEE"/>
    <w:rsid w:val="29364328"/>
    <w:rsid w:val="29574EDA"/>
    <w:rsid w:val="297D72EB"/>
    <w:rsid w:val="29A1632E"/>
    <w:rsid w:val="29D55634"/>
    <w:rsid w:val="29E50CD3"/>
    <w:rsid w:val="29E957BB"/>
    <w:rsid w:val="2A4C6E93"/>
    <w:rsid w:val="2A580427"/>
    <w:rsid w:val="2AE77661"/>
    <w:rsid w:val="2B0E5E67"/>
    <w:rsid w:val="2B220342"/>
    <w:rsid w:val="2B4E35F0"/>
    <w:rsid w:val="2B710050"/>
    <w:rsid w:val="2BE04D2A"/>
    <w:rsid w:val="2C54504A"/>
    <w:rsid w:val="2C6408C5"/>
    <w:rsid w:val="2C70332B"/>
    <w:rsid w:val="2CB66690"/>
    <w:rsid w:val="2CCC0563"/>
    <w:rsid w:val="2CD109C3"/>
    <w:rsid w:val="2CFD00DE"/>
    <w:rsid w:val="2D1041BF"/>
    <w:rsid w:val="2D8E6C77"/>
    <w:rsid w:val="2DBD73FD"/>
    <w:rsid w:val="2DE405EB"/>
    <w:rsid w:val="2E0025B7"/>
    <w:rsid w:val="2E5B34B7"/>
    <w:rsid w:val="2EC917A6"/>
    <w:rsid w:val="2EE262A8"/>
    <w:rsid w:val="2F367242"/>
    <w:rsid w:val="2F697E53"/>
    <w:rsid w:val="2FAF7A69"/>
    <w:rsid w:val="2FB648D3"/>
    <w:rsid w:val="2FCE12FE"/>
    <w:rsid w:val="2FE62B6C"/>
    <w:rsid w:val="2FF2729C"/>
    <w:rsid w:val="30056203"/>
    <w:rsid w:val="307C7839"/>
    <w:rsid w:val="30815098"/>
    <w:rsid w:val="30BD38BF"/>
    <w:rsid w:val="30C562A8"/>
    <w:rsid w:val="31037870"/>
    <w:rsid w:val="310912E1"/>
    <w:rsid w:val="31486CC1"/>
    <w:rsid w:val="31531CF5"/>
    <w:rsid w:val="32053735"/>
    <w:rsid w:val="322820BD"/>
    <w:rsid w:val="32421233"/>
    <w:rsid w:val="32523826"/>
    <w:rsid w:val="32DE3277"/>
    <w:rsid w:val="335C58C6"/>
    <w:rsid w:val="337A18F0"/>
    <w:rsid w:val="337B597C"/>
    <w:rsid w:val="339B2250"/>
    <w:rsid w:val="33AB1956"/>
    <w:rsid w:val="33D443F0"/>
    <w:rsid w:val="34491710"/>
    <w:rsid w:val="34B53604"/>
    <w:rsid w:val="350553C5"/>
    <w:rsid w:val="35406F57"/>
    <w:rsid w:val="35442278"/>
    <w:rsid w:val="35542198"/>
    <w:rsid w:val="35564B31"/>
    <w:rsid w:val="358433EE"/>
    <w:rsid w:val="358D49BE"/>
    <w:rsid w:val="35D7029E"/>
    <w:rsid w:val="36642EAD"/>
    <w:rsid w:val="367C42F6"/>
    <w:rsid w:val="367C4319"/>
    <w:rsid w:val="36A936AC"/>
    <w:rsid w:val="36AE1EFB"/>
    <w:rsid w:val="36D15830"/>
    <w:rsid w:val="36F346E6"/>
    <w:rsid w:val="372D40D3"/>
    <w:rsid w:val="37476FA9"/>
    <w:rsid w:val="37593B8B"/>
    <w:rsid w:val="37631E84"/>
    <w:rsid w:val="377F7D2F"/>
    <w:rsid w:val="37D820E0"/>
    <w:rsid w:val="37E6447E"/>
    <w:rsid w:val="384E4329"/>
    <w:rsid w:val="3865203A"/>
    <w:rsid w:val="38A863BA"/>
    <w:rsid w:val="39033173"/>
    <w:rsid w:val="394A5440"/>
    <w:rsid w:val="397E0BDB"/>
    <w:rsid w:val="39A6253C"/>
    <w:rsid w:val="3A025DAC"/>
    <w:rsid w:val="3AB17520"/>
    <w:rsid w:val="3BA75915"/>
    <w:rsid w:val="3BCF1061"/>
    <w:rsid w:val="3C47659F"/>
    <w:rsid w:val="3C500BAD"/>
    <w:rsid w:val="3C504F08"/>
    <w:rsid w:val="3C60092E"/>
    <w:rsid w:val="3CAD599C"/>
    <w:rsid w:val="3CC20F9E"/>
    <w:rsid w:val="3CDB0EDC"/>
    <w:rsid w:val="3D2C512C"/>
    <w:rsid w:val="3D570C4C"/>
    <w:rsid w:val="3DB27E4D"/>
    <w:rsid w:val="3E482D8E"/>
    <w:rsid w:val="3E4B0C08"/>
    <w:rsid w:val="3E8B4C14"/>
    <w:rsid w:val="3EA649C7"/>
    <w:rsid w:val="3ECF7ACE"/>
    <w:rsid w:val="3ED14262"/>
    <w:rsid w:val="3EED7FFC"/>
    <w:rsid w:val="3F08099A"/>
    <w:rsid w:val="3F2E28E3"/>
    <w:rsid w:val="3F3467CC"/>
    <w:rsid w:val="3F5C3E49"/>
    <w:rsid w:val="3F5E0E11"/>
    <w:rsid w:val="3F874DDC"/>
    <w:rsid w:val="40002998"/>
    <w:rsid w:val="40425568"/>
    <w:rsid w:val="40505A0E"/>
    <w:rsid w:val="40E0716F"/>
    <w:rsid w:val="40F17EE9"/>
    <w:rsid w:val="40F3327D"/>
    <w:rsid w:val="40FB327F"/>
    <w:rsid w:val="412B5E67"/>
    <w:rsid w:val="41412C24"/>
    <w:rsid w:val="4148678C"/>
    <w:rsid w:val="41D06FFE"/>
    <w:rsid w:val="41DC2F67"/>
    <w:rsid w:val="423C3799"/>
    <w:rsid w:val="423D0BFA"/>
    <w:rsid w:val="425B5012"/>
    <w:rsid w:val="4280285B"/>
    <w:rsid w:val="42A31AC3"/>
    <w:rsid w:val="42C451B6"/>
    <w:rsid w:val="430000B4"/>
    <w:rsid w:val="436951DF"/>
    <w:rsid w:val="436E2BF3"/>
    <w:rsid w:val="437E24F6"/>
    <w:rsid w:val="43B40E86"/>
    <w:rsid w:val="43B474B0"/>
    <w:rsid w:val="442F6E6F"/>
    <w:rsid w:val="44E77038"/>
    <w:rsid w:val="4504720F"/>
    <w:rsid w:val="45226174"/>
    <w:rsid w:val="453F13AC"/>
    <w:rsid w:val="454025A2"/>
    <w:rsid w:val="45D1640A"/>
    <w:rsid w:val="45E76B23"/>
    <w:rsid w:val="45ED5688"/>
    <w:rsid w:val="45F02A71"/>
    <w:rsid w:val="46195C5A"/>
    <w:rsid w:val="46663A5C"/>
    <w:rsid w:val="4675498D"/>
    <w:rsid w:val="47785652"/>
    <w:rsid w:val="47AE53CB"/>
    <w:rsid w:val="47C15101"/>
    <w:rsid w:val="47E25E0C"/>
    <w:rsid w:val="47F1411A"/>
    <w:rsid w:val="481E3746"/>
    <w:rsid w:val="484B21B3"/>
    <w:rsid w:val="48AA2599"/>
    <w:rsid w:val="48B576DB"/>
    <w:rsid w:val="49262D81"/>
    <w:rsid w:val="49663A4E"/>
    <w:rsid w:val="496857C4"/>
    <w:rsid w:val="4982569D"/>
    <w:rsid w:val="49D943E2"/>
    <w:rsid w:val="4A072909"/>
    <w:rsid w:val="4A542529"/>
    <w:rsid w:val="4A584382"/>
    <w:rsid w:val="4AA0552C"/>
    <w:rsid w:val="4AB477CA"/>
    <w:rsid w:val="4B4F73AD"/>
    <w:rsid w:val="4B721D9A"/>
    <w:rsid w:val="4BD24D2C"/>
    <w:rsid w:val="4BD3396C"/>
    <w:rsid w:val="4C1F23ED"/>
    <w:rsid w:val="4C374C9B"/>
    <w:rsid w:val="4C466682"/>
    <w:rsid w:val="4C776DC2"/>
    <w:rsid w:val="4C9C7545"/>
    <w:rsid w:val="4CA5325B"/>
    <w:rsid w:val="4D077511"/>
    <w:rsid w:val="4D456C2B"/>
    <w:rsid w:val="4D493070"/>
    <w:rsid w:val="4D5B517B"/>
    <w:rsid w:val="4D5C651F"/>
    <w:rsid w:val="4DA77422"/>
    <w:rsid w:val="4DB06D70"/>
    <w:rsid w:val="4DC51704"/>
    <w:rsid w:val="4DEE59C9"/>
    <w:rsid w:val="4E236D79"/>
    <w:rsid w:val="4E3D4943"/>
    <w:rsid w:val="4E520E56"/>
    <w:rsid w:val="4E7E7D46"/>
    <w:rsid w:val="4F597C48"/>
    <w:rsid w:val="4FCD4229"/>
    <w:rsid w:val="4FE13884"/>
    <w:rsid w:val="4FE472D6"/>
    <w:rsid w:val="4FFA0B79"/>
    <w:rsid w:val="504F5F34"/>
    <w:rsid w:val="508064A9"/>
    <w:rsid w:val="50AF5EF2"/>
    <w:rsid w:val="50C65723"/>
    <w:rsid w:val="50E13EFD"/>
    <w:rsid w:val="50EB73CB"/>
    <w:rsid w:val="51066AF9"/>
    <w:rsid w:val="510B76C8"/>
    <w:rsid w:val="516A06FE"/>
    <w:rsid w:val="51D12F3D"/>
    <w:rsid w:val="51F16D3D"/>
    <w:rsid w:val="520D2372"/>
    <w:rsid w:val="528F4E21"/>
    <w:rsid w:val="52CE4C84"/>
    <w:rsid w:val="52F9396E"/>
    <w:rsid w:val="53077C6D"/>
    <w:rsid w:val="53130849"/>
    <w:rsid w:val="537F55F9"/>
    <w:rsid w:val="53982883"/>
    <w:rsid w:val="53D71F1B"/>
    <w:rsid w:val="53E944A4"/>
    <w:rsid w:val="5400479B"/>
    <w:rsid w:val="543B4E86"/>
    <w:rsid w:val="5457607E"/>
    <w:rsid w:val="546578E3"/>
    <w:rsid w:val="548712CA"/>
    <w:rsid w:val="54905667"/>
    <w:rsid w:val="54A44A46"/>
    <w:rsid w:val="54B14179"/>
    <w:rsid w:val="54B606E1"/>
    <w:rsid w:val="550F45E8"/>
    <w:rsid w:val="551230CA"/>
    <w:rsid w:val="552A78E6"/>
    <w:rsid w:val="5553398A"/>
    <w:rsid w:val="555D53DC"/>
    <w:rsid w:val="55D67E81"/>
    <w:rsid w:val="561A74BC"/>
    <w:rsid w:val="563F30EA"/>
    <w:rsid w:val="56520750"/>
    <w:rsid w:val="56AA2122"/>
    <w:rsid w:val="578B558F"/>
    <w:rsid w:val="581F2EE8"/>
    <w:rsid w:val="582A4ABB"/>
    <w:rsid w:val="586456A3"/>
    <w:rsid w:val="59274F8D"/>
    <w:rsid w:val="592B6AEA"/>
    <w:rsid w:val="593C3567"/>
    <w:rsid w:val="596C14E7"/>
    <w:rsid w:val="598A39F6"/>
    <w:rsid w:val="59A72A6E"/>
    <w:rsid w:val="59AE73C0"/>
    <w:rsid w:val="5A045947"/>
    <w:rsid w:val="5A330A81"/>
    <w:rsid w:val="5A635D8A"/>
    <w:rsid w:val="5AAA34A2"/>
    <w:rsid w:val="5B131433"/>
    <w:rsid w:val="5B7139A2"/>
    <w:rsid w:val="5B8442AC"/>
    <w:rsid w:val="5B937CC4"/>
    <w:rsid w:val="5BB3540B"/>
    <w:rsid w:val="5BBA587D"/>
    <w:rsid w:val="5BE06141"/>
    <w:rsid w:val="5C7419DB"/>
    <w:rsid w:val="5C7E31D7"/>
    <w:rsid w:val="5CC478D6"/>
    <w:rsid w:val="5D1C1491"/>
    <w:rsid w:val="5D1F5DC3"/>
    <w:rsid w:val="5D48702D"/>
    <w:rsid w:val="5DD94FC3"/>
    <w:rsid w:val="5E094B29"/>
    <w:rsid w:val="5E19754C"/>
    <w:rsid w:val="5E306F9C"/>
    <w:rsid w:val="5E352648"/>
    <w:rsid w:val="5E4A120D"/>
    <w:rsid w:val="5E832FD6"/>
    <w:rsid w:val="5EC50B04"/>
    <w:rsid w:val="5EE77B92"/>
    <w:rsid w:val="5F0C18E2"/>
    <w:rsid w:val="5FB0265A"/>
    <w:rsid w:val="5FC47A71"/>
    <w:rsid w:val="5FF01B4D"/>
    <w:rsid w:val="5FF1523C"/>
    <w:rsid w:val="5FF522DF"/>
    <w:rsid w:val="604626CA"/>
    <w:rsid w:val="60616F2D"/>
    <w:rsid w:val="60CD7F53"/>
    <w:rsid w:val="60D57F99"/>
    <w:rsid w:val="60DE116A"/>
    <w:rsid w:val="61030277"/>
    <w:rsid w:val="613B2646"/>
    <w:rsid w:val="613E1A0B"/>
    <w:rsid w:val="61425C70"/>
    <w:rsid w:val="6173619D"/>
    <w:rsid w:val="626961AE"/>
    <w:rsid w:val="62744E5F"/>
    <w:rsid w:val="62792902"/>
    <w:rsid w:val="62A413AE"/>
    <w:rsid w:val="64050BB7"/>
    <w:rsid w:val="64156739"/>
    <w:rsid w:val="642022A2"/>
    <w:rsid w:val="646702D2"/>
    <w:rsid w:val="64B0311C"/>
    <w:rsid w:val="64CC66ED"/>
    <w:rsid w:val="64DA7BB5"/>
    <w:rsid w:val="65410C2F"/>
    <w:rsid w:val="65966D25"/>
    <w:rsid w:val="65A72DE1"/>
    <w:rsid w:val="66077809"/>
    <w:rsid w:val="662609EA"/>
    <w:rsid w:val="66383F38"/>
    <w:rsid w:val="663B5958"/>
    <w:rsid w:val="66696441"/>
    <w:rsid w:val="667550BC"/>
    <w:rsid w:val="668A7680"/>
    <w:rsid w:val="66974F6A"/>
    <w:rsid w:val="670F0A2D"/>
    <w:rsid w:val="68283E04"/>
    <w:rsid w:val="687173B8"/>
    <w:rsid w:val="68C73207"/>
    <w:rsid w:val="68F93A59"/>
    <w:rsid w:val="691C3124"/>
    <w:rsid w:val="694567DC"/>
    <w:rsid w:val="695C4489"/>
    <w:rsid w:val="69831748"/>
    <w:rsid w:val="69CD43EE"/>
    <w:rsid w:val="69E36FB2"/>
    <w:rsid w:val="6A0F0E8C"/>
    <w:rsid w:val="6A2E5D0A"/>
    <w:rsid w:val="6A59734A"/>
    <w:rsid w:val="6A9A1332"/>
    <w:rsid w:val="6A9B7ACC"/>
    <w:rsid w:val="6AFC118B"/>
    <w:rsid w:val="6B081FF5"/>
    <w:rsid w:val="6BD01241"/>
    <w:rsid w:val="6BE8251D"/>
    <w:rsid w:val="6BEE1E7E"/>
    <w:rsid w:val="6BF67F65"/>
    <w:rsid w:val="6C3D5610"/>
    <w:rsid w:val="6C98366D"/>
    <w:rsid w:val="6CA004D6"/>
    <w:rsid w:val="6CDE386C"/>
    <w:rsid w:val="6D327A7A"/>
    <w:rsid w:val="6D881B23"/>
    <w:rsid w:val="6E5D1FA9"/>
    <w:rsid w:val="6EF10E87"/>
    <w:rsid w:val="6F0649EE"/>
    <w:rsid w:val="6F076E82"/>
    <w:rsid w:val="6F211DF3"/>
    <w:rsid w:val="6F3B0A6A"/>
    <w:rsid w:val="6F4B0854"/>
    <w:rsid w:val="6F5E7AED"/>
    <w:rsid w:val="6F740D92"/>
    <w:rsid w:val="6F984A86"/>
    <w:rsid w:val="6FD10860"/>
    <w:rsid w:val="6FF00DB7"/>
    <w:rsid w:val="7043721F"/>
    <w:rsid w:val="70541253"/>
    <w:rsid w:val="708A2DB1"/>
    <w:rsid w:val="709033E9"/>
    <w:rsid w:val="709D458D"/>
    <w:rsid w:val="70A347A6"/>
    <w:rsid w:val="70B32F13"/>
    <w:rsid w:val="70CE22F9"/>
    <w:rsid w:val="70F441BC"/>
    <w:rsid w:val="70F501D0"/>
    <w:rsid w:val="71770940"/>
    <w:rsid w:val="71844C7D"/>
    <w:rsid w:val="71D95463"/>
    <w:rsid w:val="721F7604"/>
    <w:rsid w:val="722F6214"/>
    <w:rsid w:val="7270015F"/>
    <w:rsid w:val="72733F96"/>
    <w:rsid w:val="729E01C9"/>
    <w:rsid w:val="72A33176"/>
    <w:rsid w:val="73276453"/>
    <w:rsid w:val="73AA5EFF"/>
    <w:rsid w:val="73BC2AE2"/>
    <w:rsid w:val="73C152E8"/>
    <w:rsid w:val="73EE70A7"/>
    <w:rsid w:val="7423580B"/>
    <w:rsid w:val="744D1C62"/>
    <w:rsid w:val="74C96611"/>
    <w:rsid w:val="74F8749A"/>
    <w:rsid w:val="756669E6"/>
    <w:rsid w:val="75963A31"/>
    <w:rsid w:val="75D53EB1"/>
    <w:rsid w:val="7678221C"/>
    <w:rsid w:val="76E0610B"/>
    <w:rsid w:val="77093919"/>
    <w:rsid w:val="770E4C5A"/>
    <w:rsid w:val="772327DB"/>
    <w:rsid w:val="774B1F62"/>
    <w:rsid w:val="774F724C"/>
    <w:rsid w:val="77E15781"/>
    <w:rsid w:val="77FE1472"/>
    <w:rsid w:val="78165CA9"/>
    <w:rsid w:val="782A0710"/>
    <w:rsid w:val="783C4CF7"/>
    <w:rsid w:val="792D193F"/>
    <w:rsid w:val="7953212F"/>
    <w:rsid w:val="7968147E"/>
    <w:rsid w:val="797738FC"/>
    <w:rsid w:val="79A745BE"/>
    <w:rsid w:val="79C34747"/>
    <w:rsid w:val="79D43D96"/>
    <w:rsid w:val="7A3B258A"/>
    <w:rsid w:val="7A3E244D"/>
    <w:rsid w:val="7A95235D"/>
    <w:rsid w:val="7AAB223C"/>
    <w:rsid w:val="7AFF2B54"/>
    <w:rsid w:val="7B294FD9"/>
    <w:rsid w:val="7B3B3DC4"/>
    <w:rsid w:val="7BB21B5D"/>
    <w:rsid w:val="7BB9407E"/>
    <w:rsid w:val="7C696AA9"/>
    <w:rsid w:val="7C7F27FF"/>
    <w:rsid w:val="7C9361F3"/>
    <w:rsid w:val="7D340C7F"/>
    <w:rsid w:val="7D6E1519"/>
    <w:rsid w:val="7D9E3AA1"/>
    <w:rsid w:val="7DA8084B"/>
    <w:rsid w:val="7DAE0C15"/>
    <w:rsid w:val="7DF40323"/>
    <w:rsid w:val="7E3013A8"/>
    <w:rsid w:val="7E394FA5"/>
    <w:rsid w:val="7E5D338D"/>
    <w:rsid w:val="7E7B2C16"/>
    <w:rsid w:val="7E866B7A"/>
    <w:rsid w:val="7EBE700F"/>
    <w:rsid w:val="7ECA7384"/>
    <w:rsid w:val="7EE721FD"/>
    <w:rsid w:val="7F4F0C77"/>
    <w:rsid w:val="7F7832D1"/>
    <w:rsid w:val="7FE2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adjustRightInd w:val="0"/>
      <w:snapToGrid w:val="0"/>
      <w:spacing w:line="360" w:lineRule="auto"/>
      <w:jc w:val="center"/>
      <w:outlineLvl w:val="1"/>
    </w:pPr>
    <w:rPr>
      <w:rFonts w:ascii="宋体" w:hAnsi="Arial"/>
      <w:b/>
      <w:bCs/>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qFormat/>
    <w:uiPriority w:val="0"/>
    <w:pPr>
      <w:spacing w:after="120"/>
      <w:ind w:left="420" w:leftChars="200"/>
    </w:pPr>
  </w:style>
  <w:style w:type="paragraph" w:styleId="5">
    <w:name w:val="Normal Indent"/>
    <w:basedOn w:val="1"/>
    <w:qFormat/>
    <w:uiPriority w:val="0"/>
    <w:pPr>
      <w:spacing w:line="300" w:lineRule="auto"/>
      <w:ind w:firstLine="200" w:firstLineChars="200"/>
    </w:pPr>
    <w:rPr>
      <w:kern w:val="0"/>
      <w:sz w:val="24"/>
      <w:szCs w:val="20"/>
    </w:rPr>
  </w:style>
  <w:style w:type="paragraph" w:styleId="6">
    <w:name w:val="annotation text"/>
    <w:basedOn w:val="1"/>
    <w:unhideWhenUsed/>
    <w:qFormat/>
    <w:uiPriority w:val="99"/>
    <w:pPr>
      <w:jc w:val="left"/>
    </w:pPr>
  </w:style>
  <w:style w:type="paragraph" w:styleId="7">
    <w:name w:val="Body Text"/>
    <w:basedOn w:val="1"/>
    <w:qFormat/>
    <w:uiPriority w:val="0"/>
    <w:pPr>
      <w:spacing w:after="120"/>
    </w:pPr>
  </w:style>
  <w:style w:type="paragraph" w:styleId="8">
    <w:name w:val="Balloon Text"/>
    <w:basedOn w:val="1"/>
    <w:link w:val="23"/>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Body Text First Indent"/>
    <w:basedOn w:val="7"/>
    <w:qFormat/>
    <w:uiPriority w:val="0"/>
    <w:pPr>
      <w:ind w:firstLine="420"/>
    </w:pPr>
    <w:rPr>
      <w:szCs w:val="20"/>
    </w:rPr>
  </w:style>
  <w:style w:type="character" w:styleId="16">
    <w:name w:val="Strong"/>
    <w:qFormat/>
    <w:uiPriority w:val="0"/>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页眉 Char"/>
    <w:basedOn w:val="15"/>
    <w:link w:val="10"/>
    <w:qFormat/>
    <w:uiPriority w:val="99"/>
    <w:rPr>
      <w:rFonts w:ascii="Times New Roman" w:hAnsi="Times New Roman" w:eastAsia="宋体" w:cs="Times New Roman"/>
      <w:sz w:val="18"/>
      <w:szCs w:val="18"/>
    </w:rPr>
  </w:style>
  <w:style w:type="character" w:customStyle="1" w:styleId="19">
    <w:name w:val="页脚 Char"/>
    <w:basedOn w:val="15"/>
    <w:link w:val="9"/>
    <w:qFormat/>
    <w:uiPriority w:val="99"/>
    <w:rPr>
      <w:rFonts w:ascii="Times New Roman" w:hAnsi="Times New Roman" w:eastAsia="宋体" w:cs="Times New Roman"/>
      <w:sz w:val="18"/>
      <w:szCs w:val="18"/>
    </w:rPr>
  </w:style>
  <w:style w:type="paragraph" w:customStyle="1" w:styleId="20">
    <w:name w:val="Char Char14"/>
    <w:basedOn w:val="1"/>
    <w:qFormat/>
    <w:uiPriority w:val="0"/>
    <w:rPr>
      <w:sz w:val="24"/>
    </w:rPr>
  </w:style>
  <w:style w:type="paragraph" w:customStyle="1" w:styleId="21">
    <w:name w:val="无间隔1"/>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5"/>
    <w:link w:val="21"/>
    <w:qFormat/>
    <w:uiPriority w:val="1"/>
    <w:rPr>
      <w:kern w:val="0"/>
      <w:sz w:val="22"/>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character" w:customStyle="1" w:styleId="24">
    <w:name w:val="font11"/>
    <w:basedOn w:val="1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4317C-2C48-46DC-872D-EF0C8F900603}">
  <ds:schemaRefs/>
</ds:datastoreItem>
</file>

<file path=docProps/app.xml><?xml version="1.0" encoding="utf-8"?>
<Properties xmlns="http://schemas.openxmlformats.org/officeDocument/2006/extended-properties" xmlns:vt="http://schemas.openxmlformats.org/officeDocument/2006/docPropsVTypes">
  <Template>Normal</Template>
  <Pages>13</Pages>
  <Words>2321</Words>
  <Characters>13231</Characters>
  <Lines>110</Lines>
  <Paragraphs>31</Paragraphs>
  <TotalTime>0</TotalTime>
  <ScaleCrop>false</ScaleCrop>
  <LinksUpToDate>false</LinksUpToDate>
  <CharactersWithSpaces>15521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2017-07-24T06:47:00Z</dcterms:created>
  <dc:creator>zc</dc:creator>
  <cp:lastModifiedBy>罗诗遥</cp:lastModifiedBy>
  <cp:lastPrinted>2021-11-25T08:12:00Z</cp:lastPrinted>
  <dcterms:modified xsi:type="dcterms:W3CDTF">2022-03-14T06:19:41Z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FA5842BDD1C34C3D9DE8D057C6592902</vt:lpwstr>
  </property>
</Properties>
</file>