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b/>
          <w:sz w:val="52"/>
          <w:szCs w:val="52"/>
        </w:rPr>
      </w:pPr>
    </w:p>
    <w:p>
      <w:pPr>
        <w:pStyle w:val="26"/>
        <w:jc w:val="center"/>
        <w:rPr>
          <w:rFonts w:hAnsi="宋体"/>
          <w:b/>
          <w:sz w:val="52"/>
          <w:szCs w:val="52"/>
        </w:rPr>
      </w:pPr>
    </w:p>
    <w:p>
      <w:pPr>
        <w:pStyle w:val="26"/>
        <w:jc w:val="center"/>
        <w:rPr>
          <w:rFonts w:hAnsi="宋体"/>
          <w:b/>
          <w:bCs/>
          <w:sz w:val="52"/>
          <w:szCs w:val="52"/>
        </w:rPr>
      </w:pPr>
      <w:r>
        <w:rPr>
          <w:rFonts w:hint="eastAsia" w:hAnsi="宋体"/>
          <w:b/>
          <w:sz w:val="52"/>
          <w:szCs w:val="52"/>
        </w:rPr>
        <w:t>长沙市轨道交通运营有限公司</w:t>
      </w:r>
    </w:p>
    <w:p>
      <w:pPr>
        <w:pStyle w:val="26"/>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6"/>
        <w:adjustRightInd w:val="0"/>
        <w:snapToGrid w:val="0"/>
        <w:spacing w:before="120" w:beforeLines="50" w:line="360" w:lineRule="auto"/>
        <w:rPr>
          <w:b/>
          <w:sz w:val="32"/>
          <w:szCs w:val="32"/>
        </w:rPr>
      </w:pPr>
    </w:p>
    <w:p>
      <w:pPr>
        <w:pStyle w:val="26"/>
        <w:adjustRightInd w:val="0"/>
        <w:snapToGrid w:val="0"/>
        <w:spacing w:line="360" w:lineRule="auto"/>
        <w:rPr>
          <w:rFonts w:ascii="华文中宋" w:hAnsi="华文中宋" w:eastAsia="华文中宋"/>
          <w:sz w:val="32"/>
          <w:szCs w:val="32"/>
        </w:rPr>
      </w:pPr>
    </w:p>
    <w:p>
      <w:pPr>
        <w:spacing w:line="360" w:lineRule="auto"/>
        <w:ind w:firstLine="321" w:firstLineChars="100"/>
        <w:rPr>
          <w:rFonts w:ascii="宋体" w:hAnsi="宋体" w:cs="Courier New"/>
          <w:b/>
          <w:sz w:val="32"/>
          <w:szCs w:val="21"/>
        </w:rPr>
      </w:pPr>
      <w:r>
        <w:rPr>
          <w:rFonts w:hint="eastAsia" w:ascii="宋体" w:hAnsi="宋体" w:cs="Courier New"/>
          <w:b/>
          <w:sz w:val="32"/>
          <w:szCs w:val="21"/>
        </w:rPr>
        <w:t>谈判项目名称：</w:t>
      </w:r>
      <w:r>
        <w:rPr>
          <w:rFonts w:hint="eastAsia" w:ascii="宋体" w:hAnsi="宋体" w:cs="Courier New"/>
          <w:b/>
          <w:sz w:val="32"/>
          <w:szCs w:val="21"/>
          <w:u w:val="single"/>
          <w:lang w:val="en-US" w:eastAsia="zh-CN"/>
        </w:rPr>
        <w:t>长沙市轨道交通1号线运营期2022年交通运输行业安全生产责任保险服务项目</w:t>
      </w:r>
    </w:p>
    <w:p>
      <w:pPr>
        <w:spacing w:line="360" w:lineRule="auto"/>
        <w:ind w:left="2240" w:firstLine="321" w:firstLineChars="100"/>
        <w:jc w:val="left"/>
        <w:rPr>
          <w:rFonts w:ascii="宋体" w:hAnsi="宋体" w:cs="Courier New"/>
          <w:b/>
          <w:sz w:val="32"/>
          <w:szCs w:val="21"/>
        </w:rPr>
      </w:pPr>
    </w:p>
    <w:p>
      <w:pPr>
        <w:pStyle w:val="26"/>
        <w:adjustRightInd w:val="0"/>
        <w:snapToGrid w:val="0"/>
        <w:spacing w:line="360" w:lineRule="auto"/>
        <w:ind w:firstLine="321" w:firstLineChars="100"/>
        <w:rPr>
          <w:rFonts w:hAnsi="宋体"/>
          <w:b/>
          <w:sz w:val="32"/>
        </w:rPr>
      </w:pPr>
      <w:r>
        <w:rPr>
          <w:rFonts w:hint="eastAsia" w:hAnsi="宋体"/>
          <w:b/>
          <w:sz w:val="32"/>
        </w:rPr>
        <w:t>采购单位名称：</w:t>
      </w:r>
      <w:r>
        <w:rPr>
          <w:rFonts w:hint="eastAsia" w:ascii="宋体" w:hAnsi="宋体" w:eastAsia="宋体" w:cs="Courier New"/>
          <w:b/>
          <w:kern w:val="2"/>
          <w:sz w:val="32"/>
          <w:szCs w:val="21"/>
          <w:u w:val="single"/>
          <w:lang w:val="en-US" w:eastAsia="zh-CN" w:bidi="ar-SA"/>
        </w:rPr>
        <w:t>长沙市轨道交通一号线建设发展有限公司</w:t>
      </w:r>
    </w:p>
    <w:p>
      <w:pPr>
        <w:pStyle w:val="26"/>
        <w:adjustRightInd w:val="0"/>
        <w:snapToGrid w:val="0"/>
        <w:spacing w:line="360" w:lineRule="auto"/>
        <w:ind w:firstLine="321" w:firstLineChars="100"/>
        <w:rPr>
          <w:rFonts w:hAnsi="宋体"/>
          <w:b/>
          <w:sz w:val="32"/>
        </w:rPr>
      </w:pPr>
    </w:p>
    <w:p>
      <w:pPr>
        <w:pStyle w:val="26"/>
        <w:adjustRightInd w:val="0"/>
        <w:snapToGrid w:val="0"/>
        <w:spacing w:line="360" w:lineRule="auto"/>
        <w:ind w:firstLine="321" w:firstLineChars="100"/>
        <w:rPr>
          <w:rFonts w:hAnsi="宋体"/>
          <w:b/>
          <w:color w:val="FF0000"/>
          <w:sz w:val="32"/>
          <w:u w:val="single"/>
        </w:rPr>
      </w:pPr>
      <w:r>
        <w:rPr>
          <w:rFonts w:hint="eastAsia" w:hAnsi="宋体"/>
          <w:b/>
          <w:sz w:val="32"/>
        </w:rPr>
        <w:t>谈判项目编号：</w:t>
      </w:r>
      <w:r>
        <w:rPr>
          <w:rFonts w:hint="eastAsia" w:hAnsi="宋体"/>
          <w:b/>
          <w:sz w:val="32"/>
          <w:highlight w:val="none"/>
          <w:u w:val="single"/>
        </w:rPr>
        <w:t>长轨运服采【20</w:t>
      </w:r>
      <w:r>
        <w:rPr>
          <w:rFonts w:hint="eastAsia" w:hAnsi="宋体"/>
          <w:b/>
          <w:sz w:val="32"/>
          <w:highlight w:val="none"/>
          <w:u w:val="single"/>
          <w:lang w:val="en-US" w:eastAsia="zh-CN"/>
        </w:rPr>
        <w:t>22</w:t>
      </w:r>
      <w:r>
        <w:rPr>
          <w:rFonts w:hint="eastAsia" w:hAnsi="宋体"/>
          <w:b/>
          <w:sz w:val="32"/>
          <w:highlight w:val="none"/>
          <w:u w:val="single"/>
        </w:rPr>
        <w:t>】0</w:t>
      </w:r>
      <w:r>
        <w:rPr>
          <w:rFonts w:hint="eastAsia" w:hAnsi="宋体"/>
          <w:b/>
          <w:sz w:val="32"/>
          <w:highlight w:val="none"/>
          <w:u w:val="single"/>
          <w:lang w:val="en-US" w:eastAsia="zh-CN"/>
        </w:rPr>
        <w:t>02</w:t>
      </w:r>
      <w:r>
        <w:rPr>
          <w:rFonts w:hint="eastAsia" w:hAnsi="宋体"/>
          <w:b/>
          <w:sz w:val="32"/>
          <w:highlight w:val="none"/>
          <w:u w:val="single"/>
        </w:rPr>
        <w:t>号</w:t>
      </w:r>
    </w:p>
    <w:p>
      <w:pPr>
        <w:pStyle w:val="26"/>
        <w:adjustRightInd w:val="0"/>
        <w:snapToGrid w:val="0"/>
        <w:spacing w:before="120" w:beforeLines="50" w:line="360" w:lineRule="auto"/>
        <w:rPr>
          <w:b/>
          <w:sz w:val="32"/>
          <w:szCs w:val="32"/>
        </w:rPr>
      </w:pPr>
    </w:p>
    <w:p>
      <w:pPr>
        <w:pStyle w:val="26"/>
        <w:adjustRightInd w:val="0"/>
        <w:snapToGrid w:val="0"/>
        <w:spacing w:before="120" w:beforeLines="50" w:line="360" w:lineRule="auto"/>
        <w:rPr>
          <w:b/>
          <w:sz w:val="32"/>
          <w:szCs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Cs/>
          <w:sz w:val="32"/>
        </w:rPr>
      </w:pPr>
    </w:p>
    <w:p>
      <w:pPr>
        <w:pStyle w:val="26"/>
        <w:adjustRightInd w:val="0"/>
        <w:snapToGrid w:val="0"/>
        <w:spacing w:line="360" w:lineRule="auto"/>
        <w:jc w:val="center"/>
        <w:rPr>
          <w:rFonts w:hAnsi="宋体"/>
          <w:bCs/>
          <w:sz w:val="32"/>
        </w:rPr>
      </w:pPr>
      <w:r>
        <w:rPr>
          <w:rFonts w:hint="eastAsia" w:hAnsi="宋体"/>
          <w:b/>
          <w:sz w:val="32"/>
        </w:rPr>
        <w:t>二〇二</w:t>
      </w:r>
      <w:r>
        <w:rPr>
          <w:rFonts w:hint="eastAsia" w:hAnsi="宋体"/>
          <w:b/>
          <w:sz w:val="32"/>
          <w:lang w:eastAsia="zh-CN"/>
        </w:rPr>
        <w:t>二</w:t>
      </w:r>
      <w:r>
        <w:rPr>
          <w:rFonts w:hint="eastAsia" w:hAnsi="宋体"/>
          <w:b/>
          <w:sz w:val="32"/>
        </w:rPr>
        <w:t>年</w:t>
      </w:r>
      <w:r>
        <w:rPr>
          <w:rFonts w:hint="eastAsia" w:hAnsi="宋体"/>
          <w:b/>
          <w:sz w:val="32"/>
          <w:lang w:eastAsia="zh-CN"/>
        </w:rPr>
        <w:t>三</w:t>
      </w:r>
      <w:r>
        <w:rPr>
          <w:rFonts w:hint="eastAsia" w:hAnsi="宋体"/>
          <w:b/>
          <w:sz w:val="32"/>
        </w:rPr>
        <w:t>月</w:t>
      </w:r>
    </w:p>
    <w:p>
      <w:pPr>
        <w:pStyle w:val="26"/>
        <w:adjustRightInd w:val="0"/>
        <w:snapToGrid w:val="0"/>
        <w:spacing w:line="360" w:lineRule="auto"/>
        <w:jc w:val="center"/>
        <w:rPr>
          <w:rFonts w:hAnsi="宋体"/>
          <w:b/>
          <w:sz w:val="32"/>
        </w:rPr>
      </w:pPr>
    </w:p>
    <w:p>
      <w:pPr>
        <w:pStyle w:val="26"/>
        <w:adjustRightInd w:val="0"/>
        <w:snapToGrid w:val="0"/>
        <w:spacing w:line="360" w:lineRule="auto"/>
        <w:jc w:val="center"/>
        <w:rPr>
          <w:rFonts w:hAnsi="宋体"/>
          <w:b/>
          <w:sz w:val="32"/>
        </w:rPr>
        <w:sectPr>
          <w:pgSz w:w="11906" w:h="16838"/>
          <w:pgMar w:top="1440" w:right="1797" w:bottom="1440" w:left="1797" w:header="851" w:footer="851" w:gutter="0"/>
          <w:pgNumType w:fmt="decimal"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TOC \o "1-2" \h \u </w:instrText>
      </w:r>
      <w:r>
        <w:rPr>
          <w:rFonts w:ascii="Times New Roman" w:hAnsi="Times New Roman" w:eastAsia="宋体" w:cs="Times New Roman"/>
        </w:rPr>
        <w:fldChar w:fldCharType="separate"/>
      </w:r>
      <w:r>
        <w:rPr>
          <w:rFonts w:ascii="Times New Roman" w:hAnsi="Times New Roman" w:eastAsia="宋体" w:cs="Times New Roman"/>
        </w:rPr>
        <w:fldChar w:fldCharType="begin"/>
      </w:r>
      <w:r>
        <w:rPr>
          <w:rFonts w:ascii="Times New Roman" w:hAnsi="Times New Roman" w:eastAsia="宋体" w:cs="Times New Roman"/>
        </w:rPr>
        <w:instrText xml:space="preserve"> HYPERLINK \l _Toc27147 </w:instrText>
      </w:r>
      <w:r>
        <w:rPr>
          <w:rFonts w:ascii="Times New Roman" w:hAnsi="Times New Roman" w:eastAsia="宋体" w:cs="Times New Roman"/>
        </w:rPr>
        <w:fldChar w:fldCharType="separate"/>
      </w:r>
      <w:r>
        <w:rPr>
          <w:rFonts w:hint="eastAsia" w:ascii="宋体" w:hAnsi="宋体" w:cs="宋体"/>
          <w:szCs w:val="32"/>
        </w:rPr>
        <w:t xml:space="preserve">第一章 </w:t>
      </w:r>
      <w:r>
        <w:rPr>
          <w:rFonts w:hint="eastAsia" w:ascii="宋体" w:hAnsi="宋体" w:cs="宋体"/>
          <w:szCs w:val="32"/>
          <w:lang w:val="en-US" w:eastAsia="zh-CN"/>
        </w:rPr>
        <w:t xml:space="preserve"> </w:t>
      </w:r>
      <w:r>
        <w:rPr>
          <w:rFonts w:hint="eastAsia" w:ascii="宋体" w:hAnsi="宋体" w:cs="宋体"/>
          <w:szCs w:val="32"/>
        </w:rPr>
        <w:t>谈判邀请公告</w:t>
      </w:r>
      <w:r>
        <w:tab/>
      </w:r>
      <w:r>
        <w:fldChar w:fldCharType="begin"/>
      </w:r>
      <w:r>
        <w:instrText xml:space="preserve"> PAGEREF _Toc27147 \h </w:instrText>
      </w:r>
      <w:r>
        <w:fldChar w:fldCharType="separate"/>
      </w:r>
      <w:r>
        <w:t>1</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_Toc10689 </w:instrText>
      </w:r>
      <w:r>
        <w:rPr>
          <w:rFonts w:ascii="Times New Roman" w:hAnsi="Times New Roman" w:eastAsia="宋体" w:cs="Times New Roman"/>
        </w:rPr>
        <w:fldChar w:fldCharType="separate"/>
      </w:r>
      <w:r>
        <w:rPr>
          <w:rFonts w:hint="eastAsia" w:ascii="宋体" w:hAnsi="宋体" w:cs="宋体"/>
          <w:szCs w:val="32"/>
        </w:rPr>
        <w:t>第二章  谈判须知</w:t>
      </w:r>
      <w:r>
        <w:tab/>
      </w:r>
      <w:r>
        <w:fldChar w:fldCharType="begin"/>
      </w:r>
      <w:r>
        <w:instrText xml:space="preserve"> PAGEREF _Toc10689 \h </w:instrText>
      </w:r>
      <w:r>
        <w:fldChar w:fldCharType="separate"/>
      </w:r>
      <w:r>
        <w:t>4</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_Toc12384 </w:instrText>
      </w:r>
      <w:r>
        <w:rPr>
          <w:rFonts w:ascii="Times New Roman" w:hAnsi="Times New Roman" w:eastAsia="宋体" w:cs="Times New Roman"/>
        </w:rPr>
        <w:fldChar w:fldCharType="separate"/>
      </w:r>
      <w:r>
        <w:rPr>
          <w:rFonts w:hint="eastAsia" w:ascii="宋体" w:hAnsi="宋体" w:cs="宋体"/>
        </w:rPr>
        <w:t>谈判须知前附表</w:t>
      </w:r>
      <w:r>
        <w:tab/>
      </w:r>
      <w:r>
        <w:fldChar w:fldCharType="begin"/>
      </w:r>
      <w:r>
        <w:instrText xml:space="preserve"> PAGEREF _Toc12384 \h </w:instrText>
      </w:r>
      <w:r>
        <w:fldChar w:fldCharType="separate"/>
      </w:r>
      <w:r>
        <w:t>4</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_Toc7276 </w:instrText>
      </w:r>
      <w:r>
        <w:rPr>
          <w:rFonts w:ascii="Times New Roman" w:hAnsi="Times New Roman" w:eastAsia="宋体" w:cs="Times New Roman"/>
        </w:rPr>
        <w:fldChar w:fldCharType="separate"/>
      </w:r>
      <w:r>
        <w:rPr>
          <w:rFonts w:hint="eastAsia" w:ascii="宋体" w:hAnsi="宋体" w:cs="宋体"/>
        </w:rPr>
        <w:t>谈判须知正文</w:t>
      </w:r>
      <w:r>
        <w:tab/>
      </w:r>
      <w:r>
        <w:fldChar w:fldCharType="begin"/>
      </w:r>
      <w:r>
        <w:instrText xml:space="preserve"> PAGEREF _Toc7276 \h </w:instrText>
      </w:r>
      <w:r>
        <w:fldChar w:fldCharType="separate"/>
      </w:r>
      <w:r>
        <w:t>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_Toc9471 </w:instrText>
      </w:r>
      <w:r>
        <w:rPr>
          <w:rFonts w:ascii="Times New Roman" w:hAnsi="Times New Roman" w:eastAsia="宋体" w:cs="Times New Roman"/>
        </w:rPr>
        <w:fldChar w:fldCharType="separate"/>
      </w:r>
      <w:r>
        <w:rPr>
          <w:rFonts w:hint="eastAsia" w:ascii="宋体" w:hAnsi="宋体" w:cs="宋体"/>
          <w:szCs w:val="21"/>
        </w:rPr>
        <w:t>一、说明</w:t>
      </w:r>
      <w:r>
        <w:tab/>
      </w:r>
      <w:r>
        <w:fldChar w:fldCharType="begin"/>
      </w:r>
      <w:r>
        <w:instrText xml:space="preserve"> PAGEREF _Toc9471 \h </w:instrText>
      </w:r>
      <w:r>
        <w:fldChar w:fldCharType="separate"/>
      </w:r>
      <w:r>
        <w:t>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_Toc32722 </w:instrText>
      </w:r>
      <w:r>
        <w:rPr>
          <w:rFonts w:ascii="Times New Roman" w:hAnsi="Times New Roman" w:eastAsia="宋体" w:cs="Times New Roman"/>
        </w:rPr>
        <w:fldChar w:fldCharType="separate"/>
      </w:r>
      <w:r>
        <w:rPr>
          <w:rFonts w:hint="eastAsia" w:ascii="宋体" w:hAnsi="宋体" w:cs="宋体"/>
          <w:szCs w:val="21"/>
        </w:rPr>
        <w:t>二、谈判文件</w:t>
      </w:r>
      <w:r>
        <w:tab/>
      </w:r>
      <w:r>
        <w:fldChar w:fldCharType="begin"/>
      </w:r>
      <w:r>
        <w:instrText xml:space="preserve"> PAGEREF _Toc32722 \h </w:instrText>
      </w:r>
      <w:r>
        <w:fldChar w:fldCharType="separate"/>
      </w:r>
      <w:r>
        <w:t>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_Toc16808 </w:instrText>
      </w:r>
      <w:r>
        <w:rPr>
          <w:rFonts w:ascii="Times New Roman" w:hAnsi="Times New Roman" w:eastAsia="宋体" w:cs="Times New Roman"/>
        </w:rPr>
        <w:fldChar w:fldCharType="separate"/>
      </w:r>
      <w:r>
        <w:rPr>
          <w:rFonts w:hint="eastAsia" w:ascii="宋体" w:hAnsi="宋体" w:cs="宋体"/>
          <w:szCs w:val="21"/>
        </w:rPr>
        <w:t>三、响应文件</w:t>
      </w:r>
      <w:r>
        <w:tab/>
      </w:r>
      <w:r>
        <w:fldChar w:fldCharType="begin"/>
      </w:r>
      <w:r>
        <w:instrText xml:space="preserve"> PAGEREF _Toc16808 \h </w:instrText>
      </w:r>
      <w:r>
        <w:fldChar w:fldCharType="separate"/>
      </w:r>
      <w:r>
        <w:t>8</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_Toc13675 </w:instrText>
      </w:r>
      <w:r>
        <w:rPr>
          <w:rFonts w:ascii="Times New Roman" w:hAnsi="Times New Roman" w:eastAsia="宋体" w:cs="Times New Roman"/>
        </w:rPr>
        <w:fldChar w:fldCharType="separate"/>
      </w:r>
      <w:r>
        <w:rPr>
          <w:rFonts w:hint="eastAsia" w:ascii="宋体" w:hAnsi="宋体" w:cs="宋体"/>
          <w:szCs w:val="21"/>
        </w:rPr>
        <w:t>四、响应文件的递交</w:t>
      </w:r>
      <w:r>
        <w:tab/>
      </w:r>
      <w:r>
        <w:fldChar w:fldCharType="begin"/>
      </w:r>
      <w:r>
        <w:instrText xml:space="preserve"> PAGEREF _Toc13675 \h </w:instrText>
      </w:r>
      <w:r>
        <w:fldChar w:fldCharType="separate"/>
      </w:r>
      <w:r>
        <w:t>10</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_Toc24002 </w:instrText>
      </w:r>
      <w:r>
        <w:rPr>
          <w:rFonts w:ascii="Times New Roman" w:hAnsi="Times New Roman" w:eastAsia="宋体" w:cs="Times New Roman"/>
        </w:rPr>
        <w:fldChar w:fldCharType="separate"/>
      </w:r>
      <w:r>
        <w:rPr>
          <w:rFonts w:hint="eastAsia" w:ascii="宋体" w:hAnsi="宋体" w:cs="宋体"/>
          <w:szCs w:val="21"/>
        </w:rPr>
        <w:t>五、响应文件的评审</w:t>
      </w:r>
      <w:r>
        <w:tab/>
      </w:r>
      <w:r>
        <w:fldChar w:fldCharType="begin"/>
      </w:r>
      <w:r>
        <w:instrText xml:space="preserve"> PAGEREF _Toc24002 \h </w:instrText>
      </w:r>
      <w:r>
        <w:fldChar w:fldCharType="separate"/>
      </w:r>
      <w:r>
        <w:t>10</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_Toc2955 </w:instrText>
      </w:r>
      <w:r>
        <w:rPr>
          <w:rFonts w:ascii="Times New Roman" w:hAnsi="Times New Roman" w:eastAsia="宋体" w:cs="Times New Roman"/>
        </w:rPr>
        <w:fldChar w:fldCharType="separate"/>
      </w:r>
      <w:r>
        <w:rPr>
          <w:rFonts w:hint="eastAsia" w:ascii="宋体" w:hAnsi="宋体" w:cs="宋体"/>
          <w:szCs w:val="21"/>
        </w:rPr>
        <w:t>六、响应文件的澄清、说明及补正</w:t>
      </w:r>
      <w:r>
        <w:tab/>
      </w:r>
      <w:r>
        <w:fldChar w:fldCharType="begin"/>
      </w:r>
      <w:r>
        <w:instrText xml:space="preserve"> PAGEREF _Toc2955 \h </w:instrText>
      </w:r>
      <w:r>
        <w:fldChar w:fldCharType="separate"/>
      </w:r>
      <w:r>
        <w:t>10</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_Toc14518 </w:instrText>
      </w:r>
      <w:r>
        <w:rPr>
          <w:rFonts w:ascii="Times New Roman" w:hAnsi="Times New Roman" w:eastAsia="宋体" w:cs="Times New Roman"/>
        </w:rPr>
        <w:fldChar w:fldCharType="separate"/>
      </w:r>
      <w:r>
        <w:rPr>
          <w:rFonts w:hint="eastAsia" w:ascii="宋体" w:hAnsi="宋体" w:cs="宋体"/>
          <w:szCs w:val="21"/>
        </w:rPr>
        <w:t>七、中选结果与授予合同</w:t>
      </w:r>
      <w:r>
        <w:tab/>
      </w:r>
      <w:r>
        <w:fldChar w:fldCharType="begin"/>
      </w:r>
      <w:r>
        <w:instrText xml:space="preserve"> PAGEREF _Toc14518 \h </w:instrText>
      </w:r>
      <w:r>
        <w:fldChar w:fldCharType="separate"/>
      </w:r>
      <w:r>
        <w:t>11</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_Toc19666 </w:instrText>
      </w:r>
      <w:r>
        <w:rPr>
          <w:rFonts w:ascii="Times New Roman" w:hAnsi="Times New Roman" w:eastAsia="宋体" w:cs="Times New Roman"/>
        </w:rPr>
        <w:fldChar w:fldCharType="separate"/>
      </w:r>
      <w:r>
        <w:rPr>
          <w:rFonts w:hint="eastAsia" w:ascii="宋体" w:hAnsi="宋体" w:cs="宋体"/>
          <w:szCs w:val="21"/>
        </w:rPr>
        <w:t>八、其他</w:t>
      </w:r>
      <w:r>
        <w:tab/>
      </w:r>
      <w:r>
        <w:fldChar w:fldCharType="begin"/>
      </w:r>
      <w:r>
        <w:instrText xml:space="preserve"> PAGEREF _Toc19666 \h </w:instrText>
      </w:r>
      <w:r>
        <w:fldChar w:fldCharType="separate"/>
      </w:r>
      <w:r>
        <w:t>12</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_Toc16404 </w:instrText>
      </w:r>
      <w:r>
        <w:rPr>
          <w:rFonts w:ascii="Times New Roman" w:hAnsi="Times New Roman" w:eastAsia="宋体" w:cs="Times New Roman"/>
        </w:rPr>
        <w:fldChar w:fldCharType="separate"/>
      </w:r>
      <w:r>
        <w:rPr>
          <w:rFonts w:hint="eastAsia" w:ascii="宋体" w:hAnsi="宋体" w:cs="宋体"/>
          <w:szCs w:val="32"/>
        </w:rPr>
        <w:t>第三章  评审办法及标准</w:t>
      </w:r>
      <w:r>
        <w:tab/>
      </w:r>
      <w:r>
        <w:fldChar w:fldCharType="begin"/>
      </w:r>
      <w:r>
        <w:instrText xml:space="preserve"> PAGEREF _Toc16404 \h </w:instrText>
      </w:r>
      <w:r>
        <w:fldChar w:fldCharType="separate"/>
      </w:r>
      <w:r>
        <w:t>14</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_Toc4155 </w:instrText>
      </w:r>
      <w:r>
        <w:rPr>
          <w:rFonts w:ascii="Times New Roman" w:hAnsi="Times New Roman" w:eastAsia="宋体" w:cs="Times New Roman"/>
        </w:rPr>
        <w:fldChar w:fldCharType="separate"/>
      </w:r>
      <w:r>
        <w:rPr>
          <w:rFonts w:hint="eastAsia" w:ascii="宋体" w:hAnsi="宋体" w:cs="宋体"/>
          <w:szCs w:val="32"/>
        </w:rPr>
        <w:t>第四章  用户需求书（另册）</w:t>
      </w:r>
      <w:r>
        <w:tab/>
      </w:r>
      <w:r>
        <w:fldChar w:fldCharType="begin"/>
      </w:r>
      <w:r>
        <w:instrText xml:space="preserve"> PAGEREF _Toc4155 \h </w:instrText>
      </w:r>
      <w:r>
        <w:fldChar w:fldCharType="separate"/>
      </w:r>
      <w:r>
        <w:t>16</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_Toc14319 </w:instrText>
      </w:r>
      <w:r>
        <w:rPr>
          <w:rFonts w:ascii="Times New Roman" w:hAnsi="Times New Roman" w:eastAsia="宋体" w:cs="Times New Roman"/>
        </w:rPr>
        <w:fldChar w:fldCharType="separate"/>
      </w:r>
      <w:r>
        <w:rPr>
          <w:rFonts w:hint="eastAsia" w:ascii="宋体" w:hAnsi="宋体" w:cs="宋体"/>
          <w:szCs w:val="32"/>
        </w:rPr>
        <w:t>第五章  合同格式条款</w:t>
      </w:r>
      <w:r>
        <w:tab/>
      </w:r>
      <w:r>
        <w:fldChar w:fldCharType="begin"/>
      </w:r>
      <w:r>
        <w:instrText xml:space="preserve"> PAGEREF _Toc14319 \h </w:instrText>
      </w:r>
      <w:r>
        <w:fldChar w:fldCharType="separate"/>
      </w:r>
      <w:r>
        <w:t>17</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_Toc16096 </w:instrText>
      </w:r>
      <w:r>
        <w:rPr>
          <w:rFonts w:ascii="Times New Roman" w:hAnsi="Times New Roman" w:eastAsia="宋体" w:cs="Times New Roman"/>
        </w:rPr>
        <w:fldChar w:fldCharType="separate"/>
      </w:r>
      <w:r>
        <w:rPr>
          <w:rFonts w:hint="eastAsia" w:ascii="宋体" w:hAnsi="宋体" w:cs="宋体"/>
          <w:szCs w:val="32"/>
        </w:rPr>
        <w:t>第六章  响应文件组成</w:t>
      </w:r>
      <w:r>
        <w:tab/>
      </w:r>
      <w:r>
        <w:fldChar w:fldCharType="begin"/>
      </w:r>
      <w:r>
        <w:instrText xml:space="preserve"> PAGEREF _Toc16096 \h </w:instrText>
      </w:r>
      <w:r>
        <w:fldChar w:fldCharType="separate"/>
      </w:r>
      <w:r>
        <w:t>41</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_Toc19366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一、谈判承诺书</w:t>
      </w:r>
      <w:r>
        <w:tab/>
      </w:r>
      <w:r>
        <w:fldChar w:fldCharType="begin"/>
      </w:r>
      <w:r>
        <w:instrText xml:space="preserve"> PAGEREF _Toc19366 \h </w:instrText>
      </w:r>
      <w:r>
        <w:fldChar w:fldCharType="separate"/>
      </w:r>
      <w:r>
        <w:t>43</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_Toc3057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二、法定代表人身份证明书</w:t>
      </w:r>
      <w:r>
        <w:tab/>
      </w:r>
      <w:r>
        <w:fldChar w:fldCharType="begin"/>
      </w:r>
      <w:r>
        <w:instrText xml:space="preserve"> PAGEREF _Toc3057 \h </w:instrText>
      </w:r>
      <w:r>
        <w:fldChar w:fldCharType="separate"/>
      </w:r>
      <w:r>
        <w:t>44</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_Toc7854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三、授权委托书</w:t>
      </w:r>
      <w:r>
        <w:tab/>
      </w:r>
      <w:r>
        <w:fldChar w:fldCharType="begin"/>
      </w:r>
      <w:r>
        <w:instrText xml:space="preserve"> PAGEREF _Toc7854 \h </w:instrText>
      </w:r>
      <w:r>
        <w:fldChar w:fldCharType="separate"/>
      </w:r>
      <w:r>
        <w:t>45</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_Toc5450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四、谈判单位资格证明文件</w:t>
      </w:r>
      <w:r>
        <w:tab/>
      </w:r>
      <w:r>
        <w:fldChar w:fldCharType="begin"/>
      </w:r>
      <w:r>
        <w:instrText xml:space="preserve"> PAGEREF _Toc5450 \h </w:instrText>
      </w:r>
      <w:r>
        <w:fldChar w:fldCharType="separate"/>
      </w:r>
      <w:r>
        <w:t>46</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_Toc26602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五、报价一览表</w:t>
      </w:r>
      <w:r>
        <w:tab/>
      </w:r>
      <w:r>
        <w:fldChar w:fldCharType="begin"/>
      </w:r>
      <w:r>
        <w:instrText xml:space="preserve"> PAGEREF _Toc26602 \h </w:instrText>
      </w:r>
      <w:r>
        <w:fldChar w:fldCharType="separate"/>
      </w:r>
      <w:r>
        <w:t>47</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_Toc17375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六、分项价格表</w:t>
      </w:r>
      <w:r>
        <w:tab/>
      </w:r>
      <w:r>
        <w:fldChar w:fldCharType="begin"/>
      </w:r>
      <w:r>
        <w:instrText xml:space="preserve"> PAGEREF _Toc17375 \h </w:instrText>
      </w:r>
      <w:r>
        <w:fldChar w:fldCharType="separate"/>
      </w:r>
      <w:r>
        <w:t>48</w:t>
      </w:r>
      <w:r>
        <w:fldChar w:fldCharType="end"/>
      </w:r>
      <w:r>
        <w:rPr>
          <w:rFonts w:ascii="Times New Roman" w:hAnsi="Times New Roman" w:eastAsia="宋体" w:cs="Times New Roman"/>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_Toc16771 </w:instrText>
      </w:r>
      <w:r>
        <w:rPr>
          <w:rFonts w:ascii="Times New Roman" w:hAnsi="Times New Roman" w:eastAsia="宋体" w:cs="Times New Roman"/>
        </w:rPr>
        <w:fldChar w:fldCharType="separate"/>
      </w:r>
      <w:r>
        <w:rPr>
          <w:rFonts w:hint="eastAsia" w:ascii="宋体" w:hAnsi="宋体" w:cs="宋体"/>
          <w:szCs w:val="32"/>
          <w:highlight w:val="none"/>
          <w:lang w:val="en-US" w:eastAsia="zh-CN"/>
        </w:rPr>
        <w:t>七、其他资料（如有）</w:t>
      </w:r>
      <w:r>
        <w:tab/>
      </w:r>
      <w:r>
        <w:fldChar w:fldCharType="begin"/>
      </w:r>
      <w:r>
        <w:instrText xml:space="preserve"> PAGEREF _Toc16771 \h </w:instrText>
      </w:r>
      <w:r>
        <w:fldChar w:fldCharType="separate"/>
      </w:r>
      <w:r>
        <w:t>49</w:t>
      </w:r>
      <w:r>
        <w:fldChar w:fldCharType="end"/>
      </w:r>
      <w:r>
        <w:rPr>
          <w:rFonts w:ascii="Times New Roman" w:hAnsi="Times New Roman" w:eastAsia="宋体" w:cs="Times New Roman"/>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r>
        <w:rPr>
          <w:rFonts w:ascii="Times New Roman" w:hAnsi="Times New Roman" w:eastAsia="宋体" w:cs="Times New Roman"/>
        </w:rPr>
        <w:fldChar w:fldCharType="end"/>
      </w:r>
    </w:p>
    <w:p>
      <w:pPr>
        <w:pStyle w:val="33"/>
        <w:tabs>
          <w:tab w:val="right" w:leader="dot" w:pos="8312"/>
        </w:tabs>
        <w:spacing w:line="360" w:lineRule="auto"/>
        <w:rPr>
          <w:rFonts w:ascii="Times New Roman" w:hAnsi="Times New Roman" w:eastAsia="宋体" w:cs="Times New Roman"/>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p>
    <w:p>
      <w:pPr>
        <w:pStyle w:val="4"/>
        <w:keepNext w:val="0"/>
        <w:numPr>
          <w:ilvl w:val="0"/>
          <w:numId w:val="6"/>
        </w:numPr>
        <w:spacing w:line="360" w:lineRule="auto"/>
        <w:rPr>
          <w:rFonts w:hint="eastAsia" w:ascii="宋体" w:hAnsi="宋体" w:cs="宋体"/>
          <w:sz w:val="32"/>
          <w:szCs w:val="32"/>
        </w:rPr>
      </w:pPr>
      <w:bookmarkStart w:id="3" w:name="_Toc13376"/>
      <w:r>
        <w:rPr>
          <w:rFonts w:hint="eastAsia" w:ascii="宋体" w:hAnsi="宋体" w:cs="宋体"/>
          <w:sz w:val="32"/>
          <w:szCs w:val="32"/>
        </w:rPr>
        <w:t xml:space="preserve"> </w:t>
      </w:r>
      <w:bookmarkStart w:id="4" w:name="_Toc27147"/>
      <w:r>
        <w:rPr>
          <w:rFonts w:hint="eastAsia" w:ascii="宋体" w:hAnsi="宋体" w:cs="宋体"/>
          <w:sz w:val="32"/>
          <w:szCs w:val="32"/>
        </w:rPr>
        <w:t>谈判邀请公告</w:t>
      </w:r>
      <w:bookmarkEnd w:id="0"/>
      <w:bookmarkEnd w:id="1"/>
      <w:bookmarkEnd w:id="2"/>
      <w:bookmarkEnd w:id="3"/>
      <w:bookmarkEnd w:id="4"/>
    </w:p>
    <w:p>
      <w:pPr>
        <w:numPr>
          <w:ilvl w:val="0"/>
          <w:numId w:val="0"/>
        </w:numPr>
      </w:pPr>
    </w:p>
    <w:p>
      <w:pPr>
        <w:spacing w:line="360" w:lineRule="auto"/>
        <w:ind w:firstLine="420" w:firstLineChars="200"/>
        <w:jc w:val="left"/>
        <w:rPr>
          <w:rFonts w:ascii="宋体" w:hAnsi="宋体" w:cs="宋体"/>
          <w:iCs/>
          <w:szCs w:val="21"/>
        </w:rPr>
      </w:pPr>
      <w:r>
        <w:rPr>
          <w:rFonts w:hint="eastAsia" w:ascii="宋体" w:hAnsi="宋体" w:cs="宋体"/>
          <w:iCs/>
          <w:szCs w:val="21"/>
          <w:u w:val="single"/>
          <w:lang w:val="en-US" w:eastAsia="zh-CN"/>
        </w:rPr>
        <w:t>湖南天辉工程项目管理有限公司</w:t>
      </w:r>
      <w:r>
        <w:rPr>
          <w:rFonts w:hint="eastAsia" w:ascii="宋体" w:hAnsi="宋体" w:cs="宋体"/>
          <w:iCs/>
          <w:szCs w:val="21"/>
          <w:lang w:val="en-US" w:eastAsia="zh-CN"/>
        </w:rPr>
        <w:t>受</w:t>
      </w:r>
      <w:r>
        <w:rPr>
          <w:rFonts w:hint="eastAsia" w:ascii="宋体" w:hAnsi="宋体" w:cs="宋体"/>
          <w:iCs/>
          <w:szCs w:val="21"/>
          <w:u w:val="single"/>
          <w:lang w:val="en-US" w:eastAsia="zh-CN"/>
        </w:rPr>
        <w:t>长沙市轨道交通一号线建设发展有限公司</w:t>
      </w:r>
      <w:r>
        <w:rPr>
          <w:rFonts w:hint="eastAsia" w:ascii="宋体" w:hAnsi="宋体" w:cs="宋体"/>
          <w:iCs/>
          <w:szCs w:val="21"/>
          <w:lang w:val="en-US" w:eastAsia="zh-CN"/>
        </w:rPr>
        <w:t>的委托，对</w:t>
      </w:r>
      <w:r>
        <w:rPr>
          <w:rFonts w:hint="eastAsia" w:ascii="宋体" w:hAnsi="宋体" w:cs="宋体"/>
          <w:iCs/>
          <w:szCs w:val="21"/>
          <w:u w:val="single"/>
          <w:lang w:val="en-US" w:eastAsia="zh-CN"/>
        </w:rPr>
        <w:t>长沙市轨道交通1号线运营期2022年交通运输行业安全生产责任保险服务项目</w:t>
      </w:r>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rPr>
      </w:pPr>
      <w:r>
        <w:rPr>
          <w:rFonts w:hint="eastAsia" w:hAnsi="宋体" w:cs="宋体"/>
          <w:b/>
          <w:iCs/>
        </w:rPr>
        <w:t>一、项目概况</w:t>
      </w:r>
    </w:p>
    <w:p>
      <w:pPr>
        <w:pStyle w:val="26"/>
        <w:adjustRightInd w:val="0"/>
        <w:snapToGrid w:val="0"/>
        <w:spacing w:line="360" w:lineRule="auto"/>
        <w:ind w:firstLine="420" w:firstLineChars="200"/>
        <w:rPr>
          <w:rFonts w:hAnsi="宋体" w:cs="宋体"/>
          <w:iCs/>
        </w:rPr>
      </w:pPr>
      <w:r>
        <w:rPr>
          <w:rFonts w:hint="eastAsia" w:hAnsi="宋体" w:cs="宋体"/>
          <w:iCs/>
        </w:rPr>
        <w:t>1.项目名称：</w:t>
      </w:r>
      <w:r>
        <w:rPr>
          <w:rFonts w:hint="eastAsia" w:ascii="宋体" w:hAnsi="宋体" w:cs="宋体"/>
          <w:iCs/>
          <w:szCs w:val="21"/>
          <w:lang w:val="en-US" w:eastAsia="zh-CN"/>
        </w:rPr>
        <w:t>长沙市轨道交通1号线运营期2022年交通运输行业安全生产责任保险服务项目</w:t>
      </w:r>
    </w:p>
    <w:p>
      <w:pPr>
        <w:pStyle w:val="26"/>
        <w:adjustRightInd w:val="0"/>
        <w:snapToGrid w:val="0"/>
        <w:spacing w:line="360" w:lineRule="auto"/>
        <w:ind w:firstLine="420" w:firstLineChars="200"/>
        <w:rPr>
          <w:rFonts w:hAnsi="宋体" w:cs="宋体"/>
          <w:iCs/>
        </w:rPr>
      </w:pPr>
      <w:r>
        <w:rPr>
          <w:rFonts w:hint="eastAsia" w:hAnsi="宋体" w:cs="宋体"/>
          <w:iCs/>
        </w:rPr>
        <w:t>2</w:t>
      </w:r>
      <w:r>
        <w:rPr>
          <w:rFonts w:hAnsi="宋体" w:cs="宋体"/>
          <w:iCs/>
        </w:rPr>
        <w:t>.</w:t>
      </w:r>
      <w:r>
        <w:rPr>
          <w:rFonts w:hint="eastAsia" w:hAnsi="宋体" w:cs="宋体"/>
          <w:iCs/>
        </w:rPr>
        <w:t>项目编号：</w:t>
      </w:r>
      <w:r>
        <w:rPr>
          <w:rFonts w:hint="eastAsia" w:hAnsi="宋体" w:cs="宋体"/>
          <w:iCs/>
          <w:highlight w:val="none"/>
        </w:rPr>
        <w:t>长轨运服采【20</w:t>
      </w:r>
      <w:r>
        <w:rPr>
          <w:rFonts w:hint="eastAsia" w:hAnsi="宋体" w:cs="宋体"/>
          <w:iCs/>
          <w:highlight w:val="none"/>
          <w:lang w:val="en-US" w:eastAsia="zh-CN"/>
        </w:rPr>
        <w:t>22</w:t>
      </w:r>
      <w:r>
        <w:rPr>
          <w:rFonts w:hint="eastAsia" w:hAnsi="宋体" w:cs="宋体"/>
          <w:iCs/>
          <w:highlight w:val="none"/>
        </w:rPr>
        <w:t>】0</w:t>
      </w:r>
      <w:r>
        <w:rPr>
          <w:rFonts w:hint="eastAsia" w:hAnsi="宋体" w:cs="宋体"/>
          <w:iCs/>
          <w:highlight w:val="none"/>
          <w:lang w:val="en-US" w:eastAsia="zh-CN"/>
        </w:rPr>
        <w:t>02</w:t>
      </w:r>
      <w:r>
        <w:rPr>
          <w:rFonts w:hint="eastAsia" w:hAnsi="宋体" w:cs="宋体"/>
          <w:iCs/>
          <w:highlight w:val="none"/>
        </w:rPr>
        <w:t>号</w:t>
      </w:r>
    </w:p>
    <w:p>
      <w:pPr>
        <w:pStyle w:val="26"/>
        <w:adjustRightInd w:val="0"/>
        <w:snapToGrid w:val="0"/>
        <w:spacing w:line="360" w:lineRule="auto"/>
        <w:ind w:firstLine="420" w:firstLineChars="200"/>
        <w:rPr>
          <w:rFonts w:hint="eastAsia" w:ascii="宋体" w:hAnsi="宋体" w:cs="宋体"/>
          <w:iCs/>
          <w:szCs w:val="21"/>
          <w:lang w:val="en-US" w:eastAsia="zh-CN"/>
        </w:rPr>
      </w:pPr>
      <w:r>
        <w:rPr>
          <w:rFonts w:hint="eastAsia" w:ascii="宋体" w:hAnsi="宋体" w:cs="宋体"/>
          <w:iCs/>
          <w:szCs w:val="21"/>
          <w:lang w:val="en-US" w:eastAsia="zh-CN"/>
        </w:rPr>
        <w:t>3.最高限价：794900.00元</w:t>
      </w:r>
    </w:p>
    <w:p>
      <w:pPr>
        <w:pStyle w:val="26"/>
        <w:adjustRightInd w:val="0"/>
        <w:snapToGrid w:val="0"/>
        <w:spacing w:line="360" w:lineRule="auto"/>
        <w:ind w:firstLine="420" w:firstLineChars="200"/>
        <w:rPr>
          <w:rFonts w:hint="eastAsia" w:ascii="宋体" w:hAnsi="宋体" w:cs="宋体"/>
          <w:iCs/>
          <w:szCs w:val="21"/>
          <w:lang w:val="en-US" w:eastAsia="zh-CN"/>
        </w:rPr>
      </w:pPr>
      <w:r>
        <w:rPr>
          <w:rFonts w:hint="eastAsia" w:ascii="宋体" w:hAnsi="宋体" w:cs="宋体"/>
          <w:iCs/>
          <w:szCs w:val="21"/>
          <w:lang w:val="en-US" w:eastAsia="zh-CN"/>
        </w:rPr>
        <w:t>4.标段划分：共划分1个标段。</w:t>
      </w:r>
    </w:p>
    <w:p>
      <w:pPr>
        <w:pStyle w:val="26"/>
        <w:adjustRightInd w:val="0"/>
        <w:snapToGrid w:val="0"/>
        <w:spacing w:line="360" w:lineRule="auto"/>
        <w:ind w:firstLine="420" w:firstLineChars="200"/>
        <w:rPr>
          <w:rFonts w:hint="eastAsia" w:ascii="宋体" w:hAnsi="宋体" w:cs="宋体"/>
          <w:iCs/>
          <w:szCs w:val="21"/>
          <w:lang w:val="en-US" w:eastAsia="zh-CN"/>
        </w:rPr>
      </w:pPr>
      <w:r>
        <w:rPr>
          <w:rFonts w:hint="eastAsia" w:ascii="宋体" w:hAnsi="宋体" w:cs="宋体"/>
          <w:iCs/>
          <w:szCs w:val="21"/>
          <w:lang w:val="en-US" w:eastAsia="zh-CN"/>
        </w:rPr>
        <w:t>5.服务期限：本项目服务期为一年，总计12个月（具体服务开始时间为2022年6月23日00：00至2023年6月22日24:00）。（具体详见用户需求书）</w:t>
      </w:r>
    </w:p>
    <w:p>
      <w:pPr>
        <w:snapToGrid w:val="0"/>
        <w:spacing w:line="360" w:lineRule="auto"/>
        <w:ind w:firstLine="420" w:firstLineChars="200"/>
        <w:rPr>
          <w:rFonts w:ascii="宋体" w:hAnsi="宋体" w:cs="宋体"/>
          <w:bCs/>
          <w:szCs w:val="21"/>
        </w:rPr>
      </w:pPr>
      <w:r>
        <w:rPr>
          <w:rFonts w:ascii="宋体" w:hAnsi="宋体" w:cs="宋体"/>
          <w:bCs/>
          <w:szCs w:val="21"/>
        </w:rPr>
        <w:t>6</w:t>
      </w:r>
      <w:r>
        <w:rPr>
          <w:rFonts w:hint="eastAsia" w:ascii="宋体" w:hAnsi="宋体" w:cs="宋体"/>
          <w:bCs/>
          <w:szCs w:val="21"/>
        </w:rPr>
        <w:t>.</w:t>
      </w:r>
      <w:r>
        <w:rPr>
          <w:rFonts w:hint="eastAsia" w:ascii="宋体" w:hAnsi="宋体" w:cs="宋体"/>
          <w:iCs/>
          <w:szCs w:val="21"/>
        </w:rPr>
        <w:t>采购范围：</w:t>
      </w:r>
      <w:r>
        <w:rPr>
          <w:rFonts w:hint="eastAsia" w:ascii="宋体" w:hAnsi="宋体" w:cs="宋体"/>
          <w:bCs/>
          <w:highlight w:val="none"/>
        </w:rPr>
        <w:t>本次采购主要为</w:t>
      </w:r>
      <w:r>
        <w:rPr>
          <w:rFonts w:hint="eastAsia" w:ascii="宋体" w:hAnsi="宋体" w:eastAsia="宋体" w:cs="宋体"/>
          <w:iCs/>
          <w:kern w:val="2"/>
          <w:sz w:val="21"/>
          <w:szCs w:val="21"/>
          <w:lang w:val="en-US" w:eastAsia="zh-CN" w:bidi="ar-SA"/>
        </w:rPr>
        <w:t>长沙市轨道交通1号线一期工程运营期交通运输行业安全生产责任保险。</w:t>
      </w:r>
      <w:r>
        <w:rPr>
          <w:rFonts w:hint="eastAsia" w:ascii="宋体" w:hAnsi="宋体" w:cs="宋体"/>
          <w:kern w:val="0"/>
          <w:szCs w:val="21"/>
        </w:rPr>
        <w:t>（具体详见用户需求书）</w:t>
      </w:r>
      <w:bookmarkStart w:id="224" w:name="_GoBack"/>
      <w:bookmarkEnd w:id="224"/>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1.本项目接受总公司或由总公司授权的湖南省级分公司直接参与响应。</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及《营业执照》（副本）。</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(2)若为湖南省级分公司（即本项目的服务机构）参与谈判的，须提供其总公司授权委托书及其总公司《保险许可证》或《保险公司法人许可证》，且满足上述第（1）条中“本项目的服务机构”资格要求。</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2.拟任项目负责人须为湖南省级分公司副总经理（含）以上级别，须提供省级(含）以上国家保险监督管理部门对该项目负责人的任职资格核准文件及谈判单位对该项目负责人的任命文件。</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3.保险总公司（法人机构）2021年第四季度末综合偿付能力充足率不低于200%、偿二代报表报送管理系统发出的风险综合评级为A类。</w:t>
      </w:r>
    </w:p>
    <w:p>
      <w:pPr>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4.本项目不接受联合体形式参与谈判。</w:t>
      </w:r>
    </w:p>
    <w:p>
      <w:pPr>
        <w:snapToGrid w:val="0"/>
        <w:spacing w:line="360" w:lineRule="auto"/>
        <w:ind w:firstLine="420" w:firstLineChars="200"/>
        <w:rPr>
          <w:rFonts w:hint="eastAsia" w:ascii="宋体" w:hAnsi="宋体" w:cs="宋体"/>
          <w:highlight w:val="none"/>
        </w:rPr>
      </w:pPr>
      <w:r>
        <w:rPr>
          <w:rFonts w:hint="eastAsia" w:ascii="宋体" w:hAnsi="宋体" w:eastAsia="宋体" w:cs="宋体"/>
          <w:iCs/>
          <w:kern w:val="2"/>
          <w:sz w:val="21"/>
          <w:szCs w:val="21"/>
          <w:lang w:val="en-US" w:eastAsia="zh-CN" w:bidi="ar-SA"/>
        </w:rPr>
        <w:t>5.被长沙市轨道交通集团有限公司及长沙市轨道交通运营有限公司函告禁止在一定期限内参与投标的单位按函告内容执行</w:t>
      </w:r>
      <w:r>
        <w:rPr>
          <w:rFonts w:hint="eastAsia" w:ascii="宋体" w:hAnsi="宋体" w:cs="宋体"/>
          <w:highlight w:val="none"/>
        </w:rPr>
        <w:t>。</w:t>
      </w:r>
    </w:p>
    <w:p>
      <w:pPr>
        <w:snapToGrid w:val="0"/>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bookmarkStart w:id="5" w:name="_Hlk75876044"/>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bookmarkEnd w:id="5"/>
      <w:r>
        <w:rPr>
          <w:rFonts w:hint="eastAsia" w:ascii="宋体" w:hAnsi="宋体" w:cs="宋体"/>
          <w:szCs w:val="21"/>
        </w:rPr>
        <w:t>。</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highlight w:val="none"/>
          <w:u w:val="single"/>
        </w:rPr>
        <w:t>20</w:t>
      </w:r>
      <w:r>
        <w:rPr>
          <w:rFonts w:hint="eastAsia" w:ascii="宋体" w:hAnsi="宋体" w:cs="宋体"/>
          <w:szCs w:val="21"/>
          <w:highlight w:val="none"/>
          <w:u w:val="single"/>
          <w:lang w:val="en-US" w:eastAsia="zh-CN"/>
        </w:rPr>
        <w:t>22</w:t>
      </w:r>
      <w:r>
        <w:rPr>
          <w:rFonts w:hint="eastAsia" w:ascii="宋体" w:hAnsi="宋体" w:cs="宋体"/>
          <w:szCs w:val="21"/>
          <w:highlight w:val="none"/>
        </w:rPr>
        <w:t>年</w:t>
      </w:r>
      <w:r>
        <w:rPr>
          <w:rFonts w:hint="eastAsia" w:ascii="宋体" w:hAnsi="宋体" w:cs="宋体"/>
          <w:szCs w:val="21"/>
          <w:highlight w:val="none"/>
          <w:u w:val="single"/>
          <w:lang w:val="en-US" w:eastAsia="zh-CN"/>
        </w:rPr>
        <w:t>4</w:t>
      </w:r>
      <w:r>
        <w:rPr>
          <w:rFonts w:hint="eastAsia" w:ascii="宋体" w:hAnsi="宋体" w:cs="宋体"/>
          <w:szCs w:val="21"/>
          <w:highlight w:val="none"/>
        </w:rPr>
        <w:t>月</w:t>
      </w:r>
      <w:r>
        <w:rPr>
          <w:rFonts w:hint="eastAsia" w:ascii="宋体" w:hAnsi="宋体" w:cs="宋体"/>
          <w:szCs w:val="21"/>
          <w:highlight w:val="none"/>
          <w:u w:val="single"/>
          <w:lang w:val="en-US" w:eastAsia="zh-CN"/>
        </w:rPr>
        <w:t>12</w:t>
      </w:r>
      <w:r>
        <w:rPr>
          <w:rFonts w:hint="eastAsia" w:ascii="宋体" w:hAnsi="宋体" w:cs="宋体"/>
          <w:szCs w:val="21"/>
          <w:highlight w:val="none"/>
        </w:rPr>
        <w:t>日</w:t>
      </w:r>
      <w:r>
        <w:rPr>
          <w:rFonts w:hint="eastAsia" w:ascii="宋体" w:hAnsi="宋体" w:cs="宋体"/>
          <w:iCs/>
          <w:szCs w:val="21"/>
          <w:highlight w:val="none"/>
        </w:rPr>
        <w:t>1</w:t>
      </w:r>
      <w:r>
        <w:rPr>
          <w:rFonts w:hint="eastAsia" w:ascii="宋体" w:hAnsi="宋体" w:cs="宋体"/>
          <w:iCs/>
          <w:szCs w:val="21"/>
        </w:rPr>
        <w:t>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kern w:val="0"/>
          <w:szCs w:val="21"/>
        </w:rPr>
      </w:pPr>
      <w:r>
        <w:rPr>
          <w:rFonts w:hint="eastAsia" w:ascii="宋体" w:hAnsi="宋体" w:cs="宋体"/>
          <w:b/>
          <w:bCs/>
          <w:kern w:val="0"/>
          <w:szCs w:val="21"/>
        </w:rPr>
        <w:t>六、投标保证金</w:t>
      </w:r>
    </w:p>
    <w:p>
      <w:pPr>
        <w:spacing w:line="360" w:lineRule="auto"/>
        <w:ind w:firstLine="420" w:firstLineChars="200"/>
        <w:rPr>
          <w:rFonts w:ascii="宋体" w:hAnsi="宋体" w:cs="宋体"/>
          <w:iCs/>
          <w:szCs w:val="21"/>
        </w:rPr>
      </w:pPr>
      <w:r>
        <w:rPr>
          <w:rFonts w:hint="eastAsia" w:ascii="宋体" w:hAnsi="宋体" w:cs="宋体"/>
          <w:iCs/>
          <w:szCs w:val="21"/>
        </w:rPr>
        <w:t>1.所有谈判单位须在城轨采购网（网址：www.mtrmart.com）注册参与并按要求提交投标保证金。本次投标保证金的金额为</w:t>
      </w:r>
      <w:r>
        <w:rPr>
          <w:rFonts w:hint="eastAsia" w:ascii="宋体" w:hAnsi="宋体" w:cs="宋体"/>
          <w:iCs/>
          <w:szCs w:val="21"/>
          <w:highlight w:val="none"/>
        </w:rPr>
        <w:t>（人民币）</w:t>
      </w:r>
      <w:r>
        <w:rPr>
          <w:rFonts w:hint="eastAsia" w:ascii="宋体" w:hAnsi="宋体" w:cs="宋体"/>
          <w:iCs/>
          <w:szCs w:val="21"/>
          <w:highlight w:val="none"/>
          <w:lang w:val="en-US" w:eastAsia="zh-CN"/>
        </w:rPr>
        <w:t>15800</w:t>
      </w:r>
      <w:r>
        <w:rPr>
          <w:rFonts w:hint="eastAsia" w:ascii="宋体" w:hAnsi="宋体" w:cs="宋体"/>
          <w:iCs/>
          <w:szCs w:val="21"/>
          <w:highlight w:val="none"/>
        </w:rPr>
        <w:t>元</w:t>
      </w:r>
      <w:r>
        <w:rPr>
          <w:rFonts w:hint="eastAsia" w:ascii="宋体" w:hAnsi="宋体" w:cs="宋体"/>
          <w:iCs/>
          <w:szCs w:val="21"/>
        </w:rPr>
        <w:t>，投标保证金必须由谈判单位的银行对公账户转出，否则将无权限参加本次谈判。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2.本次参与谈判单位的投标保证金必须在</w:t>
      </w:r>
      <w:r>
        <w:rPr>
          <w:rFonts w:hint="eastAsia" w:ascii="宋体" w:hAnsi="宋体" w:cs="宋体"/>
          <w:iCs/>
          <w:szCs w:val="21"/>
          <w:highlight w:val="none"/>
          <w:u w:val="single"/>
        </w:rPr>
        <w:t>202</w:t>
      </w:r>
      <w:r>
        <w:rPr>
          <w:rFonts w:hint="eastAsia" w:ascii="宋体" w:hAnsi="宋体" w:cs="宋体"/>
          <w:iCs/>
          <w:szCs w:val="21"/>
          <w:highlight w:val="none"/>
          <w:u w:val="single"/>
          <w:lang w:val="en-US" w:eastAsia="zh-CN"/>
        </w:rPr>
        <w:t>2</w:t>
      </w:r>
      <w:r>
        <w:rPr>
          <w:rFonts w:hint="eastAsia" w:ascii="宋体" w:hAnsi="宋体" w:cs="宋体"/>
          <w:iCs/>
          <w:szCs w:val="21"/>
          <w:highlight w:val="none"/>
        </w:rPr>
        <w:t>年</w:t>
      </w:r>
      <w:r>
        <w:rPr>
          <w:rFonts w:hint="eastAsia" w:ascii="宋体" w:hAnsi="宋体" w:cs="宋体"/>
          <w:iCs/>
          <w:szCs w:val="21"/>
          <w:highlight w:val="none"/>
          <w:u w:val="single"/>
          <w:lang w:val="en-US" w:eastAsia="zh-CN"/>
        </w:rPr>
        <w:t>4</w:t>
      </w:r>
      <w:r>
        <w:rPr>
          <w:rFonts w:hint="eastAsia" w:ascii="宋体" w:hAnsi="宋体" w:cs="宋体"/>
          <w:iCs/>
          <w:szCs w:val="21"/>
          <w:highlight w:val="none"/>
        </w:rPr>
        <w:t>月</w:t>
      </w:r>
      <w:r>
        <w:rPr>
          <w:rFonts w:hint="eastAsia" w:ascii="宋体" w:hAnsi="宋体" w:cs="宋体"/>
          <w:iCs/>
          <w:szCs w:val="21"/>
          <w:highlight w:val="none"/>
          <w:u w:val="single"/>
          <w:lang w:val="en-US" w:eastAsia="zh-CN"/>
        </w:rPr>
        <w:t>11</w:t>
      </w:r>
      <w:r>
        <w:rPr>
          <w:rFonts w:hint="eastAsia" w:ascii="宋体" w:hAnsi="宋体" w:cs="宋体"/>
          <w:iCs/>
          <w:szCs w:val="21"/>
          <w:highlight w:val="none"/>
        </w:rPr>
        <w:t>日17:00</w:t>
      </w:r>
      <w:r>
        <w:rPr>
          <w:rFonts w:hint="eastAsia" w:ascii="宋体" w:hAnsi="宋体" w:cs="宋体"/>
          <w:iCs/>
          <w:szCs w:val="21"/>
        </w:rPr>
        <w:t>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rPr>
      </w:pPr>
      <w:r>
        <w:rPr>
          <w:rFonts w:hint="eastAsia" w:ascii="宋体" w:hAnsi="宋体" w:cs="宋体"/>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rPr>
      </w:pPr>
      <w:r>
        <w:rPr>
          <w:rFonts w:hint="eastAsia" w:ascii="宋体" w:hAnsi="宋体" w:cs="宋体"/>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rPr>
      </w:pPr>
      <w:r>
        <w:rPr>
          <w:rFonts w:hint="eastAsia" w:ascii="宋体" w:hAnsi="宋体" w:cs="宋体"/>
          <w:iCs/>
          <w:szCs w:val="21"/>
        </w:rPr>
        <w:t>（1）谈判单位提出撤回或撤销或放弃中选资格或对报价提出实质性修改；</w:t>
      </w:r>
    </w:p>
    <w:p>
      <w:pPr>
        <w:spacing w:line="360" w:lineRule="auto"/>
        <w:ind w:firstLine="420" w:firstLineChars="200"/>
        <w:rPr>
          <w:rFonts w:ascii="宋体" w:hAnsi="宋体" w:cs="宋体"/>
          <w:iCs/>
          <w:szCs w:val="21"/>
        </w:rPr>
      </w:pPr>
      <w:r>
        <w:rPr>
          <w:rFonts w:hint="eastAsia" w:ascii="宋体" w:hAnsi="宋体" w:cs="宋体"/>
          <w:iCs/>
          <w:szCs w:val="21"/>
        </w:rPr>
        <w:t>（2）中选单位未能在规定期限内签订合同或不按报价结果签订合同；</w:t>
      </w:r>
    </w:p>
    <w:p>
      <w:pPr>
        <w:spacing w:line="360" w:lineRule="auto"/>
        <w:ind w:firstLine="420" w:firstLineChars="200"/>
        <w:rPr>
          <w:rFonts w:ascii="宋体" w:hAnsi="宋体" w:cs="宋体"/>
          <w:iCs/>
          <w:szCs w:val="21"/>
        </w:rPr>
      </w:pPr>
      <w:r>
        <w:rPr>
          <w:rFonts w:hint="eastAsia" w:ascii="宋体" w:hAnsi="宋体" w:cs="宋体"/>
          <w:iCs/>
          <w:szCs w:val="21"/>
        </w:rPr>
        <w:t>（3）中选单位未能在规定期限内提交履约保证金；</w:t>
      </w:r>
    </w:p>
    <w:p>
      <w:pPr>
        <w:spacing w:line="360" w:lineRule="auto"/>
        <w:ind w:firstLine="420" w:firstLineChars="200"/>
        <w:rPr>
          <w:rFonts w:ascii="宋体" w:hAnsi="宋体" w:cs="宋体"/>
          <w:iCs/>
          <w:szCs w:val="21"/>
        </w:rPr>
      </w:pPr>
      <w:r>
        <w:rPr>
          <w:rFonts w:hint="eastAsia" w:ascii="宋体" w:hAnsi="宋体" w:cs="宋体"/>
          <w:iCs/>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rPr>
      </w:pPr>
      <w:r>
        <w:rPr>
          <w:rFonts w:hint="eastAsia" w:ascii="宋体" w:hAnsi="宋体" w:cs="宋体"/>
          <w:iCs/>
          <w:szCs w:val="21"/>
        </w:rPr>
        <w:t>（5）经查实谈判单位报价资料弄虚作假的；</w:t>
      </w:r>
    </w:p>
    <w:p>
      <w:pPr>
        <w:spacing w:line="360" w:lineRule="auto"/>
        <w:ind w:firstLine="420" w:firstLineChars="200"/>
        <w:rPr>
          <w:rFonts w:ascii="宋体" w:hAnsi="宋体" w:cs="宋体"/>
          <w:iCs/>
          <w:szCs w:val="21"/>
        </w:rPr>
      </w:pPr>
      <w:r>
        <w:rPr>
          <w:rFonts w:hint="eastAsia" w:ascii="宋体" w:hAnsi="宋体" w:cs="宋体"/>
          <w:iCs/>
          <w:szCs w:val="21"/>
        </w:rPr>
        <w:t>（6）串通参与谈判相关行为的。如不同谈判单位的投标保证金从同一账户转出。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bCs/>
          <w:kern w:val="0"/>
          <w:szCs w:val="21"/>
        </w:rPr>
        <w:t>七、</w:t>
      </w:r>
      <w:r>
        <w:rPr>
          <w:rFonts w:hint="eastAsia" w:ascii="宋体" w:hAnsi="宋体" w:cs="宋体"/>
          <w:b/>
          <w:bCs/>
          <w:iCs/>
          <w:szCs w:val="21"/>
        </w:rPr>
        <w:t>响应文件的递交</w:t>
      </w:r>
    </w:p>
    <w:p>
      <w:pPr>
        <w:spacing w:line="360" w:lineRule="auto"/>
        <w:ind w:firstLine="420" w:firstLineChars="200"/>
        <w:rPr>
          <w:rFonts w:hint="eastAsia" w:ascii="宋体" w:hAnsi="宋体"/>
          <w:bCs/>
          <w:szCs w:val="21"/>
        </w:rPr>
      </w:pPr>
      <w:r>
        <w:rPr>
          <w:rFonts w:hint="eastAsia" w:ascii="宋体" w:hAnsi="宋体"/>
          <w:bCs/>
          <w:szCs w:val="21"/>
        </w:rPr>
        <w:t>1.响应文件递交的截止时间及谈判时间为2022年</w:t>
      </w:r>
      <w:r>
        <w:rPr>
          <w:rFonts w:hint="eastAsia" w:ascii="宋体" w:hAnsi="宋体"/>
          <w:bCs/>
          <w:szCs w:val="21"/>
          <w:lang w:val="en-US" w:eastAsia="zh-CN"/>
        </w:rPr>
        <w:t>4</w:t>
      </w:r>
      <w:r>
        <w:rPr>
          <w:rFonts w:hint="eastAsia" w:ascii="宋体" w:hAnsi="宋体"/>
          <w:bCs/>
          <w:szCs w:val="21"/>
        </w:rPr>
        <w:t>月</w:t>
      </w:r>
      <w:r>
        <w:rPr>
          <w:rFonts w:hint="eastAsia" w:ascii="宋体" w:hAnsi="宋体"/>
          <w:bCs/>
          <w:szCs w:val="21"/>
          <w:lang w:val="en-US" w:eastAsia="zh-CN"/>
        </w:rPr>
        <w:t>18</w:t>
      </w:r>
      <w:r>
        <w:rPr>
          <w:rFonts w:hint="eastAsia" w:ascii="宋体" w:hAnsi="宋体"/>
          <w:bCs/>
          <w:szCs w:val="21"/>
        </w:rPr>
        <w:t>日14时30分，地点为长沙市劳动东路二段48号黄兴车辆段综合楼9楼910室。</w:t>
      </w:r>
    </w:p>
    <w:p>
      <w:pPr>
        <w:spacing w:line="360" w:lineRule="auto"/>
        <w:ind w:firstLine="420" w:firstLineChars="200"/>
        <w:rPr>
          <w:rFonts w:hint="eastAsia" w:ascii="宋体" w:hAnsi="宋体"/>
          <w:b/>
          <w:bCs w:val="0"/>
          <w:szCs w:val="21"/>
          <w:lang w:val="en-US" w:eastAsia="zh-CN"/>
        </w:rPr>
      </w:pPr>
      <w:r>
        <w:rPr>
          <w:rFonts w:hint="eastAsia" w:ascii="宋体" w:hAnsi="宋体"/>
          <w:bCs/>
          <w:szCs w:val="21"/>
          <w:lang w:val="en-US" w:eastAsia="zh-CN"/>
        </w:rPr>
        <w:t>2</w:t>
      </w:r>
      <w:r>
        <w:rPr>
          <w:rFonts w:hint="eastAsia" w:ascii="宋体" w:hAnsi="宋体"/>
          <w:b/>
          <w:bCs w:val="0"/>
          <w:szCs w:val="21"/>
          <w:lang w:val="en-US" w:eastAsia="zh-CN"/>
        </w:rPr>
        <w:t>.谈判单位代表应佩戴口罩，携带身份证进行实名登记，配合做好体温检测，提供“健康码”、</w:t>
      </w:r>
    </w:p>
    <w:p>
      <w:pPr>
        <w:spacing w:line="360" w:lineRule="auto"/>
        <w:rPr>
          <w:rFonts w:hint="eastAsia" w:ascii="宋体" w:hAnsi="宋体"/>
          <w:b/>
          <w:bCs w:val="0"/>
          <w:szCs w:val="21"/>
          <w:lang w:val="en-US" w:eastAsia="zh-CN"/>
        </w:rPr>
      </w:pPr>
      <w:r>
        <w:rPr>
          <w:rFonts w:hint="eastAsia" w:ascii="宋体" w:hAnsi="宋体"/>
          <w:b/>
          <w:bCs w:val="0"/>
          <w:szCs w:val="21"/>
          <w:lang w:val="en-US" w:eastAsia="zh-CN"/>
        </w:rPr>
        <w:t>“行程码”及48小时内核酸检测证明，否则响应文件将予以拒收。</w:t>
      </w:r>
    </w:p>
    <w:p>
      <w:pPr>
        <w:spacing w:line="360" w:lineRule="auto"/>
        <w:ind w:firstLine="420" w:firstLineChars="200"/>
        <w:rPr>
          <w:rFonts w:ascii="宋体" w:hAnsi="宋体" w:cs="宋体"/>
          <w:szCs w:val="21"/>
        </w:rPr>
      </w:pPr>
      <w:r>
        <w:rPr>
          <w:rFonts w:hint="eastAsia" w:ascii="宋体" w:hAnsi="宋体" w:eastAsia="宋体" w:cs="Times New Roman"/>
          <w:bCs/>
          <w:kern w:val="2"/>
          <w:sz w:val="21"/>
          <w:szCs w:val="21"/>
          <w:lang w:val="en-US" w:eastAsia="zh-CN" w:bidi="ar-SA"/>
        </w:rPr>
        <w:t>3.逾期送达的或者未送达指定地点的或者未密封的响应文件，</w:t>
      </w:r>
      <w:r>
        <w:rPr>
          <w:rFonts w:hint="eastAsia" w:ascii="宋体" w:hAnsi="宋体" w:cs="宋体"/>
          <w:szCs w:val="21"/>
        </w:rPr>
        <w:t>采购单位或采购代理机构将予以</w:t>
      </w:r>
      <w:r>
        <w:rPr>
          <w:rFonts w:hint="eastAsia" w:ascii="宋体" w:hAnsi="宋体" w:cs="宋体"/>
          <w:b/>
          <w:bCs/>
          <w:szCs w:val="21"/>
        </w:rPr>
        <w:t>拒收</w:t>
      </w:r>
      <w:r>
        <w:rPr>
          <w:rFonts w:hint="eastAsia" w:ascii="宋体" w:hAnsi="宋体" w:cs="宋体"/>
          <w:szCs w:val="21"/>
        </w:rPr>
        <w:t>。</w:t>
      </w:r>
    </w:p>
    <w:p>
      <w:pPr>
        <w:pStyle w:val="14"/>
        <w:rPr>
          <w:rFonts w:hint="eastAsia" w:ascii="宋体" w:hAnsi="宋体" w:cs="宋体"/>
          <w:b/>
          <w:bCs/>
          <w:kern w:val="0"/>
          <w:szCs w:val="21"/>
        </w:rPr>
      </w:pPr>
      <w:r>
        <w:rPr>
          <w:rFonts w:hint="eastAsia" w:ascii="宋体" w:hAnsi="宋体" w:cs="宋体"/>
          <w:b/>
          <w:bCs/>
          <w:kern w:val="0"/>
          <w:szCs w:val="21"/>
        </w:rPr>
        <w:t>八、中标原则</w:t>
      </w:r>
    </w:p>
    <w:p/>
    <w:p>
      <w:pPr>
        <w:spacing w:line="360" w:lineRule="auto"/>
        <w:ind w:firstLine="420" w:firstLineChars="200"/>
        <w:rPr>
          <w:rFonts w:hint="eastAsia" w:ascii="宋体" w:hAnsi="宋体"/>
          <w:bCs/>
          <w:szCs w:val="21"/>
        </w:rPr>
      </w:pPr>
      <w:r>
        <w:rPr>
          <w:rFonts w:hint="eastAsia" w:ascii="宋体" w:hAnsi="宋体"/>
          <w:bCs/>
          <w:szCs w:val="21"/>
          <w:lang w:val="en-US" w:eastAsia="zh-CN"/>
        </w:rPr>
        <w:t>1.</w:t>
      </w:r>
      <w:r>
        <w:rPr>
          <w:rFonts w:hint="eastAsia" w:ascii="宋体" w:hAnsi="宋体"/>
          <w:bCs/>
          <w:szCs w:val="21"/>
        </w:rPr>
        <w:t>谈判评审小组按照得分由高到低顺序推荐1-3名中选候选人，经公示无异议后，确定第一中选候选人为中选单位。</w:t>
      </w:r>
    </w:p>
    <w:p>
      <w:pPr>
        <w:spacing w:line="360" w:lineRule="auto"/>
        <w:ind w:firstLine="420" w:firstLineChars="200"/>
        <w:rPr>
          <w:rFonts w:hint="eastAsia" w:ascii="宋体" w:hAnsi="宋体"/>
          <w:bCs/>
          <w:szCs w:val="21"/>
        </w:rPr>
      </w:pPr>
      <w:r>
        <w:rPr>
          <w:rFonts w:hint="eastAsia" w:ascii="宋体" w:hAnsi="宋体"/>
          <w:bCs/>
          <w:szCs w:val="21"/>
        </w:rPr>
        <w:t>2.若第一中选候选人放弃中选、因不可抗力不能履行合同，或者被查实存在影响中选结果的违法行为等情形，不符合中选条件的，采购单位可以按照评审报告的中选候选人排序依次递补确定中选单位，也可以重新开展采购活动。</w:t>
      </w:r>
    </w:p>
    <w:p>
      <w:pPr>
        <w:spacing w:line="360" w:lineRule="auto"/>
        <w:ind w:left="0" w:leftChars="0" w:firstLine="279" w:firstLineChars="133"/>
        <w:rPr>
          <w:rFonts w:ascii="宋体" w:hAnsi="宋体" w:cs="宋体"/>
          <w:b/>
          <w:szCs w:val="21"/>
        </w:rPr>
      </w:pPr>
      <w:r>
        <w:rPr>
          <w:rFonts w:ascii="宋体" w:hAnsi="宋体" w:cs="宋体"/>
          <w:bCs/>
          <w:color w:val="FF0000"/>
          <w:highlight w:val="none"/>
        </w:rPr>
        <w:t xml:space="preserve"> </w:t>
      </w:r>
      <w:r>
        <w:rPr>
          <w:rFonts w:hint="eastAsia" w:ascii="宋体" w:hAnsi="宋体" w:cs="宋体"/>
          <w:b/>
          <w:iCs/>
          <w:szCs w:val="21"/>
        </w:rPr>
        <w:t>九、采购单位及其委托的采购代理机构的名称、地址和联系方法</w:t>
      </w:r>
    </w:p>
    <w:p>
      <w:pPr>
        <w:adjustRightInd w:val="0"/>
        <w:snapToGrid w:val="0"/>
        <w:spacing w:line="360" w:lineRule="auto"/>
        <w:ind w:firstLine="411" w:firstLineChars="196"/>
        <w:rPr>
          <w:rFonts w:ascii="宋体" w:hAnsi="宋体" w:cs="宋体"/>
          <w:b/>
          <w:bCs/>
          <w:szCs w:val="21"/>
          <w:u w:val="none"/>
        </w:rPr>
      </w:pPr>
      <w:r>
        <w:rPr>
          <w:rFonts w:hint="eastAsia" w:ascii="宋体" w:hAnsi="宋体" w:cs="宋体"/>
          <w:b w:val="0"/>
          <w:bCs w:val="0"/>
          <w:szCs w:val="21"/>
        </w:rPr>
        <w:t>采购单位：</w:t>
      </w:r>
      <w:r>
        <w:rPr>
          <w:rFonts w:hint="eastAsia" w:ascii="宋体" w:hAnsi="宋体" w:cs="宋体"/>
          <w:iCs/>
          <w:szCs w:val="21"/>
          <w:u w:val="none"/>
          <w:lang w:val="en-US" w:eastAsia="zh-CN"/>
        </w:rPr>
        <w:t>长沙市轨道交通一号线建设发展有限公司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eastAsia="zh-CN"/>
        </w:rPr>
        <w:t>奉女士</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  话：</w:t>
      </w:r>
      <w:r>
        <w:rPr>
          <w:rFonts w:hint="eastAsia" w:ascii="宋体" w:hAnsi="宋体"/>
          <w:szCs w:val="21"/>
          <w:highlight w:val="none"/>
        </w:rPr>
        <w:t>0731-</w:t>
      </w:r>
      <w:r>
        <w:rPr>
          <w:rFonts w:hint="eastAsia" w:ascii="宋体" w:hAnsi="宋体" w:cs="宋体"/>
          <w:bCs/>
          <w:szCs w:val="21"/>
          <w:highlight w:val="none"/>
        </w:rPr>
        <w:t>86852347</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bCs/>
          <w:szCs w:val="21"/>
          <w:highlight w:val="none"/>
        </w:rPr>
        <w:t>监督举报电话：</w:t>
      </w:r>
      <w:r>
        <w:rPr>
          <w:rFonts w:hint="eastAsia" w:ascii="宋体" w:hAnsi="宋体"/>
          <w:szCs w:val="21"/>
          <w:highlight w:val="none"/>
        </w:rPr>
        <w:t>0731-</w:t>
      </w:r>
      <w:r>
        <w:rPr>
          <w:rFonts w:hint="eastAsia" w:ascii="宋体" w:hAnsi="宋体" w:cs="宋体"/>
          <w:szCs w:val="21"/>
          <w:highlight w:val="none"/>
        </w:rPr>
        <w:t>86852247</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联系人：文工</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采购代理机构：</w:t>
      </w:r>
      <w:r>
        <w:rPr>
          <w:rFonts w:hint="eastAsia" w:ascii="宋体" w:hAnsi="宋体" w:cs="宋体"/>
          <w:b w:val="0"/>
          <w:bCs w:val="0"/>
          <w:szCs w:val="21"/>
          <w:lang w:bidi="ar"/>
        </w:rPr>
        <w:t>湖南天辉工程项目管理有限公司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18674812665</w:t>
      </w:r>
    </w:p>
    <w:p>
      <w:pPr>
        <w:spacing w:line="360" w:lineRule="auto"/>
        <w:ind w:firstLine="420" w:firstLineChars="200"/>
        <w:rPr>
          <w:rFonts w:ascii="宋体" w:hAnsi="宋体" w:cs="宋体"/>
          <w:szCs w:val="21"/>
        </w:rPr>
      </w:pPr>
      <w:r>
        <w:rPr>
          <w:rFonts w:hint="eastAsia" w:ascii="宋体" w:hAnsi="宋体" w:cs="宋体"/>
          <w:szCs w:val="21"/>
        </w:rPr>
        <w:t>联系人：</w:t>
      </w:r>
      <w:r>
        <w:rPr>
          <w:rFonts w:hint="eastAsia"/>
          <w:color w:val="000000"/>
          <w:szCs w:val="21"/>
        </w:rPr>
        <w:t>黄先生</w:t>
      </w:r>
    </w:p>
    <w:p>
      <w:pPr>
        <w:spacing w:line="360" w:lineRule="auto"/>
        <w:ind w:firstLine="420" w:firstLineChars="200"/>
        <w:rPr>
          <w:rFonts w:ascii="宋体" w:hAnsi="宋体" w:cs="宋体"/>
          <w:szCs w:val="21"/>
        </w:rPr>
      </w:pPr>
      <w:r>
        <w:rPr>
          <w:rFonts w:hint="eastAsia" w:ascii="宋体" w:hAnsi="宋体" w:cs="宋体"/>
          <w:szCs w:val="21"/>
        </w:rPr>
        <w:t>地址：</w:t>
      </w:r>
      <w:r>
        <w:rPr>
          <w:rFonts w:hint="eastAsia"/>
        </w:rPr>
        <w:t>长沙市芙蓉区车站北路</w:t>
      </w:r>
      <w:r>
        <w:t>70</w:t>
      </w:r>
      <w:r>
        <w:rPr>
          <w:rFonts w:hint="eastAsia"/>
        </w:rPr>
        <w:t>号万象新天公寓</w:t>
      </w:r>
      <w:r>
        <w:t>5</w:t>
      </w:r>
      <w:r>
        <w:rPr>
          <w:rFonts w:hint="eastAsia"/>
        </w:rPr>
        <w:t>号栋</w:t>
      </w:r>
      <w:r>
        <w:t>2001</w:t>
      </w:r>
      <w:r>
        <w:rPr>
          <w:rFonts w:hint="eastAsia"/>
        </w:rPr>
        <w:t>房</w:t>
      </w:r>
    </w:p>
    <w:p>
      <w:pPr>
        <w:pStyle w:val="26"/>
        <w:adjustRightInd w:val="0"/>
        <w:snapToGrid w:val="0"/>
        <w:jc w:val="right"/>
        <w:rPr>
          <w:rFonts w:hint="eastAsia" w:hAnsi="宋体" w:cs="宋体"/>
        </w:rPr>
      </w:pPr>
    </w:p>
    <w:p>
      <w:pPr>
        <w:pStyle w:val="26"/>
        <w:adjustRightInd w:val="0"/>
        <w:snapToGrid w:val="0"/>
        <w:jc w:val="right"/>
        <w:rPr>
          <w:rFonts w:hAnsi="宋体" w:cs="宋体"/>
        </w:rPr>
      </w:pPr>
      <w:r>
        <w:rPr>
          <w:rFonts w:hint="eastAsia" w:hAnsi="宋体" w:cs="宋体"/>
        </w:rPr>
        <w:t>2022年</w:t>
      </w:r>
      <w:r>
        <w:rPr>
          <w:rFonts w:hint="eastAsia" w:hAnsi="宋体" w:cs="宋体"/>
          <w:u w:val="single"/>
          <w:lang w:val="en-US" w:eastAsia="zh-CN"/>
        </w:rPr>
        <w:t>4</w:t>
      </w:r>
      <w:r>
        <w:rPr>
          <w:rFonts w:hint="eastAsia" w:hAnsi="宋体" w:cs="宋体"/>
        </w:rPr>
        <w:t>月</w:t>
      </w:r>
      <w:r>
        <w:rPr>
          <w:rFonts w:hint="eastAsia" w:hAnsi="宋体" w:cs="宋体"/>
          <w:u w:val="single"/>
          <w:lang w:val="en-US" w:eastAsia="zh-CN"/>
        </w:rPr>
        <w:t>2</w:t>
      </w:r>
      <w:r>
        <w:rPr>
          <w:rFonts w:hint="eastAsia" w:hAnsi="宋体" w:cs="宋体"/>
        </w:rPr>
        <w:t>日</w:t>
      </w:r>
    </w:p>
    <w:p>
      <w:pPr>
        <w:pStyle w:val="26"/>
        <w:adjustRightInd w:val="0"/>
        <w:snapToGrid w:val="0"/>
        <w:spacing w:line="360" w:lineRule="auto"/>
        <w:jc w:val="right"/>
        <w:rPr>
          <w:rFonts w:hAnsi="宋体"/>
        </w:rPr>
      </w:pPr>
    </w:p>
    <w:p>
      <w:pPr>
        <w:pStyle w:val="4"/>
        <w:keepNext w:val="0"/>
        <w:spacing w:after="240"/>
        <w:rPr>
          <w:rFonts w:ascii="黑体" w:hAnsi="黑体" w:eastAsia="黑体"/>
          <w:bCs w:val="0"/>
          <w:sz w:val="32"/>
          <w:szCs w:val="32"/>
        </w:rPr>
      </w:pPr>
      <w:r>
        <w:rPr>
          <w:rFonts w:ascii="黑体" w:hAnsi="黑体" w:eastAsia="黑体"/>
          <w:b w:val="0"/>
          <w:bCs w:val="0"/>
          <w:sz w:val="32"/>
          <w:szCs w:val="32"/>
        </w:rPr>
        <w:br w:type="page"/>
      </w:r>
      <w:bookmarkStart w:id="6" w:name="_Toc14891065"/>
      <w:bookmarkStart w:id="7" w:name="_Toc8914"/>
      <w:bookmarkStart w:id="8" w:name="_Toc10689"/>
      <w:bookmarkStart w:id="9" w:name="_Toc6753"/>
      <w:bookmarkStart w:id="10" w:name="_Toc5145"/>
      <w:r>
        <w:rPr>
          <w:rFonts w:hint="eastAsia" w:ascii="宋体" w:hAnsi="宋体" w:cs="宋体"/>
          <w:sz w:val="32"/>
          <w:szCs w:val="32"/>
        </w:rPr>
        <w:t>第二章  谈判须知</w:t>
      </w:r>
      <w:bookmarkEnd w:id="6"/>
      <w:bookmarkEnd w:id="7"/>
      <w:bookmarkEnd w:id="8"/>
      <w:bookmarkEnd w:id="9"/>
      <w:bookmarkEnd w:id="10"/>
    </w:p>
    <w:p>
      <w:pPr>
        <w:pStyle w:val="5"/>
        <w:keepNext w:val="0"/>
        <w:keepLines w:val="0"/>
        <w:jc w:val="center"/>
        <w:rPr>
          <w:rFonts w:ascii="宋体" w:hAnsi="宋体" w:cs="宋体"/>
          <w:sz w:val="32"/>
        </w:rPr>
      </w:pPr>
      <w:bookmarkStart w:id="11" w:name="_Toc5430"/>
      <w:bookmarkStart w:id="12" w:name="_Toc9591"/>
      <w:bookmarkStart w:id="13" w:name="_Toc6617"/>
      <w:bookmarkStart w:id="14" w:name="_Toc14891066"/>
      <w:bookmarkStart w:id="15" w:name="_Toc12384"/>
      <w:r>
        <w:rPr>
          <w:rFonts w:hint="eastAsia" w:ascii="宋体" w:hAnsi="宋体" w:cs="宋体"/>
          <w:sz w:val="32"/>
        </w:rPr>
        <w:t>谈判须知前附表</w:t>
      </w:r>
      <w:bookmarkEnd w:id="11"/>
      <w:bookmarkEnd w:id="12"/>
      <w:bookmarkEnd w:id="13"/>
      <w:bookmarkEnd w:id="14"/>
      <w:bookmarkEnd w:id="15"/>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09"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09" w:type="dxa"/>
            <w:vAlign w:val="center"/>
          </w:tcPr>
          <w:p>
            <w:pPr>
              <w:pStyle w:val="26"/>
              <w:adjustRightInd w:val="0"/>
              <w:snapToGrid w:val="0"/>
              <w:spacing w:line="360" w:lineRule="auto"/>
              <w:rPr>
                <w:rFonts w:ascii="宋体" w:hAnsi="宋体" w:cs="宋体"/>
                <w:szCs w:val="21"/>
              </w:rPr>
            </w:pPr>
            <w:r>
              <w:rPr>
                <w:rFonts w:hint="eastAsia" w:ascii="宋体" w:hAnsi="宋体" w:cs="宋体"/>
                <w:iCs/>
                <w:szCs w:val="21"/>
                <w:lang w:val="en-US" w:eastAsia="zh-CN"/>
              </w:rPr>
              <w:t>长沙市轨道交通1号线运营期2022年交通运输行业安全生产责任保险服务项目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lang w:val="en-US" w:eastAsia="zh-CN"/>
              </w:rPr>
              <w:t>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lang w:val="en-US" w:eastAsia="zh-CN"/>
              </w:rPr>
              <w:t>湖南天辉工程项目管理有限公司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最高限价</w:t>
            </w:r>
          </w:p>
        </w:tc>
        <w:tc>
          <w:tcPr>
            <w:tcW w:w="7709" w:type="dxa"/>
            <w:vAlign w:val="center"/>
          </w:tcPr>
          <w:p>
            <w:pPr>
              <w:keepNext w:val="0"/>
              <w:keepLines w:val="0"/>
              <w:widowControl/>
              <w:suppressLineNumbers w:val="0"/>
              <w:jc w:val="left"/>
              <w:rPr>
                <w:rFonts w:ascii="宋体" w:hAnsi="宋体" w:cs="宋体"/>
                <w:iCs/>
                <w:color w:val="FF0000"/>
                <w:szCs w:val="21"/>
              </w:rPr>
            </w:pPr>
            <w:r>
              <w:rPr>
                <w:rFonts w:hint="eastAsia" w:ascii="宋体" w:hAnsi="宋体" w:cs="宋体"/>
                <w:szCs w:val="21"/>
                <w:highlight w:val="none"/>
                <w:lang w:val="en-US" w:eastAsia="zh-CN"/>
              </w:rPr>
              <w:t>794900.00元</w:t>
            </w:r>
            <w:r>
              <w:rPr>
                <w:rFonts w:hint="eastAsia" w:ascii="宋体" w:hAnsi="宋体" w:cs="宋体"/>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bCs/>
                <w:szCs w:val="21"/>
              </w:rPr>
              <w:t>经符合性审查合格后的最低价法</w:t>
            </w:r>
            <w:r>
              <w:rPr>
                <w:rFonts w:ascii="宋体" w:hAnsi="宋体" w:cs="宋体"/>
                <w:iCs/>
                <w:color w:val="FF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09" w:type="dxa"/>
            <w:vAlign w:val="center"/>
          </w:tcPr>
          <w:p>
            <w:pPr>
              <w:spacing w:line="360" w:lineRule="auto"/>
              <w:jc w:val="left"/>
              <w:rPr>
                <w:rFonts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jc w:val="left"/>
              <w:rPr>
                <w:rFonts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及《营业执照》（副本）。</w:t>
            </w:r>
          </w:p>
          <w:p>
            <w:pPr>
              <w:spacing w:line="360" w:lineRule="auto"/>
              <w:jc w:val="left"/>
              <w:rPr>
                <w:rFonts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jc w:val="left"/>
              <w:rPr>
                <w:rFonts w:ascii="宋体" w:hAnsi="宋体" w:cs="宋体"/>
                <w:highlight w:val="none"/>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w:t>
            </w:r>
            <w:r>
              <w:rPr>
                <w:rFonts w:hint="eastAsia"/>
                <w:highlight w:val="none"/>
              </w:rPr>
              <w:t>谈判单位</w:t>
            </w:r>
            <w:r>
              <w:rPr>
                <w:rFonts w:hint="eastAsia" w:ascii="宋体" w:hAnsi="宋体" w:cs="宋体"/>
                <w:highlight w:val="none"/>
              </w:rPr>
              <w:t>对该项目负责人的任命文件。</w:t>
            </w:r>
          </w:p>
          <w:p>
            <w:pPr>
              <w:spacing w:line="360" w:lineRule="auto"/>
              <w:jc w:val="left"/>
              <w:rPr>
                <w:rFonts w:hint="eastAsia" w:ascii="宋体" w:hAnsi="宋体" w:cs="宋体"/>
                <w:highlight w:val="none"/>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A</w:t>
            </w:r>
            <w:r>
              <w:rPr>
                <w:rFonts w:hint="eastAsia" w:ascii="宋体" w:hAnsi="宋体" w:cs="宋体"/>
                <w:highlight w:val="none"/>
              </w:rPr>
              <w:t>类。</w:t>
            </w:r>
          </w:p>
          <w:p>
            <w:pPr>
              <w:spacing w:line="360" w:lineRule="auto"/>
              <w:jc w:val="left"/>
              <w:rPr>
                <w:rFonts w:hint="eastAsia" w:ascii="宋体" w:hAnsi="宋体" w:cs="宋体"/>
                <w:highlight w:val="none"/>
              </w:rPr>
            </w:pPr>
            <w:r>
              <w:rPr>
                <w:rFonts w:hint="eastAsia" w:ascii="宋体" w:hAnsi="宋体" w:cs="宋体"/>
                <w:highlight w:val="none"/>
              </w:rPr>
              <w:t>4.本项目不接受联合体形式参与谈判。</w:t>
            </w:r>
          </w:p>
          <w:p>
            <w:pPr>
              <w:spacing w:line="360" w:lineRule="auto"/>
              <w:jc w:val="left"/>
              <w:rPr>
                <w:rFonts w:ascii="宋体" w:hAnsi="宋体" w:cs="宋体"/>
                <w:color w:val="000000"/>
                <w:szCs w:val="21"/>
                <w:highlight w:val="yellow"/>
              </w:rPr>
            </w:pPr>
            <w:r>
              <w:rPr>
                <w:rFonts w:hint="eastAsia" w:ascii="宋体" w:hAnsi="宋体" w:cs="宋体"/>
                <w:highlight w:val="none"/>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09" w:type="dxa"/>
            <w:vAlign w:val="center"/>
          </w:tcPr>
          <w:p>
            <w:pPr>
              <w:pStyle w:val="26"/>
              <w:adjustRightInd w:val="0"/>
              <w:snapToGrid w:val="0"/>
              <w:spacing w:line="360" w:lineRule="auto"/>
              <w:rPr>
                <w:rFonts w:hAnsi="宋体" w:cs="宋体"/>
                <w:color w:val="000000"/>
                <w:highlight w:val="none"/>
              </w:rPr>
            </w:pPr>
            <w:r>
              <w:rPr>
                <w:rFonts w:hint="eastAsia" w:hAnsi="宋体" w:cs="宋体"/>
                <w:highlight w:val="none"/>
              </w:rPr>
              <w:t>20</w:t>
            </w:r>
            <w:r>
              <w:rPr>
                <w:rFonts w:hint="eastAsia" w:hAnsi="宋体" w:cs="宋体"/>
                <w:highlight w:val="none"/>
                <w:lang w:val="en-US" w:eastAsia="zh-CN"/>
              </w:rPr>
              <w:t>22</w:t>
            </w:r>
            <w:r>
              <w:rPr>
                <w:rFonts w:hint="eastAsia" w:hAnsi="宋体" w:cs="宋体"/>
                <w:highlight w:val="none"/>
              </w:rPr>
              <w:t>年</w:t>
            </w:r>
            <w:r>
              <w:rPr>
                <w:rFonts w:hint="eastAsia" w:hAnsi="宋体" w:cs="宋体"/>
                <w:highlight w:val="none"/>
                <w:lang w:val="en-US" w:eastAsia="zh-CN"/>
              </w:rPr>
              <w:t>4</w:t>
            </w:r>
            <w:r>
              <w:rPr>
                <w:rFonts w:hint="eastAsia" w:hAnsi="宋体" w:cs="宋体"/>
                <w:highlight w:val="none"/>
              </w:rPr>
              <w:t>月</w:t>
            </w:r>
            <w:r>
              <w:rPr>
                <w:rFonts w:hint="eastAsia" w:hAnsi="宋体" w:cs="宋体"/>
                <w:highlight w:val="none"/>
                <w:u w:val="none"/>
                <w:lang w:val="en-US" w:eastAsia="zh-CN"/>
              </w:rPr>
              <w:t>12</w:t>
            </w:r>
            <w:r>
              <w:rPr>
                <w:rFonts w:hint="eastAsia" w:hAnsi="宋体" w:cs="宋体"/>
                <w:highlight w:val="none"/>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09" w:type="dxa"/>
            <w:vAlign w:val="center"/>
          </w:tcPr>
          <w:p>
            <w:pPr>
              <w:pStyle w:val="26"/>
              <w:adjustRightInd w:val="0"/>
              <w:snapToGrid w:val="0"/>
              <w:spacing w:line="360" w:lineRule="auto"/>
              <w:rPr>
                <w:rFonts w:hAnsi="宋体" w:cs="宋体"/>
                <w:iCs/>
                <w:color w:val="FF0000"/>
              </w:rPr>
            </w:pPr>
            <w:r>
              <w:rPr>
                <w:rFonts w:hint="eastAsia" w:hAnsi="宋体" w:cs="宋体"/>
              </w:rPr>
              <w:t>谈判答疑文件应以书面形式递交至湖南天辉工程项目管理有限公司</w:t>
            </w:r>
            <w:r>
              <w:rPr>
                <w:rFonts w:hint="eastAsia" w:hAnsi="宋体" w:cs="宋体"/>
                <w:lang w:eastAsia="zh-CN"/>
              </w:rPr>
              <w:t>（</w:t>
            </w:r>
            <w:r>
              <w:rPr>
                <w:rFonts w:hint="eastAsia" w:hAnsi="宋体" w:cs="宋体"/>
              </w:rPr>
              <w:t>地址：长沙市芙蓉区车站北路70号万象新天公寓5号栋2001房</w:t>
            </w:r>
            <w:r>
              <w:rPr>
                <w:rFonts w:hint="eastAsia" w:hAnsi="宋体" w:cs="宋体"/>
                <w:lang w:eastAsia="zh-CN"/>
              </w:rPr>
              <w:t>）</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 xml:space="preserve"> 月</w:t>
            </w:r>
            <w:r>
              <w:rPr>
                <w:rFonts w:hint="eastAsia" w:ascii="宋体" w:hAnsi="宋体" w:cs="宋体"/>
                <w:szCs w:val="21"/>
                <w:highlight w:val="none"/>
                <w:lang w:val="en-US" w:eastAsia="zh-CN"/>
              </w:rPr>
              <w:t>18</w:t>
            </w:r>
            <w:r>
              <w:rPr>
                <w:rFonts w:hint="eastAsia" w:ascii="宋体" w:hAnsi="宋体" w:cs="宋体"/>
                <w:szCs w:val="21"/>
                <w:highlight w:val="none"/>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09"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价格承包内容</w:t>
            </w:r>
          </w:p>
        </w:tc>
        <w:tc>
          <w:tcPr>
            <w:tcW w:w="7709" w:type="dxa"/>
            <w:vAlign w:val="center"/>
          </w:tcPr>
          <w:p>
            <w:pPr>
              <w:adjustRightInd w:val="0"/>
              <w:snapToGrid w:val="0"/>
              <w:spacing w:line="360" w:lineRule="auto"/>
              <w:jc w:val="left"/>
              <w:rPr>
                <w:rFonts w:ascii="宋体" w:hAnsi="宋体" w:cs="宋体"/>
                <w:bCs/>
                <w:highlight w:val="none"/>
              </w:rPr>
            </w:pPr>
            <w:r>
              <w:rPr>
                <w:rFonts w:hint="eastAsia" w:ascii="宋体" w:hAnsi="宋体" w:cs="宋体"/>
                <w:bCs/>
                <w:highlight w:val="none"/>
              </w:rPr>
              <w:t>1.暂定保险费为含增值税价</w:t>
            </w:r>
            <w:r>
              <w:rPr>
                <w:rFonts w:ascii="宋体" w:hAnsi="宋体" w:cs="宋体"/>
                <w:bCs/>
                <w:highlight w:val="none"/>
              </w:rPr>
              <w:t>，金额为人民币（大写）</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 xml:space="preserve"> </w:t>
            </w:r>
            <w:r>
              <w:rPr>
                <w:rFonts w:hint="eastAsia" w:ascii="宋体" w:hAnsi="宋体" w:cs="宋体"/>
                <w:bCs/>
                <w:highlight w:val="none"/>
                <w:u w:val="single"/>
              </w:rPr>
              <w:t xml:space="preserve">     </w:t>
            </w:r>
            <w:r>
              <w:rPr>
                <w:rFonts w:ascii="宋体" w:hAnsi="宋体" w:cs="宋体"/>
                <w:bCs/>
                <w:highlight w:val="none"/>
              </w:rPr>
              <w:t>），其中，不含增值税暂定保险费为¥</w:t>
            </w:r>
            <w:r>
              <w:rPr>
                <w:rFonts w:hint="eastAsia" w:ascii="宋体" w:hAnsi="宋体" w:cs="宋体"/>
                <w:bCs/>
                <w:highlight w:val="none"/>
                <w:u w:val="single"/>
              </w:rPr>
              <w:t xml:space="preserve">      </w:t>
            </w:r>
            <w:r>
              <w:rPr>
                <w:rFonts w:ascii="宋体" w:hAnsi="宋体" w:cs="宋体"/>
                <w:bCs/>
                <w:highlight w:val="none"/>
              </w:rPr>
              <w:t>、暂定保险费中的增值税为¥</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增值税根据承保人提供给投保人的增值税专用发票中的税额据实支付和结算。</w:t>
            </w:r>
          </w:p>
          <w:p>
            <w:pPr>
              <w:adjustRightInd w:val="0"/>
              <w:snapToGrid w:val="0"/>
              <w:spacing w:line="360" w:lineRule="auto"/>
              <w:rPr>
                <w:rFonts w:ascii="宋体" w:hAnsi="宋体" w:cs="宋体"/>
                <w:szCs w:val="21"/>
              </w:rPr>
            </w:pPr>
            <w:r>
              <w:rPr>
                <w:rFonts w:hint="eastAsia" w:ascii="宋体" w:hAnsi="宋体" w:cs="宋体"/>
                <w:bCs/>
                <w:highlight w:val="none"/>
              </w:rPr>
              <w:t>2.按长沙市政府或其职能部门相关规定，本项目的保险费最终以长沙市政府相关职能部门或长沙市轨道交通集团有限公司授权的单位审定价款为准。最终保险费包括承保人履行合同且满足运营期保险需求的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highlight w:val="none"/>
              </w:rPr>
            </w:pPr>
            <w:r>
              <w:rPr>
                <w:rFonts w:hint="eastAsia" w:ascii="宋体" w:hAnsi="宋体" w:cs="宋体"/>
                <w:b/>
                <w:szCs w:val="21"/>
                <w:highlight w:val="none"/>
              </w:rPr>
              <w:t>项目支付方式</w:t>
            </w:r>
          </w:p>
        </w:tc>
        <w:tc>
          <w:tcPr>
            <w:tcW w:w="7709" w:type="dxa"/>
            <w:vAlign w:val="center"/>
          </w:tcPr>
          <w:p>
            <w:pPr>
              <w:tabs>
                <w:tab w:val="left" w:pos="851"/>
              </w:tabs>
              <w:adjustRightInd w:val="0"/>
              <w:snapToGrid w:val="0"/>
              <w:spacing w:line="360" w:lineRule="auto"/>
              <w:textAlignment w:val="baseline"/>
              <w:rPr>
                <w:rFonts w:ascii="宋体" w:hAnsi="宋体" w:cs="宋体"/>
                <w:bCs/>
                <w:highlight w:val="none"/>
              </w:rPr>
            </w:pPr>
            <w:r>
              <w:rPr>
                <w:rFonts w:hint="eastAsia" w:ascii="宋体" w:hAnsi="宋体" w:cs="宋体"/>
                <w:bCs/>
                <w:highlight w:val="none"/>
              </w:rPr>
              <w:t>1.中间支付：本项目保险单为一年一开，本合同签订生效且承保人签发保险单后，支付保单相应保险费的70%。</w:t>
            </w:r>
          </w:p>
          <w:p>
            <w:pPr>
              <w:adjustRightInd w:val="0"/>
              <w:snapToGrid w:val="0"/>
              <w:spacing w:line="360" w:lineRule="auto"/>
              <w:rPr>
                <w:rFonts w:ascii="宋体" w:hAnsi="宋体" w:cs="宋体"/>
                <w:bCs/>
                <w:highlight w:val="none"/>
              </w:rPr>
            </w:pPr>
            <w:r>
              <w:rPr>
                <w:rFonts w:hint="eastAsia" w:ascii="宋体" w:hAnsi="宋体" w:cs="宋体"/>
                <w:bCs/>
                <w:highlight w:val="none"/>
              </w:rPr>
              <w:t>2.结算支付：本合同保险期满，且最终保险费按照长沙市政府或其职能部门相关规定经长沙市政府相关职能部门或长沙市轨道交通集团有限公司授权的单位审定后，支付至最终保险费的100%。</w:t>
            </w:r>
          </w:p>
          <w:p>
            <w:pPr>
              <w:pStyle w:val="46"/>
              <w:adjustRightInd w:val="0"/>
              <w:snapToGrid w:val="0"/>
              <w:spacing w:after="0" w:line="360" w:lineRule="auto"/>
              <w:ind w:firstLine="0" w:firstLineChars="0"/>
              <w:rPr>
                <w:rFonts w:ascii="宋体" w:hAnsi="宋体" w:cs="宋体"/>
                <w:bCs/>
                <w:szCs w:val="21"/>
              </w:rPr>
            </w:pPr>
            <w:r>
              <w:rPr>
                <w:rFonts w:hint="eastAsia" w:ascii="宋体" w:hAnsi="宋体" w:cs="宋体"/>
                <w:bCs/>
                <w:highlight w:val="none"/>
              </w:rPr>
              <w:t>3.上述付款，在承保人按投保人的支付程序办理请款手续并提供增值税专用发票、有效期内的履约担保复印件等相关资料后28个工作日内，由投保人向承保人支付。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highlight w:val="none"/>
              </w:rPr>
              <w:t>其他规定</w:t>
            </w:r>
          </w:p>
        </w:tc>
        <w:tc>
          <w:tcPr>
            <w:tcW w:w="7709" w:type="dxa"/>
            <w:vAlign w:val="center"/>
          </w:tcPr>
          <w:p>
            <w:pPr>
              <w:snapToGrid w:val="0"/>
              <w:spacing w:line="360" w:lineRule="auto"/>
              <w:rPr>
                <w:rFonts w:ascii="宋体" w:hAnsi="宋体" w:cs="宋体"/>
                <w:bCs/>
                <w:highlight w:val="none"/>
              </w:rPr>
            </w:pPr>
            <w:r>
              <w:rPr>
                <w:rFonts w:hint="eastAsia" w:ascii="宋体" w:hAnsi="宋体" w:cs="宋体"/>
                <w:bCs/>
                <w:highlight w:val="none"/>
              </w:rPr>
              <w:t>1.为了维护本协议以及保险单的严肃性，投保人、承保人和被保险人各方应按保险单以及本协议内规定条款履行各自的义务，并承担相对应的责任。</w:t>
            </w:r>
          </w:p>
          <w:p>
            <w:pPr>
              <w:adjustRightInd w:val="0"/>
              <w:snapToGrid w:val="0"/>
              <w:spacing w:line="360" w:lineRule="auto"/>
              <w:jc w:val="left"/>
              <w:rPr>
                <w:rFonts w:hint="eastAsia" w:ascii="宋体" w:hAnsi="宋体" w:eastAsia="宋体" w:cs="宋体"/>
                <w:szCs w:val="21"/>
              </w:rPr>
            </w:pPr>
            <w:r>
              <w:rPr>
                <w:rFonts w:hint="eastAsia" w:ascii="宋体" w:hAnsi="宋体" w:cs="宋体"/>
                <w:bCs/>
                <w:highlight w:val="none"/>
              </w:rPr>
              <w:t>2.承保人未按</w:t>
            </w:r>
            <w:r>
              <w:rPr>
                <w:rFonts w:hint="eastAsia" w:ascii="宋体" w:hAnsi="宋体" w:cs="宋体"/>
                <w:bCs/>
                <w:highlight w:val="none"/>
                <w:lang w:val="en-US" w:eastAsia="zh-CN"/>
              </w:rPr>
              <w:t>合同</w:t>
            </w:r>
            <w:r>
              <w:rPr>
                <w:rFonts w:hint="eastAsia" w:ascii="宋体" w:hAnsi="宋体" w:cs="宋体"/>
                <w:bCs/>
                <w:highlight w:val="none"/>
              </w:rPr>
              <w:t>7.2.1、7.2.2款约定履行义务的，每发生一次，投保人有权要求承</w:t>
            </w:r>
            <w:r>
              <w:rPr>
                <w:rFonts w:hint="eastAsia" w:ascii="宋体" w:hAnsi="宋体" w:eastAsia="宋体" w:cs="宋体"/>
                <w:szCs w:val="21"/>
              </w:rPr>
              <w:t>保人交纳2000元/次的违约金。</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3.承保人未按</w:t>
            </w:r>
            <w:r>
              <w:rPr>
                <w:rFonts w:hint="eastAsia" w:ascii="宋体" w:hAnsi="宋体" w:cs="宋体"/>
                <w:szCs w:val="21"/>
                <w:lang w:val="en-US" w:eastAsia="zh-CN"/>
              </w:rPr>
              <w:t>合同</w:t>
            </w:r>
            <w:r>
              <w:rPr>
                <w:rFonts w:hint="eastAsia" w:ascii="宋体" w:hAnsi="宋体" w:eastAsia="宋体" w:cs="宋体"/>
                <w:szCs w:val="21"/>
              </w:rPr>
              <w:t>7.2.3、7.3、7.4款约定履行义务的，每发生一次，投保人有权要求承保人交纳10000元/次的违约金。</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4.承保人未按</w:t>
            </w:r>
            <w:r>
              <w:rPr>
                <w:rFonts w:hint="eastAsia" w:ascii="宋体" w:hAnsi="宋体" w:cs="宋体"/>
                <w:szCs w:val="21"/>
                <w:lang w:val="en-US" w:eastAsia="zh-CN"/>
              </w:rPr>
              <w:t>合同</w:t>
            </w:r>
            <w:r>
              <w:rPr>
                <w:rFonts w:hint="eastAsia" w:ascii="宋体" w:hAnsi="宋体" w:eastAsia="宋体" w:cs="宋体"/>
                <w:szCs w:val="21"/>
              </w:rPr>
              <w:t>7.2.4、7.2.5.1、7.2.5.2、7.2.5.3款约定履行义务的，每发生一次，投保人有权要求承保人交纳100000元/次的违约金。</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6.违约金总额超过合同暂定保险费的20%，投保人有权解除合同。</w:t>
            </w:r>
          </w:p>
          <w:p>
            <w:pPr>
              <w:adjustRightInd w:val="0"/>
              <w:snapToGrid w:val="0"/>
              <w:spacing w:line="360" w:lineRule="auto"/>
              <w:jc w:val="left"/>
              <w:rPr>
                <w:rFonts w:hint="default" w:ascii="宋体" w:hAnsi="宋体" w:eastAsia="宋体" w:cs="宋体"/>
                <w:szCs w:val="21"/>
              </w:rPr>
            </w:pPr>
            <w:r>
              <w:rPr>
                <w:rFonts w:hint="eastAsia" w:ascii="宋体" w:hAnsi="宋体" w:eastAsia="宋体" w:cs="宋体"/>
                <w:szCs w:val="21"/>
              </w:rPr>
              <w:t>7.因承保人提供的发票导致投保人被税务部门追究相关法律责任的，承保人应承担由此给投保人造成的损失（包括但不限于未抵扣的税费、滞纳金）。</w:t>
            </w:r>
          </w:p>
          <w:p>
            <w:pPr>
              <w:adjustRightInd w:val="0"/>
              <w:snapToGrid w:val="0"/>
              <w:spacing w:line="360" w:lineRule="auto"/>
              <w:jc w:val="left"/>
              <w:rPr>
                <w:rFonts w:hint="default" w:ascii="宋体" w:hAnsi="宋体" w:eastAsia="宋体" w:cs="宋体"/>
                <w:szCs w:val="21"/>
              </w:rPr>
            </w:pPr>
            <w:r>
              <w:rPr>
                <w:rFonts w:hint="eastAsia" w:ascii="宋体" w:hAnsi="宋体" w:eastAsia="宋体" w:cs="宋体"/>
                <w:szCs w:val="21"/>
              </w:rPr>
              <w:t>8.承保人应以现金或转账方式交纳违约金，投保人根据税法相关规定开具收款收据或增值税发票。</w:t>
            </w:r>
          </w:p>
          <w:p>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9.承保人在接到投保人发出的违约通知后，应按通知要求交纳违约金；否则，投保人有权暂停合同价款支付或从承保人的合同价款中扣除相应的违约金。</w:t>
            </w:r>
          </w:p>
          <w:p>
            <w:pPr>
              <w:adjustRightInd w:val="0"/>
              <w:snapToGrid w:val="0"/>
              <w:spacing w:line="360" w:lineRule="auto"/>
              <w:jc w:val="left"/>
              <w:rPr>
                <w:rFonts w:hint="default"/>
                <w:lang w:val="en-US" w:eastAsia="zh-CN"/>
              </w:rPr>
            </w:pPr>
            <w:r>
              <w:rPr>
                <w:rFonts w:hint="eastAsia" w:ascii="宋体" w:hAnsi="宋体" w:eastAsia="宋体" w:cs="宋体"/>
                <w:szCs w:val="21"/>
              </w:rPr>
              <w:t>10.因承保人原因提前终止合同的，承保人应承担由此给投保人造成的损失，投保人有权没收承保人所交履约担保，同时投保人有权要求承保人按暂定保险费的20%交纳违约金。</w:t>
            </w:r>
          </w:p>
        </w:tc>
      </w:tr>
    </w:tbl>
    <w:p>
      <w:pPr>
        <w:rPr>
          <w:rFonts w:hint="eastAsia" w:ascii="宋体" w:hAnsi="宋体" w:cs="宋体"/>
          <w:sz w:val="32"/>
        </w:rPr>
      </w:pPr>
      <w:bookmarkStart w:id="16" w:name="_Toc30640"/>
      <w:bookmarkStart w:id="17" w:name="_Toc26157"/>
      <w:bookmarkStart w:id="18" w:name="_Toc14891067"/>
      <w:bookmarkStart w:id="19" w:name="_Toc16939"/>
      <w:bookmarkStart w:id="20" w:name="_Hlk71364110"/>
      <w:r>
        <w:rPr>
          <w:rFonts w:hint="eastAsia" w:ascii="宋体" w:hAnsi="宋体" w:cs="宋体"/>
          <w:sz w:val="32"/>
        </w:rPr>
        <w:br w:type="page"/>
      </w:r>
    </w:p>
    <w:p>
      <w:pPr>
        <w:pStyle w:val="5"/>
        <w:keepNext w:val="0"/>
        <w:keepLines w:val="0"/>
        <w:jc w:val="center"/>
        <w:rPr>
          <w:rFonts w:ascii="宋体" w:hAnsi="宋体" w:cs="宋体"/>
          <w:sz w:val="32"/>
        </w:rPr>
      </w:pPr>
      <w:bookmarkStart w:id="21" w:name="_Toc7276"/>
      <w:r>
        <w:rPr>
          <w:rFonts w:hint="eastAsia" w:ascii="宋体" w:hAnsi="宋体" w:cs="宋体"/>
          <w:sz w:val="32"/>
        </w:rPr>
        <w:t>谈判须知正文</w:t>
      </w:r>
      <w:bookmarkEnd w:id="16"/>
      <w:bookmarkEnd w:id="17"/>
      <w:bookmarkEnd w:id="18"/>
      <w:bookmarkEnd w:id="19"/>
      <w:bookmarkEnd w:id="21"/>
    </w:p>
    <w:bookmarkEnd w:id="20"/>
    <w:p>
      <w:pPr>
        <w:pStyle w:val="5"/>
        <w:keepNext w:val="0"/>
        <w:keepLines w:val="0"/>
        <w:rPr>
          <w:rFonts w:ascii="宋体" w:hAnsi="宋体" w:cs="宋体"/>
          <w:sz w:val="21"/>
          <w:szCs w:val="21"/>
        </w:rPr>
      </w:pPr>
      <w:bookmarkStart w:id="22" w:name="_Toc14891068"/>
      <w:bookmarkStart w:id="23" w:name="_Toc9471"/>
      <w:r>
        <w:rPr>
          <w:rFonts w:hint="eastAsia" w:ascii="宋体" w:hAnsi="宋体" w:cs="宋体"/>
          <w:sz w:val="21"/>
          <w:szCs w:val="21"/>
        </w:rPr>
        <w:t>一、说明</w:t>
      </w:r>
      <w:bookmarkEnd w:id="22"/>
      <w:bookmarkEnd w:id="23"/>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7"/>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7"/>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7"/>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7"/>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6"/>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6"/>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6"/>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5"/>
        <w:keepNext w:val="0"/>
        <w:keepLines w:val="0"/>
        <w:rPr>
          <w:rFonts w:ascii="宋体" w:hAnsi="宋体" w:cs="宋体"/>
          <w:sz w:val="21"/>
          <w:szCs w:val="21"/>
        </w:rPr>
      </w:pPr>
      <w:bookmarkStart w:id="24" w:name="_Toc14891069"/>
      <w:bookmarkStart w:id="25" w:name="_Toc32722"/>
      <w:r>
        <w:rPr>
          <w:rFonts w:hint="eastAsia" w:ascii="宋体" w:hAnsi="宋体" w:cs="宋体"/>
          <w:sz w:val="21"/>
          <w:szCs w:val="21"/>
        </w:rPr>
        <w:t>二、谈判文件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6"/>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6"/>
        <w:adjustRightInd w:val="0"/>
        <w:snapToGrid w:val="0"/>
        <w:spacing w:line="360" w:lineRule="auto"/>
        <w:ind w:firstLine="420" w:firstLineChars="200"/>
        <w:rPr>
          <w:rFonts w:hAnsi="宋体" w:cs="宋体"/>
        </w:rPr>
      </w:pPr>
      <w:r>
        <w:rPr>
          <w:rFonts w:hint="eastAsia" w:hAnsi="宋体" w:cs="宋体"/>
        </w:rPr>
        <w:t>第一章 谈判邀请公告</w:t>
      </w:r>
    </w:p>
    <w:p>
      <w:pPr>
        <w:pStyle w:val="26"/>
        <w:adjustRightInd w:val="0"/>
        <w:snapToGrid w:val="0"/>
        <w:spacing w:line="360" w:lineRule="auto"/>
        <w:ind w:firstLine="420" w:firstLineChars="200"/>
        <w:rPr>
          <w:rFonts w:hAnsi="宋体" w:cs="宋体"/>
        </w:rPr>
      </w:pPr>
      <w:r>
        <w:rPr>
          <w:rFonts w:hint="eastAsia" w:hAnsi="宋体" w:cs="宋体"/>
        </w:rPr>
        <w:t>第二章 谈判须知</w:t>
      </w:r>
    </w:p>
    <w:p>
      <w:pPr>
        <w:pStyle w:val="26"/>
        <w:adjustRightInd w:val="0"/>
        <w:snapToGrid w:val="0"/>
        <w:spacing w:line="360" w:lineRule="auto"/>
        <w:ind w:firstLine="420" w:firstLineChars="200"/>
        <w:rPr>
          <w:rFonts w:hAnsi="宋体" w:cs="宋体"/>
        </w:rPr>
      </w:pPr>
      <w:r>
        <w:rPr>
          <w:rFonts w:hint="eastAsia" w:hAnsi="宋体" w:cs="宋体"/>
        </w:rPr>
        <w:t>第三章 评审办法及标准</w:t>
      </w:r>
    </w:p>
    <w:p>
      <w:pPr>
        <w:pStyle w:val="26"/>
        <w:adjustRightInd w:val="0"/>
        <w:snapToGrid w:val="0"/>
        <w:spacing w:line="360" w:lineRule="auto"/>
        <w:ind w:firstLine="420" w:firstLineChars="200"/>
        <w:rPr>
          <w:rFonts w:hint="eastAsia" w:hAnsi="宋体" w:eastAsia="宋体" w:cs="宋体"/>
          <w:lang w:eastAsia="zh-CN"/>
        </w:rPr>
      </w:pPr>
      <w:r>
        <w:rPr>
          <w:rFonts w:hint="eastAsia" w:hAnsi="宋体" w:cs="宋体"/>
        </w:rPr>
        <w:t>第四章 用户需求书</w:t>
      </w:r>
      <w:r>
        <w:rPr>
          <w:rFonts w:hint="eastAsia" w:hAnsi="宋体" w:cs="宋体"/>
          <w:lang w:eastAsia="zh-CN"/>
        </w:rPr>
        <w:t>（</w:t>
      </w:r>
      <w:r>
        <w:rPr>
          <w:rFonts w:hint="eastAsia" w:hAnsi="宋体" w:cs="宋体"/>
          <w:lang w:val="en-US" w:eastAsia="zh-CN"/>
        </w:rPr>
        <w:t>另册</w:t>
      </w:r>
      <w:r>
        <w:rPr>
          <w:rFonts w:hint="eastAsia" w:hAnsi="宋体" w:cs="宋体"/>
          <w:lang w:eastAsia="zh-CN"/>
        </w:rPr>
        <w:t>）</w:t>
      </w:r>
    </w:p>
    <w:p>
      <w:pPr>
        <w:pStyle w:val="26"/>
        <w:adjustRightInd w:val="0"/>
        <w:snapToGrid w:val="0"/>
        <w:spacing w:line="360" w:lineRule="auto"/>
        <w:ind w:firstLine="420" w:firstLineChars="200"/>
        <w:rPr>
          <w:rFonts w:hAnsi="宋体" w:cs="宋体"/>
        </w:rPr>
      </w:pPr>
      <w:r>
        <w:rPr>
          <w:rFonts w:hint="eastAsia" w:hAnsi="宋体" w:cs="宋体"/>
        </w:rPr>
        <w:t>第五章 合同格式条款</w:t>
      </w:r>
    </w:p>
    <w:p>
      <w:pPr>
        <w:pStyle w:val="26"/>
        <w:adjustRightInd w:val="0"/>
        <w:snapToGrid w:val="0"/>
        <w:spacing w:line="360" w:lineRule="auto"/>
        <w:ind w:firstLine="420" w:firstLineChars="200"/>
        <w:rPr>
          <w:rFonts w:hAnsi="宋体" w:cs="宋体"/>
        </w:rPr>
      </w:pPr>
      <w:r>
        <w:rPr>
          <w:rFonts w:hint="eastAsia" w:hAnsi="宋体" w:cs="宋体"/>
        </w:rPr>
        <w:t>第六章 响应文件组成</w:t>
      </w:r>
    </w:p>
    <w:p>
      <w:pPr>
        <w:pStyle w:val="26"/>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rPr>
          <w:rFonts w:ascii="宋体" w:hAnsi="宋体" w:cs="宋体"/>
          <w:sz w:val="21"/>
          <w:szCs w:val="21"/>
        </w:rPr>
      </w:pPr>
      <w:bookmarkStart w:id="26" w:name="_Toc16808"/>
      <w:bookmarkStart w:id="27" w:name="_Toc14891070"/>
      <w:r>
        <w:rPr>
          <w:rFonts w:hint="eastAsia" w:ascii="宋体" w:hAnsi="宋体" w:cs="宋体"/>
          <w:sz w:val="21"/>
          <w:szCs w:val="21"/>
        </w:rPr>
        <w:t>三、响应文件</w:t>
      </w:r>
      <w:bookmarkEnd w:id="26"/>
      <w:bookmarkEnd w:id="2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28"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28"/>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rPr>
      </w:pPr>
      <w:r>
        <w:rPr>
          <w:rFonts w:hint="eastAsia" w:ascii="宋体" w:hAnsi="宋体"/>
          <w:b/>
          <w:bCs/>
          <w:szCs w:val="21"/>
        </w:rPr>
        <w:t>10.6</w:t>
      </w:r>
      <w:r>
        <w:rPr>
          <w:rFonts w:hint="eastAsia" w:hAnsi="宋体"/>
          <w:b/>
          <w:bCs/>
          <w:szCs w:val="21"/>
        </w:rPr>
        <w:t>响应</w:t>
      </w:r>
      <w:r>
        <w:rPr>
          <w:rFonts w:hAnsi="宋体"/>
          <w:b/>
          <w:bCs/>
          <w:szCs w:val="21"/>
        </w:rPr>
        <w:t>文件应当对</w:t>
      </w:r>
      <w:r>
        <w:rPr>
          <w:rFonts w:hint="eastAsia" w:hAnsi="宋体"/>
          <w:b/>
          <w:bCs/>
          <w:szCs w:val="21"/>
        </w:rPr>
        <w:t>谈判</w:t>
      </w:r>
      <w:r>
        <w:rPr>
          <w:rFonts w:hAnsi="宋体"/>
          <w:b/>
          <w:bCs/>
          <w:szCs w:val="21"/>
        </w:rPr>
        <w:t>文件的实质性要求和条件作出满足性或更有利于</w:t>
      </w:r>
      <w:r>
        <w:rPr>
          <w:rFonts w:hint="eastAsia" w:hAnsi="宋体"/>
          <w:b/>
          <w:bCs/>
          <w:szCs w:val="21"/>
        </w:rPr>
        <w:t>采购单位</w:t>
      </w:r>
      <w:r>
        <w:rPr>
          <w:rFonts w:hAnsi="宋体"/>
          <w:b/>
          <w:bCs/>
          <w:szCs w:val="21"/>
        </w:rPr>
        <w:t>的响应，</w:t>
      </w:r>
      <w:bookmarkStart w:id="29" w:name="page22"/>
      <w:bookmarkEnd w:id="29"/>
      <w:r>
        <w:rPr>
          <w:rFonts w:hAnsi="宋体"/>
          <w:b/>
          <w:bCs/>
          <w:szCs w:val="21"/>
        </w:rPr>
        <w:t>否则，</w:t>
      </w:r>
      <w:r>
        <w:rPr>
          <w:rFonts w:hint="eastAsia" w:hAnsi="宋体"/>
          <w:b/>
          <w:bCs/>
          <w:szCs w:val="21"/>
        </w:rPr>
        <w:t>谈判单位</w:t>
      </w:r>
      <w:r>
        <w:rPr>
          <w:rFonts w:hAnsi="宋体"/>
          <w:b/>
          <w:bCs/>
          <w:szCs w:val="21"/>
        </w:rPr>
        <w:t>的投标将被否决。实质性要求和条件见</w:t>
      </w:r>
      <w:r>
        <w:rPr>
          <w:rFonts w:hint="eastAsia" w:hAnsi="宋体"/>
          <w:b/>
          <w:bCs/>
          <w:szCs w:val="21"/>
        </w:rPr>
        <w:t>谈判</w:t>
      </w:r>
      <w:r>
        <w:rPr>
          <w:rFonts w:hAnsi="宋体"/>
          <w:b/>
          <w:bCs/>
          <w:szCs w:val="21"/>
        </w:rPr>
        <w:t>须知前附表。</w:t>
      </w:r>
    </w:p>
    <w:p>
      <w:pPr>
        <w:adjustRightInd w:val="0"/>
        <w:snapToGrid w:val="0"/>
        <w:spacing w:line="360" w:lineRule="auto"/>
        <w:ind w:firstLine="422" w:firstLineChars="200"/>
        <w:rPr>
          <w:rFonts w:hint="eastAsia" w:ascii="宋体" w:hAnsi="宋体" w:cs="宋体"/>
          <w:b/>
          <w:bCs/>
          <w:szCs w:val="21"/>
        </w:rPr>
      </w:pPr>
    </w:p>
    <w:p>
      <w:pPr>
        <w:adjustRightInd w:val="0"/>
        <w:snapToGrid w:val="0"/>
        <w:spacing w:line="360" w:lineRule="auto"/>
        <w:ind w:firstLine="422" w:firstLineChars="200"/>
        <w:rPr>
          <w:rFonts w:hint="eastAsia"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6"/>
        <w:adjustRightInd w:val="0"/>
        <w:snapToGrid w:val="0"/>
        <w:spacing w:line="360" w:lineRule="auto"/>
        <w:ind w:firstLine="420" w:firstLineChars="200"/>
        <w:rPr>
          <w:rFonts w:hAnsi="宋体" w:cs="宋体"/>
        </w:rPr>
      </w:pPr>
      <w:r>
        <w:rPr>
          <w:rFonts w:hint="eastAsia" w:hAnsi="宋体" w:cs="宋体"/>
        </w:rPr>
        <w:t>（1）谈判承诺书</w:t>
      </w:r>
    </w:p>
    <w:p>
      <w:pPr>
        <w:pStyle w:val="26"/>
        <w:adjustRightInd w:val="0"/>
        <w:snapToGrid w:val="0"/>
        <w:spacing w:line="360" w:lineRule="auto"/>
        <w:ind w:firstLine="420" w:firstLineChars="200"/>
        <w:rPr>
          <w:rFonts w:hAnsi="宋体" w:cs="宋体"/>
        </w:rPr>
      </w:pPr>
      <w:r>
        <w:rPr>
          <w:rFonts w:hint="eastAsia" w:hAnsi="宋体" w:cs="宋体"/>
        </w:rPr>
        <w:t>（2）法定代表人身份证明书</w:t>
      </w:r>
    </w:p>
    <w:p>
      <w:pPr>
        <w:pStyle w:val="26"/>
        <w:adjustRightInd w:val="0"/>
        <w:snapToGrid w:val="0"/>
        <w:spacing w:line="360" w:lineRule="auto"/>
        <w:ind w:firstLine="420" w:firstLineChars="200"/>
        <w:rPr>
          <w:rFonts w:hAnsi="宋体" w:cs="宋体"/>
        </w:rPr>
      </w:pPr>
      <w:r>
        <w:rPr>
          <w:rFonts w:hint="eastAsia" w:hAnsi="宋体" w:cs="宋体"/>
        </w:rPr>
        <w:t>（3）授权委托书</w:t>
      </w:r>
    </w:p>
    <w:p>
      <w:pPr>
        <w:pStyle w:val="26"/>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6"/>
        <w:adjustRightInd w:val="0"/>
        <w:snapToGrid w:val="0"/>
        <w:spacing w:line="360" w:lineRule="auto"/>
        <w:ind w:firstLine="420" w:firstLineChars="200"/>
        <w:rPr>
          <w:rFonts w:hint="eastAsia" w:hAnsi="宋体" w:cs="宋体"/>
        </w:rPr>
      </w:pPr>
      <w:r>
        <w:rPr>
          <w:rFonts w:hint="eastAsia" w:hAnsi="宋体" w:cs="宋体"/>
        </w:rPr>
        <w:t>（5）报价一览表</w:t>
      </w:r>
    </w:p>
    <w:p>
      <w:pPr>
        <w:pStyle w:val="26"/>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6"/>
        <w:adjustRightInd w:val="0"/>
        <w:snapToGrid w:val="0"/>
        <w:spacing w:line="360" w:lineRule="auto"/>
        <w:ind w:firstLine="420" w:firstLineChars="200"/>
        <w:rPr>
          <w:rFonts w:hint="eastAsia" w:hAnsi="宋体" w:eastAsia="宋体" w:cs="宋体"/>
          <w:lang w:val="en-US" w:eastAsia="zh-CN"/>
        </w:rPr>
      </w:pPr>
      <w:r>
        <w:rPr>
          <w:rFonts w:hint="eastAsia" w:hAnsi="宋体" w:cs="宋体"/>
        </w:rPr>
        <w:t>（</w:t>
      </w:r>
      <w:r>
        <w:rPr>
          <w:rFonts w:hint="eastAsia" w:hAnsi="宋体" w:cs="宋体"/>
          <w:lang w:val="en-US" w:eastAsia="zh-CN"/>
        </w:rPr>
        <w:t>7</w:t>
      </w:r>
      <w:r>
        <w:rPr>
          <w:rFonts w:hint="eastAsia" w:hAnsi="宋体" w:cs="宋体"/>
        </w:rPr>
        <w:t>）其他资料（如有）</w:t>
      </w:r>
      <w:r>
        <w:rPr>
          <w:rFonts w:hint="eastAsia" w:hAnsi="宋体" w:cs="宋体"/>
          <w:lang w:val="en-US" w:eastAsia="zh-CN"/>
        </w:rPr>
        <w:t xml:space="preserve"> </w:t>
      </w:r>
    </w:p>
    <w:p>
      <w:pPr>
        <w:pStyle w:val="26"/>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highlight w:val="none"/>
        </w:rPr>
        <w:t>本项目为一轮报价</w:t>
      </w:r>
      <w:r>
        <w:rPr>
          <w:rFonts w:hint="eastAsia" w:ascii="宋体" w:hAnsi="宋体" w:cs="宋体"/>
          <w:szCs w:val="21"/>
          <w:highlight w:val="none"/>
        </w:rPr>
        <w:t>。</w:t>
      </w:r>
      <w:r>
        <w:rPr>
          <w:rFonts w:hint="eastAsia" w:ascii="宋体" w:hAnsi="宋体" w:cs="宋体"/>
          <w:szCs w:val="21"/>
        </w:rPr>
        <w:t>谈判单位应按第六章“响应文件格式”的要求在报价文件中进行报价。谈判单位所报</w:t>
      </w:r>
      <w:r>
        <w:rPr>
          <w:rFonts w:hint="eastAsia" w:ascii="宋体" w:hAnsi="宋体" w:cs="宋体"/>
          <w:szCs w:val="21"/>
          <w:highlight w:val="none"/>
        </w:rPr>
        <w:t>的总价</w:t>
      </w:r>
      <w:r>
        <w:rPr>
          <w:rFonts w:hint="eastAsia" w:ascii="宋体" w:hAnsi="宋体" w:cs="宋体"/>
          <w:szCs w:val="21"/>
        </w:rPr>
        <w:t>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6"/>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12.7最低报价不能作为中选的保证。</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7"/>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6"/>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5"/>
        <w:keepNext w:val="0"/>
        <w:keepLines w:val="0"/>
        <w:rPr>
          <w:rFonts w:ascii="宋体" w:hAnsi="宋体" w:cs="宋体"/>
          <w:sz w:val="21"/>
          <w:szCs w:val="21"/>
        </w:rPr>
      </w:pPr>
      <w:bookmarkStart w:id="30" w:name="_Toc14891071"/>
      <w:bookmarkStart w:id="31" w:name="_Toc13675"/>
      <w:r>
        <w:rPr>
          <w:rFonts w:hint="eastAsia" w:ascii="宋体" w:hAnsi="宋体" w:cs="宋体"/>
          <w:sz w:val="21"/>
          <w:szCs w:val="21"/>
        </w:rPr>
        <w:t>四、响应文件的递交</w:t>
      </w:r>
      <w:bookmarkEnd w:id="30"/>
      <w:bookmarkEnd w:id="3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rPr>
          <w:rFonts w:ascii="宋体" w:hAnsi="宋体" w:cs="宋体"/>
          <w:sz w:val="21"/>
          <w:szCs w:val="21"/>
        </w:rPr>
      </w:pPr>
      <w:bookmarkStart w:id="32" w:name="_Toc24002"/>
      <w:bookmarkStart w:id="33" w:name="_Toc14891072"/>
      <w:r>
        <w:rPr>
          <w:rFonts w:hint="eastAsia" w:ascii="宋体" w:hAnsi="宋体" w:cs="宋体"/>
          <w:sz w:val="21"/>
          <w:szCs w:val="21"/>
        </w:rPr>
        <w:t>五、响应文件的评审</w:t>
      </w:r>
      <w:bookmarkEnd w:id="32"/>
      <w:bookmarkEnd w:id="33"/>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18.评审由谈判评审小组负责，谈判评审小组应按照本谈判文件第三章“评审办法及标准”的内容和程序对响应文件进行评审。</w:t>
      </w:r>
    </w:p>
    <w:p>
      <w:pPr>
        <w:pStyle w:val="5"/>
        <w:keepNext w:val="0"/>
        <w:keepLines w:val="0"/>
        <w:rPr>
          <w:rFonts w:ascii="宋体" w:hAnsi="宋体" w:cs="宋体"/>
          <w:sz w:val="21"/>
          <w:szCs w:val="21"/>
        </w:rPr>
      </w:pPr>
      <w:bookmarkStart w:id="34" w:name="_Toc14891073"/>
      <w:bookmarkStart w:id="35" w:name="_Toc2955"/>
      <w:r>
        <w:rPr>
          <w:rFonts w:hint="eastAsia" w:ascii="宋体" w:hAnsi="宋体" w:cs="宋体"/>
          <w:sz w:val="21"/>
          <w:szCs w:val="21"/>
        </w:rPr>
        <w:t>六、响应文件的澄清、说明及补正</w:t>
      </w:r>
      <w:bookmarkEnd w:id="34"/>
      <w:bookmarkEnd w:id="35"/>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5"/>
        <w:keepNext w:val="0"/>
        <w:keepLines w:val="0"/>
        <w:rPr>
          <w:rFonts w:ascii="宋体" w:hAnsi="宋体" w:cs="宋体"/>
          <w:sz w:val="21"/>
          <w:szCs w:val="21"/>
        </w:rPr>
      </w:pPr>
      <w:bookmarkStart w:id="36" w:name="_Toc14518"/>
      <w:bookmarkStart w:id="37" w:name="_Toc14891074"/>
      <w:r>
        <w:rPr>
          <w:rFonts w:hint="eastAsia" w:ascii="宋体" w:hAnsi="宋体" w:cs="宋体"/>
          <w:sz w:val="21"/>
          <w:szCs w:val="21"/>
        </w:rPr>
        <w:t>七、中选结果与授予合同</w:t>
      </w:r>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6"/>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6"/>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6"/>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6"/>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6"/>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7"/>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7"/>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6"/>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39" w:name="_Toc14891075"/>
      <w:bookmarkStart w:id="40" w:name="_Toc19666"/>
      <w:r>
        <w:rPr>
          <w:rFonts w:hint="eastAsia" w:ascii="宋体" w:hAnsi="宋体" w:cs="宋体"/>
          <w:sz w:val="21"/>
          <w:szCs w:val="21"/>
        </w:rPr>
        <w:t>八、其他</w:t>
      </w:r>
      <w:bookmarkEnd w:id="39"/>
      <w:bookmarkEnd w:id="40"/>
    </w:p>
    <w:p>
      <w:pPr>
        <w:pStyle w:val="14"/>
        <w:spacing w:line="360" w:lineRule="auto"/>
        <w:ind w:left="0" w:leftChars="0"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14"/>
        <w:spacing w:line="360" w:lineRule="auto"/>
        <w:ind w:left="0" w:leftChars="0" w:firstLine="420" w:firstLineChars="200"/>
        <w:rPr>
          <w:rFonts w:ascii="宋体" w:hAnsi="宋体" w:cs="宋体"/>
          <w:szCs w:val="21"/>
        </w:rPr>
      </w:pPr>
      <w:r>
        <w:rPr>
          <w:rFonts w:hint="eastAsia" w:ascii="宋体" w:hAnsi="宋体" w:cs="宋体"/>
          <w:szCs w:val="21"/>
        </w:rPr>
        <w:t>中选单位中选后有下列情形之一的，责令限期改正，情节严重的，列入不良行为记录名单，禁止其1至3年内参加长沙市轨道交通运营有限公司招标采购活动，并予以通报：</w:t>
      </w:r>
    </w:p>
    <w:p>
      <w:pPr>
        <w:pStyle w:val="14"/>
        <w:spacing w:line="360" w:lineRule="auto"/>
        <w:ind w:left="0" w:leftChars="0" w:firstLine="420" w:firstLineChars="200"/>
        <w:rPr>
          <w:rFonts w:ascii="宋体" w:hAnsi="宋体" w:cs="宋体"/>
          <w:szCs w:val="21"/>
        </w:rPr>
      </w:pPr>
      <w:r>
        <w:rPr>
          <w:rFonts w:hint="eastAsia" w:ascii="宋体" w:hAnsi="宋体" w:cs="宋体"/>
          <w:szCs w:val="21"/>
        </w:rPr>
        <w:t>1.成交后无正当理由不与采购人签订合同的；</w:t>
      </w:r>
    </w:p>
    <w:p>
      <w:pPr>
        <w:pStyle w:val="14"/>
        <w:spacing w:line="360" w:lineRule="auto"/>
        <w:ind w:left="0" w:leftChars="0" w:firstLine="420" w:firstLineChars="200"/>
        <w:rPr>
          <w:rFonts w:ascii="宋体" w:hAnsi="宋体" w:cs="宋体"/>
          <w:szCs w:val="21"/>
        </w:rPr>
      </w:pPr>
      <w:r>
        <w:rPr>
          <w:rFonts w:hint="eastAsia" w:ascii="宋体" w:hAnsi="宋体" w:cs="宋体"/>
          <w:szCs w:val="21"/>
        </w:rPr>
        <w:t>2.未按照采购文件确定的事项签订采购合同，或者与采购人另行订立背离合同实质性内容的协议的；</w:t>
      </w:r>
    </w:p>
    <w:p>
      <w:pPr>
        <w:pStyle w:val="14"/>
        <w:spacing w:line="360" w:lineRule="auto"/>
        <w:ind w:left="0" w:leftChars="0" w:firstLine="420" w:firstLineChars="200"/>
        <w:rPr>
          <w:rFonts w:ascii="宋体" w:hAnsi="宋体" w:cs="宋体"/>
          <w:szCs w:val="21"/>
        </w:rPr>
      </w:pPr>
      <w:r>
        <w:rPr>
          <w:rFonts w:hint="eastAsia" w:ascii="宋体" w:hAnsi="宋体" w:cs="宋体"/>
          <w:szCs w:val="21"/>
        </w:rPr>
        <w:t>3.拒绝履行合同义务的；</w:t>
      </w:r>
    </w:p>
    <w:p>
      <w:pPr>
        <w:pStyle w:val="14"/>
        <w:spacing w:line="360" w:lineRule="auto"/>
        <w:ind w:left="0" w:leftChars="0" w:firstLine="420" w:firstLineChars="200"/>
        <w:rPr>
          <w:rFonts w:ascii="宋体" w:hAnsi="宋体" w:cs="宋体"/>
          <w:szCs w:val="21"/>
        </w:rPr>
      </w:pPr>
      <w:r>
        <w:rPr>
          <w:rFonts w:hint="eastAsia" w:ascii="宋体" w:hAnsi="宋体" w:cs="宋体"/>
          <w:szCs w:val="21"/>
        </w:rPr>
        <w:t>4.违反法律、规章、规范性文件规定的。</w:t>
      </w:r>
    </w:p>
    <w:p>
      <w:pPr>
        <w:adjustRightInd w:val="0"/>
        <w:snapToGrid w:val="0"/>
        <w:spacing w:line="360" w:lineRule="auto"/>
        <w:ind w:firstLine="420" w:firstLineChars="200"/>
        <w:rPr>
          <w:rFonts w:hAnsi="宋体"/>
          <w:szCs w:val="21"/>
        </w:rPr>
      </w:pPr>
    </w:p>
    <w:p>
      <w:pPr>
        <w:adjustRightInd w:val="0"/>
        <w:snapToGrid w:val="0"/>
        <w:spacing w:line="360" w:lineRule="auto"/>
        <w:ind w:left="964" w:hanging="964" w:hangingChars="300"/>
        <w:jc w:val="center"/>
        <w:rPr>
          <w:rFonts w:ascii="黑体" w:eastAsia="黑体"/>
          <w:b/>
          <w:sz w:val="32"/>
          <w:szCs w:val="32"/>
        </w:rPr>
        <w:sectPr>
          <w:footerReference r:id="rId4" w:type="default"/>
          <w:pgSz w:w="11906" w:h="16838"/>
          <w:pgMar w:top="1440" w:right="849" w:bottom="1440" w:left="1797" w:header="851" w:footer="851" w:gutter="0"/>
          <w:pgNumType w:fmt="decimal" w:start="1"/>
          <w:cols w:space="720" w:num="1"/>
          <w:docGrid w:linePitch="312"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附件：采购代理服务费收费标准</w:t>
      </w:r>
    </w:p>
    <w:p>
      <w:pPr>
        <w:pStyle w:val="14"/>
        <w:jc w:val="center"/>
      </w:pPr>
      <w:r>
        <w:rPr>
          <w:rFonts w:hint="eastAsia" w:ascii="宋体" w:hAnsi="宋体" w:cs="宋体"/>
          <w:b/>
          <w:szCs w:val="21"/>
        </w:rPr>
        <w:t>采购代理服务费收费参照汇率表</w:t>
      </w:r>
    </w:p>
    <w:tbl>
      <w:tblPr>
        <w:tblStyle w:val="48"/>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2451"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2451"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2451"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cs="宋体"/>
          <w:szCs w:val="21"/>
        </w:rPr>
        <w:t>本项目采购代理服务费为2万元</w:t>
      </w:r>
    </w:p>
    <w:p>
      <w:pPr>
        <w:pStyle w:val="4"/>
        <w:keepNext w:val="0"/>
        <w:spacing w:after="240"/>
        <w:rPr>
          <w:rFonts w:hint="eastAsia" w:ascii="宋体" w:hAnsi="宋体" w:cs="宋体"/>
          <w:sz w:val="32"/>
          <w:szCs w:val="32"/>
        </w:rPr>
      </w:pPr>
      <w:bookmarkStart w:id="41" w:name="_Toc16404"/>
      <w:bookmarkStart w:id="42" w:name="_Toc28427"/>
      <w:bookmarkStart w:id="43" w:name="_Toc5567"/>
      <w:bookmarkStart w:id="44" w:name="_Toc4275"/>
      <w:r>
        <w:rPr>
          <w:rFonts w:hint="eastAsia" w:ascii="宋体" w:hAnsi="宋体" w:cs="宋体"/>
          <w:sz w:val="32"/>
          <w:szCs w:val="32"/>
        </w:rPr>
        <w:t>第三章  评审办法及标准</w:t>
      </w:r>
      <w:bookmarkEnd w:id="41"/>
      <w:bookmarkEnd w:id="42"/>
      <w:bookmarkEnd w:id="43"/>
      <w:bookmarkEnd w:id="44"/>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（5</w:t>
      </w:r>
      <w:r>
        <w:rPr>
          <w:rFonts w:hint="eastAsia" w:ascii="宋体" w:hAnsi="宋体"/>
          <w:szCs w:val="21"/>
          <w:highlight w:val="none"/>
        </w:rPr>
        <w:t>）</w:t>
      </w:r>
      <w:r>
        <w:rPr>
          <w:rFonts w:hint="eastAsia" w:ascii="宋体" w:hAnsi="宋体" w:cs="宋体"/>
          <w:kern w:val="0"/>
          <w:szCs w:val="21"/>
          <w:highlight w:val="none"/>
        </w:rPr>
        <w:t>谈判总报价超过</w:t>
      </w:r>
      <w:r>
        <w:rPr>
          <w:rFonts w:hint="eastAsia" w:ascii="宋体" w:hAnsi="宋体"/>
          <w:szCs w:val="21"/>
          <w:highlight w:val="none"/>
        </w:rPr>
        <w:t>谈</w:t>
      </w:r>
      <w:r>
        <w:rPr>
          <w:rFonts w:hint="eastAsia" w:ascii="宋体" w:hAnsi="宋体"/>
          <w:szCs w:val="21"/>
        </w:rPr>
        <w:t>判最高限价的</w:t>
      </w:r>
      <w:r>
        <w:rPr>
          <w:rFonts w:hint="eastAsia" w:ascii="宋体" w:hAnsi="宋体" w:cs="宋体"/>
          <w:kern w:val="0"/>
          <w:szCs w:val="21"/>
        </w:rPr>
        <w:t>。</w:t>
      </w:r>
    </w:p>
    <w:p>
      <w:pPr>
        <w:pStyle w:val="14"/>
        <w:spacing w:line="360" w:lineRule="auto"/>
        <w:ind w:left="0" w:leftChars="0" w:firstLine="420" w:firstLineChars="200"/>
        <w:rPr>
          <w:rFonts w:ascii="宋体" w:hAnsi="宋体"/>
          <w:szCs w:val="21"/>
        </w:rPr>
      </w:pPr>
      <w:r>
        <w:rPr>
          <w:rFonts w:hint="eastAsia" w:ascii="宋体" w:hAnsi="宋体"/>
          <w:szCs w:val="21"/>
        </w:rPr>
        <w:t>（6）未提交投标保证金的。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45" w:name="_Hlk70673845"/>
      <w:r>
        <w:rPr>
          <w:rFonts w:hint="eastAsia" w:ascii="宋体" w:hAnsi="宋体" w:cs="宋体"/>
          <w:b/>
          <w:bCs/>
          <w:kern w:val="0"/>
          <w:szCs w:val="21"/>
        </w:rPr>
        <w:t>谈判总报价</w:t>
      </w:r>
      <w:bookmarkEnd w:id="45"/>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rPr>
        <w:br w:type="page"/>
      </w:r>
    </w:p>
    <w:p>
      <w:pPr>
        <w:pStyle w:val="4"/>
        <w:keepNext w:val="0"/>
        <w:spacing w:after="240"/>
        <w:rPr>
          <w:rFonts w:hint="eastAsia" w:ascii="宋体" w:hAnsi="宋体" w:cs="宋体"/>
          <w:sz w:val="32"/>
          <w:szCs w:val="32"/>
        </w:rPr>
      </w:pPr>
      <w:bookmarkStart w:id="46" w:name="_Toc17997"/>
      <w:bookmarkStart w:id="47" w:name="_Toc23442"/>
      <w:bookmarkStart w:id="48" w:name="_Toc17562"/>
      <w:bookmarkStart w:id="49" w:name="_Toc14891077"/>
      <w:bookmarkStart w:id="50" w:name="_Toc4155"/>
      <w:r>
        <w:rPr>
          <w:rFonts w:hint="eastAsia" w:ascii="宋体" w:hAnsi="宋体" w:cs="宋体"/>
          <w:sz w:val="32"/>
          <w:szCs w:val="32"/>
        </w:rPr>
        <w:t>第四章  用户需求书</w:t>
      </w:r>
      <w:bookmarkEnd w:id="46"/>
      <w:bookmarkEnd w:id="47"/>
      <w:bookmarkEnd w:id="48"/>
      <w:bookmarkEnd w:id="49"/>
      <w:r>
        <w:rPr>
          <w:rFonts w:hint="eastAsia" w:ascii="宋体" w:hAnsi="宋体" w:cs="宋体"/>
          <w:sz w:val="32"/>
          <w:szCs w:val="32"/>
        </w:rPr>
        <w:t>（另册）</w:t>
      </w:r>
      <w:bookmarkEnd w:id="50"/>
    </w:p>
    <w:p>
      <w:p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pPr>
        <w:pStyle w:val="4"/>
        <w:keepNext w:val="0"/>
        <w:spacing w:after="240"/>
        <w:rPr>
          <w:rFonts w:ascii="宋体" w:hAnsi="宋体" w:cs="宋体"/>
          <w:b/>
          <w:sz w:val="32"/>
          <w:szCs w:val="32"/>
        </w:rPr>
      </w:pPr>
      <w:bookmarkStart w:id="51" w:name="_Toc13521"/>
      <w:bookmarkStart w:id="52" w:name="_Toc14319"/>
      <w:bookmarkStart w:id="53" w:name="_Toc14891078"/>
      <w:bookmarkStart w:id="54" w:name="_Toc17441"/>
      <w:bookmarkStart w:id="55" w:name="_Toc22262"/>
      <w:r>
        <w:rPr>
          <w:rFonts w:hint="eastAsia" w:ascii="宋体" w:hAnsi="宋体" w:cs="宋体"/>
          <w:sz w:val="32"/>
          <w:szCs w:val="32"/>
        </w:rPr>
        <w:t>第五章  合同格式条款</w:t>
      </w:r>
      <w:bookmarkEnd w:id="51"/>
      <w:bookmarkEnd w:id="52"/>
      <w:bookmarkEnd w:id="53"/>
      <w:bookmarkEnd w:id="54"/>
      <w:bookmarkEnd w:id="55"/>
      <w:bookmarkStart w:id="56" w:name="_Toc5097"/>
      <w:bookmarkStart w:id="57" w:name="_Toc20891"/>
      <w:bookmarkStart w:id="58" w:name="_Toc29654"/>
    </w:p>
    <w:p>
      <w:pPr>
        <w:spacing w:line="360" w:lineRule="auto"/>
        <w:jc w:val="left"/>
        <w:rPr>
          <w:rFonts w:hint="eastAsia" w:ascii="宋体" w:hAnsi="宋体" w:eastAsia="宋体" w:cs="宋体"/>
          <w:b/>
          <w:color w:val="auto"/>
          <w:sz w:val="24"/>
          <w:highlight w:val="none"/>
          <w:lang w:val="en-US" w:eastAsia="zh-CN"/>
        </w:rPr>
      </w:pPr>
      <w:bookmarkStart w:id="59" w:name="_Toc227520433"/>
      <w:bookmarkEnd w:id="59"/>
      <w:bookmarkStart w:id="60" w:name="_Toc367274929"/>
      <w:bookmarkEnd w:id="60"/>
      <w:r>
        <w:rPr>
          <w:rFonts w:hint="eastAsia" w:ascii="宋体" w:hAnsi="宋体" w:eastAsia="宋体" w:cs="宋体"/>
          <w:b/>
          <w:color w:val="auto"/>
          <w:sz w:val="24"/>
          <w:highlight w:val="none"/>
        </w:rPr>
        <w:t>版本号：CSGDHT-YYBX2018-2020</w:t>
      </w:r>
      <w:r>
        <w:rPr>
          <w:rFonts w:hint="eastAsia" w:ascii="宋体" w:hAnsi="宋体" w:eastAsia="宋体" w:cs="宋体"/>
          <w:b/>
          <w:color w:val="auto"/>
          <w:sz w:val="24"/>
          <w:highlight w:val="none"/>
          <w:lang w:val="en-US" w:eastAsia="zh-CN"/>
        </w:rPr>
        <w:t>1215</w:t>
      </w:r>
    </w:p>
    <w:p>
      <w:pPr>
        <w:tabs>
          <w:tab w:val="center" w:pos="4153"/>
          <w:tab w:val="right" w:pos="8306"/>
        </w:tabs>
        <w:adjustRightInd w:val="0"/>
        <w:snapToGrid w:val="0"/>
        <w:spacing w:line="360" w:lineRule="auto"/>
        <w:jc w:val="right"/>
        <w:rPr>
          <w:rFonts w:hint="eastAsia" w:ascii="宋体" w:hAnsi="宋体" w:eastAsia="宋体" w:cs="宋体"/>
          <w:b/>
          <w:color w:val="auto"/>
          <w:sz w:val="24"/>
          <w:highlight w:val="none"/>
        </w:rPr>
      </w:pPr>
    </w:p>
    <w:p>
      <w:pPr>
        <w:tabs>
          <w:tab w:val="center" w:pos="4153"/>
          <w:tab w:val="right" w:pos="8306"/>
        </w:tabs>
        <w:wordWrap w:val="0"/>
        <w:adjustRightInd w:val="0"/>
        <w:snapToGrid w:val="0"/>
        <w:spacing w:line="360" w:lineRule="auto"/>
        <w:jc w:val="right"/>
        <w:rPr>
          <w:rFonts w:hint="eastAsia" w:ascii="宋体" w:hAnsi="宋体" w:eastAsia="宋体" w:cs="宋体"/>
          <w:b/>
          <w:color w:val="auto"/>
          <w:sz w:val="52"/>
          <w:szCs w:val="52"/>
          <w:highlight w:val="none"/>
        </w:rPr>
      </w:pPr>
      <w:r>
        <w:rPr>
          <w:rFonts w:hint="eastAsia" w:ascii="宋体" w:hAnsi="宋体" w:eastAsia="宋体" w:cs="宋体"/>
          <w:b/>
          <w:color w:val="auto"/>
          <w:sz w:val="24"/>
          <w:highlight w:val="none"/>
        </w:rPr>
        <w:t>合同编号：</w:t>
      </w:r>
      <w:r>
        <w:rPr>
          <w:rFonts w:hint="eastAsia" w:ascii="宋体" w:hAnsi="宋体" w:eastAsia="宋体" w:cs="宋体"/>
          <w:color w:val="auto"/>
          <w:sz w:val="24"/>
          <w:highlight w:val="none"/>
          <w:u w:val="dotted"/>
        </w:rPr>
        <w:t xml:space="preserve">          合同【20  】  号</w:t>
      </w:r>
    </w:p>
    <w:p>
      <w:pPr>
        <w:spacing w:line="360" w:lineRule="auto"/>
        <w:jc w:val="center"/>
        <w:rPr>
          <w:rFonts w:hint="eastAsia" w:ascii="宋体" w:hAnsi="宋体" w:eastAsia="宋体" w:cs="宋体"/>
          <w:b/>
          <w:color w:val="auto"/>
          <w:kern w:val="0"/>
          <w:sz w:val="28"/>
          <w:szCs w:val="28"/>
          <w:highlight w:val="none"/>
        </w:rPr>
      </w:pPr>
    </w:p>
    <w:p>
      <w:pPr>
        <w:spacing w:line="360" w:lineRule="auto"/>
        <w:jc w:val="center"/>
        <w:rPr>
          <w:rFonts w:hint="eastAsia" w:ascii="宋体" w:hAnsi="宋体" w:eastAsia="宋体" w:cs="宋体"/>
          <w:b/>
          <w:color w:val="auto"/>
          <w:kern w:val="0"/>
          <w:sz w:val="28"/>
          <w:szCs w:val="28"/>
          <w:highlight w:val="none"/>
        </w:rPr>
      </w:pPr>
    </w:p>
    <w:p>
      <w:pPr>
        <w:spacing w:line="360" w:lineRule="auto"/>
        <w:jc w:val="both"/>
        <w:rPr>
          <w:rFonts w:hint="eastAsia" w:ascii="宋体" w:hAnsi="宋体" w:eastAsia="宋体" w:cs="宋体"/>
          <w:b/>
          <w:color w:val="auto"/>
          <w:kern w:val="0"/>
          <w:sz w:val="28"/>
          <w:szCs w:val="28"/>
          <w:highlight w:val="none"/>
        </w:rPr>
      </w:pPr>
    </w:p>
    <w:p>
      <w:pPr>
        <w:spacing w:line="360" w:lineRule="auto"/>
        <w:jc w:val="center"/>
        <w:rPr>
          <w:rFonts w:hint="eastAsia" w:ascii="宋体" w:hAnsi="宋体" w:eastAsia="宋体" w:cs="宋体"/>
          <w:b/>
          <w:color w:val="auto"/>
          <w:kern w:val="0"/>
          <w:sz w:val="52"/>
          <w:highlight w:val="none"/>
        </w:rPr>
      </w:pPr>
      <w:r>
        <w:rPr>
          <w:rFonts w:hint="eastAsia" w:ascii="宋体" w:hAnsi="宋体" w:eastAsia="宋体" w:cs="宋体"/>
          <w:b/>
          <w:color w:val="auto"/>
          <w:kern w:val="0"/>
          <w:sz w:val="52"/>
          <w:highlight w:val="none"/>
          <w:lang w:eastAsia="zh-CN"/>
        </w:rPr>
        <w:t>运营期</w:t>
      </w:r>
      <w:r>
        <w:rPr>
          <w:rFonts w:hint="eastAsia" w:ascii="宋体" w:hAnsi="宋体" w:eastAsia="宋体" w:cs="宋体"/>
          <w:b/>
          <w:color w:val="auto"/>
          <w:kern w:val="0"/>
          <w:sz w:val="52"/>
          <w:highlight w:val="none"/>
        </w:rPr>
        <w:t>保险合同</w:t>
      </w:r>
      <w:bookmarkStart w:id="61" w:name="_Toc461094745"/>
    </w:p>
    <w:p>
      <w:pPr>
        <w:adjustRightInd w:val="0"/>
        <w:snapToGrid w:val="0"/>
        <w:spacing w:line="360" w:lineRule="auto"/>
        <w:rPr>
          <w:rFonts w:hint="eastAsia" w:ascii="宋体" w:hAnsi="宋体" w:eastAsia="宋体" w:cs="宋体"/>
          <w:b/>
          <w:color w:val="auto"/>
          <w:sz w:val="30"/>
          <w:szCs w:val="30"/>
          <w:highlight w:val="none"/>
        </w:rPr>
      </w:pPr>
    </w:p>
    <w:p>
      <w:pPr>
        <w:adjustRightInd w:val="0"/>
        <w:snapToGrid w:val="0"/>
        <w:spacing w:line="360" w:lineRule="auto"/>
        <w:rPr>
          <w:rFonts w:hint="eastAsia" w:ascii="宋体" w:hAnsi="宋体" w:eastAsia="宋体" w:cs="宋体"/>
          <w:b/>
          <w:color w:val="auto"/>
          <w:sz w:val="30"/>
          <w:szCs w:val="30"/>
          <w:highlight w:val="none"/>
        </w:rPr>
      </w:pPr>
    </w:p>
    <w:p>
      <w:pPr>
        <w:adjustRightInd w:val="0"/>
        <w:snapToGrid w:val="0"/>
        <w:spacing w:line="360" w:lineRule="auto"/>
        <w:ind w:firstLine="602" w:firstLineChars="200"/>
        <w:rPr>
          <w:rFonts w:hint="eastAsia" w:ascii="宋体" w:hAnsi="宋体" w:eastAsia="宋体" w:cs="宋体"/>
          <w:color w:val="auto"/>
          <w:sz w:val="24"/>
          <w:highlight w:val="none"/>
          <w:u w:val="dotted"/>
        </w:rPr>
      </w:pPr>
      <w:bookmarkStart w:id="62" w:name="_Toc433881077"/>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dotted"/>
        </w:rPr>
        <w:t>长沙市轨道交通1号线运营期2022年交通运输行业安全生产责任保险服务项目</w:t>
      </w:r>
    </w:p>
    <w:p>
      <w:pPr>
        <w:adjustRightInd w:val="0"/>
        <w:snapToGrid w:val="0"/>
        <w:spacing w:line="360" w:lineRule="auto"/>
        <w:ind w:firstLine="480" w:firstLineChars="200"/>
        <w:rPr>
          <w:rFonts w:hint="eastAsia" w:ascii="宋体" w:hAnsi="宋体" w:eastAsia="宋体" w:cs="宋体"/>
          <w:color w:val="auto"/>
          <w:sz w:val="24"/>
          <w:highlight w:val="none"/>
          <w:u w:val="dotted"/>
        </w:rPr>
      </w:pPr>
    </w:p>
    <w:p>
      <w:pPr>
        <w:adjustRightInd w:val="0"/>
        <w:snapToGrid w:val="0"/>
        <w:spacing w:line="360" w:lineRule="auto"/>
        <w:ind w:firstLine="602" w:firstLineChars="200"/>
        <w:rPr>
          <w:rFonts w:hint="eastAsia" w:ascii="宋体" w:hAnsi="宋体" w:eastAsia="宋体" w:cs="宋体"/>
          <w:color w:val="auto"/>
          <w:sz w:val="30"/>
          <w:szCs w:val="30"/>
          <w:highlight w:val="none"/>
          <w:u w:val="dotted"/>
        </w:rPr>
      </w:pPr>
      <w:r>
        <w:rPr>
          <w:rFonts w:hint="eastAsia" w:ascii="宋体" w:hAnsi="宋体" w:eastAsia="宋体" w:cs="宋体"/>
          <w:b/>
          <w:color w:val="auto"/>
          <w:sz w:val="30"/>
          <w:szCs w:val="30"/>
          <w:highlight w:val="none"/>
        </w:rPr>
        <w:t>项目地点：</w:t>
      </w:r>
      <w:r>
        <w:rPr>
          <w:rFonts w:hint="eastAsia" w:ascii="宋体" w:hAnsi="宋体" w:eastAsia="宋体" w:cs="宋体"/>
          <w:color w:val="auto"/>
          <w:sz w:val="30"/>
          <w:szCs w:val="30"/>
          <w:highlight w:val="none"/>
          <w:u w:val="dotted"/>
        </w:rPr>
        <w:t xml:space="preserve">         湖南省长沙市                </w:t>
      </w:r>
    </w:p>
    <w:p>
      <w:pPr>
        <w:adjustRightInd w:val="0"/>
        <w:snapToGrid w:val="0"/>
        <w:spacing w:line="360" w:lineRule="auto"/>
        <w:ind w:firstLine="600" w:firstLineChars="200"/>
        <w:rPr>
          <w:rFonts w:hint="eastAsia" w:ascii="宋体" w:hAnsi="宋体" w:eastAsia="宋体" w:cs="宋体"/>
          <w:color w:val="auto"/>
          <w:sz w:val="30"/>
          <w:szCs w:val="30"/>
          <w:highlight w:val="none"/>
          <w:u w:val="dotted"/>
        </w:rPr>
      </w:pPr>
    </w:p>
    <w:p>
      <w:pPr>
        <w:adjustRightInd w:val="0"/>
        <w:snapToGrid w:val="0"/>
        <w:spacing w:line="360" w:lineRule="auto"/>
        <w:ind w:firstLine="602" w:firstLineChars="200"/>
        <w:rPr>
          <w:rFonts w:hint="eastAsia" w:ascii="宋体" w:hAnsi="宋体" w:eastAsia="宋体" w:cs="宋体"/>
          <w:color w:val="auto"/>
          <w:sz w:val="24"/>
          <w:highlight w:val="none"/>
          <w:u w:val="dotted"/>
        </w:rPr>
      </w:pPr>
      <w:r>
        <w:rPr>
          <w:rFonts w:hint="eastAsia" w:ascii="宋体" w:hAnsi="宋体" w:eastAsia="宋体" w:cs="宋体"/>
          <w:b/>
          <w:color w:val="auto"/>
          <w:kern w:val="0"/>
          <w:sz w:val="30"/>
          <w:szCs w:val="30"/>
          <w:highlight w:val="none"/>
        </w:rPr>
        <w:t>投 保 人：</w:t>
      </w:r>
      <w:r>
        <w:rPr>
          <w:rFonts w:hint="eastAsia" w:ascii="宋体" w:hAnsi="宋体" w:eastAsia="宋体" w:cs="宋体"/>
          <w:color w:val="auto"/>
          <w:sz w:val="24"/>
          <w:highlight w:val="none"/>
          <w:u w:val="dotted"/>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u w:val="dotted"/>
        </w:rPr>
      </w:pPr>
    </w:p>
    <w:p>
      <w:pPr>
        <w:widowControl/>
        <w:snapToGrid w:val="0"/>
        <w:spacing w:line="360" w:lineRule="auto"/>
        <w:ind w:right="167" w:firstLine="602" w:firstLineChars="200"/>
        <w:rPr>
          <w:rFonts w:hint="eastAsia" w:ascii="宋体" w:hAnsi="宋体" w:eastAsia="宋体" w:cs="宋体"/>
          <w:b/>
          <w:color w:val="auto"/>
          <w:sz w:val="30"/>
          <w:szCs w:val="30"/>
          <w:highlight w:val="none"/>
          <w:u w:val="dotted"/>
        </w:rPr>
      </w:pPr>
      <w:r>
        <w:rPr>
          <w:rFonts w:hint="eastAsia" w:ascii="宋体" w:hAnsi="宋体" w:eastAsia="宋体" w:cs="宋体"/>
          <w:b/>
          <w:color w:val="auto"/>
          <w:kern w:val="0"/>
          <w:sz w:val="30"/>
          <w:szCs w:val="30"/>
          <w:highlight w:val="none"/>
        </w:rPr>
        <w:t>承 保 人：</w:t>
      </w:r>
      <w:r>
        <w:rPr>
          <w:rFonts w:hint="eastAsia" w:ascii="宋体" w:hAnsi="宋体" w:eastAsia="宋体" w:cs="宋体"/>
          <w:color w:val="auto"/>
          <w:sz w:val="24"/>
          <w:highlight w:val="none"/>
          <w:u w:val="dotted"/>
        </w:rPr>
        <w:t xml:space="preserve">                                              </w:t>
      </w:r>
    </w:p>
    <w:p>
      <w:pPr>
        <w:widowControl/>
        <w:snapToGrid w:val="0"/>
        <w:spacing w:line="360" w:lineRule="auto"/>
        <w:ind w:right="167"/>
        <w:rPr>
          <w:rFonts w:hint="eastAsia" w:ascii="宋体" w:hAnsi="宋体" w:eastAsia="宋体" w:cs="宋体"/>
          <w:b/>
          <w:color w:val="auto"/>
          <w:sz w:val="30"/>
          <w:szCs w:val="30"/>
          <w:highlight w:val="none"/>
          <w:u w:val="dotted"/>
        </w:rPr>
        <w:sectPr>
          <w:footerReference r:id="rId8" w:type="first"/>
          <w:pgSz w:w="11906" w:h="16838"/>
          <w:pgMar w:top="1440" w:right="1800" w:bottom="1440" w:left="1800" w:header="851" w:footer="992" w:gutter="0"/>
          <w:pgNumType w:fmt="decimal"/>
          <w:cols w:space="720" w:num="1"/>
          <w:titlePg/>
          <w:docGrid w:type="lines" w:linePitch="312" w:charSpace="0"/>
        </w:sectPr>
      </w:pPr>
    </w:p>
    <w:bookmarkEnd w:id="62"/>
    <w:p>
      <w:pPr>
        <w:pStyle w:val="33"/>
        <w:tabs>
          <w:tab w:val="right" w:leader="dot" w:pos="8296"/>
        </w:tabs>
        <w:spacing w:line="360" w:lineRule="auto"/>
        <w:ind w:firstLine="643" w:firstLineChars="200"/>
        <w:jc w:val="center"/>
        <w:outlineLvl w:val="0"/>
        <w:rPr>
          <w:rFonts w:hint="eastAsia" w:ascii="宋体" w:hAnsi="宋体" w:eastAsia="宋体" w:cs="宋体"/>
          <w:b/>
          <w:bCs/>
          <w:color w:val="auto"/>
          <w:sz w:val="32"/>
          <w:highlight w:val="none"/>
        </w:rPr>
      </w:pPr>
      <w:bookmarkStart w:id="63" w:name="_Toc12892"/>
      <w:bookmarkStart w:id="64" w:name="_Toc30957"/>
      <w:bookmarkStart w:id="65" w:name="_Toc30344"/>
      <w:bookmarkStart w:id="66" w:name="_Toc21382"/>
      <w:bookmarkStart w:id="67" w:name="_Toc30602"/>
      <w:r>
        <w:rPr>
          <w:rFonts w:hint="eastAsia" w:ascii="宋体" w:hAnsi="宋体" w:eastAsia="宋体" w:cs="宋体"/>
          <w:b/>
          <w:color w:val="auto"/>
          <w:sz w:val="32"/>
          <w:szCs w:val="32"/>
          <w:highlight w:val="none"/>
        </w:rPr>
        <w:t>第一部分 合同协议书</w:t>
      </w:r>
      <w:bookmarkEnd w:id="61"/>
      <w:bookmarkEnd w:id="63"/>
      <w:bookmarkEnd w:id="64"/>
      <w:bookmarkEnd w:id="65"/>
      <w:bookmarkEnd w:id="66"/>
      <w:bookmarkEnd w:id="67"/>
    </w:p>
    <w:p>
      <w:pPr>
        <w:snapToGrid w:val="0"/>
        <w:spacing w:line="360" w:lineRule="auto"/>
        <w:ind w:firstLine="482" w:firstLineChars="200"/>
        <w:rPr>
          <w:rFonts w:hint="eastAsia" w:ascii="宋体" w:hAnsi="宋体" w:eastAsia="宋体" w:cs="宋体"/>
          <w:b/>
          <w:color w:val="auto"/>
          <w:sz w:val="24"/>
          <w:highlight w:val="none"/>
        </w:rPr>
      </w:pPr>
    </w:p>
    <w:p>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 保 人：</w:t>
      </w:r>
      <w:r>
        <w:rPr>
          <w:rFonts w:hint="eastAsia" w:ascii="宋体" w:hAnsi="宋体" w:eastAsia="宋体" w:cs="宋体"/>
          <w:b/>
          <w:color w:val="auto"/>
          <w:sz w:val="24"/>
          <w:szCs w:val="24"/>
          <w:highlight w:val="none"/>
          <w:u w:val="single"/>
        </w:rPr>
        <w:t xml:space="preserve">                       </w:t>
      </w:r>
    </w:p>
    <w:p>
      <w:pPr>
        <w:widowControl/>
        <w:snapToGrid w:val="0"/>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b/>
          <w:color w:val="auto"/>
          <w:kern w:val="0"/>
          <w:sz w:val="24"/>
          <w:szCs w:val="24"/>
          <w:highlight w:val="none"/>
        </w:rPr>
        <w:t>承 保 人：</w:t>
      </w:r>
      <w:r>
        <w:rPr>
          <w:rFonts w:hint="eastAsia" w:ascii="宋体" w:hAnsi="宋体" w:eastAsia="宋体" w:cs="宋体"/>
          <w:b/>
          <w:color w:val="auto"/>
          <w:sz w:val="24"/>
          <w:szCs w:val="24"/>
          <w:highlight w:val="none"/>
          <w:u w:val="single"/>
        </w:rPr>
        <w:t xml:space="preserve">                       </w:t>
      </w:r>
    </w:p>
    <w:p>
      <w:pPr>
        <w:autoSpaceDE w:val="0"/>
        <w:autoSpaceDN w:val="0"/>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sz w:val="24"/>
          <w:highlight w:val="none"/>
        </w:rPr>
        <w:t>根据《中华人民共和国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》、《中华人民共和国保险法》及有关法律规定，遵循平等、自愿、公平和诚实信用的原则，双方按照“快处快赔、应赔尽赔”原则就下述投保项目的</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保险及有关事项协商一致，共同签订本合同。</w:t>
      </w:r>
    </w:p>
    <w:p>
      <w:pPr>
        <w:autoSpaceDE w:val="0"/>
        <w:autoSpaceDN w:val="0"/>
        <w:snapToGrid w:val="0"/>
        <w:spacing w:line="360" w:lineRule="auto"/>
        <w:ind w:firstLine="482" w:firstLineChars="200"/>
        <w:outlineLvl w:val="1"/>
        <w:rPr>
          <w:rFonts w:hint="eastAsia" w:ascii="宋体" w:hAnsi="宋体" w:eastAsia="宋体" w:cs="宋体"/>
          <w:b/>
          <w:color w:val="auto"/>
          <w:position w:val="6"/>
          <w:sz w:val="24"/>
          <w:highlight w:val="none"/>
          <w:u w:val="single"/>
        </w:rPr>
      </w:pPr>
      <w:bookmarkStart w:id="68" w:name="_Toc11240"/>
      <w:bookmarkStart w:id="69" w:name="_Toc14731"/>
      <w:bookmarkStart w:id="70" w:name="_Toc24341"/>
      <w:bookmarkStart w:id="71" w:name="_Toc14737"/>
      <w:bookmarkStart w:id="72" w:name="_Toc4670"/>
      <w:r>
        <w:rPr>
          <w:rFonts w:hint="eastAsia" w:ascii="宋体" w:hAnsi="宋体" w:eastAsia="宋体" w:cs="宋体"/>
          <w:b/>
          <w:color w:val="auto"/>
          <w:position w:val="6"/>
          <w:sz w:val="24"/>
          <w:highlight w:val="none"/>
        </w:rPr>
        <w:t>1、投保项目</w:t>
      </w:r>
      <w:bookmarkEnd w:id="68"/>
      <w:bookmarkEnd w:id="69"/>
      <w:bookmarkEnd w:id="70"/>
      <w:bookmarkEnd w:id="71"/>
      <w:bookmarkEnd w:id="72"/>
    </w:p>
    <w:p>
      <w:pPr>
        <w:autoSpaceDE w:val="0"/>
        <w:autoSpaceDN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1.1项目名称：</w:t>
      </w:r>
      <w:r>
        <w:rPr>
          <w:rFonts w:hint="eastAsia" w:ascii="宋体" w:hAnsi="宋体" w:eastAsia="宋体" w:cs="宋体"/>
          <w:b/>
          <w:color w:val="auto"/>
          <w:sz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1.2项目概况：</w:t>
      </w:r>
      <w:r>
        <w:rPr>
          <w:rFonts w:hint="eastAsia" w:ascii="宋体" w:hAnsi="宋体" w:eastAsia="宋体" w:cs="宋体"/>
          <w:b/>
          <w:color w:val="auto"/>
          <w:sz w:val="24"/>
          <w:highlight w:val="none"/>
          <w:u w:val="single"/>
        </w:rPr>
        <w:t xml:space="preserve">                         </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73" w:name="_Toc10847"/>
      <w:bookmarkStart w:id="74" w:name="_Toc23849"/>
      <w:bookmarkStart w:id="75" w:name="_Toc5837"/>
      <w:bookmarkStart w:id="76" w:name="_Toc30694"/>
      <w:bookmarkStart w:id="77" w:name="_Toc10261"/>
      <w:r>
        <w:rPr>
          <w:rFonts w:hint="eastAsia" w:ascii="宋体" w:hAnsi="宋体" w:eastAsia="宋体" w:cs="宋体"/>
          <w:b/>
          <w:color w:val="auto"/>
          <w:sz w:val="24"/>
          <w:highlight w:val="none"/>
        </w:rPr>
        <w:t>2、保险险种</w:t>
      </w:r>
      <w:bookmarkEnd w:id="73"/>
      <w:bookmarkEnd w:id="74"/>
      <w:bookmarkEnd w:id="75"/>
      <w:bookmarkEnd w:id="76"/>
      <w:bookmarkEnd w:id="77"/>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保险险种为：□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78" w:name="_Toc13044"/>
      <w:bookmarkStart w:id="79" w:name="_Toc13838"/>
      <w:bookmarkStart w:id="80" w:name="_Toc19593"/>
      <w:bookmarkStart w:id="81" w:name="_Toc11255"/>
      <w:bookmarkStart w:id="82" w:name="_Toc14406"/>
      <w:r>
        <w:rPr>
          <w:rFonts w:hint="eastAsia" w:ascii="宋体" w:hAnsi="宋体" w:eastAsia="宋体" w:cs="宋体"/>
          <w:b/>
          <w:color w:val="auto"/>
          <w:sz w:val="24"/>
          <w:highlight w:val="none"/>
        </w:rPr>
        <w:t>3、保险期限</w:t>
      </w:r>
      <w:bookmarkEnd w:id="78"/>
      <w:r>
        <w:rPr>
          <w:rFonts w:hint="eastAsia" w:ascii="宋体" w:hAnsi="宋体" w:eastAsia="宋体" w:cs="宋体"/>
          <w:b/>
          <w:color w:val="auto"/>
          <w:sz w:val="24"/>
          <w:highlight w:val="none"/>
        </w:rPr>
        <w:t>及被保险人</w:t>
      </w:r>
      <w:bookmarkEnd w:id="79"/>
      <w:bookmarkEnd w:id="80"/>
      <w:bookmarkEnd w:id="81"/>
      <w:bookmarkEnd w:id="82"/>
    </w:p>
    <w:p>
      <w:pPr>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3.1保险期限为：</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w:t>
      </w:r>
    </w:p>
    <w:p>
      <w:pPr>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3.2被保险人为：</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w:t>
      </w:r>
    </w:p>
    <w:p>
      <w:pPr>
        <w:adjustRightInd w:val="0"/>
        <w:snapToGrid w:val="0"/>
        <w:spacing w:line="360" w:lineRule="auto"/>
        <w:ind w:firstLine="482" w:firstLineChars="200"/>
        <w:outlineLvl w:val="1"/>
        <w:rPr>
          <w:rFonts w:hint="eastAsia" w:ascii="宋体" w:hAnsi="宋体" w:eastAsia="宋体" w:cs="宋体"/>
          <w:color w:val="auto"/>
          <w:sz w:val="24"/>
          <w:highlight w:val="none"/>
        </w:rPr>
      </w:pPr>
      <w:bookmarkStart w:id="83" w:name="_Toc4066"/>
      <w:bookmarkStart w:id="84" w:name="_Toc289"/>
      <w:bookmarkStart w:id="85" w:name="_Toc12939"/>
      <w:bookmarkStart w:id="86" w:name="_Toc2538"/>
      <w:bookmarkStart w:id="87" w:name="_Toc15973"/>
      <w:r>
        <w:rPr>
          <w:rFonts w:hint="eastAsia" w:ascii="宋体" w:hAnsi="宋体" w:eastAsia="宋体" w:cs="宋体"/>
          <w:b/>
          <w:color w:val="auto"/>
          <w:sz w:val="24"/>
          <w:highlight w:val="none"/>
        </w:rPr>
        <w:t>4、保险合同组成</w:t>
      </w:r>
      <w:bookmarkEnd w:id="83"/>
      <w:bookmarkEnd w:id="84"/>
      <w:bookmarkEnd w:id="85"/>
      <w:bookmarkEnd w:id="86"/>
      <w:bookmarkEnd w:id="87"/>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4.1本次招标所有招投标文件及附件作为保险合同的有效组成部分。包括：</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（1）合同协议书及其附件；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（2）中标通知书；</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（4）投保单</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（5）保险单（包括批单）（其中的保险条款由特别约定、附加条款和基本条款构成，排序在前者效力优先）；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（6）招标文件及澄清补充文件及其它补充资料；</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（7）投标文件及澄清补充文件及其它补充资料；</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（8）经双方确认进入合同的其他文件。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上述文件互为补充和解释，如有不清之处，以有利于投保人/被保险人的解释为准；如有相互矛盾之处，以上述文件先后顺序为准。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在合同履行过程中形成的与合同有关的文件均构成合同文件组成部分，并根据其性质确定优先解释顺序。</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88" w:name="_Toc461094747"/>
      <w:bookmarkStart w:id="89" w:name="_Toc1799"/>
      <w:bookmarkStart w:id="90" w:name="_Toc18455"/>
      <w:bookmarkStart w:id="91" w:name="_Toc18524"/>
      <w:bookmarkStart w:id="92" w:name="_Toc16639"/>
      <w:bookmarkStart w:id="93" w:name="_Toc29082"/>
      <w:r>
        <w:rPr>
          <w:rFonts w:hint="eastAsia" w:ascii="宋体" w:hAnsi="宋体" w:eastAsia="宋体" w:cs="宋体"/>
          <w:b/>
          <w:color w:val="auto"/>
          <w:sz w:val="24"/>
          <w:highlight w:val="none"/>
        </w:rPr>
        <w:t>5、</w:t>
      </w:r>
      <w:bookmarkEnd w:id="88"/>
      <w:bookmarkStart w:id="94" w:name="_Toc461094749"/>
      <w:r>
        <w:rPr>
          <w:rFonts w:hint="eastAsia" w:ascii="宋体" w:hAnsi="宋体" w:eastAsia="宋体" w:cs="宋体"/>
          <w:b/>
          <w:color w:val="auto"/>
          <w:sz w:val="24"/>
          <w:highlight w:val="none"/>
        </w:rPr>
        <w:t>投保出单</w:t>
      </w:r>
      <w:bookmarkEnd w:id="89"/>
      <w:bookmarkEnd w:id="90"/>
      <w:bookmarkEnd w:id="91"/>
      <w:bookmarkEnd w:id="92"/>
      <w:bookmarkEnd w:id="93"/>
      <w:bookmarkEnd w:id="94"/>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5.1由承保人根据本合同约定出具保险单。</w:t>
      </w:r>
    </w:p>
    <w:p>
      <w:pPr>
        <w:adjustRightInd w:val="0"/>
        <w:snapToGrid w:val="0"/>
        <w:spacing w:line="360" w:lineRule="auto"/>
        <w:ind w:firstLine="480" w:firstLineChars="200"/>
        <w:rPr>
          <w:rFonts w:hint="eastAsia" w:ascii="宋体" w:hAnsi="宋体" w:eastAsia="宋体" w:cs="宋体"/>
          <w:color w:val="auto"/>
          <w:sz w:val="24"/>
          <w:highlight w:val="none"/>
        </w:rPr>
      </w:pPr>
      <w:bookmarkStart w:id="95" w:name="_Toc461094750"/>
      <w:r>
        <w:rPr>
          <w:rFonts w:hint="eastAsia" w:ascii="宋体" w:hAnsi="宋体" w:eastAsia="宋体" w:cs="宋体"/>
          <w:color w:val="auto"/>
          <w:position w:val="6"/>
          <w:sz w:val="24"/>
          <w:highlight w:val="none"/>
        </w:rPr>
        <w:t>5.2承保人出具年度保险单，保险期限为一年。</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96" w:name="_Toc7109"/>
      <w:bookmarkStart w:id="97" w:name="_Toc24286"/>
      <w:bookmarkStart w:id="98" w:name="_Toc29202"/>
      <w:bookmarkStart w:id="99" w:name="_Toc26783"/>
      <w:bookmarkStart w:id="100" w:name="_Toc22270"/>
      <w:r>
        <w:rPr>
          <w:rFonts w:hint="eastAsia" w:ascii="宋体" w:hAnsi="宋体" w:eastAsia="宋体" w:cs="宋体"/>
          <w:b/>
          <w:color w:val="auto"/>
          <w:sz w:val="24"/>
          <w:highlight w:val="none"/>
        </w:rPr>
        <w:t>6、保险费及其支付方式</w:t>
      </w:r>
      <w:bookmarkEnd w:id="95"/>
      <w:bookmarkEnd w:id="96"/>
      <w:bookmarkEnd w:id="97"/>
      <w:bookmarkEnd w:id="98"/>
      <w:bookmarkEnd w:id="99"/>
      <w:bookmarkEnd w:id="100"/>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保险费</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6.1.1暂定保险费</w:t>
      </w:r>
      <w:r>
        <w:rPr>
          <w:rFonts w:hint="eastAsia" w:ascii="宋体" w:hAnsi="宋体" w:eastAsia="宋体" w:cs="宋体"/>
          <w:color w:val="auto"/>
          <w:sz w:val="24"/>
          <w:szCs w:val="24"/>
          <w:highlight w:val="none"/>
        </w:rPr>
        <w:t>为含增值税价，金额为人民币（大写）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），其中，不含增值税</w:t>
      </w:r>
      <w:r>
        <w:rPr>
          <w:rFonts w:hint="eastAsia" w:ascii="宋体" w:hAnsi="宋体" w:eastAsia="宋体" w:cs="宋体"/>
          <w:color w:val="auto"/>
          <w:sz w:val="24"/>
          <w:highlight w:val="none"/>
        </w:rPr>
        <w:t>暂定保险费</w:t>
      </w:r>
      <w:r>
        <w:rPr>
          <w:rFonts w:hint="eastAsia" w:ascii="宋体" w:hAnsi="宋体" w:eastAsia="宋体" w:cs="宋体"/>
          <w:color w:val="auto"/>
          <w:sz w:val="24"/>
          <w:szCs w:val="24"/>
          <w:highlight w:val="none"/>
        </w:rPr>
        <w:t>为</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暂定保险费</w:t>
      </w:r>
      <w:r>
        <w:rPr>
          <w:rFonts w:hint="eastAsia" w:ascii="宋体" w:hAnsi="宋体" w:eastAsia="宋体" w:cs="宋体"/>
          <w:color w:val="auto"/>
          <w:sz w:val="24"/>
          <w:szCs w:val="24"/>
          <w:highlight w:val="none"/>
        </w:rPr>
        <w:t>中的增值税为</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。增值税根据承保人提供给投保人的增值税专用发票中的税额据实支付和结算</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按</w:t>
      </w:r>
      <w:r>
        <w:rPr>
          <w:rFonts w:hint="eastAsia" w:ascii="宋体" w:hAnsi="宋体" w:eastAsia="宋体" w:cs="宋体"/>
          <w:color w:val="auto"/>
          <w:kern w:val="0"/>
          <w:sz w:val="24"/>
          <w:szCs w:val="22"/>
          <w:highlight w:val="none"/>
          <w:shd w:val="clear" w:color="auto" w:fill="FFFFFF"/>
        </w:rPr>
        <w:t>长沙市政府或其职能部门相关规定，本项目的</w:t>
      </w:r>
      <w:r>
        <w:rPr>
          <w:rFonts w:hint="eastAsia" w:ascii="宋体" w:hAnsi="宋体" w:eastAsia="宋体" w:cs="宋体"/>
          <w:color w:val="auto"/>
          <w:sz w:val="24"/>
          <w:highlight w:val="none"/>
        </w:rPr>
        <w:t>保险费</w:t>
      </w:r>
      <w:r>
        <w:rPr>
          <w:rFonts w:hint="eastAsia" w:ascii="宋体" w:hAnsi="宋体" w:eastAsia="宋体" w:cs="宋体"/>
          <w:color w:val="auto"/>
          <w:kern w:val="0"/>
          <w:sz w:val="24"/>
          <w:szCs w:val="22"/>
          <w:highlight w:val="none"/>
          <w:shd w:val="clear" w:color="auto" w:fill="FFFFFF"/>
        </w:rPr>
        <w:t>最终以长沙市政府相关职能部门或长沙市轨道交通集团有限公司授权的单位审定价款为准。</w:t>
      </w:r>
      <w:r>
        <w:rPr>
          <w:rFonts w:hint="eastAsia" w:ascii="宋体" w:hAnsi="宋体" w:eastAsia="宋体" w:cs="宋体"/>
          <w:color w:val="auto"/>
          <w:sz w:val="24"/>
          <w:highlight w:val="none"/>
        </w:rPr>
        <w:t>最终保险费</w:t>
      </w:r>
      <w:r>
        <w:rPr>
          <w:rFonts w:hint="eastAsia" w:ascii="宋体" w:hAnsi="宋体" w:eastAsia="宋体" w:cs="宋体"/>
          <w:bCs/>
          <w:color w:val="auto"/>
          <w:sz w:val="24"/>
          <w:highlight w:val="none"/>
        </w:rPr>
        <w:t>包括承保人履行合同且满足</w:t>
      </w:r>
      <w:r>
        <w:rPr>
          <w:rFonts w:hint="eastAsia" w:ascii="宋体" w:hAnsi="宋体" w:eastAsia="宋体" w:cs="宋体"/>
          <w:bCs/>
          <w:color w:val="auto"/>
          <w:sz w:val="24"/>
          <w:highlight w:val="none"/>
          <w:lang w:eastAsia="zh-CN"/>
        </w:rPr>
        <w:t>运营期</w:t>
      </w:r>
      <w:r>
        <w:rPr>
          <w:rFonts w:hint="eastAsia" w:ascii="宋体" w:hAnsi="宋体" w:eastAsia="宋体" w:cs="宋体"/>
          <w:bCs/>
          <w:color w:val="auto"/>
          <w:sz w:val="24"/>
          <w:highlight w:val="none"/>
        </w:rPr>
        <w:t>保险需求的全部要求所产生的成本、费用、税金、利润、保险、专利、风险</w:t>
      </w:r>
      <w:r>
        <w:rPr>
          <w:rFonts w:hint="eastAsia" w:ascii="宋体" w:hAnsi="宋体" w:eastAsia="宋体" w:cs="宋体"/>
          <w:color w:val="auto"/>
          <w:sz w:val="24"/>
          <w:highlight w:val="none"/>
        </w:rPr>
        <w:t>等</w:t>
      </w:r>
      <w:r>
        <w:rPr>
          <w:rFonts w:hint="eastAsia" w:ascii="宋体" w:hAnsi="宋体" w:eastAsia="宋体" w:cs="宋体"/>
          <w:bCs/>
          <w:color w:val="auto"/>
          <w:sz w:val="24"/>
          <w:highlight w:val="none"/>
        </w:rPr>
        <w:t>。</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6.2共保比例（如有）</w:t>
      </w:r>
    </w:p>
    <w:p>
      <w:pPr>
        <w:adjustRightInd w:val="0"/>
        <w:snapToGrid w:val="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6.3支付方式</w:t>
      </w:r>
    </w:p>
    <w:p>
      <w:pPr>
        <w:tabs>
          <w:tab w:val="left" w:pos="851"/>
        </w:tabs>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6.3.1中间支付：本项目保险单为一年一开，本合同签订生效且承保人签发保险单后，支付保单相应保险费的70%。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6.3.2结算支付：本合同保险期满，且最终保险费按照长沙市政府或其职能部门相关规定经长沙市政府相关职能部门或长沙市轨道交通集团有限公司授权的单位审定后，支付至最终保险费的100%。</w:t>
      </w:r>
    </w:p>
    <w:p>
      <w:pPr>
        <w:autoSpaceDE w:val="0"/>
        <w:autoSpaceDN w:val="0"/>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6.3.3 上述付款，在承保人按投保人的支付程序办理请款手续并</w:t>
      </w:r>
      <w:r>
        <w:rPr>
          <w:rFonts w:hint="eastAsia" w:ascii="宋体" w:hAnsi="宋体" w:eastAsia="宋体" w:cs="宋体"/>
          <w:color w:val="auto"/>
          <w:sz w:val="24"/>
          <w:highlight w:val="none"/>
          <w:lang w:bidi="en-US"/>
        </w:rPr>
        <w:t>提供增值税专用发票</w:t>
      </w:r>
      <w:r>
        <w:rPr>
          <w:rStyle w:val="58"/>
          <w:rFonts w:hint="eastAsia" w:ascii="宋体" w:hAnsi="宋体" w:eastAsia="宋体" w:cs="宋体"/>
          <w:color w:val="auto"/>
          <w:highlight w:val="none"/>
        </w:rPr>
        <w:t>、</w:t>
      </w:r>
      <w:r>
        <w:rPr>
          <w:rFonts w:hint="eastAsia" w:ascii="宋体" w:hAnsi="宋体" w:eastAsia="宋体" w:cs="宋体"/>
          <w:color w:val="auto"/>
          <w:sz w:val="24"/>
          <w:highlight w:val="none"/>
        </w:rPr>
        <w:t>有效期内的履约担保复印件等相关资料后28个工作日内，由投保人向承保人支付。</w:t>
      </w:r>
    </w:p>
    <w:p>
      <w:pPr>
        <w:snapToGrid w:val="0"/>
        <w:spacing w:line="360" w:lineRule="auto"/>
        <w:ind w:firstLine="482" w:firstLineChars="200"/>
        <w:outlineLvl w:val="1"/>
        <w:rPr>
          <w:rFonts w:hint="eastAsia" w:ascii="宋体" w:hAnsi="宋体" w:eastAsia="宋体" w:cs="宋体"/>
          <w:b/>
          <w:color w:val="auto"/>
          <w:position w:val="6"/>
          <w:sz w:val="24"/>
          <w:highlight w:val="none"/>
        </w:rPr>
      </w:pPr>
      <w:bookmarkStart w:id="101" w:name="_Toc461094751"/>
      <w:bookmarkStart w:id="102" w:name="_Toc4282"/>
      <w:bookmarkStart w:id="103" w:name="_Toc32271"/>
      <w:bookmarkStart w:id="104" w:name="_Toc24843"/>
      <w:bookmarkStart w:id="105" w:name="_Toc32143"/>
      <w:bookmarkStart w:id="106" w:name="_Toc29449"/>
      <w:r>
        <w:rPr>
          <w:rFonts w:hint="eastAsia" w:ascii="宋体" w:hAnsi="宋体" w:eastAsia="宋体" w:cs="宋体"/>
          <w:b/>
          <w:color w:val="auto"/>
          <w:position w:val="6"/>
          <w:sz w:val="24"/>
          <w:highlight w:val="none"/>
        </w:rPr>
        <w:t>7、承保人服务要求</w:t>
      </w:r>
      <w:bookmarkEnd w:id="101"/>
      <w:r>
        <w:rPr>
          <w:rFonts w:hint="eastAsia" w:ascii="宋体" w:hAnsi="宋体" w:eastAsia="宋体" w:cs="宋体"/>
          <w:b/>
          <w:color w:val="auto"/>
          <w:position w:val="6"/>
          <w:sz w:val="24"/>
          <w:highlight w:val="none"/>
        </w:rPr>
        <w:t>（若为共保体，以下服务内容由首席承保人代表共保体负责执行和落实，共保人内部的职责，按共保协议执行。）</w:t>
      </w:r>
      <w:bookmarkEnd w:id="102"/>
      <w:bookmarkEnd w:id="103"/>
      <w:bookmarkEnd w:id="104"/>
      <w:bookmarkEnd w:id="105"/>
      <w:bookmarkEnd w:id="106"/>
    </w:p>
    <w:p>
      <w:pPr>
        <w:snapToGrid w:val="0"/>
        <w:spacing w:line="360" w:lineRule="auto"/>
        <w:ind w:firstLine="482" w:firstLineChars="200"/>
        <w:rPr>
          <w:rFonts w:hint="eastAsia" w:ascii="宋体" w:hAnsi="宋体" w:eastAsia="宋体" w:cs="宋体"/>
          <w:b/>
          <w:bCs/>
          <w:color w:val="auto"/>
          <w:position w:val="6"/>
          <w:sz w:val="24"/>
          <w:highlight w:val="none"/>
        </w:rPr>
      </w:pPr>
      <w:r>
        <w:rPr>
          <w:rFonts w:hint="eastAsia" w:ascii="宋体" w:hAnsi="宋体" w:eastAsia="宋体" w:cs="宋体"/>
          <w:b/>
          <w:bCs/>
          <w:color w:val="auto"/>
          <w:position w:val="6"/>
          <w:sz w:val="24"/>
          <w:highlight w:val="none"/>
        </w:rPr>
        <w:t>7.1专项服务小组</w:t>
      </w:r>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7.1.1承保人为本项目设立专项服务小组，具体人员组成及分工如下：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项目中职务</w:t>
            </w:r>
          </w:p>
        </w:tc>
        <w:tc>
          <w:tcPr>
            <w:tcW w:w="823"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89"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负责内容或分工</w:t>
            </w:r>
          </w:p>
        </w:tc>
        <w:tc>
          <w:tcPr>
            <w:tcW w:w="2478"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75"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auto"/>
                <w:szCs w:val="21"/>
                <w:highlight w:val="none"/>
              </w:rPr>
            </w:pPr>
          </w:p>
        </w:tc>
        <w:tc>
          <w:tcPr>
            <w:tcW w:w="823" w:type="dxa"/>
            <w:noWrap w:val="0"/>
            <w:vAlign w:val="center"/>
          </w:tcPr>
          <w:p>
            <w:pPr>
              <w:spacing w:line="360" w:lineRule="auto"/>
              <w:jc w:val="center"/>
              <w:rPr>
                <w:rFonts w:hint="eastAsia" w:ascii="宋体" w:hAnsi="宋体" w:eastAsia="宋体" w:cs="宋体"/>
                <w:color w:val="auto"/>
                <w:szCs w:val="21"/>
                <w:highlight w:val="none"/>
              </w:rPr>
            </w:pPr>
          </w:p>
        </w:tc>
        <w:tc>
          <w:tcPr>
            <w:tcW w:w="1789" w:type="dxa"/>
            <w:noWrap w:val="0"/>
            <w:vAlign w:val="center"/>
          </w:tcPr>
          <w:p>
            <w:pPr>
              <w:spacing w:line="360" w:lineRule="auto"/>
              <w:jc w:val="center"/>
              <w:rPr>
                <w:rFonts w:hint="eastAsia" w:ascii="宋体" w:hAnsi="宋体" w:eastAsia="宋体" w:cs="宋体"/>
                <w:color w:val="auto"/>
                <w:szCs w:val="21"/>
                <w:highlight w:val="none"/>
              </w:rPr>
            </w:pPr>
          </w:p>
        </w:tc>
        <w:tc>
          <w:tcPr>
            <w:tcW w:w="2478" w:type="dxa"/>
            <w:noWrap w:val="0"/>
            <w:vAlign w:val="center"/>
          </w:tcPr>
          <w:p>
            <w:pPr>
              <w:spacing w:line="360" w:lineRule="auto"/>
              <w:jc w:val="center"/>
              <w:rPr>
                <w:rFonts w:hint="eastAsia" w:ascii="宋体" w:hAnsi="宋体" w:eastAsia="宋体" w:cs="宋体"/>
                <w:color w:val="auto"/>
                <w:szCs w:val="21"/>
                <w:highlight w:val="none"/>
              </w:rPr>
            </w:pPr>
          </w:p>
        </w:tc>
        <w:tc>
          <w:tcPr>
            <w:tcW w:w="1275" w:type="dxa"/>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auto"/>
                <w:szCs w:val="21"/>
                <w:highlight w:val="none"/>
              </w:rPr>
            </w:pPr>
          </w:p>
        </w:tc>
        <w:tc>
          <w:tcPr>
            <w:tcW w:w="823" w:type="dxa"/>
            <w:noWrap w:val="0"/>
            <w:vAlign w:val="center"/>
          </w:tcPr>
          <w:p>
            <w:pPr>
              <w:spacing w:line="360" w:lineRule="auto"/>
              <w:jc w:val="center"/>
              <w:rPr>
                <w:rFonts w:hint="eastAsia" w:ascii="宋体" w:hAnsi="宋体" w:eastAsia="宋体" w:cs="宋体"/>
                <w:color w:val="auto"/>
                <w:szCs w:val="21"/>
                <w:highlight w:val="none"/>
              </w:rPr>
            </w:pPr>
          </w:p>
        </w:tc>
        <w:tc>
          <w:tcPr>
            <w:tcW w:w="1789" w:type="dxa"/>
            <w:noWrap w:val="0"/>
            <w:vAlign w:val="center"/>
          </w:tcPr>
          <w:p>
            <w:pPr>
              <w:spacing w:line="360" w:lineRule="auto"/>
              <w:jc w:val="center"/>
              <w:rPr>
                <w:rFonts w:hint="eastAsia" w:ascii="宋体" w:hAnsi="宋体" w:eastAsia="宋体" w:cs="宋体"/>
                <w:color w:val="auto"/>
                <w:szCs w:val="21"/>
                <w:highlight w:val="none"/>
              </w:rPr>
            </w:pPr>
          </w:p>
        </w:tc>
        <w:tc>
          <w:tcPr>
            <w:tcW w:w="2478" w:type="dxa"/>
            <w:noWrap w:val="0"/>
            <w:vAlign w:val="center"/>
          </w:tcPr>
          <w:p>
            <w:pPr>
              <w:spacing w:line="360" w:lineRule="auto"/>
              <w:jc w:val="center"/>
              <w:rPr>
                <w:rFonts w:hint="eastAsia" w:ascii="宋体" w:hAnsi="宋体" w:eastAsia="宋体" w:cs="宋体"/>
                <w:color w:val="auto"/>
                <w:szCs w:val="21"/>
                <w:highlight w:val="none"/>
              </w:rPr>
            </w:pPr>
          </w:p>
        </w:tc>
        <w:tc>
          <w:tcPr>
            <w:tcW w:w="1275" w:type="dxa"/>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4" w:type="dxa"/>
            <w:noWrap w:val="0"/>
            <w:vAlign w:val="center"/>
          </w:tcPr>
          <w:p>
            <w:pPr>
              <w:spacing w:line="360" w:lineRule="auto"/>
              <w:jc w:val="center"/>
              <w:rPr>
                <w:rFonts w:hint="eastAsia" w:ascii="宋体" w:hAnsi="宋体" w:eastAsia="宋体" w:cs="宋体"/>
                <w:color w:val="auto"/>
                <w:szCs w:val="21"/>
                <w:highlight w:val="none"/>
              </w:rPr>
            </w:pPr>
          </w:p>
        </w:tc>
        <w:tc>
          <w:tcPr>
            <w:tcW w:w="823" w:type="dxa"/>
            <w:noWrap w:val="0"/>
            <w:vAlign w:val="center"/>
          </w:tcPr>
          <w:p>
            <w:pPr>
              <w:spacing w:line="360" w:lineRule="auto"/>
              <w:jc w:val="center"/>
              <w:rPr>
                <w:rFonts w:hint="eastAsia" w:ascii="宋体" w:hAnsi="宋体" w:eastAsia="宋体" w:cs="宋体"/>
                <w:color w:val="auto"/>
                <w:szCs w:val="21"/>
                <w:highlight w:val="none"/>
              </w:rPr>
            </w:pPr>
          </w:p>
        </w:tc>
        <w:tc>
          <w:tcPr>
            <w:tcW w:w="1789" w:type="dxa"/>
            <w:noWrap w:val="0"/>
            <w:vAlign w:val="center"/>
          </w:tcPr>
          <w:p>
            <w:pPr>
              <w:spacing w:line="360" w:lineRule="auto"/>
              <w:jc w:val="center"/>
              <w:rPr>
                <w:rFonts w:hint="eastAsia" w:ascii="宋体" w:hAnsi="宋体" w:eastAsia="宋体" w:cs="宋体"/>
                <w:color w:val="auto"/>
                <w:szCs w:val="21"/>
                <w:highlight w:val="none"/>
              </w:rPr>
            </w:pPr>
          </w:p>
        </w:tc>
        <w:tc>
          <w:tcPr>
            <w:tcW w:w="2478" w:type="dxa"/>
            <w:noWrap w:val="0"/>
            <w:vAlign w:val="center"/>
          </w:tcPr>
          <w:p>
            <w:pPr>
              <w:spacing w:line="360" w:lineRule="auto"/>
              <w:jc w:val="center"/>
              <w:rPr>
                <w:rFonts w:hint="eastAsia" w:ascii="宋体" w:hAnsi="宋体" w:eastAsia="宋体" w:cs="宋体"/>
                <w:color w:val="auto"/>
                <w:szCs w:val="21"/>
                <w:highlight w:val="none"/>
              </w:rPr>
            </w:pPr>
          </w:p>
        </w:tc>
        <w:tc>
          <w:tcPr>
            <w:tcW w:w="1275" w:type="dxa"/>
            <w:noWrap w:val="0"/>
            <w:vAlign w:val="center"/>
          </w:tcPr>
          <w:p>
            <w:pPr>
              <w:spacing w:line="360" w:lineRule="auto"/>
              <w:jc w:val="center"/>
              <w:rPr>
                <w:rFonts w:hint="eastAsia" w:ascii="宋体" w:hAnsi="宋体" w:eastAsia="宋体" w:cs="宋体"/>
                <w:color w:val="auto"/>
                <w:szCs w:val="21"/>
                <w:highlight w:val="none"/>
              </w:rPr>
            </w:pPr>
          </w:p>
        </w:tc>
      </w:tr>
    </w:tbl>
    <w:p>
      <w:pPr>
        <w:snapToGrid w:val="0"/>
        <w:spacing w:before="156" w:beforeLines="50"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highlight w:val="none"/>
        </w:rPr>
        <w:t>2</w:t>
      </w:r>
      <w:r>
        <w:rPr>
          <w:rFonts w:hint="eastAsia" w:ascii="宋体" w:hAnsi="宋体" w:eastAsia="宋体" w:cs="宋体"/>
          <w:color w:val="auto"/>
          <w:position w:val="6"/>
          <w:sz w:val="24"/>
          <w:szCs w:val="24"/>
          <w:highlight w:val="none"/>
        </w:rPr>
        <w:t>4小时报案电话：</w:t>
      </w:r>
      <w:r>
        <w:rPr>
          <w:rFonts w:hint="eastAsia" w:ascii="宋体" w:hAnsi="宋体" w:eastAsia="宋体" w:cs="宋体"/>
          <w:color w:val="auto"/>
          <w:position w:val="6"/>
          <w:sz w:val="24"/>
          <w:szCs w:val="24"/>
          <w:highlight w:val="none"/>
          <w:u w:val="single"/>
        </w:rPr>
        <w:t xml:space="preserve">             </w:t>
      </w:r>
      <w:r>
        <w:rPr>
          <w:rFonts w:hint="eastAsia" w:ascii="宋体" w:hAnsi="宋体" w:eastAsia="宋体" w:cs="宋体"/>
          <w:color w:val="auto"/>
          <w:position w:val="6"/>
          <w:sz w:val="24"/>
          <w:szCs w:val="24"/>
          <w:highlight w:val="none"/>
        </w:rPr>
        <w:t>。        传真：</w:t>
      </w:r>
      <w:r>
        <w:rPr>
          <w:rFonts w:hint="eastAsia" w:ascii="宋体" w:hAnsi="宋体" w:eastAsia="宋体" w:cs="宋体"/>
          <w:color w:val="auto"/>
          <w:position w:val="6"/>
          <w:sz w:val="24"/>
          <w:szCs w:val="24"/>
          <w:highlight w:val="none"/>
          <w:u w:val="single"/>
        </w:rPr>
        <w:t xml:space="preserve">             </w:t>
      </w:r>
      <w:r>
        <w:rPr>
          <w:rFonts w:hint="eastAsia" w:ascii="宋体" w:hAnsi="宋体" w:eastAsia="宋体" w:cs="宋体"/>
          <w:color w:val="auto"/>
          <w:position w:val="6"/>
          <w:sz w:val="24"/>
          <w:szCs w:val="24"/>
          <w:highlight w:val="none"/>
        </w:rPr>
        <w:t xml:space="preserve">。 </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7.1.2原则不得随意更换专项服务小组成员、24小时报案电话和传真；如需更换，应书面报经投保人同意后方可更换。</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7.1.3 承保人应确保24小时报案电话和传真畅通，随时接受被保险人的出险报案。</w:t>
      </w:r>
    </w:p>
    <w:p>
      <w:pPr>
        <w:autoSpaceDE w:val="0"/>
        <w:autoSpaceDN w:val="0"/>
        <w:snapToGrid w:val="0"/>
        <w:spacing w:line="360" w:lineRule="auto"/>
        <w:ind w:firstLine="482" w:firstLineChars="200"/>
        <w:rPr>
          <w:rFonts w:hint="eastAsia" w:ascii="宋体" w:hAnsi="宋体" w:eastAsia="宋体" w:cs="宋体"/>
          <w:b/>
          <w:bCs/>
          <w:color w:val="auto"/>
          <w:position w:val="6"/>
          <w:sz w:val="24"/>
          <w:szCs w:val="24"/>
          <w:highlight w:val="none"/>
        </w:rPr>
      </w:pPr>
      <w:r>
        <w:rPr>
          <w:rFonts w:hint="eastAsia" w:ascii="宋体" w:hAnsi="宋体" w:eastAsia="宋体" w:cs="宋体"/>
          <w:b/>
          <w:bCs/>
          <w:color w:val="auto"/>
          <w:position w:val="6"/>
          <w:sz w:val="24"/>
          <w:szCs w:val="24"/>
          <w:highlight w:val="none"/>
        </w:rPr>
        <w:t>7.2理赔服务</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7.2.1受理报案</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7.2.1.1 被保险人报案时，可通过24小时报案电话或传真报案，也可直接与专项服务小组对口人员联系。</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7.2.1.2 承保人接到被保险人报案后，专项服务小组成员应在15分钟内给出处理意见，并回复是否前往现场查勘；如果没有回复，则表示专项服务小组不去现场查勘并同意以被保险人提供的索赔材料作为理赔依据</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7.2.2 现场查勘</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7.2.2.1 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宋体" w:hAnsi="宋体" w:eastAsia="宋体" w:cs="宋体"/>
          <w:color w:val="auto"/>
          <w:position w:val="6"/>
          <w:sz w:val="24"/>
          <w:szCs w:val="24"/>
          <w:highlight w:val="none"/>
          <w:lang w:val="zh-CN"/>
        </w:rPr>
        <w:t>及其委托人</w:t>
      </w:r>
      <w:r>
        <w:rPr>
          <w:rFonts w:hint="eastAsia" w:ascii="宋体" w:hAnsi="宋体" w:eastAsia="宋体" w:cs="宋体"/>
          <w:color w:val="auto"/>
          <w:position w:val="6"/>
          <w:sz w:val="24"/>
          <w:szCs w:val="24"/>
          <w:highlight w:val="none"/>
        </w:rPr>
        <w:t>自行处理事故现场，但被保险人应保留事故现场的有关照片或实物证据。</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7.2.2.2承保人</w:t>
      </w:r>
      <w:r>
        <w:rPr>
          <w:rFonts w:hint="eastAsia" w:ascii="宋体" w:hAnsi="宋体" w:eastAsia="宋体" w:cs="宋体"/>
          <w:color w:val="auto"/>
          <w:position w:val="6"/>
          <w:sz w:val="24"/>
          <w:szCs w:val="24"/>
          <w:highlight w:val="none"/>
          <w:lang w:val="zh-CN"/>
        </w:rPr>
        <w:t>在收到被保险人将采取施救措施的报告后，应立即安排理赔服务人员至施救现场进行现场响应式理赔服务，并承担保险责任事故施救所产生</w:t>
      </w:r>
      <w:r>
        <w:rPr>
          <w:rFonts w:hint="eastAsia" w:ascii="宋体" w:hAnsi="宋体" w:eastAsia="宋体" w:cs="宋体"/>
          <w:color w:val="auto"/>
          <w:position w:val="6"/>
          <w:sz w:val="24"/>
          <w:szCs w:val="24"/>
          <w:highlight w:val="none"/>
        </w:rPr>
        <w:t>的全部合理费用。</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 受理赔案</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7.2.3.1承保人应在收到被保险人及其代表的报案通知后3个工作日内，向被保险人提交《理赔工作安排日程表》；承保人应在收到被保险人预付赔款申请后5个工作日内，就预付时间、预付金额做出书面回复。</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7.2.3.3 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7.2.3.4 在被保险人按照上述7.2.3.2或7.2.3.3要求补充或澄清异议后</w:t>
      </w:r>
      <w:r>
        <w:rPr>
          <w:rFonts w:hint="eastAsia" w:ascii="宋体" w:hAnsi="宋体" w:eastAsia="宋体" w:cs="宋体"/>
          <w:iCs/>
          <w:color w:val="auto"/>
          <w:position w:val="6"/>
          <w:sz w:val="24"/>
          <w:szCs w:val="24"/>
          <w:highlight w:val="none"/>
        </w:rPr>
        <w:t>10个工作日内</w:t>
      </w:r>
      <w:r>
        <w:rPr>
          <w:rFonts w:hint="eastAsia" w:ascii="宋体" w:hAnsi="宋体" w:eastAsia="宋体" w:cs="宋体"/>
          <w:color w:val="auto"/>
          <w:position w:val="6"/>
          <w:sz w:val="24"/>
          <w:szCs w:val="24"/>
          <w:highlight w:val="none"/>
        </w:rPr>
        <w:t>，承保人、被保险人、投保人三方共同完成理赔定责定损工作。</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7.2.4办理结案</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7.2.4.1对于损失金额在人民币10万元（含）以内的保险事故，承保人在按7.2.3.4款约定完成理赔定责定损后3个工作日内办理结案并支付赔款。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7.2.4.2对于损失金额在10万元（不含）至100万元（含）的保险事故，承保人在按7.2.3.4款约定完成理赔定责定损后5个工作日内办理结案并支付赔款。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7.2.4.3对于损失金额在100万元（不含）以上的保险事故，承保人在按7.2.3.4款约定完成理赔定责定损后7个工作日内办理结案并支付赔款。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7.2.4.4如承保人、被保险人、投保人三方不能按照7.2.3.4款约定完成理赔定责定损且符合7.2.5.5款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7.2.4.5 如为共保体，上述赔款由首席承保人先行全额垫付，各共保人按共保比例分担，具体操作按共保协议执行。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 其他</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7.2.5.1赔款处理原则</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发生保险事故后，承保人应以利于被保险人恢复地铁运营、重置设备及其它保险财产为前提，依照保单及本合同约定进行赔偿理算、支付赔款，并承担保险事故产生的一切合理费用和事故损失（不包括免赔额/免赔率）。</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7.2.5.2赔款支付原则</w:t>
      </w:r>
    </w:p>
    <w:p>
      <w:pPr>
        <w:numPr>
          <w:ilvl w:val="0"/>
          <w:numId w:val="7"/>
        </w:num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numPr>
          <w:ilvl w:val="0"/>
          <w:numId w:val="7"/>
        </w:num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本项目办理结算前，保费按70%支付，但所有保险赔付须按理赔金额的百分之百赔付。</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7.2.5.3预付赔款</w:t>
      </w:r>
    </w:p>
    <w:p>
      <w:pPr>
        <w:snapToGrid w:val="0"/>
        <w:spacing w:line="360" w:lineRule="auto"/>
        <w:ind w:firstLine="480" w:firstLineChars="200"/>
        <w:rPr>
          <w:rFonts w:hint="eastAsia" w:ascii="宋体" w:hAnsi="宋体" w:eastAsia="宋体" w:cs="宋体"/>
          <w:color w:val="auto"/>
          <w:position w:val="6"/>
          <w:sz w:val="24"/>
          <w:szCs w:val="24"/>
          <w:highlight w:val="none"/>
          <w:lang w:val="zh-CN"/>
        </w:rPr>
      </w:pPr>
      <w:r>
        <w:rPr>
          <w:rFonts w:hint="eastAsia" w:ascii="宋体" w:hAnsi="宋体" w:eastAsia="宋体" w:cs="宋体"/>
          <w:color w:val="auto"/>
          <w:position w:val="6"/>
          <w:sz w:val="24"/>
          <w:szCs w:val="24"/>
          <w:highlight w:val="none"/>
          <w:lang w:val="zh-CN"/>
        </w:rPr>
        <w:t>（</w:t>
      </w: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zh-CN"/>
        </w:rPr>
        <w:t>）</w:t>
      </w:r>
      <w:r>
        <w:rPr>
          <w:rFonts w:hint="eastAsia" w:ascii="宋体" w:hAnsi="宋体" w:eastAsia="宋体" w:cs="宋体"/>
          <w:color w:val="auto"/>
          <w:position w:val="6"/>
          <w:sz w:val="24"/>
          <w:szCs w:val="24"/>
          <w:highlight w:val="none"/>
        </w:rPr>
        <w:t>绿色通道服务救治：</w:t>
      </w:r>
      <w:r>
        <w:rPr>
          <w:rFonts w:hint="eastAsia" w:ascii="宋体" w:hAnsi="宋体" w:eastAsia="宋体" w:cs="宋体"/>
          <w:color w:val="auto"/>
          <w:position w:val="6"/>
          <w:sz w:val="24"/>
          <w:szCs w:val="24"/>
          <w:highlight w:val="none"/>
          <w:lang w:val="zh-CN"/>
        </w:rPr>
        <w:t>针对涉及人员伤亡的案件，承保人需开通绿色通道救治服务，开通承保人与救治医院合理的医疗费用直赔服务，无需投保人先行垫付。</w:t>
      </w:r>
    </w:p>
    <w:p>
      <w:pPr>
        <w:snapToGrid w:val="0"/>
        <w:spacing w:line="360" w:lineRule="auto"/>
        <w:ind w:firstLine="480" w:firstLineChars="200"/>
        <w:rPr>
          <w:rFonts w:hint="eastAsia" w:ascii="宋体" w:hAnsi="宋体" w:eastAsia="宋体" w:cs="宋体"/>
          <w:color w:val="auto"/>
          <w:position w:val="6"/>
          <w:sz w:val="24"/>
          <w:szCs w:val="24"/>
          <w:highlight w:val="none"/>
          <w:lang w:val="zh-CN"/>
        </w:rPr>
      </w:pPr>
      <w:r>
        <w:rPr>
          <w:rFonts w:hint="eastAsia" w:ascii="宋体" w:hAnsi="宋体" w:eastAsia="宋体" w:cs="宋体"/>
          <w:color w:val="auto"/>
          <w:position w:val="6"/>
          <w:sz w:val="24"/>
          <w:szCs w:val="24"/>
          <w:highlight w:val="none"/>
          <w:lang w:val="zh-CN"/>
        </w:rPr>
        <w:t>（</w:t>
      </w:r>
      <w:r>
        <w:rPr>
          <w:rFonts w:hint="eastAsia" w:ascii="宋体" w:hAnsi="宋体" w:eastAsia="宋体" w:cs="宋体"/>
          <w:color w:val="auto"/>
          <w:position w:val="6"/>
          <w:sz w:val="24"/>
          <w:szCs w:val="24"/>
          <w:highlight w:val="none"/>
        </w:rPr>
        <w:t>2</w:t>
      </w:r>
      <w:r>
        <w:rPr>
          <w:rFonts w:hint="eastAsia" w:ascii="宋体" w:hAnsi="宋体" w:eastAsia="宋体" w:cs="宋体"/>
          <w:color w:val="auto"/>
          <w:position w:val="6"/>
          <w:sz w:val="24"/>
          <w:szCs w:val="24"/>
          <w:highlight w:val="none"/>
          <w:lang w:val="zh-CN"/>
        </w:rPr>
        <w:t>）当发生保险责任范围内的损失事故（如为涉及人员伤亡案件，按合同条款</w:t>
      </w:r>
      <w:r>
        <w:rPr>
          <w:rFonts w:hint="eastAsia" w:ascii="宋体" w:hAnsi="宋体" w:eastAsia="宋体" w:cs="宋体"/>
          <w:color w:val="auto"/>
          <w:position w:val="6"/>
          <w:sz w:val="24"/>
          <w:szCs w:val="24"/>
          <w:highlight w:val="none"/>
        </w:rPr>
        <w:t>7.2.5.3（1）执行</w:t>
      </w:r>
      <w:r>
        <w:rPr>
          <w:rFonts w:hint="eastAsia" w:ascii="宋体" w:hAnsi="宋体" w:eastAsia="宋体" w:cs="宋体"/>
          <w:color w:val="auto"/>
          <w:position w:val="6"/>
          <w:sz w:val="24"/>
          <w:szCs w:val="24"/>
          <w:highlight w:val="none"/>
          <w:lang w:val="zh-CN"/>
        </w:rPr>
        <w:t>），在保险责任明确但损失金额尚不能准确确定的情况下，</w:t>
      </w:r>
      <w:r>
        <w:rPr>
          <w:rFonts w:hint="eastAsia" w:ascii="宋体" w:hAnsi="宋体" w:eastAsia="宋体" w:cs="宋体"/>
          <w:color w:val="auto"/>
          <w:position w:val="6"/>
          <w:sz w:val="24"/>
          <w:szCs w:val="24"/>
          <w:highlight w:val="none"/>
        </w:rPr>
        <w:t>承保人应按7.2.3.1书面回复确认的预付时间、预付金额（预付金额不得少于</w:t>
      </w:r>
      <w:r>
        <w:rPr>
          <w:rFonts w:hint="eastAsia" w:ascii="宋体" w:hAnsi="宋体" w:eastAsia="宋体" w:cs="宋体"/>
          <w:color w:val="auto"/>
          <w:position w:val="6"/>
          <w:sz w:val="24"/>
          <w:szCs w:val="24"/>
          <w:highlight w:val="none"/>
          <w:lang w:val="zh-CN"/>
        </w:rPr>
        <w:t>预估损失金额的75%</w:t>
      </w:r>
      <w:r>
        <w:rPr>
          <w:rFonts w:hint="eastAsia" w:ascii="宋体" w:hAnsi="宋体" w:eastAsia="宋体" w:cs="宋体"/>
          <w:color w:val="auto"/>
          <w:position w:val="6"/>
          <w:sz w:val="24"/>
          <w:szCs w:val="24"/>
          <w:highlight w:val="none"/>
        </w:rPr>
        <w:t>）向被保险人办理预付赔款。</w:t>
      </w:r>
      <w:r>
        <w:rPr>
          <w:rFonts w:hint="eastAsia" w:ascii="宋体" w:hAnsi="宋体" w:eastAsia="宋体" w:cs="宋体"/>
          <w:color w:val="auto"/>
          <w:position w:val="6"/>
          <w:sz w:val="24"/>
          <w:szCs w:val="24"/>
          <w:highlight w:val="none"/>
          <w:lang w:val="zh-CN"/>
        </w:rPr>
        <w:t>最终赔付金额确定后，再按最终赔付金额多退少补。</w:t>
      </w:r>
    </w:p>
    <w:p>
      <w:pPr>
        <w:snapToGrid w:val="0"/>
        <w:spacing w:line="360" w:lineRule="auto"/>
        <w:ind w:firstLine="480" w:firstLineChars="200"/>
        <w:rPr>
          <w:rFonts w:hint="eastAsia" w:ascii="宋体" w:hAnsi="宋体" w:eastAsia="宋体" w:cs="宋体"/>
          <w:color w:val="auto"/>
          <w:position w:val="6"/>
          <w:sz w:val="24"/>
          <w:szCs w:val="24"/>
          <w:highlight w:val="none"/>
          <w:lang w:val="zh-CN"/>
        </w:rPr>
      </w:pPr>
      <w:r>
        <w:rPr>
          <w:rFonts w:hint="eastAsia" w:ascii="宋体" w:hAnsi="宋体" w:eastAsia="宋体" w:cs="宋体"/>
          <w:color w:val="auto"/>
          <w:position w:val="6"/>
          <w:sz w:val="24"/>
          <w:szCs w:val="24"/>
          <w:highlight w:val="none"/>
        </w:rPr>
        <w:t>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7.2.5.4拒赔时间要求</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7.2.5.5 公估人</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发生预估损失金额超过人民币50万元的保险事故，且承保人和投保人对事故的保险责任和损失金额的认定及拒赔理由存在争议的，由承保人和投保人共同认可的公估公司（中国境内注册）作为公估人协助认定责任和金额，确定公估人的工作应在5个工作日内完成，聘请公估人的费用由承保人支付。</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如投保人和承保人无法就选定的公估人达成一致意见，则通过如下方式确定：由承保人自行选定三家备选公估公司，承保人在备选公估公司中随机抽选一家作为本项目的公估公司。</w:t>
      </w:r>
    </w:p>
    <w:p>
      <w:pPr>
        <w:autoSpaceDE w:val="0"/>
        <w:autoSpaceDN w:val="0"/>
        <w:snapToGrid w:val="0"/>
        <w:spacing w:line="360" w:lineRule="auto"/>
        <w:ind w:firstLine="482" w:firstLineChars="200"/>
        <w:rPr>
          <w:rFonts w:hint="eastAsia" w:ascii="宋体" w:hAnsi="宋体" w:eastAsia="宋体" w:cs="宋体"/>
          <w:b/>
          <w:bCs/>
          <w:color w:val="auto"/>
          <w:position w:val="6"/>
          <w:sz w:val="24"/>
          <w:szCs w:val="24"/>
          <w:highlight w:val="none"/>
        </w:rPr>
      </w:pPr>
      <w:r>
        <w:rPr>
          <w:rFonts w:hint="eastAsia" w:ascii="宋体" w:hAnsi="宋体" w:eastAsia="宋体" w:cs="宋体"/>
          <w:b/>
          <w:bCs/>
          <w:color w:val="auto"/>
          <w:position w:val="6"/>
          <w:sz w:val="24"/>
          <w:szCs w:val="24"/>
          <w:highlight w:val="none"/>
        </w:rPr>
        <w:t>7.3风险管理及防灾防损服务</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7.3.1本协议有效期内，承保人应组织对本项目每年至少进行两次风险查勘并提交风险查勘报告，提出有针对性的防灾防损建议，并协助投保人建立风险管理档案，相关费用由承保人承担。</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7.3.2承保人应协同国家气象、水文、地震等部门建立气象及地震灾害预警系统，定期或在被保险人需要时随时提供气象等自然灾害的年度趋势分析报告、汛期预报，火灾预警信息，并与投保人一起做好这些灾害的风险控制工作。在可能出现灾害的季节、时点，提前组织专家进行风险评估，提出风险管理建议。</w:t>
      </w:r>
    </w:p>
    <w:p>
      <w:pPr>
        <w:adjustRightInd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7.3.3承保人应根据季节及地段情况，深入现场查勘，提出合理、有效的防灾防损建议，并将不定期对现场风险管理情况通报，敦促投保人/被保险人完善安全管理。在事故易发的地点和时段，承保人应根据每个工作点可能会出现的自然灾害和意外事故发生的不同类型，以及类似项目出现的案例信息，及时与投保人/被保险人进行交流与沟通。</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7.3.4承保人应为被保险人建立承保、理赔、防灾防损档案；承保人专项服务小组应于每季度结束后5个工作日内向被保险人提供理赔统计报表，报表将包括损失发生的时间、地点、损失原因、估损金额、定损金额、赔款等与赔案处理有关的信息。</w:t>
      </w:r>
    </w:p>
    <w:p>
      <w:pPr>
        <w:autoSpaceDE w:val="0"/>
        <w:autoSpaceDN w:val="0"/>
        <w:snapToGrid w:val="0"/>
        <w:spacing w:line="360" w:lineRule="auto"/>
        <w:ind w:firstLine="482" w:firstLineChars="200"/>
        <w:rPr>
          <w:rFonts w:hint="eastAsia" w:ascii="宋体" w:hAnsi="宋体" w:eastAsia="宋体" w:cs="宋体"/>
          <w:b/>
          <w:bCs/>
          <w:color w:val="auto"/>
          <w:position w:val="6"/>
          <w:sz w:val="24"/>
          <w:szCs w:val="24"/>
          <w:highlight w:val="none"/>
        </w:rPr>
      </w:pPr>
      <w:r>
        <w:rPr>
          <w:rFonts w:hint="eastAsia" w:ascii="宋体" w:hAnsi="宋体" w:eastAsia="宋体" w:cs="宋体"/>
          <w:b/>
          <w:bCs/>
          <w:color w:val="auto"/>
          <w:position w:val="6"/>
          <w:sz w:val="24"/>
          <w:szCs w:val="24"/>
          <w:highlight w:val="none"/>
        </w:rPr>
        <w:t>7.4其他服务</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7.4.1保险培训</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lang w:eastAsia="zh-CN"/>
        </w:rPr>
      </w:pPr>
      <w:r>
        <w:rPr>
          <w:rFonts w:hint="eastAsia" w:ascii="宋体" w:hAnsi="宋体" w:eastAsia="宋体" w:cs="宋体"/>
          <w:color w:val="auto"/>
          <w:position w:val="6"/>
          <w:sz w:val="24"/>
          <w:szCs w:val="24"/>
          <w:highlight w:val="none"/>
        </w:rPr>
        <w:t>本协议有效期内，承保人每年应组织保险培训服务或交流会议、保险宣传活动，以提高投保人、被保险人等的风险管理和防灾防损技能，有关费用由承保人承担。具体内容、次数、实施方案、举办时间和地点由投保人、承保人双方共同协商确定。</w:t>
      </w:r>
    </w:p>
    <w:p>
      <w:pPr>
        <w:autoSpaceDE w:val="0"/>
        <w:autoSpaceDN w:val="0"/>
        <w:snapToGrid w:val="0"/>
        <w:spacing w:line="360" w:lineRule="auto"/>
        <w:ind w:firstLine="480" w:firstLineChars="200"/>
        <w:rPr>
          <w:rFonts w:hint="eastAsia" w:ascii="宋体" w:hAnsi="宋体" w:eastAsia="宋体" w:cs="宋体"/>
          <w:bCs/>
          <w:color w:val="auto"/>
          <w:position w:val="6"/>
          <w:sz w:val="24"/>
          <w:szCs w:val="24"/>
          <w:highlight w:val="none"/>
        </w:rPr>
      </w:pPr>
      <w:r>
        <w:rPr>
          <w:rFonts w:hint="eastAsia" w:ascii="宋体" w:hAnsi="宋体" w:eastAsia="宋体" w:cs="宋体"/>
          <w:bCs/>
          <w:color w:val="auto"/>
          <w:position w:val="6"/>
          <w:sz w:val="24"/>
          <w:szCs w:val="24"/>
          <w:highlight w:val="none"/>
        </w:rPr>
        <w:t>7.4.2保险咨询</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本协议有效期内，如投保人有需要，承保人应为投保人的其他项目提供保险咨询服务，并不收取任何费用。</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7.4.3承保人有义务向被保险人提供有关保险及民事损害赔偿的法律服务，包括法律咨询、代为聘请律师、代理诉讼行为、协助拟定有关保险法律的文件、文书、合同等。</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7.4.4发生事故时，专项服务小组应编制《理赔工作安排日程表》提交被保险人，与被保险人共同及时修订不合理的理算服务时间、理算服务流程。</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7.4.5由承保人牵头，每季度与投保人/被保险人召开联席会议，对前一阶段工作进行总结并明确下阶段服务计划。</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7.4.6如承保人未按本合同约定履行理赔义务或及时完成理赔事项，导致投保人/被保险人向承保人进行追偿（或委托他人代为追偿），由此产生的追偿费（包括但不限于诉讼费、财产保全费、律师费、交通费、通信费等与追偿有关的一切费用）和追偿款均由承保人承担。</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7.4.7第7条未约定的其他服务及特色服务按承保人的投标文件执行。</w:t>
      </w:r>
    </w:p>
    <w:p>
      <w:pPr>
        <w:snapToGrid w:val="0"/>
        <w:spacing w:line="360" w:lineRule="auto"/>
        <w:ind w:firstLine="482" w:firstLineChars="200"/>
        <w:outlineLvl w:val="1"/>
        <w:rPr>
          <w:rFonts w:hint="eastAsia" w:ascii="宋体" w:hAnsi="宋体" w:eastAsia="宋体" w:cs="宋体"/>
          <w:b/>
          <w:color w:val="auto"/>
          <w:position w:val="6"/>
          <w:sz w:val="24"/>
          <w:szCs w:val="24"/>
          <w:highlight w:val="none"/>
        </w:rPr>
      </w:pPr>
      <w:bookmarkStart w:id="107" w:name="_Toc23039"/>
      <w:bookmarkStart w:id="108" w:name="_Toc3034"/>
      <w:bookmarkStart w:id="109" w:name="_Toc28277"/>
      <w:bookmarkStart w:id="110" w:name="_Toc21098"/>
      <w:bookmarkStart w:id="111" w:name="_Toc14476"/>
      <w:r>
        <w:rPr>
          <w:rFonts w:hint="eastAsia" w:ascii="宋体" w:hAnsi="宋体" w:eastAsia="宋体" w:cs="宋体"/>
          <w:b/>
          <w:color w:val="auto"/>
          <w:position w:val="6"/>
          <w:sz w:val="24"/>
          <w:szCs w:val="24"/>
          <w:highlight w:val="none"/>
        </w:rPr>
        <w:t>8、履约担保</w:t>
      </w:r>
      <w:bookmarkEnd w:id="107"/>
      <w:bookmarkEnd w:id="108"/>
      <w:bookmarkEnd w:id="109"/>
      <w:bookmarkEnd w:id="110"/>
      <w:bookmarkEnd w:id="111"/>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8.1</w:t>
      </w:r>
      <w:r>
        <w:rPr>
          <w:rFonts w:hint="eastAsia" w:ascii="宋体" w:hAnsi="宋体" w:eastAsia="宋体" w:cs="宋体"/>
          <w:color w:val="auto"/>
          <w:position w:val="6"/>
          <w:sz w:val="24"/>
          <w:highlight w:val="none"/>
        </w:rPr>
        <w:t>履约担保用于补偿投保人因承保人不能完成其合同义务而蒙受的损失，是办理投标担保（如有）退还手续及合同价款支付手续的必要条件之一</w:t>
      </w:r>
      <w:r>
        <w:rPr>
          <w:rFonts w:hint="eastAsia" w:ascii="宋体" w:hAnsi="宋体" w:eastAsia="宋体" w:cs="宋体"/>
          <w:color w:val="auto"/>
          <w:position w:val="6"/>
          <w:sz w:val="24"/>
          <w:szCs w:val="24"/>
          <w:highlight w:val="none"/>
        </w:rPr>
        <w:t>。</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8.2承保人提供履约担保的形式、金额及期限采用以下两种方式之一：</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采用银行履约保函形式，银行履约保函的担保额度为暂定保险费的10%。担保期限为自本合同生效之日起至合同约定的保险期限满之日止。银行履约保函应为在中国境内注册和营业的银行出具的、以投保人为受益人首次申请即作为无条件付款的保函，银行履约保函格式具体详见合同附录。</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2）采用现金形式，现金担保额度为暂定保险费的10%，担保期限为自本合同生效之日起至合同约定的保险期限满之日止。履约担保以现金形式提交的，承保人应从其基本账户通过转帐或电汇至投保人指定的账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8.3承保人应确保提供的银行履约保函持续有效，在银行履约保函到期前1个月内办理好续保手续，并向发包人提供新的有效的银行履约保函。</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lang w:val="en-US" w:eastAsia="zh-CN"/>
        </w:rPr>
        <w:t>8.</w:t>
      </w:r>
      <w:r>
        <w:rPr>
          <w:rFonts w:hint="eastAsia" w:ascii="宋体" w:hAnsi="宋体" w:eastAsia="宋体" w:cs="宋体"/>
          <w:color w:val="auto"/>
          <w:position w:val="6"/>
          <w:sz w:val="24"/>
          <w:szCs w:val="24"/>
          <w:highlight w:val="none"/>
        </w:rPr>
        <w:t>4合同履约未完成而履约担保到期的，承保人应在履约担保到期后的首次办理合同价款支付手续时提供有效的续保文件。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6"/>
          <w:sz w:val="24"/>
          <w:szCs w:val="24"/>
          <w:highlight w:val="none"/>
        </w:rPr>
        <w:t>8.</w:t>
      </w:r>
      <w:r>
        <w:rPr>
          <w:rFonts w:hint="eastAsia" w:ascii="宋体" w:hAnsi="宋体" w:eastAsia="宋体" w:cs="宋体"/>
          <w:color w:val="auto"/>
          <w:position w:val="6"/>
          <w:sz w:val="24"/>
          <w:szCs w:val="24"/>
          <w:highlight w:val="none"/>
          <w:lang w:val="en-US" w:eastAsia="zh-CN"/>
        </w:rPr>
        <w:t>5</w:t>
      </w:r>
      <w:r>
        <w:rPr>
          <w:rFonts w:hint="eastAsia" w:ascii="宋体" w:hAnsi="宋体" w:eastAsia="宋体" w:cs="宋体"/>
          <w:color w:val="auto"/>
          <w:position w:val="6"/>
          <w:sz w:val="24"/>
          <w:szCs w:val="24"/>
          <w:highlight w:val="none"/>
        </w:rPr>
        <w:t>在承保人完成其合同义务包括任何保证义务后，投保人将把履约担保无息退还承保人</w:t>
      </w:r>
      <w:r>
        <w:rPr>
          <w:rFonts w:hint="eastAsia" w:ascii="宋体" w:hAnsi="宋体" w:eastAsia="宋体" w:cs="宋体"/>
          <w:color w:val="auto"/>
          <w:sz w:val="24"/>
          <w:szCs w:val="24"/>
          <w:highlight w:val="none"/>
        </w:rPr>
        <w:t>。</w:t>
      </w:r>
    </w:p>
    <w:p>
      <w:pPr>
        <w:snapToGrid w:val="0"/>
        <w:spacing w:line="360" w:lineRule="auto"/>
        <w:ind w:firstLine="482" w:firstLineChars="200"/>
        <w:outlineLvl w:val="1"/>
        <w:rPr>
          <w:rFonts w:hint="eastAsia" w:ascii="宋体" w:hAnsi="宋体" w:eastAsia="宋体" w:cs="宋体"/>
          <w:b/>
          <w:color w:val="auto"/>
          <w:position w:val="6"/>
          <w:sz w:val="24"/>
          <w:szCs w:val="24"/>
          <w:highlight w:val="none"/>
        </w:rPr>
      </w:pPr>
      <w:bookmarkStart w:id="112" w:name="_Toc23638"/>
      <w:bookmarkStart w:id="113" w:name="_Toc12115"/>
      <w:bookmarkStart w:id="114" w:name="_Toc13924"/>
      <w:bookmarkStart w:id="115" w:name="_Toc6962"/>
      <w:bookmarkStart w:id="116" w:name="_Toc28910"/>
      <w:r>
        <w:rPr>
          <w:rFonts w:hint="eastAsia" w:ascii="宋体" w:hAnsi="宋体" w:eastAsia="宋体" w:cs="宋体"/>
          <w:b/>
          <w:color w:val="auto"/>
          <w:position w:val="6"/>
          <w:sz w:val="24"/>
          <w:szCs w:val="24"/>
          <w:highlight w:val="none"/>
        </w:rPr>
        <w:t>9、违约责任</w:t>
      </w:r>
      <w:bookmarkEnd w:id="112"/>
      <w:bookmarkEnd w:id="113"/>
      <w:bookmarkEnd w:id="114"/>
      <w:bookmarkEnd w:id="115"/>
      <w:bookmarkEnd w:id="116"/>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9.1为了维护本协议以及保险单的严肃性，投保人、承保人和被保险人各方应按保险单以及本协议内规定条款履行各自的义务，并承担相对应的责任。</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9.2承保人未按7.2.1、7.2.2款约定履行义务的，每发生一次，投保人有权要求承保人交纳2000元/次的违约金。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9.3承保人未按7.2.3、7.3、7.4款约定履行义务的，每发生一次，投保人有权要求承保人交纳10000元/次的违约金。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9.4承保人未按7.2.4、7.2.5.1、7.2.5.2、7.2.5.3款约定履行义务的，每发生一次，投保人有权要求承保人交纳100000元/次的违约金。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9.6违约金总额超过合同暂定保险费的20%，投保人有权解除合同。</w:t>
      </w:r>
    </w:p>
    <w:p>
      <w:pPr>
        <w:pStyle w:val="46"/>
        <w:snapToGrid w:val="0"/>
        <w:spacing w:after="0"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w:t>
      </w:r>
      <w:r>
        <w:rPr>
          <w:rFonts w:hint="eastAsia" w:ascii="宋体" w:hAnsi="宋体" w:eastAsia="宋体" w:cs="宋体"/>
          <w:color w:val="auto"/>
          <w:position w:val="6"/>
          <w:sz w:val="24"/>
          <w:szCs w:val="24"/>
          <w:highlight w:val="none"/>
          <w:lang w:val="en-US" w:eastAsia="zh-CN"/>
        </w:rPr>
        <w:t>7</w:t>
      </w:r>
      <w:r>
        <w:rPr>
          <w:rFonts w:hint="eastAsia" w:ascii="宋体" w:hAnsi="宋体" w:eastAsia="宋体" w:cs="宋体"/>
          <w:color w:val="auto"/>
          <w:position w:val="6"/>
          <w:sz w:val="24"/>
          <w:szCs w:val="24"/>
          <w:highlight w:val="none"/>
        </w:rPr>
        <w:t>因</w:t>
      </w:r>
      <w:r>
        <w:rPr>
          <w:rFonts w:hint="eastAsia" w:ascii="宋体" w:hAnsi="宋体" w:eastAsia="宋体" w:cs="宋体"/>
          <w:color w:val="auto"/>
          <w:position w:val="6"/>
          <w:sz w:val="24"/>
          <w:szCs w:val="24"/>
          <w:highlight w:val="none"/>
          <w:lang w:eastAsia="zh-CN"/>
        </w:rPr>
        <w:t>承保人</w:t>
      </w:r>
      <w:r>
        <w:rPr>
          <w:rFonts w:hint="eastAsia" w:ascii="宋体" w:hAnsi="宋体" w:eastAsia="宋体" w:cs="宋体"/>
          <w:color w:val="auto"/>
          <w:position w:val="6"/>
          <w:sz w:val="24"/>
          <w:szCs w:val="24"/>
          <w:highlight w:val="none"/>
        </w:rPr>
        <w:t>提供的发票导致</w:t>
      </w:r>
      <w:r>
        <w:rPr>
          <w:rFonts w:hint="eastAsia" w:ascii="宋体" w:hAnsi="宋体" w:eastAsia="宋体" w:cs="宋体"/>
          <w:color w:val="auto"/>
          <w:position w:val="6"/>
          <w:sz w:val="24"/>
          <w:szCs w:val="24"/>
          <w:highlight w:val="none"/>
          <w:lang w:eastAsia="zh-CN"/>
        </w:rPr>
        <w:t>投保人</w:t>
      </w:r>
      <w:r>
        <w:rPr>
          <w:rFonts w:hint="eastAsia" w:ascii="宋体" w:hAnsi="宋体" w:eastAsia="宋体" w:cs="宋体"/>
          <w:color w:val="auto"/>
          <w:position w:val="6"/>
          <w:sz w:val="24"/>
          <w:szCs w:val="24"/>
          <w:highlight w:val="none"/>
        </w:rPr>
        <w:t>被税务部门追究相关法律责任的，</w:t>
      </w:r>
      <w:r>
        <w:rPr>
          <w:rFonts w:hint="eastAsia" w:ascii="宋体" w:hAnsi="宋体" w:eastAsia="宋体" w:cs="宋体"/>
          <w:color w:val="auto"/>
          <w:position w:val="6"/>
          <w:sz w:val="24"/>
          <w:szCs w:val="24"/>
          <w:highlight w:val="none"/>
          <w:lang w:eastAsia="zh-CN"/>
        </w:rPr>
        <w:t>承保人</w:t>
      </w:r>
      <w:r>
        <w:rPr>
          <w:rFonts w:hint="eastAsia" w:ascii="宋体" w:hAnsi="宋体" w:eastAsia="宋体" w:cs="宋体"/>
          <w:color w:val="auto"/>
          <w:position w:val="6"/>
          <w:sz w:val="24"/>
          <w:szCs w:val="24"/>
          <w:highlight w:val="none"/>
        </w:rPr>
        <w:t>应承担由此给</w:t>
      </w:r>
      <w:r>
        <w:rPr>
          <w:rFonts w:hint="eastAsia" w:ascii="宋体" w:hAnsi="宋体" w:eastAsia="宋体" w:cs="宋体"/>
          <w:color w:val="auto"/>
          <w:position w:val="6"/>
          <w:sz w:val="24"/>
          <w:szCs w:val="24"/>
          <w:highlight w:val="none"/>
          <w:lang w:eastAsia="zh-CN"/>
        </w:rPr>
        <w:t>投保人</w:t>
      </w:r>
      <w:r>
        <w:rPr>
          <w:rFonts w:hint="eastAsia" w:ascii="宋体" w:hAnsi="宋体" w:eastAsia="宋体" w:cs="宋体"/>
          <w:color w:val="auto"/>
          <w:position w:val="6"/>
          <w:sz w:val="24"/>
          <w:szCs w:val="24"/>
          <w:highlight w:val="none"/>
        </w:rPr>
        <w:t>造成的损失（包括但不限于未抵扣的税费、滞纳金）。</w:t>
      </w:r>
    </w:p>
    <w:p>
      <w:pPr>
        <w:pStyle w:val="46"/>
        <w:snapToGrid w:val="0"/>
        <w:spacing w:after="0"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w:t>
      </w:r>
      <w:r>
        <w:rPr>
          <w:rFonts w:hint="eastAsia" w:ascii="宋体" w:hAnsi="宋体" w:eastAsia="宋体" w:cs="宋体"/>
          <w:color w:val="auto"/>
          <w:position w:val="6"/>
          <w:sz w:val="24"/>
          <w:szCs w:val="24"/>
          <w:highlight w:val="none"/>
          <w:lang w:val="en-US" w:eastAsia="zh-CN"/>
        </w:rPr>
        <w:t>8</w:t>
      </w:r>
      <w:r>
        <w:rPr>
          <w:rFonts w:hint="eastAsia" w:ascii="宋体" w:hAnsi="宋体" w:eastAsia="宋体" w:cs="宋体"/>
          <w:color w:val="auto"/>
          <w:position w:val="6"/>
          <w:sz w:val="24"/>
          <w:szCs w:val="24"/>
          <w:highlight w:val="none"/>
        </w:rPr>
        <w:t>承保人应以现金或转账方式交纳违约金，投保人根据税法相关规定开具收款收据或增值税发票。</w:t>
      </w:r>
      <w:bookmarkStart w:id="117" w:name="_Toc461094753"/>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w:t>
      </w:r>
      <w:r>
        <w:rPr>
          <w:rFonts w:hint="eastAsia" w:ascii="宋体" w:hAnsi="宋体" w:eastAsia="宋体" w:cs="宋体"/>
          <w:color w:val="auto"/>
          <w:position w:val="6"/>
          <w:sz w:val="24"/>
          <w:szCs w:val="24"/>
          <w:highlight w:val="none"/>
          <w:lang w:val="en-US" w:eastAsia="zh-CN"/>
        </w:rPr>
        <w:t>9</w:t>
      </w:r>
      <w:r>
        <w:rPr>
          <w:rFonts w:hint="eastAsia" w:ascii="宋体" w:hAnsi="宋体" w:eastAsia="宋体" w:cs="宋体"/>
          <w:color w:val="auto"/>
          <w:position w:val="6"/>
          <w:sz w:val="24"/>
          <w:szCs w:val="24"/>
          <w:highlight w:val="none"/>
        </w:rPr>
        <w:t>承保人在接到投保人发出的违约通知后，应按通知要求交纳违约金；否则，投保人有权暂停合同价款支付或从承保人的合同价款中扣除相应的违约金。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因承保人原因提前终止合同的，承保人应承担由此给投保人造成的损失，投保人有权没收承保人所交履约担保</w:t>
      </w:r>
      <w:r>
        <w:rPr>
          <w:rFonts w:hint="eastAsia" w:ascii="宋体" w:hAnsi="宋体" w:eastAsia="宋体" w:cs="宋体"/>
          <w:color w:val="auto"/>
          <w:position w:val="6"/>
          <w:sz w:val="24"/>
          <w:highlight w:val="none"/>
        </w:rPr>
        <w:t>，同时投保人有权要求承保人按</w:t>
      </w:r>
      <w:r>
        <w:rPr>
          <w:rFonts w:hint="eastAsia" w:ascii="宋体" w:hAnsi="宋体" w:eastAsia="宋体" w:cs="宋体"/>
          <w:color w:val="auto"/>
          <w:position w:val="6"/>
          <w:sz w:val="24"/>
          <w:szCs w:val="24"/>
          <w:highlight w:val="none"/>
        </w:rPr>
        <w:t>暂定保险费</w:t>
      </w:r>
      <w:r>
        <w:rPr>
          <w:rFonts w:hint="eastAsia" w:ascii="宋体" w:hAnsi="宋体" w:eastAsia="宋体" w:cs="宋体"/>
          <w:color w:val="auto"/>
          <w:position w:val="6"/>
          <w:sz w:val="24"/>
          <w:highlight w:val="none"/>
        </w:rPr>
        <w:t>的20%交纳违约金。</w:t>
      </w:r>
    </w:p>
    <w:p>
      <w:pPr>
        <w:snapToGrid w:val="0"/>
        <w:spacing w:line="360" w:lineRule="auto"/>
        <w:ind w:firstLine="482" w:firstLineChars="200"/>
        <w:outlineLvl w:val="1"/>
        <w:rPr>
          <w:rFonts w:hint="eastAsia" w:ascii="宋体" w:hAnsi="宋体" w:eastAsia="宋体" w:cs="宋体"/>
          <w:b/>
          <w:color w:val="auto"/>
          <w:position w:val="6"/>
          <w:sz w:val="24"/>
          <w:szCs w:val="24"/>
          <w:highlight w:val="none"/>
        </w:rPr>
      </w:pPr>
      <w:bookmarkStart w:id="118" w:name="_Toc20223"/>
      <w:bookmarkStart w:id="119" w:name="_Toc30923"/>
      <w:bookmarkStart w:id="120" w:name="_Toc25833"/>
      <w:bookmarkStart w:id="121" w:name="_Toc23258"/>
      <w:bookmarkStart w:id="122" w:name="_Toc9442"/>
      <w:r>
        <w:rPr>
          <w:rFonts w:hint="eastAsia" w:ascii="宋体" w:hAnsi="宋体" w:eastAsia="宋体" w:cs="宋体"/>
          <w:b/>
          <w:color w:val="auto"/>
          <w:position w:val="6"/>
          <w:sz w:val="24"/>
          <w:szCs w:val="24"/>
          <w:highlight w:val="none"/>
        </w:rPr>
        <w:t>1</w:t>
      </w:r>
      <w:r>
        <w:rPr>
          <w:rFonts w:hint="eastAsia" w:ascii="宋体" w:hAnsi="宋体" w:eastAsia="宋体" w:cs="宋体"/>
          <w:b/>
          <w:color w:val="auto"/>
          <w:position w:val="6"/>
          <w:sz w:val="24"/>
          <w:szCs w:val="24"/>
          <w:highlight w:val="none"/>
          <w:lang w:val="en-US" w:eastAsia="zh-CN"/>
        </w:rPr>
        <w:t>0</w:t>
      </w:r>
      <w:r>
        <w:rPr>
          <w:rFonts w:hint="eastAsia" w:ascii="宋体" w:hAnsi="宋体" w:eastAsia="宋体" w:cs="宋体"/>
          <w:b/>
          <w:color w:val="auto"/>
          <w:position w:val="6"/>
          <w:sz w:val="24"/>
          <w:szCs w:val="24"/>
          <w:highlight w:val="none"/>
        </w:rPr>
        <w:t>、其他</w:t>
      </w:r>
      <w:bookmarkEnd w:id="118"/>
      <w:bookmarkEnd w:id="119"/>
      <w:bookmarkEnd w:id="120"/>
      <w:bookmarkEnd w:id="121"/>
      <w:bookmarkEnd w:id="122"/>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.1保密约定</w:t>
      </w:r>
      <w:bookmarkEnd w:id="117"/>
    </w:p>
    <w:p>
      <w:pPr>
        <w:pStyle w:val="42"/>
        <w:snapToGrid w:val="0"/>
        <w:spacing w:before="0" w:beforeAutospacing="0" w:after="0" w:afterAutospacing="0" w:line="360" w:lineRule="auto"/>
        <w:ind w:firstLineChars="200"/>
        <w:rPr>
          <w:rFonts w:hint="eastAsia" w:ascii="宋体" w:hAnsi="宋体" w:eastAsia="宋体" w:cs="宋体"/>
          <w:color w:val="auto"/>
          <w:highlight w:val="none"/>
        </w:rPr>
      </w:pPr>
      <w:bookmarkStart w:id="123" w:name="_Toc461094754"/>
      <w:r>
        <w:rPr>
          <w:rFonts w:hint="eastAsia" w:ascii="宋体" w:hAnsi="宋体" w:eastAsia="宋体" w:cs="宋体"/>
          <w:color w:val="auto"/>
          <w:highlight w:val="none"/>
        </w:rPr>
        <w:t>除法律法规规定或合同另有约定外，未经投保人同意，承保人不得将投保人提供的信息及资料（包括但不限于各方的往来书面文字文件、电子邮件及信息、软盘资料等）泄露给第三方。</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.2争议</w:t>
      </w:r>
      <w:bookmarkEnd w:id="123"/>
      <w:r>
        <w:rPr>
          <w:rFonts w:hint="eastAsia" w:ascii="宋体" w:hAnsi="宋体" w:eastAsia="宋体" w:cs="宋体"/>
          <w:color w:val="auto"/>
          <w:position w:val="6"/>
          <w:sz w:val="24"/>
          <w:szCs w:val="24"/>
          <w:highlight w:val="none"/>
        </w:rPr>
        <w:t>解决</w:t>
      </w:r>
    </w:p>
    <w:p>
      <w:pPr>
        <w:adjustRightInd w:val="0"/>
        <w:snapToGrid w:val="0"/>
        <w:spacing w:line="360" w:lineRule="auto"/>
        <w:ind w:firstLine="480" w:firstLineChars="200"/>
        <w:jc w:val="left"/>
        <w:rPr>
          <w:rFonts w:hint="eastAsia" w:ascii="宋体" w:hAnsi="宋体" w:eastAsia="宋体" w:cs="宋体"/>
          <w:color w:val="auto"/>
          <w:kern w:val="0"/>
          <w:sz w:val="24"/>
          <w:highlight w:val="none"/>
        </w:rPr>
      </w:pPr>
      <w:bookmarkStart w:id="124" w:name="_Hlk25203019"/>
      <w:bookmarkStart w:id="125" w:name="_Toc461094755"/>
      <w:r>
        <w:rPr>
          <w:rFonts w:hint="eastAsia" w:ascii="宋体" w:hAnsi="宋体" w:eastAsia="宋体" w:cs="宋体"/>
          <w:color w:val="auto"/>
          <w:kern w:val="0"/>
          <w:sz w:val="24"/>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color w:val="auto"/>
          <w:kern w:val="0"/>
          <w:sz w:val="24"/>
          <w:highlight w:val="none"/>
          <w:u w:val="single"/>
        </w:rPr>
        <w:t>第（2）种</w:t>
      </w:r>
      <w:r>
        <w:rPr>
          <w:rFonts w:hint="eastAsia" w:ascii="宋体" w:hAnsi="宋体" w:eastAsia="宋体" w:cs="宋体"/>
          <w:color w:val="auto"/>
          <w:kern w:val="0"/>
          <w:sz w:val="24"/>
          <w:highlight w:val="none"/>
        </w:rPr>
        <w:t>方式解决：</w:t>
      </w:r>
    </w:p>
    <w:p>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（1）向</w:t>
      </w:r>
      <w:r>
        <w:rPr>
          <w:rFonts w:hint="eastAsia" w:ascii="宋体" w:hAnsi="宋体" w:eastAsia="宋体" w:cs="宋体"/>
          <w:color w:val="auto"/>
          <w:kern w:val="0"/>
          <w:sz w:val="24"/>
          <w:highlight w:val="none"/>
          <w:u w:val="single"/>
        </w:rPr>
        <w:t>长沙</w:t>
      </w:r>
      <w:r>
        <w:rPr>
          <w:rFonts w:hint="eastAsia" w:ascii="宋体" w:hAnsi="宋体" w:eastAsia="宋体" w:cs="宋体"/>
          <w:color w:val="auto"/>
          <w:kern w:val="0"/>
          <w:sz w:val="24"/>
          <w:highlight w:val="none"/>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（2）向</w:t>
      </w:r>
      <w:r>
        <w:rPr>
          <w:rFonts w:hint="eastAsia" w:ascii="宋体" w:hAnsi="宋体" w:eastAsia="宋体" w:cs="宋体"/>
          <w:color w:val="auto"/>
          <w:kern w:val="0"/>
          <w:sz w:val="24"/>
          <w:highlight w:val="none"/>
          <w:u w:val="single"/>
        </w:rPr>
        <w:t>投保人所在地</w:t>
      </w:r>
      <w:r>
        <w:rPr>
          <w:rFonts w:hint="eastAsia" w:ascii="宋体" w:hAnsi="宋体" w:eastAsia="宋体" w:cs="宋体"/>
          <w:color w:val="auto"/>
          <w:kern w:val="0"/>
          <w:sz w:val="24"/>
          <w:highlight w:val="none"/>
        </w:rPr>
        <w:t>人民法院提起诉讼。</w:t>
      </w:r>
      <w:bookmarkEnd w:id="124"/>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.3合同生效及终止</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本合同自</w:t>
      </w:r>
      <w:r>
        <w:rPr>
          <w:rFonts w:hint="eastAsia" w:ascii="宋体" w:hAnsi="宋体" w:eastAsia="宋体" w:cs="宋体"/>
          <w:color w:val="auto"/>
          <w:position w:val="6"/>
          <w:sz w:val="24"/>
          <w:szCs w:val="24"/>
          <w:highlight w:val="none"/>
          <w:u w:val="single"/>
        </w:rPr>
        <w:t>双方法定代表人或授权代表签字并加盖合同专用章后</w:t>
      </w:r>
      <w:r>
        <w:rPr>
          <w:rFonts w:hint="eastAsia" w:ascii="宋体" w:hAnsi="宋体" w:eastAsia="宋体" w:cs="宋体"/>
          <w:color w:val="auto"/>
          <w:position w:val="6"/>
          <w:sz w:val="24"/>
          <w:szCs w:val="24"/>
          <w:highlight w:val="none"/>
        </w:rPr>
        <w:t>生效；在保险单有效期内持续有效，如果保险期限结束后仍存在遗留问题，本合同将继续有效，直至保单涉及的各项遗留事宜最终处理完毕后，本合同即行终止。</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.4修改和补充</w:t>
      </w:r>
      <w:bookmarkEnd w:id="125"/>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在本协议执行期内，如需对本协议进行修改和补充，应由投保人（代表被保险人）、承保人双方协商一致后，签订补充协议。</w:t>
      </w:r>
    </w:p>
    <w:p>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r>
        <w:rPr>
          <w:rFonts w:hint="eastAsia" w:ascii="宋体" w:hAnsi="宋体" w:eastAsia="宋体" w:cs="宋体"/>
          <w:bCs/>
          <w:color w:val="auto"/>
          <w:kern w:val="0"/>
          <w:sz w:val="24"/>
          <w:highlight w:val="none"/>
          <w:lang w:val="en-US" w:eastAsia="zh-CN"/>
        </w:rPr>
        <w:t>0</w:t>
      </w:r>
      <w:r>
        <w:rPr>
          <w:rFonts w:hint="eastAsia" w:ascii="宋体" w:hAnsi="宋体" w:eastAsia="宋体" w:cs="宋体"/>
          <w:bCs/>
          <w:color w:val="auto"/>
          <w:kern w:val="0"/>
          <w:sz w:val="24"/>
          <w:highlight w:val="none"/>
        </w:rPr>
        <w:t>.5签订时间</w:t>
      </w:r>
    </w:p>
    <w:p>
      <w:pPr>
        <w:spacing w:line="360" w:lineRule="auto"/>
        <w:ind w:firstLine="46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日签订。</w:t>
      </w:r>
      <w:bookmarkStart w:id="126" w:name="_Toc457826148"/>
      <w:bookmarkStart w:id="127" w:name="_Toc406150419"/>
      <w:bookmarkStart w:id="128" w:name="_Toc351203490"/>
    </w:p>
    <w:p>
      <w:pPr>
        <w:spacing w:line="360" w:lineRule="auto"/>
        <w:ind w:firstLine="465"/>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r>
        <w:rPr>
          <w:rFonts w:hint="eastAsia" w:ascii="宋体" w:hAnsi="宋体" w:eastAsia="宋体" w:cs="宋体"/>
          <w:bCs/>
          <w:color w:val="auto"/>
          <w:kern w:val="0"/>
          <w:sz w:val="24"/>
          <w:highlight w:val="none"/>
          <w:lang w:val="en-US" w:eastAsia="zh-CN"/>
        </w:rPr>
        <w:t>0</w:t>
      </w:r>
      <w:r>
        <w:rPr>
          <w:rFonts w:hint="eastAsia" w:ascii="宋体" w:hAnsi="宋体" w:eastAsia="宋体" w:cs="宋体"/>
          <w:bCs/>
          <w:color w:val="auto"/>
          <w:kern w:val="0"/>
          <w:sz w:val="24"/>
          <w:highlight w:val="none"/>
        </w:rPr>
        <w:t>.6签订地点</w:t>
      </w:r>
      <w:bookmarkEnd w:id="126"/>
      <w:bookmarkEnd w:id="127"/>
      <w:bookmarkEnd w:id="128"/>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bCs/>
          <w:color w:val="auto"/>
          <w:sz w:val="24"/>
          <w:highlight w:val="none"/>
        </w:rPr>
        <w:t>本合同在</w:t>
      </w:r>
      <w:r>
        <w:rPr>
          <w:rFonts w:hint="eastAsia" w:ascii="宋体" w:hAnsi="宋体" w:eastAsia="宋体" w:cs="宋体"/>
          <w:bCs/>
          <w:color w:val="auto"/>
          <w:sz w:val="24"/>
          <w:highlight w:val="none"/>
          <w:u w:val="single"/>
        </w:rPr>
        <w:t xml:space="preserve"> 湖南省长沙市雨花区 </w:t>
      </w:r>
      <w:r>
        <w:rPr>
          <w:rFonts w:hint="eastAsia" w:ascii="宋体" w:hAnsi="宋体" w:eastAsia="宋体" w:cs="宋体"/>
          <w:bCs/>
          <w:color w:val="auto"/>
          <w:sz w:val="24"/>
          <w:highlight w:val="none"/>
        </w:rPr>
        <w:t>签订。</w:t>
      </w:r>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1</w:t>
      </w:r>
      <w:r>
        <w:rPr>
          <w:rFonts w:hint="eastAsia" w:ascii="宋体" w:hAnsi="宋体" w:eastAsia="宋体" w:cs="宋体"/>
          <w:color w:val="auto"/>
          <w:position w:val="6"/>
          <w:sz w:val="24"/>
          <w:highlight w:val="none"/>
          <w:lang w:val="en-US" w:eastAsia="zh-CN"/>
        </w:rPr>
        <w:t>0</w:t>
      </w:r>
      <w:r>
        <w:rPr>
          <w:rFonts w:hint="eastAsia" w:ascii="宋体" w:hAnsi="宋体" w:eastAsia="宋体" w:cs="宋体"/>
          <w:color w:val="auto"/>
          <w:position w:val="6"/>
          <w:sz w:val="24"/>
          <w:highlight w:val="none"/>
        </w:rPr>
        <w:t>.7本合同一式</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份（其中正本</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份、副本</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份），投保人执八份（一正七副）、承保人执</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正</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副）。合同正本和副本具有同等效力，当合同副本与正本之间存有差异时，以合同正本为准。</w:t>
      </w:r>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1</w:t>
      </w:r>
      <w:r>
        <w:rPr>
          <w:rFonts w:hint="eastAsia" w:ascii="宋体" w:hAnsi="宋体" w:eastAsia="宋体" w:cs="宋体"/>
          <w:color w:val="auto"/>
          <w:position w:val="6"/>
          <w:sz w:val="24"/>
          <w:highlight w:val="none"/>
          <w:lang w:val="en-US" w:eastAsia="zh-CN"/>
        </w:rPr>
        <w:t>0</w:t>
      </w:r>
      <w:r>
        <w:rPr>
          <w:rFonts w:hint="eastAsia" w:ascii="宋体" w:hAnsi="宋体" w:eastAsia="宋体" w:cs="宋体"/>
          <w:color w:val="auto"/>
          <w:position w:val="6"/>
          <w:sz w:val="24"/>
          <w:highlight w:val="none"/>
        </w:rPr>
        <w:t>.8双方约定的其他事项（本条约定与合同条款中其他约定不一致时，以本条为准）：</w:t>
      </w:r>
      <w:r>
        <w:rPr>
          <w:rFonts w:hint="eastAsia" w:ascii="宋体" w:hAnsi="宋体" w:eastAsia="宋体" w:cs="宋体"/>
          <w:b/>
          <w:color w:val="auto"/>
          <w:position w:val="6"/>
          <w:sz w:val="24"/>
          <w:highlight w:val="none"/>
          <w:u w:val="single"/>
        </w:rPr>
        <w:t xml:space="preserve">                              </w:t>
      </w:r>
    </w:p>
    <w:p>
      <w:pPr>
        <w:pageBreakBefore/>
        <w:snapToGrid w:val="0"/>
        <w:spacing w:line="360" w:lineRule="auto"/>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（本页无正文）</w:t>
      </w:r>
    </w:p>
    <w:p>
      <w:pPr>
        <w:snapToGrid w:val="0"/>
        <w:spacing w:line="360" w:lineRule="auto"/>
        <w:rPr>
          <w:rFonts w:hint="eastAsia" w:ascii="宋体" w:hAnsi="宋体" w:eastAsia="宋体" w:cs="宋体"/>
          <w:color w:val="auto"/>
          <w:position w:val="6"/>
          <w:sz w:val="24"/>
          <w:highlight w:val="none"/>
        </w:rPr>
      </w:pPr>
    </w:p>
    <w:p>
      <w:pPr>
        <w:snapToGrid w:val="0"/>
        <w:spacing w:line="360" w:lineRule="auto"/>
        <w:rPr>
          <w:rFonts w:hint="eastAsia" w:ascii="宋体" w:hAnsi="宋体" w:eastAsia="宋体" w:cs="宋体"/>
          <w:color w:val="auto"/>
          <w:position w:val="6"/>
          <w:sz w:val="24"/>
          <w:highlight w:val="none"/>
        </w:rPr>
      </w:pPr>
    </w:p>
    <w:p>
      <w:pPr>
        <w:snapToGrid w:val="0"/>
        <w:spacing w:line="360" w:lineRule="auto"/>
        <w:rPr>
          <w:rFonts w:hint="eastAsia" w:ascii="宋体" w:hAnsi="宋体" w:eastAsia="宋体" w:cs="宋体"/>
          <w:color w:val="auto"/>
          <w:position w:val="6"/>
          <w:sz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投保人（代表被保险人）：(盖章)</w:t>
            </w:r>
          </w:p>
          <w:p>
            <w:pPr>
              <w:pStyle w:val="26"/>
              <w:snapToGrid w:val="0"/>
              <w:spacing w:line="360" w:lineRule="auto"/>
              <w:rPr>
                <w:rFonts w:hint="eastAsia" w:ascii="宋体" w:hAnsi="宋体" w:eastAsia="宋体" w:cs="宋体"/>
                <w:color w:val="auto"/>
                <w:sz w:val="24"/>
                <w:highlight w:val="none"/>
              </w:rPr>
            </w:pP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承保人：（盖章）</w:t>
            </w:r>
          </w:p>
          <w:p>
            <w:pPr>
              <w:pStyle w:val="26"/>
              <w:snapToGrid w:val="0"/>
              <w:spacing w:line="360" w:lineRule="auto"/>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w:t>
            </w:r>
          </w:p>
          <w:p>
            <w:pPr>
              <w:pStyle w:val="26"/>
              <w:snapToGrid w:val="0"/>
              <w:spacing w:line="360" w:lineRule="auto"/>
              <w:ind w:left="19" w:leftChars="9"/>
              <w:rPr>
                <w:rFonts w:hint="eastAsia" w:ascii="宋体" w:hAnsi="宋体" w:eastAsia="宋体" w:cs="宋体"/>
                <w:color w:val="auto"/>
                <w:sz w:val="24"/>
                <w:highlight w:val="none"/>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pStyle w:val="26"/>
              <w:snapToGrid w:val="0"/>
              <w:spacing w:line="360" w:lineRule="auto"/>
              <w:ind w:left="19" w:leftChars="9"/>
              <w:rPr>
                <w:rFonts w:hint="eastAsia" w:ascii="宋体" w:hAnsi="宋体" w:eastAsia="宋体" w:cs="宋体"/>
                <w:color w:val="auto"/>
                <w:sz w:val="24"/>
                <w:highlight w:val="none"/>
              </w:rPr>
            </w:pPr>
          </w:p>
          <w:p>
            <w:pPr>
              <w:pStyle w:val="26"/>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pStyle w:val="26"/>
              <w:snapToGrid w:val="0"/>
              <w:spacing w:line="360" w:lineRule="auto"/>
              <w:ind w:left="34" w:leftChars="16"/>
              <w:rPr>
                <w:rFonts w:hint="eastAsia" w:ascii="宋体" w:hAnsi="宋体" w:eastAsia="宋体" w:cs="宋体"/>
                <w:color w:val="auto"/>
                <w:sz w:val="24"/>
                <w:highlight w:val="none"/>
              </w:rPr>
            </w:pPr>
          </w:p>
          <w:p>
            <w:pPr>
              <w:pStyle w:val="26"/>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r>
    </w:tbl>
    <w:p>
      <w:pPr>
        <w:pStyle w:val="4"/>
        <w:numPr>
          <w:ilvl w:val="0"/>
          <w:numId w:val="8"/>
        </w:numPr>
        <w:snapToGrid w:val="0"/>
        <w:spacing w:line="360" w:lineRule="auto"/>
        <w:rPr>
          <w:rFonts w:hint="eastAsia" w:ascii="宋体" w:hAnsi="宋体" w:eastAsia="宋体" w:cs="宋体"/>
          <w:color w:val="auto"/>
          <w:sz w:val="32"/>
          <w:szCs w:val="48"/>
          <w:highlight w:val="none"/>
        </w:rPr>
      </w:pPr>
      <w:r>
        <w:rPr>
          <w:rFonts w:hint="eastAsia" w:ascii="宋体" w:hAnsi="宋体" w:eastAsia="宋体" w:cs="宋体"/>
          <w:b w:val="0"/>
          <w:color w:val="auto"/>
          <w:sz w:val="36"/>
          <w:highlight w:val="none"/>
        </w:rPr>
        <w:br w:type="page"/>
      </w:r>
      <w:bookmarkStart w:id="129" w:name="_Toc2298"/>
      <w:bookmarkStart w:id="130" w:name="_Toc6844"/>
      <w:bookmarkStart w:id="131" w:name="_Toc26988"/>
      <w:bookmarkStart w:id="132" w:name="_Toc26189"/>
      <w:bookmarkStart w:id="133" w:name="_Toc6750"/>
      <w:r>
        <w:rPr>
          <w:rFonts w:hint="eastAsia" w:ascii="宋体" w:hAnsi="宋体" w:eastAsia="宋体" w:cs="宋体"/>
          <w:color w:val="auto"/>
          <w:sz w:val="32"/>
          <w:szCs w:val="48"/>
          <w:highlight w:val="none"/>
          <w:lang w:eastAsia="zh-CN"/>
        </w:rPr>
        <w:t>运营期</w:t>
      </w:r>
      <w:r>
        <w:rPr>
          <w:rFonts w:hint="eastAsia" w:ascii="宋体" w:hAnsi="宋体" w:eastAsia="宋体" w:cs="宋体"/>
          <w:color w:val="auto"/>
          <w:sz w:val="32"/>
          <w:szCs w:val="48"/>
          <w:highlight w:val="none"/>
        </w:rPr>
        <w:t>保险需求</w:t>
      </w:r>
      <w:bookmarkEnd w:id="129"/>
      <w:bookmarkEnd w:id="130"/>
      <w:bookmarkEnd w:id="131"/>
      <w:bookmarkEnd w:id="132"/>
      <w:bookmarkEnd w:id="133"/>
    </w:p>
    <w:p>
      <w:pPr>
        <w:pStyle w:val="4"/>
        <w:snapToGrid w:val="0"/>
        <w:spacing w:line="360" w:lineRule="auto"/>
        <w:jc w:val="left"/>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sectPr>
          <w:footerReference r:id="rId9" w:type="default"/>
          <w:pgSz w:w="11906" w:h="16838"/>
          <w:pgMar w:top="1440" w:right="1800" w:bottom="1440" w:left="1800" w:header="851" w:footer="992" w:gutter="0"/>
          <w:pgNumType w:fmt="decimal"/>
          <w:cols w:space="720" w:num="1"/>
          <w:docGrid w:type="lines" w:linePitch="312" w:charSpace="0"/>
        </w:sectPr>
      </w:pPr>
    </w:p>
    <w:p>
      <w:pPr>
        <w:pStyle w:val="4"/>
        <w:snapToGrid w:val="0"/>
        <w:spacing w:line="360" w:lineRule="auto"/>
        <w:rPr>
          <w:rFonts w:hint="eastAsia" w:ascii="宋体" w:hAnsi="宋体" w:eastAsia="宋体" w:cs="宋体"/>
          <w:color w:val="auto"/>
          <w:highlight w:val="none"/>
        </w:rPr>
      </w:pPr>
      <w:bookmarkStart w:id="134" w:name="_Toc15080"/>
      <w:bookmarkStart w:id="135" w:name="_Toc27643"/>
      <w:bookmarkStart w:id="136" w:name="_Toc13918"/>
      <w:bookmarkStart w:id="137" w:name="_Toc645"/>
      <w:r>
        <w:rPr>
          <w:rFonts w:hint="eastAsia" w:ascii="宋体" w:hAnsi="宋体" w:eastAsia="宋体" w:cs="宋体"/>
          <w:color w:val="auto"/>
          <w:sz w:val="32"/>
          <w:szCs w:val="48"/>
          <w:highlight w:val="none"/>
        </w:rPr>
        <w:t>第三部分 合同附件</w:t>
      </w:r>
      <w:bookmarkEnd w:id="134"/>
      <w:bookmarkEnd w:id="135"/>
      <w:bookmarkEnd w:id="136"/>
      <w:bookmarkEnd w:id="137"/>
    </w:p>
    <w:p>
      <w:pPr>
        <w:adjustRightInd w:val="0"/>
        <w:snapToGrid w:val="0"/>
        <w:rPr>
          <w:rFonts w:hint="eastAsia" w:ascii="宋体" w:hAnsi="宋体" w:eastAsia="宋体" w:cs="宋体"/>
          <w:b/>
          <w:color w:val="auto"/>
          <w:sz w:val="24"/>
          <w:szCs w:val="24"/>
          <w:highlight w:val="none"/>
        </w:rPr>
      </w:pPr>
      <w:bookmarkStart w:id="138" w:name="_Toc501718838"/>
      <w:r>
        <w:rPr>
          <w:rFonts w:hint="eastAsia" w:ascii="宋体" w:hAnsi="宋体" w:eastAsia="宋体" w:cs="宋体"/>
          <w:b/>
          <w:color w:val="auto"/>
          <w:sz w:val="24"/>
          <w:highlight w:val="none"/>
        </w:rPr>
        <w:t>附件1 廉政协议</w:t>
      </w:r>
    </w:p>
    <w:p>
      <w:pPr>
        <w:adjustRightInd w:val="0"/>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廉政协议</w:t>
      </w:r>
    </w:p>
    <w:p>
      <w:pPr>
        <w:widowControl/>
        <w:snapToGrid w:val="0"/>
        <w:spacing w:line="360" w:lineRule="auto"/>
        <w:jc w:val="left"/>
        <w:rPr>
          <w:rFonts w:hint="eastAsia" w:ascii="宋体" w:hAnsi="宋体" w:eastAsia="宋体" w:cs="宋体"/>
          <w:color w:val="auto"/>
          <w:kern w:val="0"/>
          <w:sz w:val="24"/>
          <w:szCs w:val="24"/>
          <w:highlight w:val="none"/>
          <w:lang w:bidi="en-US"/>
        </w:rPr>
      </w:pPr>
    </w:p>
    <w:p>
      <w:pPr>
        <w:widowControl/>
        <w:snapToGrid w:val="0"/>
        <w:spacing w:line="440" w:lineRule="exac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甲方：</w:t>
      </w:r>
      <w:r>
        <w:rPr>
          <w:rFonts w:hint="eastAsia" w:ascii="宋体" w:hAnsi="宋体" w:eastAsia="宋体" w:cs="宋体"/>
          <w:color w:val="auto"/>
          <w:kern w:val="0"/>
          <w:sz w:val="24"/>
          <w:highlight w:val="none"/>
          <w:u w:val="single"/>
        </w:rPr>
        <w:t xml:space="preserve">                        </w:t>
      </w:r>
    </w:p>
    <w:p>
      <w:pPr>
        <w:widowControl/>
        <w:snapToGrid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u w:val="single"/>
        </w:rPr>
        <w:t xml:space="preserve">                        </w:t>
      </w:r>
    </w:p>
    <w:p>
      <w:pPr>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b/>
          <w:color w:val="auto"/>
          <w:sz w:val="24"/>
          <w:szCs w:val="24"/>
          <w:highlight w:val="none"/>
        </w:rPr>
      </w:pPr>
      <w:bookmarkStart w:id="139" w:name="_Toc59896701"/>
      <w:bookmarkStart w:id="140" w:name="_Toc59900969"/>
      <w:r>
        <w:rPr>
          <w:rFonts w:hint="eastAsia" w:ascii="宋体" w:hAnsi="宋体" w:eastAsia="宋体" w:cs="宋体"/>
          <w:b/>
          <w:color w:val="auto"/>
          <w:sz w:val="24"/>
          <w:szCs w:val="24"/>
          <w:highlight w:val="none"/>
        </w:rPr>
        <w:t xml:space="preserve">第一条 </w:t>
      </w:r>
      <w:bookmarkEnd w:id="139"/>
      <w:bookmarkEnd w:id="140"/>
      <w:r>
        <w:rPr>
          <w:rFonts w:hint="eastAsia" w:ascii="宋体" w:hAnsi="宋体" w:eastAsia="宋体" w:cs="宋体"/>
          <w:b/>
          <w:color w:val="auto"/>
          <w:sz w:val="24"/>
          <w:szCs w:val="24"/>
          <w:highlight w:val="none"/>
        </w:rPr>
        <w:t>共同责任</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（一）严格遵守党和国家有关法律法规及湖南省、长沙市的相关规定。</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（以下称主合同）的合同文件，自觉按合同办事。</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共同权利</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b/>
          <w:color w:val="auto"/>
          <w:sz w:val="24"/>
          <w:szCs w:val="24"/>
          <w:highlight w:val="none"/>
        </w:rPr>
      </w:pPr>
      <w:bookmarkStart w:id="141" w:name="_Toc59900970"/>
      <w:bookmarkStart w:id="142" w:name="_Toc59896702"/>
      <w:r>
        <w:rPr>
          <w:rFonts w:hint="eastAsia" w:ascii="宋体" w:hAnsi="宋体" w:eastAsia="宋体" w:cs="宋体"/>
          <w:b/>
          <w:color w:val="auto"/>
          <w:sz w:val="24"/>
          <w:szCs w:val="24"/>
          <w:highlight w:val="none"/>
        </w:rPr>
        <w:t>第三条 甲方的义务</w:t>
      </w:r>
      <w:bookmarkEnd w:id="141"/>
      <w:bookmarkEnd w:id="142"/>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b/>
          <w:color w:val="auto"/>
          <w:sz w:val="24"/>
          <w:szCs w:val="24"/>
          <w:highlight w:val="none"/>
        </w:rPr>
      </w:pPr>
      <w:bookmarkStart w:id="143" w:name="_Toc59896703"/>
      <w:bookmarkStart w:id="144" w:name="_Toc59900971"/>
      <w:r>
        <w:rPr>
          <w:rFonts w:hint="eastAsia" w:ascii="宋体" w:hAnsi="宋体" w:eastAsia="宋体" w:cs="宋体"/>
          <w:b/>
          <w:color w:val="auto"/>
          <w:sz w:val="24"/>
          <w:szCs w:val="24"/>
          <w:highlight w:val="none"/>
        </w:rPr>
        <w:t>第四条 乙方义务</w:t>
      </w:r>
      <w:bookmarkEnd w:id="143"/>
      <w:bookmarkEnd w:id="144"/>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（六）乙方不得有违反法律、法规、廉洁从业规定的其他行为。</w:t>
      </w:r>
    </w:p>
    <w:p>
      <w:pPr>
        <w:adjustRightInd w:val="0"/>
        <w:snapToGrid w:val="0"/>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违约责任</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本协议作为主合同的附件，与主合同具有同等的法律效力，经合同双方签署立即生效。</w:t>
      </w:r>
    </w:p>
    <w:p>
      <w:pPr>
        <w:snapToGrid w:val="0"/>
        <w:spacing w:line="440" w:lineRule="exact"/>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（本页无正文）</w:t>
      </w:r>
    </w:p>
    <w:p>
      <w:pPr>
        <w:ind w:left="420" w:leftChars="200"/>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ind w:left="420" w:leftChars="200"/>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u w:val="single"/>
        </w:rPr>
        <w:t xml:space="preserve"> （盖章）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（签字）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或授权代理人：</w:t>
      </w:r>
      <w:r>
        <w:rPr>
          <w:rFonts w:hint="eastAsia" w:ascii="宋体" w:hAnsi="宋体" w:eastAsia="宋体" w:cs="宋体"/>
          <w:color w:val="auto"/>
          <w:sz w:val="24"/>
          <w:szCs w:val="24"/>
          <w:highlight w:val="none"/>
          <w:u w:val="single"/>
        </w:rPr>
        <w:t xml:space="preserve">（签字）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5"/>
        <w:snapToGrid w:val="0"/>
        <w:spacing w:line="360" w:lineRule="auto"/>
        <w:ind w:firstLine="0"/>
        <w:outlineLvl w:val="1"/>
        <w:rPr>
          <w:rFonts w:hint="eastAsia" w:ascii="宋体" w:hAnsi="宋体" w:eastAsia="宋体" w:cs="宋体"/>
          <w:color w:val="auto"/>
          <w:kern w:val="0"/>
          <w:sz w:val="24"/>
          <w:highlight w:val="none"/>
          <w:u w:val="single"/>
        </w:rPr>
      </w:pPr>
      <w:bookmarkStart w:id="145" w:name="_Toc27605"/>
      <w:bookmarkStart w:id="146" w:name="_Toc30523"/>
      <w:bookmarkStart w:id="147" w:name="_Toc10459"/>
      <w:bookmarkStart w:id="148" w:name="_Toc8503"/>
      <w:r>
        <w:rPr>
          <w:rFonts w:hint="eastAsia" w:ascii="宋体" w:hAnsi="宋体" w:eastAsia="宋体" w:cs="宋体"/>
          <w:color w:val="auto"/>
          <w:kern w:val="0"/>
          <w:sz w:val="24"/>
          <w:highlight w:val="none"/>
        </w:rPr>
        <w:t>甲方监督单位：</w:t>
      </w:r>
      <w:r>
        <w:rPr>
          <w:rFonts w:hint="eastAsia" w:ascii="宋体" w:hAnsi="宋体" w:eastAsia="宋体" w:cs="宋体"/>
          <w:color w:val="auto"/>
          <w:kern w:val="0"/>
          <w:sz w:val="24"/>
          <w:highlight w:val="none"/>
          <w:u w:val="single"/>
        </w:rPr>
        <w:t xml:space="preserve">（盖章）      </w:t>
      </w:r>
      <w:r>
        <w:rPr>
          <w:rFonts w:hint="eastAsia" w:ascii="宋体" w:hAnsi="宋体" w:eastAsia="宋体" w:cs="宋体"/>
          <w:color w:val="auto"/>
          <w:kern w:val="0"/>
          <w:sz w:val="24"/>
          <w:highlight w:val="none"/>
        </w:rPr>
        <w:t xml:space="preserve">             乙方监督单位：</w:t>
      </w:r>
      <w:r>
        <w:rPr>
          <w:rFonts w:hint="eastAsia" w:ascii="宋体" w:hAnsi="宋体" w:eastAsia="宋体" w:cs="宋体"/>
          <w:color w:val="auto"/>
          <w:kern w:val="0"/>
          <w:sz w:val="24"/>
          <w:highlight w:val="none"/>
          <w:u w:val="single"/>
        </w:rPr>
        <w:t>（盖章）</w:t>
      </w:r>
      <w:bookmarkEnd w:id="145"/>
      <w:bookmarkEnd w:id="146"/>
      <w:bookmarkEnd w:id="147"/>
      <w:bookmarkEnd w:id="148"/>
      <w:r>
        <w:rPr>
          <w:rFonts w:hint="eastAsia" w:ascii="宋体" w:hAnsi="宋体" w:eastAsia="宋体" w:cs="宋体"/>
          <w:color w:val="auto"/>
          <w:kern w:val="0"/>
          <w:sz w:val="24"/>
          <w:highlight w:val="none"/>
          <w:u w:val="single"/>
        </w:rPr>
        <w:t xml:space="preserve">       </w:t>
      </w:r>
      <w:bookmarkEnd w:id="138"/>
    </w:p>
    <w:p>
      <w:pPr>
        <w:widowControl/>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u w:val="single"/>
        </w:rPr>
        <w:br w:type="page"/>
      </w:r>
      <w:bookmarkStart w:id="149" w:name="_Hlk25208132"/>
      <w:r>
        <w:rPr>
          <w:rFonts w:hint="eastAsia" w:ascii="宋体" w:hAnsi="宋体" w:eastAsia="宋体" w:cs="宋体"/>
          <w:b/>
          <w:color w:val="auto"/>
          <w:sz w:val="24"/>
          <w:highlight w:val="none"/>
        </w:rPr>
        <w:t>附件2 保密协议</w:t>
      </w:r>
    </w:p>
    <w:p>
      <w:pPr>
        <w:widowControl/>
        <w:snapToGrid w:val="0"/>
        <w:spacing w:line="360" w:lineRule="auto"/>
        <w:jc w:val="center"/>
        <w:rPr>
          <w:rFonts w:hint="eastAsia" w:ascii="宋体" w:hAnsi="宋体" w:eastAsia="宋体" w:cs="宋体"/>
          <w:color w:val="auto"/>
          <w:kern w:val="0"/>
          <w:sz w:val="32"/>
          <w:szCs w:val="32"/>
          <w:highlight w:val="none"/>
          <w:lang w:bidi="en-US"/>
        </w:rPr>
      </w:pPr>
      <w:r>
        <w:rPr>
          <w:rFonts w:hint="eastAsia" w:ascii="宋体" w:hAnsi="宋体" w:eastAsia="宋体" w:cs="宋体"/>
          <w:b/>
          <w:bCs/>
          <w:smallCaps/>
          <w:color w:val="auto"/>
          <w:kern w:val="0"/>
          <w:sz w:val="32"/>
          <w:szCs w:val="32"/>
          <w:highlight w:val="none"/>
          <w:lang w:bidi="en-US"/>
        </w:rPr>
        <w:t>保密协议</w:t>
      </w:r>
    </w:p>
    <w:p>
      <w:pPr>
        <w:widowControl/>
        <w:snapToGrid w:val="0"/>
        <w:spacing w:line="360" w:lineRule="auto"/>
        <w:jc w:val="left"/>
        <w:rPr>
          <w:rFonts w:hint="eastAsia" w:ascii="宋体" w:hAnsi="宋体" w:eastAsia="宋体" w:cs="宋体"/>
          <w:color w:val="auto"/>
          <w:kern w:val="0"/>
          <w:sz w:val="24"/>
          <w:highlight w:val="none"/>
          <w:lang w:bidi="en-US"/>
        </w:rPr>
      </w:pPr>
    </w:p>
    <w:p>
      <w:pPr>
        <w:widowControl/>
        <w:snapToGrid w:val="0"/>
        <w:spacing w:line="360" w:lineRule="auto"/>
        <w:jc w:val="left"/>
        <w:rPr>
          <w:rFonts w:hint="eastAsia" w:ascii="宋体" w:hAnsi="宋体" w:eastAsia="宋体" w:cs="宋体"/>
          <w:color w:val="auto"/>
          <w:kern w:val="0"/>
          <w:sz w:val="24"/>
          <w:highlight w:val="none"/>
          <w:u w:val="single"/>
          <w:lang w:bidi="en-US"/>
        </w:rPr>
      </w:pPr>
      <w:r>
        <w:rPr>
          <w:rFonts w:hint="eastAsia" w:ascii="宋体" w:hAnsi="宋体" w:eastAsia="宋体" w:cs="宋体"/>
          <w:color w:val="auto"/>
          <w:kern w:val="0"/>
          <w:sz w:val="24"/>
          <w:highlight w:val="none"/>
          <w:lang w:bidi="en-US"/>
        </w:rPr>
        <w:t>甲方（全称）：</w:t>
      </w:r>
      <w:r>
        <w:rPr>
          <w:rFonts w:hint="eastAsia" w:ascii="宋体" w:hAnsi="宋体" w:eastAsia="宋体" w:cs="宋体"/>
          <w:color w:val="auto"/>
          <w:kern w:val="0"/>
          <w:sz w:val="24"/>
          <w:highlight w:val="none"/>
          <w:u w:val="single"/>
          <w:lang w:bidi="en-US"/>
        </w:rPr>
        <w:t xml:space="preserve">                      </w:t>
      </w:r>
    </w:p>
    <w:p>
      <w:pPr>
        <w:widowControl/>
        <w:snapToGrid w:val="0"/>
        <w:spacing w:line="360" w:lineRule="auto"/>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乙方（全称）：</w:t>
      </w:r>
      <w:r>
        <w:rPr>
          <w:rFonts w:hint="eastAsia" w:ascii="宋体" w:hAnsi="宋体" w:eastAsia="宋体" w:cs="宋体"/>
          <w:color w:val="auto"/>
          <w:kern w:val="0"/>
          <w:sz w:val="24"/>
          <w:highlight w:val="none"/>
          <w:u w:val="single"/>
          <w:lang w:bidi="en-US"/>
        </w:rPr>
        <w:t xml:space="preserve">                      </w:t>
      </w:r>
    </w:p>
    <w:p>
      <w:pPr>
        <w:widowControl/>
        <w:snapToGrid w:val="0"/>
        <w:spacing w:line="360" w:lineRule="auto"/>
        <w:ind w:firstLine="480" w:firstLineChars="200"/>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鉴于甲方和乙方签订的</w:t>
      </w:r>
      <w:r>
        <w:rPr>
          <w:rFonts w:hint="eastAsia" w:ascii="宋体" w:hAnsi="宋体" w:eastAsia="宋体" w:cs="宋体"/>
          <w:color w:val="auto"/>
          <w:kern w:val="0"/>
          <w:sz w:val="24"/>
          <w:highlight w:val="none"/>
          <w:u w:val="single"/>
          <w:lang w:bidi="en-US"/>
        </w:rPr>
        <w:t xml:space="preserve">                 </w:t>
      </w:r>
      <w:r>
        <w:rPr>
          <w:rFonts w:hint="eastAsia" w:ascii="宋体" w:hAnsi="宋体" w:eastAsia="宋体" w:cs="宋体"/>
          <w:color w:val="auto"/>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第一条 保密内容</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第二条 乙方的保密义务</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第三条 保密期限</w:t>
      </w:r>
    </w:p>
    <w:p>
      <w:pPr>
        <w:widowControl/>
        <w:snapToGrid w:val="0"/>
        <w:spacing w:line="360" w:lineRule="auto"/>
        <w:ind w:firstLine="480"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color w:val="auto"/>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第四条 违约责任</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1、因乙方未履行本协议第二条规定的保密义务，但尚未给甲方造成损失或严重后果的，每发生一次，甲方有权要求乙方支付</w:t>
      </w:r>
      <w:r>
        <w:rPr>
          <w:rFonts w:hint="eastAsia" w:ascii="宋体" w:hAnsi="宋体" w:eastAsia="宋体" w:cs="宋体"/>
          <w:b/>
          <w:color w:val="auto"/>
          <w:kern w:val="0"/>
          <w:sz w:val="24"/>
          <w:highlight w:val="none"/>
          <w:lang w:bidi="en-US"/>
        </w:rPr>
        <w:t>人民币</w:t>
      </w:r>
      <w:r>
        <w:rPr>
          <w:rFonts w:hint="eastAsia" w:ascii="宋体" w:hAnsi="宋体" w:eastAsia="宋体" w:cs="宋体"/>
          <w:b/>
          <w:color w:val="auto"/>
          <w:kern w:val="0"/>
          <w:sz w:val="24"/>
          <w:highlight w:val="none"/>
          <w:u w:val="single"/>
          <w:lang w:bidi="en-US"/>
        </w:rPr>
        <w:t>1000</w:t>
      </w:r>
      <w:r>
        <w:rPr>
          <w:rFonts w:hint="eastAsia" w:ascii="宋体" w:hAnsi="宋体" w:eastAsia="宋体" w:cs="宋体"/>
          <w:b/>
          <w:color w:val="auto"/>
          <w:kern w:val="0"/>
          <w:sz w:val="24"/>
          <w:highlight w:val="none"/>
          <w:lang w:bidi="en-US"/>
        </w:rPr>
        <w:t>元</w:t>
      </w:r>
      <w:r>
        <w:rPr>
          <w:rFonts w:hint="eastAsia" w:ascii="宋体" w:hAnsi="宋体" w:eastAsia="宋体" w:cs="宋体"/>
          <w:color w:val="auto"/>
          <w:kern w:val="0"/>
          <w:sz w:val="24"/>
          <w:highlight w:val="none"/>
          <w:lang w:bidi="en-US"/>
        </w:rPr>
        <w:t>的违约金。</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（2）因乙方的违反协议行为给甲方造成的经济损失，损失赔偿金额为</w:t>
      </w:r>
      <w:r>
        <w:rPr>
          <w:rFonts w:hint="eastAsia" w:ascii="宋体" w:hAnsi="宋体" w:eastAsia="宋体" w:cs="宋体"/>
          <w:b/>
          <w:color w:val="auto"/>
          <w:kern w:val="0"/>
          <w:sz w:val="24"/>
          <w:highlight w:val="none"/>
          <w:lang w:bidi="en-US"/>
        </w:rPr>
        <w:t>主合同暂定保险费的</w:t>
      </w:r>
      <w:r>
        <w:rPr>
          <w:rFonts w:hint="eastAsia" w:ascii="宋体" w:hAnsi="宋体" w:eastAsia="宋体" w:cs="宋体"/>
          <w:b/>
          <w:color w:val="auto"/>
          <w:kern w:val="0"/>
          <w:sz w:val="24"/>
          <w:highlight w:val="none"/>
          <w:u w:val="single"/>
          <w:lang w:bidi="en-US"/>
        </w:rPr>
        <w:t>1</w:t>
      </w:r>
      <w:r>
        <w:rPr>
          <w:rFonts w:hint="eastAsia" w:ascii="宋体" w:hAnsi="宋体" w:eastAsia="宋体" w:cs="宋体"/>
          <w:b/>
          <w:color w:val="auto"/>
          <w:kern w:val="0"/>
          <w:sz w:val="24"/>
          <w:highlight w:val="none"/>
          <w:lang w:bidi="en-US"/>
        </w:rPr>
        <w:t>％</w:t>
      </w:r>
      <w:r>
        <w:rPr>
          <w:rFonts w:hint="eastAsia" w:ascii="宋体" w:hAnsi="宋体" w:eastAsia="宋体" w:cs="宋体"/>
          <w:color w:val="auto"/>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第五条 争议的解决</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因执行本协议而发生的纠纷，可由双方协商解决；协商不成的，任何一方有权向</w:t>
      </w:r>
      <w:r>
        <w:rPr>
          <w:rFonts w:hint="eastAsia" w:ascii="宋体" w:hAnsi="宋体" w:eastAsia="宋体" w:cs="宋体"/>
          <w:color w:val="auto"/>
          <w:kern w:val="0"/>
          <w:sz w:val="24"/>
          <w:highlight w:val="none"/>
          <w:u w:val="single"/>
          <w:lang w:bidi="en-US"/>
        </w:rPr>
        <w:t>甲方所在地人民法院</w:t>
      </w:r>
      <w:r>
        <w:rPr>
          <w:rFonts w:hint="eastAsia" w:ascii="宋体" w:hAnsi="宋体" w:eastAsia="宋体" w:cs="宋体"/>
          <w:color w:val="auto"/>
          <w:kern w:val="0"/>
          <w:sz w:val="24"/>
          <w:highlight w:val="none"/>
          <w:lang w:bidi="en-US"/>
        </w:rPr>
        <w:t>提起诉讼。</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第六条 协议的效力和变更</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p>
      <w:pPr>
        <w:widowControl/>
        <w:snapToGrid w:val="0"/>
        <w:spacing w:line="360" w:lineRule="auto"/>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br w:type="page"/>
      </w:r>
      <w:r>
        <w:rPr>
          <w:rFonts w:hint="eastAsia" w:ascii="宋体" w:hAnsi="宋体" w:eastAsia="宋体" w:cs="宋体"/>
          <w:color w:val="auto"/>
          <w:kern w:val="0"/>
          <w:sz w:val="24"/>
          <w:highlight w:val="none"/>
          <w:lang w:bidi="en-US"/>
        </w:rPr>
        <w:t>（本页无正文）</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宋体" w:hAnsi="宋体" w:eastAsia="宋体" w:cs="宋体"/>
                <w:color w:val="auto"/>
                <w:kern w:val="0"/>
                <w:sz w:val="24"/>
                <w:highlight w:val="none"/>
              </w:rPr>
            </w:pPr>
            <w:bookmarkStart w:id="150" w:name="3"/>
            <w:bookmarkEnd w:id="150"/>
            <w:r>
              <w:rPr>
                <w:rFonts w:hint="eastAsia" w:ascii="宋体" w:hAnsi="宋体" w:eastAsia="宋体" w:cs="宋体"/>
                <w:color w:val="auto"/>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法定代表人或其授权代表：（签字）</w:t>
            </w:r>
          </w:p>
          <w:p>
            <w:pPr>
              <w:adjustRightInd w:val="0"/>
              <w:snapToGrid w:val="0"/>
              <w:spacing w:line="360" w:lineRule="auto"/>
              <w:ind w:left="19" w:leftChars="9"/>
              <w:textAlignment w:val="baseline"/>
              <w:rPr>
                <w:rFonts w:hint="eastAsia" w:ascii="宋体" w:hAnsi="宋体" w:eastAsia="宋体" w:cs="宋体"/>
                <w:color w:val="auto"/>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w:t>
            </w:r>
          </w:p>
        </w:tc>
      </w:tr>
    </w:tbl>
    <w:p>
      <w:pPr>
        <w:widowControl/>
        <w:snapToGrid w:val="0"/>
        <w:spacing w:line="360" w:lineRule="auto"/>
        <w:jc w:val="left"/>
        <w:rPr>
          <w:rFonts w:hint="eastAsia" w:ascii="宋体" w:hAnsi="宋体" w:eastAsia="宋体" w:cs="宋体"/>
          <w:color w:val="auto"/>
          <w:kern w:val="0"/>
          <w:sz w:val="24"/>
          <w:highlight w:val="none"/>
          <w:lang w:bidi="en-US"/>
        </w:rPr>
      </w:pPr>
    </w:p>
    <w:p>
      <w:pPr>
        <w:pStyle w:val="15"/>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51" w:name="_Toc8465"/>
      <w:bookmarkStart w:id="152" w:name="_Toc30429"/>
      <w:bookmarkStart w:id="153" w:name="_Toc8377"/>
      <w:bookmarkStart w:id="154" w:name="_Toc28229"/>
      <w:r>
        <w:rPr>
          <w:rFonts w:hint="eastAsia" w:ascii="宋体" w:hAnsi="宋体" w:eastAsia="宋体" w:cs="宋体"/>
          <w:b/>
          <w:color w:val="auto"/>
          <w:sz w:val="24"/>
          <w:highlight w:val="none"/>
        </w:rPr>
        <w:t>附件3 中标通知书</w:t>
      </w:r>
      <w:bookmarkEnd w:id="151"/>
      <w:bookmarkEnd w:id="152"/>
      <w:bookmarkEnd w:id="153"/>
      <w:bookmarkEnd w:id="154"/>
    </w:p>
    <w:p>
      <w:pPr>
        <w:pStyle w:val="15"/>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55" w:name="_Toc743"/>
      <w:bookmarkStart w:id="156" w:name="_Toc11441"/>
      <w:bookmarkStart w:id="157" w:name="_Toc28367"/>
      <w:bookmarkStart w:id="158" w:name="_Toc5"/>
      <w:r>
        <w:rPr>
          <w:rFonts w:hint="eastAsia" w:ascii="宋体" w:hAnsi="宋体" w:eastAsia="宋体" w:cs="宋体"/>
          <w:b/>
          <w:color w:val="auto"/>
          <w:sz w:val="24"/>
          <w:highlight w:val="none"/>
        </w:rPr>
        <w:t>附件4 暂定保险费清单</w:t>
      </w:r>
      <w:bookmarkEnd w:id="155"/>
      <w:bookmarkEnd w:id="156"/>
      <w:bookmarkEnd w:id="157"/>
      <w:bookmarkEnd w:id="158"/>
    </w:p>
    <w:p>
      <w:pPr>
        <w:pStyle w:val="15"/>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59" w:name="_Toc10382"/>
      <w:bookmarkStart w:id="160" w:name="_Toc19296"/>
      <w:bookmarkStart w:id="161" w:name="_Toc20867"/>
      <w:bookmarkStart w:id="162" w:name="_Toc9315"/>
      <w:r>
        <w:rPr>
          <w:rFonts w:hint="eastAsia" w:ascii="宋体" w:hAnsi="宋体" w:eastAsia="宋体" w:cs="宋体"/>
          <w:b/>
          <w:color w:val="auto"/>
          <w:sz w:val="24"/>
          <w:highlight w:val="none"/>
        </w:rPr>
        <w:t>附件5 最高投标限价公示说明</w:t>
      </w:r>
      <w:bookmarkEnd w:id="159"/>
      <w:bookmarkEnd w:id="160"/>
      <w:bookmarkEnd w:id="161"/>
      <w:bookmarkEnd w:id="162"/>
    </w:p>
    <w:p>
      <w:pPr>
        <w:pStyle w:val="15"/>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63" w:name="_Toc26014"/>
      <w:bookmarkStart w:id="164" w:name="_Toc31730"/>
      <w:bookmarkStart w:id="165" w:name="_Toc4171"/>
      <w:bookmarkStart w:id="166" w:name="_Toc24206"/>
      <w:r>
        <w:rPr>
          <w:rFonts w:hint="eastAsia" w:ascii="宋体" w:hAnsi="宋体" w:eastAsia="宋体" w:cs="宋体"/>
          <w:b/>
          <w:color w:val="auto"/>
          <w:sz w:val="24"/>
          <w:highlight w:val="none"/>
        </w:rPr>
        <w:t>附件6 澄清与答疑文件</w:t>
      </w:r>
      <w:bookmarkEnd w:id="149"/>
      <w:bookmarkEnd w:id="163"/>
      <w:bookmarkEnd w:id="164"/>
      <w:bookmarkEnd w:id="165"/>
      <w:bookmarkEnd w:id="166"/>
    </w:p>
    <w:p>
      <w:pPr>
        <w:pStyle w:val="15"/>
        <w:snapToGrid w:val="0"/>
        <w:spacing w:line="360" w:lineRule="auto"/>
        <w:ind w:firstLine="0"/>
        <w:outlineLvl w:val="1"/>
        <w:rPr>
          <w:rFonts w:hint="eastAsia" w:ascii="宋体" w:hAnsi="宋体" w:eastAsia="宋体" w:cs="宋体"/>
          <w:color w:val="auto"/>
          <w:sz w:val="24"/>
          <w:highlight w:val="none"/>
        </w:rPr>
        <w:sectPr>
          <w:footerReference r:id="rId11" w:type="first"/>
          <w:footerReference r:id="rId10" w:type="default"/>
          <w:pgSz w:w="11850" w:h="16783"/>
          <w:pgMar w:top="1440" w:right="1440"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 xml:space="preserve"> </w:t>
      </w:r>
    </w:p>
    <w:p>
      <w:pPr>
        <w:pStyle w:val="15"/>
        <w:snapToGrid w:val="0"/>
        <w:spacing w:line="360" w:lineRule="auto"/>
        <w:ind w:firstLine="0"/>
        <w:jc w:val="center"/>
        <w:outlineLvl w:val="1"/>
        <w:rPr>
          <w:rFonts w:hint="eastAsia" w:ascii="宋体" w:hAnsi="宋体" w:eastAsia="宋体" w:cs="宋体"/>
          <w:b/>
          <w:bCs/>
          <w:color w:val="auto"/>
          <w:highlight w:val="none"/>
        </w:rPr>
      </w:pPr>
      <w:bookmarkStart w:id="167" w:name="_Toc824"/>
      <w:bookmarkStart w:id="168" w:name="_Toc3451"/>
      <w:bookmarkStart w:id="169" w:name="_Toc980"/>
      <w:bookmarkStart w:id="170" w:name="_Toc4661"/>
      <w:r>
        <w:rPr>
          <w:rFonts w:hint="eastAsia" w:ascii="宋体" w:hAnsi="宋体" w:eastAsia="宋体" w:cs="宋体"/>
          <w:b/>
          <w:bCs/>
          <w:color w:val="auto"/>
          <w:sz w:val="32"/>
          <w:szCs w:val="48"/>
          <w:highlight w:val="none"/>
        </w:rPr>
        <w:t>第四部分 合同附录</w:t>
      </w:r>
      <w:bookmarkEnd w:id="167"/>
      <w:bookmarkEnd w:id="168"/>
      <w:bookmarkEnd w:id="169"/>
      <w:bookmarkEnd w:id="170"/>
    </w:p>
    <w:p>
      <w:pPr>
        <w:snapToGrid w:val="0"/>
        <w:ind w:right="-20"/>
        <w:outlineLvl w:val="1"/>
        <w:rPr>
          <w:rFonts w:hint="eastAsia" w:ascii="宋体" w:hAnsi="宋体" w:eastAsia="宋体" w:cs="宋体"/>
          <w:b/>
          <w:color w:val="auto"/>
          <w:sz w:val="24"/>
          <w:highlight w:val="none"/>
        </w:rPr>
      </w:pPr>
    </w:p>
    <w:p>
      <w:pPr>
        <w:snapToGrid w:val="0"/>
        <w:ind w:right="-20"/>
        <w:outlineLvl w:val="1"/>
        <w:rPr>
          <w:rFonts w:hint="eastAsia" w:ascii="宋体" w:hAnsi="宋体" w:eastAsia="宋体" w:cs="宋体"/>
          <w:b/>
          <w:color w:val="auto"/>
          <w:sz w:val="24"/>
          <w:highlight w:val="none"/>
        </w:rPr>
      </w:pPr>
      <w:bookmarkStart w:id="171" w:name="_Toc22375"/>
      <w:bookmarkStart w:id="172" w:name="_Toc24294"/>
      <w:bookmarkStart w:id="173" w:name="_Toc28609"/>
      <w:bookmarkStart w:id="174" w:name="_Toc12797"/>
      <w:r>
        <w:rPr>
          <w:rFonts w:hint="eastAsia" w:ascii="宋体" w:hAnsi="宋体" w:eastAsia="宋体" w:cs="宋体"/>
          <w:b/>
          <w:color w:val="auto"/>
          <w:sz w:val="24"/>
          <w:highlight w:val="none"/>
        </w:rPr>
        <w:t>附录1 银行履约保函（格式）</w:t>
      </w:r>
      <w:bookmarkEnd w:id="171"/>
      <w:bookmarkEnd w:id="172"/>
      <w:bookmarkEnd w:id="173"/>
      <w:bookmarkEnd w:id="174"/>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保函编号：</w:t>
      </w:r>
    </w:p>
    <w:p>
      <w:pPr>
        <w:jc w:val="center"/>
        <w:rPr>
          <w:rFonts w:hint="eastAsia" w:ascii="宋体" w:hAnsi="宋体" w:eastAsia="宋体" w:cs="宋体"/>
          <w:b/>
          <w:color w:val="auto"/>
          <w:sz w:val="24"/>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银行履约保函</w:t>
      </w:r>
    </w:p>
    <w:p>
      <w:pPr>
        <w:jc w:val="center"/>
        <w:rPr>
          <w:rFonts w:hint="eastAsia" w:ascii="宋体" w:hAnsi="宋体" w:eastAsia="宋体" w:cs="宋体"/>
          <w:b/>
          <w:color w:val="auto"/>
          <w:sz w:val="24"/>
          <w:highlight w:val="none"/>
        </w:rPr>
      </w:pPr>
    </w:p>
    <w:p>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甲方（全称）：</w:t>
      </w:r>
      <w:r>
        <w:rPr>
          <w:rFonts w:hint="eastAsia" w:ascii="宋体" w:hAnsi="宋体" w:eastAsia="宋体" w:cs="宋体"/>
          <w:color w:val="auto"/>
          <w:sz w:val="24"/>
          <w:highlight w:val="none"/>
          <w:u w:val="single"/>
        </w:rPr>
        <w:t xml:space="preserve">                  </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（乙方全称，以下简称“乙方”）于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日协商一致共同签订合同编号为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1、担保金额为人民币（大写）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2、担保期限为自本保函生效之日起至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之日止。</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pPr>
        <w:adjustRightInd w:val="0"/>
        <w:snapToGrid w:val="0"/>
        <w:spacing w:line="360" w:lineRule="auto"/>
        <w:ind w:left="15" w:leftChars="7" w:firstLine="403" w:firstLineChars="168"/>
        <w:rPr>
          <w:rFonts w:hint="eastAsia" w:ascii="宋体" w:hAnsi="宋体" w:eastAsia="宋体" w:cs="宋体"/>
          <w:color w:val="auto"/>
          <w:sz w:val="24"/>
          <w:highlight w:val="none"/>
        </w:rPr>
      </w:pPr>
    </w:p>
    <w:p>
      <w:pPr>
        <w:adjustRightInd w:val="0"/>
        <w:snapToGrid w:val="0"/>
        <w:spacing w:line="360" w:lineRule="auto"/>
        <w:ind w:left="15" w:leftChars="7" w:firstLine="403" w:firstLineChars="168"/>
        <w:rPr>
          <w:rFonts w:hint="eastAsia" w:ascii="宋体" w:hAnsi="宋体" w:eastAsia="宋体" w:cs="宋体"/>
          <w:color w:val="auto"/>
          <w:sz w:val="24"/>
          <w:highlight w:val="none"/>
        </w:rPr>
      </w:pPr>
      <w:r>
        <w:rPr>
          <w:rFonts w:hint="eastAsia" w:ascii="宋体" w:hAnsi="宋体" w:eastAsia="宋体" w:cs="宋体"/>
          <w:color w:val="auto"/>
          <w:sz w:val="24"/>
          <w:highlight w:val="none"/>
        </w:rPr>
        <w:t>担保人（盖公章）：</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p>
    <w:p>
      <w:pPr>
        <w:adjustRightInd w:val="0"/>
        <w:snapToGrid w:val="0"/>
        <w:spacing w:line="360" w:lineRule="auto"/>
        <w:ind w:left="15" w:leftChars="7" w:firstLine="403" w:firstLineChars="16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p>
    <w:p>
      <w:pPr>
        <w:adjustRightInd w:val="0"/>
        <w:snapToGrid w:val="0"/>
        <w:spacing w:line="360" w:lineRule="auto"/>
        <w:ind w:left="15" w:leftChars="7" w:firstLine="403" w:firstLineChars="16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p>
    <w:p>
      <w:pPr>
        <w:adjustRightInd w:val="0"/>
        <w:snapToGrid w:val="0"/>
        <w:spacing w:line="360" w:lineRule="auto"/>
        <w:ind w:left="15" w:leftChars="7" w:firstLine="403" w:firstLineChars="16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p>
    <w:p>
      <w:pPr>
        <w:adjustRightInd w:val="0"/>
        <w:snapToGrid w:val="0"/>
        <w:spacing w:line="360" w:lineRule="auto"/>
        <w:ind w:left="15" w:leftChars="7" w:firstLine="403" w:firstLineChars="168"/>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pPr>
        <w:adjustRightInd w:val="0"/>
        <w:snapToGrid w:val="0"/>
        <w:spacing w:line="360" w:lineRule="auto"/>
        <w:ind w:left="15" w:leftChars="7" w:firstLine="403" w:firstLineChars="168"/>
        <w:rPr>
          <w:rFonts w:hint="eastAsia" w:ascii="宋体" w:hAnsi="宋体" w:eastAsia="宋体" w:cs="宋体"/>
          <w:color w:val="auto"/>
          <w:highlight w:val="none"/>
        </w:rPr>
      </w:pPr>
      <w:r>
        <w:rPr>
          <w:rFonts w:hint="eastAsia" w:ascii="宋体" w:hAnsi="宋体" w:eastAsia="宋体" w:cs="宋体"/>
          <w:color w:val="auto"/>
          <w:sz w:val="24"/>
          <w:highlight w:val="none"/>
        </w:rPr>
        <w:t>时间：</w:t>
      </w:r>
    </w:p>
    <w:p>
      <w:pPr>
        <w:rPr>
          <w:rFonts w:hint="eastAsia" w:ascii="宋体" w:hAnsi="宋体" w:eastAsia="宋体" w:cs="宋体"/>
          <w:color w:val="auto"/>
          <w:highlight w:val="none"/>
        </w:rPr>
      </w:pPr>
    </w:p>
    <w:p>
      <w:pPr>
        <w:pStyle w:val="15"/>
        <w:snapToGrid w:val="0"/>
        <w:spacing w:line="360" w:lineRule="auto"/>
        <w:ind w:firstLine="0"/>
        <w:jc w:val="center"/>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5"/>
        <w:snapToGrid w:val="0"/>
        <w:spacing w:line="360" w:lineRule="auto"/>
        <w:ind w:firstLine="0"/>
        <w:jc w:val="center"/>
        <w:outlineLvl w:val="1"/>
        <w:rPr>
          <w:rFonts w:hint="eastAsia" w:ascii="宋体" w:hAnsi="宋体" w:eastAsia="宋体" w:cs="宋体"/>
          <w:color w:val="auto"/>
          <w:kern w:val="0"/>
          <w:highlight w:val="none"/>
        </w:rPr>
      </w:pPr>
    </w:p>
    <w:p>
      <w:pPr>
        <w:widowControl/>
        <w:snapToGrid w:val="0"/>
        <w:spacing w:line="360" w:lineRule="auto"/>
        <w:jc w:val="center"/>
        <w:outlineLvl w:val="1"/>
        <w:rPr>
          <w:rFonts w:hint="eastAsia" w:ascii="宋体" w:hAnsi="宋体" w:eastAsia="宋体" w:cs="宋体"/>
          <w:color w:val="auto"/>
          <w:kern w:val="0"/>
          <w:sz w:val="20"/>
          <w:highlight w:val="none"/>
        </w:rPr>
      </w:pPr>
    </w:p>
    <w:p>
      <w:pPr>
        <w:widowControl/>
        <w:snapToGrid w:val="0"/>
        <w:spacing w:line="360" w:lineRule="auto"/>
        <w:jc w:val="center"/>
        <w:outlineLvl w:val="1"/>
        <w:rPr>
          <w:rFonts w:hint="eastAsia" w:ascii="宋体" w:hAnsi="宋体" w:eastAsia="宋体" w:cs="宋体"/>
          <w:color w:val="auto"/>
          <w:kern w:val="0"/>
          <w:sz w:val="20"/>
          <w:highlight w:val="none"/>
        </w:rPr>
      </w:pPr>
    </w:p>
    <w:p>
      <w:pPr>
        <w:widowControl/>
        <w:snapToGrid w:val="0"/>
        <w:spacing w:line="360" w:lineRule="auto"/>
        <w:jc w:val="center"/>
        <w:outlineLvl w:val="1"/>
        <w:rPr>
          <w:rFonts w:hint="eastAsia" w:ascii="宋体" w:hAnsi="宋体" w:eastAsia="宋体" w:cs="宋体"/>
          <w:color w:val="auto"/>
          <w:kern w:val="0"/>
          <w:sz w:val="20"/>
          <w:highlight w:val="none"/>
        </w:rPr>
      </w:pPr>
    </w:p>
    <w:p>
      <w:pPr>
        <w:widowControl/>
        <w:snapToGrid w:val="0"/>
        <w:spacing w:line="360" w:lineRule="auto"/>
        <w:jc w:val="center"/>
        <w:outlineLvl w:val="1"/>
        <w:rPr>
          <w:rFonts w:hint="eastAsia" w:ascii="宋体" w:hAnsi="宋体" w:eastAsia="宋体" w:cs="宋体"/>
          <w:color w:val="auto"/>
          <w:kern w:val="0"/>
          <w:sz w:val="20"/>
          <w:highlight w:val="none"/>
        </w:rPr>
      </w:pPr>
    </w:p>
    <w:p>
      <w:pPr>
        <w:widowControl/>
        <w:snapToGrid w:val="0"/>
        <w:jc w:val="left"/>
        <w:outlineLvl w:val="1"/>
        <w:rPr>
          <w:rFonts w:hint="eastAsia" w:ascii="宋体" w:hAnsi="宋体" w:eastAsia="宋体" w:cs="宋体"/>
          <w:b/>
          <w:color w:val="auto"/>
          <w:kern w:val="0"/>
          <w:sz w:val="32"/>
          <w:szCs w:val="32"/>
          <w:highlight w:val="none"/>
        </w:rPr>
      </w:pPr>
      <w:bookmarkStart w:id="175" w:name="_Toc11405"/>
      <w:bookmarkStart w:id="176" w:name="_Toc20233"/>
      <w:bookmarkStart w:id="177" w:name="_Toc12334"/>
      <w:bookmarkStart w:id="178" w:name="_Toc1027"/>
      <w:r>
        <w:rPr>
          <w:rFonts w:hint="eastAsia" w:ascii="宋体" w:hAnsi="宋体" w:eastAsia="宋体" w:cs="宋体"/>
          <w:b/>
          <w:color w:val="auto"/>
          <w:kern w:val="0"/>
          <w:sz w:val="32"/>
          <w:szCs w:val="32"/>
          <w:highlight w:val="none"/>
        </w:rPr>
        <w:t>第五部分 招标文件、澄清与答疑文件及其他补充资料（另册）</w:t>
      </w:r>
      <w:bookmarkEnd w:id="175"/>
      <w:bookmarkEnd w:id="176"/>
      <w:bookmarkEnd w:id="177"/>
      <w:bookmarkEnd w:id="178"/>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jc w:val="left"/>
        <w:outlineLvl w:val="1"/>
        <w:rPr>
          <w:rFonts w:hint="eastAsia" w:ascii="宋体" w:hAnsi="宋体" w:eastAsia="宋体" w:cs="宋体"/>
          <w:b/>
          <w:color w:val="auto"/>
          <w:kern w:val="0"/>
          <w:sz w:val="32"/>
          <w:szCs w:val="32"/>
          <w:highlight w:val="none"/>
        </w:rPr>
      </w:pPr>
      <w:bookmarkStart w:id="179" w:name="_Toc26384"/>
      <w:bookmarkStart w:id="180" w:name="_Toc20782"/>
      <w:bookmarkStart w:id="181" w:name="_Toc32444"/>
      <w:bookmarkStart w:id="182" w:name="_Toc5410"/>
      <w:r>
        <w:rPr>
          <w:rFonts w:hint="eastAsia" w:ascii="宋体" w:hAnsi="宋体" w:eastAsia="宋体" w:cs="宋体"/>
          <w:b/>
          <w:color w:val="auto"/>
          <w:kern w:val="0"/>
          <w:sz w:val="32"/>
          <w:szCs w:val="32"/>
          <w:highlight w:val="none"/>
        </w:rPr>
        <w:t>第六部分 投标文件、澄清文件及其他补充资料（另册）</w:t>
      </w:r>
      <w:bookmarkEnd w:id="179"/>
      <w:bookmarkEnd w:id="180"/>
      <w:bookmarkEnd w:id="181"/>
      <w:bookmarkEnd w:id="182"/>
    </w:p>
    <w:p>
      <w:pPr>
        <w:tabs>
          <w:tab w:val="left" w:pos="1248"/>
        </w:tabs>
        <w:adjustRightInd w:val="0"/>
        <w:snapToGrid w:val="0"/>
        <w:spacing w:line="360" w:lineRule="auto"/>
        <w:rPr>
          <w:rFonts w:hint="eastAsia" w:ascii="宋体" w:hAnsi="宋体" w:eastAsia="宋体" w:cs="宋体"/>
          <w:color w:val="auto"/>
          <w:szCs w:val="24"/>
          <w:highlight w:val="none"/>
        </w:rPr>
      </w:pPr>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rPr>
        <w:sectPr>
          <w:pgSz w:w="11906" w:h="16838"/>
          <w:pgMar w:top="1440" w:right="1797" w:bottom="1440" w:left="1797" w:header="851" w:footer="851" w:gutter="0"/>
          <w:pgNumType w:fmt="decimal"/>
          <w:cols w:space="720" w:num="1"/>
          <w:docGrid w:linePitch="312" w:charSpace="0"/>
        </w:sectPr>
      </w:pPr>
    </w:p>
    <w:p>
      <w:pPr>
        <w:pStyle w:val="4"/>
        <w:keepNext w:val="0"/>
        <w:spacing w:after="240"/>
        <w:rPr>
          <w:rFonts w:hint="eastAsia" w:ascii="宋体" w:hAnsi="宋体" w:cs="宋体"/>
          <w:sz w:val="32"/>
          <w:szCs w:val="32"/>
        </w:rPr>
      </w:pPr>
      <w:bookmarkStart w:id="183" w:name="_Toc16096"/>
      <w:r>
        <w:rPr>
          <w:rFonts w:hint="eastAsia" w:ascii="宋体" w:hAnsi="宋体" w:cs="宋体"/>
          <w:sz w:val="32"/>
          <w:szCs w:val="32"/>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sz w:val="32"/>
          <w:szCs w:val="32"/>
        </w:rPr>
        <w:t>第六章</w:t>
      </w:r>
      <w:bookmarkStart w:id="184" w:name="_Toc14891079"/>
      <w:r>
        <w:rPr>
          <w:rFonts w:hint="eastAsia" w:ascii="宋体" w:hAnsi="宋体" w:cs="宋体"/>
          <w:sz w:val="32"/>
          <w:szCs w:val="32"/>
        </w:rPr>
        <w:t xml:space="preserve">  响应文件组成</w:t>
      </w:r>
      <w:bookmarkEnd w:id="56"/>
      <w:bookmarkEnd w:id="57"/>
      <w:bookmarkEnd w:id="58"/>
      <w:bookmarkEnd w:id="183"/>
      <w:bookmarkEnd w:id="184"/>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6"/>
        <w:spacing w:line="360" w:lineRule="auto"/>
        <w:rPr>
          <w:rFonts w:hAnsi="宋体"/>
          <w:b/>
          <w:bCs/>
          <w:sz w:val="32"/>
          <w:szCs w:val="32"/>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lang w:eastAsia="zh-CN"/>
        </w:rPr>
        <w:t>五</w:t>
      </w:r>
      <w:r>
        <w:rPr>
          <w:rFonts w:hint="eastAsia" w:ascii="宋体" w:hAnsi="宋体"/>
          <w:szCs w:val="21"/>
        </w:rPr>
        <w:t>、报价一览表</w:t>
      </w:r>
    </w:p>
    <w:p>
      <w:pPr>
        <w:adjustRightInd w:val="0"/>
        <w:snapToGrid w:val="0"/>
        <w:spacing w:line="360" w:lineRule="auto"/>
        <w:jc w:val="left"/>
        <w:rPr>
          <w:rFonts w:ascii="宋体" w:hAnsi="宋体"/>
          <w:szCs w:val="21"/>
        </w:rPr>
      </w:pPr>
      <w:r>
        <w:rPr>
          <w:rFonts w:hint="eastAsia" w:ascii="宋体" w:hAnsi="宋体"/>
          <w:szCs w:val="21"/>
          <w:lang w:val="en-US" w:eastAsia="zh-CN"/>
        </w:rPr>
        <w:t>六</w:t>
      </w:r>
      <w:r>
        <w:rPr>
          <w:rFonts w:hint="eastAsia" w:ascii="宋体" w:hAnsi="宋体"/>
          <w:szCs w:val="21"/>
        </w:rPr>
        <w:t>、分项价格表</w:t>
      </w:r>
    </w:p>
    <w:p>
      <w:pPr>
        <w:adjustRightInd w:val="0"/>
        <w:snapToGrid w:val="0"/>
        <w:spacing w:line="360" w:lineRule="auto"/>
        <w:rPr>
          <w:rFonts w:ascii="宋体" w:hAnsi="宋体"/>
          <w:szCs w:val="21"/>
        </w:rPr>
      </w:pPr>
      <w:r>
        <w:rPr>
          <w:rFonts w:hint="eastAsia" w:ascii="宋体" w:hAnsi="宋体"/>
          <w:szCs w:val="21"/>
          <w:lang w:val="en-US" w:eastAsia="zh-CN"/>
        </w:rPr>
        <w:t>七</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85" w:name="_Toc19366"/>
      <w:bookmarkStart w:id="186" w:name="_Toc22597"/>
      <w:bookmarkStart w:id="187" w:name="_Toc32569"/>
      <w:bookmarkStart w:id="188" w:name="_Toc32600"/>
      <w:bookmarkStart w:id="189" w:name="_Toc14530"/>
      <w:r>
        <w:rPr>
          <w:rFonts w:hint="eastAsia" w:ascii="宋体" w:hAnsi="宋体" w:cs="宋体"/>
          <w:b/>
          <w:sz w:val="32"/>
          <w:szCs w:val="32"/>
          <w:highlight w:val="none"/>
          <w:lang w:val="en-US" w:eastAsia="zh-CN"/>
        </w:rPr>
        <w:t>一、谈判承诺书</w:t>
      </w:r>
      <w:bookmarkEnd w:id="185"/>
      <w:bookmarkEnd w:id="186"/>
      <w:bookmarkEnd w:id="187"/>
      <w:bookmarkEnd w:id="188"/>
      <w:bookmarkEnd w:id="189"/>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6"/>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6"/>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6"/>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6"/>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6"/>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6"/>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6"/>
        <w:adjustRightInd w:val="0"/>
        <w:snapToGrid w:val="0"/>
        <w:spacing w:line="360" w:lineRule="auto"/>
        <w:rPr>
          <w:rFonts w:hAnsi="宋体"/>
        </w:rPr>
      </w:pPr>
    </w:p>
    <w:p>
      <w:pPr>
        <w:pStyle w:val="26"/>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Cs w:val="21"/>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190" w:name="_Toc3057"/>
      <w:bookmarkStart w:id="191" w:name="_Toc3026"/>
      <w:bookmarkStart w:id="192" w:name="_Toc31277"/>
      <w:bookmarkStart w:id="193" w:name="_Toc7143"/>
      <w:bookmarkStart w:id="194" w:name="_Toc1313"/>
      <w:r>
        <w:rPr>
          <w:rFonts w:hint="eastAsia" w:ascii="宋体" w:hAnsi="宋体" w:cs="宋体"/>
          <w:b/>
          <w:sz w:val="32"/>
          <w:szCs w:val="32"/>
          <w:highlight w:val="none"/>
          <w:lang w:val="en-US" w:eastAsia="zh-CN"/>
        </w:rPr>
        <w:t>二、法定代表人身份证明书</w:t>
      </w:r>
      <w:bookmarkEnd w:id="190"/>
      <w:bookmarkEnd w:id="191"/>
      <w:bookmarkEnd w:id="192"/>
      <w:bookmarkEnd w:id="193"/>
      <w:bookmarkEnd w:id="194"/>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95" w:name="_Toc761"/>
      <w:bookmarkStart w:id="196" w:name="_Toc21066"/>
      <w:bookmarkStart w:id="197" w:name="_Toc26238"/>
      <w:bookmarkStart w:id="198" w:name="_Toc14170"/>
      <w:bookmarkStart w:id="199" w:name="_Toc7854"/>
      <w:r>
        <w:rPr>
          <w:rFonts w:hint="eastAsia" w:ascii="宋体" w:hAnsi="宋体" w:cs="宋体"/>
          <w:b/>
          <w:sz w:val="32"/>
          <w:szCs w:val="32"/>
          <w:highlight w:val="none"/>
          <w:lang w:val="en-US" w:eastAsia="zh-CN"/>
        </w:rPr>
        <w:t>三、授权委托书</w:t>
      </w:r>
      <w:bookmarkEnd w:id="195"/>
      <w:bookmarkEnd w:id="196"/>
      <w:bookmarkEnd w:id="197"/>
      <w:bookmarkEnd w:id="198"/>
      <w:bookmarkEnd w:id="199"/>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pStyle w:val="14"/>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2336;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6192;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00" w:name="_Toc5450"/>
      <w:bookmarkStart w:id="201" w:name="_Toc18944"/>
      <w:bookmarkStart w:id="202" w:name="_Toc11357"/>
      <w:bookmarkStart w:id="203" w:name="_Toc2295"/>
      <w:bookmarkStart w:id="204" w:name="_Toc19252"/>
      <w:r>
        <w:rPr>
          <w:rFonts w:hint="eastAsia" w:ascii="宋体" w:hAnsi="宋体" w:cs="宋体"/>
          <w:b/>
          <w:sz w:val="32"/>
          <w:szCs w:val="32"/>
          <w:highlight w:val="none"/>
          <w:lang w:val="en-US" w:eastAsia="zh-CN"/>
        </w:rPr>
        <w:t>四、谈判单位资格证明文件</w:t>
      </w:r>
      <w:bookmarkEnd w:id="200"/>
      <w:bookmarkEnd w:id="201"/>
      <w:bookmarkEnd w:id="202"/>
      <w:bookmarkEnd w:id="203"/>
      <w:bookmarkEnd w:id="204"/>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及《营业执照》（副本）。</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2.拟任项目负责人须为湖南省级分公司副总经理（含）以上级别，须提供省级(含）以上国家保险监督管理部门对该项目负责人的任职资格核准文件及谈判单位对该项目负责人的任命文件。</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A</w:t>
      </w:r>
      <w:r>
        <w:rPr>
          <w:rFonts w:hint="eastAsia" w:ascii="宋体" w:hAnsi="宋体" w:cs="宋体"/>
          <w:highlight w:val="none"/>
        </w:rPr>
        <w:t>类。</w:t>
      </w:r>
    </w:p>
    <w:p>
      <w:pPr>
        <w:pStyle w:val="14"/>
        <w:rPr>
          <w:rFonts w:hint="eastAsia"/>
          <w:lang w:val="en-US" w:eastAsia="zh-CN"/>
        </w:rPr>
      </w:pPr>
      <w:r>
        <w:rPr>
          <w:rFonts w:hint="eastAsia" w:ascii="宋体" w:hAnsi="宋体" w:cs="宋体"/>
          <w:highlight w:val="none"/>
          <w:lang w:val="en-US" w:eastAsia="zh-CN"/>
        </w:rPr>
        <w:t>4.</w:t>
      </w:r>
      <w:r>
        <w:rPr>
          <w:rFonts w:hint="eastAsia"/>
          <w:lang w:val="en-US" w:eastAsia="zh-CN"/>
        </w:rPr>
        <w:t>谈判单位认为与本项目资格条件有关的其它证明文件（如有，格式自拟）。</w:t>
      </w:r>
    </w:p>
    <w:p>
      <w:pPr>
        <w:pStyle w:val="2"/>
        <w:ind w:left="0" w:leftChars="0" w:firstLine="0" w:firstLineChars="0"/>
        <w:rPr>
          <w:rFonts w:hint="default" w:eastAsia="宋体"/>
          <w:lang w:val="en-US" w:eastAsia="zh-CN"/>
        </w:rPr>
      </w:pPr>
    </w:p>
    <w:p>
      <w:pPr>
        <w:spacing w:line="360" w:lineRule="auto"/>
        <w:ind w:firstLine="422" w:firstLineChars="200"/>
        <w:jc w:val="left"/>
        <w:rPr>
          <w:rFonts w:ascii="宋体" w:hAnsi="宋体" w:cs="宋体"/>
          <w:b/>
          <w:bCs/>
          <w:szCs w:val="21"/>
        </w:rPr>
      </w:pPr>
      <w:r>
        <w:rPr>
          <w:rFonts w:hint="eastAsia" w:ascii="宋体" w:hAnsi="宋体"/>
          <w:b/>
          <w:bCs/>
          <w:szCs w:val="21"/>
        </w:rPr>
        <w:t>备注：</w:t>
      </w:r>
      <w:r>
        <w:rPr>
          <w:rFonts w:hint="eastAsia" w:ascii="宋体" w:hAnsi="宋体" w:cs="宋体"/>
          <w:b/>
          <w:bCs/>
          <w:szCs w:val="21"/>
        </w:rPr>
        <w:t>上述证明文件复印件均须加盖谈判单位公章（鲜章）。</w:t>
      </w:r>
    </w:p>
    <w:p>
      <w:pPr>
        <w:adjustRightInd w:val="0"/>
        <w:snapToGrid w:val="0"/>
        <w:spacing w:line="360" w:lineRule="auto"/>
        <w:ind w:firstLine="422" w:firstLineChars="200"/>
        <w:rPr>
          <w:rFonts w:ascii="宋体" w:hAnsi="宋体"/>
          <w:b/>
          <w:bCs/>
          <w:szCs w:val="21"/>
        </w:rPr>
      </w:pPr>
    </w:p>
    <w:p>
      <w:pPr>
        <w:pStyle w:val="14"/>
      </w:pPr>
    </w:p>
    <w:p>
      <w:pPr>
        <w:pStyle w:val="14"/>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05" w:name="_Toc26602"/>
      <w:bookmarkStart w:id="206" w:name="_Toc5387"/>
      <w:bookmarkStart w:id="207" w:name="_Toc25553"/>
      <w:bookmarkStart w:id="208" w:name="_Toc15835"/>
      <w:bookmarkStart w:id="209" w:name="_Toc211"/>
      <w:r>
        <w:rPr>
          <w:rFonts w:hint="eastAsia" w:ascii="宋体" w:hAnsi="宋体" w:cs="宋体"/>
          <w:b/>
          <w:sz w:val="32"/>
          <w:szCs w:val="32"/>
          <w:highlight w:val="none"/>
          <w:lang w:val="en-US" w:eastAsia="zh-CN"/>
        </w:rPr>
        <w:t>五、报价一览表</w:t>
      </w:r>
      <w:bookmarkEnd w:id="205"/>
      <w:bookmarkEnd w:id="206"/>
      <w:bookmarkEnd w:id="207"/>
      <w:bookmarkEnd w:id="208"/>
      <w:bookmarkEnd w:id="209"/>
    </w:p>
    <w:p>
      <w:pPr>
        <w:adjustRightInd w:val="0"/>
        <w:snapToGrid w:val="0"/>
        <w:jc w:val="right"/>
        <w:rPr>
          <w:rFonts w:ascii="黑体" w:hAnsi="宋体" w:eastAsia="黑体"/>
          <w:sz w:val="24"/>
        </w:rPr>
      </w:pPr>
    </w:p>
    <w:tbl>
      <w:tblPr>
        <w:tblStyle w:val="4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szCs w:val="21"/>
              </w:rPr>
            </w:pPr>
            <w:r>
              <w:rPr>
                <w:rFonts w:hint="eastAsia" w:ascii="宋体" w:hAnsi="宋体"/>
                <w:szCs w:val="21"/>
              </w:rPr>
              <w:t>谈判</w:t>
            </w:r>
            <w:r>
              <w:rPr>
                <w:rFonts w:ascii="宋体" w:hAnsi="宋体"/>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pStyle w:val="28"/>
        <w:adjustRightInd w:val="0"/>
        <w:snapToGrid w:val="0"/>
        <w:spacing w:line="360" w:lineRule="auto"/>
        <w:rPr>
          <w:rFonts w:ascii="宋体" w:hAnsi="宋体"/>
          <w:bCs/>
          <w:sz w:val="21"/>
          <w:szCs w:val="21"/>
        </w:rPr>
      </w:pPr>
      <w:bookmarkStart w:id="210" w:name="_Toc5231"/>
      <w:r>
        <w:rPr>
          <w:rFonts w:hint="eastAsia" w:ascii="宋体" w:hAnsi="宋体"/>
          <w:sz w:val="21"/>
          <w:szCs w:val="21"/>
        </w:rPr>
        <w:t>谈判单位名称：</w:t>
      </w:r>
      <w:r>
        <w:rPr>
          <w:rFonts w:hint="eastAsia" w:ascii="宋体" w:hAnsi="宋体"/>
          <w:sz w:val="21"/>
          <w:szCs w:val="21"/>
          <w:u w:val="single"/>
        </w:rPr>
        <w:t xml:space="preserve">    （盖单位章）</w:t>
      </w:r>
      <w:bookmarkEnd w:id="210"/>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11" w:name="_Toc28605"/>
      <w:r>
        <w:rPr>
          <w:rFonts w:hint="eastAsia" w:ascii="宋体" w:hAnsi="宋体"/>
          <w:szCs w:val="21"/>
        </w:rPr>
        <w:t>法定代表人或其委托代理人(签字或盖章)：</w:t>
      </w:r>
      <w:bookmarkEnd w:id="211"/>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12" w:name="_Toc24869"/>
      <w:bookmarkStart w:id="213" w:name="_Toc17375"/>
      <w:r>
        <w:rPr>
          <w:rFonts w:hint="eastAsia" w:ascii="宋体" w:hAnsi="宋体" w:cs="宋体"/>
          <w:b/>
          <w:sz w:val="32"/>
          <w:szCs w:val="32"/>
          <w:highlight w:val="none"/>
          <w:lang w:val="en-US" w:eastAsia="zh-CN"/>
        </w:rPr>
        <w:t>六、分项价格表</w:t>
      </w:r>
      <w:bookmarkEnd w:id="212"/>
      <w:bookmarkEnd w:id="213"/>
    </w:p>
    <w:p>
      <w:pPr>
        <w:pStyle w:val="14"/>
        <w:ind w:left="0" w:leftChars="0"/>
        <w:rPr>
          <w:highlight w:val="none"/>
        </w:rPr>
      </w:pPr>
    </w:p>
    <w:p>
      <w:pPr>
        <w:adjustRightInd w:val="0"/>
        <w:snapToGrid w:val="0"/>
        <w:spacing w:line="360" w:lineRule="auto"/>
        <w:rPr>
          <w:rFonts w:hint="eastAsia" w:ascii="宋体" w:hAnsi="宋体"/>
          <w:szCs w:val="21"/>
          <w:highlight w:val="none"/>
          <w:lang w:eastAsia="zh-CN"/>
        </w:rPr>
      </w:pPr>
      <w:r>
        <w:rPr>
          <w:rFonts w:ascii="宋体" w:hAnsi="宋体"/>
          <w:szCs w:val="21"/>
          <w:highlight w:val="none"/>
        </w:rPr>
        <w:t>项目名称</w:t>
      </w:r>
      <w:r>
        <w:rPr>
          <w:rFonts w:hint="eastAsia" w:ascii="宋体" w:hAnsi="宋体"/>
          <w:szCs w:val="21"/>
          <w:highlight w:val="none"/>
          <w:lang w:eastAsia="zh-CN"/>
        </w:rPr>
        <w:t>：</w:t>
      </w:r>
    </w:p>
    <w:p>
      <w:pPr>
        <w:pStyle w:val="2"/>
        <w:ind w:left="0" w:leftChars="0" w:firstLine="0" w:firstLineChars="0"/>
        <w:rPr>
          <w:rFonts w:hint="eastAsia" w:eastAsia="宋体"/>
          <w:lang w:eastAsia="zh-CN"/>
        </w:rPr>
      </w:pPr>
      <w:r>
        <w:rPr>
          <w:rFonts w:hint="eastAsia" w:ascii="宋体" w:hAnsi="宋体"/>
          <w:szCs w:val="21"/>
          <w:highlight w:val="none"/>
        </w:rPr>
        <w:t>项目</w:t>
      </w:r>
      <w:r>
        <w:rPr>
          <w:rFonts w:ascii="宋体" w:hAnsi="宋体"/>
          <w:szCs w:val="21"/>
          <w:highlight w:val="none"/>
        </w:rPr>
        <w:t>编号</w:t>
      </w:r>
      <w:r>
        <w:rPr>
          <w:rFonts w:hint="eastAsia" w:ascii="宋体" w:hAnsi="宋体"/>
          <w:szCs w:val="21"/>
          <w:highlight w:val="none"/>
          <w:lang w:eastAsia="zh-CN"/>
        </w:rPr>
        <w:t>：</w:t>
      </w:r>
    </w:p>
    <w:tbl>
      <w:tblPr>
        <w:tblStyle w:val="47"/>
        <w:tblW w:w="88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4"/>
        <w:gridCol w:w="2960"/>
        <w:gridCol w:w="1130"/>
        <w:gridCol w:w="108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4"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w:t>
            </w:r>
          </w:p>
        </w:tc>
        <w:tc>
          <w:tcPr>
            <w:tcW w:w="10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28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从业人员部分</w:t>
            </w:r>
          </w:p>
        </w:tc>
        <w:tc>
          <w:tcPr>
            <w:tcW w:w="11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1080" w:type="dxa"/>
            <w:shd w:val="clear" w:color="auto" w:fill="auto"/>
            <w:vAlign w:val="center"/>
          </w:tcPr>
          <w:p>
            <w:pPr>
              <w:rPr>
                <w:rFonts w:hint="eastAsia" w:ascii="宋体" w:hAnsi="宋体" w:eastAsia="宋体" w:cs="宋体"/>
                <w:i w:val="0"/>
                <w:iCs w:val="0"/>
                <w:color w:val="000000"/>
                <w:sz w:val="22"/>
                <w:szCs w:val="22"/>
                <w:u w:val="none"/>
              </w:rPr>
            </w:pPr>
          </w:p>
        </w:tc>
        <w:tc>
          <w:tcPr>
            <w:tcW w:w="2890" w:type="dxa"/>
            <w:shd w:val="clear" w:color="auto" w:fill="auto"/>
            <w:noWrap/>
            <w:vAlign w:val="top"/>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乘客部分</w:t>
            </w:r>
          </w:p>
        </w:tc>
        <w:tc>
          <w:tcPr>
            <w:tcW w:w="11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9380</w:t>
            </w:r>
          </w:p>
        </w:tc>
        <w:tc>
          <w:tcPr>
            <w:tcW w:w="1080" w:type="dxa"/>
            <w:shd w:val="clear" w:color="auto" w:fill="auto"/>
            <w:vAlign w:val="center"/>
          </w:tcPr>
          <w:p>
            <w:pPr>
              <w:rPr>
                <w:rFonts w:hint="eastAsia" w:ascii="宋体" w:hAnsi="宋体" w:eastAsia="宋体" w:cs="宋体"/>
                <w:i w:val="0"/>
                <w:iCs w:val="0"/>
                <w:color w:val="000000"/>
                <w:sz w:val="22"/>
                <w:szCs w:val="22"/>
                <w:u w:val="none"/>
              </w:rPr>
            </w:pPr>
          </w:p>
        </w:tc>
        <w:tc>
          <w:tcPr>
            <w:tcW w:w="2890" w:type="dxa"/>
            <w:shd w:val="clear" w:color="auto" w:fill="auto"/>
            <w:noWrap/>
            <w:vAlign w:val="top"/>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60" w:type="dxa"/>
            <w:shd w:val="clear" w:color="auto" w:fill="auto"/>
            <w:vAlign w:val="center"/>
          </w:tcPr>
          <w:p>
            <w:pPr>
              <w:tabs>
                <w:tab w:val="left" w:pos="403"/>
                <w:tab w:val="center" w:pos="3781"/>
              </w:tabs>
              <w:spacing w:line="420" w:lineRule="exact"/>
              <w:ind w:left="0" w:leftChars="0" w:right="-5206" w:rightChars="-2479" w:firstLine="0" w:firstLineChars="0"/>
              <w:rPr>
                <w:rFonts w:hint="eastAsia" w:ascii="宋体" w:hAnsi="宋体" w:eastAsia="宋体" w:cs="宋体"/>
                <w:i w:val="0"/>
                <w:iCs w:val="0"/>
                <w:color w:val="000000"/>
                <w:sz w:val="22"/>
                <w:szCs w:val="22"/>
                <w:u w:val="none"/>
                <w:lang w:eastAsia="zh-CN"/>
              </w:rPr>
            </w:pPr>
            <w:r>
              <w:rPr>
                <w:rFonts w:hint="eastAsia" w:ascii="宋体" w:hAnsi="宋体"/>
                <w:szCs w:val="21"/>
                <w:highlight w:val="none"/>
              </w:rPr>
              <w:t>第三者（不含乘客）责任</w:t>
            </w:r>
            <w:r>
              <w:rPr>
                <w:rFonts w:hint="eastAsia" w:ascii="宋体" w:hAnsi="宋体" w:eastAsia="宋体" w:cs="宋体"/>
                <w:i w:val="0"/>
                <w:iCs w:val="0"/>
                <w:color w:val="000000"/>
                <w:kern w:val="0"/>
                <w:sz w:val="22"/>
                <w:szCs w:val="22"/>
                <w:u w:val="none"/>
                <w:lang w:val="en-US" w:eastAsia="zh-CN" w:bidi="ar"/>
              </w:rPr>
              <w:t>部分</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shd w:val="clear" w:color="auto" w:fill="auto"/>
            <w:vAlign w:val="center"/>
          </w:tcPr>
          <w:p>
            <w:pPr>
              <w:rPr>
                <w:rFonts w:hint="eastAsia" w:ascii="宋体" w:hAnsi="宋体" w:eastAsia="宋体" w:cs="宋体"/>
                <w:i w:val="0"/>
                <w:iCs w:val="0"/>
                <w:color w:val="000000"/>
                <w:sz w:val="22"/>
                <w:szCs w:val="22"/>
                <w:u w:val="none"/>
              </w:rPr>
            </w:pPr>
          </w:p>
        </w:tc>
        <w:tc>
          <w:tcPr>
            <w:tcW w:w="2890" w:type="dxa"/>
            <w:shd w:val="clear" w:color="auto" w:fill="auto"/>
            <w:noWrap/>
            <w:vAlign w:val="top"/>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814" w:type="dxa"/>
            <w:shd w:val="clear" w:color="auto" w:fill="auto"/>
            <w:noWrap/>
            <w:vAlign w:val="center"/>
          </w:tcPr>
          <w:p>
            <w:pPr>
              <w:ind w:firstLine="220" w:firstLineChars="10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17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90" w:type="dxa"/>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87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注：1.人员数量（含从业人员及乘客部分）将根据实际投保人员名单进行计算，如人员增加，则不调整费用；如人员减少，则按照报价扣减相应部分费用。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2.乘客人数=平均每日每车次乘客人数*每日运行车辆</w:t>
            </w:r>
            <w:r>
              <w:rPr>
                <w:rFonts w:hint="eastAsia" w:ascii="宋体" w:hAnsi="宋体" w:cs="宋体"/>
                <w:i w:val="0"/>
                <w:iCs w:val="0"/>
                <w:color w:val="000000"/>
                <w:kern w:val="0"/>
                <w:sz w:val="22"/>
                <w:szCs w:val="22"/>
                <w:u w:val="none"/>
                <w:lang w:val="en-US" w:eastAsia="zh-CN" w:bidi="ar"/>
              </w:rPr>
              <w:t>数</w:t>
            </w:r>
            <w:r>
              <w:rPr>
                <w:rFonts w:hint="eastAsia" w:ascii="宋体" w:hAnsi="宋体" w:eastAsia="宋体" w:cs="宋体"/>
                <w:i w:val="0"/>
                <w:iCs w:val="0"/>
                <w:color w:val="000000"/>
                <w:kern w:val="0"/>
                <w:sz w:val="22"/>
                <w:szCs w:val="22"/>
                <w:u w:val="none"/>
                <w:lang w:val="en-US" w:eastAsia="zh-CN" w:bidi="ar"/>
              </w:rPr>
              <w:t>。</w:t>
            </w:r>
          </w:p>
        </w:tc>
      </w:tr>
    </w:tbl>
    <w:p>
      <w:pPr>
        <w:adjustRightInd w:val="0"/>
        <w:snapToGrid w:val="0"/>
        <w:spacing w:line="360" w:lineRule="auto"/>
        <w:ind w:left="-88" w:leftChars="-42"/>
        <w:rPr>
          <w:rFonts w:hint="eastAsia" w:ascii="宋体" w:hAnsi="宋体"/>
          <w:b/>
          <w:szCs w:val="21"/>
          <w:highlight w:val="none"/>
        </w:rPr>
      </w:pPr>
    </w:p>
    <w:p>
      <w:pPr>
        <w:adjustRightInd w:val="0"/>
        <w:snapToGrid w:val="0"/>
        <w:spacing w:line="360" w:lineRule="auto"/>
        <w:ind w:left="-88" w:leftChars="-42"/>
        <w:rPr>
          <w:rFonts w:ascii="宋体" w:hAnsi="宋体"/>
          <w:b/>
          <w:szCs w:val="21"/>
          <w:highlight w:val="none"/>
        </w:rPr>
      </w:pPr>
      <w:r>
        <w:rPr>
          <w:rFonts w:hint="eastAsia" w:ascii="宋体" w:hAnsi="宋体"/>
          <w:b/>
          <w:szCs w:val="21"/>
          <w:highlight w:val="none"/>
        </w:rPr>
        <w:t>备注：所有报价保留小数点后两位，小数点后第三位“四舍五入”。</w:t>
      </w:r>
    </w:p>
    <w:p>
      <w:pPr>
        <w:pStyle w:val="28"/>
        <w:adjustRightInd w:val="0"/>
        <w:snapToGrid w:val="0"/>
        <w:spacing w:line="360" w:lineRule="auto"/>
        <w:outlineLvl w:val="0"/>
        <w:rPr>
          <w:rFonts w:ascii="宋体" w:hAnsi="宋体"/>
          <w:sz w:val="21"/>
          <w:szCs w:val="21"/>
          <w:highlight w:val="none"/>
        </w:rPr>
      </w:pPr>
    </w:p>
    <w:p>
      <w:pPr>
        <w:pStyle w:val="28"/>
        <w:adjustRightInd w:val="0"/>
        <w:snapToGrid w:val="0"/>
        <w:spacing w:line="360" w:lineRule="auto"/>
        <w:ind w:firstLine="420" w:firstLineChars="200"/>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ind w:firstLine="420" w:firstLineChars="200"/>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jc w:val="center"/>
        <w:outlineLvl w:val="1"/>
        <w:rPr>
          <w:rFonts w:ascii="宋体" w:hAnsi="宋体"/>
          <w:b/>
          <w:szCs w:val="21"/>
          <w:highlight w:val="none"/>
        </w:rPr>
      </w:pPr>
    </w:p>
    <w:p>
      <w:pPr>
        <w:adjustRightInd w:val="0"/>
        <w:snapToGrid w:val="0"/>
        <w:jc w:val="center"/>
        <w:rPr>
          <w:rFonts w:ascii="黑体" w:hAnsi="宋体" w:eastAsia="黑体"/>
          <w:b/>
          <w:sz w:val="32"/>
          <w:szCs w:val="32"/>
          <w:highlight w:val="none"/>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14" w:name="_Toc27585"/>
      <w:bookmarkStart w:id="215" w:name="_Toc22739"/>
      <w:bookmarkStart w:id="216" w:name="_Toc9077"/>
      <w:bookmarkStart w:id="217" w:name="_Toc16771"/>
      <w:bookmarkStart w:id="218" w:name="_Toc28937"/>
      <w:bookmarkStart w:id="219" w:name="_Toc27293"/>
      <w:r>
        <w:rPr>
          <w:rFonts w:hint="eastAsia" w:ascii="宋体" w:hAnsi="宋体" w:cs="宋体"/>
          <w:b/>
          <w:sz w:val="32"/>
          <w:szCs w:val="32"/>
          <w:highlight w:val="none"/>
          <w:lang w:val="en-US" w:eastAsia="zh-CN"/>
        </w:rPr>
        <w:t>七、其他资料</w:t>
      </w:r>
      <w:bookmarkEnd w:id="214"/>
      <w:bookmarkEnd w:id="215"/>
      <w:bookmarkEnd w:id="216"/>
      <w:r>
        <w:rPr>
          <w:rFonts w:hint="eastAsia" w:ascii="宋体" w:hAnsi="宋体" w:cs="宋体"/>
          <w:b/>
          <w:sz w:val="32"/>
          <w:szCs w:val="32"/>
          <w:highlight w:val="none"/>
          <w:lang w:val="en-US" w:eastAsia="zh-CN"/>
        </w:rPr>
        <w:t>（如有）</w:t>
      </w:r>
      <w:bookmarkEnd w:id="217"/>
      <w:bookmarkEnd w:id="218"/>
      <w:bookmarkEnd w:id="219"/>
    </w:p>
    <w:p>
      <w:pPr>
        <w:adjustRightInd w:val="0"/>
        <w:snapToGrid w:val="0"/>
        <w:spacing w:before="156" w:beforeLines="50" w:line="360" w:lineRule="auto"/>
        <w:ind w:firstLine="420" w:firstLineChars="200"/>
        <w:jc w:val="left"/>
        <w:rPr>
          <w:rFonts w:ascii="宋体" w:hAnsi="宋体"/>
          <w:szCs w:val="21"/>
        </w:rPr>
      </w:pPr>
      <w:bookmarkStart w:id="220" w:name="_Toc22084"/>
      <w:bookmarkStart w:id="221" w:name="_Toc10648"/>
      <w:bookmarkStart w:id="222" w:name="_Toc5412"/>
      <w:bookmarkStart w:id="223" w:name="_Toc18188"/>
      <w:r>
        <w:rPr>
          <w:rFonts w:hint="eastAsia" w:ascii="宋体" w:hAnsi="宋体"/>
          <w:szCs w:val="21"/>
        </w:rPr>
        <w:t>谈判单位认为需要提供的其他报价资料，格式自拟。</w:t>
      </w:r>
      <w:bookmarkEnd w:id="220"/>
      <w:bookmarkEnd w:id="221"/>
      <w:bookmarkEnd w:id="222"/>
      <w:bookmarkEnd w:id="223"/>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4"/>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4"/>
                    </w:pP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4"/>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4"/>
                    </w:pP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kLcYBAACc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SBJnLD04uefP86//px/f2fL&#10;pE/vsaKyO0+FcfgAA9XOcaRgoj20waYvEWKUJ6jTRV01RCbTpdVytSopJSk3O4RfPF33AeNHBZYl&#10;o+aBni+rKo6fMY6lc0nq5uBWG5Of0Li/AoQ5RlTegel2YjJOnKw47IaJ3g6aE7HraQ9q7mjtOTOf&#10;HMlM08bZCLOxm4zUEf37Q6Qx8nQJdYQiVsmhR8v8pgVLW/Hcz1VPP9X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6QtxgEAAJwDAAAOAAAAAAAAAAEAIAAAAB4BAABkcnMvZTJvRG9jLnht&#10;bFBLBQYAAAAABgAGAFkBAABWBQAAAAA=&#10;">
              <v:fill on="f" focussize="0,0"/>
              <v:stroke on="f"/>
              <v:imagedata o:title=""/>
              <o:lock v:ext="edit" aspectratio="f"/>
              <v:textbox inset="0mm,0mm,0mm,0mm" style="mso-fit-shape-to-text:t;">
                <w:txbxContent>
                  <w:p>
                    <w:pPr>
                      <w:pStyle w:val="31"/>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5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5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36502"/>
    <w:multiLevelType w:val="singleLevel"/>
    <w:tmpl w:val="BDE36502"/>
    <w:lvl w:ilvl="0" w:tentative="0">
      <w:start w:val="2"/>
      <w:numFmt w:val="chineseCounting"/>
      <w:suff w:val="space"/>
      <w:lvlText w:val="第%1部分"/>
      <w:lvlJc w:val="left"/>
      <w:rPr>
        <w:rFonts w:hint="eastAsia"/>
      </w:rPr>
    </w:lvl>
  </w:abstractNum>
  <w:abstractNum w:abstractNumId="1">
    <w:nsid w:val="F6853A79"/>
    <w:multiLevelType w:val="singleLevel"/>
    <w:tmpl w:val="F6853A79"/>
    <w:lvl w:ilvl="0" w:tentative="0">
      <w:start w:val="1"/>
      <w:numFmt w:val="chineseCounting"/>
      <w:suff w:val="space"/>
      <w:lvlText w:val="第%1章"/>
      <w:lvlJc w:val="left"/>
      <w:rPr>
        <w:rFonts w:hint="eastAsia"/>
      </w:rPr>
    </w:lvl>
  </w:abstractNum>
  <w:abstractNum w:abstractNumId="2">
    <w:nsid w:val="FE293A88"/>
    <w:multiLevelType w:val="singleLevel"/>
    <w:tmpl w:val="FE293A88"/>
    <w:lvl w:ilvl="0" w:tentative="0">
      <w:start w:val="3"/>
      <w:numFmt w:val="chineseCounting"/>
      <w:pStyle w:val="359"/>
      <w:suff w:val="nothing"/>
      <w:lvlText w:val="%1、"/>
      <w:lvlJc w:val="left"/>
      <w:rPr>
        <w:rFonts w:hint="eastAsia"/>
      </w:rPr>
    </w:lvl>
  </w:abstractNum>
  <w:abstractNum w:abstractNumId="3">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A79326"/>
    <w:multiLevelType w:val="singleLevel"/>
    <w:tmpl w:val="27A79326"/>
    <w:lvl w:ilvl="0" w:tentative="0">
      <w:start w:val="1"/>
      <w:numFmt w:val="decimal"/>
      <w:suff w:val="nothing"/>
      <w:lvlText w:val="（%1）"/>
      <w:lvlJc w:val="left"/>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A3B1E"/>
    <w:rsid w:val="004B3D80"/>
    <w:rsid w:val="004B41B1"/>
    <w:rsid w:val="00504DED"/>
    <w:rsid w:val="00526589"/>
    <w:rsid w:val="00545140"/>
    <w:rsid w:val="0055214F"/>
    <w:rsid w:val="005556A5"/>
    <w:rsid w:val="0056117D"/>
    <w:rsid w:val="0056143E"/>
    <w:rsid w:val="005837A3"/>
    <w:rsid w:val="0058754B"/>
    <w:rsid w:val="005901FF"/>
    <w:rsid w:val="005B35B9"/>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E5673"/>
    <w:rsid w:val="00DF363F"/>
    <w:rsid w:val="00E04FD6"/>
    <w:rsid w:val="00E24889"/>
    <w:rsid w:val="00E32EEF"/>
    <w:rsid w:val="00E342DB"/>
    <w:rsid w:val="00E5084D"/>
    <w:rsid w:val="00E60C44"/>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6AFF"/>
    <w:rsid w:val="01375331"/>
    <w:rsid w:val="01403F6F"/>
    <w:rsid w:val="014D6F55"/>
    <w:rsid w:val="01932790"/>
    <w:rsid w:val="01954694"/>
    <w:rsid w:val="01EA6EEC"/>
    <w:rsid w:val="01F95304"/>
    <w:rsid w:val="021B19D1"/>
    <w:rsid w:val="022573A2"/>
    <w:rsid w:val="02263AD9"/>
    <w:rsid w:val="024C0DC0"/>
    <w:rsid w:val="02787973"/>
    <w:rsid w:val="02787D91"/>
    <w:rsid w:val="029A1968"/>
    <w:rsid w:val="02AB7973"/>
    <w:rsid w:val="02BF5617"/>
    <w:rsid w:val="02FB4FEB"/>
    <w:rsid w:val="0347095C"/>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8A78E0"/>
    <w:rsid w:val="089F6734"/>
    <w:rsid w:val="093252EE"/>
    <w:rsid w:val="09422E59"/>
    <w:rsid w:val="094A4EE7"/>
    <w:rsid w:val="0959407C"/>
    <w:rsid w:val="097D1C20"/>
    <w:rsid w:val="098A3350"/>
    <w:rsid w:val="099143C9"/>
    <w:rsid w:val="09A23D38"/>
    <w:rsid w:val="09AB154E"/>
    <w:rsid w:val="0A2948BE"/>
    <w:rsid w:val="0A316A36"/>
    <w:rsid w:val="0A451CA7"/>
    <w:rsid w:val="0AE24958"/>
    <w:rsid w:val="0AF5398A"/>
    <w:rsid w:val="0AF74A1D"/>
    <w:rsid w:val="0B4432D5"/>
    <w:rsid w:val="0B590F4A"/>
    <w:rsid w:val="0B623D9F"/>
    <w:rsid w:val="0B8511E8"/>
    <w:rsid w:val="0BAA700E"/>
    <w:rsid w:val="0BEB10E2"/>
    <w:rsid w:val="0C1A66D1"/>
    <w:rsid w:val="0C411CD0"/>
    <w:rsid w:val="0C5B1FA9"/>
    <w:rsid w:val="0C8E4136"/>
    <w:rsid w:val="0CA062F8"/>
    <w:rsid w:val="0CED2457"/>
    <w:rsid w:val="0D2C1377"/>
    <w:rsid w:val="0D407C62"/>
    <w:rsid w:val="0D5C5AB2"/>
    <w:rsid w:val="0D614F04"/>
    <w:rsid w:val="0D6A4C3D"/>
    <w:rsid w:val="0D6B79A8"/>
    <w:rsid w:val="0D9E6BAD"/>
    <w:rsid w:val="0DBD7268"/>
    <w:rsid w:val="0DCC335E"/>
    <w:rsid w:val="0DF87606"/>
    <w:rsid w:val="0E04554D"/>
    <w:rsid w:val="0E0C0187"/>
    <w:rsid w:val="0E94477A"/>
    <w:rsid w:val="0EBC2000"/>
    <w:rsid w:val="0EEF718A"/>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1F04209"/>
    <w:rsid w:val="11F35B70"/>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F25C65"/>
    <w:rsid w:val="161C194F"/>
    <w:rsid w:val="167D6633"/>
    <w:rsid w:val="16C7330C"/>
    <w:rsid w:val="16CE41FA"/>
    <w:rsid w:val="16E77616"/>
    <w:rsid w:val="16F862E2"/>
    <w:rsid w:val="170A508C"/>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670F56"/>
    <w:rsid w:val="1CE400B3"/>
    <w:rsid w:val="1D2119DA"/>
    <w:rsid w:val="1D481945"/>
    <w:rsid w:val="1D89780A"/>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413875"/>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091012"/>
    <w:rsid w:val="24552B00"/>
    <w:rsid w:val="24582CE4"/>
    <w:rsid w:val="24644BDE"/>
    <w:rsid w:val="246C3202"/>
    <w:rsid w:val="24CD7C86"/>
    <w:rsid w:val="250462EA"/>
    <w:rsid w:val="252D7657"/>
    <w:rsid w:val="25355DF2"/>
    <w:rsid w:val="25390605"/>
    <w:rsid w:val="253A3746"/>
    <w:rsid w:val="25671777"/>
    <w:rsid w:val="256C29A0"/>
    <w:rsid w:val="25752417"/>
    <w:rsid w:val="25933BDB"/>
    <w:rsid w:val="25B66BA8"/>
    <w:rsid w:val="25E70ABF"/>
    <w:rsid w:val="25EF71CB"/>
    <w:rsid w:val="266E4660"/>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582ED3"/>
    <w:rsid w:val="2A6F6EBA"/>
    <w:rsid w:val="2A830C79"/>
    <w:rsid w:val="2AD11736"/>
    <w:rsid w:val="2B1029CF"/>
    <w:rsid w:val="2B1D6E88"/>
    <w:rsid w:val="2B5F0E77"/>
    <w:rsid w:val="2B7F64C1"/>
    <w:rsid w:val="2BA3212D"/>
    <w:rsid w:val="2BE7007A"/>
    <w:rsid w:val="2BFE408A"/>
    <w:rsid w:val="2C234403"/>
    <w:rsid w:val="2C754C1B"/>
    <w:rsid w:val="2C7E307C"/>
    <w:rsid w:val="2CB607A0"/>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17169E"/>
    <w:rsid w:val="3022617D"/>
    <w:rsid w:val="30464B56"/>
    <w:rsid w:val="30473068"/>
    <w:rsid w:val="307C2C0D"/>
    <w:rsid w:val="30967620"/>
    <w:rsid w:val="30BD1FE5"/>
    <w:rsid w:val="30F36C74"/>
    <w:rsid w:val="30F90CD1"/>
    <w:rsid w:val="30F9318B"/>
    <w:rsid w:val="31272F44"/>
    <w:rsid w:val="313411D8"/>
    <w:rsid w:val="31936105"/>
    <w:rsid w:val="31AE740B"/>
    <w:rsid w:val="31B658D4"/>
    <w:rsid w:val="32316E69"/>
    <w:rsid w:val="325B404D"/>
    <w:rsid w:val="32887E5F"/>
    <w:rsid w:val="329A50AF"/>
    <w:rsid w:val="329E5AD1"/>
    <w:rsid w:val="32AB26C8"/>
    <w:rsid w:val="32CC51E5"/>
    <w:rsid w:val="32E6051A"/>
    <w:rsid w:val="32F33B15"/>
    <w:rsid w:val="33A718ED"/>
    <w:rsid w:val="33AA3E3F"/>
    <w:rsid w:val="34AC6BE3"/>
    <w:rsid w:val="34EB329F"/>
    <w:rsid w:val="34FE1F7D"/>
    <w:rsid w:val="35075DF5"/>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6E70A4"/>
    <w:rsid w:val="37824D2F"/>
    <w:rsid w:val="37921B32"/>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3FFD7E39"/>
    <w:rsid w:val="401924B3"/>
    <w:rsid w:val="401F021A"/>
    <w:rsid w:val="404148A6"/>
    <w:rsid w:val="40572AB6"/>
    <w:rsid w:val="405D3459"/>
    <w:rsid w:val="4068264C"/>
    <w:rsid w:val="4070225D"/>
    <w:rsid w:val="407728FD"/>
    <w:rsid w:val="40CA0DB3"/>
    <w:rsid w:val="40DC5CDB"/>
    <w:rsid w:val="410603FC"/>
    <w:rsid w:val="410D06B8"/>
    <w:rsid w:val="41A274B6"/>
    <w:rsid w:val="41C034AF"/>
    <w:rsid w:val="41E85DF3"/>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2F56C6"/>
    <w:rsid w:val="4655670F"/>
    <w:rsid w:val="46CD6A3D"/>
    <w:rsid w:val="46D23AA8"/>
    <w:rsid w:val="46D446A7"/>
    <w:rsid w:val="47165D61"/>
    <w:rsid w:val="471E287B"/>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165079"/>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D177C"/>
    <w:rsid w:val="4E6E459C"/>
    <w:rsid w:val="4E98618A"/>
    <w:rsid w:val="4E9D352C"/>
    <w:rsid w:val="4EB95E17"/>
    <w:rsid w:val="4F6B02B8"/>
    <w:rsid w:val="4FA43165"/>
    <w:rsid w:val="4FB6214D"/>
    <w:rsid w:val="4FFA2095"/>
    <w:rsid w:val="50744E04"/>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3EC2A4F"/>
    <w:rsid w:val="5444354A"/>
    <w:rsid w:val="54696247"/>
    <w:rsid w:val="547A6B2A"/>
    <w:rsid w:val="54C51909"/>
    <w:rsid w:val="551D6AF9"/>
    <w:rsid w:val="553C37DA"/>
    <w:rsid w:val="55A60ADC"/>
    <w:rsid w:val="55B873B9"/>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0A5802"/>
    <w:rsid w:val="5812512F"/>
    <w:rsid w:val="588C140C"/>
    <w:rsid w:val="58B21650"/>
    <w:rsid w:val="58C00F3E"/>
    <w:rsid w:val="59103E6F"/>
    <w:rsid w:val="59373C72"/>
    <w:rsid w:val="5945207E"/>
    <w:rsid w:val="595B4F2E"/>
    <w:rsid w:val="596C42A4"/>
    <w:rsid w:val="596D221D"/>
    <w:rsid w:val="59A237B5"/>
    <w:rsid w:val="59A77712"/>
    <w:rsid w:val="59B02759"/>
    <w:rsid w:val="5A112694"/>
    <w:rsid w:val="5A7122F9"/>
    <w:rsid w:val="5A72604D"/>
    <w:rsid w:val="5A7F77CE"/>
    <w:rsid w:val="5AA20C09"/>
    <w:rsid w:val="5ABC5F71"/>
    <w:rsid w:val="5AF81EC0"/>
    <w:rsid w:val="5B0E4DAE"/>
    <w:rsid w:val="5B0E6862"/>
    <w:rsid w:val="5B58464F"/>
    <w:rsid w:val="5B8509D1"/>
    <w:rsid w:val="5B90297B"/>
    <w:rsid w:val="5BB60639"/>
    <w:rsid w:val="5C11606C"/>
    <w:rsid w:val="5C2A6C04"/>
    <w:rsid w:val="5C4E0A2D"/>
    <w:rsid w:val="5C524815"/>
    <w:rsid w:val="5C64452B"/>
    <w:rsid w:val="5C7719CE"/>
    <w:rsid w:val="5C8E79BD"/>
    <w:rsid w:val="5CFF599B"/>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ECB7A33"/>
    <w:rsid w:val="5EF2227C"/>
    <w:rsid w:val="5F111534"/>
    <w:rsid w:val="5F2E484C"/>
    <w:rsid w:val="5FAA1F53"/>
    <w:rsid w:val="5FBC6FFC"/>
    <w:rsid w:val="5FC55AAA"/>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27E7D"/>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5DE6E4F"/>
    <w:rsid w:val="66126967"/>
    <w:rsid w:val="66780DEE"/>
    <w:rsid w:val="668E1E21"/>
    <w:rsid w:val="66926F8C"/>
    <w:rsid w:val="66966882"/>
    <w:rsid w:val="66F269C9"/>
    <w:rsid w:val="67285BDC"/>
    <w:rsid w:val="67C1521F"/>
    <w:rsid w:val="67FB2FC2"/>
    <w:rsid w:val="6838125F"/>
    <w:rsid w:val="684945F7"/>
    <w:rsid w:val="684E7153"/>
    <w:rsid w:val="68942469"/>
    <w:rsid w:val="68996F46"/>
    <w:rsid w:val="68A270B1"/>
    <w:rsid w:val="69522C18"/>
    <w:rsid w:val="69A85914"/>
    <w:rsid w:val="69B54893"/>
    <w:rsid w:val="69D41E73"/>
    <w:rsid w:val="69F0666F"/>
    <w:rsid w:val="69FA018D"/>
    <w:rsid w:val="6A25465E"/>
    <w:rsid w:val="6A3A09AD"/>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661055"/>
    <w:rsid w:val="6ECD14C3"/>
    <w:rsid w:val="6EF06A3A"/>
    <w:rsid w:val="6F231086"/>
    <w:rsid w:val="6F2C1077"/>
    <w:rsid w:val="6F4412DE"/>
    <w:rsid w:val="6FB01FF6"/>
    <w:rsid w:val="702D3037"/>
    <w:rsid w:val="70854008"/>
    <w:rsid w:val="70A00296"/>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0E1C48"/>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0962CE"/>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1B7366"/>
    <w:rsid w:val="7D2D7E4F"/>
    <w:rsid w:val="7D3D1C6F"/>
    <w:rsid w:val="7D677171"/>
    <w:rsid w:val="7D7D2444"/>
    <w:rsid w:val="7DA97531"/>
    <w:rsid w:val="7DC17AA5"/>
    <w:rsid w:val="7E3F400C"/>
    <w:rsid w:val="7E3F5C67"/>
    <w:rsid w:val="7E485A8B"/>
    <w:rsid w:val="7E710432"/>
    <w:rsid w:val="7E784FFE"/>
    <w:rsid w:val="7F0D36A8"/>
    <w:rsid w:val="7F0D6F9B"/>
    <w:rsid w:val="7F267E5E"/>
    <w:rsid w:val="7F511034"/>
    <w:rsid w:val="7FB12B06"/>
    <w:rsid w:val="7FD70D1B"/>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link w:val="98"/>
    <w:qFormat/>
    <w:uiPriority w:val="0"/>
    <w:pPr>
      <w:spacing w:after="120"/>
      <w:ind w:left="420" w:leftChars="200"/>
    </w:pPr>
    <w:rPr>
      <w:rFonts w:ascii="Calibri" w:hAnsi="Calibri" w:cs="黑体"/>
    </w:r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4"/>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99"/>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1"/>
    <w:link w:val="118"/>
    <w:qFormat/>
    <w:uiPriority w:val="99"/>
    <w:pPr>
      <w:spacing w:after="120"/>
    </w:p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paragraph" w:styleId="46">
    <w:name w:val="Body Text First Indent"/>
    <w:basedOn w:val="21"/>
    <w:link w:val="176"/>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4"/>
    <w:qFormat/>
    <w:uiPriority w:val="0"/>
    <w:rPr>
      <w:rFonts w:ascii="Times New Roman" w:hAnsi="Times New Roman" w:eastAsia="宋体" w:cs="Times New Roman"/>
      <w:b/>
      <w:bCs/>
      <w:kern w:val="0"/>
      <w:sz w:val="24"/>
      <w:szCs w:val="20"/>
    </w:rPr>
  </w:style>
  <w:style w:type="character" w:customStyle="1" w:styleId="65">
    <w:name w:val="标题 2 字符"/>
    <w:basedOn w:val="49"/>
    <w:link w:val="5"/>
    <w:qFormat/>
    <w:uiPriority w:val="0"/>
    <w:rPr>
      <w:rFonts w:ascii="Arial" w:hAnsi="Arial" w:eastAsia="宋体" w:cs="Times New Roman"/>
      <w:b/>
      <w:bCs/>
      <w:kern w:val="0"/>
      <w:sz w:val="24"/>
      <w:szCs w:val="32"/>
    </w:rPr>
  </w:style>
  <w:style w:type="character" w:customStyle="1" w:styleId="66">
    <w:name w:val="标题 3 字符"/>
    <w:basedOn w:val="49"/>
    <w:link w:val="6"/>
    <w:qFormat/>
    <w:uiPriority w:val="0"/>
    <w:rPr>
      <w:rFonts w:ascii="Times New Roman" w:hAnsi="Times New Roman" w:eastAsia="宋体" w:cs="Times New Roman"/>
      <w:b/>
      <w:bCs/>
      <w:kern w:val="0"/>
      <w:sz w:val="32"/>
      <w:szCs w:val="32"/>
    </w:rPr>
  </w:style>
  <w:style w:type="character" w:customStyle="1" w:styleId="67">
    <w:name w:val="标题 4 字符"/>
    <w:basedOn w:val="49"/>
    <w:link w:val="7"/>
    <w:qFormat/>
    <w:uiPriority w:val="0"/>
    <w:rPr>
      <w:rFonts w:ascii="Arial" w:hAnsi="Arial" w:eastAsia="黑体" w:cs="Times New Roman"/>
      <w:b/>
      <w:bCs/>
      <w:kern w:val="0"/>
      <w:sz w:val="28"/>
      <w:szCs w:val="28"/>
    </w:rPr>
  </w:style>
  <w:style w:type="character" w:customStyle="1" w:styleId="68">
    <w:name w:val="标题 5 字符"/>
    <w:basedOn w:val="49"/>
    <w:link w:val="8"/>
    <w:qFormat/>
    <w:uiPriority w:val="0"/>
    <w:rPr>
      <w:rFonts w:ascii="Times New Roman" w:hAnsi="Times New Roman" w:eastAsia="宋体" w:cs="Times New Roman"/>
      <w:b/>
      <w:bCs/>
      <w:kern w:val="0"/>
      <w:sz w:val="28"/>
      <w:szCs w:val="28"/>
    </w:rPr>
  </w:style>
  <w:style w:type="character" w:customStyle="1" w:styleId="69">
    <w:name w:val="标题 6 字符"/>
    <w:basedOn w:val="49"/>
    <w:link w:val="9"/>
    <w:qFormat/>
    <w:uiPriority w:val="0"/>
    <w:rPr>
      <w:rFonts w:ascii="Arial" w:hAnsi="Arial" w:eastAsia="黑体" w:cs="Times New Roman"/>
      <w:b/>
      <w:bCs/>
      <w:kern w:val="0"/>
      <w:sz w:val="24"/>
      <w:szCs w:val="24"/>
    </w:rPr>
  </w:style>
  <w:style w:type="character" w:customStyle="1" w:styleId="70">
    <w:name w:val="标题 7 字符"/>
    <w:basedOn w:val="49"/>
    <w:link w:val="10"/>
    <w:qFormat/>
    <w:uiPriority w:val="0"/>
    <w:rPr>
      <w:rFonts w:ascii="Times New Roman" w:hAnsi="Times New Roman" w:eastAsia="宋体" w:cs="Times New Roman"/>
      <w:b/>
      <w:bCs/>
      <w:kern w:val="0"/>
      <w:sz w:val="24"/>
      <w:szCs w:val="24"/>
    </w:rPr>
  </w:style>
  <w:style w:type="character" w:customStyle="1" w:styleId="71">
    <w:name w:val="标题 8 字符"/>
    <w:basedOn w:val="49"/>
    <w:link w:val="11"/>
    <w:qFormat/>
    <w:uiPriority w:val="0"/>
    <w:rPr>
      <w:rFonts w:ascii="Arial" w:hAnsi="Arial" w:eastAsia="黑体" w:cs="Times New Roman"/>
      <w:kern w:val="0"/>
      <w:sz w:val="24"/>
      <w:szCs w:val="24"/>
    </w:rPr>
  </w:style>
  <w:style w:type="character" w:customStyle="1" w:styleId="72">
    <w:name w:val="标题 9 字符"/>
    <w:basedOn w:val="49"/>
    <w:link w:val="12"/>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1"/>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0"/>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6"/>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1"/>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6"/>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4"/>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4"/>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5"/>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5"/>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4"/>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7"/>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6"/>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6"/>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paragraph" w:customStyle="1" w:styleId="366">
    <w:name w:val="00"/>
    <w:basedOn w:val="1"/>
    <w:qFormat/>
    <w:uiPriority w:val="0"/>
    <w:pPr>
      <w:spacing w:line="320" w:lineRule="exact"/>
      <w:ind w:left="389" w:leftChars="162" w:firstLine="4" w:firstLineChars="2"/>
      <w:jc w:val="center"/>
    </w:pPr>
    <w:rPr>
      <w:rFonts w:ascii="仿宋_GB2312" w:hAnsi="仿宋_GB2312" w:eastAsia="仿宋_GB2312"/>
      <w:b/>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082AA-6EAD-4CB7-8D8D-0D8F60306F4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11890</Words>
  <Characters>3408</Characters>
  <Lines>28</Lines>
  <Paragraphs>30</Paragraphs>
  <TotalTime>0</TotalTime>
  <ScaleCrop>false</ScaleCrop>
  <LinksUpToDate>false</LinksUpToDate>
  <CharactersWithSpaces>15268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FX</cp:lastModifiedBy>
  <cp:lastPrinted>2022-03-29T01:26:00Z</cp:lastPrinted>
  <dcterms:modified xsi:type="dcterms:W3CDTF">2022-03-30T03:57:06Z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7C874A77AA8D4DEBB146A54206B9C58F</vt:lpwstr>
  </property>
</Properties>
</file>