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jc w:val="center"/>
        <w:rPr>
          <w:rFonts w:hAnsi="宋体"/>
          <w:sz w:val="52"/>
          <w:szCs w:val="52"/>
        </w:rPr>
      </w:pPr>
    </w:p>
    <w:p>
      <w:pPr>
        <w:pStyle w:val="25"/>
        <w:jc w:val="center"/>
        <w:rPr>
          <w:rFonts w:hAnsi="宋体"/>
          <w:b/>
          <w:bCs/>
          <w:sz w:val="52"/>
          <w:szCs w:val="52"/>
        </w:rPr>
      </w:pPr>
      <w:r>
        <w:rPr>
          <w:rFonts w:hint="eastAsia" w:hAnsi="宋体"/>
          <w:b/>
          <w:sz w:val="52"/>
          <w:szCs w:val="52"/>
        </w:rPr>
        <w:t>长沙市轨道交通运营有限公司</w:t>
      </w:r>
    </w:p>
    <w:p>
      <w:pPr>
        <w:pStyle w:val="25"/>
        <w:adjustRightInd w:val="0"/>
        <w:snapToGrid w:val="0"/>
        <w:spacing w:line="360" w:lineRule="auto"/>
        <w:jc w:val="center"/>
        <w:rPr>
          <w:rFonts w:hAnsi="宋体"/>
        </w:rPr>
      </w:pPr>
      <w:r>
        <w:rPr>
          <w:rFonts w:hint="eastAsia" w:hAnsi="宋体"/>
          <w:b/>
          <w:sz w:val="52"/>
          <w:szCs w:val="52"/>
        </w:rPr>
        <w:t>自主竞争性谈判文件</w:t>
      </w:r>
    </w:p>
    <w:p>
      <w:pPr>
        <w:pStyle w:val="25"/>
        <w:adjustRightInd w:val="0"/>
        <w:snapToGrid w:val="0"/>
        <w:spacing w:before="120" w:beforeLines="50" w:line="360" w:lineRule="auto"/>
        <w:rPr>
          <w:rFonts w:hAnsi="宋体"/>
          <w:b/>
          <w:sz w:val="32"/>
          <w:szCs w:val="32"/>
        </w:rPr>
      </w:pPr>
    </w:p>
    <w:p>
      <w:pPr>
        <w:pStyle w:val="25"/>
        <w:adjustRightInd w:val="0"/>
        <w:snapToGrid w:val="0"/>
        <w:spacing w:line="360" w:lineRule="auto"/>
        <w:rPr>
          <w:rFonts w:hAnsi="宋体"/>
          <w:sz w:val="32"/>
          <w:szCs w:val="32"/>
        </w:rPr>
      </w:pPr>
    </w:p>
    <w:p>
      <w:pPr>
        <w:spacing w:line="360" w:lineRule="auto"/>
        <w:ind w:left="2568" w:leftChars="152" w:hanging="2249" w:hangingChars="700"/>
        <w:rPr>
          <w:rFonts w:ascii="宋体" w:hAnsi="宋体" w:cs="Courier New"/>
          <w:b/>
          <w:sz w:val="32"/>
          <w:szCs w:val="21"/>
        </w:rPr>
      </w:pPr>
    </w:p>
    <w:p>
      <w:pPr>
        <w:spacing w:line="360" w:lineRule="auto"/>
        <w:ind w:left="2568" w:leftChars="152" w:hanging="2249" w:hangingChars="700"/>
        <w:rPr>
          <w:rFonts w:ascii="宋体" w:hAnsi="宋体" w:cs="Courier New"/>
          <w:b/>
          <w:sz w:val="32"/>
          <w:szCs w:val="21"/>
        </w:rPr>
      </w:pPr>
    </w:p>
    <w:p>
      <w:pPr>
        <w:spacing w:line="360" w:lineRule="auto"/>
        <w:ind w:left="2568" w:leftChars="152" w:hanging="2249" w:hangingChars="700"/>
        <w:rPr>
          <w:rFonts w:ascii="宋体" w:hAnsi="宋体" w:cs="Courier New"/>
          <w:b/>
          <w:sz w:val="32"/>
          <w:szCs w:val="21"/>
        </w:rPr>
      </w:pPr>
    </w:p>
    <w:p>
      <w:pPr>
        <w:spacing w:line="360" w:lineRule="auto"/>
        <w:ind w:left="2568" w:leftChars="152" w:hanging="2249" w:hangingChars="700"/>
        <w:rPr>
          <w:rFonts w:ascii="宋体" w:hAnsi="宋体" w:cs="Courier New"/>
          <w:b/>
          <w:sz w:val="32"/>
          <w:szCs w:val="21"/>
          <w:u w:val="single"/>
        </w:rPr>
      </w:pPr>
      <w:r>
        <w:rPr>
          <w:rFonts w:hint="eastAsia" w:ascii="宋体" w:hAnsi="宋体" w:cs="Courier New"/>
          <w:b/>
          <w:sz w:val="32"/>
          <w:szCs w:val="21"/>
        </w:rPr>
        <w:t>谈判项目名称：</w:t>
      </w:r>
      <w:r>
        <w:rPr>
          <w:rFonts w:hint="eastAsia" w:ascii="宋体" w:hAnsi="宋体" w:cs="Courier New"/>
          <w:b/>
          <w:sz w:val="32"/>
          <w:szCs w:val="21"/>
          <w:u w:val="single"/>
        </w:rPr>
        <w:t>长沙市轨道交通2号线运营期2021年-2022年智慧车站综合管理平台采购项目</w:t>
      </w:r>
    </w:p>
    <w:p>
      <w:pPr>
        <w:spacing w:line="360" w:lineRule="auto"/>
        <w:ind w:left="2240" w:firstLine="321" w:firstLineChars="100"/>
        <w:jc w:val="left"/>
        <w:rPr>
          <w:rFonts w:ascii="宋体" w:hAnsi="宋体" w:cs="Courier New"/>
          <w:b/>
          <w:sz w:val="32"/>
          <w:szCs w:val="21"/>
        </w:rPr>
      </w:pPr>
    </w:p>
    <w:p>
      <w:pPr>
        <w:pStyle w:val="25"/>
        <w:adjustRightInd w:val="0"/>
        <w:snapToGrid w:val="0"/>
        <w:spacing w:line="360" w:lineRule="auto"/>
        <w:ind w:firstLine="321" w:firstLineChars="100"/>
        <w:rPr>
          <w:rFonts w:hAnsi="宋体"/>
          <w:b/>
          <w:sz w:val="32"/>
          <w:u w:val="single"/>
        </w:rPr>
      </w:pPr>
      <w:r>
        <w:rPr>
          <w:rFonts w:hint="eastAsia" w:hAnsi="宋体"/>
          <w:b/>
          <w:sz w:val="32"/>
        </w:rPr>
        <w:t>采购单位名称：</w:t>
      </w:r>
      <w:r>
        <w:rPr>
          <w:rFonts w:hint="eastAsia" w:hAnsi="宋体"/>
          <w:b/>
          <w:sz w:val="32"/>
          <w:u w:val="single"/>
        </w:rPr>
        <w:t>长沙市轨道交通运营有限公司</w:t>
      </w:r>
    </w:p>
    <w:p>
      <w:pPr>
        <w:pStyle w:val="25"/>
        <w:adjustRightInd w:val="0"/>
        <w:snapToGrid w:val="0"/>
        <w:spacing w:line="360" w:lineRule="auto"/>
        <w:ind w:firstLine="321" w:firstLineChars="100"/>
        <w:rPr>
          <w:rFonts w:hAnsi="宋体"/>
          <w:b/>
          <w:sz w:val="32"/>
        </w:rPr>
      </w:pPr>
    </w:p>
    <w:p>
      <w:pPr>
        <w:pStyle w:val="25"/>
        <w:adjustRightInd w:val="0"/>
        <w:snapToGrid w:val="0"/>
        <w:spacing w:line="360" w:lineRule="auto"/>
        <w:ind w:firstLine="321" w:firstLineChars="100"/>
        <w:rPr>
          <w:rFonts w:hAnsi="宋体"/>
          <w:b/>
          <w:sz w:val="32"/>
        </w:rPr>
      </w:pPr>
      <w:r>
        <w:rPr>
          <w:rFonts w:hint="eastAsia" w:hAnsi="宋体"/>
          <w:b/>
          <w:sz w:val="32"/>
        </w:rPr>
        <w:t>谈判项目编号：</w:t>
      </w:r>
      <w:r>
        <w:rPr>
          <w:rFonts w:hint="eastAsia" w:hAnsi="宋体"/>
          <w:b/>
          <w:sz w:val="32"/>
          <w:u w:val="single"/>
        </w:rPr>
        <w:t>长轨运物采【2021】066号</w:t>
      </w:r>
    </w:p>
    <w:p>
      <w:pPr>
        <w:pStyle w:val="25"/>
        <w:adjustRightInd w:val="0"/>
        <w:snapToGrid w:val="0"/>
        <w:spacing w:before="120" w:beforeLines="50" w:line="360" w:lineRule="auto"/>
        <w:rPr>
          <w:rFonts w:hAnsi="宋体"/>
          <w:b/>
          <w:sz w:val="32"/>
          <w:szCs w:val="32"/>
        </w:rPr>
      </w:pPr>
    </w:p>
    <w:p>
      <w:pPr>
        <w:pStyle w:val="25"/>
        <w:adjustRightInd w:val="0"/>
        <w:snapToGrid w:val="0"/>
        <w:spacing w:before="120" w:beforeLines="50" w:line="360" w:lineRule="auto"/>
        <w:rPr>
          <w:rFonts w:hAnsi="宋体"/>
          <w:b/>
          <w:sz w:val="32"/>
          <w:szCs w:val="32"/>
        </w:rPr>
      </w:pPr>
    </w:p>
    <w:p>
      <w:pPr>
        <w:pStyle w:val="25"/>
        <w:adjustRightInd w:val="0"/>
        <w:snapToGrid w:val="0"/>
        <w:spacing w:line="360" w:lineRule="auto"/>
        <w:rPr>
          <w:rFonts w:hAnsi="宋体"/>
          <w:b/>
          <w:sz w:val="32"/>
        </w:rPr>
      </w:pPr>
    </w:p>
    <w:p>
      <w:pPr>
        <w:pStyle w:val="25"/>
        <w:adjustRightInd w:val="0"/>
        <w:snapToGrid w:val="0"/>
        <w:spacing w:line="360" w:lineRule="auto"/>
        <w:rPr>
          <w:rFonts w:hAnsi="宋体"/>
          <w:b/>
          <w:sz w:val="32"/>
        </w:rPr>
      </w:pPr>
    </w:p>
    <w:p>
      <w:pPr>
        <w:pStyle w:val="25"/>
        <w:adjustRightInd w:val="0"/>
        <w:snapToGrid w:val="0"/>
        <w:spacing w:line="360" w:lineRule="auto"/>
        <w:rPr>
          <w:rFonts w:hAnsi="宋体"/>
          <w:b/>
          <w:sz w:val="32"/>
        </w:rPr>
      </w:pPr>
    </w:p>
    <w:p>
      <w:pPr>
        <w:pStyle w:val="25"/>
        <w:adjustRightInd w:val="0"/>
        <w:snapToGrid w:val="0"/>
        <w:spacing w:line="360" w:lineRule="auto"/>
        <w:jc w:val="center"/>
        <w:rPr>
          <w:rFonts w:hAnsi="宋体"/>
          <w:bCs/>
          <w:sz w:val="32"/>
        </w:rPr>
      </w:pPr>
      <w:r>
        <w:rPr>
          <w:rFonts w:hint="eastAsia" w:hAnsi="宋体"/>
          <w:b/>
          <w:sz w:val="32"/>
        </w:rPr>
        <w:t>二〇二二年一月</w:t>
      </w:r>
    </w:p>
    <w:p>
      <w:pPr>
        <w:pStyle w:val="25"/>
        <w:adjustRightInd w:val="0"/>
        <w:snapToGrid w:val="0"/>
        <w:spacing w:line="360" w:lineRule="auto"/>
        <w:jc w:val="center"/>
        <w:rPr>
          <w:rFonts w:hAnsi="宋体"/>
          <w:b/>
          <w:sz w:val="32"/>
        </w:rPr>
      </w:pPr>
    </w:p>
    <w:p>
      <w:pPr>
        <w:pStyle w:val="25"/>
        <w:adjustRightInd w:val="0"/>
        <w:snapToGrid w:val="0"/>
        <w:spacing w:line="360" w:lineRule="auto"/>
        <w:jc w:val="center"/>
        <w:rPr>
          <w:rFonts w:hAnsi="宋体"/>
          <w:b/>
          <w:sz w:val="32"/>
        </w:rPr>
        <w:sectPr>
          <w:pgSz w:w="11906" w:h="16838"/>
          <w:pgMar w:top="1440" w:right="1797" w:bottom="1440" w:left="1797" w:header="851" w:footer="851" w:gutter="0"/>
          <w:pgNumType w:start="1"/>
          <w:cols w:space="720" w:num="1"/>
          <w:docGrid w:linePitch="312" w:charSpace="0"/>
        </w:sectPr>
      </w:pPr>
    </w:p>
    <w:p>
      <w:pPr>
        <w:jc w:val="center"/>
        <w:rPr>
          <w:rFonts w:ascii="宋体" w:hAnsi="宋体" w:cs="宋体"/>
          <w:b/>
          <w:bCs/>
          <w:sz w:val="32"/>
          <w:szCs w:val="32"/>
        </w:rPr>
      </w:pPr>
      <w:bookmarkStart w:id="0" w:name="_Toc14891064"/>
      <w:r>
        <w:rPr>
          <w:rFonts w:hint="eastAsia" w:ascii="宋体" w:hAnsi="宋体" w:cs="宋体"/>
          <w:b/>
          <w:bCs/>
          <w:sz w:val="32"/>
          <w:szCs w:val="32"/>
        </w:rPr>
        <w:t>目   录</w:t>
      </w:r>
    </w:p>
    <w:p>
      <w:pPr>
        <w:spacing w:line="360" w:lineRule="auto"/>
        <w:jc w:val="center"/>
        <w:rPr>
          <w:rFonts w:ascii="宋体" w:hAnsi="宋体" w:cs="宋体"/>
          <w:b/>
          <w:bCs/>
          <w:szCs w:val="21"/>
        </w:rPr>
      </w:pPr>
    </w:p>
    <w:p>
      <w:pPr>
        <w:pStyle w:val="32"/>
        <w:tabs>
          <w:tab w:val="right" w:leader="dot" w:pos="8312"/>
        </w:tabs>
        <w:spacing w:line="360" w:lineRule="auto"/>
        <w:rPr>
          <w:rFonts w:ascii="宋体" w:hAnsi="宋体" w:cs="宋体"/>
        </w:rPr>
      </w:pPr>
      <w:r>
        <w:rPr>
          <w:rFonts w:hint="eastAsia" w:ascii="宋体" w:hAnsi="宋体" w:cs="宋体"/>
        </w:rPr>
        <w:fldChar w:fldCharType="begin"/>
      </w:r>
      <w:r>
        <w:rPr>
          <w:rFonts w:hint="eastAsia" w:ascii="宋体" w:hAnsi="宋体" w:cs="宋体"/>
        </w:rPr>
        <w:instrText xml:space="preserve">TOC \o "1-2" \h \u </w:instrText>
      </w:r>
      <w:r>
        <w:rPr>
          <w:rFonts w:hint="eastAsia" w:ascii="宋体" w:hAnsi="宋体" w:cs="宋体"/>
        </w:rPr>
        <w:fldChar w:fldCharType="separate"/>
      </w:r>
      <w:r>
        <w:fldChar w:fldCharType="begin"/>
      </w:r>
      <w:r>
        <w:instrText xml:space="preserve"> HYPERLINK \l "_Toc12297" </w:instrText>
      </w:r>
      <w:r>
        <w:fldChar w:fldCharType="separate"/>
      </w:r>
      <w:r>
        <w:rPr>
          <w:rFonts w:hint="eastAsia" w:ascii="宋体" w:hAnsi="宋体" w:cs="宋体"/>
          <w:szCs w:val="32"/>
        </w:rPr>
        <w:t>第一章  谈判邀请公告</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_Toc12297 </w:instrText>
      </w:r>
      <w:r>
        <w:rPr>
          <w:rFonts w:hint="eastAsia" w:ascii="宋体" w:hAnsi="宋体" w:cs="宋体"/>
        </w:rPr>
        <w:fldChar w:fldCharType="separate"/>
      </w:r>
      <w:r>
        <w:rPr>
          <w:rFonts w:ascii="宋体" w:hAnsi="宋体" w:cs="宋体"/>
        </w:rPr>
        <w:t>1</w:t>
      </w:r>
      <w:r>
        <w:rPr>
          <w:rFonts w:hint="eastAsia" w:ascii="宋体" w:hAnsi="宋体" w:cs="宋体"/>
        </w:rPr>
        <w:fldChar w:fldCharType="end"/>
      </w:r>
      <w:r>
        <w:rPr>
          <w:rFonts w:hint="eastAsia" w:ascii="宋体" w:hAnsi="宋体" w:cs="宋体"/>
        </w:rPr>
        <w:fldChar w:fldCharType="end"/>
      </w:r>
    </w:p>
    <w:p>
      <w:pPr>
        <w:pStyle w:val="32"/>
        <w:tabs>
          <w:tab w:val="right" w:leader="dot" w:pos="8312"/>
        </w:tabs>
        <w:spacing w:line="360" w:lineRule="auto"/>
        <w:rPr>
          <w:rFonts w:ascii="宋体" w:hAnsi="宋体" w:cs="宋体"/>
        </w:rPr>
      </w:pPr>
      <w:r>
        <w:fldChar w:fldCharType="begin"/>
      </w:r>
      <w:r>
        <w:instrText xml:space="preserve"> HYPERLINK \l "_Toc24592" </w:instrText>
      </w:r>
      <w:r>
        <w:fldChar w:fldCharType="separate"/>
      </w:r>
      <w:r>
        <w:rPr>
          <w:rFonts w:hint="eastAsia" w:ascii="宋体" w:hAnsi="宋体" w:cs="宋体"/>
          <w:szCs w:val="32"/>
        </w:rPr>
        <w:t>第二章  谈判须知</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_Toc24592 </w:instrText>
      </w:r>
      <w:r>
        <w:rPr>
          <w:rFonts w:hint="eastAsia" w:ascii="宋体" w:hAnsi="宋体" w:cs="宋体"/>
        </w:rPr>
        <w:fldChar w:fldCharType="separate"/>
      </w:r>
      <w:r>
        <w:rPr>
          <w:rFonts w:ascii="宋体" w:hAnsi="宋体" w:cs="宋体"/>
        </w:rPr>
        <w:t>5</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"_Toc3316" </w:instrText>
      </w:r>
      <w:r>
        <w:fldChar w:fldCharType="separate"/>
      </w:r>
      <w:r>
        <w:rPr>
          <w:rFonts w:hint="eastAsia" w:ascii="宋体" w:hAnsi="宋体" w:cs="宋体"/>
          <w:szCs w:val="32"/>
        </w:rPr>
        <w:t>谈判须知前附表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_Toc3316 </w:instrText>
      </w:r>
      <w:r>
        <w:rPr>
          <w:rFonts w:hint="eastAsia" w:ascii="宋体" w:hAnsi="宋体" w:cs="宋体"/>
        </w:rPr>
        <w:fldChar w:fldCharType="separate"/>
      </w:r>
      <w:r>
        <w:rPr>
          <w:rFonts w:ascii="宋体" w:hAnsi="宋体" w:cs="宋体"/>
        </w:rPr>
        <w:t>5</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"_Toc16143" </w:instrText>
      </w:r>
      <w:r>
        <w:fldChar w:fldCharType="separate"/>
      </w:r>
      <w:r>
        <w:rPr>
          <w:rFonts w:hint="eastAsia" w:ascii="宋体" w:hAnsi="宋体" w:cs="宋体"/>
          <w:bCs/>
          <w:szCs w:val="32"/>
        </w:rPr>
        <w:t>谈判须知正文</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_Toc16143 </w:instrText>
      </w:r>
      <w:r>
        <w:rPr>
          <w:rFonts w:hint="eastAsia" w:ascii="宋体" w:hAnsi="宋体" w:cs="宋体"/>
        </w:rPr>
        <w:fldChar w:fldCharType="separate"/>
      </w:r>
      <w:r>
        <w:rPr>
          <w:rFonts w:ascii="宋体" w:hAnsi="宋体" w:cs="宋体"/>
        </w:rPr>
        <w:t>8</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"_Toc28504" </w:instrText>
      </w:r>
      <w:r>
        <w:fldChar w:fldCharType="separate"/>
      </w:r>
      <w:r>
        <w:rPr>
          <w:rFonts w:hint="eastAsia" w:ascii="宋体" w:hAnsi="宋体" w:cs="宋体"/>
          <w:szCs w:val="21"/>
        </w:rPr>
        <w:t>一、说明</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_Toc28504 </w:instrText>
      </w:r>
      <w:r>
        <w:rPr>
          <w:rFonts w:hint="eastAsia" w:ascii="宋体" w:hAnsi="宋体" w:cs="宋体"/>
        </w:rPr>
        <w:fldChar w:fldCharType="separate"/>
      </w:r>
      <w:r>
        <w:rPr>
          <w:rFonts w:ascii="宋体" w:hAnsi="宋体" w:cs="宋体"/>
        </w:rPr>
        <w:t>8</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"_Toc30689" </w:instrText>
      </w:r>
      <w:r>
        <w:fldChar w:fldCharType="separate"/>
      </w:r>
      <w:r>
        <w:rPr>
          <w:rFonts w:hint="eastAsia" w:ascii="宋体" w:hAnsi="宋体" w:cs="宋体"/>
          <w:szCs w:val="21"/>
        </w:rPr>
        <w:t>二、谈判文件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_Toc30689 </w:instrText>
      </w:r>
      <w:r>
        <w:rPr>
          <w:rFonts w:hint="eastAsia" w:ascii="宋体" w:hAnsi="宋体" w:cs="宋体"/>
        </w:rPr>
        <w:fldChar w:fldCharType="separate"/>
      </w:r>
      <w:r>
        <w:rPr>
          <w:rFonts w:ascii="宋体" w:hAnsi="宋体" w:cs="宋体"/>
        </w:rPr>
        <w:t>8</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"_Toc2701" </w:instrText>
      </w:r>
      <w:r>
        <w:fldChar w:fldCharType="separate"/>
      </w:r>
      <w:r>
        <w:rPr>
          <w:rFonts w:hint="eastAsia" w:ascii="宋体" w:hAnsi="宋体" w:cs="宋体"/>
          <w:szCs w:val="21"/>
        </w:rPr>
        <w:t>三、响应文件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_Toc2701 </w:instrText>
      </w:r>
      <w:r>
        <w:rPr>
          <w:rFonts w:hint="eastAsia" w:ascii="宋体" w:hAnsi="宋体" w:cs="宋体"/>
        </w:rPr>
        <w:fldChar w:fldCharType="separate"/>
      </w:r>
      <w:r>
        <w:rPr>
          <w:rFonts w:ascii="宋体" w:hAnsi="宋体" w:cs="宋体"/>
        </w:rPr>
        <w:t>9</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"_Toc9319" </w:instrText>
      </w:r>
      <w:r>
        <w:fldChar w:fldCharType="separate"/>
      </w:r>
      <w:r>
        <w:rPr>
          <w:rFonts w:hint="eastAsia" w:ascii="宋体" w:hAnsi="宋体" w:cs="宋体"/>
          <w:szCs w:val="21"/>
        </w:rPr>
        <w:t>四、响应文件的递交</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_Toc9319 </w:instrText>
      </w:r>
      <w:r>
        <w:rPr>
          <w:rFonts w:hint="eastAsia" w:ascii="宋体" w:hAnsi="宋体" w:cs="宋体"/>
        </w:rPr>
        <w:fldChar w:fldCharType="separate"/>
      </w:r>
      <w:r>
        <w:rPr>
          <w:rFonts w:ascii="宋体" w:hAnsi="宋体" w:cs="宋体"/>
        </w:rPr>
        <w:t>11</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"_Toc7470" </w:instrText>
      </w:r>
      <w:r>
        <w:fldChar w:fldCharType="separate"/>
      </w:r>
      <w:r>
        <w:rPr>
          <w:rFonts w:hint="eastAsia" w:ascii="宋体" w:hAnsi="宋体" w:cs="宋体"/>
          <w:szCs w:val="21"/>
        </w:rPr>
        <w:t>五、响应文件的评审</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_Toc7470 </w:instrText>
      </w:r>
      <w:r>
        <w:rPr>
          <w:rFonts w:hint="eastAsia" w:ascii="宋体" w:hAnsi="宋体" w:cs="宋体"/>
        </w:rPr>
        <w:fldChar w:fldCharType="separate"/>
      </w:r>
      <w:r>
        <w:rPr>
          <w:rFonts w:ascii="宋体" w:hAnsi="宋体" w:cs="宋体"/>
        </w:rPr>
        <w:t>11</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"_Toc27657" </w:instrText>
      </w:r>
      <w:r>
        <w:fldChar w:fldCharType="separate"/>
      </w:r>
      <w:r>
        <w:rPr>
          <w:rFonts w:hint="eastAsia" w:ascii="宋体" w:hAnsi="宋体" w:cs="宋体"/>
          <w:szCs w:val="21"/>
        </w:rPr>
        <w:t>六、响应文件的澄清、说明及补正</w:t>
      </w:r>
      <w:r>
        <w:rPr>
          <w:rFonts w:hint="eastAsia" w:ascii="宋体" w:hAnsi="宋体" w:cs="宋体"/>
        </w:rPr>
        <w:tab/>
      </w:r>
      <w:r>
        <w:rPr>
          <w:rFonts w:hint="eastAsia" w:ascii="宋体" w:hAnsi="宋体" w:cs="宋体"/>
        </w:rPr>
        <w:t>8</w:t>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"_Toc28503" </w:instrText>
      </w:r>
      <w:r>
        <w:fldChar w:fldCharType="separate"/>
      </w:r>
      <w:r>
        <w:rPr>
          <w:rFonts w:hint="eastAsia" w:ascii="宋体" w:hAnsi="宋体" w:cs="宋体"/>
          <w:szCs w:val="21"/>
        </w:rPr>
        <w:t>七、中选结果与授予合同</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_Toc28503 </w:instrText>
      </w:r>
      <w:r>
        <w:rPr>
          <w:rFonts w:hint="eastAsia" w:ascii="宋体" w:hAnsi="宋体" w:cs="宋体"/>
        </w:rPr>
        <w:fldChar w:fldCharType="separate"/>
      </w:r>
      <w:r>
        <w:rPr>
          <w:rFonts w:ascii="宋体" w:hAnsi="宋体" w:cs="宋体"/>
        </w:rPr>
        <w:t>12</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"_Toc894" </w:instrText>
      </w:r>
      <w:r>
        <w:fldChar w:fldCharType="separate"/>
      </w:r>
      <w:r>
        <w:rPr>
          <w:rFonts w:hint="eastAsia" w:ascii="宋体" w:hAnsi="宋体" w:cs="宋体"/>
          <w:szCs w:val="21"/>
        </w:rPr>
        <w:t>八、其他</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_Toc894 </w:instrText>
      </w:r>
      <w:r>
        <w:rPr>
          <w:rFonts w:hint="eastAsia" w:ascii="宋体" w:hAnsi="宋体" w:cs="宋体"/>
        </w:rPr>
        <w:fldChar w:fldCharType="separate"/>
      </w:r>
      <w:r>
        <w:rPr>
          <w:rFonts w:ascii="宋体" w:hAnsi="宋体" w:cs="宋体"/>
        </w:rPr>
        <w:t>13</w:t>
      </w:r>
      <w:r>
        <w:rPr>
          <w:rFonts w:hint="eastAsia" w:ascii="宋体" w:hAnsi="宋体" w:cs="宋体"/>
        </w:rPr>
        <w:fldChar w:fldCharType="end"/>
      </w:r>
      <w:r>
        <w:rPr>
          <w:rFonts w:hint="eastAsia" w:ascii="宋体" w:hAnsi="宋体" w:cs="宋体"/>
        </w:rPr>
        <w:fldChar w:fldCharType="end"/>
      </w:r>
    </w:p>
    <w:p>
      <w:pPr>
        <w:pStyle w:val="32"/>
        <w:tabs>
          <w:tab w:val="right" w:leader="dot" w:pos="8312"/>
        </w:tabs>
        <w:spacing w:line="360" w:lineRule="auto"/>
        <w:rPr>
          <w:rFonts w:ascii="宋体" w:hAnsi="宋体" w:cs="宋体"/>
        </w:rPr>
      </w:pPr>
      <w:r>
        <w:fldChar w:fldCharType="begin"/>
      </w:r>
      <w:r>
        <w:instrText xml:space="preserve"> HYPERLINK \l "_Toc25542" </w:instrText>
      </w:r>
      <w:r>
        <w:fldChar w:fldCharType="separate"/>
      </w:r>
      <w:r>
        <w:rPr>
          <w:rFonts w:hint="eastAsia" w:ascii="宋体" w:hAnsi="宋体" w:cs="宋体"/>
          <w:szCs w:val="32"/>
        </w:rPr>
        <w:t>第三章  评审办法及标准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_Toc25542 </w:instrText>
      </w:r>
      <w:r>
        <w:rPr>
          <w:rFonts w:hint="eastAsia" w:ascii="宋体" w:hAnsi="宋体" w:cs="宋体"/>
        </w:rPr>
        <w:fldChar w:fldCharType="separate"/>
      </w:r>
      <w:r>
        <w:rPr>
          <w:rFonts w:ascii="宋体" w:hAnsi="宋体" w:cs="宋体"/>
        </w:rPr>
        <w:t>15</w:t>
      </w:r>
      <w:r>
        <w:rPr>
          <w:rFonts w:hint="eastAsia" w:ascii="宋体" w:hAnsi="宋体" w:cs="宋体"/>
        </w:rPr>
        <w:fldChar w:fldCharType="end"/>
      </w:r>
      <w:r>
        <w:rPr>
          <w:rFonts w:hint="eastAsia" w:ascii="宋体" w:hAnsi="宋体" w:cs="宋体"/>
        </w:rPr>
        <w:fldChar w:fldCharType="end"/>
      </w:r>
    </w:p>
    <w:p>
      <w:pPr>
        <w:pStyle w:val="32"/>
        <w:tabs>
          <w:tab w:val="right" w:leader="dot" w:pos="8312"/>
        </w:tabs>
        <w:spacing w:line="360" w:lineRule="auto"/>
        <w:rPr>
          <w:rFonts w:ascii="宋体" w:hAnsi="宋体" w:cs="宋体"/>
        </w:rPr>
      </w:pPr>
      <w:r>
        <w:fldChar w:fldCharType="begin"/>
      </w:r>
      <w:r>
        <w:instrText xml:space="preserve"> HYPERLINK \l "_Toc18407" </w:instrText>
      </w:r>
      <w:r>
        <w:fldChar w:fldCharType="separate"/>
      </w:r>
      <w:r>
        <w:rPr>
          <w:rFonts w:hint="eastAsia" w:ascii="宋体" w:hAnsi="宋体" w:cs="宋体"/>
          <w:szCs w:val="32"/>
        </w:rPr>
        <w:t>第四章  用户需求书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_Toc18407 </w:instrText>
      </w:r>
      <w:r>
        <w:rPr>
          <w:rFonts w:hint="eastAsia" w:ascii="宋体" w:hAnsi="宋体" w:cs="宋体"/>
        </w:rPr>
        <w:fldChar w:fldCharType="separate"/>
      </w:r>
      <w:r>
        <w:rPr>
          <w:rFonts w:ascii="宋体" w:hAnsi="宋体" w:cs="宋体"/>
        </w:rPr>
        <w:t>17</w:t>
      </w:r>
      <w:r>
        <w:rPr>
          <w:rFonts w:hint="eastAsia" w:ascii="宋体" w:hAnsi="宋体" w:cs="宋体"/>
        </w:rPr>
        <w:fldChar w:fldCharType="end"/>
      </w:r>
      <w:r>
        <w:rPr>
          <w:rFonts w:hint="eastAsia" w:ascii="宋体" w:hAnsi="宋体" w:cs="宋体"/>
        </w:rPr>
        <w:fldChar w:fldCharType="end"/>
      </w:r>
    </w:p>
    <w:p>
      <w:pPr>
        <w:pStyle w:val="32"/>
        <w:tabs>
          <w:tab w:val="right" w:leader="dot" w:pos="8312"/>
        </w:tabs>
        <w:spacing w:line="360" w:lineRule="auto"/>
        <w:rPr>
          <w:rFonts w:ascii="宋体" w:hAnsi="宋体" w:cs="宋体"/>
        </w:rPr>
      </w:pPr>
      <w:r>
        <w:fldChar w:fldCharType="begin"/>
      </w:r>
      <w:r>
        <w:instrText xml:space="preserve"> HYPERLINK \l "_Toc15112" </w:instrText>
      </w:r>
      <w:r>
        <w:fldChar w:fldCharType="separate"/>
      </w:r>
      <w:r>
        <w:rPr>
          <w:rFonts w:hint="eastAsia" w:ascii="宋体" w:hAnsi="宋体" w:cs="宋体"/>
          <w:szCs w:val="32"/>
        </w:rPr>
        <w:t>第五章  合同格式条款</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_Toc15112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r>
        <w:rPr>
          <w:rFonts w:hint="eastAsia" w:ascii="宋体" w:hAnsi="宋体" w:cs="宋体"/>
        </w:rPr>
        <w:fldChar w:fldCharType="end"/>
      </w:r>
    </w:p>
    <w:p>
      <w:pPr>
        <w:pStyle w:val="32"/>
        <w:tabs>
          <w:tab w:val="right" w:leader="dot" w:pos="8312"/>
        </w:tabs>
        <w:spacing w:line="360" w:lineRule="auto"/>
        <w:rPr>
          <w:rFonts w:ascii="宋体" w:hAnsi="宋体" w:cs="宋体"/>
        </w:rPr>
      </w:pPr>
      <w:r>
        <w:fldChar w:fldCharType="begin"/>
      </w:r>
      <w:r>
        <w:instrText xml:space="preserve"> HYPERLINK \l "_Toc14277" </w:instrText>
      </w:r>
      <w:r>
        <w:fldChar w:fldCharType="separate"/>
      </w:r>
      <w:r>
        <w:rPr>
          <w:rFonts w:hint="eastAsia" w:ascii="宋体" w:hAnsi="宋体" w:cs="宋体"/>
          <w:szCs w:val="32"/>
        </w:rPr>
        <w:t xml:space="preserve">第六章  </w:t>
      </w:r>
      <w:r>
        <w:rPr>
          <w:rFonts w:hint="eastAsia" w:ascii="宋体" w:hAnsi="宋体" w:cs="宋体"/>
          <w:bCs/>
          <w:szCs w:val="32"/>
        </w:rPr>
        <w:t>响应文件组成</w:t>
      </w:r>
      <w:r>
        <w:rPr>
          <w:rFonts w:hint="eastAsia" w:ascii="宋体" w:hAnsi="宋体" w:cs="宋体"/>
        </w:rPr>
        <w:tab/>
      </w:r>
      <w:r>
        <w:rPr>
          <w:rFonts w:hint="eastAsia" w:ascii="宋体" w:hAnsi="宋体" w:cs="宋体"/>
        </w:rPr>
        <w:t>3</w:t>
      </w:r>
      <w:r>
        <w:rPr>
          <w:rFonts w:hint="eastAsia" w:ascii="宋体" w:hAnsi="宋体" w:cs="宋体"/>
        </w:rPr>
        <w:fldChar w:fldCharType="end"/>
      </w:r>
      <w:r>
        <w:rPr>
          <w:rFonts w:hint="eastAsia" w:ascii="宋体" w:hAnsi="宋体" w:cs="宋体"/>
        </w:rPr>
        <w:t>3</w:t>
      </w:r>
    </w:p>
    <w:p>
      <w:pPr>
        <w:pStyle w:val="37"/>
        <w:tabs>
          <w:tab w:val="right" w:leader="dot" w:pos="8312"/>
        </w:tabs>
        <w:spacing w:line="360" w:lineRule="auto"/>
        <w:rPr>
          <w:rFonts w:ascii="宋体" w:hAnsi="宋体" w:cs="宋体"/>
        </w:rPr>
      </w:pPr>
      <w:r>
        <w:fldChar w:fldCharType="begin"/>
      </w:r>
      <w:r>
        <w:instrText xml:space="preserve"> HYPERLINK \l "_Toc24865" </w:instrText>
      </w:r>
      <w:r>
        <w:fldChar w:fldCharType="separate"/>
      </w:r>
      <w:r>
        <w:rPr>
          <w:rFonts w:hint="eastAsia" w:ascii="宋体" w:hAnsi="宋体" w:cs="宋体"/>
          <w:szCs w:val="32"/>
        </w:rPr>
        <w:t>一、谈判承诺书</w:t>
      </w:r>
      <w:r>
        <w:rPr>
          <w:rFonts w:hint="eastAsia" w:ascii="宋体" w:hAnsi="宋体" w:cs="宋体"/>
        </w:rPr>
        <w:tab/>
      </w:r>
      <w:r>
        <w:rPr>
          <w:rFonts w:hint="eastAsia" w:ascii="宋体" w:hAnsi="宋体" w:cs="宋体"/>
        </w:rPr>
        <w:t>3</w:t>
      </w:r>
      <w:r>
        <w:rPr>
          <w:rFonts w:hint="eastAsia" w:ascii="宋体" w:hAnsi="宋体" w:cs="宋体"/>
        </w:rPr>
        <w:fldChar w:fldCharType="end"/>
      </w:r>
      <w:r>
        <w:rPr>
          <w:rFonts w:hint="eastAsia" w:ascii="宋体" w:hAnsi="宋体" w:cs="宋体"/>
        </w:rPr>
        <w:t>5</w:t>
      </w:r>
    </w:p>
    <w:p>
      <w:pPr>
        <w:pStyle w:val="37"/>
        <w:tabs>
          <w:tab w:val="right" w:leader="dot" w:pos="8312"/>
        </w:tabs>
        <w:spacing w:line="360" w:lineRule="auto"/>
        <w:rPr>
          <w:rFonts w:ascii="宋体" w:hAnsi="宋体" w:cs="宋体"/>
        </w:rPr>
      </w:pPr>
      <w:r>
        <w:fldChar w:fldCharType="begin"/>
      </w:r>
      <w:r>
        <w:instrText xml:space="preserve"> HYPERLINK \l "_Toc24714" </w:instrText>
      </w:r>
      <w:r>
        <w:fldChar w:fldCharType="separate"/>
      </w:r>
      <w:r>
        <w:rPr>
          <w:rFonts w:hint="eastAsia" w:ascii="宋体" w:hAnsi="宋体" w:cs="宋体"/>
          <w:szCs w:val="32"/>
        </w:rPr>
        <w:t>二、法定代表人身份证明书</w:t>
      </w:r>
      <w:r>
        <w:rPr>
          <w:rFonts w:hint="eastAsia" w:ascii="宋体" w:hAnsi="宋体" w:cs="宋体"/>
        </w:rPr>
        <w:tab/>
      </w:r>
      <w:r>
        <w:rPr>
          <w:rFonts w:hint="eastAsia" w:ascii="宋体" w:hAnsi="宋体" w:cs="宋体"/>
        </w:rPr>
        <w:t>3</w:t>
      </w:r>
      <w:r>
        <w:rPr>
          <w:rFonts w:hint="eastAsia" w:ascii="宋体" w:hAnsi="宋体" w:cs="宋体"/>
        </w:rPr>
        <w:fldChar w:fldCharType="end"/>
      </w:r>
      <w:r>
        <w:rPr>
          <w:rFonts w:hint="eastAsia" w:ascii="宋体" w:hAnsi="宋体" w:cs="宋体"/>
        </w:rPr>
        <w:t>6</w:t>
      </w:r>
    </w:p>
    <w:p>
      <w:pPr>
        <w:pStyle w:val="37"/>
        <w:tabs>
          <w:tab w:val="right" w:leader="dot" w:pos="8312"/>
        </w:tabs>
        <w:spacing w:line="360" w:lineRule="auto"/>
        <w:rPr>
          <w:rFonts w:ascii="宋体" w:hAnsi="宋体" w:cs="宋体"/>
        </w:rPr>
      </w:pPr>
      <w:r>
        <w:fldChar w:fldCharType="begin"/>
      </w:r>
      <w:r>
        <w:instrText xml:space="preserve"> HYPERLINK \l "_Toc8518" </w:instrText>
      </w:r>
      <w:r>
        <w:fldChar w:fldCharType="separate"/>
      </w:r>
      <w:r>
        <w:rPr>
          <w:rFonts w:hint="eastAsia" w:ascii="宋体" w:hAnsi="宋体" w:cs="宋体"/>
          <w:szCs w:val="32"/>
        </w:rPr>
        <w:t>三、授权委托书</w:t>
      </w:r>
      <w:r>
        <w:rPr>
          <w:rFonts w:hint="eastAsia" w:ascii="宋体" w:hAnsi="宋体" w:cs="宋体"/>
        </w:rPr>
        <w:tab/>
      </w:r>
      <w:r>
        <w:rPr>
          <w:rFonts w:hint="eastAsia" w:ascii="宋体" w:hAnsi="宋体" w:cs="宋体"/>
        </w:rPr>
        <w:t>3</w:t>
      </w:r>
      <w:r>
        <w:rPr>
          <w:rFonts w:hint="eastAsia" w:ascii="宋体" w:hAnsi="宋体" w:cs="宋体"/>
        </w:rPr>
        <w:fldChar w:fldCharType="end"/>
      </w:r>
      <w:r>
        <w:rPr>
          <w:rFonts w:hint="eastAsia" w:ascii="宋体" w:hAnsi="宋体" w:cs="宋体"/>
        </w:rPr>
        <w:t>7</w:t>
      </w:r>
    </w:p>
    <w:p>
      <w:pPr>
        <w:pStyle w:val="37"/>
        <w:tabs>
          <w:tab w:val="right" w:leader="dot" w:pos="8312"/>
        </w:tabs>
        <w:spacing w:line="360" w:lineRule="auto"/>
        <w:rPr>
          <w:rFonts w:ascii="宋体" w:hAnsi="宋体" w:cs="宋体"/>
        </w:rPr>
      </w:pPr>
      <w:r>
        <w:fldChar w:fldCharType="begin"/>
      </w:r>
      <w:r>
        <w:instrText xml:space="preserve"> HYPERLINK \l "_Toc19933" </w:instrText>
      </w:r>
      <w:r>
        <w:fldChar w:fldCharType="separate"/>
      </w:r>
      <w:r>
        <w:rPr>
          <w:rFonts w:hint="eastAsia" w:ascii="宋体" w:hAnsi="宋体" w:cs="宋体"/>
          <w:szCs w:val="32"/>
        </w:rPr>
        <w:t>四、谈判单位资格证明文件</w:t>
      </w:r>
      <w:r>
        <w:rPr>
          <w:rFonts w:hint="eastAsia" w:ascii="宋体" w:hAnsi="宋体" w:cs="宋体"/>
        </w:rPr>
        <w:tab/>
      </w:r>
      <w:r>
        <w:rPr>
          <w:rFonts w:hint="eastAsia" w:ascii="宋体" w:hAnsi="宋体" w:cs="宋体"/>
        </w:rPr>
        <w:t>3</w:t>
      </w:r>
      <w:r>
        <w:rPr>
          <w:rFonts w:hint="eastAsia" w:ascii="宋体" w:hAnsi="宋体" w:cs="宋体"/>
        </w:rPr>
        <w:fldChar w:fldCharType="end"/>
      </w:r>
      <w:r>
        <w:rPr>
          <w:rFonts w:hint="eastAsia" w:ascii="宋体" w:hAnsi="宋体" w:cs="宋体"/>
        </w:rPr>
        <w:t>8</w:t>
      </w:r>
    </w:p>
    <w:p>
      <w:pPr>
        <w:pStyle w:val="37"/>
        <w:tabs>
          <w:tab w:val="right" w:leader="dot" w:pos="8312"/>
        </w:tabs>
        <w:spacing w:line="360" w:lineRule="auto"/>
        <w:rPr>
          <w:rFonts w:ascii="宋体" w:hAnsi="宋体" w:cs="宋体"/>
        </w:rPr>
      </w:pPr>
      <w:r>
        <w:fldChar w:fldCharType="begin"/>
      </w:r>
      <w:r>
        <w:instrText xml:space="preserve"> HYPERLINK \l "_Toc12228" </w:instrText>
      </w:r>
      <w:r>
        <w:fldChar w:fldCharType="separate"/>
      </w:r>
      <w:r>
        <w:rPr>
          <w:rFonts w:hint="eastAsia" w:ascii="宋体" w:hAnsi="宋体" w:cs="宋体"/>
          <w:szCs w:val="32"/>
        </w:rPr>
        <w:t>五、报价一览表</w:t>
      </w:r>
      <w:r>
        <w:rPr>
          <w:rFonts w:hint="eastAsia" w:ascii="宋体" w:hAnsi="宋体" w:cs="宋体"/>
        </w:rPr>
        <w:tab/>
      </w:r>
      <w:r>
        <w:rPr>
          <w:rFonts w:hint="eastAsia" w:ascii="宋体" w:hAnsi="宋体" w:cs="宋体"/>
        </w:rPr>
        <w:t>3</w:t>
      </w:r>
      <w:r>
        <w:rPr>
          <w:rFonts w:hint="eastAsia" w:ascii="宋体" w:hAnsi="宋体" w:cs="宋体"/>
        </w:rPr>
        <w:fldChar w:fldCharType="end"/>
      </w:r>
      <w:r>
        <w:rPr>
          <w:rFonts w:hint="eastAsia" w:ascii="宋体" w:hAnsi="宋体" w:cs="宋体"/>
        </w:rPr>
        <w:t>9</w:t>
      </w:r>
    </w:p>
    <w:p>
      <w:pPr>
        <w:pStyle w:val="37"/>
        <w:tabs>
          <w:tab w:val="right" w:leader="dot" w:pos="8312"/>
        </w:tabs>
        <w:spacing w:line="360" w:lineRule="auto"/>
        <w:rPr>
          <w:rFonts w:ascii="宋体" w:hAnsi="宋体" w:cs="宋体"/>
        </w:rPr>
      </w:pPr>
      <w:r>
        <w:fldChar w:fldCharType="begin"/>
      </w:r>
      <w:r>
        <w:instrText xml:space="preserve"> HYPERLINK \l "_Toc18535" </w:instrText>
      </w:r>
      <w:r>
        <w:fldChar w:fldCharType="separate"/>
      </w:r>
      <w:r>
        <w:rPr>
          <w:rFonts w:hint="eastAsia" w:ascii="宋体" w:hAnsi="宋体" w:cs="宋体"/>
          <w:szCs w:val="32"/>
        </w:rPr>
        <w:t>六、分项价格表</w:t>
      </w:r>
      <w:r>
        <w:rPr>
          <w:rFonts w:hint="eastAsia" w:ascii="宋体" w:hAnsi="宋体" w:cs="宋体"/>
        </w:rPr>
        <w:tab/>
      </w:r>
      <w:r>
        <w:rPr>
          <w:rFonts w:hint="eastAsia" w:ascii="宋体" w:hAnsi="宋体" w:cs="宋体"/>
        </w:rPr>
        <w:t>4</w:t>
      </w:r>
      <w:r>
        <w:rPr>
          <w:rFonts w:hint="eastAsia" w:ascii="宋体" w:hAnsi="宋体" w:cs="宋体"/>
        </w:rPr>
        <w:fldChar w:fldCharType="end"/>
      </w:r>
      <w:r>
        <w:rPr>
          <w:rFonts w:hint="eastAsia" w:ascii="宋体" w:hAnsi="宋体" w:cs="宋体"/>
        </w:rPr>
        <w:t>0</w:t>
      </w:r>
    </w:p>
    <w:p>
      <w:pPr>
        <w:pStyle w:val="37"/>
        <w:tabs>
          <w:tab w:val="right" w:leader="dot" w:pos="8312"/>
        </w:tabs>
        <w:spacing w:line="360" w:lineRule="auto"/>
        <w:rPr>
          <w:rFonts w:ascii="宋体" w:hAnsi="宋体" w:cs="宋体"/>
        </w:rPr>
      </w:pPr>
      <w:r>
        <w:fldChar w:fldCharType="begin"/>
      </w:r>
      <w:r>
        <w:instrText xml:space="preserve"> HYPERLINK \l "_Toc22350" </w:instrText>
      </w:r>
      <w:r>
        <w:fldChar w:fldCharType="separate"/>
      </w:r>
      <w:r>
        <w:rPr>
          <w:rFonts w:hint="eastAsia" w:ascii="宋体" w:hAnsi="宋体" w:cs="宋体"/>
          <w:szCs w:val="32"/>
        </w:rPr>
        <w:t>七、其他资料（如有）</w:t>
      </w:r>
      <w:r>
        <w:rPr>
          <w:rFonts w:hint="eastAsia" w:ascii="宋体" w:hAnsi="宋体" w:cs="宋体"/>
        </w:rPr>
        <w:tab/>
      </w:r>
      <w:r>
        <w:rPr>
          <w:rFonts w:hint="eastAsia" w:ascii="宋体" w:hAnsi="宋体" w:cs="宋体"/>
        </w:rPr>
        <w:t>4</w:t>
      </w:r>
      <w:r>
        <w:rPr>
          <w:rFonts w:hint="eastAsia" w:ascii="宋体" w:hAnsi="宋体" w:cs="宋体"/>
        </w:rPr>
        <w:fldChar w:fldCharType="end"/>
      </w:r>
      <w:r>
        <w:rPr>
          <w:rFonts w:hint="eastAsia" w:ascii="宋体" w:hAnsi="宋体" w:cs="宋体"/>
        </w:rPr>
        <w:t>1</w:t>
      </w:r>
    </w:p>
    <w:p>
      <w:pPr>
        <w:spacing w:line="360" w:lineRule="auto"/>
        <w:rPr>
          <w:rFonts w:ascii="宋体" w:hAnsi="宋体"/>
        </w:rPr>
      </w:pPr>
      <w:r>
        <w:rPr>
          <w:rFonts w:hint="eastAsia" w:ascii="宋体" w:hAnsi="宋体" w:cs="宋体"/>
        </w:rPr>
        <w:fldChar w:fldCharType="end"/>
      </w:r>
    </w:p>
    <w:p>
      <w:pPr>
        <w:pStyle w:val="3"/>
        <w:keepNext w:val="0"/>
        <w:rPr>
          <w:rFonts w:ascii="宋体" w:hAnsi="宋体" w:cs="宋体"/>
          <w:sz w:val="32"/>
          <w:szCs w:val="32"/>
        </w:rPr>
        <w:sectPr>
          <w:footerReference r:id="rId3" w:type="default"/>
          <w:pgSz w:w="11906" w:h="16838"/>
          <w:pgMar w:top="1440" w:right="1797" w:bottom="1440" w:left="1797" w:header="851" w:footer="851" w:gutter="0"/>
          <w:cols w:space="720" w:num="1"/>
          <w:docGrid w:linePitch="312" w:charSpace="0"/>
        </w:sectPr>
      </w:pPr>
      <w:bookmarkStart w:id="1" w:name="_Toc5016"/>
      <w:bookmarkStart w:id="2" w:name="_Toc29614"/>
    </w:p>
    <w:p>
      <w:pPr>
        <w:spacing w:line="360" w:lineRule="auto"/>
        <w:jc w:val="center"/>
        <w:outlineLvl w:val="0"/>
        <w:rPr>
          <w:rFonts w:ascii="宋体" w:hAnsi="宋体" w:cs="宋体"/>
          <w:b/>
          <w:bCs/>
          <w:sz w:val="32"/>
          <w:szCs w:val="32"/>
        </w:rPr>
      </w:pPr>
      <w:bookmarkStart w:id="3" w:name="_Toc12297"/>
      <w:bookmarkStart w:id="4" w:name="_Toc13376"/>
      <w:r>
        <w:rPr>
          <w:rFonts w:hint="eastAsia" w:ascii="宋体" w:hAnsi="宋体" w:cs="宋体"/>
          <w:b/>
          <w:bCs/>
          <w:sz w:val="32"/>
          <w:szCs w:val="32"/>
        </w:rPr>
        <w:t>第一章  谈判邀请公告</w:t>
      </w:r>
      <w:bookmarkEnd w:id="0"/>
      <w:bookmarkEnd w:id="1"/>
      <w:bookmarkEnd w:id="2"/>
      <w:bookmarkEnd w:id="3"/>
      <w:bookmarkEnd w:id="4"/>
    </w:p>
    <w:p>
      <w:pPr>
        <w:spacing w:line="360" w:lineRule="auto"/>
        <w:ind w:firstLine="422" w:firstLineChars="200"/>
        <w:jc w:val="left"/>
        <w:rPr>
          <w:rFonts w:ascii="宋体" w:hAnsi="宋体" w:cs="宋体"/>
          <w:iCs/>
          <w:szCs w:val="21"/>
          <w:u w:val="single"/>
        </w:rPr>
      </w:pPr>
      <w:r>
        <w:rPr>
          <w:rFonts w:hint="eastAsia" w:ascii="宋体" w:hAnsi="宋体" w:cs="宋体"/>
          <w:b/>
          <w:bCs/>
          <w:iCs/>
          <w:szCs w:val="21"/>
        </w:rPr>
        <w:t>中科标禾工程项目管理有限公司</w:t>
      </w:r>
      <w:r>
        <w:rPr>
          <w:rFonts w:hint="eastAsia" w:ascii="宋体" w:hAnsi="宋体" w:cs="宋体"/>
          <w:szCs w:val="21"/>
        </w:rPr>
        <w:t>受长沙市轨道交通运营有限公司的委托，</w:t>
      </w:r>
      <w:r>
        <w:rPr>
          <w:rFonts w:hint="eastAsia" w:ascii="宋体" w:hAnsi="宋体" w:cs="宋体"/>
          <w:iCs/>
          <w:szCs w:val="21"/>
        </w:rPr>
        <w:t>对长沙市轨道交通2号线运营期2021年-2022年智慧车站综合管理平台采购项目进行自主竞争性谈判采购，现发布公告，邀请符合条件的单位参与谈判采购活动。</w:t>
      </w:r>
    </w:p>
    <w:p>
      <w:pPr>
        <w:pStyle w:val="25"/>
        <w:adjustRightInd w:val="0"/>
        <w:snapToGrid w:val="0"/>
        <w:spacing w:line="360" w:lineRule="auto"/>
        <w:ind w:firstLine="422" w:firstLineChars="200"/>
        <w:rPr>
          <w:rFonts w:hAnsi="宋体" w:cs="宋体"/>
          <w:b/>
          <w:iCs/>
        </w:rPr>
      </w:pPr>
      <w:r>
        <w:rPr>
          <w:rFonts w:hint="eastAsia" w:hAnsi="宋体" w:cs="宋体"/>
          <w:b/>
          <w:iCs/>
        </w:rPr>
        <w:t>一、项目概况</w:t>
      </w:r>
    </w:p>
    <w:p>
      <w:pPr>
        <w:pStyle w:val="25"/>
        <w:adjustRightInd w:val="0"/>
        <w:snapToGrid w:val="0"/>
        <w:spacing w:line="360" w:lineRule="auto"/>
        <w:ind w:firstLine="420" w:firstLineChars="200"/>
        <w:rPr>
          <w:rFonts w:hAnsi="宋体" w:cs="宋体"/>
          <w:b/>
          <w:iCs/>
        </w:rPr>
      </w:pPr>
      <w:r>
        <w:rPr>
          <w:rFonts w:hint="eastAsia" w:hAnsi="宋体" w:cs="宋体"/>
          <w:iCs/>
        </w:rPr>
        <w:t>1.项目名称：长沙市轨道交通2号线运营期2021年-2022年智慧车站综合管理平台采购项目</w:t>
      </w:r>
    </w:p>
    <w:p>
      <w:pPr>
        <w:pStyle w:val="25"/>
        <w:adjustRightInd w:val="0"/>
        <w:snapToGrid w:val="0"/>
        <w:spacing w:line="360" w:lineRule="auto"/>
        <w:ind w:firstLine="420" w:firstLineChars="200"/>
        <w:rPr>
          <w:rFonts w:hAnsi="宋体" w:cs="宋体"/>
          <w:iCs/>
        </w:rPr>
      </w:pPr>
      <w:r>
        <w:rPr>
          <w:rFonts w:hint="eastAsia" w:hAnsi="宋体" w:cs="宋体"/>
          <w:iCs/>
        </w:rPr>
        <w:t>2.项目编号：长轨运物采【2021】066号</w:t>
      </w:r>
    </w:p>
    <w:p>
      <w:pPr>
        <w:pStyle w:val="25"/>
        <w:adjustRightInd w:val="0"/>
        <w:snapToGrid w:val="0"/>
        <w:spacing w:line="360" w:lineRule="auto"/>
        <w:ind w:firstLine="420" w:firstLineChars="200"/>
        <w:rPr>
          <w:rFonts w:hAnsi="宋体" w:cs="宋体"/>
          <w:iCs/>
        </w:rPr>
      </w:pPr>
      <w:r>
        <w:rPr>
          <w:rFonts w:hint="eastAsia" w:hAnsi="宋体" w:cs="宋体"/>
          <w:iCs/>
        </w:rPr>
        <w:t>3.项目预算：</w:t>
      </w:r>
      <w:r>
        <w:rPr>
          <w:rFonts w:hint="eastAsia" w:hAnsi="宋体" w:cs="宋体"/>
          <w:bCs/>
        </w:rPr>
        <w:t>1087586.50</w:t>
      </w:r>
      <w:r>
        <w:rPr>
          <w:rFonts w:hint="eastAsia" w:hAnsi="宋体" w:cs="宋体"/>
          <w:iCs/>
        </w:rPr>
        <w:t>元（</w:t>
      </w:r>
      <w:r>
        <w:rPr>
          <w:rFonts w:hint="eastAsia" w:hAnsi="宋体" w:cs="宋体"/>
        </w:rPr>
        <w:t>其中一标段696975.40元；二标段390611.10元</w:t>
      </w:r>
      <w:r>
        <w:rPr>
          <w:rFonts w:hint="eastAsia" w:hAnsi="宋体" w:cs="宋体"/>
          <w:iCs/>
        </w:rPr>
        <w:t>）</w:t>
      </w:r>
    </w:p>
    <w:p>
      <w:pPr>
        <w:snapToGrid w:val="0"/>
        <w:spacing w:line="360" w:lineRule="auto"/>
        <w:ind w:firstLine="420" w:firstLineChars="200"/>
        <w:rPr>
          <w:rFonts w:ascii="宋体" w:hAnsi="宋体" w:cs="宋体"/>
          <w:bCs/>
          <w:szCs w:val="21"/>
        </w:rPr>
      </w:pPr>
      <w:r>
        <w:rPr>
          <w:rFonts w:hint="eastAsia" w:ascii="宋体" w:hAnsi="宋体" w:cs="宋体"/>
          <w:iCs/>
          <w:szCs w:val="21"/>
        </w:rPr>
        <w:t>4.谈判内容：</w:t>
      </w:r>
      <w:r>
        <w:rPr>
          <w:rFonts w:hint="eastAsia" w:ascii="宋体" w:hAnsi="宋体" w:cs="宋体"/>
          <w:bCs/>
          <w:szCs w:val="21"/>
        </w:rPr>
        <w:t>本项目主要对</w:t>
      </w:r>
      <w:r>
        <w:rPr>
          <w:rFonts w:hint="eastAsia" w:hAnsi="宋体" w:cs="宋体"/>
        </w:rPr>
        <w:t>长沙市轨道交通2号线运营期2021年-2022年智慧车站综合管理平台</w:t>
      </w:r>
      <w:r>
        <w:rPr>
          <w:rFonts w:hint="eastAsia" w:ascii="宋体" w:hAnsi="宋体" w:cs="宋体"/>
          <w:bCs/>
          <w:szCs w:val="21"/>
        </w:rPr>
        <w:t>进行采购。</w:t>
      </w:r>
      <w:r>
        <w:rPr>
          <w:rFonts w:hint="eastAsia" w:ascii="宋体" w:hAnsi="宋体" w:cs="宋体"/>
          <w:kern w:val="0"/>
          <w:szCs w:val="21"/>
        </w:rPr>
        <w:t>（具体详见用户需求书）</w:t>
      </w:r>
    </w:p>
    <w:p>
      <w:pPr>
        <w:snapToGrid w:val="0"/>
        <w:spacing w:line="360" w:lineRule="auto"/>
        <w:ind w:firstLine="420" w:firstLineChars="200"/>
        <w:rPr>
          <w:rFonts w:ascii="宋体" w:hAnsi="宋体" w:cs="宋体"/>
          <w:bCs/>
          <w:szCs w:val="21"/>
        </w:rPr>
      </w:pPr>
      <w:r>
        <w:rPr>
          <w:rFonts w:hint="eastAsia" w:ascii="宋体" w:hAnsi="宋体" w:cs="宋体"/>
          <w:bCs/>
          <w:szCs w:val="21"/>
        </w:rPr>
        <w:t>5.标段划分：共划分二</w:t>
      </w:r>
      <w:r>
        <w:rPr>
          <w:rFonts w:hint="eastAsia" w:ascii="宋体" w:hAnsi="宋体" w:cs="宋体"/>
          <w:szCs w:val="21"/>
        </w:rPr>
        <w:t>个标段</w:t>
      </w:r>
      <w:r>
        <w:rPr>
          <w:rFonts w:hint="eastAsia" w:ascii="宋体" w:hAnsi="宋体" w:cs="宋体"/>
          <w:szCs w:val="21"/>
          <w:lang w:val="en-US" w:eastAsia="zh-CN"/>
        </w:rPr>
        <w:t>,</w:t>
      </w:r>
      <w:r>
        <w:rPr>
          <w:rFonts w:hint="eastAsia" w:ascii="宋体" w:hAnsi="宋体" w:cs="宋体"/>
          <w:b/>
          <w:bCs/>
          <w:szCs w:val="21"/>
        </w:rPr>
        <w:t>一标段</w:t>
      </w:r>
      <w:r>
        <w:rPr>
          <w:rFonts w:hint="eastAsia" w:ascii="宋体" w:hAnsi="宋体" w:cs="宋体"/>
          <w:b/>
          <w:bCs/>
          <w:szCs w:val="21"/>
          <w:lang w:val="en-US" w:eastAsia="zh-CN"/>
        </w:rPr>
        <w:t>:</w:t>
      </w:r>
      <w:r>
        <w:rPr>
          <w:rFonts w:hint="eastAsia" w:ascii="宋体" w:hAnsi="宋体" w:cs="宋体"/>
          <w:b/>
          <w:bCs/>
          <w:szCs w:val="21"/>
        </w:rPr>
        <w:t>车站配套设备；二标段</w:t>
      </w:r>
      <w:r>
        <w:rPr>
          <w:rFonts w:hint="eastAsia" w:ascii="宋体" w:hAnsi="宋体" w:cs="宋体"/>
          <w:b/>
          <w:bCs/>
          <w:szCs w:val="21"/>
          <w:lang w:val="en-US" w:eastAsia="zh-CN"/>
        </w:rPr>
        <w:t>:</w:t>
      </w:r>
      <w:r>
        <w:rPr>
          <w:rFonts w:hint="eastAsia" w:ascii="宋体" w:hAnsi="宋体" w:cs="宋体"/>
          <w:b/>
          <w:bCs/>
          <w:szCs w:val="21"/>
        </w:rPr>
        <w:t>智能巡检。</w:t>
      </w:r>
    </w:p>
    <w:p>
      <w:pPr>
        <w:snapToGrid w:val="0"/>
        <w:spacing w:line="360" w:lineRule="auto"/>
        <w:ind w:firstLine="420" w:firstLineChars="200"/>
        <w:rPr>
          <w:rFonts w:ascii="宋体" w:hAnsi="宋体" w:cs="宋体"/>
          <w:kern w:val="0"/>
          <w:sz w:val="18"/>
          <w:szCs w:val="18"/>
        </w:rPr>
      </w:pPr>
      <w:r>
        <w:rPr>
          <w:rFonts w:hint="eastAsia" w:ascii="宋体" w:hAnsi="宋体" w:cs="宋体"/>
          <w:bCs/>
          <w:szCs w:val="21"/>
        </w:rPr>
        <w:t>6.质保期：</w:t>
      </w:r>
      <w:r>
        <w:rPr>
          <w:rFonts w:hint="eastAsia" w:asciiTheme="minorHAnsi" w:hAnsiTheme="minorHAnsi"/>
          <w:b/>
          <w:bCs/>
        </w:rPr>
        <w:t>一标段、二标段：</w:t>
      </w:r>
      <w:r>
        <w:rPr>
          <w:rFonts w:hint="eastAsia" w:cs="宋体"/>
          <w:bCs/>
          <w:szCs w:val="21"/>
        </w:rPr>
        <w:t>需求清单中所有物资的质保期从全部物资验收合格之日算起36个月；需求清单中物资的原品牌生产商质保期高于36个月的，按原品牌生产商承诺的质保期执行。</w:t>
      </w:r>
      <w:r>
        <w:rPr>
          <w:rFonts w:hint="eastAsia" w:ascii="宋体" w:hAnsi="宋体" w:cs="宋体"/>
          <w:szCs w:val="21"/>
        </w:rPr>
        <w:t>（具体详见用户需求书）</w:t>
      </w:r>
    </w:p>
    <w:p>
      <w:pPr>
        <w:widowControl/>
        <w:spacing w:line="360" w:lineRule="auto"/>
        <w:ind w:firstLine="420" w:firstLineChars="200"/>
        <w:jc w:val="left"/>
        <w:rPr>
          <w:rFonts w:hint="eastAsia" w:ascii="宋体" w:hAnsi="宋体" w:cs="宋体"/>
          <w:bCs/>
          <w:szCs w:val="21"/>
        </w:rPr>
      </w:pPr>
      <w:r>
        <w:rPr>
          <w:rFonts w:hint="eastAsia" w:ascii="宋体" w:hAnsi="宋体" w:cs="宋体"/>
          <w:bCs/>
          <w:szCs w:val="21"/>
        </w:rPr>
        <w:t>7.供货期：</w:t>
      </w:r>
    </w:p>
    <w:p>
      <w:pPr>
        <w:widowControl/>
        <w:spacing w:line="360" w:lineRule="auto"/>
        <w:ind w:firstLine="422" w:firstLineChars="200"/>
        <w:jc w:val="left"/>
      </w:pPr>
      <w:r>
        <w:rPr>
          <w:rFonts w:hint="eastAsia"/>
          <w:b/>
          <w:bCs/>
        </w:rPr>
        <w:t>一标段（车站配套设备）：</w:t>
      </w:r>
      <w:r>
        <w:rPr>
          <w:rFonts w:hint="eastAsia"/>
        </w:rPr>
        <w:t>从长沙市轨道交通运营有限公司发出书面供货通知之日起30个自然日内完成供货及安装调试。（具体详见用户需求书）</w:t>
      </w:r>
    </w:p>
    <w:p>
      <w:pPr>
        <w:snapToGrid w:val="0"/>
        <w:spacing w:line="360" w:lineRule="auto"/>
        <w:ind w:firstLine="422" w:firstLineChars="200"/>
        <w:rPr>
          <w:rFonts w:ascii="宋体" w:hAnsi="宋体" w:cs="宋体"/>
          <w:szCs w:val="21"/>
        </w:rPr>
      </w:pPr>
      <w:r>
        <w:rPr>
          <w:rFonts w:hint="eastAsia"/>
          <w:b/>
          <w:bCs/>
        </w:rPr>
        <w:t>二标段（智能巡检）：</w:t>
      </w:r>
      <w:r>
        <w:rPr>
          <w:rFonts w:hint="eastAsia"/>
        </w:rPr>
        <w:t>从长沙市轨道交通运营有限公司发出书面供货通知之日起30个自然日内完成供货。（具体详见用户需求书）</w:t>
      </w:r>
      <w:r>
        <w:rPr>
          <w:rFonts w:hint="eastAsia" w:ascii="宋体" w:hAnsi="宋体" w:cs="宋体"/>
          <w:szCs w:val="21"/>
        </w:rPr>
        <w:t>。</w:t>
      </w:r>
    </w:p>
    <w:p>
      <w:pPr>
        <w:pStyle w:val="25"/>
        <w:adjustRightInd w:val="0"/>
        <w:snapToGrid w:val="0"/>
        <w:spacing w:line="360" w:lineRule="auto"/>
        <w:ind w:firstLine="422" w:firstLineChars="200"/>
        <w:rPr>
          <w:rFonts w:hAnsi="宋体" w:cs="宋体"/>
          <w:b/>
          <w:iCs/>
        </w:rPr>
      </w:pPr>
      <w:r>
        <w:rPr>
          <w:rFonts w:hint="eastAsia" w:hAnsi="宋体" w:cs="宋体"/>
          <w:b/>
          <w:iCs/>
        </w:rPr>
        <w:t>二、资格要求</w:t>
      </w:r>
    </w:p>
    <w:p>
      <w:pPr>
        <w:spacing w:line="360" w:lineRule="auto"/>
        <w:ind w:firstLine="420" w:firstLineChars="200"/>
        <w:jc w:val="left"/>
        <w:rPr>
          <w:rFonts w:ascii="宋体" w:hAnsi="宋体" w:cs="宋体"/>
          <w:szCs w:val="21"/>
        </w:rPr>
      </w:pPr>
      <w:r>
        <w:rPr>
          <w:rFonts w:hint="eastAsia" w:ascii="宋体" w:hAnsi="宋体" w:cs="宋体"/>
          <w:szCs w:val="21"/>
        </w:rPr>
        <w:t>1. 谈判单位须为具有独立法人资格、自主经营、独立核算的公司/单位，须提供加盖谈判单位公章（鲜章）的营业执照/事业单位法人证书复印件。</w:t>
      </w:r>
    </w:p>
    <w:p>
      <w:pPr>
        <w:spacing w:line="360" w:lineRule="auto"/>
        <w:ind w:firstLine="420" w:firstLineChars="200"/>
        <w:jc w:val="left"/>
        <w:rPr>
          <w:rFonts w:hint="eastAsia" w:ascii="宋体" w:hAnsi="宋体" w:cs="宋体"/>
          <w:szCs w:val="21"/>
        </w:rPr>
      </w:pPr>
      <w:r>
        <w:rPr>
          <w:rFonts w:hint="eastAsia" w:ascii="宋体" w:hAnsi="宋体" w:cs="宋体"/>
          <w:szCs w:val="21"/>
        </w:rPr>
        <w:t>2.谈判单位须具有：</w:t>
      </w:r>
    </w:p>
    <w:p>
      <w:pPr>
        <w:spacing w:line="360" w:lineRule="auto"/>
        <w:ind w:firstLine="422" w:firstLineChars="200"/>
        <w:jc w:val="left"/>
        <w:rPr>
          <w:rFonts w:ascii="宋体" w:hAnsi="宋体" w:cs="宋体"/>
          <w:szCs w:val="21"/>
        </w:rPr>
      </w:pPr>
      <w:r>
        <w:rPr>
          <w:rFonts w:hint="eastAsia"/>
          <w:b/>
          <w:bCs/>
        </w:rPr>
        <w:t>一标段（车站配套设备）</w:t>
      </w:r>
      <w:r>
        <w:rPr>
          <w:rFonts w:hint="eastAsia"/>
        </w:rPr>
        <w:t>：</w:t>
      </w:r>
      <w:r>
        <w:rPr>
          <w:rFonts w:hint="eastAsia" w:ascii="宋体" w:hAnsi="宋体" w:cs="宋体"/>
          <w:szCs w:val="21"/>
        </w:rPr>
        <w:t>谈判单位在本项目谈判截止之日前36个月内须具有单项合同金额不少于30万元的</w:t>
      </w:r>
      <w:r>
        <w:rPr>
          <w:rFonts w:hint="eastAsia"/>
        </w:rPr>
        <w:t>视频智能分析类产品的供货</w:t>
      </w:r>
      <w:r>
        <w:rPr>
          <w:rFonts w:hint="eastAsia" w:ascii="宋体" w:hAnsi="宋体" w:cs="宋体"/>
          <w:szCs w:val="21"/>
        </w:rPr>
        <w:t>业绩。不接受联合体业绩、港澳台或境外业绩。</w:t>
      </w:r>
    </w:p>
    <w:p>
      <w:pPr>
        <w:pStyle w:val="2"/>
        <w:spacing w:line="360" w:lineRule="auto"/>
        <w:ind w:left="0" w:leftChars="0" w:firstLine="420" w:firstLineChars="200"/>
        <w:rPr>
          <w:rFonts w:ascii="宋体" w:hAnsi="宋体" w:cs="宋体"/>
          <w:szCs w:val="21"/>
        </w:rPr>
      </w:pPr>
      <w:r>
        <w:rPr>
          <w:rFonts w:hint="eastAsia" w:ascii="宋体" w:hAnsi="宋体" w:cs="宋体"/>
          <w:szCs w:val="21"/>
        </w:rPr>
        <w:t>业绩证明材料以同时提供的合同原件扫描件和发票（开票金额不少于合同金额的10%）原件扫描件为准（均须加盖投标人单位公章），业绩金额以合同中的金额为准，时间以合同中采购单位签字时间为准。</w:t>
      </w:r>
    </w:p>
    <w:p>
      <w:pPr>
        <w:pStyle w:val="2"/>
        <w:spacing w:line="360" w:lineRule="auto"/>
        <w:ind w:left="0" w:leftChars="0" w:firstLine="422" w:firstLineChars="200"/>
      </w:pPr>
      <w:r>
        <w:rPr>
          <w:rFonts w:hint="eastAsia"/>
          <w:b/>
          <w:bCs/>
        </w:rPr>
        <w:t>二标段（智能巡检）：</w:t>
      </w:r>
      <w:r>
        <w:rPr>
          <w:rFonts w:hint="eastAsia" w:ascii="宋体" w:hAnsi="宋体" w:cs="宋体"/>
          <w:color w:val="000000"/>
          <w:szCs w:val="21"/>
        </w:rPr>
        <w:t>谈判单位在本项目谈判截止之日前36个月内须具有自动化系统或智能化系统的供货业绩。</w:t>
      </w:r>
      <w:r>
        <w:rPr>
          <w:rFonts w:hint="eastAsia"/>
        </w:rPr>
        <w:t>不接受联合体、港澳台或境外业绩。</w:t>
      </w:r>
    </w:p>
    <w:p>
      <w:pPr>
        <w:widowControl/>
        <w:spacing w:line="360" w:lineRule="auto"/>
        <w:ind w:firstLine="420" w:firstLineChars="200"/>
        <w:rPr>
          <w:rFonts w:ascii="宋体" w:hAnsi="宋体" w:cs="宋体"/>
          <w:szCs w:val="21"/>
        </w:rPr>
      </w:pPr>
      <w:r>
        <w:rPr>
          <w:rFonts w:hint="eastAsia" w:ascii="宋体" w:hAnsi="宋体" w:cs="宋体"/>
          <w:szCs w:val="21"/>
        </w:rPr>
        <w:t>业绩证明材料以同时提供的合同原件扫描件和发票（开票金额不少于合同金额的10%）原件扫描件为准（均须加盖投标人单位公章），业绩金额以合同中的金额为准，时间以合同中采购单位签字时间为准。</w:t>
      </w:r>
    </w:p>
    <w:p>
      <w:pPr>
        <w:widowControl/>
        <w:spacing w:line="360" w:lineRule="auto"/>
        <w:ind w:firstLine="420" w:firstLineChars="200"/>
        <w:rPr>
          <w:rFonts w:ascii="宋体" w:hAnsi="宋体" w:cs="宋体"/>
          <w:szCs w:val="21"/>
          <w:highlight w:val="yellow"/>
        </w:rPr>
      </w:pPr>
      <w:r>
        <w:rPr>
          <w:rFonts w:hint="eastAsia" w:ascii="宋体" w:hAnsi="宋体" w:cs="宋体"/>
          <w:szCs w:val="21"/>
        </w:rPr>
        <w:t>3.本项目不接受联合体形式参与谈判。</w:t>
      </w:r>
    </w:p>
    <w:p>
      <w:pPr>
        <w:spacing w:line="360" w:lineRule="auto"/>
        <w:ind w:firstLine="420" w:firstLineChars="200"/>
        <w:rPr>
          <w:rFonts w:ascii="宋体" w:hAnsi="宋体" w:cs="宋体"/>
          <w:szCs w:val="21"/>
        </w:rPr>
      </w:pPr>
      <w:r>
        <w:rPr>
          <w:rFonts w:hint="eastAsia" w:ascii="宋体" w:hAnsi="宋体" w:cs="宋体"/>
          <w:szCs w:val="21"/>
        </w:rPr>
        <w:t>4.</w:t>
      </w:r>
      <w:r>
        <w:rPr>
          <w:rFonts w:hint="eastAsia" w:ascii="宋体" w:hAnsi="宋体" w:cs="宋体"/>
        </w:rPr>
        <w:t xml:space="preserve"> 被长沙市轨道交通集团有限公司及长沙市轨道交通运营有限公司函告禁止在一定期限内参与投标的单位按函告内容执行。</w:t>
      </w:r>
    </w:p>
    <w:p>
      <w:pPr>
        <w:spacing w:line="360" w:lineRule="auto"/>
        <w:ind w:firstLine="422" w:firstLineChars="200"/>
        <w:rPr>
          <w:rFonts w:ascii="宋体" w:hAnsi="宋体" w:cs="宋体"/>
          <w:b/>
          <w:bCs/>
          <w:iCs/>
          <w:szCs w:val="21"/>
        </w:rPr>
      </w:pPr>
      <w:r>
        <w:rPr>
          <w:rFonts w:hint="eastAsia" w:ascii="宋体" w:hAnsi="宋体" w:cs="宋体"/>
          <w:b/>
          <w:bCs/>
          <w:szCs w:val="21"/>
        </w:rPr>
        <w:t>三、</w:t>
      </w:r>
      <w:r>
        <w:rPr>
          <w:rFonts w:hint="eastAsia" w:ascii="宋体" w:hAnsi="宋体" w:cs="宋体"/>
          <w:b/>
          <w:bCs/>
          <w:iCs/>
          <w:szCs w:val="21"/>
        </w:rPr>
        <w:t>评审办法</w:t>
      </w:r>
    </w:p>
    <w:p>
      <w:pPr>
        <w:adjustRightInd w:val="0"/>
        <w:snapToGrid w:val="0"/>
        <w:spacing w:line="360" w:lineRule="auto"/>
        <w:ind w:firstLine="420" w:firstLineChars="200"/>
        <w:rPr>
          <w:rFonts w:ascii="宋体" w:hAnsi="宋体" w:cs="宋体"/>
          <w:szCs w:val="21"/>
        </w:rPr>
      </w:pPr>
      <w:r>
        <w:rPr>
          <w:rFonts w:hint="eastAsia" w:ascii="宋体" w:hAnsi="宋体" w:cs="宋体"/>
          <w:iCs/>
          <w:szCs w:val="21"/>
        </w:rPr>
        <w:t>本项目评审办法采用</w:t>
      </w:r>
      <w:r>
        <w:rPr>
          <w:rFonts w:hint="eastAsia" w:ascii="宋体" w:hAnsi="宋体" w:cs="宋体"/>
          <w:bCs/>
          <w:szCs w:val="21"/>
        </w:rPr>
        <w:t>经符合性审查合格后的最低价法。</w:t>
      </w:r>
    </w:p>
    <w:p>
      <w:pPr>
        <w:widowControl/>
        <w:spacing w:line="360" w:lineRule="auto"/>
        <w:ind w:firstLine="422" w:firstLineChars="200"/>
        <w:rPr>
          <w:rFonts w:ascii="宋体" w:hAnsi="宋体" w:cs="宋体"/>
          <w:b/>
          <w:bCs/>
          <w:szCs w:val="21"/>
        </w:rPr>
      </w:pPr>
      <w:r>
        <w:rPr>
          <w:rFonts w:hint="eastAsia" w:ascii="宋体" w:hAnsi="宋体" w:cs="宋体"/>
          <w:b/>
          <w:bCs/>
          <w:szCs w:val="21"/>
        </w:rPr>
        <w:t>四、自主竞争性谈判文件的获取</w:t>
      </w:r>
    </w:p>
    <w:p>
      <w:pPr>
        <w:spacing w:line="360" w:lineRule="auto"/>
        <w:ind w:firstLine="420" w:firstLineChars="200"/>
        <w:rPr>
          <w:rFonts w:ascii="宋体" w:hAnsi="宋体" w:cs="宋体"/>
          <w:szCs w:val="21"/>
        </w:rPr>
      </w:pPr>
      <w:r>
        <w:rPr>
          <w:rFonts w:hint="eastAsia" w:ascii="宋体" w:hAnsi="宋体" w:cs="宋体"/>
          <w:szCs w:val="21"/>
        </w:rPr>
        <w:t>凡有意参加谈判的单位，自本公告发布之日起登录长沙市轨道交通集团有限公司官方网站</w:t>
      </w:r>
      <w:r>
        <w:rPr>
          <w:rFonts w:hint="eastAsia" w:ascii="宋体" w:hAnsi="宋体" w:cs="宋体"/>
          <w:kern w:val="0"/>
          <w:szCs w:val="21"/>
        </w:rPr>
        <w:t>（http://www.hncsmtr.com/）</w:t>
      </w:r>
      <w:r>
        <w:rPr>
          <w:rFonts w:hint="eastAsia" w:ascii="宋体" w:hAnsi="宋体" w:cs="宋体"/>
          <w:szCs w:val="21"/>
        </w:rPr>
        <w:t>获取自主竞争性谈判文件。</w:t>
      </w:r>
    </w:p>
    <w:p>
      <w:pPr>
        <w:spacing w:line="360" w:lineRule="auto"/>
        <w:ind w:firstLine="422" w:firstLineChars="200"/>
        <w:rPr>
          <w:rFonts w:ascii="宋体" w:hAnsi="宋体" w:cs="宋体"/>
          <w:b/>
          <w:bCs/>
          <w:szCs w:val="21"/>
        </w:rPr>
      </w:pPr>
      <w:r>
        <w:rPr>
          <w:rFonts w:hint="eastAsia" w:ascii="宋体" w:hAnsi="宋体" w:cs="宋体"/>
          <w:b/>
          <w:bCs/>
          <w:szCs w:val="21"/>
        </w:rPr>
        <w:t>五、</w:t>
      </w:r>
      <w:r>
        <w:rPr>
          <w:rFonts w:hint="eastAsia" w:ascii="宋体" w:hAnsi="宋体" w:cs="宋体"/>
          <w:b/>
          <w:bCs/>
          <w:iCs/>
          <w:szCs w:val="21"/>
        </w:rPr>
        <w:t>谈判文件的</w:t>
      </w:r>
      <w:r>
        <w:rPr>
          <w:rFonts w:hint="eastAsia" w:ascii="宋体" w:hAnsi="宋体" w:cs="宋体"/>
          <w:b/>
          <w:bCs/>
          <w:szCs w:val="21"/>
        </w:rPr>
        <w:t>澄清与答疑</w:t>
      </w:r>
    </w:p>
    <w:p>
      <w:pPr>
        <w:spacing w:line="360" w:lineRule="auto"/>
        <w:ind w:firstLine="420" w:firstLineChars="200"/>
        <w:rPr>
          <w:rFonts w:ascii="宋体" w:hAnsi="宋体" w:cs="宋体"/>
          <w:iCs/>
          <w:szCs w:val="21"/>
        </w:rPr>
      </w:pPr>
      <w:r>
        <w:rPr>
          <w:rFonts w:hint="eastAsia" w:ascii="宋体" w:hAnsi="宋体" w:cs="宋体"/>
          <w:szCs w:val="21"/>
        </w:rPr>
        <w:t>1.</w:t>
      </w:r>
      <w:r>
        <w:rPr>
          <w:rFonts w:hint="eastAsia" w:ascii="宋体" w:hAnsi="宋体" w:cs="宋体"/>
          <w:iCs/>
          <w:szCs w:val="21"/>
        </w:rPr>
        <w:t>本项目不组织答疑会和现场踏勘。</w:t>
      </w:r>
    </w:p>
    <w:p>
      <w:pPr>
        <w:spacing w:line="360" w:lineRule="auto"/>
        <w:ind w:firstLine="420" w:firstLineChars="200"/>
        <w:rPr>
          <w:rFonts w:ascii="宋体" w:hAnsi="宋体" w:cs="宋体"/>
          <w:iCs/>
          <w:szCs w:val="21"/>
        </w:rPr>
      </w:pPr>
      <w:r>
        <w:rPr>
          <w:rFonts w:hint="eastAsia" w:ascii="宋体" w:hAnsi="宋体" w:cs="宋体"/>
          <w:iCs/>
          <w:szCs w:val="21"/>
        </w:rPr>
        <w:t>2.谈判单位若对谈判文件有任何疑问，</w:t>
      </w:r>
      <w:r>
        <w:rPr>
          <w:rFonts w:hint="eastAsia" w:ascii="宋体" w:hAnsi="宋体" w:cs="宋体"/>
          <w:szCs w:val="21"/>
        </w:rPr>
        <w:t>应于</w:t>
      </w:r>
      <w:r>
        <w:rPr>
          <w:rFonts w:hint="eastAsia" w:ascii="宋体" w:hAnsi="宋体" w:cs="宋体"/>
          <w:szCs w:val="21"/>
          <w:highlight w:val="none"/>
          <w:u w:val="single"/>
        </w:rPr>
        <w:t>2022</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2</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lang w:val="en-US" w:eastAsia="zh-CN"/>
        </w:rPr>
        <w:t xml:space="preserve"> 10 </w:t>
      </w:r>
      <w:r>
        <w:rPr>
          <w:rFonts w:hint="eastAsia" w:ascii="宋体" w:hAnsi="宋体" w:cs="宋体"/>
          <w:szCs w:val="21"/>
          <w:highlight w:val="none"/>
        </w:rPr>
        <w:t>日</w:t>
      </w:r>
      <w:r>
        <w:rPr>
          <w:rFonts w:hint="eastAsia" w:ascii="宋体" w:hAnsi="宋体" w:cs="宋体"/>
          <w:iCs/>
          <w:szCs w:val="21"/>
          <w:highlight w:val="none"/>
        </w:rPr>
        <w:t>1</w:t>
      </w:r>
      <w:r>
        <w:rPr>
          <w:rFonts w:hint="eastAsia" w:ascii="宋体" w:hAnsi="宋体" w:cs="宋体"/>
          <w:iCs/>
          <w:szCs w:val="21"/>
        </w:rPr>
        <w:t>7：00时（含）前（节假日除外）以书面形式（经法定代表人签字或盖章，并加盖谈判单位公章）递交至采购代理机构。</w:t>
      </w:r>
    </w:p>
    <w:p>
      <w:pPr>
        <w:spacing w:line="360" w:lineRule="auto"/>
        <w:ind w:firstLine="420" w:firstLineChars="200"/>
        <w:rPr>
          <w:rFonts w:ascii="宋体" w:hAnsi="宋体" w:cs="宋体"/>
          <w:iCs/>
          <w:szCs w:val="21"/>
        </w:rPr>
      </w:pPr>
      <w:r>
        <w:rPr>
          <w:rFonts w:hint="eastAsia" w:ascii="宋体" w:hAnsi="宋体" w:cs="宋体"/>
          <w:iCs/>
          <w:szCs w:val="21"/>
        </w:rPr>
        <w:t>3.在谈判截止时间前，采购单位或采购代理机构可主动地或在解答谈判单位提出的问题时对谈判文件进行澄清或修改。</w:t>
      </w:r>
    </w:p>
    <w:p>
      <w:pPr>
        <w:spacing w:line="360" w:lineRule="auto"/>
        <w:ind w:firstLine="420" w:firstLineChars="200"/>
        <w:rPr>
          <w:rFonts w:ascii="宋体" w:hAnsi="宋体" w:cs="宋体"/>
          <w:kern w:val="0"/>
          <w:szCs w:val="21"/>
        </w:rPr>
      </w:pPr>
      <w:r>
        <w:rPr>
          <w:rFonts w:hint="eastAsia" w:ascii="宋体" w:hAnsi="宋体" w:cs="宋体"/>
          <w:iCs/>
          <w:szCs w:val="21"/>
        </w:rPr>
        <w:t>4.</w:t>
      </w:r>
      <w:r>
        <w:rPr>
          <w:rFonts w:hint="eastAsia" w:ascii="宋体" w:hAnsi="宋体" w:cs="宋体"/>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采购代理机构不负任何责任。</w:t>
      </w:r>
    </w:p>
    <w:p>
      <w:pPr>
        <w:widowControl/>
        <w:spacing w:line="408" w:lineRule="auto"/>
        <w:ind w:firstLine="480"/>
        <w:rPr>
          <w:rFonts w:ascii="宋体" w:hAnsi="宋体" w:cs="宋体"/>
          <w:b/>
          <w:bCs/>
          <w:kern w:val="0"/>
          <w:szCs w:val="21"/>
        </w:rPr>
      </w:pPr>
      <w:r>
        <w:rPr>
          <w:rFonts w:hint="eastAsia" w:ascii="宋体" w:hAnsi="宋体" w:cs="宋体"/>
          <w:b/>
          <w:bCs/>
          <w:kern w:val="0"/>
          <w:szCs w:val="21"/>
        </w:rPr>
        <w:t>六、投标保证金</w:t>
      </w:r>
    </w:p>
    <w:p>
      <w:pPr>
        <w:pStyle w:val="25"/>
        <w:adjustRightInd w:val="0"/>
        <w:snapToGrid w:val="0"/>
        <w:spacing w:line="360" w:lineRule="auto"/>
        <w:ind w:firstLine="420" w:firstLineChars="200"/>
        <w:rPr>
          <w:rFonts w:hAnsi="宋体" w:cs="宋体"/>
          <w:iCs/>
        </w:rPr>
      </w:pPr>
      <w:r>
        <w:rPr>
          <w:rFonts w:hint="eastAsia" w:hAnsi="宋体" w:cs="宋体"/>
          <w:iCs/>
        </w:rPr>
        <w:t>1.所有谈判单位须在城轨采购网（网址：www.mtrmart.com）注册参与并按要求提交投标保证金。本次投标保证金的金额为</w:t>
      </w:r>
      <w:r>
        <w:rPr>
          <w:rFonts w:hint="eastAsia" w:hAnsi="宋体" w:cs="宋体"/>
          <w:b/>
          <w:bCs/>
          <w:iCs/>
        </w:rPr>
        <w:t>（</w:t>
      </w:r>
      <w:r>
        <w:rPr>
          <w:rFonts w:hint="eastAsia" w:hAnsi="宋体" w:cs="宋体"/>
          <w:b/>
          <w:bCs/>
        </w:rPr>
        <w:t>一标段13900元；二标段7800元</w:t>
      </w:r>
      <w:r>
        <w:rPr>
          <w:rFonts w:hint="eastAsia" w:hAnsi="宋体" w:cs="宋体"/>
          <w:b/>
          <w:bCs/>
          <w:iCs/>
        </w:rPr>
        <w:t>）</w:t>
      </w:r>
      <w:r>
        <w:rPr>
          <w:rFonts w:hint="eastAsia" w:hAnsi="宋体" w:cs="宋体"/>
          <w:iCs/>
        </w:rPr>
        <w:t>。投标保证金必须由谈判单位的银行对公账户转出，否则将无权限参加本次谈判。</w:t>
      </w:r>
    </w:p>
    <w:p>
      <w:pPr>
        <w:spacing w:line="360" w:lineRule="auto"/>
        <w:ind w:firstLine="420" w:firstLineChars="200"/>
        <w:rPr>
          <w:rFonts w:ascii="宋体" w:hAnsi="宋体" w:cs="宋体"/>
          <w:iCs/>
          <w:szCs w:val="21"/>
        </w:rPr>
      </w:pPr>
      <w:r>
        <w:rPr>
          <w:rFonts w:hint="eastAsia" w:ascii="宋体" w:hAnsi="宋体" w:cs="宋体"/>
          <w:iCs/>
          <w:szCs w:val="21"/>
        </w:rPr>
        <w:t>2.本次参与谈判单位的投标保证金必须在</w:t>
      </w:r>
      <w:r>
        <w:rPr>
          <w:rFonts w:hint="eastAsia" w:ascii="宋体" w:hAnsi="宋体" w:cs="宋体"/>
          <w:iCs/>
          <w:szCs w:val="21"/>
          <w:highlight w:val="none"/>
          <w:u w:val="single"/>
        </w:rPr>
        <w:t>2022</w:t>
      </w:r>
      <w:r>
        <w:rPr>
          <w:rFonts w:hint="eastAsia" w:ascii="宋体" w:hAnsi="宋体" w:cs="宋体"/>
          <w:iCs/>
          <w:szCs w:val="21"/>
          <w:highlight w:val="none"/>
        </w:rPr>
        <w:t>年</w:t>
      </w:r>
      <w:r>
        <w:rPr>
          <w:rFonts w:hint="eastAsia" w:ascii="宋体" w:hAnsi="宋体" w:cs="宋体"/>
          <w:iCs/>
          <w:szCs w:val="21"/>
          <w:highlight w:val="none"/>
          <w:u w:val="single"/>
          <w:lang w:val="en-US" w:eastAsia="zh-CN"/>
        </w:rPr>
        <w:t>2</w:t>
      </w:r>
      <w:r>
        <w:rPr>
          <w:rFonts w:hint="eastAsia" w:ascii="宋体" w:hAnsi="宋体" w:cs="宋体"/>
          <w:iCs/>
          <w:szCs w:val="21"/>
          <w:highlight w:val="none"/>
        </w:rPr>
        <w:t>月</w:t>
      </w:r>
      <w:r>
        <w:rPr>
          <w:rFonts w:hint="eastAsia" w:ascii="宋体" w:hAnsi="宋体" w:cs="宋体"/>
          <w:iCs/>
          <w:szCs w:val="21"/>
          <w:highlight w:val="none"/>
          <w:u w:val="single"/>
        </w:rPr>
        <w:t xml:space="preserve"> </w:t>
      </w:r>
      <w:r>
        <w:rPr>
          <w:rFonts w:hint="eastAsia" w:ascii="宋体" w:hAnsi="宋体" w:cs="宋体"/>
          <w:iCs/>
          <w:szCs w:val="21"/>
          <w:highlight w:val="none"/>
          <w:u w:val="single"/>
          <w:lang w:val="en-US" w:eastAsia="zh-CN"/>
        </w:rPr>
        <w:t>9</w:t>
      </w:r>
      <w:r>
        <w:rPr>
          <w:rFonts w:hint="eastAsia" w:ascii="宋体" w:hAnsi="宋体" w:cs="宋体"/>
          <w:iCs/>
          <w:szCs w:val="21"/>
          <w:highlight w:val="none"/>
          <w:u w:val="single"/>
        </w:rPr>
        <w:t xml:space="preserve"> </w:t>
      </w:r>
      <w:r>
        <w:rPr>
          <w:rFonts w:hint="eastAsia" w:ascii="宋体" w:hAnsi="宋体" w:cs="宋体"/>
          <w:iCs/>
          <w:szCs w:val="21"/>
          <w:highlight w:val="none"/>
        </w:rPr>
        <w:t>日1</w:t>
      </w:r>
      <w:r>
        <w:rPr>
          <w:rFonts w:hint="eastAsia" w:ascii="宋体" w:hAnsi="宋体" w:cs="宋体"/>
          <w:iCs/>
          <w:szCs w:val="21"/>
        </w:rPr>
        <w:t>7:00前(含)到达专用账户（以托管银行到账的日期为准），逾期或未提交投标保证金的谈判单位，将无权限参加本次谈判。</w:t>
      </w:r>
    </w:p>
    <w:p>
      <w:pPr>
        <w:spacing w:line="360" w:lineRule="auto"/>
        <w:ind w:firstLine="420" w:firstLineChars="200"/>
        <w:rPr>
          <w:rFonts w:ascii="宋体" w:hAnsi="宋体" w:cs="宋体"/>
          <w:iCs/>
          <w:szCs w:val="21"/>
        </w:rPr>
      </w:pPr>
      <w:r>
        <w:rPr>
          <w:rFonts w:hint="eastAsia" w:ascii="宋体" w:hAnsi="宋体" w:cs="宋体"/>
          <w:iCs/>
          <w:szCs w:val="21"/>
        </w:rPr>
        <w:t>3.本次投标保证金的提交仅接受银行转账的方式，投标保证金由广州地铁物资有限公司代收、代退。账户名为广州地铁物资有限公司（开户分行：平安银行广州分行营业部），城轨采购网（网址：www.mtrmart.com）系统会为本项目自动生成投标保证金账户信息（虚拟子账户），相关账户信息以实际信息为准。</w:t>
      </w:r>
    </w:p>
    <w:p>
      <w:pPr>
        <w:spacing w:line="360" w:lineRule="auto"/>
        <w:ind w:firstLine="420" w:firstLineChars="200"/>
        <w:rPr>
          <w:rFonts w:ascii="宋体" w:hAnsi="宋体" w:cs="宋体"/>
          <w:iCs/>
          <w:szCs w:val="21"/>
        </w:rPr>
      </w:pPr>
      <w:r>
        <w:rPr>
          <w:rFonts w:hint="eastAsia" w:ascii="宋体" w:hAnsi="宋体" w:cs="宋体"/>
          <w:iCs/>
          <w:szCs w:val="21"/>
        </w:rPr>
        <w:t>4.投标保证金的退还：未中选单位的投标保证金，将在本项目结果公告截止后予以退还；中选单位的投标保证金将在签署合同并提交履约保证金后予以退还。如在退还投标保证金时发生银行费用，则在投标保证金金额内扣减后将余额退回。</w:t>
      </w:r>
    </w:p>
    <w:p>
      <w:pPr>
        <w:spacing w:line="360" w:lineRule="auto"/>
        <w:ind w:firstLine="420" w:firstLineChars="200"/>
        <w:rPr>
          <w:rFonts w:ascii="宋体" w:hAnsi="宋体" w:cs="宋体"/>
          <w:iCs/>
          <w:szCs w:val="21"/>
        </w:rPr>
      </w:pPr>
      <w:r>
        <w:rPr>
          <w:rFonts w:hint="eastAsia" w:ascii="宋体" w:hAnsi="宋体" w:cs="宋体"/>
          <w:iCs/>
          <w:szCs w:val="21"/>
        </w:rPr>
        <w:t>5.出现包括但不限于下列情况的，采购单位将按照长沙市轨道交通运营有限公司相关文本和合同条款等相关规定，视其情节轻重，给予没收部分或全部投标保证金，并出具书面处理决定，除此之外，如谈判单位给采购单位造成的损失超过投标保证金数额的，谈判单位应当对超过部分给予赔偿。</w:t>
      </w:r>
    </w:p>
    <w:p>
      <w:pPr>
        <w:spacing w:line="360" w:lineRule="auto"/>
        <w:ind w:firstLine="420" w:firstLineChars="200"/>
        <w:rPr>
          <w:rFonts w:ascii="宋体" w:hAnsi="宋体" w:cs="宋体"/>
          <w:iCs/>
          <w:szCs w:val="21"/>
        </w:rPr>
      </w:pPr>
      <w:r>
        <w:rPr>
          <w:rFonts w:hint="eastAsia" w:ascii="宋体" w:hAnsi="宋体" w:cs="宋体"/>
          <w:iCs/>
          <w:szCs w:val="21"/>
        </w:rPr>
        <w:t>（1）谈判单位提出撤回或撤销或放弃中选资格或对报价提出实质性修改；</w:t>
      </w:r>
    </w:p>
    <w:p>
      <w:pPr>
        <w:spacing w:line="360" w:lineRule="auto"/>
        <w:ind w:firstLine="420" w:firstLineChars="200"/>
        <w:rPr>
          <w:rFonts w:ascii="宋体" w:hAnsi="宋体" w:cs="宋体"/>
          <w:iCs/>
          <w:szCs w:val="21"/>
        </w:rPr>
      </w:pPr>
      <w:r>
        <w:rPr>
          <w:rFonts w:hint="eastAsia" w:ascii="宋体" w:hAnsi="宋体" w:cs="宋体"/>
          <w:iCs/>
          <w:szCs w:val="21"/>
        </w:rPr>
        <w:t>（2）中选单位未能在规定期限内签订合同或不按报价结果签订合同；</w:t>
      </w:r>
    </w:p>
    <w:p>
      <w:pPr>
        <w:spacing w:line="360" w:lineRule="auto"/>
        <w:ind w:firstLine="420" w:firstLineChars="200"/>
        <w:rPr>
          <w:rFonts w:ascii="宋体" w:hAnsi="宋体" w:cs="宋体"/>
          <w:iCs/>
          <w:szCs w:val="21"/>
        </w:rPr>
      </w:pPr>
      <w:r>
        <w:rPr>
          <w:rFonts w:hint="eastAsia" w:ascii="宋体" w:hAnsi="宋体" w:cs="宋体"/>
          <w:iCs/>
          <w:szCs w:val="21"/>
        </w:rPr>
        <w:t>（3）中选单位未能在规定期限内提交履约保证金；</w:t>
      </w:r>
    </w:p>
    <w:p>
      <w:pPr>
        <w:spacing w:line="360" w:lineRule="auto"/>
        <w:ind w:firstLine="420" w:firstLineChars="200"/>
        <w:rPr>
          <w:rFonts w:ascii="宋体" w:hAnsi="宋体" w:cs="宋体"/>
          <w:iCs/>
          <w:szCs w:val="21"/>
        </w:rPr>
      </w:pPr>
      <w:r>
        <w:rPr>
          <w:rFonts w:hint="eastAsia" w:ascii="宋体" w:hAnsi="宋体" w:cs="宋体"/>
          <w:iCs/>
          <w:szCs w:val="21"/>
        </w:rPr>
        <w:t>（4）中选单位在合同订立过程中未能完全响应采购文件、清单、附件、合同要求以致合同无法订立的；</w:t>
      </w:r>
    </w:p>
    <w:p>
      <w:pPr>
        <w:spacing w:line="360" w:lineRule="auto"/>
        <w:ind w:firstLine="420" w:firstLineChars="200"/>
        <w:rPr>
          <w:rFonts w:ascii="宋体" w:hAnsi="宋体" w:cs="宋体"/>
          <w:iCs/>
          <w:szCs w:val="21"/>
        </w:rPr>
      </w:pPr>
      <w:r>
        <w:rPr>
          <w:rFonts w:hint="eastAsia" w:ascii="宋体" w:hAnsi="宋体" w:cs="宋体"/>
          <w:iCs/>
          <w:szCs w:val="21"/>
        </w:rPr>
        <w:t>（5）经查实谈判单位报价资料弄虚作假的；</w:t>
      </w:r>
    </w:p>
    <w:p>
      <w:pPr>
        <w:spacing w:line="360" w:lineRule="auto"/>
        <w:ind w:firstLine="420" w:firstLineChars="200"/>
        <w:rPr>
          <w:rFonts w:ascii="宋体" w:hAnsi="宋体" w:cs="宋体"/>
          <w:iCs/>
          <w:szCs w:val="21"/>
        </w:rPr>
      </w:pPr>
      <w:r>
        <w:rPr>
          <w:rFonts w:hint="eastAsia" w:ascii="宋体" w:hAnsi="宋体" w:cs="宋体"/>
          <w:iCs/>
          <w:szCs w:val="21"/>
        </w:rPr>
        <w:t>（6）串通参与谈判相关行为的。如不同谈判单位的投标保证金从同一账户转出。</w:t>
      </w:r>
    </w:p>
    <w:p>
      <w:pPr>
        <w:spacing w:line="360" w:lineRule="auto"/>
        <w:ind w:firstLine="422" w:firstLineChars="200"/>
        <w:rPr>
          <w:rFonts w:ascii="宋体" w:hAnsi="宋体" w:cs="宋体"/>
          <w:b/>
          <w:bCs/>
          <w:iCs/>
          <w:szCs w:val="21"/>
        </w:rPr>
      </w:pPr>
      <w:r>
        <w:rPr>
          <w:rFonts w:hint="eastAsia" w:ascii="宋体" w:hAnsi="宋体" w:cs="宋体"/>
          <w:b/>
          <w:bCs/>
          <w:kern w:val="0"/>
          <w:szCs w:val="21"/>
        </w:rPr>
        <w:t>七、</w:t>
      </w:r>
      <w:r>
        <w:rPr>
          <w:rFonts w:hint="eastAsia" w:ascii="宋体" w:hAnsi="宋体" w:cs="宋体"/>
          <w:b/>
          <w:bCs/>
          <w:iCs/>
          <w:szCs w:val="21"/>
        </w:rPr>
        <w:t>响应文件的递交</w:t>
      </w:r>
    </w:p>
    <w:p>
      <w:pPr>
        <w:spacing w:line="360" w:lineRule="auto"/>
        <w:ind w:firstLine="420" w:firstLineChars="200"/>
        <w:rPr>
          <w:rFonts w:ascii="宋体" w:hAnsi="宋体"/>
          <w:bCs/>
          <w:szCs w:val="21"/>
        </w:rPr>
      </w:pPr>
      <w:r>
        <w:rPr>
          <w:rFonts w:hint="eastAsia" w:ascii="宋体" w:hAnsi="宋体"/>
          <w:bCs/>
          <w:szCs w:val="21"/>
        </w:rPr>
        <w:t>1.响应文件递交的截止时间及谈判时间为</w:t>
      </w:r>
      <w:r>
        <w:rPr>
          <w:rFonts w:hint="eastAsia" w:ascii="宋体" w:hAnsi="宋体"/>
          <w:bCs/>
          <w:szCs w:val="21"/>
          <w:highlight w:val="none"/>
        </w:rPr>
        <w:t>2022年</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2</w:t>
      </w:r>
      <w:r>
        <w:rPr>
          <w:rFonts w:hint="eastAsia" w:ascii="宋体" w:hAnsi="宋体"/>
          <w:bCs/>
          <w:szCs w:val="21"/>
          <w:highlight w:val="none"/>
          <w:u w:val="single"/>
        </w:rPr>
        <w:t xml:space="preserve"> </w:t>
      </w:r>
      <w:r>
        <w:rPr>
          <w:rFonts w:hint="eastAsia" w:ascii="宋体" w:hAnsi="宋体"/>
          <w:bCs/>
          <w:szCs w:val="21"/>
          <w:highlight w:val="none"/>
        </w:rPr>
        <w:t>月</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16</w:t>
      </w:r>
      <w:r>
        <w:rPr>
          <w:rFonts w:hint="eastAsia" w:ascii="宋体" w:hAnsi="宋体"/>
          <w:bCs/>
          <w:szCs w:val="21"/>
          <w:highlight w:val="none"/>
        </w:rPr>
        <w:t>日</w:t>
      </w:r>
      <w:r>
        <w:rPr>
          <w:rFonts w:hint="eastAsia" w:ascii="宋体" w:hAnsi="宋体"/>
          <w:bCs/>
          <w:szCs w:val="21"/>
          <w:highlight w:val="none"/>
          <w:u w:val="single"/>
        </w:rPr>
        <w:t xml:space="preserve"> 1</w:t>
      </w:r>
      <w:r>
        <w:rPr>
          <w:rFonts w:hint="eastAsia" w:ascii="宋体" w:hAnsi="宋体"/>
          <w:bCs/>
          <w:szCs w:val="21"/>
          <w:u w:val="single"/>
        </w:rPr>
        <w:t xml:space="preserve">4 </w:t>
      </w:r>
      <w:r>
        <w:rPr>
          <w:rFonts w:hint="eastAsia" w:ascii="宋体" w:hAnsi="宋体"/>
          <w:bCs/>
          <w:szCs w:val="21"/>
        </w:rPr>
        <w:t>时</w:t>
      </w:r>
      <w:r>
        <w:rPr>
          <w:rFonts w:hint="eastAsia" w:ascii="宋体" w:hAnsi="宋体"/>
          <w:bCs/>
          <w:szCs w:val="21"/>
          <w:u w:val="single"/>
        </w:rPr>
        <w:t xml:space="preserve"> 30 </w:t>
      </w:r>
      <w:r>
        <w:rPr>
          <w:rFonts w:hint="eastAsia" w:ascii="宋体" w:hAnsi="宋体"/>
          <w:bCs/>
          <w:szCs w:val="21"/>
        </w:rPr>
        <w:t>分，地点为</w:t>
      </w:r>
      <w:r>
        <w:rPr>
          <w:rFonts w:hint="eastAsia" w:ascii="宋体" w:hAnsi="宋体" w:cs="宋体"/>
          <w:szCs w:val="21"/>
        </w:rPr>
        <w:t>长沙市劳动东路二段48号黄兴车辆段综合楼9楼910室。</w:t>
      </w:r>
    </w:p>
    <w:p>
      <w:pPr>
        <w:spacing w:line="360" w:lineRule="auto"/>
        <w:ind w:firstLine="420" w:firstLineChars="200"/>
        <w:rPr>
          <w:rFonts w:ascii="宋体" w:hAnsi="宋体" w:cs="宋体"/>
          <w:szCs w:val="21"/>
        </w:rPr>
      </w:pPr>
      <w:r>
        <w:rPr>
          <w:rFonts w:hint="eastAsia" w:ascii="宋体" w:hAnsi="宋体" w:cs="宋体"/>
          <w:szCs w:val="21"/>
        </w:rPr>
        <w:t>2.逾期送达的或者未送达指定地点的或者未密封的响应文件，采购单位或采购代理机构将予以</w:t>
      </w:r>
      <w:r>
        <w:rPr>
          <w:rFonts w:hint="eastAsia" w:ascii="宋体" w:hAnsi="宋体" w:cs="宋体"/>
          <w:b/>
          <w:bCs/>
          <w:szCs w:val="21"/>
        </w:rPr>
        <w:t>拒收</w:t>
      </w:r>
      <w:r>
        <w:rPr>
          <w:rFonts w:hint="eastAsia" w:ascii="宋体" w:hAnsi="宋体" w:cs="宋体"/>
          <w:szCs w:val="21"/>
        </w:rPr>
        <w:t>。</w:t>
      </w:r>
    </w:p>
    <w:p>
      <w:pPr>
        <w:spacing w:line="360" w:lineRule="auto"/>
        <w:ind w:firstLine="422" w:firstLineChars="200"/>
        <w:rPr>
          <w:rFonts w:ascii="宋体" w:hAnsi="宋体" w:cs="宋体"/>
          <w:b/>
          <w:bCs/>
          <w:kern w:val="0"/>
          <w:szCs w:val="21"/>
        </w:rPr>
      </w:pPr>
      <w:r>
        <w:rPr>
          <w:rFonts w:hint="eastAsia" w:ascii="宋体" w:hAnsi="宋体" w:cs="宋体"/>
          <w:b/>
          <w:bCs/>
          <w:kern w:val="0"/>
          <w:szCs w:val="21"/>
        </w:rPr>
        <w:t>八、中标原则</w:t>
      </w:r>
    </w:p>
    <w:p>
      <w:pPr>
        <w:spacing w:line="360" w:lineRule="auto"/>
        <w:ind w:firstLine="420" w:firstLineChars="200"/>
        <w:rPr>
          <w:rFonts w:ascii="宋体" w:hAnsi="宋体" w:cs="宋体"/>
          <w:kern w:val="0"/>
          <w:szCs w:val="21"/>
        </w:rPr>
      </w:pPr>
      <w:r>
        <w:rPr>
          <w:rFonts w:hint="eastAsia" w:ascii="宋体" w:hAnsi="宋体" w:cs="宋体"/>
          <w:kern w:val="0"/>
          <w:szCs w:val="21"/>
        </w:rPr>
        <w:t>1.同一谈判单位可以同时参加本项目二个标段的谈判，且同一谈判单位可以同时在本项目中中二个标段。谈判评审小组按综合得分由高至低的顺序推荐不超过3名的中标候选人，其他单位不予排序</w:t>
      </w:r>
      <w:r>
        <w:rPr>
          <w:rFonts w:hint="eastAsia" w:ascii="宋体" w:hAnsi="宋体" w:cs="宋体"/>
          <w:kern w:val="0"/>
          <w:szCs w:val="21"/>
          <w:highlight w:val="none"/>
          <w:lang w:val="en-US" w:eastAsia="zh-CN"/>
        </w:rPr>
        <w:t>,推荐排序第一的为本项目的中选单位</w:t>
      </w:r>
      <w:r>
        <w:rPr>
          <w:rFonts w:hint="eastAsia" w:ascii="宋体" w:hAnsi="宋体" w:cs="宋体"/>
          <w:kern w:val="0"/>
          <w:szCs w:val="21"/>
          <w:highlight w:val="none"/>
        </w:rPr>
        <w:t>。</w:t>
      </w:r>
    </w:p>
    <w:p>
      <w:pPr>
        <w:spacing w:line="360" w:lineRule="auto"/>
        <w:ind w:firstLine="420" w:firstLineChars="200"/>
        <w:rPr>
          <w:rFonts w:ascii="宋体" w:hAnsi="宋体"/>
          <w:bCs/>
          <w:szCs w:val="21"/>
        </w:rPr>
      </w:pPr>
      <w:r>
        <w:rPr>
          <w:rFonts w:hint="eastAsia" w:ascii="宋体" w:hAnsi="宋体"/>
          <w:bCs/>
          <w:szCs w:val="21"/>
        </w:rPr>
        <w:t>2.如排名第一的中选候选人中选后放弃中选、因不可抗力不能履行合同，或者被查实存在影响中选结果的违法行为等情形，不符合中选条件的，采购单位可以按照谈判评审小组提出的中选候选人名单排序依次确定其他中选候选人为中选人，也可以重新采购。</w:t>
      </w:r>
    </w:p>
    <w:p>
      <w:pPr>
        <w:spacing w:line="360" w:lineRule="auto"/>
        <w:ind w:firstLine="422" w:firstLineChars="200"/>
        <w:rPr>
          <w:rFonts w:ascii="宋体" w:hAnsi="宋体" w:cs="宋体"/>
          <w:b/>
          <w:szCs w:val="21"/>
        </w:rPr>
      </w:pPr>
      <w:r>
        <w:rPr>
          <w:rFonts w:hint="eastAsia" w:ascii="宋体" w:hAnsi="宋体" w:cs="宋体"/>
          <w:b/>
          <w:iCs/>
          <w:szCs w:val="21"/>
        </w:rPr>
        <w:t>九、采购单位及其委托的采购代理机构的名称、地址和联系方法</w:t>
      </w:r>
    </w:p>
    <w:p>
      <w:pPr>
        <w:adjustRightInd w:val="0"/>
        <w:snapToGrid w:val="0"/>
        <w:spacing w:line="360" w:lineRule="auto"/>
        <w:ind w:firstLine="413" w:firstLineChars="196"/>
        <w:rPr>
          <w:rFonts w:ascii="宋体" w:hAnsi="宋体" w:cs="宋体"/>
          <w:szCs w:val="21"/>
        </w:rPr>
      </w:pPr>
      <w:r>
        <w:rPr>
          <w:rFonts w:hint="eastAsia" w:ascii="宋体" w:hAnsi="宋体" w:cs="宋体"/>
          <w:b/>
          <w:bCs/>
          <w:szCs w:val="21"/>
        </w:rPr>
        <w:t>采购单位：</w:t>
      </w:r>
      <w:r>
        <w:rPr>
          <w:rFonts w:hint="eastAsia" w:ascii="宋体" w:hAnsi="宋体" w:cs="宋体"/>
        </w:rPr>
        <w:t>长沙市轨道交通运营有限公司</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地  址：长沙市劳动东路二段48号黄兴车辆段综合楼9楼910室。</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联系人：杨工</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电  话：0731-86852347</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监督举报电话：</w:t>
      </w:r>
      <w:r>
        <w:rPr>
          <w:rFonts w:hint="eastAsia" w:ascii="宋体" w:hAnsi="宋体"/>
          <w:szCs w:val="21"/>
        </w:rPr>
        <w:t>0731-</w:t>
      </w:r>
      <w:r>
        <w:rPr>
          <w:rFonts w:hint="eastAsia" w:ascii="宋体" w:hAnsi="宋体" w:cs="宋体"/>
          <w:szCs w:val="21"/>
        </w:rPr>
        <w:t>86852247</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联系人：文工</w:t>
      </w:r>
    </w:p>
    <w:p>
      <w:pPr>
        <w:spacing w:line="360" w:lineRule="auto"/>
        <w:ind w:firstLine="422" w:firstLineChars="200"/>
        <w:rPr>
          <w:rFonts w:ascii="宋体" w:hAnsi="宋体" w:cs="宋体"/>
          <w:szCs w:val="21"/>
        </w:rPr>
      </w:pPr>
      <w:r>
        <w:rPr>
          <w:rFonts w:hint="eastAsia" w:ascii="宋体" w:hAnsi="宋体" w:cs="宋体"/>
          <w:b/>
          <w:bCs/>
          <w:szCs w:val="21"/>
        </w:rPr>
        <w:t>采购代理机构：</w:t>
      </w:r>
      <w:r>
        <w:rPr>
          <w:rFonts w:hint="eastAsia" w:ascii="宋体" w:hAnsi="宋体" w:cs="宋体"/>
          <w:iCs/>
          <w:szCs w:val="21"/>
        </w:rPr>
        <w:t>中科标禾工程项目管理有限公司</w:t>
      </w:r>
    </w:p>
    <w:p>
      <w:pPr>
        <w:spacing w:line="360" w:lineRule="auto"/>
        <w:ind w:firstLine="420" w:firstLineChars="200"/>
        <w:rPr>
          <w:rFonts w:ascii="宋体" w:hAnsi="宋体" w:cs="宋体"/>
          <w:szCs w:val="21"/>
        </w:rPr>
      </w:pPr>
      <w:r>
        <w:rPr>
          <w:rFonts w:hint="eastAsia" w:ascii="宋体" w:hAnsi="宋体" w:cs="宋体"/>
          <w:szCs w:val="21"/>
        </w:rPr>
        <w:t>联系电话：0731-88065699</w:t>
      </w:r>
    </w:p>
    <w:p>
      <w:pPr>
        <w:spacing w:line="360" w:lineRule="auto"/>
        <w:ind w:firstLine="420" w:firstLineChars="200"/>
        <w:rPr>
          <w:rFonts w:ascii="宋体" w:hAnsi="宋体" w:cs="宋体"/>
          <w:szCs w:val="21"/>
        </w:rPr>
      </w:pPr>
      <w:r>
        <w:rPr>
          <w:rFonts w:hint="eastAsia" w:ascii="宋体" w:hAnsi="宋体" w:cs="宋体"/>
          <w:szCs w:val="21"/>
        </w:rPr>
        <w:t>联系人：沈洁、陈学文</w:t>
      </w:r>
    </w:p>
    <w:p>
      <w:pPr>
        <w:spacing w:line="360" w:lineRule="auto"/>
        <w:ind w:firstLine="420" w:firstLineChars="200"/>
        <w:rPr>
          <w:rFonts w:ascii="宋体" w:hAnsi="宋体" w:cs="宋体"/>
          <w:szCs w:val="21"/>
        </w:rPr>
      </w:pPr>
      <w:r>
        <w:rPr>
          <w:rFonts w:hint="eastAsia" w:ascii="宋体" w:hAnsi="宋体" w:cs="宋体"/>
          <w:szCs w:val="21"/>
        </w:rPr>
        <w:t>地址：长沙市开福区四方坪街道双拥路9号长城万富汇大厦银座10036号房</w:t>
      </w:r>
    </w:p>
    <w:p>
      <w:pPr>
        <w:pStyle w:val="2"/>
        <w:rPr>
          <w:rFonts w:ascii="宋体" w:hAnsi="宋体" w:cs="黑体"/>
          <w:highlight w:val="yellow"/>
        </w:rPr>
      </w:pPr>
    </w:p>
    <w:p>
      <w:pPr>
        <w:rPr>
          <w:rFonts w:ascii="宋体" w:hAnsi="宋体"/>
          <w:highlight w:val="yellow"/>
        </w:rPr>
      </w:pPr>
    </w:p>
    <w:p>
      <w:pPr>
        <w:pStyle w:val="25"/>
        <w:adjustRightInd w:val="0"/>
        <w:snapToGrid w:val="0"/>
        <w:spacing w:line="360" w:lineRule="auto"/>
        <w:jc w:val="right"/>
        <w:rPr>
          <w:rFonts w:hAnsi="宋体"/>
          <w:highlight w:val="none"/>
        </w:rPr>
      </w:pPr>
      <w:bookmarkStart w:id="149" w:name="_GoBack"/>
      <w:bookmarkEnd w:id="149"/>
      <w:r>
        <w:rPr>
          <w:rFonts w:hint="eastAsia" w:hAnsi="宋体" w:cs="宋体"/>
          <w:highlight w:val="none"/>
        </w:rPr>
        <w:t>2022年1月</w:t>
      </w:r>
      <w:r>
        <w:rPr>
          <w:rFonts w:hint="eastAsia" w:hAnsi="宋体" w:cs="宋体"/>
          <w:highlight w:val="none"/>
          <w:lang w:val="en-US" w:eastAsia="zh-CN"/>
        </w:rPr>
        <w:t>25</w:t>
      </w:r>
      <w:r>
        <w:rPr>
          <w:rFonts w:hint="eastAsia" w:hAnsi="宋体" w:cs="宋体"/>
          <w:highlight w:val="none"/>
        </w:rPr>
        <w:t>日</w:t>
      </w:r>
    </w:p>
    <w:p>
      <w:pPr>
        <w:spacing w:after="240"/>
        <w:jc w:val="center"/>
        <w:rPr>
          <w:rFonts w:ascii="宋体" w:hAnsi="宋体" w:cs="宋体"/>
          <w:b/>
          <w:bCs/>
          <w:sz w:val="32"/>
          <w:szCs w:val="32"/>
        </w:rPr>
      </w:pPr>
      <w:r>
        <w:rPr>
          <w:rFonts w:ascii="宋体" w:hAnsi="宋体"/>
          <w:sz w:val="32"/>
          <w:szCs w:val="32"/>
        </w:rPr>
        <w:br w:type="page"/>
      </w:r>
      <w:bookmarkStart w:id="5" w:name="_Toc14891065"/>
      <w:bookmarkStart w:id="6" w:name="_Toc6753"/>
      <w:bookmarkStart w:id="7" w:name="_Toc24592"/>
      <w:bookmarkStart w:id="8" w:name="_Toc5145"/>
      <w:bookmarkStart w:id="9" w:name="_Toc8914"/>
      <w:r>
        <w:rPr>
          <w:rFonts w:hint="eastAsia" w:ascii="宋体" w:hAnsi="宋体" w:cs="宋体"/>
          <w:b/>
          <w:bCs/>
          <w:sz w:val="32"/>
          <w:szCs w:val="32"/>
        </w:rPr>
        <w:t>第二章  谈判须知</w:t>
      </w:r>
      <w:bookmarkEnd w:id="5"/>
      <w:bookmarkEnd w:id="6"/>
      <w:bookmarkEnd w:id="7"/>
      <w:bookmarkEnd w:id="8"/>
      <w:bookmarkEnd w:id="9"/>
    </w:p>
    <w:p>
      <w:pPr>
        <w:jc w:val="center"/>
        <w:outlineLvl w:val="0"/>
        <w:rPr>
          <w:rFonts w:ascii="宋体" w:hAnsi="宋体" w:cs="宋体"/>
          <w:b/>
          <w:bCs/>
          <w:sz w:val="32"/>
          <w:szCs w:val="32"/>
        </w:rPr>
      </w:pPr>
      <w:bookmarkStart w:id="10" w:name="_Toc14891066"/>
      <w:bookmarkStart w:id="11" w:name="_Toc6617"/>
      <w:bookmarkStart w:id="12" w:name="_Toc5430"/>
      <w:bookmarkStart w:id="13" w:name="_Toc3316"/>
      <w:bookmarkStart w:id="14" w:name="_Toc9591"/>
      <w:r>
        <w:rPr>
          <w:rFonts w:hint="eastAsia" w:ascii="宋体" w:hAnsi="宋体" w:cs="宋体"/>
          <w:b/>
          <w:bCs/>
          <w:sz w:val="32"/>
          <w:szCs w:val="32"/>
        </w:rPr>
        <w:t>谈判须知前附表</w:t>
      </w:r>
      <w:bookmarkEnd w:id="10"/>
      <w:bookmarkEnd w:id="11"/>
      <w:bookmarkEnd w:id="12"/>
      <w:bookmarkEnd w:id="13"/>
      <w:bookmarkEnd w:id="14"/>
    </w:p>
    <w:tbl>
      <w:tblPr>
        <w:tblStyle w:val="46"/>
        <w:tblW w:w="96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64"/>
        <w:gridCol w:w="77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名  称</w:t>
            </w:r>
          </w:p>
        </w:tc>
        <w:tc>
          <w:tcPr>
            <w:tcW w:w="7788"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采购项目</w:t>
            </w:r>
          </w:p>
        </w:tc>
        <w:tc>
          <w:tcPr>
            <w:tcW w:w="7788" w:type="dxa"/>
            <w:vAlign w:val="center"/>
          </w:tcPr>
          <w:p>
            <w:pPr>
              <w:adjustRightInd w:val="0"/>
              <w:snapToGrid w:val="0"/>
              <w:spacing w:line="360" w:lineRule="auto"/>
              <w:jc w:val="left"/>
              <w:rPr>
                <w:rFonts w:ascii="宋体" w:hAnsi="宋体" w:cs="宋体"/>
                <w:szCs w:val="21"/>
              </w:rPr>
            </w:pPr>
            <w:r>
              <w:rPr>
                <w:rFonts w:hint="eastAsia" w:hAnsi="宋体" w:cs="宋体"/>
                <w:iCs/>
              </w:rPr>
              <w:t>长沙市轨道交通2号线运营期2021年-2022年智慧车站综合管理平台采购项目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采购单位</w:t>
            </w:r>
          </w:p>
        </w:tc>
        <w:tc>
          <w:tcPr>
            <w:tcW w:w="7788" w:type="dxa"/>
            <w:vAlign w:val="center"/>
          </w:tcPr>
          <w:p>
            <w:pPr>
              <w:adjustRightInd w:val="0"/>
              <w:snapToGrid w:val="0"/>
              <w:spacing w:line="360" w:lineRule="auto"/>
              <w:jc w:val="left"/>
              <w:rPr>
                <w:rFonts w:ascii="宋体" w:hAnsi="宋体" w:cs="宋体"/>
                <w:iCs/>
                <w:szCs w:val="21"/>
              </w:rPr>
            </w:pPr>
            <w:r>
              <w:rPr>
                <w:rFonts w:hint="eastAsia" w:ascii="宋体" w:hAnsi="宋体" w:cs="宋体"/>
              </w:rPr>
              <w:t>长沙市轨道交通运营有限公司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采购代理机构</w:t>
            </w:r>
          </w:p>
        </w:tc>
        <w:tc>
          <w:tcPr>
            <w:tcW w:w="7788" w:type="dxa"/>
            <w:vAlign w:val="center"/>
          </w:tcPr>
          <w:p>
            <w:pPr>
              <w:adjustRightInd w:val="0"/>
              <w:snapToGrid w:val="0"/>
              <w:spacing w:line="360" w:lineRule="auto"/>
              <w:jc w:val="left"/>
              <w:rPr>
                <w:rFonts w:ascii="宋体" w:hAnsi="宋体" w:cs="宋体"/>
                <w:iCs/>
                <w:szCs w:val="21"/>
              </w:rPr>
            </w:pPr>
            <w:r>
              <w:rPr>
                <w:rFonts w:hint="eastAsia" w:ascii="宋体" w:hAnsi="宋体" w:cs="宋体"/>
                <w:iCs/>
                <w:szCs w:val="21"/>
              </w:rPr>
              <w:t>中科标禾工程项目管理有限公司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项目预算</w:t>
            </w:r>
          </w:p>
        </w:tc>
        <w:tc>
          <w:tcPr>
            <w:tcW w:w="7788" w:type="dxa"/>
            <w:vAlign w:val="center"/>
          </w:tcPr>
          <w:p>
            <w:pPr>
              <w:pStyle w:val="25"/>
              <w:adjustRightInd w:val="0"/>
              <w:snapToGrid w:val="0"/>
              <w:spacing w:line="360" w:lineRule="auto"/>
              <w:jc w:val="left"/>
              <w:rPr>
                <w:rFonts w:hAnsi="宋体" w:cs="宋体"/>
                <w:iCs/>
                <w:color w:val="FF0000"/>
              </w:rPr>
            </w:pPr>
            <w:r>
              <w:rPr>
                <w:rFonts w:hint="eastAsia" w:hAnsi="宋体" w:cs="宋体"/>
                <w:bCs/>
              </w:rPr>
              <w:t>1087586.50</w:t>
            </w:r>
            <w:r>
              <w:rPr>
                <w:rFonts w:hint="eastAsia" w:hAnsi="宋体" w:cs="宋体"/>
                <w:iCs/>
              </w:rPr>
              <w:t>元（</w:t>
            </w:r>
            <w:r>
              <w:rPr>
                <w:rFonts w:hint="eastAsia" w:hAnsi="宋体" w:cs="宋体"/>
              </w:rPr>
              <w:t>其中一标段696975.40元；二标段390611.10元</w:t>
            </w:r>
            <w:r>
              <w:rPr>
                <w:rFonts w:hint="eastAsia" w:hAnsi="宋体" w:cs="宋体"/>
                <w:iCs/>
              </w:rPr>
              <w:t>）</w:t>
            </w:r>
            <w:r>
              <w:rPr>
                <w:rFonts w:hint="eastAsia" w:hAnsi="宋体" w:cs="宋体"/>
              </w:rPr>
              <w:t>，不超过项目预算的谈判总报价为有效报价（各标段报价均不能超过该标段预算）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评审办法</w:t>
            </w:r>
          </w:p>
        </w:tc>
        <w:tc>
          <w:tcPr>
            <w:tcW w:w="7788" w:type="dxa"/>
            <w:vAlign w:val="center"/>
          </w:tcPr>
          <w:p>
            <w:pPr>
              <w:adjustRightInd w:val="0"/>
              <w:snapToGrid w:val="0"/>
              <w:spacing w:line="360" w:lineRule="auto"/>
              <w:jc w:val="left"/>
              <w:rPr>
                <w:rFonts w:ascii="宋体" w:hAnsi="宋体" w:cs="宋体"/>
                <w:iCs/>
                <w:szCs w:val="21"/>
              </w:rPr>
            </w:pPr>
            <w:r>
              <w:rPr>
                <w:rFonts w:hint="eastAsia" w:ascii="宋体" w:hAnsi="宋体" w:cs="宋体"/>
                <w:bCs/>
                <w:szCs w:val="21"/>
              </w:rPr>
              <w:t>经符合性审查合格后的最低价法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1864" w:type="dxa"/>
            <w:vAlign w:val="center"/>
          </w:tcPr>
          <w:p>
            <w:pPr>
              <w:adjustRightInd w:val="0"/>
              <w:snapToGrid w:val="0"/>
              <w:spacing w:line="360" w:lineRule="auto"/>
              <w:jc w:val="center"/>
              <w:rPr>
                <w:rFonts w:ascii="宋体" w:hAnsi="宋体" w:cs="宋体"/>
                <w:b/>
                <w:szCs w:val="21"/>
                <w:highlight w:val="yellow"/>
              </w:rPr>
            </w:pPr>
            <w:r>
              <w:rPr>
                <w:rFonts w:hint="eastAsia" w:ascii="宋体" w:hAnsi="宋体" w:cs="宋体"/>
                <w:b/>
                <w:szCs w:val="21"/>
              </w:rPr>
              <w:t>资格要求</w:t>
            </w:r>
          </w:p>
        </w:tc>
        <w:tc>
          <w:tcPr>
            <w:tcW w:w="7788" w:type="dxa"/>
            <w:vAlign w:val="center"/>
          </w:tcPr>
          <w:p>
            <w:pPr>
              <w:spacing w:line="360" w:lineRule="auto"/>
              <w:jc w:val="left"/>
              <w:rPr>
                <w:rFonts w:ascii="宋体" w:hAnsi="宋体" w:cs="宋体"/>
                <w:szCs w:val="21"/>
              </w:rPr>
            </w:pPr>
            <w:r>
              <w:rPr>
                <w:rFonts w:hint="eastAsia" w:ascii="宋体" w:hAnsi="宋体" w:cs="宋体"/>
                <w:bCs/>
                <w:szCs w:val="21"/>
              </w:rPr>
              <w:t>1.</w:t>
            </w:r>
            <w:r>
              <w:rPr>
                <w:rFonts w:hint="eastAsia" w:ascii="宋体" w:hAnsi="宋体" w:cs="宋体"/>
                <w:szCs w:val="21"/>
              </w:rPr>
              <w:t>谈判单位须为具有独立法人资格、自主经营、独立核算的公司/单位，须提供加盖谈判单位公章（鲜章）的营业执照/事业单位法人证书复印件。</w:t>
            </w:r>
          </w:p>
          <w:p>
            <w:pPr>
              <w:spacing w:line="360" w:lineRule="auto"/>
              <w:jc w:val="left"/>
              <w:rPr>
                <w:rFonts w:hint="eastAsia" w:ascii="宋体" w:hAnsi="宋体" w:cs="宋体"/>
                <w:szCs w:val="21"/>
              </w:rPr>
            </w:pPr>
            <w:r>
              <w:rPr>
                <w:rFonts w:hint="eastAsia" w:ascii="宋体" w:hAnsi="宋体" w:cs="宋体"/>
                <w:szCs w:val="21"/>
              </w:rPr>
              <w:t>2.谈判单位须具有：</w:t>
            </w:r>
          </w:p>
          <w:p>
            <w:pPr>
              <w:spacing w:line="360" w:lineRule="auto"/>
              <w:jc w:val="left"/>
              <w:rPr>
                <w:rFonts w:ascii="宋体" w:hAnsi="宋体" w:cs="宋体"/>
                <w:szCs w:val="21"/>
              </w:rPr>
            </w:pPr>
            <w:r>
              <w:rPr>
                <w:rFonts w:hint="eastAsia"/>
                <w:b/>
                <w:bCs/>
              </w:rPr>
              <w:t>一标段（车站配套设备）</w:t>
            </w:r>
            <w:r>
              <w:rPr>
                <w:rFonts w:hint="eastAsia"/>
              </w:rPr>
              <w:t>：</w:t>
            </w:r>
            <w:r>
              <w:rPr>
                <w:rFonts w:hint="eastAsia" w:ascii="宋体" w:hAnsi="宋体" w:cs="宋体"/>
                <w:szCs w:val="21"/>
              </w:rPr>
              <w:t>谈判单位在本项目谈判截止之日前36个月内须具有单项合同金额不少于30万元的</w:t>
            </w:r>
            <w:r>
              <w:rPr>
                <w:rFonts w:hint="eastAsia"/>
              </w:rPr>
              <w:t>视频智能分析类产品的供货</w:t>
            </w:r>
            <w:r>
              <w:rPr>
                <w:rFonts w:hint="eastAsia" w:ascii="宋体" w:hAnsi="宋体" w:cs="宋体"/>
                <w:szCs w:val="21"/>
              </w:rPr>
              <w:t>业绩。不接受联合体业绩、港澳台或境外业绩。</w:t>
            </w:r>
          </w:p>
          <w:p>
            <w:pPr>
              <w:pStyle w:val="45"/>
              <w:spacing w:line="360" w:lineRule="auto"/>
              <w:rPr>
                <w:rFonts w:hAnsi="宋体" w:cs="宋体"/>
                <w:szCs w:val="21"/>
              </w:rPr>
            </w:pPr>
            <w:r>
              <w:rPr>
                <w:rFonts w:hint="eastAsia" w:hAnsi="宋体" w:cs="宋体"/>
                <w:szCs w:val="21"/>
              </w:rPr>
              <w:t>业绩证明材料以同时提供的合同原件扫描件和发票（开票金额不少于合同金额的10%）原件扫描件为准（均须加盖投标人单位公章），业绩金额以合同中的金额为准，时间以合同中采购单位签字时间为准</w:t>
            </w:r>
            <w:r>
              <w:rPr>
                <w:rFonts w:hAnsi="宋体" w:cs="宋体"/>
                <w:szCs w:val="21"/>
              </w:rPr>
              <w:t>。</w:t>
            </w:r>
          </w:p>
          <w:p>
            <w:pPr>
              <w:pStyle w:val="2"/>
              <w:spacing w:line="360" w:lineRule="auto"/>
              <w:ind w:left="0" w:leftChars="0"/>
            </w:pPr>
            <w:r>
              <w:rPr>
                <w:rFonts w:hint="eastAsia"/>
                <w:b/>
                <w:bCs/>
              </w:rPr>
              <w:t>二标段（智能巡检）：</w:t>
            </w:r>
            <w:r>
              <w:rPr>
                <w:rFonts w:hint="eastAsia" w:ascii="宋体" w:hAnsi="宋体" w:cs="宋体"/>
                <w:color w:val="000000"/>
                <w:szCs w:val="21"/>
              </w:rPr>
              <w:t>谈判单位在本项目谈判截止之日前36个月内须具有自动化系统或智能化系统的供货业绩。</w:t>
            </w:r>
            <w:r>
              <w:rPr>
                <w:rFonts w:hint="eastAsia"/>
              </w:rPr>
              <w:t>不接受联合体、港澳台或境外业绩。</w:t>
            </w:r>
          </w:p>
          <w:p>
            <w:pPr>
              <w:widowControl/>
              <w:spacing w:line="360" w:lineRule="auto"/>
              <w:ind w:firstLine="420" w:firstLineChars="200"/>
              <w:rPr>
                <w:rFonts w:ascii="宋体" w:hAnsi="宋体" w:cs="宋体"/>
                <w:szCs w:val="21"/>
              </w:rPr>
            </w:pPr>
            <w:r>
              <w:rPr>
                <w:rFonts w:hint="eastAsia" w:ascii="宋体" w:hAnsi="宋体" w:cs="宋体"/>
                <w:szCs w:val="21"/>
              </w:rPr>
              <w:t>业绩证明材料以同时提供的合同原件扫描件和发票（开票金额不少于合同金额的10%）原件扫描件为准（均须加盖投标人单位公章），业绩金额以合同中的金额为准，时间以合同中采购单位签字时间为准。</w:t>
            </w:r>
          </w:p>
          <w:p>
            <w:pPr>
              <w:widowControl/>
              <w:spacing w:line="360" w:lineRule="auto"/>
            </w:pPr>
            <w:r>
              <w:rPr>
                <w:rFonts w:hint="eastAsia" w:ascii="宋体" w:hAnsi="宋体" w:cs="宋体"/>
                <w:szCs w:val="21"/>
              </w:rPr>
              <w:t>3.本项目不接受联合体形式参与谈判。</w:t>
            </w:r>
          </w:p>
          <w:p>
            <w:pPr>
              <w:spacing w:line="360" w:lineRule="auto"/>
              <w:rPr>
                <w:rFonts w:ascii="宋体" w:hAnsi="宋体" w:cs="宋体"/>
                <w:szCs w:val="21"/>
                <w:highlight w:val="yellow"/>
              </w:rPr>
            </w:pPr>
            <w:r>
              <w:rPr>
                <w:rFonts w:hint="eastAsia" w:ascii="宋体" w:hAnsi="宋体" w:cs="宋体"/>
                <w:szCs w:val="21"/>
              </w:rPr>
              <w:t>4.</w:t>
            </w:r>
            <w:r>
              <w:rPr>
                <w:rFonts w:hint="eastAsia" w:ascii="宋体" w:hAnsi="宋体" w:cs="宋体"/>
              </w:rPr>
              <w:t>被长沙市轨道交通集团有限公司及长沙市轨道交通运营有限公司函告禁止在一定期限内参与投标的单位按函告内容执行。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谈判答疑文件递交截止时间</w:t>
            </w:r>
          </w:p>
        </w:tc>
        <w:tc>
          <w:tcPr>
            <w:tcW w:w="7788" w:type="dxa"/>
            <w:vAlign w:val="center"/>
          </w:tcPr>
          <w:p>
            <w:pPr>
              <w:pStyle w:val="25"/>
              <w:adjustRightInd w:val="0"/>
              <w:snapToGrid w:val="0"/>
              <w:spacing w:line="360" w:lineRule="auto"/>
              <w:rPr>
                <w:rFonts w:hAnsi="宋体" w:cs="宋体"/>
                <w:color w:val="000000"/>
              </w:rPr>
            </w:pPr>
            <w:r>
              <w:rPr>
                <w:rFonts w:hint="eastAsia" w:hAnsi="宋体" w:cs="宋体"/>
                <w:highlight w:val="none"/>
                <w:u w:val="single"/>
              </w:rPr>
              <w:t>2022</w:t>
            </w:r>
            <w:r>
              <w:rPr>
                <w:rFonts w:hint="eastAsia" w:hAnsi="宋体" w:cs="宋体"/>
                <w:highlight w:val="none"/>
              </w:rPr>
              <w:t>年</w:t>
            </w:r>
            <w:r>
              <w:rPr>
                <w:rFonts w:hint="eastAsia" w:hAnsi="宋体" w:cs="宋体"/>
                <w:highlight w:val="none"/>
                <w:u w:val="single"/>
              </w:rPr>
              <w:t xml:space="preserve"> </w:t>
            </w:r>
            <w:r>
              <w:rPr>
                <w:rFonts w:hint="eastAsia" w:hAnsi="宋体" w:cs="宋体"/>
                <w:highlight w:val="none"/>
                <w:u w:val="single"/>
                <w:lang w:val="en-US" w:eastAsia="zh-CN"/>
              </w:rPr>
              <w:t>2</w:t>
            </w:r>
            <w:r>
              <w:rPr>
                <w:rFonts w:hint="eastAsia" w:hAnsi="宋体" w:cs="宋体"/>
                <w:highlight w:val="none"/>
              </w:rPr>
              <w:t>月</w:t>
            </w:r>
            <w:r>
              <w:rPr>
                <w:rFonts w:hint="eastAsia" w:hAnsi="宋体" w:cs="宋体"/>
                <w:highlight w:val="none"/>
                <w:u w:val="single"/>
              </w:rPr>
              <w:t xml:space="preserve"> </w:t>
            </w:r>
            <w:r>
              <w:rPr>
                <w:rFonts w:hint="eastAsia" w:hAnsi="宋体" w:cs="宋体"/>
                <w:highlight w:val="none"/>
                <w:u w:val="single"/>
                <w:lang w:val="en-US" w:eastAsia="zh-CN"/>
              </w:rPr>
              <w:t>10</w:t>
            </w:r>
            <w:r>
              <w:rPr>
                <w:rFonts w:hint="eastAsia" w:hAnsi="宋体" w:cs="宋体"/>
                <w:highlight w:val="none"/>
              </w:rPr>
              <w:t>日</w:t>
            </w:r>
            <w:r>
              <w:rPr>
                <w:rFonts w:hint="eastAsia" w:hAnsi="宋体" w:cs="宋体"/>
                <w:highlight w:val="none"/>
                <w:u w:val="single"/>
              </w:rPr>
              <w:t xml:space="preserve"> </w:t>
            </w:r>
            <w:r>
              <w:rPr>
                <w:rFonts w:hint="eastAsia" w:hAnsi="宋体" w:cs="宋体"/>
                <w:u w:val="single"/>
              </w:rPr>
              <w:t xml:space="preserve">17 </w:t>
            </w:r>
            <w:r>
              <w:rPr>
                <w:rFonts w:hint="eastAsia" w:hAnsi="宋体" w:cs="宋体"/>
              </w:rPr>
              <w:t>时</w:t>
            </w:r>
            <w:r>
              <w:rPr>
                <w:rFonts w:hint="eastAsia" w:hAnsi="宋体" w:cs="宋体"/>
                <w:u w:val="single"/>
              </w:rPr>
              <w:t xml:space="preserve"> 00 </w:t>
            </w:r>
            <w:r>
              <w:rPr>
                <w:rFonts w:hint="eastAsia" w:hAnsi="宋体" w:cs="宋体"/>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谈判答疑文件递交方式及地点</w:t>
            </w:r>
          </w:p>
        </w:tc>
        <w:tc>
          <w:tcPr>
            <w:tcW w:w="7788" w:type="dxa"/>
            <w:vAlign w:val="center"/>
          </w:tcPr>
          <w:p>
            <w:pPr>
              <w:pStyle w:val="25"/>
              <w:adjustRightInd w:val="0"/>
              <w:snapToGrid w:val="0"/>
              <w:spacing w:line="360" w:lineRule="auto"/>
              <w:rPr>
                <w:rFonts w:hAnsi="宋体" w:cs="宋体"/>
                <w:iCs/>
                <w:color w:val="FF0000"/>
              </w:rPr>
            </w:pPr>
            <w:r>
              <w:rPr>
                <w:rFonts w:hint="eastAsia" w:hAnsi="宋体" w:cs="宋体"/>
              </w:rPr>
              <w:t>谈判答疑文件应以书面形式递交至：长沙市开福区四方坪街道双拥路9号长城万富汇大厦银座10036号房。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响应文件的递交截止及谈判时间</w:t>
            </w:r>
          </w:p>
        </w:tc>
        <w:tc>
          <w:tcPr>
            <w:tcW w:w="7788" w:type="dxa"/>
            <w:vAlign w:val="center"/>
          </w:tcPr>
          <w:p>
            <w:pPr>
              <w:adjustRightInd w:val="0"/>
              <w:snapToGrid w:val="0"/>
              <w:spacing w:line="360" w:lineRule="auto"/>
              <w:jc w:val="left"/>
              <w:rPr>
                <w:rFonts w:ascii="宋体" w:hAnsi="宋体" w:cs="宋体"/>
                <w:szCs w:val="21"/>
              </w:rPr>
            </w:pPr>
            <w:r>
              <w:rPr>
                <w:rFonts w:hint="eastAsia" w:ascii="宋体" w:hAnsi="宋体" w:cs="宋体"/>
                <w:szCs w:val="21"/>
                <w:highlight w:val="none"/>
                <w:u w:val="single"/>
              </w:rPr>
              <w:t>2022</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2</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16</w:t>
            </w:r>
            <w:r>
              <w:rPr>
                <w:rFonts w:hint="eastAsia" w:ascii="宋体" w:hAnsi="宋体" w:cs="宋体"/>
                <w:szCs w:val="21"/>
                <w:highlight w:val="none"/>
              </w:rPr>
              <w:t>日</w:t>
            </w:r>
            <w:r>
              <w:rPr>
                <w:rFonts w:hint="eastAsia" w:ascii="宋体" w:hAnsi="宋体" w:cs="宋体"/>
                <w:szCs w:val="21"/>
                <w:highlight w:val="none"/>
                <w:u w:val="single"/>
              </w:rPr>
              <w:t xml:space="preserve"> </w:t>
            </w:r>
            <w:r>
              <w:rPr>
                <w:rFonts w:hint="eastAsia" w:ascii="宋体" w:hAnsi="宋体" w:cs="宋体"/>
                <w:szCs w:val="21"/>
                <w:u w:val="single"/>
              </w:rPr>
              <w:t xml:space="preserve">14 </w:t>
            </w:r>
            <w:r>
              <w:rPr>
                <w:rFonts w:hint="eastAsia" w:ascii="宋体" w:hAnsi="宋体" w:cs="宋体"/>
                <w:szCs w:val="21"/>
              </w:rPr>
              <w:t>时</w:t>
            </w:r>
            <w:r>
              <w:rPr>
                <w:rFonts w:hint="eastAsia" w:ascii="宋体" w:hAnsi="宋体" w:cs="宋体"/>
                <w:szCs w:val="21"/>
                <w:u w:val="single"/>
              </w:rPr>
              <w:t xml:space="preserve"> 30 </w:t>
            </w:r>
            <w:r>
              <w:rPr>
                <w:rFonts w:hint="eastAsia" w:ascii="宋体" w:hAnsi="宋体" w:cs="宋体"/>
                <w:szCs w:val="21"/>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响应文件的递交及谈判地点</w:t>
            </w:r>
          </w:p>
        </w:tc>
        <w:tc>
          <w:tcPr>
            <w:tcW w:w="7788" w:type="dxa"/>
            <w:vAlign w:val="center"/>
          </w:tcPr>
          <w:p>
            <w:pPr>
              <w:adjustRightInd w:val="0"/>
              <w:snapToGrid w:val="0"/>
              <w:spacing w:line="360" w:lineRule="auto"/>
              <w:jc w:val="left"/>
              <w:rPr>
                <w:rFonts w:ascii="宋体" w:hAnsi="宋体" w:cs="宋体"/>
                <w:szCs w:val="21"/>
              </w:rPr>
            </w:pPr>
            <w:r>
              <w:rPr>
                <w:rFonts w:hint="eastAsia" w:ascii="宋体" w:hAnsi="宋体" w:cs="宋体"/>
                <w:bCs/>
                <w:szCs w:val="21"/>
              </w:rPr>
              <w:t>长沙市劳动东路二段48号黄兴车辆段综合楼9楼910室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谈判现场验证须提交的资料</w:t>
            </w:r>
          </w:p>
        </w:tc>
        <w:tc>
          <w:tcPr>
            <w:tcW w:w="7788" w:type="dxa"/>
            <w:vAlign w:val="center"/>
          </w:tcPr>
          <w:p>
            <w:pPr>
              <w:adjustRightInd w:val="0"/>
              <w:snapToGrid w:val="0"/>
              <w:spacing w:line="360" w:lineRule="auto"/>
              <w:jc w:val="left"/>
              <w:rPr>
                <w:rFonts w:ascii="宋体" w:hAnsi="宋体" w:cs="宋体"/>
                <w:color w:val="FF0000"/>
                <w:szCs w:val="21"/>
              </w:rPr>
            </w:pPr>
            <w:r>
              <w:rPr>
                <w:rFonts w:hint="eastAsia" w:ascii="宋体" w:hAnsi="宋体" w:cs="宋体"/>
                <w:iCs/>
                <w:szCs w:val="21"/>
              </w:rPr>
              <w:t>1.谈判单位代表是谈判单位法定代表人参加的，法定代表人须提供法定代表人身份证明书原件</w:t>
            </w:r>
            <w:r>
              <w:rPr>
                <w:rFonts w:hint="eastAsia" w:ascii="宋体" w:hAnsi="宋体" w:cs="宋体"/>
                <w:b/>
                <w:bCs/>
                <w:iCs/>
                <w:szCs w:val="21"/>
              </w:rPr>
              <w:t>（格式详见本文件第六章）</w:t>
            </w:r>
            <w:r>
              <w:rPr>
                <w:rFonts w:hint="eastAsia" w:ascii="宋体" w:hAnsi="宋体" w:cs="宋体"/>
                <w:szCs w:val="21"/>
              </w:rPr>
              <w:t>及本人身份证原件。</w:t>
            </w:r>
          </w:p>
          <w:p>
            <w:pPr>
              <w:adjustRightInd w:val="0"/>
              <w:snapToGrid w:val="0"/>
              <w:spacing w:line="360" w:lineRule="auto"/>
              <w:jc w:val="left"/>
              <w:rPr>
                <w:rFonts w:ascii="宋体" w:hAnsi="宋体" w:cs="宋体"/>
                <w:iCs/>
                <w:szCs w:val="21"/>
              </w:rPr>
            </w:pPr>
            <w:r>
              <w:rPr>
                <w:rFonts w:hint="eastAsia" w:ascii="宋体" w:hAnsi="宋体" w:cs="宋体"/>
                <w:szCs w:val="21"/>
              </w:rPr>
              <w:t>2.谈判单位代表是由谈判单位法定代表人授权的委托代理人参加的，其授权委托代理人须提供授权委托书原件</w:t>
            </w:r>
            <w:r>
              <w:rPr>
                <w:rFonts w:hint="eastAsia" w:ascii="宋体" w:hAnsi="宋体" w:cs="宋体"/>
                <w:b/>
                <w:szCs w:val="21"/>
              </w:rPr>
              <w:t>（格式详见本文件</w:t>
            </w:r>
            <w:r>
              <w:rPr>
                <w:rFonts w:hint="eastAsia" w:ascii="宋体" w:hAnsi="宋体" w:cs="宋体"/>
                <w:b/>
                <w:bCs/>
                <w:iCs/>
                <w:szCs w:val="21"/>
              </w:rPr>
              <w:t>第六章</w:t>
            </w:r>
            <w:r>
              <w:rPr>
                <w:rFonts w:hint="eastAsia" w:ascii="宋体" w:hAnsi="宋体" w:cs="宋体"/>
                <w:b/>
                <w:szCs w:val="21"/>
              </w:rPr>
              <w:t>）</w:t>
            </w:r>
            <w:r>
              <w:rPr>
                <w:rFonts w:hint="eastAsia" w:ascii="宋体" w:hAnsi="宋体" w:cs="宋体"/>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响应文件有效期</w:t>
            </w:r>
          </w:p>
        </w:tc>
        <w:tc>
          <w:tcPr>
            <w:tcW w:w="7788" w:type="dxa"/>
            <w:vAlign w:val="center"/>
          </w:tcPr>
          <w:p>
            <w:pPr>
              <w:adjustRightInd w:val="0"/>
              <w:snapToGrid w:val="0"/>
              <w:spacing w:line="360" w:lineRule="auto"/>
              <w:jc w:val="left"/>
              <w:rPr>
                <w:rFonts w:ascii="宋体" w:hAnsi="宋体" w:cs="宋体"/>
                <w:szCs w:val="21"/>
              </w:rPr>
            </w:pPr>
            <w:r>
              <w:rPr>
                <w:rFonts w:hint="eastAsia" w:ascii="宋体" w:hAnsi="宋体" w:cs="宋体"/>
                <w:szCs w:val="21"/>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响应文件份数</w:t>
            </w:r>
          </w:p>
        </w:tc>
        <w:tc>
          <w:tcPr>
            <w:tcW w:w="7788" w:type="dxa"/>
            <w:vAlign w:val="center"/>
          </w:tcPr>
          <w:p>
            <w:pPr>
              <w:adjustRightInd w:val="0"/>
              <w:snapToGrid w:val="0"/>
              <w:spacing w:line="360" w:lineRule="auto"/>
              <w:rPr>
                <w:rFonts w:ascii="宋体" w:hAnsi="宋体" w:cs="宋体"/>
                <w:szCs w:val="21"/>
                <w:u w:val="single"/>
              </w:rPr>
            </w:pPr>
            <w:r>
              <w:rPr>
                <w:rFonts w:hint="eastAsia" w:ascii="宋体" w:hAnsi="宋体" w:cs="宋体"/>
                <w:szCs w:val="21"/>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1864" w:type="dxa"/>
            <w:vAlign w:val="center"/>
          </w:tcPr>
          <w:p>
            <w:pPr>
              <w:adjustRightInd w:val="0"/>
              <w:snapToGrid w:val="0"/>
              <w:spacing w:line="360" w:lineRule="auto"/>
              <w:jc w:val="center"/>
              <w:rPr>
                <w:rFonts w:ascii="宋体" w:hAnsi="宋体" w:cs="宋体"/>
                <w:b/>
                <w:szCs w:val="21"/>
                <w:highlight w:val="yellow"/>
              </w:rPr>
            </w:pPr>
            <w:r>
              <w:rPr>
                <w:rFonts w:hint="eastAsia" w:ascii="宋体" w:hAnsi="宋体" w:cs="宋体"/>
                <w:b/>
                <w:szCs w:val="21"/>
              </w:rPr>
              <w:t>价格承包内容</w:t>
            </w:r>
          </w:p>
        </w:tc>
        <w:tc>
          <w:tcPr>
            <w:tcW w:w="7788" w:type="dxa"/>
            <w:vAlign w:val="center"/>
          </w:tcPr>
          <w:p>
            <w:pPr>
              <w:spacing w:line="360" w:lineRule="auto"/>
              <w:jc w:val="left"/>
              <w:rPr>
                <w:rFonts w:ascii="宋体" w:hAnsi="宋体" w:cs="宋体"/>
                <w:szCs w:val="21"/>
              </w:rPr>
            </w:pPr>
            <w:r>
              <w:rPr>
                <w:rFonts w:hint="eastAsia" w:ascii="宋体" w:hAnsi="宋体" w:cs="宋体"/>
                <w:szCs w:val="21"/>
              </w:rPr>
              <w:t>1.合同价款形式：</w:t>
            </w:r>
          </w:p>
          <w:p>
            <w:pPr>
              <w:spacing w:line="360" w:lineRule="auto"/>
              <w:jc w:val="left"/>
              <w:rPr>
                <w:rFonts w:ascii="宋体" w:hAnsi="宋体" w:cs="宋体"/>
                <w:szCs w:val="21"/>
              </w:rPr>
            </w:pPr>
            <w:r>
              <w:rPr>
                <w:rFonts w:hint="eastAsia" w:ascii="宋体" w:hAnsi="宋体" w:cs="宋体"/>
                <w:szCs w:val="21"/>
              </w:rPr>
              <w:t>单价合同（除税率调整外，合同单价（即中标单价/中选单价/成交单价）在合同执行过程中固定不变，不受政策法规变化以及汇率浮动、物价指数浮动等因素的影响）。</w:t>
            </w:r>
          </w:p>
          <w:p>
            <w:pPr>
              <w:spacing w:line="360" w:lineRule="auto"/>
              <w:jc w:val="left"/>
              <w:rPr>
                <w:rFonts w:ascii="宋体" w:hAnsi="宋体" w:cs="宋体"/>
                <w:szCs w:val="21"/>
              </w:rPr>
            </w:pPr>
            <w:r>
              <w:rPr>
                <w:rFonts w:hint="eastAsia" w:ascii="宋体" w:hAnsi="宋体" w:cs="宋体"/>
                <w:szCs w:val="21"/>
              </w:rPr>
              <w:t>2.签约合同价：</w:t>
            </w:r>
          </w:p>
          <w:p>
            <w:pPr>
              <w:spacing w:line="360" w:lineRule="auto"/>
              <w:ind w:left="210" w:hanging="210" w:hangingChars="100"/>
              <w:jc w:val="left"/>
              <w:rPr>
                <w:rFonts w:ascii="宋体" w:hAnsi="宋体" w:cs="宋体"/>
                <w:szCs w:val="21"/>
              </w:rPr>
            </w:pPr>
            <w:r>
              <w:rPr>
                <w:rFonts w:hint="eastAsia" w:ascii="宋体" w:hAnsi="宋体" w:cs="宋体"/>
                <w:szCs w:val="21"/>
              </w:rPr>
              <w:t>签约合同价为含增值税价，金额为人民币（大写）</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 xml:space="preserve">），具体价格组成详见签约合同价清单。 </w:t>
            </w:r>
          </w:p>
          <w:p>
            <w:pPr>
              <w:adjustRightInd w:val="0"/>
              <w:snapToGrid w:val="0"/>
              <w:spacing w:line="360" w:lineRule="auto"/>
              <w:rPr>
                <w:rFonts w:ascii="宋体" w:hAnsi="宋体" w:cs="宋体"/>
                <w:szCs w:val="21"/>
                <w:highlight w:val="yellow"/>
              </w:rPr>
            </w:pPr>
            <w:r>
              <w:rPr>
                <w:rFonts w:hint="eastAsia" w:ascii="宋体" w:hAnsi="宋体" w:cs="宋体"/>
                <w:szCs w:val="21"/>
              </w:rPr>
              <w:t>按长沙市政府或其职能部门相关规定，本项目的合同价格最终以履约验收合格确定的最终价款为准。合同价格包括乙方履行合同且满足用户需求书/技术规格书全部要求所产生的成本、费用、税金、利润、保险、专利、风险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864" w:type="dxa"/>
            <w:vAlign w:val="center"/>
          </w:tcPr>
          <w:p>
            <w:pPr>
              <w:adjustRightInd w:val="0"/>
              <w:snapToGrid w:val="0"/>
              <w:spacing w:line="360" w:lineRule="auto"/>
              <w:jc w:val="center"/>
              <w:rPr>
                <w:rFonts w:ascii="宋体" w:hAnsi="宋体" w:cs="宋体"/>
                <w:b/>
                <w:color w:val="FF0000"/>
                <w:szCs w:val="21"/>
                <w:highlight w:val="yellow"/>
              </w:rPr>
            </w:pPr>
            <w:r>
              <w:rPr>
                <w:rFonts w:hint="eastAsia" w:ascii="宋体" w:hAnsi="宋体" w:cs="宋体"/>
                <w:b/>
                <w:szCs w:val="21"/>
              </w:rPr>
              <w:t>项目支付方式</w:t>
            </w:r>
          </w:p>
        </w:tc>
        <w:tc>
          <w:tcPr>
            <w:tcW w:w="7788" w:type="dxa"/>
            <w:vAlign w:val="center"/>
          </w:tcPr>
          <w:p>
            <w:pPr>
              <w:widowControl/>
              <w:spacing w:line="360" w:lineRule="auto"/>
              <w:rPr>
                <w:rFonts w:ascii="宋体" w:hAnsi="宋体" w:cs="宋体"/>
                <w:szCs w:val="21"/>
              </w:rPr>
            </w:pPr>
            <w:r>
              <w:rPr>
                <w:rFonts w:hint="eastAsia" w:ascii="宋体" w:hAnsi="宋体" w:cs="宋体"/>
                <w:szCs w:val="21"/>
              </w:rPr>
              <w:t>1.预付款</w:t>
            </w:r>
          </w:p>
          <w:p>
            <w:pPr>
              <w:widowControl/>
              <w:spacing w:line="360" w:lineRule="auto"/>
              <w:rPr>
                <w:rFonts w:ascii="宋体" w:hAnsi="宋体" w:cs="宋体"/>
                <w:szCs w:val="21"/>
              </w:rPr>
            </w:pPr>
            <w:r>
              <w:rPr>
                <w:rFonts w:hint="eastAsia" w:ascii="宋体" w:hAnsi="宋体" w:cs="宋体"/>
                <w:szCs w:val="21"/>
              </w:rPr>
              <w:t>本项目无预付款。</w:t>
            </w:r>
          </w:p>
          <w:p>
            <w:pPr>
              <w:widowControl/>
              <w:spacing w:line="360" w:lineRule="auto"/>
              <w:rPr>
                <w:rFonts w:ascii="宋体" w:hAnsi="宋体" w:cs="宋体"/>
                <w:szCs w:val="21"/>
              </w:rPr>
            </w:pPr>
            <w:r>
              <w:rPr>
                <w:rFonts w:hint="eastAsia" w:ascii="宋体" w:hAnsi="宋体" w:cs="宋体"/>
                <w:szCs w:val="21"/>
              </w:rPr>
              <w:t>2. 中间付款</w:t>
            </w:r>
          </w:p>
          <w:p>
            <w:pPr>
              <w:widowControl/>
              <w:spacing w:line="360" w:lineRule="auto"/>
              <w:rPr>
                <w:rFonts w:ascii="宋体" w:hAnsi="宋体" w:cs="宋体"/>
                <w:szCs w:val="21"/>
              </w:rPr>
            </w:pPr>
            <w:r>
              <w:rPr>
                <w:rFonts w:hint="eastAsia" w:ascii="宋体" w:hAnsi="宋体" w:cs="宋体"/>
                <w:szCs w:val="21"/>
              </w:rPr>
              <w:t>乙方按合同约定完成所有物资供货及相关工作，且本项目履约验收合格，在收到经甲方批复的支付申请等资料并证实完整无误后28个工作日内，支付至合同价格的97%。</w:t>
            </w:r>
          </w:p>
          <w:p>
            <w:pPr>
              <w:widowControl/>
              <w:spacing w:line="360" w:lineRule="auto"/>
              <w:rPr>
                <w:rFonts w:ascii="宋体" w:hAnsi="宋体" w:cs="宋体"/>
                <w:szCs w:val="21"/>
              </w:rPr>
            </w:pPr>
            <w:r>
              <w:rPr>
                <w:rFonts w:hint="eastAsia" w:ascii="宋体" w:hAnsi="宋体" w:cs="宋体"/>
                <w:szCs w:val="21"/>
              </w:rPr>
              <w:t>3.最终付款</w:t>
            </w:r>
          </w:p>
          <w:p>
            <w:pPr>
              <w:widowControl/>
              <w:spacing w:line="360" w:lineRule="auto"/>
              <w:rPr>
                <w:rFonts w:ascii="宋体" w:hAnsi="宋体" w:cs="宋体"/>
                <w:szCs w:val="21"/>
              </w:rPr>
            </w:pPr>
            <w:r>
              <w:rPr>
                <w:rFonts w:hint="eastAsia" w:ascii="宋体" w:hAnsi="宋体" w:cs="宋体"/>
                <w:szCs w:val="21"/>
              </w:rPr>
              <w:t>质保期满且物资无质量问题，收到经甲方批复的支付请求等资料并证实完整无误后28个工作日内，支付合同价格的剩余款项。</w:t>
            </w:r>
          </w:p>
          <w:p>
            <w:pPr>
              <w:pStyle w:val="45"/>
              <w:adjustRightInd w:val="0"/>
              <w:snapToGrid w:val="0"/>
              <w:spacing w:after="0" w:line="360" w:lineRule="auto"/>
              <w:ind w:firstLine="0" w:firstLineChars="0"/>
              <w:rPr>
                <w:rFonts w:ascii="宋体" w:hAnsi="宋体" w:cs="宋体"/>
                <w:highlight w:val="yellow"/>
              </w:rPr>
            </w:pPr>
            <w:r>
              <w:rPr>
                <w:rFonts w:hint="eastAsia" w:ascii="宋体" w:hAnsi="宋体" w:cs="宋体"/>
                <w:szCs w:val="21"/>
              </w:rPr>
              <w:t>4.乙方应理解本合同的资金来源为政府资金，款项的拨付须经有关部门批准，若甲方在规定的支付期限内未支付合同价款，乙方不得以款项延迟支付而停止、拒绝履行本合同或要求甲方支付任何利息。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12"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信息发布</w:t>
            </w:r>
          </w:p>
          <w:p>
            <w:pPr>
              <w:adjustRightInd w:val="0"/>
              <w:snapToGrid w:val="0"/>
              <w:spacing w:line="360" w:lineRule="auto"/>
              <w:jc w:val="center"/>
              <w:rPr>
                <w:rFonts w:ascii="宋体" w:hAnsi="宋体" w:cs="宋体"/>
                <w:b/>
                <w:szCs w:val="21"/>
              </w:rPr>
            </w:pPr>
            <w:r>
              <w:rPr>
                <w:rFonts w:hint="eastAsia" w:ascii="宋体" w:hAnsi="宋体" w:cs="宋体"/>
                <w:b/>
                <w:szCs w:val="21"/>
              </w:rPr>
              <w:t>指定媒体</w:t>
            </w:r>
          </w:p>
        </w:tc>
        <w:tc>
          <w:tcPr>
            <w:tcW w:w="7788" w:type="dxa"/>
            <w:vAlign w:val="center"/>
          </w:tcPr>
          <w:p>
            <w:pPr>
              <w:adjustRightInd w:val="0"/>
              <w:snapToGrid w:val="0"/>
              <w:spacing w:line="360" w:lineRule="auto"/>
              <w:rPr>
                <w:rFonts w:ascii="宋体" w:hAnsi="宋体" w:cs="宋体"/>
                <w:szCs w:val="21"/>
              </w:rPr>
            </w:pPr>
            <w:r>
              <w:rPr>
                <w:rFonts w:hint="eastAsia" w:ascii="宋体" w:hAnsi="宋体" w:cs="宋体"/>
                <w:szCs w:val="21"/>
              </w:rPr>
              <w:t>长沙市轨道交通集团有限公司</w:t>
            </w:r>
            <w:r>
              <w:fldChar w:fldCharType="begin"/>
            </w:r>
            <w:r>
              <w:instrText xml:space="preserve"> HYPERLINK "http://www.hncsmtr.com/" </w:instrText>
            </w:r>
            <w:r>
              <w:fldChar w:fldCharType="separate"/>
            </w:r>
            <w:r>
              <w:rPr>
                <w:rStyle w:val="55"/>
                <w:rFonts w:hint="eastAsia" w:ascii="宋体" w:hAnsi="宋体" w:cs="宋体"/>
                <w:color w:val="auto"/>
                <w:szCs w:val="21"/>
              </w:rPr>
              <w:t>http://www.hncsmtr.com/</w:t>
            </w:r>
            <w:r>
              <w:rPr>
                <w:rStyle w:val="55"/>
                <w:rFonts w:hint="eastAsia" w:ascii="宋体" w:hAnsi="宋体" w:cs="宋体"/>
                <w:color w:val="auto"/>
                <w:szCs w:val="21"/>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采购代理服务费</w:t>
            </w:r>
          </w:p>
        </w:tc>
        <w:tc>
          <w:tcPr>
            <w:tcW w:w="7788" w:type="dxa"/>
            <w:vAlign w:val="center"/>
          </w:tcPr>
          <w:p>
            <w:pPr>
              <w:adjustRightInd w:val="0"/>
              <w:snapToGrid w:val="0"/>
              <w:spacing w:line="360" w:lineRule="auto"/>
              <w:rPr>
                <w:rFonts w:ascii="宋体" w:hAnsi="宋体" w:cs="宋体"/>
                <w:szCs w:val="21"/>
              </w:rPr>
            </w:pPr>
            <w:r>
              <w:rPr>
                <w:rFonts w:hint="eastAsia" w:ascii="宋体" w:hAnsi="宋体" w:cs="宋体"/>
                <w:szCs w:val="21"/>
              </w:rPr>
              <w:t>本项目采购代理服务费以中选价为基数，按《招标代理服务收费汇率表》(附件)计算，服务费超过2万元的，按2万元计取，服务费低于5000元的，按5000元计取。由中选单位全额支付，中选单位应在本项目完成中选通知书备案、资料归档等手续，且接到采购人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3"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其他规定</w:t>
            </w:r>
          </w:p>
          <w:p>
            <w:pPr>
              <w:adjustRightInd w:val="0"/>
              <w:snapToGrid w:val="0"/>
              <w:spacing w:line="360" w:lineRule="auto"/>
              <w:jc w:val="center"/>
              <w:rPr>
                <w:rFonts w:ascii="宋体" w:hAnsi="宋体" w:cs="宋体"/>
                <w:b/>
                <w:szCs w:val="21"/>
                <w:highlight w:val="yellow"/>
              </w:rPr>
            </w:pPr>
            <w:r>
              <w:rPr>
                <w:rFonts w:hint="eastAsia" w:ascii="宋体" w:hAnsi="宋体" w:cs="宋体"/>
                <w:b/>
                <w:szCs w:val="21"/>
              </w:rPr>
              <w:t>（</w:t>
            </w:r>
            <w:r>
              <w:rPr>
                <w:rFonts w:hint="eastAsia" w:ascii="宋体" w:hAnsi="宋体" w:cs="宋体"/>
                <w:b/>
                <w:szCs w:val="21"/>
                <w:lang w:eastAsia="zh-CN"/>
              </w:rPr>
              <w:t>如有</w:t>
            </w:r>
            <w:r>
              <w:rPr>
                <w:rFonts w:hint="eastAsia" w:ascii="宋体" w:hAnsi="宋体" w:cs="宋体"/>
                <w:b/>
                <w:szCs w:val="21"/>
              </w:rPr>
              <w:t>）</w:t>
            </w:r>
          </w:p>
        </w:tc>
        <w:tc>
          <w:tcPr>
            <w:tcW w:w="7788" w:type="dxa"/>
            <w:vAlign w:val="center"/>
          </w:tcPr>
          <w:p>
            <w:pPr>
              <w:adjustRightInd w:val="0"/>
              <w:snapToGrid w:val="0"/>
              <w:spacing w:line="360" w:lineRule="auto"/>
              <w:rPr>
                <w:rFonts w:hint="eastAsia" w:ascii="宋体" w:hAnsi="宋体" w:eastAsia="宋体" w:cs="宋体"/>
                <w:szCs w:val="21"/>
                <w:highlight w:val="yellow"/>
                <w:lang w:val="en-US" w:eastAsia="zh-CN"/>
              </w:rPr>
            </w:pPr>
            <w:r>
              <w:rPr>
                <w:rFonts w:hint="eastAsia" w:ascii="宋体" w:hAnsi="宋体" w:cs="宋体"/>
                <w:szCs w:val="21"/>
                <w:highlight w:val="none"/>
                <w:lang w:val="en-US" w:eastAsia="zh-CN"/>
              </w:rPr>
              <w:t>/</w:t>
            </w:r>
          </w:p>
        </w:tc>
      </w:tr>
    </w:tbl>
    <w:p>
      <w:pPr>
        <w:jc w:val="center"/>
        <w:rPr>
          <w:rFonts w:ascii="宋体" w:hAnsi="宋体"/>
          <w:sz w:val="30"/>
          <w:szCs w:val="30"/>
        </w:rPr>
      </w:pPr>
      <w:bookmarkStart w:id="15" w:name="_Toc14891067"/>
    </w:p>
    <w:p>
      <w:pPr>
        <w:widowControl/>
        <w:jc w:val="left"/>
        <w:rPr>
          <w:rFonts w:ascii="宋体" w:hAnsi="宋体"/>
        </w:rPr>
        <w:sectPr>
          <w:footerReference r:id="rId4" w:type="default"/>
          <w:pgSz w:w="11906" w:h="16838"/>
          <w:pgMar w:top="1440" w:right="1797" w:bottom="1440" w:left="1797" w:header="851" w:footer="851" w:gutter="0"/>
          <w:pgNumType w:start="1"/>
          <w:cols w:space="720" w:num="1"/>
          <w:docGrid w:linePitch="312" w:charSpace="0"/>
        </w:sectPr>
      </w:pPr>
    </w:p>
    <w:p>
      <w:pPr>
        <w:spacing w:line="360" w:lineRule="auto"/>
        <w:jc w:val="center"/>
        <w:outlineLvl w:val="0"/>
        <w:rPr>
          <w:rFonts w:ascii="宋体" w:hAnsi="宋体" w:cs="宋体"/>
          <w:b/>
          <w:bCs/>
          <w:sz w:val="32"/>
          <w:szCs w:val="32"/>
        </w:rPr>
      </w:pPr>
      <w:bookmarkStart w:id="16" w:name="_Toc16143"/>
      <w:bookmarkStart w:id="17" w:name="_Toc30640"/>
      <w:bookmarkStart w:id="18" w:name="_Toc16939"/>
      <w:bookmarkStart w:id="19" w:name="_Toc26157"/>
      <w:r>
        <w:rPr>
          <w:rFonts w:hint="eastAsia" w:ascii="宋体" w:hAnsi="宋体" w:cs="宋体"/>
          <w:b/>
          <w:bCs/>
          <w:sz w:val="32"/>
          <w:szCs w:val="32"/>
        </w:rPr>
        <w:t>谈判须知正文</w:t>
      </w:r>
      <w:bookmarkEnd w:id="15"/>
      <w:bookmarkEnd w:id="16"/>
      <w:bookmarkEnd w:id="17"/>
      <w:bookmarkEnd w:id="18"/>
      <w:bookmarkEnd w:id="19"/>
    </w:p>
    <w:p>
      <w:pPr>
        <w:spacing w:line="360" w:lineRule="auto"/>
        <w:rPr>
          <w:rFonts w:ascii="宋体" w:hAnsi="宋体" w:cs="宋体"/>
          <w:b/>
          <w:bCs/>
          <w:szCs w:val="21"/>
        </w:rPr>
      </w:pPr>
      <w:bookmarkStart w:id="20" w:name="_Toc28504"/>
      <w:bookmarkStart w:id="21" w:name="_Toc14891068"/>
      <w:r>
        <w:rPr>
          <w:rFonts w:hint="eastAsia" w:ascii="宋体" w:hAnsi="宋体" w:cs="宋体"/>
          <w:b/>
          <w:bCs/>
          <w:szCs w:val="21"/>
        </w:rPr>
        <w:t>一、说明</w:t>
      </w:r>
      <w:bookmarkEnd w:id="20"/>
      <w:bookmarkEnd w:id="21"/>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1.</w:t>
      </w:r>
      <w:r>
        <w:rPr>
          <w:rFonts w:hint="eastAsia" w:ascii="宋体" w:hAnsi="宋体" w:cs="宋体"/>
          <w:b/>
          <w:szCs w:val="21"/>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2.本谈判文件的解释权属于长沙市轨道交通运营有限公司。</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3.定义</w:t>
      </w:r>
    </w:p>
    <w:p>
      <w:pPr>
        <w:adjustRightInd w:val="0"/>
        <w:snapToGrid w:val="0"/>
        <w:spacing w:line="360" w:lineRule="auto"/>
        <w:ind w:firstLine="420" w:firstLineChars="200"/>
        <w:rPr>
          <w:rFonts w:ascii="宋体" w:hAnsi="宋体" w:cs="宋体"/>
          <w:b/>
          <w:szCs w:val="21"/>
        </w:rPr>
      </w:pPr>
      <w:r>
        <w:rPr>
          <w:rFonts w:hint="eastAsia" w:ascii="宋体" w:hAnsi="宋体" w:cs="宋体"/>
          <w:szCs w:val="21"/>
        </w:rPr>
        <w:t>3.1“采购单位”是指依法进行采购的法人组织。本项目的采购单位名称见</w:t>
      </w:r>
      <w:r>
        <w:rPr>
          <w:rFonts w:hint="eastAsia" w:ascii="宋体" w:hAnsi="宋体" w:cs="宋体"/>
          <w:b/>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3.2“谈判单位”是指响应本谈判文件要求、参加谈判的法人组织。</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3.3“采购代理机构”是指接受采购人委托，代理采购项目的机构。本采购项目的采购代理机构名称见</w:t>
      </w:r>
      <w:r>
        <w:rPr>
          <w:rFonts w:hint="eastAsia" w:ascii="宋体" w:hAnsi="宋体" w:cs="宋体"/>
          <w:b/>
          <w:bCs/>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3.4“谈判</w:t>
      </w:r>
      <w:r>
        <w:rPr>
          <w:rFonts w:hint="eastAsia" w:ascii="宋体" w:hAnsi="宋体" w:cs="宋体"/>
          <w:b/>
          <w:bCs/>
          <w:szCs w:val="21"/>
        </w:rPr>
        <w:t>评审</w:t>
      </w:r>
      <w:r>
        <w:rPr>
          <w:rFonts w:hint="eastAsia" w:ascii="宋体" w:hAnsi="宋体" w:cs="宋体"/>
          <w:szCs w:val="21"/>
        </w:rPr>
        <w:t>小组”是指采购单位按其规定组建，依法依规履行其职责和义务的机构。</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4.谈判单位资格要求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4.1参与谈判的单位应当符合</w:t>
      </w:r>
      <w:r>
        <w:rPr>
          <w:rFonts w:hint="eastAsia" w:ascii="宋体" w:hAnsi="宋体" w:cs="宋体"/>
          <w:b/>
          <w:szCs w:val="21"/>
        </w:rPr>
        <w:t>前附表</w:t>
      </w:r>
      <w:r>
        <w:rPr>
          <w:rFonts w:hint="eastAsia" w:ascii="宋体" w:hAnsi="宋体" w:cs="宋体"/>
          <w:szCs w:val="21"/>
        </w:rPr>
        <w:t>中规定的资格要求；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4.2参与谈判的单位存在下列情形之一的，其</w:t>
      </w:r>
      <w:r>
        <w:rPr>
          <w:rFonts w:hint="eastAsia" w:ascii="宋体" w:hAnsi="宋体" w:cs="宋体"/>
          <w:bCs/>
          <w:szCs w:val="21"/>
        </w:rPr>
        <w:t>谈判</w:t>
      </w:r>
      <w:r>
        <w:rPr>
          <w:rFonts w:hint="eastAsia" w:ascii="宋体" w:hAnsi="宋体" w:cs="宋体"/>
          <w:szCs w:val="21"/>
        </w:rPr>
        <w:t>将被</w:t>
      </w:r>
      <w:r>
        <w:rPr>
          <w:rFonts w:hint="eastAsia" w:ascii="宋体" w:hAnsi="宋体" w:cs="宋体"/>
          <w:b/>
          <w:bCs/>
          <w:szCs w:val="21"/>
        </w:rPr>
        <w:t>否决</w:t>
      </w:r>
      <w:r>
        <w:rPr>
          <w:rFonts w:hint="eastAsia" w:ascii="宋体" w:hAnsi="宋体" w:cs="宋体"/>
          <w:szCs w:val="21"/>
        </w:rPr>
        <w:t>：</w:t>
      </w:r>
    </w:p>
    <w:p>
      <w:pPr>
        <w:pStyle w:val="356"/>
        <w:ind w:firstLine="420" w:firstLineChars="200"/>
        <w:jc w:val="both"/>
        <w:rPr>
          <w:rFonts w:hAnsi="宋体" w:cs="宋体"/>
          <w:sz w:val="21"/>
          <w:szCs w:val="21"/>
        </w:rPr>
      </w:pPr>
      <w:r>
        <w:rPr>
          <w:rFonts w:hint="eastAsia" w:hAnsi="宋体" w:cs="宋体"/>
          <w:sz w:val="21"/>
          <w:szCs w:val="21"/>
        </w:rPr>
        <w:t>（1）与采购单位（或本项目采购代理机构）存在利害关系且可能影响采购公正性；</w:t>
      </w:r>
    </w:p>
    <w:p>
      <w:pPr>
        <w:pStyle w:val="356"/>
        <w:ind w:firstLine="420" w:firstLineChars="200"/>
        <w:jc w:val="both"/>
        <w:rPr>
          <w:rFonts w:hAnsi="宋体" w:cs="宋体"/>
          <w:sz w:val="21"/>
          <w:szCs w:val="21"/>
        </w:rPr>
      </w:pPr>
      <w:r>
        <w:rPr>
          <w:rFonts w:hint="eastAsia" w:hAnsi="宋体" w:cs="宋体"/>
          <w:sz w:val="21"/>
          <w:szCs w:val="21"/>
        </w:rPr>
        <w:t>（2）谈判单位法定代表人或负责人与其他谈判单位法定代表人或负责人为同一人；</w:t>
      </w:r>
    </w:p>
    <w:p>
      <w:pPr>
        <w:pStyle w:val="356"/>
        <w:ind w:firstLine="420" w:firstLineChars="200"/>
        <w:jc w:val="both"/>
        <w:rPr>
          <w:rFonts w:hAnsi="宋体" w:cs="宋体"/>
          <w:sz w:val="21"/>
          <w:szCs w:val="21"/>
        </w:rPr>
      </w:pPr>
      <w:r>
        <w:rPr>
          <w:rFonts w:hint="eastAsia" w:hAnsi="宋体" w:cs="宋体"/>
          <w:sz w:val="21"/>
          <w:szCs w:val="21"/>
        </w:rPr>
        <w:t>（3）与本采购项目的其他谈判单位存在控股、管理关系；</w:t>
      </w:r>
    </w:p>
    <w:p>
      <w:pPr>
        <w:pStyle w:val="356"/>
        <w:ind w:firstLine="420" w:firstLineChars="200"/>
        <w:jc w:val="both"/>
        <w:rPr>
          <w:rFonts w:hAnsi="宋体" w:cs="宋体"/>
          <w:sz w:val="21"/>
          <w:szCs w:val="21"/>
        </w:rPr>
      </w:pPr>
      <w:r>
        <w:rPr>
          <w:rFonts w:hint="eastAsia" w:hAnsi="宋体" w:cs="宋体"/>
          <w:sz w:val="21"/>
          <w:szCs w:val="21"/>
        </w:rPr>
        <w:t>（4）被责令停产停业、暂扣或者吊销许可证、暂扣或者吊销执照；</w:t>
      </w:r>
    </w:p>
    <w:p>
      <w:pPr>
        <w:pStyle w:val="356"/>
        <w:ind w:firstLine="420" w:firstLineChars="200"/>
        <w:jc w:val="both"/>
        <w:rPr>
          <w:rFonts w:hAnsi="宋体" w:cs="宋体"/>
          <w:sz w:val="21"/>
          <w:szCs w:val="21"/>
        </w:rPr>
      </w:pPr>
      <w:r>
        <w:rPr>
          <w:rFonts w:hint="eastAsia" w:hAnsi="宋体" w:cs="宋体"/>
          <w:sz w:val="21"/>
          <w:szCs w:val="21"/>
        </w:rPr>
        <w:t>（5）进入破产、清算、注销程序，或存在其他可能丧失履约能力的情形；</w:t>
      </w:r>
    </w:p>
    <w:p>
      <w:pPr>
        <w:pStyle w:val="356"/>
        <w:ind w:firstLine="420" w:firstLineChars="200"/>
        <w:jc w:val="both"/>
        <w:rPr>
          <w:rFonts w:hAnsi="宋体" w:cs="宋体"/>
          <w:sz w:val="21"/>
          <w:szCs w:val="21"/>
        </w:rPr>
      </w:pPr>
      <w:r>
        <w:rPr>
          <w:rFonts w:hint="eastAsia" w:hAnsi="宋体" w:cs="宋体"/>
          <w:sz w:val="21"/>
          <w:szCs w:val="21"/>
        </w:rPr>
        <w:t>（6）在国家企业信用信息公示系统中显示已被列入严重违法失信企业名单；</w:t>
      </w:r>
    </w:p>
    <w:p>
      <w:pPr>
        <w:adjustRightInd w:val="0"/>
        <w:snapToGrid w:val="0"/>
        <w:spacing w:line="360" w:lineRule="auto"/>
        <w:ind w:firstLine="420" w:firstLineChars="200"/>
        <w:rPr>
          <w:rFonts w:ascii="宋体" w:hAnsi="宋体" w:cs="宋体"/>
          <w:strike/>
          <w:szCs w:val="21"/>
        </w:rPr>
      </w:pPr>
      <w:r>
        <w:rPr>
          <w:rFonts w:hint="eastAsia" w:ascii="宋体" w:hAnsi="宋体" w:cs="宋体"/>
          <w:szCs w:val="21"/>
        </w:rPr>
        <w:t>（7）在“信用中国”网站（www.creditchina.gov.cn）或“信用湖南”网站（www.credithunan.gov.cn）中显示已被列入失信被执行人名单。</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5.参与谈判的费用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5.1无论谈判的结果如何，谈判单位应自行承担所有与本次竞争性谈判活动有关的全部费用。</w:t>
      </w:r>
    </w:p>
    <w:p>
      <w:pPr>
        <w:tabs>
          <w:tab w:val="left" w:pos="420"/>
          <w:tab w:val="left" w:pos="7560"/>
          <w:tab w:val="left" w:pos="7740"/>
          <w:tab w:val="left" w:pos="7920"/>
        </w:tabs>
        <w:adjustRightInd w:val="0"/>
        <w:snapToGrid w:val="0"/>
        <w:spacing w:line="360" w:lineRule="auto"/>
        <w:ind w:firstLine="420" w:firstLineChars="200"/>
        <w:rPr>
          <w:rFonts w:ascii="宋体" w:hAnsi="宋体" w:cs="宋体"/>
          <w:szCs w:val="21"/>
        </w:rPr>
      </w:pPr>
      <w:r>
        <w:rPr>
          <w:rFonts w:hint="eastAsia" w:ascii="宋体" w:hAnsi="宋体" w:cs="宋体"/>
          <w:szCs w:val="21"/>
        </w:rPr>
        <w:t>5.2采购代理服务费由中选单位全额承担。本项目采购代理服务费以中选价为基数，按谈判须知</w:t>
      </w:r>
      <w:r>
        <w:rPr>
          <w:rFonts w:hint="eastAsia" w:ascii="宋体" w:hAnsi="宋体" w:cs="宋体"/>
          <w:b/>
          <w:bCs/>
          <w:szCs w:val="21"/>
        </w:rPr>
        <w:t>《采购代理服务费收费标准》（详见本须知附件）</w:t>
      </w:r>
      <w:r>
        <w:rPr>
          <w:rFonts w:hint="eastAsia" w:ascii="宋体" w:hAnsi="宋体" w:cs="宋体"/>
          <w:szCs w:val="21"/>
        </w:rPr>
        <w:t>向中选单位收取。</w:t>
      </w:r>
    </w:p>
    <w:p>
      <w:pPr>
        <w:pStyle w:val="25"/>
        <w:adjustRightInd w:val="0"/>
        <w:snapToGrid w:val="0"/>
        <w:spacing w:line="360" w:lineRule="auto"/>
        <w:ind w:firstLine="422" w:firstLineChars="200"/>
        <w:rPr>
          <w:rFonts w:hAnsi="宋体" w:cs="宋体"/>
          <w:b/>
          <w:bCs/>
        </w:rPr>
      </w:pPr>
      <w:r>
        <w:rPr>
          <w:rFonts w:hint="eastAsia" w:hAnsi="宋体" w:cs="宋体"/>
          <w:b/>
        </w:rPr>
        <w:t>6．</w:t>
      </w:r>
      <w:r>
        <w:rPr>
          <w:rFonts w:hint="eastAsia" w:hAnsi="宋体" w:cs="宋体"/>
          <w:b/>
          <w:bCs/>
        </w:rPr>
        <w:t>谈判单位代表</w:t>
      </w:r>
    </w:p>
    <w:p>
      <w:pPr>
        <w:pStyle w:val="25"/>
        <w:adjustRightInd w:val="0"/>
        <w:snapToGrid w:val="0"/>
        <w:spacing w:line="360" w:lineRule="auto"/>
        <w:ind w:firstLine="420" w:firstLineChars="200"/>
        <w:rPr>
          <w:rFonts w:hAnsi="宋体" w:cs="宋体"/>
        </w:rPr>
      </w:pPr>
      <w:r>
        <w:rPr>
          <w:rFonts w:hint="eastAsia" w:hAnsi="宋体" w:cs="宋体"/>
        </w:rPr>
        <w:t>6.1谈判单位代表为谈判单位法定代表人的：应提供法定代表人身份证明书</w:t>
      </w:r>
      <w:r>
        <w:rPr>
          <w:rFonts w:hint="eastAsia" w:hAnsi="宋体" w:cs="宋体"/>
          <w:b/>
          <w:bCs/>
        </w:rPr>
        <w:t>（见</w:t>
      </w:r>
      <w:r>
        <w:rPr>
          <w:rFonts w:hint="eastAsia" w:hAnsi="宋体" w:cs="宋体"/>
          <w:b/>
          <w:bCs/>
          <w:iCs/>
        </w:rPr>
        <w:t>第六章</w:t>
      </w:r>
      <w:r>
        <w:rPr>
          <w:rFonts w:hint="eastAsia" w:hAnsi="宋体" w:cs="宋体"/>
          <w:b/>
          <w:bCs/>
        </w:rPr>
        <w:t>响应文件格式）</w:t>
      </w:r>
      <w:r>
        <w:rPr>
          <w:rFonts w:hint="eastAsia" w:hAnsi="宋体" w:cs="宋体"/>
        </w:rPr>
        <w:t>原件及本人身份证原件。</w:t>
      </w:r>
    </w:p>
    <w:p>
      <w:pPr>
        <w:pStyle w:val="25"/>
        <w:adjustRightInd w:val="0"/>
        <w:snapToGrid w:val="0"/>
        <w:spacing w:line="360" w:lineRule="auto"/>
        <w:ind w:firstLine="420" w:firstLineChars="200"/>
        <w:rPr>
          <w:rFonts w:hAnsi="宋体" w:cs="宋体"/>
          <w:b/>
          <w:strike/>
        </w:rPr>
      </w:pPr>
      <w:r>
        <w:rPr>
          <w:rFonts w:hint="eastAsia" w:hAnsi="宋体" w:cs="宋体"/>
        </w:rPr>
        <w:t>6.2谈判单位代表不是谈判单位法定代表人的：应提供授权委托书</w:t>
      </w:r>
      <w:r>
        <w:rPr>
          <w:rFonts w:hint="eastAsia" w:hAnsi="宋体" w:cs="宋体"/>
          <w:b/>
          <w:bCs/>
        </w:rPr>
        <w:t>（见</w:t>
      </w:r>
      <w:r>
        <w:rPr>
          <w:rFonts w:hint="eastAsia" w:hAnsi="宋体" w:cs="宋体"/>
          <w:b/>
          <w:bCs/>
          <w:iCs/>
        </w:rPr>
        <w:t>第六章</w:t>
      </w:r>
      <w:r>
        <w:rPr>
          <w:rFonts w:hint="eastAsia" w:hAnsi="宋体" w:cs="宋体"/>
          <w:b/>
          <w:bCs/>
        </w:rPr>
        <w:t>响应文件格式）</w:t>
      </w:r>
      <w:r>
        <w:rPr>
          <w:rFonts w:hint="eastAsia" w:hAnsi="宋体" w:cs="宋体"/>
        </w:rPr>
        <w:t>原件及本人身份证原件。</w:t>
      </w:r>
    </w:p>
    <w:p>
      <w:pPr>
        <w:spacing w:line="360" w:lineRule="auto"/>
        <w:rPr>
          <w:rFonts w:ascii="宋体" w:hAnsi="宋体" w:cs="宋体"/>
          <w:b/>
          <w:bCs/>
          <w:szCs w:val="21"/>
        </w:rPr>
      </w:pPr>
      <w:bookmarkStart w:id="22" w:name="_Toc30689"/>
      <w:bookmarkStart w:id="23" w:name="_Toc14891069"/>
      <w:r>
        <w:rPr>
          <w:rFonts w:hint="eastAsia" w:ascii="宋体" w:hAnsi="宋体" w:cs="宋体"/>
          <w:b/>
          <w:bCs/>
          <w:szCs w:val="21"/>
        </w:rPr>
        <w:t>二、谈判文件</w:t>
      </w:r>
      <w:bookmarkEnd w:id="22"/>
      <w:bookmarkEnd w:id="23"/>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7．谈判文件的组成</w:t>
      </w:r>
    </w:p>
    <w:p>
      <w:pPr>
        <w:pStyle w:val="25"/>
        <w:adjustRightInd w:val="0"/>
        <w:snapToGrid w:val="0"/>
        <w:spacing w:line="360" w:lineRule="auto"/>
        <w:ind w:firstLine="420" w:firstLineChars="200"/>
        <w:rPr>
          <w:rFonts w:hAnsi="宋体" w:cs="宋体"/>
        </w:rPr>
      </w:pPr>
      <w:r>
        <w:rPr>
          <w:rFonts w:hint="eastAsia" w:hAnsi="宋体" w:cs="宋体"/>
        </w:rPr>
        <w:t>7.1谈判文件由下列文件组成：</w:t>
      </w:r>
    </w:p>
    <w:p>
      <w:pPr>
        <w:pStyle w:val="25"/>
        <w:adjustRightInd w:val="0"/>
        <w:snapToGrid w:val="0"/>
        <w:spacing w:line="360" w:lineRule="auto"/>
        <w:ind w:firstLine="420" w:firstLineChars="200"/>
        <w:rPr>
          <w:rFonts w:hAnsi="宋体" w:cs="宋体"/>
        </w:rPr>
      </w:pPr>
      <w:r>
        <w:rPr>
          <w:rFonts w:hint="eastAsia" w:hAnsi="宋体" w:cs="宋体"/>
        </w:rPr>
        <w:t>第一章 谈判邀请公告</w:t>
      </w:r>
    </w:p>
    <w:p>
      <w:pPr>
        <w:pStyle w:val="25"/>
        <w:adjustRightInd w:val="0"/>
        <w:snapToGrid w:val="0"/>
        <w:spacing w:line="360" w:lineRule="auto"/>
        <w:ind w:firstLine="420" w:firstLineChars="200"/>
        <w:rPr>
          <w:rFonts w:hAnsi="宋体" w:cs="宋体"/>
        </w:rPr>
      </w:pPr>
      <w:r>
        <w:rPr>
          <w:rFonts w:hint="eastAsia" w:hAnsi="宋体" w:cs="宋体"/>
        </w:rPr>
        <w:t>第二章 谈判须知</w:t>
      </w:r>
    </w:p>
    <w:p>
      <w:pPr>
        <w:pStyle w:val="25"/>
        <w:adjustRightInd w:val="0"/>
        <w:snapToGrid w:val="0"/>
        <w:spacing w:line="360" w:lineRule="auto"/>
        <w:ind w:firstLine="420" w:firstLineChars="200"/>
        <w:rPr>
          <w:rFonts w:hAnsi="宋体" w:cs="宋体"/>
        </w:rPr>
      </w:pPr>
      <w:r>
        <w:rPr>
          <w:rFonts w:hint="eastAsia" w:hAnsi="宋体" w:cs="宋体"/>
        </w:rPr>
        <w:t>第三章 评审办法及标准</w:t>
      </w:r>
    </w:p>
    <w:p>
      <w:pPr>
        <w:pStyle w:val="25"/>
        <w:adjustRightInd w:val="0"/>
        <w:snapToGrid w:val="0"/>
        <w:spacing w:line="360" w:lineRule="auto"/>
        <w:ind w:firstLine="420" w:firstLineChars="200"/>
        <w:rPr>
          <w:rFonts w:hAnsi="宋体" w:cs="宋体"/>
        </w:rPr>
      </w:pPr>
      <w:r>
        <w:rPr>
          <w:rFonts w:hint="eastAsia" w:hAnsi="宋体" w:cs="宋体"/>
        </w:rPr>
        <w:t>第四章 用户需求书（另册）</w:t>
      </w:r>
    </w:p>
    <w:p>
      <w:pPr>
        <w:pStyle w:val="25"/>
        <w:adjustRightInd w:val="0"/>
        <w:snapToGrid w:val="0"/>
        <w:spacing w:line="360" w:lineRule="auto"/>
        <w:ind w:firstLine="420" w:firstLineChars="200"/>
        <w:rPr>
          <w:rFonts w:hAnsi="宋体" w:cs="宋体"/>
        </w:rPr>
      </w:pPr>
      <w:r>
        <w:rPr>
          <w:rFonts w:hint="eastAsia" w:hAnsi="宋体" w:cs="宋体"/>
        </w:rPr>
        <w:t>第五章 合同格式条款</w:t>
      </w:r>
    </w:p>
    <w:p>
      <w:pPr>
        <w:pStyle w:val="25"/>
        <w:adjustRightInd w:val="0"/>
        <w:snapToGrid w:val="0"/>
        <w:spacing w:line="360" w:lineRule="auto"/>
        <w:ind w:firstLine="420" w:firstLineChars="200"/>
        <w:rPr>
          <w:rFonts w:hAnsi="宋体" w:cs="宋体"/>
        </w:rPr>
      </w:pPr>
      <w:r>
        <w:rPr>
          <w:rFonts w:hint="eastAsia" w:hAnsi="宋体" w:cs="宋体"/>
        </w:rPr>
        <w:t>第六章 响应文件组成</w:t>
      </w:r>
    </w:p>
    <w:p>
      <w:pPr>
        <w:pStyle w:val="25"/>
        <w:adjustRightInd w:val="0"/>
        <w:snapToGrid w:val="0"/>
        <w:spacing w:line="360" w:lineRule="auto"/>
        <w:ind w:firstLine="420" w:firstLineChars="200"/>
        <w:rPr>
          <w:rFonts w:hAnsi="宋体" w:cs="宋体"/>
        </w:rPr>
      </w:pPr>
      <w:r>
        <w:rPr>
          <w:rFonts w:hint="eastAsia" w:hAnsi="宋体" w:cs="宋体"/>
        </w:rPr>
        <w:t>7.2</w:t>
      </w:r>
      <w:r>
        <w:rPr>
          <w:rFonts w:hint="eastAsia" w:hAnsi="宋体" w:cs="宋体"/>
          <w:kern w:val="0"/>
        </w:rPr>
        <w:t>响应文件递交截止时间前对谈判文件澄清或者修改内容，均为谈判文件的组成部分。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7.3谈判单位应仔细阅读</w:t>
      </w:r>
      <w:r>
        <w:rPr>
          <w:rFonts w:hint="eastAsia" w:ascii="宋体" w:hAnsi="宋体" w:cs="宋体"/>
          <w:bCs/>
          <w:szCs w:val="21"/>
        </w:rPr>
        <w:t>谈判</w:t>
      </w:r>
      <w:r>
        <w:rPr>
          <w:rFonts w:hint="eastAsia" w:ascii="宋体" w:hAnsi="宋体" w:cs="宋体"/>
          <w:szCs w:val="21"/>
        </w:rPr>
        <w:t>文件的全部内容，按照</w:t>
      </w:r>
      <w:r>
        <w:rPr>
          <w:rFonts w:hint="eastAsia" w:ascii="宋体" w:hAnsi="宋体" w:cs="宋体"/>
          <w:bCs/>
          <w:szCs w:val="21"/>
        </w:rPr>
        <w:t>谈判</w:t>
      </w:r>
      <w:r>
        <w:rPr>
          <w:rFonts w:hint="eastAsia" w:ascii="宋体" w:hAnsi="宋体" w:cs="宋体"/>
          <w:szCs w:val="21"/>
        </w:rPr>
        <w:t>文件要求编制响应文件。任何对</w:t>
      </w:r>
      <w:r>
        <w:rPr>
          <w:rFonts w:hint="eastAsia" w:ascii="宋体" w:hAnsi="宋体" w:cs="宋体"/>
          <w:bCs/>
          <w:szCs w:val="21"/>
        </w:rPr>
        <w:t>谈判</w:t>
      </w:r>
      <w:r>
        <w:rPr>
          <w:rFonts w:hint="eastAsia" w:ascii="宋体" w:hAnsi="宋体" w:cs="宋体"/>
          <w:szCs w:val="21"/>
        </w:rPr>
        <w:t>文件的忽略或误解不能作为响应文件存在缺陷或瑕疵的理由，其风险由谈判单位承担。</w:t>
      </w:r>
    </w:p>
    <w:p>
      <w:pPr>
        <w:adjustRightInd w:val="0"/>
        <w:snapToGrid w:val="0"/>
        <w:spacing w:line="360" w:lineRule="auto"/>
        <w:ind w:firstLine="422" w:firstLineChars="200"/>
        <w:rPr>
          <w:rFonts w:ascii="宋体" w:hAnsi="宋体" w:cs="宋体"/>
          <w:b/>
          <w:kern w:val="0"/>
          <w:szCs w:val="21"/>
        </w:rPr>
      </w:pPr>
      <w:r>
        <w:rPr>
          <w:rFonts w:hint="eastAsia" w:ascii="宋体" w:hAnsi="宋体" w:cs="宋体"/>
          <w:b/>
          <w:bCs/>
          <w:szCs w:val="21"/>
        </w:rPr>
        <w:t>8.</w:t>
      </w:r>
      <w:r>
        <w:rPr>
          <w:rFonts w:hint="eastAsia" w:ascii="宋体" w:hAnsi="宋体" w:cs="宋体"/>
          <w:b/>
          <w:kern w:val="0"/>
          <w:szCs w:val="21"/>
        </w:rPr>
        <w:t>谈判文件的澄清及答疑</w:t>
      </w:r>
    </w:p>
    <w:p>
      <w:pPr>
        <w:spacing w:line="360" w:lineRule="auto"/>
        <w:ind w:firstLine="420" w:firstLineChars="200"/>
        <w:rPr>
          <w:rFonts w:ascii="宋体" w:hAnsi="宋体" w:cs="宋体"/>
          <w:iCs/>
          <w:szCs w:val="21"/>
        </w:rPr>
      </w:pPr>
      <w:r>
        <w:rPr>
          <w:rFonts w:hint="eastAsia" w:ascii="宋体" w:hAnsi="宋体" w:cs="宋体"/>
          <w:iCs/>
          <w:szCs w:val="21"/>
        </w:rPr>
        <w:t>8.1.谈判单位应仔细阅读和检查谈判文件的全部内容，如有疑问，</w:t>
      </w:r>
      <w:r>
        <w:rPr>
          <w:rFonts w:hint="eastAsia" w:ascii="宋体" w:hAnsi="宋体" w:cs="宋体"/>
          <w:szCs w:val="21"/>
        </w:rPr>
        <w:t>应按</w:t>
      </w:r>
      <w:r>
        <w:rPr>
          <w:rFonts w:hint="eastAsia" w:ascii="宋体" w:hAnsi="宋体" w:cs="宋体"/>
          <w:b/>
          <w:bCs/>
          <w:szCs w:val="21"/>
        </w:rPr>
        <w:t>前附表</w:t>
      </w:r>
      <w:r>
        <w:rPr>
          <w:rFonts w:hint="eastAsia" w:ascii="宋体" w:hAnsi="宋体" w:cs="宋体"/>
          <w:szCs w:val="21"/>
        </w:rPr>
        <w:t>规定的时间、方式及地点</w:t>
      </w:r>
      <w:r>
        <w:rPr>
          <w:rFonts w:hint="eastAsia" w:ascii="宋体" w:hAnsi="宋体" w:cs="宋体"/>
          <w:iCs/>
          <w:szCs w:val="21"/>
        </w:rPr>
        <w:t>向采购代理机构提出，</w:t>
      </w:r>
      <w:r>
        <w:rPr>
          <w:rFonts w:hint="eastAsia" w:ascii="宋体" w:hAnsi="宋体" w:cs="宋体"/>
          <w:szCs w:val="21"/>
        </w:rPr>
        <w:t>否则，由此引起的损失由谈判单位自己承担。</w:t>
      </w:r>
    </w:p>
    <w:p>
      <w:pPr>
        <w:spacing w:line="360" w:lineRule="auto"/>
        <w:ind w:firstLine="420" w:firstLineChars="200"/>
        <w:rPr>
          <w:rFonts w:ascii="宋体" w:hAnsi="宋体" w:cs="宋体"/>
          <w:iCs/>
          <w:szCs w:val="21"/>
        </w:rPr>
      </w:pPr>
      <w:r>
        <w:rPr>
          <w:rFonts w:hint="eastAsia" w:ascii="宋体" w:hAnsi="宋体" w:cs="宋体"/>
          <w:iCs/>
          <w:szCs w:val="21"/>
        </w:rPr>
        <w:t>8.2.在谈判截止时间前，采购单位或采购代理机构可主动地或在解答谈判单位提出的问题时对谈判文件进行澄清或修改。</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8.3</w:t>
      </w:r>
      <w:r>
        <w:rPr>
          <w:rFonts w:hint="eastAsia" w:ascii="宋体" w:hAnsi="宋体" w:cs="宋体"/>
          <w:kern w:val="0"/>
          <w:szCs w:val="21"/>
        </w:rPr>
        <w:t>澄清或者修改的内容可能影响响应文件编制的，采购单位或采购代理机构应当在提交响应文件截止之日3个工作日前，在长沙市轨道交通集团有限公司官网（http://www.hncsmtr.com/）发布澄清或答疑文件及顺延谈判时间，敬请获得谈判文件的所有谈判单位关注，恕不另行通知，如有遗漏采购单位或采购代理机构不负任何责任。</w:t>
      </w:r>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9.</w:t>
      </w:r>
      <w:r>
        <w:rPr>
          <w:rFonts w:hint="eastAsia" w:ascii="宋体" w:hAnsi="宋体" w:cs="宋体"/>
          <w:b/>
          <w:kern w:val="0"/>
          <w:szCs w:val="21"/>
        </w:rPr>
        <w:t>响应文件递交截止时间、谈判会议时间及地点</w:t>
      </w:r>
    </w:p>
    <w:p>
      <w:pPr>
        <w:pStyle w:val="25"/>
        <w:adjustRightInd w:val="0"/>
        <w:snapToGrid w:val="0"/>
        <w:spacing w:line="360" w:lineRule="auto"/>
        <w:ind w:firstLine="420" w:firstLineChars="200"/>
        <w:rPr>
          <w:rFonts w:hAnsi="宋体" w:cs="宋体"/>
        </w:rPr>
      </w:pPr>
      <w:r>
        <w:rPr>
          <w:rFonts w:hint="eastAsia" w:hAnsi="宋体" w:cs="宋体"/>
        </w:rPr>
        <w:t>9.1</w:t>
      </w:r>
      <w:r>
        <w:rPr>
          <w:rFonts w:hint="eastAsia" w:hAnsi="宋体" w:cs="宋体"/>
          <w:kern w:val="0"/>
        </w:rPr>
        <w:t>谈判单位递交响应文件截止时间、谈判会议</w:t>
      </w:r>
      <w:r>
        <w:rPr>
          <w:rFonts w:hint="eastAsia" w:hAnsi="宋体" w:cs="宋体"/>
        </w:rPr>
        <w:t>时间及地点见</w:t>
      </w:r>
      <w:r>
        <w:rPr>
          <w:rFonts w:hint="eastAsia" w:hAnsi="宋体" w:cs="宋体"/>
          <w:b/>
        </w:rPr>
        <w:t>前附表</w:t>
      </w:r>
      <w:r>
        <w:rPr>
          <w:rFonts w:hint="eastAsia" w:hAnsi="宋体" w:cs="宋体"/>
        </w:rPr>
        <w:t>。</w:t>
      </w:r>
    </w:p>
    <w:p>
      <w:pPr>
        <w:spacing w:line="360" w:lineRule="auto"/>
        <w:rPr>
          <w:rFonts w:ascii="宋体" w:hAnsi="宋体" w:cs="宋体"/>
          <w:b/>
          <w:bCs/>
          <w:szCs w:val="21"/>
        </w:rPr>
      </w:pPr>
      <w:bookmarkStart w:id="24" w:name="_Toc14891070"/>
      <w:bookmarkStart w:id="25" w:name="_Toc2701"/>
      <w:r>
        <w:rPr>
          <w:rFonts w:hint="eastAsia" w:ascii="宋体" w:hAnsi="宋体" w:cs="宋体"/>
          <w:b/>
          <w:bCs/>
          <w:szCs w:val="21"/>
        </w:rPr>
        <w:t>三、响应文件</w:t>
      </w:r>
      <w:bookmarkEnd w:id="24"/>
      <w:bookmarkEnd w:id="25"/>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10.一般要求</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10.1</w:t>
      </w:r>
      <w:bookmarkStart w:id="26" w:name="_Hlk68706641"/>
      <w:r>
        <w:rPr>
          <w:rFonts w:hint="eastAsia" w:ascii="宋体" w:hAnsi="宋体" w:cs="宋体"/>
          <w:bCs/>
          <w:szCs w:val="21"/>
        </w:rPr>
        <w:t>谈判单位应仔细阅读谈判文件的所有内容，按谈判文件的要求编制响应文件，</w:t>
      </w:r>
      <w:r>
        <w:rPr>
          <w:rFonts w:hint="eastAsia" w:ascii="宋体" w:hAnsi="宋体" w:cs="宋体"/>
          <w:b/>
          <w:szCs w:val="21"/>
        </w:rPr>
        <w:t>严禁复制、粘贴，</w:t>
      </w:r>
      <w:r>
        <w:rPr>
          <w:rFonts w:hint="eastAsia" w:ascii="宋体" w:hAnsi="宋体" w:cs="宋体"/>
          <w:bCs/>
          <w:szCs w:val="21"/>
        </w:rPr>
        <w:t>并保证所提供的全部资料的真实性。</w:t>
      </w:r>
      <w:bookmarkEnd w:id="26"/>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10.2</w:t>
      </w:r>
      <w:r>
        <w:rPr>
          <w:rFonts w:hint="eastAsia" w:ascii="宋体" w:hAnsi="宋体" w:cs="宋体"/>
          <w:szCs w:val="21"/>
        </w:rPr>
        <w:t>谈判单位提交的响应文件、谈判单位与采购单位及采购代理机构的所有来往函电均使用中文。</w:t>
      </w:r>
    </w:p>
    <w:p>
      <w:pPr>
        <w:pStyle w:val="25"/>
        <w:adjustRightInd w:val="0"/>
        <w:snapToGrid w:val="0"/>
        <w:spacing w:line="360" w:lineRule="auto"/>
        <w:ind w:firstLine="420" w:firstLineChars="200"/>
        <w:rPr>
          <w:rFonts w:hAnsi="宋体" w:cs="宋体"/>
        </w:rPr>
      </w:pPr>
      <w:r>
        <w:rPr>
          <w:rFonts w:hint="eastAsia" w:hAnsi="宋体" w:cs="宋体"/>
          <w:bCs/>
        </w:rPr>
        <w:t>10.3</w:t>
      </w:r>
      <w:r>
        <w:rPr>
          <w:rFonts w:hint="eastAsia" w:hAnsi="宋体" w:cs="宋体"/>
        </w:rPr>
        <w:t>计量单位应使用我国法定计量单位，未列明时应默认为我国法定计量单位。</w:t>
      </w:r>
    </w:p>
    <w:p>
      <w:pPr>
        <w:pStyle w:val="25"/>
        <w:adjustRightInd w:val="0"/>
        <w:snapToGrid w:val="0"/>
        <w:spacing w:line="360" w:lineRule="auto"/>
        <w:ind w:firstLine="420" w:firstLineChars="200"/>
        <w:rPr>
          <w:rFonts w:hAnsi="宋体" w:cs="宋体"/>
        </w:rPr>
      </w:pPr>
      <w:r>
        <w:rPr>
          <w:rFonts w:hint="eastAsia" w:hAnsi="宋体" w:cs="宋体"/>
        </w:rPr>
        <w:t>10.4响应文件应采用书面形式，电报、传真、电子邮件形式的响应文件概不接受。</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10.5谈判单位提交的响应文件应按谈判文件中提供的响应文件格式编制。</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11.</w:t>
      </w:r>
      <w:r>
        <w:rPr>
          <w:rFonts w:hint="eastAsia" w:ascii="宋体" w:hAnsi="宋体" w:cs="宋体"/>
          <w:b/>
          <w:szCs w:val="21"/>
        </w:rPr>
        <w:t>响应文件</w:t>
      </w:r>
      <w:r>
        <w:rPr>
          <w:rFonts w:hint="eastAsia" w:ascii="宋体" w:hAnsi="宋体" w:cs="宋体"/>
          <w:b/>
          <w:bCs/>
          <w:szCs w:val="21"/>
        </w:rPr>
        <w:t>的组成</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11.1响应文件应包括下列内容：</w:t>
      </w:r>
    </w:p>
    <w:p>
      <w:pPr>
        <w:pStyle w:val="25"/>
        <w:adjustRightInd w:val="0"/>
        <w:snapToGrid w:val="0"/>
        <w:spacing w:line="360" w:lineRule="auto"/>
        <w:ind w:firstLine="420" w:firstLineChars="200"/>
        <w:rPr>
          <w:rFonts w:hAnsi="宋体" w:cs="宋体"/>
        </w:rPr>
      </w:pPr>
      <w:r>
        <w:rPr>
          <w:rFonts w:hint="eastAsia" w:hAnsi="宋体" w:cs="宋体"/>
        </w:rPr>
        <w:t>（1）谈判承诺书</w:t>
      </w:r>
    </w:p>
    <w:p>
      <w:pPr>
        <w:pStyle w:val="25"/>
        <w:adjustRightInd w:val="0"/>
        <w:snapToGrid w:val="0"/>
        <w:spacing w:line="360" w:lineRule="auto"/>
        <w:ind w:firstLine="420" w:firstLineChars="200"/>
        <w:rPr>
          <w:rFonts w:hAnsi="宋体" w:cs="宋体"/>
        </w:rPr>
      </w:pPr>
      <w:r>
        <w:rPr>
          <w:rFonts w:hint="eastAsia" w:hAnsi="宋体" w:cs="宋体"/>
        </w:rPr>
        <w:t>（2）法定代表人身份证明书</w:t>
      </w:r>
    </w:p>
    <w:p>
      <w:pPr>
        <w:pStyle w:val="25"/>
        <w:adjustRightInd w:val="0"/>
        <w:snapToGrid w:val="0"/>
        <w:spacing w:line="360" w:lineRule="auto"/>
        <w:ind w:firstLine="420" w:firstLineChars="200"/>
        <w:rPr>
          <w:rFonts w:hAnsi="宋体" w:cs="宋体"/>
        </w:rPr>
      </w:pPr>
      <w:r>
        <w:rPr>
          <w:rFonts w:hint="eastAsia" w:hAnsi="宋体" w:cs="宋体"/>
        </w:rPr>
        <w:t>（3）授权委托书</w:t>
      </w:r>
    </w:p>
    <w:p>
      <w:pPr>
        <w:pStyle w:val="25"/>
        <w:adjustRightInd w:val="0"/>
        <w:snapToGrid w:val="0"/>
        <w:spacing w:line="360" w:lineRule="auto"/>
        <w:ind w:firstLine="420" w:firstLineChars="200"/>
        <w:rPr>
          <w:rFonts w:hAnsi="宋体" w:cs="宋体"/>
        </w:rPr>
      </w:pPr>
      <w:r>
        <w:rPr>
          <w:rFonts w:hint="eastAsia" w:hAnsi="宋体" w:cs="宋体"/>
        </w:rPr>
        <w:t>（4）谈判单位资格证明文件</w:t>
      </w:r>
    </w:p>
    <w:p>
      <w:pPr>
        <w:pStyle w:val="25"/>
        <w:adjustRightInd w:val="0"/>
        <w:snapToGrid w:val="0"/>
        <w:spacing w:line="360" w:lineRule="auto"/>
        <w:ind w:firstLine="420" w:firstLineChars="200"/>
        <w:rPr>
          <w:rFonts w:hAnsi="宋体" w:cs="宋体"/>
        </w:rPr>
      </w:pPr>
      <w:r>
        <w:rPr>
          <w:rFonts w:hint="eastAsia" w:hAnsi="宋体" w:cs="宋体"/>
        </w:rPr>
        <w:t>（5）报价一览表</w:t>
      </w:r>
    </w:p>
    <w:p>
      <w:pPr>
        <w:pStyle w:val="25"/>
        <w:adjustRightInd w:val="0"/>
        <w:snapToGrid w:val="0"/>
        <w:spacing w:line="360" w:lineRule="auto"/>
        <w:ind w:firstLine="420" w:firstLineChars="200"/>
        <w:rPr>
          <w:rFonts w:hAnsi="宋体" w:cs="宋体"/>
        </w:rPr>
      </w:pPr>
      <w:r>
        <w:rPr>
          <w:rFonts w:hint="eastAsia" w:hAnsi="宋体" w:cs="宋体"/>
        </w:rPr>
        <w:t>（6）分项价格表</w:t>
      </w:r>
    </w:p>
    <w:p>
      <w:pPr>
        <w:pStyle w:val="25"/>
        <w:adjustRightInd w:val="0"/>
        <w:snapToGrid w:val="0"/>
        <w:spacing w:line="360" w:lineRule="auto"/>
        <w:ind w:firstLine="420" w:firstLineChars="200"/>
        <w:rPr>
          <w:rFonts w:hAnsi="宋体" w:cs="宋体"/>
        </w:rPr>
      </w:pPr>
      <w:r>
        <w:rPr>
          <w:rFonts w:hint="eastAsia" w:hAnsi="宋体" w:cs="宋体"/>
        </w:rPr>
        <w:t>（7）其他资料（如有）</w:t>
      </w:r>
    </w:p>
    <w:p>
      <w:pPr>
        <w:pStyle w:val="25"/>
        <w:adjustRightInd w:val="0"/>
        <w:snapToGrid w:val="0"/>
        <w:spacing w:line="360" w:lineRule="auto"/>
        <w:ind w:firstLine="420" w:firstLineChars="200"/>
        <w:rPr>
          <w:rFonts w:hAnsi="宋体" w:cs="宋体"/>
        </w:rPr>
      </w:pPr>
      <w:r>
        <w:rPr>
          <w:rFonts w:hint="eastAsia" w:hAnsi="宋体" w:cs="宋体"/>
        </w:rPr>
        <w:t>11.2在谈判过程中，谈判单位根据</w:t>
      </w:r>
      <w:r>
        <w:rPr>
          <w:rFonts w:hint="eastAsia" w:hAnsi="宋体" w:cs="宋体"/>
          <w:kern w:val="0"/>
        </w:rPr>
        <w:t>谈判评审小组</w:t>
      </w:r>
      <w:r>
        <w:rPr>
          <w:rFonts w:hint="eastAsia" w:hAnsi="宋体" w:cs="宋体"/>
          <w:bCs/>
        </w:rPr>
        <w:t>要求</w:t>
      </w:r>
      <w:r>
        <w:rPr>
          <w:rFonts w:hint="eastAsia" w:hAnsi="宋体" w:cs="宋体"/>
          <w:kern w:val="0"/>
        </w:rPr>
        <w:t>提交的</w:t>
      </w:r>
      <w:r>
        <w:rPr>
          <w:rFonts w:hint="eastAsia" w:hAnsi="宋体" w:cs="宋体"/>
        </w:rPr>
        <w:t>书面承诺或其他文件是响应文件的有效组成部分。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11.3谈判单位无论成交与否，其递交的响应文件均不予退还。</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12.报价要求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12.1</w:t>
      </w:r>
      <w:r>
        <w:rPr>
          <w:rFonts w:hint="eastAsia" w:ascii="宋体" w:hAnsi="宋体" w:cs="宋体"/>
          <w:b/>
          <w:bCs/>
          <w:szCs w:val="21"/>
        </w:rPr>
        <w:t>本项目为一轮报价。</w:t>
      </w:r>
      <w:r>
        <w:rPr>
          <w:rFonts w:hint="eastAsia" w:ascii="宋体" w:hAnsi="宋体" w:cs="宋体"/>
          <w:szCs w:val="21"/>
        </w:rPr>
        <w:t>谈判单位应按第六章“响应文件格式”的要求在报价文件中进行报价。谈判单位所报的总价及标段报价均不得超过谈判项目预算，不超过谈判项目预算的含税报价方为有效报价，谈判时需明确税费，税率必须符合国家政策法规规定，合同支付时服务单位需开具经</w:t>
      </w:r>
      <w:r>
        <w:rPr>
          <w:rFonts w:hint="eastAsia" w:ascii="宋体" w:hAnsi="宋体" w:cs="宋体"/>
          <w:b/>
          <w:szCs w:val="21"/>
        </w:rPr>
        <w:t>采购单位</w:t>
      </w:r>
      <w:r>
        <w:rPr>
          <w:rFonts w:hint="eastAsia" w:ascii="宋体" w:hAnsi="宋体" w:cs="宋体"/>
          <w:szCs w:val="21"/>
        </w:rPr>
        <w:t>认可的合法完税单据。</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12.2谈判单位应充分了解该项目的总体情况以及影响谈判报价的其他要素。</w:t>
      </w:r>
      <w:r>
        <w:rPr>
          <w:rFonts w:hint="eastAsia" w:ascii="宋体" w:hAnsi="宋体" w:cs="宋体"/>
          <w:b/>
          <w:szCs w:val="21"/>
        </w:rPr>
        <w:t>最终结算以长沙市轨道交通运营有限公司审核为准。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12.3谈判总报价为各分项报价金额之和，谈判总报价与分项报价的合价不一致的，应以各分项合价累计数为准，修正谈判总报价；如分项报价中存在缺漏项，则视为缺漏项价格已包含在其他分项报价之中。谈判单位在谈判截止时间前修改报价文件中的谈判总报价，应同时修改报价文件《报价一览表》和《分项价格表》中的相应报价。</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12.4本项目预算见</w:t>
      </w:r>
      <w:r>
        <w:rPr>
          <w:rFonts w:hint="eastAsia" w:ascii="宋体" w:hAnsi="宋体" w:cs="宋体"/>
          <w:b/>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12.5除合同另有约定外，谈判报价作为中选价及合同价在合同履行期间是固定不变的，不受政策、法规变化以及汇率浮动、物价指数浮动等因素的影响。中选人不得以任何理由予以变更。以可变动价格提交的报价将被认为是非实质响应而被拒绝。</w:t>
      </w:r>
    </w:p>
    <w:p>
      <w:pPr>
        <w:pStyle w:val="25"/>
        <w:adjustRightInd w:val="0"/>
        <w:snapToGrid w:val="0"/>
        <w:spacing w:line="360" w:lineRule="auto"/>
        <w:ind w:firstLine="420" w:firstLineChars="200"/>
        <w:rPr>
          <w:rFonts w:hAnsi="宋体" w:cs="宋体"/>
        </w:rPr>
      </w:pPr>
      <w:r>
        <w:rPr>
          <w:rFonts w:hint="eastAsia" w:hAnsi="宋体" w:cs="宋体"/>
        </w:rPr>
        <w:t>12.6谈判单位递交两份或多份内容不同的报价文件，或在一份报价文件中对同一项目报有两个或多个报价，且未声明哪一个有效的，将被认为是非实质响应而被拒绝。</w:t>
      </w:r>
    </w:p>
    <w:p>
      <w:pPr>
        <w:adjustRightInd w:val="0"/>
        <w:snapToGrid w:val="0"/>
        <w:spacing w:line="360" w:lineRule="auto"/>
        <w:ind w:firstLine="420" w:firstLineChars="200"/>
        <w:rPr>
          <w:rFonts w:ascii="宋体" w:hAnsi="宋体" w:cs="宋体"/>
          <w:color w:val="FF0000"/>
          <w:szCs w:val="21"/>
        </w:rPr>
      </w:pPr>
      <w:r>
        <w:rPr>
          <w:rFonts w:hint="eastAsia" w:ascii="宋体" w:hAnsi="宋体" w:cs="宋体"/>
          <w:bCs/>
          <w:szCs w:val="21"/>
        </w:rPr>
        <w:t>12.7最低报价不能作为中选的保证。</w:t>
      </w:r>
    </w:p>
    <w:p>
      <w:pPr>
        <w:tabs>
          <w:tab w:val="left" w:pos="1248"/>
        </w:tabs>
        <w:adjustRightInd w:val="0"/>
        <w:snapToGrid w:val="0"/>
        <w:spacing w:line="360" w:lineRule="auto"/>
        <w:ind w:firstLine="420" w:firstLineChars="200"/>
        <w:rPr>
          <w:rFonts w:ascii="宋体" w:hAnsi="宋体" w:cs="宋体"/>
        </w:rPr>
      </w:pPr>
      <w:r>
        <w:rPr>
          <w:rFonts w:hint="eastAsia" w:ascii="宋体" w:hAnsi="宋体" w:cs="宋体"/>
          <w:szCs w:val="21"/>
        </w:rPr>
        <w:t>12.8</w:t>
      </w:r>
      <w:r>
        <w:rPr>
          <w:rFonts w:hint="eastAsia" w:ascii="宋体" w:hAnsi="宋体" w:cs="宋体"/>
          <w:color w:val="000000"/>
        </w:rPr>
        <w:t>本合同为单价合同方式，</w:t>
      </w:r>
      <w:r>
        <w:rPr>
          <w:rFonts w:hint="eastAsia" w:ascii="宋体" w:hAnsi="宋体" w:cs="宋体"/>
          <w:color w:val="000000"/>
          <w:szCs w:val="21"/>
        </w:rPr>
        <w:t>合同价格包括但不限于物资制造前的准备、设计联络（如果有）、设计（如果有）、制造、出厂检验、包装、发货、运输至现场指定地点、装卸、安装/安装督导（如果有）、现场检验及验收、调试（如果有）、向政府机构报检（如果有）、试运行服务（如果有）及质量保证服务、培训（如果有）、售后服务等履行合同标的全过程产生的所有成本和费用以及乙方应承担的一切税费（具体内容详见第五章合同格式条款）。</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13.响应文件有效期</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13.1响应文件有效期见</w:t>
      </w:r>
      <w:r>
        <w:rPr>
          <w:rFonts w:hint="eastAsia" w:ascii="宋体" w:hAnsi="宋体" w:cs="宋体"/>
          <w:b/>
          <w:szCs w:val="21"/>
        </w:rPr>
        <w:t>前附表</w:t>
      </w:r>
      <w:r>
        <w:rPr>
          <w:rFonts w:hint="eastAsia" w:ascii="宋体" w:hAnsi="宋体" w:cs="宋体"/>
          <w:szCs w:val="21"/>
        </w:rPr>
        <w:t>，在此期间响应文件对谈判单位具有法律约束力，从</w:t>
      </w:r>
      <w:r>
        <w:rPr>
          <w:rFonts w:hint="eastAsia" w:ascii="宋体" w:hAnsi="宋体" w:cs="宋体"/>
          <w:b/>
          <w:szCs w:val="21"/>
        </w:rPr>
        <w:t>前附表</w:t>
      </w:r>
      <w:r>
        <w:rPr>
          <w:rFonts w:hint="eastAsia" w:ascii="宋体" w:hAnsi="宋体" w:cs="宋体"/>
          <w:szCs w:val="21"/>
        </w:rPr>
        <w:t>规定的</w:t>
      </w:r>
      <w:r>
        <w:rPr>
          <w:rFonts w:hint="eastAsia" w:ascii="宋体" w:hAnsi="宋体" w:cs="宋体"/>
          <w:kern w:val="0"/>
          <w:szCs w:val="21"/>
        </w:rPr>
        <w:t>响应文件递交截止时间</w:t>
      </w:r>
      <w:r>
        <w:rPr>
          <w:rFonts w:hint="eastAsia" w:ascii="宋体" w:hAnsi="宋体" w:cs="宋体"/>
          <w:szCs w:val="21"/>
        </w:rPr>
        <w:t>之日起计算。响应文件有效期不足的将被视为无效响应。</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14.响应文件的编制</w:t>
      </w:r>
    </w:p>
    <w:p>
      <w:pPr>
        <w:pStyle w:val="356"/>
        <w:ind w:firstLine="420" w:firstLineChars="200"/>
        <w:jc w:val="both"/>
        <w:rPr>
          <w:rFonts w:hAnsi="宋体" w:cs="宋体"/>
          <w:sz w:val="21"/>
          <w:szCs w:val="21"/>
        </w:rPr>
      </w:pPr>
      <w:r>
        <w:rPr>
          <w:rFonts w:hint="eastAsia" w:hAnsi="宋体" w:cs="宋体"/>
          <w:sz w:val="21"/>
          <w:szCs w:val="21"/>
        </w:rPr>
        <w:t>14.1响应文件应按</w:t>
      </w:r>
      <w:r>
        <w:rPr>
          <w:rFonts w:hint="eastAsia" w:hAnsi="宋体" w:cs="宋体"/>
          <w:b/>
          <w:bCs/>
          <w:sz w:val="21"/>
          <w:szCs w:val="21"/>
        </w:rPr>
        <w:t>第六章</w:t>
      </w:r>
      <w:r>
        <w:rPr>
          <w:rFonts w:hint="eastAsia" w:hAnsi="宋体" w:cs="宋体"/>
          <w:sz w:val="21"/>
          <w:szCs w:val="21"/>
        </w:rPr>
        <w:t>“响应文件格式”进行编写，如有必要，可以增加附页，作为响应文件的组成部分。</w:t>
      </w:r>
    </w:p>
    <w:p>
      <w:pPr>
        <w:pStyle w:val="25"/>
        <w:adjustRightInd w:val="0"/>
        <w:snapToGrid w:val="0"/>
        <w:spacing w:line="360" w:lineRule="auto"/>
        <w:ind w:firstLine="420" w:firstLineChars="200"/>
        <w:rPr>
          <w:rFonts w:hAnsi="宋体" w:cs="宋体"/>
        </w:rPr>
      </w:pPr>
      <w:r>
        <w:rPr>
          <w:rFonts w:hint="eastAsia" w:hAnsi="宋体" w:cs="宋体"/>
        </w:rPr>
        <w:t>14.2响应文件应用不褪色的材料书写或打印（建议双面打印），并按</w:t>
      </w:r>
      <w:r>
        <w:rPr>
          <w:rFonts w:hint="eastAsia" w:hAnsi="宋体" w:cs="宋体"/>
          <w:b/>
          <w:bCs/>
        </w:rPr>
        <w:t>第六章</w:t>
      </w:r>
      <w:r>
        <w:rPr>
          <w:rFonts w:hint="eastAsia" w:hAnsi="宋体" w:cs="宋体"/>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hAnsi="宋体" w:cs="宋体"/>
          <w:b/>
          <w:bCs/>
        </w:rPr>
        <w:t>第六章</w:t>
      </w:r>
      <w:r>
        <w:rPr>
          <w:rFonts w:hint="eastAsia" w:hAnsi="宋体" w:cs="宋体"/>
        </w:rPr>
        <w:t>“响应文件格式”的要求。</w:t>
      </w:r>
    </w:p>
    <w:p>
      <w:pPr>
        <w:pStyle w:val="25"/>
        <w:adjustRightInd w:val="0"/>
        <w:snapToGrid w:val="0"/>
        <w:spacing w:line="360" w:lineRule="auto"/>
        <w:ind w:firstLine="420" w:firstLineChars="200"/>
        <w:rPr>
          <w:rFonts w:hAnsi="宋体" w:cs="宋体"/>
        </w:rPr>
      </w:pPr>
      <w:r>
        <w:rPr>
          <w:rFonts w:hint="eastAsia" w:hAnsi="宋体" w:cs="宋体"/>
        </w:rPr>
        <w:t>14.3响应文件应尽量避免涂改、行间插字或删除。如果出现上述情况，改动之处应由谈判单位的法定代表人或其授权的代理人签字或盖单位公章。</w:t>
      </w:r>
    </w:p>
    <w:p>
      <w:pPr>
        <w:pStyle w:val="25"/>
        <w:adjustRightInd w:val="0"/>
        <w:snapToGrid w:val="0"/>
        <w:spacing w:line="360" w:lineRule="auto"/>
        <w:ind w:firstLine="420" w:firstLineChars="200"/>
        <w:rPr>
          <w:rFonts w:hAnsi="宋体" w:cs="宋体"/>
        </w:rPr>
      </w:pPr>
      <w:r>
        <w:rPr>
          <w:rFonts w:hint="eastAsia" w:hAnsi="宋体" w:cs="宋体"/>
        </w:rPr>
        <w:t>14.4响应文件为一式三份，其中正本一份，副本两份，均须胶装成册；电子文件一份（U盘或光盘，应包含响应文件的所有内容，并标注谈判单位名称）。响应文件正本和副本的封面上应清楚地标记</w:t>
      </w:r>
      <w:r>
        <w:rPr>
          <w:rFonts w:hint="eastAsia" w:hAnsi="宋体" w:cs="宋体"/>
          <w:b/>
          <w:bCs/>
        </w:rPr>
        <w:t>“正本”</w:t>
      </w:r>
      <w:r>
        <w:rPr>
          <w:rFonts w:hint="eastAsia" w:hAnsi="宋体" w:cs="宋体"/>
        </w:rPr>
        <w:t>或</w:t>
      </w:r>
      <w:r>
        <w:rPr>
          <w:rFonts w:hint="eastAsia" w:hAnsi="宋体" w:cs="宋体"/>
          <w:b/>
          <w:bCs/>
        </w:rPr>
        <w:t>“副本”</w:t>
      </w:r>
      <w:r>
        <w:rPr>
          <w:rFonts w:hint="eastAsia" w:hAnsi="宋体" w:cs="宋体"/>
        </w:rPr>
        <w:t>的字样，若响应文件副本为正本的复印件，还需在谈判文件要求盖章处加盖单位公章。当正本和副本有差异时，以正本为准。</w:t>
      </w:r>
    </w:p>
    <w:p>
      <w:pPr>
        <w:spacing w:line="360" w:lineRule="auto"/>
        <w:rPr>
          <w:rFonts w:ascii="宋体" w:hAnsi="宋体" w:cs="宋体"/>
          <w:b/>
          <w:bCs/>
          <w:szCs w:val="21"/>
        </w:rPr>
      </w:pPr>
      <w:bookmarkStart w:id="27" w:name="_Toc9319"/>
      <w:bookmarkStart w:id="28" w:name="_Toc14891071"/>
      <w:r>
        <w:rPr>
          <w:rFonts w:hint="eastAsia" w:ascii="宋体" w:hAnsi="宋体" w:cs="宋体"/>
          <w:b/>
          <w:bCs/>
          <w:szCs w:val="21"/>
        </w:rPr>
        <w:t>四、响应文件的递交</w:t>
      </w:r>
      <w:bookmarkEnd w:id="27"/>
      <w:bookmarkEnd w:id="28"/>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15.</w:t>
      </w:r>
      <w:r>
        <w:rPr>
          <w:rFonts w:hint="eastAsia" w:ascii="宋体" w:hAnsi="宋体" w:cs="宋体"/>
          <w:b/>
          <w:szCs w:val="21"/>
        </w:rPr>
        <w:t>响应文件</w:t>
      </w:r>
      <w:r>
        <w:rPr>
          <w:rFonts w:hint="eastAsia" w:ascii="宋体" w:hAnsi="宋体" w:cs="宋体"/>
          <w:b/>
          <w:bCs/>
          <w:szCs w:val="21"/>
        </w:rPr>
        <w:t>的密封</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15.1谈判单位须将响应文件一正两副与电子文件一起密封包装。</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16.响应文件的标记</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16.1</w:t>
      </w:r>
      <w:r>
        <w:rPr>
          <w:rFonts w:hint="eastAsia" w:ascii="宋体" w:hAnsi="宋体" w:cs="宋体"/>
          <w:bCs/>
          <w:szCs w:val="21"/>
        </w:rPr>
        <w:t>响应文件的密封封套上须写明如下内容</w:t>
      </w:r>
      <w:r>
        <w:rPr>
          <w:rFonts w:hint="eastAsia" w:ascii="宋体" w:hAnsi="宋体" w:cs="宋体"/>
          <w:szCs w:val="21"/>
        </w:rPr>
        <w:t>。</w:t>
      </w:r>
    </w:p>
    <w:tbl>
      <w:tblPr>
        <w:tblStyle w:val="46"/>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938" w:type="dxa"/>
          </w:tcPr>
          <w:p>
            <w:pPr>
              <w:spacing w:line="360" w:lineRule="auto"/>
              <w:rPr>
                <w:rFonts w:ascii="宋体" w:hAnsi="宋体" w:cs="宋体"/>
                <w:szCs w:val="21"/>
                <w:u w:val="single"/>
              </w:rPr>
            </w:pPr>
            <w:r>
              <w:rPr>
                <w:rFonts w:hint="eastAsia" w:ascii="宋体" w:hAnsi="宋体" w:cs="宋体"/>
                <w:szCs w:val="21"/>
              </w:rPr>
              <w:t>采购单位：</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项目名称：</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谈判单位：</w:t>
            </w:r>
            <w:r>
              <w:rPr>
                <w:rFonts w:hint="eastAsia" w:ascii="宋体" w:hAnsi="宋体" w:cs="宋体"/>
                <w:szCs w:val="21"/>
                <w:u w:val="single"/>
              </w:rPr>
              <w:t>（填写单位名称并加盖单位公章）</w:t>
            </w:r>
          </w:p>
          <w:p>
            <w:pPr>
              <w:spacing w:line="360" w:lineRule="auto"/>
              <w:ind w:firstLine="840" w:firstLineChars="400"/>
              <w:rPr>
                <w:rFonts w:ascii="宋体" w:hAnsi="宋体" w:cs="宋体"/>
                <w:szCs w:val="21"/>
              </w:rPr>
            </w:pPr>
            <w:r>
              <w:rPr>
                <w:rFonts w:hint="eastAsia" w:ascii="宋体" w:hAnsi="宋体" w:cs="宋体"/>
                <w:bCs/>
                <w:szCs w:val="21"/>
              </w:rPr>
              <w:t>年  月  日</w:t>
            </w:r>
          </w:p>
        </w:tc>
      </w:tr>
    </w:tbl>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17.响应文件的递交</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17.1谈判单位应按要求在</w:t>
      </w:r>
      <w:r>
        <w:rPr>
          <w:rFonts w:hint="eastAsia" w:ascii="宋体" w:hAnsi="宋体" w:cs="宋体"/>
          <w:kern w:val="0"/>
          <w:szCs w:val="21"/>
        </w:rPr>
        <w:t>响应文件递交截止时间</w:t>
      </w:r>
      <w:r>
        <w:rPr>
          <w:rFonts w:hint="eastAsia" w:ascii="宋体" w:hAnsi="宋体" w:cs="宋体"/>
          <w:szCs w:val="21"/>
        </w:rPr>
        <w:t>前，将响应文件送达指定地点，响应文件递交截止时间、地点及要求见</w:t>
      </w:r>
      <w:r>
        <w:rPr>
          <w:rFonts w:hint="eastAsia" w:ascii="宋体" w:hAnsi="宋体" w:cs="宋体"/>
          <w:b/>
          <w:szCs w:val="21"/>
        </w:rPr>
        <w:t>前附表</w:t>
      </w:r>
      <w:r>
        <w:rPr>
          <w:rFonts w:hint="eastAsia" w:ascii="宋体" w:hAnsi="宋体" w:cs="宋体"/>
          <w:szCs w:val="21"/>
        </w:rPr>
        <w:t>。</w:t>
      </w:r>
      <w:r>
        <w:rPr>
          <w:rFonts w:hint="eastAsia" w:ascii="宋体" w:hAnsi="宋体" w:cs="宋体"/>
          <w:kern w:val="0"/>
          <w:szCs w:val="21"/>
        </w:rPr>
        <w:t>在截止时间后送达的响应文件，采购单位应当拒收。</w:t>
      </w:r>
    </w:p>
    <w:p>
      <w:pPr>
        <w:adjustRightInd w:val="0"/>
        <w:snapToGrid w:val="0"/>
        <w:spacing w:line="360" w:lineRule="auto"/>
        <w:ind w:firstLine="420" w:firstLineChars="200"/>
        <w:rPr>
          <w:rFonts w:ascii="宋体" w:hAnsi="宋体" w:cs="宋体"/>
          <w:b/>
          <w:szCs w:val="21"/>
        </w:rPr>
      </w:pPr>
      <w:r>
        <w:rPr>
          <w:rFonts w:hint="eastAsia" w:ascii="宋体" w:hAnsi="宋体" w:cs="宋体"/>
          <w:bCs/>
          <w:szCs w:val="21"/>
        </w:rPr>
        <w:t>17.2采购单位在</w:t>
      </w:r>
      <w:r>
        <w:rPr>
          <w:rFonts w:hint="eastAsia" w:ascii="宋体" w:hAnsi="宋体" w:cs="宋体"/>
          <w:b/>
          <w:bCs/>
          <w:szCs w:val="21"/>
        </w:rPr>
        <w:t>前附表</w:t>
      </w:r>
      <w:r>
        <w:rPr>
          <w:rFonts w:hint="eastAsia" w:ascii="宋体" w:hAnsi="宋体" w:cs="宋体"/>
          <w:bCs/>
          <w:szCs w:val="21"/>
        </w:rPr>
        <w:t>规定的谈判时间和地点，组织谈判单位签到并接收谈判文件。</w:t>
      </w:r>
    </w:p>
    <w:p>
      <w:pPr>
        <w:spacing w:line="360" w:lineRule="auto"/>
        <w:rPr>
          <w:rFonts w:ascii="宋体" w:hAnsi="宋体" w:cs="宋体"/>
          <w:b/>
          <w:bCs/>
          <w:szCs w:val="21"/>
        </w:rPr>
      </w:pPr>
      <w:bookmarkStart w:id="29" w:name="_Toc7470"/>
      <w:bookmarkStart w:id="30" w:name="_Toc14891072"/>
      <w:r>
        <w:rPr>
          <w:rFonts w:hint="eastAsia" w:ascii="宋体" w:hAnsi="宋体" w:cs="宋体"/>
          <w:b/>
          <w:bCs/>
          <w:szCs w:val="21"/>
        </w:rPr>
        <w:t>五、响应文件的评审</w:t>
      </w:r>
      <w:bookmarkEnd w:id="29"/>
      <w:bookmarkEnd w:id="30"/>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18.</w:t>
      </w:r>
      <w:r>
        <w:rPr>
          <w:rFonts w:hint="eastAsia" w:ascii="宋体" w:hAnsi="宋体" w:cs="宋体"/>
          <w:bCs/>
          <w:szCs w:val="21"/>
        </w:rPr>
        <w:t>评审由谈判评审小组负责，谈判评审小组应按照本谈判文件第三章“评审办法及标准”的内容和程序对响应文件进行评审。</w:t>
      </w:r>
    </w:p>
    <w:p>
      <w:pPr>
        <w:spacing w:line="360" w:lineRule="auto"/>
        <w:rPr>
          <w:rFonts w:ascii="宋体" w:hAnsi="宋体" w:cs="宋体"/>
          <w:b/>
          <w:bCs/>
          <w:szCs w:val="21"/>
        </w:rPr>
      </w:pPr>
      <w:bookmarkStart w:id="31" w:name="_Toc27657"/>
      <w:bookmarkStart w:id="32" w:name="_Toc14891073"/>
      <w:r>
        <w:rPr>
          <w:rFonts w:hint="eastAsia" w:ascii="宋体" w:hAnsi="宋体" w:cs="宋体"/>
          <w:b/>
          <w:bCs/>
          <w:szCs w:val="21"/>
        </w:rPr>
        <w:t>六、响应文件的澄清、说明及补正</w:t>
      </w:r>
      <w:bookmarkEnd w:id="31"/>
      <w:bookmarkEnd w:id="32"/>
    </w:p>
    <w:p>
      <w:pPr>
        <w:widowControl/>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19.澄清</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19.1谈判评审小组可就响应文件中含糊之处要求谈判单位进行解释或澄清要求，谈判单位必须按照要求派法定代表人或授权委托人进行答疑和澄清。</w:t>
      </w:r>
    </w:p>
    <w:p>
      <w:pPr>
        <w:widowControl/>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20.说明及补正</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20.1必要时谈判评审小组可要求谈判单位就澄清的问题作书面回答或承诺，该书面回答或承诺应有谈判单位法定代表人或委托代理人的签字或盖章，并将作为响应文件的一部分。</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20.2谈判单位对响应文件的澄清不得改变谈判报价及实质内容。</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kern w:val="0"/>
          <w:szCs w:val="21"/>
        </w:rPr>
        <w:t>20.3与谈判文件有重大偏离的响应文件将被拒绝。重大偏离指谈判总报价、谈判有效期、供货期明显不能满足谈判文件的要求。这些偏离不允许在响应文件递交截止时间之后修正。</w:t>
      </w:r>
    </w:p>
    <w:p>
      <w:pPr>
        <w:spacing w:line="360" w:lineRule="auto"/>
        <w:rPr>
          <w:rFonts w:ascii="宋体" w:hAnsi="宋体" w:cs="宋体"/>
          <w:b/>
          <w:bCs/>
          <w:szCs w:val="21"/>
        </w:rPr>
      </w:pPr>
      <w:bookmarkStart w:id="33" w:name="_Toc28503"/>
      <w:bookmarkStart w:id="34" w:name="_Toc14891074"/>
      <w:r>
        <w:rPr>
          <w:rFonts w:hint="eastAsia" w:ascii="宋体" w:hAnsi="宋体" w:cs="宋体"/>
          <w:b/>
          <w:bCs/>
          <w:szCs w:val="21"/>
        </w:rPr>
        <w:t>七、中选结果与授予合同</w:t>
      </w:r>
      <w:bookmarkEnd w:id="33"/>
      <w:bookmarkEnd w:id="34"/>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21.中选信息的公布</w:t>
      </w:r>
    </w:p>
    <w:p>
      <w:pPr>
        <w:pStyle w:val="25"/>
        <w:adjustRightInd w:val="0"/>
        <w:snapToGrid w:val="0"/>
        <w:spacing w:line="360" w:lineRule="auto"/>
        <w:ind w:firstLine="420" w:firstLineChars="200"/>
        <w:rPr>
          <w:rFonts w:hAnsi="宋体" w:cs="宋体"/>
        </w:rPr>
      </w:pPr>
      <w:r>
        <w:rPr>
          <w:rFonts w:hint="eastAsia" w:hAnsi="宋体" w:cs="宋体"/>
        </w:rPr>
        <w:t>21.1中选单位确定后，采购单位应将结果信息在</w:t>
      </w:r>
      <w:r>
        <w:rPr>
          <w:rFonts w:hint="eastAsia" w:hAnsi="宋体" w:cs="宋体"/>
          <w:b/>
        </w:rPr>
        <w:t>前附表</w:t>
      </w:r>
      <w:r>
        <w:rPr>
          <w:rFonts w:hint="eastAsia" w:hAnsi="宋体" w:cs="宋体"/>
        </w:rPr>
        <w:t>指定的媒体上公布，</w:t>
      </w:r>
      <w:r>
        <w:rPr>
          <w:rFonts w:hint="eastAsia" w:hAnsi="宋体" w:cs="宋体"/>
          <w:b/>
          <w:bCs/>
        </w:rPr>
        <w:t>公示期限为3个工作日</w:t>
      </w:r>
      <w:r>
        <w:rPr>
          <w:rFonts w:hint="eastAsia" w:hAnsi="宋体" w:cs="宋体"/>
        </w:rPr>
        <w:t>。</w:t>
      </w:r>
    </w:p>
    <w:p>
      <w:pPr>
        <w:pStyle w:val="25"/>
        <w:adjustRightInd w:val="0"/>
        <w:snapToGrid w:val="0"/>
        <w:spacing w:line="360" w:lineRule="auto"/>
        <w:ind w:firstLine="422" w:firstLineChars="200"/>
        <w:rPr>
          <w:rFonts w:hAnsi="宋体" w:cs="宋体"/>
          <w:b/>
          <w:bCs/>
        </w:rPr>
      </w:pPr>
      <w:r>
        <w:rPr>
          <w:rFonts w:hint="eastAsia" w:hAnsi="宋体" w:cs="宋体"/>
          <w:b/>
          <w:bCs/>
        </w:rPr>
        <w:t>22.评审结果异议</w:t>
      </w:r>
    </w:p>
    <w:p>
      <w:pPr>
        <w:pStyle w:val="25"/>
        <w:adjustRightInd w:val="0"/>
        <w:snapToGrid w:val="0"/>
        <w:spacing w:line="360" w:lineRule="auto"/>
        <w:ind w:firstLine="420" w:firstLineChars="200"/>
        <w:rPr>
          <w:rFonts w:hAnsi="宋体" w:cs="宋体"/>
          <w:b/>
        </w:rPr>
      </w:pPr>
      <w:r>
        <w:rPr>
          <w:rFonts w:hint="eastAsia" w:hAnsi="宋体" w:cs="宋体"/>
          <w:kern w:val="0"/>
        </w:rPr>
        <w:t>22.1谈判单位对评审结果有异议的，应当在结果公示期间提出。</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23.中选通知</w:t>
      </w:r>
    </w:p>
    <w:p>
      <w:pPr>
        <w:pStyle w:val="25"/>
        <w:adjustRightInd w:val="0"/>
        <w:snapToGrid w:val="0"/>
        <w:spacing w:line="360" w:lineRule="auto"/>
        <w:ind w:firstLine="420" w:firstLineChars="200"/>
        <w:rPr>
          <w:rFonts w:hAnsi="宋体" w:cs="宋体"/>
        </w:rPr>
      </w:pPr>
      <w:r>
        <w:rPr>
          <w:rFonts w:hint="eastAsia" w:hAnsi="宋体" w:cs="宋体"/>
        </w:rPr>
        <w:t>23.1中选单位确定后，采购单位将以书面形式向中选单位发出中选通知书。中选通知书对采购单位和中选单位具有同等法律效力。</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24.签订合同</w:t>
      </w:r>
    </w:p>
    <w:p>
      <w:pPr>
        <w:pStyle w:val="25"/>
        <w:adjustRightInd w:val="0"/>
        <w:snapToGrid w:val="0"/>
        <w:spacing w:line="360" w:lineRule="auto"/>
        <w:ind w:firstLine="420" w:firstLineChars="200"/>
        <w:rPr>
          <w:rFonts w:hAnsi="宋体" w:cs="宋体"/>
        </w:rPr>
      </w:pPr>
      <w:r>
        <w:rPr>
          <w:rFonts w:hint="eastAsia" w:hAnsi="宋体" w:cs="宋体"/>
        </w:rPr>
        <w:t>24.1谈判文件、中选单位的响应文件及其补充的文件等均为签订合同的依据。</w:t>
      </w:r>
    </w:p>
    <w:p>
      <w:pPr>
        <w:pStyle w:val="25"/>
        <w:adjustRightInd w:val="0"/>
        <w:snapToGrid w:val="0"/>
        <w:spacing w:line="360" w:lineRule="auto"/>
        <w:ind w:firstLine="420" w:firstLineChars="200"/>
        <w:rPr>
          <w:rFonts w:hAnsi="宋体" w:cs="宋体"/>
        </w:rPr>
      </w:pPr>
      <w:r>
        <w:rPr>
          <w:rFonts w:hint="eastAsia" w:hAnsi="宋体" w:cs="宋体"/>
        </w:rPr>
        <w:t>24.2中选单位应当在中选通知书发出后及时与采购单位签订合同。</w:t>
      </w:r>
    </w:p>
    <w:p>
      <w:pPr>
        <w:pStyle w:val="25"/>
        <w:adjustRightInd w:val="0"/>
        <w:snapToGrid w:val="0"/>
        <w:spacing w:line="360" w:lineRule="auto"/>
        <w:ind w:firstLine="420" w:firstLineChars="200"/>
        <w:rPr>
          <w:rFonts w:hAnsi="宋体" w:cs="宋体"/>
        </w:rPr>
      </w:pPr>
      <w:r>
        <w:rPr>
          <w:rFonts w:hint="eastAsia" w:hAnsi="宋体" w:cs="宋体"/>
        </w:rPr>
        <w:t>24.3中选单位应当按照合同约定履行义务。</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25.纪律和监督</w:t>
      </w:r>
    </w:p>
    <w:p>
      <w:pPr>
        <w:spacing w:line="360" w:lineRule="auto"/>
        <w:ind w:firstLine="422" w:firstLineChars="200"/>
        <w:rPr>
          <w:rFonts w:ascii="宋体" w:hAnsi="宋体" w:cs="宋体"/>
          <w:b/>
          <w:bCs/>
          <w:szCs w:val="21"/>
        </w:rPr>
      </w:pPr>
      <w:r>
        <w:rPr>
          <w:rFonts w:hint="eastAsia" w:ascii="宋体" w:hAnsi="宋体" w:cs="宋体"/>
          <w:b/>
          <w:bCs/>
          <w:szCs w:val="21"/>
        </w:rPr>
        <w:t>25.1对采购单位的纪律要求</w:t>
      </w:r>
    </w:p>
    <w:p>
      <w:pPr>
        <w:pStyle w:val="356"/>
        <w:ind w:firstLine="420" w:firstLineChars="200"/>
        <w:jc w:val="both"/>
        <w:rPr>
          <w:rFonts w:hAnsi="宋体" w:cs="宋体"/>
          <w:sz w:val="21"/>
          <w:szCs w:val="21"/>
        </w:rPr>
      </w:pPr>
      <w:r>
        <w:rPr>
          <w:rFonts w:hint="eastAsia" w:hAnsi="宋体" w:cs="宋体"/>
          <w:sz w:val="21"/>
          <w:szCs w:val="21"/>
        </w:rPr>
        <w:t>采购单位不得泄露谈判活动中应当保密的情况和资料，不得与谈判单位串通损害国家利益、社会公共利益或者他人合法权益。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25.2对谈判单位的纪律要求</w:t>
      </w:r>
    </w:p>
    <w:p>
      <w:pPr>
        <w:pStyle w:val="356"/>
        <w:ind w:firstLine="420" w:firstLineChars="200"/>
        <w:jc w:val="both"/>
        <w:rPr>
          <w:rFonts w:hAnsi="宋体" w:cs="宋体"/>
          <w:sz w:val="21"/>
          <w:szCs w:val="21"/>
        </w:rPr>
      </w:pPr>
      <w:r>
        <w:rPr>
          <w:rFonts w:hint="eastAsia" w:hAnsi="宋体" w:cs="宋体"/>
          <w:sz w:val="21"/>
          <w:szCs w:val="21"/>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25.3对</w:t>
      </w:r>
      <w:r>
        <w:rPr>
          <w:rFonts w:hint="eastAsia" w:ascii="宋体" w:hAnsi="宋体" w:cs="宋体"/>
          <w:b/>
          <w:szCs w:val="21"/>
        </w:rPr>
        <w:t>谈判评审小组</w:t>
      </w:r>
      <w:r>
        <w:rPr>
          <w:rFonts w:hint="eastAsia" w:ascii="宋体" w:hAnsi="宋体" w:cs="宋体"/>
          <w:b/>
          <w:bCs/>
          <w:szCs w:val="21"/>
        </w:rPr>
        <w:t>成员的纪律要求</w:t>
      </w:r>
    </w:p>
    <w:p>
      <w:pPr>
        <w:pStyle w:val="356"/>
        <w:ind w:firstLine="420" w:firstLineChars="200"/>
        <w:jc w:val="both"/>
        <w:rPr>
          <w:rFonts w:hAnsi="宋体" w:cs="宋体"/>
          <w:sz w:val="21"/>
          <w:szCs w:val="21"/>
        </w:rPr>
      </w:pPr>
      <w:r>
        <w:rPr>
          <w:rFonts w:hint="eastAsia" w:hAnsi="宋体" w:cs="宋体"/>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35" w:name="page32"/>
      <w:bookmarkEnd w:id="35"/>
      <w:r>
        <w:rPr>
          <w:rFonts w:hint="eastAsia" w:hAnsi="宋体" w:cs="宋体"/>
          <w:sz w:val="21"/>
          <w:szCs w:val="21"/>
        </w:rPr>
        <w:t>三章“评审办法”没有规定的评审因素和标准进行评审。</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25.4对与评审活动有关的工作人员的纪律要求</w:t>
      </w:r>
    </w:p>
    <w:p>
      <w:pPr>
        <w:pStyle w:val="25"/>
        <w:adjustRightInd w:val="0"/>
        <w:snapToGrid w:val="0"/>
        <w:spacing w:line="360" w:lineRule="auto"/>
        <w:ind w:firstLine="420" w:firstLineChars="200"/>
        <w:rPr>
          <w:rFonts w:hAnsi="宋体" w:cs="宋体"/>
        </w:rPr>
      </w:pPr>
      <w:r>
        <w:rPr>
          <w:rFonts w:hint="eastAsia" w:hAnsi="宋体" w:cs="宋体"/>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spacing w:line="360" w:lineRule="auto"/>
        <w:rPr>
          <w:rFonts w:ascii="宋体" w:hAnsi="宋体" w:cs="宋体"/>
          <w:b/>
          <w:bCs/>
          <w:szCs w:val="21"/>
        </w:rPr>
      </w:pPr>
      <w:bookmarkStart w:id="36" w:name="_Toc894"/>
      <w:bookmarkStart w:id="37" w:name="_Toc14891075"/>
      <w:r>
        <w:rPr>
          <w:rFonts w:hint="eastAsia" w:ascii="宋体" w:hAnsi="宋体" w:cs="宋体"/>
          <w:b/>
          <w:bCs/>
          <w:szCs w:val="21"/>
        </w:rPr>
        <w:t>八、其他</w:t>
      </w:r>
      <w:bookmarkEnd w:id="36"/>
      <w:bookmarkEnd w:id="37"/>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单位的，取消中选单位资格；已中选的，取消中选资格。同时，视其情节轻重处禁止参与长沙市轨道交通集团有限公司及下属子公司项目招标采购活动（最多三年），并依据国家有关规定进行处理。</w:t>
      </w:r>
    </w:p>
    <w:p>
      <w:pPr>
        <w:pStyle w:val="2"/>
        <w:spacing w:line="360" w:lineRule="auto"/>
        <w:ind w:left="0" w:leftChars="0" w:firstLine="420" w:firstLineChars="200"/>
        <w:rPr>
          <w:rFonts w:ascii="宋体" w:hAnsi="宋体" w:cs="宋体"/>
          <w:szCs w:val="21"/>
        </w:rPr>
      </w:pPr>
      <w:r>
        <w:rPr>
          <w:rFonts w:hint="eastAsia" w:ascii="宋体" w:hAnsi="宋体" w:cs="宋体"/>
          <w:szCs w:val="21"/>
        </w:rPr>
        <w:t>中选单位中选后有下列情形之一的，责令限期改正，情节严重的，列入不良行为记录名单，禁止其1至3年内参加长沙市轨道交通运营有限公司招标采购活动，并予以通报：</w:t>
      </w:r>
    </w:p>
    <w:p>
      <w:pPr>
        <w:pStyle w:val="2"/>
        <w:spacing w:line="360" w:lineRule="auto"/>
        <w:ind w:left="0" w:leftChars="0" w:firstLine="420" w:firstLineChars="200"/>
        <w:rPr>
          <w:rFonts w:ascii="宋体" w:hAnsi="宋体" w:cs="宋体"/>
          <w:szCs w:val="21"/>
        </w:rPr>
      </w:pPr>
      <w:r>
        <w:rPr>
          <w:rFonts w:hint="eastAsia" w:ascii="宋体" w:hAnsi="宋体" w:cs="宋体"/>
          <w:szCs w:val="21"/>
        </w:rPr>
        <w:t>1.成交后无正当理由不与采购人签订合同的；</w:t>
      </w:r>
    </w:p>
    <w:p>
      <w:pPr>
        <w:pStyle w:val="2"/>
        <w:spacing w:line="360" w:lineRule="auto"/>
        <w:ind w:left="0" w:leftChars="0" w:firstLine="420" w:firstLineChars="200"/>
        <w:rPr>
          <w:rFonts w:ascii="宋体" w:hAnsi="宋体" w:cs="宋体"/>
          <w:szCs w:val="21"/>
        </w:rPr>
      </w:pPr>
      <w:r>
        <w:rPr>
          <w:rFonts w:hint="eastAsia" w:ascii="宋体" w:hAnsi="宋体" w:cs="宋体"/>
          <w:szCs w:val="21"/>
        </w:rPr>
        <w:t>2.未按照采购文件确定的事项签订采购合同，或者与采购人另行订立背离合同实质性内容的协议的；</w:t>
      </w:r>
    </w:p>
    <w:p>
      <w:pPr>
        <w:pStyle w:val="2"/>
        <w:spacing w:line="360" w:lineRule="auto"/>
        <w:ind w:left="0" w:leftChars="0" w:firstLine="420" w:firstLineChars="200"/>
        <w:rPr>
          <w:rFonts w:ascii="宋体" w:hAnsi="宋体" w:cs="宋体"/>
          <w:szCs w:val="21"/>
        </w:rPr>
      </w:pPr>
      <w:r>
        <w:rPr>
          <w:rFonts w:hint="eastAsia" w:ascii="宋体" w:hAnsi="宋体" w:cs="宋体"/>
          <w:szCs w:val="21"/>
        </w:rPr>
        <w:t>3.拒绝履行合同义务的；</w:t>
      </w:r>
    </w:p>
    <w:p>
      <w:pPr>
        <w:pStyle w:val="2"/>
        <w:spacing w:line="360" w:lineRule="auto"/>
        <w:ind w:left="0" w:leftChars="0" w:firstLine="420" w:firstLineChars="200"/>
        <w:rPr>
          <w:rFonts w:ascii="宋体" w:hAnsi="宋体" w:cs="宋体"/>
          <w:szCs w:val="21"/>
        </w:rPr>
      </w:pPr>
      <w:r>
        <w:rPr>
          <w:rFonts w:hint="eastAsia" w:ascii="宋体" w:hAnsi="宋体" w:cs="宋体"/>
          <w:szCs w:val="21"/>
        </w:rPr>
        <w:t>4.违反法律、规章、规范性文件规定的。</w:t>
      </w:r>
    </w:p>
    <w:p>
      <w:pPr>
        <w:pStyle w:val="45"/>
      </w:pPr>
    </w:p>
    <w:p>
      <w:pPr>
        <w:adjustRightInd w:val="0"/>
        <w:snapToGrid w:val="0"/>
        <w:spacing w:line="360" w:lineRule="auto"/>
        <w:ind w:left="964" w:hanging="964" w:hangingChars="300"/>
        <w:jc w:val="center"/>
        <w:rPr>
          <w:rFonts w:ascii="宋体" w:hAnsi="宋体"/>
          <w:b/>
          <w:sz w:val="32"/>
          <w:szCs w:val="32"/>
        </w:rPr>
        <w:sectPr>
          <w:pgSz w:w="11906" w:h="16838"/>
          <w:pgMar w:top="1440" w:right="1797" w:bottom="1440" w:left="1797" w:header="851" w:footer="851" w:gutter="0"/>
          <w:cols w:space="720" w:num="1"/>
          <w:docGrid w:linePitch="312" w:charSpace="0"/>
        </w:sectPr>
      </w:pPr>
    </w:p>
    <w:p>
      <w:pPr>
        <w:adjustRightInd w:val="0"/>
        <w:snapToGrid w:val="0"/>
        <w:spacing w:line="360" w:lineRule="auto"/>
        <w:rPr>
          <w:rFonts w:ascii="宋体" w:hAnsi="宋体"/>
        </w:rPr>
      </w:pPr>
      <w:r>
        <w:rPr>
          <w:rFonts w:hint="eastAsia" w:ascii="宋体" w:hAnsi="宋体" w:cs="宋体"/>
          <w:b/>
          <w:bCs/>
          <w:szCs w:val="21"/>
        </w:rPr>
        <w:t>附件：采购代理服务费收费标准</w:t>
      </w:r>
    </w:p>
    <w:p>
      <w:pPr>
        <w:pStyle w:val="19"/>
      </w:pPr>
    </w:p>
    <w:p>
      <w:pPr>
        <w:adjustRightInd w:val="0"/>
        <w:snapToGrid w:val="0"/>
        <w:spacing w:line="360" w:lineRule="auto"/>
        <w:jc w:val="center"/>
        <w:rPr>
          <w:rFonts w:ascii="宋体" w:hAnsi="宋体" w:cs="宋体"/>
          <w:b/>
          <w:szCs w:val="21"/>
        </w:rPr>
      </w:pPr>
      <w:r>
        <w:rPr>
          <w:rFonts w:hint="eastAsia" w:ascii="宋体" w:hAnsi="宋体" w:cs="宋体"/>
          <w:b/>
          <w:szCs w:val="21"/>
        </w:rPr>
        <w:t>采购代理服务费收费参照汇率表</w:t>
      </w:r>
    </w:p>
    <w:tbl>
      <w:tblPr>
        <w:tblStyle w:val="47"/>
        <w:tblpPr w:leftFromText="180" w:rightFromText="180" w:vertAnchor="text" w:horzAnchor="page" w:tblpXSpec="center" w:tblpY="236"/>
        <w:tblOverlap w:val="never"/>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1957"/>
        <w:gridCol w:w="2325"/>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adjustRightInd w:val="0"/>
              <w:snapToGrid w:val="0"/>
              <w:jc w:val="right"/>
              <w:rPr>
                <w:rFonts w:ascii="宋体" w:hAnsi="宋体"/>
                <w:szCs w:val="21"/>
              </w:rPr>
            </w:pPr>
            <w:r>
              <w:rPr>
                <w:rFonts w:hint="eastAsia" w:ascii="宋体" w:hAnsi="宋体"/>
                <w:szCs w:val="21"/>
              </w:rPr>
              <w:t>汇率</w:t>
            </w:r>
          </w:p>
          <w:p>
            <w:pPr>
              <w:adjustRightInd w:val="0"/>
              <w:snapToGrid w:val="0"/>
              <w:rPr>
                <w:rFonts w:ascii="宋体" w:hAnsi="宋体"/>
                <w:szCs w:val="21"/>
              </w:rPr>
            </w:pPr>
            <w:r>
              <w:rPr>
                <w:rFonts w:hint="eastAsia" w:ascii="宋体" w:hAnsi="宋体"/>
                <w:szCs w:val="21"/>
              </w:rPr>
              <w:t>中</w:t>
            </w:r>
            <w:r>
              <w:rPr>
                <w:rFonts w:ascii="宋体" w:hAnsi="宋体"/>
                <w:szCs w:val="21"/>
              </w:rPr>
              <w:t>选金额</w:t>
            </w:r>
          </w:p>
        </w:tc>
        <w:tc>
          <w:tcPr>
            <w:tcW w:w="1957" w:type="dxa"/>
            <w:tcBorders>
              <w:top w:val="single" w:color="auto" w:sz="12" w:space="0"/>
            </w:tcBorders>
            <w:vAlign w:val="center"/>
          </w:tcPr>
          <w:p>
            <w:pPr>
              <w:adjustRightInd w:val="0"/>
              <w:snapToGrid w:val="0"/>
              <w:jc w:val="center"/>
              <w:rPr>
                <w:rFonts w:ascii="宋体" w:hAnsi="宋体"/>
                <w:szCs w:val="21"/>
              </w:rPr>
            </w:pPr>
            <w:r>
              <w:rPr>
                <w:rFonts w:hint="eastAsia" w:ascii="宋体" w:hAnsi="宋体"/>
                <w:szCs w:val="21"/>
              </w:rPr>
              <w:t>货物</w:t>
            </w:r>
            <w:r>
              <w:rPr>
                <w:rFonts w:ascii="宋体" w:hAnsi="宋体"/>
                <w:szCs w:val="21"/>
              </w:rPr>
              <w:t>采购</w:t>
            </w:r>
          </w:p>
        </w:tc>
        <w:tc>
          <w:tcPr>
            <w:tcW w:w="2325" w:type="dxa"/>
            <w:tcBorders>
              <w:top w:val="single" w:color="auto" w:sz="12" w:space="0"/>
            </w:tcBorders>
            <w:vAlign w:val="center"/>
          </w:tcPr>
          <w:p>
            <w:pPr>
              <w:adjustRightInd w:val="0"/>
              <w:snapToGrid w:val="0"/>
              <w:jc w:val="center"/>
              <w:rPr>
                <w:rFonts w:ascii="宋体" w:hAnsi="宋体"/>
                <w:szCs w:val="21"/>
              </w:rPr>
            </w:pPr>
            <w:r>
              <w:rPr>
                <w:rFonts w:hint="eastAsia" w:ascii="宋体" w:hAnsi="宋体"/>
                <w:szCs w:val="21"/>
              </w:rPr>
              <w:t>服务</w:t>
            </w:r>
            <w:r>
              <w:rPr>
                <w:rFonts w:ascii="宋体" w:hAnsi="宋体"/>
                <w:szCs w:val="21"/>
              </w:rPr>
              <w:t>采购</w:t>
            </w:r>
          </w:p>
        </w:tc>
        <w:tc>
          <w:tcPr>
            <w:tcW w:w="2100" w:type="dxa"/>
            <w:tcBorders>
              <w:top w:val="single" w:color="auto" w:sz="12" w:space="0"/>
              <w:right w:val="single" w:color="auto" w:sz="12" w:space="0"/>
            </w:tcBorders>
            <w:vAlign w:val="center"/>
          </w:tcPr>
          <w:p>
            <w:pPr>
              <w:adjustRightInd w:val="0"/>
              <w:snapToGrid w:val="0"/>
              <w:jc w:val="center"/>
              <w:rPr>
                <w:rFonts w:ascii="宋体" w:hAnsi="宋体"/>
                <w:szCs w:val="21"/>
              </w:rPr>
            </w:pPr>
            <w:r>
              <w:rPr>
                <w:rFonts w:hint="eastAsia" w:ascii="宋体" w:hAnsi="宋体"/>
                <w:szCs w:val="21"/>
              </w:rPr>
              <w:t>工程</w:t>
            </w:r>
            <w:r>
              <w:rPr>
                <w:rFonts w:ascii="宋体" w:hAnsi="宋体"/>
                <w:szCs w:val="21"/>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228" w:type="dxa"/>
            <w:tcBorders>
              <w:left w:val="single" w:color="auto" w:sz="12" w:space="0"/>
            </w:tcBorders>
            <w:vAlign w:val="center"/>
          </w:tcPr>
          <w:p>
            <w:pPr>
              <w:adjustRightInd w:val="0"/>
              <w:snapToGrid w:val="0"/>
              <w:jc w:val="center"/>
              <w:rPr>
                <w:rFonts w:ascii="宋体" w:hAnsi="宋体"/>
                <w:szCs w:val="21"/>
              </w:rPr>
            </w:pPr>
            <w:r>
              <w:rPr>
                <w:rFonts w:hint="eastAsia" w:ascii="宋体" w:hAnsi="宋体"/>
                <w:szCs w:val="21"/>
              </w:rPr>
              <w:t>100万</w:t>
            </w:r>
            <w:r>
              <w:rPr>
                <w:rFonts w:ascii="宋体" w:hAnsi="宋体"/>
                <w:szCs w:val="21"/>
              </w:rPr>
              <w:t>元以下</w:t>
            </w:r>
          </w:p>
        </w:tc>
        <w:tc>
          <w:tcPr>
            <w:tcW w:w="1957" w:type="dxa"/>
            <w:vAlign w:val="center"/>
          </w:tcPr>
          <w:p>
            <w:pPr>
              <w:adjustRightInd w:val="0"/>
              <w:snapToGrid w:val="0"/>
              <w:jc w:val="center"/>
              <w:rPr>
                <w:rFonts w:ascii="宋体" w:hAnsi="宋体"/>
                <w:szCs w:val="21"/>
              </w:rPr>
            </w:pPr>
            <w:r>
              <w:rPr>
                <w:rFonts w:hint="eastAsia" w:ascii="宋体" w:hAnsi="宋体"/>
                <w:szCs w:val="21"/>
              </w:rPr>
              <w:t>1.5%</w:t>
            </w:r>
          </w:p>
        </w:tc>
        <w:tc>
          <w:tcPr>
            <w:tcW w:w="2325" w:type="dxa"/>
            <w:vAlign w:val="center"/>
          </w:tcPr>
          <w:p>
            <w:pPr>
              <w:adjustRightInd w:val="0"/>
              <w:snapToGrid w:val="0"/>
              <w:jc w:val="center"/>
              <w:rPr>
                <w:rFonts w:ascii="宋体" w:hAnsi="宋体"/>
                <w:szCs w:val="21"/>
              </w:rPr>
            </w:pPr>
            <w:r>
              <w:rPr>
                <w:rFonts w:hint="eastAsia" w:ascii="宋体" w:hAnsi="宋体"/>
                <w:szCs w:val="21"/>
              </w:rPr>
              <w:t>1.5%</w:t>
            </w:r>
          </w:p>
        </w:tc>
        <w:tc>
          <w:tcPr>
            <w:tcW w:w="2100" w:type="dxa"/>
            <w:tcBorders>
              <w:right w:val="single" w:color="auto" w:sz="12" w:space="0"/>
            </w:tcBorders>
            <w:vAlign w:val="center"/>
          </w:tcPr>
          <w:p>
            <w:pPr>
              <w:adjustRightInd w:val="0"/>
              <w:snapToGrid w:val="0"/>
              <w:jc w:val="center"/>
              <w:rPr>
                <w:rFonts w:ascii="宋体" w:hAnsi="宋体"/>
                <w:szCs w:val="21"/>
              </w:rPr>
            </w:pPr>
            <w:r>
              <w:rPr>
                <w:rFonts w:hint="eastAsia" w:ascii="宋体" w:hAnsi="宋体"/>
                <w:szCs w:val="21"/>
              </w:rPr>
              <w:t>1.0</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228" w:type="dxa"/>
            <w:tcBorders>
              <w:left w:val="single" w:color="auto" w:sz="12" w:space="0"/>
            </w:tcBorders>
            <w:vAlign w:val="center"/>
          </w:tcPr>
          <w:p>
            <w:pPr>
              <w:adjustRightInd w:val="0"/>
              <w:snapToGrid w:val="0"/>
              <w:jc w:val="center"/>
              <w:rPr>
                <w:rFonts w:ascii="宋体" w:hAnsi="宋体"/>
                <w:szCs w:val="21"/>
              </w:rPr>
            </w:pPr>
            <w:r>
              <w:rPr>
                <w:rFonts w:hint="eastAsia" w:ascii="宋体" w:hAnsi="宋体"/>
                <w:szCs w:val="21"/>
              </w:rPr>
              <w:t>100～400万</w:t>
            </w:r>
            <w:r>
              <w:rPr>
                <w:rFonts w:ascii="宋体" w:hAnsi="宋体"/>
                <w:szCs w:val="21"/>
              </w:rPr>
              <w:t>元</w:t>
            </w:r>
          </w:p>
        </w:tc>
        <w:tc>
          <w:tcPr>
            <w:tcW w:w="1957" w:type="dxa"/>
            <w:vAlign w:val="center"/>
          </w:tcPr>
          <w:p>
            <w:pPr>
              <w:adjustRightInd w:val="0"/>
              <w:snapToGrid w:val="0"/>
              <w:jc w:val="center"/>
              <w:rPr>
                <w:rFonts w:ascii="宋体" w:hAnsi="宋体"/>
                <w:szCs w:val="21"/>
              </w:rPr>
            </w:pPr>
            <w:r>
              <w:rPr>
                <w:rFonts w:hint="eastAsia" w:ascii="宋体" w:hAnsi="宋体"/>
                <w:szCs w:val="21"/>
              </w:rPr>
              <w:t>1.1%</w:t>
            </w:r>
          </w:p>
        </w:tc>
        <w:tc>
          <w:tcPr>
            <w:tcW w:w="2325" w:type="dxa"/>
            <w:vAlign w:val="center"/>
          </w:tcPr>
          <w:p>
            <w:pPr>
              <w:adjustRightInd w:val="0"/>
              <w:snapToGrid w:val="0"/>
              <w:jc w:val="center"/>
              <w:rPr>
                <w:rFonts w:ascii="宋体" w:hAnsi="宋体"/>
                <w:szCs w:val="21"/>
              </w:rPr>
            </w:pPr>
            <w:r>
              <w:rPr>
                <w:rFonts w:hint="eastAsia" w:ascii="宋体" w:hAnsi="宋体"/>
                <w:szCs w:val="21"/>
              </w:rPr>
              <w:t>0.8%</w:t>
            </w:r>
          </w:p>
        </w:tc>
        <w:tc>
          <w:tcPr>
            <w:tcW w:w="2100" w:type="dxa"/>
            <w:tcBorders>
              <w:right w:val="single" w:color="auto" w:sz="12" w:space="0"/>
            </w:tcBorders>
            <w:vAlign w:val="center"/>
          </w:tcPr>
          <w:p>
            <w:pPr>
              <w:adjustRightInd w:val="0"/>
              <w:snapToGrid w:val="0"/>
              <w:jc w:val="center"/>
              <w:rPr>
                <w:rFonts w:ascii="宋体" w:hAnsi="宋体"/>
                <w:szCs w:val="21"/>
              </w:rPr>
            </w:pPr>
            <w:r>
              <w:rPr>
                <w:rFonts w:hint="eastAsia" w:ascii="宋体" w:hAnsi="宋体"/>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adjustRightInd w:val="0"/>
              <w:snapToGrid w:val="0"/>
              <w:jc w:val="center"/>
              <w:rPr>
                <w:rFonts w:ascii="宋体" w:hAnsi="宋体"/>
                <w:szCs w:val="21"/>
              </w:rPr>
            </w:pPr>
            <w:r>
              <w:rPr>
                <w:rFonts w:hint="eastAsia" w:ascii="宋体" w:hAnsi="宋体"/>
                <w:szCs w:val="21"/>
              </w:rPr>
              <w:t>备注</w:t>
            </w:r>
          </w:p>
        </w:tc>
        <w:tc>
          <w:tcPr>
            <w:tcW w:w="6382" w:type="dxa"/>
            <w:gridSpan w:val="3"/>
            <w:tcBorders>
              <w:left w:val="single" w:color="auto" w:sz="4" w:space="0"/>
              <w:bottom w:val="single" w:color="auto" w:sz="12" w:space="0"/>
              <w:right w:val="single" w:color="auto" w:sz="12" w:space="0"/>
            </w:tcBorders>
            <w:vAlign w:val="center"/>
          </w:tcPr>
          <w:p>
            <w:pPr>
              <w:adjustRightInd w:val="0"/>
              <w:snapToGrid w:val="0"/>
              <w:spacing w:line="360" w:lineRule="auto"/>
              <w:jc w:val="left"/>
              <w:rPr>
                <w:rFonts w:ascii="宋体" w:hAnsi="宋体"/>
                <w:szCs w:val="21"/>
              </w:rPr>
            </w:pPr>
            <w:r>
              <w:rPr>
                <w:rFonts w:hint="eastAsia" w:ascii="宋体" w:hAnsi="宋体"/>
                <w:szCs w:val="21"/>
              </w:rPr>
              <w:t>采购代理</w:t>
            </w:r>
            <w:r>
              <w:rPr>
                <w:rFonts w:ascii="宋体" w:hAnsi="宋体"/>
                <w:szCs w:val="21"/>
              </w:rPr>
              <w:t>服务费的收费标准为：以中选价为基数，按《</w:t>
            </w:r>
            <w:r>
              <w:rPr>
                <w:rFonts w:hint="eastAsia" w:ascii="宋体" w:hAnsi="宋体"/>
                <w:szCs w:val="21"/>
              </w:rPr>
              <w:t>采购</w:t>
            </w:r>
            <w:r>
              <w:rPr>
                <w:rFonts w:ascii="宋体" w:hAnsi="宋体"/>
                <w:szCs w:val="21"/>
              </w:rPr>
              <w:t>代理服务</w:t>
            </w:r>
            <w:r>
              <w:rPr>
                <w:rFonts w:hint="eastAsia" w:ascii="宋体" w:hAnsi="宋体"/>
                <w:szCs w:val="21"/>
              </w:rPr>
              <w:t>费</w:t>
            </w:r>
            <w:r>
              <w:rPr>
                <w:rFonts w:ascii="宋体" w:hAnsi="宋体"/>
                <w:szCs w:val="21"/>
              </w:rPr>
              <w:t>收费参照汇率表》</w:t>
            </w:r>
            <w:r>
              <w:rPr>
                <w:rFonts w:hint="eastAsia" w:ascii="宋体" w:hAnsi="宋体"/>
                <w:szCs w:val="21"/>
              </w:rPr>
              <w:t>进行</w:t>
            </w:r>
            <w:r>
              <w:rPr>
                <w:rFonts w:ascii="宋体" w:hAnsi="宋体"/>
                <w:szCs w:val="21"/>
              </w:rPr>
              <w:t>计算后，向中选单位收取。服务</w:t>
            </w:r>
            <w:r>
              <w:rPr>
                <w:rFonts w:hint="eastAsia" w:ascii="宋体" w:hAnsi="宋体"/>
                <w:szCs w:val="21"/>
              </w:rPr>
              <w:t>费</w:t>
            </w:r>
            <w:r>
              <w:rPr>
                <w:rFonts w:ascii="宋体" w:hAnsi="宋体"/>
                <w:szCs w:val="21"/>
              </w:rPr>
              <w:t>超过</w:t>
            </w:r>
            <w:r>
              <w:rPr>
                <w:rFonts w:hint="eastAsia" w:ascii="宋体" w:hAnsi="宋体"/>
                <w:szCs w:val="21"/>
              </w:rPr>
              <w:t>2万</w:t>
            </w:r>
            <w:r>
              <w:rPr>
                <w:rFonts w:ascii="宋体" w:hAnsi="宋体"/>
                <w:szCs w:val="21"/>
              </w:rPr>
              <w:t>元的，按</w:t>
            </w:r>
            <w:r>
              <w:rPr>
                <w:rFonts w:hint="eastAsia" w:ascii="宋体" w:hAnsi="宋体"/>
                <w:szCs w:val="21"/>
              </w:rPr>
              <w:t>2万</w:t>
            </w:r>
            <w:r>
              <w:rPr>
                <w:rFonts w:ascii="宋体" w:hAnsi="宋体"/>
                <w:szCs w:val="21"/>
              </w:rPr>
              <w:t>元</w:t>
            </w:r>
            <w:r>
              <w:rPr>
                <w:rFonts w:hint="eastAsia" w:ascii="宋体" w:hAnsi="宋体"/>
                <w:szCs w:val="21"/>
              </w:rPr>
              <w:t>计</w:t>
            </w:r>
            <w:r>
              <w:rPr>
                <w:rFonts w:ascii="宋体" w:hAnsi="宋体"/>
                <w:szCs w:val="21"/>
              </w:rPr>
              <w:t>取，服务费低于</w:t>
            </w:r>
            <w:r>
              <w:rPr>
                <w:rFonts w:hint="eastAsia" w:ascii="宋体" w:hAnsi="宋体"/>
                <w:szCs w:val="21"/>
              </w:rPr>
              <w:t>5000元</w:t>
            </w:r>
            <w:r>
              <w:rPr>
                <w:rFonts w:ascii="宋体" w:hAnsi="宋体"/>
                <w:szCs w:val="21"/>
              </w:rPr>
              <w:t>的，按</w:t>
            </w:r>
            <w:r>
              <w:rPr>
                <w:rFonts w:hint="eastAsia" w:ascii="宋体" w:hAnsi="宋体"/>
                <w:szCs w:val="21"/>
              </w:rPr>
              <w:t>5000元</w:t>
            </w:r>
            <w:r>
              <w:rPr>
                <w:rFonts w:ascii="宋体" w:hAnsi="宋体"/>
                <w:szCs w:val="21"/>
              </w:rPr>
              <w:t>计取。</w:t>
            </w:r>
          </w:p>
        </w:tc>
      </w:tr>
    </w:tbl>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100万元×1.0%＝1万元</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（300-100）万元×0.7%＝1.4万元</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合计收费＝1+1.4＝2.4（万元）</w:t>
      </w:r>
    </w:p>
    <w:p>
      <w:pPr>
        <w:adjustRightInd w:val="0"/>
        <w:snapToGrid w:val="0"/>
        <w:spacing w:line="360" w:lineRule="auto"/>
        <w:ind w:firstLine="420" w:firstLineChars="200"/>
        <w:jc w:val="left"/>
        <w:rPr>
          <w:rFonts w:ascii="宋体" w:hAnsi="宋体" w:cs="宋体"/>
          <w:b/>
          <w:szCs w:val="21"/>
        </w:rPr>
        <w:sectPr>
          <w:footerReference r:id="rId5" w:type="default"/>
          <w:pgSz w:w="11906" w:h="16838"/>
          <w:pgMar w:top="1440" w:right="1797" w:bottom="1440" w:left="1797" w:header="851" w:footer="851" w:gutter="0"/>
          <w:cols w:space="720" w:num="1"/>
          <w:docGrid w:linePitch="312" w:charSpace="0"/>
        </w:sectPr>
      </w:pPr>
      <w:r>
        <w:rPr>
          <w:rFonts w:hint="eastAsia" w:ascii="宋体" w:hAnsi="宋体" w:cs="宋体"/>
          <w:szCs w:val="21"/>
        </w:rPr>
        <w:t>本项目采购代理服务费为2万元</w:t>
      </w:r>
    </w:p>
    <w:p>
      <w:pPr>
        <w:spacing w:after="240"/>
        <w:jc w:val="center"/>
        <w:rPr>
          <w:rFonts w:ascii="宋体" w:hAnsi="宋体" w:cs="宋体"/>
          <w:b/>
          <w:bCs/>
          <w:sz w:val="32"/>
          <w:szCs w:val="32"/>
        </w:rPr>
      </w:pPr>
      <w:bookmarkStart w:id="38" w:name="_Toc4275"/>
      <w:bookmarkStart w:id="39" w:name="_Toc28427"/>
      <w:bookmarkStart w:id="40" w:name="_Toc5567"/>
      <w:bookmarkStart w:id="41" w:name="_Toc25542"/>
      <w:r>
        <w:rPr>
          <w:rFonts w:hint="eastAsia" w:ascii="宋体" w:hAnsi="宋体" w:cs="宋体"/>
          <w:b/>
          <w:bCs/>
          <w:sz w:val="32"/>
          <w:szCs w:val="32"/>
        </w:rPr>
        <w:t>第三章  评审办法及标准</w:t>
      </w:r>
      <w:bookmarkEnd w:id="38"/>
      <w:bookmarkEnd w:id="39"/>
      <w:bookmarkEnd w:id="40"/>
      <w:bookmarkEnd w:id="41"/>
    </w:p>
    <w:p>
      <w:pPr>
        <w:adjustRightInd w:val="0"/>
        <w:snapToGrid w:val="0"/>
        <w:spacing w:line="360" w:lineRule="auto"/>
        <w:ind w:left="632" w:hanging="632" w:hangingChars="300"/>
        <w:rPr>
          <w:rFonts w:ascii="宋体" w:hAnsi="宋体" w:cs="宋体"/>
          <w:b/>
          <w:szCs w:val="21"/>
        </w:rPr>
      </w:pPr>
    </w:p>
    <w:p>
      <w:pPr>
        <w:adjustRightInd w:val="0"/>
        <w:snapToGrid w:val="0"/>
        <w:spacing w:line="360" w:lineRule="auto"/>
        <w:rPr>
          <w:rFonts w:ascii="宋体" w:hAnsi="宋体" w:cs="宋体"/>
          <w:b/>
          <w:szCs w:val="21"/>
        </w:rPr>
      </w:pPr>
      <w:r>
        <w:rPr>
          <w:rFonts w:hint="eastAsia" w:ascii="宋体" w:hAnsi="宋体" w:cs="宋体"/>
          <w:b/>
          <w:szCs w:val="21"/>
        </w:rPr>
        <w:t>一、评审办法</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bCs/>
          <w:szCs w:val="21"/>
        </w:rPr>
        <w:t>1.本项目采用经符合性审查合格后的</w:t>
      </w:r>
      <w:r>
        <w:rPr>
          <w:rFonts w:hint="eastAsia" w:ascii="宋体" w:hAnsi="宋体" w:cs="宋体"/>
          <w:b/>
          <w:bCs/>
          <w:szCs w:val="21"/>
          <w:u w:val="single"/>
        </w:rPr>
        <w:t>最低价法</w:t>
      </w:r>
      <w:r>
        <w:rPr>
          <w:rFonts w:hint="eastAsia" w:ascii="宋体" w:hAnsi="宋体" w:cs="宋体"/>
          <w:szCs w:val="21"/>
        </w:rPr>
        <w:t>。</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二、谈判程序</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2.</w:t>
      </w:r>
      <w:r>
        <w:rPr>
          <w:rFonts w:ascii="宋体" w:hAnsi="宋体" w:cs="宋体"/>
          <w:bCs/>
          <w:szCs w:val="21"/>
        </w:rPr>
        <w:t>1</w:t>
      </w:r>
      <w:r>
        <w:rPr>
          <w:rFonts w:hint="eastAsia" w:ascii="宋体" w:hAnsi="宋体" w:cs="宋体"/>
          <w:bCs/>
          <w:szCs w:val="21"/>
        </w:rPr>
        <w:t>采购单位在前附表内规定的谈判时间及地点组织谈判活动。谈判活动由采购单位、谈判单位代表参与。</w:t>
      </w:r>
    </w:p>
    <w:p>
      <w:pPr>
        <w:widowControl/>
        <w:adjustRightInd w:val="0"/>
        <w:snapToGrid w:val="0"/>
        <w:spacing w:line="360" w:lineRule="auto"/>
        <w:ind w:firstLine="420" w:firstLineChars="200"/>
        <w:rPr>
          <w:rFonts w:ascii="宋体" w:hAnsi="宋体" w:cs="宋体"/>
          <w:b/>
          <w:szCs w:val="21"/>
        </w:rPr>
      </w:pPr>
      <w:r>
        <w:rPr>
          <w:rFonts w:ascii="宋体" w:hAnsi="宋体" w:cs="宋体"/>
          <w:bCs/>
          <w:szCs w:val="21"/>
        </w:rPr>
        <w:t>2.2</w:t>
      </w:r>
      <w:r>
        <w:rPr>
          <w:rFonts w:hint="eastAsia" w:ascii="宋体" w:hAnsi="宋体" w:cs="宋体"/>
          <w:bCs/>
          <w:szCs w:val="21"/>
        </w:rPr>
        <w:t>谈判程序分为：</w:t>
      </w:r>
      <w:r>
        <w:rPr>
          <w:rFonts w:hint="eastAsia" w:ascii="宋体" w:hAnsi="宋体" w:cs="宋体"/>
          <w:b/>
          <w:szCs w:val="21"/>
        </w:rPr>
        <w:t>谈判验证阶段及谈判评审阶段。</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三、谈判验证阶段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谈判验证阶段分为身份验证和唱价。</w:t>
      </w:r>
    </w:p>
    <w:p>
      <w:pPr>
        <w:widowControl/>
        <w:adjustRightInd w:val="0"/>
        <w:snapToGrid w:val="0"/>
        <w:spacing w:line="360" w:lineRule="auto"/>
        <w:ind w:firstLine="420" w:firstLineChars="200"/>
        <w:rPr>
          <w:rFonts w:ascii="宋体" w:hAnsi="宋体" w:cs="宋体"/>
          <w:bCs/>
          <w:szCs w:val="21"/>
        </w:rPr>
      </w:pPr>
      <w:r>
        <w:rPr>
          <w:rFonts w:ascii="宋体" w:hAnsi="宋体" w:cs="宋体"/>
          <w:bCs/>
          <w:szCs w:val="21"/>
        </w:rPr>
        <w:t>3.1</w:t>
      </w:r>
      <w:r>
        <w:rPr>
          <w:rFonts w:hint="eastAsia" w:ascii="宋体" w:hAnsi="宋体" w:cs="宋体"/>
          <w:bCs/>
          <w:szCs w:val="21"/>
        </w:rPr>
        <w:t>身份验证阶段</w:t>
      </w:r>
    </w:p>
    <w:p>
      <w:pPr>
        <w:widowControl/>
        <w:adjustRightInd w:val="0"/>
        <w:snapToGrid w:val="0"/>
        <w:spacing w:line="360" w:lineRule="auto"/>
        <w:ind w:firstLine="420" w:firstLineChars="200"/>
        <w:rPr>
          <w:rFonts w:ascii="宋体" w:hAnsi="宋体" w:cs="宋体"/>
          <w:bCs/>
          <w:szCs w:val="21"/>
        </w:rPr>
      </w:pPr>
      <w:r>
        <w:rPr>
          <w:rFonts w:ascii="宋体" w:hAnsi="宋体" w:cs="宋体"/>
          <w:bCs/>
          <w:szCs w:val="21"/>
        </w:rPr>
        <w:t>3.1</w:t>
      </w:r>
      <w:r>
        <w:rPr>
          <w:rFonts w:hint="eastAsia" w:ascii="宋体" w:hAnsi="宋体" w:cs="宋体"/>
          <w:bCs/>
          <w:szCs w:val="21"/>
        </w:rPr>
        <w:t>.1采购单位按本文件前附表内规定的响应文件的谈判现场验证要求，对参与谈判的单位代表身份进行验证。</w:t>
      </w:r>
    </w:p>
    <w:p>
      <w:pPr>
        <w:adjustRightInd w:val="0"/>
        <w:snapToGrid w:val="0"/>
        <w:spacing w:line="360" w:lineRule="auto"/>
        <w:ind w:firstLine="420" w:firstLineChars="200"/>
        <w:rPr>
          <w:rFonts w:ascii="宋体" w:hAnsi="宋体" w:cs="宋体"/>
          <w:szCs w:val="21"/>
        </w:rPr>
      </w:pPr>
      <w:r>
        <w:rPr>
          <w:rFonts w:ascii="宋体" w:hAnsi="宋体" w:cs="宋体"/>
          <w:bCs/>
          <w:szCs w:val="21"/>
        </w:rPr>
        <w:t>3.1</w:t>
      </w:r>
      <w:r>
        <w:rPr>
          <w:rFonts w:hint="eastAsia" w:ascii="宋体" w:hAnsi="宋体" w:cs="宋体"/>
          <w:bCs/>
          <w:szCs w:val="21"/>
        </w:rPr>
        <w:t>.2参与谈判的代表身份经验证不合格的，视为无效响应，</w:t>
      </w:r>
      <w:r>
        <w:rPr>
          <w:rFonts w:hint="eastAsia" w:ascii="宋体" w:hAnsi="宋体" w:cs="宋体"/>
          <w:szCs w:val="21"/>
        </w:rPr>
        <w:t>不得进入下一阶段。</w:t>
      </w:r>
    </w:p>
    <w:p>
      <w:pPr>
        <w:adjustRightInd w:val="0"/>
        <w:snapToGrid w:val="0"/>
        <w:spacing w:line="360" w:lineRule="auto"/>
        <w:ind w:firstLine="420" w:firstLineChars="200"/>
        <w:rPr>
          <w:rFonts w:ascii="宋体" w:hAnsi="宋体" w:cs="宋体"/>
          <w:bCs/>
          <w:szCs w:val="21"/>
        </w:rPr>
      </w:pPr>
      <w:r>
        <w:rPr>
          <w:rFonts w:ascii="宋体" w:hAnsi="宋体" w:cs="宋体"/>
          <w:bCs/>
          <w:szCs w:val="21"/>
        </w:rPr>
        <w:t>3.2</w:t>
      </w:r>
      <w:r>
        <w:rPr>
          <w:rFonts w:hint="eastAsia" w:ascii="宋体" w:hAnsi="宋体" w:cs="宋体"/>
          <w:bCs/>
          <w:szCs w:val="21"/>
        </w:rPr>
        <w:t>唱价阶段</w:t>
      </w:r>
    </w:p>
    <w:p>
      <w:pPr>
        <w:adjustRightInd w:val="0"/>
        <w:snapToGrid w:val="0"/>
        <w:spacing w:line="360" w:lineRule="auto"/>
        <w:ind w:firstLine="420" w:firstLineChars="200"/>
        <w:rPr>
          <w:rFonts w:ascii="宋体" w:hAnsi="宋体" w:cs="宋体"/>
          <w:bCs/>
          <w:szCs w:val="21"/>
        </w:rPr>
      </w:pPr>
      <w:r>
        <w:rPr>
          <w:rFonts w:ascii="宋体" w:hAnsi="宋体" w:cs="宋体"/>
          <w:bCs/>
          <w:szCs w:val="21"/>
        </w:rPr>
        <w:t>3.2</w:t>
      </w:r>
      <w:r>
        <w:rPr>
          <w:rFonts w:hint="eastAsia" w:ascii="宋体" w:hAnsi="宋体" w:cs="宋体"/>
          <w:bCs/>
          <w:szCs w:val="21"/>
        </w:rPr>
        <w:t>.1身份验证结束后，由采购单位当众拆封经身份验证合格的谈判单位的谈判响应文件，宣读响应文件中《报价一览表》内容，并记录在案。</w:t>
      </w:r>
    </w:p>
    <w:p>
      <w:pPr>
        <w:adjustRightInd w:val="0"/>
        <w:snapToGrid w:val="0"/>
        <w:spacing w:line="360" w:lineRule="auto"/>
        <w:ind w:firstLine="420" w:firstLineChars="200"/>
        <w:rPr>
          <w:rFonts w:ascii="宋体" w:hAnsi="宋体" w:cs="宋体"/>
          <w:bCs/>
          <w:szCs w:val="21"/>
        </w:rPr>
      </w:pPr>
      <w:r>
        <w:rPr>
          <w:rFonts w:ascii="宋体" w:hAnsi="宋体" w:cs="宋体"/>
          <w:bCs/>
          <w:szCs w:val="21"/>
        </w:rPr>
        <w:t>3.2</w:t>
      </w:r>
      <w:r>
        <w:rPr>
          <w:rFonts w:hint="eastAsia" w:ascii="宋体" w:hAnsi="宋体" w:cs="宋体"/>
          <w:bCs/>
          <w:szCs w:val="21"/>
        </w:rPr>
        <w:t>.2谈判单位法定代表人或授权委托人、现场监督员、记录人等有关人员在唱价记录表上签字确认，谈判单位对本阶段有异议的应当场提出，采购人当场作出答复，并记录在案，未提出的，视为无异议。</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四、谈判评审阶段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谈判评审阶段分为符合性审查、详细评审及推荐中选单位。</w:t>
      </w:r>
    </w:p>
    <w:p>
      <w:pPr>
        <w:adjustRightInd w:val="0"/>
        <w:snapToGrid w:val="0"/>
        <w:spacing w:line="360" w:lineRule="auto"/>
        <w:ind w:firstLine="422" w:firstLineChars="200"/>
        <w:rPr>
          <w:rFonts w:ascii="宋体" w:hAnsi="宋体" w:cs="宋体"/>
          <w:b/>
          <w:szCs w:val="21"/>
        </w:rPr>
      </w:pPr>
      <w:r>
        <w:rPr>
          <w:rFonts w:ascii="宋体" w:hAnsi="宋体" w:cs="宋体"/>
          <w:b/>
          <w:szCs w:val="21"/>
        </w:rPr>
        <w:t>4</w:t>
      </w:r>
      <w:r>
        <w:rPr>
          <w:rFonts w:hint="eastAsia" w:ascii="宋体" w:hAnsi="宋体" w:cs="宋体"/>
          <w:b/>
          <w:szCs w:val="21"/>
        </w:rPr>
        <w:t>.符合性审查阶段</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符合性审查分为对谈判单位资格的符合性审查及报价的符合性审查。</w:t>
      </w:r>
    </w:p>
    <w:p>
      <w:pPr>
        <w:adjustRightInd w:val="0"/>
        <w:snapToGrid w:val="0"/>
        <w:spacing w:line="360" w:lineRule="auto"/>
        <w:ind w:firstLine="420" w:firstLineChars="200"/>
        <w:rPr>
          <w:rFonts w:ascii="宋体" w:hAnsi="宋体" w:cs="宋体"/>
          <w:szCs w:val="21"/>
        </w:rPr>
      </w:pPr>
      <w:r>
        <w:rPr>
          <w:rFonts w:ascii="宋体" w:hAnsi="宋体" w:cs="宋体"/>
          <w:szCs w:val="21"/>
        </w:rPr>
        <w:t>4</w:t>
      </w:r>
      <w:r>
        <w:rPr>
          <w:rFonts w:hint="eastAsia" w:ascii="宋体" w:hAnsi="宋体" w:cs="宋体"/>
          <w:szCs w:val="21"/>
        </w:rPr>
        <w:t>.1资格的符合性审查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w:t>
      </w:r>
      <w:r>
        <w:rPr>
          <w:rFonts w:hint="eastAsia" w:ascii="宋体" w:hAnsi="宋体" w:cs="宋体"/>
          <w:bCs/>
          <w:szCs w:val="21"/>
        </w:rPr>
        <w:t>小组</w:t>
      </w:r>
      <w:r>
        <w:rPr>
          <w:rFonts w:hint="eastAsia" w:ascii="宋体" w:hAnsi="宋体" w:cs="宋体"/>
          <w:szCs w:val="21"/>
        </w:rPr>
        <w:t>根据本谈判文件</w:t>
      </w:r>
      <w:r>
        <w:rPr>
          <w:rFonts w:hint="eastAsia" w:ascii="宋体" w:hAnsi="宋体" w:cs="宋体"/>
          <w:b/>
          <w:szCs w:val="21"/>
        </w:rPr>
        <w:t>前附表</w:t>
      </w:r>
      <w:r>
        <w:rPr>
          <w:rFonts w:hint="eastAsia" w:ascii="宋体" w:hAnsi="宋体" w:cs="宋体"/>
          <w:szCs w:val="21"/>
        </w:rPr>
        <w:t>内规定的谈判单位资格要求，对谈判单位进行符合性审查</w:t>
      </w:r>
      <w:bookmarkStart w:id="42" w:name="_Hlk76387758"/>
      <w:r>
        <w:rPr>
          <w:rFonts w:hint="eastAsia" w:ascii="宋体" w:hAnsi="宋体" w:cs="宋体"/>
          <w:szCs w:val="21"/>
        </w:rPr>
        <w:t>，资格审查以谈判单位递交的</w:t>
      </w:r>
      <w:r>
        <w:t>相关资料</w:t>
      </w:r>
      <w:r>
        <w:rPr>
          <w:rFonts w:hint="eastAsia" w:ascii="宋体" w:hAnsi="宋体" w:cs="宋体"/>
          <w:szCs w:val="21"/>
        </w:rPr>
        <w:t>为准。</w:t>
      </w:r>
      <w:bookmarkEnd w:id="42"/>
    </w:p>
    <w:p>
      <w:pPr>
        <w:adjustRightInd w:val="0"/>
        <w:snapToGrid w:val="0"/>
        <w:spacing w:line="360" w:lineRule="auto"/>
        <w:ind w:firstLine="420" w:firstLineChars="200"/>
        <w:rPr>
          <w:rFonts w:ascii="宋体" w:hAnsi="宋体" w:cs="宋体"/>
          <w:szCs w:val="21"/>
        </w:rPr>
      </w:pPr>
      <w:r>
        <w:rPr>
          <w:rFonts w:ascii="宋体" w:hAnsi="宋体" w:cs="宋体"/>
          <w:szCs w:val="21"/>
        </w:rPr>
        <w:t>4</w:t>
      </w:r>
      <w:r>
        <w:rPr>
          <w:rFonts w:hint="eastAsia" w:ascii="宋体" w:hAnsi="宋体" w:cs="宋体"/>
          <w:szCs w:val="21"/>
        </w:rPr>
        <w:t>.2报价的符合性审查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谈判评审小组根据谈判文件的规定，对报价文件的有效性、完整性等进行符合性审查。</w:t>
      </w:r>
    </w:p>
    <w:p>
      <w:pPr>
        <w:adjustRightInd w:val="0"/>
        <w:snapToGrid w:val="0"/>
        <w:spacing w:line="360" w:lineRule="auto"/>
        <w:ind w:firstLine="420" w:firstLineChars="200"/>
        <w:rPr>
          <w:rFonts w:ascii="宋体" w:hAnsi="宋体" w:cs="宋体"/>
          <w:szCs w:val="21"/>
        </w:rPr>
      </w:pPr>
      <w:r>
        <w:rPr>
          <w:rFonts w:ascii="宋体" w:hAnsi="宋体" w:cs="宋体"/>
          <w:szCs w:val="21"/>
        </w:rPr>
        <w:t>4</w:t>
      </w:r>
      <w:r>
        <w:rPr>
          <w:rFonts w:hint="eastAsia" w:ascii="宋体" w:hAnsi="宋体" w:cs="宋体"/>
          <w:szCs w:val="21"/>
        </w:rPr>
        <w:t>.3有下列情形之一的，为符合性审查不合格，视为无效响应，不进入下一阶段：</w:t>
      </w:r>
    </w:p>
    <w:p>
      <w:pPr>
        <w:adjustRightInd w:val="0"/>
        <w:snapToGrid w:val="0"/>
        <w:spacing w:line="360" w:lineRule="auto"/>
        <w:ind w:firstLine="420" w:firstLineChars="200"/>
        <w:rPr>
          <w:rFonts w:ascii="宋体" w:hAnsi="宋体"/>
          <w:szCs w:val="21"/>
        </w:rPr>
      </w:pPr>
      <w:r>
        <w:rPr>
          <w:rFonts w:hint="eastAsia" w:ascii="宋体" w:hAnsi="宋体"/>
          <w:szCs w:val="21"/>
        </w:rPr>
        <w:t>（1）未按照谈判文件规定要求签署盖章的。</w:t>
      </w:r>
    </w:p>
    <w:p>
      <w:pPr>
        <w:adjustRightInd w:val="0"/>
        <w:snapToGrid w:val="0"/>
        <w:spacing w:line="360" w:lineRule="auto"/>
        <w:ind w:firstLine="420" w:firstLineChars="200"/>
        <w:rPr>
          <w:rFonts w:ascii="宋体" w:hAnsi="宋体"/>
          <w:szCs w:val="21"/>
        </w:rPr>
      </w:pPr>
      <w:r>
        <w:rPr>
          <w:rFonts w:hint="eastAsia" w:ascii="宋体" w:hAnsi="宋体"/>
          <w:szCs w:val="21"/>
        </w:rPr>
        <w:t>（2）响应</w:t>
      </w:r>
      <w:r>
        <w:rPr>
          <w:rFonts w:hint="eastAsia" w:ascii="宋体" w:hAnsi="宋体" w:cs="宋体"/>
          <w:kern w:val="0"/>
          <w:szCs w:val="21"/>
        </w:rPr>
        <w:t>文件有效期不满足谈判文件规定的。</w:t>
      </w:r>
    </w:p>
    <w:p>
      <w:pPr>
        <w:adjustRightInd w:val="0"/>
        <w:snapToGrid w:val="0"/>
        <w:spacing w:line="360" w:lineRule="auto"/>
        <w:ind w:firstLine="420" w:firstLineChars="200"/>
        <w:rPr>
          <w:rFonts w:ascii="宋体" w:hAnsi="宋体"/>
          <w:szCs w:val="21"/>
          <w:highlight w:val="yellow"/>
        </w:rPr>
      </w:pPr>
      <w:r>
        <w:rPr>
          <w:rFonts w:hint="eastAsia" w:ascii="宋体" w:hAnsi="宋体"/>
          <w:szCs w:val="21"/>
        </w:rPr>
        <w:t>（3）不满足资格条件要求的。</w:t>
      </w:r>
    </w:p>
    <w:p>
      <w:pPr>
        <w:adjustRightInd w:val="0"/>
        <w:snapToGrid w:val="0"/>
        <w:spacing w:line="360" w:lineRule="auto"/>
        <w:ind w:firstLine="420" w:firstLineChars="200"/>
        <w:rPr>
          <w:rFonts w:ascii="宋体" w:hAnsi="宋体"/>
          <w:szCs w:val="21"/>
        </w:rPr>
      </w:pPr>
      <w:r>
        <w:rPr>
          <w:rFonts w:hint="eastAsia" w:ascii="宋体" w:hAnsi="宋体"/>
          <w:szCs w:val="21"/>
        </w:rPr>
        <w:t>（4）不满足用户需求书要求的。</w:t>
      </w:r>
    </w:p>
    <w:p>
      <w:pPr>
        <w:adjustRightInd w:val="0"/>
        <w:snapToGrid w:val="0"/>
        <w:spacing w:line="360" w:lineRule="auto"/>
        <w:ind w:firstLine="420" w:firstLineChars="200"/>
        <w:rPr>
          <w:rFonts w:ascii="宋体" w:hAnsi="宋体"/>
          <w:szCs w:val="21"/>
        </w:rPr>
      </w:pPr>
      <w:r>
        <w:rPr>
          <w:rFonts w:hint="eastAsia" w:ascii="宋体" w:hAnsi="宋体"/>
          <w:szCs w:val="21"/>
        </w:rPr>
        <w:t>（5）</w:t>
      </w:r>
      <w:r>
        <w:rPr>
          <w:rFonts w:hint="eastAsia" w:ascii="宋体" w:hAnsi="宋体" w:cs="宋体"/>
          <w:kern w:val="0"/>
          <w:szCs w:val="21"/>
        </w:rPr>
        <w:t>谈判总报价超过</w:t>
      </w:r>
      <w:r>
        <w:rPr>
          <w:rFonts w:hint="eastAsia" w:ascii="宋体" w:hAnsi="宋体"/>
          <w:szCs w:val="21"/>
        </w:rPr>
        <w:t>谈判预算的</w:t>
      </w:r>
      <w:r>
        <w:rPr>
          <w:rFonts w:hint="eastAsia" w:ascii="宋体" w:hAnsi="宋体" w:cs="宋体"/>
          <w:kern w:val="0"/>
          <w:szCs w:val="21"/>
        </w:rPr>
        <w:t>。</w:t>
      </w:r>
    </w:p>
    <w:p>
      <w:pPr>
        <w:pStyle w:val="2"/>
        <w:spacing w:line="360" w:lineRule="auto"/>
        <w:ind w:left="0" w:leftChars="0" w:firstLine="420" w:firstLineChars="200"/>
        <w:rPr>
          <w:rFonts w:ascii="宋体" w:hAnsi="宋体"/>
          <w:szCs w:val="21"/>
        </w:rPr>
      </w:pPr>
      <w:r>
        <w:rPr>
          <w:rFonts w:hint="eastAsia" w:ascii="宋体" w:hAnsi="宋体"/>
          <w:szCs w:val="21"/>
        </w:rPr>
        <w:t>（6）未提交投标保证金的。</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（7）</w:t>
      </w:r>
      <w:r>
        <w:rPr>
          <w:rFonts w:hint="eastAsia" w:ascii="宋体" w:hAnsi="宋体"/>
          <w:szCs w:val="21"/>
        </w:rPr>
        <w:t>递交两份或多份内容不同的报价文件，或在一份报价文件中对同一项目报有两个或多个报价，且未声明哪一个有效的。</w:t>
      </w:r>
    </w:p>
    <w:p>
      <w:pPr>
        <w:adjustRightInd w:val="0"/>
        <w:snapToGrid w:val="0"/>
        <w:spacing w:line="360" w:lineRule="auto"/>
        <w:ind w:firstLine="422" w:firstLineChars="200"/>
        <w:rPr>
          <w:rFonts w:ascii="宋体" w:hAnsi="宋体" w:cs="宋体"/>
          <w:b/>
          <w:bCs/>
          <w:szCs w:val="21"/>
        </w:rPr>
      </w:pPr>
      <w:r>
        <w:rPr>
          <w:rFonts w:ascii="宋体" w:hAnsi="宋体" w:cs="宋体"/>
          <w:b/>
          <w:szCs w:val="21"/>
        </w:rPr>
        <w:t>5</w:t>
      </w:r>
      <w:r>
        <w:rPr>
          <w:rFonts w:hint="eastAsia" w:ascii="宋体" w:hAnsi="宋体" w:cs="宋体"/>
          <w:b/>
          <w:szCs w:val="21"/>
        </w:rPr>
        <w:t>.</w:t>
      </w:r>
      <w:r>
        <w:rPr>
          <w:rFonts w:hint="eastAsia" w:ascii="宋体" w:hAnsi="宋体" w:cs="宋体"/>
          <w:b/>
          <w:bCs/>
          <w:szCs w:val="21"/>
        </w:rPr>
        <w:t>详细评审阶段</w:t>
      </w:r>
    </w:p>
    <w:p>
      <w:pPr>
        <w:widowControl/>
        <w:adjustRightInd w:val="0"/>
        <w:snapToGrid w:val="0"/>
        <w:spacing w:line="360" w:lineRule="auto"/>
        <w:ind w:firstLine="420" w:firstLineChars="200"/>
        <w:rPr>
          <w:rFonts w:ascii="宋体" w:hAnsi="宋体" w:cs="宋体"/>
          <w:kern w:val="0"/>
          <w:szCs w:val="21"/>
        </w:rPr>
      </w:pPr>
      <w:r>
        <w:rPr>
          <w:rFonts w:ascii="宋体" w:hAnsi="宋体" w:cs="宋体"/>
          <w:kern w:val="0"/>
          <w:szCs w:val="21"/>
        </w:rPr>
        <w:t>5</w:t>
      </w:r>
      <w:r>
        <w:rPr>
          <w:rFonts w:hint="eastAsia" w:ascii="宋体" w:hAnsi="宋体" w:cs="宋体"/>
          <w:kern w:val="0"/>
          <w:szCs w:val="21"/>
        </w:rPr>
        <w:t>.1谈判评审小组应按以下要求对经符合性审查合格的谈判单位进行详细评审：</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（1）</w:t>
      </w:r>
      <w:r>
        <w:rPr>
          <w:rFonts w:hint="eastAsia" w:ascii="宋体" w:hAnsi="宋体" w:cs="宋体"/>
          <w:kern w:val="0"/>
          <w:szCs w:val="21"/>
        </w:rPr>
        <w:t>以经谈判评审小组一致认定满足《竞争性谈判文件》要求且</w:t>
      </w:r>
      <w:r>
        <w:rPr>
          <w:rFonts w:hint="eastAsia" w:ascii="宋体" w:hAnsi="宋体" w:cs="宋体"/>
          <w:b/>
          <w:bCs/>
          <w:kern w:val="0"/>
          <w:szCs w:val="21"/>
        </w:rPr>
        <w:t>谈判总报价</w:t>
      </w:r>
      <w:r>
        <w:rPr>
          <w:rFonts w:hint="eastAsia" w:ascii="宋体" w:hAnsi="宋体" w:cs="宋体"/>
          <w:kern w:val="0"/>
          <w:szCs w:val="21"/>
        </w:rPr>
        <w:t>最低的报价为基准价，其得分为满分。</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（2）</w:t>
      </w:r>
      <w:r>
        <w:rPr>
          <w:rFonts w:hint="eastAsia" w:ascii="宋体" w:hAnsi="宋体" w:cs="宋体"/>
          <w:kern w:val="0"/>
          <w:szCs w:val="21"/>
        </w:rPr>
        <w:t>其他有效单位的得分统一按下列公式计算（保留2位小数，第3位四舍五入）：谈判单位得分=（基准价／谈判总报价）×100</w:t>
      </w:r>
    </w:p>
    <w:p>
      <w:pPr>
        <w:adjustRightInd w:val="0"/>
        <w:snapToGrid w:val="0"/>
        <w:spacing w:line="360" w:lineRule="auto"/>
        <w:ind w:firstLine="413" w:firstLineChars="196"/>
        <w:rPr>
          <w:rFonts w:ascii="宋体" w:hAnsi="宋体" w:cs="宋体"/>
          <w:b/>
          <w:bCs/>
          <w:szCs w:val="21"/>
        </w:rPr>
      </w:pPr>
      <w:r>
        <w:rPr>
          <w:rFonts w:ascii="宋体" w:hAnsi="宋体" w:cs="宋体"/>
          <w:b/>
          <w:bCs/>
          <w:szCs w:val="21"/>
        </w:rPr>
        <w:t>6</w:t>
      </w:r>
      <w:r>
        <w:rPr>
          <w:rFonts w:hint="eastAsia" w:ascii="宋体" w:hAnsi="宋体" w:cs="宋体"/>
          <w:b/>
          <w:bCs/>
          <w:szCs w:val="21"/>
        </w:rPr>
        <w:t>.推荐中选单位</w:t>
      </w:r>
    </w:p>
    <w:p>
      <w:pPr>
        <w:spacing w:line="360" w:lineRule="auto"/>
        <w:ind w:firstLine="420" w:firstLineChars="200"/>
        <w:rPr>
          <w:rFonts w:ascii="宋体" w:hAnsi="宋体" w:cs="宋体"/>
          <w:kern w:val="0"/>
          <w:szCs w:val="21"/>
          <w:highlight w:val="none"/>
        </w:rPr>
      </w:pPr>
      <w:r>
        <w:rPr>
          <w:rFonts w:ascii="宋体" w:hAnsi="宋体" w:cs="宋体"/>
          <w:bCs/>
          <w:szCs w:val="21"/>
          <w:highlight w:val="none"/>
        </w:rPr>
        <w:t>6</w:t>
      </w:r>
      <w:r>
        <w:rPr>
          <w:rFonts w:hint="eastAsia" w:ascii="宋体" w:hAnsi="宋体" w:cs="宋体"/>
          <w:bCs/>
          <w:szCs w:val="21"/>
          <w:highlight w:val="none"/>
        </w:rPr>
        <w:t>.1</w:t>
      </w:r>
      <w:r>
        <w:rPr>
          <w:rFonts w:hint="eastAsia" w:ascii="宋体" w:hAnsi="宋体" w:cs="宋体"/>
          <w:kern w:val="0"/>
          <w:szCs w:val="21"/>
          <w:highlight w:val="none"/>
        </w:rPr>
        <w:t>谈判评审小组应当在全部评审结束后，谈判评审小组按综合得分由高至低的顺序推荐不超过3名的中标候选人，其他单位不予排序</w:t>
      </w:r>
      <w:r>
        <w:rPr>
          <w:rFonts w:hint="eastAsia" w:ascii="宋体" w:hAnsi="宋体" w:cs="宋体"/>
          <w:kern w:val="0"/>
          <w:szCs w:val="21"/>
          <w:highlight w:val="none"/>
          <w:lang w:val="en-US" w:eastAsia="zh-CN"/>
        </w:rPr>
        <w:t>,推荐排序第一的为本项目的中选单位，</w:t>
      </w:r>
      <w:r>
        <w:rPr>
          <w:rFonts w:hint="eastAsia" w:ascii="宋体" w:hAnsi="宋体" w:cs="宋体"/>
          <w:kern w:val="0"/>
          <w:szCs w:val="21"/>
          <w:highlight w:val="none"/>
        </w:rPr>
        <w:t>并填写评审报告。</w:t>
      </w:r>
    </w:p>
    <w:p>
      <w:pPr>
        <w:widowControl/>
        <w:adjustRightInd w:val="0"/>
        <w:snapToGrid w:val="0"/>
        <w:spacing w:line="360" w:lineRule="auto"/>
        <w:ind w:firstLine="420" w:firstLineChars="200"/>
        <w:rPr>
          <w:rFonts w:ascii="宋体" w:hAnsi="宋体" w:cs="宋体"/>
          <w:kern w:val="0"/>
          <w:szCs w:val="21"/>
        </w:rPr>
      </w:pPr>
      <w:r>
        <w:rPr>
          <w:rFonts w:ascii="宋体" w:hAnsi="宋体" w:cs="宋体"/>
          <w:kern w:val="0"/>
          <w:szCs w:val="21"/>
        </w:rPr>
        <w:t>6</w:t>
      </w:r>
      <w:r>
        <w:rPr>
          <w:rFonts w:hint="eastAsia" w:ascii="宋体" w:hAnsi="宋体" w:cs="宋体"/>
          <w:kern w:val="0"/>
          <w:szCs w:val="21"/>
        </w:rPr>
        <w:t>.2全部评审结束后，若出现报价得分相同的情形，则采用现场抽签方式确定中选单位。</w:t>
      </w:r>
    </w:p>
    <w:p>
      <w:pPr>
        <w:rPr>
          <w:rFonts w:ascii="宋体" w:hAnsi="宋体"/>
          <w:bCs/>
          <w:szCs w:val="21"/>
        </w:rPr>
        <w:sectPr>
          <w:pgSz w:w="11906" w:h="16838"/>
          <w:pgMar w:top="1440" w:right="1797" w:bottom="1440" w:left="1797" w:header="851" w:footer="851" w:gutter="0"/>
          <w:cols w:space="720" w:num="1"/>
          <w:docGrid w:linePitch="312" w:charSpace="0"/>
        </w:sectPr>
      </w:pPr>
      <w:r>
        <w:rPr>
          <w:rFonts w:hint="eastAsia" w:ascii="宋体" w:hAnsi="宋体" w:cs="宋体"/>
          <w:kern w:val="0"/>
          <w:szCs w:val="21"/>
        </w:rPr>
        <w:br w:type="page"/>
      </w:r>
    </w:p>
    <w:p>
      <w:pPr>
        <w:spacing w:after="240"/>
        <w:jc w:val="center"/>
        <w:rPr>
          <w:rFonts w:ascii="宋体" w:hAnsi="宋体" w:cs="宋体"/>
          <w:b/>
          <w:bCs/>
          <w:sz w:val="32"/>
          <w:szCs w:val="32"/>
        </w:rPr>
      </w:pPr>
      <w:bookmarkStart w:id="43" w:name="_Toc17562"/>
      <w:bookmarkStart w:id="44" w:name="_Toc23442"/>
      <w:bookmarkStart w:id="45" w:name="_Toc18407"/>
      <w:bookmarkStart w:id="46" w:name="_Toc17997"/>
      <w:bookmarkStart w:id="47" w:name="_Toc14891077"/>
      <w:r>
        <w:rPr>
          <w:rFonts w:hint="eastAsia" w:ascii="宋体" w:hAnsi="宋体" w:cs="宋体"/>
          <w:b/>
          <w:bCs/>
          <w:sz w:val="32"/>
          <w:szCs w:val="32"/>
        </w:rPr>
        <w:t>第四章  用户需求书</w:t>
      </w:r>
      <w:bookmarkEnd w:id="43"/>
      <w:bookmarkEnd w:id="44"/>
      <w:bookmarkEnd w:id="45"/>
      <w:bookmarkEnd w:id="46"/>
      <w:bookmarkEnd w:id="47"/>
      <w:r>
        <w:rPr>
          <w:rFonts w:hint="eastAsia" w:ascii="宋体" w:hAnsi="宋体" w:cs="宋体"/>
          <w:b/>
          <w:bCs/>
          <w:sz w:val="32"/>
          <w:szCs w:val="32"/>
        </w:rPr>
        <w:t>（另册）</w:t>
      </w:r>
    </w:p>
    <w:p>
      <w:pPr>
        <w:spacing w:after="240"/>
        <w:jc w:val="center"/>
        <w:rPr>
          <w:rFonts w:ascii="宋体" w:hAnsi="宋体" w:cs="宋体"/>
          <w:b/>
          <w:bCs/>
          <w:sz w:val="32"/>
          <w:szCs w:val="32"/>
        </w:rPr>
        <w:sectPr>
          <w:headerReference r:id="rId6" w:type="default"/>
          <w:footerReference r:id="rId7" w:type="default"/>
          <w:pgSz w:w="11850" w:h="16783"/>
          <w:pgMar w:top="1440" w:right="1800" w:bottom="1440" w:left="1800" w:header="851" w:footer="992" w:gutter="0"/>
          <w:cols w:space="720" w:num="1"/>
          <w:docGrid w:type="lines" w:linePitch="312" w:charSpace="0"/>
        </w:sectPr>
      </w:pPr>
      <w:bookmarkStart w:id="48" w:name="_Toc15112"/>
      <w:bookmarkStart w:id="49" w:name="_Toc17441"/>
      <w:bookmarkStart w:id="50" w:name="_Toc13521"/>
      <w:bookmarkStart w:id="51" w:name="_Toc22262"/>
      <w:bookmarkStart w:id="52" w:name="_Toc14891078"/>
    </w:p>
    <w:p>
      <w:pPr>
        <w:spacing w:after="240"/>
        <w:jc w:val="center"/>
        <w:rPr>
          <w:rFonts w:ascii="宋体" w:hAnsi="宋体" w:cs="宋体"/>
          <w:b/>
          <w:bCs/>
          <w:sz w:val="32"/>
          <w:szCs w:val="32"/>
        </w:rPr>
      </w:pPr>
      <w:r>
        <w:rPr>
          <w:rFonts w:hint="eastAsia" w:ascii="宋体" w:hAnsi="宋体" w:cs="宋体"/>
          <w:b/>
          <w:bCs/>
          <w:sz w:val="32"/>
          <w:szCs w:val="32"/>
        </w:rPr>
        <w:t>第五章  合同格式条款</w:t>
      </w:r>
      <w:bookmarkEnd w:id="48"/>
      <w:bookmarkEnd w:id="49"/>
      <w:bookmarkEnd w:id="50"/>
      <w:bookmarkEnd w:id="51"/>
      <w:bookmarkEnd w:id="52"/>
    </w:p>
    <w:p>
      <w:pPr>
        <w:snapToGrid w:val="0"/>
        <w:spacing w:line="360" w:lineRule="auto"/>
        <w:jc w:val="right"/>
        <w:rPr>
          <w:rFonts w:ascii="仿宋_GB2312" w:hAnsi="仿宋_GB2312" w:eastAsia="仿宋_GB2312" w:cs="仿宋_GB2312"/>
          <w:b/>
          <w:bCs/>
          <w:sz w:val="52"/>
          <w:szCs w:val="52"/>
        </w:rPr>
      </w:pPr>
      <w:bookmarkStart w:id="53" w:name="_Toc14277"/>
      <w:bookmarkStart w:id="54" w:name="_Toc20891"/>
      <w:bookmarkStart w:id="55" w:name="_Toc29654"/>
      <w:bookmarkStart w:id="56" w:name="_Toc5097"/>
      <w:r>
        <w:rPr>
          <w:rFonts w:hint="eastAsia" w:ascii="仿宋_GB2312" w:hAnsi="仿宋_GB2312" w:eastAsia="仿宋_GB2312" w:cs="仿宋_GB2312"/>
          <w:b/>
          <w:sz w:val="24"/>
        </w:rPr>
        <w:t>合同编号：</w:t>
      </w:r>
      <w:r>
        <w:rPr>
          <w:rFonts w:hint="eastAsia" w:ascii="仿宋_GB2312" w:hAnsi="仿宋_GB2312" w:eastAsia="仿宋_GB2312" w:cs="仿宋_GB2312"/>
          <w:sz w:val="24"/>
          <w:u w:val="dotted"/>
        </w:rPr>
        <w:t>长轨运  物合【20  】  号</w:t>
      </w:r>
    </w:p>
    <w:p>
      <w:pPr>
        <w:snapToGrid w:val="0"/>
        <w:spacing w:line="360" w:lineRule="auto"/>
        <w:jc w:val="center"/>
        <w:rPr>
          <w:rFonts w:ascii="仿宋_GB2312" w:hAnsi="仿宋_GB2312" w:eastAsia="仿宋_GB2312" w:cs="仿宋_GB2312"/>
          <w:b/>
          <w:bCs/>
          <w:sz w:val="28"/>
          <w:szCs w:val="28"/>
        </w:rPr>
      </w:pPr>
    </w:p>
    <w:p>
      <w:pPr>
        <w:snapToGrid w:val="0"/>
        <w:spacing w:line="360" w:lineRule="auto"/>
        <w:jc w:val="center"/>
        <w:rPr>
          <w:rFonts w:ascii="仿宋_GB2312" w:hAnsi="仿宋_GB2312" w:eastAsia="仿宋_GB2312" w:cs="仿宋_GB2312"/>
          <w:b/>
          <w:bCs/>
          <w:sz w:val="28"/>
          <w:szCs w:val="28"/>
        </w:rPr>
      </w:pPr>
    </w:p>
    <w:p>
      <w:pPr>
        <w:snapToGrid w:val="0"/>
        <w:spacing w:line="360" w:lineRule="auto"/>
        <w:jc w:val="center"/>
        <w:rPr>
          <w:rFonts w:ascii="仿宋_GB2312" w:hAnsi="仿宋_GB2312" w:eastAsia="仿宋_GB2312" w:cs="仿宋_GB2312"/>
          <w:b/>
          <w:bCs/>
          <w:sz w:val="28"/>
          <w:szCs w:val="28"/>
        </w:rPr>
      </w:pPr>
    </w:p>
    <w:p>
      <w:pPr>
        <w:snapToGrid w:val="0"/>
        <w:spacing w:line="360" w:lineRule="auto"/>
        <w:jc w:val="center"/>
        <w:rPr>
          <w:rFonts w:ascii="仿宋_GB2312" w:hAnsi="仿宋_GB2312" w:eastAsia="仿宋_GB2312" w:cs="仿宋_GB2312"/>
          <w:b/>
          <w:bCs/>
          <w:sz w:val="28"/>
          <w:szCs w:val="28"/>
        </w:rPr>
      </w:pPr>
    </w:p>
    <w:p>
      <w:pPr>
        <w:snapToGrid w:val="0"/>
        <w:spacing w:line="360" w:lineRule="auto"/>
        <w:jc w:val="center"/>
        <w:rPr>
          <w:rFonts w:ascii="仿宋_GB2312" w:hAnsi="仿宋_GB2312" w:eastAsia="仿宋_GB2312" w:cs="仿宋_GB2312"/>
          <w:b/>
          <w:bCs/>
          <w:sz w:val="28"/>
          <w:szCs w:val="28"/>
        </w:rPr>
      </w:pPr>
    </w:p>
    <w:p>
      <w:pPr>
        <w:snapToGrid w:val="0"/>
        <w:spacing w:line="360" w:lineRule="auto"/>
        <w:jc w:val="center"/>
        <w:rPr>
          <w:rFonts w:ascii="仿宋_GB2312" w:hAnsi="仿宋_GB2312" w:eastAsia="仿宋_GB2312" w:cs="仿宋_GB2312"/>
          <w:b/>
          <w:bCs/>
          <w:sz w:val="52"/>
          <w:szCs w:val="52"/>
        </w:rPr>
      </w:pPr>
      <w:r>
        <w:rPr>
          <w:rFonts w:hint="eastAsia" w:ascii="仿宋_GB2312" w:hAnsi="仿宋_GB2312" w:eastAsia="仿宋_GB2312" w:cs="仿宋_GB2312"/>
          <w:b/>
          <w:spacing w:val="20"/>
          <w:sz w:val="52"/>
          <w:szCs w:val="52"/>
        </w:rPr>
        <w:t>物资采购合同</w:t>
      </w:r>
    </w:p>
    <w:p>
      <w:pPr>
        <w:snapToGrid w:val="0"/>
        <w:spacing w:line="360" w:lineRule="auto"/>
        <w:jc w:val="center"/>
        <w:rPr>
          <w:rFonts w:ascii="仿宋_GB2312" w:hAnsi="仿宋_GB2312" w:eastAsia="仿宋_GB2312" w:cs="仿宋_GB2312"/>
          <w:bCs/>
          <w:sz w:val="28"/>
          <w:szCs w:val="28"/>
        </w:rPr>
      </w:pPr>
    </w:p>
    <w:p>
      <w:pPr>
        <w:adjustRightInd w:val="0"/>
        <w:snapToGrid w:val="0"/>
        <w:spacing w:line="360" w:lineRule="auto"/>
        <w:ind w:firstLine="835" w:firstLineChars="297"/>
        <w:rPr>
          <w:rFonts w:ascii="仿宋_GB2312" w:hAnsi="仿宋_GB2312" w:eastAsia="仿宋_GB2312" w:cs="仿宋_GB2312"/>
          <w:b/>
          <w:sz w:val="28"/>
          <w:szCs w:val="28"/>
        </w:rPr>
      </w:pPr>
    </w:p>
    <w:p>
      <w:pPr>
        <w:adjustRightInd w:val="0"/>
        <w:snapToGrid w:val="0"/>
        <w:spacing w:line="360" w:lineRule="auto"/>
        <w:ind w:firstLine="835" w:firstLineChars="297"/>
        <w:rPr>
          <w:rFonts w:ascii="仿宋_GB2312" w:hAnsi="仿宋_GB2312" w:eastAsia="仿宋_GB2312" w:cs="仿宋_GB2312"/>
          <w:b/>
          <w:sz w:val="28"/>
          <w:szCs w:val="28"/>
        </w:rPr>
      </w:pPr>
    </w:p>
    <w:p>
      <w:pPr>
        <w:adjustRightInd w:val="0"/>
        <w:snapToGrid w:val="0"/>
        <w:spacing w:line="360" w:lineRule="auto"/>
        <w:ind w:firstLine="835" w:firstLineChars="297"/>
        <w:rPr>
          <w:rFonts w:ascii="仿宋_GB2312" w:hAnsi="仿宋_GB2312" w:eastAsia="仿宋_GB2312" w:cs="仿宋_GB2312"/>
          <w:b/>
          <w:sz w:val="28"/>
          <w:szCs w:val="28"/>
        </w:rPr>
      </w:pPr>
    </w:p>
    <w:p>
      <w:pPr>
        <w:adjustRightInd w:val="0"/>
        <w:snapToGrid w:val="0"/>
        <w:spacing w:line="360" w:lineRule="auto"/>
        <w:ind w:firstLine="835" w:firstLineChars="297"/>
        <w:rPr>
          <w:rFonts w:ascii="仿宋_GB2312" w:hAnsi="仿宋_GB2312" w:eastAsia="仿宋_GB2312" w:cs="仿宋_GB2312"/>
          <w:b/>
          <w:sz w:val="28"/>
          <w:szCs w:val="28"/>
          <w:u w:val="dotted"/>
        </w:rPr>
      </w:pPr>
      <w:bookmarkStart w:id="57" w:name="_Toc16667"/>
      <w:r>
        <w:rPr>
          <w:rFonts w:hint="eastAsia" w:ascii="仿宋_GB2312" w:hAnsi="仿宋_GB2312" w:eastAsia="仿宋_GB2312" w:cs="仿宋_GB2312"/>
          <w:b/>
          <w:sz w:val="28"/>
          <w:szCs w:val="28"/>
        </w:rPr>
        <w:t>项目名称：</w:t>
      </w:r>
      <w:r>
        <w:rPr>
          <w:rFonts w:hint="eastAsia" w:ascii="仿宋_GB2312" w:hAnsi="仿宋_GB2312" w:eastAsia="仿宋_GB2312" w:cs="仿宋_GB2312"/>
          <w:b/>
          <w:sz w:val="28"/>
          <w:szCs w:val="28"/>
          <w:u w:val="dotted"/>
        </w:rPr>
        <w:t xml:space="preserve">长沙市轨道交通2号线运营期2021年-2022年智慧车站综合管理平台采购项目 </w:t>
      </w:r>
    </w:p>
    <w:p>
      <w:pPr>
        <w:adjustRightInd w:val="0"/>
        <w:snapToGrid w:val="0"/>
        <w:spacing w:line="360" w:lineRule="auto"/>
        <w:ind w:firstLine="835" w:firstLineChars="297"/>
        <w:rPr>
          <w:rFonts w:ascii="仿宋_GB2312" w:hAnsi="仿宋_GB2312" w:eastAsia="仿宋_GB2312" w:cs="仿宋_GB2312"/>
          <w:b/>
          <w:sz w:val="28"/>
          <w:szCs w:val="28"/>
          <w:u w:val="dotted"/>
        </w:rPr>
      </w:pPr>
    </w:p>
    <w:p>
      <w:pPr>
        <w:adjustRightInd w:val="0"/>
        <w:snapToGrid w:val="0"/>
        <w:spacing w:line="360" w:lineRule="auto"/>
        <w:ind w:firstLine="835" w:firstLineChars="297"/>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项目地点：</w:t>
      </w:r>
      <w:r>
        <w:rPr>
          <w:rFonts w:hint="eastAsia" w:ascii="仿宋_GB2312" w:hAnsi="仿宋_GB2312" w:eastAsia="仿宋_GB2312" w:cs="仿宋_GB2312"/>
          <w:b/>
          <w:sz w:val="28"/>
          <w:szCs w:val="28"/>
          <w:u w:val="dotted"/>
        </w:rPr>
        <w:t xml:space="preserve">           湖南省长沙市              </w:t>
      </w:r>
    </w:p>
    <w:p>
      <w:pPr>
        <w:adjustRightInd w:val="0"/>
        <w:snapToGrid w:val="0"/>
        <w:spacing w:line="360" w:lineRule="auto"/>
        <w:ind w:firstLine="1344" w:firstLineChars="478"/>
        <w:rPr>
          <w:rFonts w:ascii="仿宋_GB2312" w:hAnsi="仿宋_GB2312" w:eastAsia="仿宋_GB2312" w:cs="仿宋_GB2312"/>
          <w:b/>
          <w:sz w:val="28"/>
          <w:szCs w:val="28"/>
        </w:rPr>
      </w:pPr>
    </w:p>
    <w:p>
      <w:pPr>
        <w:adjustRightInd w:val="0"/>
        <w:snapToGrid w:val="0"/>
        <w:spacing w:line="360" w:lineRule="auto"/>
        <w:ind w:firstLine="835" w:firstLineChars="297"/>
        <w:rPr>
          <w:rFonts w:ascii="仿宋_GB2312" w:hAnsi="仿宋_GB2312" w:eastAsia="仿宋_GB2312" w:cs="仿宋_GB2312"/>
          <w:b/>
          <w:sz w:val="28"/>
          <w:szCs w:val="28"/>
          <w:u w:val="dotted"/>
        </w:rPr>
      </w:pPr>
      <w:r>
        <w:rPr>
          <w:rFonts w:hint="eastAsia" w:ascii="仿宋_GB2312" w:hAnsi="仿宋_GB2312" w:eastAsia="仿宋_GB2312" w:cs="仿宋_GB2312"/>
          <w:b/>
          <w:sz w:val="28"/>
          <w:szCs w:val="28"/>
        </w:rPr>
        <w:t>采 购 人：</w:t>
      </w:r>
      <w:r>
        <w:rPr>
          <w:rFonts w:hint="eastAsia" w:ascii="仿宋_GB2312" w:hAnsi="仿宋_GB2312" w:eastAsia="仿宋_GB2312" w:cs="仿宋_GB2312"/>
          <w:b/>
          <w:sz w:val="28"/>
          <w:szCs w:val="28"/>
          <w:u w:val="dotted"/>
        </w:rPr>
        <w:t xml:space="preserve">                                     </w:t>
      </w:r>
    </w:p>
    <w:p>
      <w:pPr>
        <w:adjustRightInd w:val="0"/>
        <w:snapToGrid w:val="0"/>
        <w:spacing w:line="360" w:lineRule="auto"/>
        <w:ind w:firstLine="1344" w:firstLineChars="478"/>
        <w:rPr>
          <w:rFonts w:ascii="仿宋_GB2312" w:hAnsi="仿宋_GB2312" w:eastAsia="仿宋_GB2312" w:cs="仿宋_GB2312"/>
          <w:b/>
          <w:sz w:val="28"/>
          <w:szCs w:val="28"/>
        </w:rPr>
      </w:pPr>
    </w:p>
    <w:p>
      <w:pPr>
        <w:adjustRightInd w:val="0"/>
        <w:snapToGrid w:val="0"/>
        <w:spacing w:line="360" w:lineRule="auto"/>
        <w:ind w:firstLine="835" w:firstLineChars="297"/>
        <w:rPr>
          <w:rFonts w:ascii="仿宋_GB2312" w:hAnsi="仿宋_GB2312" w:eastAsia="仿宋_GB2312" w:cs="仿宋_GB2312"/>
          <w:b/>
          <w:sz w:val="28"/>
          <w:szCs w:val="28"/>
          <w:u w:val="dotted"/>
        </w:rPr>
      </w:pPr>
      <w:r>
        <w:rPr>
          <w:rFonts w:hint="eastAsia" w:ascii="仿宋_GB2312" w:hAnsi="仿宋_GB2312" w:eastAsia="仿宋_GB2312" w:cs="仿宋_GB2312"/>
          <w:b/>
          <w:sz w:val="28"/>
          <w:szCs w:val="28"/>
        </w:rPr>
        <w:t>供 应 商：</w:t>
      </w:r>
      <w:r>
        <w:rPr>
          <w:rFonts w:hint="eastAsia" w:ascii="仿宋_GB2312" w:hAnsi="仿宋_GB2312" w:eastAsia="仿宋_GB2312" w:cs="仿宋_GB2312"/>
          <w:b/>
          <w:sz w:val="28"/>
          <w:szCs w:val="28"/>
          <w:u w:val="dotted"/>
        </w:rPr>
        <w:t xml:space="preserve">                                     </w:t>
      </w:r>
    </w:p>
    <w:p>
      <w:pPr>
        <w:pageBreakBefore/>
        <w:jc w:val="center"/>
        <w:outlineLvl w:val="0"/>
        <w:rPr>
          <w:rFonts w:ascii="仿宋_GB2312" w:hAnsi="仿宋_GB2312" w:eastAsia="仿宋_GB2312" w:cs="仿宋_GB2312"/>
          <w:b/>
          <w:sz w:val="32"/>
          <w:szCs w:val="32"/>
        </w:rPr>
        <w:sectPr>
          <w:headerReference r:id="rId8" w:type="default"/>
          <w:footerReference r:id="rId9" w:type="default"/>
          <w:pgSz w:w="11850" w:h="16783"/>
          <w:pgMar w:top="1440" w:right="1800" w:bottom="1440" w:left="1800" w:header="851" w:footer="567" w:gutter="0"/>
          <w:cols w:space="720" w:num="1"/>
          <w:docGrid w:type="lines" w:linePitch="312" w:charSpace="0"/>
        </w:sectPr>
      </w:pPr>
    </w:p>
    <w:p>
      <w:pPr>
        <w:pageBreakBefore/>
        <w:jc w:val="center"/>
        <w:outlineLvl w:val="0"/>
        <w:rPr>
          <w:rFonts w:ascii="仿宋_GB2312" w:hAnsi="仿宋_GB2312" w:eastAsia="仿宋_GB2312" w:cs="仿宋_GB2312"/>
          <w:b/>
          <w:sz w:val="32"/>
          <w:szCs w:val="32"/>
        </w:rPr>
      </w:pPr>
      <w:r>
        <w:rPr>
          <w:rFonts w:hint="eastAsia" w:ascii="仿宋_GB2312" w:hAnsi="仿宋_GB2312" w:eastAsia="仿宋_GB2312" w:cs="仿宋_GB2312"/>
          <w:b/>
          <w:sz w:val="32"/>
          <w:szCs w:val="32"/>
        </w:rPr>
        <w:t>第一部分 合同协议书</w:t>
      </w:r>
      <w:bookmarkEnd w:id="57"/>
    </w:p>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 xml:space="preserve">                                  </w:t>
      </w:r>
    </w:p>
    <w:p>
      <w:pPr>
        <w:snapToGrid w:val="0"/>
        <w:spacing w:line="360" w:lineRule="auto"/>
        <w:jc w:val="left"/>
        <w:rPr>
          <w:rFonts w:ascii="仿宋_GB2312" w:hAnsi="仿宋_GB2312" w:eastAsia="仿宋_GB2312" w:cs="仿宋_GB2312"/>
          <w:sz w:val="24"/>
        </w:rPr>
      </w:pPr>
      <w:r>
        <w:rPr>
          <w:rFonts w:hint="eastAsia" w:ascii="仿宋_GB2312" w:hAnsi="仿宋_GB2312" w:eastAsia="仿宋_GB2312" w:cs="仿宋_GB2312"/>
          <w:b/>
          <w:sz w:val="24"/>
        </w:rPr>
        <w:t>采购人</w:t>
      </w:r>
      <w:r>
        <w:rPr>
          <w:rFonts w:hint="eastAsia" w:ascii="仿宋_GB2312" w:hAnsi="仿宋_GB2312" w:eastAsia="仿宋_GB2312" w:cs="仿宋_GB2312"/>
          <w:sz w:val="24"/>
        </w:rPr>
        <w:t>（以下简称甲方）：</w:t>
      </w:r>
      <w:r>
        <w:rPr>
          <w:rFonts w:hint="eastAsia" w:ascii="仿宋_GB2312" w:hAnsi="仿宋_GB2312" w:eastAsia="仿宋_GB2312" w:cs="仿宋_GB2312"/>
          <w:sz w:val="24"/>
          <w:u w:val="single"/>
        </w:rPr>
        <w:t xml:space="preserve">                         </w:t>
      </w:r>
    </w:p>
    <w:p>
      <w:pPr>
        <w:snapToGrid w:val="0"/>
        <w:spacing w:line="360" w:lineRule="auto"/>
        <w:jc w:val="left"/>
        <w:rPr>
          <w:rFonts w:ascii="仿宋_GB2312" w:hAnsi="仿宋_GB2312" w:eastAsia="仿宋_GB2312" w:cs="仿宋_GB2312"/>
          <w:sz w:val="24"/>
        </w:rPr>
      </w:pPr>
      <w:r>
        <w:rPr>
          <w:rFonts w:hint="eastAsia" w:ascii="仿宋_GB2312" w:hAnsi="仿宋_GB2312" w:eastAsia="仿宋_GB2312" w:cs="仿宋_GB2312"/>
          <w:b/>
          <w:sz w:val="24"/>
        </w:rPr>
        <w:t>供应商</w:t>
      </w:r>
      <w:r>
        <w:rPr>
          <w:rFonts w:hint="eastAsia" w:ascii="仿宋_GB2312" w:hAnsi="仿宋_GB2312" w:eastAsia="仿宋_GB2312" w:cs="仿宋_GB2312"/>
          <w:sz w:val="24"/>
        </w:rPr>
        <w:t>（以下简称乙方）：</w:t>
      </w:r>
      <w:r>
        <w:rPr>
          <w:rFonts w:hint="eastAsia" w:ascii="仿宋_GB2312" w:hAnsi="仿宋_GB2312" w:eastAsia="仿宋_GB2312" w:cs="仿宋_GB2312"/>
          <w:sz w:val="24"/>
          <w:u w:val="single"/>
        </w:rPr>
        <w:t xml:space="preserve">                         </w:t>
      </w:r>
    </w:p>
    <w:p>
      <w:pPr>
        <w:pStyle w:val="41"/>
        <w:widowControl w:val="0"/>
        <w:adjustRightInd w:val="0"/>
        <w:snapToGrid w:val="0"/>
        <w:spacing w:before="0" w:beforeAutospacing="0" w:after="0" w:afterAutospacing="0" w:line="360" w:lineRule="auto"/>
        <w:ind w:firstLine="480" w:firstLineChars="200"/>
        <w:jc w:val="both"/>
        <w:rPr>
          <w:rFonts w:ascii="仿宋_GB2312" w:hAnsi="仿宋_GB2312" w:eastAsia="仿宋_GB2312" w:cs="仿宋_GB2312"/>
        </w:rPr>
      </w:pPr>
      <w:bookmarkStart w:id="58" w:name="OLE_LINK9"/>
      <w:r>
        <w:rPr>
          <w:rFonts w:hint="eastAsia" w:ascii="仿宋_GB2312" w:hAnsi="仿宋_GB2312" w:eastAsia="仿宋_GB2312" w:cs="仿宋_GB2312"/>
          <w:kern w:val="2"/>
          <w:lang w:bidi="ar"/>
        </w:rPr>
        <w:t>本合同由甲乙双方依照《中华人民共和国民法典》及其他有关法律、行政法规，遵循平等、自愿、公平和诚实信用的原则，</w:t>
      </w:r>
      <w:r>
        <w:rPr>
          <w:rFonts w:hint="eastAsia" w:ascii="仿宋_GB2312" w:hAnsi="仿宋_GB2312" w:eastAsia="仿宋_GB2312" w:cs="仿宋_GB2312"/>
        </w:rPr>
        <w:t>双方就下述项目物资采购及有关事项协商一致，共同签订本合同。</w:t>
      </w:r>
    </w:p>
    <w:p>
      <w:pPr>
        <w:adjustRightInd w:val="0"/>
        <w:snapToGrid w:val="0"/>
        <w:spacing w:line="360" w:lineRule="auto"/>
        <w:ind w:firstLine="472" w:firstLineChars="196"/>
        <w:rPr>
          <w:rFonts w:ascii="仿宋_GB2312" w:hAnsi="仿宋_GB2312" w:eastAsia="仿宋_GB2312" w:cs="仿宋_GB2312"/>
          <w:b/>
          <w:sz w:val="24"/>
        </w:rPr>
      </w:pPr>
      <w:r>
        <w:rPr>
          <w:rFonts w:hint="eastAsia" w:ascii="仿宋_GB2312" w:hAnsi="仿宋_GB2312" w:eastAsia="仿宋_GB2312" w:cs="仿宋_GB2312"/>
          <w:b/>
          <w:sz w:val="24"/>
          <w:lang w:bidi="ar"/>
        </w:rPr>
        <w:t>一、项目概况</w:t>
      </w:r>
    </w:p>
    <w:p>
      <w:pPr>
        <w:adjustRightInd w:val="0"/>
        <w:snapToGrid w:val="0"/>
        <w:spacing w:line="360" w:lineRule="auto"/>
        <w:ind w:firstLine="480" w:firstLineChars="200"/>
        <w:rPr>
          <w:rFonts w:ascii="仿宋_GB2312" w:hAnsi="仿宋_GB2312" w:eastAsia="仿宋_GB2312" w:cs="仿宋_GB2312"/>
          <w:sz w:val="24"/>
          <w:lang w:bidi="ar"/>
        </w:rPr>
      </w:pPr>
      <w:r>
        <w:rPr>
          <w:rFonts w:hint="eastAsia" w:ascii="仿宋_GB2312" w:hAnsi="仿宋_GB2312" w:eastAsia="仿宋_GB2312" w:cs="仿宋_GB2312"/>
          <w:sz w:val="24"/>
          <w:lang w:bidi="ar"/>
        </w:rPr>
        <w:t>1</w:t>
      </w:r>
      <w:r>
        <w:rPr>
          <w:rFonts w:hint="eastAsia" w:ascii="仿宋_GB2312" w:hAnsi="仿宋_GB2312" w:eastAsia="仿宋_GB2312" w:cs="仿宋_GB2312"/>
          <w:kern w:val="0"/>
          <w:sz w:val="24"/>
        </w:rPr>
        <w:t>.</w:t>
      </w:r>
      <w:r>
        <w:rPr>
          <w:rFonts w:hint="eastAsia" w:ascii="仿宋_GB2312" w:hAnsi="仿宋_GB2312" w:eastAsia="仿宋_GB2312" w:cs="仿宋_GB2312"/>
          <w:sz w:val="24"/>
          <w:lang w:bidi="ar"/>
        </w:rPr>
        <w:t>项目名称：</w:t>
      </w:r>
      <w:r>
        <w:rPr>
          <w:rFonts w:hint="eastAsia" w:ascii="仿宋_GB2312" w:hAnsi="仿宋_GB2312" w:eastAsia="仿宋_GB2312" w:cs="仿宋_GB2312"/>
          <w:sz w:val="24"/>
          <w:u w:val="single"/>
          <w:lang w:bidi="ar"/>
        </w:rPr>
        <w:t xml:space="preserve">                 </w:t>
      </w:r>
    </w:p>
    <w:p>
      <w:pPr>
        <w:adjustRightInd w:val="0"/>
        <w:snapToGrid w:val="0"/>
        <w:spacing w:line="360" w:lineRule="auto"/>
        <w:ind w:firstLine="480" w:firstLineChars="200"/>
        <w:rPr>
          <w:rFonts w:ascii="仿宋_GB2312" w:hAnsi="仿宋_GB2312" w:eastAsia="仿宋_GB2312" w:cs="仿宋_GB2312"/>
          <w:sz w:val="24"/>
          <w:u w:val="single"/>
          <w:lang w:bidi="ar"/>
        </w:rPr>
      </w:pPr>
      <w:r>
        <w:rPr>
          <w:rFonts w:hint="eastAsia" w:ascii="仿宋_GB2312" w:hAnsi="仿宋_GB2312" w:eastAsia="仿宋_GB2312" w:cs="仿宋_GB2312"/>
          <w:sz w:val="24"/>
          <w:lang w:bidi="ar"/>
        </w:rPr>
        <w:t>2</w:t>
      </w:r>
      <w:r>
        <w:rPr>
          <w:rFonts w:hint="eastAsia" w:ascii="仿宋_GB2312" w:hAnsi="仿宋_GB2312" w:eastAsia="仿宋_GB2312" w:cs="仿宋_GB2312"/>
          <w:kern w:val="0"/>
          <w:sz w:val="24"/>
        </w:rPr>
        <w:t>.</w:t>
      </w:r>
      <w:r>
        <w:rPr>
          <w:rFonts w:hint="eastAsia" w:ascii="仿宋_GB2312" w:hAnsi="仿宋_GB2312" w:eastAsia="仿宋_GB2312" w:cs="仿宋_GB2312"/>
          <w:sz w:val="24"/>
          <w:lang w:bidi="ar"/>
        </w:rPr>
        <w:t>项目地点：</w:t>
      </w:r>
      <w:r>
        <w:rPr>
          <w:rFonts w:hint="eastAsia" w:ascii="仿宋_GB2312" w:hAnsi="仿宋_GB2312" w:eastAsia="仿宋_GB2312" w:cs="仿宋_GB2312"/>
          <w:sz w:val="24"/>
          <w:u w:val="single"/>
          <w:lang w:bidi="ar"/>
        </w:rPr>
        <w:t>湖南省长沙市</w:t>
      </w:r>
    </w:p>
    <w:p>
      <w:pPr>
        <w:adjustRightInd w:val="0"/>
        <w:snapToGrid w:val="0"/>
        <w:spacing w:line="360" w:lineRule="auto"/>
        <w:ind w:firstLine="480" w:firstLineChars="200"/>
        <w:rPr>
          <w:rFonts w:ascii="仿宋_GB2312" w:hAnsi="仿宋_GB2312" w:eastAsia="仿宋_GB2312" w:cs="仿宋_GB2312"/>
          <w:sz w:val="24"/>
          <w:u w:val="single"/>
          <w:lang w:bidi="ar"/>
        </w:rPr>
      </w:pPr>
      <w:r>
        <w:rPr>
          <w:rFonts w:hint="eastAsia" w:ascii="仿宋_GB2312" w:hAnsi="仿宋_GB2312" w:eastAsia="仿宋_GB2312" w:cs="仿宋_GB2312"/>
          <w:sz w:val="24"/>
          <w:lang w:bidi="ar"/>
        </w:rPr>
        <w:t>3</w:t>
      </w:r>
      <w:r>
        <w:rPr>
          <w:rFonts w:hint="eastAsia" w:ascii="仿宋_GB2312" w:hAnsi="仿宋_GB2312" w:eastAsia="仿宋_GB2312" w:cs="仿宋_GB2312"/>
          <w:kern w:val="0"/>
          <w:sz w:val="24"/>
        </w:rPr>
        <w:t>.</w:t>
      </w:r>
      <w:r>
        <w:rPr>
          <w:rFonts w:hint="eastAsia" w:ascii="仿宋_GB2312" w:hAnsi="仿宋_GB2312" w:eastAsia="仿宋_GB2312" w:cs="仿宋_GB2312"/>
          <w:sz w:val="24"/>
        </w:rPr>
        <w:t>合同标的：</w:t>
      </w:r>
      <w:r>
        <w:rPr>
          <w:rFonts w:hint="eastAsia" w:ascii="仿宋_GB2312" w:hAnsi="仿宋_GB2312" w:eastAsia="仿宋_GB2312" w:cs="仿宋_GB2312"/>
          <w:sz w:val="24"/>
          <w:u w:val="single"/>
          <w:lang w:bidi="ar"/>
        </w:rPr>
        <w:t xml:space="preserve">                 </w:t>
      </w:r>
      <w:r>
        <w:rPr>
          <w:rFonts w:hint="eastAsia" w:ascii="仿宋_GB2312" w:hAnsi="仿宋_GB2312" w:eastAsia="仿宋_GB2312" w:cs="仿宋_GB2312"/>
          <w:sz w:val="24"/>
          <w:lang w:bidi="ar"/>
        </w:rPr>
        <w:t>，</w:t>
      </w:r>
      <w:r>
        <w:rPr>
          <w:rFonts w:hint="eastAsia" w:ascii="仿宋_GB2312" w:hAnsi="仿宋_GB2312" w:eastAsia="仿宋_GB2312" w:cs="仿宋_GB2312"/>
          <w:sz w:val="24"/>
        </w:rPr>
        <w:t>具体详见用户需求书/技术规格书。最终实际供货品类及数量以供货前甲方书面通知并经最终验收合格为准。</w:t>
      </w:r>
    </w:p>
    <w:p>
      <w:pPr>
        <w:adjustRightInd w:val="0"/>
        <w:snapToGrid w:val="0"/>
        <w:spacing w:line="360" w:lineRule="auto"/>
        <w:ind w:firstLine="472" w:firstLineChars="196"/>
        <w:rPr>
          <w:rFonts w:ascii="仿宋_GB2312" w:hAnsi="仿宋_GB2312" w:eastAsia="仿宋_GB2312" w:cs="仿宋_GB2312"/>
          <w:b/>
          <w:sz w:val="24"/>
          <w:lang w:bidi="ar"/>
        </w:rPr>
      </w:pPr>
      <w:r>
        <w:rPr>
          <w:rFonts w:hint="eastAsia" w:ascii="仿宋_GB2312" w:hAnsi="仿宋_GB2312" w:eastAsia="仿宋_GB2312" w:cs="仿宋_GB2312"/>
          <w:b/>
          <w:sz w:val="24"/>
          <w:lang w:bidi="ar"/>
        </w:rPr>
        <w:t>二、合同执行计划</w:t>
      </w:r>
    </w:p>
    <w:p>
      <w:pPr>
        <w:adjustRightInd w:val="0"/>
        <w:snapToGrid w:val="0"/>
        <w:spacing w:line="360" w:lineRule="auto"/>
        <w:ind w:firstLine="470" w:firstLineChars="196"/>
        <w:rPr>
          <w:rFonts w:ascii="仿宋_GB2312" w:hAnsi="仿宋_GB2312" w:eastAsia="仿宋_GB2312" w:cs="仿宋_GB2312"/>
          <w:sz w:val="24"/>
          <w:lang w:bidi="ar"/>
        </w:rPr>
      </w:pPr>
      <w:r>
        <w:rPr>
          <w:rFonts w:hint="eastAsia" w:ascii="仿宋_GB2312" w:hAnsi="仿宋_GB2312" w:eastAsia="仿宋_GB2312" w:cs="仿宋_GB2312"/>
          <w:sz w:val="24"/>
          <w:u w:val="single"/>
          <w:lang w:bidi="ar"/>
        </w:rPr>
        <w:t xml:space="preserve">                 </w:t>
      </w:r>
      <w:r>
        <w:rPr>
          <w:rFonts w:hint="eastAsia" w:ascii="仿宋_GB2312" w:hAnsi="仿宋_GB2312" w:eastAsia="仿宋_GB2312" w:cs="仿宋_GB2312"/>
          <w:sz w:val="24"/>
          <w:lang w:bidi="ar"/>
        </w:rPr>
        <w:t>，具体详见</w:t>
      </w:r>
      <w:r>
        <w:rPr>
          <w:rFonts w:hint="eastAsia" w:ascii="仿宋_GB2312" w:hAnsi="仿宋_GB2312" w:eastAsia="仿宋_GB2312" w:cs="仿宋_GB2312"/>
          <w:sz w:val="24"/>
        </w:rPr>
        <w:t>用户需求书/</w:t>
      </w:r>
      <w:r>
        <w:rPr>
          <w:rFonts w:hint="eastAsia" w:ascii="仿宋_GB2312" w:hAnsi="仿宋_GB2312" w:eastAsia="仿宋_GB2312" w:cs="仿宋_GB2312"/>
          <w:sz w:val="24"/>
          <w:lang w:bidi="ar"/>
        </w:rPr>
        <w:t>技术规格书。</w:t>
      </w:r>
    </w:p>
    <w:p>
      <w:pPr>
        <w:spacing w:line="360" w:lineRule="auto"/>
        <w:ind w:firstLine="465"/>
        <w:rPr>
          <w:rFonts w:ascii="仿宋_GB2312" w:hAnsi="仿宋_GB2312" w:eastAsia="仿宋_GB2312" w:cs="仿宋_GB2312"/>
          <w:b/>
          <w:kern w:val="0"/>
          <w:sz w:val="24"/>
        </w:rPr>
      </w:pPr>
      <w:r>
        <w:rPr>
          <w:rFonts w:hint="eastAsia" w:ascii="仿宋_GB2312" w:hAnsi="仿宋_GB2312" w:eastAsia="仿宋_GB2312" w:cs="仿宋_GB2312"/>
          <w:b/>
          <w:kern w:val="0"/>
          <w:sz w:val="24"/>
        </w:rPr>
        <w:t>三、合同价款</w:t>
      </w:r>
    </w:p>
    <w:p>
      <w:pPr>
        <w:spacing w:line="360" w:lineRule="auto"/>
        <w:ind w:firstLine="465"/>
        <w:rPr>
          <w:rFonts w:ascii="仿宋_GB2312" w:hAnsi="仿宋_GB2312" w:eastAsia="仿宋_GB2312" w:cs="仿宋_GB2312"/>
          <w:kern w:val="0"/>
          <w:sz w:val="24"/>
        </w:rPr>
      </w:pPr>
      <w:r>
        <w:rPr>
          <w:rFonts w:hint="eastAsia" w:ascii="仿宋_GB2312" w:hAnsi="仿宋_GB2312" w:eastAsia="仿宋_GB2312" w:cs="仿宋_GB2312"/>
          <w:kern w:val="0"/>
          <w:sz w:val="24"/>
        </w:rPr>
        <w:t>1.合同价款形式：</w:t>
      </w:r>
    </w:p>
    <w:p>
      <w:pPr>
        <w:spacing w:line="360" w:lineRule="auto"/>
        <w:ind w:firstLine="465"/>
        <w:rPr>
          <w:rFonts w:ascii="仿宋_GB2312" w:hAnsi="仿宋_GB2312" w:eastAsia="仿宋_GB2312" w:cs="仿宋_GB2312"/>
          <w:kern w:val="0"/>
          <w:sz w:val="24"/>
        </w:rPr>
      </w:pPr>
      <w:r>
        <w:rPr>
          <w:rFonts w:hint="eastAsia" w:ascii="仿宋_GB2312" w:hAnsi="仿宋_GB2312" w:eastAsia="仿宋_GB2312" w:cs="仿宋_GB2312"/>
          <w:kern w:val="0"/>
          <w:sz w:val="24"/>
        </w:rPr>
        <w:t>单价合同</w:t>
      </w:r>
      <w:r>
        <w:rPr>
          <w:rFonts w:hint="eastAsia" w:ascii="仿宋_GB2312" w:hAnsi="仿宋_GB2312" w:eastAsia="仿宋_GB2312" w:cs="仿宋_GB2312"/>
          <w:b/>
          <w:kern w:val="0"/>
          <w:sz w:val="24"/>
        </w:rPr>
        <w:t>（</w:t>
      </w:r>
      <w:r>
        <w:rPr>
          <w:rFonts w:hint="eastAsia" w:ascii="仿宋_GB2312" w:hAnsi="仿宋_GB2312" w:eastAsia="仿宋_GB2312" w:cs="仿宋_GB2312"/>
          <w:kern w:val="0"/>
          <w:sz w:val="24"/>
        </w:rPr>
        <w:t>除税率调整外，合同单价（即中标单价/中选单价/成交单价）在合同执行过程中固定不变</w:t>
      </w:r>
      <w:r>
        <w:rPr>
          <w:rFonts w:hint="eastAsia" w:ascii="仿宋_GB2312" w:hAnsi="仿宋_GB2312" w:eastAsia="仿宋_GB2312" w:cs="仿宋_GB2312"/>
          <w:sz w:val="24"/>
        </w:rPr>
        <w:t>，不受政策法规变化以及汇率浮动、物价指数浮动等因素的影响</w:t>
      </w:r>
      <w:r>
        <w:rPr>
          <w:rFonts w:hint="eastAsia" w:ascii="仿宋_GB2312" w:hAnsi="仿宋_GB2312" w:eastAsia="仿宋_GB2312" w:cs="仿宋_GB2312"/>
          <w:b/>
          <w:kern w:val="0"/>
          <w:sz w:val="24"/>
        </w:rPr>
        <w:t>）</w:t>
      </w:r>
      <w:r>
        <w:rPr>
          <w:rFonts w:hint="eastAsia" w:ascii="仿宋_GB2312" w:hAnsi="仿宋_GB2312" w:eastAsia="仿宋_GB2312" w:cs="仿宋_GB2312"/>
          <w:kern w:val="0"/>
          <w:sz w:val="24"/>
        </w:rPr>
        <w:t>。</w:t>
      </w:r>
    </w:p>
    <w:p>
      <w:pPr>
        <w:spacing w:line="360" w:lineRule="auto"/>
        <w:ind w:firstLine="465"/>
        <w:rPr>
          <w:rFonts w:ascii="仿宋_GB2312" w:hAnsi="仿宋_GB2312" w:eastAsia="仿宋_GB2312" w:cs="仿宋_GB2312"/>
          <w:sz w:val="24"/>
        </w:rPr>
      </w:pPr>
      <w:r>
        <w:rPr>
          <w:rFonts w:hint="eastAsia" w:ascii="仿宋_GB2312" w:hAnsi="仿宋_GB2312" w:eastAsia="仿宋_GB2312" w:cs="仿宋_GB2312"/>
          <w:kern w:val="0"/>
          <w:sz w:val="24"/>
        </w:rPr>
        <w:t>2.</w:t>
      </w:r>
      <w:r>
        <w:rPr>
          <w:rFonts w:hint="eastAsia" w:ascii="仿宋_GB2312" w:hAnsi="仿宋_GB2312" w:eastAsia="仿宋_GB2312" w:cs="仿宋_GB2312"/>
          <w:sz w:val="24"/>
        </w:rPr>
        <w:t>签约合同价：</w:t>
      </w:r>
    </w:p>
    <w:p>
      <w:pPr>
        <w:tabs>
          <w:tab w:val="left" w:pos="1248"/>
        </w:tabs>
        <w:adjustRightInd w:val="0"/>
        <w:snapToGrid w:val="0"/>
        <w:spacing w:line="360" w:lineRule="auto"/>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签约合同价为人民币</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元（大写金额：</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），具体分项价格表详见合同附件之签约合同价清单。</w:t>
      </w:r>
    </w:p>
    <w:p>
      <w:pPr>
        <w:spacing w:line="360" w:lineRule="auto"/>
        <w:ind w:firstLine="465"/>
        <w:rPr>
          <w:rFonts w:ascii="仿宋_GB2312" w:hAnsi="仿宋_GB2312" w:eastAsia="仿宋_GB2312" w:cs="仿宋_GB2312"/>
          <w:bCs/>
          <w:sz w:val="24"/>
        </w:rPr>
      </w:pPr>
      <w:r>
        <w:rPr>
          <w:rFonts w:hint="eastAsia" w:ascii="仿宋_GB2312" w:hAnsi="仿宋_GB2312" w:eastAsia="仿宋_GB2312" w:cs="仿宋_GB2312"/>
          <w:bCs/>
          <w:sz w:val="24"/>
        </w:rPr>
        <w:t>按</w:t>
      </w:r>
      <w:r>
        <w:rPr>
          <w:rFonts w:hint="eastAsia" w:ascii="仿宋_GB2312" w:hAnsi="仿宋_GB2312" w:eastAsia="仿宋_GB2312" w:cs="仿宋_GB2312"/>
          <w:kern w:val="0"/>
          <w:sz w:val="24"/>
          <w:szCs w:val="22"/>
          <w:shd w:val="clear" w:color="auto" w:fill="FFFFFF"/>
        </w:rPr>
        <w:t>长沙市政府或其职能部门相关规定，本项目的合同价格最终以</w:t>
      </w:r>
      <w:r>
        <w:rPr>
          <w:rFonts w:hint="eastAsia" w:ascii="仿宋_GB2312" w:hAnsi="仿宋_GB2312" w:eastAsia="仿宋_GB2312" w:cs="仿宋_GB2312"/>
          <w:kern w:val="0"/>
          <w:sz w:val="24"/>
          <w:szCs w:val="22"/>
          <w:u w:val="single"/>
          <w:shd w:val="clear" w:color="auto" w:fill="FFFFFF"/>
        </w:rPr>
        <w:t>□长沙市政府相关职能部门或长沙市轨道交通集团有限公司授权的单位审定价款为准</w:t>
      </w:r>
      <w:r>
        <w:rPr>
          <w:rFonts w:hint="eastAsia" w:ascii="仿宋_GB2312" w:hAnsi="仿宋_GB2312" w:eastAsia="仿宋_GB2312" w:cs="仿宋_GB2312"/>
          <w:kern w:val="0"/>
          <w:sz w:val="24"/>
          <w:szCs w:val="22"/>
          <w:shd w:val="clear" w:color="auto" w:fill="FFFFFF"/>
        </w:rPr>
        <w:t>/</w:t>
      </w:r>
      <w:r>
        <w:rPr>
          <w:rFonts w:hint="eastAsia" w:ascii="仿宋_GB2312" w:hAnsi="仿宋_GB2312" w:eastAsia="仿宋_GB2312" w:cs="仿宋_GB2312"/>
          <w:kern w:val="0"/>
          <w:sz w:val="24"/>
          <w:szCs w:val="22"/>
          <w:u w:val="single"/>
          <w:shd w:val="clear" w:color="auto" w:fill="FFFFFF"/>
        </w:rPr>
        <w:sym w:font="Wingdings 2" w:char="0052"/>
      </w:r>
      <w:r>
        <w:rPr>
          <w:rFonts w:hint="eastAsia" w:ascii="仿宋_GB2312" w:hAnsi="仿宋_GB2312" w:eastAsia="仿宋_GB2312" w:cs="仿宋_GB2312"/>
          <w:sz w:val="24"/>
          <w:u w:val="single"/>
        </w:rPr>
        <w:t>履约验收合格确定的最终价款</w:t>
      </w:r>
      <w:r>
        <w:rPr>
          <w:rFonts w:hint="eastAsia" w:ascii="仿宋_GB2312" w:hAnsi="仿宋_GB2312" w:eastAsia="仿宋_GB2312" w:cs="仿宋_GB2312"/>
          <w:kern w:val="0"/>
          <w:sz w:val="24"/>
          <w:szCs w:val="22"/>
          <w:u w:val="single"/>
          <w:shd w:val="clear" w:color="auto" w:fill="FFFFFF"/>
        </w:rPr>
        <w:t>为准</w:t>
      </w:r>
      <w:r>
        <w:rPr>
          <w:rFonts w:hint="eastAsia" w:ascii="仿宋_GB2312" w:hAnsi="仿宋_GB2312" w:eastAsia="仿宋_GB2312" w:cs="仿宋_GB2312"/>
          <w:kern w:val="0"/>
          <w:sz w:val="24"/>
          <w:szCs w:val="22"/>
          <w:shd w:val="clear" w:color="auto" w:fill="FFFFFF"/>
        </w:rPr>
        <w:t>。</w:t>
      </w:r>
      <w:r>
        <w:rPr>
          <w:rFonts w:hint="eastAsia" w:ascii="仿宋_GB2312" w:hAnsi="仿宋_GB2312" w:eastAsia="仿宋_GB2312" w:cs="仿宋_GB2312"/>
          <w:bCs/>
          <w:sz w:val="24"/>
        </w:rPr>
        <w:t>合同价格包括乙方履行合同且满足用户需求书/技术规格书全部要求所产生的成本、费用、税金、利润、保险、专利、风险</w:t>
      </w:r>
      <w:r>
        <w:rPr>
          <w:rFonts w:hint="eastAsia" w:ascii="仿宋_GB2312" w:hAnsi="仿宋_GB2312" w:eastAsia="仿宋_GB2312" w:cs="仿宋_GB2312"/>
          <w:sz w:val="24"/>
        </w:rPr>
        <w:t>等</w:t>
      </w:r>
      <w:r>
        <w:rPr>
          <w:rFonts w:hint="eastAsia" w:ascii="仿宋_GB2312" w:hAnsi="仿宋_GB2312" w:eastAsia="仿宋_GB2312" w:cs="仿宋_GB2312"/>
          <w:bCs/>
          <w:sz w:val="24"/>
        </w:rPr>
        <w:t>。</w:t>
      </w:r>
    </w:p>
    <w:p>
      <w:pPr>
        <w:pStyle w:val="13"/>
        <w:adjustRightInd w:val="0"/>
        <w:snapToGrid w:val="0"/>
        <w:spacing w:line="360" w:lineRule="auto"/>
        <w:ind w:firstLine="482"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四、合同文件组成</w:t>
      </w:r>
    </w:p>
    <w:p>
      <w:pPr>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合同文件组成及优先解释顺序：</w:t>
      </w:r>
    </w:p>
    <w:p>
      <w:pPr>
        <w:tabs>
          <w:tab w:val="left" w:pos="1248"/>
        </w:tabs>
        <w:adjustRightInd w:val="0"/>
        <w:snapToGrid w:val="0"/>
        <w:spacing w:line="360" w:lineRule="auto"/>
        <w:ind w:firstLine="480" w:firstLineChars="200"/>
        <w:rPr>
          <w:rFonts w:ascii="仿宋_GB2312" w:hAnsi="仿宋_GB2312" w:eastAsia="仿宋_GB2312" w:cs="仿宋_GB2312"/>
          <w:sz w:val="24"/>
        </w:rPr>
      </w:pPr>
      <w:bookmarkStart w:id="59" w:name="OLE_LINK11"/>
      <w:bookmarkStart w:id="60" w:name="OLE_LINK10"/>
      <w:r>
        <w:rPr>
          <w:rFonts w:hint="eastAsia" w:ascii="仿宋_GB2312" w:hAnsi="仿宋_GB2312" w:eastAsia="仿宋_GB2312" w:cs="仿宋_GB2312"/>
          <w:sz w:val="24"/>
        </w:rPr>
        <w:t>（1）</w:t>
      </w:r>
      <w:bookmarkEnd w:id="59"/>
      <w:bookmarkEnd w:id="60"/>
      <w:r>
        <w:rPr>
          <w:rFonts w:hint="eastAsia" w:ascii="仿宋_GB2312" w:hAnsi="仿宋_GB2312" w:eastAsia="仿宋_GB2312" w:cs="仿宋_GB2312"/>
          <w:sz w:val="24"/>
        </w:rPr>
        <w:t>补充协议（</w:t>
      </w:r>
      <w:bookmarkStart w:id="61" w:name="OLE_LINK12"/>
      <w:r>
        <w:rPr>
          <w:rFonts w:hint="eastAsia" w:ascii="仿宋_GB2312" w:hAnsi="仿宋_GB2312" w:eastAsia="仿宋_GB2312" w:cs="仿宋_GB2312"/>
          <w:sz w:val="24"/>
        </w:rPr>
        <w:t>如果有</w:t>
      </w:r>
      <w:bookmarkEnd w:id="61"/>
      <w:r>
        <w:rPr>
          <w:rFonts w:hint="eastAsia" w:ascii="仿宋_GB2312" w:hAnsi="仿宋_GB2312" w:eastAsia="仿宋_GB2312" w:cs="仿宋_GB2312"/>
          <w:sz w:val="24"/>
        </w:rPr>
        <w:t>）；</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（2）合同协议书;</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（3）中标通知书/中选通知书/谈判记录表；</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（4）合同条款;</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（5）用户需求书/技术规格书;</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（6）签约合同价清单;</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（7）合同附件及乙方按合同附录格式及要求出具的文件;</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（8）招标文件/自主竞争性谈判文件/直接委托谈判文件、澄清与答疑文件及其它补充资料；</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（9）投标文件/谈判响应文件、澄清文件及其它补充资料；</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（10）批准的图纸（如果有）；</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（11）其他构成本合同的文件。</w:t>
      </w:r>
    </w:p>
    <w:p>
      <w:pPr>
        <w:snapToGrid w:val="0"/>
        <w:spacing w:line="360" w:lineRule="auto"/>
        <w:ind w:firstLine="465"/>
        <w:rPr>
          <w:rFonts w:ascii="仿宋_GB2312" w:hAnsi="仿宋_GB2312" w:eastAsia="仿宋_GB2312" w:cs="仿宋_GB2312"/>
          <w:sz w:val="24"/>
        </w:rPr>
      </w:pPr>
      <w:r>
        <w:rPr>
          <w:rFonts w:hint="eastAsia" w:ascii="仿宋_GB2312" w:hAnsi="仿宋_GB2312" w:eastAsia="仿宋_GB2312" w:cs="仿宋_GB2312"/>
          <w:sz w:val="24"/>
        </w:rPr>
        <w:t>上述各项合同文件包括合同当事人就该项合同文件所作出的补充和修改，属于同一类内容的文件，应以最新签署的为准。</w:t>
      </w:r>
    </w:p>
    <w:p>
      <w:pPr>
        <w:snapToGrid w:val="0"/>
        <w:spacing w:line="360" w:lineRule="auto"/>
        <w:ind w:firstLine="465"/>
        <w:rPr>
          <w:rFonts w:ascii="仿宋_GB2312" w:hAnsi="仿宋_GB2312" w:eastAsia="仿宋_GB2312" w:cs="仿宋_GB2312"/>
          <w:kern w:val="0"/>
          <w:sz w:val="24"/>
        </w:rPr>
      </w:pPr>
      <w:r>
        <w:rPr>
          <w:rFonts w:hint="eastAsia" w:ascii="仿宋_GB2312" w:hAnsi="仿宋_GB2312" w:eastAsia="仿宋_GB2312" w:cs="仿宋_GB2312"/>
          <w:kern w:val="0"/>
          <w:sz w:val="24"/>
        </w:rPr>
        <w:t>在合同履行过程中形成的与合同有关的文件均构成合同文件组成部分，并根据其性质确定优先解释顺序。</w:t>
      </w:r>
    </w:p>
    <w:p>
      <w:pPr>
        <w:snapToGrid w:val="0"/>
        <w:spacing w:line="360" w:lineRule="auto"/>
        <w:ind w:firstLine="465"/>
        <w:rPr>
          <w:rFonts w:ascii="仿宋_GB2312" w:hAnsi="仿宋_GB2312" w:eastAsia="仿宋_GB2312" w:cs="仿宋_GB2312"/>
          <w:b/>
          <w:bCs/>
          <w:sz w:val="24"/>
        </w:rPr>
      </w:pPr>
      <w:r>
        <w:rPr>
          <w:rFonts w:hint="eastAsia" w:ascii="仿宋_GB2312" w:hAnsi="仿宋_GB2312" w:eastAsia="仿宋_GB2312" w:cs="仿宋_GB2312"/>
          <w:b/>
          <w:bCs/>
          <w:sz w:val="24"/>
        </w:rPr>
        <w:t>五、承诺</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kern w:val="0"/>
          <w:sz w:val="24"/>
        </w:rPr>
        <w:t>.</w:t>
      </w:r>
      <w:r>
        <w:rPr>
          <w:rFonts w:hint="eastAsia" w:ascii="仿宋_GB2312" w:hAnsi="仿宋_GB2312" w:eastAsia="仿宋_GB2312" w:cs="仿宋_GB2312"/>
          <w:sz w:val="24"/>
        </w:rPr>
        <w:t>考虑到甲方将按照本合同向乙方支付，乙方在此保证全部按照合同的规定向甲方提供物资和服务，并修补缺陷。</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kern w:val="0"/>
          <w:sz w:val="24"/>
        </w:rPr>
        <w:t>.</w:t>
      </w:r>
      <w:r>
        <w:rPr>
          <w:rFonts w:hint="eastAsia" w:ascii="仿宋_GB2312" w:hAnsi="仿宋_GB2312" w:eastAsia="仿宋_GB2312" w:cs="仿宋_GB2312"/>
          <w:sz w:val="24"/>
        </w:rPr>
        <w:t>考虑到乙方提供的物资和服务并修补缺陷，甲方在此保证按照合同规定的时间和方式向乙方支付合同价格或其它按合同规定应支付的金额。</w:t>
      </w:r>
    </w:p>
    <w:p>
      <w:pPr>
        <w:spacing w:line="360" w:lineRule="auto"/>
        <w:ind w:firstLine="482" w:firstLineChars="200"/>
        <w:rPr>
          <w:rFonts w:ascii="仿宋_GB2312" w:hAnsi="仿宋_GB2312" w:eastAsia="仿宋_GB2312" w:cs="仿宋_GB2312"/>
          <w:b/>
          <w:kern w:val="0"/>
          <w:sz w:val="24"/>
        </w:rPr>
      </w:pPr>
      <w:r>
        <w:rPr>
          <w:rFonts w:hint="eastAsia" w:ascii="仿宋_GB2312" w:hAnsi="仿宋_GB2312" w:eastAsia="仿宋_GB2312" w:cs="仿宋_GB2312"/>
          <w:b/>
          <w:kern w:val="0"/>
          <w:sz w:val="24"/>
        </w:rPr>
        <w:t>六、词语定义</w:t>
      </w:r>
    </w:p>
    <w:p>
      <w:pPr>
        <w:spacing w:line="360" w:lineRule="auto"/>
        <w:ind w:firstLine="480"/>
        <w:rPr>
          <w:rFonts w:ascii="仿宋_GB2312" w:hAnsi="仿宋_GB2312" w:eastAsia="仿宋_GB2312" w:cs="仿宋_GB2312"/>
          <w:kern w:val="0"/>
          <w:sz w:val="24"/>
        </w:rPr>
      </w:pPr>
      <w:r>
        <w:rPr>
          <w:rFonts w:hint="eastAsia" w:ascii="仿宋_GB2312" w:hAnsi="仿宋_GB2312" w:eastAsia="仿宋_GB2312" w:cs="仿宋_GB2312"/>
          <w:kern w:val="0"/>
          <w:sz w:val="24"/>
        </w:rPr>
        <w:t>本合同协议书中词语含义与合同条款中的词语含义相同。</w:t>
      </w:r>
    </w:p>
    <w:p>
      <w:pPr>
        <w:spacing w:line="360" w:lineRule="auto"/>
        <w:ind w:firstLine="480"/>
        <w:rPr>
          <w:rFonts w:ascii="仿宋_GB2312" w:hAnsi="仿宋_GB2312" w:eastAsia="仿宋_GB2312" w:cs="仿宋_GB2312"/>
          <w:b/>
          <w:kern w:val="0"/>
          <w:sz w:val="24"/>
        </w:rPr>
      </w:pPr>
      <w:r>
        <w:rPr>
          <w:rFonts w:hint="eastAsia" w:ascii="仿宋_GB2312" w:hAnsi="仿宋_GB2312" w:eastAsia="仿宋_GB2312" w:cs="仿宋_GB2312"/>
          <w:b/>
          <w:kern w:val="0"/>
          <w:sz w:val="24"/>
        </w:rPr>
        <w:t>七、签订时间</w:t>
      </w:r>
    </w:p>
    <w:p>
      <w:pPr>
        <w:spacing w:line="360" w:lineRule="auto"/>
        <w:ind w:firstLine="465"/>
        <w:rPr>
          <w:rFonts w:ascii="仿宋_GB2312" w:hAnsi="仿宋_GB2312" w:eastAsia="仿宋_GB2312" w:cs="仿宋_GB2312"/>
          <w:bCs/>
          <w:sz w:val="24"/>
        </w:rPr>
      </w:pPr>
      <w:r>
        <w:rPr>
          <w:rFonts w:hint="eastAsia" w:ascii="仿宋_GB2312" w:hAnsi="仿宋_GB2312" w:eastAsia="仿宋_GB2312" w:cs="仿宋_GB2312"/>
          <w:bCs/>
          <w:sz w:val="24"/>
        </w:rPr>
        <w:t>本合同于</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年</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月</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日签订。</w:t>
      </w:r>
      <w:bookmarkStart w:id="62" w:name="_Toc351203490"/>
      <w:bookmarkStart w:id="63" w:name="_Toc457826148"/>
      <w:bookmarkStart w:id="64" w:name="_Toc406150419"/>
    </w:p>
    <w:p>
      <w:pPr>
        <w:spacing w:line="360" w:lineRule="auto"/>
        <w:ind w:firstLine="465"/>
        <w:rPr>
          <w:rFonts w:ascii="仿宋_GB2312" w:hAnsi="仿宋_GB2312" w:eastAsia="仿宋_GB2312" w:cs="仿宋_GB2312"/>
          <w:b/>
          <w:kern w:val="0"/>
          <w:sz w:val="24"/>
        </w:rPr>
      </w:pPr>
      <w:r>
        <w:rPr>
          <w:rFonts w:hint="eastAsia" w:ascii="仿宋_GB2312" w:hAnsi="仿宋_GB2312" w:eastAsia="仿宋_GB2312" w:cs="仿宋_GB2312"/>
          <w:b/>
          <w:kern w:val="0"/>
          <w:sz w:val="24"/>
        </w:rPr>
        <w:t>八、签订地点</w:t>
      </w:r>
      <w:bookmarkEnd w:id="62"/>
      <w:bookmarkEnd w:id="63"/>
      <w:bookmarkEnd w:id="64"/>
    </w:p>
    <w:p>
      <w:pPr>
        <w:adjustRightInd w:val="0"/>
        <w:snapToGrid w:val="0"/>
        <w:spacing w:line="360" w:lineRule="auto"/>
        <w:ind w:firstLine="480" w:firstLineChars="200"/>
        <w:rPr>
          <w:rFonts w:ascii="仿宋_GB2312" w:hAnsi="仿宋_GB2312" w:eastAsia="仿宋_GB2312" w:cs="仿宋_GB2312"/>
          <w:sz w:val="24"/>
          <w:u w:val="single"/>
          <w:lang w:bidi="ar"/>
        </w:rPr>
      </w:pPr>
      <w:r>
        <w:rPr>
          <w:rFonts w:hint="eastAsia" w:ascii="仿宋_GB2312" w:hAnsi="仿宋_GB2312" w:eastAsia="仿宋_GB2312" w:cs="仿宋_GB2312"/>
          <w:bCs/>
          <w:sz w:val="24"/>
        </w:rPr>
        <w:t>本合同在</w:t>
      </w:r>
      <w:r>
        <w:rPr>
          <w:rFonts w:hint="eastAsia" w:ascii="仿宋_GB2312" w:hAnsi="仿宋_GB2312" w:eastAsia="仿宋_GB2312" w:cs="仿宋_GB2312"/>
          <w:bCs/>
          <w:sz w:val="24"/>
          <w:u w:val="single"/>
        </w:rPr>
        <w:t xml:space="preserve"> 湖南省长沙市雨花区 </w:t>
      </w:r>
      <w:r>
        <w:rPr>
          <w:rFonts w:hint="eastAsia" w:ascii="仿宋_GB2312" w:hAnsi="仿宋_GB2312" w:eastAsia="仿宋_GB2312" w:cs="仿宋_GB2312"/>
          <w:bCs/>
          <w:sz w:val="24"/>
        </w:rPr>
        <w:t>签订。</w:t>
      </w:r>
    </w:p>
    <w:p>
      <w:pPr>
        <w:spacing w:line="360" w:lineRule="auto"/>
        <w:ind w:firstLine="465"/>
        <w:rPr>
          <w:rFonts w:ascii="仿宋_GB2312" w:hAnsi="仿宋_GB2312" w:eastAsia="仿宋_GB2312" w:cs="仿宋_GB2312"/>
          <w:b/>
          <w:kern w:val="0"/>
          <w:sz w:val="24"/>
        </w:rPr>
      </w:pPr>
      <w:r>
        <w:rPr>
          <w:rFonts w:hint="eastAsia" w:ascii="仿宋_GB2312" w:hAnsi="仿宋_GB2312" w:eastAsia="仿宋_GB2312" w:cs="仿宋_GB2312"/>
          <w:b/>
          <w:kern w:val="0"/>
          <w:sz w:val="24"/>
        </w:rPr>
        <w:t>九、合同生效</w:t>
      </w:r>
    </w:p>
    <w:p>
      <w:pPr>
        <w:spacing w:line="360" w:lineRule="auto"/>
        <w:ind w:firstLine="465"/>
        <w:rPr>
          <w:rFonts w:ascii="仿宋_GB2312" w:hAnsi="仿宋_GB2312" w:eastAsia="仿宋_GB2312" w:cs="仿宋_GB2312"/>
          <w:bCs/>
          <w:sz w:val="24"/>
        </w:rPr>
      </w:pPr>
      <w:r>
        <w:rPr>
          <w:rFonts w:hint="eastAsia" w:ascii="仿宋_GB2312" w:hAnsi="仿宋_GB2312" w:eastAsia="仿宋_GB2312" w:cs="仿宋_GB2312"/>
          <w:bCs/>
          <w:sz w:val="24"/>
        </w:rPr>
        <w:t>本合同自</w:t>
      </w:r>
      <w:r>
        <w:rPr>
          <w:rFonts w:hint="eastAsia" w:ascii="仿宋_GB2312" w:hAnsi="仿宋_GB2312" w:eastAsia="仿宋_GB2312" w:cs="仿宋_GB2312"/>
          <w:sz w:val="24"/>
          <w:u w:val="single"/>
        </w:rPr>
        <w:t>合同双方法定代表人或其授权代表签字并加盖合同专用章</w:t>
      </w:r>
      <w:r>
        <w:rPr>
          <w:rFonts w:hint="eastAsia" w:ascii="仿宋_GB2312" w:hAnsi="仿宋_GB2312" w:eastAsia="仿宋_GB2312" w:cs="仿宋_GB2312"/>
          <w:bCs/>
          <w:sz w:val="24"/>
        </w:rPr>
        <w:t>生效。</w:t>
      </w:r>
      <w:bookmarkStart w:id="65" w:name="_Toc457826150"/>
    </w:p>
    <w:p>
      <w:pPr>
        <w:spacing w:line="360" w:lineRule="auto"/>
        <w:ind w:firstLine="465"/>
        <w:rPr>
          <w:rFonts w:ascii="仿宋_GB2312" w:hAnsi="仿宋_GB2312" w:eastAsia="仿宋_GB2312" w:cs="仿宋_GB2312"/>
          <w:b/>
          <w:kern w:val="0"/>
          <w:sz w:val="24"/>
        </w:rPr>
      </w:pPr>
      <w:r>
        <w:rPr>
          <w:rFonts w:hint="eastAsia" w:ascii="仿宋_GB2312" w:hAnsi="仿宋_GB2312" w:eastAsia="仿宋_GB2312" w:cs="仿宋_GB2312"/>
          <w:b/>
          <w:kern w:val="0"/>
          <w:sz w:val="24"/>
        </w:rPr>
        <w:t>十、合同份数</w:t>
      </w:r>
      <w:bookmarkEnd w:id="65"/>
    </w:p>
    <w:bookmarkEnd w:id="58"/>
    <w:p>
      <w:pPr>
        <w:widowControl/>
        <w:snapToGrid w:val="0"/>
        <w:spacing w:line="360" w:lineRule="auto"/>
        <w:ind w:firstLine="465"/>
        <w:jc w:val="left"/>
        <w:rPr>
          <w:rFonts w:ascii="仿宋_GB2312" w:hAnsi="仿宋_GB2312" w:eastAsia="仿宋_GB2312" w:cs="仿宋_GB2312"/>
          <w:sz w:val="24"/>
        </w:rPr>
      </w:pPr>
      <w:r>
        <w:rPr>
          <w:rFonts w:hint="eastAsia" w:ascii="仿宋_GB2312" w:hAnsi="仿宋_GB2312" w:eastAsia="仿宋_GB2312" w:cs="仿宋_GB2312"/>
          <w:sz w:val="24"/>
        </w:rPr>
        <w:t>本合同一式八份（其中正本二份、副本六份），甲方执六份（一正五副）、乙方执二份（一正一副）。合同正本和副本具有同等效力，当合同副本与正本之间存有差异时，以合同正本为准。</w:t>
      </w:r>
    </w:p>
    <w:p>
      <w:pPr>
        <w:adjustRightInd w:val="0"/>
        <w:snapToGrid w:val="0"/>
        <w:spacing w:line="360" w:lineRule="auto"/>
        <w:ind w:firstLine="480" w:firstLineChars="200"/>
        <w:rPr>
          <w:rFonts w:ascii="仿宋_GB2312" w:hAnsi="仿宋_GB2312" w:eastAsia="仿宋_GB2312" w:cs="仿宋_GB2312"/>
          <w:sz w:val="24"/>
        </w:rPr>
      </w:pPr>
    </w:p>
    <w:p>
      <w:pPr>
        <w:adjustRightInd w:val="0"/>
        <w:snapToGrid w:val="0"/>
        <w:spacing w:line="360" w:lineRule="auto"/>
        <w:ind w:firstLine="480" w:firstLineChars="200"/>
        <w:rPr>
          <w:rFonts w:ascii="仿宋_GB2312" w:hAnsi="仿宋_GB2312" w:eastAsia="仿宋_GB2312" w:cs="仿宋_GB2312"/>
          <w:sz w:val="24"/>
        </w:rPr>
      </w:pPr>
    </w:p>
    <w:p>
      <w:pPr>
        <w:adjustRightInd w:val="0"/>
        <w:snapToGrid w:val="0"/>
        <w:spacing w:line="360" w:lineRule="auto"/>
        <w:ind w:firstLine="480" w:firstLineChars="200"/>
        <w:rPr>
          <w:rFonts w:ascii="仿宋_GB2312" w:hAnsi="仿宋_GB2312" w:eastAsia="仿宋_GB2312" w:cs="仿宋_GB2312"/>
          <w:sz w:val="24"/>
        </w:rPr>
      </w:pPr>
    </w:p>
    <w:p>
      <w:pPr>
        <w:adjustRightInd w:val="0"/>
        <w:snapToGrid w:val="0"/>
        <w:spacing w:line="360" w:lineRule="auto"/>
        <w:rPr>
          <w:rFonts w:ascii="仿宋_GB2312" w:hAnsi="仿宋_GB2312" w:eastAsia="仿宋_GB2312" w:cs="仿宋_GB2312"/>
          <w:sz w:val="24"/>
        </w:rPr>
      </w:pPr>
      <w:r>
        <w:rPr>
          <w:rFonts w:ascii="仿宋_GB2312" w:hAnsi="仿宋_GB2312" w:eastAsia="仿宋_GB2312" w:cs="仿宋_GB2312"/>
          <w:sz w:val="24"/>
        </w:rPr>
        <w:br w:type="page"/>
      </w:r>
      <w:r>
        <w:rPr>
          <w:rFonts w:hint="eastAsia" w:ascii="仿宋_GB2312" w:hAnsi="仿宋_GB2312" w:eastAsia="仿宋_GB2312" w:cs="仿宋_GB2312"/>
          <w:sz w:val="24"/>
        </w:rPr>
        <w:t>（本页无正文）</w:t>
      </w:r>
    </w:p>
    <w:p>
      <w:pPr>
        <w:snapToGrid w:val="0"/>
        <w:spacing w:line="360" w:lineRule="auto"/>
        <w:rPr>
          <w:rFonts w:ascii="仿宋_GB2312" w:hAnsi="仿宋_GB2312" w:eastAsia="仿宋_GB2312" w:cs="仿宋_GB2312"/>
          <w:sz w:val="24"/>
        </w:rPr>
      </w:pPr>
    </w:p>
    <w:p>
      <w:pPr>
        <w:snapToGrid w:val="0"/>
        <w:spacing w:line="360" w:lineRule="auto"/>
        <w:rPr>
          <w:rFonts w:ascii="仿宋_GB2312" w:hAnsi="仿宋_GB2312" w:eastAsia="仿宋_GB2312" w:cs="仿宋_GB2312"/>
          <w:sz w:val="24"/>
        </w:rPr>
      </w:pPr>
    </w:p>
    <w:p>
      <w:pPr>
        <w:snapToGrid w:val="0"/>
        <w:spacing w:line="360" w:lineRule="auto"/>
        <w:rPr>
          <w:rFonts w:ascii="仿宋_GB2312" w:hAnsi="仿宋_GB2312" w:eastAsia="仿宋_GB2312" w:cs="仿宋_GB2312"/>
          <w:sz w:val="24"/>
        </w:rPr>
      </w:pPr>
    </w:p>
    <w:tbl>
      <w:tblPr>
        <w:tblStyle w:val="46"/>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tcPr>
          <w:p>
            <w:pPr>
              <w:pStyle w:val="25"/>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采购人：(盖章)</w:t>
            </w:r>
          </w:p>
          <w:p>
            <w:pPr>
              <w:pStyle w:val="25"/>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w:t>
            </w:r>
          </w:p>
        </w:tc>
        <w:tc>
          <w:tcPr>
            <w:tcW w:w="4252" w:type="dxa"/>
            <w:tcBorders>
              <w:top w:val="nil"/>
              <w:left w:val="nil"/>
              <w:bottom w:val="nil"/>
              <w:right w:val="nil"/>
            </w:tcBorders>
          </w:tcPr>
          <w:p>
            <w:pPr>
              <w:pStyle w:val="25"/>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供应商：（盖章）</w:t>
            </w:r>
          </w:p>
          <w:p>
            <w:pPr>
              <w:pStyle w:val="25"/>
              <w:snapToGrid w:val="0"/>
              <w:spacing w:line="360" w:lineRule="auto"/>
              <w:rPr>
                <w:rFonts w:ascii="仿宋_GB2312" w:hAnsi="仿宋_GB2312" w:eastAsia="仿宋_GB2312" w:cs="仿宋_GB2312"/>
                <w:sz w:val="24"/>
              </w:rPr>
            </w:pPr>
          </w:p>
        </w:tc>
      </w:tr>
      <w:tr>
        <w:tblPrEx>
          <w:tblCellMar>
            <w:top w:w="0" w:type="dxa"/>
            <w:left w:w="108" w:type="dxa"/>
            <w:bottom w:w="0" w:type="dxa"/>
            <w:right w:w="108" w:type="dxa"/>
          </w:tblCellMar>
        </w:tblPrEx>
        <w:trPr>
          <w:trHeight w:val="1524" w:hRule="atLeast"/>
          <w:jc w:val="center"/>
        </w:trPr>
        <w:tc>
          <w:tcPr>
            <w:tcW w:w="4467" w:type="dxa"/>
            <w:tcBorders>
              <w:top w:val="nil"/>
              <w:left w:val="nil"/>
              <w:bottom w:val="nil"/>
              <w:right w:val="nil"/>
            </w:tcBorders>
          </w:tcPr>
          <w:p>
            <w:pPr>
              <w:pStyle w:val="25"/>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法定代表人或其授权代表：</w:t>
            </w:r>
          </w:p>
          <w:p>
            <w:pPr>
              <w:pStyle w:val="25"/>
              <w:snapToGrid w:val="0"/>
              <w:spacing w:line="360" w:lineRule="auto"/>
              <w:ind w:left="19" w:leftChars="9"/>
              <w:rPr>
                <w:rFonts w:ascii="仿宋_GB2312" w:hAnsi="仿宋_GB2312" w:eastAsia="仿宋_GB2312" w:cs="仿宋_GB2312"/>
                <w:sz w:val="24"/>
              </w:rPr>
            </w:pPr>
          </w:p>
        </w:tc>
        <w:tc>
          <w:tcPr>
            <w:tcW w:w="4252" w:type="dxa"/>
            <w:tcBorders>
              <w:top w:val="nil"/>
              <w:left w:val="nil"/>
              <w:bottom w:val="nil"/>
              <w:right w:val="nil"/>
            </w:tcBorders>
          </w:tcPr>
          <w:p>
            <w:pPr>
              <w:pStyle w:val="25"/>
              <w:snapToGrid w:val="0"/>
              <w:spacing w:line="360" w:lineRule="auto"/>
              <w:ind w:left="34" w:leftChars="16"/>
              <w:rPr>
                <w:rFonts w:ascii="仿宋_GB2312" w:hAnsi="仿宋_GB2312" w:eastAsia="仿宋_GB2312" w:cs="仿宋_GB2312"/>
                <w:sz w:val="24"/>
              </w:rPr>
            </w:pPr>
            <w:r>
              <w:rPr>
                <w:rFonts w:hint="eastAsia" w:ascii="仿宋_GB2312" w:hAnsi="仿宋_GB2312" w:eastAsia="仿宋_GB2312" w:cs="仿宋_GB2312"/>
                <w:sz w:val="24"/>
              </w:rPr>
              <w:t>法定代表人或其授权代表：</w:t>
            </w:r>
          </w:p>
          <w:p>
            <w:pPr>
              <w:pStyle w:val="25"/>
              <w:snapToGrid w:val="0"/>
              <w:spacing w:line="360" w:lineRule="auto"/>
              <w:ind w:left="34" w:leftChars="16"/>
              <w:rPr>
                <w:rFonts w:ascii="仿宋_GB2312" w:hAnsi="仿宋_GB2312" w:eastAsia="仿宋_GB2312" w:cs="仿宋_GB2312"/>
                <w:sz w:val="24"/>
              </w:rPr>
            </w:pP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tcPr>
          <w:p>
            <w:pPr>
              <w:pStyle w:val="25"/>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地址：  </w:t>
            </w:r>
          </w:p>
        </w:tc>
        <w:tc>
          <w:tcPr>
            <w:tcW w:w="4252" w:type="dxa"/>
            <w:tcBorders>
              <w:top w:val="nil"/>
              <w:left w:val="nil"/>
              <w:bottom w:val="nil"/>
              <w:right w:val="nil"/>
            </w:tcBorders>
          </w:tcPr>
          <w:p>
            <w:pPr>
              <w:pStyle w:val="25"/>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地址：</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tcPr>
          <w:p>
            <w:pPr>
              <w:pStyle w:val="25"/>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邮编： </w:t>
            </w:r>
          </w:p>
        </w:tc>
        <w:tc>
          <w:tcPr>
            <w:tcW w:w="4252" w:type="dxa"/>
            <w:tcBorders>
              <w:top w:val="nil"/>
              <w:left w:val="nil"/>
              <w:bottom w:val="nil"/>
              <w:right w:val="nil"/>
            </w:tcBorders>
          </w:tcPr>
          <w:p>
            <w:pPr>
              <w:pStyle w:val="25"/>
              <w:snapToGrid w:val="0"/>
              <w:spacing w:line="360" w:lineRule="auto"/>
              <w:ind w:left="34" w:leftChars="16"/>
              <w:rPr>
                <w:rFonts w:ascii="仿宋_GB2312" w:hAnsi="仿宋_GB2312" w:eastAsia="仿宋_GB2312" w:cs="仿宋_GB2312"/>
                <w:sz w:val="24"/>
              </w:rPr>
            </w:pPr>
            <w:r>
              <w:rPr>
                <w:rFonts w:hint="eastAsia" w:ascii="仿宋_GB2312" w:hAnsi="仿宋_GB2312" w:eastAsia="仿宋_GB2312" w:cs="仿宋_GB2312"/>
                <w:sz w:val="24"/>
              </w:rPr>
              <w:t>邮编：</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tcPr>
          <w:p>
            <w:pPr>
              <w:pStyle w:val="25"/>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 xml:space="preserve">电话： </w:t>
            </w:r>
          </w:p>
        </w:tc>
        <w:tc>
          <w:tcPr>
            <w:tcW w:w="4252" w:type="dxa"/>
            <w:tcBorders>
              <w:top w:val="nil"/>
              <w:left w:val="nil"/>
              <w:bottom w:val="nil"/>
              <w:right w:val="nil"/>
            </w:tcBorders>
          </w:tcPr>
          <w:p>
            <w:pPr>
              <w:pStyle w:val="25"/>
              <w:snapToGrid w:val="0"/>
              <w:spacing w:line="360" w:lineRule="auto"/>
              <w:ind w:left="34" w:leftChars="16"/>
              <w:rPr>
                <w:rFonts w:ascii="仿宋_GB2312" w:hAnsi="仿宋_GB2312" w:eastAsia="仿宋_GB2312" w:cs="仿宋_GB2312"/>
                <w:sz w:val="24"/>
              </w:rPr>
            </w:pPr>
            <w:r>
              <w:rPr>
                <w:rFonts w:hint="eastAsia" w:ascii="仿宋_GB2312" w:hAnsi="仿宋_GB2312" w:eastAsia="仿宋_GB2312" w:cs="仿宋_GB2312"/>
                <w:sz w:val="24"/>
              </w:rPr>
              <w:t>电话：</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tcPr>
          <w:p>
            <w:pPr>
              <w:pStyle w:val="25"/>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 xml:space="preserve">传真： </w:t>
            </w:r>
          </w:p>
        </w:tc>
        <w:tc>
          <w:tcPr>
            <w:tcW w:w="4252" w:type="dxa"/>
            <w:tcBorders>
              <w:top w:val="nil"/>
              <w:left w:val="nil"/>
              <w:bottom w:val="nil"/>
              <w:right w:val="nil"/>
            </w:tcBorders>
          </w:tcPr>
          <w:p>
            <w:pPr>
              <w:pStyle w:val="25"/>
              <w:snapToGrid w:val="0"/>
              <w:spacing w:line="360" w:lineRule="auto"/>
              <w:ind w:left="34" w:leftChars="16"/>
              <w:rPr>
                <w:rFonts w:ascii="仿宋_GB2312" w:hAnsi="仿宋_GB2312" w:eastAsia="仿宋_GB2312" w:cs="仿宋_GB2312"/>
                <w:sz w:val="24"/>
              </w:rPr>
            </w:pPr>
            <w:r>
              <w:rPr>
                <w:rFonts w:hint="eastAsia" w:ascii="仿宋_GB2312" w:hAnsi="仿宋_GB2312" w:eastAsia="仿宋_GB2312" w:cs="仿宋_GB2312"/>
                <w:sz w:val="24"/>
              </w:rPr>
              <w:t>传真：</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tcPr>
          <w:p>
            <w:pPr>
              <w:pStyle w:val="25"/>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开户银行：</w:t>
            </w:r>
          </w:p>
        </w:tc>
        <w:tc>
          <w:tcPr>
            <w:tcW w:w="4252" w:type="dxa"/>
            <w:tcBorders>
              <w:top w:val="nil"/>
              <w:left w:val="nil"/>
              <w:bottom w:val="nil"/>
              <w:right w:val="nil"/>
            </w:tcBorders>
          </w:tcPr>
          <w:p>
            <w:pPr>
              <w:pStyle w:val="25"/>
              <w:snapToGrid w:val="0"/>
              <w:spacing w:line="360" w:lineRule="auto"/>
              <w:ind w:left="34" w:leftChars="16"/>
              <w:rPr>
                <w:rFonts w:ascii="仿宋_GB2312" w:hAnsi="仿宋_GB2312" w:eastAsia="仿宋_GB2312" w:cs="仿宋_GB2312"/>
                <w:sz w:val="24"/>
              </w:rPr>
            </w:pPr>
            <w:r>
              <w:rPr>
                <w:rFonts w:hint="eastAsia" w:ascii="仿宋_GB2312" w:hAnsi="仿宋_GB2312" w:eastAsia="仿宋_GB2312" w:cs="仿宋_GB2312"/>
                <w:sz w:val="24"/>
              </w:rPr>
              <w:t>开户银行：</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tcPr>
          <w:p>
            <w:pPr>
              <w:pStyle w:val="25"/>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账号：</w:t>
            </w:r>
          </w:p>
        </w:tc>
        <w:tc>
          <w:tcPr>
            <w:tcW w:w="4252" w:type="dxa"/>
            <w:tcBorders>
              <w:top w:val="nil"/>
              <w:left w:val="nil"/>
              <w:bottom w:val="nil"/>
              <w:right w:val="nil"/>
            </w:tcBorders>
          </w:tcPr>
          <w:p>
            <w:pPr>
              <w:pStyle w:val="25"/>
              <w:snapToGrid w:val="0"/>
              <w:spacing w:line="360" w:lineRule="auto"/>
              <w:ind w:left="34" w:leftChars="16"/>
              <w:rPr>
                <w:rFonts w:ascii="仿宋_GB2312" w:hAnsi="仿宋_GB2312" w:eastAsia="仿宋_GB2312" w:cs="仿宋_GB2312"/>
                <w:sz w:val="24"/>
              </w:rPr>
            </w:pPr>
            <w:r>
              <w:rPr>
                <w:rFonts w:hint="eastAsia" w:ascii="仿宋_GB2312" w:hAnsi="仿宋_GB2312" w:eastAsia="仿宋_GB2312" w:cs="仿宋_GB2312"/>
                <w:sz w:val="24"/>
              </w:rPr>
              <w:t>账号：</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tcPr>
          <w:p>
            <w:pPr>
              <w:pStyle w:val="25"/>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时间：</w:t>
            </w:r>
          </w:p>
        </w:tc>
        <w:tc>
          <w:tcPr>
            <w:tcW w:w="4252" w:type="dxa"/>
            <w:tcBorders>
              <w:top w:val="nil"/>
              <w:left w:val="nil"/>
              <w:bottom w:val="nil"/>
              <w:right w:val="nil"/>
            </w:tcBorders>
          </w:tcPr>
          <w:p>
            <w:pPr>
              <w:pStyle w:val="25"/>
              <w:snapToGrid w:val="0"/>
              <w:spacing w:line="360" w:lineRule="auto"/>
              <w:ind w:left="34" w:leftChars="16"/>
              <w:rPr>
                <w:rFonts w:ascii="仿宋_GB2312" w:hAnsi="仿宋_GB2312" w:eastAsia="仿宋_GB2312" w:cs="仿宋_GB2312"/>
                <w:sz w:val="24"/>
              </w:rPr>
            </w:pPr>
            <w:r>
              <w:rPr>
                <w:rFonts w:hint="eastAsia" w:ascii="仿宋_GB2312" w:hAnsi="仿宋_GB2312" w:eastAsia="仿宋_GB2312" w:cs="仿宋_GB2312"/>
                <w:sz w:val="24"/>
              </w:rPr>
              <w:t>时间：</w:t>
            </w:r>
          </w:p>
        </w:tc>
      </w:tr>
    </w:tbl>
    <w:p>
      <w:pPr>
        <w:adjustRightInd w:val="0"/>
        <w:snapToGrid w:val="0"/>
        <w:spacing w:line="360" w:lineRule="auto"/>
        <w:jc w:val="center"/>
        <w:outlineLvl w:val="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br w:type="page"/>
      </w:r>
      <w:bookmarkStart w:id="66" w:name="_Toc11845"/>
      <w:r>
        <w:rPr>
          <w:rFonts w:hint="eastAsia" w:ascii="仿宋_GB2312" w:hAnsi="仿宋_GB2312" w:eastAsia="仿宋_GB2312" w:cs="仿宋_GB2312"/>
          <w:b/>
          <w:bCs/>
          <w:sz w:val="32"/>
          <w:szCs w:val="32"/>
        </w:rPr>
        <w:t xml:space="preserve">第二部分 </w:t>
      </w:r>
      <w:bookmarkEnd w:id="66"/>
      <w:bookmarkStart w:id="67" w:name="_Toc578"/>
      <w:r>
        <w:rPr>
          <w:rFonts w:hint="eastAsia" w:ascii="仿宋_GB2312" w:hAnsi="仿宋_GB2312" w:eastAsia="仿宋_GB2312" w:cs="仿宋_GB2312"/>
          <w:b/>
          <w:bCs/>
          <w:sz w:val="32"/>
          <w:szCs w:val="32"/>
        </w:rPr>
        <w:t>合同条款</w:t>
      </w:r>
      <w:bookmarkEnd w:id="67"/>
    </w:p>
    <w:p>
      <w:pPr>
        <w:tabs>
          <w:tab w:val="left" w:pos="1248"/>
        </w:tabs>
        <w:adjustRightInd w:val="0"/>
        <w:snapToGrid w:val="0"/>
        <w:spacing w:line="360" w:lineRule="auto"/>
        <w:ind w:firstLine="482" w:firstLineChars="200"/>
        <w:outlineLvl w:val="1"/>
        <w:rPr>
          <w:rFonts w:ascii="仿宋_GB2312" w:hAnsi="仿宋_GB2312" w:eastAsia="仿宋_GB2312" w:cs="仿宋_GB2312"/>
          <w:b/>
          <w:sz w:val="24"/>
        </w:rPr>
      </w:pPr>
      <w:bookmarkStart w:id="68" w:name="_Toc21196"/>
      <w:r>
        <w:rPr>
          <w:rFonts w:hint="eastAsia" w:ascii="仿宋_GB2312" w:hAnsi="仿宋_GB2312" w:eastAsia="仿宋_GB2312" w:cs="仿宋_GB2312"/>
          <w:b/>
          <w:sz w:val="24"/>
        </w:rPr>
        <w:t>1.定义</w:t>
      </w:r>
      <w:bookmarkEnd w:id="68"/>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1.1合同当事人</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（1）采购人(以下称甲方)是指在合同协议书中指明的购买物资和服务的单位。</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（2）供应商(以下称乙方)是指在合同协议书中指明的参加本招投标活动而取得中标/中选/成交结果，并向甲方提供物资和服务的法人、其他组织或者自然人。</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1.2本合同下列术语应解释为：</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（1）“合同”系指甲乙双方签署的、合同协议书中载明的甲乙双方所达成的协议，包括所有的附件、附录和上述文件所提到的构成合同的所有文件。</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（2）“签约合同价”系指甲方和乙方在合同协议书中确定的金额，即本项目的中标价格/中选价格/成交价格。</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（3）“合同价格”系指根据本合同规定乙方在正确地完全履行合同义务后，</w:t>
      </w:r>
      <w:r>
        <w:rPr>
          <w:rFonts w:hint="eastAsia" w:ascii="仿宋_GB2312" w:hAnsi="仿宋_GB2312" w:eastAsia="仿宋_GB2312" w:cs="仿宋_GB2312"/>
          <w:kern w:val="0"/>
          <w:sz w:val="24"/>
        </w:rPr>
        <w:t>按照长沙市政府或其职能部门相关规定，</w:t>
      </w:r>
      <w:r>
        <w:rPr>
          <w:rFonts w:hint="eastAsia" w:ascii="仿宋_GB2312" w:hAnsi="仿宋_GB2312" w:eastAsia="仿宋_GB2312" w:cs="仿宋_GB2312"/>
          <w:sz w:val="24"/>
          <w:u w:val="single"/>
        </w:rPr>
        <w:sym w:font="Wingdings 2" w:char="00A3"/>
      </w:r>
      <w:r>
        <w:rPr>
          <w:rFonts w:hint="eastAsia" w:ascii="仿宋_GB2312" w:hAnsi="仿宋_GB2312" w:eastAsia="仿宋_GB2312" w:cs="仿宋_GB2312"/>
          <w:sz w:val="24"/>
          <w:u w:val="single"/>
        </w:rPr>
        <w:t>经长沙市政府相关职能部门或长沙市轨道交通集团有限公司</w:t>
      </w:r>
      <w:r>
        <w:rPr>
          <w:rFonts w:hint="eastAsia" w:ascii="仿宋_GB2312" w:hAnsi="仿宋_GB2312" w:eastAsia="仿宋_GB2312" w:cs="仿宋_GB2312"/>
          <w:kern w:val="0"/>
          <w:sz w:val="24"/>
          <w:szCs w:val="22"/>
          <w:u w:val="single"/>
          <w:shd w:val="clear" w:color="auto" w:fill="FFFFFF"/>
        </w:rPr>
        <w:t>授权的单位</w:t>
      </w:r>
      <w:r>
        <w:rPr>
          <w:rFonts w:hint="eastAsia" w:ascii="仿宋_GB2312" w:hAnsi="仿宋_GB2312" w:eastAsia="仿宋_GB2312" w:cs="仿宋_GB2312"/>
          <w:sz w:val="24"/>
          <w:u w:val="single"/>
        </w:rPr>
        <w:t>审定的结算价格</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sym w:font="Wingdings 2" w:char="0052"/>
      </w:r>
      <w:r>
        <w:rPr>
          <w:rFonts w:hint="eastAsia" w:ascii="仿宋_GB2312" w:hAnsi="仿宋_GB2312" w:eastAsia="仿宋_GB2312" w:cs="仿宋_GB2312"/>
          <w:sz w:val="24"/>
          <w:u w:val="single"/>
        </w:rPr>
        <w:t>履约验收合格确定的最终价款</w:t>
      </w:r>
      <w:r>
        <w:rPr>
          <w:rFonts w:hint="eastAsia" w:ascii="仿宋_GB2312" w:hAnsi="仿宋_GB2312" w:eastAsia="仿宋_GB2312" w:cs="仿宋_GB2312"/>
          <w:sz w:val="24"/>
        </w:rPr>
        <w:t>。</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（4）“物资”系指乙方根据本合同规定须向甲方提供的各种形态和种类的物品，如小型设备、原材料、耗材、备品备件、工器具、办公用品等。</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（5）“服务”系指根据本合同规定乙方承担与所供物资有关的服务，如运输、保险、提供技术协助、安装调试（如果有）、安装督导（如果有）、培训（如果有）和合同中规定乙方应承担的其它义务。</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（6）“合同条款”系指本合同条款。</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（7）“项目现场”系指本合同项下物资交货及安装调试（如果有）、安装督导（如果有）的现场，具体以甲方书面通知为准。</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（8）“履约验收”系指按照长沙市政府相关职能部门或长沙市轨道交通集团有限公司或</w:t>
      </w:r>
      <w:r>
        <w:rPr>
          <w:rFonts w:ascii="仿宋_GB2312" w:hAnsi="仿宋_GB2312" w:eastAsia="仿宋_GB2312" w:cs="仿宋_GB2312"/>
          <w:sz w:val="24"/>
        </w:rPr>
        <w:t>长沙市轨道交通集团有限公司</w:t>
      </w:r>
      <w:r>
        <w:rPr>
          <w:rFonts w:hint="eastAsia" w:ascii="仿宋_GB2312" w:hAnsi="仿宋_GB2312" w:eastAsia="仿宋_GB2312" w:cs="仿宋_GB2312"/>
          <w:sz w:val="24"/>
        </w:rPr>
        <w:t>授权的单位制定的履约验收相关管理规定办理验收。</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（9）“不可抗力”系是指双方在订立本合同时不可预见，在合同履行过程中不可避免并不能克服的自然灾害和社会性突发事件，如地震、海啸、瘟疫、水灾、骚乱、暴动、战争等情形。</w:t>
      </w:r>
    </w:p>
    <w:p>
      <w:pPr>
        <w:tabs>
          <w:tab w:val="left" w:pos="1248"/>
        </w:tabs>
        <w:adjustRightInd w:val="0"/>
        <w:snapToGrid w:val="0"/>
        <w:spacing w:line="360" w:lineRule="auto"/>
        <w:ind w:firstLine="482" w:firstLineChars="200"/>
        <w:outlineLvl w:val="1"/>
        <w:rPr>
          <w:rFonts w:ascii="仿宋_GB2312" w:hAnsi="仿宋_GB2312" w:eastAsia="仿宋_GB2312" w:cs="仿宋_GB2312"/>
          <w:b/>
          <w:sz w:val="24"/>
        </w:rPr>
      </w:pPr>
      <w:bookmarkStart w:id="69" w:name="_Toc22526"/>
      <w:r>
        <w:rPr>
          <w:rFonts w:hint="eastAsia" w:ascii="仿宋_GB2312" w:hAnsi="仿宋_GB2312" w:eastAsia="仿宋_GB2312" w:cs="仿宋_GB2312"/>
          <w:b/>
          <w:sz w:val="24"/>
        </w:rPr>
        <w:t>2.价款支付</w:t>
      </w:r>
      <w:bookmarkEnd w:id="69"/>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bidi="ar"/>
        </w:rPr>
        <w:t>2.1预付款</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bidi="ar"/>
        </w:rPr>
        <w:t>本项目无预付款。</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bidi="ar"/>
        </w:rPr>
        <w:t>2.2 中间付款</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bidi="ar"/>
        </w:rPr>
        <w:t>乙方按合同约定完成所有物资供货及相关工作，且</w:t>
      </w:r>
      <w:r>
        <w:rPr>
          <w:rFonts w:hint="eastAsia" w:ascii="仿宋_GB2312" w:hAnsi="仿宋_GB2312" w:eastAsia="仿宋_GB2312" w:cs="仿宋_GB2312"/>
          <w:kern w:val="0"/>
          <w:sz w:val="24"/>
          <w:szCs w:val="22"/>
          <w:u w:val="single"/>
          <w:shd w:val="clear" w:color="auto" w:fill="FFFFFF"/>
        </w:rPr>
        <w:t>□本项目的结算价格经长沙市政府相关职能部门或长沙市轨道交通集团有限公司授权的单位审定</w:t>
      </w:r>
      <w:r>
        <w:rPr>
          <w:rFonts w:hint="eastAsia" w:ascii="仿宋_GB2312" w:hAnsi="仿宋_GB2312" w:eastAsia="仿宋_GB2312" w:cs="仿宋_GB2312"/>
          <w:kern w:val="0"/>
          <w:sz w:val="24"/>
          <w:szCs w:val="22"/>
          <w:shd w:val="clear" w:color="auto" w:fill="FFFFFF"/>
        </w:rPr>
        <w:t>/</w:t>
      </w:r>
      <w:r>
        <w:rPr>
          <w:rFonts w:hint="eastAsia" w:ascii="仿宋_GB2312" w:hAnsi="仿宋_GB2312" w:eastAsia="仿宋_GB2312" w:cs="仿宋_GB2312"/>
          <w:kern w:val="0"/>
          <w:sz w:val="24"/>
          <w:szCs w:val="22"/>
          <w:u w:val="single"/>
          <w:shd w:val="clear" w:color="auto" w:fill="FFFFFF"/>
        </w:rPr>
        <w:sym w:font="Wingdings 2" w:char="0052"/>
      </w:r>
      <w:r>
        <w:rPr>
          <w:rFonts w:hint="eastAsia" w:ascii="仿宋_GB2312" w:hAnsi="仿宋_GB2312" w:eastAsia="仿宋_GB2312" w:cs="仿宋_GB2312"/>
          <w:kern w:val="0"/>
          <w:sz w:val="24"/>
          <w:szCs w:val="22"/>
          <w:u w:val="single"/>
          <w:shd w:val="clear" w:color="auto" w:fill="FFFFFF"/>
        </w:rPr>
        <w:t>本项目履约验收合格</w:t>
      </w:r>
      <w:r>
        <w:rPr>
          <w:rFonts w:hint="eastAsia" w:ascii="仿宋_GB2312" w:hAnsi="仿宋_GB2312" w:eastAsia="仿宋_GB2312" w:cs="仿宋_GB2312"/>
          <w:sz w:val="24"/>
          <w:lang w:bidi="ar"/>
        </w:rPr>
        <w:t>，在收到经甲方批复的支付申请等资料并证实完整无误后28个工作日内，支付至合同价格的97%</w:t>
      </w:r>
      <w:r>
        <w:rPr>
          <w:rFonts w:hint="eastAsia" w:ascii="仿宋_GB2312" w:hAnsi="仿宋_GB2312" w:eastAsia="仿宋_GB2312" w:cs="仿宋_GB2312"/>
          <w:sz w:val="24"/>
        </w:rPr>
        <w:t>。</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2.3最终付款</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质保期满且物资无质量问题，收到</w:t>
      </w:r>
      <w:r>
        <w:rPr>
          <w:rFonts w:hint="eastAsia" w:ascii="仿宋_GB2312" w:hAnsi="仿宋_GB2312" w:eastAsia="仿宋_GB2312" w:cs="仿宋_GB2312"/>
          <w:sz w:val="24"/>
          <w:lang w:bidi="ar"/>
        </w:rPr>
        <w:t>经甲方批复的</w:t>
      </w:r>
      <w:r>
        <w:rPr>
          <w:rFonts w:hint="eastAsia" w:ascii="仿宋_GB2312" w:hAnsi="仿宋_GB2312" w:eastAsia="仿宋_GB2312" w:cs="仿宋_GB2312"/>
          <w:sz w:val="24"/>
        </w:rPr>
        <w:t>支付请求等资料并</w:t>
      </w:r>
      <w:r>
        <w:rPr>
          <w:rFonts w:hint="eastAsia" w:ascii="仿宋_GB2312" w:hAnsi="仿宋_GB2312" w:eastAsia="仿宋_GB2312" w:cs="仿宋_GB2312"/>
          <w:sz w:val="24"/>
          <w:lang w:bidi="ar"/>
        </w:rPr>
        <w:t>证实完整无误后</w:t>
      </w:r>
      <w:r>
        <w:rPr>
          <w:rFonts w:hint="eastAsia" w:ascii="仿宋_GB2312" w:hAnsi="仿宋_GB2312" w:eastAsia="仿宋_GB2312" w:cs="仿宋_GB2312"/>
          <w:sz w:val="24"/>
        </w:rPr>
        <w:t>28个工作日内，支付合同价格的剩余款项。</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2.4乙方应理解本合同的资金来源为政府资金，款项的拨付须经有关部门批准，若甲方在规定的支付期限内未支付合同价款，乙方不得以款项延迟支付而停止、拒绝履行本合同或要求甲方支付任何利息。</w:t>
      </w:r>
    </w:p>
    <w:p>
      <w:pPr>
        <w:tabs>
          <w:tab w:val="left" w:pos="1248"/>
        </w:tabs>
        <w:adjustRightInd w:val="0"/>
        <w:snapToGrid w:val="0"/>
        <w:spacing w:line="360" w:lineRule="auto"/>
        <w:ind w:firstLine="482" w:firstLineChars="200"/>
        <w:outlineLvl w:val="1"/>
        <w:rPr>
          <w:rFonts w:ascii="仿宋_GB2312" w:hAnsi="仿宋_GB2312" w:eastAsia="仿宋_GB2312" w:cs="仿宋_GB2312"/>
          <w:b/>
          <w:sz w:val="24"/>
        </w:rPr>
      </w:pPr>
      <w:bookmarkStart w:id="70" w:name="_Toc4426"/>
      <w:r>
        <w:rPr>
          <w:rFonts w:hint="eastAsia" w:ascii="仿宋_GB2312" w:hAnsi="仿宋_GB2312" w:eastAsia="仿宋_GB2312" w:cs="仿宋_GB2312"/>
          <w:b/>
          <w:bCs/>
          <w:sz w:val="24"/>
        </w:rPr>
        <w:t>3.</w:t>
      </w:r>
      <w:r>
        <w:rPr>
          <w:rFonts w:hint="eastAsia" w:ascii="仿宋_GB2312" w:hAnsi="仿宋_GB2312" w:eastAsia="仿宋_GB2312" w:cs="仿宋_GB2312"/>
          <w:b/>
          <w:sz w:val="24"/>
        </w:rPr>
        <w:t>合同履行的时间、地点和方式</w:t>
      </w:r>
      <w:bookmarkEnd w:id="70"/>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3.1 乙方应当按甲方</w:t>
      </w:r>
      <w:r>
        <w:rPr>
          <w:rFonts w:hint="eastAsia" w:ascii="仿宋_GB2312" w:hAnsi="仿宋_GB2312" w:eastAsia="仿宋_GB2312" w:cs="仿宋_GB2312"/>
          <w:sz w:val="24"/>
          <w:u w:val="single"/>
        </w:rPr>
        <w:t>用户需求书/技术规格书</w:t>
      </w:r>
      <w:r>
        <w:rPr>
          <w:rFonts w:hint="eastAsia" w:ascii="仿宋_GB2312" w:hAnsi="仿宋_GB2312" w:eastAsia="仿宋_GB2312" w:cs="仿宋_GB2312"/>
          <w:sz w:val="24"/>
        </w:rPr>
        <w:t>规定的时间、地点、方式履行合同。</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3.2乙方应理解甲方有权根据政府要求及进度情况对工期做合理调整，工期调整后乙方不得以任何理由增加费用，乙方应充分考虑并承诺承担因工期调整所发生的相关费用。</w:t>
      </w:r>
    </w:p>
    <w:p>
      <w:pPr>
        <w:tabs>
          <w:tab w:val="left" w:pos="1248"/>
        </w:tabs>
        <w:adjustRightInd w:val="0"/>
        <w:snapToGrid w:val="0"/>
        <w:spacing w:line="360" w:lineRule="auto"/>
        <w:ind w:firstLine="482" w:firstLineChars="200"/>
        <w:outlineLvl w:val="1"/>
        <w:rPr>
          <w:rFonts w:ascii="仿宋_GB2312" w:hAnsi="仿宋_GB2312" w:eastAsia="仿宋_GB2312" w:cs="仿宋_GB2312"/>
          <w:b/>
          <w:sz w:val="24"/>
        </w:rPr>
      </w:pPr>
      <w:bookmarkStart w:id="71" w:name="_Toc16729"/>
      <w:r>
        <w:rPr>
          <w:rFonts w:hint="eastAsia" w:ascii="仿宋_GB2312" w:hAnsi="仿宋_GB2312" w:eastAsia="仿宋_GB2312" w:cs="仿宋_GB2312"/>
          <w:b/>
          <w:sz w:val="24"/>
        </w:rPr>
        <w:t>4.物资的验收</w:t>
      </w:r>
      <w:bookmarkEnd w:id="71"/>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4.1 物资到达甲方指定的交货地点后，甲方负责组织验收，如验收技术条件复杂或需装车测试、使用，或需送第三方检测机构鉴定，则甲乙双方另行协商验收事宜。</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4.2 甲方向乙方发出验收通知，如乙方在收到验收通知后无故缺席，则视为乙方同意甲方验收结果。</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4.3 在验收过程中发现数量不足或有质量、技术等问题，乙方应负责按照甲方的要求采取补足、更换或退货等处理措施，并承担由此发生的一切费用和损失。</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4.4甲方检查验收合格后，应当签署检验结果记录或开箱检验单或开箱意见。</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4.5 甲乙双方如对验收结果有异议，须即对存在异议的物资进行封存，并共同送第三方监测机构进行质量鉴定（属进口商品的，送国家检验检疫局鉴定）。若经检验合格，相关检测费用及运输费用由甲方负责；若物资经检验不合格，相关检测费用由乙方承担，如无相关检测机构可进行质量鉴定，则以合同约定、技术要求及甲方验收结果为准。</w:t>
      </w:r>
    </w:p>
    <w:p>
      <w:pPr>
        <w:tabs>
          <w:tab w:val="left" w:pos="1248"/>
        </w:tabs>
        <w:adjustRightInd w:val="0"/>
        <w:snapToGrid w:val="0"/>
        <w:spacing w:line="360" w:lineRule="auto"/>
        <w:ind w:firstLine="480" w:firstLineChars="200"/>
        <w:rPr>
          <w:rFonts w:ascii="仿宋_GB2312" w:hAnsi="仿宋_GB2312" w:eastAsia="仿宋_GB2312" w:cs="仿宋_GB2312"/>
          <w:strike/>
          <w:sz w:val="24"/>
        </w:rPr>
      </w:pPr>
      <w:r>
        <w:rPr>
          <w:rFonts w:hint="eastAsia" w:ascii="仿宋_GB2312" w:hAnsi="仿宋_GB2312" w:eastAsia="仿宋_GB2312" w:cs="仿宋_GB2312"/>
          <w:sz w:val="24"/>
        </w:rPr>
        <w:t>4.6按相关规定需邀请国家认可的检测机构、专家等参与验收的，相关费用（费用标准参照省、市有关规定执行）由乙方承担。</w:t>
      </w:r>
    </w:p>
    <w:p>
      <w:pPr>
        <w:tabs>
          <w:tab w:val="left" w:pos="1248"/>
        </w:tabs>
        <w:adjustRightInd w:val="0"/>
        <w:snapToGrid w:val="0"/>
        <w:spacing w:line="360" w:lineRule="auto"/>
        <w:ind w:firstLine="482" w:firstLineChars="200"/>
        <w:outlineLvl w:val="1"/>
        <w:rPr>
          <w:rFonts w:ascii="仿宋_GB2312" w:hAnsi="仿宋_GB2312" w:eastAsia="仿宋_GB2312" w:cs="仿宋_GB2312"/>
          <w:b/>
          <w:sz w:val="24"/>
        </w:rPr>
      </w:pPr>
      <w:bookmarkStart w:id="72" w:name="_Toc32644"/>
      <w:r>
        <w:rPr>
          <w:rFonts w:hint="eastAsia" w:ascii="仿宋_GB2312" w:hAnsi="仿宋_GB2312" w:eastAsia="仿宋_GB2312" w:cs="仿宋_GB2312"/>
          <w:b/>
          <w:sz w:val="24"/>
        </w:rPr>
        <w:t>5.物资包装要求</w:t>
      </w:r>
      <w:bookmarkEnd w:id="72"/>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5.1 乙方所出售的全部物资均应按标准保护措施进行包装，包装应适应于远距离运输、防潮、防震、防锈和防野蛮装卸等要求，以确保物资安全无损地运抵指定现场。由于包装防护措施不妥而引起的损坏、丢失由乙方负责。</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5.2 每一个包装箱内应附下列文件：</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（1）包括说明合同名称、物资名称、型号、规格、数量等的详细装箱单；</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（2）供货商或生产商出具的产品合格证；</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（3）产品说明书（包括组装、安装图）；</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5.3乙方在包装时应考虑到甲方现场保管无空调、无抽湿、露天存放的条件，并按价格清单分类包装。包装箱尺寸及重量应考虑物资交货地点偏远程度以及在所有转运地点缺乏重型装卸设施的情况。</w:t>
      </w:r>
    </w:p>
    <w:p>
      <w:pPr>
        <w:tabs>
          <w:tab w:val="left" w:pos="1248"/>
        </w:tabs>
        <w:adjustRightInd w:val="0"/>
        <w:snapToGrid w:val="0"/>
        <w:spacing w:line="360" w:lineRule="auto"/>
        <w:ind w:firstLine="482" w:firstLineChars="200"/>
        <w:outlineLvl w:val="1"/>
        <w:rPr>
          <w:rFonts w:ascii="仿宋_GB2312" w:hAnsi="仿宋_GB2312" w:eastAsia="仿宋_GB2312" w:cs="仿宋_GB2312"/>
          <w:b/>
          <w:sz w:val="24"/>
        </w:rPr>
      </w:pPr>
      <w:bookmarkStart w:id="73" w:name="_Toc29550"/>
      <w:r>
        <w:rPr>
          <w:rFonts w:hint="eastAsia" w:ascii="仿宋_GB2312" w:hAnsi="仿宋_GB2312" w:eastAsia="仿宋_GB2312" w:cs="仿宋_GB2312"/>
          <w:b/>
          <w:sz w:val="24"/>
        </w:rPr>
        <w:t>6.运输和保险</w:t>
      </w:r>
      <w:bookmarkEnd w:id="73"/>
    </w:p>
    <w:p>
      <w:pPr>
        <w:tabs>
          <w:tab w:val="left" w:pos="1248"/>
        </w:tabs>
        <w:adjustRightInd w:val="0"/>
        <w:snapToGrid w:val="0"/>
        <w:spacing w:line="360" w:lineRule="auto"/>
        <w:ind w:firstLine="480" w:firstLineChars="200"/>
        <w:outlineLvl w:val="1"/>
        <w:rPr>
          <w:rFonts w:ascii="仿宋_GB2312" w:hAnsi="仿宋_GB2312" w:eastAsia="仿宋_GB2312" w:cs="仿宋_GB2312"/>
          <w:i/>
          <w:strike/>
          <w:sz w:val="24"/>
        </w:rPr>
      </w:pPr>
      <w:r>
        <w:rPr>
          <w:rFonts w:hint="eastAsia" w:ascii="仿宋_GB2312" w:hAnsi="仿宋_GB2312" w:eastAsia="仿宋_GB2312" w:cs="仿宋_GB2312"/>
          <w:sz w:val="24"/>
        </w:rPr>
        <w:t>6.1乙方负责办理和承担将物资运抵本合同第3.1条规定的交货地点的一切事项和风险，相关费用已包括在签约合同价中。</w:t>
      </w:r>
      <w:bookmarkStart w:id="74" w:name="_Toc36"/>
    </w:p>
    <w:p>
      <w:pPr>
        <w:tabs>
          <w:tab w:val="left" w:pos="1248"/>
        </w:tabs>
        <w:adjustRightInd w:val="0"/>
        <w:snapToGrid w:val="0"/>
        <w:spacing w:line="360" w:lineRule="auto"/>
        <w:ind w:firstLine="482" w:firstLineChars="200"/>
        <w:outlineLvl w:val="1"/>
        <w:rPr>
          <w:rFonts w:ascii="仿宋_GB2312" w:hAnsi="仿宋_GB2312" w:eastAsia="仿宋_GB2312" w:cs="仿宋_GB2312"/>
          <w:b/>
          <w:sz w:val="24"/>
        </w:rPr>
      </w:pPr>
      <w:r>
        <w:rPr>
          <w:rFonts w:hint="eastAsia" w:ascii="仿宋_GB2312" w:hAnsi="仿宋_GB2312" w:eastAsia="仿宋_GB2312" w:cs="仿宋_GB2312"/>
          <w:b/>
          <w:sz w:val="24"/>
        </w:rPr>
        <w:t>7.质量标准和保证</w:t>
      </w:r>
      <w:bookmarkEnd w:id="74"/>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7.1 质量标准</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（1）本合同下交付的物资如有强制性国家标准或行业标准的，执行该标准，如无强制性国家标准或行业标准的，适用国家推荐性标准、地方标准或按法规规章要求备案的企业标准；同时须满足</w:t>
      </w:r>
      <w:r>
        <w:rPr>
          <w:rFonts w:hint="eastAsia" w:ascii="仿宋_GB2312" w:hAnsi="仿宋_GB2312" w:eastAsia="仿宋_GB2312" w:cs="仿宋_GB2312"/>
          <w:sz w:val="24"/>
          <w:u w:val="single"/>
        </w:rPr>
        <w:t>用户需求书/技术规格书</w:t>
      </w:r>
      <w:r>
        <w:rPr>
          <w:rFonts w:hint="eastAsia" w:ascii="仿宋_GB2312" w:hAnsi="仿宋_GB2312" w:eastAsia="仿宋_GB2312" w:cs="仿宋_GB2312"/>
          <w:sz w:val="24"/>
        </w:rPr>
        <w:t>所述的标准及产品合格证书的技术性能参数、质量参数。如无提及适用标准，则应符合中华人民共和国有关机构发布的最新版本的标准。</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（2）国家实施强制性产品认证的，须具有认证标志。</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（3）乙方所出售的物资必须包装完好，达到本合同第5、第6条包装、装运要求，同时还应符合国家有关安全、环保、卫生之规定。</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7.2 保证</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乙方应保证所供物资是全新的、未使用过的，并完全符合规范标准和合同规定的设计、质量、规格、性能和安全的要求。不应该存在物资因设计错误或不合理、材料选用不当、工艺粗糙、检验缺漏而造成的缺陷。</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乙方应保证其物资在正确安装、正常使用和保养条件下，在其使用寿命期内应具有满意的性能，或者没有因乙方的行为或疏忽而产生的缺陷，同时乙方保证物资在正常的寿命周期内，在正常使用维护条件下，不会因为任何潜在缺陷发生安全事故。由于物资本身质量原因导致安全事故的，乙方应承担一切责任。</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（3）本合同质量保证期以</w:t>
      </w:r>
      <w:r>
        <w:rPr>
          <w:rFonts w:hint="eastAsia" w:ascii="仿宋_GB2312" w:hAnsi="仿宋_GB2312" w:eastAsia="仿宋_GB2312" w:cs="仿宋_GB2312"/>
          <w:sz w:val="24"/>
          <w:u w:val="single"/>
        </w:rPr>
        <w:t>用户需求书/技术规格书约定为准</w:t>
      </w:r>
      <w:r>
        <w:rPr>
          <w:rFonts w:hint="eastAsia" w:ascii="仿宋_GB2312" w:hAnsi="仿宋_GB2312" w:eastAsia="仿宋_GB2312" w:cs="仿宋_GB2312"/>
          <w:sz w:val="24"/>
        </w:rPr>
        <w:t>。如物资原厂保修期长于本合同约定质量保证期的，以原厂保修期为准</w:t>
      </w:r>
      <w:r>
        <w:rPr>
          <w:rFonts w:hint="eastAsia" w:ascii="仿宋_GB2312" w:hAnsi="仿宋_GB2312" w:eastAsia="仿宋_GB2312" w:cs="仿宋_GB2312"/>
          <w:sz w:val="24"/>
          <w:lang w:val="en-GB"/>
        </w:rPr>
        <w:t>。</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（4）质量保证期内所发现的缺陷甲方会尽快以书面形式通知乙方。乙方收到书面通知后应在用户需求书及技术规格书约定的时间作出响应、到达项目现场、更换或免费维修有缺陷的物资或部件。</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在质量保证期内，如果物资的质量或规格与合同不符，或为假冒伪劣产品，或证实物资是有缺陷的，包括潜在的缺陷或使用不符合要求的材料等，甲方以书面形式向乙方提出补救措施或索赔。乙方在约定的时间内未能弥补缺陷，甲方可采取必要的补救措施，但其风险和费用将由乙方承担，甲方根据合同规定对乙方行使的其他权利不受影响。</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乙方须提供甲方必要的技术服务支持。如本合同采购清单的某项部件设备或备件准备用新型部件设备或备件取代，乙方须提前将取代件的代码和潜在的技术变更信息与甲方进行沟通，并承诺取代件价格不高于原被取代件价格。</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（7）在质量保证期后，在合同及</w:t>
      </w:r>
      <w:r>
        <w:rPr>
          <w:rFonts w:hint="eastAsia" w:ascii="仿宋_GB2312" w:hAnsi="仿宋_GB2312" w:eastAsia="仿宋_GB2312" w:cs="仿宋_GB2312"/>
          <w:sz w:val="24"/>
          <w:u w:val="single"/>
        </w:rPr>
        <w:t>用户需求书/技术规格书</w:t>
      </w:r>
      <w:r>
        <w:rPr>
          <w:rFonts w:hint="eastAsia" w:ascii="仿宋_GB2312" w:hAnsi="仿宋_GB2312" w:eastAsia="仿宋_GB2312" w:cs="仿宋_GB2312"/>
          <w:sz w:val="24"/>
        </w:rPr>
        <w:t>规定所要求的正常使用年限内，因物资本身质量原因造成甲方损失的，甲方有权提出索赔。</w:t>
      </w:r>
    </w:p>
    <w:p>
      <w:pPr>
        <w:tabs>
          <w:tab w:val="left" w:pos="1248"/>
        </w:tabs>
        <w:adjustRightInd w:val="0"/>
        <w:snapToGrid w:val="0"/>
        <w:spacing w:line="360" w:lineRule="auto"/>
        <w:ind w:firstLine="482" w:firstLineChars="200"/>
        <w:outlineLvl w:val="1"/>
        <w:rPr>
          <w:rFonts w:ascii="仿宋_GB2312" w:hAnsi="仿宋_GB2312" w:eastAsia="仿宋_GB2312" w:cs="仿宋_GB2312"/>
          <w:b/>
          <w:sz w:val="24"/>
        </w:rPr>
      </w:pPr>
      <w:bookmarkStart w:id="75" w:name="_Toc1429"/>
      <w:r>
        <w:rPr>
          <w:rFonts w:hint="eastAsia" w:ascii="仿宋_GB2312" w:hAnsi="仿宋_GB2312" w:eastAsia="仿宋_GB2312" w:cs="仿宋_GB2312"/>
          <w:b/>
          <w:sz w:val="24"/>
        </w:rPr>
        <w:t>8.履约担保</w:t>
      </w:r>
      <w:bookmarkEnd w:id="75"/>
    </w:p>
    <w:p>
      <w:pPr>
        <w:adjustRightInd w:val="0"/>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 xml:space="preserve">8.1 </w:t>
      </w:r>
      <w:r>
        <w:rPr>
          <w:rFonts w:hint="eastAsia" w:ascii="仿宋_GB2312" w:hAnsi="仿宋_GB2312" w:eastAsia="仿宋_GB2312" w:cs="仿宋_GB2312"/>
          <w:kern w:val="0"/>
          <w:sz w:val="24"/>
        </w:rPr>
        <w:t>乙方</w:t>
      </w:r>
      <w:r>
        <w:rPr>
          <w:rFonts w:hint="eastAsia" w:ascii="仿宋_GB2312" w:hAnsi="仿宋_GB2312" w:eastAsia="仿宋_GB2312" w:cs="仿宋_GB2312"/>
          <w:kern w:val="0"/>
          <w:sz w:val="24"/>
          <w:u w:val="single"/>
        </w:rPr>
        <w:sym w:font="Wingdings 2" w:char="0052"/>
      </w:r>
      <w:r>
        <w:rPr>
          <w:rFonts w:hint="eastAsia" w:ascii="仿宋_GB2312" w:hAnsi="仿宋_GB2312" w:eastAsia="仿宋_GB2312" w:cs="仿宋_GB2312"/>
          <w:kern w:val="0"/>
          <w:sz w:val="24"/>
          <w:u w:val="single"/>
        </w:rPr>
        <w:t>需要</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u w:val="single"/>
        </w:rPr>
        <w:t>□不需要</w:t>
      </w:r>
      <w:r>
        <w:rPr>
          <w:rFonts w:hint="eastAsia" w:ascii="仿宋_GB2312" w:hAnsi="仿宋_GB2312" w:eastAsia="仿宋_GB2312" w:cs="仿宋_GB2312"/>
          <w:kern w:val="0"/>
          <w:sz w:val="24"/>
        </w:rPr>
        <w:t>提供履约担保。</w:t>
      </w:r>
    </w:p>
    <w:p>
      <w:pPr>
        <w:tabs>
          <w:tab w:val="left" w:pos="1248"/>
        </w:tabs>
        <w:adjustRightInd w:val="0"/>
        <w:snapToGrid w:val="0"/>
        <w:spacing w:line="360" w:lineRule="auto"/>
        <w:ind w:firstLine="480" w:firstLineChars="200"/>
        <w:rPr>
          <w:rFonts w:ascii="仿宋_GB2312" w:hAnsi="仿宋_GB2312" w:eastAsia="仿宋_GB2312" w:cs="仿宋_GB2312"/>
          <w:kern w:val="0"/>
          <w:sz w:val="24"/>
        </w:rPr>
      </w:pPr>
      <w:bookmarkStart w:id="76" w:name="_Toc954"/>
      <w:r>
        <w:rPr>
          <w:rFonts w:hint="eastAsia" w:ascii="仿宋_GB2312" w:hAnsi="仿宋_GB2312" w:eastAsia="仿宋_GB2312" w:cs="仿宋_GB2312"/>
          <w:kern w:val="0"/>
          <w:sz w:val="24"/>
        </w:rPr>
        <w:t>8.2如需要乙方提供履约担保，则：</w:t>
      </w:r>
    </w:p>
    <w:p>
      <w:pPr>
        <w:tabs>
          <w:tab w:val="left" w:pos="1248"/>
        </w:tabs>
        <w:adjustRightInd w:val="0"/>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8.2.1履约担保用于补偿甲方因乙方不能完成其合同义务而蒙受的损失，是办理投标担保（如有）退还手续及合同价款支付手续的必要条件之一。</w:t>
      </w:r>
    </w:p>
    <w:p>
      <w:pPr>
        <w:tabs>
          <w:tab w:val="left" w:pos="1248"/>
        </w:tabs>
        <w:adjustRightInd w:val="0"/>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8.2.2乙方提供履约担保的形式、金额及期限可采用以下方式之一 ：</w:t>
      </w:r>
    </w:p>
    <w:p>
      <w:pPr>
        <w:tabs>
          <w:tab w:val="left" w:pos="1248"/>
        </w:tabs>
        <w:adjustRightInd w:val="0"/>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采用银行履约保函形式，银行履约保函的担保额度为签约合同价的10%，担保期限为自保函生效之日起至合同约定的供货、安装、调试最晚之日止。银行履约保函应为在中国境内注册和营业的银行出具的、以甲方为受益人首次申请即作为无条件付款的保函，银行履约保函格式具体详见附件。</w:t>
      </w:r>
    </w:p>
    <w:p>
      <w:pPr>
        <w:tabs>
          <w:tab w:val="left" w:pos="1248"/>
        </w:tabs>
        <w:adjustRightInd w:val="0"/>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2）采用现金形式，现金担保额度为签约合同价的10%，担保期限为履约保证金到账之日起至合同约定执行计划中供货、安装、调试最晚之日止。履约担保以现金形式提交的，乙方应从其基本账户通过转账或电汇至甲方指定的账户。</w:t>
      </w:r>
    </w:p>
    <w:p>
      <w:pPr>
        <w:tabs>
          <w:tab w:val="left" w:pos="1248"/>
        </w:tabs>
        <w:adjustRightInd w:val="0"/>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8.2.3如需提供履约担保，则乙方应确保提供的银行履约保函持续有效，在银行履约保函到期前1个月内办理好续保手续，并向甲方提供新的有效的银行履约保函。</w:t>
      </w:r>
    </w:p>
    <w:p>
      <w:pPr>
        <w:tabs>
          <w:tab w:val="left" w:pos="1248"/>
        </w:tabs>
        <w:adjustRightInd w:val="0"/>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8.2.4如需提供履约担保，合同履约未完成而履约担保到期的，乙方应在履约担保到期后的首次办理合同价款支付手续时提供有效的续保文件。</w:t>
      </w:r>
    </w:p>
    <w:p>
      <w:pPr>
        <w:tabs>
          <w:tab w:val="left" w:pos="1248"/>
        </w:tabs>
        <w:adjustRightInd w:val="0"/>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8.2.5在乙方完成其合同义务包括任何保证义务后，甲方将把履约担保无息退还乙方。</w:t>
      </w:r>
    </w:p>
    <w:p>
      <w:pPr>
        <w:tabs>
          <w:tab w:val="left" w:pos="1248"/>
        </w:tabs>
        <w:adjustRightInd w:val="0"/>
        <w:snapToGrid w:val="0"/>
        <w:spacing w:line="360" w:lineRule="auto"/>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9.知识产权保护</w:t>
      </w:r>
      <w:bookmarkEnd w:id="76"/>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9.1 乙方对其所供的物资应当享有知识产权或经权利人合法授权，保证没有侵犯任何第三人的知识产权和商业秘密等权利。</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9.2 甲方使用乙方提供的物资对第三人构成侵权的，应当由乙方承担全部法律责任，给甲方造成损害的，乙方应当承担赔偿责任。</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9.3 甲方委托乙方开发的产品，甲方享有知识产权，未经甲方许可不得转让任何第三人。</w:t>
      </w:r>
    </w:p>
    <w:p>
      <w:pPr>
        <w:tabs>
          <w:tab w:val="left" w:pos="1248"/>
        </w:tabs>
        <w:adjustRightInd w:val="0"/>
        <w:snapToGrid w:val="0"/>
        <w:spacing w:line="360" w:lineRule="auto"/>
        <w:ind w:firstLine="482" w:firstLineChars="200"/>
        <w:outlineLvl w:val="1"/>
        <w:rPr>
          <w:rFonts w:ascii="仿宋_GB2312" w:hAnsi="仿宋_GB2312" w:eastAsia="仿宋_GB2312" w:cs="仿宋_GB2312"/>
          <w:sz w:val="24"/>
        </w:rPr>
      </w:pPr>
      <w:bookmarkStart w:id="77" w:name="_Toc11812"/>
      <w:r>
        <w:rPr>
          <w:rFonts w:hint="eastAsia" w:ascii="仿宋_GB2312" w:hAnsi="仿宋_GB2312" w:eastAsia="仿宋_GB2312" w:cs="仿宋_GB2312"/>
          <w:b/>
          <w:sz w:val="24"/>
        </w:rPr>
        <w:t>10.服务</w:t>
      </w:r>
      <w:bookmarkEnd w:id="77"/>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10.1 乙方应向甲方提交所提供物资的技术文件，包括相应的中文技术文件，如：产品目录、图纸、操作手册、使用说明、维护手册或服务指南。这些文件应包装好随同物资一起发运。</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10.2 乙方还应提供下列服务：</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（1）物资的现场移动、安装调试（如果有）、安装督导（如果有）及技术支持；</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（2）提供物资组装和维修所需的专用工具和辅助材料（如果有）；</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（3）在制造商或项目现场就物资的安装、启动、运营、维护对甲方操作人员进行培训（如果有）；</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（4）用户需求书及技术规格书规定的其他服务。</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10.3 乙方提供服务的费用均已包含在签约合同价中，甲方不再另行支付。</w:t>
      </w:r>
    </w:p>
    <w:p>
      <w:pPr>
        <w:tabs>
          <w:tab w:val="left" w:pos="1248"/>
        </w:tabs>
        <w:adjustRightInd w:val="0"/>
        <w:snapToGrid w:val="0"/>
        <w:spacing w:line="360" w:lineRule="auto"/>
        <w:ind w:firstLine="482" w:firstLineChars="200"/>
        <w:outlineLvl w:val="1"/>
        <w:rPr>
          <w:rFonts w:ascii="仿宋_GB2312" w:hAnsi="仿宋_GB2312" w:eastAsia="仿宋_GB2312" w:cs="仿宋_GB2312"/>
          <w:b/>
          <w:sz w:val="24"/>
        </w:rPr>
      </w:pPr>
      <w:bookmarkStart w:id="78" w:name="_Toc27596"/>
      <w:r>
        <w:rPr>
          <w:rFonts w:hint="eastAsia" w:ascii="仿宋_GB2312" w:hAnsi="仿宋_GB2312" w:eastAsia="仿宋_GB2312" w:cs="仿宋_GB2312"/>
          <w:b/>
          <w:sz w:val="24"/>
        </w:rPr>
        <w:t>11.违约及赔偿责任</w:t>
      </w:r>
      <w:bookmarkEnd w:id="78"/>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11.1 迟延交货的违约责任</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（2）除非甲方书面同意延迟到货外，如果乙方没有按照合同规定的时间交货，每延误一天，</w:t>
      </w:r>
      <w:r>
        <w:rPr>
          <w:rFonts w:hint="eastAsia" w:ascii="仿宋_GB2312" w:hAnsi="仿宋_GB2312" w:eastAsia="仿宋_GB2312" w:cs="仿宋_GB2312"/>
          <w:kern w:val="0"/>
          <w:sz w:val="24"/>
        </w:rPr>
        <w:t>甲方有权要求乙方</w:t>
      </w:r>
      <w:r>
        <w:rPr>
          <w:rFonts w:hint="eastAsia" w:ascii="仿宋_GB2312" w:hAnsi="仿宋_GB2312" w:eastAsia="仿宋_GB2312" w:cs="仿宋_GB2312"/>
          <w:sz w:val="24"/>
        </w:rPr>
        <w:t>按延迟交货物资价格的1%交纳违约金，违约金最高不超过该批物资价格的20%。</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11.2服务不合格违约</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乙方应做好物资的售前、售中、售后服务，及时妥善处理各类缺陷或故障。甲方发出通知后，乙方人员未能按合同约定时间作出响应、到达现场、更换或免费维修有缺陷的物资或部件的，则</w:t>
      </w:r>
      <w:r>
        <w:rPr>
          <w:rFonts w:hint="eastAsia" w:ascii="仿宋_GB2312" w:hAnsi="仿宋_GB2312" w:eastAsia="仿宋_GB2312" w:cs="仿宋_GB2312"/>
          <w:kern w:val="0"/>
          <w:sz w:val="24"/>
        </w:rPr>
        <w:t>甲方有权要求乙方</w:t>
      </w:r>
      <w:r>
        <w:rPr>
          <w:rFonts w:hint="eastAsia" w:ascii="仿宋_GB2312" w:hAnsi="仿宋_GB2312" w:eastAsia="仿宋_GB2312" w:cs="仿宋_GB2312"/>
          <w:sz w:val="24"/>
        </w:rPr>
        <w:t>交纳人民币1000元/次的违约金。</w:t>
      </w:r>
    </w:p>
    <w:p>
      <w:pPr>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11.3 货物不合格违约</w:t>
      </w:r>
    </w:p>
    <w:p>
      <w:pPr>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乙方所提供物资的型号、规格、技术参数不符合合同规定的，乙方需无条件免费更换符合合同约定的物资，由此给甲方造成损失的，甲方有权要求乙方交纳2000元/次的违约金。</w:t>
      </w:r>
    </w:p>
    <w:p>
      <w:pPr>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11.4乙方应以现金或转账方式交纳违约金，甲方根据税法相关规定开具收款收据或增值税发票。</w:t>
      </w:r>
    </w:p>
    <w:p>
      <w:pPr>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11.5乙方在接到甲方的违约通知后，应按通知要求交纳违约金；否则，甲方有权暂停合同价款支付或从乙方的合同价款中扣除相应的违约金。</w:t>
      </w:r>
    </w:p>
    <w:p>
      <w:pPr>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11.6赔偿责任</w:t>
      </w:r>
    </w:p>
    <w:p>
      <w:pPr>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（1）乙方包装物资时未尽到合理注意义务，导致物资毁损或灭失的，由乙方承担赔偿责任。</w:t>
      </w:r>
    </w:p>
    <w:p>
      <w:pPr>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（2）发生因乙方违约导致甲方损失的，乙方除承担本合同约定的违约金外，同时一并承担由此给甲方造成的损失。</w:t>
      </w:r>
    </w:p>
    <w:p>
      <w:pPr>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（3）乙方未履行保密义务给甲方或任何第三方造成损失的，乙方应承担相应的赔偿责任。</w:t>
      </w:r>
    </w:p>
    <w:p>
      <w:pPr>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kern w:val="0"/>
          <w:sz w:val="24"/>
        </w:rPr>
        <w:t>（4）因乙方提供的发票导致甲方被税务部门追究相关法律责任的，乙方应承担由此给甲方造成的损失（包括但不限于未抵扣的税费、滞纳金）。</w:t>
      </w:r>
    </w:p>
    <w:p>
      <w:pPr>
        <w:tabs>
          <w:tab w:val="left" w:pos="1248"/>
        </w:tabs>
        <w:adjustRightInd w:val="0"/>
        <w:snapToGrid w:val="0"/>
        <w:spacing w:line="360" w:lineRule="auto"/>
        <w:ind w:firstLine="482" w:firstLineChars="200"/>
        <w:outlineLvl w:val="1"/>
        <w:rPr>
          <w:rFonts w:ascii="仿宋_GB2312" w:hAnsi="仿宋_GB2312" w:eastAsia="仿宋_GB2312" w:cs="仿宋_GB2312"/>
          <w:sz w:val="24"/>
        </w:rPr>
      </w:pPr>
      <w:bookmarkStart w:id="79" w:name="_Toc9629"/>
      <w:r>
        <w:rPr>
          <w:rFonts w:hint="eastAsia" w:ascii="仿宋_GB2312" w:hAnsi="仿宋_GB2312" w:eastAsia="仿宋_GB2312" w:cs="仿宋_GB2312"/>
          <w:b/>
          <w:sz w:val="24"/>
        </w:rPr>
        <w:t>12.不可抗力</w:t>
      </w:r>
      <w:bookmarkEnd w:id="79"/>
    </w:p>
    <w:p>
      <w:pPr>
        <w:widowControl/>
        <w:snapToGrid w:val="0"/>
        <w:spacing w:line="360" w:lineRule="auto"/>
        <w:ind w:firstLine="480" w:firstLineChars="200"/>
        <w:jc w:val="left"/>
        <w:rPr>
          <w:rFonts w:ascii="仿宋_GB2312" w:hAnsi="仿宋_GB2312" w:eastAsia="仿宋_GB2312" w:cs="仿宋_GB2312"/>
          <w:kern w:val="0"/>
          <w:sz w:val="24"/>
          <w:shd w:val="clear" w:color="auto" w:fill="FFFFFF"/>
        </w:rPr>
      </w:pPr>
      <w:bookmarkStart w:id="80" w:name="_Toc351203608"/>
      <w:r>
        <w:rPr>
          <w:rFonts w:hint="eastAsia" w:ascii="仿宋_GB2312" w:hAnsi="仿宋_GB2312" w:eastAsia="仿宋_GB2312" w:cs="仿宋_GB2312"/>
          <w:kern w:val="0"/>
          <w:sz w:val="24"/>
          <w:shd w:val="clear" w:color="auto" w:fill="FFFFFF"/>
        </w:rPr>
        <w:t>12</w:t>
      </w:r>
      <w:r>
        <w:rPr>
          <w:rFonts w:ascii="仿宋_GB2312" w:hAnsi="仿宋_GB2312" w:eastAsia="仿宋_GB2312" w:cs="仿宋_GB2312"/>
          <w:kern w:val="0"/>
          <w:sz w:val="24"/>
          <w:shd w:val="clear" w:color="auto" w:fill="FFFFFF"/>
        </w:rPr>
        <w:t>.1</w:t>
      </w:r>
      <w:bookmarkEnd w:id="80"/>
      <w:r>
        <w:rPr>
          <w:rFonts w:hint="eastAsia" w:ascii="仿宋_GB2312" w:hAnsi="仿宋_GB2312" w:eastAsia="仿宋_GB2312" w:cs="仿宋_GB2312"/>
          <w:kern w:val="0"/>
          <w:sz w:val="24"/>
          <w:shd w:val="clear" w:color="auto" w:fill="FFFFFF"/>
        </w:rPr>
        <w:t>不可抗力的确认</w:t>
      </w:r>
    </w:p>
    <w:p>
      <w:pPr>
        <w:widowControl/>
        <w:snapToGrid w:val="0"/>
        <w:spacing w:line="360" w:lineRule="auto"/>
        <w:ind w:firstLine="480" w:firstLineChars="200"/>
        <w:jc w:val="left"/>
        <w:rPr>
          <w:rFonts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不可抗力发生后，合同当事人应收集证明不可抗力发生及不可抗力造成损失的证据，并及时认真统计所造成的损失。合同当事人对是否属于不可抗力或其损失发生争议时，按第15</w:t>
      </w:r>
      <w:r>
        <w:rPr>
          <w:rFonts w:ascii="仿宋_GB2312" w:hAnsi="仿宋_GB2312" w:eastAsia="仿宋_GB2312" w:cs="仿宋_GB2312"/>
          <w:kern w:val="0"/>
          <w:sz w:val="24"/>
          <w:shd w:val="clear" w:color="auto" w:fill="FFFFFF"/>
        </w:rPr>
        <w:t>条〔争议解决〕的约定处理。</w:t>
      </w:r>
    </w:p>
    <w:p>
      <w:pPr>
        <w:widowControl/>
        <w:snapToGrid w:val="0"/>
        <w:spacing w:line="360" w:lineRule="auto"/>
        <w:ind w:firstLine="480" w:firstLineChars="200"/>
        <w:jc w:val="left"/>
        <w:rPr>
          <w:rFonts w:ascii="仿宋_GB2312" w:hAnsi="仿宋_GB2312" w:eastAsia="仿宋_GB2312" w:cs="仿宋_GB2312"/>
          <w:kern w:val="0"/>
          <w:sz w:val="24"/>
          <w:shd w:val="clear" w:color="auto" w:fill="FFFFFF"/>
        </w:rPr>
      </w:pPr>
      <w:bookmarkStart w:id="81" w:name="_Toc296346619"/>
      <w:bookmarkEnd w:id="81"/>
      <w:bookmarkStart w:id="82" w:name="_Toc296503118"/>
      <w:bookmarkEnd w:id="82"/>
      <w:bookmarkStart w:id="83" w:name="_Toc337558825"/>
      <w:bookmarkEnd w:id="83"/>
      <w:bookmarkStart w:id="84" w:name="_Toc351203609"/>
      <w:r>
        <w:rPr>
          <w:rFonts w:hint="eastAsia" w:ascii="仿宋_GB2312" w:hAnsi="仿宋_GB2312" w:eastAsia="仿宋_GB2312" w:cs="仿宋_GB2312"/>
          <w:kern w:val="0"/>
          <w:sz w:val="24"/>
          <w:shd w:val="clear" w:color="auto" w:fill="FFFFFF"/>
        </w:rPr>
        <w:t>12</w:t>
      </w:r>
      <w:r>
        <w:rPr>
          <w:rFonts w:ascii="仿宋_GB2312" w:hAnsi="仿宋_GB2312" w:eastAsia="仿宋_GB2312" w:cs="仿宋_GB2312"/>
          <w:kern w:val="0"/>
          <w:sz w:val="24"/>
          <w:shd w:val="clear" w:color="auto" w:fill="FFFFFF"/>
        </w:rPr>
        <w:t>.2</w:t>
      </w:r>
      <w:bookmarkEnd w:id="84"/>
      <w:r>
        <w:rPr>
          <w:rFonts w:hint="eastAsia" w:ascii="仿宋_GB2312" w:hAnsi="仿宋_GB2312" w:eastAsia="仿宋_GB2312" w:cs="仿宋_GB2312"/>
          <w:kern w:val="0"/>
          <w:sz w:val="24"/>
          <w:shd w:val="clear" w:color="auto" w:fill="FFFFFF"/>
        </w:rPr>
        <w:t>不可抗力的通知</w:t>
      </w:r>
    </w:p>
    <w:p>
      <w:pPr>
        <w:widowControl/>
        <w:snapToGrid w:val="0"/>
        <w:spacing w:line="360" w:lineRule="auto"/>
        <w:ind w:firstLine="480" w:firstLineChars="200"/>
        <w:jc w:val="left"/>
        <w:rPr>
          <w:rFonts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合同一方当事人遇到不可抗力事件，使其履行合同义务受到阻碍时，应立即通知合同另一方当事人，书面说明不可抗力和受阻碍的详细情况，并在合理期限内提供必要的证明。</w:t>
      </w:r>
    </w:p>
    <w:p>
      <w:pPr>
        <w:widowControl/>
        <w:snapToGrid w:val="0"/>
        <w:spacing w:line="360" w:lineRule="auto"/>
        <w:ind w:firstLine="480" w:firstLineChars="200"/>
        <w:jc w:val="left"/>
        <w:rPr>
          <w:rFonts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不可抗力持续发生的，合同一方当事人应及时向合同另一方当事人提交中间报告，说明不可抗力和履行合同受阻的情况，并于不可抗力事件结束后</w:t>
      </w:r>
      <w:r>
        <w:rPr>
          <w:rFonts w:ascii="仿宋_GB2312" w:hAnsi="仿宋_GB2312" w:eastAsia="仿宋_GB2312" w:cs="仿宋_GB2312"/>
          <w:kern w:val="0"/>
          <w:sz w:val="24"/>
          <w:shd w:val="clear" w:color="auto" w:fill="FFFFFF"/>
        </w:rPr>
        <w:t>28天内提交最终报告及有关资料。</w:t>
      </w:r>
    </w:p>
    <w:p>
      <w:pPr>
        <w:widowControl/>
        <w:snapToGrid w:val="0"/>
        <w:spacing w:line="360" w:lineRule="auto"/>
        <w:ind w:firstLine="480" w:firstLineChars="200"/>
        <w:jc w:val="left"/>
        <w:rPr>
          <w:rFonts w:ascii="仿宋_GB2312" w:hAnsi="仿宋_GB2312" w:eastAsia="仿宋_GB2312" w:cs="仿宋_GB2312"/>
          <w:kern w:val="0"/>
          <w:sz w:val="24"/>
          <w:shd w:val="clear" w:color="auto" w:fill="FFFFFF"/>
        </w:rPr>
      </w:pPr>
      <w:bookmarkStart w:id="85" w:name="_Toc296503119"/>
      <w:bookmarkEnd w:id="85"/>
      <w:bookmarkStart w:id="86" w:name="_Toc296346620"/>
      <w:bookmarkEnd w:id="86"/>
      <w:bookmarkStart w:id="87" w:name="_Toc337558826"/>
      <w:bookmarkEnd w:id="87"/>
      <w:bookmarkStart w:id="88" w:name="_Toc351203610"/>
      <w:r>
        <w:rPr>
          <w:rFonts w:hint="eastAsia" w:ascii="仿宋_GB2312" w:hAnsi="仿宋_GB2312" w:eastAsia="仿宋_GB2312" w:cs="仿宋_GB2312"/>
          <w:kern w:val="0"/>
          <w:sz w:val="24"/>
          <w:shd w:val="clear" w:color="auto" w:fill="FFFFFF"/>
        </w:rPr>
        <w:t>12</w:t>
      </w:r>
      <w:r>
        <w:rPr>
          <w:rFonts w:ascii="仿宋_GB2312" w:hAnsi="仿宋_GB2312" w:eastAsia="仿宋_GB2312" w:cs="仿宋_GB2312"/>
          <w:kern w:val="0"/>
          <w:sz w:val="24"/>
          <w:shd w:val="clear" w:color="auto" w:fill="FFFFFF"/>
        </w:rPr>
        <w:t>.3</w:t>
      </w:r>
      <w:bookmarkEnd w:id="88"/>
      <w:r>
        <w:rPr>
          <w:rFonts w:hint="eastAsia" w:ascii="仿宋_GB2312" w:hAnsi="仿宋_GB2312" w:eastAsia="仿宋_GB2312" w:cs="仿宋_GB2312"/>
          <w:kern w:val="0"/>
          <w:sz w:val="24"/>
          <w:shd w:val="clear" w:color="auto" w:fill="FFFFFF"/>
        </w:rPr>
        <w:t>不可抗力后果的承担</w:t>
      </w:r>
    </w:p>
    <w:p>
      <w:pPr>
        <w:widowControl/>
        <w:snapToGrid w:val="0"/>
        <w:spacing w:line="360" w:lineRule="auto"/>
        <w:ind w:firstLine="480" w:firstLineChars="200"/>
        <w:jc w:val="left"/>
        <w:rPr>
          <w:rFonts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不可抗力引起的后果及造成的损失由合同当事人按照法律规定及合同约定各自承担。不可抗力发生前已完成的工作应当按照合同约定进行支付。</w:t>
      </w:r>
    </w:p>
    <w:p>
      <w:pPr>
        <w:widowControl/>
        <w:snapToGrid w:val="0"/>
        <w:spacing w:line="360" w:lineRule="auto"/>
        <w:ind w:firstLine="480" w:firstLineChars="200"/>
        <w:jc w:val="left"/>
        <w:rPr>
          <w:rFonts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不可抗力发生后，合同当事人均应采取措施尽量避免和减少损失的扩大，任何一方当事人没有采取有效措施导致损失扩大的，应对扩大的损失承担责任。</w:t>
      </w:r>
    </w:p>
    <w:p>
      <w:pPr>
        <w:tabs>
          <w:tab w:val="left" w:pos="1248"/>
        </w:tabs>
        <w:adjustRightInd w:val="0"/>
        <w:snapToGrid w:val="0"/>
        <w:spacing w:line="360" w:lineRule="auto"/>
        <w:ind w:firstLine="480" w:firstLineChars="200"/>
        <w:rPr>
          <w:rFonts w:ascii="仿宋_GB2312" w:hAnsi="仿宋_GB2312" w:eastAsia="仿宋_GB2312" w:cs="仿宋_GB2312"/>
        </w:rPr>
      </w:pPr>
      <w:r>
        <w:rPr>
          <w:rFonts w:ascii="仿宋_GB2312" w:hAnsi="仿宋_GB2312" w:eastAsia="仿宋_GB2312" w:cs="仿宋_GB2312"/>
          <w:bCs/>
          <w:sz w:val="24"/>
          <w:shd w:val="clear" w:color="auto" w:fill="FFFFFF"/>
        </w:rPr>
        <w:t>因合同一方迟延履行合同义务，在迟延履行期间遭遇不可抗力的，不免除其违约责任。</w:t>
      </w:r>
    </w:p>
    <w:p>
      <w:pPr>
        <w:tabs>
          <w:tab w:val="left" w:pos="1248"/>
        </w:tabs>
        <w:adjustRightInd w:val="0"/>
        <w:snapToGrid w:val="0"/>
        <w:spacing w:line="360" w:lineRule="auto"/>
        <w:ind w:firstLine="482" w:firstLineChars="200"/>
        <w:outlineLvl w:val="1"/>
        <w:rPr>
          <w:rFonts w:ascii="仿宋_GB2312" w:hAnsi="仿宋_GB2312" w:eastAsia="仿宋_GB2312" w:cs="仿宋_GB2312"/>
          <w:b/>
          <w:sz w:val="24"/>
        </w:rPr>
      </w:pPr>
      <w:r>
        <w:rPr>
          <w:rFonts w:hint="eastAsia" w:ascii="仿宋_GB2312" w:hAnsi="仿宋_GB2312" w:eastAsia="仿宋_GB2312" w:cs="仿宋_GB2312"/>
          <w:b/>
          <w:sz w:val="24"/>
        </w:rPr>
        <w:t>13.合同终止</w:t>
      </w:r>
    </w:p>
    <w:p>
      <w:pPr>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bCs/>
          <w:sz w:val="24"/>
        </w:rPr>
        <w:t xml:space="preserve">13.1 </w:t>
      </w:r>
      <w:r>
        <w:rPr>
          <w:rFonts w:hint="eastAsia" w:ascii="仿宋_GB2312" w:hAnsi="仿宋_GB2312" w:eastAsia="仿宋_GB2312" w:cs="仿宋_GB2312"/>
          <w:kern w:val="0"/>
          <w:sz w:val="24"/>
        </w:rPr>
        <w:t>甲方、乙方履行合同全部义务，合同价款支付完毕，本合同即告终止。</w:t>
      </w:r>
    </w:p>
    <w:p>
      <w:pPr>
        <w:tabs>
          <w:tab w:val="left" w:pos="1248"/>
        </w:tabs>
        <w:adjustRightInd w:val="0"/>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13.2合同的权利义务终止后，合同当事人应遵循诚实信用原则，履行通知、协助和保密等义务。</w:t>
      </w:r>
    </w:p>
    <w:p>
      <w:pPr>
        <w:snapToGrid w:val="0"/>
        <w:spacing w:line="360" w:lineRule="auto"/>
        <w:ind w:firstLine="480"/>
        <w:outlineLvl w:val="1"/>
        <w:rPr>
          <w:rFonts w:ascii="仿宋_GB2312" w:hAnsi="仿宋_GB2312" w:eastAsia="仿宋_GB2312" w:cs="仿宋_GB2312"/>
          <w:b/>
          <w:sz w:val="24"/>
        </w:rPr>
      </w:pPr>
      <w:r>
        <w:rPr>
          <w:rFonts w:hint="eastAsia" w:ascii="仿宋_GB2312" w:hAnsi="仿宋_GB2312" w:eastAsia="仿宋_GB2312" w:cs="仿宋_GB2312"/>
          <w:b/>
          <w:sz w:val="24"/>
        </w:rPr>
        <w:t>14.合同解除</w:t>
      </w:r>
    </w:p>
    <w:p>
      <w:pPr>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14.1本合同一经签订，双方不得擅自变更、解除合同。</w:t>
      </w:r>
    </w:p>
    <w:p>
      <w:pPr>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14.2有下列情形之一的，合同当事人一方或双方可以解除合同：</w:t>
      </w:r>
    </w:p>
    <w:p>
      <w:pPr>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（1）乙方将本合同约定的物资及服务工作全部或部分转包给他人，甲方有权解除合同；</w:t>
      </w:r>
    </w:p>
    <w:p>
      <w:pPr>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（2）乙方提供的物资及服务不符合合同约定的要求，经甲方催告仍不能达到合同约定要求的，甲方有权解除合同；</w:t>
      </w:r>
    </w:p>
    <w:p>
      <w:pPr>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（3）因不可抗力致使合同无法履行；</w:t>
      </w:r>
    </w:p>
    <w:p>
      <w:pPr>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（4）因一方违约致使合同无法实际履行或实际履行已无必要；</w:t>
      </w:r>
    </w:p>
    <w:p>
      <w:pPr>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（5）违约金总额超过合同签约合同价的20%，甲方有权解除合同。</w:t>
      </w:r>
    </w:p>
    <w:p>
      <w:pPr>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14.3任何一方提出解除合同的，应提前30天书面通知对方，违约方应赔偿由此给守约方造成的直接损失和间接损失。</w:t>
      </w:r>
      <w:r>
        <w:rPr>
          <w:rFonts w:ascii="仿宋_GB2312" w:hAnsi="仿宋_GB2312" w:eastAsia="仿宋_GB2312" w:cs="仿宋_GB2312"/>
          <w:sz w:val="24"/>
        </w:rPr>
        <w:t>因不可抗力导致的合同解除，双方各自承担自身的损失。</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14</w:t>
      </w:r>
      <w:r>
        <w:rPr>
          <w:rFonts w:ascii="仿宋_GB2312" w:hAnsi="仿宋_GB2312" w:eastAsia="仿宋_GB2312" w:cs="仿宋_GB2312"/>
          <w:sz w:val="24"/>
        </w:rPr>
        <w:t>.</w:t>
      </w:r>
      <w:r>
        <w:rPr>
          <w:rFonts w:hint="eastAsia" w:ascii="仿宋_GB2312" w:hAnsi="仿宋_GB2312" w:eastAsia="仿宋_GB2312" w:cs="仿宋_GB2312"/>
          <w:sz w:val="24"/>
        </w:rPr>
        <w:t>4因乙方原因提前终止合同的，乙方应承担由此给甲方造成的损失，甲方有权没收乙方所交履约担保（如有），同时甲方有权要求乙方按签约合同价的20%交纳违约金。</w:t>
      </w:r>
      <w:r>
        <w:rPr>
          <w:rFonts w:ascii="仿宋_GB2312" w:hAnsi="仿宋_GB2312" w:eastAsia="仿宋_GB2312" w:cs="仿宋_GB2312"/>
          <w:sz w:val="24"/>
        </w:rPr>
        <w:t>解除部分合同的，甲方</w:t>
      </w:r>
      <w:r>
        <w:rPr>
          <w:rFonts w:hint="eastAsia" w:ascii="仿宋_GB2312" w:hAnsi="仿宋_GB2312" w:eastAsia="仿宋_GB2312" w:cs="仿宋_GB2312"/>
          <w:sz w:val="24"/>
        </w:rPr>
        <w:t>有权另行</w:t>
      </w:r>
      <w:r>
        <w:rPr>
          <w:rFonts w:ascii="仿宋_GB2312" w:hAnsi="仿宋_GB2312" w:eastAsia="仿宋_GB2312" w:cs="仿宋_GB2312"/>
          <w:sz w:val="24"/>
        </w:rPr>
        <w:t>采购</w:t>
      </w:r>
      <w:r>
        <w:rPr>
          <w:rFonts w:hint="eastAsia" w:ascii="仿宋_GB2312" w:hAnsi="仿宋_GB2312" w:eastAsia="仿宋_GB2312" w:cs="仿宋_GB2312"/>
          <w:sz w:val="24"/>
        </w:rPr>
        <w:t>因部分解除合同而</w:t>
      </w:r>
      <w:r>
        <w:rPr>
          <w:rFonts w:ascii="仿宋_GB2312" w:hAnsi="仿宋_GB2312" w:eastAsia="仿宋_GB2312" w:cs="仿宋_GB2312"/>
          <w:sz w:val="24"/>
        </w:rPr>
        <w:t>乙方未履行部分</w:t>
      </w:r>
      <w:r>
        <w:rPr>
          <w:rFonts w:hint="eastAsia" w:ascii="仿宋_GB2312" w:hAnsi="仿宋_GB2312" w:eastAsia="仿宋_GB2312" w:cs="仿宋_GB2312"/>
          <w:sz w:val="24"/>
        </w:rPr>
        <w:t>，</w:t>
      </w:r>
      <w:r>
        <w:rPr>
          <w:rFonts w:ascii="仿宋_GB2312" w:hAnsi="仿宋_GB2312" w:eastAsia="仿宋_GB2312" w:cs="仿宋_GB2312"/>
          <w:sz w:val="24"/>
        </w:rPr>
        <w:t>乙方应承担甲方</w:t>
      </w:r>
      <w:r>
        <w:rPr>
          <w:rFonts w:hint="eastAsia" w:ascii="仿宋_GB2312" w:hAnsi="仿宋_GB2312" w:eastAsia="仿宋_GB2312" w:cs="仿宋_GB2312"/>
          <w:sz w:val="24"/>
        </w:rPr>
        <w:t>由此产生的</w:t>
      </w:r>
      <w:r>
        <w:rPr>
          <w:rFonts w:ascii="仿宋_GB2312" w:hAnsi="仿宋_GB2312" w:eastAsia="仿宋_GB2312" w:cs="仿宋_GB2312"/>
          <w:sz w:val="24"/>
        </w:rPr>
        <w:t>费用并继续履行合同中未解除的部分。</w:t>
      </w:r>
    </w:p>
    <w:p>
      <w:pPr>
        <w:tabs>
          <w:tab w:val="left" w:pos="1248"/>
        </w:tabs>
        <w:adjustRightInd w:val="0"/>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14</w:t>
      </w:r>
      <w:r>
        <w:rPr>
          <w:rFonts w:ascii="仿宋_GB2312" w:hAnsi="仿宋_GB2312" w:eastAsia="仿宋_GB2312" w:cs="仿宋_GB2312"/>
          <w:sz w:val="24"/>
        </w:rPr>
        <w:t>.</w:t>
      </w:r>
      <w:r>
        <w:rPr>
          <w:rFonts w:hint="eastAsia" w:ascii="仿宋_GB2312" w:hAnsi="仿宋_GB2312" w:eastAsia="仿宋_GB2312" w:cs="仿宋_GB2312"/>
          <w:sz w:val="24"/>
        </w:rPr>
        <w:t>5</w:t>
      </w:r>
      <w:r>
        <w:rPr>
          <w:rFonts w:ascii="仿宋_GB2312" w:hAnsi="仿宋_GB2312" w:eastAsia="仿宋_GB2312" w:cs="仿宋_GB2312"/>
          <w:sz w:val="24"/>
        </w:rPr>
        <w:t>合同解除后，本合同约定的有关结算、争议解决方式的条款仍然有效。</w:t>
      </w:r>
    </w:p>
    <w:p>
      <w:pPr>
        <w:tabs>
          <w:tab w:val="left" w:pos="1248"/>
        </w:tabs>
        <w:adjustRightInd w:val="0"/>
        <w:snapToGrid w:val="0"/>
        <w:spacing w:line="360" w:lineRule="auto"/>
        <w:ind w:firstLine="482" w:firstLineChars="200"/>
        <w:outlineLvl w:val="1"/>
        <w:rPr>
          <w:rFonts w:ascii="仿宋_GB2312" w:hAnsi="仿宋_GB2312" w:eastAsia="仿宋_GB2312" w:cs="仿宋_GB2312"/>
          <w:b/>
          <w:sz w:val="24"/>
        </w:rPr>
      </w:pPr>
      <w:bookmarkStart w:id="89" w:name="_Toc19594"/>
      <w:r>
        <w:rPr>
          <w:rFonts w:hint="eastAsia" w:ascii="仿宋_GB2312" w:hAnsi="仿宋_GB2312" w:eastAsia="仿宋_GB2312" w:cs="仿宋_GB2312"/>
          <w:b/>
          <w:sz w:val="24"/>
        </w:rPr>
        <w:t>15.争议解决</w:t>
      </w:r>
      <w:bookmarkEnd w:id="89"/>
    </w:p>
    <w:p>
      <w:pPr>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因本合同以及与本合同有关事项发生争议的，双方可以就争议自行和解，也可以就争议请求行政主管部门、行业协会或其他第三方进行调解。自行和解或双方调解达成协议的，经签字并盖章后作为合同补充文件，双方均应遵照执行。当事人不愿和解、调解或者和解、调解不成的，采取下列第</w:t>
      </w:r>
      <w:r>
        <w:rPr>
          <w:rFonts w:hint="eastAsia" w:ascii="仿宋_GB2312" w:hAnsi="仿宋_GB2312" w:eastAsia="仿宋_GB2312" w:cs="仿宋_GB2312"/>
          <w:kern w:val="0"/>
          <w:sz w:val="24"/>
          <w:u w:val="single"/>
        </w:rPr>
        <w:t>（2）</w:t>
      </w:r>
      <w:r>
        <w:rPr>
          <w:rFonts w:hint="eastAsia" w:ascii="仿宋_GB2312" w:hAnsi="仿宋_GB2312" w:eastAsia="仿宋_GB2312" w:cs="仿宋_GB2312"/>
          <w:kern w:val="0"/>
          <w:sz w:val="24"/>
        </w:rPr>
        <w:t>种方式解决：</w:t>
      </w:r>
    </w:p>
    <w:p>
      <w:pPr>
        <w:numPr>
          <w:ilvl w:val="0"/>
          <w:numId w:val="6"/>
        </w:numPr>
        <w:tabs>
          <w:tab w:val="left" w:pos="0"/>
        </w:tabs>
        <w:adjustRightInd w:val="0"/>
        <w:snapToGrid w:val="0"/>
        <w:spacing w:line="360" w:lineRule="auto"/>
        <w:ind w:left="7" w:firstLine="413"/>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向</w:t>
      </w:r>
      <w:r>
        <w:rPr>
          <w:rFonts w:hint="eastAsia" w:ascii="仿宋_GB2312" w:hAnsi="仿宋_GB2312" w:eastAsia="仿宋_GB2312" w:cs="仿宋_GB2312"/>
          <w:kern w:val="0"/>
          <w:sz w:val="24"/>
          <w:u w:val="single"/>
        </w:rPr>
        <w:t>长沙</w:t>
      </w:r>
      <w:r>
        <w:rPr>
          <w:rFonts w:hint="eastAsia" w:ascii="仿宋_GB2312" w:hAnsi="仿宋_GB2312" w:eastAsia="仿宋_GB2312" w:cs="仿宋_GB2312"/>
          <w:kern w:val="0"/>
          <w:sz w:val="24"/>
        </w:rPr>
        <w:t>仲裁委员会申请仲裁；</w:t>
      </w:r>
    </w:p>
    <w:p>
      <w:pPr>
        <w:tabs>
          <w:tab w:val="left" w:pos="0"/>
        </w:tabs>
        <w:adjustRightInd w:val="0"/>
        <w:snapToGrid w:val="0"/>
        <w:spacing w:line="360" w:lineRule="auto"/>
        <w:ind w:left="7" w:firstLine="413"/>
        <w:jc w:val="left"/>
        <w:rPr>
          <w:rFonts w:ascii="仿宋_GB2312" w:hAnsi="仿宋_GB2312" w:eastAsia="仿宋_GB2312" w:cs="仿宋_GB2312"/>
          <w:sz w:val="24"/>
        </w:rPr>
      </w:pPr>
      <w:r>
        <w:rPr>
          <w:rFonts w:hint="eastAsia" w:ascii="仿宋_GB2312" w:hAnsi="仿宋_GB2312" w:eastAsia="仿宋_GB2312" w:cs="仿宋_GB2312"/>
          <w:kern w:val="0"/>
          <w:sz w:val="24"/>
        </w:rPr>
        <w:t>（2）向</w:t>
      </w:r>
      <w:r>
        <w:rPr>
          <w:rFonts w:hint="eastAsia" w:ascii="仿宋_GB2312" w:hAnsi="仿宋_GB2312" w:eastAsia="仿宋_GB2312" w:cs="仿宋_GB2312"/>
          <w:kern w:val="0"/>
          <w:sz w:val="24"/>
          <w:u w:val="single"/>
        </w:rPr>
        <w:t>甲方所在地（长沙市雨花区）</w:t>
      </w:r>
      <w:r>
        <w:rPr>
          <w:rFonts w:hint="eastAsia" w:ascii="仿宋_GB2312" w:hAnsi="仿宋_GB2312" w:eastAsia="仿宋_GB2312" w:cs="仿宋_GB2312"/>
          <w:kern w:val="0"/>
          <w:sz w:val="24"/>
        </w:rPr>
        <w:t>人民法院起诉。</w:t>
      </w:r>
    </w:p>
    <w:p>
      <w:pPr>
        <w:tabs>
          <w:tab w:val="left" w:pos="1248"/>
        </w:tabs>
        <w:adjustRightInd w:val="0"/>
        <w:snapToGrid w:val="0"/>
        <w:spacing w:line="360" w:lineRule="auto"/>
        <w:ind w:firstLine="482" w:firstLineChars="200"/>
        <w:outlineLvl w:val="1"/>
        <w:rPr>
          <w:rFonts w:ascii="仿宋_GB2312" w:hAnsi="仿宋_GB2312" w:eastAsia="仿宋_GB2312" w:cs="仿宋_GB2312"/>
          <w:b/>
          <w:sz w:val="24"/>
        </w:rPr>
      </w:pPr>
      <w:bookmarkStart w:id="90" w:name="_Toc7592"/>
      <w:r>
        <w:rPr>
          <w:rFonts w:hint="eastAsia" w:ascii="仿宋_GB2312" w:hAnsi="仿宋_GB2312" w:eastAsia="仿宋_GB2312" w:cs="仿宋_GB2312"/>
          <w:b/>
          <w:sz w:val="24"/>
        </w:rPr>
        <w:t>16.法律适用</w:t>
      </w:r>
      <w:bookmarkEnd w:id="90"/>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16.1 本合同适用中华人民共和国现行法律、行政法规和规章，如合同条款与法律、行政法规和规章不一致的，按照法律、行政法规和规章修改本合同。</w:t>
      </w:r>
    </w:p>
    <w:p>
      <w:pPr>
        <w:tabs>
          <w:tab w:val="left" w:pos="1248"/>
        </w:tabs>
        <w:adjustRightInd w:val="0"/>
        <w:snapToGrid w:val="0"/>
        <w:spacing w:line="360" w:lineRule="auto"/>
        <w:ind w:firstLine="482" w:firstLineChars="200"/>
        <w:outlineLvl w:val="1"/>
        <w:rPr>
          <w:rFonts w:ascii="仿宋_GB2312" w:hAnsi="仿宋_GB2312" w:eastAsia="仿宋_GB2312" w:cs="仿宋_GB2312"/>
          <w:b/>
          <w:sz w:val="24"/>
        </w:rPr>
      </w:pPr>
      <w:bookmarkStart w:id="91" w:name="_Toc20811"/>
      <w:r>
        <w:rPr>
          <w:rFonts w:hint="eastAsia" w:ascii="仿宋_GB2312" w:hAnsi="仿宋_GB2312" w:eastAsia="仿宋_GB2312" w:cs="仿宋_GB2312"/>
          <w:b/>
          <w:sz w:val="24"/>
        </w:rPr>
        <w:t>17.通知</w:t>
      </w:r>
      <w:bookmarkEnd w:id="91"/>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17.1本合同一方给另一方的通知均应采用书面形式，传真或快递送到本合同中规定的对方的地址和办理签收手续，</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17.2通知以送到之日或通知书中规定的生效之日起生效，两者中以较迟之日为准。</w:t>
      </w:r>
    </w:p>
    <w:p>
      <w:pPr>
        <w:widowControl/>
        <w:tabs>
          <w:tab w:val="left" w:pos="1248"/>
        </w:tabs>
        <w:adjustRightInd w:val="0"/>
        <w:snapToGrid w:val="0"/>
        <w:spacing w:line="360" w:lineRule="auto"/>
        <w:ind w:firstLine="482" w:firstLineChars="200"/>
        <w:rPr>
          <w:rFonts w:ascii="仿宋_GB2312" w:hAnsi="仿宋_GB2312" w:eastAsia="仿宋_GB2312" w:cs="仿宋_GB2312"/>
          <w:bCs/>
          <w:sz w:val="24"/>
        </w:rPr>
      </w:pPr>
      <w:bookmarkStart w:id="92" w:name="_Toc5979"/>
      <w:r>
        <w:rPr>
          <w:rFonts w:hint="eastAsia" w:ascii="仿宋_GB2312" w:hAnsi="仿宋_GB2312" w:eastAsia="仿宋_GB2312" w:cs="仿宋_GB2312"/>
          <w:b/>
          <w:bCs/>
          <w:sz w:val="24"/>
        </w:rPr>
        <w:t>18</w:t>
      </w:r>
      <w:r>
        <w:rPr>
          <w:rFonts w:hint="eastAsia" w:ascii="仿宋_GB2312" w:hAnsi="仿宋_GB2312" w:eastAsia="仿宋_GB2312" w:cs="仿宋_GB2312"/>
          <w:b/>
          <w:sz w:val="24"/>
        </w:rPr>
        <w:t>.</w:t>
      </w:r>
      <w:r>
        <w:rPr>
          <w:rFonts w:hint="eastAsia" w:ascii="仿宋_GB2312" w:hAnsi="仿宋_GB2312" w:eastAsia="仿宋_GB2312" w:cs="仿宋_GB2312"/>
          <w:b/>
          <w:bCs/>
          <w:sz w:val="24"/>
        </w:rPr>
        <w:t>双方约定的其他事项</w:t>
      </w:r>
      <w:bookmarkEnd w:id="92"/>
      <w:r>
        <w:rPr>
          <w:rFonts w:hint="eastAsia" w:ascii="仿宋_GB2312" w:hAnsi="仿宋_GB2312" w:eastAsia="仿宋_GB2312" w:cs="仿宋_GB2312"/>
          <w:bCs/>
          <w:sz w:val="24"/>
        </w:rPr>
        <w:t>（</w:t>
      </w:r>
      <w:bookmarkStart w:id="93" w:name="_Toc9260"/>
      <w:bookmarkStart w:id="94" w:name="_Toc437444970"/>
      <w:r>
        <w:rPr>
          <w:rFonts w:hint="eastAsia" w:ascii="仿宋_GB2312" w:hAnsi="仿宋_GB2312" w:eastAsia="仿宋_GB2312" w:cs="仿宋_GB2312"/>
          <w:bCs/>
          <w:sz w:val="24"/>
        </w:rPr>
        <w:t>本条约定与合同条款中其他约定不一致时，以本条为准）：</w:t>
      </w:r>
      <w:r>
        <w:rPr>
          <w:rFonts w:hint="eastAsia" w:ascii="仿宋_GB2312" w:hAnsi="仿宋_GB2312" w:eastAsia="仿宋_GB2312" w:cs="仿宋_GB2312"/>
          <w:bCs/>
          <w:sz w:val="24"/>
          <w:u w:val="single"/>
        </w:rPr>
        <w:t>根据甲方需要，本合同执行过程中，甲方均使用合同章向乙方出具通知、函件等文件，甲方对使用合同章向乙方所发通知、函件等文件均予以认可</w:t>
      </w:r>
      <w:r>
        <w:rPr>
          <w:rFonts w:hint="eastAsia" w:ascii="仿宋_GB2312" w:hAnsi="仿宋_GB2312" w:eastAsia="仿宋_GB2312" w:cs="仿宋_GB2312"/>
          <w:bCs/>
          <w:sz w:val="24"/>
        </w:rPr>
        <w:t>。</w:t>
      </w:r>
    </w:p>
    <w:p>
      <w:pPr>
        <w:tabs>
          <w:tab w:val="left" w:pos="900"/>
        </w:tabs>
        <w:adjustRightInd w:val="0"/>
        <w:snapToGrid w:val="0"/>
        <w:spacing w:line="360" w:lineRule="auto"/>
        <w:jc w:val="center"/>
        <w:textAlignment w:val="baseline"/>
        <w:outlineLvl w:val="0"/>
        <w:rPr>
          <w:rFonts w:ascii="仿宋_GB2312" w:hAnsi="仿宋_GB2312" w:eastAsia="仿宋_GB2312" w:cs="仿宋_GB2312"/>
          <w:sz w:val="24"/>
        </w:rPr>
      </w:pPr>
      <w:r>
        <w:rPr>
          <w:rFonts w:hint="eastAsia" w:ascii="仿宋_GB2312" w:hAnsi="仿宋_GB2312" w:eastAsia="仿宋_GB2312" w:cs="仿宋_GB2312"/>
          <w:b/>
          <w:sz w:val="24"/>
        </w:rPr>
        <w:br w:type="page"/>
      </w:r>
      <w:bookmarkStart w:id="95" w:name="_Toc24687"/>
      <w:r>
        <w:rPr>
          <w:rFonts w:hint="eastAsia" w:ascii="仿宋_GB2312" w:hAnsi="仿宋_GB2312" w:eastAsia="仿宋_GB2312" w:cs="仿宋_GB2312"/>
          <w:b/>
          <w:sz w:val="32"/>
          <w:szCs w:val="32"/>
        </w:rPr>
        <w:t xml:space="preserve">第三部分 </w:t>
      </w:r>
      <w:bookmarkEnd w:id="93"/>
      <w:bookmarkEnd w:id="94"/>
      <w:bookmarkEnd w:id="95"/>
      <w:bookmarkStart w:id="96" w:name="_Toc14554"/>
      <w:bookmarkStart w:id="97" w:name="_Toc2997"/>
      <w:bookmarkStart w:id="98" w:name="_Toc319826220"/>
      <w:r>
        <w:rPr>
          <w:rFonts w:hint="eastAsia" w:ascii="仿宋_GB2312" w:hAnsi="仿宋_GB2312" w:eastAsia="仿宋_GB2312" w:cs="仿宋_GB2312"/>
          <w:b/>
          <w:sz w:val="32"/>
          <w:szCs w:val="32"/>
        </w:rPr>
        <w:t>合同附件</w:t>
      </w:r>
      <w:bookmarkEnd w:id="96"/>
      <w:bookmarkEnd w:id="97"/>
      <w:bookmarkEnd w:id="98"/>
      <w:bookmarkStart w:id="99" w:name="_Toc437444971"/>
      <w:bookmarkStart w:id="100" w:name="_Toc411417798"/>
      <w:bookmarkStart w:id="101" w:name="_Toc26723"/>
    </w:p>
    <w:p>
      <w:pPr>
        <w:adjustRightInd w:val="0"/>
        <w:snapToGrid w:val="0"/>
        <w:rPr>
          <w:rFonts w:ascii="仿宋_GB2312" w:hAnsi="仿宋" w:eastAsia="仿宋_GB2312"/>
          <w:b/>
          <w:sz w:val="24"/>
        </w:rPr>
      </w:pPr>
      <w:bookmarkStart w:id="102" w:name="_Toc17490"/>
      <w:bookmarkStart w:id="103" w:name="_Toc19384"/>
      <w:r>
        <w:rPr>
          <w:rFonts w:hint="eastAsia" w:ascii="仿宋_GB2312" w:hAnsi="仿宋" w:eastAsia="仿宋_GB2312"/>
          <w:b/>
          <w:sz w:val="24"/>
        </w:rPr>
        <w:t>附件1 廉政协议</w:t>
      </w:r>
    </w:p>
    <w:p>
      <w:pPr>
        <w:adjustRightInd w:val="0"/>
        <w:snapToGrid w:val="0"/>
        <w:jc w:val="center"/>
        <w:rPr>
          <w:rFonts w:ascii="仿宋_GB2312" w:hAnsi="仿宋" w:eastAsia="仿宋_GB2312"/>
          <w:b/>
          <w:sz w:val="32"/>
          <w:szCs w:val="32"/>
        </w:rPr>
      </w:pPr>
      <w:r>
        <w:rPr>
          <w:rFonts w:hint="eastAsia" w:ascii="仿宋_GB2312" w:hAnsi="仿宋" w:eastAsia="仿宋_GB2312"/>
          <w:b/>
          <w:sz w:val="32"/>
          <w:szCs w:val="32"/>
        </w:rPr>
        <w:t>廉政协议</w:t>
      </w:r>
    </w:p>
    <w:p>
      <w:pPr>
        <w:widowControl/>
        <w:snapToGrid w:val="0"/>
        <w:spacing w:line="360" w:lineRule="auto"/>
        <w:jc w:val="left"/>
        <w:rPr>
          <w:rFonts w:ascii="仿宋_GB2312" w:hAnsi="仿宋" w:eastAsia="仿宋_GB2312" w:cs="Arial"/>
          <w:kern w:val="0"/>
          <w:sz w:val="24"/>
          <w:lang w:bidi="en-US"/>
        </w:rPr>
      </w:pPr>
    </w:p>
    <w:p>
      <w:pPr>
        <w:pStyle w:val="13"/>
        <w:snapToGrid w:val="0"/>
        <w:spacing w:line="440" w:lineRule="exact"/>
        <w:ind w:firstLine="0"/>
        <w:rPr>
          <w:rFonts w:ascii="仿宋_GB2312" w:hAnsi="仿宋" w:eastAsia="仿宋_GB2312" w:cs="仿宋"/>
          <w:sz w:val="24"/>
          <w:u w:val="single"/>
        </w:rPr>
      </w:pPr>
      <w:r>
        <w:rPr>
          <w:rFonts w:hint="eastAsia" w:ascii="仿宋_GB2312" w:hAnsi="仿宋" w:eastAsia="仿宋_GB2312" w:cs="仿宋"/>
          <w:sz w:val="24"/>
        </w:rPr>
        <w:t>甲方：</w:t>
      </w:r>
      <w:r>
        <w:rPr>
          <w:rFonts w:hint="eastAsia" w:ascii="仿宋_GB2312" w:hAnsi="仿宋" w:eastAsia="仿宋_GB2312" w:cs="仿宋"/>
          <w:sz w:val="24"/>
          <w:u w:val="single"/>
        </w:rPr>
        <w:t xml:space="preserve">                           </w:t>
      </w:r>
    </w:p>
    <w:p>
      <w:pPr>
        <w:pStyle w:val="13"/>
        <w:snapToGrid w:val="0"/>
        <w:spacing w:line="440" w:lineRule="exact"/>
        <w:ind w:firstLine="0"/>
        <w:rPr>
          <w:rFonts w:ascii="仿宋_GB2312" w:hAnsi="仿宋" w:eastAsia="仿宋_GB2312" w:cs="仿宋"/>
          <w:sz w:val="24"/>
        </w:rPr>
      </w:pPr>
      <w:r>
        <w:rPr>
          <w:rFonts w:hint="eastAsia" w:ascii="仿宋_GB2312" w:hAnsi="仿宋" w:eastAsia="仿宋_GB2312" w:cs="仿宋"/>
          <w:sz w:val="24"/>
        </w:rPr>
        <w:t>乙方：</w:t>
      </w:r>
      <w:r>
        <w:rPr>
          <w:rFonts w:hint="eastAsia" w:ascii="仿宋_GB2312" w:hAnsi="仿宋" w:eastAsia="仿宋_GB2312" w:cs="仿宋"/>
          <w:sz w:val="24"/>
          <w:u w:val="single"/>
        </w:rPr>
        <w:t xml:space="preserve">                           </w:t>
      </w:r>
    </w:p>
    <w:p>
      <w:pPr>
        <w:adjustRightInd w:val="0"/>
        <w:snapToGrid w:val="0"/>
        <w:spacing w:line="440" w:lineRule="exact"/>
        <w:ind w:firstLine="480"/>
        <w:jc w:val="left"/>
        <w:rPr>
          <w:rFonts w:ascii="仿宋_GB2312" w:hAnsi="仿宋" w:eastAsia="仿宋_GB2312" w:cs="仿宋"/>
          <w:sz w:val="24"/>
        </w:rPr>
      </w:pPr>
      <w:r>
        <w:rPr>
          <w:rFonts w:hint="eastAsia" w:ascii="仿宋_GB2312" w:hAnsi="仿宋" w:eastAsia="仿宋_GB2312" w:cs="仿宋"/>
          <w:sz w:val="24"/>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ascii="仿宋_GB2312" w:hAnsi="仿宋" w:eastAsia="仿宋_GB2312" w:cs="仿宋"/>
          <w:b/>
          <w:sz w:val="24"/>
        </w:rPr>
      </w:pPr>
      <w:bookmarkStart w:id="104" w:name="_Toc59900969"/>
      <w:bookmarkStart w:id="105" w:name="_Toc59896701"/>
      <w:r>
        <w:rPr>
          <w:rFonts w:hint="eastAsia" w:ascii="仿宋_GB2312" w:hAnsi="仿宋" w:eastAsia="仿宋_GB2312" w:cs="仿宋"/>
          <w:b/>
          <w:sz w:val="24"/>
        </w:rPr>
        <w:t xml:space="preserve">第一条 </w:t>
      </w:r>
      <w:bookmarkEnd w:id="104"/>
      <w:bookmarkEnd w:id="105"/>
      <w:r>
        <w:rPr>
          <w:rFonts w:hint="eastAsia" w:ascii="仿宋_GB2312" w:hAnsi="仿宋" w:eastAsia="仿宋_GB2312" w:cs="仿宋"/>
          <w:b/>
          <w:sz w:val="24"/>
        </w:rPr>
        <w:t>共同责任</w:t>
      </w:r>
    </w:p>
    <w:p>
      <w:pPr>
        <w:adjustRightInd w:val="0"/>
        <w:snapToGrid w:val="0"/>
        <w:spacing w:line="440" w:lineRule="exact"/>
        <w:ind w:firstLine="480"/>
        <w:rPr>
          <w:rFonts w:ascii="仿宋_GB2312" w:hAnsi="仿宋" w:eastAsia="仿宋_GB2312" w:cs="仿宋"/>
          <w:sz w:val="24"/>
        </w:rPr>
      </w:pPr>
      <w:r>
        <w:rPr>
          <w:rFonts w:hint="eastAsia" w:ascii="仿宋_GB2312" w:hAnsi="仿宋" w:eastAsia="仿宋_GB2312" w:cs="仿宋"/>
          <w:sz w:val="24"/>
        </w:rPr>
        <w:t>（一）严格遵守党和国家有关法律法规及湖南省、长沙市的相关规定。</w:t>
      </w:r>
    </w:p>
    <w:p>
      <w:pPr>
        <w:adjustRightInd w:val="0"/>
        <w:snapToGrid w:val="0"/>
        <w:spacing w:line="440" w:lineRule="exact"/>
        <w:ind w:firstLine="480"/>
        <w:rPr>
          <w:rFonts w:ascii="仿宋_GB2312" w:hAnsi="仿宋" w:eastAsia="仿宋_GB2312" w:cs="仿宋"/>
          <w:sz w:val="24"/>
        </w:rPr>
      </w:pPr>
      <w:r>
        <w:rPr>
          <w:rFonts w:hint="eastAsia" w:ascii="仿宋_GB2312" w:hAnsi="仿宋" w:eastAsia="仿宋_GB2312" w:cs="仿宋"/>
          <w:sz w:val="24"/>
        </w:rPr>
        <w:t>（二）严格执行</w:t>
      </w:r>
      <w:r>
        <w:rPr>
          <w:rFonts w:hint="eastAsia" w:ascii="仿宋_GB2312" w:hAnsi="仿宋" w:eastAsia="仿宋_GB2312" w:cs="仿宋"/>
          <w:sz w:val="24"/>
          <w:u w:val="single"/>
        </w:rPr>
        <w:t xml:space="preserve">                       </w:t>
      </w:r>
      <w:r>
        <w:rPr>
          <w:rFonts w:hint="eastAsia" w:ascii="仿宋_GB2312" w:hAnsi="仿宋" w:eastAsia="仿宋_GB2312" w:cs="仿宋"/>
          <w:sz w:val="24"/>
        </w:rPr>
        <w:t>（以下称主合同）的合同文件，自觉按合同办事。</w:t>
      </w:r>
    </w:p>
    <w:p>
      <w:pPr>
        <w:adjustRightInd w:val="0"/>
        <w:snapToGrid w:val="0"/>
        <w:spacing w:line="440" w:lineRule="exact"/>
        <w:ind w:firstLine="480"/>
        <w:rPr>
          <w:rFonts w:ascii="仿宋_GB2312" w:hAnsi="仿宋" w:eastAsia="仿宋_GB2312" w:cs="仿宋"/>
          <w:sz w:val="24"/>
        </w:rPr>
      </w:pPr>
      <w:r>
        <w:rPr>
          <w:rFonts w:hint="eastAsia" w:ascii="仿宋_GB2312" w:hAnsi="仿宋" w:eastAsia="仿宋_GB2312" w:cs="仿宋"/>
          <w:sz w:val="24"/>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ascii="仿宋_GB2312" w:hAnsi="仿宋" w:eastAsia="仿宋_GB2312" w:cs="仿宋"/>
          <w:sz w:val="24"/>
        </w:rPr>
      </w:pPr>
      <w:r>
        <w:rPr>
          <w:rFonts w:hint="eastAsia" w:ascii="仿宋_GB2312" w:hAnsi="仿宋" w:eastAsia="仿宋_GB2312" w:cs="仿宋"/>
          <w:sz w:val="24"/>
        </w:rPr>
        <w:t>（四）建立健全廉政制度，开展廉政教育，设立廉政告示牌，公布举报电话，监督并认真查处违纪违法行为。</w:t>
      </w:r>
    </w:p>
    <w:p>
      <w:pPr>
        <w:adjustRightInd w:val="0"/>
        <w:snapToGrid w:val="0"/>
        <w:spacing w:line="440" w:lineRule="exact"/>
        <w:ind w:firstLine="480"/>
        <w:rPr>
          <w:rFonts w:ascii="仿宋_GB2312" w:hAnsi="仿宋" w:eastAsia="仿宋_GB2312" w:cs="仿宋"/>
          <w:sz w:val="24"/>
        </w:rPr>
      </w:pPr>
      <w:r>
        <w:rPr>
          <w:rFonts w:hint="eastAsia" w:ascii="仿宋_GB2312" w:hAnsi="仿宋" w:eastAsia="仿宋_GB2312" w:cs="仿宋"/>
          <w:sz w:val="24"/>
        </w:rPr>
        <w:t>（五）发现对方在业务活动中有违反廉政规定的行为，有及时提醒对方纠正的权利和义务。</w:t>
      </w:r>
    </w:p>
    <w:p>
      <w:pPr>
        <w:adjustRightInd w:val="0"/>
        <w:snapToGrid w:val="0"/>
        <w:spacing w:line="440" w:lineRule="exact"/>
        <w:ind w:firstLine="480"/>
        <w:rPr>
          <w:rFonts w:ascii="仿宋_GB2312" w:hAnsi="仿宋" w:eastAsia="仿宋_GB2312" w:cs="仿宋"/>
          <w:b/>
          <w:sz w:val="24"/>
        </w:rPr>
      </w:pPr>
      <w:r>
        <w:rPr>
          <w:rFonts w:hint="eastAsia" w:ascii="仿宋_GB2312" w:hAnsi="仿宋" w:eastAsia="仿宋_GB2312" w:cs="仿宋"/>
          <w:b/>
          <w:sz w:val="24"/>
        </w:rPr>
        <w:t>第二条 共同权利</w:t>
      </w:r>
    </w:p>
    <w:p>
      <w:pPr>
        <w:adjustRightInd w:val="0"/>
        <w:snapToGrid w:val="0"/>
        <w:spacing w:line="440" w:lineRule="exact"/>
        <w:rPr>
          <w:rFonts w:ascii="仿宋_GB2312" w:hAnsi="仿宋" w:eastAsia="仿宋_GB2312" w:cs="仿宋"/>
          <w:sz w:val="24"/>
        </w:rPr>
      </w:pPr>
      <w:r>
        <w:rPr>
          <w:rFonts w:hint="eastAsia" w:ascii="仿宋_GB2312" w:hAnsi="仿宋" w:eastAsia="仿宋_GB2312" w:cs="仿宋"/>
          <w:sz w:val="24"/>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ascii="仿宋_GB2312" w:hAnsi="仿宋" w:eastAsia="仿宋_GB2312" w:cs="仿宋"/>
          <w:b/>
          <w:sz w:val="24"/>
        </w:rPr>
      </w:pPr>
      <w:bookmarkStart w:id="106" w:name="_Toc59896702"/>
      <w:bookmarkStart w:id="107" w:name="_Toc59900970"/>
      <w:r>
        <w:rPr>
          <w:rFonts w:hint="eastAsia" w:ascii="仿宋_GB2312" w:hAnsi="仿宋" w:eastAsia="仿宋_GB2312" w:cs="仿宋"/>
          <w:b/>
          <w:sz w:val="24"/>
        </w:rPr>
        <w:t>第三条 甲方的义务</w:t>
      </w:r>
      <w:bookmarkEnd w:id="106"/>
      <w:bookmarkEnd w:id="107"/>
    </w:p>
    <w:p>
      <w:pPr>
        <w:adjustRightInd w:val="0"/>
        <w:snapToGrid w:val="0"/>
        <w:spacing w:line="440" w:lineRule="exact"/>
        <w:ind w:firstLine="480"/>
        <w:rPr>
          <w:rFonts w:ascii="仿宋_GB2312" w:hAnsi="仿宋" w:eastAsia="仿宋_GB2312" w:cs="仿宋"/>
          <w:sz w:val="24"/>
        </w:rPr>
      </w:pPr>
      <w:r>
        <w:rPr>
          <w:rFonts w:hint="eastAsia" w:ascii="仿宋_GB2312" w:hAnsi="仿宋" w:eastAsia="仿宋_GB2312" w:cs="仿宋"/>
          <w:sz w:val="24"/>
        </w:rPr>
        <w:t>（一）甲方及其工作人员不得索要或接受乙方的礼金、有价证券和贵重物品。</w:t>
      </w:r>
    </w:p>
    <w:p>
      <w:pPr>
        <w:adjustRightInd w:val="0"/>
        <w:snapToGrid w:val="0"/>
        <w:spacing w:line="440" w:lineRule="exact"/>
        <w:ind w:firstLine="480"/>
        <w:rPr>
          <w:rFonts w:ascii="仿宋_GB2312" w:hAnsi="仿宋" w:eastAsia="仿宋_GB2312" w:cs="仿宋"/>
          <w:sz w:val="24"/>
        </w:rPr>
      </w:pPr>
      <w:r>
        <w:rPr>
          <w:rFonts w:hint="eastAsia" w:ascii="仿宋_GB2312" w:hAnsi="仿宋" w:eastAsia="仿宋_GB2312" w:cs="仿宋"/>
          <w:sz w:val="24"/>
        </w:rPr>
        <w:t>（二）甲方及其工作人员不得在乙方报销任何应由甲方或个人支付的费用等。</w:t>
      </w:r>
    </w:p>
    <w:p>
      <w:pPr>
        <w:adjustRightInd w:val="0"/>
        <w:snapToGrid w:val="0"/>
        <w:spacing w:line="440" w:lineRule="exact"/>
        <w:ind w:firstLine="480"/>
        <w:rPr>
          <w:rFonts w:ascii="仿宋_GB2312" w:hAnsi="仿宋" w:eastAsia="仿宋_GB2312" w:cs="仿宋"/>
          <w:sz w:val="24"/>
        </w:rPr>
      </w:pPr>
      <w:r>
        <w:rPr>
          <w:rFonts w:hint="eastAsia" w:ascii="仿宋_GB2312" w:hAnsi="仿宋" w:eastAsia="仿宋_GB2312" w:cs="仿宋"/>
          <w:sz w:val="24"/>
        </w:rPr>
        <w:t>（三）甲方及其工作人员不得参加乙方安排的超标准宴请和娱乐活动。</w:t>
      </w:r>
    </w:p>
    <w:p>
      <w:pPr>
        <w:adjustRightInd w:val="0"/>
        <w:snapToGrid w:val="0"/>
        <w:spacing w:line="440" w:lineRule="exact"/>
        <w:ind w:firstLine="480"/>
        <w:rPr>
          <w:rFonts w:ascii="仿宋_GB2312" w:hAnsi="仿宋" w:eastAsia="仿宋_GB2312" w:cs="仿宋"/>
          <w:sz w:val="24"/>
        </w:rPr>
      </w:pPr>
      <w:r>
        <w:rPr>
          <w:rFonts w:hint="eastAsia" w:ascii="仿宋_GB2312" w:hAnsi="仿宋" w:eastAsia="仿宋_GB2312" w:cs="仿宋"/>
          <w:sz w:val="24"/>
        </w:rPr>
        <w:t>（四）甲方及其工作人员不得接受乙方提供的通讯工具、交通工具和高档办公用品等。</w:t>
      </w:r>
    </w:p>
    <w:p>
      <w:pPr>
        <w:adjustRightInd w:val="0"/>
        <w:snapToGrid w:val="0"/>
        <w:spacing w:line="440" w:lineRule="exact"/>
        <w:ind w:firstLine="480"/>
        <w:rPr>
          <w:rFonts w:ascii="仿宋_GB2312" w:hAnsi="仿宋" w:eastAsia="仿宋_GB2312" w:cs="仿宋"/>
          <w:sz w:val="24"/>
        </w:rPr>
      </w:pPr>
      <w:r>
        <w:rPr>
          <w:rFonts w:hint="eastAsia" w:ascii="仿宋_GB2312" w:hAnsi="仿宋" w:eastAsia="仿宋_GB2312" w:cs="仿宋"/>
          <w:sz w:val="24"/>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ascii="仿宋_GB2312" w:hAnsi="仿宋" w:eastAsia="仿宋_GB2312" w:cs="仿宋"/>
          <w:sz w:val="24"/>
        </w:rPr>
      </w:pPr>
      <w:r>
        <w:rPr>
          <w:rFonts w:hint="eastAsia" w:ascii="仿宋_GB2312" w:hAnsi="仿宋" w:eastAsia="仿宋_GB2312" w:cs="仿宋"/>
          <w:sz w:val="24"/>
        </w:rPr>
        <w:t>（六）甲方及其工作人员不得有违反法律、法规、廉洁从业规定的其他行为。</w:t>
      </w:r>
    </w:p>
    <w:p>
      <w:pPr>
        <w:adjustRightInd w:val="0"/>
        <w:snapToGrid w:val="0"/>
        <w:spacing w:line="440" w:lineRule="exact"/>
        <w:ind w:firstLine="480"/>
        <w:rPr>
          <w:rFonts w:ascii="仿宋_GB2312" w:hAnsi="仿宋" w:eastAsia="仿宋_GB2312" w:cs="仿宋"/>
          <w:b/>
          <w:sz w:val="24"/>
        </w:rPr>
      </w:pPr>
      <w:bookmarkStart w:id="108" w:name="_Toc59900971"/>
      <w:bookmarkStart w:id="109" w:name="_Toc59896703"/>
      <w:r>
        <w:rPr>
          <w:rFonts w:hint="eastAsia" w:ascii="仿宋_GB2312" w:hAnsi="仿宋" w:eastAsia="仿宋_GB2312" w:cs="仿宋"/>
          <w:b/>
          <w:sz w:val="24"/>
        </w:rPr>
        <w:t>第四条 乙方义务</w:t>
      </w:r>
      <w:bookmarkEnd w:id="108"/>
      <w:bookmarkEnd w:id="109"/>
    </w:p>
    <w:p>
      <w:pPr>
        <w:adjustRightInd w:val="0"/>
        <w:snapToGrid w:val="0"/>
        <w:spacing w:line="440" w:lineRule="exact"/>
        <w:ind w:firstLine="480"/>
        <w:rPr>
          <w:rFonts w:ascii="仿宋_GB2312" w:hAnsi="仿宋" w:eastAsia="仿宋_GB2312" w:cs="仿宋"/>
          <w:sz w:val="24"/>
        </w:rPr>
      </w:pPr>
      <w:r>
        <w:rPr>
          <w:rFonts w:hint="eastAsia" w:ascii="仿宋_GB2312" w:hAnsi="仿宋" w:eastAsia="仿宋_GB2312" w:cs="仿宋"/>
          <w:sz w:val="24"/>
        </w:rPr>
        <w:t>（一）乙方不得以任何理由向甲方及其工作人员行贿或馈赠礼金、有价证券、贵重物品。</w:t>
      </w:r>
    </w:p>
    <w:p>
      <w:pPr>
        <w:adjustRightInd w:val="0"/>
        <w:snapToGrid w:val="0"/>
        <w:spacing w:line="440" w:lineRule="exact"/>
        <w:ind w:firstLine="480"/>
        <w:rPr>
          <w:rFonts w:ascii="仿宋_GB2312" w:hAnsi="仿宋" w:eastAsia="仿宋_GB2312" w:cs="仿宋"/>
          <w:sz w:val="24"/>
        </w:rPr>
      </w:pPr>
      <w:r>
        <w:rPr>
          <w:rFonts w:hint="eastAsia" w:ascii="仿宋_GB2312" w:hAnsi="仿宋" w:eastAsia="仿宋_GB2312" w:cs="仿宋"/>
          <w:sz w:val="24"/>
        </w:rPr>
        <w:t>（二）乙方不得以任何名义为甲方及其工作人员报销应由甲方单位或个人支付的任何费用。</w:t>
      </w:r>
    </w:p>
    <w:p>
      <w:pPr>
        <w:adjustRightInd w:val="0"/>
        <w:snapToGrid w:val="0"/>
        <w:spacing w:line="440" w:lineRule="exact"/>
        <w:ind w:firstLine="480"/>
        <w:rPr>
          <w:rFonts w:ascii="仿宋_GB2312" w:hAnsi="仿宋" w:eastAsia="仿宋_GB2312" w:cs="仿宋"/>
          <w:sz w:val="24"/>
        </w:rPr>
      </w:pPr>
      <w:r>
        <w:rPr>
          <w:rFonts w:hint="eastAsia" w:ascii="仿宋_GB2312" w:hAnsi="仿宋" w:eastAsia="仿宋_GB2312" w:cs="仿宋"/>
          <w:sz w:val="24"/>
        </w:rPr>
        <w:t>（三）乙方不得以任何理由安排甲方工作人员参加超标准宴请、健身及娱乐活动。</w:t>
      </w:r>
    </w:p>
    <w:p>
      <w:pPr>
        <w:adjustRightInd w:val="0"/>
        <w:snapToGrid w:val="0"/>
        <w:spacing w:line="440" w:lineRule="exact"/>
        <w:ind w:firstLine="480"/>
        <w:rPr>
          <w:rFonts w:ascii="仿宋_GB2312" w:hAnsi="仿宋" w:eastAsia="仿宋_GB2312" w:cs="仿宋"/>
          <w:sz w:val="24"/>
        </w:rPr>
      </w:pPr>
      <w:r>
        <w:rPr>
          <w:rFonts w:hint="eastAsia" w:ascii="仿宋_GB2312" w:hAnsi="仿宋" w:eastAsia="仿宋_GB2312" w:cs="仿宋"/>
          <w:sz w:val="24"/>
        </w:rPr>
        <w:t>（四）乙方不得为甲方及其工作人员购置或提供通讯工具、交通工具和高档办公用品等。</w:t>
      </w:r>
    </w:p>
    <w:p>
      <w:pPr>
        <w:adjustRightInd w:val="0"/>
        <w:snapToGrid w:val="0"/>
        <w:spacing w:line="440" w:lineRule="exact"/>
        <w:ind w:firstLine="480"/>
        <w:rPr>
          <w:rFonts w:ascii="仿宋_GB2312" w:hAnsi="仿宋" w:eastAsia="仿宋_GB2312" w:cs="仿宋"/>
          <w:sz w:val="24"/>
        </w:rPr>
      </w:pPr>
      <w:r>
        <w:rPr>
          <w:rFonts w:hint="eastAsia" w:ascii="仿宋_GB2312" w:hAnsi="仿宋" w:eastAsia="仿宋_GB2312" w:cs="仿宋"/>
          <w:sz w:val="24"/>
        </w:rPr>
        <w:t>（五）乙方不得为甲方及其工作人员住房装修、婚丧嫁娶活动、配偶子女的工作安排以及出国出境、旅游等提供方便等。</w:t>
      </w:r>
    </w:p>
    <w:p>
      <w:pPr>
        <w:adjustRightInd w:val="0"/>
        <w:snapToGrid w:val="0"/>
        <w:spacing w:line="440" w:lineRule="exact"/>
        <w:ind w:firstLine="480"/>
        <w:rPr>
          <w:rFonts w:ascii="仿宋_GB2312" w:hAnsi="仿宋" w:eastAsia="仿宋_GB2312" w:cs="仿宋"/>
          <w:sz w:val="24"/>
        </w:rPr>
      </w:pPr>
      <w:r>
        <w:rPr>
          <w:rFonts w:hint="eastAsia" w:ascii="仿宋_GB2312" w:hAnsi="仿宋" w:eastAsia="仿宋_GB2312" w:cs="仿宋"/>
          <w:sz w:val="24"/>
        </w:rPr>
        <w:t>（六）乙方不得有违反法律、法规、廉洁从业规定的其他行为。</w:t>
      </w:r>
    </w:p>
    <w:p>
      <w:pPr>
        <w:adjustRightInd w:val="0"/>
        <w:snapToGrid w:val="0"/>
        <w:spacing w:line="440" w:lineRule="exact"/>
        <w:ind w:firstLine="480"/>
        <w:rPr>
          <w:rFonts w:ascii="仿宋_GB2312" w:hAnsi="仿宋" w:eastAsia="仿宋_GB2312" w:cs="仿宋"/>
          <w:b/>
          <w:sz w:val="24"/>
        </w:rPr>
      </w:pPr>
      <w:r>
        <w:rPr>
          <w:rFonts w:hint="eastAsia" w:ascii="仿宋_GB2312" w:hAnsi="仿宋" w:eastAsia="仿宋_GB2312" w:cs="仿宋"/>
          <w:b/>
          <w:sz w:val="24"/>
        </w:rPr>
        <w:t>第五条 违约责任</w:t>
      </w:r>
    </w:p>
    <w:p>
      <w:pPr>
        <w:adjustRightInd w:val="0"/>
        <w:snapToGrid w:val="0"/>
        <w:spacing w:line="440" w:lineRule="exact"/>
        <w:ind w:firstLine="480"/>
        <w:rPr>
          <w:rFonts w:ascii="仿宋_GB2312" w:hAnsi="仿宋" w:eastAsia="仿宋_GB2312" w:cs="仿宋"/>
          <w:sz w:val="24"/>
        </w:rPr>
      </w:pPr>
      <w:r>
        <w:rPr>
          <w:rFonts w:hint="eastAsia" w:ascii="仿宋_GB2312" w:hAnsi="仿宋" w:eastAsia="仿宋_GB2312" w:cs="仿宋"/>
          <w:sz w:val="24"/>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ascii="仿宋_GB2312" w:hAnsi="仿宋" w:eastAsia="仿宋_GB2312" w:cs="仿宋"/>
          <w:sz w:val="24"/>
        </w:rPr>
      </w:pPr>
      <w:r>
        <w:rPr>
          <w:rFonts w:hint="eastAsia" w:ascii="仿宋_GB2312" w:hAnsi="仿宋" w:eastAsia="仿宋_GB2312" w:cs="仿宋"/>
          <w:sz w:val="24"/>
        </w:rPr>
        <w:t>（二）乙方及其工作人员违反本协议，视情节轻重按管理权限，依据有关规定，给予党纪、政纪或组织处理；给甲方单位造成经济损失的，应予以赔偿；情节严重的，甲方可以单方解除与乙方的合同，并给予乙方三年内不得对甲方的项目进行投标的处罚。</w:t>
      </w:r>
    </w:p>
    <w:p>
      <w:pPr>
        <w:adjustRightInd w:val="0"/>
        <w:snapToGrid w:val="0"/>
        <w:spacing w:line="440" w:lineRule="exact"/>
        <w:ind w:firstLine="480"/>
        <w:rPr>
          <w:rFonts w:ascii="仿宋_GB2312" w:hAnsi="仿宋" w:eastAsia="仿宋_GB2312" w:cs="仿宋"/>
          <w:sz w:val="24"/>
        </w:rPr>
      </w:pPr>
      <w:r>
        <w:rPr>
          <w:rFonts w:hint="eastAsia" w:ascii="仿宋_GB2312" w:hAnsi="仿宋" w:eastAsia="仿宋_GB2312" w:cs="仿宋"/>
          <w:sz w:val="24"/>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ascii="仿宋_GB2312" w:hAnsi="仿宋" w:eastAsia="仿宋_GB2312" w:cs="仿宋"/>
          <w:sz w:val="24"/>
        </w:rPr>
      </w:pPr>
      <w:r>
        <w:rPr>
          <w:rFonts w:hint="eastAsia" w:ascii="仿宋_GB2312" w:hAnsi="仿宋" w:eastAsia="仿宋_GB2312" w:cs="仿宋"/>
          <w:sz w:val="24"/>
        </w:rPr>
        <w:t>第七条 本协议有效期为甲乙双方签署之日起至主合同完全履行完毕之日止。</w:t>
      </w:r>
    </w:p>
    <w:p>
      <w:pPr>
        <w:adjustRightInd w:val="0"/>
        <w:snapToGrid w:val="0"/>
        <w:spacing w:line="440" w:lineRule="exact"/>
        <w:ind w:firstLine="480"/>
        <w:rPr>
          <w:rFonts w:ascii="仿宋_GB2312" w:hAnsi="仿宋" w:eastAsia="仿宋_GB2312" w:cs="仿宋"/>
          <w:sz w:val="24"/>
        </w:rPr>
      </w:pPr>
      <w:r>
        <w:rPr>
          <w:rFonts w:hint="eastAsia" w:ascii="仿宋_GB2312" w:hAnsi="仿宋" w:eastAsia="仿宋_GB2312" w:cs="仿宋"/>
          <w:sz w:val="24"/>
        </w:rPr>
        <w:t>第八条 本协议作为主合同的附件，与主合同具有同等的法律效力，经合同双方签署立即生效。</w:t>
      </w:r>
    </w:p>
    <w:p>
      <w:pPr>
        <w:snapToGrid w:val="0"/>
        <w:spacing w:line="440" w:lineRule="exact"/>
        <w:rPr>
          <w:rFonts w:ascii="仿宋_GB2312" w:hAnsi="仿宋" w:eastAsia="仿宋_GB2312" w:cs="仿宋"/>
          <w:sz w:val="24"/>
        </w:rPr>
        <w:sectPr>
          <w:footerReference r:id="rId10" w:type="default"/>
          <w:pgSz w:w="11906" w:h="16838"/>
          <w:pgMar w:top="1440" w:right="1797" w:bottom="1440" w:left="1797" w:header="851" w:footer="567" w:gutter="0"/>
          <w:cols w:space="720" w:num="1"/>
          <w:docGrid w:type="lines" w:linePitch="312" w:charSpace="0"/>
        </w:sectPr>
      </w:pPr>
    </w:p>
    <w:p>
      <w:pPr>
        <w:rPr>
          <w:rFonts w:ascii="仿宋_GB2312" w:hAnsi="仿宋" w:eastAsia="仿宋_GB2312" w:cs="仿宋"/>
          <w:sz w:val="24"/>
        </w:rPr>
      </w:pPr>
      <w:r>
        <w:rPr>
          <w:rFonts w:hint="eastAsia" w:ascii="仿宋_GB2312" w:hAnsi="仿宋" w:eastAsia="仿宋_GB2312" w:cs="仿宋"/>
          <w:sz w:val="24"/>
        </w:rPr>
        <w:t>（本页无正文）</w:t>
      </w:r>
    </w:p>
    <w:p>
      <w:pPr>
        <w:pStyle w:val="2"/>
        <w:rPr>
          <w:rFonts w:ascii="仿宋_GB2312" w:eastAsia="仿宋_GB2312"/>
        </w:rPr>
      </w:pPr>
    </w:p>
    <w:p>
      <w:pPr>
        <w:rPr>
          <w:rFonts w:ascii="仿宋_GB2312" w:eastAsia="仿宋_GB2312"/>
        </w:rPr>
      </w:pPr>
    </w:p>
    <w:p>
      <w:pPr>
        <w:pStyle w:val="2"/>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snapToGrid w:val="0"/>
        <w:spacing w:line="360" w:lineRule="auto"/>
        <w:rPr>
          <w:rFonts w:ascii="仿宋_GB2312" w:hAnsi="仿宋" w:eastAsia="仿宋_GB2312" w:cs="仿宋"/>
          <w:sz w:val="24"/>
          <w:u w:val="single"/>
        </w:rPr>
      </w:pPr>
      <w:r>
        <w:rPr>
          <w:rFonts w:hint="eastAsia" w:ascii="仿宋_GB2312" w:hAnsi="仿宋" w:eastAsia="仿宋_GB2312" w:cs="仿宋"/>
          <w:sz w:val="24"/>
        </w:rPr>
        <w:t>甲方：</w:t>
      </w:r>
      <w:r>
        <w:rPr>
          <w:rFonts w:hint="eastAsia" w:ascii="仿宋_GB2312" w:hAnsi="仿宋" w:eastAsia="仿宋_GB2312" w:cs="仿宋"/>
          <w:sz w:val="24"/>
          <w:u w:val="single"/>
        </w:rPr>
        <w:t xml:space="preserve"> （盖章）            </w:t>
      </w:r>
      <w:r>
        <w:rPr>
          <w:rFonts w:hint="eastAsia" w:ascii="仿宋_GB2312" w:hAnsi="仿宋" w:eastAsia="仿宋_GB2312" w:cs="仿宋"/>
          <w:sz w:val="24"/>
        </w:rPr>
        <w:t xml:space="preserve">             乙方：</w:t>
      </w:r>
      <w:r>
        <w:rPr>
          <w:rFonts w:hint="eastAsia" w:ascii="仿宋_GB2312" w:hAnsi="仿宋" w:eastAsia="仿宋_GB2312" w:cs="仿宋"/>
          <w:sz w:val="24"/>
          <w:u w:val="single"/>
        </w:rPr>
        <w:t xml:space="preserve"> （盖章）                 </w:t>
      </w:r>
    </w:p>
    <w:p>
      <w:pPr>
        <w:snapToGrid w:val="0"/>
        <w:spacing w:line="360" w:lineRule="auto"/>
        <w:rPr>
          <w:rFonts w:ascii="仿宋_GB2312" w:hAnsi="仿宋" w:eastAsia="仿宋_GB2312" w:cs="仿宋"/>
          <w:sz w:val="24"/>
          <w:u w:val="single"/>
        </w:rPr>
      </w:pPr>
      <w:r>
        <w:rPr>
          <w:rFonts w:hint="eastAsia" w:ascii="仿宋_GB2312" w:hAnsi="仿宋" w:eastAsia="仿宋_GB2312" w:cs="仿宋"/>
          <w:sz w:val="24"/>
        </w:rPr>
        <w:t>法定代表人：</w:t>
      </w:r>
      <w:r>
        <w:rPr>
          <w:rFonts w:hint="eastAsia" w:ascii="仿宋_GB2312" w:hAnsi="仿宋" w:eastAsia="仿宋_GB2312" w:cs="仿宋"/>
          <w:sz w:val="24"/>
          <w:u w:val="single"/>
        </w:rPr>
        <w:t xml:space="preserve">（签字）        </w:t>
      </w:r>
      <w:r>
        <w:rPr>
          <w:rFonts w:hint="eastAsia" w:ascii="仿宋_GB2312" w:hAnsi="仿宋" w:eastAsia="仿宋_GB2312" w:cs="仿宋"/>
          <w:sz w:val="24"/>
        </w:rPr>
        <w:t xml:space="preserve">             法定代表人：</w:t>
      </w:r>
      <w:r>
        <w:rPr>
          <w:rFonts w:hint="eastAsia" w:ascii="仿宋_GB2312" w:hAnsi="仿宋" w:eastAsia="仿宋_GB2312" w:cs="仿宋"/>
          <w:sz w:val="24"/>
          <w:u w:val="single"/>
        </w:rPr>
        <w:t xml:space="preserve"> （签字）           </w:t>
      </w:r>
    </w:p>
    <w:p>
      <w:pPr>
        <w:snapToGrid w:val="0"/>
        <w:spacing w:line="360" w:lineRule="auto"/>
        <w:rPr>
          <w:rFonts w:ascii="仿宋_GB2312" w:hAnsi="仿宋" w:eastAsia="仿宋_GB2312" w:cs="仿宋"/>
          <w:sz w:val="24"/>
        </w:rPr>
      </w:pPr>
      <w:r>
        <w:rPr>
          <w:rFonts w:hint="eastAsia" w:ascii="仿宋_GB2312" w:hAnsi="仿宋" w:eastAsia="仿宋_GB2312" w:cs="仿宋"/>
          <w:sz w:val="24"/>
        </w:rPr>
        <w:t>或授权代理人：</w:t>
      </w:r>
      <w:r>
        <w:rPr>
          <w:rFonts w:hint="eastAsia" w:ascii="仿宋_GB2312" w:hAnsi="仿宋" w:eastAsia="仿宋_GB2312" w:cs="仿宋"/>
          <w:sz w:val="24"/>
          <w:u w:val="single"/>
        </w:rPr>
        <w:t xml:space="preserve">（签字）      </w:t>
      </w:r>
      <w:r>
        <w:rPr>
          <w:rFonts w:hint="eastAsia" w:ascii="仿宋_GB2312" w:hAnsi="仿宋" w:eastAsia="仿宋_GB2312" w:cs="仿宋"/>
          <w:sz w:val="24"/>
        </w:rPr>
        <w:t xml:space="preserve">             或授权代理人：</w:t>
      </w:r>
      <w:r>
        <w:rPr>
          <w:rFonts w:hint="eastAsia" w:ascii="仿宋_GB2312" w:hAnsi="仿宋" w:eastAsia="仿宋_GB2312" w:cs="仿宋"/>
          <w:sz w:val="24"/>
          <w:u w:val="single"/>
        </w:rPr>
        <w:t xml:space="preserve">（签字）           </w:t>
      </w:r>
    </w:p>
    <w:p>
      <w:pPr>
        <w:snapToGrid w:val="0"/>
        <w:spacing w:line="360" w:lineRule="auto"/>
        <w:rPr>
          <w:rFonts w:ascii="仿宋_GB2312" w:hAnsi="仿宋" w:eastAsia="仿宋_GB2312" w:cs="仿宋"/>
          <w:sz w:val="24"/>
          <w:u w:val="single"/>
        </w:rPr>
      </w:pPr>
      <w:r>
        <w:rPr>
          <w:rFonts w:hint="eastAsia" w:ascii="仿宋_GB2312" w:hAnsi="仿宋" w:eastAsia="仿宋_GB2312" w:cs="仿宋"/>
          <w:sz w:val="24"/>
        </w:rPr>
        <w:t>电话：</w:t>
      </w:r>
      <w:r>
        <w:rPr>
          <w:rFonts w:hint="eastAsia" w:ascii="仿宋_GB2312" w:hAnsi="仿宋" w:eastAsia="仿宋_GB2312" w:cs="仿宋"/>
          <w:sz w:val="24"/>
          <w:u w:val="single"/>
        </w:rPr>
        <w:t xml:space="preserve">                     </w:t>
      </w:r>
      <w:r>
        <w:rPr>
          <w:rFonts w:hint="eastAsia" w:ascii="仿宋_GB2312" w:hAnsi="仿宋" w:eastAsia="仿宋_GB2312" w:cs="仿宋"/>
          <w:sz w:val="24"/>
        </w:rPr>
        <w:t xml:space="preserve">             电话：</w:t>
      </w:r>
      <w:r>
        <w:rPr>
          <w:rFonts w:hint="eastAsia" w:ascii="仿宋_GB2312" w:hAnsi="仿宋" w:eastAsia="仿宋_GB2312" w:cs="仿宋"/>
          <w:sz w:val="24"/>
          <w:u w:val="single"/>
        </w:rPr>
        <w:t xml:space="preserve">                          </w:t>
      </w:r>
    </w:p>
    <w:p>
      <w:pPr>
        <w:snapToGrid w:val="0"/>
        <w:spacing w:line="360" w:lineRule="auto"/>
        <w:rPr>
          <w:rFonts w:ascii="仿宋_GB2312" w:hAnsi="仿宋" w:eastAsia="仿宋_GB2312" w:cs="仿宋"/>
          <w:sz w:val="24"/>
        </w:rPr>
      </w:pPr>
      <w:r>
        <w:rPr>
          <w:rFonts w:hint="eastAsia" w:ascii="仿宋_GB2312" w:hAnsi="仿宋" w:eastAsia="仿宋_GB2312" w:cs="仿宋"/>
          <w:sz w:val="24"/>
          <w:u w:val="single"/>
        </w:rPr>
        <w:t xml:space="preserve">       </w:t>
      </w:r>
      <w:r>
        <w:rPr>
          <w:rFonts w:hint="eastAsia" w:ascii="仿宋_GB2312" w:hAnsi="仿宋" w:eastAsia="仿宋_GB2312" w:cs="仿宋"/>
          <w:sz w:val="24"/>
        </w:rPr>
        <w:t>年</w:t>
      </w:r>
      <w:r>
        <w:rPr>
          <w:rFonts w:hint="eastAsia" w:ascii="仿宋_GB2312" w:hAnsi="仿宋" w:eastAsia="仿宋_GB2312" w:cs="仿宋"/>
          <w:sz w:val="24"/>
          <w:u w:val="single"/>
        </w:rPr>
        <w:t xml:space="preserve">       </w:t>
      </w:r>
      <w:r>
        <w:rPr>
          <w:rFonts w:hint="eastAsia" w:ascii="仿宋_GB2312" w:hAnsi="仿宋" w:eastAsia="仿宋_GB2312" w:cs="仿宋"/>
          <w:sz w:val="24"/>
        </w:rPr>
        <w:t>月</w:t>
      </w:r>
      <w:r>
        <w:rPr>
          <w:rFonts w:hint="eastAsia" w:ascii="仿宋_GB2312" w:hAnsi="仿宋" w:eastAsia="仿宋_GB2312" w:cs="仿宋"/>
          <w:sz w:val="24"/>
          <w:u w:val="single"/>
        </w:rPr>
        <w:t xml:space="preserve">       </w:t>
      </w:r>
      <w:r>
        <w:rPr>
          <w:rFonts w:hint="eastAsia" w:ascii="仿宋_GB2312" w:hAnsi="仿宋" w:eastAsia="仿宋_GB2312" w:cs="仿宋"/>
          <w:sz w:val="24"/>
        </w:rPr>
        <w:t xml:space="preserve">日             </w:t>
      </w:r>
      <w:r>
        <w:rPr>
          <w:rFonts w:hint="eastAsia" w:ascii="仿宋_GB2312" w:hAnsi="仿宋" w:eastAsia="仿宋_GB2312" w:cs="仿宋"/>
          <w:sz w:val="24"/>
          <w:u w:val="single"/>
        </w:rPr>
        <w:t xml:space="preserve">        </w:t>
      </w:r>
      <w:r>
        <w:rPr>
          <w:rFonts w:hint="eastAsia" w:ascii="仿宋_GB2312" w:hAnsi="仿宋" w:eastAsia="仿宋_GB2312" w:cs="仿宋"/>
          <w:sz w:val="24"/>
        </w:rPr>
        <w:t>年</w:t>
      </w:r>
      <w:r>
        <w:rPr>
          <w:rFonts w:hint="eastAsia" w:ascii="仿宋_GB2312" w:hAnsi="仿宋" w:eastAsia="仿宋_GB2312" w:cs="仿宋"/>
          <w:sz w:val="24"/>
          <w:u w:val="single"/>
        </w:rPr>
        <w:t xml:space="preserve">        </w:t>
      </w:r>
      <w:r>
        <w:rPr>
          <w:rFonts w:hint="eastAsia" w:ascii="仿宋_GB2312" w:hAnsi="仿宋" w:eastAsia="仿宋_GB2312" w:cs="仿宋"/>
          <w:sz w:val="24"/>
        </w:rPr>
        <w:t>月</w:t>
      </w:r>
      <w:r>
        <w:rPr>
          <w:rFonts w:hint="eastAsia" w:ascii="仿宋_GB2312" w:hAnsi="仿宋" w:eastAsia="仿宋_GB2312" w:cs="仿宋"/>
          <w:sz w:val="24"/>
          <w:u w:val="single"/>
        </w:rPr>
        <w:t xml:space="preserve">      </w:t>
      </w:r>
      <w:r>
        <w:rPr>
          <w:rFonts w:hint="eastAsia" w:ascii="仿宋_GB2312" w:hAnsi="仿宋" w:eastAsia="仿宋_GB2312" w:cs="仿宋"/>
          <w:sz w:val="24"/>
        </w:rPr>
        <w:t>日</w:t>
      </w:r>
    </w:p>
    <w:p>
      <w:pPr>
        <w:pStyle w:val="13"/>
        <w:snapToGrid w:val="0"/>
        <w:spacing w:line="360" w:lineRule="auto"/>
        <w:ind w:firstLine="0"/>
        <w:outlineLvl w:val="1"/>
        <w:rPr>
          <w:rFonts w:ascii="仿宋_GB2312" w:hAnsi="仿宋" w:eastAsia="仿宋_GB2312" w:cs="仿宋"/>
          <w:b/>
          <w:sz w:val="24"/>
        </w:rPr>
      </w:pPr>
      <w:r>
        <w:rPr>
          <w:rFonts w:hint="eastAsia" w:ascii="仿宋_GB2312" w:hAnsi="仿宋" w:eastAsia="仿宋_GB2312" w:cs="仿宋"/>
          <w:sz w:val="24"/>
        </w:rPr>
        <w:t>甲方监督单位：</w:t>
      </w:r>
      <w:r>
        <w:rPr>
          <w:rFonts w:hint="eastAsia" w:ascii="仿宋_GB2312" w:hAnsi="仿宋" w:eastAsia="仿宋_GB2312" w:cs="仿宋"/>
          <w:sz w:val="24"/>
          <w:u w:val="single"/>
        </w:rPr>
        <w:t xml:space="preserve">（盖章）      </w:t>
      </w:r>
      <w:r>
        <w:rPr>
          <w:rFonts w:hint="eastAsia" w:ascii="仿宋_GB2312" w:hAnsi="仿宋" w:eastAsia="仿宋_GB2312" w:cs="仿宋"/>
          <w:sz w:val="24"/>
        </w:rPr>
        <w:t xml:space="preserve">             乙方监督单位：</w:t>
      </w:r>
      <w:r>
        <w:rPr>
          <w:rFonts w:hint="eastAsia" w:ascii="仿宋_GB2312" w:hAnsi="仿宋" w:eastAsia="仿宋_GB2312" w:cs="仿宋"/>
          <w:sz w:val="24"/>
          <w:u w:val="single"/>
        </w:rPr>
        <w:t xml:space="preserve">（盖章）        </w:t>
      </w:r>
    </w:p>
    <w:p>
      <w:pPr>
        <w:pStyle w:val="13"/>
        <w:snapToGrid w:val="0"/>
        <w:spacing w:line="360" w:lineRule="auto"/>
        <w:outlineLvl w:val="1"/>
        <w:rPr>
          <w:rFonts w:ascii="仿宋_GB2312" w:hAnsi="仿宋_GB2312" w:eastAsia="仿宋_GB2312" w:cs="仿宋_GB2312"/>
          <w:b/>
          <w:sz w:val="24"/>
        </w:rPr>
      </w:pPr>
      <w:r>
        <w:rPr>
          <w:rFonts w:hint="eastAsia" w:ascii="仿宋_GB2312" w:hAnsi="仿宋" w:eastAsia="仿宋_GB2312" w:cs="仿宋"/>
          <w:b/>
          <w:bCs/>
          <w:sz w:val="24"/>
        </w:rPr>
        <w:br w:type="page"/>
      </w:r>
      <w:bookmarkEnd w:id="102"/>
      <w:bookmarkEnd w:id="103"/>
      <w:bookmarkStart w:id="110" w:name="_Toc5299"/>
      <w:bookmarkStart w:id="111" w:name="_Hlk26087760"/>
      <w:r>
        <w:rPr>
          <w:rFonts w:hint="eastAsia" w:ascii="仿宋_GB2312" w:hAnsi="仿宋_GB2312" w:eastAsia="仿宋_GB2312" w:cs="仿宋_GB2312"/>
          <w:b/>
          <w:sz w:val="24"/>
        </w:rPr>
        <w:t>附件</w:t>
      </w:r>
      <w:r>
        <w:rPr>
          <w:rFonts w:ascii="仿宋_GB2312" w:hAnsi="仿宋_GB2312" w:eastAsia="仿宋_GB2312" w:cs="仿宋_GB2312"/>
          <w:b/>
          <w:sz w:val="24"/>
        </w:rPr>
        <w:t xml:space="preserve">2 </w:t>
      </w:r>
      <w:r>
        <w:rPr>
          <w:rFonts w:hint="eastAsia" w:ascii="仿宋_GB2312" w:hAnsi="仿宋_GB2312" w:eastAsia="仿宋_GB2312" w:cs="仿宋_GB2312"/>
          <w:b/>
          <w:sz w:val="24"/>
        </w:rPr>
        <w:t>保密协议</w:t>
      </w:r>
    </w:p>
    <w:p>
      <w:pPr>
        <w:widowControl/>
        <w:snapToGrid w:val="0"/>
        <w:spacing w:line="360" w:lineRule="auto"/>
        <w:jc w:val="center"/>
        <w:rPr>
          <w:rFonts w:ascii="仿宋_GB2312" w:hAnsi="仿宋_GB2312" w:eastAsia="仿宋_GB2312" w:cs="仿宋_GB2312"/>
          <w:kern w:val="0"/>
          <w:sz w:val="32"/>
          <w:szCs w:val="32"/>
          <w:lang w:bidi="en-US"/>
        </w:rPr>
      </w:pPr>
      <w:r>
        <w:rPr>
          <w:rFonts w:hint="eastAsia" w:ascii="仿宋_GB2312" w:hAnsi="仿宋_GB2312" w:eastAsia="仿宋_GB2312" w:cs="仿宋_GB2312"/>
          <w:b/>
          <w:bCs/>
          <w:smallCaps/>
          <w:kern w:val="0"/>
          <w:sz w:val="32"/>
          <w:szCs w:val="32"/>
          <w:lang w:bidi="en-US"/>
        </w:rPr>
        <w:t>保密协议</w:t>
      </w:r>
    </w:p>
    <w:p>
      <w:pPr>
        <w:widowControl/>
        <w:snapToGrid w:val="0"/>
        <w:spacing w:line="360" w:lineRule="auto"/>
        <w:jc w:val="left"/>
        <w:rPr>
          <w:rFonts w:ascii="仿宋_GB2312" w:hAnsi="仿宋_GB2312" w:eastAsia="仿宋_GB2312" w:cs="仿宋_GB2312"/>
          <w:kern w:val="0"/>
          <w:sz w:val="24"/>
          <w:lang w:bidi="en-US"/>
        </w:rPr>
      </w:pPr>
    </w:p>
    <w:p>
      <w:pPr>
        <w:widowControl/>
        <w:snapToGrid w:val="0"/>
        <w:spacing w:line="360" w:lineRule="auto"/>
        <w:jc w:val="left"/>
        <w:rPr>
          <w:rFonts w:ascii="仿宋_GB2312" w:hAnsi="仿宋_GB2312" w:eastAsia="仿宋_GB2312" w:cs="仿宋_GB2312"/>
          <w:kern w:val="0"/>
          <w:sz w:val="24"/>
          <w:u w:val="single"/>
          <w:lang w:bidi="en-US"/>
        </w:rPr>
      </w:pPr>
      <w:r>
        <w:rPr>
          <w:rFonts w:hint="eastAsia" w:ascii="仿宋_GB2312" w:hAnsi="仿宋_GB2312" w:eastAsia="仿宋_GB2312" w:cs="仿宋_GB2312"/>
          <w:kern w:val="0"/>
          <w:sz w:val="24"/>
          <w:lang w:bidi="en-US"/>
        </w:rPr>
        <w:t>甲方（全称）：</w:t>
      </w:r>
      <w:r>
        <w:rPr>
          <w:rFonts w:ascii="仿宋_GB2312" w:hAnsi="仿宋_GB2312" w:eastAsia="仿宋_GB2312" w:cs="仿宋_GB2312"/>
          <w:kern w:val="0"/>
          <w:sz w:val="24"/>
          <w:u w:val="single"/>
          <w:lang w:bidi="en-US"/>
        </w:rPr>
        <w:t xml:space="preserve">                      </w:t>
      </w:r>
    </w:p>
    <w:p>
      <w:pPr>
        <w:widowControl/>
        <w:snapToGrid w:val="0"/>
        <w:spacing w:line="360" w:lineRule="auto"/>
        <w:jc w:val="left"/>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乙方（全称）：</w:t>
      </w:r>
      <w:r>
        <w:rPr>
          <w:rFonts w:ascii="仿宋_GB2312" w:hAnsi="仿宋_GB2312" w:eastAsia="仿宋_GB2312" w:cs="仿宋_GB2312"/>
          <w:kern w:val="0"/>
          <w:sz w:val="24"/>
          <w:u w:val="single"/>
          <w:lang w:bidi="en-US"/>
        </w:rPr>
        <w:t xml:space="preserve">                      </w:t>
      </w:r>
    </w:p>
    <w:p>
      <w:pPr>
        <w:widowControl/>
        <w:snapToGrid w:val="0"/>
        <w:spacing w:line="360" w:lineRule="auto"/>
        <w:ind w:firstLine="480" w:firstLineChars="200"/>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鉴于甲方和乙方签订的</w:t>
      </w:r>
      <w:r>
        <w:rPr>
          <w:rFonts w:ascii="仿宋_GB2312" w:hAnsi="仿宋_GB2312" w:eastAsia="仿宋_GB2312" w:cs="仿宋_GB2312"/>
          <w:kern w:val="0"/>
          <w:sz w:val="24"/>
          <w:u w:val="single"/>
          <w:lang w:bidi="en-US"/>
        </w:rPr>
        <w:t xml:space="preserve">                </w:t>
      </w:r>
      <w:r>
        <w:rPr>
          <w:rFonts w:hint="eastAsia" w:ascii="仿宋_GB2312" w:hAnsi="仿宋_GB2312" w:eastAsia="仿宋_GB2312" w:cs="仿宋_GB2312"/>
          <w:kern w:val="0"/>
          <w:sz w:val="24"/>
          <w:lang w:bidi="en-US"/>
        </w:rPr>
        <w:t>合同（以下简称主合同）在执行过程中，甲方需要向乙方提供相关资料、披露有关信息。为进一步明确乙方的保密义务，甲、乙双方特签订以下本协议。</w:t>
      </w:r>
    </w:p>
    <w:p>
      <w:pPr>
        <w:widowControl/>
        <w:snapToGrid w:val="0"/>
        <w:spacing w:line="360" w:lineRule="auto"/>
        <w:ind w:firstLine="482" w:firstLineChars="200"/>
        <w:jc w:val="left"/>
        <w:rPr>
          <w:rFonts w:ascii="仿宋_GB2312" w:hAnsi="仿宋_GB2312" w:eastAsia="仿宋_GB2312" w:cs="仿宋_GB2312"/>
          <w:b/>
          <w:kern w:val="0"/>
          <w:sz w:val="24"/>
          <w:lang w:bidi="en-US"/>
        </w:rPr>
      </w:pPr>
      <w:r>
        <w:rPr>
          <w:rFonts w:hint="eastAsia" w:ascii="仿宋_GB2312" w:hAnsi="仿宋_GB2312" w:eastAsia="仿宋_GB2312" w:cs="仿宋_GB2312"/>
          <w:b/>
          <w:kern w:val="0"/>
          <w:sz w:val="24"/>
          <w:lang w:bidi="en-US"/>
        </w:rPr>
        <w:t>第一条</w:t>
      </w:r>
      <w:r>
        <w:rPr>
          <w:rFonts w:ascii="仿宋_GB2312" w:hAnsi="仿宋_GB2312" w:eastAsia="仿宋_GB2312" w:cs="仿宋_GB2312"/>
          <w:b/>
          <w:kern w:val="0"/>
          <w:sz w:val="24"/>
          <w:lang w:bidi="en-US"/>
        </w:rPr>
        <w:t xml:space="preserve"> </w:t>
      </w:r>
      <w:r>
        <w:rPr>
          <w:rFonts w:hint="eastAsia" w:ascii="仿宋_GB2312" w:hAnsi="仿宋_GB2312" w:eastAsia="仿宋_GB2312" w:cs="仿宋_GB2312"/>
          <w:b/>
          <w:kern w:val="0"/>
          <w:sz w:val="24"/>
          <w:lang w:bidi="en-US"/>
        </w:rPr>
        <w:t>保密内容</w:t>
      </w:r>
    </w:p>
    <w:p>
      <w:pPr>
        <w:widowControl/>
        <w:snapToGrid w:val="0"/>
        <w:spacing w:line="360" w:lineRule="auto"/>
        <w:ind w:firstLine="482" w:firstLineChars="200"/>
        <w:jc w:val="left"/>
        <w:rPr>
          <w:rFonts w:ascii="仿宋_GB2312" w:hAnsi="仿宋_GB2312" w:eastAsia="仿宋_GB2312" w:cs="仿宋_GB2312"/>
          <w:b/>
          <w:kern w:val="0"/>
          <w:sz w:val="24"/>
          <w:lang w:bidi="en-US"/>
        </w:rPr>
      </w:pPr>
      <w:r>
        <w:rPr>
          <w:rFonts w:hint="eastAsia" w:ascii="仿宋_GB2312" w:hAnsi="仿宋_GB2312" w:eastAsia="仿宋_GB2312" w:cs="仿宋_GB2312"/>
          <w:b/>
          <w:kern w:val="0"/>
          <w:sz w:val="24"/>
          <w:lang w:bidi="en-US"/>
        </w:rPr>
        <w:t>甲、乙双方确认，乙方应承担保密义务的内容为：</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1、技术信息：包括技术方案、设计要求、工作内容、实现方法、运作流程、技术指标、软件系统、数据库、运行环境、作业平台、测试结果、图纸、样本、模型、技术文档、涉及技术秘密的业务函电等；</w:t>
      </w:r>
      <w:r>
        <w:rPr>
          <w:rFonts w:hint="eastAsia" w:ascii="宋体" w:hAnsi="宋体" w:cs="宋体"/>
          <w:kern w:val="0"/>
          <w:sz w:val="24"/>
          <w:lang w:bidi="en-US"/>
        </w:rPr>
        <w:t> </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2、经营信息：包括客户名称、客户地址及联系方式、需求信息、营销计划、定价政策、招投标中的标底及标书内容、项目组人员构成、费用预算、利润情况及不公开的财务资料等；</w:t>
      </w:r>
    </w:p>
    <w:p>
      <w:pPr>
        <w:widowControl/>
        <w:snapToGrid w:val="0"/>
        <w:spacing w:line="360" w:lineRule="auto"/>
        <w:ind w:firstLine="480" w:firstLineChars="200"/>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3、其他事项：甲方依照法律规定和有关协议（包括与项目对方当事人以及其他项目当事人订立协议、合同）的约定要求乙方承担保密义务的其他事项。</w:t>
      </w:r>
    </w:p>
    <w:p>
      <w:pPr>
        <w:widowControl/>
        <w:snapToGrid w:val="0"/>
        <w:spacing w:line="360" w:lineRule="auto"/>
        <w:ind w:firstLine="482" w:firstLineChars="200"/>
        <w:jc w:val="left"/>
        <w:rPr>
          <w:rFonts w:ascii="仿宋_GB2312" w:hAnsi="仿宋_GB2312" w:eastAsia="仿宋_GB2312" w:cs="仿宋_GB2312"/>
          <w:b/>
          <w:kern w:val="0"/>
          <w:sz w:val="24"/>
          <w:lang w:bidi="en-US"/>
        </w:rPr>
      </w:pPr>
      <w:r>
        <w:rPr>
          <w:rFonts w:hint="eastAsia" w:ascii="仿宋_GB2312" w:hAnsi="仿宋_GB2312" w:eastAsia="仿宋_GB2312" w:cs="仿宋_GB2312"/>
          <w:b/>
          <w:kern w:val="0"/>
          <w:sz w:val="24"/>
          <w:lang w:bidi="en-US"/>
        </w:rPr>
        <w:t>第二条</w:t>
      </w:r>
      <w:r>
        <w:rPr>
          <w:rFonts w:ascii="仿宋_GB2312" w:hAnsi="仿宋_GB2312" w:eastAsia="仿宋_GB2312" w:cs="仿宋_GB2312"/>
          <w:b/>
          <w:kern w:val="0"/>
          <w:sz w:val="24"/>
          <w:lang w:bidi="en-US"/>
        </w:rPr>
        <w:t xml:space="preserve"> </w:t>
      </w:r>
      <w:r>
        <w:rPr>
          <w:rFonts w:hint="eastAsia" w:ascii="仿宋_GB2312" w:hAnsi="仿宋_GB2312" w:eastAsia="仿宋_GB2312" w:cs="仿宋_GB2312"/>
          <w:b/>
          <w:kern w:val="0"/>
          <w:sz w:val="24"/>
          <w:lang w:bidi="en-US"/>
        </w:rPr>
        <w:t>乙方的保密义务</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1、乙方应主动采取加密措施对上述第一条所列内容进行保密，防止不承担同等保密义务的任何第三者知悉及使用。</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2、乙方不得刺探或者以其他不正当手段（包括利用计算机进行检索、浏览、复制等）获取主合同及主合同执行过程中的甲方秘密。</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3、乙方不得向不承担同等保密义务的任何第三人披露上述第一条所列内容。</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4、乙方不得允许（包括出借、赠与、出租、转让等行为）或协助不承担同等保密义务的任何第三人使用上述第一条所列内容。</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5、不论因何种原因主合同终止后，乙方都不得利用上述第一条所列内容为其他与甲方有竞争关系的第三人提供服务或进行合作。</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6、上述第一条所列内容的所有权始终全部归属甲方，乙方不得利用自身对项目不同程度的了解申请对于该项目的商业秘密所有权，在本协议签订前乙方已依法具有某些所有权者除外；</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7、乙方如发现上述第一条所列内容被泄露或者自己过失泄露秘密，应当采取有效措施防止泄密进一步扩大，并及时向甲方报告。</w:t>
      </w:r>
    </w:p>
    <w:p>
      <w:pPr>
        <w:widowControl/>
        <w:snapToGrid w:val="0"/>
        <w:spacing w:line="360" w:lineRule="auto"/>
        <w:ind w:firstLine="482" w:firstLineChars="200"/>
        <w:jc w:val="left"/>
        <w:rPr>
          <w:rFonts w:ascii="仿宋_GB2312" w:hAnsi="仿宋_GB2312" w:eastAsia="仿宋_GB2312" w:cs="仿宋_GB2312"/>
          <w:b/>
          <w:kern w:val="0"/>
          <w:sz w:val="24"/>
          <w:lang w:bidi="en-US"/>
        </w:rPr>
      </w:pPr>
      <w:r>
        <w:rPr>
          <w:rFonts w:hint="eastAsia" w:ascii="仿宋_GB2312" w:hAnsi="仿宋_GB2312" w:eastAsia="仿宋_GB2312" w:cs="仿宋_GB2312"/>
          <w:b/>
          <w:kern w:val="0"/>
          <w:sz w:val="24"/>
          <w:lang w:bidi="en-US"/>
        </w:rPr>
        <w:t>第三条</w:t>
      </w:r>
      <w:r>
        <w:rPr>
          <w:rFonts w:ascii="仿宋_GB2312" w:hAnsi="仿宋_GB2312" w:eastAsia="仿宋_GB2312" w:cs="仿宋_GB2312"/>
          <w:b/>
          <w:kern w:val="0"/>
          <w:sz w:val="24"/>
          <w:lang w:bidi="en-US"/>
        </w:rPr>
        <w:t xml:space="preserve"> </w:t>
      </w:r>
      <w:r>
        <w:rPr>
          <w:rFonts w:hint="eastAsia" w:ascii="仿宋_GB2312" w:hAnsi="仿宋_GB2312" w:eastAsia="仿宋_GB2312" w:cs="仿宋_GB2312"/>
          <w:b/>
          <w:kern w:val="0"/>
          <w:sz w:val="24"/>
          <w:lang w:bidi="en-US"/>
        </w:rPr>
        <w:t>保密期限</w:t>
      </w:r>
    </w:p>
    <w:p>
      <w:pPr>
        <w:widowControl/>
        <w:snapToGrid w:val="0"/>
        <w:spacing w:line="360" w:lineRule="auto"/>
        <w:ind w:firstLine="480" w:firstLineChars="200"/>
        <w:jc w:val="left"/>
        <w:rPr>
          <w:rFonts w:ascii="仿宋_GB2312" w:hAnsi="仿宋_GB2312" w:eastAsia="仿宋_GB2312" w:cs="仿宋_GB2312"/>
          <w:b/>
          <w:kern w:val="0"/>
          <w:sz w:val="24"/>
          <w:lang w:bidi="en-US"/>
        </w:rPr>
      </w:pPr>
      <w:r>
        <w:rPr>
          <w:rFonts w:hint="eastAsia" w:ascii="仿宋_GB2312" w:hAnsi="仿宋_GB2312" w:eastAsia="仿宋_GB2312" w:cs="仿宋_GB2312"/>
          <w:kern w:val="0"/>
          <w:sz w:val="24"/>
          <w:lang w:bidi="en-US"/>
        </w:rPr>
        <w:t>甲、乙双方确认，乙方的保密义务自本协议签订时开始，到甲方将上述第一条所列内容公开时止。乙方是否继续履行主合同，均不影响保密义务的承担。</w:t>
      </w:r>
    </w:p>
    <w:p>
      <w:pPr>
        <w:widowControl/>
        <w:snapToGrid w:val="0"/>
        <w:spacing w:line="360" w:lineRule="auto"/>
        <w:ind w:firstLine="482" w:firstLineChars="200"/>
        <w:jc w:val="left"/>
        <w:rPr>
          <w:rFonts w:ascii="仿宋_GB2312" w:hAnsi="仿宋_GB2312" w:eastAsia="仿宋_GB2312" w:cs="仿宋_GB2312"/>
          <w:b/>
          <w:kern w:val="0"/>
          <w:sz w:val="24"/>
          <w:lang w:bidi="en-US"/>
        </w:rPr>
      </w:pPr>
      <w:r>
        <w:rPr>
          <w:rFonts w:hint="eastAsia" w:ascii="仿宋_GB2312" w:hAnsi="仿宋_GB2312" w:eastAsia="仿宋_GB2312" w:cs="仿宋_GB2312"/>
          <w:b/>
          <w:kern w:val="0"/>
          <w:sz w:val="24"/>
          <w:lang w:bidi="en-US"/>
        </w:rPr>
        <w:t>第四条</w:t>
      </w:r>
      <w:r>
        <w:rPr>
          <w:rFonts w:ascii="仿宋_GB2312" w:hAnsi="仿宋_GB2312" w:eastAsia="仿宋_GB2312" w:cs="仿宋_GB2312"/>
          <w:b/>
          <w:kern w:val="0"/>
          <w:sz w:val="24"/>
          <w:lang w:bidi="en-US"/>
        </w:rPr>
        <w:t xml:space="preserve"> </w:t>
      </w:r>
      <w:r>
        <w:rPr>
          <w:rFonts w:hint="eastAsia" w:ascii="仿宋_GB2312" w:hAnsi="仿宋_GB2312" w:eastAsia="仿宋_GB2312" w:cs="仿宋_GB2312"/>
          <w:b/>
          <w:kern w:val="0"/>
          <w:sz w:val="24"/>
          <w:lang w:bidi="en-US"/>
        </w:rPr>
        <w:t>违约责任</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1、因乙方未履行本协议第二条规定的保密义务，但尚未给甲方造成损失或严重后果的，每发生一次，甲方有权要求乙方支付</w:t>
      </w:r>
      <w:r>
        <w:rPr>
          <w:rFonts w:hint="eastAsia" w:ascii="仿宋_GB2312" w:hAnsi="仿宋_GB2312" w:eastAsia="仿宋_GB2312" w:cs="仿宋_GB2312"/>
          <w:b/>
          <w:kern w:val="0"/>
          <w:sz w:val="24"/>
          <w:lang w:bidi="en-US"/>
        </w:rPr>
        <w:t>人民币</w:t>
      </w:r>
      <w:r>
        <w:rPr>
          <w:rFonts w:ascii="仿宋_GB2312" w:hAnsi="仿宋_GB2312" w:eastAsia="仿宋_GB2312" w:cs="仿宋_GB2312"/>
          <w:b/>
          <w:kern w:val="0"/>
          <w:sz w:val="24"/>
          <w:u w:val="single"/>
          <w:lang w:bidi="en-US"/>
        </w:rPr>
        <w:t>1000</w:t>
      </w:r>
      <w:r>
        <w:rPr>
          <w:rFonts w:hint="eastAsia" w:ascii="仿宋_GB2312" w:hAnsi="仿宋_GB2312" w:eastAsia="仿宋_GB2312" w:cs="仿宋_GB2312"/>
          <w:b/>
          <w:kern w:val="0"/>
          <w:sz w:val="24"/>
          <w:lang w:bidi="en-US"/>
        </w:rPr>
        <w:t>元</w:t>
      </w:r>
      <w:r>
        <w:rPr>
          <w:rFonts w:hint="eastAsia" w:ascii="仿宋_GB2312" w:hAnsi="仿宋_GB2312" w:eastAsia="仿宋_GB2312" w:cs="仿宋_GB2312"/>
          <w:kern w:val="0"/>
          <w:sz w:val="24"/>
          <w:lang w:bidi="en-US"/>
        </w:rPr>
        <w:t>的违约金。</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2、因乙方未履行本协议第二条规定的保密义务，给甲方造成损失或严重后果的，每发生一次，乙方应承担以下赔偿责任：</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w:t>
      </w:r>
      <w:r>
        <w:rPr>
          <w:rFonts w:ascii="仿宋_GB2312" w:hAnsi="仿宋_GB2312" w:eastAsia="仿宋_GB2312" w:cs="仿宋_GB2312"/>
          <w:kern w:val="0"/>
          <w:sz w:val="24"/>
          <w:lang w:bidi="en-US"/>
        </w:rPr>
        <w:t>1）甲方调查乙方的违反协议行为而发生的所有费用；</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w:t>
      </w:r>
      <w:r>
        <w:rPr>
          <w:rFonts w:ascii="仿宋_GB2312" w:hAnsi="仿宋_GB2312" w:eastAsia="仿宋_GB2312" w:cs="仿宋_GB2312"/>
          <w:kern w:val="0"/>
          <w:sz w:val="24"/>
          <w:lang w:bidi="en-US"/>
        </w:rPr>
        <w:t>2）因乙方的违反协议行为给甲方造成的经济损失，损失赔偿金额为</w:t>
      </w:r>
      <w:r>
        <w:rPr>
          <w:rFonts w:hint="eastAsia" w:ascii="仿宋_GB2312" w:hAnsi="仿宋_GB2312" w:eastAsia="仿宋_GB2312" w:cs="仿宋_GB2312"/>
          <w:b/>
          <w:kern w:val="0"/>
          <w:sz w:val="24"/>
          <w:lang w:bidi="en-US"/>
        </w:rPr>
        <w:t>主合同签约合同价的</w:t>
      </w:r>
      <w:r>
        <w:rPr>
          <w:rFonts w:ascii="仿宋_GB2312" w:hAnsi="仿宋_GB2312" w:eastAsia="仿宋_GB2312" w:cs="仿宋_GB2312"/>
          <w:b/>
          <w:kern w:val="0"/>
          <w:sz w:val="24"/>
          <w:u w:val="single"/>
          <w:lang w:bidi="en-US"/>
        </w:rPr>
        <w:t>1</w:t>
      </w:r>
      <w:r>
        <w:rPr>
          <w:rFonts w:hint="eastAsia" w:ascii="仿宋_GB2312" w:hAnsi="仿宋_GB2312" w:eastAsia="仿宋_GB2312" w:cs="仿宋_GB2312"/>
          <w:b/>
          <w:kern w:val="0"/>
          <w:sz w:val="24"/>
          <w:lang w:bidi="en-US"/>
        </w:rPr>
        <w:t>％</w:t>
      </w:r>
      <w:r>
        <w:rPr>
          <w:rFonts w:hint="eastAsia" w:ascii="仿宋_GB2312" w:hAnsi="仿宋_GB2312" w:eastAsia="仿宋_GB2312" w:cs="仿宋_GB2312"/>
          <w:kern w:val="0"/>
          <w:sz w:val="24"/>
          <w:lang w:bidi="en-US"/>
        </w:rPr>
        <w:t>（有证据证明甲方实际损失超过这一金额的，以甲方实际损失为准）。</w:t>
      </w:r>
    </w:p>
    <w:p>
      <w:pPr>
        <w:widowControl/>
        <w:snapToGrid w:val="0"/>
        <w:spacing w:line="360" w:lineRule="auto"/>
        <w:ind w:firstLine="482" w:firstLineChars="200"/>
        <w:jc w:val="left"/>
        <w:rPr>
          <w:rFonts w:ascii="仿宋_GB2312" w:hAnsi="仿宋_GB2312" w:eastAsia="仿宋_GB2312" w:cs="仿宋_GB2312"/>
          <w:b/>
          <w:kern w:val="0"/>
          <w:sz w:val="24"/>
          <w:lang w:bidi="en-US"/>
        </w:rPr>
      </w:pPr>
      <w:r>
        <w:rPr>
          <w:rFonts w:hint="eastAsia" w:ascii="仿宋_GB2312" w:hAnsi="仿宋_GB2312" w:eastAsia="仿宋_GB2312" w:cs="仿宋_GB2312"/>
          <w:b/>
          <w:kern w:val="0"/>
          <w:sz w:val="24"/>
          <w:lang w:bidi="en-US"/>
        </w:rPr>
        <w:t>第五条</w:t>
      </w:r>
      <w:r>
        <w:rPr>
          <w:rFonts w:ascii="仿宋_GB2312" w:hAnsi="仿宋_GB2312" w:eastAsia="仿宋_GB2312" w:cs="仿宋_GB2312"/>
          <w:b/>
          <w:kern w:val="0"/>
          <w:sz w:val="24"/>
          <w:lang w:bidi="en-US"/>
        </w:rPr>
        <w:t xml:space="preserve"> </w:t>
      </w:r>
      <w:r>
        <w:rPr>
          <w:rFonts w:hint="eastAsia" w:ascii="仿宋_GB2312" w:hAnsi="仿宋_GB2312" w:eastAsia="仿宋_GB2312" w:cs="仿宋_GB2312"/>
          <w:b/>
          <w:kern w:val="0"/>
          <w:sz w:val="24"/>
          <w:lang w:bidi="en-US"/>
        </w:rPr>
        <w:t>争议的解决</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因执行本协议而发生的纠纷，可由双方协商解决；协商不成的，任何一方有权向</w:t>
      </w:r>
      <w:r>
        <w:rPr>
          <w:rFonts w:hint="eastAsia" w:ascii="仿宋_GB2312" w:hAnsi="仿宋_GB2312" w:eastAsia="仿宋_GB2312" w:cs="仿宋_GB2312"/>
          <w:kern w:val="0"/>
          <w:sz w:val="24"/>
          <w:u w:val="single"/>
          <w:lang w:bidi="en-US"/>
        </w:rPr>
        <w:t>甲方所在地人民法院</w:t>
      </w:r>
      <w:r>
        <w:rPr>
          <w:rFonts w:hint="eastAsia" w:ascii="仿宋_GB2312" w:hAnsi="仿宋_GB2312" w:eastAsia="仿宋_GB2312" w:cs="仿宋_GB2312"/>
          <w:kern w:val="0"/>
          <w:sz w:val="24"/>
          <w:lang w:bidi="en-US"/>
        </w:rPr>
        <w:t>提起诉讼。</w:t>
      </w:r>
    </w:p>
    <w:p>
      <w:pPr>
        <w:widowControl/>
        <w:snapToGrid w:val="0"/>
        <w:spacing w:line="360" w:lineRule="auto"/>
        <w:ind w:firstLine="482" w:firstLineChars="200"/>
        <w:jc w:val="left"/>
        <w:rPr>
          <w:rFonts w:ascii="仿宋_GB2312" w:hAnsi="仿宋_GB2312" w:eastAsia="仿宋_GB2312" w:cs="仿宋_GB2312"/>
          <w:b/>
          <w:kern w:val="0"/>
          <w:sz w:val="24"/>
          <w:lang w:bidi="en-US"/>
        </w:rPr>
      </w:pPr>
      <w:r>
        <w:rPr>
          <w:rFonts w:hint="eastAsia" w:ascii="仿宋_GB2312" w:hAnsi="仿宋_GB2312" w:eastAsia="仿宋_GB2312" w:cs="仿宋_GB2312"/>
          <w:b/>
          <w:kern w:val="0"/>
          <w:sz w:val="24"/>
          <w:lang w:bidi="en-US"/>
        </w:rPr>
        <w:t>第六条</w:t>
      </w:r>
      <w:r>
        <w:rPr>
          <w:rFonts w:ascii="仿宋_GB2312" w:hAnsi="仿宋_GB2312" w:eastAsia="仿宋_GB2312" w:cs="仿宋_GB2312"/>
          <w:b/>
          <w:kern w:val="0"/>
          <w:sz w:val="24"/>
          <w:lang w:bidi="en-US"/>
        </w:rPr>
        <w:t xml:space="preserve"> </w:t>
      </w:r>
      <w:r>
        <w:rPr>
          <w:rFonts w:hint="eastAsia" w:ascii="仿宋_GB2312" w:hAnsi="仿宋_GB2312" w:eastAsia="仿宋_GB2312" w:cs="仿宋_GB2312"/>
          <w:b/>
          <w:kern w:val="0"/>
          <w:sz w:val="24"/>
          <w:lang w:bidi="en-US"/>
        </w:rPr>
        <w:t>协议的效力和变更</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1、本协议自双方法定代表人或其授权代表签字并加盖公章后生效。</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t>2、任何对本协议所作的任何增补和修改，除非由双方合法指派的代表书面做出，否则视为无效或对双方均无约束力。</w:t>
      </w:r>
    </w:p>
    <w:p>
      <w:pPr>
        <w:widowControl/>
        <w:snapToGrid w:val="0"/>
        <w:spacing w:line="360" w:lineRule="auto"/>
        <w:ind w:firstLine="480" w:firstLineChars="200"/>
        <w:jc w:val="left"/>
        <w:rPr>
          <w:rFonts w:ascii="仿宋_GB2312" w:hAnsi="仿宋_GB2312" w:eastAsia="仿宋_GB2312" w:cs="仿宋_GB2312"/>
          <w:kern w:val="0"/>
          <w:sz w:val="24"/>
          <w:lang w:bidi="en-US"/>
        </w:rPr>
      </w:pPr>
    </w:p>
    <w:p>
      <w:pPr>
        <w:widowControl/>
        <w:snapToGrid w:val="0"/>
        <w:spacing w:line="360" w:lineRule="auto"/>
        <w:jc w:val="left"/>
        <w:rPr>
          <w:rFonts w:ascii="仿宋_GB2312" w:hAnsi="仿宋_GB2312" w:eastAsia="仿宋_GB2312" w:cs="仿宋_GB2312"/>
          <w:kern w:val="0"/>
          <w:sz w:val="24"/>
          <w:lang w:bidi="en-US"/>
        </w:rPr>
      </w:pPr>
      <w:r>
        <w:rPr>
          <w:rFonts w:ascii="仿宋_GB2312" w:hAnsi="仿宋_GB2312" w:eastAsia="仿宋_GB2312" w:cs="仿宋_GB2312"/>
          <w:kern w:val="0"/>
          <w:sz w:val="24"/>
          <w:lang w:bidi="en-US"/>
        </w:rPr>
        <w:br w:type="page"/>
      </w:r>
      <w:r>
        <w:rPr>
          <w:rFonts w:hint="eastAsia" w:ascii="仿宋_GB2312" w:hAnsi="仿宋_GB2312" w:eastAsia="仿宋_GB2312" w:cs="仿宋_GB2312"/>
          <w:kern w:val="0"/>
          <w:sz w:val="24"/>
          <w:lang w:bidi="en-US"/>
        </w:rPr>
        <w:t>（本页无正文）</w:t>
      </w:r>
    </w:p>
    <w:p>
      <w:pPr>
        <w:widowControl/>
        <w:snapToGrid w:val="0"/>
        <w:spacing w:line="360" w:lineRule="auto"/>
        <w:ind w:firstLine="480" w:firstLineChars="200"/>
        <w:jc w:val="left"/>
        <w:rPr>
          <w:rFonts w:ascii="仿宋_GB2312" w:hAnsi="仿宋_GB2312" w:eastAsia="仿宋_GB2312" w:cs="仿宋_GB2312"/>
          <w:kern w:val="0"/>
          <w:sz w:val="24"/>
          <w:lang w:bidi="en-US"/>
        </w:rPr>
      </w:pPr>
    </w:p>
    <w:p>
      <w:pPr>
        <w:widowControl/>
        <w:snapToGrid w:val="0"/>
        <w:spacing w:line="360" w:lineRule="auto"/>
        <w:ind w:firstLine="480" w:firstLineChars="200"/>
        <w:jc w:val="left"/>
        <w:rPr>
          <w:rFonts w:ascii="仿宋_GB2312" w:hAnsi="仿宋_GB2312" w:eastAsia="仿宋_GB2312" w:cs="仿宋_GB2312"/>
          <w:kern w:val="0"/>
          <w:sz w:val="24"/>
          <w:lang w:bidi="en-US"/>
        </w:rPr>
      </w:pPr>
    </w:p>
    <w:p>
      <w:pPr>
        <w:widowControl/>
        <w:snapToGrid w:val="0"/>
        <w:spacing w:line="360" w:lineRule="auto"/>
        <w:ind w:firstLine="480" w:firstLineChars="200"/>
        <w:jc w:val="left"/>
        <w:rPr>
          <w:rFonts w:ascii="仿宋_GB2312" w:hAnsi="仿宋_GB2312" w:eastAsia="仿宋_GB2312" w:cs="仿宋_GB2312"/>
          <w:kern w:val="0"/>
          <w:sz w:val="24"/>
          <w:lang w:bidi="en-US"/>
        </w:rPr>
      </w:pPr>
    </w:p>
    <w:tbl>
      <w:tblPr>
        <w:tblStyle w:val="46"/>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Pr>
          <w:p>
            <w:pPr>
              <w:adjustRightInd w:val="0"/>
              <w:snapToGrid w:val="0"/>
              <w:spacing w:line="360" w:lineRule="auto"/>
              <w:textAlignment w:val="baseline"/>
              <w:rPr>
                <w:rFonts w:ascii="仿宋_GB2312" w:hAnsi="仿宋_GB2312" w:eastAsia="仿宋_GB2312" w:cs="仿宋_GB2312"/>
                <w:kern w:val="0"/>
                <w:sz w:val="24"/>
              </w:rPr>
            </w:pPr>
            <w:bookmarkStart w:id="112" w:name="3"/>
            <w:bookmarkEnd w:id="112"/>
            <w:r>
              <w:rPr>
                <w:rFonts w:hint="eastAsia" w:ascii="仿宋_GB2312" w:hAnsi="仿宋_GB2312" w:eastAsia="仿宋_GB2312" w:cs="仿宋_GB2312"/>
                <w:kern w:val="0"/>
                <w:sz w:val="24"/>
              </w:rPr>
              <w:t>甲方：</w:t>
            </w:r>
            <w:r>
              <w:rPr>
                <w:rFonts w:ascii="仿宋_GB2312" w:hAnsi="仿宋_GB2312" w:eastAsia="仿宋_GB2312" w:cs="仿宋_GB2312"/>
                <w:kern w:val="0"/>
                <w:sz w:val="24"/>
              </w:rPr>
              <w:t>(盖章)</w:t>
            </w:r>
          </w:p>
        </w:tc>
        <w:tc>
          <w:tcPr>
            <w:tcW w:w="4252" w:type="dxa"/>
          </w:tcPr>
          <w:p>
            <w:pPr>
              <w:adjustRightInd w:val="0"/>
              <w:snapToGrid w:val="0"/>
              <w:spacing w:line="360" w:lineRule="auto"/>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乙方：（盖章）</w:t>
            </w:r>
          </w:p>
        </w:tc>
      </w:tr>
      <w:tr>
        <w:tblPrEx>
          <w:tblCellMar>
            <w:top w:w="0" w:type="dxa"/>
            <w:left w:w="108" w:type="dxa"/>
            <w:bottom w:w="0" w:type="dxa"/>
            <w:right w:w="108" w:type="dxa"/>
          </w:tblCellMar>
        </w:tblPrEx>
        <w:trPr>
          <w:trHeight w:val="777" w:hRule="atLeast"/>
          <w:jc w:val="center"/>
        </w:trPr>
        <w:tc>
          <w:tcPr>
            <w:tcW w:w="4467" w:type="dxa"/>
          </w:tcPr>
          <w:p>
            <w:pPr>
              <w:adjustRightInd w:val="0"/>
              <w:snapToGrid w:val="0"/>
              <w:spacing w:line="360" w:lineRule="auto"/>
              <w:ind w:left="19" w:leftChars="9"/>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法定代表人或其授权代表：（签字）</w:t>
            </w:r>
          </w:p>
          <w:p>
            <w:pPr>
              <w:adjustRightInd w:val="0"/>
              <w:snapToGrid w:val="0"/>
              <w:spacing w:line="360" w:lineRule="auto"/>
              <w:ind w:left="19" w:leftChars="9"/>
              <w:textAlignment w:val="baseline"/>
              <w:rPr>
                <w:rFonts w:ascii="仿宋_GB2312" w:hAnsi="仿宋_GB2312" w:eastAsia="仿宋_GB2312" w:cs="仿宋_GB2312"/>
                <w:kern w:val="0"/>
                <w:sz w:val="24"/>
              </w:rPr>
            </w:pPr>
          </w:p>
        </w:tc>
        <w:tc>
          <w:tcPr>
            <w:tcW w:w="4252" w:type="dxa"/>
          </w:tcPr>
          <w:p>
            <w:pPr>
              <w:adjustRightInd w:val="0"/>
              <w:snapToGrid w:val="0"/>
              <w:spacing w:line="360" w:lineRule="auto"/>
              <w:ind w:left="34" w:leftChars="16"/>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法定代表人或其授权代表：（签字）</w:t>
            </w:r>
          </w:p>
        </w:tc>
      </w:tr>
      <w:tr>
        <w:tblPrEx>
          <w:tblCellMar>
            <w:top w:w="0" w:type="dxa"/>
            <w:left w:w="108" w:type="dxa"/>
            <w:bottom w:w="0" w:type="dxa"/>
            <w:right w:w="108" w:type="dxa"/>
          </w:tblCellMar>
        </w:tblPrEx>
        <w:trPr>
          <w:trHeight w:val="777" w:hRule="atLeast"/>
          <w:jc w:val="center"/>
        </w:trPr>
        <w:tc>
          <w:tcPr>
            <w:tcW w:w="4467" w:type="dxa"/>
          </w:tcPr>
          <w:p>
            <w:pPr>
              <w:adjustRightInd w:val="0"/>
              <w:snapToGrid w:val="0"/>
              <w:spacing w:line="360" w:lineRule="auto"/>
              <w:ind w:left="19" w:leftChars="9"/>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时间：</w:t>
            </w:r>
          </w:p>
        </w:tc>
        <w:tc>
          <w:tcPr>
            <w:tcW w:w="4252" w:type="dxa"/>
          </w:tcPr>
          <w:p>
            <w:pPr>
              <w:adjustRightInd w:val="0"/>
              <w:snapToGrid w:val="0"/>
              <w:spacing w:line="360" w:lineRule="auto"/>
              <w:ind w:left="34" w:leftChars="16"/>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时间：</w:t>
            </w:r>
          </w:p>
        </w:tc>
      </w:tr>
    </w:tbl>
    <w:p>
      <w:pPr>
        <w:adjustRightInd w:val="0"/>
        <w:snapToGrid w:val="0"/>
        <w:spacing w:line="444" w:lineRule="exact"/>
        <w:jc w:val="left"/>
        <w:rPr>
          <w:rFonts w:ascii="仿宋_GB2312" w:hAnsi="仿宋_GB2312" w:eastAsia="仿宋_GB2312" w:cs="仿宋_GB2312"/>
          <w:b/>
          <w:sz w:val="24"/>
        </w:rPr>
      </w:pPr>
    </w:p>
    <w:p>
      <w:pPr>
        <w:adjustRightInd w:val="0"/>
        <w:snapToGrid w:val="0"/>
        <w:spacing w:line="444" w:lineRule="exact"/>
        <w:jc w:val="left"/>
        <w:rPr>
          <w:rFonts w:ascii="仿宋_GB2312" w:hAnsi="仿宋_GB2312" w:eastAsia="仿宋_GB2312" w:cs="仿宋_GB2312"/>
          <w:b/>
          <w:sz w:val="24"/>
        </w:rPr>
      </w:pPr>
      <w:r>
        <w:rPr>
          <w:rFonts w:ascii="仿宋_GB2312" w:hAnsi="仿宋_GB2312" w:eastAsia="仿宋_GB2312" w:cs="仿宋_GB2312"/>
          <w:b/>
          <w:sz w:val="24"/>
        </w:rPr>
        <w:br w:type="page"/>
      </w:r>
      <w:r>
        <w:rPr>
          <w:rFonts w:hint="eastAsia" w:ascii="仿宋_GB2312" w:hAnsi="仿宋_GB2312" w:eastAsia="仿宋_GB2312" w:cs="仿宋_GB2312"/>
          <w:b/>
          <w:sz w:val="24"/>
        </w:rPr>
        <w:t>附件3 中标通知书/中选通知书/谈判记录表</w:t>
      </w:r>
    </w:p>
    <w:p>
      <w:pPr>
        <w:adjustRightInd w:val="0"/>
        <w:snapToGrid w:val="0"/>
        <w:spacing w:line="444" w:lineRule="exact"/>
        <w:jc w:val="left"/>
        <w:rPr>
          <w:rFonts w:ascii="仿宋_GB2312" w:hAnsi="仿宋_GB2312" w:eastAsia="仿宋_GB2312" w:cs="仿宋_GB2312"/>
          <w:b/>
          <w:sz w:val="24"/>
        </w:rPr>
      </w:pPr>
      <w:r>
        <w:rPr>
          <w:rFonts w:hint="eastAsia" w:ascii="仿宋_GB2312" w:hAnsi="仿宋_GB2312" w:eastAsia="仿宋_GB2312" w:cs="仿宋_GB2312"/>
          <w:b/>
          <w:sz w:val="24"/>
        </w:rPr>
        <w:t>附件4 签约合同价清单</w:t>
      </w:r>
    </w:p>
    <w:p>
      <w:pPr>
        <w:adjustRightInd w:val="0"/>
        <w:snapToGrid w:val="0"/>
        <w:spacing w:line="444" w:lineRule="exact"/>
        <w:jc w:val="left"/>
        <w:rPr>
          <w:rFonts w:ascii="仿宋_GB2312" w:hAnsi="仿宋_GB2312" w:eastAsia="仿宋_GB2312" w:cs="仿宋_GB2312"/>
          <w:b/>
          <w:sz w:val="24"/>
        </w:rPr>
      </w:pPr>
      <w:r>
        <w:rPr>
          <w:rFonts w:hint="eastAsia" w:ascii="仿宋_GB2312" w:hAnsi="仿宋_GB2312" w:eastAsia="仿宋_GB2312" w:cs="仿宋_GB2312"/>
          <w:b/>
          <w:sz w:val="24"/>
        </w:rPr>
        <w:t>附件5 澄清与答疑文件</w:t>
      </w:r>
    </w:p>
    <w:p>
      <w:pPr>
        <w:adjustRightInd w:val="0"/>
        <w:snapToGrid w:val="0"/>
        <w:spacing w:line="444" w:lineRule="exact"/>
        <w:jc w:val="left"/>
        <w:rPr>
          <w:rFonts w:ascii="仿宋_GB2312" w:hAnsi="仿宋_GB2312" w:eastAsia="仿宋_GB2312" w:cs="仿宋_GB2312"/>
          <w:b/>
          <w:sz w:val="24"/>
        </w:rPr>
      </w:pPr>
      <w:r>
        <w:rPr>
          <w:rFonts w:hint="eastAsia" w:ascii="仿宋_GB2312" w:hAnsi="仿宋_GB2312" w:eastAsia="仿宋_GB2312" w:cs="仿宋_GB2312"/>
          <w:b/>
          <w:sz w:val="24"/>
        </w:rPr>
        <w:t>附件6 最高投标限价公示说明</w:t>
      </w:r>
    </w:p>
    <w:p>
      <w:pPr>
        <w:adjustRightInd w:val="0"/>
        <w:snapToGrid w:val="0"/>
        <w:spacing w:line="444" w:lineRule="exact"/>
        <w:jc w:val="left"/>
        <w:rPr>
          <w:rFonts w:ascii="仿宋_GB2312" w:hAnsi="仿宋_GB2312" w:eastAsia="仿宋_GB2312" w:cs="仿宋_GB2312"/>
          <w:b/>
          <w:sz w:val="24"/>
        </w:rPr>
      </w:pPr>
      <w:r>
        <w:rPr>
          <w:rFonts w:hint="eastAsia" w:ascii="仿宋_GB2312" w:hAnsi="仿宋_GB2312" w:eastAsia="仿宋_GB2312" w:cs="仿宋_GB2312"/>
          <w:b/>
          <w:sz w:val="24"/>
        </w:rPr>
        <w:t>附件7 用户需求书/技术规格书</w:t>
      </w:r>
    </w:p>
    <w:p>
      <w:pPr>
        <w:pStyle w:val="13"/>
        <w:snapToGrid w:val="0"/>
        <w:spacing w:line="360" w:lineRule="auto"/>
        <w:ind w:firstLine="0"/>
        <w:outlineLvl w:val="1"/>
        <w:rPr>
          <w:rFonts w:ascii="仿宋_GB2312" w:hAnsi="仿宋_GB2312" w:eastAsia="仿宋_GB2312" w:cs="仿宋_GB2312"/>
          <w:b/>
          <w:sz w:val="24"/>
        </w:rPr>
      </w:pPr>
    </w:p>
    <w:p>
      <w:pPr>
        <w:pStyle w:val="13"/>
        <w:snapToGrid w:val="0"/>
        <w:spacing w:line="360" w:lineRule="auto"/>
        <w:ind w:firstLine="0"/>
        <w:jc w:val="center"/>
        <w:outlineLvl w:val="1"/>
        <w:rPr>
          <w:rFonts w:ascii="仿宋_GB2312" w:hAnsi="仿宋_GB2312" w:eastAsia="仿宋_GB2312" w:cs="仿宋_GB2312"/>
          <w:b/>
          <w:sz w:val="32"/>
          <w:szCs w:val="32"/>
        </w:rPr>
      </w:pPr>
      <w:r>
        <w:rPr>
          <w:rFonts w:ascii="仿宋_GB2312" w:hAnsi="仿宋_GB2312" w:eastAsia="仿宋_GB2312" w:cs="仿宋_GB2312"/>
          <w:b/>
          <w:sz w:val="24"/>
        </w:rPr>
        <w:br w:type="page"/>
      </w:r>
      <w:bookmarkEnd w:id="99"/>
      <w:bookmarkEnd w:id="100"/>
      <w:bookmarkEnd w:id="101"/>
      <w:bookmarkEnd w:id="110"/>
      <w:bookmarkEnd w:id="111"/>
      <w:bookmarkStart w:id="113" w:name="_Toc319826225"/>
      <w:bookmarkStart w:id="114" w:name="_Toc31412"/>
      <w:bookmarkStart w:id="115" w:name="_Toc17255"/>
      <w:r>
        <w:rPr>
          <w:rFonts w:hint="eastAsia" w:ascii="仿宋_GB2312" w:hAnsi="仿宋_GB2312" w:eastAsia="仿宋_GB2312" w:cs="仿宋_GB2312"/>
          <w:b/>
          <w:sz w:val="32"/>
          <w:szCs w:val="32"/>
        </w:rPr>
        <w:t>第四部分 合同附录</w:t>
      </w:r>
      <w:bookmarkEnd w:id="113"/>
      <w:bookmarkEnd w:id="114"/>
      <w:bookmarkEnd w:id="115"/>
      <w:bookmarkStart w:id="116" w:name="_Toc411417807"/>
      <w:bookmarkStart w:id="117" w:name="_Toc437444976"/>
      <w:bookmarkStart w:id="118" w:name="_Toc22409"/>
    </w:p>
    <w:p>
      <w:pPr>
        <w:adjustRightInd w:val="0"/>
        <w:snapToGrid w:val="0"/>
        <w:spacing w:line="360" w:lineRule="auto"/>
        <w:outlineLvl w:val="1"/>
        <w:rPr>
          <w:rFonts w:ascii="仿宋_GB2312" w:hAnsi="仿宋_GB2312" w:eastAsia="仿宋_GB2312" w:cs="仿宋_GB2312"/>
          <w:b/>
          <w:bCs/>
          <w:sz w:val="24"/>
        </w:rPr>
      </w:pPr>
      <w:bookmarkStart w:id="119" w:name="_Toc20623"/>
      <w:r>
        <w:rPr>
          <w:rFonts w:hint="eastAsia" w:ascii="仿宋_GB2312" w:hAnsi="仿宋_GB2312" w:eastAsia="仿宋_GB2312" w:cs="仿宋_GB2312"/>
          <w:b/>
          <w:bCs/>
          <w:sz w:val="24"/>
        </w:rPr>
        <w:t xml:space="preserve">附录1 </w:t>
      </w:r>
      <w:bookmarkEnd w:id="116"/>
      <w:bookmarkEnd w:id="117"/>
      <w:bookmarkEnd w:id="118"/>
      <w:bookmarkEnd w:id="119"/>
      <w:bookmarkStart w:id="120" w:name="_Toc319826226"/>
      <w:bookmarkStart w:id="121" w:name="_Toc437444977"/>
      <w:bookmarkStart w:id="122" w:name="_Toc16781"/>
      <w:bookmarkStart w:id="123" w:name="_Toc12472"/>
      <w:r>
        <w:rPr>
          <w:rFonts w:hint="eastAsia" w:ascii="仿宋_GB2312" w:hAnsi="仿宋_GB2312" w:eastAsia="仿宋_GB2312" w:cs="仿宋_GB2312"/>
          <w:b/>
          <w:bCs/>
          <w:sz w:val="24"/>
        </w:rPr>
        <w:t>银行履约保函</w:t>
      </w:r>
      <w:bookmarkEnd w:id="120"/>
      <w:bookmarkEnd w:id="121"/>
      <w:bookmarkEnd w:id="122"/>
      <w:r>
        <w:rPr>
          <w:rFonts w:hint="eastAsia" w:ascii="仿宋_GB2312" w:hAnsi="仿宋_GB2312" w:eastAsia="仿宋_GB2312" w:cs="仿宋_GB2312"/>
          <w:b/>
          <w:bCs/>
          <w:sz w:val="24"/>
        </w:rPr>
        <w:t>（格式）</w:t>
      </w:r>
      <w:bookmarkEnd w:id="123"/>
    </w:p>
    <w:p>
      <w:pPr>
        <w:jc w:val="center"/>
        <w:rPr>
          <w:rFonts w:ascii="仿宋_GB2312" w:hAnsi="仿宋_GB2312" w:eastAsia="仿宋_GB2312" w:cs="仿宋_GB2312"/>
          <w:b/>
          <w:bCs/>
          <w:sz w:val="24"/>
        </w:rPr>
      </w:pPr>
      <w:r>
        <w:rPr>
          <w:rFonts w:hint="eastAsia" w:ascii="仿宋_GB2312" w:hAnsi="仿宋_GB2312" w:eastAsia="仿宋_GB2312" w:cs="仿宋_GB2312"/>
          <w:b/>
          <w:sz w:val="30"/>
          <w:szCs w:val="30"/>
        </w:rPr>
        <w:t xml:space="preserve">                    </w:t>
      </w:r>
      <w:r>
        <w:rPr>
          <w:rFonts w:hint="eastAsia" w:ascii="仿宋_GB2312" w:hAnsi="仿宋_GB2312" w:eastAsia="仿宋_GB2312" w:cs="仿宋_GB2312"/>
          <w:b/>
          <w:bCs/>
          <w:sz w:val="24"/>
        </w:rPr>
        <w:t>保函编号：</w:t>
      </w:r>
    </w:p>
    <w:p>
      <w:pPr>
        <w:snapToGrid w:val="0"/>
        <w:spacing w:line="360" w:lineRule="auto"/>
        <w:jc w:val="center"/>
        <w:rPr>
          <w:rFonts w:ascii="仿宋_GB2312" w:hAnsi="仿宋_GB2312" w:eastAsia="仿宋_GB2312" w:cs="仿宋_GB2312"/>
          <w:b/>
          <w:sz w:val="30"/>
          <w:szCs w:val="30"/>
        </w:rPr>
      </w:pPr>
    </w:p>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银行履约保函</w:t>
      </w:r>
    </w:p>
    <w:p>
      <w:pPr>
        <w:jc w:val="center"/>
        <w:rPr>
          <w:rFonts w:ascii="仿宋_GB2312" w:hAnsi="仿宋_GB2312" w:eastAsia="仿宋_GB2312" w:cs="仿宋_GB2312"/>
          <w:b/>
          <w:sz w:val="24"/>
        </w:rPr>
      </w:pPr>
    </w:p>
    <w:p>
      <w:pPr>
        <w:adjustRightInd w:val="0"/>
        <w:snapToGrid w:val="0"/>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甲方（全称）：</w:t>
      </w:r>
      <w:r>
        <w:rPr>
          <w:rFonts w:hint="eastAsia" w:ascii="仿宋_GB2312" w:hAnsi="仿宋_GB2312" w:eastAsia="仿宋_GB2312" w:cs="仿宋_GB2312"/>
          <w:sz w:val="24"/>
          <w:u w:val="single"/>
        </w:rPr>
        <w:t xml:space="preserve">                  </w:t>
      </w:r>
    </w:p>
    <w:p>
      <w:pPr>
        <w:adjustRightInd w:val="0"/>
        <w:snapToGrid w:val="0"/>
        <w:spacing w:line="360" w:lineRule="auto"/>
        <w:ind w:left="15" w:leftChars="7" w:firstLine="480"/>
        <w:rPr>
          <w:rFonts w:ascii="仿宋_GB2312" w:hAnsi="仿宋_GB2312" w:eastAsia="仿宋_GB2312" w:cs="仿宋_GB2312"/>
          <w:sz w:val="24"/>
        </w:rPr>
      </w:pPr>
      <w:r>
        <w:rPr>
          <w:rFonts w:hint="eastAsia" w:ascii="仿宋_GB2312" w:hAnsi="仿宋_GB2312" w:eastAsia="仿宋_GB2312" w:cs="仿宋_GB2312"/>
          <w:sz w:val="24"/>
        </w:rPr>
        <w:t>鉴于甲方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（以下简称“你方”）与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（乙方全称，以下简称“乙方”）于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日协商一致共同签订合同编号为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合同》（以下简称“合同”）。 我方愿意无条件地、不可撤销地就乙方履行与你方签订的合同，向你方提供以下见索即付担保：</w:t>
      </w:r>
    </w:p>
    <w:p>
      <w:pPr>
        <w:adjustRightInd w:val="0"/>
        <w:snapToGrid w:val="0"/>
        <w:spacing w:line="360" w:lineRule="auto"/>
        <w:ind w:left="15" w:leftChars="7" w:firstLine="480"/>
        <w:rPr>
          <w:rFonts w:ascii="仿宋_GB2312" w:hAnsi="仿宋_GB2312" w:eastAsia="仿宋_GB2312" w:cs="仿宋_GB2312"/>
          <w:sz w:val="24"/>
          <w:szCs w:val="20"/>
        </w:rPr>
      </w:pPr>
      <w:r>
        <w:rPr>
          <w:rFonts w:hint="eastAsia" w:ascii="仿宋_GB2312" w:hAnsi="仿宋_GB2312" w:eastAsia="仿宋_GB2312" w:cs="仿宋_GB2312"/>
          <w:sz w:val="24"/>
          <w:szCs w:val="20"/>
        </w:rPr>
        <w:t>1、担保金额为人民币（大写）</w:t>
      </w:r>
      <w:r>
        <w:rPr>
          <w:rFonts w:hint="eastAsia" w:ascii="仿宋_GB2312" w:hAnsi="仿宋_GB2312" w:eastAsia="仿宋_GB2312" w:cs="仿宋_GB2312"/>
          <w:sz w:val="24"/>
          <w:szCs w:val="20"/>
          <w:u w:val="single"/>
        </w:rPr>
        <w:t xml:space="preserve">        </w:t>
      </w:r>
      <w:r>
        <w:rPr>
          <w:rFonts w:hint="eastAsia" w:ascii="仿宋_GB2312" w:hAnsi="仿宋_GB2312" w:eastAsia="仿宋_GB2312" w:cs="仿宋_GB2312"/>
          <w:sz w:val="24"/>
          <w:szCs w:val="20"/>
        </w:rPr>
        <w:t>元（小写：¥</w:t>
      </w:r>
      <w:r>
        <w:rPr>
          <w:rFonts w:hint="eastAsia" w:ascii="仿宋_GB2312" w:hAnsi="仿宋_GB2312" w:eastAsia="仿宋_GB2312" w:cs="仿宋_GB2312"/>
          <w:sz w:val="24"/>
          <w:szCs w:val="20"/>
          <w:u w:val="single"/>
        </w:rPr>
        <w:t xml:space="preserve">       </w:t>
      </w:r>
      <w:r>
        <w:rPr>
          <w:rFonts w:hint="eastAsia" w:ascii="仿宋_GB2312" w:hAnsi="仿宋_GB2312" w:eastAsia="仿宋_GB2312" w:cs="仿宋_GB2312"/>
          <w:sz w:val="24"/>
          <w:szCs w:val="20"/>
        </w:rPr>
        <w:t>）。</w:t>
      </w:r>
    </w:p>
    <w:p>
      <w:pPr>
        <w:adjustRightInd w:val="0"/>
        <w:snapToGrid w:val="0"/>
        <w:spacing w:line="360" w:lineRule="auto"/>
        <w:ind w:left="15" w:leftChars="7" w:firstLine="480"/>
        <w:rPr>
          <w:rFonts w:ascii="仿宋_GB2312" w:hAnsi="仿宋_GB2312" w:eastAsia="仿宋_GB2312" w:cs="仿宋_GB2312"/>
          <w:sz w:val="24"/>
          <w:szCs w:val="20"/>
        </w:rPr>
      </w:pPr>
      <w:r>
        <w:rPr>
          <w:rFonts w:hint="eastAsia" w:ascii="仿宋_GB2312" w:hAnsi="仿宋_GB2312" w:eastAsia="仿宋_GB2312" w:cs="仿宋_GB2312"/>
          <w:sz w:val="24"/>
          <w:szCs w:val="20"/>
        </w:rPr>
        <w:t>2、担保期限为自本保函生效之日起至</w:t>
      </w:r>
      <w:r>
        <w:rPr>
          <w:rFonts w:hint="eastAsia" w:ascii="仿宋_GB2312" w:hAnsi="仿宋_GB2312" w:eastAsia="仿宋_GB2312" w:cs="仿宋_GB2312"/>
          <w:sz w:val="24"/>
          <w:szCs w:val="20"/>
          <w:u w:val="single"/>
        </w:rPr>
        <w:t xml:space="preserve">           </w:t>
      </w:r>
      <w:r>
        <w:rPr>
          <w:rFonts w:hint="eastAsia" w:ascii="仿宋_GB2312" w:hAnsi="仿宋_GB2312" w:eastAsia="仿宋_GB2312" w:cs="仿宋_GB2312"/>
          <w:sz w:val="24"/>
          <w:szCs w:val="20"/>
        </w:rPr>
        <w:t>之日止。</w:t>
      </w:r>
    </w:p>
    <w:p>
      <w:pPr>
        <w:adjustRightInd w:val="0"/>
        <w:snapToGrid w:val="0"/>
        <w:spacing w:line="360" w:lineRule="auto"/>
        <w:ind w:left="15" w:leftChars="7" w:firstLine="480"/>
        <w:rPr>
          <w:rFonts w:ascii="仿宋_GB2312" w:hAnsi="仿宋_GB2312" w:eastAsia="仿宋_GB2312" w:cs="仿宋_GB2312"/>
          <w:sz w:val="24"/>
          <w:szCs w:val="20"/>
        </w:rPr>
      </w:pPr>
      <w:r>
        <w:rPr>
          <w:rFonts w:hint="eastAsia" w:ascii="仿宋_GB2312" w:hAnsi="仿宋_GB2312" w:eastAsia="仿宋_GB2312" w:cs="仿宋_GB2312"/>
          <w:sz w:val="24"/>
          <w:szCs w:val="20"/>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firstLine="480"/>
        <w:rPr>
          <w:rFonts w:ascii="仿宋_GB2312" w:hAnsi="仿宋_GB2312" w:eastAsia="仿宋_GB2312" w:cs="仿宋_GB2312"/>
          <w:sz w:val="24"/>
          <w:szCs w:val="20"/>
        </w:rPr>
      </w:pPr>
      <w:r>
        <w:rPr>
          <w:rFonts w:hint="eastAsia" w:ascii="仿宋_GB2312" w:hAnsi="仿宋_GB2312" w:eastAsia="仿宋_GB2312" w:cs="仿宋_GB2312"/>
          <w:sz w:val="24"/>
          <w:szCs w:val="20"/>
        </w:rPr>
        <w:t>4、你方和乙方按合同约定变更合同时，我方承担本担保规定的义务不变。</w:t>
      </w:r>
    </w:p>
    <w:p>
      <w:pPr>
        <w:adjustRightInd w:val="0"/>
        <w:snapToGrid w:val="0"/>
        <w:spacing w:line="360" w:lineRule="auto"/>
        <w:ind w:left="15" w:leftChars="7" w:firstLine="480"/>
        <w:rPr>
          <w:rFonts w:ascii="仿宋_GB2312" w:hAnsi="仿宋_GB2312" w:eastAsia="仿宋_GB2312" w:cs="仿宋_GB2312"/>
          <w:sz w:val="24"/>
        </w:rPr>
      </w:pPr>
      <w:r>
        <w:rPr>
          <w:rFonts w:hint="eastAsia" w:ascii="仿宋_GB2312" w:hAnsi="仿宋_GB2312" w:eastAsia="仿宋_GB2312" w:cs="仿宋_GB2312"/>
          <w:sz w:val="24"/>
        </w:rPr>
        <w:t>5、因本保函发生的纠纷，可由双方协商解决，协商不成的，任何一方均可提请在你方所在地人民法院起诉。</w:t>
      </w:r>
    </w:p>
    <w:p>
      <w:pPr>
        <w:adjustRightInd w:val="0"/>
        <w:snapToGrid w:val="0"/>
        <w:spacing w:line="360" w:lineRule="auto"/>
        <w:ind w:left="15" w:leftChars="7" w:firstLine="480"/>
        <w:rPr>
          <w:rFonts w:ascii="仿宋_GB2312" w:hAnsi="仿宋_GB2312" w:eastAsia="仿宋_GB2312" w:cs="仿宋_GB2312"/>
          <w:sz w:val="24"/>
          <w:szCs w:val="20"/>
        </w:rPr>
      </w:pPr>
      <w:r>
        <w:rPr>
          <w:rFonts w:hint="eastAsia" w:ascii="仿宋_GB2312" w:hAnsi="仿宋_GB2312" w:eastAsia="仿宋_GB2312" w:cs="仿宋_GB2312"/>
          <w:sz w:val="24"/>
          <w:szCs w:val="20"/>
        </w:rPr>
        <w:t>本保函自我方加盖公章之日起生效。</w:t>
      </w:r>
    </w:p>
    <w:p>
      <w:pPr>
        <w:adjustRightInd w:val="0"/>
        <w:snapToGrid w:val="0"/>
        <w:spacing w:line="360" w:lineRule="auto"/>
        <w:ind w:left="15" w:leftChars="7" w:firstLine="403" w:firstLineChars="168"/>
        <w:rPr>
          <w:rFonts w:ascii="仿宋_GB2312" w:hAnsi="仿宋_GB2312" w:eastAsia="仿宋_GB2312" w:cs="仿宋_GB2312"/>
          <w:sz w:val="24"/>
          <w:szCs w:val="20"/>
        </w:rPr>
      </w:pPr>
    </w:p>
    <w:p>
      <w:pPr>
        <w:adjustRightInd w:val="0"/>
        <w:snapToGrid w:val="0"/>
        <w:spacing w:line="360" w:lineRule="auto"/>
        <w:ind w:left="15" w:leftChars="7" w:firstLine="403" w:firstLineChars="168"/>
        <w:rPr>
          <w:rFonts w:ascii="仿宋_GB2312" w:hAnsi="仿宋_GB2312" w:eastAsia="仿宋_GB2312" w:cs="仿宋_GB2312"/>
          <w:sz w:val="24"/>
          <w:szCs w:val="20"/>
        </w:rPr>
      </w:pPr>
      <w:r>
        <w:rPr>
          <w:rFonts w:hint="eastAsia" w:ascii="仿宋_GB2312" w:hAnsi="仿宋_GB2312" w:eastAsia="仿宋_GB2312" w:cs="仿宋_GB2312"/>
          <w:sz w:val="24"/>
          <w:szCs w:val="20"/>
        </w:rPr>
        <w:t>担保人（盖公章）：</w:t>
      </w:r>
    </w:p>
    <w:p>
      <w:pPr>
        <w:adjustRightInd w:val="0"/>
        <w:snapToGrid w:val="0"/>
        <w:spacing w:line="360" w:lineRule="auto"/>
        <w:ind w:firstLine="480" w:firstLineChars="200"/>
        <w:rPr>
          <w:rFonts w:ascii="仿宋_GB2312" w:hAnsi="仿宋_GB2312" w:eastAsia="仿宋_GB2312" w:cs="仿宋_GB2312"/>
          <w:sz w:val="24"/>
          <w:szCs w:val="20"/>
        </w:rPr>
      </w:pPr>
      <w:r>
        <w:rPr>
          <w:rFonts w:hint="eastAsia" w:ascii="仿宋_GB2312" w:hAnsi="仿宋_GB2312" w:eastAsia="仿宋_GB2312" w:cs="仿宋_GB2312"/>
          <w:sz w:val="24"/>
          <w:szCs w:val="20"/>
        </w:rPr>
        <w:t>签字：</w:t>
      </w:r>
    </w:p>
    <w:p>
      <w:pPr>
        <w:adjustRightInd w:val="0"/>
        <w:snapToGrid w:val="0"/>
        <w:spacing w:line="360" w:lineRule="auto"/>
        <w:ind w:left="15" w:leftChars="7" w:firstLine="403" w:firstLineChars="168"/>
        <w:rPr>
          <w:rFonts w:ascii="仿宋_GB2312" w:hAnsi="仿宋_GB2312" w:eastAsia="仿宋_GB2312" w:cs="仿宋_GB2312"/>
          <w:sz w:val="24"/>
          <w:szCs w:val="20"/>
          <w:u w:val="single"/>
        </w:rPr>
      </w:pPr>
      <w:r>
        <w:rPr>
          <w:rFonts w:hint="eastAsia" w:ascii="仿宋_GB2312" w:hAnsi="仿宋_GB2312" w:eastAsia="仿宋_GB2312" w:cs="仿宋_GB2312"/>
          <w:sz w:val="24"/>
          <w:szCs w:val="20"/>
        </w:rPr>
        <w:t>地址：</w:t>
      </w:r>
    </w:p>
    <w:p>
      <w:pPr>
        <w:adjustRightInd w:val="0"/>
        <w:snapToGrid w:val="0"/>
        <w:spacing w:line="360" w:lineRule="auto"/>
        <w:ind w:left="15" w:leftChars="7" w:firstLine="403" w:firstLineChars="168"/>
        <w:rPr>
          <w:rFonts w:ascii="仿宋_GB2312" w:hAnsi="仿宋_GB2312" w:eastAsia="仿宋_GB2312" w:cs="仿宋_GB2312"/>
          <w:sz w:val="24"/>
          <w:szCs w:val="20"/>
          <w:u w:val="single"/>
        </w:rPr>
      </w:pPr>
      <w:r>
        <w:rPr>
          <w:rFonts w:hint="eastAsia" w:ascii="仿宋_GB2312" w:hAnsi="仿宋_GB2312" w:eastAsia="仿宋_GB2312" w:cs="仿宋_GB2312"/>
          <w:sz w:val="24"/>
          <w:szCs w:val="20"/>
        </w:rPr>
        <w:t>邮政编码：</w:t>
      </w:r>
    </w:p>
    <w:p>
      <w:pPr>
        <w:adjustRightInd w:val="0"/>
        <w:snapToGrid w:val="0"/>
        <w:spacing w:line="360" w:lineRule="auto"/>
        <w:ind w:left="15" w:leftChars="7" w:firstLine="403" w:firstLineChars="168"/>
        <w:rPr>
          <w:rFonts w:ascii="仿宋_GB2312" w:hAnsi="仿宋_GB2312" w:eastAsia="仿宋_GB2312" w:cs="仿宋_GB2312"/>
          <w:sz w:val="24"/>
          <w:szCs w:val="20"/>
          <w:u w:val="single"/>
        </w:rPr>
      </w:pPr>
      <w:r>
        <w:rPr>
          <w:rFonts w:hint="eastAsia" w:ascii="仿宋_GB2312" w:hAnsi="仿宋_GB2312" w:eastAsia="仿宋_GB2312" w:cs="仿宋_GB2312"/>
          <w:sz w:val="24"/>
          <w:szCs w:val="20"/>
        </w:rPr>
        <w:t>电话：</w:t>
      </w:r>
    </w:p>
    <w:p>
      <w:pPr>
        <w:adjustRightInd w:val="0"/>
        <w:snapToGrid w:val="0"/>
        <w:spacing w:line="360" w:lineRule="auto"/>
        <w:ind w:left="15" w:leftChars="7" w:firstLine="403" w:firstLineChars="168"/>
        <w:rPr>
          <w:rFonts w:ascii="仿宋_GB2312" w:hAnsi="仿宋_GB2312" w:eastAsia="仿宋_GB2312" w:cs="仿宋_GB2312"/>
          <w:sz w:val="24"/>
          <w:szCs w:val="20"/>
        </w:rPr>
      </w:pPr>
      <w:r>
        <w:rPr>
          <w:rFonts w:hint="eastAsia" w:ascii="仿宋_GB2312" w:hAnsi="仿宋_GB2312" w:eastAsia="仿宋_GB2312" w:cs="仿宋_GB2312"/>
          <w:sz w:val="24"/>
          <w:szCs w:val="20"/>
        </w:rPr>
        <w:t>传真：</w:t>
      </w:r>
    </w:p>
    <w:p>
      <w:pPr>
        <w:adjustRightInd w:val="0"/>
        <w:snapToGrid w:val="0"/>
        <w:spacing w:line="360" w:lineRule="auto"/>
        <w:ind w:left="15" w:leftChars="7" w:firstLine="403" w:firstLineChars="168"/>
        <w:rPr>
          <w:rFonts w:ascii="仿宋_GB2312" w:hAnsi="仿宋_GB2312" w:eastAsia="仿宋_GB2312" w:cs="仿宋_GB2312"/>
          <w:szCs w:val="20"/>
        </w:rPr>
      </w:pPr>
      <w:r>
        <w:rPr>
          <w:rFonts w:hint="eastAsia" w:ascii="仿宋_GB2312" w:hAnsi="仿宋_GB2312" w:eastAsia="仿宋_GB2312" w:cs="仿宋_GB2312"/>
          <w:sz w:val="24"/>
          <w:szCs w:val="20"/>
        </w:rPr>
        <w:t>时间：</w:t>
      </w:r>
    </w:p>
    <w:p>
      <w:pPr>
        <w:spacing w:after="240"/>
        <w:jc w:val="center"/>
        <w:rPr>
          <w:rFonts w:ascii="宋体" w:hAnsi="宋体" w:cs="宋体"/>
          <w:b/>
          <w:bCs/>
          <w:sz w:val="32"/>
          <w:szCs w:val="32"/>
        </w:rPr>
      </w:pPr>
    </w:p>
    <w:p>
      <w:pPr>
        <w:pStyle w:val="45"/>
        <w:sectPr>
          <w:footerReference r:id="rId11" w:type="default"/>
          <w:pgSz w:w="11906" w:h="16838"/>
          <w:pgMar w:top="1440" w:right="1797" w:bottom="1440" w:left="1797" w:header="851" w:footer="851" w:gutter="0"/>
          <w:cols w:space="720" w:num="1"/>
          <w:docGrid w:linePitch="312" w:charSpace="0"/>
        </w:sectPr>
      </w:pPr>
    </w:p>
    <w:p>
      <w:pPr>
        <w:spacing w:after="240"/>
        <w:jc w:val="center"/>
        <w:rPr>
          <w:rFonts w:ascii="宋体" w:hAnsi="宋体" w:cs="宋体"/>
          <w:b/>
          <w:bCs/>
          <w:sz w:val="32"/>
          <w:szCs w:val="32"/>
        </w:rPr>
      </w:pPr>
      <w:r>
        <w:rPr>
          <w:rFonts w:ascii="宋体" w:hAnsi="宋体" w:cs="宋体"/>
          <w:b/>
          <w:bCs/>
          <w:sz w:val="32"/>
          <w:szCs w:val="32"/>
        </w:rPr>
        <w:pict>
          <v:shape id="文本框 1" o:spid="_x0000_s1026" o:spt="202" type="#_x0000_t202" style="position:absolute;left:0pt;margin-left:336.75pt;margin-top:30.3pt;height:33pt;width:87.75pt;z-index:2516643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">
            <v:path/>
            <v:fill focussize="0,0"/>
            <v:stroke weight="1.25pt" joinstyle="miter"/>
            <v:imagedata o:title=""/>
            <o:lock v:ext="edit"/>
            <v:textbox>
              <w:txbxContent>
                <w:p>
                  <w:pPr>
                    <w:spacing w:line="440" w:lineRule="exact"/>
                    <w:jc w:val="center"/>
                    <w:rPr>
                      <w:b/>
                      <w:sz w:val="30"/>
                      <w:szCs w:val="30"/>
                    </w:rPr>
                  </w:pPr>
                  <w:r>
                    <w:rPr>
                      <w:rFonts w:hint="eastAsia"/>
                      <w:b/>
                      <w:sz w:val="30"/>
                      <w:szCs w:val="30"/>
                    </w:rPr>
                    <w:t>正本/副本</w:t>
                  </w:r>
                </w:p>
              </w:txbxContent>
            </v:textbox>
          </v:shape>
        </w:pict>
      </w:r>
      <w:r>
        <w:rPr>
          <w:rFonts w:hint="eastAsia" w:ascii="宋体" w:hAnsi="宋体" w:cs="宋体"/>
          <w:b/>
          <w:bCs/>
          <w:sz w:val="32"/>
          <w:szCs w:val="32"/>
        </w:rPr>
        <w:t>第六章</w:t>
      </w:r>
      <w:bookmarkStart w:id="124" w:name="_Toc14891079"/>
      <w:r>
        <w:rPr>
          <w:rFonts w:hint="eastAsia" w:ascii="宋体" w:hAnsi="宋体" w:cs="宋体"/>
          <w:b/>
          <w:bCs/>
          <w:sz w:val="32"/>
          <w:szCs w:val="32"/>
        </w:rPr>
        <w:t xml:space="preserve">  响应文件组成</w:t>
      </w:r>
      <w:bookmarkEnd w:id="53"/>
      <w:bookmarkEnd w:id="54"/>
      <w:bookmarkEnd w:id="55"/>
      <w:bookmarkEnd w:id="56"/>
      <w:bookmarkEnd w:id="124"/>
    </w:p>
    <w:p>
      <w:pPr>
        <w:spacing w:line="360" w:lineRule="auto"/>
        <w:rPr>
          <w:rFonts w:ascii="宋体" w:hAnsi="宋体"/>
          <w:b/>
          <w:bCs/>
          <w:sz w:val="52"/>
          <w:szCs w:val="52"/>
        </w:rPr>
      </w:pPr>
    </w:p>
    <w:p>
      <w:pPr>
        <w:pStyle w:val="2"/>
        <w:spacing w:line="360" w:lineRule="auto"/>
        <w:rPr>
          <w:rFonts w:ascii="宋体" w:hAnsi="宋体"/>
        </w:rPr>
      </w:pPr>
    </w:p>
    <w:p>
      <w:pPr>
        <w:spacing w:line="360" w:lineRule="auto"/>
        <w:jc w:val="center"/>
        <w:rPr>
          <w:rFonts w:ascii="宋体" w:hAnsi="宋体"/>
          <w:b/>
          <w:bCs/>
          <w:sz w:val="52"/>
          <w:szCs w:val="52"/>
        </w:rPr>
      </w:pPr>
      <w:r>
        <w:rPr>
          <w:rFonts w:hint="eastAsia" w:ascii="宋体" w:hAnsi="宋体"/>
          <w:b/>
          <w:bCs/>
          <w:sz w:val="52"/>
          <w:szCs w:val="52"/>
        </w:rPr>
        <w:t>自主竞争性谈判</w:t>
      </w:r>
    </w:p>
    <w:p>
      <w:pPr>
        <w:adjustRightInd w:val="0"/>
        <w:snapToGrid w:val="0"/>
        <w:spacing w:line="360" w:lineRule="auto"/>
        <w:jc w:val="center"/>
        <w:rPr>
          <w:rFonts w:ascii="宋体" w:hAnsi="宋体"/>
          <w:b/>
          <w:bCs/>
          <w:sz w:val="52"/>
          <w:szCs w:val="52"/>
        </w:rPr>
      </w:pPr>
      <w:r>
        <w:rPr>
          <w:rFonts w:hint="eastAsia" w:ascii="宋体" w:hAnsi="宋体"/>
          <w:b/>
          <w:bCs/>
          <w:sz w:val="52"/>
          <w:szCs w:val="52"/>
        </w:rPr>
        <w:t>响应文件</w:t>
      </w:r>
    </w:p>
    <w:p>
      <w:pPr>
        <w:spacing w:line="360" w:lineRule="auto"/>
        <w:rPr>
          <w:rFonts w:ascii="宋体" w:hAnsi="宋体"/>
          <w:sz w:val="28"/>
          <w:szCs w:val="28"/>
        </w:rPr>
      </w:pPr>
    </w:p>
    <w:p>
      <w:pPr>
        <w:pStyle w:val="25"/>
        <w:rPr>
          <w:rFonts w:hAnsi="宋体"/>
          <w:b/>
          <w:sz w:val="32"/>
          <w:szCs w:val="32"/>
        </w:rPr>
      </w:pPr>
    </w:p>
    <w:p>
      <w:pPr>
        <w:pStyle w:val="25"/>
        <w:adjustRightInd w:val="0"/>
        <w:snapToGrid w:val="0"/>
        <w:spacing w:line="360" w:lineRule="auto"/>
        <w:rPr>
          <w:rFonts w:hAnsi="宋体"/>
          <w:b/>
          <w:bCs/>
          <w:sz w:val="32"/>
          <w:szCs w:val="32"/>
          <w:u w:val="single"/>
        </w:rPr>
      </w:pPr>
      <w:r>
        <w:rPr>
          <w:rFonts w:hint="eastAsia" w:hAnsi="宋体"/>
          <w:b/>
          <w:bCs/>
          <w:sz w:val="32"/>
          <w:szCs w:val="32"/>
        </w:rPr>
        <w:t>谈判项目名称及标段：</w:t>
      </w:r>
      <w:r>
        <w:rPr>
          <w:rFonts w:hint="eastAsia" w:hAnsi="宋体"/>
          <w:b/>
          <w:bCs/>
          <w:sz w:val="32"/>
          <w:szCs w:val="32"/>
          <w:u w:val="single"/>
        </w:rPr>
        <w:t xml:space="preserve">                      </w:t>
      </w:r>
    </w:p>
    <w:p>
      <w:pPr>
        <w:pStyle w:val="25"/>
        <w:adjustRightInd w:val="0"/>
        <w:snapToGrid w:val="0"/>
        <w:spacing w:line="360" w:lineRule="auto"/>
        <w:ind w:left="846" w:leftChars="403" w:firstLine="157" w:firstLineChars="49"/>
        <w:rPr>
          <w:rFonts w:hAnsi="宋体"/>
          <w:b/>
          <w:bCs/>
          <w:sz w:val="32"/>
          <w:szCs w:val="32"/>
          <w:u w:val="single"/>
        </w:rPr>
      </w:pPr>
    </w:p>
    <w:p>
      <w:pPr>
        <w:pStyle w:val="25"/>
        <w:adjustRightInd w:val="0"/>
        <w:snapToGrid w:val="0"/>
        <w:spacing w:line="360" w:lineRule="auto"/>
        <w:rPr>
          <w:rFonts w:hAnsi="宋体"/>
          <w:b/>
          <w:bCs/>
          <w:sz w:val="32"/>
          <w:szCs w:val="32"/>
          <w:u w:val="single"/>
        </w:rPr>
      </w:pPr>
      <w:r>
        <w:rPr>
          <w:rFonts w:hint="eastAsia" w:hAnsi="宋体"/>
          <w:b/>
          <w:bCs/>
          <w:sz w:val="32"/>
          <w:szCs w:val="32"/>
        </w:rPr>
        <w:t>谈判单位名称：</w:t>
      </w:r>
      <w:r>
        <w:rPr>
          <w:rFonts w:hint="eastAsia" w:hAnsi="宋体"/>
          <w:b/>
          <w:bCs/>
          <w:sz w:val="32"/>
          <w:szCs w:val="32"/>
          <w:u w:val="single"/>
        </w:rPr>
        <w:t xml:space="preserve">      （加盖单位公章）      </w:t>
      </w:r>
    </w:p>
    <w:p>
      <w:pPr>
        <w:pStyle w:val="25"/>
        <w:adjustRightInd w:val="0"/>
        <w:snapToGrid w:val="0"/>
        <w:spacing w:line="360" w:lineRule="auto"/>
        <w:ind w:left="846" w:leftChars="403" w:firstLine="157" w:firstLineChars="49"/>
        <w:rPr>
          <w:rFonts w:hAnsi="宋体"/>
          <w:b/>
          <w:bCs/>
          <w:sz w:val="32"/>
          <w:szCs w:val="32"/>
          <w:u w:val="single"/>
        </w:rPr>
      </w:pPr>
    </w:p>
    <w:p>
      <w:pPr>
        <w:pStyle w:val="25"/>
        <w:adjustRightInd w:val="0"/>
        <w:snapToGrid w:val="0"/>
        <w:spacing w:line="360" w:lineRule="auto"/>
        <w:rPr>
          <w:rFonts w:hAnsi="宋体"/>
          <w:b/>
          <w:bCs/>
          <w:sz w:val="32"/>
          <w:szCs w:val="32"/>
          <w:u w:val="single"/>
        </w:rPr>
      </w:pPr>
      <w:r>
        <w:rPr>
          <w:rFonts w:hint="eastAsia" w:hAnsi="宋体"/>
          <w:b/>
          <w:bCs/>
          <w:sz w:val="32"/>
          <w:szCs w:val="32"/>
        </w:rPr>
        <w:t>谈判项目编号：</w:t>
      </w:r>
      <w:r>
        <w:rPr>
          <w:rFonts w:hint="eastAsia" w:hAnsi="宋体"/>
          <w:b/>
          <w:bCs/>
          <w:sz w:val="32"/>
          <w:szCs w:val="32"/>
          <w:u w:val="single"/>
        </w:rPr>
        <w:t xml:space="preserve">                            </w:t>
      </w:r>
    </w:p>
    <w:p>
      <w:pPr>
        <w:pStyle w:val="25"/>
        <w:adjustRightInd w:val="0"/>
        <w:snapToGrid w:val="0"/>
        <w:spacing w:line="360" w:lineRule="auto"/>
        <w:ind w:left="846" w:leftChars="403" w:firstLine="157" w:firstLineChars="49"/>
        <w:rPr>
          <w:rFonts w:hAnsi="宋体"/>
          <w:b/>
          <w:bCs/>
          <w:sz w:val="32"/>
          <w:szCs w:val="32"/>
          <w:u w:val="single"/>
        </w:rPr>
      </w:pPr>
    </w:p>
    <w:p>
      <w:pPr>
        <w:pStyle w:val="25"/>
        <w:adjustRightInd w:val="0"/>
        <w:snapToGrid w:val="0"/>
        <w:spacing w:line="360" w:lineRule="auto"/>
        <w:ind w:left="846" w:leftChars="403" w:firstLine="157" w:firstLineChars="49"/>
        <w:rPr>
          <w:rFonts w:hAnsi="宋体"/>
          <w:b/>
          <w:bCs/>
          <w:sz w:val="32"/>
          <w:szCs w:val="32"/>
          <w:u w:val="single"/>
        </w:rPr>
      </w:pPr>
    </w:p>
    <w:p>
      <w:pPr>
        <w:pStyle w:val="25"/>
        <w:adjustRightInd w:val="0"/>
        <w:snapToGrid w:val="0"/>
        <w:spacing w:line="360" w:lineRule="auto"/>
        <w:ind w:left="846" w:leftChars="403" w:firstLine="157" w:firstLineChars="49"/>
        <w:rPr>
          <w:rFonts w:hAnsi="宋体"/>
          <w:b/>
          <w:bCs/>
          <w:sz w:val="32"/>
          <w:szCs w:val="32"/>
          <w:u w:val="single"/>
        </w:rPr>
      </w:pPr>
    </w:p>
    <w:p>
      <w:pPr>
        <w:pStyle w:val="25"/>
        <w:adjustRightInd w:val="0"/>
        <w:snapToGrid w:val="0"/>
        <w:spacing w:line="360" w:lineRule="auto"/>
        <w:ind w:left="846" w:leftChars="403" w:firstLine="157" w:firstLineChars="49"/>
        <w:rPr>
          <w:rFonts w:hAnsi="宋体"/>
          <w:b/>
          <w:bCs/>
          <w:sz w:val="32"/>
          <w:szCs w:val="32"/>
          <w:u w:val="single"/>
        </w:rPr>
      </w:pPr>
    </w:p>
    <w:p>
      <w:pPr>
        <w:pStyle w:val="25"/>
        <w:adjustRightInd w:val="0"/>
        <w:snapToGrid w:val="0"/>
        <w:spacing w:line="360" w:lineRule="auto"/>
        <w:ind w:left="846" w:leftChars="403" w:firstLine="157" w:firstLineChars="49"/>
        <w:rPr>
          <w:rFonts w:hAnsi="宋体"/>
          <w:b/>
          <w:bCs/>
          <w:sz w:val="32"/>
          <w:szCs w:val="32"/>
          <w:u w:val="single"/>
        </w:rPr>
      </w:pP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ind w:left="846" w:leftChars="403" w:firstLine="157" w:firstLineChars="49"/>
        <w:rPr>
          <w:rFonts w:hAnsi="宋体"/>
          <w:b/>
          <w:bCs/>
          <w:sz w:val="32"/>
          <w:szCs w:val="32"/>
          <w:u w:val="single"/>
        </w:rPr>
      </w:pPr>
    </w:p>
    <w:p>
      <w:pPr>
        <w:pStyle w:val="25"/>
        <w:adjustRightInd w:val="0"/>
        <w:snapToGrid w:val="0"/>
        <w:spacing w:line="360" w:lineRule="auto"/>
        <w:jc w:val="center"/>
        <w:rPr>
          <w:rFonts w:hAnsi="宋体"/>
        </w:rPr>
      </w:pPr>
      <w:r>
        <w:rPr>
          <w:rFonts w:hint="eastAsia" w:hAnsi="宋体"/>
          <w:b/>
          <w:bCs/>
          <w:sz w:val="32"/>
          <w:szCs w:val="32"/>
        </w:rPr>
        <w:t>日  期：</w:t>
      </w:r>
      <w:r>
        <w:rPr>
          <w:rFonts w:hint="eastAsia" w:hAnsi="宋体"/>
          <w:b/>
          <w:bCs/>
          <w:sz w:val="32"/>
          <w:szCs w:val="32"/>
          <w:u w:val="single"/>
        </w:rPr>
        <w:t xml:space="preserve">   </w:t>
      </w:r>
      <w:r>
        <w:rPr>
          <w:rFonts w:hint="eastAsia" w:hAnsi="宋体"/>
          <w:b/>
          <w:bCs/>
          <w:sz w:val="32"/>
          <w:szCs w:val="32"/>
        </w:rPr>
        <w:t>年</w:t>
      </w:r>
      <w:r>
        <w:rPr>
          <w:rFonts w:hint="eastAsia" w:hAnsi="宋体"/>
          <w:b/>
          <w:bCs/>
          <w:sz w:val="32"/>
          <w:szCs w:val="32"/>
          <w:u w:val="single"/>
        </w:rPr>
        <w:t xml:space="preserve">   </w:t>
      </w:r>
      <w:r>
        <w:rPr>
          <w:rFonts w:hint="eastAsia" w:hAnsi="宋体"/>
          <w:b/>
          <w:bCs/>
          <w:sz w:val="32"/>
          <w:szCs w:val="32"/>
        </w:rPr>
        <w:t>月</w:t>
      </w:r>
      <w:r>
        <w:rPr>
          <w:rFonts w:hint="eastAsia" w:hAnsi="宋体"/>
          <w:b/>
          <w:bCs/>
          <w:sz w:val="32"/>
          <w:szCs w:val="32"/>
          <w:u w:val="single"/>
        </w:rPr>
        <w:t xml:space="preserve">   </w:t>
      </w:r>
      <w:r>
        <w:rPr>
          <w:rFonts w:hint="eastAsia" w:hAnsi="宋体"/>
          <w:b/>
          <w:bCs/>
          <w:sz w:val="32"/>
          <w:szCs w:val="32"/>
        </w:rPr>
        <w:t>日</w:t>
      </w:r>
    </w:p>
    <w:p>
      <w:pPr>
        <w:spacing w:line="360" w:lineRule="exact"/>
        <w:rPr>
          <w:rFonts w:ascii="宋体" w:hAnsi="宋体"/>
          <w:b/>
        </w:rPr>
      </w:pPr>
    </w:p>
    <w:p>
      <w:pPr>
        <w:adjustRightInd w:val="0"/>
        <w:snapToGrid w:val="0"/>
        <w:spacing w:line="360" w:lineRule="auto"/>
        <w:jc w:val="center"/>
        <w:rPr>
          <w:rFonts w:ascii="宋体" w:hAnsi="宋体"/>
          <w:b/>
          <w:sz w:val="32"/>
          <w:szCs w:val="32"/>
        </w:rPr>
        <w:sectPr>
          <w:pgSz w:w="11906" w:h="16838"/>
          <w:pgMar w:top="1440" w:right="1797" w:bottom="1440" w:left="1797" w:header="851" w:footer="851" w:gutter="0"/>
          <w:cols w:space="720" w:num="1"/>
          <w:docGrid w:linePitch="312" w:charSpace="0"/>
        </w:sectPr>
      </w:pPr>
    </w:p>
    <w:p>
      <w:pPr>
        <w:widowControl/>
        <w:spacing w:line="360" w:lineRule="auto"/>
        <w:jc w:val="center"/>
        <w:rPr>
          <w:rFonts w:ascii="宋体" w:hAnsi="宋体" w:cs="宋体"/>
          <w:b/>
          <w:bCs/>
          <w:sz w:val="32"/>
          <w:szCs w:val="32"/>
        </w:rPr>
      </w:pPr>
      <w:r>
        <w:rPr>
          <w:rFonts w:hint="eastAsia" w:ascii="宋体" w:hAnsi="宋体"/>
          <w:b/>
          <w:sz w:val="32"/>
          <w:szCs w:val="32"/>
        </w:rPr>
        <w:t>目   录</w:t>
      </w:r>
    </w:p>
    <w:p>
      <w:pPr>
        <w:adjustRightInd w:val="0"/>
        <w:snapToGrid w:val="0"/>
        <w:spacing w:line="360" w:lineRule="auto"/>
        <w:ind w:firstLine="480" w:firstLineChars="200"/>
        <w:rPr>
          <w:rFonts w:ascii="宋体" w:hAnsi="宋体"/>
          <w:sz w:val="24"/>
        </w:rPr>
      </w:pP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一、谈判承诺书</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二、法定代表人身份证明书</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三、授权委托书</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四、谈判单位资格证明文件</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五、报价一览表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六、分项价格表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七、其他资料（如有）</w:t>
      </w:r>
    </w:p>
    <w:p>
      <w:pPr>
        <w:ind w:firstLine="480" w:firstLineChars="200"/>
        <w:jc w:val="center"/>
        <w:outlineLvl w:val="1"/>
        <w:rPr>
          <w:rFonts w:ascii="宋体" w:hAnsi="宋体"/>
          <w:b/>
          <w:sz w:val="32"/>
          <w:szCs w:val="32"/>
        </w:rPr>
      </w:pPr>
      <w:r>
        <w:rPr>
          <w:rFonts w:hint="eastAsia" w:ascii="宋体" w:hAnsi="宋体"/>
          <w:sz w:val="24"/>
        </w:rPr>
        <w:br w:type="page"/>
      </w:r>
      <w:bookmarkStart w:id="125" w:name="_Toc32600"/>
      <w:bookmarkStart w:id="126" w:name="_Toc32569"/>
      <w:bookmarkStart w:id="127" w:name="_Toc24865"/>
      <w:bookmarkStart w:id="128" w:name="_Toc14530"/>
      <w:r>
        <w:rPr>
          <w:rFonts w:hint="eastAsia" w:ascii="宋体" w:hAnsi="宋体" w:cs="宋体"/>
          <w:b/>
          <w:sz w:val="32"/>
          <w:szCs w:val="32"/>
        </w:rPr>
        <w:t>一、谈判承诺书</w:t>
      </w:r>
      <w:bookmarkEnd w:id="125"/>
      <w:bookmarkEnd w:id="126"/>
      <w:bookmarkEnd w:id="127"/>
      <w:bookmarkEnd w:id="128"/>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致（采购单位）：</w:t>
      </w:r>
    </w:p>
    <w:p>
      <w:pPr>
        <w:adjustRightInd w:val="0"/>
        <w:snapToGrid w:val="0"/>
        <w:spacing w:line="360" w:lineRule="auto"/>
        <w:ind w:firstLine="420" w:firstLineChars="200"/>
        <w:rPr>
          <w:rFonts w:ascii="宋体" w:hAnsi="宋体"/>
          <w:szCs w:val="21"/>
        </w:rPr>
      </w:pPr>
      <w:r>
        <w:rPr>
          <w:rFonts w:hint="eastAsia" w:ascii="宋体" w:hAnsi="宋体"/>
          <w:szCs w:val="21"/>
        </w:rPr>
        <w:t>我方已仔细研究了</w:t>
      </w:r>
      <w:r>
        <w:rPr>
          <w:rFonts w:hint="eastAsia" w:ascii="宋体" w:hAnsi="宋体"/>
          <w:szCs w:val="21"/>
          <w:u w:val="single"/>
        </w:rPr>
        <w:t xml:space="preserve">                         （</w:t>
      </w:r>
      <w:r>
        <w:rPr>
          <w:rFonts w:hint="eastAsia" w:ascii="宋体" w:hAnsi="宋体"/>
          <w:szCs w:val="21"/>
        </w:rPr>
        <w:t>项目名称）的竞争性谈判文件（谈判项目编号：         ）的全部内容，知悉参加竞争性谈判的风险，我方承诺接受谈判文件的全部条款且无任何异议。</w:t>
      </w:r>
    </w:p>
    <w:p>
      <w:pPr>
        <w:pStyle w:val="25"/>
        <w:adjustRightInd w:val="0"/>
        <w:snapToGrid w:val="0"/>
        <w:spacing w:line="360" w:lineRule="auto"/>
        <w:ind w:firstLine="420" w:firstLineChars="200"/>
        <w:rPr>
          <w:rFonts w:hAnsi="宋体"/>
        </w:rPr>
      </w:pPr>
      <w:r>
        <w:rPr>
          <w:rFonts w:hint="eastAsia" w:hAnsi="宋体"/>
        </w:rPr>
        <w:t>一、参与本项目竞争性谈判活动系本公司自愿行为。</w:t>
      </w:r>
    </w:p>
    <w:p>
      <w:pPr>
        <w:pStyle w:val="25"/>
        <w:adjustRightInd w:val="0"/>
        <w:snapToGrid w:val="0"/>
        <w:spacing w:line="360" w:lineRule="auto"/>
        <w:ind w:firstLine="420" w:firstLineChars="200"/>
        <w:rPr>
          <w:rFonts w:hAnsi="宋体"/>
        </w:rPr>
      </w:pPr>
      <w:r>
        <w:rPr>
          <w:rFonts w:hint="eastAsia" w:hAnsi="宋体"/>
        </w:rPr>
        <w:t>二、我方同意在谈判文件中规定的提交响应文件截止时间起</w:t>
      </w:r>
      <w:r>
        <w:rPr>
          <w:rFonts w:hint="eastAsia" w:hAnsi="宋体"/>
          <w:u w:val="single"/>
        </w:rPr>
        <w:t>180</w:t>
      </w:r>
      <w:r>
        <w:rPr>
          <w:rFonts w:hint="eastAsia" w:hAnsi="宋体"/>
        </w:rPr>
        <w:t>日历天内（响应文件有效期）遵守本响应文件中的承诺且在此期限期满之前均具有法律约束力。</w:t>
      </w:r>
    </w:p>
    <w:p>
      <w:pPr>
        <w:pStyle w:val="25"/>
        <w:adjustRightInd w:val="0"/>
        <w:snapToGrid w:val="0"/>
        <w:spacing w:line="360" w:lineRule="auto"/>
        <w:ind w:firstLine="420" w:firstLineChars="200"/>
        <w:rPr>
          <w:rFonts w:hAnsi="宋体"/>
          <w:bCs/>
        </w:rPr>
      </w:pPr>
      <w:r>
        <w:rPr>
          <w:rFonts w:hint="eastAsia" w:hAnsi="宋体"/>
        </w:rPr>
        <w:t>三、我方提交的响应文件均为正本</w:t>
      </w:r>
      <w:r>
        <w:rPr>
          <w:rFonts w:hint="eastAsia" w:hAnsi="宋体"/>
          <w:u w:val="single"/>
        </w:rPr>
        <w:t xml:space="preserve">   </w:t>
      </w:r>
      <w:r>
        <w:rPr>
          <w:rFonts w:hint="eastAsia" w:hAnsi="宋体"/>
        </w:rPr>
        <w:t>份和副本</w:t>
      </w:r>
      <w:r>
        <w:rPr>
          <w:rFonts w:hint="eastAsia" w:hAnsi="宋体"/>
          <w:u w:val="single"/>
        </w:rPr>
        <w:t xml:space="preserve">   </w:t>
      </w:r>
      <w:r>
        <w:rPr>
          <w:rFonts w:hint="eastAsia" w:hAnsi="宋体"/>
        </w:rPr>
        <w:t>份，电子文件（包括响应文件全部内容）</w:t>
      </w:r>
      <w:r>
        <w:rPr>
          <w:rFonts w:hint="eastAsia" w:hAnsi="宋体"/>
          <w:u w:val="single"/>
        </w:rPr>
        <w:t xml:space="preserve">   </w:t>
      </w:r>
      <w:r>
        <w:rPr>
          <w:rFonts w:hint="eastAsia" w:hAnsi="宋体"/>
        </w:rPr>
        <w:t>份，并保证响应文件提供的数据和材料是真实、准确的，</w:t>
      </w:r>
      <w:r>
        <w:rPr>
          <w:rFonts w:hint="eastAsia" w:hAnsi="宋体"/>
          <w:b/>
          <w:bCs/>
        </w:rPr>
        <w:t>均无复制、粘贴之情形</w:t>
      </w:r>
      <w:r>
        <w:rPr>
          <w:rFonts w:hint="eastAsia" w:hAnsi="宋体"/>
          <w:b/>
          <w:bCs/>
          <w:color w:val="7030A0"/>
        </w:rPr>
        <w:t>，</w:t>
      </w:r>
      <w:r>
        <w:rPr>
          <w:rFonts w:hint="eastAsia" w:hAnsi="宋体"/>
        </w:rPr>
        <w:t>且无低于成本的恶意报价行为。否则，愿承担由此引起的一切</w:t>
      </w:r>
      <w:r>
        <w:rPr>
          <w:rFonts w:hint="eastAsia" w:hAnsi="宋体"/>
          <w:bCs/>
        </w:rPr>
        <w:t>法律责任。</w:t>
      </w:r>
    </w:p>
    <w:p>
      <w:pPr>
        <w:pStyle w:val="25"/>
        <w:adjustRightInd w:val="0"/>
        <w:snapToGrid w:val="0"/>
        <w:spacing w:line="360" w:lineRule="auto"/>
        <w:ind w:firstLine="420" w:firstLineChars="200"/>
        <w:rPr>
          <w:rFonts w:hAnsi="宋体"/>
        </w:rPr>
      </w:pPr>
      <w:r>
        <w:rPr>
          <w:rFonts w:hint="eastAsia" w:hAnsi="宋体"/>
        </w:rPr>
        <w:t>四、遵守贵司各项管理制度和谈判现场纪律，服从现场工作人员管理，自觉维护贵司谈判活动秩序。</w:t>
      </w:r>
    </w:p>
    <w:p>
      <w:pPr>
        <w:pStyle w:val="25"/>
        <w:adjustRightInd w:val="0"/>
        <w:snapToGrid w:val="0"/>
        <w:spacing w:line="360" w:lineRule="auto"/>
        <w:ind w:firstLine="420" w:firstLineChars="200"/>
        <w:rPr>
          <w:rFonts w:hAnsi="宋体"/>
        </w:rPr>
      </w:pPr>
      <w:r>
        <w:rPr>
          <w:rFonts w:hint="eastAsia" w:hAnsi="宋体"/>
        </w:rPr>
        <w:t>五、保证没有组织、参与围标、串标行为。</w:t>
      </w:r>
    </w:p>
    <w:p>
      <w:pPr>
        <w:pStyle w:val="25"/>
        <w:adjustRightInd w:val="0"/>
        <w:snapToGrid w:val="0"/>
        <w:spacing w:line="360" w:lineRule="auto"/>
        <w:ind w:firstLine="420" w:firstLineChars="200"/>
        <w:rPr>
          <w:rFonts w:hAnsi="宋体"/>
        </w:rPr>
      </w:pPr>
      <w:r>
        <w:rPr>
          <w:rFonts w:hint="eastAsia" w:hAnsi="宋体"/>
        </w:rPr>
        <w:t>六、不与采购单位或者谈判评审小组成员私下联络和串通以牟取中选；不以他人名义参与谈判或者以其他方式弄虚作假骗取中选；不在谈判结束后进行虚假、恶意质疑和投诉。</w:t>
      </w:r>
    </w:p>
    <w:p>
      <w:pPr>
        <w:pStyle w:val="25"/>
        <w:adjustRightInd w:val="0"/>
        <w:snapToGrid w:val="0"/>
        <w:spacing w:line="360" w:lineRule="auto"/>
        <w:ind w:firstLine="420" w:firstLineChars="200"/>
        <w:rPr>
          <w:rFonts w:hAnsi="宋体"/>
        </w:rPr>
      </w:pPr>
      <w:r>
        <w:rPr>
          <w:rFonts w:hint="eastAsia" w:hAnsi="宋体"/>
        </w:rPr>
        <w:t>七、我方承诺，若贵方需要，我方愿意提供任何与本次谈判有关的数据、情况和技术资料。</w:t>
      </w:r>
    </w:p>
    <w:p>
      <w:pPr>
        <w:pStyle w:val="25"/>
        <w:adjustRightInd w:val="0"/>
        <w:snapToGrid w:val="0"/>
        <w:spacing w:line="360" w:lineRule="auto"/>
        <w:ind w:firstLine="420" w:firstLineChars="200"/>
        <w:rPr>
          <w:rFonts w:hAnsi="宋体"/>
        </w:rPr>
      </w:pPr>
      <w:r>
        <w:rPr>
          <w:rFonts w:hint="eastAsia" w:hAnsi="宋体"/>
        </w:rPr>
        <w:t>八、我方承诺遵守相关法律法规及贵司的有关规定，保证在获得成交资格后，按照谈判文件确定的事项签订合同，履行双方所签订的合同，并承担合同规定的责任和义务。</w:t>
      </w:r>
    </w:p>
    <w:p>
      <w:pPr>
        <w:pStyle w:val="25"/>
        <w:adjustRightInd w:val="0"/>
        <w:snapToGrid w:val="0"/>
        <w:spacing w:line="360" w:lineRule="auto"/>
        <w:ind w:firstLine="420" w:firstLineChars="200"/>
        <w:rPr>
          <w:rFonts w:hAnsi="宋体"/>
        </w:rPr>
      </w:pPr>
      <w:r>
        <w:rPr>
          <w:rFonts w:hint="eastAsia" w:hAnsi="宋体"/>
        </w:rPr>
        <w:t>九、我方承诺在参与本次竞争性谈判过程中，若出现本文件第一章</w:t>
      </w:r>
      <w:r>
        <w:rPr>
          <w:rFonts w:hint="eastAsia" w:hAnsi="宋体"/>
          <w:b/>
        </w:rPr>
        <w:t>谈判须知正文</w:t>
      </w:r>
      <w:r>
        <w:rPr>
          <w:rFonts w:hint="eastAsia" w:hAnsi="宋体"/>
        </w:rPr>
        <w:t>第26条规定之情形，我方无条件接受条款规定作出的处罚。</w:t>
      </w:r>
    </w:p>
    <w:p>
      <w:pPr>
        <w:pStyle w:val="25"/>
        <w:adjustRightInd w:val="0"/>
        <w:snapToGrid w:val="0"/>
        <w:spacing w:line="360" w:lineRule="auto"/>
        <w:ind w:firstLine="420" w:firstLineChars="200"/>
        <w:rPr>
          <w:rFonts w:hAnsi="宋体"/>
        </w:rPr>
      </w:pPr>
      <w:r>
        <w:rPr>
          <w:rFonts w:hint="eastAsia" w:hAnsi="宋体"/>
        </w:rPr>
        <w:t>十、我方承诺完全响应本文件第四章“用户需求书”及第五章“合同格式条款”内的全部内容。</w:t>
      </w:r>
    </w:p>
    <w:p>
      <w:pPr>
        <w:ind w:firstLine="420" w:firstLineChars="200"/>
        <w:rPr>
          <w:rFonts w:ascii="宋体" w:hAnsi="宋体"/>
          <w:szCs w:val="21"/>
        </w:rPr>
      </w:pPr>
      <w:r>
        <w:rPr>
          <w:rFonts w:hint="eastAsia" w:ascii="宋体" w:hAnsi="宋体"/>
          <w:szCs w:val="21"/>
        </w:rPr>
        <w:t>十一、如有违反本承诺书内容的行为，愿意承担由此产生的法律责任及后果。</w:t>
      </w:r>
    </w:p>
    <w:p>
      <w:pPr>
        <w:adjustRightInd w:val="0"/>
        <w:snapToGrid w:val="0"/>
        <w:spacing w:line="360" w:lineRule="auto"/>
        <w:ind w:right="24"/>
        <w:rPr>
          <w:rFonts w:ascii="宋体" w:hAnsi="宋体"/>
          <w:bCs/>
          <w:szCs w:val="21"/>
        </w:rPr>
      </w:pPr>
    </w:p>
    <w:p>
      <w:pPr>
        <w:pStyle w:val="25"/>
        <w:adjustRightInd w:val="0"/>
        <w:snapToGrid w:val="0"/>
        <w:spacing w:line="360" w:lineRule="auto"/>
        <w:rPr>
          <w:rFonts w:hAnsi="宋体"/>
        </w:rPr>
      </w:pPr>
    </w:p>
    <w:p>
      <w:pPr>
        <w:pStyle w:val="25"/>
        <w:adjustRightInd w:val="0"/>
        <w:snapToGrid w:val="0"/>
        <w:spacing w:line="360" w:lineRule="auto"/>
        <w:rPr>
          <w:rFonts w:hAnsi="宋体"/>
        </w:rPr>
      </w:pPr>
    </w:p>
    <w:p>
      <w:pPr>
        <w:spacing w:line="360" w:lineRule="auto"/>
        <w:rPr>
          <w:rFonts w:ascii="宋体" w:hAnsi="宋体"/>
          <w:szCs w:val="21"/>
          <w:u w:val="single"/>
        </w:rPr>
      </w:pPr>
      <w:r>
        <w:rPr>
          <w:rFonts w:hint="eastAsia" w:ascii="宋体" w:hAnsi="宋体"/>
          <w:szCs w:val="21"/>
        </w:rPr>
        <w:t>谈判单位名称：</w:t>
      </w:r>
      <w:r>
        <w:rPr>
          <w:rFonts w:hint="eastAsia" w:ascii="宋体" w:hAnsi="宋体"/>
          <w:szCs w:val="21"/>
          <w:u w:val="single"/>
        </w:rPr>
        <w:t xml:space="preserve">    （盖单位章）    </w:t>
      </w:r>
    </w:p>
    <w:p>
      <w:pPr>
        <w:spacing w:line="360" w:lineRule="auto"/>
        <w:rPr>
          <w:rFonts w:ascii="宋体" w:hAnsi="宋体"/>
          <w:szCs w:val="21"/>
        </w:rPr>
      </w:pPr>
      <w:r>
        <w:rPr>
          <w:rFonts w:hint="eastAsia" w:ascii="宋体" w:hAnsi="宋体"/>
          <w:szCs w:val="21"/>
        </w:rPr>
        <w:t>法定代表人（签字或盖章）：</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rPr>
          <w:rFonts w:ascii="宋体" w:hAnsi="宋体"/>
          <w:bCs/>
          <w:szCs w:val="21"/>
        </w:rPr>
      </w:pPr>
    </w:p>
    <w:p>
      <w:pPr>
        <w:adjustRightInd w:val="0"/>
        <w:snapToGrid w:val="0"/>
        <w:spacing w:line="360" w:lineRule="auto"/>
        <w:ind w:right="24"/>
        <w:rPr>
          <w:rFonts w:ascii="宋体" w:hAnsi="宋体"/>
          <w:bCs/>
          <w:sz w:val="28"/>
          <w:szCs w:val="28"/>
        </w:rPr>
      </w:pPr>
    </w:p>
    <w:p>
      <w:pPr>
        <w:adjustRightInd w:val="0"/>
        <w:snapToGrid w:val="0"/>
        <w:spacing w:line="360" w:lineRule="auto"/>
        <w:ind w:right="23"/>
        <w:jc w:val="center"/>
        <w:outlineLvl w:val="1"/>
        <w:rPr>
          <w:rFonts w:ascii="宋体" w:hAnsi="宋体" w:cs="宋体"/>
          <w:b/>
          <w:sz w:val="32"/>
          <w:szCs w:val="32"/>
        </w:rPr>
      </w:pPr>
      <w:bookmarkStart w:id="129" w:name="_Toc3026"/>
      <w:bookmarkStart w:id="130" w:name="_Toc31277"/>
      <w:bookmarkStart w:id="131" w:name="_Toc24714"/>
      <w:bookmarkStart w:id="132" w:name="_Toc1313"/>
      <w:r>
        <w:rPr>
          <w:rFonts w:hint="eastAsia" w:ascii="宋体" w:hAnsi="宋体" w:cs="宋体"/>
          <w:b/>
          <w:sz w:val="32"/>
          <w:szCs w:val="32"/>
        </w:rPr>
        <w:t>二、法定代表人身份证明书</w:t>
      </w:r>
      <w:bookmarkEnd w:id="129"/>
      <w:bookmarkEnd w:id="130"/>
      <w:bookmarkEnd w:id="131"/>
      <w:bookmarkEnd w:id="132"/>
    </w:p>
    <w:p>
      <w:pPr>
        <w:snapToGrid w:val="0"/>
        <w:spacing w:line="480" w:lineRule="auto"/>
        <w:rPr>
          <w:rFonts w:ascii="宋体" w:hAnsi="宋体"/>
          <w:szCs w:val="21"/>
        </w:rPr>
      </w:pP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szCs w:val="21"/>
        </w:rPr>
        <w:t>谈判单位</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b/>
          <w:bCs/>
          <w:kern w:val="0"/>
          <w:szCs w:val="21"/>
          <w:u w:val="single"/>
        </w:rPr>
      </w:pPr>
      <w:r>
        <w:rPr>
          <w:rFonts w:hint="eastAsia" w:ascii="宋体" w:hAnsi="宋体" w:cs="宋体"/>
          <w:kern w:val="0"/>
          <w:szCs w:val="21"/>
        </w:rPr>
        <w:t>注册号：</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spacing w:line="360" w:lineRule="auto"/>
        <w:rPr>
          <w:rFonts w:ascii="宋体" w:hAnsi="宋体" w:cs="宋体"/>
          <w:kern w:val="0"/>
          <w:szCs w:val="21"/>
        </w:rPr>
      </w:pPr>
      <w:r>
        <w:rPr>
          <w:rFonts w:hint="eastAsia" w:ascii="宋体" w:hAnsi="宋体" w:cs="宋体"/>
          <w:kern w:val="0"/>
          <w:szCs w:val="21"/>
        </w:rPr>
        <w:t>成立日期：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utoSpaceDE w:val="0"/>
        <w:autoSpaceDN w:val="0"/>
        <w:adjustRightInd w:val="0"/>
        <w:snapToGrid w:val="0"/>
        <w:spacing w:before="120" w:beforeLines="50" w:line="36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szCs w:val="21"/>
        </w:rPr>
        <w:t>谈判单位</w:t>
      </w:r>
      <w:r>
        <w:rPr>
          <w:rFonts w:hint="eastAsia" w:ascii="宋体" w:hAnsi="宋体" w:cs="宋体"/>
          <w:kern w:val="0"/>
          <w:szCs w:val="21"/>
        </w:rPr>
        <w:t>名称）的法定代表人。</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line="360" w:lineRule="auto"/>
        <w:jc w:val="left"/>
        <w:rPr>
          <w:rFonts w:ascii="宋体" w:hAnsi="宋体"/>
          <w:szCs w:val="21"/>
        </w:rPr>
      </w:pPr>
      <w:r>
        <w:rPr>
          <w:rFonts w:ascii="宋体" w:hAnsi="宋体"/>
          <w:szCs w:val="21"/>
        </w:rPr>
        <w:pict>
          <v:rect id="矩形 4" o:spid="_x0000_s1027" o:spt="1" style="position:absolute;left:0pt;margin-left:222.1pt;margin-top:11.5pt;height:96.15pt;width:185.5pt;z-index:25166643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v:textbox>
          </v:rect>
        </w:pict>
      </w:r>
      <w:r>
        <w:rPr>
          <w:rFonts w:ascii="宋体" w:hAnsi="宋体"/>
          <w:szCs w:val="21"/>
        </w:rPr>
        <w:pict>
          <v:rect id="矩形 3" o:spid="_x0000_s1028" o:spt="1" style="position:absolute;left:0pt;margin-left:-8.8pt;margin-top:11.5pt;height:96.15pt;width:185.5pt;z-index:-25165107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w:r>
    </w:p>
    <w:p>
      <w:pPr>
        <w:snapToGrid w:val="0"/>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b/>
          <w:szCs w:val="21"/>
        </w:rPr>
      </w:pPr>
      <w:r>
        <w:rPr>
          <w:rFonts w:ascii="宋体" w:hAnsi="宋体"/>
          <w:szCs w:val="21"/>
        </w:rPr>
        <w:pict>
          <v:rect id="_x0000_s1032" o:spid="_x0000_s1032" o:spt="1" style="position:absolute;left:0pt;margin-left:-9pt;margin-top:2.7pt;height:96.15pt;width:185.5pt;z-index:25167052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w: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szCs w:val="21"/>
        </w:rPr>
      </w:pPr>
      <w:r>
        <w:rPr>
          <w:rFonts w:hint="eastAsia" w:ascii="宋体" w:hAnsi="宋体"/>
          <w:b/>
          <w:szCs w:val="21"/>
        </w:rPr>
        <w:t>备注：上述证件复印件可另附页，另附页时，证件复印件均须加盖单位公章。</w:t>
      </w: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ind w:right="420"/>
        <w:rPr>
          <w:rFonts w:ascii="宋体" w:hAnsi="宋体"/>
          <w:szCs w:val="21"/>
        </w:rPr>
      </w:pPr>
      <w:r>
        <w:rPr>
          <w:rFonts w:hint="eastAsia" w:ascii="宋体" w:hAnsi="宋体"/>
          <w:szCs w:val="21"/>
        </w:rPr>
        <w:t>谈判单位名称（盖单位章）：</w:t>
      </w:r>
      <w:r>
        <w:rPr>
          <w:rFonts w:hint="eastAsia" w:ascii="宋体" w:hAnsi="宋体"/>
          <w:u w:val="single"/>
        </w:rPr>
        <w:t xml:space="preserve">    （盖单位章）    </w:t>
      </w:r>
    </w:p>
    <w:p>
      <w:pPr>
        <w:spacing w:line="360" w:lineRule="auto"/>
        <w:rPr>
          <w:rFonts w:ascii="宋体" w:hAnsi="宋体"/>
        </w:rPr>
      </w:pPr>
      <w:r>
        <w:rPr>
          <w:rFonts w:hint="eastAsia" w:ascii="宋体" w:hAnsi="宋体"/>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jc w:val="center"/>
        <w:rPr>
          <w:rFonts w:ascii="宋体" w:hAnsi="宋体" w:cs="宋体"/>
          <w:b/>
          <w:sz w:val="32"/>
          <w:szCs w:val="32"/>
        </w:rPr>
      </w:pPr>
      <w:r>
        <w:rPr>
          <w:rFonts w:ascii="宋体" w:hAnsi="宋体"/>
          <w:bCs/>
          <w:sz w:val="24"/>
        </w:rPr>
        <w:br w:type="page"/>
      </w:r>
      <w:bookmarkStart w:id="133" w:name="_Toc761"/>
      <w:bookmarkStart w:id="134" w:name="_Toc14170"/>
      <w:bookmarkStart w:id="135" w:name="_Toc8518"/>
      <w:bookmarkStart w:id="136" w:name="_Toc21066"/>
      <w:r>
        <w:rPr>
          <w:rFonts w:hint="eastAsia" w:ascii="宋体" w:hAnsi="宋体" w:cs="宋体"/>
          <w:b/>
          <w:sz w:val="32"/>
          <w:szCs w:val="32"/>
        </w:rPr>
        <w:t>三、授权委托书</w:t>
      </w:r>
      <w:bookmarkEnd w:id="133"/>
      <w:bookmarkEnd w:id="134"/>
      <w:bookmarkEnd w:id="135"/>
      <w:bookmarkEnd w:id="136"/>
    </w:p>
    <w:p>
      <w:pPr>
        <w:adjustRightInd w:val="0"/>
        <w:snapToGrid w:val="0"/>
        <w:spacing w:line="360" w:lineRule="auto"/>
        <w:jc w:val="center"/>
        <w:rPr>
          <w:rFonts w:ascii="宋体" w:hAnsi="宋体"/>
          <w:b/>
          <w:sz w:val="28"/>
          <w:szCs w:val="28"/>
        </w:rPr>
      </w:pPr>
    </w:p>
    <w:p>
      <w:pPr>
        <w:autoSpaceDE w:val="0"/>
        <w:autoSpaceDN w:val="0"/>
        <w:adjustRightInd w:val="0"/>
        <w:snapToGrid w:val="0"/>
        <w:spacing w:before="120" w:beforeLines="50" w:line="360" w:lineRule="auto"/>
        <w:ind w:firstLine="420" w:firstLineChars="200"/>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（姓名、职务）</w:t>
      </w:r>
      <w:r>
        <w:rPr>
          <w:rFonts w:hint="eastAsia" w:ascii="宋体" w:hAnsi="宋体" w:cs="宋体"/>
          <w:kern w:val="0"/>
          <w:szCs w:val="21"/>
        </w:rPr>
        <w:t>系</w:t>
      </w:r>
      <w:r>
        <w:rPr>
          <w:rFonts w:hint="eastAsia" w:ascii="宋体" w:hAnsi="宋体" w:cs="宋体"/>
          <w:kern w:val="0"/>
          <w:szCs w:val="21"/>
          <w:u w:val="single"/>
        </w:rPr>
        <w:t>（</w:t>
      </w:r>
      <w:r>
        <w:rPr>
          <w:rFonts w:hint="eastAsia" w:ascii="宋体" w:hAnsi="宋体"/>
          <w:szCs w:val="21"/>
          <w:u w:val="single"/>
        </w:rPr>
        <w:t>谈判单位</w:t>
      </w:r>
      <w:r>
        <w:rPr>
          <w:rFonts w:hint="eastAsia" w:ascii="宋体" w:hAnsi="宋体" w:cs="宋体"/>
          <w:kern w:val="0"/>
          <w:szCs w:val="21"/>
          <w:u w:val="single"/>
        </w:rPr>
        <w:t>名称）</w:t>
      </w:r>
      <w:r>
        <w:rPr>
          <w:rFonts w:hint="eastAsia" w:ascii="宋体" w:hAnsi="宋体" w:cs="宋体"/>
          <w:kern w:val="0"/>
          <w:szCs w:val="21"/>
        </w:rPr>
        <w:t>的法定代表人，现授权</w:t>
      </w:r>
      <w:r>
        <w:rPr>
          <w:rFonts w:hint="eastAsia" w:ascii="宋体" w:hAnsi="宋体" w:cs="宋体"/>
          <w:kern w:val="0"/>
          <w:szCs w:val="21"/>
          <w:u w:val="single"/>
        </w:rPr>
        <w:t>（姓名、职务）</w:t>
      </w:r>
      <w:r>
        <w:rPr>
          <w:rFonts w:hint="eastAsia" w:ascii="宋体" w:hAnsi="宋体" w:cs="宋体"/>
          <w:kern w:val="0"/>
          <w:szCs w:val="21"/>
        </w:rPr>
        <w:t>为我方代理人。代理人根据授权，以我方名义签署、澄清、补正、修改、撤回、提交</w:t>
      </w:r>
      <w:r>
        <w:rPr>
          <w:rFonts w:hint="eastAsia" w:ascii="宋体" w:hAnsi="宋体" w:cs="宋体"/>
          <w:kern w:val="0"/>
          <w:szCs w:val="21"/>
          <w:u w:val="single"/>
        </w:rPr>
        <w:t>（项目名称、</w:t>
      </w:r>
      <w:r>
        <w:rPr>
          <w:rFonts w:hint="eastAsia" w:ascii="宋体" w:hAnsi="宋体"/>
          <w:szCs w:val="21"/>
          <w:u w:val="single"/>
        </w:rPr>
        <w:t>项目</w:t>
      </w:r>
      <w:r>
        <w:rPr>
          <w:rFonts w:hint="eastAsia" w:ascii="宋体" w:hAnsi="宋体" w:cs="宋体"/>
          <w:kern w:val="0"/>
          <w:szCs w:val="21"/>
          <w:u w:val="single"/>
        </w:rPr>
        <w:t>编号）</w:t>
      </w:r>
      <w:r>
        <w:rPr>
          <w:rFonts w:hint="eastAsia" w:ascii="宋体" w:hAnsi="宋体" w:cs="宋体"/>
          <w:kern w:val="0"/>
          <w:szCs w:val="21"/>
        </w:rPr>
        <w:t>响应文件及与本谈判项目的有关事宜，其法律后果由我方承担。</w:t>
      </w:r>
    </w:p>
    <w:p>
      <w:pPr>
        <w:spacing w:line="360" w:lineRule="auto"/>
        <w:ind w:firstLine="435"/>
        <w:rPr>
          <w:rFonts w:ascii="宋体" w:hAnsi="宋体" w:cs="宋体"/>
          <w:kern w:val="0"/>
          <w:szCs w:val="21"/>
        </w:rPr>
      </w:pPr>
    </w:p>
    <w:p>
      <w:pPr>
        <w:spacing w:line="360" w:lineRule="auto"/>
        <w:ind w:firstLine="435"/>
        <w:rPr>
          <w:rFonts w:ascii="宋体" w:hAnsi="宋体" w:cs="宋体"/>
          <w:kern w:val="0"/>
          <w:szCs w:val="21"/>
        </w:rPr>
      </w:pPr>
    </w:p>
    <w:p>
      <w:pPr>
        <w:spacing w:line="360" w:lineRule="auto"/>
        <w:ind w:firstLine="435"/>
        <w:rPr>
          <w:rFonts w:ascii="宋体" w:hAnsi="宋体" w:cs="宋体"/>
          <w:kern w:val="0"/>
          <w:szCs w:val="21"/>
        </w:rPr>
      </w:pPr>
    </w:p>
    <w:p>
      <w:pPr>
        <w:spacing w:line="360" w:lineRule="auto"/>
        <w:ind w:firstLine="435"/>
        <w:rPr>
          <w:rFonts w:ascii="宋体" w:hAnsi="宋体" w:cs="宋体"/>
          <w:kern w:val="0"/>
          <w:szCs w:val="21"/>
        </w:rPr>
      </w:pPr>
      <w:r>
        <w:rPr>
          <w:rFonts w:hint="eastAsia" w:ascii="宋体" w:hAnsi="宋体" w:cs="宋体"/>
          <w:kern w:val="0"/>
          <w:szCs w:val="21"/>
        </w:rPr>
        <w:t>代理人无转委托权。</w:t>
      </w:r>
    </w:p>
    <w:p>
      <w:pPr>
        <w:spacing w:line="360" w:lineRule="auto"/>
        <w:ind w:firstLine="435"/>
        <w:rPr>
          <w:rFonts w:ascii="宋体" w:hAnsi="宋体"/>
          <w:szCs w:val="21"/>
        </w:rPr>
      </w:pPr>
      <w:r>
        <w:rPr>
          <w:rFonts w:hint="eastAsia" w:ascii="宋体" w:hAnsi="宋体"/>
          <w:szCs w:val="21"/>
        </w:rPr>
        <w:t>本授权书于    年   月   日签字生效，特此声明。</w:t>
      </w:r>
    </w:p>
    <w:p>
      <w:pPr>
        <w:adjustRightInd w:val="0"/>
        <w:snapToGrid w:val="0"/>
        <w:spacing w:before="120" w:beforeLines="50" w:line="360" w:lineRule="auto"/>
        <w:ind w:firstLine="420" w:firstLineChars="200"/>
        <w:rPr>
          <w:rFonts w:ascii="宋体" w:hAnsi="宋体"/>
          <w:szCs w:val="21"/>
        </w:rPr>
      </w:pPr>
      <w:r>
        <w:rPr>
          <w:rFonts w:ascii="宋体" w:hAnsi="宋体"/>
          <w:szCs w:val="21"/>
        </w:rPr>
        <w:pict>
          <v:rect id="矩形 6" o:spid="_x0000_s1029" o:spt="1" style="position:absolute;left:0pt;margin-left:-9pt;margin-top:1.45pt;height:102.35pt;width:111.1pt;z-index:-25164902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">
            <v:path arrowok="t"/>
            <v:fill focussize="0,0"/>
            <v:stroke/>
            <v:imagedata o:title=""/>
            <o:lock v:ext="edit"/>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w:r>
      <w:r>
        <w:rPr>
          <w:rFonts w:ascii="宋体" w:hAnsi="宋体"/>
          <w:szCs w:val="21"/>
        </w:rPr>
        <w:pict>
          <v:rect id="矩形 7" o:spid="_x0000_s1030" o:spt="1" style="position:absolute;left:0pt;margin-left:272.1pt;margin-top:0.3pt;height:100.1pt;width:122.5pt;z-index:-25164697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">
            <v:path arrowok="t"/>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pPr>
                    <w:rPr>
                      <w:highlight w:val="yellow"/>
                    </w:rPr>
                  </w:pPr>
                </w:p>
              </w:txbxContent>
            </v:textbox>
          </v:rect>
        </w:pict>
      </w:r>
      <w:r>
        <w:rPr>
          <w:rFonts w:ascii="宋体" w:hAnsi="宋体"/>
          <w:szCs w:val="21"/>
        </w:rPr>
        <w:pict>
          <v:rect id="矩形 5" o:spid="_x0000_s1031" o:spt="1" style="position:absolute;left:0pt;flip:x;margin-left:133.45pt;margin-top:1.35pt;height:100.65pt;width:112.85pt;z-index:-25164800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">
            <v:path arrowok="t"/>
            <v:fill focussize="0,0"/>
            <v:stroke/>
            <v:imagedata o:title=""/>
            <o:lock v:ext="edit"/>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w: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utoSpaceDE w:val="0"/>
        <w:autoSpaceDN w:val="0"/>
        <w:adjustRightInd w:val="0"/>
        <w:snapToGrid w:val="0"/>
        <w:spacing w:line="360" w:lineRule="auto"/>
        <w:jc w:val="left"/>
        <w:rPr>
          <w:rFonts w:ascii="宋体" w:hAnsi="宋体"/>
          <w:szCs w:val="21"/>
        </w:rPr>
      </w:pPr>
      <w:r>
        <w:rPr>
          <w:rFonts w:hint="eastAsia" w:ascii="宋体" w:hAnsi="宋体"/>
          <w:b/>
          <w:szCs w:val="21"/>
        </w:rPr>
        <w:t xml:space="preserve">备注：上述证件复印件可另附页，另附页时，证件复印件均须加盖单位公章。 </w:t>
      </w: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r>
        <w:rPr>
          <w:rFonts w:hint="eastAsia" w:ascii="宋体" w:hAnsi="宋体"/>
          <w:szCs w:val="21"/>
        </w:rPr>
        <w:t>谈判单位名称（盖单位章）：</w:t>
      </w:r>
      <w:r>
        <w:rPr>
          <w:rFonts w:hint="eastAsia" w:ascii="宋体" w:hAnsi="宋体"/>
          <w:u w:val="single"/>
        </w:rPr>
        <w:t xml:space="preserve">    （盖单位章）    </w:t>
      </w:r>
    </w:p>
    <w:p>
      <w:pPr>
        <w:adjustRightInd w:val="0"/>
        <w:snapToGrid w:val="0"/>
        <w:spacing w:line="360" w:lineRule="auto"/>
        <w:ind w:right="420"/>
        <w:rPr>
          <w:rFonts w:ascii="宋体" w:hAnsi="宋体"/>
          <w:szCs w:val="21"/>
        </w:rPr>
      </w:pPr>
      <w:r>
        <w:rPr>
          <w:rFonts w:hint="eastAsia" w:ascii="宋体" w:hAnsi="宋体"/>
          <w:szCs w:val="21"/>
        </w:rPr>
        <w:t>法定代表人（亲笔签字）：</w:t>
      </w:r>
      <w:r>
        <w:rPr>
          <w:rFonts w:hint="eastAsia" w:ascii="宋体" w:hAnsi="宋体"/>
          <w:szCs w:val="21"/>
          <w:u w:val="single"/>
        </w:rPr>
        <w:t xml:space="preserve">               </w:t>
      </w:r>
    </w:p>
    <w:p>
      <w:pPr>
        <w:adjustRightInd w:val="0"/>
        <w:snapToGrid w:val="0"/>
        <w:spacing w:line="360" w:lineRule="auto"/>
        <w:ind w:right="420"/>
        <w:rPr>
          <w:rFonts w:ascii="宋体" w:hAnsi="宋体"/>
          <w:szCs w:val="21"/>
        </w:rPr>
      </w:pPr>
      <w:r>
        <w:rPr>
          <w:rFonts w:hint="eastAsia" w:ascii="宋体" w:hAnsi="宋体"/>
          <w:szCs w:val="21"/>
        </w:rPr>
        <w:t>委托代理人（亲笔签字）：</w:t>
      </w:r>
      <w:r>
        <w:rPr>
          <w:rFonts w:hint="eastAsia" w:ascii="宋体" w:hAnsi="宋体"/>
          <w:szCs w:val="21"/>
          <w:u w:val="single"/>
        </w:rPr>
        <w:t xml:space="preserve">               </w:t>
      </w:r>
    </w:p>
    <w:p>
      <w:pPr>
        <w:spacing w:line="360" w:lineRule="auto"/>
        <w:rPr>
          <w:rFonts w:ascii="宋体" w:hAnsi="宋体"/>
          <w:szCs w:val="21"/>
        </w:rPr>
        <w:sectPr>
          <w:pgSz w:w="11906" w:h="16838"/>
          <w:pgMar w:top="1440" w:right="1797" w:bottom="1440" w:left="1797" w:header="851" w:footer="851" w:gutter="0"/>
          <w:cols w:space="720" w:num="1"/>
          <w:docGrid w:linePitch="312" w:charSpace="0"/>
        </w:sectPr>
      </w:pPr>
      <w:r>
        <w:rPr>
          <w:rFonts w:hint="eastAsia" w:ascii="宋体" w:hAnsi="宋体"/>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3"/>
        <w:jc w:val="center"/>
        <w:outlineLvl w:val="1"/>
        <w:rPr>
          <w:rFonts w:ascii="宋体" w:hAnsi="宋体" w:cs="宋体"/>
          <w:b/>
          <w:sz w:val="32"/>
          <w:szCs w:val="32"/>
        </w:rPr>
      </w:pPr>
      <w:bookmarkStart w:id="137" w:name="_Toc11357"/>
      <w:bookmarkStart w:id="138" w:name="_Toc18944"/>
      <w:bookmarkStart w:id="139" w:name="_Toc19933"/>
      <w:bookmarkStart w:id="140" w:name="_Toc2295"/>
      <w:r>
        <w:rPr>
          <w:rFonts w:hint="eastAsia" w:ascii="宋体" w:hAnsi="宋体" w:cs="宋体"/>
          <w:b/>
          <w:sz w:val="32"/>
          <w:szCs w:val="32"/>
        </w:rPr>
        <w:t>四、谈判单位资格证明文件</w:t>
      </w:r>
      <w:bookmarkEnd w:id="137"/>
      <w:bookmarkEnd w:id="138"/>
      <w:bookmarkEnd w:id="139"/>
      <w:bookmarkEnd w:id="140"/>
    </w:p>
    <w:p>
      <w:pPr>
        <w:adjustRightInd w:val="0"/>
        <w:snapToGrid w:val="0"/>
        <w:spacing w:line="360" w:lineRule="auto"/>
        <w:rPr>
          <w:rFonts w:ascii="宋体" w:hAnsi="宋体"/>
          <w:bCs/>
          <w:szCs w:val="21"/>
        </w:rPr>
      </w:pPr>
    </w:p>
    <w:p>
      <w:pPr>
        <w:adjustRightInd w:val="0"/>
        <w:snapToGrid w:val="0"/>
        <w:spacing w:line="360" w:lineRule="auto"/>
        <w:ind w:firstLine="420" w:firstLineChars="200"/>
        <w:rPr>
          <w:rFonts w:hint="eastAsia" w:ascii="宋体" w:hAnsi="宋体"/>
          <w:bCs/>
          <w:szCs w:val="21"/>
        </w:rPr>
      </w:pPr>
      <w:r>
        <w:rPr>
          <w:rFonts w:hint="eastAsia" w:ascii="宋体" w:hAnsi="宋体"/>
          <w:bCs/>
          <w:szCs w:val="21"/>
        </w:rPr>
        <w:t>根据本谈判文件</w:t>
      </w:r>
      <w:r>
        <w:rPr>
          <w:rFonts w:hint="eastAsia" w:ascii="宋体" w:hAnsi="宋体"/>
          <w:b/>
          <w:bCs/>
          <w:szCs w:val="21"/>
        </w:rPr>
        <w:t>前附表</w:t>
      </w:r>
      <w:r>
        <w:rPr>
          <w:rFonts w:hint="eastAsia" w:ascii="宋体" w:hAnsi="宋体"/>
          <w:bCs/>
          <w:szCs w:val="21"/>
        </w:rPr>
        <w:t>内的资格要求，本章节须附下列证明文件复印件：</w:t>
      </w:r>
    </w:p>
    <w:p>
      <w:pPr>
        <w:spacing w:line="360" w:lineRule="auto"/>
        <w:ind w:firstLine="420" w:firstLineChars="200"/>
        <w:jc w:val="left"/>
      </w:pPr>
      <w:r>
        <w:rPr>
          <w:rFonts w:hint="eastAsia" w:ascii="宋体" w:hAnsi="宋体" w:cs="宋体"/>
          <w:szCs w:val="21"/>
          <w:lang w:val="en-US" w:eastAsia="zh-CN"/>
        </w:rPr>
        <w:t>1.</w:t>
      </w:r>
      <w:r>
        <w:rPr>
          <w:rFonts w:hint="eastAsia" w:ascii="宋体" w:hAnsi="宋体" w:cs="宋体"/>
          <w:szCs w:val="21"/>
        </w:rPr>
        <w:t>谈判单位须为具有独立法人资格、自主经营、独立核算的公司/单位，须提供加盖谈判单位公章（鲜章）的营业执照/事业单位法人证书复印件。</w:t>
      </w:r>
    </w:p>
    <w:p>
      <w:pPr>
        <w:spacing w:line="360" w:lineRule="auto"/>
        <w:ind w:firstLine="420" w:firstLineChars="200"/>
        <w:jc w:val="left"/>
        <w:rPr>
          <w:rFonts w:ascii="宋体" w:hAnsi="宋体" w:cs="宋体"/>
          <w:szCs w:val="21"/>
        </w:rPr>
      </w:pPr>
      <w:r>
        <w:rPr>
          <w:rFonts w:hint="eastAsia" w:ascii="宋体" w:hAnsi="宋体" w:cs="宋体"/>
          <w:iCs/>
          <w:lang w:val="en-US" w:eastAsia="zh-CN"/>
        </w:rPr>
        <w:t>2</w:t>
      </w:r>
      <w:r>
        <w:rPr>
          <w:rFonts w:hint="eastAsia" w:ascii="宋体" w:hAnsi="宋体" w:cs="宋体"/>
          <w:iCs/>
        </w:rPr>
        <w:t>.</w:t>
      </w:r>
      <w:r>
        <w:rPr>
          <w:rFonts w:hint="eastAsia"/>
          <w:b/>
          <w:bCs/>
        </w:rPr>
        <w:t>一标段（车站配套设备）</w:t>
      </w:r>
      <w:r>
        <w:rPr>
          <w:rFonts w:hint="eastAsia"/>
        </w:rPr>
        <w:t>：</w:t>
      </w:r>
      <w:r>
        <w:rPr>
          <w:rFonts w:hint="eastAsia" w:ascii="宋体" w:hAnsi="宋体" w:cs="宋体"/>
          <w:szCs w:val="21"/>
        </w:rPr>
        <w:t>谈判单位在本项目谈判截止之日前36个月内须具有单项合同金额不少于30万元的</w:t>
      </w:r>
      <w:r>
        <w:rPr>
          <w:rFonts w:hint="eastAsia"/>
        </w:rPr>
        <w:t>视频智能分析类产品的供货</w:t>
      </w:r>
      <w:r>
        <w:rPr>
          <w:rFonts w:hint="eastAsia" w:ascii="宋体" w:hAnsi="宋体" w:cs="宋体"/>
          <w:szCs w:val="21"/>
        </w:rPr>
        <w:t>业绩。不接受联合体业绩、港澳台或境外业绩。</w:t>
      </w:r>
    </w:p>
    <w:p>
      <w:pPr>
        <w:pStyle w:val="2"/>
        <w:spacing w:line="360" w:lineRule="auto"/>
        <w:ind w:left="0" w:leftChars="0" w:firstLine="420" w:firstLineChars="200"/>
        <w:rPr>
          <w:rFonts w:ascii="宋体" w:hAnsi="宋体" w:cs="宋体"/>
          <w:szCs w:val="21"/>
        </w:rPr>
      </w:pPr>
      <w:r>
        <w:rPr>
          <w:rFonts w:hint="eastAsia" w:ascii="宋体" w:hAnsi="宋体" w:cs="宋体"/>
          <w:szCs w:val="21"/>
        </w:rPr>
        <w:t>业绩证明材料以同时提供的合同原件扫描件和发票（开票金额不少于合同金额的10%）原件扫描件为准（均须加盖投标人单位公章），业绩金额以合同中的金额为准，时间以合同中采购单位签字时间为准。</w:t>
      </w:r>
    </w:p>
    <w:p>
      <w:pPr>
        <w:pStyle w:val="2"/>
        <w:spacing w:line="360" w:lineRule="auto"/>
        <w:ind w:left="0" w:leftChars="0" w:firstLine="422" w:firstLineChars="200"/>
      </w:pPr>
      <w:r>
        <w:rPr>
          <w:rFonts w:hint="eastAsia"/>
          <w:b/>
          <w:bCs/>
        </w:rPr>
        <w:t>二标段（智能巡检）：</w:t>
      </w:r>
      <w:r>
        <w:rPr>
          <w:rFonts w:hint="eastAsia" w:ascii="宋体" w:hAnsi="宋体" w:cs="宋体"/>
          <w:color w:val="000000"/>
          <w:szCs w:val="21"/>
        </w:rPr>
        <w:t>谈判单位在本项目谈判截止之日前36个月内须具有自动化系统或智能化系统的供货业绩。</w:t>
      </w:r>
      <w:r>
        <w:rPr>
          <w:rFonts w:hint="eastAsia"/>
        </w:rPr>
        <w:t>不接受联合体、港澳台或境外业绩。</w:t>
      </w:r>
    </w:p>
    <w:p>
      <w:pPr>
        <w:pStyle w:val="2"/>
        <w:spacing w:line="360" w:lineRule="auto"/>
        <w:ind w:left="0" w:leftChars="0" w:firstLine="420" w:firstLineChars="200"/>
        <w:rPr>
          <w:rFonts w:ascii="宋体" w:hAnsi="宋体" w:cs="宋体"/>
          <w:szCs w:val="21"/>
        </w:rPr>
      </w:pPr>
      <w:r>
        <w:rPr>
          <w:rFonts w:hint="eastAsia" w:ascii="宋体" w:hAnsi="宋体" w:cs="宋体"/>
          <w:szCs w:val="21"/>
        </w:rPr>
        <w:t>业绩证明材料以同时提供的合同原件扫描件和发票（开票金额不少于合同金额的10%）原件扫描件为准（均须加盖投标人单位公章），业绩金额以合同中的金额为准，时间以合同中采购单位签字时间为准。</w:t>
      </w:r>
    </w:p>
    <w:p>
      <w:pPr>
        <w:adjustRightInd w:val="0"/>
        <w:snapToGrid w:val="0"/>
        <w:spacing w:line="360" w:lineRule="auto"/>
        <w:ind w:firstLine="420" w:firstLineChars="200"/>
        <w:rPr>
          <w:rFonts w:ascii="宋体" w:hAnsi="宋体" w:cs="宋体"/>
          <w:kern w:val="0"/>
          <w:szCs w:val="21"/>
        </w:rPr>
      </w:pPr>
      <w:r>
        <w:rPr>
          <w:rFonts w:hint="eastAsia" w:ascii="宋体" w:hAnsi="宋体" w:cs="宋体"/>
          <w:iCs/>
          <w:lang w:val="en-US" w:eastAsia="zh-CN"/>
        </w:rPr>
        <w:t>3</w:t>
      </w:r>
      <w:r>
        <w:rPr>
          <w:rFonts w:hint="eastAsia" w:ascii="宋体" w:hAnsi="宋体" w:cs="宋体"/>
          <w:iCs/>
        </w:rPr>
        <w:t>.</w:t>
      </w:r>
      <w:r>
        <w:rPr>
          <w:rFonts w:hint="eastAsia" w:ascii="宋体" w:hAnsi="宋体" w:cs="宋体"/>
          <w:kern w:val="0"/>
          <w:szCs w:val="21"/>
        </w:rPr>
        <w:t>谈判单位认为与本项目资格条件有关的其它证明文件（如有，格式自拟）。</w:t>
      </w:r>
    </w:p>
    <w:p>
      <w:pPr>
        <w:adjustRightInd w:val="0"/>
        <w:snapToGrid w:val="0"/>
        <w:spacing w:line="360" w:lineRule="auto"/>
        <w:ind w:firstLine="422" w:firstLineChars="200"/>
        <w:rPr>
          <w:rFonts w:ascii="宋体" w:hAnsi="宋体"/>
          <w:b/>
          <w:bCs/>
          <w:szCs w:val="21"/>
        </w:rPr>
      </w:pPr>
    </w:p>
    <w:p>
      <w:pPr>
        <w:adjustRightInd w:val="0"/>
        <w:snapToGrid w:val="0"/>
        <w:spacing w:line="360" w:lineRule="auto"/>
        <w:ind w:firstLine="422" w:firstLineChars="200"/>
        <w:rPr>
          <w:rFonts w:ascii="宋体" w:hAnsi="宋体"/>
          <w:b/>
          <w:bCs/>
          <w:szCs w:val="21"/>
        </w:rPr>
      </w:pPr>
      <w:r>
        <w:rPr>
          <w:rFonts w:hint="eastAsia" w:ascii="宋体" w:hAnsi="宋体"/>
          <w:b/>
          <w:bCs/>
          <w:szCs w:val="21"/>
        </w:rPr>
        <w:t>备注：</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1、上述证明文件复印件均须加盖谈判单位公章（鲜章）。</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w:t>
      </w:r>
      <w:r>
        <w:rPr>
          <w:rFonts w:hint="eastAsia" w:ascii="宋体" w:hAnsi="宋体"/>
          <w:b/>
          <w:bCs/>
          <w:szCs w:val="21"/>
        </w:rPr>
        <w:t>上述证明文件如须递交原件的，应用文件袋单独包装，在响应文件递交的同时一并提交</w:t>
      </w:r>
      <w:r>
        <w:rPr>
          <w:rFonts w:hint="eastAsia" w:ascii="宋体" w:hAnsi="宋体" w:cs="宋体"/>
          <w:b/>
          <w:bCs/>
          <w:szCs w:val="21"/>
        </w:rPr>
        <w:t>。</w:t>
      </w:r>
    </w:p>
    <w:p>
      <w:pPr>
        <w:adjustRightInd w:val="0"/>
        <w:snapToGrid w:val="0"/>
        <w:spacing w:line="360" w:lineRule="auto"/>
        <w:ind w:firstLine="422" w:firstLineChars="200"/>
        <w:rPr>
          <w:rFonts w:ascii="宋体" w:hAnsi="宋体"/>
          <w:b/>
          <w:bCs/>
          <w:szCs w:val="21"/>
        </w:rPr>
      </w:pPr>
    </w:p>
    <w:p>
      <w:pPr>
        <w:pStyle w:val="2"/>
        <w:rPr>
          <w:rFonts w:ascii="宋体" w:hAnsi="宋体"/>
        </w:rPr>
      </w:pPr>
    </w:p>
    <w:p>
      <w:pPr>
        <w:pStyle w:val="2"/>
        <w:rPr>
          <w:rFonts w:ascii="宋体" w:hAnsi="宋体"/>
        </w:rPr>
        <w:sectPr>
          <w:pgSz w:w="11906" w:h="16838"/>
          <w:pgMar w:top="1440" w:right="1797" w:bottom="1440" w:left="1797" w:header="851" w:footer="851" w:gutter="0"/>
          <w:cols w:space="720" w:num="1"/>
        </w:sectPr>
      </w:pPr>
    </w:p>
    <w:p>
      <w:pPr>
        <w:adjustRightInd w:val="0"/>
        <w:snapToGrid w:val="0"/>
        <w:spacing w:line="360" w:lineRule="auto"/>
        <w:ind w:right="23"/>
        <w:jc w:val="center"/>
        <w:outlineLvl w:val="1"/>
        <w:rPr>
          <w:rFonts w:ascii="宋体" w:hAnsi="宋体" w:cs="宋体"/>
          <w:b/>
          <w:sz w:val="32"/>
          <w:szCs w:val="32"/>
        </w:rPr>
      </w:pPr>
      <w:r>
        <w:rPr>
          <w:rFonts w:hint="eastAsia" w:ascii="宋体" w:hAnsi="宋体" w:cs="宋体"/>
          <w:b/>
          <w:sz w:val="32"/>
          <w:szCs w:val="32"/>
        </w:rPr>
        <w:t>五、报价一览表</w:t>
      </w:r>
    </w:p>
    <w:p>
      <w:pPr>
        <w:adjustRightInd w:val="0"/>
        <w:snapToGrid w:val="0"/>
        <w:ind w:firstLine="482" w:firstLineChars="200"/>
        <w:jc w:val="left"/>
        <w:rPr>
          <w:rFonts w:ascii="宋体" w:hAnsi="宋体"/>
          <w:sz w:val="24"/>
        </w:rPr>
      </w:pPr>
      <w:r>
        <w:rPr>
          <w:rFonts w:hint="eastAsia" w:ascii="宋体" w:hAnsi="宋体"/>
          <w:b/>
          <w:bCs/>
          <w:sz w:val="24"/>
        </w:rPr>
        <w:t xml:space="preserve">一标： </w:t>
      </w:r>
      <w:r>
        <w:rPr>
          <w:rFonts w:hint="eastAsia" w:ascii="宋体" w:hAnsi="宋体"/>
          <w:sz w:val="24"/>
        </w:rPr>
        <w:t xml:space="preserve">                                                   金额单位：元</w:t>
      </w:r>
    </w:p>
    <w:tbl>
      <w:tblPr>
        <w:tblStyle w:val="46"/>
        <w:tblW w:w="9599"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53"/>
        <w:gridCol w:w="2983"/>
        <w:gridCol w:w="2703"/>
        <w:gridCol w:w="19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7" w:hRule="atLeast"/>
        </w:trPr>
        <w:tc>
          <w:tcPr>
            <w:tcW w:w="1953" w:type="dxa"/>
            <w:vAlign w:val="center"/>
          </w:tcPr>
          <w:p>
            <w:pPr>
              <w:tabs>
                <w:tab w:val="left" w:pos="403"/>
                <w:tab w:val="center" w:pos="3781"/>
              </w:tabs>
              <w:spacing w:line="420" w:lineRule="exact"/>
              <w:jc w:val="center"/>
              <w:rPr>
                <w:rFonts w:ascii="宋体" w:hAnsi="宋体"/>
                <w:szCs w:val="21"/>
              </w:rPr>
            </w:pPr>
            <w:r>
              <w:rPr>
                <w:rFonts w:ascii="宋体" w:hAnsi="宋体"/>
                <w:szCs w:val="21"/>
              </w:rPr>
              <w:t>项目名称</w:t>
            </w:r>
            <w:r>
              <w:rPr>
                <w:rFonts w:hint="eastAsia" w:ascii="宋体" w:hAnsi="宋体"/>
                <w:szCs w:val="21"/>
              </w:rPr>
              <w:t>及标段</w:t>
            </w:r>
          </w:p>
        </w:tc>
        <w:tc>
          <w:tcPr>
            <w:tcW w:w="7646" w:type="dxa"/>
            <w:gridSpan w:val="3"/>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1953" w:type="dxa"/>
            <w:vAlign w:val="center"/>
          </w:tcPr>
          <w:p>
            <w:pPr>
              <w:tabs>
                <w:tab w:val="left" w:pos="403"/>
                <w:tab w:val="center" w:pos="3781"/>
              </w:tabs>
              <w:spacing w:line="420" w:lineRule="exact"/>
              <w:jc w:val="center"/>
              <w:rPr>
                <w:rFonts w:ascii="宋体" w:hAnsi="宋体"/>
                <w:szCs w:val="21"/>
              </w:rPr>
            </w:pPr>
            <w:r>
              <w:rPr>
                <w:rFonts w:hint="eastAsia" w:ascii="宋体" w:hAnsi="宋体"/>
                <w:szCs w:val="21"/>
              </w:rPr>
              <w:t>项目</w:t>
            </w:r>
            <w:r>
              <w:rPr>
                <w:rFonts w:ascii="宋体" w:hAnsi="宋体"/>
                <w:szCs w:val="21"/>
              </w:rPr>
              <w:t>编号</w:t>
            </w:r>
          </w:p>
        </w:tc>
        <w:tc>
          <w:tcPr>
            <w:tcW w:w="7646" w:type="dxa"/>
            <w:gridSpan w:val="3"/>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1953" w:type="dxa"/>
            <w:vAlign w:val="center"/>
          </w:tcPr>
          <w:p>
            <w:pPr>
              <w:spacing w:line="420" w:lineRule="exact"/>
              <w:jc w:val="center"/>
              <w:rPr>
                <w:rFonts w:ascii="宋体" w:hAnsi="宋体"/>
                <w:color w:val="FF0000"/>
                <w:szCs w:val="21"/>
              </w:rPr>
            </w:pPr>
            <w:r>
              <w:rPr>
                <w:rFonts w:hint="eastAsia" w:ascii="宋体" w:hAnsi="宋体"/>
                <w:szCs w:val="21"/>
              </w:rPr>
              <w:t>供货期</w:t>
            </w:r>
          </w:p>
        </w:tc>
        <w:tc>
          <w:tcPr>
            <w:tcW w:w="7646" w:type="dxa"/>
            <w:gridSpan w:val="3"/>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1953" w:type="dxa"/>
            <w:vAlign w:val="center"/>
          </w:tcPr>
          <w:p>
            <w:pPr>
              <w:pStyle w:val="335"/>
              <w:spacing w:line="360" w:lineRule="auto"/>
              <w:ind w:firstLine="422"/>
              <w:rPr>
                <w:rFonts w:ascii="宋体" w:hAnsi="宋体"/>
                <w:szCs w:val="21"/>
              </w:rPr>
            </w:pPr>
            <w:r>
              <w:rPr>
                <w:rFonts w:hint="eastAsia" w:ascii="宋体" w:hAnsi="宋体" w:cs="宋体"/>
                <w:b/>
                <w:bCs/>
                <w:color w:val="000000"/>
                <w:szCs w:val="21"/>
              </w:rPr>
              <w:t>谈判总报价</w:t>
            </w:r>
          </w:p>
        </w:tc>
        <w:tc>
          <w:tcPr>
            <w:tcW w:w="2983" w:type="dxa"/>
            <w:tcBorders>
              <w:right w:val="single" w:color="auto" w:sz="4" w:space="0"/>
            </w:tcBorders>
            <w:vAlign w:val="center"/>
          </w:tcPr>
          <w:p>
            <w:pPr>
              <w:jc w:val="left"/>
              <w:rPr>
                <w:rFonts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w:t>
            </w:r>
          </w:p>
        </w:tc>
        <w:tc>
          <w:tcPr>
            <w:tcW w:w="2703" w:type="dxa"/>
            <w:tcBorders>
              <w:left w:val="single" w:color="auto" w:sz="4" w:space="0"/>
            </w:tcBorders>
            <w:vAlign w:val="center"/>
          </w:tcPr>
          <w:p>
            <w:pPr>
              <w:spacing w:line="420" w:lineRule="exact"/>
              <w:jc w:val="center"/>
              <w:rPr>
                <w:rFonts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w:t>
            </w:r>
          </w:p>
        </w:tc>
        <w:tc>
          <w:tcPr>
            <w:tcW w:w="1960" w:type="dxa"/>
            <w:tcBorders>
              <w:left w:val="single" w:color="auto" w:sz="4" w:space="0"/>
            </w:tcBorders>
            <w:vAlign w:val="center"/>
          </w:tcPr>
          <w:p>
            <w:pPr>
              <w:spacing w:line="420" w:lineRule="exact"/>
              <w:jc w:val="center"/>
              <w:rPr>
                <w:rFonts w:ascii="宋体" w:hAnsi="宋体"/>
                <w:szCs w:val="21"/>
              </w:rPr>
            </w:pPr>
            <w:r>
              <w:rPr>
                <w:rFonts w:hint="eastAsia" w:ascii="宋体" w:hAnsi="宋体"/>
                <w:szCs w:val="21"/>
              </w:rPr>
              <w:t>税费为：</w:t>
            </w:r>
            <w:r>
              <w:rPr>
                <w:rFonts w:hint="eastAsia" w:ascii="宋体" w:hAnsi="宋体"/>
                <w:szCs w:val="21"/>
                <w:u w:val="singl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50" w:hRule="atLeast"/>
        </w:trPr>
        <w:tc>
          <w:tcPr>
            <w:tcW w:w="1953" w:type="dxa"/>
            <w:vAlign w:val="center"/>
          </w:tcPr>
          <w:p>
            <w:pPr>
              <w:spacing w:line="420" w:lineRule="exact"/>
              <w:jc w:val="center"/>
              <w:rPr>
                <w:rFonts w:ascii="宋体" w:hAnsi="宋体" w:cs="宋体"/>
                <w:szCs w:val="21"/>
              </w:rPr>
            </w:pPr>
            <w:r>
              <w:rPr>
                <w:rFonts w:hint="eastAsia" w:ascii="宋体" w:hAnsi="宋体" w:cs="宋体"/>
                <w:szCs w:val="21"/>
              </w:rPr>
              <w:t>质保期</w:t>
            </w:r>
          </w:p>
        </w:tc>
        <w:tc>
          <w:tcPr>
            <w:tcW w:w="7646" w:type="dxa"/>
            <w:gridSpan w:val="3"/>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5" w:hRule="atLeast"/>
        </w:trPr>
        <w:tc>
          <w:tcPr>
            <w:tcW w:w="1953" w:type="dxa"/>
            <w:vAlign w:val="center"/>
          </w:tcPr>
          <w:p>
            <w:pPr>
              <w:spacing w:line="420" w:lineRule="exact"/>
              <w:jc w:val="center"/>
              <w:rPr>
                <w:rFonts w:ascii="宋体" w:hAnsi="宋体"/>
                <w:szCs w:val="21"/>
              </w:rPr>
            </w:pPr>
            <w:r>
              <w:rPr>
                <w:rFonts w:ascii="宋体" w:hAnsi="宋体"/>
                <w:szCs w:val="21"/>
              </w:rPr>
              <w:t>备  注</w:t>
            </w:r>
          </w:p>
        </w:tc>
        <w:tc>
          <w:tcPr>
            <w:tcW w:w="7646" w:type="dxa"/>
            <w:gridSpan w:val="3"/>
            <w:vAlign w:val="center"/>
          </w:tcPr>
          <w:p>
            <w:pPr>
              <w:spacing w:line="420" w:lineRule="exact"/>
              <w:rPr>
                <w:rFonts w:ascii="宋体" w:hAnsi="宋体"/>
                <w:szCs w:val="21"/>
              </w:rPr>
            </w:pPr>
          </w:p>
        </w:tc>
      </w:tr>
    </w:tbl>
    <w:p>
      <w:pPr>
        <w:adjustRightInd w:val="0"/>
        <w:snapToGrid w:val="0"/>
        <w:spacing w:line="360" w:lineRule="auto"/>
        <w:rPr>
          <w:rFonts w:ascii="宋体" w:hAnsi="宋体"/>
          <w:b/>
          <w:szCs w:val="21"/>
        </w:rPr>
      </w:pPr>
      <w:r>
        <w:rPr>
          <w:rFonts w:hint="eastAsia" w:ascii="宋体" w:hAnsi="宋体"/>
          <w:b/>
          <w:szCs w:val="21"/>
        </w:rPr>
        <w:t>注：</w:t>
      </w:r>
    </w:p>
    <w:p>
      <w:pPr>
        <w:adjustRightInd w:val="0"/>
        <w:snapToGrid w:val="0"/>
        <w:spacing w:line="360" w:lineRule="auto"/>
        <w:ind w:firstLine="422" w:firstLineChars="200"/>
        <w:rPr>
          <w:rFonts w:ascii="宋体" w:hAnsi="宋体"/>
          <w:b/>
          <w:szCs w:val="21"/>
        </w:rPr>
      </w:pPr>
      <w:r>
        <w:rPr>
          <w:rFonts w:hint="eastAsia" w:ascii="宋体" w:hAnsi="宋体"/>
          <w:b/>
          <w:szCs w:val="21"/>
        </w:rPr>
        <w:t>1.所有报价保留小数点后两位，小数点后第三位“四舍五入”。</w:t>
      </w:r>
    </w:p>
    <w:p>
      <w:pPr>
        <w:adjustRightInd w:val="0"/>
        <w:snapToGrid w:val="0"/>
        <w:spacing w:line="360" w:lineRule="auto"/>
        <w:ind w:firstLine="422" w:firstLineChars="200"/>
        <w:rPr>
          <w:rFonts w:ascii="宋体" w:hAnsi="宋体"/>
          <w:b/>
          <w:szCs w:val="21"/>
        </w:rPr>
      </w:pPr>
      <w:r>
        <w:rPr>
          <w:rFonts w:hint="eastAsia" w:ascii="宋体" w:hAnsi="宋体"/>
          <w:b/>
          <w:szCs w:val="21"/>
        </w:rPr>
        <w:t>2.本表内“谈判总报价”是包含了货物所有隐含的运输费、保险费、安装调试费、管理费和利润等其他费用的报价。</w:t>
      </w:r>
    </w:p>
    <w:p>
      <w:pPr>
        <w:adjustRightInd w:val="0"/>
        <w:snapToGrid w:val="0"/>
        <w:spacing w:line="360" w:lineRule="auto"/>
        <w:ind w:firstLine="420" w:firstLineChars="200"/>
        <w:rPr>
          <w:rFonts w:ascii="宋体" w:hAnsi="宋体"/>
          <w:szCs w:val="21"/>
        </w:rPr>
      </w:pPr>
    </w:p>
    <w:p>
      <w:pPr>
        <w:adjustRightInd w:val="0"/>
        <w:snapToGrid w:val="0"/>
        <w:spacing w:line="360" w:lineRule="auto"/>
        <w:ind w:left="-88" w:leftChars="-42"/>
        <w:rPr>
          <w:rFonts w:ascii="宋体" w:hAnsi="宋体"/>
          <w:szCs w:val="21"/>
        </w:rPr>
      </w:pPr>
    </w:p>
    <w:p>
      <w:pPr>
        <w:adjustRightInd w:val="0"/>
        <w:snapToGrid w:val="0"/>
        <w:spacing w:line="360" w:lineRule="auto"/>
        <w:ind w:left="-88" w:leftChars="-42"/>
        <w:rPr>
          <w:rFonts w:ascii="宋体" w:hAnsi="宋体"/>
          <w:szCs w:val="21"/>
        </w:rPr>
      </w:pPr>
    </w:p>
    <w:p>
      <w:pPr>
        <w:pStyle w:val="27"/>
        <w:adjustRightInd w:val="0"/>
        <w:snapToGrid w:val="0"/>
        <w:spacing w:line="360" w:lineRule="auto"/>
        <w:rPr>
          <w:rFonts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adjustRightInd w:val="0"/>
        <w:snapToGrid w:val="0"/>
        <w:spacing w:line="360" w:lineRule="auto"/>
        <w:rPr>
          <w:rFonts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pStyle w:val="45"/>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45"/>
        <w:rPr>
          <w:rFonts w:ascii="宋体" w:hAnsi="宋体"/>
          <w:szCs w:val="21"/>
        </w:rPr>
      </w:pPr>
    </w:p>
    <w:p>
      <w:pPr>
        <w:pStyle w:val="45"/>
        <w:rPr>
          <w:rFonts w:ascii="宋体" w:hAnsi="宋体"/>
          <w:szCs w:val="21"/>
        </w:rPr>
      </w:pPr>
    </w:p>
    <w:p>
      <w:pPr>
        <w:adjustRightInd w:val="0"/>
        <w:snapToGrid w:val="0"/>
        <w:spacing w:line="360" w:lineRule="auto"/>
        <w:ind w:right="23"/>
        <w:jc w:val="center"/>
        <w:outlineLvl w:val="1"/>
        <w:rPr>
          <w:rFonts w:ascii="宋体" w:hAnsi="宋体" w:cs="宋体"/>
          <w:b/>
          <w:sz w:val="32"/>
          <w:szCs w:val="32"/>
        </w:rPr>
      </w:pPr>
    </w:p>
    <w:p>
      <w:pPr>
        <w:adjustRightInd w:val="0"/>
        <w:snapToGrid w:val="0"/>
        <w:spacing w:line="360" w:lineRule="auto"/>
        <w:ind w:right="23"/>
        <w:jc w:val="center"/>
        <w:outlineLvl w:val="1"/>
        <w:rPr>
          <w:rFonts w:ascii="宋体" w:hAnsi="宋体" w:cs="宋体"/>
          <w:b/>
          <w:sz w:val="32"/>
          <w:szCs w:val="32"/>
        </w:rPr>
      </w:pPr>
    </w:p>
    <w:p>
      <w:pPr>
        <w:adjustRightInd w:val="0"/>
        <w:snapToGrid w:val="0"/>
        <w:spacing w:line="360" w:lineRule="auto"/>
        <w:ind w:right="23"/>
        <w:jc w:val="center"/>
        <w:outlineLvl w:val="1"/>
        <w:rPr>
          <w:rFonts w:ascii="宋体" w:hAnsi="宋体" w:cs="宋体"/>
          <w:b/>
          <w:sz w:val="32"/>
          <w:szCs w:val="32"/>
        </w:rPr>
      </w:pPr>
    </w:p>
    <w:p>
      <w:pPr>
        <w:adjustRightInd w:val="0"/>
        <w:snapToGrid w:val="0"/>
        <w:spacing w:line="360" w:lineRule="auto"/>
        <w:ind w:right="23"/>
        <w:jc w:val="center"/>
        <w:outlineLvl w:val="1"/>
        <w:rPr>
          <w:rFonts w:ascii="宋体" w:hAnsi="宋体" w:cs="宋体"/>
          <w:b/>
          <w:sz w:val="32"/>
          <w:szCs w:val="32"/>
        </w:rPr>
      </w:pPr>
    </w:p>
    <w:p>
      <w:pPr>
        <w:adjustRightInd w:val="0"/>
        <w:snapToGrid w:val="0"/>
        <w:spacing w:line="360" w:lineRule="auto"/>
        <w:ind w:right="23"/>
        <w:jc w:val="center"/>
        <w:outlineLvl w:val="1"/>
        <w:rPr>
          <w:rFonts w:ascii="宋体" w:hAnsi="宋体" w:cs="宋体"/>
          <w:b/>
          <w:sz w:val="32"/>
          <w:szCs w:val="32"/>
        </w:rPr>
      </w:pPr>
    </w:p>
    <w:p>
      <w:pPr>
        <w:adjustRightInd w:val="0"/>
        <w:snapToGrid w:val="0"/>
        <w:spacing w:line="360" w:lineRule="auto"/>
        <w:ind w:right="23"/>
        <w:jc w:val="center"/>
        <w:outlineLvl w:val="1"/>
        <w:rPr>
          <w:rFonts w:ascii="宋体" w:hAnsi="宋体" w:cs="宋体"/>
          <w:b/>
          <w:sz w:val="32"/>
          <w:szCs w:val="32"/>
        </w:rPr>
      </w:pPr>
    </w:p>
    <w:p>
      <w:pPr>
        <w:adjustRightInd w:val="0"/>
        <w:snapToGrid w:val="0"/>
        <w:spacing w:line="360" w:lineRule="auto"/>
        <w:ind w:right="23"/>
        <w:jc w:val="center"/>
        <w:outlineLvl w:val="1"/>
        <w:rPr>
          <w:rFonts w:ascii="宋体" w:hAnsi="宋体" w:cs="宋体"/>
          <w:b/>
          <w:sz w:val="32"/>
          <w:szCs w:val="32"/>
        </w:rPr>
      </w:pPr>
    </w:p>
    <w:p>
      <w:pPr>
        <w:adjustRightInd w:val="0"/>
        <w:snapToGrid w:val="0"/>
        <w:spacing w:line="360" w:lineRule="auto"/>
        <w:ind w:right="23"/>
        <w:jc w:val="center"/>
        <w:outlineLvl w:val="1"/>
        <w:rPr>
          <w:rFonts w:ascii="宋体" w:hAnsi="宋体" w:cs="宋体"/>
          <w:b/>
          <w:sz w:val="32"/>
          <w:szCs w:val="32"/>
        </w:rPr>
      </w:pPr>
      <w:r>
        <w:rPr>
          <w:rFonts w:hint="eastAsia" w:ascii="宋体" w:hAnsi="宋体" w:cs="宋体"/>
          <w:b/>
          <w:sz w:val="32"/>
          <w:szCs w:val="32"/>
        </w:rPr>
        <w:t>五、报价一览表</w:t>
      </w:r>
    </w:p>
    <w:p>
      <w:pPr>
        <w:adjustRightInd w:val="0"/>
        <w:snapToGrid w:val="0"/>
        <w:ind w:firstLine="241" w:firstLineChars="100"/>
        <w:jc w:val="left"/>
        <w:rPr>
          <w:rFonts w:ascii="宋体" w:hAnsi="宋体"/>
          <w:sz w:val="24"/>
        </w:rPr>
      </w:pPr>
      <w:r>
        <w:rPr>
          <w:rFonts w:hint="eastAsia" w:ascii="宋体" w:hAnsi="宋体"/>
          <w:b/>
          <w:bCs/>
          <w:sz w:val="24"/>
        </w:rPr>
        <w:t xml:space="preserve">二标：  </w:t>
      </w:r>
      <w:r>
        <w:rPr>
          <w:rFonts w:hint="eastAsia" w:ascii="宋体" w:hAnsi="宋体"/>
          <w:sz w:val="24"/>
        </w:rPr>
        <w:t xml:space="preserve">                                                           金额单位：元</w:t>
      </w:r>
    </w:p>
    <w:tbl>
      <w:tblPr>
        <w:tblStyle w:val="46"/>
        <w:tblW w:w="9959"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27"/>
        <w:gridCol w:w="3095"/>
        <w:gridCol w:w="2805"/>
        <w:gridCol w:w="20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81" w:hRule="atLeast"/>
        </w:trPr>
        <w:tc>
          <w:tcPr>
            <w:tcW w:w="2027" w:type="dxa"/>
            <w:vAlign w:val="center"/>
          </w:tcPr>
          <w:p>
            <w:pPr>
              <w:tabs>
                <w:tab w:val="left" w:pos="403"/>
                <w:tab w:val="center" w:pos="3781"/>
              </w:tabs>
              <w:spacing w:line="420" w:lineRule="exact"/>
              <w:jc w:val="center"/>
              <w:rPr>
                <w:rFonts w:ascii="宋体" w:hAnsi="宋体"/>
                <w:szCs w:val="21"/>
              </w:rPr>
            </w:pPr>
            <w:r>
              <w:rPr>
                <w:rFonts w:ascii="宋体" w:hAnsi="宋体"/>
                <w:szCs w:val="21"/>
              </w:rPr>
              <w:t>项目名称</w:t>
            </w:r>
            <w:r>
              <w:rPr>
                <w:rFonts w:hint="eastAsia" w:ascii="宋体" w:hAnsi="宋体"/>
                <w:szCs w:val="21"/>
              </w:rPr>
              <w:t>及标段</w:t>
            </w:r>
          </w:p>
        </w:tc>
        <w:tc>
          <w:tcPr>
            <w:tcW w:w="7932" w:type="dxa"/>
            <w:gridSpan w:val="3"/>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atLeast"/>
        </w:trPr>
        <w:tc>
          <w:tcPr>
            <w:tcW w:w="2027" w:type="dxa"/>
            <w:vAlign w:val="center"/>
          </w:tcPr>
          <w:p>
            <w:pPr>
              <w:tabs>
                <w:tab w:val="left" w:pos="403"/>
                <w:tab w:val="center" w:pos="3781"/>
              </w:tabs>
              <w:spacing w:line="420" w:lineRule="exact"/>
              <w:jc w:val="center"/>
              <w:rPr>
                <w:rFonts w:ascii="宋体" w:hAnsi="宋体"/>
                <w:szCs w:val="21"/>
              </w:rPr>
            </w:pPr>
            <w:r>
              <w:rPr>
                <w:rFonts w:hint="eastAsia" w:ascii="宋体" w:hAnsi="宋体"/>
                <w:szCs w:val="21"/>
              </w:rPr>
              <w:t>项目</w:t>
            </w:r>
            <w:r>
              <w:rPr>
                <w:rFonts w:ascii="宋体" w:hAnsi="宋体"/>
                <w:szCs w:val="21"/>
              </w:rPr>
              <w:t>编号</w:t>
            </w:r>
          </w:p>
        </w:tc>
        <w:tc>
          <w:tcPr>
            <w:tcW w:w="7932" w:type="dxa"/>
            <w:gridSpan w:val="3"/>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atLeast"/>
        </w:trPr>
        <w:tc>
          <w:tcPr>
            <w:tcW w:w="2027" w:type="dxa"/>
            <w:vAlign w:val="center"/>
          </w:tcPr>
          <w:p>
            <w:pPr>
              <w:spacing w:line="420" w:lineRule="exact"/>
              <w:jc w:val="center"/>
              <w:rPr>
                <w:rFonts w:ascii="宋体" w:hAnsi="宋体"/>
                <w:color w:val="FF0000"/>
                <w:szCs w:val="21"/>
              </w:rPr>
            </w:pPr>
            <w:r>
              <w:rPr>
                <w:rFonts w:hint="eastAsia" w:ascii="宋体" w:hAnsi="宋体"/>
                <w:szCs w:val="21"/>
              </w:rPr>
              <w:t>供货期</w:t>
            </w:r>
          </w:p>
        </w:tc>
        <w:tc>
          <w:tcPr>
            <w:tcW w:w="7932" w:type="dxa"/>
            <w:gridSpan w:val="3"/>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atLeast"/>
        </w:trPr>
        <w:tc>
          <w:tcPr>
            <w:tcW w:w="2027" w:type="dxa"/>
            <w:vAlign w:val="center"/>
          </w:tcPr>
          <w:p>
            <w:pPr>
              <w:pStyle w:val="335"/>
              <w:spacing w:line="360" w:lineRule="auto"/>
              <w:ind w:firstLine="422"/>
              <w:rPr>
                <w:rFonts w:ascii="宋体" w:hAnsi="宋体"/>
                <w:szCs w:val="21"/>
              </w:rPr>
            </w:pPr>
            <w:r>
              <w:rPr>
                <w:rFonts w:hint="eastAsia" w:ascii="宋体" w:hAnsi="宋体" w:cs="宋体"/>
                <w:b/>
                <w:bCs/>
                <w:color w:val="000000"/>
                <w:szCs w:val="21"/>
              </w:rPr>
              <w:t>谈判总报价</w:t>
            </w:r>
          </w:p>
        </w:tc>
        <w:tc>
          <w:tcPr>
            <w:tcW w:w="3095" w:type="dxa"/>
            <w:tcBorders>
              <w:right w:val="single" w:color="auto" w:sz="4" w:space="0"/>
            </w:tcBorders>
            <w:vAlign w:val="center"/>
          </w:tcPr>
          <w:p>
            <w:pPr>
              <w:jc w:val="left"/>
              <w:rPr>
                <w:rFonts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w:t>
            </w:r>
          </w:p>
        </w:tc>
        <w:tc>
          <w:tcPr>
            <w:tcW w:w="2805" w:type="dxa"/>
            <w:tcBorders>
              <w:left w:val="single" w:color="auto" w:sz="4" w:space="0"/>
            </w:tcBorders>
            <w:vAlign w:val="center"/>
          </w:tcPr>
          <w:p>
            <w:pPr>
              <w:spacing w:line="420" w:lineRule="exact"/>
              <w:jc w:val="center"/>
              <w:rPr>
                <w:rFonts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w:t>
            </w:r>
          </w:p>
        </w:tc>
        <w:tc>
          <w:tcPr>
            <w:tcW w:w="2032" w:type="dxa"/>
            <w:tcBorders>
              <w:left w:val="single" w:color="auto" w:sz="4" w:space="0"/>
            </w:tcBorders>
            <w:vAlign w:val="center"/>
          </w:tcPr>
          <w:p>
            <w:pPr>
              <w:spacing w:line="420" w:lineRule="exact"/>
              <w:jc w:val="center"/>
              <w:rPr>
                <w:rFonts w:ascii="宋体" w:hAnsi="宋体"/>
                <w:szCs w:val="21"/>
              </w:rPr>
            </w:pPr>
            <w:r>
              <w:rPr>
                <w:rFonts w:hint="eastAsia" w:ascii="宋体" w:hAnsi="宋体"/>
                <w:szCs w:val="21"/>
              </w:rPr>
              <w:t>税费为：</w:t>
            </w:r>
            <w:r>
              <w:rPr>
                <w:rFonts w:hint="eastAsia" w:ascii="宋体" w:hAnsi="宋体"/>
                <w:szCs w:val="21"/>
                <w:u w:val="singl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54" w:hRule="atLeast"/>
        </w:trPr>
        <w:tc>
          <w:tcPr>
            <w:tcW w:w="2027" w:type="dxa"/>
            <w:vAlign w:val="center"/>
          </w:tcPr>
          <w:p>
            <w:pPr>
              <w:spacing w:line="420" w:lineRule="exact"/>
              <w:jc w:val="center"/>
              <w:rPr>
                <w:rFonts w:ascii="宋体" w:hAnsi="宋体" w:cs="宋体"/>
                <w:szCs w:val="21"/>
              </w:rPr>
            </w:pPr>
            <w:r>
              <w:rPr>
                <w:rFonts w:hint="eastAsia" w:ascii="宋体" w:hAnsi="宋体" w:cs="宋体"/>
                <w:szCs w:val="21"/>
              </w:rPr>
              <w:t>质保期</w:t>
            </w:r>
          </w:p>
        </w:tc>
        <w:tc>
          <w:tcPr>
            <w:tcW w:w="7932" w:type="dxa"/>
            <w:gridSpan w:val="3"/>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atLeast"/>
        </w:trPr>
        <w:tc>
          <w:tcPr>
            <w:tcW w:w="2027" w:type="dxa"/>
            <w:vAlign w:val="center"/>
          </w:tcPr>
          <w:p>
            <w:pPr>
              <w:spacing w:line="420" w:lineRule="exact"/>
              <w:jc w:val="center"/>
              <w:rPr>
                <w:rFonts w:ascii="宋体" w:hAnsi="宋体"/>
                <w:szCs w:val="21"/>
              </w:rPr>
            </w:pPr>
            <w:r>
              <w:rPr>
                <w:rFonts w:ascii="宋体" w:hAnsi="宋体"/>
                <w:szCs w:val="21"/>
              </w:rPr>
              <w:t>备  注</w:t>
            </w:r>
          </w:p>
        </w:tc>
        <w:tc>
          <w:tcPr>
            <w:tcW w:w="7932" w:type="dxa"/>
            <w:gridSpan w:val="3"/>
            <w:vAlign w:val="center"/>
          </w:tcPr>
          <w:p>
            <w:pPr>
              <w:spacing w:line="420" w:lineRule="exact"/>
              <w:rPr>
                <w:rFonts w:ascii="宋体" w:hAnsi="宋体"/>
                <w:szCs w:val="21"/>
              </w:rPr>
            </w:pPr>
          </w:p>
        </w:tc>
      </w:tr>
    </w:tbl>
    <w:p>
      <w:pPr>
        <w:adjustRightInd w:val="0"/>
        <w:snapToGrid w:val="0"/>
        <w:spacing w:line="360" w:lineRule="auto"/>
        <w:rPr>
          <w:rFonts w:ascii="宋体" w:hAnsi="宋体"/>
          <w:b/>
          <w:szCs w:val="21"/>
        </w:rPr>
      </w:pPr>
      <w:r>
        <w:rPr>
          <w:rFonts w:hint="eastAsia" w:ascii="宋体" w:hAnsi="宋体"/>
          <w:b/>
          <w:szCs w:val="21"/>
        </w:rPr>
        <w:t>注：</w:t>
      </w:r>
    </w:p>
    <w:p>
      <w:pPr>
        <w:adjustRightInd w:val="0"/>
        <w:snapToGrid w:val="0"/>
        <w:spacing w:line="360" w:lineRule="auto"/>
        <w:ind w:firstLine="422" w:firstLineChars="200"/>
        <w:rPr>
          <w:rFonts w:ascii="宋体" w:hAnsi="宋体"/>
          <w:b/>
          <w:szCs w:val="21"/>
        </w:rPr>
      </w:pPr>
      <w:r>
        <w:rPr>
          <w:rFonts w:hint="eastAsia" w:ascii="宋体" w:hAnsi="宋体"/>
          <w:b/>
          <w:szCs w:val="21"/>
        </w:rPr>
        <w:t>1.所有报价保留小数点后两位，小数点后第三位“四舍五入”。</w:t>
      </w:r>
    </w:p>
    <w:p>
      <w:pPr>
        <w:adjustRightInd w:val="0"/>
        <w:snapToGrid w:val="0"/>
        <w:spacing w:line="360" w:lineRule="auto"/>
        <w:ind w:firstLine="422" w:firstLineChars="200"/>
        <w:rPr>
          <w:rFonts w:ascii="宋体" w:hAnsi="宋体"/>
          <w:b/>
          <w:szCs w:val="21"/>
        </w:rPr>
      </w:pPr>
      <w:r>
        <w:rPr>
          <w:rFonts w:hint="eastAsia" w:ascii="宋体" w:hAnsi="宋体"/>
          <w:b/>
          <w:szCs w:val="21"/>
        </w:rPr>
        <w:t>2.本表内“谈判总报价”是包含了货物所有隐含的运输费、保险费、安装调试费、管理费和利润等其他费用的报价。</w:t>
      </w:r>
    </w:p>
    <w:p>
      <w:pPr>
        <w:adjustRightInd w:val="0"/>
        <w:snapToGrid w:val="0"/>
        <w:spacing w:line="360" w:lineRule="auto"/>
        <w:ind w:firstLine="420" w:firstLineChars="200"/>
        <w:rPr>
          <w:rFonts w:ascii="宋体" w:hAnsi="宋体"/>
          <w:szCs w:val="21"/>
        </w:rPr>
      </w:pPr>
    </w:p>
    <w:p>
      <w:pPr>
        <w:adjustRightInd w:val="0"/>
        <w:snapToGrid w:val="0"/>
        <w:spacing w:line="360" w:lineRule="auto"/>
        <w:ind w:left="-88" w:leftChars="-42"/>
        <w:rPr>
          <w:rFonts w:ascii="宋体" w:hAnsi="宋体"/>
          <w:szCs w:val="21"/>
        </w:rPr>
      </w:pPr>
    </w:p>
    <w:p>
      <w:pPr>
        <w:adjustRightInd w:val="0"/>
        <w:snapToGrid w:val="0"/>
        <w:spacing w:line="360" w:lineRule="auto"/>
        <w:ind w:left="-88" w:leftChars="-42"/>
        <w:rPr>
          <w:rFonts w:ascii="宋体" w:hAnsi="宋体"/>
          <w:szCs w:val="21"/>
        </w:rPr>
      </w:pPr>
    </w:p>
    <w:p>
      <w:pPr>
        <w:pStyle w:val="27"/>
        <w:adjustRightInd w:val="0"/>
        <w:snapToGrid w:val="0"/>
        <w:spacing w:line="360" w:lineRule="auto"/>
        <w:rPr>
          <w:rFonts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adjustRightInd w:val="0"/>
        <w:snapToGrid w:val="0"/>
        <w:spacing w:line="360" w:lineRule="auto"/>
        <w:rPr>
          <w:rFonts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pStyle w:val="45"/>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rPr>
          <w:rFonts w:ascii="宋体" w:hAnsi="宋体"/>
          <w:szCs w:val="21"/>
        </w:rPr>
      </w:pPr>
      <w:r>
        <w:rPr>
          <w:rFonts w:hint="eastAsia" w:ascii="宋体" w:hAnsi="宋体"/>
          <w:szCs w:val="21"/>
        </w:rPr>
        <w:br w:type="page"/>
      </w:r>
    </w:p>
    <w:p>
      <w:pPr>
        <w:adjustRightInd w:val="0"/>
        <w:snapToGrid w:val="0"/>
        <w:spacing w:line="360" w:lineRule="auto"/>
        <w:ind w:right="23"/>
        <w:jc w:val="center"/>
        <w:outlineLvl w:val="1"/>
        <w:rPr>
          <w:rFonts w:ascii="宋体" w:hAnsi="宋体" w:cs="宋体"/>
          <w:b/>
          <w:sz w:val="32"/>
          <w:szCs w:val="32"/>
        </w:rPr>
      </w:pPr>
      <w:bookmarkStart w:id="141" w:name="_Toc22350"/>
      <w:bookmarkStart w:id="142" w:name="_Toc9077"/>
      <w:bookmarkStart w:id="143" w:name="_Toc22739"/>
      <w:bookmarkStart w:id="144" w:name="_Toc27585"/>
      <w:r>
        <w:rPr>
          <w:rFonts w:hint="eastAsia" w:ascii="宋体" w:hAnsi="宋体" w:cs="宋体"/>
          <w:b/>
          <w:sz w:val="32"/>
          <w:szCs w:val="32"/>
        </w:rPr>
        <w:t>六、分项价格表</w:t>
      </w:r>
    </w:p>
    <w:p>
      <w:pPr>
        <w:spacing w:line="360" w:lineRule="exact"/>
      </w:pPr>
      <w:r>
        <w:rPr>
          <w:rFonts w:hint="eastAsia" w:ascii="宋体" w:hAnsi="宋体"/>
          <w:b/>
        </w:rPr>
        <w:t>一标:</w:t>
      </w:r>
    </w:p>
    <w:p>
      <w:pPr>
        <w:spacing w:line="360" w:lineRule="exact"/>
        <w:jc w:val="left"/>
        <w:rPr>
          <w:rFonts w:ascii="宋体" w:hAnsi="宋体"/>
        </w:rPr>
      </w:pPr>
      <w:r>
        <w:rPr>
          <w:rFonts w:hint="eastAsia" w:ascii="宋体" w:hAnsi="宋体"/>
          <w:bCs/>
        </w:rPr>
        <w:t>项目</w:t>
      </w:r>
      <w:r>
        <w:rPr>
          <w:rFonts w:hint="eastAsia" w:ascii="宋体" w:hAnsi="宋体"/>
        </w:rPr>
        <w:t>名称及标段：                                                              金额单位：元</w:t>
      </w:r>
    </w:p>
    <w:tbl>
      <w:tblPr>
        <w:tblStyle w:val="46"/>
        <w:tblW w:w="1029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0"/>
        <w:gridCol w:w="834"/>
        <w:gridCol w:w="930"/>
        <w:gridCol w:w="1218"/>
        <w:gridCol w:w="2877"/>
        <w:gridCol w:w="732"/>
        <w:gridCol w:w="662"/>
        <w:gridCol w:w="679"/>
        <w:gridCol w:w="980"/>
        <w:gridCol w:w="8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trPr>
        <w:tc>
          <w:tcPr>
            <w:tcW w:w="10296" w:type="dxa"/>
            <w:gridSpan w:val="10"/>
            <w:vAlign w:val="center"/>
          </w:tcPr>
          <w:p>
            <w:pPr>
              <w:adjustRightInd w:val="0"/>
              <w:snapToGrid w:val="0"/>
              <w:spacing w:line="360" w:lineRule="auto"/>
              <w:jc w:val="center"/>
              <w:rPr>
                <w:rFonts w:hint="eastAsia" w:ascii="宋体" w:hAnsi="宋体"/>
                <w:szCs w:val="21"/>
              </w:rPr>
            </w:pPr>
            <w:r>
              <w:rPr>
                <w:rFonts w:hint="eastAsia" w:ascii="宋体" w:hAnsi="宋体"/>
                <w:szCs w:val="21"/>
              </w:rPr>
              <w:t>一标段清单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520"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序号</w:t>
            </w:r>
          </w:p>
        </w:tc>
        <w:tc>
          <w:tcPr>
            <w:tcW w:w="83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货物名称</w:t>
            </w:r>
          </w:p>
        </w:tc>
        <w:tc>
          <w:tcPr>
            <w:tcW w:w="930"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品牌</w:t>
            </w:r>
          </w:p>
        </w:tc>
        <w:tc>
          <w:tcPr>
            <w:tcW w:w="1218"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型号规格</w:t>
            </w:r>
          </w:p>
        </w:tc>
        <w:tc>
          <w:tcPr>
            <w:tcW w:w="2877"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技术参数</w:t>
            </w:r>
          </w:p>
        </w:tc>
        <w:tc>
          <w:tcPr>
            <w:tcW w:w="732"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单位</w:t>
            </w:r>
          </w:p>
        </w:tc>
        <w:tc>
          <w:tcPr>
            <w:tcW w:w="662"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数量</w:t>
            </w:r>
          </w:p>
        </w:tc>
        <w:tc>
          <w:tcPr>
            <w:tcW w:w="679" w:type="dxa"/>
            <w:vAlign w:val="center"/>
          </w:tcPr>
          <w:p>
            <w:pPr>
              <w:adjustRightInd w:val="0"/>
              <w:snapToGrid w:val="0"/>
              <w:spacing w:line="360" w:lineRule="auto"/>
              <w:jc w:val="center"/>
              <w:rPr>
                <w:rFonts w:hint="eastAsia" w:ascii="宋体" w:hAnsi="宋体" w:eastAsia="宋体"/>
                <w:sz w:val="15"/>
                <w:szCs w:val="15"/>
                <w:lang w:val="en-US" w:eastAsia="zh-CN"/>
              </w:rPr>
            </w:pPr>
            <w:r>
              <w:rPr>
                <w:rFonts w:hint="eastAsia" w:ascii="宋体" w:hAnsi="宋体"/>
                <w:sz w:val="15"/>
                <w:szCs w:val="15"/>
              </w:rPr>
              <w:t>单价</w:t>
            </w:r>
            <w:r>
              <w:rPr>
                <w:rFonts w:hint="eastAsia" w:ascii="宋体" w:hAnsi="宋体"/>
                <w:sz w:val="15"/>
                <w:szCs w:val="15"/>
                <w:lang w:val="en-US" w:eastAsia="zh-CN"/>
              </w:rPr>
              <w:t>(元）</w:t>
            </w:r>
          </w:p>
        </w:tc>
        <w:tc>
          <w:tcPr>
            <w:tcW w:w="980" w:type="dxa"/>
            <w:vAlign w:val="center"/>
          </w:tcPr>
          <w:p>
            <w:pPr>
              <w:adjustRightInd w:val="0"/>
              <w:snapToGrid w:val="0"/>
              <w:spacing w:line="360" w:lineRule="auto"/>
              <w:jc w:val="center"/>
              <w:rPr>
                <w:rFonts w:hint="eastAsia" w:ascii="宋体" w:hAnsi="宋体"/>
                <w:sz w:val="15"/>
                <w:szCs w:val="15"/>
              </w:rPr>
            </w:pPr>
            <w:r>
              <w:rPr>
                <w:rFonts w:hint="eastAsia" w:ascii="宋体" w:hAnsi="宋体"/>
                <w:sz w:val="15"/>
                <w:szCs w:val="15"/>
              </w:rPr>
              <w:t>小计</w:t>
            </w:r>
          </w:p>
          <w:p>
            <w:pPr>
              <w:adjustRightInd w:val="0"/>
              <w:snapToGrid w:val="0"/>
              <w:spacing w:line="360" w:lineRule="auto"/>
              <w:jc w:val="center"/>
              <w:rPr>
                <w:rFonts w:hint="eastAsia" w:ascii="宋体" w:hAnsi="宋体" w:eastAsia="宋体"/>
                <w:sz w:val="15"/>
                <w:szCs w:val="15"/>
                <w:lang w:eastAsia="zh-CN"/>
              </w:rPr>
            </w:pPr>
            <w:r>
              <w:rPr>
                <w:rFonts w:hint="eastAsia" w:ascii="宋体" w:hAnsi="宋体"/>
                <w:sz w:val="15"/>
                <w:szCs w:val="15"/>
                <w:lang w:eastAsia="zh-CN"/>
              </w:rPr>
              <w:t>（元）</w:t>
            </w:r>
          </w:p>
        </w:tc>
        <w:tc>
          <w:tcPr>
            <w:tcW w:w="864" w:type="dxa"/>
            <w:vAlign w:val="center"/>
          </w:tcPr>
          <w:p>
            <w:pPr>
              <w:adjustRightInd w:val="0"/>
              <w:snapToGrid w:val="0"/>
              <w:spacing w:line="360" w:lineRule="auto"/>
              <w:jc w:val="center"/>
              <w:rPr>
                <w:rFonts w:hint="eastAsia" w:ascii="宋体" w:hAnsi="宋体" w:eastAsia="宋体"/>
                <w:sz w:val="15"/>
                <w:szCs w:val="15"/>
                <w:lang w:eastAsia="zh-CN"/>
              </w:rPr>
            </w:pPr>
            <w:r>
              <w:rPr>
                <w:rFonts w:hint="eastAsia" w:ascii="宋体" w:hAnsi="宋体"/>
                <w:sz w:val="15"/>
                <w:szCs w:val="15"/>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trPr>
        <w:tc>
          <w:tcPr>
            <w:tcW w:w="520"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1</w:t>
            </w:r>
          </w:p>
        </w:tc>
        <w:tc>
          <w:tcPr>
            <w:tcW w:w="83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*光模块</w:t>
            </w:r>
          </w:p>
        </w:tc>
        <w:tc>
          <w:tcPr>
            <w:tcW w:w="930" w:type="dxa"/>
            <w:vAlign w:val="center"/>
          </w:tcPr>
          <w:p>
            <w:pPr>
              <w:adjustRightInd w:val="0"/>
              <w:snapToGrid w:val="0"/>
              <w:spacing w:line="360" w:lineRule="auto"/>
              <w:jc w:val="center"/>
              <w:rPr>
                <w:rFonts w:ascii="宋体" w:hAnsi="宋体"/>
                <w:sz w:val="15"/>
                <w:szCs w:val="15"/>
              </w:rPr>
            </w:pPr>
          </w:p>
        </w:tc>
        <w:tc>
          <w:tcPr>
            <w:tcW w:w="1218" w:type="dxa"/>
            <w:vAlign w:val="center"/>
          </w:tcPr>
          <w:p>
            <w:pPr>
              <w:adjustRightInd w:val="0"/>
              <w:snapToGrid w:val="0"/>
              <w:spacing w:line="360" w:lineRule="auto"/>
              <w:jc w:val="center"/>
              <w:rPr>
                <w:rFonts w:ascii="宋体" w:hAnsi="宋体"/>
                <w:sz w:val="15"/>
                <w:szCs w:val="15"/>
                <w:highlight w:val="none"/>
              </w:rPr>
            </w:pPr>
            <w:r>
              <w:rPr>
                <w:rFonts w:hint="eastAsia" w:ascii="宋体" w:hAnsi="宋体"/>
                <w:sz w:val="15"/>
                <w:szCs w:val="15"/>
              </w:rPr>
              <w:t>eSFP-FE-LX-SM1310</w:t>
            </w:r>
          </w:p>
        </w:tc>
        <w:tc>
          <w:tcPr>
            <w:tcW w:w="2877" w:type="dxa"/>
            <w:vAlign w:val="center"/>
          </w:tcPr>
          <w:p>
            <w:pPr>
              <w:adjustRightInd w:val="0"/>
              <w:snapToGrid w:val="0"/>
              <w:spacing w:line="360" w:lineRule="auto"/>
              <w:jc w:val="center"/>
              <w:rPr>
                <w:rFonts w:hint="eastAsia" w:ascii="宋体" w:hAnsi="宋体" w:eastAsia="宋体"/>
                <w:sz w:val="15"/>
                <w:szCs w:val="15"/>
                <w:lang w:eastAsia="zh-CN"/>
              </w:rPr>
            </w:pPr>
            <w:r>
              <w:rPr>
                <w:rFonts w:hint="eastAsia" w:ascii="宋体" w:hAnsi="宋体"/>
                <w:sz w:val="15"/>
                <w:szCs w:val="15"/>
              </w:rPr>
              <w:t>光模块-eSFP-100M/155M-单模模块（1310nm，15km，LC）</w:t>
            </w:r>
            <w:r>
              <w:rPr>
                <w:rFonts w:hint="eastAsia" w:ascii="宋体" w:hAnsi="宋体"/>
                <w:sz w:val="15"/>
                <w:szCs w:val="15"/>
                <w:lang w:eastAsia="zh-CN"/>
              </w:rPr>
              <w:t>。</w:t>
            </w:r>
          </w:p>
        </w:tc>
        <w:tc>
          <w:tcPr>
            <w:tcW w:w="732"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块</w:t>
            </w:r>
          </w:p>
        </w:tc>
        <w:tc>
          <w:tcPr>
            <w:tcW w:w="662"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2</w:t>
            </w:r>
          </w:p>
        </w:tc>
        <w:tc>
          <w:tcPr>
            <w:tcW w:w="679" w:type="dxa"/>
          </w:tcPr>
          <w:p>
            <w:pPr>
              <w:adjustRightInd w:val="0"/>
              <w:snapToGrid w:val="0"/>
              <w:spacing w:line="360" w:lineRule="auto"/>
              <w:jc w:val="center"/>
              <w:rPr>
                <w:rFonts w:ascii="宋体" w:hAnsi="宋体"/>
                <w:sz w:val="15"/>
                <w:szCs w:val="15"/>
              </w:rPr>
            </w:pPr>
          </w:p>
        </w:tc>
        <w:tc>
          <w:tcPr>
            <w:tcW w:w="980" w:type="dxa"/>
          </w:tcPr>
          <w:p>
            <w:pPr>
              <w:adjustRightInd w:val="0"/>
              <w:snapToGrid w:val="0"/>
              <w:spacing w:line="360" w:lineRule="auto"/>
              <w:jc w:val="center"/>
              <w:rPr>
                <w:rFonts w:ascii="宋体" w:hAnsi="宋体"/>
                <w:sz w:val="15"/>
                <w:szCs w:val="15"/>
              </w:rPr>
            </w:pPr>
          </w:p>
        </w:tc>
        <w:tc>
          <w:tcPr>
            <w:tcW w:w="864" w:type="dxa"/>
          </w:tcPr>
          <w:p>
            <w:pPr>
              <w:adjustRightInd w:val="0"/>
              <w:snapToGrid w:val="0"/>
              <w:spacing w:line="360" w:lineRule="auto"/>
              <w:jc w:val="center"/>
              <w:rPr>
                <w:rFonts w:ascii="宋体" w:hAnsi="宋体"/>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8" w:hRule="atLeast"/>
        </w:trPr>
        <w:tc>
          <w:tcPr>
            <w:tcW w:w="520"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2</w:t>
            </w:r>
          </w:p>
        </w:tc>
        <w:tc>
          <w:tcPr>
            <w:tcW w:w="834" w:type="dxa"/>
            <w:vAlign w:val="center"/>
          </w:tcPr>
          <w:p>
            <w:pPr>
              <w:spacing w:line="260" w:lineRule="exact"/>
              <w:jc w:val="center"/>
              <w:rPr>
                <w:rFonts w:ascii="宋体" w:hAnsi="宋体"/>
                <w:color w:val="000000"/>
                <w:sz w:val="15"/>
                <w:szCs w:val="15"/>
              </w:rPr>
            </w:pPr>
            <w:r>
              <w:rPr>
                <w:rFonts w:hint="eastAsia" w:ascii="宋体" w:hAnsi="宋体"/>
                <w:color w:val="000000"/>
                <w:sz w:val="15"/>
                <w:szCs w:val="15"/>
              </w:rPr>
              <w:t>摄像机专用</w:t>
            </w:r>
          </w:p>
          <w:p>
            <w:pPr>
              <w:adjustRightInd w:val="0"/>
              <w:snapToGrid w:val="0"/>
              <w:spacing w:line="360" w:lineRule="auto"/>
              <w:jc w:val="center"/>
              <w:rPr>
                <w:rFonts w:ascii="宋体" w:hAnsi="宋体"/>
                <w:sz w:val="15"/>
                <w:szCs w:val="15"/>
              </w:rPr>
            </w:pPr>
            <w:r>
              <w:rPr>
                <w:rFonts w:hint="eastAsia" w:ascii="宋体" w:hAnsi="宋体"/>
                <w:color w:val="000000"/>
                <w:sz w:val="15"/>
                <w:szCs w:val="15"/>
              </w:rPr>
              <w:t>二级吊杆</w:t>
            </w:r>
          </w:p>
        </w:tc>
        <w:tc>
          <w:tcPr>
            <w:tcW w:w="930" w:type="dxa"/>
            <w:vAlign w:val="center"/>
          </w:tcPr>
          <w:p>
            <w:pPr>
              <w:adjustRightInd w:val="0"/>
              <w:snapToGrid w:val="0"/>
              <w:spacing w:line="360" w:lineRule="auto"/>
              <w:jc w:val="center"/>
              <w:rPr>
                <w:rFonts w:ascii="宋体" w:hAnsi="宋体"/>
                <w:sz w:val="15"/>
                <w:szCs w:val="15"/>
              </w:rPr>
            </w:pPr>
          </w:p>
        </w:tc>
        <w:tc>
          <w:tcPr>
            <w:tcW w:w="1218" w:type="dxa"/>
            <w:vAlign w:val="center"/>
          </w:tcPr>
          <w:p>
            <w:pPr>
              <w:adjustRightInd w:val="0"/>
              <w:snapToGrid w:val="0"/>
              <w:spacing w:line="360" w:lineRule="auto"/>
              <w:jc w:val="center"/>
              <w:rPr>
                <w:rFonts w:ascii="宋体" w:hAnsi="宋体"/>
                <w:sz w:val="15"/>
                <w:szCs w:val="15"/>
                <w:highlight w:val="none"/>
              </w:rPr>
            </w:pPr>
            <w:r>
              <w:rPr>
                <w:rFonts w:hint="eastAsia" w:ascii="宋体" w:hAnsi="宋体"/>
                <w:sz w:val="15"/>
                <w:szCs w:val="15"/>
              </w:rPr>
              <w:t>现场定制</w:t>
            </w:r>
          </w:p>
        </w:tc>
        <w:tc>
          <w:tcPr>
            <w:tcW w:w="2877"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lang w:eastAsia="zh-CN"/>
              </w:rPr>
              <w:t>现场定制，</w:t>
            </w:r>
            <w:r>
              <w:rPr>
                <w:rFonts w:hint="eastAsia" w:ascii="宋体" w:hAnsi="宋体"/>
                <w:sz w:val="15"/>
                <w:szCs w:val="15"/>
              </w:rPr>
              <w:t>长50mm-3000mm</w:t>
            </w:r>
          </w:p>
        </w:tc>
        <w:tc>
          <w:tcPr>
            <w:tcW w:w="732"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根</w:t>
            </w:r>
          </w:p>
        </w:tc>
        <w:tc>
          <w:tcPr>
            <w:tcW w:w="662"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19</w:t>
            </w:r>
          </w:p>
        </w:tc>
        <w:tc>
          <w:tcPr>
            <w:tcW w:w="679" w:type="dxa"/>
          </w:tcPr>
          <w:p>
            <w:pPr>
              <w:adjustRightInd w:val="0"/>
              <w:snapToGrid w:val="0"/>
              <w:spacing w:line="360" w:lineRule="auto"/>
              <w:jc w:val="center"/>
              <w:rPr>
                <w:rFonts w:ascii="宋体" w:hAnsi="宋体"/>
                <w:sz w:val="15"/>
                <w:szCs w:val="15"/>
              </w:rPr>
            </w:pPr>
          </w:p>
        </w:tc>
        <w:tc>
          <w:tcPr>
            <w:tcW w:w="980" w:type="dxa"/>
          </w:tcPr>
          <w:p>
            <w:pPr>
              <w:adjustRightInd w:val="0"/>
              <w:snapToGrid w:val="0"/>
              <w:spacing w:line="360" w:lineRule="auto"/>
              <w:jc w:val="center"/>
              <w:rPr>
                <w:rFonts w:ascii="宋体" w:hAnsi="宋体"/>
                <w:sz w:val="15"/>
                <w:szCs w:val="15"/>
              </w:rPr>
            </w:pPr>
          </w:p>
        </w:tc>
        <w:tc>
          <w:tcPr>
            <w:tcW w:w="86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含设备箱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520"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3</w:t>
            </w:r>
          </w:p>
        </w:tc>
        <w:tc>
          <w:tcPr>
            <w:tcW w:w="83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w:t>
            </w:r>
            <w:r>
              <w:rPr>
                <w:rFonts w:hint="eastAsia" w:ascii="宋体" w:hAnsi="宋体"/>
                <w:color w:val="000000"/>
                <w:sz w:val="15"/>
                <w:szCs w:val="15"/>
              </w:rPr>
              <w:t>硬盘</w:t>
            </w:r>
          </w:p>
        </w:tc>
        <w:tc>
          <w:tcPr>
            <w:tcW w:w="930" w:type="dxa"/>
            <w:vAlign w:val="center"/>
          </w:tcPr>
          <w:p>
            <w:pPr>
              <w:adjustRightInd w:val="0"/>
              <w:snapToGrid w:val="0"/>
              <w:spacing w:line="360" w:lineRule="auto"/>
              <w:jc w:val="center"/>
              <w:rPr>
                <w:rFonts w:ascii="宋体" w:hAnsi="宋体"/>
                <w:sz w:val="15"/>
                <w:szCs w:val="15"/>
              </w:rPr>
            </w:pPr>
          </w:p>
        </w:tc>
        <w:tc>
          <w:tcPr>
            <w:tcW w:w="1218" w:type="dxa"/>
            <w:vAlign w:val="center"/>
          </w:tcPr>
          <w:p>
            <w:pPr>
              <w:adjustRightInd w:val="0"/>
              <w:snapToGrid w:val="0"/>
              <w:spacing w:line="360" w:lineRule="auto"/>
              <w:jc w:val="center"/>
              <w:rPr>
                <w:rFonts w:ascii="宋体" w:hAnsi="宋体"/>
                <w:sz w:val="15"/>
                <w:szCs w:val="15"/>
                <w:highlight w:val="none"/>
              </w:rPr>
            </w:pPr>
            <w:r>
              <w:rPr>
                <w:rFonts w:hint="eastAsia" w:ascii="宋体" w:hAnsi="宋体"/>
                <w:sz w:val="15"/>
                <w:szCs w:val="15"/>
              </w:rPr>
              <w:t>4T，适配华为VCN3000存储服务器</w:t>
            </w:r>
          </w:p>
        </w:tc>
        <w:tc>
          <w:tcPr>
            <w:tcW w:w="2877" w:type="dxa"/>
            <w:vAlign w:val="center"/>
          </w:tcPr>
          <w:p>
            <w:pPr>
              <w:adjustRightInd w:val="0"/>
              <w:snapToGrid w:val="0"/>
              <w:spacing w:line="360" w:lineRule="auto"/>
              <w:jc w:val="center"/>
              <w:rPr>
                <w:rFonts w:hint="eastAsia" w:ascii="宋体" w:hAnsi="宋体" w:eastAsia="宋体"/>
                <w:sz w:val="15"/>
                <w:szCs w:val="15"/>
                <w:lang w:eastAsia="zh-CN"/>
              </w:rPr>
            </w:pPr>
            <w:r>
              <w:rPr>
                <w:rFonts w:hint="eastAsia" w:ascii="宋体" w:hAnsi="宋体"/>
                <w:sz w:val="15"/>
                <w:szCs w:val="15"/>
              </w:rPr>
              <w:t>4T，适配华为VCN3000存储服务器</w:t>
            </w:r>
            <w:r>
              <w:rPr>
                <w:rFonts w:hint="eastAsia" w:ascii="宋体" w:hAnsi="宋体"/>
                <w:sz w:val="15"/>
                <w:szCs w:val="15"/>
                <w:lang w:eastAsia="zh-CN"/>
              </w:rPr>
              <w:t>。</w:t>
            </w:r>
          </w:p>
        </w:tc>
        <w:tc>
          <w:tcPr>
            <w:tcW w:w="732"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块</w:t>
            </w:r>
          </w:p>
        </w:tc>
        <w:tc>
          <w:tcPr>
            <w:tcW w:w="662"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10</w:t>
            </w:r>
          </w:p>
        </w:tc>
        <w:tc>
          <w:tcPr>
            <w:tcW w:w="679" w:type="dxa"/>
          </w:tcPr>
          <w:p>
            <w:pPr>
              <w:adjustRightInd w:val="0"/>
              <w:snapToGrid w:val="0"/>
              <w:spacing w:line="360" w:lineRule="auto"/>
              <w:jc w:val="center"/>
              <w:rPr>
                <w:rFonts w:ascii="宋体" w:hAnsi="宋体"/>
                <w:sz w:val="15"/>
                <w:szCs w:val="15"/>
              </w:rPr>
            </w:pPr>
          </w:p>
        </w:tc>
        <w:tc>
          <w:tcPr>
            <w:tcW w:w="980" w:type="dxa"/>
          </w:tcPr>
          <w:p>
            <w:pPr>
              <w:adjustRightInd w:val="0"/>
              <w:snapToGrid w:val="0"/>
              <w:spacing w:line="360" w:lineRule="auto"/>
              <w:jc w:val="center"/>
              <w:rPr>
                <w:rFonts w:ascii="宋体" w:hAnsi="宋体"/>
                <w:sz w:val="15"/>
                <w:szCs w:val="15"/>
              </w:rPr>
            </w:pPr>
          </w:p>
        </w:tc>
        <w:tc>
          <w:tcPr>
            <w:tcW w:w="864" w:type="dxa"/>
          </w:tcPr>
          <w:p>
            <w:pPr>
              <w:adjustRightInd w:val="0"/>
              <w:snapToGrid w:val="0"/>
              <w:spacing w:line="360" w:lineRule="auto"/>
              <w:jc w:val="center"/>
              <w:rPr>
                <w:rFonts w:ascii="宋体" w:hAnsi="宋体"/>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6" w:hRule="atLeast"/>
        </w:trPr>
        <w:tc>
          <w:tcPr>
            <w:tcW w:w="520"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4</w:t>
            </w:r>
          </w:p>
        </w:tc>
        <w:tc>
          <w:tcPr>
            <w:tcW w:w="83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w:t>
            </w:r>
            <w:r>
              <w:rPr>
                <w:rFonts w:hint="eastAsia" w:ascii="宋体" w:hAnsi="宋体"/>
                <w:color w:val="000000"/>
                <w:sz w:val="15"/>
                <w:szCs w:val="15"/>
              </w:rPr>
              <w:t>熔纤盘</w:t>
            </w:r>
          </w:p>
        </w:tc>
        <w:tc>
          <w:tcPr>
            <w:tcW w:w="930" w:type="dxa"/>
            <w:vAlign w:val="center"/>
          </w:tcPr>
          <w:p>
            <w:pPr>
              <w:adjustRightInd w:val="0"/>
              <w:snapToGrid w:val="0"/>
              <w:spacing w:line="360" w:lineRule="auto"/>
              <w:jc w:val="center"/>
              <w:rPr>
                <w:rFonts w:ascii="宋体" w:hAnsi="宋体"/>
                <w:sz w:val="15"/>
                <w:szCs w:val="15"/>
              </w:rPr>
            </w:pPr>
          </w:p>
        </w:tc>
        <w:tc>
          <w:tcPr>
            <w:tcW w:w="1218" w:type="dxa"/>
          </w:tcPr>
          <w:p>
            <w:pPr>
              <w:adjustRightInd w:val="0"/>
              <w:snapToGrid w:val="0"/>
              <w:spacing w:line="360" w:lineRule="auto"/>
              <w:jc w:val="center"/>
              <w:rPr>
                <w:rFonts w:ascii="宋体" w:hAnsi="宋体"/>
                <w:sz w:val="15"/>
                <w:szCs w:val="15"/>
                <w:highlight w:val="none"/>
              </w:rPr>
            </w:pPr>
            <w:r>
              <w:rPr>
                <w:rFonts w:hint="eastAsia" w:ascii="宋体" w:hAnsi="宋体"/>
                <w:sz w:val="15"/>
                <w:szCs w:val="15"/>
              </w:rPr>
              <w:t>8口</w:t>
            </w:r>
          </w:p>
        </w:tc>
        <w:tc>
          <w:tcPr>
            <w:tcW w:w="2877"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8口</w:t>
            </w:r>
          </w:p>
        </w:tc>
        <w:tc>
          <w:tcPr>
            <w:tcW w:w="732"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个</w:t>
            </w:r>
          </w:p>
        </w:tc>
        <w:tc>
          <w:tcPr>
            <w:tcW w:w="662"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2</w:t>
            </w:r>
          </w:p>
        </w:tc>
        <w:tc>
          <w:tcPr>
            <w:tcW w:w="679" w:type="dxa"/>
          </w:tcPr>
          <w:p>
            <w:pPr>
              <w:adjustRightInd w:val="0"/>
              <w:snapToGrid w:val="0"/>
              <w:spacing w:line="360" w:lineRule="auto"/>
              <w:jc w:val="center"/>
              <w:rPr>
                <w:rFonts w:ascii="宋体" w:hAnsi="宋体"/>
                <w:sz w:val="15"/>
                <w:szCs w:val="15"/>
              </w:rPr>
            </w:pPr>
          </w:p>
        </w:tc>
        <w:tc>
          <w:tcPr>
            <w:tcW w:w="980" w:type="dxa"/>
          </w:tcPr>
          <w:p>
            <w:pPr>
              <w:adjustRightInd w:val="0"/>
              <w:snapToGrid w:val="0"/>
              <w:spacing w:line="360" w:lineRule="auto"/>
              <w:jc w:val="center"/>
              <w:rPr>
                <w:rFonts w:ascii="宋体" w:hAnsi="宋体"/>
                <w:sz w:val="15"/>
                <w:szCs w:val="15"/>
              </w:rPr>
            </w:pPr>
          </w:p>
        </w:tc>
        <w:tc>
          <w:tcPr>
            <w:tcW w:w="864" w:type="dxa"/>
          </w:tcPr>
          <w:p>
            <w:pPr>
              <w:adjustRightInd w:val="0"/>
              <w:snapToGrid w:val="0"/>
              <w:spacing w:line="360" w:lineRule="auto"/>
              <w:jc w:val="center"/>
              <w:rPr>
                <w:rFonts w:ascii="宋体" w:hAnsi="宋体"/>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20"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5</w:t>
            </w:r>
          </w:p>
        </w:tc>
        <w:tc>
          <w:tcPr>
            <w:tcW w:w="83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w:t>
            </w:r>
            <w:r>
              <w:rPr>
                <w:rFonts w:hint="eastAsia" w:ascii="宋体" w:hAnsi="宋体"/>
                <w:color w:val="000000"/>
                <w:sz w:val="15"/>
                <w:szCs w:val="15"/>
              </w:rPr>
              <w:t>电线RVV</w:t>
            </w:r>
          </w:p>
        </w:tc>
        <w:tc>
          <w:tcPr>
            <w:tcW w:w="930" w:type="dxa"/>
            <w:vAlign w:val="center"/>
          </w:tcPr>
          <w:p>
            <w:pPr>
              <w:adjustRightInd w:val="0"/>
              <w:snapToGrid w:val="0"/>
              <w:spacing w:line="360" w:lineRule="auto"/>
              <w:jc w:val="center"/>
              <w:rPr>
                <w:rFonts w:ascii="宋体" w:hAnsi="宋体"/>
                <w:sz w:val="15"/>
                <w:szCs w:val="15"/>
              </w:rPr>
            </w:pPr>
          </w:p>
        </w:tc>
        <w:tc>
          <w:tcPr>
            <w:tcW w:w="1218" w:type="dxa"/>
            <w:vAlign w:val="center"/>
          </w:tcPr>
          <w:p>
            <w:pPr>
              <w:adjustRightInd w:val="0"/>
              <w:snapToGrid w:val="0"/>
              <w:spacing w:line="360" w:lineRule="auto"/>
              <w:jc w:val="center"/>
              <w:rPr>
                <w:rFonts w:ascii="宋体" w:hAnsi="宋体"/>
                <w:sz w:val="15"/>
                <w:szCs w:val="15"/>
                <w:highlight w:val="none"/>
              </w:rPr>
            </w:pPr>
            <w:r>
              <w:rPr>
                <w:rFonts w:hint="eastAsia" w:ascii="宋体" w:hAnsi="宋体"/>
                <w:color w:val="000000"/>
                <w:sz w:val="15"/>
                <w:szCs w:val="15"/>
                <w:highlight w:val="none"/>
              </w:rPr>
              <w:t>3*2.5mm²</w:t>
            </w:r>
          </w:p>
        </w:tc>
        <w:tc>
          <w:tcPr>
            <w:tcW w:w="2877" w:type="dxa"/>
            <w:vAlign w:val="center"/>
          </w:tcPr>
          <w:p>
            <w:pPr>
              <w:adjustRightInd w:val="0"/>
              <w:snapToGrid w:val="0"/>
              <w:spacing w:line="360" w:lineRule="auto"/>
              <w:jc w:val="center"/>
              <w:rPr>
                <w:rFonts w:hint="eastAsia" w:ascii="宋体" w:hAnsi="宋体" w:eastAsia="宋体"/>
                <w:sz w:val="15"/>
                <w:szCs w:val="15"/>
                <w:lang w:val="en-US" w:eastAsia="zh-CN"/>
              </w:rPr>
            </w:pPr>
            <w:r>
              <w:rPr>
                <w:rFonts w:hint="eastAsia" w:ascii="宋体" w:hAnsi="宋体"/>
                <w:sz w:val="15"/>
                <w:szCs w:val="15"/>
              </w:rPr>
              <w:t>3*2.5mm²，工艺：铜芯导体，材质：聚氯乙烯绝缘聚氯乙烯护套，类型：圆形电缆</w:t>
            </w:r>
            <w:r>
              <w:rPr>
                <w:rFonts w:hint="eastAsia" w:ascii="宋体" w:hAnsi="宋体"/>
                <w:sz w:val="15"/>
                <w:szCs w:val="15"/>
                <w:lang w:eastAsia="zh-CN"/>
              </w:rPr>
              <w:t>。</w:t>
            </w:r>
          </w:p>
        </w:tc>
        <w:tc>
          <w:tcPr>
            <w:tcW w:w="732"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米</w:t>
            </w:r>
          </w:p>
        </w:tc>
        <w:tc>
          <w:tcPr>
            <w:tcW w:w="662"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2400</w:t>
            </w:r>
          </w:p>
        </w:tc>
        <w:tc>
          <w:tcPr>
            <w:tcW w:w="679" w:type="dxa"/>
          </w:tcPr>
          <w:p>
            <w:pPr>
              <w:adjustRightInd w:val="0"/>
              <w:snapToGrid w:val="0"/>
              <w:spacing w:line="360" w:lineRule="auto"/>
              <w:jc w:val="center"/>
              <w:rPr>
                <w:rFonts w:ascii="宋体" w:hAnsi="宋体"/>
                <w:sz w:val="15"/>
                <w:szCs w:val="15"/>
              </w:rPr>
            </w:pPr>
          </w:p>
        </w:tc>
        <w:tc>
          <w:tcPr>
            <w:tcW w:w="980" w:type="dxa"/>
          </w:tcPr>
          <w:p>
            <w:pPr>
              <w:adjustRightInd w:val="0"/>
              <w:snapToGrid w:val="0"/>
              <w:spacing w:line="360" w:lineRule="auto"/>
              <w:jc w:val="center"/>
              <w:rPr>
                <w:rFonts w:ascii="宋体" w:hAnsi="宋体"/>
                <w:sz w:val="15"/>
                <w:szCs w:val="15"/>
              </w:rPr>
            </w:pPr>
          </w:p>
        </w:tc>
        <w:tc>
          <w:tcPr>
            <w:tcW w:w="864" w:type="dxa"/>
          </w:tcPr>
          <w:p>
            <w:pPr>
              <w:adjustRightInd w:val="0"/>
              <w:snapToGrid w:val="0"/>
              <w:spacing w:line="360" w:lineRule="auto"/>
              <w:jc w:val="center"/>
              <w:rPr>
                <w:rFonts w:ascii="宋体" w:hAnsi="宋体"/>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0" w:hRule="atLeast"/>
        </w:trPr>
        <w:tc>
          <w:tcPr>
            <w:tcW w:w="520"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6</w:t>
            </w:r>
          </w:p>
        </w:tc>
        <w:tc>
          <w:tcPr>
            <w:tcW w:w="83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w:t>
            </w:r>
            <w:r>
              <w:rPr>
                <w:rFonts w:hint="eastAsia" w:ascii="宋体" w:hAnsi="宋体"/>
                <w:color w:val="000000"/>
                <w:sz w:val="15"/>
                <w:szCs w:val="15"/>
              </w:rPr>
              <w:t>波纹管</w:t>
            </w:r>
          </w:p>
        </w:tc>
        <w:tc>
          <w:tcPr>
            <w:tcW w:w="930" w:type="dxa"/>
            <w:vAlign w:val="center"/>
          </w:tcPr>
          <w:p>
            <w:pPr>
              <w:adjustRightInd w:val="0"/>
              <w:snapToGrid w:val="0"/>
              <w:spacing w:line="360" w:lineRule="auto"/>
              <w:jc w:val="center"/>
              <w:rPr>
                <w:rFonts w:ascii="宋体" w:hAnsi="宋体"/>
                <w:sz w:val="15"/>
                <w:szCs w:val="15"/>
              </w:rPr>
            </w:pPr>
          </w:p>
        </w:tc>
        <w:tc>
          <w:tcPr>
            <w:tcW w:w="1218" w:type="dxa"/>
            <w:vAlign w:val="center"/>
          </w:tcPr>
          <w:p>
            <w:pPr>
              <w:adjustRightInd w:val="0"/>
              <w:snapToGrid w:val="0"/>
              <w:spacing w:line="360" w:lineRule="auto"/>
              <w:jc w:val="center"/>
              <w:rPr>
                <w:rFonts w:ascii="宋体" w:hAnsi="宋体"/>
                <w:sz w:val="15"/>
                <w:szCs w:val="15"/>
                <w:highlight w:val="none"/>
              </w:rPr>
            </w:pPr>
            <w:r>
              <w:rPr>
                <w:rFonts w:hint="eastAsia" w:ascii="宋体" w:hAnsi="宋体"/>
                <w:color w:val="000000"/>
                <w:sz w:val="15"/>
                <w:szCs w:val="15"/>
                <w:highlight w:val="none"/>
              </w:rPr>
              <w:t>Φ32mm</w:t>
            </w:r>
          </w:p>
        </w:tc>
        <w:tc>
          <w:tcPr>
            <w:tcW w:w="2877" w:type="dxa"/>
            <w:vAlign w:val="center"/>
          </w:tcPr>
          <w:p>
            <w:pPr>
              <w:adjustRightInd w:val="0"/>
              <w:snapToGrid w:val="0"/>
              <w:spacing w:line="360" w:lineRule="auto"/>
              <w:jc w:val="center"/>
              <w:rPr>
                <w:rFonts w:hint="eastAsia" w:ascii="宋体" w:hAnsi="宋体" w:eastAsia="宋体"/>
                <w:sz w:val="15"/>
                <w:szCs w:val="15"/>
                <w:lang w:eastAsia="zh-CN"/>
              </w:rPr>
            </w:pPr>
            <w:r>
              <w:rPr>
                <w:rFonts w:hint="eastAsia" w:ascii="宋体" w:hAnsi="宋体"/>
                <w:sz w:val="15"/>
                <w:szCs w:val="15"/>
              </w:rPr>
              <w:t>Φ32mm</w:t>
            </w:r>
            <w:r>
              <w:rPr>
                <w:rFonts w:hint="eastAsia" w:ascii="宋体" w:hAnsi="宋体"/>
                <w:sz w:val="15"/>
                <w:szCs w:val="15"/>
                <w:lang w:eastAsia="zh-CN"/>
              </w:rPr>
              <w:t>，</w:t>
            </w:r>
            <w:r>
              <w:rPr>
                <w:rFonts w:hint="eastAsia" w:ascii="宋体" w:hAnsi="宋体"/>
                <w:sz w:val="15"/>
                <w:szCs w:val="15"/>
              </w:rPr>
              <w:t>难燃绝缘PVC波纹管</w:t>
            </w:r>
            <w:r>
              <w:rPr>
                <w:rFonts w:hint="eastAsia" w:ascii="宋体" w:hAnsi="宋体"/>
                <w:sz w:val="15"/>
                <w:szCs w:val="15"/>
                <w:lang w:eastAsia="zh-CN"/>
              </w:rPr>
              <w:t>。</w:t>
            </w:r>
          </w:p>
        </w:tc>
        <w:tc>
          <w:tcPr>
            <w:tcW w:w="732"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米</w:t>
            </w:r>
          </w:p>
        </w:tc>
        <w:tc>
          <w:tcPr>
            <w:tcW w:w="662"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600</w:t>
            </w:r>
          </w:p>
        </w:tc>
        <w:tc>
          <w:tcPr>
            <w:tcW w:w="679" w:type="dxa"/>
          </w:tcPr>
          <w:p>
            <w:pPr>
              <w:adjustRightInd w:val="0"/>
              <w:snapToGrid w:val="0"/>
              <w:spacing w:line="360" w:lineRule="auto"/>
              <w:jc w:val="center"/>
              <w:rPr>
                <w:rFonts w:ascii="宋体" w:hAnsi="宋体"/>
                <w:sz w:val="15"/>
                <w:szCs w:val="15"/>
              </w:rPr>
            </w:pPr>
          </w:p>
        </w:tc>
        <w:tc>
          <w:tcPr>
            <w:tcW w:w="980" w:type="dxa"/>
          </w:tcPr>
          <w:p>
            <w:pPr>
              <w:adjustRightInd w:val="0"/>
              <w:snapToGrid w:val="0"/>
              <w:spacing w:line="360" w:lineRule="auto"/>
              <w:jc w:val="center"/>
              <w:rPr>
                <w:rFonts w:ascii="宋体" w:hAnsi="宋体"/>
                <w:sz w:val="15"/>
                <w:szCs w:val="15"/>
              </w:rPr>
            </w:pPr>
          </w:p>
        </w:tc>
        <w:tc>
          <w:tcPr>
            <w:tcW w:w="864" w:type="dxa"/>
          </w:tcPr>
          <w:p>
            <w:pPr>
              <w:adjustRightInd w:val="0"/>
              <w:snapToGrid w:val="0"/>
              <w:spacing w:line="360" w:lineRule="auto"/>
              <w:jc w:val="center"/>
              <w:rPr>
                <w:rFonts w:ascii="宋体" w:hAnsi="宋体"/>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2" w:hRule="atLeast"/>
        </w:trPr>
        <w:tc>
          <w:tcPr>
            <w:tcW w:w="520"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7</w:t>
            </w:r>
          </w:p>
        </w:tc>
        <w:tc>
          <w:tcPr>
            <w:tcW w:w="83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w:t>
            </w:r>
            <w:r>
              <w:rPr>
                <w:rFonts w:hint="eastAsia" w:ascii="宋体" w:hAnsi="宋体"/>
                <w:color w:val="000000"/>
                <w:sz w:val="15"/>
                <w:szCs w:val="15"/>
              </w:rPr>
              <w:t>显示器</w:t>
            </w:r>
          </w:p>
        </w:tc>
        <w:tc>
          <w:tcPr>
            <w:tcW w:w="930" w:type="dxa"/>
            <w:vAlign w:val="center"/>
          </w:tcPr>
          <w:p>
            <w:pPr>
              <w:adjustRightInd w:val="0"/>
              <w:snapToGrid w:val="0"/>
              <w:spacing w:line="360" w:lineRule="auto"/>
              <w:jc w:val="center"/>
              <w:rPr>
                <w:rFonts w:ascii="宋体" w:hAnsi="宋体"/>
                <w:sz w:val="15"/>
                <w:szCs w:val="15"/>
              </w:rPr>
            </w:pPr>
          </w:p>
        </w:tc>
        <w:tc>
          <w:tcPr>
            <w:tcW w:w="1218" w:type="dxa"/>
          </w:tcPr>
          <w:p>
            <w:pPr>
              <w:adjustRightInd w:val="0"/>
              <w:snapToGrid w:val="0"/>
              <w:spacing w:line="360" w:lineRule="auto"/>
              <w:jc w:val="center"/>
              <w:rPr>
                <w:rFonts w:ascii="宋体" w:hAnsi="宋体"/>
                <w:sz w:val="15"/>
                <w:szCs w:val="15"/>
              </w:rPr>
            </w:pPr>
          </w:p>
        </w:tc>
        <w:tc>
          <w:tcPr>
            <w:tcW w:w="2877"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65寸显示屏，内存3GB，存储16GB，4K高清屏（刷新率不低于60），含壁挂架一套。</w:t>
            </w:r>
          </w:p>
        </w:tc>
        <w:tc>
          <w:tcPr>
            <w:tcW w:w="732"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台</w:t>
            </w:r>
          </w:p>
        </w:tc>
        <w:tc>
          <w:tcPr>
            <w:tcW w:w="662"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1</w:t>
            </w:r>
          </w:p>
        </w:tc>
        <w:tc>
          <w:tcPr>
            <w:tcW w:w="679" w:type="dxa"/>
          </w:tcPr>
          <w:p>
            <w:pPr>
              <w:adjustRightInd w:val="0"/>
              <w:snapToGrid w:val="0"/>
              <w:spacing w:line="360" w:lineRule="auto"/>
              <w:jc w:val="center"/>
              <w:rPr>
                <w:rFonts w:ascii="宋体" w:hAnsi="宋体"/>
                <w:sz w:val="15"/>
                <w:szCs w:val="15"/>
              </w:rPr>
            </w:pPr>
          </w:p>
        </w:tc>
        <w:tc>
          <w:tcPr>
            <w:tcW w:w="980" w:type="dxa"/>
          </w:tcPr>
          <w:p>
            <w:pPr>
              <w:adjustRightInd w:val="0"/>
              <w:snapToGrid w:val="0"/>
              <w:spacing w:line="360" w:lineRule="auto"/>
              <w:jc w:val="center"/>
              <w:rPr>
                <w:rFonts w:ascii="宋体" w:hAnsi="宋体"/>
                <w:sz w:val="15"/>
                <w:szCs w:val="15"/>
              </w:rPr>
            </w:pPr>
          </w:p>
        </w:tc>
        <w:tc>
          <w:tcPr>
            <w:tcW w:w="86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含安装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7" w:hRule="atLeast"/>
        </w:trPr>
        <w:tc>
          <w:tcPr>
            <w:tcW w:w="520"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8</w:t>
            </w:r>
          </w:p>
        </w:tc>
        <w:tc>
          <w:tcPr>
            <w:tcW w:w="834" w:type="dxa"/>
            <w:vAlign w:val="center"/>
          </w:tcPr>
          <w:p>
            <w:pPr>
              <w:spacing w:line="260" w:lineRule="exact"/>
              <w:jc w:val="center"/>
              <w:rPr>
                <w:rFonts w:ascii="宋体" w:hAnsi="宋体"/>
                <w:color w:val="000000"/>
                <w:sz w:val="15"/>
                <w:szCs w:val="15"/>
              </w:rPr>
            </w:pPr>
            <w:r>
              <w:rPr>
                <w:rFonts w:hint="eastAsia" w:ascii="宋体" w:hAnsi="宋体"/>
                <w:sz w:val="15"/>
                <w:szCs w:val="15"/>
              </w:rPr>
              <w:t>*</w:t>
            </w:r>
            <w:r>
              <w:rPr>
                <w:rFonts w:hint="eastAsia" w:ascii="宋体" w:hAnsi="宋体"/>
                <w:color w:val="000000"/>
                <w:sz w:val="15"/>
                <w:szCs w:val="15"/>
              </w:rPr>
              <w:t>视频智能</w:t>
            </w:r>
          </w:p>
          <w:p>
            <w:pPr>
              <w:adjustRightInd w:val="0"/>
              <w:snapToGrid w:val="0"/>
              <w:spacing w:line="360" w:lineRule="auto"/>
              <w:jc w:val="center"/>
              <w:rPr>
                <w:rFonts w:ascii="宋体" w:hAnsi="宋体"/>
                <w:sz w:val="15"/>
                <w:szCs w:val="15"/>
              </w:rPr>
            </w:pPr>
            <w:r>
              <w:rPr>
                <w:rFonts w:hint="eastAsia" w:ascii="宋体" w:hAnsi="宋体"/>
                <w:color w:val="000000"/>
                <w:sz w:val="15"/>
                <w:szCs w:val="15"/>
              </w:rPr>
              <w:t>分析仪</w:t>
            </w:r>
          </w:p>
        </w:tc>
        <w:tc>
          <w:tcPr>
            <w:tcW w:w="930" w:type="dxa"/>
            <w:vAlign w:val="center"/>
          </w:tcPr>
          <w:p>
            <w:pPr>
              <w:adjustRightInd w:val="0"/>
              <w:snapToGrid w:val="0"/>
              <w:spacing w:line="360" w:lineRule="auto"/>
              <w:jc w:val="center"/>
              <w:rPr>
                <w:rFonts w:ascii="宋体" w:hAnsi="宋体"/>
                <w:sz w:val="15"/>
                <w:szCs w:val="15"/>
              </w:rPr>
            </w:pPr>
          </w:p>
        </w:tc>
        <w:tc>
          <w:tcPr>
            <w:tcW w:w="1218" w:type="dxa"/>
          </w:tcPr>
          <w:p>
            <w:pPr>
              <w:adjustRightInd w:val="0"/>
              <w:snapToGrid w:val="0"/>
              <w:spacing w:line="360" w:lineRule="auto"/>
              <w:jc w:val="center"/>
              <w:rPr>
                <w:rFonts w:ascii="宋体" w:hAnsi="宋体"/>
                <w:sz w:val="15"/>
                <w:szCs w:val="15"/>
              </w:rPr>
            </w:pPr>
          </w:p>
        </w:tc>
        <w:tc>
          <w:tcPr>
            <w:tcW w:w="2877" w:type="dxa"/>
            <w:vAlign w:val="center"/>
          </w:tcPr>
          <w:p>
            <w:pPr>
              <w:adjustRightInd w:val="0"/>
              <w:snapToGrid w:val="0"/>
              <w:spacing w:line="360" w:lineRule="auto"/>
              <w:jc w:val="left"/>
              <w:rPr>
                <w:rFonts w:hint="eastAsia" w:ascii="宋体" w:hAnsi="宋体"/>
                <w:sz w:val="15"/>
                <w:szCs w:val="15"/>
              </w:rPr>
            </w:pPr>
            <w:r>
              <w:rPr>
                <w:rFonts w:hint="eastAsia" w:ascii="宋体" w:hAnsi="宋体"/>
                <w:sz w:val="15"/>
                <w:szCs w:val="15"/>
              </w:rPr>
              <w:t>1.设备高度≤1U；</w:t>
            </w:r>
          </w:p>
          <w:p>
            <w:pPr>
              <w:adjustRightInd w:val="0"/>
              <w:snapToGrid w:val="0"/>
              <w:spacing w:line="360" w:lineRule="auto"/>
              <w:jc w:val="left"/>
              <w:rPr>
                <w:rFonts w:hint="eastAsia" w:ascii="宋体" w:hAnsi="宋体"/>
                <w:sz w:val="15"/>
                <w:szCs w:val="15"/>
              </w:rPr>
            </w:pPr>
            <w:r>
              <w:rPr>
                <w:rFonts w:hint="eastAsia" w:ascii="宋体" w:hAnsi="宋体"/>
                <w:sz w:val="15"/>
                <w:szCs w:val="15"/>
              </w:rPr>
              <w:t>2.设备至少具备1个1000Mbps RJ45网络接口，报警输入接口4个，报警输出接口4个；</w:t>
            </w:r>
          </w:p>
          <w:p>
            <w:pPr>
              <w:adjustRightInd w:val="0"/>
              <w:snapToGrid w:val="0"/>
              <w:spacing w:line="360" w:lineRule="auto"/>
              <w:jc w:val="left"/>
              <w:rPr>
                <w:rFonts w:hint="eastAsia" w:ascii="宋体" w:hAnsi="宋体"/>
                <w:sz w:val="15"/>
                <w:szCs w:val="15"/>
              </w:rPr>
            </w:pPr>
            <w:r>
              <w:rPr>
                <w:rFonts w:hint="eastAsia" w:ascii="宋体" w:hAnsi="宋体"/>
                <w:sz w:val="15"/>
                <w:szCs w:val="15"/>
              </w:rPr>
              <w:t>3.设备具备电源/硬盘/运行3个状态指示灯；</w:t>
            </w:r>
          </w:p>
          <w:p>
            <w:pPr>
              <w:adjustRightInd w:val="0"/>
              <w:snapToGrid w:val="0"/>
              <w:spacing w:line="360" w:lineRule="auto"/>
              <w:jc w:val="left"/>
              <w:rPr>
                <w:rFonts w:hint="eastAsia" w:ascii="宋体" w:hAnsi="宋体"/>
                <w:sz w:val="15"/>
                <w:szCs w:val="15"/>
              </w:rPr>
            </w:pPr>
            <w:r>
              <w:rPr>
                <w:rFonts w:hint="eastAsia" w:ascii="宋体" w:hAnsi="宋体"/>
                <w:sz w:val="15"/>
                <w:szCs w:val="15"/>
              </w:rPr>
              <w:t>4.设备具备硬盘接口1个，具备重置复位键；</w:t>
            </w:r>
          </w:p>
          <w:p>
            <w:pPr>
              <w:adjustRightInd w:val="0"/>
              <w:snapToGrid w:val="0"/>
              <w:spacing w:line="360" w:lineRule="auto"/>
              <w:jc w:val="left"/>
              <w:rPr>
                <w:rFonts w:hint="eastAsia" w:ascii="宋体" w:hAnsi="宋体"/>
                <w:sz w:val="15"/>
                <w:szCs w:val="15"/>
              </w:rPr>
            </w:pPr>
            <w:r>
              <w:rPr>
                <w:rFonts w:hint="eastAsia" w:ascii="宋体" w:hAnsi="宋体"/>
                <w:sz w:val="15"/>
                <w:szCs w:val="15"/>
              </w:rPr>
              <w:t>5.其他接口：RS232接口1个，RS485接口1个，HDMI接口1个，USB2.0接口1个，USB3.0接口1个；</w:t>
            </w:r>
          </w:p>
          <w:p>
            <w:pPr>
              <w:adjustRightInd w:val="0"/>
              <w:snapToGrid w:val="0"/>
              <w:spacing w:line="360" w:lineRule="auto"/>
              <w:jc w:val="left"/>
              <w:rPr>
                <w:rFonts w:hint="eastAsia" w:ascii="宋体" w:hAnsi="宋体"/>
                <w:sz w:val="15"/>
                <w:szCs w:val="15"/>
              </w:rPr>
            </w:pPr>
            <w:r>
              <w:rPr>
                <w:rFonts w:hint="eastAsia" w:ascii="宋体" w:hAnsi="宋体"/>
                <w:sz w:val="15"/>
                <w:szCs w:val="15"/>
              </w:rPr>
              <w:t>6.设备支持GB28181/Onvif/Rtsp等视频标准协议，可接入市面主流高清监控摄像机进行智能分析，可接入分辨率不限于720P、1080P、4K（3840*2160）等；</w:t>
            </w:r>
          </w:p>
          <w:p>
            <w:pPr>
              <w:adjustRightInd w:val="0"/>
              <w:snapToGrid w:val="0"/>
              <w:spacing w:line="360" w:lineRule="auto"/>
              <w:jc w:val="left"/>
              <w:rPr>
                <w:rFonts w:hint="eastAsia" w:ascii="宋体" w:hAnsi="宋体"/>
                <w:sz w:val="15"/>
                <w:szCs w:val="15"/>
              </w:rPr>
            </w:pPr>
            <w:r>
              <w:rPr>
                <w:rFonts w:hint="eastAsia" w:ascii="宋体" w:hAnsi="宋体"/>
                <w:sz w:val="15"/>
                <w:szCs w:val="15"/>
              </w:rPr>
              <w:t>7.设备性能满足实时分析4路4K（3840*2160）高清视频图像的需求；</w:t>
            </w:r>
            <w:r>
              <w:rPr>
                <w:rFonts w:hint="eastAsia" w:ascii="宋体" w:hAnsi="宋体"/>
                <w:sz w:val="15"/>
                <w:szCs w:val="15"/>
              </w:rPr>
              <w:br w:type="textWrapping"/>
            </w:r>
            <w:r>
              <w:rPr>
                <w:rFonts w:hint="eastAsia" w:ascii="宋体" w:hAnsi="宋体"/>
                <w:sz w:val="15"/>
                <w:szCs w:val="15"/>
              </w:rPr>
              <w:t>8.设备需具备良好人机界面，支持Web配置及SNMP远程管理；</w:t>
            </w:r>
          </w:p>
          <w:p>
            <w:pPr>
              <w:adjustRightInd w:val="0"/>
              <w:snapToGrid w:val="0"/>
              <w:spacing w:line="360" w:lineRule="auto"/>
              <w:jc w:val="left"/>
              <w:rPr>
                <w:rFonts w:hint="eastAsia" w:ascii="宋体" w:hAnsi="宋体"/>
                <w:sz w:val="15"/>
                <w:szCs w:val="15"/>
              </w:rPr>
            </w:pPr>
            <w:r>
              <w:rPr>
                <w:rFonts w:hint="eastAsia" w:ascii="宋体" w:hAnsi="宋体"/>
                <w:sz w:val="15"/>
                <w:szCs w:val="15"/>
              </w:rPr>
              <w:t>9.设备视频智能分析软件算法具备车站视频智能分析软件著作权和公安部检测认证报告；</w:t>
            </w:r>
          </w:p>
          <w:p>
            <w:pPr>
              <w:adjustRightInd w:val="0"/>
              <w:snapToGrid w:val="0"/>
              <w:spacing w:line="360" w:lineRule="auto"/>
              <w:jc w:val="left"/>
              <w:rPr>
                <w:rFonts w:hint="eastAsia" w:ascii="宋体" w:hAnsi="宋体"/>
                <w:sz w:val="15"/>
                <w:szCs w:val="15"/>
              </w:rPr>
            </w:pPr>
            <w:r>
              <w:rPr>
                <w:rFonts w:hint="eastAsia" w:ascii="宋体" w:hAnsi="宋体"/>
                <w:sz w:val="15"/>
                <w:szCs w:val="15"/>
              </w:rPr>
              <w:t>10.设备整机为无风扇设计结构，可保证设备运行高可靠性；</w:t>
            </w:r>
          </w:p>
          <w:p>
            <w:pPr>
              <w:adjustRightInd w:val="0"/>
              <w:snapToGrid w:val="0"/>
              <w:spacing w:line="360" w:lineRule="auto"/>
              <w:jc w:val="left"/>
              <w:rPr>
                <w:rFonts w:ascii="宋体" w:hAnsi="宋体"/>
                <w:sz w:val="15"/>
                <w:szCs w:val="15"/>
              </w:rPr>
            </w:pPr>
            <w:r>
              <w:rPr>
                <w:rFonts w:hint="eastAsia" w:ascii="宋体" w:hAnsi="宋体"/>
                <w:sz w:val="15"/>
                <w:szCs w:val="15"/>
              </w:rPr>
              <w:t>11.工作温度：-25℃~+70℃。</w:t>
            </w:r>
          </w:p>
        </w:tc>
        <w:tc>
          <w:tcPr>
            <w:tcW w:w="732"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台</w:t>
            </w:r>
          </w:p>
        </w:tc>
        <w:tc>
          <w:tcPr>
            <w:tcW w:w="662"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8</w:t>
            </w:r>
          </w:p>
        </w:tc>
        <w:tc>
          <w:tcPr>
            <w:tcW w:w="679" w:type="dxa"/>
          </w:tcPr>
          <w:p>
            <w:pPr>
              <w:adjustRightInd w:val="0"/>
              <w:snapToGrid w:val="0"/>
              <w:spacing w:line="360" w:lineRule="auto"/>
              <w:jc w:val="center"/>
              <w:rPr>
                <w:rFonts w:ascii="宋体" w:hAnsi="宋体"/>
                <w:sz w:val="15"/>
                <w:szCs w:val="15"/>
              </w:rPr>
            </w:pPr>
          </w:p>
        </w:tc>
        <w:tc>
          <w:tcPr>
            <w:tcW w:w="980" w:type="dxa"/>
          </w:tcPr>
          <w:p>
            <w:pPr>
              <w:adjustRightInd w:val="0"/>
              <w:snapToGrid w:val="0"/>
              <w:spacing w:line="360" w:lineRule="auto"/>
              <w:jc w:val="center"/>
              <w:rPr>
                <w:rFonts w:ascii="宋体" w:hAnsi="宋体"/>
                <w:sz w:val="15"/>
                <w:szCs w:val="15"/>
              </w:rPr>
            </w:pPr>
          </w:p>
        </w:tc>
        <w:tc>
          <w:tcPr>
            <w:tcW w:w="864" w:type="dxa"/>
          </w:tcPr>
          <w:p>
            <w:pPr>
              <w:adjustRightInd w:val="0"/>
              <w:snapToGrid w:val="0"/>
              <w:spacing w:line="360" w:lineRule="auto"/>
              <w:jc w:val="center"/>
              <w:rPr>
                <w:rFonts w:ascii="宋体" w:hAnsi="宋体"/>
                <w:sz w:val="15"/>
                <w:szCs w:val="15"/>
              </w:rPr>
            </w:pPr>
            <w:r>
              <w:rPr>
                <w:rFonts w:hint="eastAsia" w:ascii="宋体" w:hAnsi="宋体"/>
                <w:sz w:val="15"/>
                <w:szCs w:val="15"/>
              </w:rPr>
              <w:t>含安装。软件算法易于启动和停止，布防和撤防的操作简便，并能够根据时间设定进行布防和撤防操作。告警产生的同时，视频内容分析进程不受报警触发的影响而中断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20"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9</w:t>
            </w:r>
          </w:p>
        </w:tc>
        <w:tc>
          <w:tcPr>
            <w:tcW w:w="83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*尾纤</w:t>
            </w:r>
          </w:p>
        </w:tc>
        <w:tc>
          <w:tcPr>
            <w:tcW w:w="930" w:type="dxa"/>
            <w:vAlign w:val="center"/>
          </w:tcPr>
          <w:p>
            <w:pPr>
              <w:adjustRightInd w:val="0"/>
              <w:snapToGrid w:val="0"/>
              <w:spacing w:line="360" w:lineRule="auto"/>
              <w:jc w:val="center"/>
              <w:rPr>
                <w:rFonts w:ascii="宋体" w:hAnsi="宋体"/>
                <w:sz w:val="15"/>
                <w:szCs w:val="15"/>
              </w:rPr>
            </w:pPr>
          </w:p>
        </w:tc>
        <w:tc>
          <w:tcPr>
            <w:tcW w:w="1218" w:type="dxa"/>
          </w:tcPr>
          <w:p>
            <w:pPr>
              <w:adjustRightInd w:val="0"/>
              <w:snapToGrid w:val="0"/>
              <w:spacing w:line="360" w:lineRule="auto"/>
              <w:jc w:val="center"/>
              <w:rPr>
                <w:rFonts w:hint="eastAsia" w:ascii="宋体" w:hAnsi="宋体"/>
                <w:color w:val="000000"/>
                <w:sz w:val="15"/>
                <w:szCs w:val="15"/>
                <w:highlight w:val="none"/>
              </w:rPr>
            </w:pPr>
          </w:p>
          <w:p>
            <w:pPr>
              <w:adjustRightInd w:val="0"/>
              <w:snapToGrid w:val="0"/>
              <w:spacing w:line="360" w:lineRule="auto"/>
              <w:jc w:val="center"/>
              <w:rPr>
                <w:rFonts w:ascii="宋体" w:hAnsi="宋体"/>
                <w:sz w:val="15"/>
                <w:szCs w:val="15"/>
              </w:rPr>
            </w:pPr>
            <w:r>
              <w:rPr>
                <w:rFonts w:hint="eastAsia" w:ascii="宋体" w:hAnsi="宋体"/>
                <w:color w:val="000000"/>
                <w:sz w:val="15"/>
                <w:szCs w:val="15"/>
                <w:highlight w:val="none"/>
              </w:rPr>
              <w:t>LC-SC</w:t>
            </w:r>
          </w:p>
        </w:tc>
        <w:tc>
          <w:tcPr>
            <w:tcW w:w="2877" w:type="dxa"/>
            <w:vAlign w:val="center"/>
          </w:tcPr>
          <w:p>
            <w:pPr>
              <w:adjustRightInd w:val="0"/>
              <w:snapToGrid w:val="0"/>
              <w:spacing w:line="360" w:lineRule="auto"/>
              <w:jc w:val="center"/>
              <w:rPr>
                <w:rFonts w:hint="eastAsia" w:ascii="宋体" w:hAnsi="宋体" w:eastAsia="宋体"/>
                <w:sz w:val="15"/>
                <w:szCs w:val="15"/>
                <w:lang w:eastAsia="zh-CN"/>
              </w:rPr>
            </w:pPr>
            <w:r>
              <w:rPr>
                <w:rFonts w:hint="eastAsia" w:ascii="宋体" w:hAnsi="宋体"/>
                <w:sz w:val="15"/>
                <w:szCs w:val="15"/>
              </w:rPr>
              <w:t>单模万兆光纤跳线SC/ST/FC/LC尾纤电信级</w:t>
            </w:r>
            <w:r>
              <w:rPr>
                <w:rFonts w:hint="eastAsia" w:ascii="宋体" w:hAnsi="宋体"/>
                <w:sz w:val="15"/>
                <w:szCs w:val="15"/>
                <w:lang w:eastAsia="zh-CN"/>
              </w:rPr>
              <w:t>，</w:t>
            </w:r>
            <w:r>
              <w:rPr>
                <w:rFonts w:hint="eastAsia" w:ascii="宋体" w:hAnsi="宋体"/>
                <w:sz w:val="15"/>
                <w:szCs w:val="15"/>
              </w:rPr>
              <w:t>LC-SC</w:t>
            </w:r>
            <w:r>
              <w:rPr>
                <w:rFonts w:hint="eastAsia" w:ascii="宋体" w:hAnsi="宋体"/>
                <w:sz w:val="15"/>
                <w:szCs w:val="15"/>
                <w:lang w:eastAsia="zh-CN"/>
              </w:rPr>
              <w:t>。</w:t>
            </w:r>
          </w:p>
        </w:tc>
        <w:tc>
          <w:tcPr>
            <w:tcW w:w="732"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根</w:t>
            </w:r>
          </w:p>
        </w:tc>
        <w:tc>
          <w:tcPr>
            <w:tcW w:w="662"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4</w:t>
            </w:r>
          </w:p>
        </w:tc>
        <w:tc>
          <w:tcPr>
            <w:tcW w:w="679" w:type="dxa"/>
          </w:tcPr>
          <w:p>
            <w:pPr>
              <w:adjustRightInd w:val="0"/>
              <w:snapToGrid w:val="0"/>
              <w:spacing w:line="360" w:lineRule="auto"/>
              <w:jc w:val="center"/>
              <w:rPr>
                <w:rFonts w:ascii="宋体" w:hAnsi="宋体"/>
                <w:sz w:val="15"/>
                <w:szCs w:val="15"/>
              </w:rPr>
            </w:pPr>
          </w:p>
        </w:tc>
        <w:tc>
          <w:tcPr>
            <w:tcW w:w="980" w:type="dxa"/>
          </w:tcPr>
          <w:p>
            <w:pPr>
              <w:adjustRightInd w:val="0"/>
              <w:snapToGrid w:val="0"/>
              <w:spacing w:line="360" w:lineRule="auto"/>
              <w:jc w:val="center"/>
              <w:rPr>
                <w:rFonts w:ascii="宋体" w:hAnsi="宋体"/>
                <w:sz w:val="15"/>
                <w:szCs w:val="15"/>
              </w:rPr>
            </w:pPr>
          </w:p>
        </w:tc>
        <w:tc>
          <w:tcPr>
            <w:tcW w:w="864" w:type="dxa"/>
          </w:tcPr>
          <w:p>
            <w:pPr>
              <w:adjustRightInd w:val="0"/>
              <w:snapToGrid w:val="0"/>
              <w:spacing w:line="360" w:lineRule="auto"/>
              <w:jc w:val="center"/>
              <w:rPr>
                <w:rFonts w:ascii="宋体" w:hAnsi="宋体"/>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8452" w:type="dxa"/>
            <w:gridSpan w:val="8"/>
            <w:vAlign w:val="center"/>
          </w:tcPr>
          <w:p>
            <w:pPr>
              <w:adjustRightInd w:val="0"/>
              <w:snapToGrid w:val="0"/>
              <w:spacing w:line="360" w:lineRule="auto"/>
              <w:jc w:val="center"/>
              <w:rPr>
                <w:rFonts w:hint="eastAsia" w:ascii="宋体" w:hAnsi="宋体" w:eastAsia="宋体"/>
                <w:szCs w:val="21"/>
                <w:lang w:eastAsia="zh-CN"/>
              </w:rPr>
            </w:pPr>
            <w:r>
              <w:rPr>
                <w:rFonts w:hint="eastAsia" w:ascii="宋体" w:hAnsi="宋体"/>
                <w:b/>
                <w:szCs w:val="21"/>
              </w:rPr>
              <w:t>合 计</w:t>
            </w:r>
            <w:r>
              <w:rPr>
                <w:rFonts w:hint="eastAsia" w:ascii="宋体" w:hAnsi="宋体"/>
                <w:b/>
                <w:szCs w:val="21"/>
                <w:lang w:val="en-US" w:eastAsia="zh-CN"/>
              </w:rPr>
              <w:t xml:space="preserve"> </w:t>
            </w:r>
            <w:r>
              <w:rPr>
                <w:rFonts w:hint="eastAsia" w:ascii="宋体" w:hAnsi="宋体"/>
                <w:b/>
                <w:szCs w:val="21"/>
                <w:lang w:eastAsia="zh-CN"/>
              </w:rPr>
              <w:t>金</w:t>
            </w:r>
            <w:r>
              <w:rPr>
                <w:rFonts w:hint="eastAsia" w:ascii="宋体" w:hAnsi="宋体"/>
                <w:b/>
                <w:szCs w:val="21"/>
                <w:lang w:val="en-US" w:eastAsia="zh-CN"/>
              </w:rPr>
              <w:t xml:space="preserve"> </w:t>
            </w:r>
            <w:r>
              <w:rPr>
                <w:rFonts w:hint="eastAsia" w:ascii="宋体" w:hAnsi="宋体"/>
                <w:b/>
                <w:szCs w:val="21"/>
                <w:lang w:eastAsia="zh-CN"/>
              </w:rPr>
              <w:t>额（元）</w:t>
            </w:r>
          </w:p>
        </w:tc>
        <w:tc>
          <w:tcPr>
            <w:tcW w:w="980" w:type="dxa"/>
            <w:vAlign w:val="center"/>
          </w:tcPr>
          <w:p>
            <w:pPr>
              <w:adjustRightInd w:val="0"/>
              <w:snapToGrid w:val="0"/>
              <w:spacing w:line="360" w:lineRule="auto"/>
              <w:jc w:val="center"/>
              <w:rPr>
                <w:rFonts w:ascii="宋体" w:hAnsi="宋体"/>
                <w:szCs w:val="21"/>
              </w:rPr>
            </w:pPr>
          </w:p>
        </w:tc>
        <w:tc>
          <w:tcPr>
            <w:tcW w:w="864" w:type="dxa"/>
            <w:vAlign w:val="center"/>
          </w:tcPr>
          <w:p>
            <w:pPr>
              <w:adjustRightInd w:val="0"/>
              <w:snapToGrid w:val="0"/>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27" w:hRule="atLeast"/>
        </w:trPr>
        <w:tc>
          <w:tcPr>
            <w:tcW w:w="10296" w:type="dxa"/>
            <w:gridSpan w:val="10"/>
            <w:vAlign w:val="center"/>
          </w:tcPr>
          <w:p>
            <w:pPr>
              <w:adjustRightInd w:val="0"/>
              <w:snapToGrid w:val="0"/>
              <w:spacing w:line="360" w:lineRule="auto"/>
              <w:jc w:val="left"/>
              <w:rPr>
                <w:rFonts w:hint="eastAsia" w:ascii="宋体" w:hAnsi="宋体"/>
                <w:b/>
                <w:szCs w:val="21"/>
                <w:lang w:val="en-US" w:eastAsia="zh-CN"/>
              </w:rPr>
            </w:pPr>
            <w:r>
              <w:rPr>
                <w:rFonts w:hint="eastAsia" w:ascii="宋体" w:hAnsi="宋体"/>
                <w:b/>
                <w:szCs w:val="21"/>
                <w:lang w:val="en-US" w:eastAsia="zh-CN"/>
              </w:rPr>
              <w:t>说明：</w:t>
            </w:r>
          </w:p>
          <w:p>
            <w:pPr>
              <w:pStyle w:val="2"/>
              <w:spacing w:line="360" w:lineRule="auto"/>
              <w:ind w:left="0" w:leftChars="0" w:firstLine="0" w:firstLineChars="0"/>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1.如部分产品停产升级或技术规格优于上述型号，请出示相关证明材料。</w:t>
            </w:r>
          </w:p>
          <w:p>
            <w:pPr>
              <w:adjustRightInd w:val="0"/>
              <w:snapToGrid w:val="0"/>
              <w:spacing w:line="360" w:lineRule="auto"/>
              <w:jc w:val="left"/>
              <w:rPr>
                <w:rFonts w:hint="eastAsia" w:ascii="宋体" w:hAnsi="宋体"/>
                <w:b/>
                <w:szCs w:val="21"/>
                <w:lang w:val="en-US" w:eastAsia="zh-CN"/>
              </w:rPr>
            </w:pPr>
            <w:r>
              <w:rPr>
                <w:rFonts w:hint="eastAsia" w:ascii="宋体" w:hAnsi="宋体"/>
                <w:b/>
                <w:szCs w:val="21"/>
                <w:lang w:val="en-US" w:eastAsia="zh-CN"/>
              </w:rPr>
              <w:t>2.对于清单中已明确品牌的物资，请按照该品牌物资进行响应；</w:t>
            </w:r>
          </w:p>
          <w:p>
            <w:pPr>
              <w:adjustRightInd w:val="0"/>
              <w:snapToGrid w:val="0"/>
              <w:spacing w:line="360" w:lineRule="auto"/>
              <w:jc w:val="center"/>
              <w:rPr>
                <w:rFonts w:hint="eastAsia" w:ascii="宋体" w:hAnsi="宋体"/>
                <w:b/>
                <w:szCs w:val="21"/>
                <w:lang w:val="en-US" w:eastAsia="zh-CN"/>
              </w:rPr>
            </w:pPr>
            <w:r>
              <w:rPr>
                <w:rFonts w:hint="eastAsia" w:ascii="宋体" w:hAnsi="宋体"/>
                <w:b/>
                <w:szCs w:val="21"/>
                <w:lang w:val="en-US" w:eastAsia="zh-CN"/>
              </w:rPr>
              <w:t>3.对于清单中带*号未明确品牌的物资，响应时必须含有品牌和型号，作为后续合同签订及到货验收的依据。</w:t>
            </w:r>
          </w:p>
        </w:tc>
      </w:tr>
    </w:tbl>
    <w:p>
      <w:pPr>
        <w:rPr>
          <w:rFonts w:ascii="宋体" w:hAnsi="宋体"/>
        </w:rPr>
      </w:pPr>
    </w:p>
    <w:p>
      <w:pPr>
        <w:adjustRightInd w:val="0"/>
        <w:snapToGrid w:val="0"/>
        <w:spacing w:line="360" w:lineRule="auto"/>
        <w:ind w:left="-88" w:leftChars="-42"/>
        <w:rPr>
          <w:rFonts w:ascii="宋体" w:hAnsi="宋体"/>
          <w:b/>
          <w:szCs w:val="21"/>
        </w:rPr>
      </w:pPr>
      <w:r>
        <w:rPr>
          <w:rFonts w:hint="eastAsia" w:ascii="宋体" w:hAnsi="宋体"/>
          <w:b/>
          <w:szCs w:val="21"/>
        </w:rPr>
        <w:t>备注：</w:t>
      </w:r>
    </w:p>
    <w:p>
      <w:pPr>
        <w:adjustRightInd w:val="0"/>
        <w:snapToGrid w:val="0"/>
        <w:spacing w:line="360" w:lineRule="auto"/>
        <w:ind w:firstLine="422" w:firstLineChars="200"/>
        <w:rPr>
          <w:rFonts w:ascii="宋体" w:hAnsi="宋体"/>
          <w:b/>
          <w:szCs w:val="21"/>
        </w:rPr>
      </w:pPr>
      <w:r>
        <w:rPr>
          <w:rFonts w:hint="eastAsia" w:ascii="宋体" w:hAnsi="宋体"/>
          <w:b/>
          <w:szCs w:val="21"/>
        </w:rPr>
        <w:t>1.所有报价保留小数点后两位，小数点后第三位“四舍五入”。</w:t>
      </w:r>
    </w:p>
    <w:p>
      <w:pPr>
        <w:adjustRightInd w:val="0"/>
        <w:snapToGrid w:val="0"/>
        <w:spacing w:line="360" w:lineRule="auto"/>
        <w:ind w:firstLine="422" w:firstLineChars="200"/>
        <w:rPr>
          <w:rFonts w:ascii="宋体" w:hAnsi="宋体"/>
          <w:szCs w:val="21"/>
        </w:rPr>
      </w:pPr>
      <w:r>
        <w:rPr>
          <w:rFonts w:hint="eastAsia" w:ascii="宋体" w:hAnsi="宋体"/>
          <w:b/>
          <w:szCs w:val="21"/>
        </w:rPr>
        <w:t>2.本表包含谈判文件“用户需求书”或其他部分对该项目所有要求的详细报价。“合计”金额之和应与《报价一览表》内“谈判总报价”金额一致。栏目“单价”为综合单价，应包含所有隐含的管理费、税金和利润等其他费用。</w:t>
      </w:r>
    </w:p>
    <w:p>
      <w:pPr>
        <w:pStyle w:val="27"/>
        <w:adjustRightInd w:val="0"/>
        <w:snapToGrid w:val="0"/>
        <w:spacing w:line="360" w:lineRule="auto"/>
        <w:rPr>
          <w:rFonts w:ascii="宋体" w:hAnsi="宋体"/>
          <w:sz w:val="21"/>
          <w:szCs w:val="21"/>
        </w:rPr>
      </w:pPr>
    </w:p>
    <w:p>
      <w:pPr>
        <w:pStyle w:val="27"/>
        <w:adjustRightInd w:val="0"/>
        <w:snapToGrid w:val="0"/>
        <w:spacing w:line="360" w:lineRule="auto"/>
        <w:ind w:firstLine="420" w:firstLineChars="200"/>
        <w:rPr>
          <w:rFonts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adjustRightInd w:val="0"/>
        <w:snapToGrid w:val="0"/>
        <w:spacing w:line="360" w:lineRule="auto"/>
        <w:ind w:firstLine="420" w:firstLineChars="200"/>
        <w:rPr>
          <w:rFonts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spacing w:line="360" w:lineRule="auto"/>
        <w:ind w:firstLine="420" w:firstLineChars="200"/>
        <w:rPr>
          <w:rFonts w:ascii="宋体" w:hAnsi="宋体" w:cs="宋体"/>
          <w:b/>
          <w:sz w:val="32"/>
          <w:szCs w:val="32"/>
        </w:rPr>
        <w:sectPr>
          <w:pgSz w:w="11906" w:h="16838"/>
          <w:pgMar w:top="720" w:right="720" w:bottom="720" w:left="720" w:header="851" w:footer="992" w:gutter="0"/>
          <w:cols w:space="720" w:num="1"/>
          <w:docGrid w:type="lines" w:linePitch="312" w:charSpace="0"/>
        </w:sect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p>
    <w:p>
      <w:pPr>
        <w:adjustRightInd w:val="0"/>
        <w:snapToGrid w:val="0"/>
        <w:spacing w:line="360" w:lineRule="auto"/>
        <w:ind w:right="23"/>
        <w:jc w:val="center"/>
        <w:outlineLvl w:val="1"/>
      </w:pPr>
      <w:r>
        <w:rPr>
          <w:rFonts w:hint="eastAsia" w:ascii="宋体" w:hAnsi="宋体" w:cs="宋体"/>
          <w:b/>
          <w:sz w:val="32"/>
          <w:szCs w:val="32"/>
        </w:rPr>
        <w:t>六、分项价格表</w:t>
      </w:r>
    </w:p>
    <w:p>
      <w:pPr>
        <w:pStyle w:val="2"/>
        <w:ind w:left="0" w:leftChars="0"/>
        <w:rPr>
          <w:b/>
          <w:bCs/>
        </w:rPr>
      </w:pPr>
      <w:r>
        <w:rPr>
          <w:rFonts w:hint="eastAsia"/>
          <w:b/>
          <w:bCs/>
        </w:rPr>
        <w:t>二标：</w:t>
      </w:r>
    </w:p>
    <w:p>
      <w:pPr>
        <w:spacing w:line="360" w:lineRule="exact"/>
        <w:jc w:val="left"/>
        <w:rPr>
          <w:rFonts w:ascii="宋体" w:hAnsi="宋体"/>
        </w:rPr>
      </w:pPr>
      <w:r>
        <w:rPr>
          <w:rFonts w:hint="eastAsia" w:ascii="宋体" w:hAnsi="宋体"/>
          <w:bCs/>
        </w:rPr>
        <w:t>项目</w:t>
      </w:r>
      <w:r>
        <w:rPr>
          <w:rFonts w:hint="eastAsia" w:ascii="宋体" w:hAnsi="宋体"/>
        </w:rPr>
        <w:t>名称及标段：                                                    金额单位：元</w:t>
      </w:r>
    </w:p>
    <w:tbl>
      <w:tblPr>
        <w:tblStyle w:val="46"/>
        <w:tblpPr w:leftFromText="180" w:rightFromText="180" w:vertAnchor="text" w:horzAnchor="page" w:tblpX="1773" w:tblpY="230"/>
        <w:tblOverlap w:val="never"/>
        <w:tblW w:w="96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43"/>
        <w:gridCol w:w="874"/>
        <w:gridCol w:w="564"/>
        <w:gridCol w:w="874"/>
        <w:gridCol w:w="3053"/>
        <w:gridCol w:w="644"/>
        <w:gridCol w:w="613"/>
        <w:gridCol w:w="765"/>
        <w:gridCol w:w="965"/>
        <w:gridCol w:w="7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9620" w:type="dxa"/>
            <w:gridSpan w:val="10"/>
            <w:vAlign w:val="center"/>
          </w:tcPr>
          <w:p>
            <w:pPr>
              <w:adjustRightInd w:val="0"/>
              <w:snapToGrid w:val="0"/>
              <w:spacing w:line="360" w:lineRule="auto"/>
              <w:jc w:val="center"/>
              <w:rPr>
                <w:rFonts w:hint="eastAsia" w:ascii="宋体" w:hAnsi="宋体"/>
                <w:szCs w:val="21"/>
              </w:rPr>
            </w:pPr>
            <w:r>
              <w:rPr>
                <w:rFonts w:hint="eastAsia" w:ascii="宋体" w:hAnsi="宋体"/>
                <w:szCs w:val="21"/>
              </w:rPr>
              <w:t>二标段清单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543"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序号</w:t>
            </w:r>
          </w:p>
        </w:tc>
        <w:tc>
          <w:tcPr>
            <w:tcW w:w="87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货物名称</w:t>
            </w:r>
          </w:p>
        </w:tc>
        <w:tc>
          <w:tcPr>
            <w:tcW w:w="56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品牌</w:t>
            </w:r>
          </w:p>
        </w:tc>
        <w:tc>
          <w:tcPr>
            <w:tcW w:w="87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型号规格</w:t>
            </w:r>
          </w:p>
        </w:tc>
        <w:tc>
          <w:tcPr>
            <w:tcW w:w="3053"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技术参数</w:t>
            </w:r>
          </w:p>
        </w:tc>
        <w:tc>
          <w:tcPr>
            <w:tcW w:w="64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单位</w:t>
            </w:r>
          </w:p>
        </w:tc>
        <w:tc>
          <w:tcPr>
            <w:tcW w:w="613"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数量</w:t>
            </w:r>
          </w:p>
        </w:tc>
        <w:tc>
          <w:tcPr>
            <w:tcW w:w="765" w:type="dxa"/>
            <w:vAlign w:val="center"/>
          </w:tcPr>
          <w:p>
            <w:pPr>
              <w:adjustRightInd w:val="0"/>
              <w:snapToGrid w:val="0"/>
              <w:spacing w:line="360" w:lineRule="auto"/>
              <w:jc w:val="center"/>
              <w:rPr>
                <w:rFonts w:hint="eastAsia" w:ascii="宋体" w:hAnsi="宋体" w:eastAsia="宋体"/>
                <w:sz w:val="15"/>
                <w:szCs w:val="15"/>
                <w:lang w:eastAsia="zh-CN"/>
              </w:rPr>
            </w:pPr>
            <w:r>
              <w:rPr>
                <w:rFonts w:hint="eastAsia" w:ascii="宋体" w:hAnsi="宋体"/>
                <w:sz w:val="15"/>
                <w:szCs w:val="15"/>
              </w:rPr>
              <w:t>单价</w:t>
            </w:r>
            <w:r>
              <w:rPr>
                <w:rFonts w:hint="eastAsia" w:ascii="宋体" w:hAnsi="宋体"/>
                <w:sz w:val="15"/>
                <w:szCs w:val="15"/>
                <w:lang w:eastAsia="zh-CN"/>
              </w:rPr>
              <w:t>（元）</w:t>
            </w:r>
          </w:p>
        </w:tc>
        <w:tc>
          <w:tcPr>
            <w:tcW w:w="965" w:type="dxa"/>
            <w:vAlign w:val="center"/>
          </w:tcPr>
          <w:p>
            <w:pPr>
              <w:adjustRightInd w:val="0"/>
              <w:snapToGrid w:val="0"/>
              <w:spacing w:line="360" w:lineRule="auto"/>
              <w:jc w:val="center"/>
              <w:rPr>
                <w:rFonts w:hint="eastAsia" w:ascii="宋体" w:hAnsi="宋体"/>
                <w:sz w:val="15"/>
                <w:szCs w:val="15"/>
              </w:rPr>
            </w:pPr>
            <w:r>
              <w:rPr>
                <w:rFonts w:hint="eastAsia" w:ascii="宋体" w:hAnsi="宋体"/>
                <w:sz w:val="15"/>
                <w:szCs w:val="15"/>
              </w:rPr>
              <w:t>小计</w:t>
            </w:r>
          </w:p>
          <w:p>
            <w:pPr>
              <w:adjustRightInd w:val="0"/>
              <w:snapToGrid w:val="0"/>
              <w:spacing w:line="360" w:lineRule="auto"/>
              <w:jc w:val="center"/>
              <w:rPr>
                <w:rFonts w:hint="eastAsia" w:ascii="宋体" w:hAnsi="宋体" w:eastAsia="宋体"/>
                <w:sz w:val="15"/>
                <w:szCs w:val="15"/>
                <w:lang w:eastAsia="zh-CN"/>
              </w:rPr>
            </w:pPr>
            <w:r>
              <w:rPr>
                <w:rFonts w:hint="eastAsia" w:ascii="宋体" w:hAnsi="宋体"/>
                <w:sz w:val="15"/>
                <w:szCs w:val="15"/>
                <w:lang w:eastAsia="zh-CN"/>
              </w:rPr>
              <w:t>（元）</w:t>
            </w:r>
          </w:p>
        </w:tc>
        <w:tc>
          <w:tcPr>
            <w:tcW w:w="725" w:type="dxa"/>
            <w:vAlign w:val="center"/>
          </w:tcPr>
          <w:p>
            <w:pPr>
              <w:adjustRightInd w:val="0"/>
              <w:snapToGrid w:val="0"/>
              <w:spacing w:line="360" w:lineRule="auto"/>
              <w:jc w:val="center"/>
              <w:rPr>
                <w:rFonts w:hint="eastAsia" w:ascii="宋体" w:hAnsi="宋体" w:eastAsia="宋体"/>
                <w:sz w:val="15"/>
                <w:szCs w:val="15"/>
                <w:lang w:val="en-US" w:eastAsia="zh-CN"/>
              </w:rPr>
            </w:pPr>
            <w:r>
              <w:rPr>
                <w:rFonts w:hint="eastAsia" w:ascii="宋体" w:hAnsi="宋体"/>
                <w:sz w:val="15"/>
                <w:szCs w:val="15"/>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6" w:hRule="atLeast"/>
        </w:trPr>
        <w:tc>
          <w:tcPr>
            <w:tcW w:w="543"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1</w:t>
            </w:r>
          </w:p>
        </w:tc>
        <w:tc>
          <w:tcPr>
            <w:tcW w:w="87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*极速火灾报警单管机</w:t>
            </w:r>
          </w:p>
        </w:tc>
        <w:tc>
          <w:tcPr>
            <w:tcW w:w="564" w:type="dxa"/>
            <w:vAlign w:val="center"/>
          </w:tcPr>
          <w:p>
            <w:pPr>
              <w:adjustRightInd w:val="0"/>
              <w:snapToGrid w:val="0"/>
              <w:spacing w:line="360" w:lineRule="auto"/>
              <w:jc w:val="center"/>
              <w:rPr>
                <w:rFonts w:ascii="宋体" w:hAnsi="宋体"/>
                <w:sz w:val="15"/>
                <w:szCs w:val="15"/>
              </w:rPr>
            </w:pPr>
          </w:p>
        </w:tc>
        <w:tc>
          <w:tcPr>
            <w:tcW w:w="874" w:type="dxa"/>
          </w:tcPr>
          <w:p>
            <w:pPr>
              <w:adjustRightInd w:val="0"/>
              <w:snapToGrid w:val="0"/>
              <w:spacing w:line="360" w:lineRule="auto"/>
              <w:jc w:val="center"/>
              <w:rPr>
                <w:rFonts w:ascii="宋体" w:hAnsi="宋体"/>
                <w:sz w:val="15"/>
                <w:szCs w:val="15"/>
              </w:rPr>
            </w:pPr>
          </w:p>
        </w:tc>
        <w:tc>
          <w:tcPr>
            <w:tcW w:w="3053" w:type="dxa"/>
            <w:vAlign w:val="center"/>
          </w:tcPr>
          <w:p>
            <w:pPr>
              <w:adjustRightInd w:val="0"/>
              <w:snapToGrid w:val="0"/>
              <w:spacing w:line="360" w:lineRule="auto"/>
              <w:jc w:val="left"/>
              <w:rPr>
                <w:rFonts w:hint="eastAsia" w:ascii="宋体" w:hAnsi="宋体"/>
                <w:sz w:val="15"/>
                <w:szCs w:val="15"/>
              </w:rPr>
            </w:pPr>
            <w:r>
              <w:rPr>
                <w:rFonts w:hint="eastAsia" w:ascii="宋体" w:hAnsi="宋体"/>
                <w:sz w:val="15"/>
                <w:szCs w:val="15"/>
              </w:rPr>
              <w:t xml:space="preserve">1.采用热释离子探测技术； </w:t>
            </w:r>
          </w:p>
          <w:p>
            <w:pPr>
              <w:adjustRightInd w:val="0"/>
              <w:snapToGrid w:val="0"/>
              <w:spacing w:line="360" w:lineRule="auto"/>
              <w:jc w:val="left"/>
              <w:rPr>
                <w:rFonts w:hint="eastAsia" w:ascii="宋体" w:hAnsi="宋体"/>
                <w:sz w:val="15"/>
                <w:szCs w:val="15"/>
              </w:rPr>
            </w:pPr>
            <w:r>
              <w:rPr>
                <w:rFonts w:hint="eastAsia" w:ascii="宋体" w:hAnsi="宋体"/>
                <w:sz w:val="15"/>
                <w:szCs w:val="15"/>
              </w:rPr>
              <w:t>2.采用“云雾室”探测原理；</w:t>
            </w:r>
          </w:p>
          <w:p>
            <w:pPr>
              <w:adjustRightInd w:val="0"/>
              <w:snapToGrid w:val="0"/>
              <w:spacing w:line="360" w:lineRule="auto"/>
              <w:jc w:val="left"/>
              <w:rPr>
                <w:rFonts w:hint="eastAsia" w:ascii="宋体" w:hAnsi="宋体"/>
                <w:sz w:val="15"/>
                <w:szCs w:val="15"/>
              </w:rPr>
            </w:pPr>
            <w:r>
              <w:rPr>
                <w:rFonts w:hint="eastAsia" w:ascii="宋体" w:hAnsi="宋体"/>
                <w:sz w:val="15"/>
                <w:szCs w:val="15"/>
              </w:rPr>
              <w:t>3.设备满足免维护运行；并具有抗高温﹑抗潮湿﹑抗震动﹑抗强电磁场干扰等特点；</w:t>
            </w:r>
          </w:p>
          <w:p>
            <w:pPr>
              <w:adjustRightInd w:val="0"/>
              <w:snapToGrid w:val="0"/>
              <w:spacing w:line="360" w:lineRule="auto"/>
              <w:jc w:val="left"/>
              <w:rPr>
                <w:rFonts w:hint="eastAsia" w:ascii="宋体" w:hAnsi="宋体"/>
                <w:sz w:val="15"/>
                <w:szCs w:val="15"/>
              </w:rPr>
            </w:pPr>
            <w:r>
              <w:rPr>
                <w:rFonts w:hint="eastAsia" w:ascii="宋体" w:hAnsi="宋体"/>
                <w:sz w:val="15"/>
                <w:szCs w:val="15"/>
              </w:rPr>
              <w:t>4.设备采用单管型；</w:t>
            </w:r>
          </w:p>
          <w:p>
            <w:pPr>
              <w:adjustRightInd w:val="0"/>
              <w:snapToGrid w:val="0"/>
              <w:spacing w:line="360" w:lineRule="auto"/>
              <w:jc w:val="left"/>
              <w:rPr>
                <w:rFonts w:hint="eastAsia" w:ascii="宋体" w:hAnsi="宋体"/>
                <w:sz w:val="15"/>
                <w:szCs w:val="15"/>
              </w:rPr>
            </w:pPr>
            <w:r>
              <w:rPr>
                <w:rFonts w:hint="eastAsia" w:ascii="宋体" w:hAnsi="宋体"/>
                <w:sz w:val="15"/>
                <w:szCs w:val="15"/>
              </w:rPr>
              <w:t>5.具有粉尘过滤功能，并且能抗粉尘、雾霾等情况的干扰；防护等级不低于IP30；</w:t>
            </w:r>
          </w:p>
          <w:p>
            <w:pPr>
              <w:adjustRightInd w:val="0"/>
              <w:snapToGrid w:val="0"/>
              <w:spacing w:line="360" w:lineRule="auto"/>
              <w:jc w:val="left"/>
              <w:rPr>
                <w:rFonts w:hint="eastAsia" w:ascii="宋体" w:hAnsi="宋体"/>
                <w:sz w:val="15"/>
                <w:szCs w:val="15"/>
              </w:rPr>
            </w:pPr>
            <w:r>
              <w:rPr>
                <w:rFonts w:hint="eastAsia" w:ascii="宋体" w:hAnsi="宋体"/>
                <w:sz w:val="15"/>
                <w:szCs w:val="15"/>
              </w:rPr>
              <w:t>6.具有正常工作与报警功能，并预留独立干节点接口；</w:t>
            </w:r>
          </w:p>
          <w:p>
            <w:pPr>
              <w:adjustRightInd w:val="0"/>
              <w:snapToGrid w:val="0"/>
              <w:spacing w:line="360" w:lineRule="auto"/>
              <w:jc w:val="left"/>
              <w:rPr>
                <w:rFonts w:ascii="宋体" w:hAnsi="宋体"/>
                <w:sz w:val="15"/>
                <w:szCs w:val="15"/>
              </w:rPr>
            </w:pPr>
            <w:r>
              <w:rPr>
                <w:rFonts w:hint="eastAsia" w:ascii="宋体" w:hAnsi="宋体"/>
                <w:sz w:val="15"/>
                <w:szCs w:val="15"/>
              </w:rPr>
              <w:t>7.设备具备国家CCCF认证。</w:t>
            </w:r>
          </w:p>
        </w:tc>
        <w:tc>
          <w:tcPr>
            <w:tcW w:w="64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套</w:t>
            </w:r>
          </w:p>
        </w:tc>
        <w:tc>
          <w:tcPr>
            <w:tcW w:w="613"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3</w:t>
            </w:r>
          </w:p>
        </w:tc>
        <w:tc>
          <w:tcPr>
            <w:tcW w:w="765" w:type="dxa"/>
          </w:tcPr>
          <w:p>
            <w:pPr>
              <w:adjustRightInd w:val="0"/>
              <w:snapToGrid w:val="0"/>
              <w:spacing w:line="360" w:lineRule="auto"/>
              <w:jc w:val="center"/>
              <w:rPr>
                <w:rFonts w:ascii="宋体" w:hAnsi="宋体"/>
                <w:sz w:val="15"/>
                <w:szCs w:val="15"/>
              </w:rPr>
            </w:pPr>
          </w:p>
        </w:tc>
        <w:tc>
          <w:tcPr>
            <w:tcW w:w="965" w:type="dxa"/>
          </w:tcPr>
          <w:p>
            <w:pPr>
              <w:adjustRightInd w:val="0"/>
              <w:snapToGrid w:val="0"/>
              <w:spacing w:line="360" w:lineRule="auto"/>
              <w:jc w:val="center"/>
              <w:rPr>
                <w:rFonts w:ascii="宋体" w:hAnsi="宋体"/>
                <w:sz w:val="15"/>
                <w:szCs w:val="15"/>
              </w:rPr>
            </w:pPr>
          </w:p>
        </w:tc>
        <w:tc>
          <w:tcPr>
            <w:tcW w:w="725" w:type="dxa"/>
            <w:vAlign w:val="center"/>
          </w:tcPr>
          <w:p>
            <w:pPr>
              <w:adjustRightInd w:val="0"/>
              <w:snapToGrid w:val="0"/>
              <w:spacing w:line="360" w:lineRule="auto"/>
              <w:jc w:val="left"/>
              <w:rPr>
                <w:rFonts w:hint="eastAsia" w:ascii="宋体" w:hAnsi="宋体"/>
                <w:sz w:val="15"/>
                <w:szCs w:val="15"/>
              </w:rPr>
            </w:pPr>
            <w:r>
              <w:rPr>
                <w:rFonts w:hint="eastAsia" w:ascii="宋体" w:hAnsi="宋体"/>
                <w:sz w:val="15"/>
                <w:szCs w:val="15"/>
              </w:rPr>
              <w:t>含安装</w:t>
            </w:r>
          </w:p>
          <w:p>
            <w:pPr>
              <w:adjustRightInd w:val="0"/>
              <w:snapToGrid w:val="0"/>
              <w:spacing w:line="360" w:lineRule="auto"/>
              <w:jc w:val="center"/>
              <w:rPr>
                <w:rFonts w:ascii="宋体" w:hAnsi="宋体"/>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77" w:hRule="atLeast"/>
        </w:trPr>
        <w:tc>
          <w:tcPr>
            <w:tcW w:w="543"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2</w:t>
            </w:r>
          </w:p>
        </w:tc>
        <w:tc>
          <w:tcPr>
            <w:tcW w:w="87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*极速火灾报警微型机</w:t>
            </w:r>
          </w:p>
        </w:tc>
        <w:tc>
          <w:tcPr>
            <w:tcW w:w="564" w:type="dxa"/>
            <w:vAlign w:val="center"/>
          </w:tcPr>
          <w:p>
            <w:pPr>
              <w:adjustRightInd w:val="0"/>
              <w:snapToGrid w:val="0"/>
              <w:spacing w:line="360" w:lineRule="auto"/>
              <w:jc w:val="center"/>
              <w:rPr>
                <w:rFonts w:ascii="宋体" w:hAnsi="宋体"/>
                <w:sz w:val="15"/>
                <w:szCs w:val="15"/>
              </w:rPr>
            </w:pPr>
          </w:p>
        </w:tc>
        <w:tc>
          <w:tcPr>
            <w:tcW w:w="874" w:type="dxa"/>
          </w:tcPr>
          <w:p>
            <w:pPr>
              <w:adjustRightInd w:val="0"/>
              <w:snapToGrid w:val="0"/>
              <w:spacing w:line="360" w:lineRule="auto"/>
              <w:jc w:val="center"/>
              <w:rPr>
                <w:rFonts w:ascii="宋体" w:hAnsi="宋体"/>
                <w:sz w:val="15"/>
                <w:szCs w:val="15"/>
              </w:rPr>
            </w:pPr>
          </w:p>
        </w:tc>
        <w:tc>
          <w:tcPr>
            <w:tcW w:w="3053" w:type="dxa"/>
            <w:vAlign w:val="center"/>
          </w:tcPr>
          <w:p>
            <w:pPr>
              <w:adjustRightInd w:val="0"/>
              <w:snapToGrid w:val="0"/>
              <w:spacing w:line="360" w:lineRule="auto"/>
              <w:jc w:val="left"/>
              <w:rPr>
                <w:rFonts w:hint="eastAsia" w:ascii="宋体" w:hAnsi="宋体"/>
                <w:sz w:val="15"/>
                <w:szCs w:val="15"/>
              </w:rPr>
            </w:pPr>
            <w:r>
              <w:rPr>
                <w:rFonts w:hint="eastAsia" w:ascii="宋体" w:hAnsi="宋体"/>
                <w:sz w:val="15"/>
                <w:szCs w:val="15"/>
              </w:rPr>
              <w:t xml:space="preserve">1.采用热释离子探测技术； </w:t>
            </w:r>
          </w:p>
          <w:p>
            <w:pPr>
              <w:adjustRightInd w:val="0"/>
              <w:snapToGrid w:val="0"/>
              <w:spacing w:line="360" w:lineRule="auto"/>
              <w:jc w:val="left"/>
              <w:rPr>
                <w:rFonts w:hint="eastAsia" w:ascii="宋体" w:hAnsi="宋体"/>
                <w:sz w:val="15"/>
                <w:szCs w:val="15"/>
              </w:rPr>
            </w:pPr>
            <w:r>
              <w:rPr>
                <w:rFonts w:hint="eastAsia" w:ascii="宋体" w:hAnsi="宋体"/>
                <w:sz w:val="15"/>
                <w:szCs w:val="15"/>
              </w:rPr>
              <w:t>2.采用“云雾室”探测原理；</w:t>
            </w:r>
          </w:p>
          <w:p>
            <w:pPr>
              <w:adjustRightInd w:val="0"/>
              <w:snapToGrid w:val="0"/>
              <w:spacing w:line="360" w:lineRule="auto"/>
              <w:jc w:val="left"/>
              <w:rPr>
                <w:rFonts w:hint="eastAsia" w:ascii="宋体" w:hAnsi="宋体"/>
                <w:sz w:val="15"/>
                <w:szCs w:val="15"/>
              </w:rPr>
            </w:pPr>
            <w:r>
              <w:rPr>
                <w:rFonts w:hint="eastAsia" w:ascii="宋体" w:hAnsi="宋体"/>
                <w:sz w:val="15"/>
                <w:szCs w:val="15"/>
              </w:rPr>
              <w:t>3.设备满足免维护运行；并具有抗高温﹑抗潮湿﹑抗震动﹑抗强电磁场干扰等特点；</w:t>
            </w:r>
          </w:p>
          <w:p>
            <w:pPr>
              <w:adjustRightInd w:val="0"/>
              <w:snapToGrid w:val="0"/>
              <w:spacing w:line="360" w:lineRule="auto"/>
              <w:jc w:val="left"/>
              <w:rPr>
                <w:rFonts w:hint="eastAsia" w:ascii="宋体" w:hAnsi="宋体"/>
                <w:sz w:val="15"/>
                <w:szCs w:val="15"/>
              </w:rPr>
            </w:pPr>
            <w:r>
              <w:rPr>
                <w:rFonts w:hint="eastAsia" w:ascii="宋体" w:hAnsi="宋体"/>
                <w:sz w:val="15"/>
                <w:szCs w:val="15"/>
              </w:rPr>
              <w:t>4.设备采用6mm采样软管；</w:t>
            </w:r>
          </w:p>
          <w:p>
            <w:pPr>
              <w:adjustRightInd w:val="0"/>
              <w:snapToGrid w:val="0"/>
              <w:spacing w:line="360" w:lineRule="auto"/>
              <w:jc w:val="left"/>
              <w:rPr>
                <w:rFonts w:hint="eastAsia" w:ascii="宋体" w:hAnsi="宋体"/>
                <w:sz w:val="15"/>
                <w:szCs w:val="15"/>
              </w:rPr>
            </w:pPr>
            <w:r>
              <w:rPr>
                <w:rFonts w:hint="eastAsia" w:ascii="宋体" w:hAnsi="宋体"/>
                <w:sz w:val="15"/>
                <w:szCs w:val="15"/>
              </w:rPr>
              <w:t>5.具有粉尘过滤功能，并且能抗粉尘、雾霾等情况的干扰；防护等级不低于IP30；</w:t>
            </w:r>
          </w:p>
          <w:p>
            <w:pPr>
              <w:adjustRightInd w:val="0"/>
              <w:snapToGrid w:val="0"/>
              <w:spacing w:line="360" w:lineRule="auto"/>
              <w:jc w:val="left"/>
              <w:rPr>
                <w:rFonts w:hint="eastAsia" w:ascii="宋体" w:hAnsi="宋体"/>
                <w:sz w:val="15"/>
                <w:szCs w:val="15"/>
              </w:rPr>
            </w:pPr>
            <w:r>
              <w:rPr>
                <w:rFonts w:hint="eastAsia" w:ascii="宋体" w:hAnsi="宋体"/>
                <w:sz w:val="15"/>
                <w:szCs w:val="15"/>
              </w:rPr>
              <w:t>6.具有正常工作与报警功能，并预留独立干节点接口；</w:t>
            </w:r>
          </w:p>
          <w:p>
            <w:pPr>
              <w:adjustRightInd w:val="0"/>
              <w:snapToGrid w:val="0"/>
              <w:spacing w:line="360" w:lineRule="auto"/>
              <w:jc w:val="left"/>
              <w:rPr>
                <w:rFonts w:ascii="宋体" w:hAnsi="宋体"/>
                <w:sz w:val="15"/>
                <w:szCs w:val="15"/>
              </w:rPr>
            </w:pPr>
            <w:r>
              <w:rPr>
                <w:rFonts w:hint="eastAsia" w:ascii="宋体" w:hAnsi="宋体"/>
                <w:sz w:val="15"/>
                <w:szCs w:val="15"/>
              </w:rPr>
              <w:t>7.设备具备国家CCCF认证。</w:t>
            </w:r>
          </w:p>
        </w:tc>
        <w:tc>
          <w:tcPr>
            <w:tcW w:w="64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套</w:t>
            </w:r>
          </w:p>
        </w:tc>
        <w:tc>
          <w:tcPr>
            <w:tcW w:w="613"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13</w:t>
            </w:r>
          </w:p>
        </w:tc>
        <w:tc>
          <w:tcPr>
            <w:tcW w:w="765" w:type="dxa"/>
          </w:tcPr>
          <w:p>
            <w:pPr>
              <w:adjustRightInd w:val="0"/>
              <w:snapToGrid w:val="0"/>
              <w:spacing w:line="360" w:lineRule="auto"/>
              <w:jc w:val="center"/>
              <w:rPr>
                <w:rFonts w:ascii="宋体" w:hAnsi="宋体"/>
                <w:sz w:val="15"/>
                <w:szCs w:val="15"/>
              </w:rPr>
            </w:pPr>
          </w:p>
        </w:tc>
        <w:tc>
          <w:tcPr>
            <w:tcW w:w="965" w:type="dxa"/>
          </w:tcPr>
          <w:p>
            <w:pPr>
              <w:adjustRightInd w:val="0"/>
              <w:snapToGrid w:val="0"/>
              <w:spacing w:line="360" w:lineRule="auto"/>
              <w:jc w:val="center"/>
              <w:rPr>
                <w:rFonts w:ascii="宋体" w:hAnsi="宋体"/>
                <w:sz w:val="15"/>
                <w:szCs w:val="15"/>
              </w:rPr>
            </w:pPr>
          </w:p>
        </w:tc>
        <w:tc>
          <w:tcPr>
            <w:tcW w:w="725" w:type="dxa"/>
            <w:vAlign w:val="center"/>
          </w:tcPr>
          <w:p>
            <w:pPr>
              <w:adjustRightInd w:val="0"/>
              <w:snapToGrid w:val="0"/>
              <w:spacing w:line="360" w:lineRule="auto"/>
              <w:jc w:val="left"/>
              <w:rPr>
                <w:rFonts w:hint="eastAsia" w:ascii="宋体" w:hAnsi="宋体"/>
                <w:sz w:val="15"/>
                <w:szCs w:val="15"/>
              </w:rPr>
            </w:pPr>
            <w:r>
              <w:rPr>
                <w:rFonts w:hint="eastAsia" w:ascii="宋体" w:hAnsi="宋体"/>
                <w:sz w:val="15"/>
                <w:szCs w:val="15"/>
              </w:rPr>
              <w:t>含安装</w:t>
            </w:r>
          </w:p>
          <w:p>
            <w:pPr>
              <w:adjustRightInd w:val="0"/>
              <w:snapToGrid w:val="0"/>
              <w:spacing w:line="360" w:lineRule="auto"/>
              <w:jc w:val="center"/>
              <w:rPr>
                <w:rFonts w:ascii="宋体" w:hAnsi="宋体"/>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5" w:hRule="atLeast"/>
        </w:trPr>
        <w:tc>
          <w:tcPr>
            <w:tcW w:w="543"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3</w:t>
            </w:r>
          </w:p>
        </w:tc>
        <w:tc>
          <w:tcPr>
            <w:tcW w:w="87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*开关电源盘</w:t>
            </w:r>
          </w:p>
        </w:tc>
        <w:tc>
          <w:tcPr>
            <w:tcW w:w="564" w:type="dxa"/>
            <w:vAlign w:val="center"/>
          </w:tcPr>
          <w:p>
            <w:pPr>
              <w:adjustRightInd w:val="0"/>
              <w:snapToGrid w:val="0"/>
              <w:spacing w:line="360" w:lineRule="auto"/>
              <w:jc w:val="center"/>
              <w:rPr>
                <w:rFonts w:ascii="宋体" w:hAnsi="宋体"/>
                <w:sz w:val="15"/>
                <w:szCs w:val="15"/>
              </w:rPr>
            </w:pPr>
          </w:p>
        </w:tc>
        <w:tc>
          <w:tcPr>
            <w:tcW w:w="874" w:type="dxa"/>
          </w:tcPr>
          <w:p>
            <w:pPr>
              <w:adjustRightInd w:val="0"/>
              <w:snapToGrid w:val="0"/>
              <w:spacing w:line="360" w:lineRule="auto"/>
              <w:jc w:val="center"/>
              <w:rPr>
                <w:rFonts w:ascii="宋体" w:hAnsi="宋体" w:cs="Arial"/>
                <w:sz w:val="18"/>
                <w:szCs w:val="18"/>
              </w:rPr>
            </w:pPr>
          </w:p>
          <w:p>
            <w:pPr>
              <w:adjustRightInd w:val="0"/>
              <w:snapToGrid w:val="0"/>
              <w:spacing w:line="360" w:lineRule="auto"/>
              <w:jc w:val="center"/>
              <w:rPr>
                <w:rFonts w:ascii="宋体" w:hAnsi="宋体" w:cs="Arial"/>
                <w:sz w:val="18"/>
                <w:szCs w:val="18"/>
              </w:rPr>
            </w:pPr>
          </w:p>
          <w:p>
            <w:pPr>
              <w:adjustRightInd w:val="0"/>
              <w:snapToGrid w:val="0"/>
              <w:spacing w:line="360" w:lineRule="auto"/>
              <w:jc w:val="center"/>
              <w:rPr>
                <w:rFonts w:ascii="宋体" w:hAnsi="宋体"/>
                <w:sz w:val="15"/>
                <w:szCs w:val="15"/>
              </w:rPr>
            </w:pPr>
            <w:r>
              <w:rPr>
                <w:rFonts w:hint="eastAsia" w:ascii="宋体" w:hAnsi="宋体"/>
                <w:sz w:val="15"/>
                <w:szCs w:val="15"/>
              </w:rPr>
              <w:t>DC24V</w:t>
            </w:r>
          </w:p>
        </w:tc>
        <w:tc>
          <w:tcPr>
            <w:tcW w:w="3053" w:type="dxa"/>
            <w:vAlign w:val="center"/>
          </w:tcPr>
          <w:p>
            <w:pPr>
              <w:adjustRightInd w:val="0"/>
              <w:snapToGrid w:val="0"/>
              <w:spacing w:line="360" w:lineRule="auto"/>
              <w:jc w:val="left"/>
              <w:rPr>
                <w:rFonts w:hint="eastAsia" w:ascii="宋体" w:hAnsi="宋体"/>
                <w:sz w:val="15"/>
                <w:szCs w:val="15"/>
              </w:rPr>
            </w:pPr>
            <w:r>
              <w:rPr>
                <w:rFonts w:hint="eastAsia" w:ascii="宋体" w:hAnsi="宋体"/>
                <w:sz w:val="15"/>
                <w:szCs w:val="15"/>
              </w:rPr>
              <w:t>额定输入电压：AC220V±10%；50±5Hz</w:t>
            </w:r>
          </w:p>
          <w:p>
            <w:pPr>
              <w:adjustRightInd w:val="0"/>
              <w:snapToGrid w:val="0"/>
              <w:spacing w:line="360" w:lineRule="auto"/>
              <w:jc w:val="left"/>
              <w:rPr>
                <w:rFonts w:hint="eastAsia" w:ascii="宋体" w:hAnsi="宋体"/>
                <w:sz w:val="15"/>
                <w:szCs w:val="15"/>
              </w:rPr>
            </w:pPr>
            <w:r>
              <w:rPr>
                <w:rFonts w:hint="eastAsia" w:ascii="宋体" w:hAnsi="宋体"/>
                <w:sz w:val="15"/>
                <w:szCs w:val="15"/>
              </w:rPr>
              <w:t>额定输出电压：DC24V±1V</w:t>
            </w:r>
          </w:p>
          <w:p>
            <w:pPr>
              <w:adjustRightInd w:val="0"/>
              <w:snapToGrid w:val="0"/>
              <w:spacing w:line="360" w:lineRule="auto"/>
              <w:jc w:val="left"/>
              <w:rPr>
                <w:rFonts w:hint="eastAsia" w:ascii="宋体" w:hAnsi="宋体"/>
                <w:sz w:val="15"/>
                <w:szCs w:val="15"/>
              </w:rPr>
            </w:pPr>
            <w:r>
              <w:rPr>
                <w:rFonts w:hint="eastAsia" w:ascii="宋体" w:hAnsi="宋体"/>
                <w:sz w:val="15"/>
                <w:szCs w:val="15"/>
              </w:rPr>
              <w:t>额定输出电流：10A</w:t>
            </w:r>
          </w:p>
          <w:p>
            <w:pPr>
              <w:adjustRightInd w:val="0"/>
              <w:snapToGrid w:val="0"/>
              <w:spacing w:line="360" w:lineRule="auto"/>
              <w:jc w:val="left"/>
              <w:rPr>
                <w:rFonts w:hint="eastAsia" w:ascii="宋体" w:hAnsi="宋体"/>
                <w:sz w:val="15"/>
                <w:szCs w:val="15"/>
              </w:rPr>
            </w:pPr>
            <w:r>
              <w:rPr>
                <w:rFonts w:hint="eastAsia" w:ascii="宋体" w:hAnsi="宋体"/>
                <w:sz w:val="15"/>
                <w:szCs w:val="15"/>
              </w:rPr>
              <w:t>最大充电电压：≤28V</w:t>
            </w:r>
          </w:p>
          <w:p>
            <w:pPr>
              <w:adjustRightInd w:val="0"/>
              <w:snapToGrid w:val="0"/>
              <w:spacing w:line="360" w:lineRule="auto"/>
              <w:jc w:val="left"/>
              <w:rPr>
                <w:rFonts w:hint="eastAsia" w:ascii="宋体" w:hAnsi="宋体"/>
                <w:sz w:val="15"/>
                <w:szCs w:val="15"/>
              </w:rPr>
            </w:pPr>
            <w:r>
              <w:rPr>
                <w:rFonts w:hint="eastAsia" w:ascii="宋体" w:hAnsi="宋体"/>
                <w:sz w:val="15"/>
                <w:szCs w:val="15"/>
              </w:rPr>
              <w:t>最大充电电流：2.5A</w:t>
            </w:r>
          </w:p>
          <w:p>
            <w:pPr>
              <w:adjustRightInd w:val="0"/>
              <w:snapToGrid w:val="0"/>
              <w:spacing w:line="360" w:lineRule="auto"/>
              <w:jc w:val="left"/>
              <w:rPr>
                <w:rFonts w:hint="eastAsia" w:ascii="宋体" w:hAnsi="宋体"/>
                <w:sz w:val="15"/>
                <w:szCs w:val="15"/>
              </w:rPr>
            </w:pPr>
            <w:r>
              <w:rPr>
                <w:rFonts w:hint="eastAsia" w:ascii="宋体" w:hAnsi="宋体"/>
                <w:sz w:val="15"/>
                <w:szCs w:val="15"/>
              </w:rPr>
              <w:t>推荐蓄电池配置：12V28Ah</w:t>
            </w:r>
          </w:p>
          <w:p>
            <w:pPr>
              <w:adjustRightInd w:val="0"/>
              <w:snapToGrid w:val="0"/>
              <w:spacing w:line="360" w:lineRule="auto"/>
              <w:jc w:val="left"/>
              <w:rPr>
                <w:rFonts w:ascii="宋体" w:hAnsi="宋体"/>
                <w:sz w:val="15"/>
                <w:szCs w:val="15"/>
              </w:rPr>
            </w:pPr>
            <w:r>
              <w:rPr>
                <w:rFonts w:hint="eastAsia" w:ascii="宋体" w:hAnsi="宋体"/>
                <w:sz w:val="15"/>
                <w:szCs w:val="15"/>
              </w:rPr>
              <w:t>开关电源配置电源箱，不小于250*300*150mm。</w:t>
            </w:r>
          </w:p>
        </w:tc>
        <w:tc>
          <w:tcPr>
            <w:tcW w:w="64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套</w:t>
            </w:r>
          </w:p>
        </w:tc>
        <w:tc>
          <w:tcPr>
            <w:tcW w:w="613"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3</w:t>
            </w:r>
          </w:p>
        </w:tc>
        <w:tc>
          <w:tcPr>
            <w:tcW w:w="765" w:type="dxa"/>
          </w:tcPr>
          <w:p>
            <w:pPr>
              <w:adjustRightInd w:val="0"/>
              <w:snapToGrid w:val="0"/>
              <w:spacing w:line="360" w:lineRule="auto"/>
              <w:jc w:val="center"/>
              <w:rPr>
                <w:rFonts w:ascii="宋体" w:hAnsi="宋体"/>
                <w:sz w:val="15"/>
                <w:szCs w:val="15"/>
              </w:rPr>
            </w:pPr>
          </w:p>
        </w:tc>
        <w:tc>
          <w:tcPr>
            <w:tcW w:w="965" w:type="dxa"/>
          </w:tcPr>
          <w:p>
            <w:pPr>
              <w:adjustRightInd w:val="0"/>
              <w:snapToGrid w:val="0"/>
              <w:spacing w:line="360" w:lineRule="auto"/>
              <w:jc w:val="center"/>
              <w:rPr>
                <w:rFonts w:ascii="宋体" w:hAnsi="宋体"/>
                <w:sz w:val="15"/>
                <w:szCs w:val="15"/>
              </w:rPr>
            </w:pPr>
          </w:p>
        </w:tc>
        <w:tc>
          <w:tcPr>
            <w:tcW w:w="725" w:type="dxa"/>
            <w:vAlign w:val="center"/>
          </w:tcPr>
          <w:p>
            <w:pPr>
              <w:adjustRightInd w:val="0"/>
              <w:snapToGrid w:val="0"/>
              <w:spacing w:line="360" w:lineRule="auto"/>
              <w:jc w:val="left"/>
              <w:rPr>
                <w:rFonts w:hint="eastAsia" w:ascii="宋体" w:hAnsi="宋体"/>
                <w:sz w:val="15"/>
                <w:szCs w:val="15"/>
              </w:rPr>
            </w:pPr>
            <w:r>
              <w:rPr>
                <w:rFonts w:hint="eastAsia" w:ascii="宋体" w:hAnsi="宋体"/>
                <w:sz w:val="15"/>
                <w:szCs w:val="15"/>
              </w:rPr>
              <w:t>含安装</w:t>
            </w:r>
          </w:p>
          <w:p>
            <w:pPr>
              <w:adjustRightInd w:val="0"/>
              <w:snapToGrid w:val="0"/>
              <w:spacing w:line="360" w:lineRule="auto"/>
              <w:jc w:val="center"/>
              <w:rPr>
                <w:rFonts w:ascii="宋体" w:hAnsi="宋体"/>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13" w:hRule="atLeast"/>
        </w:trPr>
        <w:tc>
          <w:tcPr>
            <w:tcW w:w="543"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4</w:t>
            </w:r>
          </w:p>
        </w:tc>
        <w:tc>
          <w:tcPr>
            <w:tcW w:w="87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*机器人升降云台</w:t>
            </w:r>
          </w:p>
        </w:tc>
        <w:tc>
          <w:tcPr>
            <w:tcW w:w="564" w:type="dxa"/>
            <w:vAlign w:val="center"/>
          </w:tcPr>
          <w:p>
            <w:pPr>
              <w:adjustRightInd w:val="0"/>
              <w:snapToGrid w:val="0"/>
              <w:spacing w:line="360" w:lineRule="auto"/>
              <w:jc w:val="center"/>
              <w:rPr>
                <w:rFonts w:ascii="宋体" w:hAnsi="宋体"/>
                <w:sz w:val="15"/>
                <w:szCs w:val="15"/>
              </w:rPr>
            </w:pPr>
          </w:p>
        </w:tc>
        <w:tc>
          <w:tcPr>
            <w:tcW w:w="87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垂直升降距离:2m</w:t>
            </w:r>
          </w:p>
        </w:tc>
        <w:tc>
          <w:tcPr>
            <w:tcW w:w="3053" w:type="dxa"/>
            <w:vAlign w:val="center"/>
          </w:tcPr>
          <w:p>
            <w:pPr>
              <w:adjustRightInd w:val="0"/>
              <w:snapToGrid w:val="0"/>
              <w:spacing w:line="360" w:lineRule="auto"/>
              <w:jc w:val="left"/>
              <w:rPr>
                <w:rFonts w:hint="eastAsia" w:ascii="宋体" w:hAnsi="宋体"/>
                <w:sz w:val="15"/>
                <w:szCs w:val="15"/>
              </w:rPr>
            </w:pPr>
            <w:r>
              <w:rPr>
                <w:rFonts w:hint="eastAsia" w:ascii="宋体" w:hAnsi="宋体"/>
                <w:sz w:val="15"/>
                <w:szCs w:val="15"/>
              </w:rPr>
              <w:t>尺寸:长*宽*高26*26*30cm</w:t>
            </w:r>
          </w:p>
          <w:p>
            <w:pPr>
              <w:adjustRightInd w:val="0"/>
              <w:snapToGrid w:val="0"/>
              <w:spacing w:line="360" w:lineRule="auto"/>
              <w:jc w:val="left"/>
              <w:rPr>
                <w:rFonts w:hint="eastAsia" w:ascii="宋体" w:hAnsi="宋体"/>
                <w:sz w:val="15"/>
                <w:szCs w:val="15"/>
              </w:rPr>
            </w:pPr>
            <w:r>
              <w:rPr>
                <w:rFonts w:hint="eastAsia" w:ascii="宋体" w:hAnsi="宋体"/>
                <w:sz w:val="15"/>
                <w:szCs w:val="15"/>
              </w:rPr>
              <w:t>重量：6~9kg</w:t>
            </w:r>
          </w:p>
          <w:p>
            <w:pPr>
              <w:adjustRightInd w:val="0"/>
              <w:snapToGrid w:val="0"/>
              <w:spacing w:line="360" w:lineRule="auto"/>
              <w:jc w:val="left"/>
              <w:rPr>
                <w:rFonts w:hint="eastAsia" w:ascii="宋体" w:hAnsi="宋体"/>
                <w:sz w:val="15"/>
                <w:szCs w:val="15"/>
              </w:rPr>
            </w:pPr>
            <w:r>
              <w:rPr>
                <w:rFonts w:hint="eastAsia" w:ascii="宋体" w:hAnsi="宋体"/>
                <w:sz w:val="15"/>
                <w:szCs w:val="15"/>
              </w:rPr>
              <w:t>垂直升降距离:2m</w:t>
            </w:r>
          </w:p>
          <w:p>
            <w:pPr>
              <w:adjustRightInd w:val="0"/>
              <w:snapToGrid w:val="0"/>
              <w:spacing w:line="360" w:lineRule="auto"/>
              <w:jc w:val="left"/>
              <w:rPr>
                <w:rFonts w:hint="eastAsia" w:ascii="宋体" w:hAnsi="宋体"/>
                <w:sz w:val="15"/>
                <w:szCs w:val="15"/>
              </w:rPr>
            </w:pPr>
            <w:r>
              <w:rPr>
                <w:rFonts w:hint="eastAsia" w:ascii="宋体" w:hAnsi="宋体"/>
                <w:sz w:val="15"/>
                <w:szCs w:val="15"/>
              </w:rPr>
              <w:t>垂直升降速度:0.9~3.6m/min</w:t>
            </w:r>
          </w:p>
          <w:p>
            <w:pPr>
              <w:adjustRightInd w:val="0"/>
              <w:snapToGrid w:val="0"/>
              <w:spacing w:line="360" w:lineRule="auto"/>
              <w:jc w:val="left"/>
              <w:rPr>
                <w:rFonts w:hint="eastAsia" w:ascii="宋体" w:hAnsi="宋体"/>
                <w:sz w:val="15"/>
                <w:szCs w:val="15"/>
              </w:rPr>
            </w:pPr>
            <w:r>
              <w:rPr>
                <w:rFonts w:hint="eastAsia" w:ascii="宋体" w:hAnsi="宋体"/>
                <w:sz w:val="15"/>
                <w:szCs w:val="15"/>
              </w:rPr>
              <w:t>升降云台结构:交叉套叠式</w:t>
            </w:r>
          </w:p>
          <w:p>
            <w:pPr>
              <w:adjustRightInd w:val="0"/>
              <w:snapToGrid w:val="0"/>
              <w:spacing w:line="360" w:lineRule="auto"/>
              <w:jc w:val="left"/>
              <w:rPr>
                <w:rFonts w:hint="eastAsia" w:ascii="宋体" w:hAnsi="宋体"/>
                <w:sz w:val="15"/>
                <w:szCs w:val="15"/>
              </w:rPr>
            </w:pPr>
            <w:r>
              <w:rPr>
                <w:rFonts w:hint="eastAsia" w:ascii="宋体" w:hAnsi="宋体"/>
                <w:sz w:val="15"/>
                <w:szCs w:val="15"/>
              </w:rPr>
              <w:t>升降云台最大载重:20kg</w:t>
            </w:r>
          </w:p>
          <w:p>
            <w:pPr>
              <w:adjustRightInd w:val="0"/>
              <w:snapToGrid w:val="0"/>
              <w:spacing w:line="360" w:lineRule="auto"/>
              <w:jc w:val="left"/>
              <w:rPr>
                <w:rFonts w:ascii="宋体" w:hAnsi="宋体"/>
                <w:sz w:val="15"/>
                <w:szCs w:val="15"/>
              </w:rPr>
            </w:pPr>
            <w:r>
              <w:rPr>
                <w:rFonts w:hint="eastAsia" w:ascii="宋体" w:hAnsi="宋体"/>
                <w:sz w:val="15"/>
                <w:szCs w:val="15"/>
              </w:rPr>
              <w:t>保证升降时的平稳性及信号、供电畅通性升降运动控制机构，由电机、牵引带、摩擦轮、旋转编码器、轴承座、螺板、行程开关、接插座等构成。</w:t>
            </w:r>
          </w:p>
        </w:tc>
        <w:tc>
          <w:tcPr>
            <w:tcW w:w="64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套</w:t>
            </w:r>
          </w:p>
        </w:tc>
        <w:tc>
          <w:tcPr>
            <w:tcW w:w="613"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1</w:t>
            </w:r>
          </w:p>
        </w:tc>
        <w:tc>
          <w:tcPr>
            <w:tcW w:w="765" w:type="dxa"/>
          </w:tcPr>
          <w:p>
            <w:pPr>
              <w:adjustRightInd w:val="0"/>
              <w:snapToGrid w:val="0"/>
              <w:spacing w:line="360" w:lineRule="auto"/>
              <w:jc w:val="center"/>
              <w:rPr>
                <w:rFonts w:ascii="宋体" w:hAnsi="宋体"/>
                <w:sz w:val="15"/>
                <w:szCs w:val="15"/>
              </w:rPr>
            </w:pPr>
          </w:p>
        </w:tc>
        <w:tc>
          <w:tcPr>
            <w:tcW w:w="965" w:type="dxa"/>
          </w:tcPr>
          <w:p>
            <w:pPr>
              <w:adjustRightInd w:val="0"/>
              <w:snapToGrid w:val="0"/>
              <w:spacing w:line="360" w:lineRule="auto"/>
              <w:jc w:val="center"/>
              <w:rPr>
                <w:rFonts w:ascii="宋体" w:hAnsi="宋体"/>
                <w:sz w:val="15"/>
                <w:szCs w:val="15"/>
              </w:rPr>
            </w:pPr>
          </w:p>
        </w:tc>
        <w:tc>
          <w:tcPr>
            <w:tcW w:w="725" w:type="dxa"/>
          </w:tcPr>
          <w:p>
            <w:pPr>
              <w:adjustRightInd w:val="0"/>
              <w:snapToGrid w:val="0"/>
              <w:spacing w:line="360" w:lineRule="auto"/>
              <w:jc w:val="center"/>
              <w:rPr>
                <w:rFonts w:ascii="宋体" w:hAnsi="宋体"/>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66" w:hRule="atLeast"/>
        </w:trPr>
        <w:tc>
          <w:tcPr>
            <w:tcW w:w="543"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5</w:t>
            </w:r>
          </w:p>
        </w:tc>
        <w:tc>
          <w:tcPr>
            <w:tcW w:w="87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*红外热传感模块</w:t>
            </w:r>
          </w:p>
        </w:tc>
        <w:tc>
          <w:tcPr>
            <w:tcW w:w="564" w:type="dxa"/>
            <w:vAlign w:val="center"/>
          </w:tcPr>
          <w:p>
            <w:pPr>
              <w:adjustRightInd w:val="0"/>
              <w:snapToGrid w:val="0"/>
              <w:spacing w:line="360" w:lineRule="auto"/>
              <w:jc w:val="center"/>
              <w:rPr>
                <w:rFonts w:ascii="宋体" w:hAnsi="宋体"/>
                <w:sz w:val="15"/>
                <w:szCs w:val="15"/>
              </w:rPr>
            </w:pPr>
          </w:p>
        </w:tc>
        <w:tc>
          <w:tcPr>
            <w:tcW w:w="87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尺寸：长*宽*高67*45*45 mm</w:t>
            </w:r>
          </w:p>
        </w:tc>
        <w:tc>
          <w:tcPr>
            <w:tcW w:w="3053" w:type="dxa"/>
            <w:vAlign w:val="center"/>
          </w:tcPr>
          <w:p>
            <w:pPr>
              <w:adjustRightInd w:val="0"/>
              <w:snapToGrid w:val="0"/>
              <w:spacing w:line="360" w:lineRule="auto"/>
              <w:jc w:val="left"/>
              <w:rPr>
                <w:rFonts w:hint="eastAsia" w:ascii="宋体" w:hAnsi="宋体"/>
                <w:sz w:val="15"/>
                <w:szCs w:val="15"/>
              </w:rPr>
            </w:pPr>
            <w:r>
              <w:rPr>
                <w:rFonts w:hint="eastAsia" w:ascii="宋体" w:hAnsi="宋体"/>
                <w:sz w:val="15"/>
                <w:szCs w:val="15"/>
              </w:rPr>
              <w:t>热成像功能：</w:t>
            </w:r>
          </w:p>
          <w:p>
            <w:pPr>
              <w:adjustRightInd w:val="0"/>
              <w:snapToGrid w:val="0"/>
              <w:spacing w:line="360" w:lineRule="auto"/>
              <w:jc w:val="left"/>
              <w:rPr>
                <w:rFonts w:hint="eastAsia" w:ascii="宋体" w:hAnsi="宋体"/>
                <w:sz w:val="15"/>
                <w:szCs w:val="15"/>
              </w:rPr>
            </w:pPr>
            <w:r>
              <w:rPr>
                <w:rFonts w:hint="eastAsia" w:ascii="宋体" w:hAnsi="宋体"/>
                <w:sz w:val="15"/>
                <w:szCs w:val="15"/>
              </w:rPr>
              <w:t>热成像定焦镜头4mm，最小聚焦距离0.3m</w:t>
            </w:r>
          </w:p>
          <w:p>
            <w:pPr>
              <w:adjustRightInd w:val="0"/>
              <w:snapToGrid w:val="0"/>
              <w:spacing w:line="360" w:lineRule="auto"/>
              <w:jc w:val="left"/>
              <w:rPr>
                <w:rFonts w:hint="eastAsia" w:ascii="宋体" w:hAnsi="宋体"/>
                <w:sz w:val="15"/>
                <w:szCs w:val="15"/>
              </w:rPr>
            </w:pPr>
            <w:r>
              <w:rPr>
                <w:rFonts w:hint="eastAsia" w:ascii="宋体" w:hAnsi="宋体"/>
                <w:sz w:val="15"/>
                <w:szCs w:val="15"/>
              </w:rPr>
              <w:t>分辨率384*288，高灵敏度探测器，支持对比度调节</w:t>
            </w:r>
          </w:p>
          <w:p>
            <w:pPr>
              <w:adjustRightInd w:val="0"/>
              <w:snapToGrid w:val="0"/>
              <w:spacing w:line="360" w:lineRule="auto"/>
              <w:jc w:val="left"/>
              <w:rPr>
                <w:rFonts w:hint="eastAsia" w:ascii="宋体" w:hAnsi="宋体"/>
                <w:sz w:val="15"/>
                <w:szCs w:val="15"/>
              </w:rPr>
            </w:pPr>
            <w:r>
              <w:rPr>
                <w:rFonts w:hint="eastAsia" w:ascii="宋体" w:hAnsi="宋体"/>
                <w:sz w:val="15"/>
                <w:szCs w:val="15"/>
              </w:rPr>
              <w:t>最高温十字定位</w:t>
            </w:r>
          </w:p>
          <w:p>
            <w:pPr>
              <w:adjustRightInd w:val="0"/>
              <w:snapToGrid w:val="0"/>
              <w:spacing w:line="360" w:lineRule="auto"/>
              <w:jc w:val="left"/>
              <w:rPr>
                <w:rFonts w:hint="eastAsia" w:ascii="宋体" w:hAnsi="宋体"/>
                <w:sz w:val="15"/>
                <w:szCs w:val="15"/>
              </w:rPr>
            </w:pPr>
            <w:r>
              <w:rPr>
                <w:rFonts w:hint="eastAsia" w:ascii="宋体" w:hAnsi="宋体"/>
                <w:sz w:val="15"/>
                <w:szCs w:val="15"/>
              </w:rPr>
              <w:t>支持点、线、框测温</w:t>
            </w:r>
          </w:p>
          <w:p>
            <w:pPr>
              <w:adjustRightInd w:val="0"/>
              <w:snapToGrid w:val="0"/>
              <w:spacing w:line="360" w:lineRule="auto"/>
              <w:jc w:val="left"/>
              <w:rPr>
                <w:rFonts w:hint="eastAsia" w:ascii="宋体" w:hAnsi="宋体"/>
                <w:sz w:val="15"/>
                <w:szCs w:val="15"/>
              </w:rPr>
            </w:pPr>
            <w:r>
              <w:rPr>
                <w:rFonts w:hint="eastAsia" w:ascii="宋体" w:hAnsi="宋体"/>
                <w:sz w:val="15"/>
                <w:szCs w:val="15"/>
              </w:rPr>
              <w:t>测温范围：-20-150℃或0-550℃</w:t>
            </w:r>
          </w:p>
          <w:p>
            <w:pPr>
              <w:adjustRightInd w:val="0"/>
              <w:snapToGrid w:val="0"/>
              <w:spacing w:line="360" w:lineRule="auto"/>
              <w:jc w:val="left"/>
              <w:rPr>
                <w:rFonts w:hint="eastAsia" w:ascii="宋体" w:hAnsi="宋体"/>
                <w:sz w:val="15"/>
                <w:szCs w:val="15"/>
              </w:rPr>
            </w:pPr>
            <w:r>
              <w:rPr>
                <w:rFonts w:hint="eastAsia" w:ascii="宋体" w:hAnsi="宋体"/>
                <w:sz w:val="15"/>
                <w:szCs w:val="15"/>
              </w:rPr>
              <w:t>测温精度：±2℃或者读数的±2%（取最大值）</w:t>
            </w:r>
          </w:p>
          <w:p>
            <w:pPr>
              <w:adjustRightInd w:val="0"/>
              <w:snapToGrid w:val="0"/>
              <w:spacing w:line="360" w:lineRule="auto"/>
              <w:jc w:val="left"/>
              <w:rPr>
                <w:rFonts w:hint="eastAsia" w:ascii="宋体" w:hAnsi="宋体"/>
                <w:sz w:val="15"/>
                <w:szCs w:val="15"/>
              </w:rPr>
            </w:pPr>
            <w:r>
              <w:rPr>
                <w:rFonts w:hint="eastAsia" w:ascii="宋体" w:hAnsi="宋体"/>
                <w:sz w:val="15"/>
                <w:szCs w:val="15"/>
              </w:rPr>
              <w:t>电源输入DC12V</w:t>
            </w:r>
          </w:p>
          <w:p>
            <w:pPr>
              <w:adjustRightInd w:val="0"/>
              <w:snapToGrid w:val="0"/>
              <w:spacing w:line="360" w:lineRule="auto"/>
              <w:jc w:val="left"/>
              <w:rPr>
                <w:rFonts w:hint="eastAsia" w:ascii="宋体" w:hAnsi="宋体"/>
                <w:sz w:val="15"/>
                <w:szCs w:val="15"/>
              </w:rPr>
            </w:pPr>
            <w:r>
              <w:rPr>
                <w:rFonts w:hint="eastAsia" w:ascii="宋体" w:hAnsi="宋体"/>
                <w:sz w:val="15"/>
                <w:szCs w:val="15"/>
              </w:rPr>
              <w:t>功率2W</w:t>
            </w:r>
          </w:p>
          <w:p>
            <w:pPr>
              <w:adjustRightInd w:val="0"/>
              <w:snapToGrid w:val="0"/>
              <w:spacing w:line="360" w:lineRule="auto"/>
              <w:jc w:val="left"/>
              <w:rPr>
                <w:rFonts w:hint="eastAsia" w:ascii="宋体" w:hAnsi="宋体"/>
                <w:sz w:val="15"/>
                <w:szCs w:val="15"/>
              </w:rPr>
            </w:pPr>
            <w:r>
              <w:rPr>
                <w:rFonts w:hint="eastAsia" w:ascii="宋体" w:hAnsi="宋体"/>
                <w:sz w:val="15"/>
                <w:szCs w:val="15"/>
              </w:rPr>
              <w:t>工作温度和湿度-20℃~50℃，＜90% RH</w:t>
            </w:r>
          </w:p>
          <w:p>
            <w:pPr>
              <w:adjustRightInd w:val="0"/>
              <w:snapToGrid w:val="0"/>
              <w:spacing w:line="360" w:lineRule="auto"/>
              <w:jc w:val="left"/>
              <w:rPr>
                <w:rFonts w:hint="eastAsia" w:ascii="宋体" w:hAnsi="宋体"/>
                <w:sz w:val="15"/>
                <w:szCs w:val="15"/>
              </w:rPr>
            </w:pPr>
            <w:r>
              <w:rPr>
                <w:rFonts w:hint="eastAsia" w:ascii="宋体" w:hAnsi="宋体"/>
                <w:sz w:val="15"/>
                <w:szCs w:val="15"/>
              </w:rPr>
              <w:t>重量120g</w:t>
            </w:r>
          </w:p>
          <w:p>
            <w:pPr>
              <w:adjustRightInd w:val="0"/>
              <w:snapToGrid w:val="0"/>
              <w:spacing w:line="360" w:lineRule="auto"/>
              <w:jc w:val="left"/>
              <w:rPr>
                <w:rFonts w:hint="eastAsia" w:ascii="宋体" w:hAnsi="宋体"/>
                <w:sz w:val="15"/>
                <w:szCs w:val="15"/>
              </w:rPr>
            </w:pPr>
            <w:r>
              <w:rPr>
                <w:rFonts w:hint="eastAsia" w:ascii="宋体" w:hAnsi="宋体"/>
                <w:sz w:val="15"/>
                <w:szCs w:val="15"/>
              </w:rPr>
              <w:t>尺寸：长*宽*高67* 45 *45 mm</w:t>
            </w:r>
          </w:p>
          <w:p>
            <w:pPr>
              <w:adjustRightInd w:val="0"/>
              <w:snapToGrid w:val="0"/>
              <w:spacing w:line="360" w:lineRule="auto"/>
              <w:jc w:val="left"/>
              <w:rPr>
                <w:rFonts w:ascii="宋体" w:hAnsi="宋体"/>
                <w:sz w:val="15"/>
                <w:szCs w:val="15"/>
              </w:rPr>
            </w:pPr>
            <w:r>
              <w:rPr>
                <w:rFonts w:hint="eastAsia" w:ascii="宋体" w:hAnsi="宋体"/>
                <w:sz w:val="15"/>
                <w:szCs w:val="15"/>
              </w:rPr>
              <w:t>安装M3螺纹口。</w:t>
            </w:r>
          </w:p>
        </w:tc>
        <w:tc>
          <w:tcPr>
            <w:tcW w:w="64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套</w:t>
            </w:r>
          </w:p>
        </w:tc>
        <w:tc>
          <w:tcPr>
            <w:tcW w:w="613"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1</w:t>
            </w:r>
          </w:p>
        </w:tc>
        <w:tc>
          <w:tcPr>
            <w:tcW w:w="765" w:type="dxa"/>
          </w:tcPr>
          <w:p>
            <w:pPr>
              <w:adjustRightInd w:val="0"/>
              <w:snapToGrid w:val="0"/>
              <w:spacing w:line="360" w:lineRule="auto"/>
              <w:jc w:val="center"/>
              <w:rPr>
                <w:rFonts w:ascii="宋体" w:hAnsi="宋体"/>
                <w:sz w:val="15"/>
                <w:szCs w:val="15"/>
              </w:rPr>
            </w:pPr>
          </w:p>
        </w:tc>
        <w:tc>
          <w:tcPr>
            <w:tcW w:w="965" w:type="dxa"/>
          </w:tcPr>
          <w:p>
            <w:pPr>
              <w:adjustRightInd w:val="0"/>
              <w:snapToGrid w:val="0"/>
              <w:spacing w:line="360" w:lineRule="auto"/>
              <w:jc w:val="center"/>
              <w:rPr>
                <w:rFonts w:ascii="宋体" w:hAnsi="宋体"/>
                <w:sz w:val="15"/>
                <w:szCs w:val="15"/>
              </w:rPr>
            </w:pPr>
          </w:p>
        </w:tc>
        <w:tc>
          <w:tcPr>
            <w:tcW w:w="725" w:type="dxa"/>
          </w:tcPr>
          <w:p>
            <w:pPr>
              <w:adjustRightInd w:val="0"/>
              <w:snapToGrid w:val="0"/>
              <w:spacing w:line="360" w:lineRule="auto"/>
              <w:jc w:val="center"/>
              <w:rPr>
                <w:rFonts w:ascii="宋体" w:hAnsi="宋体"/>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5" w:hRule="atLeast"/>
        </w:trPr>
        <w:tc>
          <w:tcPr>
            <w:tcW w:w="543"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6</w:t>
            </w:r>
          </w:p>
        </w:tc>
        <w:tc>
          <w:tcPr>
            <w:tcW w:w="87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*机器人电源模块</w:t>
            </w:r>
          </w:p>
        </w:tc>
        <w:tc>
          <w:tcPr>
            <w:tcW w:w="564" w:type="dxa"/>
            <w:vAlign w:val="center"/>
          </w:tcPr>
          <w:p>
            <w:pPr>
              <w:adjustRightInd w:val="0"/>
              <w:snapToGrid w:val="0"/>
              <w:spacing w:line="360" w:lineRule="auto"/>
              <w:jc w:val="center"/>
              <w:rPr>
                <w:rFonts w:ascii="宋体" w:hAnsi="宋体"/>
                <w:sz w:val="15"/>
                <w:szCs w:val="15"/>
              </w:rPr>
            </w:pPr>
          </w:p>
        </w:tc>
        <w:tc>
          <w:tcPr>
            <w:tcW w:w="87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尺寸：长*宽*高110*78*36mm</w:t>
            </w:r>
          </w:p>
        </w:tc>
        <w:tc>
          <w:tcPr>
            <w:tcW w:w="3053" w:type="dxa"/>
            <w:vAlign w:val="center"/>
          </w:tcPr>
          <w:p>
            <w:pPr>
              <w:adjustRightInd w:val="0"/>
              <w:snapToGrid w:val="0"/>
              <w:spacing w:line="360" w:lineRule="auto"/>
              <w:jc w:val="left"/>
              <w:rPr>
                <w:rFonts w:hint="eastAsia" w:ascii="宋体" w:hAnsi="宋体"/>
                <w:sz w:val="15"/>
                <w:szCs w:val="15"/>
              </w:rPr>
            </w:pPr>
            <w:r>
              <w:rPr>
                <w:rFonts w:hint="eastAsia" w:ascii="宋体" w:hAnsi="宋体"/>
                <w:sz w:val="15"/>
                <w:szCs w:val="15"/>
              </w:rPr>
              <w:t>24VDC 3A开关电源，尺寸：长*宽*高110*78*36mm ，数量2个，</w:t>
            </w:r>
          </w:p>
          <w:p>
            <w:pPr>
              <w:adjustRightInd w:val="0"/>
              <w:snapToGrid w:val="0"/>
              <w:spacing w:line="360" w:lineRule="auto"/>
              <w:jc w:val="left"/>
              <w:rPr>
                <w:rFonts w:ascii="宋体" w:hAnsi="宋体"/>
                <w:sz w:val="15"/>
                <w:szCs w:val="15"/>
              </w:rPr>
            </w:pPr>
            <w:r>
              <w:rPr>
                <w:rFonts w:hint="eastAsia" w:ascii="宋体" w:hAnsi="宋体"/>
                <w:sz w:val="15"/>
                <w:szCs w:val="15"/>
              </w:rPr>
              <w:t>12VDC 5A开关电源，尺寸：长*宽*高110*78*36mm ，数量2个。</w:t>
            </w:r>
          </w:p>
        </w:tc>
        <w:tc>
          <w:tcPr>
            <w:tcW w:w="64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套</w:t>
            </w:r>
          </w:p>
        </w:tc>
        <w:tc>
          <w:tcPr>
            <w:tcW w:w="613"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1</w:t>
            </w:r>
          </w:p>
        </w:tc>
        <w:tc>
          <w:tcPr>
            <w:tcW w:w="765" w:type="dxa"/>
          </w:tcPr>
          <w:p>
            <w:pPr>
              <w:adjustRightInd w:val="0"/>
              <w:snapToGrid w:val="0"/>
              <w:spacing w:line="360" w:lineRule="auto"/>
              <w:jc w:val="center"/>
              <w:rPr>
                <w:rFonts w:ascii="宋体" w:hAnsi="宋体"/>
                <w:sz w:val="15"/>
                <w:szCs w:val="15"/>
              </w:rPr>
            </w:pPr>
          </w:p>
        </w:tc>
        <w:tc>
          <w:tcPr>
            <w:tcW w:w="965" w:type="dxa"/>
          </w:tcPr>
          <w:p>
            <w:pPr>
              <w:adjustRightInd w:val="0"/>
              <w:snapToGrid w:val="0"/>
              <w:spacing w:line="360" w:lineRule="auto"/>
              <w:jc w:val="center"/>
              <w:rPr>
                <w:rFonts w:ascii="宋体" w:hAnsi="宋体"/>
                <w:sz w:val="15"/>
                <w:szCs w:val="15"/>
              </w:rPr>
            </w:pPr>
          </w:p>
        </w:tc>
        <w:tc>
          <w:tcPr>
            <w:tcW w:w="725" w:type="dxa"/>
          </w:tcPr>
          <w:p>
            <w:pPr>
              <w:adjustRightInd w:val="0"/>
              <w:snapToGrid w:val="0"/>
              <w:spacing w:line="360" w:lineRule="auto"/>
              <w:jc w:val="center"/>
              <w:rPr>
                <w:rFonts w:ascii="宋体" w:hAnsi="宋体"/>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04" w:hRule="atLeast"/>
        </w:trPr>
        <w:tc>
          <w:tcPr>
            <w:tcW w:w="543" w:type="dxa"/>
            <w:vAlign w:val="center"/>
          </w:tcPr>
          <w:p>
            <w:pPr>
              <w:adjustRightInd w:val="0"/>
              <w:snapToGrid w:val="0"/>
              <w:spacing w:line="360" w:lineRule="auto"/>
              <w:jc w:val="center"/>
              <w:rPr>
                <w:rFonts w:hint="default" w:ascii="宋体" w:hAnsi="宋体" w:eastAsia="宋体" w:cs="Times New Roman"/>
                <w:kern w:val="2"/>
                <w:sz w:val="15"/>
                <w:szCs w:val="15"/>
                <w:lang w:val="en-US" w:eastAsia="zh-CN" w:bidi="ar-SA"/>
              </w:rPr>
            </w:pPr>
            <w:r>
              <w:rPr>
                <w:rFonts w:hint="eastAsia" w:ascii="宋体" w:hAnsi="宋体" w:cs="Times New Roman"/>
                <w:kern w:val="2"/>
                <w:sz w:val="15"/>
                <w:szCs w:val="15"/>
                <w:lang w:val="en-US" w:eastAsia="zh-CN" w:bidi="ar-SA"/>
              </w:rPr>
              <w:t>7</w:t>
            </w:r>
          </w:p>
        </w:tc>
        <w:tc>
          <w:tcPr>
            <w:tcW w:w="874" w:type="dxa"/>
            <w:vAlign w:val="center"/>
          </w:tcPr>
          <w:p>
            <w:pPr>
              <w:adjustRightInd w:val="0"/>
              <w:snapToGrid w:val="0"/>
              <w:spacing w:line="360" w:lineRule="auto"/>
              <w:jc w:val="center"/>
              <w:rPr>
                <w:rFonts w:hint="eastAsia" w:ascii="宋体" w:hAnsi="宋体" w:eastAsia="宋体" w:cs="Times New Roman"/>
                <w:kern w:val="2"/>
                <w:sz w:val="15"/>
                <w:szCs w:val="15"/>
                <w:lang w:val="en-US" w:eastAsia="zh-CN" w:bidi="ar-SA"/>
              </w:rPr>
            </w:pPr>
            <w:r>
              <w:rPr>
                <w:rFonts w:hint="eastAsia" w:ascii="宋体" w:hAnsi="宋体"/>
                <w:sz w:val="15"/>
                <w:szCs w:val="15"/>
              </w:rPr>
              <w:t>*镜面管理服务器</w:t>
            </w:r>
          </w:p>
        </w:tc>
        <w:tc>
          <w:tcPr>
            <w:tcW w:w="564" w:type="dxa"/>
            <w:vAlign w:val="center"/>
          </w:tcPr>
          <w:p>
            <w:pPr>
              <w:adjustRightInd w:val="0"/>
              <w:snapToGrid w:val="0"/>
              <w:spacing w:line="360" w:lineRule="auto"/>
              <w:jc w:val="center"/>
              <w:rPr>
                <w:rFonts w:ascii="宋体" w:hAnsi="宋体" w:eastAsia="宋体" w:cs="Times New Roman"/>
                <w:kern w:val="2"/>
                <w:sz w:val="15"/>
                <w:szCs w:val="15"/>
                <w:lang w:val="en-US" w:eastAsia="zh-CN" w:bidi="ar-SA"/>
              </w:rPr>
            </w:pPr>
          </w:p>
        </w:tc>
        <w:tc>
          <w:tcPr>
            <w:tcW w:w="874" w:type="dxa"/>
            <w:vAlign w:val="center"/>
          </w:tcPr>
          <w:p>
            <w:pPr>
              <w:adjustRightInd w:val="0"/>
              <w:snapToGrid w:val="0"/>
              <w:spacing w:line="360" w:lineRule="auto"/>
              <w:jc w:val="center"/>
              <w:rPr>
                <w:rFonts w:hint="eastAsia" w:ascii="宋体" w:hAnsi="宋体" w:eastAsia="宋体" w:cs="Times New Roman"/>
                <w:kern w:val="2"/>
                <w:sz w:val="15"/>
                <w:szCs w:val="15"/>
                <w:lang w:val="en-US" w:eastAsia="zh-CN" w:bidi="ar-SA"/>
              </w:rPr>
            </w:pPr>
            <w:r>
              <w:rPr>
                <w:rFonts w:hint="eastAsia" w:ascii="宋体" w:hAnsi="宋体"/>
                <w:sz w:val="15"/>
                <w:szCs w:val="15"/>
              </w:rPr>
              <w:t>21.5寸显示屏</w:t>
            </w:r>
          </w:p>
        </w:tc>
        <w:tc>
          <w:tcPr>
            <w:tcW w:w="3053" w:type="dxa"/>
            <w:vAlign w:val="center"/>
          </w:tcPr>
          <w:p>
            <w:pPr>
              <w:adjustRightInd w:val="0"/>
              <w:snapToGrid w:val="0"/>
              <w:spacing w:line="360" w:lineRule="auto"/>
              <w:jc w:val="left"/>
              <w:rPr>
                <w:rFonts w:hint="eastAsia" w:ascii="宋体" w:hAnsi="宋体"/>
                <w:sz w:val="15"/>
                <w:szCs w:val="15"/>
              </w:rPr>
            </w:pPr>
            <w:r>
              <w:rPr>
                <w:rFonts w:hint="eastAsia" w:ascii="宋体" w:hAnsi="宋体"/>
                <w:sz w:val="15"/>
                <w:szCs w:val="15"/>
              </w:rPr>
              <w:t>结构：塔式</w:t>
            </w:r>
          </w:p>
          <w:p>
            <w:pPr>
              <w:adjustRightInd w:val="0"/>
              <w:snapToGrid w:val="0"/>
              <w:spacing w:line="360" w:lineRule="auto"/>
              <w:jc w:val="left"/>
              <w:rPr>
                <w:rFonts w:hint="eastAsia" w:ascii="宋体" w:hAnsi="宋体"/>
                <w:sz w:val="15"/>
                <w:szCs w:val="15"/>
              </w:rPr>
            </w:pPr>
            <w:r>
              <w:rPr>
                <w:rFonts w:hint="eastAsia" w:ascii="宋体" w:hAnsi="宋体"/>
                <w:sz w:val="15"/>
                <w:szCs w:val="15"/>
              </w:rPr>
              <w:t>操作系统：Windows Server、Linux</w:t>
            </w:r>
          </w:p>
          <w:p>
            <w:pPr>
              <w:adjustRightInd w:val="0"/>
              <w:snapToGrid w:val="0"/>
              <w:spacing w:line="360" w:lineRule="auto"/>
              <w:jc w:val="left"/>
              <w:rPr>
                <w:rFonts w:hint="eastAsia" w:ascii="宋体" w:hAnsi="宋体"/>
                <w:sz w:val="15"/>
                <w:szCs w:val="15"/>
              </w:rPr>
            </w:pPr>
            <w:r>
              <w:rPr>
                <w:rFonts w:hint="eastAsia" w:ascii="宋体" w:hAnsi="宋体"/>
                <w:sz w:val="15"/>
                <w:szCs w:val="15"/>
              </w:rPr>
              <w:t>CPU：至强E3；</w:t>
            </w:r>
          </w:p>
          <w:p>
            <w:pPr>
              <w:adjustRightInd w:val="0"/>
              <w:snapToGrid w:val="0"/>
              <w:spacing w:line="360" w:lineRule="auto"/>
              <w:jc w:val="left"/>
              <w:rPr>
                <w:rFonts w:hint="eastAsia" w:ascii="宋体" w:hAnsi="宋体"/>
                <w:sz w:val="15"/>
                <w:szCs w:val="15"/>
              </w:rPr>
            </w:pPr>
            <w:r>
              <w:rPr>
                <w:rFonts w:hint="eastAsia" w:ascii="宋体" w:hAnsi="宋体"/>
                <w:sz w:val="15"/>
                <w:szCs w:val="15"/>
              </w:rPr>
              <w:t>内存：16G；</w:t>
            </w:r>
          </w:p>
          <w:p>
            <w:pPr>
              <w:adjustRightInd w:val="0"/>
              <w:snapToGrid w:val="0"/>
              <w:spacing w:line="360" w:lineRule="auto"/>
              <w:jc w:val="left"/>
              <w:rPr>
                <w:rFonts w:hint="eastAsia" w:ascii="宋体" w:hAnsi="宋体"/>
                <w:sz w:val="15"/>
                <w:szCs w:val="15"/>
              </w:rPr>
            </w:pPr>
            <w:r>
              <w:rPr>
                <w:rFonts w:hint="eastAsia" w:ascii="宋体" w:hAnsi="宋体"/>
                <w:sz w:val="15"/>
                <w:szCs w:val="15"/>
              </w:rPr>
              <w:t>硬盘：1T 固态；</w:t>
            </w:r>
          </w:p>
          <w:p>
            <w:pPr>
              <w:adjustRightInd w:val="0"/>
              <w:snapToGrid w:val="0"/>
              <w:spacing w:line="360" w:lineRule="auto"/>
              <w:jc w:val="left"/>
              <w:rPr>
                <w:rFonts w:hint="eastAsia" w:ascii="宋体" w:hAnsi="宋体"/>
                <w:sz w:val="15"/>
                <w:szCs w:val="15"/>
              </w:rPr>
            </w:pPr>
            <w:r>
              <w:rPr>
                <w:rFonts w:hint="eastAsia" w:ascii="宋体" w:hAnsi="宋体"/>
                <w:sz w:val="15"/>
                <w:szCs w:val="15"/>
              </w:rPr>
              <w:t>显卡：集成显卡（显示内存 &gt; 781MB）；</w:t>
            </w:r>
          </w:p>
          <w:p>
            <w:pPr>
              <w:adjustRightInd w:val="0"/>
              <w:snapToGrid w:val="0"/>
              <w:spacing w:line="360" w:lineRule="auto"/>
              <w:jc w:val="left"/>
              <w:rPr>
                <w:rFonts w:hint="eastAsia" w:ascii="宋体" w:hAnsi="宋体"/>
                <w:sz w:val="15"/>
                <w:szCs w:val="15"/>
              </w:rPr>
            </w:pPr>
            <w:r>
              <w:rPr>
                <w:rFonts w:hint="eastAsia" w:ascii="宋体" w:hAnsi="宋体"/>
                <w:sz w:val="15"/>
                <w:szCs w:val="15"/>
              </w:rPr>
              <w:t>网卡：集成网卡（网速 &gt;100M）；</w:t>
            </w:r>
          </w:p>
          <w:p>
            <w:pPr>
              <w:adjustRightInd w:val="0"/>
              <w:snapToGrid w:val="0"/>
              <w:spacing w:line="360" w:lineRule="auto"/>
              <w:jc w:val="left"/>
              <w:rPr>
                <w:rFonts w:hint="eastAsia" w:ascii="宋体" w:hAnsi="宋体" w:eastAsia="宋体" w:cs="Times New Roman"/>
                <w:kern w:val="2"/>
                <w:sz w:val="15"/>
                <w:szCs w:val="15"/>
                <w:lang w:val="en-US" w:eastAsia="zh-CN" w:bidi="ar-SA"/>
              </w:rPr>
            </w:pPr>
            <w:r>
              <w:rPr>
                <w:rFonts w:hint="eastAsia" w:ascii="宋体" w:hAnsi="宋体"/>
                <w:sz w:val="15"/>
                <w:szCs w:val="15"/>
              </w:rPr>
              <w:t>显示器：21.5寸显示屏。</w:t>
            </w:r>
          </w:p>
        </w:tc>
        <w:tc>
          <w:tcPr>
            <w:tcW w:w="644" w:type="dxa"/>
            <w:vAlign w:val="center"/>
          </w:tcPr>
          <w:p>
            <w:pPr>
              <w:adjustRightInd w:val="0"/>
              <w:snapToGrid w:val="0"/>
              <w:spacing w:line="360" w:lineRule="auto"/>
              <w:jc w:val="center"/>
              <w:rPr>
                <w:rFonts w:hint="eastAsia" w:ascii="宋体" w:hAnsi="宋体" w:eastAsia="宋体" w:cs="Times New Roman"/>
                <w:kern w:val="2"/>
                <w:sz w:val="15"/>
                <w:szCs w:val="15"/>
                <w:lang w:val="en-US" w:eastAsia="zh-CN" w:bidi="ar-SA"/>
              </w:rPr>
            </w:pPr>
            <w:r>
              <w:rPr>
                <w:rFonts w:hint="eastAsia" w:ascii="宋体" w:hAnsi="宋体"/>
                <w:sz w:val="15"/>
                <w:szCs w:val="15"/>
              </w:rPr>
              <w:t>台</w:t>
            </w:r>
          </w:p>
        </w:tc>
        <w:tc>
          <w:tcPr>
            <w:tcW w:w="613" w:type="dxa"/>
            <w:vAlign w:val="center"/>
          </w:tcPr>
          <w:p>
            <w:pPr>
              <w:adjustRightInd w:val="0"/>
              <w:snapToGrid w:val="0"/>
              <w:spacing w:line="360" w:lineRule="auto"/>
              <w:jc w:val="center"/>
              <w:rPr>
                <w:rFonts w:hint="eastAsia" w:ascii="宋体" w:hAnsi="宋体" w:eastAsia="宋体" w:cs="Times New Roman"/>
                <w:kern w:val="2"/>
                <w:sz w:val="15"/>
                <w:szCs w:val="15"/>
                <w:lang w:val="en-US" w:eastAsia="zh-CN" w:bidi="ar-SA"/>
              </w:rPr>
            </w:pPr>
            <w:r>
              <w:rPr>
                <w:rFonts w:hint="eastAsia" w:ascii="宋体" w:hAnsi="宋体"/>
                <w:sz w:val="15"/>
                <w:szCs w:val="15"/>
              </w:rPr>
              <w:t>1</w:t>
            </w:r>
          </w:p>
        </w:tc>
        <w:tc>
          <w:tcPr>
            <w:tcW w:w="765" w:type="dxa"/>
          </w:tcPr>
          <w:p>
            <w:pPr>
              <w:adjustRightInd w:val="0"/>
              <w:snapToGrid w:val="0"/>
              <w:spacing w:line="360" w:lineRule="auto"/>
              <w:jc w:val="center"/>
              <w:rPr>
                <w:rFonts w:ascii="宋体" w:hAnsi="宋体"/>
                <w:sz w:val="15"/>
                <w:szCs w:val="15"/>
              </w:rPr>
            </w:pPr>
          </w:p>
        </w:tc>
        <w:tc>
          <w:tcPr>
            <w:tcW w:w="965" w:type="dxa"/>
          </w:tcPr>
          <w:p>
            <w:pPr>
              <w:adjustRightInd w:val="0"/>
              <w:snapToGrid w:val="0"/>
              <w:spacing w:line="360" w:lineRule="auto"/>
              <w:jc w:val="center"/>
              <w:rPr>
                <w:rFonts w:ascii="宋体" w:hAnsi="宋体"/>
                <w:sz w:val="15"/>
                <w:szCs w:val="15"/>
              </w:rPr>
            </w:pPr>
          </w:p>
        </w:tc>
        <w:tc>
          <w:tcPr>
            <w:tcW w:w="725" w:type="dxa"/>
            <w:vAlign w:val="center"/>
          </w:tcPr>
          <w:p>
            <w:pPr>
              <w:adjustRightInd w:val="0"/>
              <w:snapToGrid w:val="0"/>
              <w:spacing w:line="360" w:lineRule="auto"/>
              <w:jc w:val="left"/>
              <w:rPr>
                <w:rFonts w:hint="eastAsia" w:ascii="宋体" w:hAnsi="宋体"/>
                <w:sz w:val="15"/>
                <w:szCs w:val="15"/>
              </w:rPr>
            </w:pPr>
            <w:r>
              <w:rPr>
                <w:rFonts w:hint="eastAsia" w:ascii="宋体" w:hAnsi="宋体"/>
                <w:sz w:val="15"/>
                <w:szCs w:val="15"/>
              </w:rPr>
              <w:t>含安装</w:t>
            </w:r>
          </w:p>
          <w:p>
            <w:pPr>
              <w:adjustRightInd w:val="0"/>
              <w:snapToGrid w:val="0"/>
              <w:spacing w:line="360" w:lineRule="auto"/>
              <w:jc w:val="center"/>
              <w:rPr>
                <w:rFonts w:ascii="宋体" w:hAnsi="宋体"/>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64" w:hRule="atLeast"/>
        </w:trPr>
        <w:tc>
          <w:tcPr>
            <w:tcW w:w="543" w:type="dxa"/>
            <w:vAlign w:val="center"/>
          </w:tcPr>
          <w:p>
            <w:pPr>
              <w:adjustRightInd w:val="0"/>
              <w:snapToGrid w:val="0"/>
              <w:spacing w:line="360" w:lineRule="auto"/>
              <w:jc w:val="center"/>
              <w:rPr>
                <w:rFonts w:hint="eastAsia" w:ascii="宋体" w:hAnsi="宋体" w:eastAsia="宋体"/>
                <w:sz w:val="15"/>
                <w:szCs w:val="15"/>
                <w:highlight w:val="none"/>
                <w:lang w:eastAsia="zh-CN"/>
              </w:rPr>
            </w:pPr>
            <w:r>
              <w:rPr>
                <w:rFonts w:hint="eastAsia" w:ascii="宋体" w:hAnsi="宋体"/>
                <w:sz w:val="15"/>
                <w:szCs w:val="15"/>
                <w:highlight w:val="none"/>
                <w:lang w:val="en-US" w:eastAsia="zh-CN"/>
              </w:rPr>
              <w:t>8</w:t>
            </w:r>
          </w:p>
        </w:tc>
        <w:tc>
          <w:tcPr>
            <w:tcW w:w="874" w:type="dxa"/>
            <w:vAlign w:val="center"/>
          </w:tcPr>
          <w:p>
            <w:pPr>
              <w:adjustRightInd w:val="0"/>
              <w:snapToGrid w:val="0"/>
              <w:spacing w:line="360" w:lineRule="auto"/>
              <w:jc w:val="center"/>
              <w:rPr>
                <w:rFonts w:ascii="宋体" w:hAnsi="宋体"/>
                <w:sz w:val="15"/>
                <w:szCs w:val="15"/>
                <w:highlight w:val="none"/>
              </w:rPr>
            </w:pPr>
            <w:r>
              <w:rPr>
                <w:rFonts w:hint="eastAsia" w:ascii="宋体" w:hAnsi="宋体"/>
                <w:sz w:val="15"/>
                <w:szCs w:val="15"/>
              </w:rPr>
              <w:t>*镜面电脑</w:t>
            </w:r>
          </w:p>
        </w:tc>
        <w:tc>
          <w:tcPr>
            <w:tcW w:w="564" w:type="dxa"/>
            <w:vAlign w:val="center"/>
          </w:tcPr>
          <w:p>
            <w:pPr>
              <w:adjustRightInd w:val="0"/>
              <w:snapToGrid w:val="0"/>
              <w:spacing w:line="360" w:lineRule="auto"/>
              <w:jc w:val="center"/>
              <w:rPr>
                <w:rFonts w:ascii="宋体" w:hAnsi="宋体"/>
                <w:sz w:val="15"/>
                <w:szCs w:val="15"/>
                <w:highlight w:val="none"/>
              </w:rPr>
            </w:pPr>
          </w:p>
        </w:tc>
        <w:tc>
          <w:tcPr>
            <w:tcW w:w="874" w:type="dxa"/>
            <w:vAlign w:val="center"/>
          </w:tcPr>
          <w:p>
            <w:pPr>
              <w:adjustRightInd w:val="0"/>
              <w:snapToGrid w:val="0"/>
              <w:spacing w:line="360" w:lineRule="auto"/>
              <w:jc w:val="center"/>
              <w:rPr>
                <w:rFonts w:ascii="宋体" w:hAnsi="宋体"/>
                <w:sz w:val="15"/>
                <w:szCs w:val="15"/>
                <w:highlight w:val="none"/>
              </w:rPr>
            </w:pPr>
            <w:r>
              <w:rPr>
                <w:rFonts w:hint="eastAsia" w:ascii="宋体" w:hAnsi="宋体"/>
                <w:sz w:val="15"/>
                <w:szCs w:val="15"/>
              </w:rPr>
              <w:t>镜面玻璃尺寸：长*宽98*118cm</w:t>
            </w:r>
          </w:p>
        </w:tc>
        <w:tc>
          <w:tcPr>
            <w:tcW w:w="3053" w:type="dxa"/>
            <w:vAlign w:val="center"/>
          </w:tcPr>
          <w:p>
            <w:pPr>
              <w:adjustRightInd w:val="0"/>
              <w:snapToGrid w:val="0"/>
              <w:spacing w:line="360" w:lineRule="auto"/>
              <w:jc w:val="left"/>
              <w:rPr>
                <w:rFonts w:hint="eastAsia" w:ascii="宋体" w:hAnsi="宋体"/>
                <w:sz w:val="15"/>
                <w:szCs w:val="15"/>
              </w:rPr>
            </w:pPr>
            <w:r>
              <w:rPr>
                <w:rFonts w:hint="eastAsia" w:ascii="宋体" w:hAnsi="宋体"/>
                <w:sz w:val="15"/>
                <w:szCs w:val="15"/>
              </w:rPr>
              <w:t>1.镜面玻璃尺寸：长*宽98*118cm</w:t>
            </w:r>
          </w:p>
          <w:p>
            <w:pPr>
              <w:adjustRightInd w:val="0"/>
              <w:snapToGrid w:val="0"/>
              <w:spacing w:line="360" w:lineRule="auto"/>
              <w:jc w:val="left"/>
              <w:rPr>
                <w:rFonts w:hint="eastAsia" w:ascii="宋体" w:hAnsi="宋体"/>
                <w:sz w:val="15"/>
                <w:szCs w:val="15"/>
              </w:rPr>
            </w:pPr>
            <w:r>
              <w:rPr>
                <w:rFonts w:hint="eastAsia" w:ascii="宋体" w:hAnsi="宋体"/>
                <w:sz w:val="15"/>
                <w:szCs w:val="15"/>
              </w:rPr>
              <w:t>2.外框尺寸：长*宽100*120cm，外框带墙体安装挂钩；</w:t>
            </w:r>
          </w:p>
          <w:p>
            <w:pPr>
              <w:adjustRightInd w:val="0"/>
              <w:snapToGrid w:val="0"/>
              <w:spacing w:line="360" w:lineRule="auto"/>
              <w:jc w:val="left"/>
              <w:rPr>
                <w:rFonts w:hint="eastAsia" w:ascii="宋体" w:hAnsi="宋体"/>
                <w:sz w:val="15"/>
                <w:szCs w:val="15"/>
              </w:rPr>
            </w:pPr>
            <w:r>
              <w:rPr>
                <w:rFonts w:hint="eastAsia" w:ascii="宋体" w:hAnsi="宋体"/>
                <w:sz w:val="15"/>
                <w:szCs w:val="15"/>
              </w:rPr>
              <w:t>3.内置扬声器：2个</w:t>
            </w:r>
          </w:p>
          <w:p>
            <w:pPr>
              <w:adjustRightInd w:val="0"/>
              <w:snapToGrid w:val="0"/>
              <w:spacing w:line="360" w:lineRule="auto"/>
              <w:jc w:val="left"/>
              <w:rPr>
                <w:rFonts w:hint="eastAsia" w:ascii="宋体" w:hAnsi="宋体"/>
                <w:sz w:val="15"/>
                <w:szCs w:val="15"/>
              </w:rPr>
            </w:pPr>
            <w:r>
              <w:rPr>
                <w:rFonts w:hint="eastAsia" w:ascii="宋体" w:hAnsi="宋体"/>
                <w:sz w:val="15"/>
                <w:szCs w:val="15"/>
              </w:rPr>
              <w:t>4.CPU：工控I3</w:t>
            </w:r>
          </w:p>
          <w:p>
            <w:pPr>
              <w:adjustRightInd w:val="0"/>
              <w:snapToGrid w:val="0"/>
              <w:spacing w:line="360" w:lineRule="auto"/>
              <w:jc w:val="left"/>
              <w:rPr>
                <w:rFonts w:hint="eastAsia" w:ascii="宋体" w:hAnsi="宋体"/>
                <w:sz w:val="15"/>
                <w:szCs w:val="15"/>
              </w:rPr>
            </w:pPr>
            <w:r>
              <w:rPr>
                <w:rFonts w:hint="eastAsia" w:ascii="宋体" w:hAnsi="宋体"/>
                <w:sz w:val="15"/>
                <w:szCs w:val="15"/>
              </w:rPr>
              <w:t>5.内存：4G</w:t>
            </w:r>
          </w:p>
          <w:p>
            <w:pPr>
              <w:adjustRightInd w:val="0"/>
              <w:snapToGrid w:val="0"/>
              <w:spacing w:line="360" w:lineRule="auto"/>
              <w:jc w:val="left"/>
              <w:rPr>
                <w:rFonts w:hint="eastAsia" w:ascii="宋体" w:hAnsi="宋体"/>
                <w:sz w:val="15"/>
                <w:szCs w:val="15"/>
              </w:rPr>
            </w:pPr>
            <w:r>
              <w:rPr>
                <w:rFonts w:hint="eastAsia" w:ascii="宋体" w:hAnsi="宋体"/>
                <w:sz w:val="15"/>
                <w:szCs w:val="15"/>
              </w:rPr>
              <w:t>6.硬盘：64G</w:t>
            </w:r>
          </w:p>
          <w:p>
            <w:pPr>
              <w:adjustRightInd w:val="0"/>
              <w:snapToGrid w:val="0"/>
              <w:spacing w:line="360" w:lineRule="auto"/>
              <w:jc w:val="left"/>
              <w:rPr>
                <w:rFonts w:hint="eastAsia" w:ascii="宋体" w:hAnsi="宋体"/>
                <w:sz w:val="15"/>
                <w:szCs w:val="15"/>
              </w:rPr>
            </w:pPr>
            <w:r>
              <w:rPr>
                <w:rFonts w:hint="eastAsia" w:ascii="宋体" w:hAnsi="宋体"/>
                <w:sz w:val="15"/>
                <w:szCs w:val="15"/>
              </w:rPr>
              <w:t>7.内置LCD显示器*1：≥27寸(分辨率1080*1920) （内置显示器在玻璃镜面上的显示位置根据洗手台实际需求可灵活调整）</w:t>
            </w:r>
          </w:p>
          <w:p>
            <w:pPr>
              <w:adjustRightInd w:val="0"/>
              <w:snapToGrid w:val="0"/>
              <w:spacing w:line="360" w:lineRule="auto"/>
              <w:jc w:val="left"/>
              <w:rPr>
                <w:rFonts w:hint="eastAsia" w:ascii="宋体" w:hAnsi="宋体"/>
                <w:sz w:val="15"/>
                <w:szCs w:val="15"/>
              </w:rPr>
            </w:pPr>
            <w:r>
              <w:rPr>
                <w:rFonts w:hint="eastAsia" w:ascii="宋体" w:hAnsi="宋体"/>
                <w:sz w:val="15"/>
                <w:szCs w:val="15"/>
              </w:rPr>
              <w:t>8.操作系统：windows10/Ubuntu</w:t>
            </w:r>
          </w:p>
          <w:p>
            <w:pPr>
              <w:adjustRightInd w:val="0"/>
              <w:snapToGrid w:val="0"/>
              <w:spacing w:line="360" w:lineRule="auto"/>
              <w:jc w:val="left"/>
              <w:rPr>
                <w:rFonts w:hint="eastAsia" w:ascii="宋体" w:hAnsi="宋体"/>
                <w:sz w:val="15"/>
                <w:szCs w:val="15"/>
              </w:rPr>
            </w:pPr>
            <w:r>
              <w:rPr>
                <w:rFonts w:hint="eastAsia" w:ascii="宋体" w:hAnsi="宋体"/>
                <w:sz w:val="15"/>
                <w:szCs w:val="15"/>
              </w:rPr>
              <w:t>9.其他接口：RJ45接口≥1个，AC220电源接口≥1个，电源按钮≥1个，USB2.0接口≥1个，USB3.0接口≥1个，散热口2个</w:t>
            </w:r>
          </w:p>
          <w:p>
            <w:pPr>
              <w:adjustRightInd w:val="0"/>
              <w:snapToGrid w:val="0"/>
              <w:spacing w:line="360" w:lineRule="auto"/>
              <w:jc w:val="left"/>
              <w:rPr>
                <w:rFonts w:hint="eastAsia" w:ascii="宋体" w:hAnsi="宋体"/>
                <w:sz w:val="15"/>
                <w:szCs w:val="15"/>
              </w:rPr>
            </w:pPr>
            <w:r>
              <w:rPr>
                <w:rFonts w:hint="eastAsia" w:ascii="宋体" w:hAnsi="宋体"/>
                <w:sz w:val="15"/>
                <w:szCs w:val="15"/>
              </w:rPr>
              <w:t>10.工作温度：-25℃～+70℃</w:t>
            </w:r>
          </w:p>
          <w:p>
            <w:pPr>
              <w:adjustRightInd w:val="0"/>
              <w:snapToGrid w:val="0"/>
              <w:spacing w:line="360" w:lineRule="auto"/>
              <w:jc w:val="left"/>
              <w:rPr>
                <w:rFonts w:ascii="宋体" w:hAnsi="宋体"/>
                <w:sz w:val="15"/>
                <w:szCs w:val="15"/>
                <w:highlight w:val="none"/>
              </w:rPr>
            </w:pPr>
            <w:r>
              <w:rPr>
                <w:rFonts w:hint="eastAsia" w:ascii="宋体" w:hAnsi="宋体"/>
                <w:sz w:val="15"/>
                <w:szCs w:val="15"/>
              </w:rPr>
              <w:t>11.支持定时开关机，支持来电自动重启。</w:t>
            </w:r>
          </w:p>
        </w:tc>
        <w:tc>
          <w:tcPr>
            <w:tcW w:w="644" w:type="dxa"/>
            <w:vAlign w:val="center"/>
          </w:tcPr>
          <w:p>
            <w:pPr>
              <w:adjustRightInd w:val="0"/>
              <w:snapToGrid w:val="0"/>
              <w:spacing w:line="360" w:lineRule="auto"/>
              <w:jc w:val="center"/>
              <w:rPr>
                <w:rFonts w:ascii="宋体" w:hAnsi="宋体"/>
                <w:sz w:val="15"/>
                <w:szCs w:val="15"/>
                <w:highlight w:val="none"/>
              </w:rPr>
            </w:pPr>
            <w:r>
              <w:rPr>
                <w:rFonts w:hint="eastAsia" w:ascii="宋体" w:hAnsi="宋体"/>
                <w:sz w:val="15"/>
                <w:szCs w:val="15"/>
              </w:rPr>
              <w:t>台</w:t>
            </w:r>
          </w:p>
        </w:tc>
        <w:tc>
          <w:tcPr>
            <w:tcW w:w="613" w:type="dxa"/>
            <w:vAlign w:val="center"/>
          </w:tcPr>
          <w:p>
            <w:pPr>
              <w:adjustRightInd w:val="0"/>
              <w:snapToGrid w:val="0"/>
              <w:spacing w:line="360" w:lineRule="auto"/>
              <w:jc w:val="center"/>
              <w:rPr>
                <w:rFonts w:hint="eastAsia" w:ascii="宋体" w:hAnsi="宋体" w:eastAsia="宋体"/>
                <w:sz w:val="15"/>
                <w:szCs w:val="15"/>
                <w:highlight w:val="none"/>
                <w:lang w:eastAsia="zh-CN"/>
              </w:rPr>
            </w:pPr>
            <w:r>
              <w:rPr>
                <w:rFonts w:hint="eastAsia" w:ascii="宋体" w:hAnsi="宋体"/>
                <w:sz w:val="15"/>
                <w:szCs w:val="15"/>
                <w:lang w:val="en-US" w:eastAsia="zh-CN"/>
              </w:rPr>
              <w:t>4</w:t>
            </w:r>
          </w:p>
        </w:tc>
        <w:tc>
          <w:tcPr>
            <w:tcW w:w="765" w:type="dxa"/>
          </w:tcPr>
          <w:p>
            <w:pPr>
              <w:adjustRightInd w:val="0"/>
              <w:snapToGrid w:val="0"/>
              <w:spacing w:line="360" w:lineRule="auto"/>
              <w:jc w:val="center"/>
              <w:rPr>
                <w:rFonts w:ascii="宋体" w:hAnsi="宋体"/>
                <w:sz w:val="15"/>
                <w:szCs w:val="15"/>
              </w:rPr>
            </w:pPr>
          </w:p>
        </w:tc>
        <w:tc>
          <w:tcPr>
            <w:tcW w:w="965" w:type="dxa"/>
          </w:tcPr>
          <w:p>
            <w:pPr>
              <w:adjustRightInd w:val="0"/>
              <w:snapToGrid w:val="0"/>
              <w:spacing w:line="360" w:lineRule="auto"/>
              <w:jc w:val="center"/>
              <w:rPr>
                <w:rFonts w:ascii="宋体" w:hAnsi="宋体"/>
                <w:sz w:val="15"/>
                <w:szCs w:val="15"/>
              </w:rPr>
            </w:pPr>
          </w:p>
        </w:tc>
        <w:tc>
          <w:tcPr>
            <w:tcW w:w="725" w:type="dxa"/>
            <w:vAlign w:val="center"/>
          </w:tcPr>
          <w:p>
            <w:pPr>
              <w:adjustRightInd w:val="0"/>
              <w:snapToGrid w:val="0"/>
              <w:spacing w:line="360" w:lineRule="auto"/>
              <w:jc w:val="left"/>
              <w:rPr>
                <w:rFonts w:hint="eastAsia" w:ascii="宋体" w:hAnsi="宋体"/>
                <w:sz w:val="15"/>
                <w:szCs w:val="15"/>
              </w:rPr>
            </w:pPr>
            <w:r>
              <w:rPr>
                <w:rFonts w:hint="eastAsia" w:ascii="宋体" w:hAnsi="宋体"/>
                <w:sz w:val="15"/>
                <w:szCs w:val="15"/>
              </w:rPr>
              <w:t>含安装</w:t>
            </w:r>
          </w:p>
          <w:p>
            <w:pPr>
              <w:adjustRightInd w:val="0"/>
              <w:snapToGrid w:val="0"/>
              <w:spacing w:line="360" w:lineRule="auto"/>
              <w:jc w:val="center"/>
              <w:rPr>
                <w:rFonts w:ascii="宋体" w:hAnsi="宋体"/>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1" w:hRule="atLeast"/>
        </w:trPr>
        <w:tc>
          <w:tcPr>
            <w:tcW w:w="543" w:type="dxa"/>
            <w:vAlign w:val="center"/>
          </w:tcPr>
          <w:p>
            <w:pPr>
              <w:adjustRightInd w:val="0"/>
              <w:snapToGrid w:val="0"/>
              <w:spacing w:line="360" w:lineRule="auto"/>
              <w:jc w:val="center"/>
              <w:rPr>
                <w:rFonts w:hint="eastAsia" w:ascii="宋体" w:hAnsi="宋体" w:eastAsia="宋体"/>
                <w:sz w:val="15"/>
                <w:szCs w:val="15"/>
                <w:highlight w:val="none"/>
                <w:lang w:eastAsia="zh-CN"/>
              </w:rPr>
            </w:pPr>
            <w:r>
              <w:rPr>
                <w:rFonts w:hint="eastAsia" w:ascii="宋体" w:hAnsi="宋体"/>
                <w:sz w:val="15"/>
                <w:szCs w:val="15"/>
                <w:highlight w:val="none"/>
                <w:lang w:val="en-US" w:eastAsia="zh-CN"/>
              </w:rPr>
              <w:t>9</w:t>
            </w:r>
          </w:p>
        </w:tc>
        <w:tc>
          <w:tcPr>
            <w:tcW w:w="874" w:type="dxa"/>
            <w:vAlign w:val="center"/>
          </w:tcPr>
          <w:p>
            <w:pPr>
              <w:adjustRightInd w:val="0"/>
              <w:snapToGrid w:val="0"/>
              <w:spacing w:line="360" w:lineRule="auto"/>
              <w:jc w:val="center"/>
              <w:rPr>
                <w:rFonts w:ascii="宋体" w:hAnsi="宋体"/>
                <w:sz w:val="15"/>
                <w:szCs w:val="15"/>
                <w:highlight w:val="none"/>
              </w:rPr>
            </w:pPr>
            <w:r>
              <w:rPr>
                <w:rFonts w:hint="eastAsia" w:ascii="宋体" w:hAnsi="宋体"/>
                <w:sz w:val="15"/>
                <w:szCs w:val="15"/>
              </w:rPr>
              <w:t>*镜面电脑</w:t>
            </w:r>
          </w:p>
        </w:tc>
        <w:tc>
          <w:tcPr>
            <w:tcW w:w="564" w:type="dxa"/>
            <w:vAlign w:val="center"/>
          </w:tcPr>
          <w:p>
            <w:pPr>
              <w:adjustRightInd w:val="0"/>
              <w:snapToGrid w:val="0"/>
              <w:spacing w:line="360" w:lineRule="auto"/>
              <w:jc w:val="center"/>
              <w:rPr>
                <w:rFonts w:ascii="宋体" w:hAnsi="宋体"/>
                <w:sz w:val="15"/>
                <w:szCs w:val="15"/>
                <w:highlight w:val="none"/>
              </w:rPr>
            </w:pPr>
          </w:p>
        </w:tc>
        <w:tc>
          <w:tcPr>
            <w:tcW w:w="874" w:type="dxa"/>
            <w:vAlign w:val="center"/>
          </w:tcPr>
          <w:p>
            <w:pPr>
              <w:adjustRightInd w:val="0"/>
              <w:snapToGrid w:val="0"/>
              <w:spacing w:line="360" w:lineRule="auto"/>
              <w:jc w:val="center"/>
              <w:rPr>
                <w:rFonts w:ascii="宋体" w:hAnsi="宋体"/>
                <w:sz w:val="15"/>
                <w:szCs w:val="15"/>
                <w:highlight w:val="none"/>
              </w:rPr>
            </w:pPr>
            <w:r>
              <w:rPr>
                <w:rFonts w:hint="eastAsia" w:ascii="宋体" w:hAnsi="宋体"/>
                <w:sz w:val="15"/>
                <w:szCs w:val="15"/>
                <w:highlight w:val="none"/>
              </w:rPr>
              <w:t>镜面玻璃尺寸：长*宽198*98cm</w:t>
            </w:r>
          </w:p>
        </w:tc>
        <w:tc>
          <w:tcPr>
            <w:tcW w:w="3053" w:type="dxa"/>
            <w:vAlign w:val="center"/>
          </w:tcPr>
          <w:p>
            <w:pPr>
              <w:adjustRightInd w:val="0"/>
              <w:snapToGrid w:val="0"/>
              <w:spacing w:line="360" w:lineRule="auto"/>
              <w:jc w:val="left"/>
              <w:rPr>
                <w:rFonts w:hint="eastAsia" w:ascii="宋体" w:hAnsi="宋体"/>
                <w:sz w:val="15"/>
                <w:szCs w:val="15"/>
              </w:rPr>
            </w:pPr>
            <w:r>
              <w:rPr>
                <w:rFonts w:hint="eastAsia" w:ascii="宋体" w:hAnsi="宋体"/>
                <w:sz w:val="15"/>
                <w:szCs w:val="15"/>
              </w:rPr>
              <w:t>1.镜面玻璃尺寸：长*宽198*98cm；</w:t>
            </w:r>
          </w:p>
          <w:p>
            <w:pPr>
              <w:adjustRightInd w:val="0"/>
              <w:snapToGrid w:val="0"/>
              <w:spacing w:line="360" w:lineRule="auto"/>
              <w:jc w:val="left"/>
              <w:rPr>
                <w:rFonts w:hint="eastAsia" w:ascii="宋体" w:hAnsi="宋体"/>
                <w:sz w:val="15"/>
                <w:szCs w:val="15"/>
              </w:rPr>
            </w:pPr>
            <w:r>
              <w:rPr>
                <w:rFonts w:hint="eastAsia" w:ascii="宋体" w:hAnsi="宋体"/>
                <w:sz w:val="15"/>
                <w:szCs w:val="15"/>
              </w:rPr>
              <w:t>2.外框尺寸：长*宽200*100cm；外框带墙体安装挂钩；</w:t>
            </w:r>
          </w:p>
          <w:p>
            <w:pPr>
              <w:adjustRightInd w:val="0"/>
              <w:snapToGrid w:val="0"/>
              <w:spacing w:line="360" w:lineRule="auto"/>
              <w:jc w:val="left"/>
              <w:rPr>
                <w:rFonts w:hint="eastAsia" w:ascii="宋体" w:hAnsi="宋体"/>
                <w:sz w:val="15"/>
                <w:szCs w:val="15"/>
              </w:rPr>
            </w:pPr>
            <w:r>
              <w:rPr>
                <w:rFonts w:hint="eastAsia" w:ascii="宋体" w:hAnsi="宋体"/>
                <w:sz w:val="15"/>
                <w:szCs w:val="15"/>
              </w:rPr>
              <w:t>3.内置扬声器：2个</w:t>
            </w:r>
          </w:p>
          <w:p>
            <w:pPr>
              <w:adjustRightInd w:val="0"/>
              <w:snapToGrid w:val="0"/>
              <w:spacing w:line="360" w:lineRule="auto"/>
              <w:jc w:val="left"/>
              <w:rPr>
                <w:rFonts w:hint="eastAsia" w:ascii="宋体" w:hAnsi="宋体"/>
                <w:sz w:val="15"/>
                <w:szCs w:val="15"/>
              </w:rPr>
            </w:pPr>
            <w:r>
              <w:rPr>
                <w:rFonts w:hint="eastAsia" w:ascii="宋体" w:hAnsi="宋体"/>
                <w:sz w:val="15"/>
                <w:szCs w:val="15"/>
              </w:rPr>
              <w:t>4.CPU：工控I3</w:t>
            </w:r>
          </w:p>
          <w:p>
            <w:pPr>
              <w:adjustRightInd w:val="0"/>
              <w:snapToGrid w:val="0"/>
              <w:spacing w:line="360" w:lineRule="auto"/>
              <w:jc w:val="left"/>
              <w:rPr>
                <w:rFonts w:hint="eastAsia" w:ascii="宋体" w:hAnsi="宋体"/>
                <w:sz w:val="15"/>
                <w:szCs w:val="15"/>
              </w:rPr>
            </w:pPr>
            <w:r>
              <w:rPr>
                <w:rFonts w:hint="eastAsia" w:ascii="宋体" w:hAnsi="宋体"/>
                <w:sz w:val="15"/>
                <w:szCs w:val="15"/>
              </w:rPr>
              <w:t>5.内存：4G</w:t>
            </w:r>
          </w:p>
          <w:p>
            <w:pPr>
              <w:adjustRightInd w:val="0"/>
              <w:snapToGrid w:val="0"/>
              <w:spacing w:line="360" w:lineRule="auto"/>
              <w:jc w:val="left"/>
              <w:rPr>
                <w:rFonts w:hint="eastAsia" w:ascii="宋体" w:hAnsi="宋体"/>
                <w:sz w:val="15"/>
                <w:szCs w:val="15"/>
              </w:rPr>
            </w:pPr>
            <w:r>
              <w:rPr>
                <w:rFonts w:hint="eastAsia" w:ascii="宋体" w:hAnsi="宋体"/>
                <w:sz w:val="15"/>
                <w:szCs w:val="15"/>
              </w:rPr>
              <w:t>6.硬盘：64G</w:t>
            </w:r>
          </w:p>
          <w:p>
            <w:pPr>
              <w:adjustRightInd w:val="0"/>
              <w:snapToGrid w:val="0"/>
              <w:spacing w:line="360" w:lineRule="auto"/>
              <w:jc w:val="left"/>
              <w:rPr>
                <w:rFonts w:hint="eastAsia" w:ascii="宋体" w:hAnsi="宋体"/>
                <w:sz w:val="15"/>
                <w:szCs w:val="15"/>
              </w:rPr>
            </w:pPr>
            <w:r>
              <w:rPr>
                <w:rFonts w:hint="eastAsia" w:ascii="宋体" w:hAnsi="宋体"/>
                <w:sz w:val="15"/>
                <w:szCs w:val="15"/>
              </w:rPr>
              <w:t>7.内置LCD显示器*2：≥ 32寸(分辨率1080*1920)（内置显示器在玻璃镜面上的显示位置根据洗手台实际需求可灵活调整）</w:t>
            </w:r>
          </w:p>
          <w:p>
            <w:pPr>
              <w:adjustRightInd w:val="0"/>
              <w:snapToGrid w:val="0"/>
              <w:spacing w:line="360" w:lineRule="auto"/>
              <w:jc w:val="left"/>
              <w:rPr>
                <w:rFonts w:hint="eastAsia" w:ascii="宋体" w:hAnsi="宋体"/>
                <w:sz w:val="15"/>
                <w:szCs w:val="15"/>
              </w:rPr>
            </w:pPr>
            <w:r>
              <w:rPr>
                <w:rFonts w:hint="eastAsia" w:ascii="宋体" w:hAnsi="宋体"/>
                <w:sz w:val="15"/>
                <w:szCs w:val="15"/>
              </w:rPr>
              <w:t>8.操作系统：windows10/Ubuntu</w:t>
            </w:r>
          </w:p>
          <w:p>
            <w:pPr>
              <w:adjustRightInd w:val="0"/>
              <w:snapToGrid w:val="0"/>
              <w:spacing w:line="360" w:lineRule="auto"/>
              <w:jc w:val="left"/>
              <w:rPr>
                <w:rFonts w:hint="eastAsia" w:ascii="宋体" w:hAnsi="宋体"/>
                <w:sz w:val="15"/>
                <w:szCs w:val="15"/>
              </w:rPr>
            </w:pPr>
            <w:r>
              <w:rPr>
                <w:rFonts w:hint="eastAsia" w:ascii="宋体" w:hAnsi="宋体"/>
                <w:sz w:val="15"/>
                <w:szCs w:val="15"/>
              </w:rPr>
              <w:t>9.其他接口：RJ45接口≥1个，AC220电源接口≥1个，电源按钮≥1个，USB2.0接口≥1个，USB3.0接口≥1个，散热口2个；</w:t>
            </w:r>
          </w:p>
          <w:p>
            <w:pPr>
              <w:adjustRightInd w:val="0"/>
              <w:snapToGrid w:val="0"/>
              <w:spacing w:line="360" w:lineRule="auto"/>
              <w:jc w:val="left"/>
              <w:rPr>
                <w:rFonts w:hint="eastAsia" w:ascii="宋体" w:hAnsi="宋体"/>
                <w:sz w:val="15"/>
                <w:szCs w:val="15"/>
              </w:rPr>
            </w:pPr>
            <w:r>
              <w:rPr>
                <w:rFonts w:hint="eastAsia" w:ascii="宋体" w:hAnsi="宋体"/>
                <w:sz w:val="15"/>
                <w:szCs w:val="15"/>
              </w:rPr>
              <w:t>10.工作温度：-25℃～+70℃；</w:t>
            </w:r>
          </w:p>
          <w:p>
            <w:pPr>
              <w:adjustRightInd w:val="0"/>
              <w:snapToGrid w:val="0"/>
              <w:spacing w:line="360" w:lineRule="auto"/>
              <w:jc w:val="left"/>
              <w:rPr>
                <w:rFonts w:hint="eastAsia" w:ascii="宋体" w:hAnsi="宋体"/>
                <w:sz w:val="15"/>
                <w:szCs w:val="15"/>
              </w:rPr>
            </w:pPr>
            <w:r>
              <w:rPr>
                <w:rFonts w:hint="eastAsia" w:ascii="宋体" w:hAnsi="宋体"/>
                <w:sz w:val="15"/>
                <w:szCs w:val="15"/>
              </w:rPr>
              <w:t>11.支持定时开关机，支持来电自动重启</w:t>
            </w:r>
          </w:p>
          <w:p>
            <w:pPr>
              <w:adjustRightInd w:val="0"/>
              <w:snapToGrid w:val="0"/>
              <w:spacing w:line="360" w:lineRule="auto"/>
              <w:jc w:val="left"/>
              <w:rPr>
                <w:rFonts w:ascii="宋体" w:hAnsi="宋体"/>
                <w:sz w:val="15"/>
                <w:szCs w:val="15"/>
                <w:highlight w:val="none"/>
              </w:rPr>
            </w:pPr>
            <w:r>
              <w:rPr>
                <w:rFonts w:hint="eastAsia" w:ascii="宋体" w:hAnsi="宋体"/>
                <w:sz w:val="15"/>
                <w:szCs w:val="15"/>
              </w:rPr>
              <w:t>12.支持多屏幕同屏。</w:t>
            </w:r>
          </w:p>
        </w:tc>
        <w:tc>
          <w:tcPr>
            <w:tcW w:w="644" w:type="dxa"/>
            <w:vAlign w:val="center"/>
          </w:tcPr>
          <w:p>
            <w:pPr>
              <w:adjustRightInd w:val="0"/>
              <w:snapToGrid w:val="0"/>
              <w:spacing w:line="360" w:lineRule="auto"/>
              <w:jc w:val="center"/>
              <w:rPr>
                <w:rFonts w:ascii="宋体" w:hAnsi="宋体"/>
                <w:sz w:val="15"/>
                <w:szCs w:val="15"/>
                <w:highlight w:val="none"/>
              </w:rPr>
            </w:pPr>
            <w:r>
              <w:rPr>
                <w:rFonts w:hint="eastAsia" w:ascii="宋体" w:hAnsi="宋体"/>
                <w:sz w:val="15"/>
                <w:szCs w:val="15"/>
              </w:rPr>
              <w:t>台</w:t>
            </w:r>
          </w:p>
        </w:tc>
        <w:tc>
          <w:tcPr>
            <w:tcW w:w="613" w:type="dxa"/>
            <w:vAlign w:val="center"/>
          </w:tcPr>
          <w:p>
            <w:pPr>
              <w:adjustRightInd w:val="0"/>
              <w:snapToGrid w:val="0"/>
              <w:spacing w:line="360" w:lineRule="auto"/>
              <w:jc w:val="center"/>
              <w:rPr>
                <w:rFonts w:hint="eastAsia" w:ascii="宋体" w:hAnsi="宋体" w:eastAsia="宋体"/>
                <w:sz w:val="15"/>
                <w:szCs w:val="15"/>
                <w:highlight w:val="none"/>
                <w:lang w:eastAsia="zh-CN"/>
              </w:rPr>
            </w:pPr>
            <w:r>
              <w:rPr>
                <w:rFonts w:hint="eastAsia" w:ascii="宋体" w:hAnsi="宋体"/>
                <w:sz w:val="15"/>
                <w:szCs w:val="15"/>
                <w:lang w:val="en-US" w:eastAsia="zh-CN"/>
              </w:rPr>
              <w:t>1</w:t>
            </w:r>
          </w:p>
        </w:tc>
        <w:tc>
          <w:tcPr>
            <w:tcW w:w="765" w:type="dxa"/>
          </w:tcPr>
          <w:p>
            <w:pPr>
              <w:adjustRightInd w:val="0"/>
              <w:snapToGrid w:val="0"/>
              <w:spacing w:line="360" w:lineRule="auto"/>
              <w:jc w:val="center"/>
              <w:rPr>
                <w:rFonts w:ascii="宋体" w:hAnsi="宋体"/>
                <w:sz w:val="15"/>
                <w:szCs w:val="15"/>
              </w:rPr>
            </w:pPr>
          </w:p>
        </w:tc>
        <w:tc>
          <w:tcPr>
            <w:tcW w:w="965" w:type="dxa"/>
          </w:tcPr>
          <w:p>
            <w:pPr>
              <w:adjustRightInd w:val="0"/>
              <w:snapToGrid w:val="0"/>
              <w:spacing w:line="360" w:lineRule="auto"/>
              <w:jc w:val="center"/>
              <w:rPr>
                <w:rFonts w:ascii="宋体" w:hAnsi="宋体"/>
                <w:sz w:val="15"/>
                <w:szCs w:val="15"/>
              </w:rPr>
            </w:pPr>
          </w:p>
        </w:tc>
        <w:tc>
          <w:tcPr>
            <w:tcW w:w="725" w:type="dxa"/>
            <w:vAlign w:val="center"/>
          </w:tcPr>
          <w:p>
            <w:pPr>
              <w:adjustRightInd w:val="0"/>
              <w:snapToGrid w:val="0"/>
              <w:spacing w:line="360" w:lineRule="auto"/>
              <w:jc w:val="left"/>
              <w:rPr>
                <w:rFonts w:hint="eastAsia" w:ascii="宋体" w:hAnsi="宋体"/>
                <w:sz w:val="15"/>
                <w:szCs w:val="15"/>
              </w:rPr>
            </w:pPr>
            <w:r>
              <w:rPr>
                <w:rFonts w:hint="eastAsia" w:ascii="宋体" w:hAnsi="宋体"/>
                <w:sz w:val="15"/>
                <w:szCs w:val="15"/>
              </w:rPr>
              <w:t>含安装</w:t>
            </w:r>
          </w:p>
          <w:p>
            <w:pPr>
              <w:adjustRightInd w:val="0"/>
              <w:snapToGrid w:val="0"/>
              <w:spacing w:line="360" w:lineRule="auto"/>
              <w:jc w:val="center"/>
              <w:rPr>
                <w:rFonts w:ascii="宋体" w:hAnsi="宋体"/>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1" w:hRule="atLeast"/>
        </w:trPr>
        <w:tc>
          <w:tcPr>
            <w:tcW w:w="543"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10</w:t>
            </w:r>
          </w:p>
        </w:tc>
        <w:tc>
          <w:tcPr>
            <w:tcW w:w="87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*吊装铝合金轨道总成</w:t>
            </w:r>
          </w:p>
        </w:tc>
        <w:tc>
          <w:tcPr>
            <w:tcW w:w="564" w:type="dxa"/>
            <w:vAlign w:val="center"/>
          </w:tcPr>
          <w:p>
            <w:pPr>
              <w:adjustRightInd w:val="0"/>
              <w:snapToGrid w:val="0"/>
              <w:spacing w:line="360" w:lineRule="auto"/>
              <w:jc w:val="center"/>
              <w:rPr>
                <w:rFonts w:ascii="宋体" w:hAnsi="宋体"/>
                <w:sz w:val="15"/>
                <w:szCs w:val="15"/>
              </w:rPr>
            </w:pPr>
          </w:p>
        </w:tc>
        <w:tc>
          <w:tcPr>
            <w:tcW w:w="87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轨道尺寸：长*宽*高  300*8*9cm</w:t>
            </w:r>
          </w:p>
        </w:tc>
        <w:tc>
          <w:tcPr>
            <w:tcW w:w="3053" w:type="dxa"/>
            <w:vAlign w:val="center"/>
          </w:tcPr>
          <w:p>
            <w:pPr>
              <w:adjustRightInd w:val="0"/>
              <w:snapToGrid w:val="0"/>
              <w:spacing w:line="360" w:lineRule="auto"/>
              <w:jc w:val="left"/>
              <w:rPr>
                <w:rFonts w:hint="eastAsia" w:ascii="宋体" w:hAnsi="宋体"/>
                <w:sz w:val="15"/>
                <w:szCs w:val="15"/>
              </w:rPr>
            </w:pPr>
            <w:r>
              <w:rPr>
                <w:rFonts w:hint="eastAsia" w:ascii="宋体" w:hAnsi="宋体"/>
                <w:sz w:val="15"/>
                <w:szCs w:val="15"/>
              </w:rPr>
              <w:t xml:space="preserve">吊装铝合金覆膜防蚀轨道；配套钢制薄片齿条（厚度小于等于2mm）和标配安装附件套装（套装包括吊装连接构件、吸顶T型构件、吊装T型构件、配套膨胀螺栓、终端支架、轨道安装连接件、轨道下连板、配套螺栓）；轨道内置一体式屏蔽履带供电；通讯线缆总成；轨道尺寸：长*宽*高 </w:t>
            </w:r>
          </w:p>
          <w:p>
            <w:pPr>
              <w:adjustRightInd w:val="0"/>
              <w:snapToGrid w:val="0"/>
              <w:spacing w:line="360" w:lineRule="auto"/>
              <w:jc w:val="left"/>
              <w:rPr>
                <w:rFonts w:ascii="宋体" w:hAnsi="宋体"/>
                <w:sz w:val="15"/>
                <w:szCs w:val="15"/>
              </w:rPr>
            </w:pPr>
            <w:r>
              <w:rPr>
                <w:rFonts w:hint="eastAsia" w:ascii="宋体" w:hAnsi="宋体"/>
                <w:sz w:val="15"/>
                <w:szCs w:val="15"/>
              </w:rPr>
              <w:t xml:space="preserve"> 300*8*9cm。</w:t>
            </w:r>
          </w:p>
        </w:tc>
        <w:tc>
          <w:tcPr>
            <w:tcW w:w="644"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套</w:t>
            </w:r>
          </w:p>
        </w:tc>
        <w:tc>
          <w:tcPr>
            <w:tcW w:w="613" w:type="dxa"/>
            <w:vAlign w:val="center"/>
          </w:tcPr>
          <w:p>
            <w:pPr>
              <w:adjustRightInd w:val="0"/>
              <w:snapToGrid w:val="0"/>
              <w:spacing w:line="360" w:lineRule="auto"/>
              <w:jc w:val="center"/>
              <w:rPr>
                <w:rFonts w:ascii="宋体" w:hAnsi="宋体"/>
                <w:sz w:val="15"/>
                <w:szCs w:val="15"/>
              </w:rPr>
            </w:pPr>
            <w:r>
              <w:rPr>
                <w:rFonts w:hint="eastAsia" w:ascii="宋体" w:hAnsi="宋体"/>
                <w:sz w:val="15"/>
                <w:szCs w:val="15"/>
              </w:rPr>
              <w:t>5</w:t>
            </w:r>
          </w:p>
        </w:tc>
        <w:tc>
          <w:tcPr>
            <w:tcW w:w="765" w:type="dxa"/>
          </w:tcPr>
          <w:p>
            <w:pPr>
              <w:adjustRightInd w:val="0"/>
              <w:snapToGrid w:val="0"/>
              <w:spacing w:line="360" w:lineRule="auto"/>
              <w:jc w:val="center"/>
              <w:rPr>
                <w:rFonts w:ascii="宋体" w:hAnsi="宋体"/>
                <w:sz w:val="15"/>
                <w:szCs w:val="15"/>
              </w:rPr>
            </w:pPr>
          </w:p>
        </w:tc>
        <w:tc>
          <w:tcPr>
            <w:tcW w:w="965" w:type="dxa"/>
          </w:tcPr>
          <w:p>
            <w:pPr>
              <w:adjustRightInd w:val="0"/>
              <w:snapToGrid w:val="0"/>
              <w:spacing w:line="360" w:lineRule="auto"/>
              <w:jc w:val="center"/>
              <w:rPr>
                <w:rFonts w:ascii="宋体" w:hAnsi="宋体"/>
                <w:sz w:val="15"/>
                <w:szCs w:val="15"/>
              </w:rPr>
            </w:pPr>
          </w:p>
        </w:tc>
        <w:tc>
          <w:tcPr>
            <w:tcW w:w="725" w:type="dxa"/>
            <w:vAlign w:val="center"/>
          </w:tcPr>
          <w:p>
            <w:pPr>
              <w:adjustRightInd w:val="0"/>
              <w:snapToGrid w:val="0"/>
              <w:spacing w:line="360" w:lineRule="auto"/>
              <w:jc w:val="left"/>
              <w:rPr>
                <w:rFonts w:hint="eastAsia" w:ascii="宋体" w:hAnsi="宋体"/>
                <w:sz w:val="15"/>
                <w:szCs w:val="15"/>
              </w:rPr>
            </w:pPr>
            <w:r>
              <w:rPr>
                <w:rFonts w:hint="eastAsia" w:ascii="宋体" w:hAnsi="宋体"/>
                <w:sz w:val="15"/>
                <w:szCs w:val="15"/>
              </w:rPr>
              <w:t>含安装</w:t>
            </w:r>
          </w:p>
          <w:p>
            <w:pPr>
              <w:adjustRightInd w:val="0"/>
              <w:snapToGrid w:val="0"/>
              <w:spacing w:line="360" w:lineRule="auto"/>
              <w:jc w:val="center"/>
              <w:rPr>
                <w:rFonts w:ascii="宋体" w:hAnsi="宋体"/>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7930" w:type="dxa"/>
            <w:gridSpan w:val="8"/>
            <w:vAlign w:val="center"/>
          </w:tcPr>
          <w:p>
            <w:pPr>
              <w:adjustRightInd w:val="0"/>
              <w:snapToGrid w:val="0"/>
              <w:spacing w:line="360" w:lineRule="auto"/>
              <w:jc w:val="center"/>
              <w:rPr>
                <w:rFonts w:hint="eastAsia" w:ascii="宋体" w:hAnsi="宋体" w:eastAsia="宋体"/>
                <w:szCs w:val="21"/>
                <w:lang w:eastAsia="zh-CN"/>
              </w:rPr>
            </w:pPr>
            <w:r>
              <w:rPr>
                <w:rFonts w:hint="eastAsia" w:ascii="宋体" w:hAnsi="宋体"/>
                <w:b/>
                <w:szCs w:val="21"/>
              </w:rPr>
              <w:t>合 计</w:t>
            </w:r>
            <w:r>
              <w:rPr>
                <w:rFonts w:hint="eastAsia" w:ascii="宋体" w:hAnsi="宋体"/>
                <w:b/>
                <w:szCs w:val="21"/>
                <w:lang w:val="en-US" w:eastAsia="zh-CN"/>
              </w:rPr>
              <w:t xml:space="preserve"> </w:t>
            </w:r>
            <w:r>
              <w:rPr>
                <w:rFonts w:hint="eastAsia" w:ascii="宋体" w:hAnsi="宋体"/>
                <w:b/>
                <w:szCs w:val="21"/>
                <w:lang w:eastAsia="zh-CN"/>
              </w:rPr>
              <w:t>金</w:t>
            </w:r>
            <w:r>
              <w:rPr>
                <w:rFonts w:hint="eastAsia" w:ascii="宋体" w:hAnsi="宋体"/>
                <w:b/>
                <w:szCs w:val="21"/>
                <w:lang w:val="en-US" w:eastAsia="zh-CN"/>
              </w:rPr>
              <w:t xml:space="preserve"> </w:t>
            </w:r>
            <w:r>
              <w:rPr>
                <w:rFonts w:hint="eastAsia" w:ascii="宋体" w:hAnsi="宋体"/>
                <w:b/>
                <w:szCs w:val="21"/>
                <w:lang w:eastAsia="zh-CN"/>
              </w:rPr>
              <w:t>额（元）</w:t>
            </w:r>
          </w:p>
        </w:tc>
        <w:tc>
          <w:tcPr>
            <w:tcW w:w="965" w:type="dxa"/>
            <w:vAlign w:val="center"/>
          </w:tcPr>
          <w:p>
            <w:pPr>
              <w:adjustRightInd w:val="0"/>
              <w:snapToGrid w:val="0"/>
              <w:spacing w:line="360" w:lineRule="auto"/>
              <w:jc w:val="center"/>
              <w:rPr>
                <w:rFonts w:ascii="宋体" w:hAnsi="宋体"/>
                <w:szCs w:val="21"/>
              </w:rPr>
            </w:pPr>
          </w:p>
        </w:tc>
        <w:tc>
          <w:tcPr>
            <w:tcW w:w="725" w:type="dxa"/>
            <w:vAlign w:val="center"/>
          </w:tcPr>
          <w:p>
            <w:pPr>
              <w:adjustRightInd w:val="0"/>
              <w:snapToGrid w:val="0"/>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74" w:hRule="atLeast"/>
        </w:trPr>
        <w:tc>
          <w:tcPr>
            <w:tcW w:w="9620" w:type="dxa"/>
            <w:gridSpan w:val="10"/>
            <w:vAlign w:val="center"/>
          </w:tcPr>
          <w:p>
            <w:pPr>
              <w:adjustRightInd w:val="0"/>
              <w:snapToGrid w:val="0"/>
              <w:spacing w:line="360" w:lineRule="auto"/>
              <w:jc w:val="left"/>
              <w:rPr>
                <w:rFonts w:hint="eastAsia" w:ascii="宋体" w:hAnsi="宋体"/>
                <w:b/>
                <w:szCs w:val="21"/>
                <w:lang w:val="en-US" w:eastAsia="zh-CN"/>
              </w:rPr>
            </w:pPr>
            <w:r>
              <w:rPr>
                <w:rFonts w:hint="eastAsia" w:ascii="宋体" w:hAnsi="宋体"/>
                <w:b/>
                <w:szCs w:val="21"/>
                <w:lang w:val="en-US" w:eastAsia="zh-CN"/>
              </w:rPr>
              <w:t>说明：</w:t>
            </w:r>
          </w:p>
          <w:p>
            <w:pPr>
              <w:pStyle w:val="2"/>
              <w:spacing w:line="360" w:lineRule="auto"/>
              <w:ind w:left="0" w:leftChars="0" w:firstLine="0" w:firstLineChars="0"/>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1.如部分产品停产升级或技术规格优于上述型号，请出示相关证明材料。</w:t>
            </w:r>
          </w:p>
          <w:p>
            <w:pPr>
              <w:adjustRightInd w:val="0"/>
              <w:snapToGrid w:val="0"/>
              <w:spacing w:line="360" w:lineRule="auto"/>
              <w:jc w:val="left"/>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2.对于清单中已明确品牌的物资，请按照该品牌物资进行响应；</w:t>
            </w:r>
          </w:p>
          <w:p>
            <w:pPr>
              <w:adjustRightInd w:val="0"/>
              <w:snapToGrid w:val="0"/>
              <w:spacing w:line="360" w:lineRule="auto"/>
              <w:jc w:val="left"/>
              <w:rPr>
                <w:rFonts w:hint="eastAsia" w:ascii="宋体" w:hAnsi="宋体"/>
                <w:b/>
                <w:szCs w:val="21"/>
                <w:lang w:val="en-US" w:eastAsia="zh-CN"/>
              </w:rPr>
            </w:pPr>
            <w:r>
              <w:rPr>
                <w:rFonts w:hint="eastAsia" w:ascii="宋体" w:hAnsi="宋体"/>
                <w:b/>
                <w:szCs w:val="21"/>
                <w:lang w:val="en-US" w:eastAsia="zh-CN"/>
              </w:rPr>
              <w:t>3.对于清单中带*号未明确品牌的物资，响应时必须含有品牌和型号，作为后续合同签订及到货验收的依据。</w:t>
            </w:r>
          </w:p>
        </w:tc>
      </w:tr>
    </w:tbl>
    <w:p/>
    <w:p>
      <w:pPr>
        <w:adjustRightInd w:val="0"/>
        <w:snapToGrid w:val="0"/>
        <w:spacing w:line="360" w:lineRule="auto"/>
        <w:rPr>
          <w:rFonts w:ascii="宋体" w:hAnsi="宋体"/>
          <w:b/>
          <w:szCs w:val="21"/>
        </w:rPr>
      </w:pPr>
      <w:r>
        <w:rPr>
          <w:rFonts w:hint="eastAsia" w:ascii="宋体" w:hAnsi="宋体"/>
          <w:b/>
          <w:szCs w:val="21"/>
        </w:rPr>
        <w:t>备注：</w:t>
      </w:r>
    </w:p>
    <w:p>
      <w:pPr>
        <w:adjustRightInd w:val="0"/>
        <w:snapToGrid w:val="0"/>
        <w:spacing w:line="360" w:lineRule="auto"/>
        <w:ind w:firstLine="422" w:firstLineChars="200"/>
        <w:rPr>
          <w:rFonts w:ascii="宋体" w:hAnsi="宋体"/>
          <w:b/>
          <w:szCs w:val="21"/>
        </w:rPr>
      </w:pPr>
      <w:r>
        <w:rPr>
          <w:rFonts w:hint="eastAsia" w:ascii="宋体" w:hAnsi="宋体"/>
          <w:b/>
          <w:szCs w:val="21"/>
        </w:rPr>
        <w:t>1.所有报价保留小数点后两位，小数点后第三位“四舍五入”。</w:t>
      </w:r>
    </w:p>
    <w:p>
      <w:pPr>
        <w:adjustRightInd w:val="0"/>
        <w:snapToGrid w:val="0"/>
        <w:spacing w:line="360" w:lineRule="auto"/>
        <w:ind w:firstLine="422" w:firstLineChars="200"/>
        <w:rPr>
          <w:rFonts w:hint="eastAsia" w:ascii="宋体" w:hAnsi="宋体"/>
          <w:b/>
          <w:szCs w:val="21"/>
        </w:rPr>
      </w:pPr>
      <w:r>
        <w:rPr>
          <w:rFonts w:hint="eastAsia" w:ascii="宋体" w:hAnsi="宋体"/>
          <w:b/>
          <w:szCs w:val="21"/>
        </w:rPr>
        <w:t>2.本表包含谈判文件“用户需求书”或其他部分对该项目所有要求的详细报价。“合计”金额之和应与《报价一览表》内“谈判总报价”金额一致。栏目“单价”为综合单价，应包含所有隐含的管理费、税金和利润等其他费用。</w:t>
      </w:r>
    </w:p>
    <w:p>
      <w:pPr>
        <w:pStyle w:val="2"/>
      </w:pPr>
    </w:p>
    <w:p>
      <w:pPr>
        <w:pStyle w:val="27"/>
        <w:adjustRightInd w:val="0"/>
        <w:snapToGrid w:val="0"/>
        <w:spacing w:line="360" w:lineRule="auto"/>
        <w:ind w:firstLine="420" w:firstLineChars="200"/>
        <w:rPr>
          <w:rFonts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adjustRightInd w:val="0"/>
        <w:snapToGrid w:val="0"/>
        <w:spacing w:line="360" w:lineRule="auto"/>
        <w:ind w:firstLine="420" w:firstLineChars="200"/>
        <w:rPr>
          <w:rFonts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spacing w:line="360" w:lineRule="auto"/>
        <w:ind w:firstLine="420" w:firstLineChars="200"/>
        <w:rPr>
          <w:rFonts w:ascii="宋体" w:hAns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3"/>
        <w:jc w:val="center"/>
        <w:outlineLvl w:val="1"/>
        <w:rPr>
          <w:rFonts w:ascii="宋体" w:hAnsi="宋体" w:cs="宋体"/>
          <w:b/>
          <w:sz w:val="32"/>
          <w:szCs w:val="32"/>
        </w:rPr>
        <w:sectPr>
          <w:pgSz w:w="11906" w:h="16838"/>
          <w:pgMar w:top="1440" w:right="1797" w:bottom="1440" w:left="1797" w:header="851" w:footer="992" w:gutter="0"/>
          <w:cols w:space="720" w:num="1"/>
          <w:docGrid w:type="lines" w:linePitch="312" w:charSpace="0"/>
        </w:sectPr>
      </w:pPr>
    </w:p>
    <w:p>
      <w:pPr>
        <w:adjustRightInd w:val="0"/>
        <w:snapToGrid w:val="0"/>
        <w:spacing w:line="360" w:lineRule="auto"/>
        <w:ind w:right="23"/>
        <w:jc w:val="center"/>
        <w:outlineLvl w:val="1"/>
        <w:rPr>
          <w:rFonts w:ascii="宋体" w:hAnsi="宋体" w:cs="宋体"/>
          <w:b/>
          <w:sz w:val="32"/>
          <w:szCs w:val="32"/>
        </w:rPr>
      </w:pPr>
      <w:r>
        <w:rPr>
          <w:rFonts w:hint="eastAsia" w:ascii="宋体" w:hAnsi="宋体" w:cs="宋体"/>
          <w:b/>
          <w:sz w:val="32"/>
          <w:szCs w:val="32"/>
        </w:rPr>
        <w:t>七、其他资料</w:t>
      </w:r>
      <w:bookmarkEnd w:id="141"/>
      <w:bookmarkEnd w:id="142"/>
      <w:bookmarkEnd w:id="143"/>
      <w:bookmarkEnd w:id="144"/>
      <w:r>
        <w:rPr>
          <w:rFonts w:hint="eastAsia" w:ascii="宋体" w:hAnsi="宋体" w:cs="宋体"/>
          <w:b/>
          <w:sz w:val="32"/>
          <w:szCs w:val="32"/>
        </w:rPr>
        <w:t>（如有）</w:t>
      </w:r>
    </w:p>
    <w:p>
      <w:pPr>
        <w:adjustRightInd w:val="0"/>
        <w:snapToGrid w:val="0"/>
        <w:spacing w:before="156" w:beforeLines="50" w:line="360" w:lineRule="auto"/>
        <w:ind w:firstLine="420" w:firstLineChars="200"/>
        <w:jc w:val="center"/>
        <w:rPr>
          <w:rFonts w:ascii="宋体" w:hAnsi="宋体"/>
          <w:szCs w:val="21"/>
        </w:rPr>
      </w:pPr>
      <w:bookmarkStart w:id="145" w:name="_Toc10648"/>
      <w:bookmarkStart w:id="146" w:name="_Toc22084"/>
      <w:bookmarkStart w:id="147" w:name="_Toc18188"/>
      <w:bookmarkStart w:id="148" w:name="_Toc5412"/>
      <w:r>
        <w:rPr>
          <w:rFonts w:hint="eastAsia" w:ascii="宋体" w:hAnsi="宋体"/>
          <w:szCs w:val="21"/>
        </w:rPr>
        <w:t>谈判单位认为需要提供的其他报价资料，格式自拟。</w:t>
      </w:r>
      <w:bookmarkEnd w:id="145"/>
      <w:bookmarkEnd w:id="146"/>
      <w:bookmarkEnd w:id="147"/>
      <w:bookmarkEnd w:id="148"/>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8CF3C52" w:usb2="00000016" w:usb3="00000000" w:csb0="0004001F" w:csb1="00000000"/>
  </w:font>
  <w:font w:name="等线 Light">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10006FF" w:usb1="4000205B" w:usb2="00000010" w:usb3="00000000" w:csb0="2000019F"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pict>
        <v:shape id="_x0000_s2059" o:spid="_x0000_s205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w: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pict>
        <v:shape id="_x0000_s2060" o:spid="_x0000_s206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30"/>
                </w:pPr>
                <w:r>
                  <w:fldChar w:fldCharType="begin"/>
                </w:r>
                <w:r>
                  <w:instrText xml:space="preserve"> PAGE  \* MERGEFORMAT </w:instrText>
                </w:r>
                <w:r>
                  <w:fldChar w:fldCharType="separate"/>
                </w:r>
                <w:r>
                  <w:t>13</w:t>
                </w:r>
                <w:r>
                  <w:fldChar w:fldCharType="end"/>
                </w:r>
              </w:p>
            </w:txbxContent>
          </v:textbox>
        </v:shape>
      </w:pict>
    </w: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left="180" w:hanging="180" w:hangingChars="100"/>
      <w:jc w:val="right"/>
      <w:rPr>
        <w:rFonts w:eastAsia="楷体_GB2312"/>
      </w:rPr>
    </w:pPr>
    <w:r>
      <w:pict>
        <v:shape id="_x0000_s2061" o:spid="_x0000_s206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30"/>
                </w:pPr>
                <w:r>
                  <w:fldChar w:fldCharType="begin"/>
                </w:r>
                <w:r>
                  <w:instrText xml:space="preserve"> PAGE  \* MERGEFORMAT </w:instrText>
                </w:r>
                <w:r>
                  <w:fldChar w:fldCharType="separate"/>
                </w:r>
                <w:r>
                  <w:t>16</w:t>
                </w:r>
                <w:r>
                  <w:fldChar w:fldCharType="end"/>
                </w:r>
              </w:p>
            </w:txbxContent>
          </v:textbox>
        </v:shape>
      </w:pict>
    </w:r>
    <w:r>
      <w:rPr>
        <w:rFonts w:hint="eastAsia" w:eastAsia="楷体_GB231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left="180" w:hanging="180" w:hangingChars="100"/>
      <w:jc w:val="right"/>
      <w:rPr>
        <w:rFonts w:eastAsia="楷体_GB2312"/>
      </w:rPr>
    </w:pPr>
    <w:r>
      <w:pict>
        <v:shape id="_x0000_s2062" o:spid="_x0000_s206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30"/>
                </w:pPr>
                <w:r>
                  <w:fldChar w:fldCharType="begin"/>
                </w:r>
                <w:r>
                  <w:instrText xml:space="preserve"> PAGE  \* MERGEFORMAT </w:instrText>
                </w:r>
                <w:r>
                  <w:fldChar w:fldCharType="separate"/>
                </w:r>
                <w:r>
                  <w:t>17</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left="180" w:hanging="180" w:hangingChars="100"/>
      <w:jc w:val="right"/>
      <w:rPr>
        <w:rFonts w:eastAsia="楷体_GB2312"/>
      </w:rPr>
    </w:pPr>
    <w:r>
      <w:pict>
        <v:shape id="_x0000_s2063" o:spid="_x0000_s2063"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ict>
        <v:shape id="_x0000_s2064" o:spid="_x0000_s2064"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pPr>
                  <w:pStyle w:val="30"/>
                </w:pPr>
                <w:r>
                  <w:fldChar w:fldCharType="begin"/>
                </w:r>
                <w:r>
                  <w:instrText xml:space="preserve"> PAGE  \* MERGEFORMAT </w:instrText>
                </w:r>
                <w:r>
                  <w:fldChar w:fldCharType="separate"/>
                </w:r>
                <w:r>
                  <w:t>33</w:t>
                </w:r>
                <w:r>
                  <w:fldChar w:fldCharType="end"/>
                </w:r>
              </w:p>
            </w:txbxContent>
          </v:textbox>
        </v:shape>
      </w:pic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3C372"/>
    <w:multiLevelType w:val="singleLevel"/>
    <w:tmpl w:val="A0C3C372"/>
    <w:lvl w:ilvl="0" w:tentative="0">
      <w:start w:val="1"/>
      <w:numFmt w:val="decimal"/>
      <w:suff w:val="nothing"/>
      <w:lvlText w:val="（%1）"/>
      <w:lvlJc w:val="left"/>
    </w:lvl>
  </w:abstractNum>
  <w:abstractNum w:abstractNumId="1">
    <w:nsid w:val="FE293A88"/>
    <w:multiLevelType w:val="singleLevel"/>
    <w:tmpl w:val="FE293A88"/>
    <w:lvl w:ilvl="0" w:tentative="0">
      <w:start w:val="3"/>
      <w:numFmt w:val="chineseCounting"/>
      <w:pStyle w:val="358"/>
      <w:suff w:val="nothing"/>
      <w:lvlText w:val="%1、"/>
      <w:lvlJc w:val="left"/>
      <w:rPr>
        <w:rFonts w:hint="eastAsia"/>
      </w:rPr>
    </w:lvl>
  </w:abstractNum>
  <w:abstractNum w:abstractNumId="2">
    <w:nsid w:val="00000006"/>
    <w:multiLevelType w:val="multilevel"/>
    <w:tmpl w:val="00000006"/>
    <w:lvl w:ilvl="0" w:tentative="0">
      <w:start w:val="1"/>
      <w:numFmt w:val="decimal"/>
      <w:pStyle w:val="246"/>
      <w:lvlText w:val="%1"/>
      <w:lvlJc w:val="left"/>
      <w:pPr>
        <w:tabs>
          <w:tab w:val="left" w:pos="2238"/>
        </w:tabs>
        <w:ind w:left="2238" w:hanging="432"/>
      </w:pPr>
      <w:rPr>
        <w:rFonts w:hint="default"/>
        <w:u w:val="none"/>
      </w:rPr>
    </w:lvl>
    <w:lvl w:ilvl="1" w:tentative="0">
      <w:start w:val="1"/>
      <w:numFmt w:val="decimal"/>
      <w:pStyle w:val="322"/>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3">
    <w:nsid w:val="0D1516BE"/>
    <w:multiLevelType w:val="multilevel"/>
    <w:tmpl w:val="0D1516BE"/>
    <w:lvl w:ilvl="0" w:tentative="0">
      <w:start w:val="1"/>
      <w:numFmt w:val="chineseCountingThousand"/>
      <w:pStyle w:val="362"/>
      <w:suff w:val="space"/>
      <w:lvlText w:val="(%1)"/>
      <w:lvlJc w:val="left"/>
      <w:pPr>
        <w:ind w:left="640" w:firstLine="0"/>
      </w:pPr>
      <w:rPr>
        <w:rFonts w:hint="eastAsia" w:ascii="楷体_GB2312" w:eastAsia="楷体_GB2312"/>
        <w:sz w:val="32"/>
        <w:szCs w:val="32"/>
      </w:rPr>
    </w:lvl>
    <w:lvl w:ilvl="1" w:tentative="0">
      <w:start w:val="1"/>
      <w:numFmt w:val="lowerLetter"/>
      <w:pStyle w:val="357"/>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6516015"/>
    <w:multiLevelType w:val="multilevel"/>
    <w:tmpl w:val="16516015"/>
    <w:lvl w:ilvl="0" w:tentative="0">
      <w:start w:val="1"/>
      <w:numFmt w:val="chineseCountingThousand"/>
      <w:pStyle w:val="360"/>
      <w:suff w:val="space"/>
      <w:lvlText w:val="(%1)"/>
      <w:lvlJc w:val="left"/>
      <w:pPr>
        <w:ind w:left="0" w:firstLine="0"/>
      </w:pPr>
      <w:rPr>
        <w:rFonts w:hint="eastAsia" w:ascii="楷体_GB2312" w:eastAsia="楷体_GB2312"/>
        <w:sz w:val="32"/>
        <w:szCs w:val="32"/>
      </w:rPr>
    </w:lvl>
    <w:lvl w:ilvl="1" w:tentative="0">
      <w:start w:val="1"/>
      <w:numFmt w:val="lowerLetter"/>
      <w:pStyle w:val="359"/>
      <w:lvlText w:val="%2)"/>
      <w:lvlJc w:val="left"/>
      <w:pPr>
        <w:ind w:left="840" w:hanging="420"/>
      </w:pPr>
    </w:lvl>
    <w:lvl w:ilvl="2" w:tentative="0">
      <w:start w:val="1"/>
      <w:numFmt w:val="lowerRoman"/>
      <w:pStyle w:val="361"/>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3"/>
      <w:suff w:val="nothing"/>
      <w:lvlText w:val="%1.%2　"/>
      <w:lvlJc w:val="left"/>
      <w:pPr>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70784A"/>
    <w:rsid w:val="00005EC9"/>
    <w:rsid w:val="00006D21"/>
    <w:rsid w:val="000127FE"/>
    <w:rsid w:val="00016902"/>
    <w:rsid w:val="00017A03"/>
    <w:rsid w:val="000274C6"/>
    <w:rsid w:val="00041547"/>
    <w:rsid w:val="00052640"/>
    <w:rsid w:val="00052912"/>
    <w:rsid w:val="00063D15"/>
    <w:rsid w:val="00074928"/>
    <w:rsid w:val="00091C9D"/>
    <w:rsid w:val="000C106E"/>
    <w:rsid w:val="000E7968"/>
    <w:rsid w:val="000F3387"/>
    <w:rsid w:val="00115FE6"/>
    <w:rsid w:val="00116BAE"/>
    <w:rsid w:val="00121C56"/>
    <w:rsid w:val="001453A1"/>
    <w:rsid w:val="00162D59"/>
    <w:rsid w:val="00186162"/>
    <w:rsid w:val="00194941"/>
    <w:rsid w:val="001A5EF3"/>
    <w:rsid w:val="001C23BF"/>
    <w:rsid w:val="001D6D72"/>
    <w:rsid w:val="001D7E18"/>
    <w:rsid w:val="001E4BC4"/>
    <w:rsid w:val="002069C8"/>
    <w:rsid w:val="002101BD"/>
    <w:rsid w:val="002139EB"/>
    <w:rsid w:val="0022188F"/>
    <w:rsid w:val="00222B8F"/>
    <w:rsid w:val="00222DFA"/>
    <w:rsid w:val="00230A1A"/>
    <w:rsid w:val="002314A3"/>
    <w:rsid w:val="00241856"/>
    <w:rsid w:val="002504FF"/>
    <w:rsid w:val="002523FD"/>
    <w:rsid w:val="0025312F"/>
    <w:rsid w:val="00255546"/>
    <w:rsid w:val="00280E34"/>
    <w:rsid w:val="00286014"/>
    <w:rsid w:val="002B1D56"/>
    <w:rsid w:val="002D3315"/>
    <w:rsid w:val="002F262C"/>
    <w:rsid w:val="003102A2"/>
    <w:rsid w:val="00331810"/>
    <w:rsid w:val="00352136"/>
    <w:rsid w:val="00380064"/>
    <w:rsid w:val="00381105"/>
    <w:rsid w:val="00381BB4"/>
    <w:rsid w:val="003958B2"/>
    <w:rsid w:val="0039632C"/>
    <w:rsid w:val="003B1109"/>
    <w:rsid w:val="003C2697"/>
    <w:rsid w:val="003D080C"/>
    <w:rsid w:val="003D19B4"/>
    <w:rsid w:val="003D6204"/>
    <w:rsid w:val="003D666D"/>
    <w:rsid w:val="003F46A7"/>
    <w:rsid w:val="004014FD"/>
    <w:rsid w:val="00423B85"/>
    <w:rsid w:val="004263EB"/>
    <w:rsid w:val="00432B31"/>
    <w:rsid w:val="0043561C"/>
    <w:rsid w:val="00453EE9"/>
    <w:rsid w:val="00473865"/>
    <w:rsid w:val="0048093D"/>
    <w:rsid w:val="00485744"/>
    <w:rsid w:val="004929D5"/>
    <w:rsid w:val="00495DBC"/>
    <w:rsid w:val="00495F57"/>
    <w:rsid w:val="004978CA"/>
    <w:rsid w:val="004B3D80"/>
    <w:rsid w:val="004B41B1"/>
    <w:rsid w:val="004C7840"/>
    <w:rsid w:val="004E3E63"/>
    <w:rsid w:val="00504DED"/>
    <w:rsid w:val="00517342"/>
    <w:rsid w:val="00522C87"/>
    <w:rsid w:val="00526589"/>
    <w:rsid w:val="00545140"/>
    <w:rsid w:val="0055214F"/>
    <w:rsid w:val="005556A5"/>
    <w:rsid w:val="0056117D"/>
    <w:rsid w:val="0056143E"/>
    <w:rsid w:val="00584FBA"/>
    <w:rsid w:val="0058754B"/>
    <w:rsid w:val="005C688B"/>
    <w:rsid w:val="005C6B3C"/>
    <w:rsid w:val="005D46FA"/>
    <w:rsid w:val="005E6BBB"/>
    <w:rsid w:val="00641E72"/>
    <w:rsid w:val="0068504A"/>
    <w:rsid w:val="0068515F"/>
    <w:rsid w:val="00687C87"/>
    <w:rsid w:val="00696DB9"/>
    <w:rsid w:val="006A61E9"/>
    <w:rsid w:val="006B2599"/>
    <w:rsid w:val="006B6300"/>
    <w:rsid w:val="006C5E01"/>
    <w:rsid w:val="006D0A13"/>
    <w:rsid w:val="006D4C66"/>
    <w:rsid w:val="006E025D"/>
    <w:rsid w:val="006E1396"/>
    <w:rsid w:val="006E7E8A"/>
    <w:rsid w:val="006F5FAC"/>
    <w:rsid w:val="00703837"/>
    <w:rsid w:val="0070784A"/>
    <w:rsid w:val="007203CC"/>
    <w:rsid w:val="00730CC6"/>
    <w:rsid w:val="00740D0D"/>
    <w:rsid w:val="00743EAA"/>
    <w:rsid w:val="007666FF"/>
    <w:rsid w:val="00793ABB"/>
    <w:rsid w:val="0079784E"/>
    <w:rsid w:val="007C242F"/>
    <w:rsid w:val="007D0446"/>
    <w:rsid w:val="007D7C61"/>
    <w:rsid w:val="007F2A83"/>
    <w:rsid w:val="007F3811"/>
    <w:rsid w:val="007F512B"/>
    <w:rsid w:val="00801CDE"/>
    <w:rsid w:val="00802770"/>
    <w:rsid w:val="0081382B"/>
    <w:rsid w:val="00842354"/>
    <w:rsid w:val="00842E06"/>
    <w:rsid w:val="008511F3"/>
    <w:rsid w:val="00877465"/>
    <w:rsid w:val="008820C0"/>
    <w:rsid w:val="008B6242"/>
    <w:rsid w:val="008C7C9F"/>
    <w:rsid w:val="008D2E27"/>
    <w:rsid w:val="00915948"/>
    <w:rsid w:val="00923E97"/>
    <w:rsid w:val="00981802"/>
    <w:rsid w:val="009A5642"/>
    <w:rsid w:val="009B5270"/>
    <w:rsid w:val="009C10AF"/>
    <w:rsid w:val="009D41D7"/>
    <w:rsid w:val="009D7D4A"/>
    <w:rsid w:val="009E03FD"/>
    <w:rsid w:val="009E2384"/>
    <w:rsid w:val="00A0779E"/>
    <w:rsid w:val="00A1747A"/>
    <w:rsid w:val="00A34DC1"/>
    <w:rsid w:val="00A41E73"/>
    <w:rsid w:val="00A4298F"/>
    <w:rsid w:val="00A618F2"/>
    <w:rsid w:val="00A61CCE"/>
    <w:rsid w:val="00A72E80"/>
    <w:rsid w:val="00A92B7C"/>
    <w:rsid w:val="00AA1709"/>
    <w:rsid w:val="00AB013C"/>
    <w:rsid w:val="00AD284D"/>
    <w:rsid w:val="00AD758B"/>
    <w:rsid w:val="00AE7813"/>
    <w:rsid w:val="00AF11ED"/>
    <w:rsid w:val="00AF1EBD"/>
    <w:rsid w:val="00B01BA0"/>
    <w:rsid w:val="00B54827"/>
    <w:rsid w:val="00B74689"/>
    <w:rsid w:val="00B77D0D"/>
    <w:rsid w:val="00B82298"/>
    <w:rsid w:val="00B832A9"/>
    <w:rsid w:val="00B918DC"/>
    <w:rsid w:val="00B92FA2"/>
    <w:rsid w:val="00BE15B5"/>
    <w:rsid w:val="00C0069B"/>
    <w:rsid w:val="00C20479"/>
    <w:rsid w:val="00C21267"/>
    <w:rsid w:val="00C21D69"/>
    <w:rsid w:val="00C421E8"/>
    <w:rsid w:val="00C44B3D"/>
    <w:rsid w:val="00C532E5"/>
    <w:rsid w:val="00C57914"/>
    <w:rsid w:val="00C6008B"/>
    <w:rsid w:val="00C758E3"/>
    <w:rsid w:val="00CB534B"/>
    <w:rsid w:val="00CD624B"/>
    <w:rsid w:val="00CE51F2"/>
    <w:rsid w:val="00CE631C"/>
    <w:rsid w:val="00CE703D"/>
    <w:rsid w:val="00CF0192"/>
    <w:rsid w:val="00CF040C"/>
    <w:rsid w:val="00CF33D8"/>
    <w:rsid w:val="00CF6FD5"/>
    <w:rsid w:val="00D12668"/>
    <w:rsid w:val="00D164FE"/>
    <w:rsid w:val="00D17964"/>
    <w:rsid w:val="00D25462"/>
    <w:rsid w:val="00D31733"/>
    <w:rsid w:val="00D43330"/>
    <w:rsid w:val="00D45708"/>
    <w:rsid w:val="00D52DEC"/>
    <w:rsid w:val="00D628FC"/>
    <w:rsid w:val="00D6362F"/>
    <w:rsid w:val="00D84A7F"/>
    <w:rsid w:val="00DA1E17"/>
    <w:rsid w:val="00DA51BD"/>
    <w:rsid w:val="00DC6DB0"/>
    <w:rsid w:val="00DD046F"/>
    <w:rsid w:val="00DF363F"/>
    <w:rsid w:val="00E10E15"/>
    <w:rsid w:val="00E32EEF"/>
    <w:rsid w:val="00E67EDA"/>
    <w:rsid w:val="00E74692"/>
    <w:rsid w:val="00E77817"/>
    <w:rsid w:val="00E944EE"/>
    <w:rsid w:val="00EB473C"/>
    <w:rsid w:val="00ED2C03"/>
    <w:rsid w:val="00EF6911"/>
    <w:rsid w:val="00F02BD7"/>
    <w:rsid w:val="00F13C88"/>
    <w:rsid w:val="00F20951"/>
    <w:rsid w:val="00F37996"/>
    <w:rsid w:val="00F410E0"/>
    <w:rsid w:val="00F579E9"/>
    <w:rsid w:val="00FA6734"/>
    <w:rsid w:val="00FE3699"/>
    <w:rsid w:val="01403F6F"/>
    <w:rsid w:val="014D6F55"/>
    <w:rsid w:val="01553A81"/>
    <w:rsid w:val="01932790"/>
    <w:rsid w:val="01CF51F6"/>
    <w:rsid w:val="01EA6EEC"/>
    <w:rsid w:val="01EB0B76"/>
    <w:rsid w:val="01F95304"/>
    <w:rsid w:val="021B19D1"/>
    <w:rsid w:val="02263AD9"/>
    <w:rsid w:val="02294C31"/>
    <w:rsid w:val="024C0DC0"/>
    <w:rsid w:val="02787973"/>
    <w:rsid w:val="02787D91"/>
    <w:rsid w:val="02823A35"/>
    <w:rsid w:val="02921AB5"/>
    <w:rsid w:val="029A1968"/>
    <w:rsid w:val="029C7EDA"/>
    <w:rsid w:val="02AB7973"/>
    <w:rsid w:val="02BF5617"/>
    <w:rsid w:val="02C8111D"/>
    <w:rsid w:val="02FB4FEB"/>
    <w:rsid w:val="031F3BB0"/>
    <w:rsid w:val="03727DAF"/>
    <w:rsid w:val="039C0C88"/>
    <w:rsid w:val="03BC41F8"/>
    <w:rsid w:val="03D41287"/>
    <w:rsid w:val="03F31A5E"/>
    <w:rsid w:val="03FC0CEA"/>
    <w:rsid w:val="04240981"/>
    <w:rsid w:val="042B3AFB"/>
    <w:rsid w:val="0445397B"/>
    <w:rsid w:val="0471407F"/>
    <w:rsid w:val="04D13D33"/>
    <w:rsid w:val="04E70891"/>
    <w:rsid w:val="04EE0D07"/>
    <w:rsid w:val="054E6891"/>
    <w:rsid w:val="05990F81"/>
    <w:rsid w:val="05CA73F2"/>
    <w:rsid w:val="05EB6762"/>
    <w:rsid w:val="05F777CC"/>
    <w:rsid w:val="061842D1"/>
    <w:rsid w:val="061A0774"/>
    <w:rsid w:val="067428EB"/>
    <w:rsid w:val="06C11238"/>
    <w:rsid w:val="06CD11F8"/>
    <w:rsid w:val="06D335AE"/>
    <w:rsid w:val="06D605B3"/>
    <w:rsid w:val="070C68F7"/>
    <w:rsid w:val="072B22BC"/>
    <w:rsid w:val="074C43F1"/>
    <w:rsid w:val="07650D5D"/>
    <w:rsid w:val="07A76048"/>
    <w:rsid w:val="07B16F85"/>
    <w:rsid w:val="082211DD"/>
    <w:rsid w:val="08232382"/>
    <w:rsid w:val="082F5114"/>
    <w:rsid w:val="083D23B2"/>
    <w:rsid w:val="086136BB"/>
    <w:rsid w:val="08786792"/>
    <w:rsid w:val="08807627"/>
    <w:rsid w:val="089F6734"/>
    <w:rsid w:val="093252EE"/>
    <w:rsid w:val="09422E59"/>
    <w:rsid w:val="094A4EE7"/>
    <w:rsid w:val="0959407C"/>
    <w:rsid w:val="097D1C20"/>
    <w:rsid w:val="098A3350"/>
    <w:rsid w:val="09A23D38"/>
    <w:rsid w:val="09AB154E"/>
    <w:rsid w:val="0A0B173F"/>
    <w:rsid w:val="0A2948BE"/>
    <w:rsid w:val="0A451CA7"/>
    <w:rsid w:val="0AA94D17"/>
    <w:rsid w:val="0AE24958"/>
    <w:rsid w:val="0B0459F0"/>
    <w:rsid w:val="0B4432D5"/>
    <w:rsid w:val="0B590F4A"/>
    <w:rsid w:val="0B8511E8"/>
    <w:rsid w:val="0BAA700E"/>
    <w:rsid w:val="0BEB10E2"/>
    <w:rsid w:val="0C156CFF"/>
    <w:rsid w:val="0C1A66D1"/>
    <w:rsid w:val="0C361670"/>
    <w:rsid w:val="0C411CD0"/>
    <w:rsid w:val="0C5B1FA9"/>
    <w:rsid w:val="0C7D1518"/>
    <w:rsid w:val="0C8E4136"/>
    <w:rsid w:val="0CA062F8"/>
    <w:rsid w:val="0CED2457"/>
    <w:rsid w:val="0D066854"/>
    <w:rsid w:val="0D2C1377"/>
    <w:rsid w:val="0D5C5AB2"/>
    <w:rsid w:val="0D614F04"/>
    <w:rsid w:val="0D6A4C3D"/>
    <w:rsid w:val="0D8146BF"/>
    <w:rsid w:val="0D847932"/>
    <w:rsid w:val="0DC51AA6"/>
    <w:rsid w:val="0DCC335E"/>
    <w:rsid w:val="0DF87606"/>
    <w:rsid w:val="0E04554D"/>
    <w:rsid w:val="0E0C0187"/>
    <w:rsid w:val="0E1865F8"/>
    <w:rsid w:val="0E413AE2"/>
    <w:rsid w:val="0E94477A"/>
    <w:rsid w:val="0EBC2000"/>
    <w:rsid w:val="0ED5035C"/>
    <w:rsid w:val="0ED676FB"/>
    <w:rsid w:val="0F143C2E"/>
    <w:rsid w:val="0F340DCE"/>
    <w:rsid w:val="0F3918CC"/>
    <w:rsid w:val="0F397095"/>
    <w:rsid w:val="0F44488F"/>
    <w:rsid w:val="0FD663C6"/>
    <w:rsid w:val="10190CBD"/>
    <w:rsid w:val="102D14D1"/>
    <w:rsid w:val="104E0318"/>
    <w:rsid w:val="10A750E5"/>
    <w:rsid w:val="10E03F78"/>
    <w:rsid w:val="11342822"/>
    <w:rsid w:val="115D2B41"/>
    <w:rsid w:val="118640B3"/>
    <w:rsid w:val="11F0026F"/>
    <w:rsid w:val="12321665"/>
    <w:rsid w:val="126C7EC0"/>
    <w:rsid w:val="1277417D"/>
    <w:rsid w:val="12BC3211"/>
    <w:rsid w:val="12BE7F96"/>
    <w:rsid w:val="12E70400"/>
    <w:rsid w:val="12F745E0"/>
    <w:rsid w:val="12F96D8F"/>
    <w:rsid w:val="1342515B"/>
    <w:rsid w:val="1356443E"/>
    <w:rsid w:val="1360694E"/>
    <w:rsid w:val="136253A7"/>
    <w:rsid w:val="136544CD"/>
    <w:rsid w:val="139D2223"/>
    <w:rsid w:val="13A934D3"/>
    <w:rsid w:val="13C0328F"/>
    <w:rsid w:val="13C5215F"/>
    <w:rsid w:val="13C719E1"/>
    <w:rsid w:val="13DC2553"/>
    <w:rsid w:val="142D4C56"/>
    <w:rsid w:val="1444680B"/>
    <w:rsid w:val="145C45D5"/>
    <w:rsid w:val="147221DE"/>
    <w:rsid w:val="149B2B25"/>
    <w:rsid w:val="15340E77"/>
    <w:rsid w:val="157939BE"/>
    <w:rsid w:val="15C01930"/>
    <w:rsid w:val="161C194F"/>
    <w:rsid w:val="162E1686"/>
    <w:rsid w:val="163247B8"/>
    <w:rsid w:val="167D6633"/>
    <w:rsid w:val="16C7330C"/>
    <w:rsid w:val="16CE41FA"/>
    <w:rsid w:val="16E77616"/>
    <w:rsid w:val="16F862E2"/>
    <w:rsid w:val="173A56D7"/>
    <w:rsid w:val="17615051"/>
    <w:rsid w:val="176159C8"/>
    <w:rsid w:val="17740B65"/>
    <w:rsid w:val="17C50F2C"/>
    <w:rsid w:val="18613676"/>
    <w:rsid w:val="1871686D"/>
    <w:rsid w:val="18735165"/>
    <w:rsid w:val="188542AB"/>
    <w:rsid w:val="1888103C"/>
    <w:rsid w:val="18940F06"/>
    <w:rsid w:val="189E1726"/>
    <w:rsid w:val="18AE213F"/>
    <w:rsid w:val="18EF3A7F"/>
    <w:rsid w:val="190C670E"/>
    <w:rsid w:val="191C7D65"/>
    <w:rsid w:val="19266EAE"/>
    <w:rsid w:val="193E61A9"/>
    <w:rsid w:val="199E1C7E"/>
    <w:rsid w:val="19AA66B3"/>
    <w:rsid w:val="19B175FE"/>
    <w:rsid w:val="19BA2DA6"/>
    <w:rsid w:val="19E17184"/>
    <w:rsid w:val="19F75E1F"/>
    <w:rsid w:val="19FB2C3C"/>
    <w:rsid w:val="1A1B5EE6"/>
    <w:rsid w:val="1A351A94"/>
    <w:rsid w:val="1A3B188F"/>
    <w:rsid w:val="1A4F4961"/>
    <w:rsid w:val="1A527E86"/>
    <w:rsid w:val="1A6B0EEF"/>
    <w:rsid w:val="1A864FC7"/>
    <w:rsid w:val="1A967D50"/>
    <w:rsid w:val="1A970FB3"/>
    <w:rsid w:val="1AAB45F6"/>
    <w:rsid w:val="1AF205C1"/>
    <w:rsid w:val="1B106349"/>
    <w:rsid w:val="1B133EBD"/>
    <w:rsid w:val="1B791B76"/>
    <w:rsid w:val="1BBD3D34"/>
    <w:rsid w:val="1BBE13E9"/>
    <w:rsid w:val="1BC54211"/>
    <w:rsid w:val="1BCC07FF"/>
    <w:rsid w:val="1BD21A8E"/>
    <w:rsid w:val="1BED31A7"/>
    <w:rsid w:val="1BF6640F"/>
    <w:rsid w:val="1C2D03AA"/>
    <w:rsid w:val="1C2F51F0"/>
    <w:rsid w:val="1C4B2F98"/>
    <w:rsid w:val="1CE400B3"/>
    <w:rsid w:val="1D2119DA"/>
    <w:rsid w:val="1D211A71"/>
    <w:rsid w:val="1D481945"/>
    <w:rsid w:val="1D961B49"/>
    <w:rsid w:val="1D9F6122"/>
    <w:rsid w:val="1DC7500C"/>
    <w:rsid w:val="1E0B3639"/>
    <w:rsid w:val="1E1E77F3"/>
    <w:rsid w:val="1E2B1E83"/>
    <w:rsid w:val="1E453774"/>
    <w:rsid w:val="1E5E5C12"/>
    <w:rsid w:val="1E6749FD"/>
    <w:rsid w:val="1E7277E4"/>
    <w:rsid w:val="1EB05FC3"/>
    <w:rsid w:val="1EB57C64"/>
    <w:rsid w:val="1EE456C8"/>
    <w:rsid w:val="1EEF0AE0"/>
    <w:rsid w:val="1EFA23B0"/>
    <w:rsid w:val="1F2809C8"/>
    <w:rsid w:val="1F2F00D5"/>
    <w:rsid w:val="1F375C0D"/>
    <w:rsid w:val="1F3D0CE1"/>
    <w:rsid w:val="1F541C2F"/>
    <w:rsid w:val="1F5A5B6B"/>
    <w:rsid w:val="1FA7260B"/>
    <w:rsid w:val="1FB35D19"/>
    <w:rsid w:val="1FEB61A9"/>
    <w:rsid w:val="1FEE3736"/>
    <w:rsid w:val="2034266D"/>
    <w:rsid w:val="20441BF7"/>
    <w:rsid w:val="20567811"/>
    <w:rsid w:val="207B20B8"/>
    <w:rsid w:val="20C87EE6"/>
    <w:rsid w:val="20D4307C"/>
    <w:rsid w:val="20DF6696"/>
    <w:rsid w:val="21156537"/>
    <w:rsid w:val="218469C1"/>
    <w:rsid w:val="21FB6487"/>
    <w:rsid w:val="22611A5A"/>
    <w:rsid w:val="22620C72"/>
    <w:rsid w:val="22622A21"/>
    <w:rsid w:val="22AE5F02"/>
    <w:rsid w:val="22DF68BA"/>
    <w:rsid w:val="22E14510"/>
    <w:rsid w:val="22E54FD6"/>
    <w:rsid w:val="23407456"/>
    <w:rsid w:val="235B09E0"/>
    <w:rsid w:val="236B55EE"/>
    <w:rsid w:val="23E2019C"/>
    <w:rsid w:val="24552B00"/>
    <w:rsid w:val="24582CE4"/>
    <w:rsid w:val="246C3202"/>
    <w:rsid w:val="250462EA"/>
    <w:rsid w:val="252D7657"/>
    <w:rsid w:val="25355DF2"/>
    <w:rsid w:val="25390605"/>
    <w:rsid w:val="253A3746"/>
    <w:rsid w:val="256021B1"/>
    <w:rsid w:val="256C29A0"/>
    <w:rsid w:val="256C4EB8"/>
    <w:rsid w:val="257517C0"/>
    <w:rsid w:val="25752417"/>
    <w:rsid w:val="25933BDB"/>
    <w:rsid w:val="25B66BA8"/>
    <w:rsid w:val="25E70ABF"/>
    <w:rsid w:val="261F7DD8"/>
    <w:rsid w:val="2661226B"/>
    <w:rsid w:val="267142D5"/>
    <w:rsid w:val="26A03A0B"/>
    <w:rsid w:val="26CF4594"/>
    <w:rsid w:val="26EC07A9"/>
    <w:rsid w:val="271E4DAB"/>
    <w:rsid w:val="272A5BFE"/>
    <w:rsid w:val="27320D1C"/>
    <w:rsid w:val="274759C4"/>
    <w:rsid w:val="274B7559"/>
    <w:rsid w:val="27C973D8"/>
    <w:rsid w:val="28166B73"/>
    <w:rsid w:val="282349DC"/>
    <w:rsid w:val="282442D9"/>
    <w:rsid w:val="284367B5"/>
    <w:rsid w:val="284C2446"/>
    <w:rsid w:val="285718A5"/>
    <w:rsid w:val="28E86B18"/>
    <w:rsid w:val="28F865CB"/>
    <w:rsid w:val="29020E18"/>
    <w:rsid w:val="29053276"/>
    <w:rsid w:val="29212087"/>
    <w:rsid w:val="29250E1B"/>
    <w:rsid w:val="293E4CC1"/>
    <w:rsid w:val="29443F92"/>
    <w:rsid w:val="295A53EB"/>
    <w:rsid w:val="296C37B4"/>
    <w:rsid w:val="29803AA3"/>
    <w:rsid w:val="29884B07"/>
    <w:rsid w:val="298957C4"/>
    <w:rsid w:val="29DF4E52"/>
    <w:rsid w:val="2A1D6A45"/>
    <w:rsid w:val="2A6F6EBA"/>
    <w:rsid w:val="2A830C79"/>
    <w:rsid w:val="2ACB2E7C"/>
    <w:rsid w:val="2AD11736"/>
    <w:rsid w:val="2B1029CF"/>
    <w:rsid w:val="2B424E87"/>
    <w:rsid w:val="2B5F0E77"/>
    <w:rsid w:val="2B640F55"/>
    <w:rsid w:val="2B7F64C1"/>
    <w:rsid w:val="2BA3212D"/>
    <w:rsid w:val="2BE7007A"/>
    <w:rsid w:val="2BFE408A"/>
    <w:rsid w:val="2C1D78F3"/>
    <w:rsid w:val="2C234403"/>
    <w:rsid w:val="2C393680"/>
    <w:rsid w:val="2CDF0482"/>
    <w:rsid w:val="2D22640D"/>
    <w:rsid w:val="2D2A75FA"/>
    <w:rsid w:val="2D464D5F"/>
    <w:rsid w:val="2D4E5097"/>
    <w:rsid w:val="2D592D22"/>
    <w:rsid w:val="2D883E6B"/>
    <w:rsid w:val="2DDA45E3"/>
    <w:rsid w:val="2DEB1F6F"/>
    <w:rsid w:val="2DFB00B5"/>
    <w:rsid w:val="2E562A8C"/>
    <w:rsid w:val="2E697CA3"/>
    <w:rsid w:val="2E6D23B0"/>
    <w:rsid w:val="2E6D4E98"/>
    <w:rsid w:val="2E7931EC"/>
    <w:rsid w:val="2E944745"/>
    <w:rsid w:val="2E9705D3"/>
    <w:rsid w:val="2E9C3022"/>
    <w:rsid w:val="2EBE0475"/>
    <w:rsid w:val="2EC1790D"/>
    <w:rsid w:val="2EE23871"/>
    <w:rsid w:val="2F1D1D68"/>
    <w:rsid w:val="2F2A65B2"/>
    <w:rsid w:val="2F6C2DFA"/>
    <w:rsid w:val="2FBB15AA"/>
    <w:rsid w:val="300C3711"/>
    <w:rsid w:val="3022617D"/>
    <w:rsid w:val="30464B56"/>
    <w:rsid w:val="307C2C0D"/>
    <w:rsid w:val="30967620"/>
    <w:rsid w:val="309F2085"/>
    <w:rsid w:val="30BD1FE5"/>
    <w:rsid w:val="30E74D92"/>
    <w:rsid w:val="30F36C74"/>
    <w:rsid w:val="30F9318B"/>
    <w:rsid w:val="31272F44"/>
    <w:rsid w:val="317951F6"/>
    <w:rsid w:val="318A61DA"/>
    <w:rsid w:val="31936105"/>
    <w:rsid w:val="31AA2DD6"/>
    <w:rsid w:val="31B658D4"/>
    <w:rsid w:val="32316E69"/>
    <w:rsid w:val="325B404D"/>
    <w:rsid w:val="32887E5F"/>
    <w:rsid w:val="32922EE0"/>
    <w:rsid w:val="329E5AD1"/>
    <w:rsid w:val="32CC51E5"/>
    <w:rsid w:val="32E6051A"/>
    <w:rsid w:val="32F33B15"/>
    <w:rsid w:val="330F10BA"/>
    <w:rsid w:val="3342483F"/>
    <w:rsid w:val="334677AC"/>
    <w:rsid w:val="337067B3"/>
    <w:rsid w:val="33A718ED"/>
    <w:rsid w:val="33AA3E3F"/>
    <w:rsid w:val="34086FF6"/>
    <w:rsid w:val="3416535A"/>
    <w:rsid w:val="347365F6"/>
    <w:rsid w:val="34AC6BE3"/>
    <w:rsid w:val="34BD03D7"/>
    <w:rsid w:val="34EB329F"/>
    <w:rsid w:val="34FE1F7D"/>
    <w:rsid w:val="35270865"/>
    <w:rsid w:val="35804316"/>
    <w:rsid w:val="35C42A65"/>
    <w:rsid w:val="3609516B"/>
    <w:rsid w:val="36116C06"/>
    <w:rsid w:val="361B7BDC"/>
    <w:rsid w:val="364221AD"/>
    <w:rsid w:val="36627D01"/>
    <w:rsid w:val="369B1BA6"/>
    <w:rsid w:val="36AC6FD2"/>
    <w:rsid w:val="36AE45FE"/>
    <w:rsid w:val="36B04BEB"/>
    <w:rsid w:val="36D4159F"/>
    <w:rsid w:val="36DB78F6"/>
    <w:rsid w:val="36E67798"/>
    <w:rsid w:val="36FF0DB1"/>
    <w:rsid w:val="37067020"/>
    <w:rsid w:val="372649E2"/>
    <w:rsid w:val="372C59AA"/>
    <w:rsid w:val="373000B7"/>
    <w:rsid w:val="37963F54"/>
    <w:rsid w:val="379A6B89"/>
    <w:rsid w:val="379B6A7D"/>
    <w:rsid w:val="379D0E21"/>
    <w:rsid w:val="37BF2E3D"/>
    <w:rsid w:val="37D107AA"/>
    <w:rsid w:val="37F43335"/>
    <w:rsid w:val="387827ED"/>
    <w:rsid w:val="38926D93"/>
    <w:rsid w:val="38B04B0E"/>
    <w:rsid w:val="38FA071C"/>
    <w:rsid w:val="38FD54AF"/>
    <w:rsid w:val="390741E5"/>
    <w:rsid w:val="391F264A"/>
    <w:rsid w:val="39243472"/>
    <w:rsid w:val="392B2144"/>
    <w:rsid w:val="394205BC"/>
    <w:rsid w:val="39494385"/>
    <w:rsid w:val="394E6CCA"/>
    <w:rsid w:val="3958510F"/>
    <w:rsid w:val="3997588E"/>
    <w:rsid w:val="39B46D56"/>
    <w:rsid w:val="39C828E7"/>
    <w:rsid w:val="39DD557C"/>
    <w:rsid w:val="39FC4298"/>
    <w:rsid w:val="3A4536A9"/>
    <w:rsid w:val="3A552184"/>
    <w:rsid w:val="3A800711"/>
    <w:rsid w:val="3A810CA0"/>
    <w:rsid w:val="3A96496C"/>
    <w:rsid w:val="3A9F3479"/>
    <w:rsid w:val="3ABC7EEE"/>
    <w:rsid w:val="3AE331DB"/>
    <w:rsid w:val="3AED2009"/>
    <w:rsid w:val="3B1939D0"/>
    <w:rsid w:val="3B474570"/>
    <w:rsid w:val="3B581890"/>
    <w:rsid w:val="3B9A1C8B"/>
    <w:rsid w:val="3BAB26D3"/>
    <w:rsid w:val="3BD009CC"/>
    <w:rsid w:val="3BF45BDB"/>
    <w:rsid w:val="3C2B1FE6"/>
    <w:rsid w:val="3C2F7C35"/>
    <w:rsid w:val="3C6C5321"/>
    <w:rsid w:val="3C8779B9"/>
    <w:rsid w:val="3C8B2C2B"/>
    <w:rsid w:val="3C940215"/>
    <w:rsid w:val="3C9F058C"/>
    <w:rsid w:val="3CC97C4F"/>
    <w:rsid w:val="3CCA29EB"/>
    <w:rsid w:val="3CCC5DBF"/>
    <w:rsid w:val="3CF75C7B"/>
    <w:rsid w:val="3D3F6064"/>
    <w:rsid w:val="3D497E6A"/>
    <w:rsid w:val="3D634958"/>
    <w:rsid w:val="3D6C6B53"/>
    <w:rsid w:val="3D8C6BB2"/>
    <w:rsid w:val="3D987150"/>
    <w:rsid w:val="3D9E333B"/>
    <w:rsid w:val="3DBC00BF"/>
    <w:rsid w:val="3DCB1A6B"/>
    <w:rsid w:val="3DED30AA"/>
    <w:rsid w:val="3DF00A70"/>
    <w:rsid w:val="3E2D5980"/>
    <w:rsid w:val="3E3102BB"/>
    <w:rsid w:val="3E614AA5"/>
    <w:rsid w:val="3EB02545"/>
    <w:rsid w:val="3EB21D54"/>
    <w:rsid w:val="3F18661A"/>
    <w:rsid w:val="3F7512EA"/>
    <w:rsid w:val="3F9730B9"/>
    <w:rsid w:val="3FC55901"/>
    <w:rsid w:val="3FC9458D"/>
    <w:rsid w:val="3FD033AD"/>
    <w:rsid w:val="401F021A"/>
    <w:rsid w:val="404148A6"/>
    <w:rsid w:val="40572AB6"/>
    <w:rsid w:val="405D3459"/>
    <w:rsid w:val="4068264C"/>
    <w:rsid w:val="407728FD"/>
    <w:rsid w:val="40CA0DB3"/>
    <w:rsid w:val="410603FC"/>
    <w:rsid w:val="410D06B8"/>
    <w:rsid w:val="418842A8"/>
    <w:rsid w:val="41A274B6"/>
    <w:rsid w:val="41C034AF"/>
    <w:rsid w:val="42311D52"/>
    <w:rsid w:val="424A712C"/>
    <w:rsid w:val="4263268C"/>
    <w:rsid w:val="429F7E60"/>
    <w:rsid w:val="42CB2D35"/>
    <w:rsid w:val="42DD5840"/>
    <w:rsid w:val="42F759C4"/>
    <w:rsid w:val="43023463"/>
    <w:rsid w:val="430420F8"/>
    <w:rsid w:val="434660D0"/>
    <w:rsid w:val="43554BAC"/>
    <w:rsid w:val="435D3A52"/>
    <w:rsid w:val="436D6609"/>
    <w:rsid w:val="4392054D"/>
    <w:rsid w:val="43A027A3"/>
    <w:rsid w:val="43A031B7"/>
    <w:rsid w:val="43A05E1A"/>
    <w:rsid w:val="43AA1E91"/>
    <w:rsid w:val="43AF27CC"/>
    <w:rsid w:val="43BA343C"/>
    <w:rsid w:val="43C42006"/>
    <w:rsid w:val="43F8127E"/>
    <w:rsid w:val="44107E1A"/>
    <w:rsid w:val="4428525F"/>
    <w:rsid w:val="444A0170"/>
    <w:rsid w:val="4458707E"/>
    <w:rsid w:val="446155D3"/>
    <w:rsid w:val="44667276"/>
    <w:rsid w:val="44A37922"/>
    <w:rsid w:val="44B63420"/>
    <w:rsid w:val="44B71DE6"/>
    <w:rsid w:val="44BE70AA"/>
    <w:rsid w:val="44DB6B8D"/>
    <w:rsid w:val="45160574"/>
    <w:rsid w:val="45F8252B"/>
    <w:rsid w:val="46153B79"/>
    <w:rsid w:val="46162EA8"/>
    <w:rsid w:val="4655670F"/>
    <w:rsid w:val="465911A1"/>
    <w:rsid w:val="465E48A1"/>
    <w:rsid w:val="46CD6A3D"/>
    <w:rsid w:val="46D23AA8"/>
    <w:rsid w:val="46D446A7"/>
    <w:rsid w:val="47165D61"/>
    <w:rsid w:val="475D1752"/>
    <w:rsid w:val="47767BD4"/>
    <w:rsid w:val="477D0471"/>
    <w:rsid w:val="478F59C9"/>
    <w:rsid w:val="47FB44E3"/>
    <w:rsid w:val="488A747A"/>
    <w:rsid w:val="489640A7"/>
    <w:rsid w:val="489E300A"/>
    <w:rsid w:val="4955748F"/>
    <w:rsid w:val="49694B92"/>
    <w:rsid w:val="49737357"/>
    <w:rsid w:val="49AD4F98"/>
    <w:rsid w:val="49AE64C9"/>
    <w:rsid w:val="49E51E3A"/>
    <w:rsid w:val="4A0366CF"/>
    <w:rsid w:val="4A256483"/>
    <w:rsid w:val="4A38641F"/>
    <w:rsid w:val="4A800E57"/>
    <w:rsid w:val="4A8D4A10"/>
    <w:rsid w:val="4A9F5D83"/>
    <w:rsid w:val="4AB52052"/>
    <w:rsid w:val="4AD43BE1"/>
    <w:rsid w:val="4AF859CC"/>
    <w:rsid w:val="4B2D7D6E"/>
    <w:rsid w:val="4B657DEC"/>
    <w:rsid w:val="4B8152D3"/>
    <w:rsid w:val="4B835116"/>
    <w:rsid w:val="4B965649"/>
    <w:rsid w:val="4BBA0F4B"/>
    <w:rsid w:val="4BC03621"/>
    <w:rsid w:val="4BC22F72"/>
    <w:rsid w:val="4BD30DE9"/>
    <w:rsid w:val="4BDE75A9"/>
    <w:rsid w:val="4BEC1DA9"/>
    <w:rsid w:val="4C0A4905"/>
    <w:rsid w:val="4C113092"/>
    <w:rsid w:val="4C454D9D"/>
    <w:rsid w:val="4C6D4FD8"/>
    <w:rsid w:val="4C956109"/>
    <w:rsid w:val="4CBC2827"/>
    <w:rsid w:val="4CDD2221"/>
    <w:rsid w:val="4CEC7C13"/>
    <w:rsid w:val="4D1737DC"/>
    <w:rsid w:val="4D2E5116"/>
    <w:rsid w:val="4D4946C3"/>
    <w:rsid w:val="4D6215E1"/>
    <w:rsid w:val="4D667D39"/>
    <w:rsid w:val="4D6A6CFA"/>
    <w:rsid w:val="4D8C427F"/>
    <w:rsid w:val="4DB579D1"/>
    <w:rsid w:val="4DBD70EB"/>
    <w:rsid w:val="4E104D86"/>
    <w:rsid w:val="4E44138D"/>
    <w:rsid w:val="4E6E459C"/>
    <w:rsid w:val="4E98618A"/>
    <w:rsid w:val="4E9D352C"/>
    <w:rsid w:val="4EB95E17"/>
    <w:rsid w:val="4ED45410"/>
    <w:rsid w:val="4F59559A"/>
    <w:rsid w:val="4F6B02B8"/>
    <w:rsid w:val="4F72409C"/>
    <w:rsid w:val="4FA43165"/>
    <w:rsid w:val="4FB6214D"/>
    <w:rsid w:val="4FFA2095"/>
    <w:rsid w:val="50645753"/>
    <w:rsid w:val="50785197"/>
    <w:rsid w:val="50A93BA8"/>
    <w:rsid w:val="50C13FA2"/>
    <w:rsid w:val="50E65CE2"/>
    <w:rsid w:val="511E0033"/>
    <w:rsid w:val="51202751"/>
    <w:rsid w:val="512031E9"/>
    <w:rsid w:val="51366F1E"/>
    <w:rsid w:val="5143280B"/>
    <w:rsid w:val="51546F21"/>
    <w:rsid w:val="518255AC"/>
    <w:rsid w:val="518A1586"/>
    <w:rsid w:val="519D734D"/>
    <w:rsid w:val="51A86476"/>
    <w:rsid w:val="51DD620D"/>
    <w:rsid w:val="51F83F85"/>
    <w:rsid w:val="52051862"/>
    <w:rsid w:val="52245275"/>
    <w:rsid w:val="522A5D40"/>
    <w:rsid w:val="523D3E5E"/>
    <w:rsid w:val="52535651"/>
    <w:rsid w:val="527A1B70"/>
    <w:rsid w:val="52E37F64"/>
    <w:rsid w:val="53163533"/>
    <w:rsid w:val="531C4BE8"/>
    <w:rsid w:val="541E7DFB"/>
    <w:rsid w:val="544111E8"/>
    <w:rsid w:val="5444354A"/>
    <w:rsid w:val="547A6B2A"/>
    <w:rsid w:val="549277AF"/>
    <w:rsid w:val="550431D5"/>
    <w:rsid w:val="551D6AF9"/>
    <w:rsid w:val="55432278"/>
    <w:rsid w:val="55A60ADC"/>
    <w:rsid w:val="55C24420"/>
    <w:rsid w:val="55D857C5"/>
    <w:rsid w:val="56253A26"/>
    <w:rsid w:val="5638334C"/>
    <w:rsid w:val="56780FF9"/>
    <w:rsid w:val="56870578"/>
    <w:rsid w:val="569241C0"/>
    <w:rsid w:val="56944288"/>
    <w:rsid w:val="56A33B67"/>
    <w:rsid w:val="56A40E03"/>
    <w:rsid w:val="56E20A0E"/>
    <w:rsid w:val="5712602C"/>
    <w:rsid w:val="5737516A"/>
    <w:rsid w:val="57431AE0"/>
    <w:rsid w:val="57730A91"/>
    <w:rsid w:val="5780384C"/>
    <w:rsid w:val="57A27BD5"/>
    <w:rsid w:val="57C762A2"/>
    <w:rsid w:val="58006B48"/>
    <w:rsid w:val="5812512F"/>
    <w:rsid w:val="587179A2"/>
    <w:rsid w:val="588C140C"/>
    <w:rsid w:val="58B21650"/>
    <w:rsid w:val="58C00F3E"/>
    <w:rsid w:val="590C4068"/>
    <w:rsid w:val="59103E6F"/>
    <w:rsid w:val="59373C72"/>
    <w:rsid w:val="5945207E"/>
    <w:rsid w:val="595B4F2E"/>
    <w:rsid w:val="596D221D"/>
    <w:rsid w:val="59A237B5"/>
    <w:rsid w:val="59A77712"/>
    <w:rsid w:val="59CB276C"/>
    <w:rsid w:val="5A2F15F8"/>
    <w:rsid w:val="5A331049"/>
    <w:rsid w:val="5A72604D"/>
    <w:rsid w:val="5A7F77CE"/>
    <w:rsid w:val="5A9807FB"/>
    <w:rsid w:val="5AA20C09"/>
    <w:rsid w:val="5ABC5F71"/>
    <w:rsid w:val="5AD20F31"/>
    <w:rsid w:val="5AF81EC0"/>
    <w:rsid w:val="5B0E4DAE"/>
    <w:rsid w:val="5B0E6862"/>
    <w:rsid w:val="5B4D14FF"/>
    <w:rsid w:val="5B58464F"/>
    <w:rsid w:val="5B8509D1"/>
    <w:rsid w:val="5B90297B"/>
    <w:rsid w:val="5BF20877"/>
    <w:rsid w:val="5BF95560"/>
    <w:rsid w:val="5C11606C"/>
    <w:rsid w:val="5C4E0A2D"/>
    <w:rsid w:val="5C524815"/>
    <w:rsid w:val="5C64452B"/>
    <w:rsid w:val="5C7719CE"/>
    <w:rsid w:val="5C8E79BD"/>
    <w:rsid w:val="5CA6604A"/>
    <w:rsid w:val="5CC94E55"/>
    <w:rsid w:val="5D082FD3"/>
    <w:rsid w:val="5D2719C9"/>
    <w:rsid w:val="5D285026"/>
    <w:rsid w:val="5D5C0E3F"/>
    <w:rsid w:val="5D5E619D"/>
    <w:rsid w:val="5D697358"/>
    <w:rsid w:val="5D747A99"/>
    <w:rsid w:val="5D9249ED"/>
    <w:rsid w:val="5DA1646B"/>
    <w:rsid w:val="5DD05A1D"/>
    <w:rsid w:val="5DD7329D"/>
    <w:rsid w:val="5DDC5DDB"/>
    <w:rsid w:val="5DEA3572"/>
    <w:rsid w:val="5DF04FFA"/>
    <w:rsid w:val="5E063C72"/>
    <w:rsid w:val="5E19167C"/>
    <w:rsid w:val="5E3C01D4"/>
    <w:rsid w:val="5E6F443D"/>
    <w:rsid w:val="5E70354F"/>
    <w:rsid w:val="5E89062E"/>
    <w:rsid w:val="5E8C7523"/>
    <w:rsid w:val="5E94632E"/>
    <w:rsid w:val="5E9C2B92"/>
    <w:rsid w:val="5EB82786"/>
    <w:rsid w:val="5EB94C72"/>
    <w:rsid w:val="5F111534"/>
    <w:rsid w:val="5F2541B1"/>
    <w:rsid w:val="5F804106"/>
    <w:rsid w:val="5F8E0C9A"/>
    <w:rsid w:val="5FAC1101"/>
    <w:rsid w:val="5FBC6FFC"/>
    <w:rsid w:val="5FD91B32"/>
    <w:rsid w:val="5FDE3D1C"/>
    <w:rsid w:val="5FEB36B0"/>
    <w:rsid w:val="60070235"/>
    <w:rsid w:val="60247960"/>
    <w:rsid w:val="60337FBD"/>
    <w:rsid w:val="60347715"/>
    <w:rsid w:val="60557909"/>
    <w:rsid w:val="608B596D"/>
    <w:rsid w:val="60B20DDE"/>
    <w:rsid w:val="60BB292F"/>
    <w:rsid w:val="60CF6017"/>
    <w:rsid w:val="60EC58A1"/>
    <w:rsid w:val="60F765D6"/>
    <w:rsid w:val="614A193E"/>
    <w:rsid w:val="61644F0C"/>
    <w:rsid w:val="619B0A4D"/>
    <w:rsid w:val="61BC5698"/>
    <w:rsid w:val="61C05E29"/>
    <w:rsid w:val="61E220CA"/>
    <w:rsid w:val="621F3A28"/>
    <w:rsid w:val="622919DE"/>
    <w:rsid w:val="623817CD"/>
    <w:rsid w:val="625671C6"/>
    <w:rsid w:val="626D5F1F"/>
    <w:rsid w:val="628D5A05"/>
    <w:rsid w:val="629635F2"/>
    <w:rsid w:val="62B26831"/>
    <w:rsid w:val="62BF4253"/>
    <w:rsid w:val="62C2392A"/>
    <w:rsid w:val="62DB156F"/>
    <w:rsid w:val="62E35C5C"/>
    <w:rsid w:val="62FF0173"/>
    <w:rsid w:val="6308602C"/>
    <w:rsid w:val="63655BF1"/>
    <w:rsid w:val="6381414F"/>
    <w:rsid w:val="63901C9C"/>
    <w:rsid w:val="63A6496D"/>
    <w:rsid w:val="63A83FEC"/>
    <w:rsid w:val="63D92053"/>
    <w:rsid w:val="63E37B79"/>
    <w:rsid w:val="63FC1B88"/>
    <w:rsid w:val="64035403"/>
    <w:rsid w:val="644D4301"/>
    <w:rsid w:val="6477289B"/>
    <w:rsid w:val="648578B4"/>
    <w:rsid w:val="649176C0"/>
    <w:rsid w:val="64987293"/>
    <w:rsid w:val="649E57C1"/>
    <w:rsid w:val="64A11F98"/>
    <w:rsid w:val="64B9138C"/>
    <w:rsid w:val="64D442AC"/>
    <w:rsid w:val="650401CF"/>
    <w:rsid w:val="65205814"/>
    <w:rsid w:val="653D52DC"/>
    <w:rsid w:val="655373D5"/>
    <w:rsid w:val="659D4F4E"/>
    <w:rsid w:val="65A300A1"/>
    <w:rsid w:val="65DB5C3D"/>
    <w:rsid w:val="65DC330D"/>
    <w:rsid w:val="66442BBA"/>
    <w:rsid w:val="6645354B"/>
    <w:rsid w:val="666631F7"/>
    <w:rsid w:val="66780DEE"/>
    <w:rsid w:val="668E1E21"/>
    <w:rsid w:val="66926F8C"/>
    <w:rsid w:val="66966882"/>
    <w:rsid w:val="66AB117E"/>
    <w:rsid w:val="66BD2286"/>
    <w:rsid w:val="66F269C9"/>
    <w:rsid w:val="671B5A75"/>
    <w:rsid w:val="67285BDC"/>
    <w:rsid w:val="67C1521F"/>
    <w:rsid w:val="67FB2FC2"/>
    <w:rsid w:val="6838125F"/>
    <w:rsid w:val="684E7153"/>
    <w:rsid w:val="685029BF"/>
    <w:rsid w:val="68942469"/>
    <w:rsid w:val="689A4745"/>
    <w:rsid w:val="68A270B1"/>
    <w:rsid w:val="68EE3CF6"/>
    <w:rsid w:val="68F34F53"/>
    <w:rsid w:val="6943781E"/>
    <w:rsid w:val="69522C18"/>
    <w:rsid w:val="69560D87"/>
    <w:rsid w:val="69624B7D"/>
    <w:rsid w:val="69A515B8"/>
    <w:rsid w:val="69A85914"/>
    <w:rsid w:val="69B33835"/>
    <w:rsid w:val="69B54893"/>
    <w:rsid w:val="69F0666F"/>
    <w:rsid w:val="69FA018D"/>
    <w:rsid w:val="6A25465E"/>
    <w:rsid w:val="6A561128"/>
    <w:rsid w:val="6A572716"/>
    <w:rsid w:val="6A87076D"/>
    <w:rsid w:val="6A9454E3"/>
    <w:rsid w:val="6ACF2D0F"/>
    <w:rsid w:val="6AFC0247"/>
    <w:rsid w:val="6AFC23BD"/>
    <w:rsid w:val="6B287CCA"/>
    <w:rsid w:val="6B37191E"/>
    <w:rsid w:val="6BA33D44"/>
    <w:rsid w:val="6BDA30FF"/>
    <w:rsid w:val="6C0707A6"/>
    <w:rsid w:val="6C4068D5"/>
    <w:rsid w:val="6C8568B5"/>
    <w:rsid w:val="6C966E13"/>
    <w:rsid w:val="6CAE2F39"/>
    <w:rsid w:val="6CB00C5D"/>
    <w:rsid w:val="6CF84967"/>
    <w:rsid w:val="6D0441AB"/>
    <w:rsid w:val="6D4150D0"/>
    <w:rsid w:val="6D481945"/>
    <w:rsid w:val="6D6650F6"/>
    <w:rsid w:val="6D6D32A5"/>
    <w:rsid w:val="6D7B403E"/>
    <w:rsid w:val="6D96704E"/>
    <w:rsid w:val="6DEC7B87"/>
    <w:rsid w:val="6E4000AE"/>
    <w:rsid w:val="6EB467A6"/>
    <w:rsid w:val="6EF06A3A"/>
    <w:rsid w:val="6F231086"/>
    <w:rsid w:val="6F2C1077"/>
    <w:rsid w:val="6F4412DE"/>
    <w:rsid w:val="6F867000"/>
    <w:rsid w:val="6FB01FF6"/>
    <w:rsid w:val="6FDF6ED5"/>
    <w:rsid w:val="6FE27E45"/>
    <w:rsid w:val="70021241"/>
    <w:rsid w:val="702D3037"/>
    <w:rsid w:val="70854008"/>
    <w:rsid w:val="70EE0B58"/>
    <w:rsid w:val="716025BB"/>
    <w:rsid w:val="71F327E9"/>
    <w:rsid w:val="71FB08E7"/>
    <w:rsid w:val="722F69F0"/>
    <w:rsid w:val="72312813"/>
    <w:rsid w:val="72525910"/>
    <w:rsid w:val="7272141E"/>
    <w:rsid w:val="729A51BF"/>
    <w:rsid w:val="72B463D3"/>
    <w:rsid w:val="72C31F67"/>
    <w:rsid w:val="72D92D08"/>
    <w:rsid w:val="730F2443"/>
    <w:rsid w:val="733A43FB"/>
    <w:rsid w:val="738A19B2"/>
    <w:rsid w:val="740B69BA"/>
    <w:rsid w:val="74460C31"/>
    <w:rsid w:val="745948C9"/>
    <w:rsid w:val="747814E9"/>
    <w:rsid w:val="74782083"/>
    <w:rsid w:val="7499444F"/>
    <w:rsid w:val="74F00783"/>
    <w:rsid w:val="74F21A8E"/>
    <w:rsid w:val="75092D2E"/>
    <w:rsid w:val="751F35C6"/>
    <w:rsid w:val="752673FA"/>
    <w:rsid w:val="75445278"/>
    <w:rsid w:val="755743E2"/>
    <w:rsid w:val="755A18B2"/>
    <w:rsid w:val="756D2420"/>
    <w:rsid w:val="757F436A"/>
    <w:rsid w:val="75D33B60"/>
    <w:rsid w:val="75EB0030"/>
    <w:rsid w:val="767A1884"/>
    <w:rsid w:val="7681376B"/>
    <w:rsid w:val="76EB3EDE"/>
    <w:rsid w:val="771405C6"/>
    <w:rsid w:val="77186802"/>
    <w:rsid w:val="77244002"/>
    <w:rsid w:val="7759121E"/>
    <w:rsid w:val="778C19C1"/>
    <w:rsid w:val="77DE7388"/>
    <w:rsid w:val="78123276"/>
    <w:rsid w:val="781B6350"/>
    <w:rsid w:val="783F252C"/>
    <w:rsid w:val="78661D77"/>
    <w:rsid w:val="787542C9"/>
    <w:rsid w:val="787C4A52"/>
    <w:rsid w:val="787C6D8C"/>
    <w:rsid w:val="787D1A38"/>
    <w:rsid w:val="78833D88"/>
    <w:rsid w:val="78C70562"/>
    <w:rsid w:val="78E82C11"/>
    <w:rsid w:val="792279DB"/>
    <w:rsid w:val="797C1AA1"/>
    <w:rsid w:val="79DF08DD"/>
    <w:rsid w:val="7A177680"/>
    <w:rsid w:val="7A934CC7"/>
    <w:rsid w:val="7AB93CAD"/>
    <w:rsid w:val="7ADD5745"/>
    <w:rsid w:val="7AEE3247"/>
    <w:rsid w:val="7AFB7263"/>
    <w:rsid w:val="7B062FF2"/>
    <w:rsid w:val="7B1E69AF"/>
    <w:rsid w:val="7B4771D3"/>
    <w:rsid w:val="7B4969DA"/>
    <w:rsid w:val="7B4B57FE"/>
    <w:rsid w:val="7B71056E"/>
    <w:rsid w:val="7B8A01D0"/>
    <w:rsid w:val="7B8A7BFE"/>
    <w:rsid w:val="7BBA7BC4"/>
    <w:rsid w:val="7BD87AA8"/>
    <w:rsid w:val="7BF444AB"/>
    <w:rsid w:val="7BFE0356"/>
    <w:rsid w:val="7C050FEE"/>
    <w:rsid w:val="7C1F696C"/>
    <w:rsid w:val="7C241FA4"/>
    <w:rsid w:val="7C2F7F24"/>
    <w:rsid w:val="7C374966"/>
    <w:rsid w:val="7C4F6127"/>
    <w:rsid w:val="7C557027"/>
    <w:rsid w:val="7C774202"/>
    <w:rsid w:val="7CF32D47"/>
    <w:rsid w:val="7CF47DC4"/>
    <w:rsid w:val="7D2D7E4F"/>
    <w:rsid w:val="7D382B57"/>
    <w:rsid w:val="7D3D1C6F"/>
    <w:rsid w:val="7D4B2DA0"/>
    <w:rsid w:val="7D572DC5"/>
    <w:rsid w:val="7D703C18"/>
    <w:rsid w:val="7D70416C"/>
    <w:rsid w:val="7D7D2444"/>
    <w:rsid w:val="7DB53173"/>
    <w:rsid w:val="7DBD0485"/>
    <w:rsid w:val="7DC17AA5"/>
    <w:rsid w:val="7DFB52FF"/>
    <w:rsid w:val="7E3F400C"/>
    <w:rsid w:val="7E3F5C67"/>
    <w:rsid w:val="7E485A8B"/>
    <w:rsid w:val="7E710432"/>
    <w:rsid w:val="7E784FFE"/>
    <w:rsid w:val="7E835EDA"/>
    <w:rsid w:val="7E9B79AE"/>
    <w:rsid w:val="7F0D36A8"/>
    <w:rsid w:val="7F0D6F9B"/>
    <w:rsid w:val="7F267E5E"/>
    <w:rsid w:val="7F511034"/>
    <w:rsid w:val="7F5A126B"/>
    <w:rsid w:val="7FB12B06"/>
    <w:rsid w:val="7FED16D1"/>
    <w:rsid w:val="7FF3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0"/>
    <w:pPr>
      <w:keepNext/>
      <w:jc w:val="center"/>
      <w:outlineLvl w:val="0"/>
    </w:pPr>
    <w:rPr>
      <w:b/>
      <w:bCs/>
      <w:kern w:val="0"/>
      <w:sz w:val="24"/>
      <w:szCs w:val="20"/>
    </w:rPr>
  </w:style>
  <w:style w:type="paragraph" w:styleId="4">
    <w:name w:val="heading 2"/>
    <w:basedOn w:val="1"/>
    <w:next w:val="1"/>
    <w:link w:val="64"/>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65"/>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66"/>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67"/>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68"/>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69"/>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70"/>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71"/>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293"/>
    <w:qFormat/>
    <w:uiPriority w:val="99"/>
    <w:pPr>
      <w:widowControl/>
      <w:ind w:firstLine="420"/>
      <w:jc w:val="left"/>
    </w:pPr>
    <w:rPr>
      <w:kern w:val="0"/>
      <w:sz w:val="20"/>
      <w:szCs w:val="20"/>
    </w:rPr>
  </w:style>
  <w:style w:type="paragraph" w:styleId="14">
    <w:name w:val="Document Map"/>
    <w:basedOn w:val="1"/>
    <w:link w:val="127"/>
    <w:qFormat/>
    <w:uiPriority w:val="0"/>
    <w:pPr>
      <w:shd w:val="clear" w:color="auto" w:fill="000080"/>
    </w:pPr>
  </w:style>
  <w:style w:type="paragraph" w:styleId="15">
    <w:name w:val="toa heading"/>
    <w:basedOn w:val="1"/>
    <w:next w:val="1"/>
    <w:unhideWhenUsed/>
    <w:qFormat/>
    <w:uiPriority w:val="0"/>
    <w:pPr>
      <w:spacing w:before="120"/>
    </w:pPr>
    <w:rPr>
      <w:rFonts w:hint="eastAsia" w:ascii="Arial" w:hAnsi="Arial"/>
    </w:rPr>
  </w:style>
  <w:style w:type="paragraph" w:styleId="16">
    <w:name w:val="annotation text"/>
    <w:basedOn w:val="1"/>
    <w:link w:val="109"/>
    <w:unhideWhenUsed/>
    <w:qFormat/>
    <w:uiPriority w:val="99"/>
    <w:pPr>
      <w:jc w:val="left"/>
    </w:pPr>
  </w:style>
  <w:style w:type="paragraph" w:styleId="17">
    <w:name w:val="Salutation"/>
    <w:basedOn w:val="1"/>
    <w:next w:val="1"/>
    <w:link w:val="114"/>
    <w:qFormat/>
    <w:uiPriority w:val="0"/>
    <w:rPr>
      <w:rFonts w:ascii="仿宋_GB2312" w:eastAsia="仿宋_GB2312"/>
      <w:sz w:val="24"/>
    </w:rPr>
  </w:style>
  <w:style w:type="paragraph" w:styleId="18">
    <w:name w:val="Body Text 3"/>
    <w:basedOn w:val="1"/>
    <w:link w:val="148"/>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link w:val="117"/>
    <w:qFormat/>
    <w:uiPriority w:val="99"/>
    <w:pPr>
      <w:spacing w:after="120"/>
    </w:pPr>
  </w:style>
  <w:style w:type="paragraph" w:styleId="20">
    <w:name w:val="Body Text Indent"/>
    <w:basedOn w:val="1"/>
    <w:link w:val="97"/>
    <w:qFormat/>
    <w:uiPriority w:val="0"/>
    <w:pPr>
      <w:spacing w:after="120"/>
      <w:ind w:left="420" w:leftChars="200"/>
    </w:pPr>
    <w:rPr>
      <w:rFonts w:ascii="Calibri" w:hAnsi="Calibri" w:cs="黑体"/>
    </w:rPr>
  </w:style>
  <w:style w:type="paragraph" w:styleId="21">
    <w:name w:val="List 2"/>
    <w:qFormat/>
    <w:uiPriority w:val="0"/>
    <w:pPr>
      <w:spacing w:line="400" w:lineRule="exact"/>
      <w:jc w:val="center"/>
    </w:pPr>
    <w:rPr>
      <w:rFonts w:ascii="Arial" w:hAnsi="Arial" w:eastAsia="宋体" w:cs="Times New Roman"/>
      <w:sz w:val="24"/>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106"/>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139"/>
    <w:qFormat/>
    <w:uiPriority w:val="0"/>
    <w:rPr>
      <w:rFonts w:ascii="Calibri" w:hAnsi="Calibri" w:cs="黑体"/>
      <w:sz w:val="24"/>
      <w:szCs w:val="22"/>
    </w:rPr>
  </w:style>
  <w:style w:type="paragraph" w:styleId="28">
    <w:name w:val="Body Text Indent 2"/>
    <w:basedOn w:val="1"/>
    <w:link w:val="101"/>
    <w:qFormat/>
    <w:uiPriority w:val="0"/>
    <w:pPr>
      <w:spacing w:after="120" w:line="480" w:lineRule="auto"/>
      <w:ind w:left="420" w:leftChars="200"/>
    </w:pPr>
  </w:style>
  <w:style w:type="paragraph" w:styleId="29">
    <w:name w:val="Balloon Text"/>
    <w:basedOn w:val="1"/>
    <w:link w:val="96"/>
    <w:qFormat/>
    <w:uiPriority w:val="0"/>
    <w:rPr>
      <w:rFonts w:ascii="Calibri" w:hAnsi="Calibri" w:cs="黑体"/>
      <w:sz w:val="18"/>
      <w:szCs w:val="18"/>
    </w:rPr>
  </w:style>
  <w:style w:type="paragraph" w:styleId="30">
    <w:name w:val="footer"/>
    <w:basedOn w:val="1"/>
    <w:link w:val="62"/>
    <w:unhideWhenUsed/>
    <w:qFormat/>
    <w:uiPriority w:val="0"/>
    <w:pPr>
      <w:tabs>
        <w:tab w:val="center" w:pos="4153"/>
        <w:tab w:val="right" w:pos="8306"/>
      </w:tabs>
      <w:snapToGrid w:val="0"/>
      <w:jc w:val="left"/>
    </w:pPr>
    <w:rPr>
      <w:sz w:val="18"/>
      <w:szCs w:val="18"/>
    </w:rPr>
  </w:style>
  <w:style w:type="paragraph" w:styleId="31">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unhideWhenUsed/>
    <w:qFormat/>
    <w:uiPriority w:val="39"/>
  </w:style>
  <w:style w:type="paragraph" w:styleId="33">
    <w:name w:val="toc 4"/>
    <w:basedOn w:val="1"/>
    <w:next w:val="1"/>
    <w:qFormat/>
    <w:uiPriority w:val="0"/>
    <w:pPr>
      <w:ind w:left="1260" w:leftChars="600"/>
    </w:pPr>
  </w:style>
  <w:style w:type="paragraph" w:styleId="34">
    <w:name w:val="Subtitle"/>
    <w:basedOn w:val="1"/>
    <w:next w:val="1"/>
    <w:link w:val="125"/>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124"/>
    <w:qFormat/>
    <w:uiPriority w:val="0"/>
    <w:pPr>
      <w:spacing w:after="120"/>
      <w:ind w:left="420" w:leftChars="200"/>
    </w:pPr>
    <w:rPr>
      <w:rFonts w:ascii="Calibri" w:hAnsi="Calibri" w:cs="黑体"/>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72"/>
    <w:qFormat/>
    <w:uiPriority w:val="0"/>
    <w:pPr>
      <w:spacing w:after="120" w:line="480" w:lineRule="auto"/>
    </w:pPr>
  </w:style>
  <w:style w:type="paragraph" w:styleId="40">
    <w:name w:val="HTML Preformatted"/>
    <w:basedOn w:val="1"/>
    <w:link w:val="11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100"/>
    <w:qFormat/>
    <w:uiPriority w:val="0"/>
    <w:pPr>
      <w:spacing w:before="240" w:after="60"/>
      <w:jc w:val="center"/>
      <w:outlineLvl w:val="0"/>
    </w:pPr>
    <w:rPr>
      <w:rFonts w:ascii="Cambria" w:hAnsi="Cambria"/>
      <w:b/>
      <w:sz w:val="32"/>
    </w:rPr>
  </w:style>
  <w:style w:type="paragraph" w:styleId="44">
    <w:name w:val="annotation subject"/>
    <w:basedOn w:val="16"/>
    <w:next w:val="16"/>
    <w:link w:val="86"/>
    <w:qFormat/>
    <w:uiPriority w:val="0"/>
    <w:rPr>
      <w:rFonts w:ascii="Calibri" w:hAnsi="Calibri" w:cs="黑体"/>
      <w:b/>
      <w:bCs/>
    </w:rPr>
  </w:style>
  <w:style w:type="paragraph" w:styleId="45">
    <w:name w:val="Body Text First Indent"/>
    <w:basedOn w:val="19"/>
    <w:link w:val="175"/>
    <w:unhideWhenUsed/>
    <w:qFormat/>
    <w:uiPriority w:val="0"/>
    <w:pPr>
      <w:spacing w:line="500" w:lineRule="exact"/>
      <w:ind w:firstLine="420" w:firstLineChars="200"/>
    </w:p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0"/>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character" w:customStyle="1" w:styleId="61">
    <w:name w:val="页眉 字符"/>
    <w:basedOn w:val="48"/>
    <w:link w:val="31"/>
    <w:qFormat/>
    <w:uiPriority w:val="0"/>
    <w:rPr>
      <w:sz w:val="18"/>
      <w:szCs w:val="18"/>
    </w:rPr>
  </w:style>
  <w:style w:type="character" w:customStyle="1" w:styleId="62">
    <w:name w:val="页脚 字符"/>
    <w:basedOn w:val="48"/>
    <w:link w:val="30"/>
    <w:qFormat/>
    <w:uiPriority w:val="0"/>
    <w:rPr>
      <w:sz w:val="18"/>
      <w:szCs w:val="18"/>
    </w:rPr>
  </w:style>
  <w:style w:type="character" w:customStyle="1" w:styleId="63">
    <w:name w:val="标题 1 字符"/>
    <w:basedOn w:val="48"/>
    <w:link w:val="3"/>
    <w:qFormat/>
    <w:uiPriority w:val="0"/>
    <w:rPr>
      <w:rFonts w:ascii="Times New Roman" w:hAnsi="Times New Roman" w:eastAsia="宋体" w:cs="Times New Roman"/>
      <w:b/>
      <w:bCs/>
      <w:kern w:val="0"/>
      <w:sz w:val="24"/>
      <w:szCs w:val="20"/>
    </w:rPr>
  </w:style>
  <w:style w:type="character" w:customStyle="1" w:styleId="64">
    <w:name w:val="标题 2 字符"/>
    <w:basedOn w:val="48"/>
    <w:link w:val="4"/>
    <w:qFormat/>
    <w:uiPriority w:val="0"/>
    <w:rPr>
      <w:rFonts w:ascii="Arial" w:hAnsi="Arial" w:eastAsia="宋体" w:cs="Times New Roman"/>
      <w:b/>
      <w:bCs/>
      <w:kern w:val="0"/>
      <w:sz w:val="24"/>
      <w:szCs w:val="32"/>
    </w:rPr>
  </w:style>
  <w:style w:type="character" w:customStyle="1" w:styleId="65">
    <w:name w:val="标题 3 字符"/>
    <w:basedOn w:val="48"/>
    <w:link w:val="5"/>
    <w:qFormat/>
    <w:uiPriority w:val="0"/>
    <w:rPr>
      <w:rFonts w:ascii="Times New Roman" w:hAnsi="Times New Roman" w:eastAsia="宋体" w:cs="Times New Roman"/>
      <w:b/>
      <w:bCs/>
      <w:kern w:val="0"/>
      <w:sz w:val="32"/>
      <w:szCs w:val="32"/>
    </w:rPr>
  </w:style>
  <w:style w:type="character" w:customStyle="1" w:styleId="66">
    <w:name w:val="标题 4 字符"/>
    <w:basedOn w:val="48"/>
    <w:link w:val="6"/>
    <w:qFormat/>
    <w:uiPriority w:val="0"/>
    <w:rPr>
      <w:rFonts w:ascii="Arial" w:hAnsi="Arial" w:eastAsia="黑体" w:cs="Times New Roman"/>
      <w:b/>
      <w:bCs/>
      <w:kern w:val="0"/>
      <w:sz w:val="28"/>
      <w:szCs w:val="28"/>
    </w:rPr>
  </w:style>
  <w:style w:type="character" w:customStyle="1" w:styleId="67">
    <w:name w:val="标题 5 字符"/>
    <w:basedOn w:val="48"/>
    <w:link w:val="7"/>
    <w:qFormat/>
    <w:uiPriority w:val="0"/>
    <w:rPr>
      <w:rFonts w:ascii="Times New Roman" w:hAnsi="Times New Roman" w:eastAsia="宋体" w:cs="Times New Roman"/>
      <w:b/>
      <w:bCs/>
      <w:kern w:val="0"/>
      <w:sz w:val="28"/>
      <w:szCs w:val="28"/>
    </w:rPr>
  </w:style>
  <w:style w:type="character" w:customStyle="1" w:styleId="68">
    <w:name w:val="标题 6 字符"/>
    <w:basedOn w:val="48"/>
    <w:link w:val="8"/>
    <w:qFormat/>
    <w:uiPriority w:val="0"/>
    <w:rPr>
      <w:rFonts w:ascii="Arial" w:hAnsi="Arial" w:eastAsia="黑体" w:cs="Times New Roman"/>
      <w:b/>
      <w:bCs/>
      <w:kern w:val="0"/>
      <w:sz w:val="24"/>
      <w:szCs w:val="24"/>
    </w:rPr>
  </w:style>
  <w:style w:type="character" w:customStyle="1" w:styleId="69">
    <w:name w:val="标题 7 字符"/>
    <w:basedOn w:val="48"/>
    <w:link w:val="9"/>
    <w:qFormat/>
    <w:uiPriority w:val="0"/>
    <w:rPr>
      <w:rFonts w:ascii="Times New Roman" w:hAnsi="Times New Roman" w:eastAsia="宋体" w:cs="Times New Roman"/>
      <w:b/>
      <w:bCs/>
      <w:kern w:val="0"/>
      <w:sz w:val="24"/>
      <w:szCs w:val="24"/>
    </w:rPr>
  </w:style>
  <w:style w:type="character" w:customStyle="1" w:styleId="70">
    <w:name w:val="标题 8 字符"/>
    <w:basedOn w:val="48"/>
    <w:link w:val="10"/>
    <w:qFormat/>
    <w:uiPriority w:val="0"/>
    <w:rPr>
      <w:rFonts w:ascii="Arial" w:hAnsi="Arial" w:eastAsia="黑体" w:cs="Times New Roman"/>
      <w:kern w:val="0"/>
      <w:sz w:val="24"/>
      <w:szCs w:val="24"/>
    </w:rPr>
  </w:style>
  <w:style w:type="character" w:customStyle="1" w:styleId="71">
    <w:name w:val="标题 9 字符"/>
    <w:basedOn w:val="48"/>
    <w:link w:val="11"/>
    <w:qFormat/>
    <w:uiPriority w:val="0"/>
    <w:rPr>
      <w:rFonts w:ascii="Arial" w:hAnsi="Arial" w:eastAsia="黑体" w:cs="Times New Roman"/>
      <w:kern w:val="0"/>
      <w:sz w:val="20"/>
      <w:szCs w:val="21"/>
    </w:rPr>
  </w:style>
  <w:style w:type="character" w:customStyle="1" w:styleId="72">
    <w:name w:val="正文文本 2 字符"/>
    <w:basedOn w:val="48"/>
    <w:link w:val="39"/>
    <w:qFormat/>
    <w:uiPriority w:val="0"/>
    <w:rPr>
      <w:rFonts w:ascii="Times New Roman" w:hAnsi="Times New Roman" w:eastAsia="宋体" w:cs="Times New Roman"/>
      <w:szCs w:val="24"/>
    </w:rPr>
  </w:style>
  <w:style w:type="character" w:customStyle="1" w:styleId="73">
    <w:name w:val="Font Style104"/>
    <w:unhideWhenUsed/>
    <w:qFormat/>
    <w:uiPriority w:val="0"/>
    <w:rPr>
      <w:rFonts w:hint="eastAsia" w:ascii="宋体" w:hAnsi="宋体" w:eastAsia="宋体"/>
      <w:spacing w:val="30"/>
      <w:sz w:val="18"/>
    </w:rPr>
  </w:style>
  <w:style w:type="character" w:customStyle="1" w:styleId="74">
    <w:name w:val="Font Style128"/>
    <w:unhideWhenUsed/>
    <w:qFormat/>
    <w:uiPriority w:val="0"/>
    <w:rPr>
      <w:rFonts w:hint="eastAsia" w:ascii="Times New Roman" w:hAnsi="Times New Roman" w:eastAsia="Times New Roman"/>
      <w:sz w:val="16"/>
    </w:rPr>
  </w:style>
  <w:style w:type="character" w:customStyle="1" w:styleId="75">
    <w:name w:val="页脚 Char1"/>
    <w:qFormat/>
    <w:uiPriority w:val="0"/>
    <w:rPr>
      <w:rFonts w:eastAsia="宋体"/>
      <w:kern w:val="2"/>
      <w:sz w:val="18"/>
      <w:szCs w:val="18"/>
      <w:lang w:val="en-US" w:eastAsia="zh-CN" w:bidi="ar-SA"/>
    </w:rPr>
  </w:style>
  <w:style w:type="character" w:customStyle="1" w:styleId="76">
    <w:name w:val="标题 4 Char"/>
    <w:basedOn w:val="48"/>
    <w:qFormat/>
    <w:uiPriority w:val="0"/>
    <w:rPr>
      <w:rFonts w:ascii="Cambria" w:hAnsi="Cambria" w:eastAsia="宋体" w:cs="Times New Roman"/>
      <w:b/>
      <w:bCs/>
      <w:sz w:val="28"/>
      <w:szCs w:val="28"/>
    </w:rPr>
  </w:style>
  <w:style w:type="character" w:customStyle="1" w:styleId="77">
    <w:name w:val="日期 Char"/>
    <w:basedOn w:val="48"/>
    <w:qFormat/>
    <w:uiPriority w:val="0"/>
    <w:rPr>
      <w:rFonts w:ascii="Times New Roman" w:hAnsi="Times New Roman" w:eastAsia="宋体" w:cs="Times New Roman"/>
      <w:szCs w:val="24"/>
    </w:rPr>
  </w:style>
  <w:style w:type="character" w:customStyle="1" w:styleId="78">
    <w:name w:val="Font Style123"/>
    <w:unhideWhenUsed/>
    <w:qFormat/>
    <w:uiPriority w:val="0"/>
    <w:rPr>
      <w:rFonts w:hint="eastAsia" w:ascii="宋体" w:hAnsi="宋体" w:eastAsia="宋体"/>
      <w:b/>
      <w:sz w:val="32"/>
    </w:rPr>
  </w:style>
  <w:style w:type="character" w:customStyle="1" w:styleId="79">
    <w:name w:val="bds_nopic2"/>
    <w:qFormat/>
    <w:uiPriority w:val="0"/>
    <w:rPr>
      <w:rFonts w:ascii="Times New Roman" w:hAnsi="Times New Roman" w:eastAsia="宋体"/>
    </w:rPr>
  </w:style>
  <w:style w:type="character" w:customStyle="1" w:styleId="80">
    <w:name w:val="lemmatitleh12"/>
    <w:qFormat/>
    <w:uiPriority w:val="0"/>
    <w:rPr>
      <w:rFonts w:ascii="Times New Roman" w:hAnsi="Times New Roman" w:eastAsia="宋体"/>
    </w:rPr>
  </w:style>
  <w:style w:type="character" w:customStyle="1" w:styleId="81">
    <w:name w:val="Char Char13"/>
    <w:qFormat/>
    <w:uiPriority w:val="0"/>
    <w:rPr>
      <w:rFonts w:eastAsia="宋体"/>
      <w:b/>
      <w:bCs/>
      <w:kern w:val="2"/>
      <w:sz w:val="24"/>
      <w:lang w:val="en-US" w:eastAsia="zh-CN" w:bidi="ar-SA"/>
    </w:rPr>
  </w:style>
  <w:style w:type="character" w:customStyle="1" w:styleId="82">
    <w:name w:val="Font Style94"/>
    <w:unhideWhenUsed/>
    <w:qFormat/>
    <w:uiPriority w:val="0"/>
    <w:rPr>
      <w:rFonts w:hint="eastAsia" w:ascii="Times New Roman" w:hAnsi="Times New Roman" w:eastAsia="Times New Roman"/>
      <w:sz w:val="28"/>
    </w:rPr>
  </w:style>
  <w:style w:type="character" w:customStyle="1" w:styleId="83">
    <w:name w:val="Font Style125"/>
    <w:unhideWhenUsed/>
    <w:qFormat/>
    <w:uiPriority w:val="0"/>
    <w:rPr>
      <w:rFonts w:hint="eastAsia" w:ascii="宋体" w:hAnsi="宋体" w:eastAsia="宋体"/>
      <w:b/>
      <w:sz w:val="26"/>
    </w:rPr>
  </w:style>
  <w:style w:type="character" w:customStyle="1" w:styleId="84">
    <w:name w:val="Font Style133"/>
    <w:unhideWhenUsed/>
    <w:qFormat/>
    <w:uiPriority w:val="0"/>
    <w:rPr>
      <w:rFonts w:hint="eastAsia" w:ascii="宋体" w:hAnsi="宋体" w:eastAsia="宋体"/>
      <w:spacing w:val="30"/>
      <w:sz w:val="24"/>
    </w:rPr>
  </w:style>
  <w:style w:type="character" w:customStyle="1" w:styleId="85">
    <w:name w:val="polysemyred"/>
    <w:qFormat/>
    <w:uiPriority w:val="0"/>
    <w:rPr>
      <w:rFonts w:ascii="Times New Roman" w:hAnsi="Times New Roman" w:eastAsia="宋体"/>
      <w:color w:val="FF6666"/>
      <w:sz w:val="18"/>
      <w:szCs w:val="18"/>
    </w:rPr>
  </w:style>
  <w:style w:type="character" w:customStyle="1" w:styleId="86">
    <w:name w:val="批注主题 字符"/>
    <w:link w:val="44"/>
    <w:qFormat/>
    <w:uiPriority w:val="0"/>
    <w:rPr>
      <w:rFonts w:ascii="Calibri" w:hAnsi="Calibri" w:eastAsia="宋体" w:cs="黑体"/>
      <w:b/>
      <w:bCs/>
      <w:szCs w:val="24"/>
    </w:rPr>
  </w:style>
  <w:style w:type="character" w:customStyle="1" w:styleId="87">
    <w:name w:val="p0 Char"/>
    <w:link w:val="88"/>
    <w:qFormat/>
    <w:uiPriority w:val="0"/>
    <w:rPr>
      <w:rFonts w:ascii="Calibri" w:hAnsi="Calibri" w:eastAsia="宋体" w:cs="黑体"/>
      <w:szCs w:val="21"/>
    </w:rPr>
  </w:style>
  <w:style w:type="paragraph" w:customStyle="1" w:styleId="88">
    <w:name w:val="p0"/>
    <w:basedOn w:val="1"/>
    <w:link w:val="87"/>
    <w:qFormat/>
    <w:uiPriority w:val="0"/>
    <w:pPr>
      <w:widowControl/>
    </w:pPr>
    <w:rPr>
      <w:rFonts w:ascii="Calibri" w:hAnsi="Calibri" w:cs="黑体"/>
      <w:szCs w:val="21"/>
    </w:rPr>
  </w:style>
  <w:style w:type="character" w:customStyle="1" w:styleId="89">
    <w:name w:val="Char Char12"/>
    <w:qFormat/>
    <w:uiPriority w:val="0"/>
    <w:rPr>
      <w:rFonts w:ascii="Arial" w:hAnsi="Arial" w:eastAsia="黑体"/>
      <w:b/>
      <w:bCs/>
      <w:kern w:val="2"/>
      <w:sz w:val="28"/>
      <w:szCs w:val="28"/>
      <w:lang w:val="en-US" w:eastAsia="zh-CN" w:bidi="ar-SA"/>
    </w:rPr>
  </w:style>
  <w:style w:type="character" w:customStyle="1" w:styleId="90">
    <w:name w:val="标题 4 Char Char"/>
    <w:qFormat/>
    <w:uiPriority w:val="0"/>
    <w:rPr>
      <w:rFonts w:ascii="Arial" w:hAnsi="Arial" w:eastAsia="宋体"/>
      <w:b/>
      <w:bCs/>
      <w:kern w:val="2"/>
      <w:sz w:val="21"/>
      <w:szCs w:val="28"/>
      <w:lang w:val="en-US" w:eastAsia="zh-CN" w:bidi="ar-SA"/>
    </w:rPr>
  </w:style>
  <w:style w:type="character" w:customStyle="1" w:styleId="91">
    <w:name w:val="font11"/>
    <w:basedOn w:val="48"/>
    <w:qFormat/>
    <w:uiPriority w:val="0"/>
    <w:rPr>
      <w:rFonts w:hint="eastAsia" w:ascii="宋体" w:hAnsi="宋体" w:eastAsia="宋体" w:cs="宋体"/>
      <w:color w:val="000000"/>
      <w:sz w:val="18"/>
      <w:szCs w:val="18"/>
      <w:u w:val="none"/>
    </w:rPr>
  </w:style>
  <w:style w:type="character" w:customStyle="1" w:styleId="92">
    <w:name w:val="font01"/>
    <w:basedOn w:val="48"/>
    <w:qFormat/>
    <w:uiPriority w:val="0"/>
    <w:rPr>
      <w:rFonts w:hint="eastAsia" w:ascii="宋体" w:hAnsi="宋体" w:eastAsia="宋体" w:cs="宋体"/>
      <w:color w:val="000000"/>
      <w:sz w:val="22"/>
      <w:szCs w:val="22"/>
      <w:u w:val="single"/>
    </w:rPr>
  </w:style>
  <w:style w:type="character" w:customStyle="1" w:styleId="93">
    <w:name w:val="sidecatalog-dot1"/>
    <w:qFormat/>
    <w:uiPriority w:val="0"/>
    <w:rPr>
      <w:rFonts w:ascii="Times New Roman" w:hAnsi="Times New Roman" w:eastAsia="宋体"/>
    </w:rPr>
  </w:style>
  <w:style w:type="character" w:customStyle="1" w:styleId="94">
    <w:name w:val="Font Style124"/>
    <w:unhideWhenUsed/>
    <w:qFormat/>
    <w:uiPriority w:val="0"/>
    <w:rPr>
      <w:rFonts w:hint="eastAsia" w:ascii="宋体" w:hAnsi="宋体" w:eastAsia="宋体"/>
      <w:spacing w:val="30"/>
      <w:sz w:val="24"/>
    </w:rPr>
  </w:style>
  <w:style w:type="character" w:customStyle="1" w:styleId="95">
    <w:name w:val="批注框文本 Char"/>
    <w:basedOn w:val="48"/>
    <w:qFormat/>
    <w:uiPriority w:val="0"/>
    <w:rPr>
      <w:rFonts w:ascii="Times New Roman" w:hAnsi="Times New Roman" w:eastAsia="宋体" w:cs="Times New Roman"/>
      <w:sz w:val="18"/>
      <w:szCs w:val="18"/>
    </w:rPr>
  </w:style>
  <w:style w:type="character" w:customStyle="1" w:styleId="96">
    <w:name w:val="批注框文本 字符"/>
    <w:link w:val="29"/>
    <w:qFormat/>
    <w:locked/>
    <w:uiPriority w:val="0"/>
    <w:rPr>
      <w:rFonts w:ascii="Calibri" w:hAnsi="Calibri" w:eastAsia="宋体" w:cs="黑体"/>
      <w:sz w:val="18"/>
      <w:szCs w:val="18"/>
    </w:rPr>
  </w:style>
  <w:style w:type="character" w:customStyle="1" w:styleId="97">
    <w:name w:val="正文文本缩进 字符"/>
    <w:basedOn w:val="48"/>
    <w:link w:val="20"/>
    <w:qFormat/>
    <w:uiPriority w:val="0"/>
    <w:rPr>
      <w:rFonts w:ascii="Calibri" w:hAnsi="Calibri" w:eastAsia="宋体" w:cs="黑体"/>
      <w:szCs w:val="24"/>
    </w:rPr>
  </w:style>
  <w:style w:type="character" w:customStyle="1" w:styleId="98">
    <w:name w:val="bds_more9"/>
    <w:qFormat/>
    <w:uiPriority w:val="0"/>
    <w:rPr>
      <w:rFonts w:ascii="Times New Roman" w:hAnsi="Times New Roman" w:eastAsia="宋体"/>
    </w:rPr>
  </w:style>
  <w:style w:type="character" w:customStyle="1" w:styleId="99">
    <w:name w:val="Char Char17"/>
    <w:qFormat/>
    <w:uiPriority w:val="0"/>
    <w:rPr>
      <w:rFonts w:ascii="宋体" w:hAnsi="Times New Roman" w:eastAsia="宋体"/>
      <w:b/>
      <w:sz w:val="28"/>
      <w:lang w:val="en-US" w:eastAsia="zh-CN" w:bidi="ar-SA"/>
    </w:rPr>
  </w:style>
  <w:style w:type="character" w:customStyle="1" w:styleId="100">
    <w:name w:val="标题 字符"/>
    <w:basedOn w:val="48"/>
    <w:link w:val="43"/>
    <w:qFormat/>
    <w:uiPriority w:val="0"/>
    <w:rPr>
      <w:rFonts w:ascii="Cambria" w:hAnsi="Cambria" w:eastAsia="宋体" w:cs="Times New Roman"/>
      <w:b/>
      <w:sz w:val="32"/>
      <w:szCs w:val="24"/>
    </w:rPr>
  </w:style>
  <w:style w:type="character" w:customStyle="1" w:styleId="101">
    <w:name w:val="正文文本缩进 2 字符"/>
    <w:basedOn w:val="48"/>
    <w:link w:val="28"/>
    <w:qFormat/>
    <w:uiPriority w:val="0"/>
    <w:rPr>
      <w:rFonts w:ascii="Times New Roman" w:hAnsi="Times New Roman" w:eastAsia="宋体" w:cs="Times New Roman"/>
      <w:szCs w:val="24"/>
    </w:rPr>
  </w:style>
  <w:style w:type="character" w:customStyle="1" w:styleId="102">
    <w:name w:val="Font Style105"/>
    <w:unhideWhenUsed/>
    <w:qFormat/>
    <w:uiPriority w:val="0"/>
    <w:rPr>
      <w:rFonts w:hint="eastAsia" w:ascii="Times New Roman" w:hAnsi="Times New Roman" w:eastAsia="Times New Roman"/>
      <w:w w:val="60"/>
      <w:sz w:val="26"/>
    </w:rPr>
  </w:style>
  <w:style w:type="character" w:customStyle="1" w:styleId="103">
    <w:name w:val="标题 6 Char"/>
    <w:basedOn w:val="48"/>
    <w:qFormat/>
    <w:uiPriority w:val="0"/>
    <w:rPr>
      <w:rFonts w:ascii="Cambria" w:hAnsi="Cambria" w:eastAsia="宋体" w:cs="Times New Roman"/>
      <w:b/>
      <w:bCs/>
      <w:sz w:val="24"/>
      <w:szCs w:val="24"/>
    </w:rPr>
  </w:style>
  <w:style w:type="character" w:customStyle="1" w:styleId="104">
    <w:name w:val="morelink-item"/>
    <w:qFormat/>
    <w:uiPriority w:val="0"/>
    <w:rPr>
      <w:rFonts w:ascii="Times New Roman" w:hAnsi="Times New Roman" w:eastAsia="宋体"/>
    </w:rPr>
  </w:style>
  <w:style w:type="character" w:customStyle="1" w:styleId="105">
    <w:name w:val="bds_more7"/>
    <w:qFormat/>
    <w:uiPriority w:val="0"/>
    <w:rPr>
      <w:rFonts w:ascii="Times New Roman" w:hAnsi="Times New Roman" w:eastAsia="宋体"/>
    </w:rPr>
  </w:style>
  <w:style w:type="character" w:customStyle="1" w:styleId="106">
    <w:name w:val="纯文本 字符"/>
    <w:basedOn w:val="48"/>
    <w:link w:val="25"/>
    <w:qFormat/>
    <w:uiPriority w:val="0"/>
    <w:rPr>
      <w:rFonts w:ascii="宋体" w:hAnsi="Courier New" w:eastAsia="宋体" w:cs="Courier New"/>
      <w:szCs w:val="21"/>
    </w:rPr>
  </w:style>
  <w:style w:type="character" w:customStyle="1" w:styleId="107">
    <w:name w:val="Char Char16"/>
    <w:qFormat/>
    <w:uiPriority w:val="0"/>
    <w:rPr>
      <w:rFonts w:ascii="宋体" w:hAnsi="Times New Roman" w:eastAsia="宋体"/>
      <w:b/>
      <w:sz w:val="24"/>
      <w:lang w:val="en-US" w:eastAsia="zh-CN" w:bidi="ar-SA"/>
    </w:rPr>
  </w:style>
  <w:style w:type="character" w:customStyle="1" w:styleId="108">
    <w:name w:val="批注主题 Char"/>
    <w:basedOn w:val="109"/>
    <w:qFormat/>
    <w:uiPriority w:val="0"/>
    <w:rPr>
      <w:rFonts w:ascii="Times New Roman" w:hAnsi="Times New Roman" w:eastAsia="宋体" w:cs="Times New Roman"/>
      <w:b/>
      <w:bCs/>
      <w:szCs w:val="24"/>
    </w:rPr>
  </w:style>
  <w:style w:type="character" w:customStyle="1" w:styleId="109">
    <w:name w:val="批注文字 字符"/>
    <w:basedOn w:val="48"/>
    <w:link w:val="16"/>
    <w:qFormat/>
    <w:uiPriority w:val="99"/>
    <w:rPr>
      <w:rFonts w:ascii="Times New Roman" w:hAnsi="Times New Roman" w:eastAsia="宋体" w:cs="Times New Roman"/>
      <w:szCs w:val="24"/>
    </w:rPr>
  </w:style>
  <w:style w:type="character" w:customStyle="1" w:styleId="110">
    <w:name w:val="Font Style126"/>
    <w:unhideWhenUsed/>
    <w:qFormat/>
    <w:uiPriority w:val="0"/>
    <w:rPr>
      <w:rFonts w:hint="eastAsia" w:ascii="宋体" w:hAnsi="宋体" w:eastAsia="宋体"/>
      <w:b/>
      <w:spacing w:val="-30"/>
      <w:sz w:val="28"/>
    </w:rPr>
  </w:style>
  <w:style w:type="character" w:customStyle="1" w:styleId="111">
    <w:name w:val="标题 Char1"/>
    <w:qFormat/>
    <w:uiPriority w:val="0"/>
    <w:rPr>
      <w:rFonts w:ascii="Cambria" w:hAnsi="Cambria" w:eastAsia="宋体" w:cs="Times New Roman"/>
      <w:b/>
      <w:bCs/>
      <w:sz w:val="32"/>
      <w:szCs w:val="32"/>
    </w:rPr>
  </w:style>
  <w:style w:type="character" w:customStyle="1" w:styleId="112">
    <w:name w:val="plus"/>
    <w:qFormat/>
    <w:uiPriority w:val="0"/>
    <w:rPr>
      <w:rFonts w:ascii="Times New Roman" w:hAnsi="Times New Roman" w:eastAsia="宋体"/>
      <w:b/>
      <w:vanish/>
      <w:color w:val="1F8DEF"/>
      <w:sz w:val="24"/>
      <w:szCs w:val="24"/>
    </w:rPr>
  </w:style>
  <w:style w:type="character" w:customStyle="1" w:styleId="113">
    <w:name w:val="HTML 预设格式 字符"/>
    <w:basedOn w:val="48"/>
    <w:link w:val="40"/>
    <w:qFormat/>
    <w:uiPriority w:val="0"/>
    <w:rPr>
      <w:rFonts w:ascii="Arial" w:hAnsi="Arial" w:eastAsia="宋体" w:cs="Arial"/>
      <w:kern w:val="0"/>
      <w:sz w:val="24"/>
      <w:szCs w:val="24"/>
    </w:rPr>
  </w:style>
  <w:style w:type="character" w:customStyle="1" w:styleId="114">
    <w:name w:val="称呼 字符"/>
    <w:basedOn w:val="48"/>
    <w:link w:val="17"/>
    <w:qFormat/>
    <w:uiPriority w:val="0"/>
    <w:rPr>
      <w:rFonts w:ascii="仿宋_GB2312" w:hAnsi="Times New Roman" w:eastAsia="仿宋_GB2312" w:cs="Times New Roman"/>
      <w:sz w:val="24"/>
      <w:szCs w:val="24"/>
    </w:rPr>
  </w:style>
  <w:style w:type="character" w:customStyle="1" w:styleId="115">
    <w:name w:val="批注文字 Char Char"/>
    <w:qFormat/>
    <w:uiPriority w:val="0"/>
    <w:rPr>
      <w:kern w:val="2"/>
      <w:sz w:val="21"/>
      <w:szCs w:val="24"/>
      <w:lang w:bidi="ar-SA"/>
    </w:rPr>
  </w:style>
  <w:style w:type="character" w:customStyle="1" w:styleId="116">
    <w:name w:val="p0 Char Char"/>
    <w:qFormat/>
    <w:uiPriority w:val="0"/>
    <w:rPr>
      <w:rFonts w:eastAsia="宋体"/>
      <w:kern w:val="2"/>
      <w:sz w:val="21"/>
      <w:szCs w:val="21"/>
      <w:lang w:val="en-US" w:eastAsia="zh-CN" w:bidi="ar-SA"/>
    </w:rPr>
  </w:style>
  <w:style w:type="character" w:customStyle="1" w:styleId="117">
    <w:name w:val="正文文本 字符"/>
    <w:basedOn w:val="48"/>
    <w:link w:val="19"/>
    <w:qFormat/>
    <w:uiPriority w:val="99"/>
    <w:rPr>
      <w:rFonts w:ascii="Times New Roman" w:hAnsi="Times New Roman" w:eastAsia="宋体" w:cs="Times New Roman"/>
      <w:szCs w:val="24"/>
    </w:rPr>
  </w:style>
  <w:style w:type="character" w:customStyle="1" w:styleId="118">
    <w:name w:val="批注文字 Char1"/>
    <w:qFormat/>
    <w:uiPriority w:val="0"/>
    <w:rPr>
      <w:rFonts w:eastAsia="宋体"/>
      <w:kern w:val="2"/>
      <w:sz w:val="21"/>
      <w:szCs w:val="24"/>
      <w:lang w:val="en-US" w:eastAsia="zh-CN" w:bidi="ar-SA"/>
    </w:rPr>
  </w:style>
  <w:style w:type="character" w:customStyle="1" w:styleId="119">
    <w:name w:val="Font Style131"/>
    <w:unhideWhenUsed/>
    <w:qFormat/>
    <w:uiPriority w:val="0"/>
    <w:rPr>
      <w:rFonts w:hint="eastAsia" w:ascii="Times New Roman" w:hAnsi="Times New Roman" w:eastAsia="Times New Roman"/>
      <w:sz w:val="18"/>
    </w:rPr>
  </w:style>
  <w:style w:type="character" w:customStyle="1" w:styleId="120">
    <w:name w:val="Font Style127"/>
    <w:unhideWhenUsed/>
    <w:qFormat/>
    <w:uiPriority w:val="0"/>
    <w:rPr>
      <w:rFonts w:hint="eastAsia" w:ascii="Times New Roman" w:hAnsi="Times New Roman" w:eastAsia="Times New Roman"/>
      <w:sz w:val="20"/>
    </w:rPr>
  </w:style>
  <w:style w:type="character" w:customStyle="1" w:styleId="121">
    <w:name w:val="Font Style122"/>
    <w:unhideWhenUsed/>
    <w:qFormat/>
    <w:uiPriority w:val="0"/>
    <w:rPr>
      <w:rFonts w:hint="eastAsia" w:ascii="宋体" w:hAnsi="宋体" w:eastAsia="宋体"/>
      <w:spacing w:val="20"/>
      <w:sz w:val="24"/>
    </w:rPr>
  </w:style>
  <w:style w:type="character" w:customStyle="1" w:styleId="122">
    <w:name w:val="标题 3 Char"/>
    <w:basedOn w:val="48"/>
    <w:qFormat/>
    <w:uiPriority w:val="0"/>
    <w:rPr>
      <w:rFonts w:ascii="Times New Roman" w:hAnsi="Times New Roman" w:eastAsia="宋体" w:cs="Times New Roman"/>
      <w:b/>
      <w:bCs/>
      <w:sz w:val="32"/>
      <w:szCs w:val="32"/>
    </w:rPr>
  </w:style>
  <w:style w:type="character" w:customStyle="1" w:styleId="123">
    <w:name w:val="sidecatalog-dot"/>
    <w:qFormat/>
    <w:uiPriority w:val="0"/>
    <w:rPr>
      <w:rFonts w:ascii="Times New Roman" w:hAnsi="Times New Roman" w:eastAsia="宋体"/>
    </w:rPr>
  </w:style>
  <w:style w:type="character" w:customStyle="1" w:styleId="124">
    <w:name w:val="正文文本缩进 3 字符"/>
    <w:link w:val="36"/>
    <w:qFormat/>
    <w:uiPriority w:val="0"/>
    <w:rPr>
      <w:rFonts w:ascii="Calibri" w:hAnsi="Calibri" w:eastAsia="宋体" w:cs="黑体"/>
      <w:sz w:val="16"/>
      <w:szCs w:val="16"/>
    </w:rPr>
  </w:style>
  <w:style w:type="character" w:customStyle="1" w:styleId="125">
    <w:name w:val="副标题 字符"/>
    <w:basedOn w:val="48"/>
    <w:link w:val="34"/>
    <w:qFormat/>
    <w:uiPriority w:val="99"/>
    <w:rPr>
      <w:sz w:val="18"/>
      <w:szCs w:val="18"/>
    </w:rPr>
  </w:style>
  <w:style w:type="character" w:customStyle="1" w:styleId="126">
    <w:name w:val="页码1"/>
    <w:qFormat/>
    <w:uiPriority w:val="0"/>
    <w:rPr>
      <w:lang w:val="zh-TW" w:eastAsia="zh-TW"/>
    </w:rPr>
  </w:style>
  <w:style w:type="character" w:customStyle="1" w:styleId="127">
    <w:name w:val="文档结构图 字符"/>
    <w:basedOn w:val="48"/>
    <w:link w:val="14"/>
    <w:qFormat/>
    <w:uiPriority w:val="0"/>
    <w:rPr>
      <w:rFonts w:ascii="Times New Roman" w:hAnsi="Times New Roman" w:eastAsia="宋体" w:cs="Times New Roman"/>
      <w:szCs w:val="24"/>
      <w:shd w:val="clear" w:color="auto" w:fill="000080"/>
    </w:rPr>
  </w:style>
  <w:style w:type="character" w:customStyle="1" w:styleId="128">
    <w:name w:val="标题 1 Char"/>
    <w:basedOn w:val="48"/>
    <w:qFormat/>
    <w:uiPriority w:val="0"/>
    <w:rPr>
      <w:rFonts w:ascii="Times New Roman" w:hAnsi="Times New Roman" w:eastAsia="宋体" w:cs="Times New Roman"/>
      <w:b/>
      <w:bCs/>
      <w:kern w:val="44"/>
      <w:sz w:val="44"/>
      <w:szCs w:val="44"/>
    </w:rPr>
  </w:style>
  <w:style w:type="character" w:customStyle="1" w:styleId="129">
    <w:name w:val="bds_nopic"/>
    <w:qFormat/>
    <w:uiPriority w:val="0"/>
    <w:rPr>
      <w:rFonts w:ascii="Times New Roman" w:hAnsi="Times New Roman" w:eastAsia="宋体"/>
    </w:rPr>
  </w:style>
  <w:style w:type="character" w:customStyle="1" w:styleId="130">
    <w:name w:val="Font Style116"/>
    <w:unhideWhenUsed/>
    <w:qFormat/>
    <w:uiPriority w:val="0"/>
    <w:rPr>
      <w:rFonts w:hint="eastAsia" w:ascii="宋体" w:hAnsi="宋体" w:eastAsia="宋体"/>
      <w:spacing w:val="-20"/>
      <w:sz w:val="24"/>
    </w:rPr>
  </w:style>
  <w:style w:type="character" w:customStyle="1" w:styleId="131">
    <w:name w:val="标题 2 Char"/>
    <w:basedOn w:val="48"/>
    <w:qFormat/>
    <w:uiPriority w:val="0"/>
    <w:rPr>
      <w:rFonts w:ascii="Cambria" w:hAnsi="Cambria" w:eastAsia="宋体" w:cs="Times New Roman"/>
      <w:b/>
      <w:bCs/>
      <w:sz w:val="32"/>
      <w:szCs w:val="32"/>
    </w:rPr>
  </w:style>
  <w:style w:type="character" w:customStyle="1" w:styleId="132">
    <w:name w:val="纯文本 Char1"/>
    <w:basedOn w:val="48"/>
    <w:qFormat/>
    <w:uiPriority w:val="0"/>
    <w:rPr>
      <w:rFonts w:ascii="宋体" w:hAnsi="Courier New" w:eastAsia="宋体" w:cs="Courier New"/>
      <w:kern w:val="2"/>
      <w:sz w:val="21"/>
      <w:szCs w:val="21"/>
    </w:rPr>
  </w:style>
  <w:style w:type="character" w:customStyle="1" w:styleId="133">
    <w:name w:val="Font Style117"/>
    <w:unhideWhenUsed/>
    <w:qFormat/>
    <w:uiPriority w:val="0"/>
    <w:rPr>
      <w:rFonts w:hint="eastAsia" w:ascii="宋体" w:hAnsi="宋体" w:eastAsia="宋体"/>
      <w:spacing w:val="20"/>
      <w:sz w:val="24"/>
    </w:rPr>
  </w:style>
  <w:style w:type="character" w:customStyle="1" w:styleId="134">
    <w:name w:val="正文文本缩进 3 Char"/>
    <w:basedOn w:val="48"/>
    <w:qFormat/>
    <w:uiPriority w:val="0"/>
    <w:rPr>
      <w:rFonts w:ascii="Times New Roman" w:hAnsi="Times New Roman" w:eastAsia="宋体" w:cs="Times New Roman"/>
      <w:sz w:val="16"/>
      <w:szCs w:val="16"/>
    </w:rPr>
  </w:style>
  <w:style w:type="character" w:customStyle="1" w:styleId="135">
    <w:name w:val="Font Style90"/>
    <w:unhideWhenUsed/>
    <w:qFormat/>
    <w:uiPriority w:val="0"/>
    <w:rPr>
      <w:rFonts w:hint="eastAsia" w:ascii="宋体" w:hAnsi="宋体" w:eastAsia="宋体"/>
      <w:b/>
      <w:spacing w:val="-20"/>
      <w:sz w:val="40"/>
    </w:rPr>
  </w:style>
  <w:style w:type="character" w:customStyle="1" w:styleId="136">
    <w:name w:val="sidecatalog-index2"/>
    <w:qFormat/>
    <w:uiPriority w:val="0"/>
    <w:rPr>
      <w:rFonts w:ascii="Arail" w:hAnsi="Arail" w:eastAsia="Arail" w:cs="Arail"/>
      <w:color w:val="999999"/>
      <w:sz w:val="21"/>
      <w:szCs w:val="21"/>
    </w:rPr>
  </w:style>
  <w:style w:type="character" w:customStyle="1" w:styleId="137">
    <w:name w:val="标题 Char"/>
    <w:basedOn w:val="48"/>
    <w:qFormat/>
    <w:uiPriority w:val="0"/>
    <w:rPr>
      <w:rFonts w:ascii="Cambria" w:hAnsi="Cambria" w:eastAsia="宋体" w:cs="Times New Roman"/>
      <w:b/>
      <w:bCs/>
      <w:sz w:val="32"/>
      <w:szCs w:val="32"/>
    </w:rPr>
  </w:style>
  <w:style w:type="character" w:customStyle="1" w:styleId="138">
    <w:name w:val="font41"/>
    <w:basedOn w:val="48"/>
    <w:qFormat/>
    <w:uiPriority w:val="0"/>
    <w:rPr>
      <w:rFonts w:hint="eastAsia" w:ascii="宋体" w:hAnsi="宋体" w:eastAsia="宋体" w:cs="宋体"/>
      <w:color w:val="000000"/>
      <w:sz w:val="22"/>
      <w:szCs w:val="22"/>
      <w:u w:val="single"/>
    </w:rPr>
  </w:style>
  <w:style w:type="character" w:customStyle="1" w:styleId="139">
    <w:name w:val="日期 字符"/>
    <w:link w:val="27"/>
    <w:qFormat/>
    <w:uiPriority w:val="0"/>
    <w:rPr>
      <w:rFonts w:ascii="Calibri" w:hAnsi="Calibri" w:eastAsia="宋体" w:cs="黑体"/>
      <w:sz w:val="24"/>
    </w:rPr>
  </w:style>
  <w:style w:type="character" w:customStyle="1" w:styleId="140">
    <w:name w:val="Font Style86"/>
    <w:unhideWhenUsed/>
    <w:qFormat/>
    <w:uiPriority w:val="0"/>
    <w:rPr>
      <w:rFonts w:hint="eastAsia" w:ascii="黑体" w:hAnsi="黑体" w:eastAsia="黑体"/>
      <w:spacing w:val="10"/>
      <w:sz w:val="30"/>
    </w:rPr>
  </w:style>
  <w:style w:type="character" w:customStyle="1" w:styleId="141">
    <w:name w:val="Font Style121"/>
    <w:unhideWhenUsed/>
    <w:qFormat/>
    <w:uiPriority w:val="0"/>
    <w:rPr>
      <w:rFonts w:hint="eastAsia" w:ascii="宋体" w:hAnsi="宋体" w:eastAsia="宋体"/>
      <w:spacing w:val="-10"/>
      <w:sz w:val="30"/>
    </w:rPr>
  </w:style>
  <w:style w:type="character" w:customStyle="1" w:styleId="142">
    <w:name w:val="Font Style134"/>
    <w:unhideWhenUsed/>
    <w:qFormat/>
    <w:uiPriority w:val="0"/>
    <w:rPr>
      <w:rFonts w:hint="eastAsia" w:ascii="宋体" w:hAnsi="宋体" w:eastAsia="宋体"/>
      <w:spacing w:val="20"/>
      <w:sz w:val="22"/>
    </w:rPr>
  </w:style>
  <w:style w:type="character" w:customStyle="1" w:styleId="143">
    <w:name w:val="页眉 Char1"/>
    <w:qFormat/>
    <w:uiPriority w:val="0"/>
    <w:rPr>
      <w:rFonts w:eastAsia="宋体"/>
      <w:kern w:val="2"/>
      <w:sz w:val="18"/>
      <w:szCs w:val="18"/>
      <w:lang w:val="en-US" w:eastAsia="zh-CN" w:bidi="ar-SA"/>
    </w:rPr>
  </w:style>
  <w:style w:type="character" w:customStyle="1" w:styleId="144">
    <w:name w:val="sort"/>
    <w:qFormat/>
    <w:uiPriority w:val="0"/>
    <w:rPr>
      <w:rFonts w:ascii="Times New Roman" w:hAnsi="Times New Roman" w:eastAsia="宋体"/>
      <w:color w:val="FFFFFF"/>
      <w:bdr w:val="single" w:color="auto" w:sz="24" w:space="0"/>
    </w:rPr>
  </w:style>
  <w:style w:type="character" w:customStyle="1" w:styleId="145">
    <w:name w:val="Font Style115"/>
    <w:unhideWhenUsed/>
    <w:qFormat/>
    <w:uiPriority w:val="0"/>
    <w:rPr>
      <w:rFonts w:hint="eastAsia" w:ascii="Times New Roman" w:hAnsi="Times New Roman" w:eastAsia="Times New Roman"/>
      <w:sz w:val="16"/>
    </w:rPr>
  </w:style>
  <w:style w:type="character" w:customStyle="1" w:styleId="146">
    <w:name w:val="bds_more6"/>
    <w:qFormat/>
    <w:uiPriority w:val="0"/>
    <w:rPr>
      <w:rFonts w:hint="eastAsia" w:ascii="宋体" w:hAnsi="宋体" w:eastAsia="宋体" w:cs="宋体"/>
    </w:rPr>
  </w:style>
  <w:style w:type="character" w:customStyle="1" w:styleId="147">
    <w:name w:val="标题 8 Char"/>
    <w:basedOn w:val="48"/>
    <w:qFormat/>
    <w:uiPriority w:val="0"/>
    <w:rPr>
      <w:rFonts w:ascii="Cambria" w:hAnsi="Cambria" w:eastAsia="宋体" w:cs="Times New Roman"/>
      <w:sz w:val="24"/>
      <w:szCs w:val="24"/>
    </w:rPr>
  </w:style>
  <w:style w:type="character" w:customStyle="1" w:styleId="148">
    <w:name w:val="正文文本 3 字符"/>
    <w:basedOn w:val="48"/>
    <w:link w:val="18"/>
    <w:qFormat/>
    <w:uiPriority w:val="0"/>
    <w:rPr>
      <w:rFonts w:ascii="宋体" w:hAnsi="Times New Roman" w:eastAsia="宋体" w:cs="Times New Roman"/>
      <w:color w:val="000000"/>
      <w:kern w:val="0"/>
      <w:sz w:val="24"/>
      <w:szCs w:val="20"/>
    </w:rPr>
  </w:style>
  <w:style w:type="character" w:customStyle="1" w:styleId="149">
    <w:name w:val="font71"/>
    <w:basedOn w:val="48"/>
    <w:qFormat/>
    <w:uiPriority w:val="0"/>
    <w:rPr>
      <w:rFonts w:hint="eastAsia" w:ascii="宋体" w:hAnsi="宋体" w:eastAsia="宋体" w:cs="宋体"/>
      <w:b/>
      <w:color w:val="000000"/>
      <w:sz w:val="22"/>
      <w:szCs w:val="22"/>
      <w:u w:val="none"/>
    </w:rPr>
  </w:style>
  <w:style w:type="character" w:customStyle="1" w:styleId="150">
    <w:name w:val="font21"/>
    <w:basedOn w:val="48"/>
    <w:qFormat/>
    <w:uiPriority w:val="0"/>
    <w:rPr>
      <w:rFonts w:hint="eastAsia" w:ascii="宋体" w:hAnsi="宋体" w:eastAsia="宋体" w:cs="宋体"/>
      <w:color w:val="000000"/>
      <w:sz w:val="18"/>
      <w:szCs w:val="18"/>
      <w:u w:val="none"/>
    </w:rPr>
  </w:style>
  <w:style w:type="character" w:customStyle="1" w:styleId="151">
    <w:name w:val="标题 9 Char"/>
    <w:basedOn w:val="48"/>
    <w:qFormat/>
    <w:uiPriority w:val="0"/>
    <w:rPr>
      <w:rFonts w:ascii="Cambria" w:hAnsi="Cambria" w:eastAsia="宋体" w:cs="Times New Roman"/>
      <w:szCs w:val="21"/>
    </w:rPr>
  </w:style>
  <w:style w:type="character" w:customStyle="1" w:styleId="152">
    <w:name w:val="Char Char14"/>
    <w:qFormat/>
    <w:uiPriority w:val="0"/>
    <w:rPr>
      <w:rFonts w:ascii="Arial" w:hAnsi="Arial" w:eastAsia="黑体"/>
      <w:b/>
      <w:bCs/>
      <w:sz w:val="28"/>
      <w:szCs w:val="28"/>
      <w:lang w:val="en-US" w:eastAsia="zh-CN" w:bidi="ar-SA"/>
    </w:rPr>
  </w:style>
  <w:style w:type="character" w:customStyle="1" w:styleId="153">
    <w:name w:val="Font Style119"/>
    <w:unhideWhenUsed/>
    <w:qFormat/>
    <w:uiPriority w:val="0"/>
    <w:rPr>
      <w:rFonts w:hint="eastAsia" w:ascii="宋体" w:hAnsi="宋体" w:eastAsia="宋体"/>
      <w:sz w:val="24"/>
    </w:rPr>
  </w:style>
  <w:style w:type="character" w:customStyle="1" w:styleId="154">
    <w:name w:val="标题 5 Char"/>
    <w:basedOn w:val="48"/>
    <w:qFormat/>
    <w:uiPriority w:val="0"/>
    <w:rPr>
      <w:rFonts w:ascii="Times New Roman" w:hAnsi="Times New Roman" w:eastAsia="宋体" w:cs="Times New Roman"/>
      <w:b/>
      <w:bCs/>
      <w:sz w:val="28"/>
      <w:szCs w:val="28"/>
    </w:rPr>
  </w:style>
  <w:style w:type="character" w:customStyle="1" w:styleId="155">
    <w:name w:val="Char Char15"/>
    <w:qFormat/>
    <w:uiPriority w:val="0"/>
    <w:rPr>
      <w:b/>
      <w:bCs/>
      <w:sz w:val="24"/>
      <w:szCs w:val="24"/>
    </w:rPr>
  </w:style>
  <w:style w:type="character" w:customStyle="1" w:styleId="156">
    <w:name w:val="polysemyexp"/>
    <w:qFormat/>
    <w:uiPriority w:val="0"/>
    <w:rPr>
      <w:rFonts w:ascii="Times New Roman" w:hAnsi="Times New Roman" w:eastAsia="宋体"/>
      <w:color w:val="AAAAAA"/>
      <w:sz w:val="18"/>
      <w:szCs w:val="18"/>
    </w:rPr>
  </w:style>
  <w:style w:type="character" w:customStyle="1" w:styleId="157">
    <w:name w:val="bds_nopic1"/>
    <w:qFormat/>
    <w:uiPriority w:val="0"/>
    <w:rPr>
      <w:rFonts w:ascii="Times New Roman" w:hAnsi="Times New Roman" w:eastAsia="宋体"/>
    </w:rPr>
  </w:style>
  <w:style w:type="character" w:customStyle="1" w:styleId="158">
    <w:name w:val="bds_more8"/>
    <w:qFormat/>
    <w:uiPriority w:val="0"/>
    <w:rPr>
      <w:rFonts w:ascii="Times New Roman" w:hAnsi="Times New Roman" w:eastAsia="宋体"/>
    </w:rPr>
  </w:style>
  <w:style w:type="character" w:customStyle="1" w:styleId="159">
    <w:name w:val="sort1"/>
    <w:qFormat/>
    <w:uiPriority w:val="0"/>
    <w:rPr>
      <w:rFonts w:ascii="Times New Roman" w:hAnsi="Times New Roman" w:eastAsia="宋体"/>
    </w:rPr>
  </w:style>
  <w:style w:type="character" w:customStyle="1" w:styleId="160">
    <w:name w:val="bds_more10"/>
    <w:qFormat/>
    <w:uiPriority w:val="0"/>
    <w:rPr>
      <w:rFonts w:ascii="Times New Roman" w:hAnsi="Times New Roman" w:eastAsia="宋体"/>
    </w:rPr>
  </w:style>
  <w:style w:type="character" w:customStyle="1" w:styleId="161">
    <w:name w:val="sidecatalog-index1"/>
    <w:qFormat/>
    <w:uiPriority w:val="0"/>
    <w:rPr>
      <w:rFonts w:ascii="Arial" w:hAnsi="Arial" w:eastAsia="宋体" w:cs="Arial"/>
      <w:b/>
      <w:color w:val="999999"/>
      <w:sz w:val="21"/>
      <w:szCs w:val="21"/>
    </w:rPr>
  </w:style>
  <w:style w:type="character" w:customStyle="1" w:styleId="162">
    <w:name w:val="标题 7 Char"/>
    <w:basedOn w:val="48"/>
    <w:qFormat/>
    <w:uiPriority w:val="0"/>
    <w:rPr>
      <w:rFonts w:ascii="Times New Roman" w:hAnsi="Times New Roman" w:eastAsia="宋体" w:cs="Times New Roman"/>
      <w:b/>
      <w:bCs/>
      <w:sz w:val="24"/>
      <w:szCs w:val="24"/>
    </w:rPr>
  </w:style>
  <w:style w:type="character" w:customStyle="1" w:styleId="163">
    <w:name w:val="desc"/>
    <w:qFormat/>
    <w:uiPriority w:val="0"/>
    <w:rPr>
      <w:rFonts w:ascii="Times New Roman" w:hAnsi="Times New Roman" w:eastAsia="宋体"/>
      <w:color w:val="000000"/>
      <w:sz w:val="18"/>
      <w:szCs w:val="18"/>
    </w:rPr>
  </w:style>
  <w:style w:type="character" w:customStyle="1" w:styleId="164">
    <w:name w:val="正文文本缩进 2 字符1"/>
    <w:basedOn w:val="48"/>
    <w:semiHidden/>
    <w:qFormat/>
    <w:uiPriority w:val="99"/>
    <w:rPr>
      <w:rFonts w:ascii="Times New Roman" w:hAnsi="Times New Roman" w:eastAsia="宋体" w:cs="Times New Roman"/>
      <w:szCs w:val="24"/>
    </w:rPr>
  </w:style>
  <w:style w:type="character" w:customStyle="1" w:styleId="165">
    <w:name w:val="正文文本缩进 字符1"/>
    <w:basedOn w:val="48"/>
    <w:semiHidden/>
    <w:qFormat/>
    <w:uiPriority w:val="99"/>
    <w:rPr>
      <w:rFonts w:ascii="Times New Roman" w:hAnsi="Times New Roman" w:eastAsia="宋体" w:cs="Times New Roman"/>
      <w:szCs w:val="24"/>
    </w:rPr>
  </w:style>
  <w:style w:type="character" w:customStyle="1" w:styleId="166">
    <w:name w:val="正文文本 3 字符1"/>
    <w:basedOn w:val="48"/>
    <w:semiHidden/>
    <w:qFormat/>
    <w:uiPriority w:val="99"/>
    <w:rPr>
      <w:rFonts w:ascii="Times New Roman" w:hAnsi="Times New Roman" w:eastAsia="宋体" w:cs="Times New Roman"/>
      <w:sz w:val="16"/>
      <w:szCs w:val="16"/>
    </w:rPr>
  </w:style>
  <w:style w:type="character" w:customStyle="1" w:styleId="167">
    <w:name w:val="称呼 字符1"/>
    <w:basedOn w:val="48"/>
    <w:semiHidden/>
    <w:qFormat/>
    <w:uiPriority w:val="99"/>
    <w:rPr>
      <w:rFonts w:ascii="Times New Roman" w:hAnsi="Times New Roman" w:eastAsia="宋体" w:cs="Times New Roman"/>
      <w:szCs w:val="24"/>
    </w:rPr>
  </w:style>
  <w:style w:type="character" w:customStyle="1" w:styleId="168">
    <w:name w:val="批注框文本 字符1"/>
    <w:basedOn w:val="48"/>
    <w:semiHidden/>
    <w:qFormat/>
    <w:uiPriority w:val="99"/>
    <w:rPr>
      <w:rFonts w:ascii="Times New Roman" w:hAnsi="Times New Roman" w:eastAsia="宋体" w:cs="Times New Roman"/>
      <w:sz w:val="18"/>
      <w:szCs w:val="18"/>
    </w:rPr>
  </w:style>
  <w:style w:type="character" w:customStyle="1" w:styleId="169">
    <w:name w:val="正文文本缩进 3 字符1"/>
    <w:basedOn w:val="48"/>
    <w:semiHidden/>
    <w:qFormat/>
    <w:uiPriority w:val="99"/>
    <w:rPr>
      <w:rFonts w:ascii="Times New Roman" w:hAnsi="Times New Roman" w:eastAsia="宋体" w:cs="Times New Roman"/>
      <w:sz w:val="16"/>
      <w:szCs w:val="16"/>
    </w:rPr>
  </w:style>
  <w:style w:type="character" w:customStyle="1" w:styleId="170">
    <w:name w:val="文档结构图 字符1"/>
    <w:basedOn w:val="48"/>
    <w:semiHidden/>
    <w:qFormat/>
    <w:uiPriority w:val="99"/>
    <w:rPr>
      <w:rFonts w:ascii="Microsoft YaHei UI" w:hAnsi="Times New Roman" w:eastAsia="Microsoft YaHei UI" w:cs="Times New Roman"/>
      <w:sz w:val="18"/>
      <w:szCs w:val="18"/>
    </w:rPr>
  </w:style>
  <w:style w:type="character" w:customStyle="1" w:styleId="171">
    <w:name w:val="日期 字符1"/>
    <w:basedOn w:val="48"/>
    <w:semiHidden/>
    <w:qFormat/>
    <w:uiPriority w:val="99"/>
    <w:rPr>
      <w:rFonts w:ascii="Times New Roman" w:hAnsi="Times New Roman" w:eastAsia="宋体" w:cs="Times New Roman"/>
      <w:szCs w:val="24"/>
    </w:rPr>
  </w:style>
  <w:style w:type="character" w:customStyle="1" w:styleId="172">
    <w:name w:val="正文文本 字符1"/>
    <w:basedOn w:val="48"/>
    <w:semiHidden/>
    <w:qFormat/>
    <w:uiPriority w:val="99"/>
    <w:rPr>
      <w:rFonts w:ascii="Times New Roman" w:hAnsi="Times New Roman" w:eastAsia="宋体" w:cs="Times New Roman"/>
      <w:szCs w:val="24"/>
    </w:rPr>
  </w:style>
  <w:style w:type="character" w:customStyle="1" w:styleId="173">
    <w:name w:val="批注文字 字符1"/>
    <w:basedOn w:val="48"/>
    <w:semiHidden/>
    <w:qFormat/>
    <w:uiPriority w:val="99"/>
    <w:rPr>
      <w:rFonts w:ascii="Times New Roman" w:hAnsi="Times New Roman" w:eastAsia="宋体" w:cs="Times New Roman"/>
      <w:szCs w:val="24"/>
    </w:rPr>
  </w:style>
  <w:style w:type="character" w:customStyle="1" w:styleId="174">
    <w:name w:val="HTML 预设格式 字符1"/>
    <w:basedOn w:val="48"/>
    <w:semiHidden/>
    <w:qFormat/>
    <w:uiPriority w:val="99"/>
    <w:rPr>
      <w:rFonts w:ascii="Courier New" w:hAnsi="Courier New" w:eastAsia="宋体" w:cs="Courier New"/>
      <w:sz w:val="20"/>
      <w:szCs w:val="20"/>
    </w:rPr>
  </w:style>
  <w:style w:type="character" w:customStyle="1" w:styleId="175">
    <w:name w:val="正文文本首行缩进 字符"/>
    <w:basedOn w:val="172"/>
    <w:link w:val="45"/>
    <w:qFormat/>
    <w:uiPriority w:val="0"/>
    <w:rPr>
      <w:rFonts w:ascii="Times New Roman" w:hAnsi="Times New Roman" w:eastAsia="宋体" w:cs="Times New Roman"/>
      <w:szCs w:val="24"/>
    </w:rPr>
  </w:style>
  <w:style w:type="character" w:customStyle="1" w:styleId="176">
    <w:name w:val="正文文本 2 字符1"/>
    <w:basedOn w:val="48"/>
    <w:semiHidden/>
    <w:qFormat/>
    <w:uiPriority w:val="99"/>
    <w:rPr>
      <w:rFonts w:ascii="Times New Roman" w:hAnsi="Times New Roman" w:eastAsia="宋体" w:cs="Times New Roman"/>
      <w:szCs w:val="24"/>
    </w:rPr>
  </w:style>
  <w:style w:type="character" w:customStyle="1" w:styleId="177">
    <w:name w:val="副标题 字符1"/>
    <w:basedOn w:val="48"/>
    <w:qFormat/>
    <w:uiPriority w:val="11"/>
    <w:rPr>
      <w:b/>
      <w:bCs/>
      <w:kern w:val="28"/>
      <w:sz w:val="32"/>
      <w:szCs w:val="32"/>
    </w:rPr>
  </w:style>
  <w:style w:type="character" w:customStyle="1" w:styleId="178">
    <w:name w:val="批注主题 字符1"/>
    <w:basedOn w:val="173"/>
    <w:semiHidden/>
    <w:qFormat/>
    <w:uiPriority w:val="99"/>
    <w:rPr>
      <w:rFonts w:ascii="Times New Roman" w:hAnsi="Times New Roman" w:eastAsia="宋体" w:cs="Times New Roman"/>
      <w:b/>
      <w:bCs/>
      <w:szCs w:val="24"/>
    </w:rPr>
  </w:style>
  <w:style w:type="character" w:customStyle="1" w:styleId="179">
    <w:name w:val="标题 字符1"/>
    <w:basedOn w:val="48"/>
    <w:qFormat/>
    <w:uiPriority w:val="10"/>
    <w:rPr>
      <w:rFonts w:asciiTheme="majorHAnsi" w:hAnsiTheme="majorHAnsi" w:eastAsiaTheme="majorEastAsia" w:cstheme="majorBidi"/>
      <w:b/>
      <w:bCs/>
      <w:sz w:val="32"/>
      <w:szCs w:val="32"/>
    </w:rPr>
  </w:style>
  <w:style w:type="character" w:customStyle="1" w:styleId="180">
    <w:name w:val="纯文本 字符1"/>
    <w:basedOn w:val="48"/>
    <w:semiHidden/>
    <w:qFormat/>
    <w:uiPriority w:val="99"/>
    <w:rPr>
      <w:rFonts w:hAnsi="Courier New" w:cs="Courier New" w:asciiTheme="minorEastAsia"/>
      <w:szCs w:val="24"/>
    </w:rPr>
  </w:style>
  <w:style w:type="paragraph" w:customStyle="1" w:styleId="181">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2">
    <w:name w:val="Char Char Char"/>
    <w:basedOn w:val="1"/>
    <w:qFormat/>
    <w:uiPriority w:val="0"/>
    <w:rPr>
      <w:rFonts w:ascii="宋体" w:hAnsi="宋体"/>
      <w:b/>
      <w:sz w:val="28"/>
      <w:szCs w:val="28"/>
    </w:rPr>
  </w:style>
  <w:style w:type="paragraph" w:customStyle="1" w:styleId="183">
    <w:name w:val="Style29"/>
    <w:basedOn w:val="1"/>
    <w:unhideWhenUsed/>
    <w:qFormat/>
    <w:uiPriority w:val="0"/>
    <w:pPr>
      <w:spacing w:line="547" w:lineRule="exact"/>
      <w:ind w:firstLine="547"/>
    </w:pPr>
  </w:style>
  <w:style w:type="paragraph" w:customStyle="1" w:styleId="184">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5">
    <w:name w:val="Style13"/>
    <w:basedOn w:val="1"/>
    <w:unhideWhenUsed/>
    <w:qFormat/>
    <w:uiPriority w:val="0"/>
  </w:style>
  <w:style w:type="paragraph" w:customStyle="1" w:styleId="18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7">
    <w:name w:val="正文缩进2"/>
    <w:basedOn w:val="1"/>
    <w:qFormat/>
    <w:uiPriority w:val="0"/>
    <w:pPr>
      <w:tabs>
        <w:tab w:val="left" w:pos="720"/>
      </w:tabs>
      <w:ind w:left="624" w:hanging="624"/>
      <w:textAlignment w:val="baseline"/>
    </w:pPr>
    <w:rPr>
      <w:rFonts w:hint="eastAsia" w:ascii="宋体"/>
    </w:rPr>
  </w:style>
  <w:style w:type="paragraph" w:customStyle="1" w:styleId="188">
    <w:name w:val="Style23"/>
    <w:basedOn w:val="1"/>
    <w:unhideWhenUsed/>
    <w:qFormat/>
    <w:uiPriority w:val="0"/>
  </w:style>
  <w:style w:type="paragraph" w:customStyle="1" w:styleId="189">
    <w:name w:val="Style81"/>
    <w:basedOn w:val="1"/>
    <w:unhideWhenUsed/>
    <w:qFormat/>
    <w:uiPriority w:val="0"/>
    <w:pPr>
      <w:spacing w:line="547" w:lineRule="exact"/>
    </w:pPr>
  </w:style>
  <w:style w:type="paragraph" w:customStyle="1" w:styleId="190">
    <w:name w:val="Style73"/>
    <w:basedOn w:val="1"/>
    <w:unhideWhenUsed/>
    <w:qFormat/>
    <w:uiPriority w:val="0"/>
    <w:pPr>
      <w:spacing w:line="538" w:lineRule="exact"/>
      <w:ind w:firstLine="533"/>
    </w:pPr>
  </w:style>
  <w:style w:type="paragraph" w:customStyle="1" w:styleId="191">
    <w:name w:val="Style47"/>
    <w:basedOn w:val="1"/>
    <w:unhideWhenUsed/>
    <w:qFormat/>
    <w:uiPriority w:val="0"/>
  </w:style>
  <w:style w:type="paragraph" w:customStyle="1" w:styleId="192">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3">
    <w:name w:val="Style77"/>
    <w:basedOn w:val="1"/>
    <w:unhideWhenUsed/>
    <w:qFormat/>
    <w:uiPriority w:val="0"/>
  </w:style>
  <w:style w:type="paragraph" w:customStyle="1" w:styleId="194">
    <w:name w:val="Style8"/>
    <w:basedOn w:val="1"/>
    <w:unhideWhenUsed/>
    <w:qFormat/>
    <w:uiPriority w:val="0"/>
    <w:pPr>
      <w:spacing w:line="566" w:lineRule="exact"/>
      <w:jc w:val="center"/>
    </w:pPr>
  </w:style>
  <w:style w:type="paragraph" w:customStyle="1" w:styleId="195">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6">
    <w:name w:val="Char1 Char Char Char Char Char Char Char Char Char"/>
    <w:basedOn w:val="1"/>
    <w:qFormat/>
    <w:uiPriority w:val="0"/>
    <w:rPr>
      <w:szCs w:val="20"/>
    </w:rPr>
  </w:style>
  <w:style w:type="paragraph" w:customStyle="1" w:styleId="197">
    <w:name w:val="_Style 1"/>
    <w:basedOn w:val="1"/>
    <w:qFormat/>
    <w:uiPriority w:val="34"/>
    <w:pPr>
      <w:ind w:firstLine="420" w:firstLineChars="200"/>
    </w:pPr>
    <w:rPr>
      <w:rFonts w:ascii="Calibri" w:hAnsi="Calibri" w:cs="黑体"/>
    </w:rPr>
  </w:style>
  <w:style w:type="paragraph" w:customStyle="1" w:styleId="198">
    <w:name w:val="_Style 39"/>
    <w:basedOn w:val="199"/>
    <w:qFormat/>
    <w:uiPriority w:val="0"/>
  </w:style>
  <w:style w:type="paragraph" w:customStyle="1" w:styleId="19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Style24"/>
    <w:basedOn w:val="1"/>
    <w:unhideWhenUsed/>
    <w:qFormat/>
    <w:uiPriority w:val="0"/>
  </w:style>
  <w:style w:type="paragraph" w:customStyle="1" w:styleId="201">
    <w:name w:val="Style34"/>
    <w:basedOn w:val="1"/>
    <w:unhideWhenUsed/>
    <w:qFormat/>
    <w:uiPriority w:val="0"/>
    <w:pPr>
      <w:spacing w:line="375" w:lineRule="exact"/>
    </w:pPr>
  </w:style>
  <w:style w:type="paragraph" w:customStyle="1" w:styleId="20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3">
    <w:name w:val="Style69"/>
    <w:basedOn w:val="1"/>
    <w:unhideWhenUsed/>
    <w:qFormat/>
    <w:uiPriority w:val="0"/>
    <w:pPr>
      <w:spacing w:line="557" w:lineRule="exact"/>
      <w:ind w:firstLine="1666"/>
    </w:pPr>
  </w:style>
  <w:style w:type="paragraph" w:customStyle="1" w:styleId="204">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5">
    <w:name w:val="表格内容"/>
    <w:basedOn w:val="19"/>
    <w:qFormat/>
    <w:uiPriority w:val="0"/>
    <w:pPr>
      <w:suppressLineNumbers/>
      <w:suppressAutoHyphens/>
      <w:jc w:val="left"/>
    </w:pPr>
    <w:rPr>
      <w:rFonts w:cs="Tahoma"/>
      <w:kern w:val="0"/>
      <w:sz w:val="24"/>
    </w:rPr>
  </w:style>
  <w:style w:type="paragraph" w:customStyle="1" w:styleId="206">
    <w:name w:val="Style54"/>
    <w:basedOn w:val="1"/>
    <w:unhideWhenUsed/>
    <w:qFormat/>
    <w:uiPriority w:val="0"/>
  </w:style>
  <w:style w:type="paragraph" w:customStyle="1" w:styleId="207">
    <w:name w:val="标题 31"/>
    <w:basedOn w:val="1"/>
    <w:next w:val="208"/>
    <w:link w:val="365"/>
    <w:qFormat/>
    <w:uiPriority w:val="0"/>
    <w:pPr>
      <w:spacing w:before="60" w:line="300" w:lineRule="auto"/>
      <w:outlineLvl w:val="2"/>
    </w:pPr>
    <w:rPr>
      <w:rFonts w:ascii="宋体" w:hAnsi="宋体"/>
      <w:snapToGrid w:val="0"/>
      <w:kern w:val="0"/>
      <w:sz w:val="24"/>
    </w:rPr>
  </w:style>
  <w:style w:type="paragraph" w:customStyle="1" w:styleId="208">
    <w:name w:val="正文缩进3"/>
    <w:basedOn w:val="1"/>
    <w:qFormat/>
    <w:uiPriority w:val="0"/>
    <w:pPr>
      <w:tabs>
        <w:tab w:val="left" w:pos="720"/>
      </w:tabs>
      <w:ind w:left="624" w:hanging="624"/>
      <w:textAlignment w:val="baseline"/>
    </w:pPr>
    <w:rPr>
      <w:rFonts w:hint="eastAsia" w:ascii="宋体"/>
    </w:rPr>
  </w:style>
  <w:style w:type="paragraph" w:customStyle="1" w:styleId="209">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0">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211">
    <w:name w:val="Style21"/>
    <w:basedOn w:val="1"/>
    <w:unhideWhenUsed/>
    <w:qFormat/>
    <w:uiPriority w:val="0"/>
    <w:pPr>
      <w:spacing w:line="566" w:lineRule="exact"/>
      <w:ind w:firstLine="682"/>
    </w:pPr>
  </w:style>
  <w:style w:type="paragraph" w:customStyle="1" w:styleId="212">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3">
    <w:name w:val="Style12"/>
    <w:basedOn w:val="1"/>
    <w:unhideWhenUsed/>
    <w:qFormat/>
    <w:uiPriority w:val="0"/>
    <w:pPr>
      <w:spacing w:line="564" w:lineRule="exact"/>
      <w:ind w:hanging="115"/>
    </w:pPr>
  </w:style>
  <w:style w:type="paragraph" w:customStyle="1" w:styleId="214">
    <w:name w:val="Style58"/>
    <w:basedOn w:val="1"/>
    <w:unhideWhenUsed/>
    <w:qFormat/>
    <w:uiPriority w:val="0"/>
    <w:pPr>
      <w:spacing w:line="413" w:lineRule="exact"/>
    </w:pPr>
  </w:style>
  <w:style w:type="paragraph" w:customStyle="1" w:styleId="215">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6">
    <w:name w:val="默认段落字体 Para Char Char Char Char Char Char Char Char Char Char Char Char Char Char Char Char Char Char Char"/>
    <w:basedOn w:val="1"/>
    <w:qFormat/>
    <w:uiPriority w:val="0"/>
  </w:style>
  <w:style w:type="paragraph" w:customStyle="1" w:styleId="217">
    <w:name w:val="p16"/>
    <w:basedOn w:val="1"/>
    <w:qFormat/>
    <w:uiPriority w:val="0"/>
    <w:pPr>
      <w:widowControl/>
      <w:jc w:val="left"/>
    </w:pPr>
    <w:rPr>
      <w:kern w:val="0"/>
      <w:szCs w:val="21"/>
    </w:rPr>
  </w:style>
  <w:style w:type="paragraph" w:customStyle="1" w:styleId="218">
    <w:name w:val="Char Char1 Char Char Char"/>
    <w:basedOn w:val="1"/>
    <w:qFormat/>
    <w:uiPriority w:val="0"/>
    <w:rPr>
      <w:kern w:val="0"/>
      <w:sz w:val="20"/>
      <w:szCs w:val="20"/>
    </w:rPr>
  </w:style>
  <w:style w:type="paragraph" w:customStyle="1" w:styleId="219">
    <w:name w:val="Style42"/>
    <w:basedOn w:val="1"/>
    <w:unhideWhenUsed/>
    <w:qFormat/>
    <w:uiPriority w:val="0"/>
    <w:pPr>
      <w:spacing w:line="542" w:lineRule="exact"/>
      <w:ind w:firstLine="547"/>
    </w:pPr>
  </w:style>
  <w:style w:type="paragraph" w:customStyle="1" w:styleId="220">
    <w:name w:val="Style11"/>
    <w:basedOn w:val="1"/>
    <w:unhideWhenUsed/>
    <w:qFormat/>
    <w:uiPriority w:val="0"/>
    <w:pPr>
      <w:spacing w:line="559" w:lineRule="exact"/>
      <w:ind w:firstLine="590"/>
    </w:pPr>
  </w:style>
  <w:style w:type="paragraph" w:customStyle="1" w:styleId="221">
    <w:name w:val="Style27"/>
    <w:basedOn w:val="1"/>
    <w:unhideWhenUsed/>
    <w:qFormat/>
    <w:uiPriority w:val="0"/>
  </w:style>
  <w:style w:type="paragraph" w:customStyle="1" w:styleId="222">
    <w:name w:val="1"/>
    <w:basedOn w:val="1"/>
    <w:qFormat/>
    <w:uiPriority w:val="0"/>
    <w:pPr>
      <w:spacing w:afterLines="50" w:line="360" w:lineRule="auto"/>
    </w:pPr>
    <w:rPr>
      <w:rFonts w:ascii="宋体" w:hAnsi="宋体"/>
      <w:b/>
      <w:sz w:val="30"/>
      <w:szCs w:val="21"/>
    </w:rPr>
  </w:style>
  <w:style w:type="paragraph" w:customStyle="1" w:styleId="223">
    <w:name w:val="标题 311"/>
    <w:basedOn w:val="1"/>
    <w:next w:val="224"/>
    <w:qFormat/>
    <w:uiPriority w:val="0"/>
    <w:pPr>
      <w:spacing w:line="300" w:lineRule="auto"/>
      <w:outlineLvl w:val="2"/>
    </w:pPr>
    <w:rPr>
      <w:rFonts w:hint="eastAsia" w:ascii="宋体" w:hAnsi="宋体"/>
      <w:snapToGrid w:val="0"/>
      <w:kern w:val="0"/>
      <w:sz w:val="24"/>
      <w:szCs w:val="22"/>
    </w:rPr>
  </w:style>
  <w:style w:type="paragraph" w:customStyle="1" w:styleId="224">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5">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6">
    <w:name w:val="Style68"/>
    <w:basedOn w:val="1"/>
    <w:unhideWhenUsed/>
    <w:qFormat/>
    <w:uiPriority w:val="0"/>
    <w:pPr>
      <w:spacing w:line="547" w:lineRule="exact"/>
    </w:pPr>
  </w:style>
  <w:style w:type="paragraph" w:customStyle="1" w:styleId="227">
    <w:name w:val="Char1 Char Char Char"/>
    <w:basedOn w:val="1"/>
    <w:qFormat/>
    <w:uiPriority w:val="0"/>
    <w:pPr>
      <w:widowControl/>
      <w:spacing w:after="160" w:line="240" w:lineRule="exact"/>
      <w:jc w:val="left"/>
    </w:pPr>
    <w:rPr>
      <w:kern w:val="0"/>
      <w:sz w:val="24"/>
      <w:szCs w:val="20"/>
    </w:rPr>
  </w:style>
  <w:style w:type="paragraph" w:customStyle="1" w:styleId="228">
    <w:name w:val="Style46"/>
    <w:basedOn w:val="1"/>
    <w:unhideWhenUsed/>
    <w:qFormat/>
    <w:uiPriority w:val="0"/>
    <w:pPr>
      <w:spacing w:line="672" w:lineRule="exact"/>
    </w:pPr>
  </w:style>
  <w:style w:type="paragraph" w:customStyle="1" w:styleId="229">
    <w:name w:val="Style67"/>
    <w:basedOn w:val="1"/>
    <w:unhideWhenUsed/>
    <w:qFormat/>
    <w:uiPriority w:val="0"/>
    <w:pPr>
      <w:spacing w:line="566" w:lineRule="exact"/>
      <w:ind w:firstLine="552"/>
    </w:pPr>
  </w:style>
  <w:style w:type="paragraph" w:customStyle="1" w:styleId="230">
    <w:name w:val="Char1 Char Char Char 字元 Char Char 字元 Char 字元 Char1 Char Char Char"/>
    <w:basedOn w:val="1"/>
    <w:qFormat/>
    <w:uiPriority w:val="0"/>
    <w:rPr>
      <w:szCs w:val="20"/>
    </w:rPr>
  </w:style>
  <w:style w:type="paragraph" w:customStyle="1" w:styleId="231">
    <w:name w:val="Style50"/>
    <w:basedOn w:val="1"/>
    <w:unhideWhenUsed/>
    <w:qFormat/>
    <w:uiPriority w:val="0"/>
  </w:style>
  <w:style w:type="paragraph" w:customStyle="1" w:styleId="232">
    <w:name w:val="Style41"/>
    <w:basedOn w:val="1"/>
    <w:unhideWhenUsed/>
    <w:qFormat/>
    <w:uiPriority w:val="0"/>
    <w:pPr>
      <w:spacing w:line="542" w:lineRule="exact"/>
      <w:ind w:firstLine="125"/>
    </w:pPr>
  </w:style>
  <w:style w:type="paragraph" w:customStyle="1" w:styleId="233">
    <w:name w:val="Style62"/>
    <w:basedOn w:val="1"/>
    <w:unhideWhenUsed/>
    <w:qFormat/>
    <w:uiPriority w:val="0"/>
  </w:style>
  <w:style w:type="paragraph" w:customStyle="1" w:styleId="234">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5">
    <w:name w:val="Style5"/>
    <w:basedOn w:val="1"/>
    <w:unhideWhenUsed/>
    <w:qFormat/>
    <w:uiPriority w:val="0"/>
  </w:style>
  <w:style w:type="paragraph" w:customStyle="1" w:styleId="236">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7">
    <w:name w:val="Style15"/>
    <w:basedOn w:val="1"/>
    <w:unhideWhenUsed/>
    <w:qFormat/>
    <w:uiPriority w:val="0"/>
    <w:pPr>
      <w:spacing w:line="557" w:lineRule="exact"/>
      <w:ind w:firstLine="672"/>
    </w:pPr>
  </w:style>
  <w:style w:type="paragraph" w:customStyle="1" w:styleId="238">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39">
    <w:name w:val="列出段落1"/>
    <w:basedOn w:val="1"/>
    <w:qFormat/>
    <w:uiPriority w:val="99"/>
    <w:pPr>
      <w:ind w:firstLine="420" w:firstLineChars="200"/>
    </w:pPr>
    <w:rPr>
      <w:rFonts w:ascii="Calibri" w:hAnsi="Calibri" w:cs="Calibri"/>
      <w:szCs w:val="21"/>
    </w:rPr>
  </w:style>
  <w:style w:type="paragraph" w:customStyle="1" w:styleId="24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1">
    <w:name w:val="Style44"/>
    <w:basedOn w:val="1"/>
    <w:unhideWhenUsed/>
    <w:qFormat/>
    <w:uiPriority w:val="0"/>
  </w:style>
  <w:style w:type="paragraph" w:customStyle="1" w:styleId="242">
    <w:name w:val="Char Char1 Char Char Char Char Char1 Char Char Char Char"/>
    <w:basedOn w:val="14"/>
    <w:qFormat/>
    <w:uiPriority w:val="0"/>
    <w:rPr>
      <w:rFonts w:ascii="Tahoma" w:hAnsi="Tahoma"/>
    </w:rPr>
  </w:style>
  <w:style w:type="paragraph" w:customStyle="1" w:styleId="243">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4">
    <w:name w:val="标题2"/>
    <w:basedOn w:val="43"/>
    <w:qFormat/>
    <w:uiPriority w:val="0"/>
    <w:pPr>
      <w:spacing w:after="240"/>
      <w:jc w:val="left"/>
    </w:pPr>
    <w:rPr>
      <w:sz w:val="30"/>
    </w:rPr>
  </w:style>
  <w:style w:type="paragraph" w:customStyle="1" w:styleId="245">
    <w:name w:val="Style52"/>
    <w:basedOn w:val="1"/>
    <w:unhideWhenUsed/>
    <w:qFormat/>
    <w:uiPriority w:val="0"/>
    <w:pPr>
      <w:spacing w:line="682" w:lineRule="exact"/>
      <w:ind w:firstLine="557"/>
    </w:pPr>
  </w:style>
  <w:style w:type="paragraph" w:customStyle="1" w:styleId="246">
    <w:name w:val="标题 11"/>
    <w:basedOn w:val="1"/>
    <w:next w:val="1"/>
    <w:link w:val="364"/>
    <w:qFormat/>
    <w:uiPriority w:val="0"/>
    <w:pPr>
      <w:numPr>
        <w:ilvl w:val="0"/>
        <w:numId w:val="1"/>
      </w:numPr>
      <w:tabs>
        <w:tab w:val="left" w:pos="470"/>
      </w:tabs>
      <w:outlineLvl w:val="0"/>
    </w:pPr>
    <w:rPr>
      <w:rFonts w:ascii="Calibri" w:hAnsi="Calibri" w:cs="黑体"/>
      <w:b/>
      <w:sz w:val="24"/>
      <w:szCs w:val="22"/>
    </w:rPr>
  </w:style>
  <w:style w:type="paragraph" w:customStyle="1" w:styleId="247">
    <w:name w:val="Style53"/>
    <w:basedOn w:val="1"/>
    <w:unhideWhenUsed/>
    <w:qFormat/>
    <w:uiPriority w:val="0"/>
    <w:pPr>
      <w:spacing w:line="533" w:lineRule="exact"/>
      <w:ind w:firstLine="581"/>
    </w:pPr>
  </w:style>
  <w:style w:type="paragraph" w:customStyle="1" w:styleId="248">
    <w:name w:val="Style56"/>
    <w:basedOn w:val="1"/>
    <w:unhideWhenUsed/>
    <w:qFormat/>
    <w:uiPriority w:val="0"/>
  </w:style>
  <w:style w:type="paragraph" w:customStyle="1" w:styleId="249">
    <w:name w:val="Style9"/>
    <w:basedOn w:val="1"/>
    <w:unhideWhenUsed/>
    <w:qFormat/>
    <w:uiPriority w:val="0"/>
  </w:style>
  <w:style w:type="paragraph" w:customStyle="1" w:styleId="250">
    <w:name w:val="列出段落2"/>
    <w:basedOn w:val="1"/>
    <w:qFormat/>
    <w:uiPriority w:val="0"/>
    <w:pPr>
      <w:ind w:firstLine="420" w:firstLineChars="200"/>
    </w:pPr>
    <w:rPr>
      <w:rFonts w:ascii="Calibri" w:hAnsi="Calibri"/>
      <w:szCs w:val="22"/>
    </w:rPr>
  </w:style>
  <w:style w:type="paragraph" w:customStyle="1" w:styleId="251">
    <w:name w:val="1 Char Char Char Char"/>
    <w:basedOn w:val="1"/>
    <w:qFormat/>
    <w:uiPriority w:val="0"/>
  </w:style>
  <w:style w:type="paragraph" w:customStyle="1" w:styleId="252">
    <w:name w:val="标题 1 +"/>
    <w:basedOn w:val="3"/>
    <w:next w:val="1"/>
    <w:qFormat/>
    <w:uiPriority w:val="0"/>
    <w:pPr>
      <w:keepLines/>
      <w:spacing w:line="600" w:lineRule="auto"/>
    </w:pPr>
    <w:rPr>
      <w:rFonts w:eastAsia="黑体"/>
      <w:sz w:val="32"/>
      <w:szCs w:val="32"/>
    </w:rPr>
  </w:style>
  <w:style w:type="paragraph" w:customStyle="1" w:styleId="253">
    <w:name w:val="Style59"/>
    <w:basedOn w:val="1"/>
    <w:unhideWhenUsed/>
    <w:qFormat/>
    <w:uiPriority w:val="0"/>
  </w:style>
  <w:style w:type="paragraph" w:customStyle="1" w:styleId="254">
    <w:name w:val="标题 41"/>
    <w:basedOn w:val="1"/>
    <w:next w:val="224"/>
    <w:qFormat/>
    <w:uiPriority w:val="0"/>
    <w:pPr>
      <w:tabs>
        <w:tab w:val="left" w:pos="1021"/>
        <w:tab w:val="left" w:pos="1175"/>
      </w:tabs>
      <w:ind w:left="2" w:firstLine="2"/>
      <w:outlineLvl w:val="3"/>
    </w:pPr>
    <w:rPr>
      <w:snapToGrid w:val="0"/>
      <w:color w:val="000000"/>
      <w:kern w:val="0"/>
      <w:sz w:val="24"/>
      <w:szCs w:val="22"/>
    </w:rPr>
  </w:style>
  <w:style w:type="paragraph" w:customStyle="1" w:styleId="255">
    <w:name w:val="Style16"/>
    <w:basedOn w:val="1"/>
    <w:unhideWhenUsed/>
    <w:qFormat/>
    <w:uiPriority w:val="0"/>
    <w:pPr>
      <w:jc w:val="right"/>
    </w:pPr>
  </w:style>
  <w:style w:type="paragraph" w:customStyle="1" w:styleId="256">
    <w:name w:val="Style4"/>
    <w:basedOn w:val="1"/>
    <w:unhideWhenUsed/>
    <w:qFormat/>
    <w:uiPriority w:val="0"/>
  </w:style>
  <w:style w:type="paragraph" w:customStyle="1" w:styleId="257">
    <w:name w:val="Style63"/>
    <w:basedOn w:val="1"/>
    <w:unhideWhenUsed/>
    <w:qFormat/>
    <w:uiPriority w:val="0"/>
    <w:pPr>
      <w:spacing w:line="564" w:lineRule="exact"/>
      <w:ind w:firstLine="682"/>
    </w:pPr>
  </w:style>
  <w:style w:type="paragraph" w:customStyle="1" w:styleId="258">
    <w:name w:val="标题3"/>
    <w:basedOn w:val="3"/>
    <w:qFormat/>
    <w:uiPriority w:val="0"/>
    <w:pPr>
      <w:spacing w:beforeLines="50" w:afterLines="50" w:line="400" w:lineRule="exact"/>
      <w:jc w:val="both"/>
    </w:pPr>
    <w:rPr>
      <w:rFonts w:ascii="宋体" w:hAnsi="宋体"/>
      <w:kern w:val="32"/>
      <w:szCs w:val="32"/>
    </w:rPr>
  </w:style>
  <w:style w:type="paragraph" w:customStyle="1" w:styleId="259">
    <w:name w:val="Style26"/>
    <w:basedOn w:val="1"/>
    <w:unhideWhenUsed/>
    <w:qFormat/>
    <w:uiPriority w:val="0"/>
  </w:style>
  <w:style w:type="paragraph" w:customStyle="1" w:styleId="260">
    <w:name w:val="Style64"/>
    <w:basedOn w:val="1"/>
    <w:unhideWhenUsed/>
    <w:qFormat/>
    <w:uiPriority w:val="0"/>
  </w:style>
  <w:style w:type="paragraph" w:customStyle="1" w:styleId="261">
    <w:name w:val="Style48"/>
    <w:basedOn w:val="1"/>
    <w:unhideWhenUsed/>
    <w:qFormat/>
    <w:uiPriority w:val="0"/>
    <w:pPr>
      <w:spacing w:line="542" w:lineRule="exact"/>
      <w:jc w:val="right"/>
    </w:pPr>
  </w:style>
  <w:style w:type="paragraph" w:customStyle="1" w:styleId="262">
    <w:name w:val="Style70"/>
    <w:basedOn w:val="1"/>
    <w:unhideWhenUsed/>
    <w:qFormat/>
    <w:uiPriority w:val="0"/>
    <w:pPr>
      <w:spacing w:line="549" w:lineRule="exact"/>
      <w:ind w:firstLine="686"/>
    </w:pPr>
  </w:style>
  <w:style w:type="paragraph" w:customStyle="1" w:styleId="263">
    <w:name w:val="Style78"/>
    <w:basedOn w:val="1"/>
    <w:unhideWhenUsed/>
    <w:qFormat/>
    <w:uiPriority w:val="0"/>
  </w:style>
  <w:style w:type="paragraph" w:customStyle="1" w:styleId="264">
    <w:name w:val="Style60"/>
    <w:basedOn w:val="1"/>
    <w:unhideWhenUsed/>
    <w:qFormat/>
    <w:uiPriority w:val="0"/>
    <w:pPr>
      <w:spacing w:line="566" w:lineRule="exact"/>
    </w:pPr>
  </w:style>
  <w:style w:type="paragraph" w:customStyle="1" w:styleId="265">
    <w:name w:val="NO3"/>
    <w:basedOn w:val="1"/>
    <w:qFormat/>
    <w:uiPriority w:val="0"/>
    <w:pPr>
      <w:tabs>
        <w:tab w:val="left" w:pos="907"/>
      </w:tabs>
      <w:spacing w:line="360" w:lineRule="auto"/>
    </w:pPr>
    <w:rPr>
      <w:rFonts w:ascii="宋体" w:hAnsi="宋体"/>
      <w:sz w:val="24"/>
    </w:rPr>
  </w:style>
  <w:style w:type="paragraph" w:customStyle="1" w:styleId="266">
    <w:name w:val="Char"/>
    <w:basedOn w:val="1"/>
    <w:qFormat/>
    <w:uiPriority w:val="0"/>
    <w:pPr>
      <w:tabs>
        <w:tab w:val="left" w:pos="360"/>
      </w:tabs>
      <w:ind w:left="360" w:hanging="360" w:hangingChars="200"/>
    </w:pPr>
    <w:rPr>
      <w:sz w:val="24"/>
    </w:rPr>
  </w:style>
  <w:style w:type="paragraph" w:customStyle="1" w:styleId="267">
    <w:name w:val="附录标识"/>
    <w:basedOn w:val="209"/>
    <w:qFormat/>
    <w:uiPriority w:val="0"/>
    <w:pPr>
      <w:tabs>
        <w:tab w:val="left" w:pos="6405"/>
        <w:tab w:val="clear" w:pos="360"/>
        <w:tab w:val="clear" w:pos="720"/>
      </w:tabs>
      <w:spacing w:after="200"/>
    </w:pPr>
    <w:rPr>
      <w:sz w:val="21"/>
    </w:rPr>
  </w:style>
  <w:style w:type="paragraph" w:customStyle="1" w:styleId="268">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69">
    <w:name w:val="Style74"/>
    <w:basedOn w:val="1"/>
    <w:unhideWhenUsed/>
    <w:qFormat/>
    <w:uiPriority w:val="0"/>
    <w:pPr>
      <w:spacing w:line="437" w:lineRule="exact"/>
    </w:pPr>
  </w:style>
  <w:style w:type="paragraph" w:customStyle="1" w:styleId="270">
    <w:name w:val="Style36"/>
    <w:basedOn w:val="1"/>
    <w:unhideWhenUsed/>
    <w:qFormat/>
    <w:uiPriority w:val="0"/>
  </w:style>
  <w:style w:type="paragraph" w:customStyle="1" w:styleId="271">
    <w:name w:val="Style61"/>
    <w:basedOn w:val="1"/>
    <w:unhideWhenUsed/>
    <w:qFormat/>
    <w:uiPriority w:val="0"/>
  </w:style>
  <w:style w:type="paragraph" w:customStyle="1" w:styleId="272">
    <w:name w:val="标题 21"/>
    <w:basedOn w:val="1"/>
    <w:next w:val="224"/>
    <w:link w:val="366"/>
    <w:qFormat/>
    <w:uiPriority w:val="0"/>
    <w:pPr>
      <w:spacing w:line="300" w:lineRule="auto"/>
      <w:outlineLvl w:val="1"/>
    </w:pPr>
    <w:rPr>
      <w:rFonts w:hint="eastAsia" w:ascii="宋体" w:hAnsi="宋体"/>
      <w:b/>
      <w:snapToGrid w:val="0"/>
      <w:kern w:val="0"/>
      <w:sz w:val="28"/>
      <w:szCs w:val="22"/>
    </w:rPr>
  </w:style>
  <w:style w:type="paragraph" w:customStyle="1" w:styleId="273">
    <w:name w:val="Style76"/>
    <w:basedOn w:val="1"/>
    <w:unhideWhenUsed/>
    <w:qFormat/>
    <w:uiPriority w:val="0"/>
  </w:style>
  <w:style w:type="paragraph" w:customStyle="1" w:styleId="274">
    <w:name w:val="列表段落1"/>
    <w:basedOn w:val="1"/>
    <w:qFormat/>
    <w:uiPriority w:val="0"/>
    <w:pPr>
      <w:ind w:firstLine="420" w:firstLineChars="200"/>
    </w:pPr>
  </w:style>
  <w:style w:type="paragraph" w:customStyle="1" w:styleId="275">
    <w:name w:val="修订1"/>
    <w:qFormat/>
    <w:uiPriority w:val="0"/>
    <w:rPr>
      <w:rFonts w:ascii="Times New Roman" w:hAnsi="Times New Roman" w:eastAsia="宋体" w:cs="Times New Roman"/>
      <w:kern w:val="2"/>
      <w:sz w:val="21"/>
      <w:szCs w:val="24"/>
      <w:lang w:val="en-US" w:eastAsia="zh-CN" w:bidi="ar-SA"/>
    </w:rPr>
  </w:style>
  <w:style w:type="paragraph" w:customStyle="1" w:styleId="276">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7">
    <w:name w:val="_Style 7"/>
    <w:basedOn w:val="1"/>
    <w:qFormat/>
    <w:uiPriority w:val="0"/>
    <w:pPr>
      <w:ind w:firstLine="420" w:firstLineChars="200"/>
    </w:pPr>
    <w:rPr>
      <w:rFonts w:ascii="Calibri" w:hAnsi="Calibri" w:cs="黑体"/>
    </w:rPr>
  </w:style>
  <w:style w:type="paragraph" w:customStyle="1" w:styleId="278">
    <w:name w:val="Char Char1 Char Char Char Char Char Char Char"/>
    <w:basedOn w:val="1"/>
    <w:qFormat/>
    <w:uiPriority w:val="0"/>
    <w:pPr>
      <w:widowControl/>
      <w:spacing w:after="160" w:line="240" w:lineRule="exact"/>
      <w:jc w:val="left"/>
    </w:pPr>
  </w:style>
  <w:style w:type="paragraph" w:customStyle="1" w:styleId="27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1">
    <w:name w:val="Style10"/>
    <w:basedOn w:val="1"/>
    <w:unhideWhenUsed/>
    <w:qFormat/>
    <w:uiPriority w:val="0"/>
    <w:pPr>
      <w:spacing w:line="538" w:lineRule="exact"/>
    </w:pPr>
  </w:style>
  <w:style w:type="paragraph" w:customStyle="1" w:styleId="282">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3">
    <w:name w:val="Style72"/>
    <w:basedOn w:val="1"/>
    <w:unhideWhenUsed/>
    <w:qFormat/>
    <w:uiPriority w:val="0"/>
  </w:style>
  <w:style w:type="paragraph" w:customStyle="1" w:styleId="284">
    <w:name w:val="Style45"/>
    <w:basedOn w:val="1"/>
    <w:unhideWhenUsed/>
    <w:qFormat/>
    <w:uiPriority w:val="0"/>
  </w:style>
  <w:style w:type="paragraph" w:customStyle="1" w:styleId="285">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6">
    <w:name w:val="Style80"/>
    <w:basedOn w:val="1"/>
    <w:unhideWhenUsed/>
    <w:qFormat/>
    <w:uiPriority w:val="0"/>
  </w:style>
  <w:style w:type="paragraph" w:customStyle="1" w:styleId="287">
    <w:name w:val="Style71"/>
    <w:basedOn w:val="1"/>
    <w:unhideWhenUsed/>
    <w:qFormat/>
    <w:uiPriority w:val="0"/>
    <w:pPr>
      <w:spacing w:line="538" w:lineRule="exact"/>
      <w:ind w:firstLine="101"/>
    </w:pPr>
  </w:style>
  <w:style w:type="paragraph" w:customStyle="1" w:styleId="288">
    <w:name w:val="Style65"/>
    <w:basedOn w:val="1"/>
    <w:unhideWhenUsed/>
    <w:qFormat/>
    <w:uiPriority w:val="0"/>
  </w:style>
  <w:style w:type="paragraph" w:customStyle="1" w:styleId="289">
    <w:name w:val="Style28"/>
    <w:basedOn w:val="1"/>
    <w:unhideWhenUsed/>
    <w:qFormat/>
    <w:uiPriority w:val="0"/>
    <w:pPr>
      <w:spacing w:line="552" w:lineRule="exact"/>
      <w:ind w:firstLine="547"/>
    </w:pPr>
  </w:style>
  <w:style w:type="paragraph" w:customStyle="1" w:styleId="290">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1">
    <w:name w:val="标题 32"/>
    <w:basedOn w:val="1"/>
    <w:next w:val="187"/>
    <w:qFormat/>
    <w:uiPriority w:val="0"/>
    <w:pPr>
      <w:spacing w:before="60" w:line="300" w:lineRule="auto"/>
      <w:outlineLvl w:val="2"/>
    </w:pPr>
    <w:rPr>
      <w:rFonts w:hint="eastAsia" w:ascii="宋体" w:hAnsi="宋体" w:cs="黑体"/>
      <w:snapToGrid w:val="0"/>
      <w:kern w:val="0"/>
      <w:sz w:val="24"/>
      <w:szCs w:val="20"/>
    </w:rPr>
  </w:style>
  <w:style w:type="paragraph" w:customStyle="1" w:styleId="292">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3">
    <w:name w:val="正文缩进 字符"/>
    <w:link w:val="13"/>
    <w:qFormat/>
    <w:uiPriority w:val="0"/>
    <w:rPr>
      <w:rFonts w:ascii="Times New Roman" w:hAnsi="Times New Roman" w:eastAsia="宋体" w:cs="Times New Roman"/>
      <w:kern w:val="0"/>
      <w:sz w:val="20"/>
      <w:szCs w:val="20"/>
    </w:rPr>
  </w:style>
  <w:style w:type="character" w:customStyle="1" w:styleId="294">
    <w:name w:val="公文正文 Char Char"/>
    <w:link w:val="295"/>
    <w:qFormat/>
    <w:uiPriority w:val="0"/>
    <w:rPr>
      <w:rFonts w:ascii="仿宋_GB2312" w:hAnsi="Calisto MT" w:eastAsia="仿宋_GB2312"/>
      <w:color w:val="000000"/>
      <w:sz w:val="32"/>
    </w:rPr>
  </w:style>
  <w:style w:type="paragraph" w:customStyle="1" w:styleId="295">
    <w:name w:val="公文正文"/>
    <w:link w:val="294"/>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6">
    <w:name w:val="普通文字 Char Char"/>
    <w:qFormat/>
    <w:uiPriority w:val="0"/>
    <w:rPr>
      <w:rFonts w:ascii="宋体" w:hAnsi="Courier New" w:eastAsia="宋体"/>
      <w:kern w:val="2"/>
      <w:sz w:val="21"/>
      <w:lang w:val="en-US" w:eastAsia="zh-CN" w:bidi="ar-SA"/>
    </w:rPr>
  </w:style>
  <w:style w:type="character" w:customStyle="1" w:styleId="297">
    <w:name w:val="副标题 Char1"/>
    <w:qFormat/>
    <w:uiPriority w:val="0"/>
    <w:rPr>
      <w:rFonts w:ascii="Cambria" w:hAnsi="Cambria" w:cs="Times New Roman"/>
      <w:b/>
      <w:bCs/>
      <w:kern w:val="28"/>
      <w:sz w:val="32"/>
      <w:szCs w:val="32"/>
    </w:rPr>
  </w:style>
  <w:style w:type="character" w:customStyle="1" w:styleId="298">
    <w:name w:val="无间隔 字符"/>
    <w:link w:val="299"/>
    <w:qFormat/>
    <w:uiPriority w:val="1"/>
    <w:rPr>
      <w:rFonts w:ascii="Calibri" w:hAnsi="Calibri"/>
      <w:sz w:val="22"/>
      <w:szCs w:val="22"/>
    </w:rPr>
  </w:style>
  <w:style w:type="paragraph" w:styleId="299">
    <w:name w:val="No Spacing"/>
    <w:link w:val="298"/>
    <w:qFormat/>
    <w:uiPriority w:val="1"/>
    <w:rPr>
      <w:rFonts w:ascii="Calibri" w:hAnsi="Calibri" w:eastAsiaTheme="minorEastAsia" w:cstheme="minorBidi"/>
      <w:sz w:val="22"/>
      <w:szCs w:val="22"/>
      <w:lang w:val="en-US" w:eastAsia="zh-CN" w:bidi="ar-SA"/>
    </w:rPr>
  </w:style>
  <w:style w:type="character" w:customStyle="1" w:styleId="300">
    <w:name w:val="样式 样式 样式 标题 2标题 1.1第一层条第二层论文标题 1Para2Title1H2h22l2list + ch...1 ... Char Char"/>
    <w:link w:val="301"/>
    <w:qFormat/>
    <w:uiPriority w:val="0"/>
    <w:rPr>
      <w:rFonts w:ascii="Arial" w:hAnsi="Arial" w:cs="宋体"/>
      <w:b/>
      <w:color w:val="000000"/>
      <w:sz w:val="28"/>
      <w:szCs w:val="28"/>
    </w:rPr>
  </w:style>
  <w:style w:type="paragraph" w:customStyle="1" w:styleId="301">
    <w:name w:val="样式 样式 样式 标题 2标题 1.1第一层条第二层论文标题 1Para2Title1H2h22l2list + ch...1 ..."/>
    <w:basedOn w:val="302"/>
    <w:link w:val="300"/>
    <w:qFormat/>
    <w:uiPriority w:val="0"/>
    <w:pPr>
      <w:tabs>
        <w:tab w:val="left" w:pos="567"/>
        <w:tab w:val="left" w:pos="840"/>
        <w:tab w:val="left" w:pos="965"/>
      </w:tabs>
      <w:spacing w:beforeLines="0" w:afterLines="0"/>
      <w:ind w:left="965" w:right="105" w:hanging="425"/>
    </w:pPr>
    <w:rPr>
      <w:sz w:val="28"/>
      <w:szCs w:val="28"/>
    </w:rPr>
  </w:style>
  <w:style w:type="paragraph" w:customStyle="1" w:styleId="302">
    <w:name w:val="样式 样式 标题 2标题 1.1第一层条第二层论文标题 1Para2Title1H2h22l2list + ch...1 + 右...1"/>
    <w:basedOn w:val="303"/>
    <w:link w:val="315"/>
    <w:qFormat/>
    <w:uiPriority w:val="0"/>
    <w:pPr>
      <w:tabs>
        <w:tab w:val="left" w:pos="567"/>
        <w:tab w:val="left" w:pos="840"/>
      </w:tabs>
      <w:spacing w:beforeLines="50" w:afterLines="50"/>
      <w:ind w:left="576"/>
    </w:pPr>
  </w:style>
  <w:style w:type="paragraph" w:customStyle="1" w:styleId="303">
    <w:name w:val="样式 标题 2标题 1.1第一层条第二层论文标题 1Para2Title1H2h22l2list + ch...1"/>
    <w:basedOn w:val="4"/>
    <w:link w:val="316"/>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4">
    <w:name w:val="列表框1 Char Char"/>
    <w:link w:val="305"/>
    <w:qFormat/>
    <w:uiPriority w:val="0"/>
    <w:rPr>
      <w:rFonts w:ascii="Arial" w:hAnsi="Arial" w:eastAsia="楷体_GB2312" w:cs="Arial"/>
      <w:spacing w:val="10"/>
      <w:szCs w:val="24"/>
    </w:rPr>
  </w:style>
  <w:style w:type="paragraph" w:customStyle="1" w:styleId="305">
    <w:name w:val="列表框1"/>
    <w:basedOn w:val="306"/>
    <w:next w:val="306"/>
    <w:link w:val="304"/>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6">
    <w:name w:val="应答文本"/>
    <w:basedOn w:val="1"/>
    <w:link w:val="321"/>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7">
    <w:name w:val="普通文字 Char2"/>
    <w:qFormat/>
    <w:uiPriority w:val="0"/>
    <w:rPr>
      <w:rFonts w:ascii="宋体" w:hAnsi="Courier New" w:eastAsia="宋体"/>
      <w:kern w:val="2"/>
      <w:sz w:val="21"/>
      <w:lang w:val="en-US" w:eastAsia="zh-CN" w:bidi="ar-SA"/>
    </w:rPr>
  </w:style>
  <w:style w:type="character" w:customStyle="1" w:styleId="308">
    <w:name w:val="样式 标题 1标题 1 111121314151111211311611212213217113... Char Char"/>
    <w:link w:val="309"/>
    <w:qFormat/>
    <w:uiPriority w:val="0"/>
    <w:rPr>
      <w:rFonts w:ascii="宋体" w:hAnsi="宋体" w:eastAsia="黑体"/>
      <w:bCs/>
      <w:kern w:val="44"/>
      <w:sz w:val="48"/>
      <w:szCs w:val="32"/>
    </w:rPr>
  </w:style>
  <w:style w:type="paragraph" w:customStyle="1" w:styleId="309">
    <w:name w:val="样式 标题 1标题 1 111121314151111211311611212213217113..."/>
    <w:basedOn w:val="3"/>
    <w:link w:val="308"/>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0">
    <w:name w:val="even Char Char"/>
    <w:qFormat/>
    <w:uiPriority w:val="0"/>
    <w:rPr>
      <w:rFonts w:eastAsia="宋体"/>
      <w:kern w:val="2"/>
      <w:sz w:val="18"/>
      <w:szCs w:val="24"/>
      <w:lang w:val="en-US" w:eastAsia="zh-CN" w:bidi="ar-SA"/>
    </w:rPr>
  </w:style>
  <w:style w:type="character" w:customStyle="1" w:styleId="311">
    <w:name w:val="样式 标题 4Para4CDR_Lev 4Title3h44 dashddash + (符号) 宋体 加粗 Char Char"/>
    <w:link w:val="312"/>
    <w:qFormat/>
    <w:uiPriority w:val="0"/>
    <w:rPr>
      <w:rFonts w:ascii="Arial" w:hAnsi="Arial" w:eastAsia="黑体"/>
      <w:snapToGrid w:val="0"/>
      <w:sz w:val="28"/>
      <w:szCs w:val="24"/>
    </w:rPr>
  </w:style>
  <w:style w:type="paragraph" w:customStyle="1" w:styleId="312">
    <w:name w:val="样式 标题 4Para4CDR_Lev 4Title3h44 dashddash + (符号) 宋体 加粗"/>
    <w:basedOn w:val="6"/>
    <w:link w:val="311"/>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3">
    <w:name w:val="纯文本 Char"/>
    <w:qFormat/>
    <w:uiPriority w:val="0"/>
    <w:rPr>
      <w:rFonts w:ascii="宋体" w:hAnsi="Courier New" w:cs="Courier New"/>
      <w:kern w:val="2"/>
      <w:sz w:val="21"/>
      <w:szCs w:val="21"/>
    </w:rPr>
  </w:style>
  <w:style w:type="character" w:customStyle="1" w:styleId="314">
    <w:name w:val="style131"/>
    <w:qFormat/>
    <w:uiPriority w:val="0"/>
    <w:rPr>
      <w:rFonts w:eastAsia="宋体"/>
      <w:kern w:val="2"/>
      <w:sz w:val="24"/>
      <w:szCs w:val="24"/>
      <w:lang w:val="en-US" w:eastAsia="zh-CN" w:bidi="ar-SA"/>
    </w:rPr>
  </w:style>
  <w:style w:type="character" w:customStyle="1" w:styleId="315">
    <w:name w:val="样式 样式 标题 2标题 1.1第一层条第二层论文标题 1Para2Title1H2h22l2list + ch...1 + 右...1 Char Char"/>
    <w:basedOn w:val="316"/>
    <w:link w:val="302"/>
    <w:qFormat/>
    <w:uiPriority w:val="0"/>
    <w:rPr>
      <w:rFonts w:ascii="Arial" w:hAnsi="Arial" w:cs="宋体"/>
      <w:color w:val="000000"/>
      <w:sz w:val="24"/>
      <w:szCs w:val="24"/>
    </w:rPr>
  </w:style>
  <w:style w:type="character" w:customStyle="1" w:styleId="316">
    <w:name w:val="样式 标题 2标题 1.1第一层条第二层论文标题 1Para2Title1H2h22l2list + ch...1 Char Char"/>
    <w:link w:val="303"/>
    <w:qFormat/>
    <w:uiPriority w:val="0"/>
    <w:rPr>
      <w:rFonts w:ascii="Arial" w:hAnsi="Arial" w:cs="宋体"/>
      <w:b/>
      <w:color w:val="000000"/>
      <w:sz w:val="24"/>
      <w:szCs w:val="24"/>
    </w:rPr>
  </w:style>
  <w:style w:type="character" w:customStyle="1" w:styleId="317">
    <w:name w:val="Char Char Char Char Char Char"/>
    <w:qFormat/>
    <w:uiPriority w:val="0"/>
    <w:rPr>
      <w:rFonts w:ascii="宋体" w:hAnsi="Courier New" w:eastAsia="宋体"/>
      <w:kern w:val="2"/>
      <w:sz w:val="21"/>
      <w:lang w:val="en-US" w:eastAsia="zh-CN" w:bidi="ar-SA"/>
    </w:rPr>
  </w:style>
  <w:style w:type="character" w:customStyle="1" w:styleId="318">
    <w:name w:val="页码2"/>
    <w:basedOn w:val="48"/>
    <w:qFormat/>
    <w:uiPriority w:val="0"/>
  </w:style>
  <w:style w:type="character" w:customStyle="1" w:styleId="319">
    <w:name w:val="样式 样式 样式 样式 标题 2标题 1.1第一层条第二层论文标题 1Para2Title1H2h22l2list + ch..... Char Char"/>
    <w:link w:val="320"/>
    <w:qFormat/>
    <w:uiPriority w:val="0"/>
    <w:rPr>
      <w:rFonts w:ascii="宋体" w:hAnsi="宋体" w:cs="宋体"/>
      <w:b/>
      <w:color w:val="000000"/>
      <w:szCs w:val="28"/>
    </w:rPr>
  </w:style>
  <w:style w:type="paragraph" w:customStyle="1" w:styleId="320">
    <w:name w:val="样式 样式 样式 样式 标题 2标题 1.1第一层条第二层论文标题 1Para2Title1H2h22l2list + ch....."/>
    <w:basedOn w:val="301"/>
    <w:link w:val="319"/>
    <w:qFormat/>
    <w:uiPriority w:val="0"/>
    <w:pPr>
      <w:spacing w:before="50" w:after="50"/>
      <w:ind w:left="1134" w:right="50" w:hanging="1134"/>
    </w:pPr>
    <w:rPr>
      <w:rFonts w:ascii="宋体" w:hAnsi="宋体"/>
      <w:sz w:val="20"/>
    </w:rPr>
  </w:style>
  <w:style w:type="character" w:customStyle="1" w:styleId="321">
    <w:name w:val="应答文本 Char Char"/>
    <w:link w:val="306"/>
    <w:qFormat/>
    <w:uiPriority w:val="0"/>
    <w:rPr>
      <w:rFonts w:ascii="Arial" w:hAnsi="Arial" w:eastAsia="楷体_GB2312" w:cs="宋体"/>
      <w:spacing w:val="10"/>
      <w:szCs w:val="24"/>
    </w:rPr>
  </w:style>
  <w:style w:type="paragraph" w:customStyle="1" w:styleId="322">
    <w:name w:val="章标题"/>
    <w:next w:val="323"/>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4">
    <w:name w:val="表格"/>
    <w:basedOn w:val="1"/>
    <w:qFormat/>
    <w:uiPriority w:val="0"/>
    <w:pPr>
      <w:jc w:val="center"/>
    </w:pPr>
    <w:rPr>
      <w:rFonts w:ascii="华文细黑" w:hAnsi="华文细黑"/>
      <w:kern w:val="0"/>
      <w:szCs w:val="20"/>
    </w:rPr>
  </w:style>
  <w:style w:type="paragraph" w:customStyle="1" w:styleId="325">
    <w:name w:val="_Style 11"/>
    <w:basedOn w:val="14"/>
    <w:qFormat/>
    <w:uiPriority w:val="0"/>
  </w:style>
  <w:style w:type="paragraph" w:customStyle="1" w:styleId="326">
    <w:name w:val="Char2"/>
    <w:basedOn w:val="1"/>
    <w:qFormat/>
    <w:uiPriority w:val="0"/>
    <w:rPr>
      <w:sz w:val="24"/>
    </w:rPr>
  </w:style>
  <w:style w:type="paragraph" w:customStyle="1" w:styleId="327">
    <w:name w:val="正文文本缩进1"/>
    <w:basedOn w:val="1"/>
    <w:qFormat/>
    <w:uiPriority w:val="0"/>
    <w:pPr>
      <w:ind w:firstLine="420" w:firstLineChars="200"/>
    </w:pPr>
  </w:style>
  <w:style w:type="paragraph" w:customStyle="1" w:styleId="328">
    <w:name w:val="正文缩进11"/>
    <w:basedOn w:val="1"/>
    <w:qFormat/>
    <w:uiPriority w:val="0"/>
    <w:pPr>
      <w:tabs>
        <w:tab w:val="left" w:pos="720"/>
      </w:tabs>
      <w:ind w:left="624" w:hanging="624"/>
      <w:textAlignment w:val="baseline"/>
    </w:pPr>
    <w:rPr>
      <w:rFonts w:hint="eastAsia" w:ascii="宋体"/>
      <w:szCs w:val="22"/>
    </w:rPr>
  </w:style>
  <w:style w:type="paragraph" w:customStyle="1" w:styleId="329">
    <w:name w:val="样式 行距: 1.5 倍行距"/>
    <w:basedOn w:val="1"/>
    <w:qFormat/>
    <w:uiPriority w:val="0"/>
    <w:pPr>
      <w:spacing w:line="360" w:lineRule="auto"/>
    </w:pPr>
    <w:rPr>
      <w:rFonts w:cs="宋体"/>
      <w:szCs w:val="20"/>
    </w:rPr>
  </w:style>
  <w:style w:type="paragraph" w:customStyle="1" w:styleId="330">
    <w:name w:val="Char Char1 Char Char Char Char Char Char Char Char Char Char"/>
    <w:basedOn w:val="1"/>
    <w:qFormat/>
    <w:uiPriority w:val="0"/>
    <w:rPr>
      <w:sz w:val="24"/>
    </w:rPr>
  </w:style>
  <w:style w:type="paragraph" w:customStyle="1" w:styleId="331">
    <w:name w:val="Char Char17 Char Char"/>
    <w:basedOn w:val="14"/>
    <w:qFormat/>
    <w:uiPriority w:val="0"/>
    <w:pPr>
      <w:widowControl/>
      <w:jc w:val="left"/>
    </w:pPr>
  </w:style>
  <w:style w:type="paragraph" w:customStyle="1" w:styleId="332">
    <w:name w:val="目录文字"/>
    <w:basedOn w:val="1"/>
    <w:qFormat/>
    <w:uiPriority w:val="0"/>
    <w:pPr>
      <w:widowControl/>
      <w:spacing w:line="480" w:lineRule="auto"/>
      <w:jc w:val="left"/>
    </w:pPr>
    <w:rPr>
      <w:rFonts w:ascii="宋体" w:hAnsi="宋体"/>
      <w:kern w:val="0"/>
      <w:sz w:val="24"/>
      <w:szCs w:val="20"/>
    </w:rPr>
  </w:style>
  <w:style w:type="paragraph" w:customStyle="1" w:styleId="333">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4">
    <w:name w:val="Char Char Char Char Char Char Char Char Char Char Char Char Char Char Char Char"/>
    <w:basedOn w:val="1"/>
    <w:qFormat/>
    <w:uiPriority w:val="0"/>
    <w:rPr>
      <w:szCs w:val="20"/>
    </w:rPr>
  </w:style>
  <w:style w:type="paragraph" w:styleId="335">
    <w:name w:val="List Paragraph"/>
    <w:basedOn w:val="1"/>
    <w:qFormat/>
    <w:uiPriority w:val="0"/>
    <w:pPr>
      <w:ind w:firstLine="420" w:firstLineChars="200"/>
    </w:pPr>
  </w:style>
  <w:style w:type="paragraph" w:customStyle="1" w:styleId="336">
    <w:name w:val="日期1"/>
    <w:basedOn w:val="1"/>
    <w:next w:val="1"/>
    <w:qFormat/>
    <w:uiPriority w:val="0"/>
    <w:pPr>
      <w:ind w:left="100" w:leftChars="2500"/>
    </w:pPr>
  </w:style>
  <w:style w:type="paragraph" w:customStyle="1" w:styleId="337">
    <w:name w:val="普通(网站)1"/>
    <w:basedOn w:val="1"/>
    <w:qFormat/>
    <w:uiPriority w:val="0"/>
    <w:pPr>
      <w:widowControl/>
      <w:jc w:val="left"/>
    </w:pPr>
    <w:rPr>
      <w:rFonts w:hint="eastAsia" w:ascii="宋体" w:hAnsi="宋体"/>
      <w:sz w:val="24"/>
    </w:rPr>
  </w:style>
  <w:style w:type="paragraph" w:customStyle="1" w:styleId="338">
    <w:name w:val="文档结构图1"/>
    <w:basedOn w:val="1"/>
    <w:qFormat/>
    <w:uiPriority w:val="0"/>
    <w:pPr>
      <w:shd w:val="clear" w:color="auto" w:fill="000080"/>
    </w:pPr>
  </w:style>
  <w:style w:type="paragraph" w:customStyle="1" w:styleId="339">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0">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1">
    <w:name w:val="正文文本 22"/>
    <w:basedOn w:val="1"/>
    <w:qFormat/>
    <w:uiPriority w:val="0"/>
    <w:pPr>
      <w:spacing w:after="120" w:line="480" w:lineRule="auto"/>
    </w:pPr>
  </w:style>
  <w:style w:type="paragraph" w:customStyle="1" w:styleId="342">
    <w:name w:val="Char Char Char Char"/>
    <w:basedOn w:val="1"/>
    <w:qFormat/>
    <w:uiPriority w:val="0"/>
  </w:style>
  <w:style w:type="paragraph" w:customStyle="1" w:styleId="343">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4">
    <w:name w:val="右侧正文"/>
    <w:basedOn w:val="1"/>
    <w:qFormat/>
    <w:uiPriority w:val="0"/>
    <w:pPr>
      <w:spacing w:line="360" w:lineRule="auto"/>
    </w:pPr>
    <w:rPr>
      <w:rFonts w:ascii="宋体" w:hAnsi="宋体"/>
      <w:sz w:val="24"/>
      <w:szCs w:val="28"/>
    </w:rPr>
  </w:style>
  <w:style w:type="paragraph" w:customStyle="1" w:styleId="345">
    <w:name w:val="WPSOffice手动目录 1"/>
    <w:qFormat/>
    <w:uiPriority w:val="0"/>
    <w:rPr>
      <w:rFonts w:ascii="Times New Roman" w:hAnsi="Times New Roman" w:eastAsia="宋体" w:cs="Times New Roman"/>
      <w:lang w:val="en-US" w:eastAsia="zh-CN" w:bidi="ar-SA"/>
    </w:rPr>
  </w:style>
  <w:style w:type="paragraph" w:customStyle="1" w:styleId="34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7">
    <w:name w:val="页码3"/>
    <w:basedOn w:val="48"/>
    <w:qFormat/>
    <w:uiPriority w:val="0"/>
  </w:style>
  <w:style w:type="paragraph" w:customStyle="1" w:styleId="348">
    <w:name w:val="普通(网站)2"/>
    <w:basedOn w:val="1"/>
    <w:qFormat/>
    <w:uiPriority w:val="0"/>
    <w:pPr>
      <w:widowControl/>
      <w:jc w:val="left"/>
    </w:pPr>
    <w:rPr>
      <w:rFonts w:hint="eastAsia" w:ascii="宋体" w:hAnsi="宋体"/>
      <w:sz w:val="24"/>
    </w:rPr>
  </w:style>
  <w:style w:type="character" w:customStyle="1" w:styleId="349">
    <w:name w:val="页脚 字符1"/>
    <w:basedOn w:val="48"/>
    <w:semiHidden/>
    <w:qFormat/>
    <w:uiPriority w:val="99"/>
    <w:rPr>
      <w:kern w:val="2"/>
      <w:sz w:val="18"/>
      <w:szCs w:val="18"/>
    </w:rPr>
  </w:style>
  <w:style w:type="paragraph" w:customStyle="1" w:styleId="350">
    <w:name w:val="正文文本 23"/>
    <w:basedOn w:val="1"/>
    <w:qFormat/>
    <w:uiPriority w:val="0"/>
    <w:pPr>
      <w:spacing w:after="120" w:line="480" w:lineRule="auto"/>
    </w:pPr>
  </w:style>
  <w:style w:type="character" w:customStyle="1" w:styleId="351">
    <w:name w:val="页眉 字符1"/>
    <w:basedOn w:val="48"/>
    <w:semiHidden/>
    <w:qFormat/>
    <w:uiPriority w:val="99"/>
    <w:rPr>
      <w:kern w:val="2"/>
      <w:sz w:val="18"/>
      <w:szCs w:val="18"/>
    </w:rPr>
  </w:style>
  <w:style w:type="paragraph" w:customStyle="1" w:styleId="352">
    <w:name w:val="文档结构图2"/>
    <w:basedOn w:val="1"/>
    <w:qFormat/>
    <w:uiPriority w:val="0"/>
    <w:pPr>
      <w:shd w:val="clear" w:color="auto" w:fill="000080"/>
    </w:pPr>
  </w:style>
  <w:style w:type="paragraph" w:customStyle="1" w:styleId="35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4">
    <w:name w:val="正文文本缩进2"/>
    <w:basedOn w:val="1"/>
    <w:qFormat/>
    <w:uiPriority w:val="0"/>
    <w:pPr>
      <w:ind w:firstLine="420" w:firstLineChars="200"/>
    </w:pPr>
  </w:style>
  <w:style w:type="paragraph" w:customStyle="1" w:styleId="355">
    <w:name w:val="日期2"/>
    <w:basedOn w:val="1"/>
    <w:next w:val="1"/>
    <w:qFormat/>
    <w:uiPriority w:val="0"/>
    <w:pPr>
      <w:ind w:left="100" w:leftChars="2500"/>
    </w:pPr>
  </w:style>
  <w:style w:type="paragraph" w:customStyle="1" w:styleId="356">
    <w:name w:val="样式3"/>
    <w:basedOn w:val="1"/>
    <w:qFormat/>
    <w:uiPriority w:val="0"/>
    <w:pPr>
      <w:spacing w:line="360" w:lineRule="auto"/>
      <w:ind w:firstLine="480"/>
      <w:jc w:val="left"/>
    </w:pPr>
    <w:rPr>
      <w:rFonts w:ascii="宋体"/>
      <w:sz w:val="24"/>
      <w:szCs w:val="22"/>
    </w:rPr>
  </w:style>
  <w:style w:type="paragraph" w:customStyle="1" w:styleId="357">
    <w:name w:val="附录图标题"/>
    <w:basedOn w:val="1"/>
    <w:next w:val="323"/>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58">
    <w:name w:val="正文表标题"/>
    <w:next w:val="323"/>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59">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0">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1">
    <w:name w:val="列项◆（三级）"/>
    <w:basedOn w:val="1"/>
    <w:qFormat/>
    <w:uiPriority w:val="0"/>
    <w:pPr>
      <w:numPr>
        <w:ilvl w:val="2"/>
        <w:numId w:val="4"/>
      </w:numPr>
      <w:tabs>
        <w:tab w:val="left" w:pos="1678"/>
      </w:tabs>
    </w:pPr>
    <w:rPr>
      <w:rFonts w:ascii="宋体"/>
      <w:szCs w:val="21"/>
    </w:rPr>
  </w:style>
  <w:style w:type="paragraph" w:customStyle="1" w:styleId="362">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3">
    <w:name w:val="附录章标题"/>
    <w:next w:val="323"/>
    <w:qFormat/>
    <w:uiPriority w:val="0"/>
    <w:pPr>
      <w:numPr>
        <w:ilvl w:val="1"/>
        <w:numId w:val="5"/>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364">
    <w:name w:val="标题 1 1 Char"/>
    <w:link w:val="246"/>
    <w:qFormat/>
    <w:uiPriority w:val="0"/>
    <w:rPr>
      <w:rFonts w:ascii="Calibri" w:hAnsi="Calibri" w:cs="黑体"/>
      <w:b/>
      <w:kern w:val="2"/>
      <w:sz w:val="24"/>
      <w:szCs w:val="22"/>
    </w:rPr>
  </w:style>
  <w:style w:type="character" w:customStyle="1" w:styleId="365">
    <w:name w:val="列表编号3 Char"/>
    <w:link w:val="207"/>
    <w:qFormat/>
    <w:uiPriority w:val="0"/>
    <w:rPr>
      <w:rFonts w:ascii="宋体" w:hAnsi="宋体"/>
      <w:snapToGrid w:val="0"/>
      <w:sz w:val="24"/>
      <w:szCs w:val="24"/>
    </w:rPr>
  </w:style>
  <w:style w:type="character" w:customStyle="1" w:styleId="366">
    <w:name w:val="标题 1.1 Char"/>
    <w:link w:val="272"/>
    <w:qFormat/>
    <w:uiPriority w:val="0"/>
    <w:rPr>
      <w:rFonts w:ascii="宋体" w:hAnsi="宋体"/>
      <w:b/>
      <w:snapToGrid w:val="0"/>
      <w:sz w:val="28"/>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2059"/>
    <customShpInfo spid="_x0000_s2060"/>
    <customShpInfo spid="_x0000_s2061"/>
    <customShpInfo spid="_x0000_s2062"/>
    <customShpInfo spid="_x0000_s2063"/>
    <customShpInfo spid="_x0000_s2064"/>
    <customShpInfo spid="_x0000_s1026"/>
    <customShpInfo spid="_x0000_s1027"/>
    <customShpInfo spid="_x0000_s1028"/>
    <customShpInfo spid="_x0000_s1032"/>
    <customShpInfo spid="_x0000_s1029"/>
    <customShpInfo spid="_x0000_s1030"/>
    <customShpInfo spid="_x0000_s103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1BA771-E93E-4DC0-9F18-619F54655238}">
  <ds:schemaRefs/>
</ds:datastoreItem>
</file>

<file path=docProps/app.xml><?xml version="1.0" encoding="utf-8"?>
<Properties xmlns="http://schemas.openxmlformats.org/officeDocument/2006/extended-properties" xmlns:vt="http://schemas.openxmlformats.org/officeDocument/2006/docPropsVTypes">
  <Template>Normal.dotm</Template>
  <Pages>55</Pages>
  <Words>4616</Words>
  <Characters>26312</Characters>
  <Lines>219</Lines>
  <Paragraphs>61</Paragraphs>
  <TotalTime>16</TotalTime>
  <ScaleCrop>false</ScaleCrop>
  <LinksUpToDate>false</LinksUpToDate>
  <CharactersWithSpaces>30867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2019-09-11T08:04:00Z</dcterms:created>
  <dc:creator>李 毅</dc:creator>
  <cp:lastModifiedBy>Administrator</cp:lastModifiedBy>
  <cp:lastPrinted>2022-01-07T08:28:00Z</cp:lastPrinted>
  <dcterms:modified xsi:type="dcterms:W3CDTF">2022-01-25T00:39:48Z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E3EAB622B826443188F796C87BECCAB5</vt:lpwstr>
  </property>
</Properties>
</file>