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rPr>
      </w:pPr>
      <w:r>
        <w:rPr>
          <w:rFonts w:hint="eastAsia" w:hAnsi="宋体"/>
          <w:b/>
          <w:sz w:val="52"/>
          <w:szCs w:val="52"/>
        </w:rPr>
        <w:t>自主竞争性谈判文件</w:t>
      </w:r>
    </w:p>
    <w:p>
      <w:pPr>
        <w:pStyle w:val="25"/>
        <w:adjustRightInd w:val="0"/>
        <w:snapToGrid w:val="0"/>
        <w:spacing w:before="120" w:beforeLines="50" w:line="360" w:lineRule="auto"/>
        <w:rPr>
          <w:rFonts w:hAnsi="宋体"/>
          <w:b/>
          <w:sz w:val="32"/>
          <w:szCs w:val="32"/>
        </w:rPr>
      </w:pPr>
    </w:p>
    <w:p>
      <w:pPr>
        <w:pStyle w:val="25"/>
        <w:adjustRightInd w:val="0"/>
        <w:snapToGrid w:val="0"/>
        <w:spacing w:line="360" w:lineRule="auto"/>
        <w:rPr>
          <w:rFonts w:hAnsi="宋体"/>
          <w:sz w:val="32"/>
          <w:szCs w:val="32"/>
        </w:rPr>
      </w:pPr>
    </w:p>
    <w:p>
      <w:pPr>
        <w:spacing w:line="360" w:lineRule="auto"/>
        <w:ind w:left="2568" w:leftChars="152" w:hanging="2249" w:hangingChars="700"/>
        <w:rPr>
          <w:rFonts w:ascii="宋体" w:hAnsi="宋体" w:cs="Courier New"/>
          <w:b/>
          <w:sz w:val="32"/>
          <w:szCs w:val="21"/>
        </w:rPr>
      </w:pPr>
    </w:p>
    <w:p>
      <w:pPr>
        <w:spacing w:line="360" w:lineRule="auto"/>
        <w:ind w:left="2568" w:leftChars="152" w:hanging="2249" w:hangingChars="700"/>
        <w:rPr>
          <w:rFonts w:ascii="宋体" w:hAnsi="宋体" w:cs="Courier New"/>
          <w:b/>
          <w:sz w:val="32"/>
          <w:szCs w:val="21"/>
        </w:rPr>
      </w:pPr>
    </w:p>
    <w:p>
      <w:pPr>
        <w:spacing w:line="360" w:lineRule="auto"/>
        <w:ind w:left="2568" w:leftChars="152" w:hanging="2249" w:hangingChars="700"/>
        <w:rPr>
          <w:rFonts w:ascii="宋体" w:hAnsi="宋体" w:cs="Courier New"/>
          <w:b/>
          <w:sz w:val="32"/>
          <w:szCs w:val="21"/>
        </w:rPr>
      </w:pPr>
    </w:p>
    <w:p>
      <w:pPr>
        <w:spacing w:line="360" w:lineRule="auto"/>
        <w:ind w:left="2568" w:leftChars="152" w:hanging="2249" w:hangingChars="700"/>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长沙市轨道交通2号线运营期2021年-2022年智慧车站综合管理平台采购项目</w:t>
      </w:r>
    </w:p>
    <w:p>
      <w:pPr>
        <w:spacing w:line="360" w:lineRule="auto"/>
        <w:ind w:left="2240" w:firstLine="321" w:firstLineChars="100"/>
        <w:jc w:val="left"/>
        <w:rPr>
          <w:rFonts w:ascii="宋体" w:hAnsi="宋体" w:cs="Courier New"/>
          <w:b/>
          <w:sz w:val="32"/>
          <w:szCs w:val="21"/>
        </w:rPr>
      </w:pPr>
    </w:p>
    <w:p>
      <w:pPr>
        <w:pStyle w:val="25"/>
        <w:adjustRightInd w:val="0"/>
        <w:snapToGrid w:val="0"/>
        <w:spacing w:line="360" w:lineRule="auto"/>
        <w:ind w:firstLine="321" w:firstLineChars="100"/>
        <w:rPr>
          <w:rFonts w:hAnsi="宋体"/>
          <w:b/>
          <w:sz w:val="32"/>
          <w:u w:val="single"/>
        </w:rPr>
      </w:pPr>
      <w:r>
        <w:rPr>
          <w:rFonts w:hint="eastAsia" w:hAnsi="宋体"/>
          <w:b/>
          <w:sz w:val="32"/>
        </w:rPr>
        <w:t>采购单位名称：</w:t>
      </w:r>
      <w:r>
        <w:rPr>
          <w:rFonts w:hint="eastAsia" w:hAnsi="宋体"/>
          <w:b/>
          <w:sz w:val="32"/>
          <w:u w:val="single"/>
        </w:rPr>
        <w:t>长沙市轨道交通运营有限公司</w:t>
      </w:r>
    </w:p>
    <w:p>
      <w:pPr>
        <w:pStyle w:val="25"/>
        <w:adjustRightInd w:val="0"/>
        <w:snapToGrid w:val="0"/>
        <w:spacing w:line="360" w:lineRule="auto"/>
        <w:ind w:firstLine="321" w:firstLineChars="100"/>
        <w:rPr>
          <w:rFonts w:hAnsi="宋体"/>
          <w:b/>
          <w:sz w:val="32"/>
        </w:rPr>
      </w:pPr>
    </w:p>
    <w:p>
      <w:pPr>
        <w:pStyle w:val="25"/>
        <w:adjustRightInd w:val="0"/>
        <w:snapToGrid w:val="0"/>
        <w:spacing w:line="360" w:lineRule="auto"/>
        <w:ind w:firstLine="321" w:firstLineChars="100"/>
        <w:rPr>
          <w:rFonts w:hAnsi="宋体"/>
          <w:b/>
          <w:sz w:val="32"/>
        </w:rPr>
      </w:pPr>
      <w:r>
        <w:rPr>
          <w:rFonts w:hint="eastAsia" w:hAnsi="宋体"/>
          <w:b/>
          <w:sz w:val="32"/>
        </w:rPr>
        <w:t>谈判项目编号：</w:t>
      </w:r>
      <w:r>
        <w:rPr>
          <w:rFonts w:hint="eastAsia" w:hAnsi="宋体"/>
          <w:b/>
          <w:sz w:val="32"/>
          <w:u w:val="single"/>
        </w:rPr>
        <w:t>长轨运物采【2021】066号</w:t>
      </w:r>
    </w:p>
    <w:p>
      <w:pPr>
        <w:pStyle w:val="25"/>
        <w:adjustRightInd w:val="0"/>
        <w:snapToGrid w:val="0"/>
        <w:spacing w:before="120" w:beforeLines="50" w:line="360" w:lineRule="auto"/>
        <w:rPr>
          <w:rFonts w:hAnsi="宋体"/>
          <w:b/>
          <w:sz w:val="32"/>
          <w:szCs w:val="32"/>
        </w:rPr>
      </w:pPr>
    </w:p>
    <w:p>
      <w:pPr>
        <w:pStyle w:val="25"/>
        <w:adjustRightInd w:val="0"/>
        <w:snapToGrid w:val="0"/>
        <w:spacing w:before="120" w:beforeLines="50" w:line="360" w:lineRule="auto"/>
        <w:rPr>
          <w:rFonts w:hAnsi="宋体"/>
          <w:b/>
          <w:sz w:val="32"/>
          <w:szCs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jc w:val="center"/>
        <w:rPr>
          <w:rFonts w:hAnsi="宋体"/>
          <w:bCs/>
          <w:sz w:val="32"/>
        </w:rPr>
      </w:pPr>
      <w:r>
        <w:rPr>
          <w:rFonts w:hint="eastAsia" w:hAnsi="宋体"/>
          <w:b/>
          <w:sz w:val="32"/>
        </w:rPr>
        <w:t>二〇二二年一月</w:t>
      </w:r>
    </w:p>
    <w:p>
      <w:pPr>
        <w:pStyle w:val="25"/>
        <w:adjustRightInd w:val="0"/>
        <w:snapToGrid w:val="0"/>
        <w:spacing w:line="360" w:lineRule="auto"/>
        <w:jc w:val="center"/>
        <w:rPr>
          <w:rFonts w:hAnsi="宋体"/>
          <w:b/>
          <w:sz w:val="32"/>
        </w:rPr>
      </w:pPr>
    </w:p>
    <w:p>
      <w:pPr>
        <w:pStyle w:val="25"/>
        <w:adjustRightInd w:val="0"/>
        <w:snapToGrid w:val="0"/>
        <w:spacing w:line="360" w:lineRule="auto"/>
        <w:jc w:val="center"/>
        <w:rPr>
          <w:rFonts w:hAnsi="宋体"/>
          <w:b/>
          <w:sz w:val="32"/>
        </w:rPr>
        <w:sectPr>
          <w:pgSz w:w="11906" w:h="16838"/>
          <w:pgMar w:top="1440" w:right="1797" w:bottom="1440" w:left="1797" w:header="851" w:footer="851" w:gutter="0"/>
          <w:pgNumType w:start="1"/>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2"/>
        <w:tabs>
          <w:tab w:val="right" w:leader="dot" w:pos="8312"/>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"_Toc12297"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_Toc12297 </w:instrText>
      </w:r>
      <w:r>
        <w:rPr>
          <w:rFonts w:hint="eastAsia" w:ascii="宋体" w:hAnsi="宋体" w:cs="宋体"/>
        </w:rPr>
        <w:fldChar w:fldCharType="separate"/>
      </w:r>
      <w:r>
        <w:rPr>
          <w:rFonts w:ascii="宋体" w:hAnsi="宋体" w:cs="宋体"/>
        </w:rPr>
        <w:t>1</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"_Toc24592"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_Toc24592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"_Toc3316"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_Toc3316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"_Toc16143"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_Toc16143 </w:instrText>
      </w:r>
      <w:r>
        <w:rPr>
          <w:rFonts w:hint="eastAsia" w:ascii="宋体" w:hAnsi="宋体" w:cs="宋体"/>
        </w:rPr>
        <w:fldChar w:fldCharType="separate"/>
      </w:r>
      <w:r>
        <w:rPr>
          <w:rFonts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"_Toc28504"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_Toc28504 </w:instrText>
      </w:r>
      <w:r>
        <w:rPr>
          <w:rFonts w:hint="eastAsia" w:ascii="宋体" w:hAnsi="宋体" w:cs="宋体"/>
        </w:rPr>
        <w:fldChar w:fldCharType="separate"/>
      </w:r>
      <w:r>
        <w:rPr>
          <w:rFonts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"_Toc30689"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_Toc30689 </w:instrText>
      </w:r>
      <w:r>
        <w:rPr>
          <w:rFonts w:hint="eastAsia" w:ascii="宋体" w:hAnsi="宋体" w:cs="宋体"/>
        </w:rPr>
        <w:fldChar w:fldCharType="separate"/>
      </w:r>
      <w:r>
        <w:rPr>
          <w:rFonts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"_Toc2701"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_Toc2701 </w:instrText>
      </w:r>
      <w:r>
        <w:rPr>
          <w:rFonts w:hint="eastAsia" w:ascii="宋体" w:hAnsi="宋体" w:cs="宋体"/>
        </w:rPr>
        <w:fldChar w:fldCharType="separate"/>
      </w:r>
      <w:r>
        <w:rPr>
          <w:rFonts w:ascii="宋体" w:hAnsi="宋体" w:cs="宋体"/>
        </w:rPr>
        <w:t>9</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"_Toc9319"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_Toc9319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"_Toc7470"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_Toc7470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"_Toc27657"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rPr>
        <w:t>8</w:t>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"_Toc28503"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_Toc28503 </w:instrText>
      </w:r>
      <w:r>
        <w:rPr>
          <w:rFonts w:hint="eastAsia" w:ascii="宋体" w:hAnsi="宋体" w:cs="宋体"/>
        </w:rPr>
        <w:fldChar w:fldCharType="separate"/>
      </w:r>
      <w:r>
        <w:rPr>
          <w:rFonts w:ascii="宋体" w:hAnsi="宋体" w:cs="宋体"/>
        </w:rPr>
        <w:t>12</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"_Toc894"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_Toc894 </w:instrText>
      </w:r>
      <w:r>
        <w:rPr>
          <w:rFonts w:hint="eastAsia" w:ascii="宋体" w:hAnsi="宋体" w:cs="宋体"/>
        </w:rPr>
        <w:fldChar w:fldCharType="separate"/>
      </w:r>
      <w:r>
        <w:rPr>
          <w:rFonts w:ascii="宋体" w:hAnsi="宋体" w:cs="宋体"/>
        </w:rPr>
        <w:t>13</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"_Toc25542"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_Toc25542 </w:instrText>
      </w:r>
      <w:r>
        <w:rPr>
          <w:rFonts w:hint="eastAsia" w:ascii="宋体" w:hAnsi="宋体" w:cs="宋体"/>
        </w:rPr>
        <w:fldChar w:fldCharType="separate"/>
      </w:r>
      <w:r>
        <w:rPr>
          <w:rFonts w:ascii="宋体" w:hAnsi="宋体" w:cs="宋体"/>
        </w:rPr>
        <w:t>15</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"_Toc18407"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_Toc18407 </w:instrText>
      </w:r>
      <w:r>
        <w:rPr>
          <w:rFonts w:hint="eastAsia" w:ascii="宋体" w:hAnsi="宋体" w:cs="宋体"/>
        </w:rPr>
        <w:fldChar w:fldCharType="separate"/>
      </w:r>
      <w:r>
        <w:rPr>
          <w:rFonts w:ascii="宋体" w:hAnsi="宋体" w:cs="宋体"/>
        </w:rPr>
        <w:t>17</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"_Toc15112"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_Toc15112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"_Toc14277" </w:instrText>
      </w:r>
      <w:r>
        <w:fldChar w:fldCharType="separate"/>
      </w:r>
      <w:r>
        <w:rPr>
          <w:rFonts w:hint="eastAsia" w:ascii="宋体" w:hAnsi="宋体" w:cs="宋体"/>
          <w:szCs w:val="32"/>
        </w:rPr>
        <w:t xml:space="preserve">第六章  </w:t>
      </w:r>
      <w:r>
        <w:rPr>
          <w:rFonts w:hint="eastAsia" w:ascii="宋体" w:hAnsi="宋体" w:cs="宋体"/>
          <w:bCs/>
          <w:szCs w:val="32"/>
        </w:rPr>
        <w:t>响应文件组成</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3</w:t>
      </w:r>
    </w:p>
    <w:p>
      <w:pPr>
        <w:pStyle w:val="37"/>
        <w:tabs>
          <w:tab w:val="right" w:leader="dot" w:pos="8312"/>
        </w:tabs>
        <w:spacing w:line="360" w:lineRule="auto"/>
        <w:rPr>
          <w:rFonts w:ascii="宋体" w:hAnsi="宋体" w:cs="宋体"/>
        </w:rPr>
      </w:pPr>
      <w:r>
        <w:fldChar w:fldCharType="begin"/>
      </w:r>
      <w:r>
        <w:instrText xml:space="preserve"> HYPERLINK \l "_Toc24865" </w:instrText>
      </w:r>
      <w:r>
        <w:fldChar w:fldCharType="separate"/>
      </w:r>
      <w:r>
        <w:rPr>
          <w:rFonts w:hint="eastAsia" w:ascii="宋体" w:hAnsi="宋体" w:cs="宋体"/>
          <w:szCs w:val="32"/>
        </w:rPr>
        <w:t>一、谈判承诺书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5</w:t>
      </w:r>
    </w:p>
    <w:p>
      <w:pPr>
        <w:pStyle w:val="37"/>
        <w:tabs>
          <w:tab w:val="right" w:leader="dot" w:pos="8312"/>
        </w:tabs>
        <w:spacing w:line="360" w:lineRule="auto"/>
        <w:rPr>
          <w:rFonts w:ascii="宋体" w:hAnsi="宋体" w:cs="宋体"/>
        </w:rPr>
      </w:pPr>
      <w:r>
        <w:fldChar w:fldCharType="begin"/>
      </w:r>
      <w:r>
        <w:instrText xml:space="preserve"> HYPERLINK \l "_Toc24714" </w:instrText>
      </w:r>
      <w:r>
        <w:fldChar w:fldCharType="separate"/>
      </w:r>
      <w:r>
        <w:rPr>
          <w:rFonts w:hint="eastAsia" w:ascii="宋体" w:hAnsi="宋体" w:cs="宋体"/>
          <w:szCs w:val="32"/>
        </w:rPr>
        <w:t>二、法定代表人身份证明书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6</w:t>
      </w:r>
    </w:p>
    <w:p>
      <w:pPr>
        <w:pStyle w:val="37"/>
        <w:tabs>
          <w:tab w:val="right" w:leader="dot" w:pos="8312"/>
        </w:tabs>
        <w:spacing w:line="360" w:lineRule="auto"/>
        <w:rPr>
          <w:rFonts w:ascii="宋体" w:hAnsi="宋体" w:cs="宋体"/>
        </w:rPr>
      </w:pPr>
      <w:r>
        <w:fldChar w:fldCharType="begin"/>
      </w:r>
      <w:r>
        <w:instrText xml:space="preserve"> HYPERLINK \l "_Toc8518"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7</w:t>
      </w:r>
    </w:p>
    <w:p>
      <w:pPr>
        <w:pStyle w:val="37"/>
        <w:tabs>
          <w:tab w:val="right" w:leader="dot" w:pos="8312"/>
        </w:tabs>
        <w:spacing w:line="360" w:lineRule="auto"/>
        <w:rPr>
          <w:rFonts w:ascii="宋体" w:hAnsi="宋体" w:cs="宋体"/>
        </w:rPr>
      </w:pPr>
      <w:r>
        <w:fldChar w:fldCharType="begin"/>
      </w:r>
      <w:r>
        <w:instrText xml:space="preserve"> HYPERLINK \l "_Toc19933"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8</w:t>
      </w:r>
    </w:p>
    <w:p>
      <w:pPr>
        <w:pStyle w:val="37"/>
        <w:tabs>
          <w:tab w:val="right" w:leader="dot" w:pos="8312"/>
        </w:tabs>
        <w:spacing w:line="360" w:lineRule="auto"/>
        <w:rPr>
          <w:rFonts w:ascii="宋体" w:hAnsi="宋体" w:cs="宋体"/>
        </w:rPr>
      </w:pPr>
      <w:r>
        <w:fldChar w:fldCharType="begin"/>
      </w:r>
      <w:r>
        <w:instrText xml:space="preserve"> HYPERLINK \l "_Toc12228" </w:instrText>
      </w:r>
      <w:r>
        <w:fldChar w:fldCharType="separate"/>
      </w:r>
      <w:r>
        <w:rPr>
          <w:rFonts w:hint="eastAsia" w:ascii="宋体" w:hAnsi="宋体" w:cs="宋体"/>
          <w:szCs w:val="32"/>
        </w:rPr>
        <w:t>五、报价一览表</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9</w:t>
      </w:r>
    </w:p>
    <w:p>
      <w:pPr>
        <w:pStyle w:val="37"/>
        <w:tabs>
          <w:tab w:val="right" w:leader="dot" w:pos="8312"/>
        </w:tabs>
        <w:spacing w:line="360" w:lineRule="auto"/>
        <w:rPr>
          <w:rFonts w:ascii="宋体" w:hAnsi="宋体" w:cs="宋体"/>
        </w:rPr>
      </w:pPr>
      <w:r>
        <w:fldChar w:fldCharType="begin"/>
      </w:r>
      <w:r>
        <w:instrText xml:space="preserve"> HYPERLINK \l "_Toc18535" </w:instrText>
      </w:r>
      <w:r>
        <w:fldChar w:fldCharType="separate"/>
      </w:r>
      <w:r>
        <w:rPr>
          <w:rFonts w:hint="eastAsia" w:ascii="宋体" w:hAnsi="宋体" w:cs="宋体"/>
          <w:szCs w:val="32"/>
        </w:rPr>
        <w:t>六、分项价格表</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rPr>
        <w:t>0</w:t>
      </w:r>
    </w:p>
    <w:p>
      <w:pPr>
        <w:pStyle w:val="37"/>
        <w:tabs>
          <w:tab w:val="right" w:leader="dot" w:pos="8312"/>
        </w:tabs>
        <w:spacing w:line="360" w:lineRule="auto"/>
        <w:rPr>
          <w:rFonts w:ascii="宋体" w:hAnsi="宋体" w:cs="宋体"/>
        </w:rPr>
      </w:pPr>
      <w:r>
        <w:fldChar w:fldCharType="begin"/>
      </w:r>
      <w:r>
        <w:instrText xml:space="preserve"> HYPERLINK \l "_Toc22350" </w:instrText>
      </w:r>
      <w:r>
        <w:fldChar w:fldCharType="separate"/>
      </w:r>
      <w:r>
        <w:rPr>
          <w:rFonts w:hint="eastAsia" w:ascii="宋体" w:hAnsi="宋体" w:cs="宋体"/>
          <w:szCs w:val="32"/>
        </w:rPr>
        <w:t>七、其他资料（如有）</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rPr>
        <w:t>1</w:t>
      </w:r>
    </w:p>
    <w:p>
      <w:pPr>
        <w:spacing w:line="360" w:lineRule="auto"/>
        <w:rPr>
          <w:rFonts w:ascii="宋体" w:hAnsi="宋体"/>
        </w:rPr>
      </w:pPr>
      <w:r>
        <w:rPr>
          <w:rFonts w:hint="eastAsia" w:ascii="宋体" w:hAnsi="宋体" w:cs="宋体"/>
        </w:rPr>
        <w:fldChar w:fldCharType="end"/>
      </w:r>
    </w:p>
    <w:p>
      <w:pPr>
        <w:pStyle w:val="3"/>
        <w:keepNext w:val="0"/>
        <w:rPr>
          <w:rFonts w:ascii="宋体" w:hAnsi="宋体" w:cs="宋体"/>
          <w:sz w:val="32"/>
          <w:szCs w:val="32"/>
        </w:rPr>
        <w:sectPr>
          <w:footerReference r:id="rId3" w:type="default"/>
          <w:pgSz w:w="11906" w:h="16838"/>
          <w:pgMar w:top="1440" w:right="1797" w:bottom="1440" w:left="1797" w:header="851" w:footer="851" w:gutter="0"/>
          <w:cols w:space="720" w:num="1"/>
          <w:docGrid w:linePitch="312" w:charSpace="0"/>
        </w:sectPr>
      </w:pPr>
      <w:bookmarkStart w:id="1" w:name="_Toc5016"/>
      <w:bookmarkStart w:id="2" w:name="_Toc29614"/>
    </w:p>
    <w:p>
      <w:pPr>
        <w:spacing w:line="360" w:lineRule="auto"/>
        <w:jc w:val="center"/>
        <w:outlineLvl w:val="0"/>
        <w:rPr>
          <w:rFonts w:ascii="宋体" w:hAnsi="宋体" w:cs="宋体"/>
          <w:b/>
          <w:bCs/>
          <w:sz w:val="32"/>
          <w:szCs w:val="32"/>
        </w:rPr>
      </w:pPr>
      <w:bookmarkStart w:id="3" w:name="_Toc12297"/>
      <w:bookmarkStart w:id="4" w:name="_Toc13376"/>
      <w:r>
        <w:rPr>
          <w:rFonts w:hint="eastAsia" w:ascii="宋体" w:hAnsi="宋体" w:cs="宋体"/>
          <w:b/>
          <w:bCs/>
          <w:sz w:val="32"/>
          <w:szCs w:val="32"/>
        </w:rPr>
        <w:t>第一章  谈判邀请公告</w:t>
      </w:r>
      <w:bookmarkEnd w:id="0"/>
      <w:bookmarkEnd w:id="1"/>
      <w:bookmarkEnd w:id="2"/>
      <w:bookmarkEnd w:id="3"/>
      <w:bookmarkEnd w:id="4"/>
    </w:p>
    <w:p>
      <w:pPr>
        <w:spacing w:line="360" w:lineRule="auto"/>
        <w:ind w:firstLine="422" w:firstLineChars="200"/>
        <w:jc w:val="left"/>
        <w:rPr>
          <w:rFonts w:ascii="宋体" w:hAnsi="宋体" w:cs="宋体"/>
          <w:iCs/>
          <w:szCs w:val="21"/>
          <w:u w:val="single"/>
        </w:rPr>
      </w:pPr>
      <w:r>
        <w:rPr>
          <w:rFonts w:hint="eastAsia" w:ascii="宋体" w:hAnsi="宋体" w:cs="宋体"/>
          <w:b/>
          <w:bCs/>
          <w:iCs/>
          <w:szCs w:val="21"/>
        </w:rPr>
        <w:t>中科标禾工程项目管理有限公司</w:t>
      </w:r>
      <w:r>
        <w:rPr>
          <w:rFonts w:hint="eastAsia" w:ascii="宋体" w:hAnsi="宋体" w:cs="宋体"/>
          <w:szCs w:val="21"/>
        </w:rPr>
        <w:t>受长沙市轨道交通运营有限公司的委托，</w:t>
      </w:r>
      <w:r>
        <w:rPr>
          <w:rFonts w:hint="eastAsia" w:ascii="宋体" w:hAnsi="宋体" w:cs="宋体"/>
          <w:iCs/>
          <w:szCs w:val="21"/>
        </w:rPr>
        <w:t>对长沙市轨道交通2号线运营期2021年-2022年智慧车站综合管理平台采购项目进行自主竞争性谈判采购，现发布公告，邀请符合条件的单位参与谈判采购活动。</w:t>
      </w:r>
    </w:p>
    <w:p>
      <w:pPr>
        <w:pStyle w:val="25"/>
        <w:adjustRightInd w:val="0"/>
        <w:snapToGrid w:val="0"/>
        <w:spacing w:line="360" w:lineRule="auto"/>
        <w:ind w:firstLine="422" w:firstLineChars="200"/>
        <w:rPr>
          <w:rFonts w:hAnsi="宋体" w:cs="宋体"/>
          <w:b/>
          <w:iCs/>
        </w:rPr>
      </w:pPr>
      <w:r>
        <w:rPr>
          <w:rFonts w:hint="eastAsia" w:hAnsi="宋体" w:cs="宋体"/>
          <w:b/>
          <w:iCs/>
        </w:rPr>
        <w:t>一、项目概况</w:t>
      </w:r>
    </w:p>
    <w:p>
      <w:pPr>
        <w:pStyle w:val="25"/>
        <w:adjustRightInd w:val="0"/>
        <w:snapToGrid w:val="0"/>
        <w:spacing w:line="360" w:lineRule="auto"/>
        <w:ind w:firstLine="420" w:firstLineChars="200"/>
        <w:rPr>
          <w:rFonts w:hAnsi="宋体" w:cs="宋体"/>
          <w:b/>
          <w:iCs/>
        </w:rPr>
      </w:pPr>
      <w:r>
        <w:rPr>
          <w:rFonts w:hint="eastAsia" w:hAnsi="宋体" w:cs="宋体"/>
          <w:iCs/>
        </w:rPr>
        <w:t>1.项目名称：长沙市轨道交通2号线运营期2021年-2022年智慧车站综合管理平台采购项目</w:t>
      </w:r>
    </w:p>
    <w:p>
      <w:pPr>
        <w:pStyle w:val="25"/>
        <w:adjustRightInd w:val="0"/>
        <w:snapToGrid w:val="0"/>
        <w:spacing w:line="360" w:lineRule="auto"/>
        <w:ind w:firstLine="420" w:firstLineChars="200"/>
        <w:rPr>
          <w:rFonts w:hAnsi="宋体" w:cs="宋体"/>
          <w:iCs/>
        </w:rPr>
      </w:pPr>
      <w:r>
        <w:rPr>
          <w:rFonts w:hint="eastAsia" w:hAnsi="宋体" w:cs="宋体"/>
          <w:iCs/>
        </w:rPr>
        <w:t>2.项目编号：长轨运物采【2021】066号</w:t>
      </w:r>
    </w:p>
    <w:p>
      <w:pPr>
        <w:pStyle w:val="25"/>
        <w:adjustRightInd w:val="0"/>
        <w:snapToGrid w:val="0"/>
        <w:spacing w:line="360" w:lineRule="auto"/>
        <w:ind w:firstLine="420" w:firstLineChars="200"/>
        <w:rPr>
          <w:rFonts w:hAnsi="宋体" w:cs="宋体"/>
          <w:iCs/>
        </w:rPr>
      </w:pPr>
      <w:r>
        <w:rPr>
          <w:rFonts w:hint="eastAsia" w:hAnsi="宋体" w:cs="宋体"/>
          <w:iCs/>
        </w:rPr>
        <w:t>3.项目预算：</w:t>
      </w:r>
      <w:r>
        <w:rPr>
          <w:rFonts w:hint="eastAsia" w:hAnsi="宋体" w:cs="宋体"/>
          <w:bCs/>
        </w:rPr>
        <w:t>1087586.50</w:t>
      </w:r>
      <w:r>
        <w:rPr>
          <w:rFonts w:hint="eastAsia" w:hAnsi="宋体" w:cs="宋体"/>
          <w:iCs/>
        </w:rPr>
        <w:t>元（</w:t>
      </w:r>
      <w:r>
        <w:rPr>
          <w:rFonts w:hint="eastAsia" w:hAnsi="宋体" w:cs="宋体"/>
        </w:rPr>
        <w:t>其中一标段696975.40元；二标段390611.10元</w:t>
      </w:r>
      <w:r>
        <w:rPr>
          <w:rFonts w:hint="eastAsia" w:hAnsi="宋体" w:cs="宋体"/>
          <w:iCs/>
        </w:rPr>
        <w:t>）</w:t>
      </w:r>
    </w:p>
    <w:p>
      <w:pPr>
        <w:snapToGrid w:val="0"/>
        <w:spacing w:line="360" w:lineRule="auto"/>
        <w:ind w:firstLine="420" w:firstLineChars="200"/>
        <w:rPr>
          <w:rFonts w:ascii="宋体" w:hAnsi="宋体" w:cs="宋体"/>
          <w:bCs/>
          <w:szCs w:val="21"/>
        </w:rPr>
      </w:pPr>
      <w:r>
        <w:rPr>
          <w:rFonts w:hint="eastAsia" w:ascii="宋体" w:hAnsi="宋体" w:cs="宋体"/>
          <w:iCs/>
          <w:szCs w:val="21"/>
        </w:rPr>
        <w:t>4.谈判内容：</w:t>
      </w:r>
      <w:r>
        <w:rPr>
          <w:rFonts w:hint="eastAsia" w:ascii="宋体" w:hAnsi="宋体" w:cs="宋体"/>
          <w:bCs/>
          <w:szCs w:val="21"/>
        </w:rPr>
        <w:t>本项目主要对</w:t>
      </w:r>
      <w:r>
        <w:rPr>
          <w:rFonts w:hint="eastAsia" w:hAnsi="宋体" w:cs="宋体"/>
        </w:rPr>
        <w:t>长沙市轨道交通2号线运营期2021年-2022年智慧车站综合管理平台</w:t>
      </w:r>
      <w:r>
        <w:rPr>
          <w:rFonts w:hint="eastAsia" w:ascii="宋体" w:hAnsi="宋体" w:cs="宋体"/>
          <w:bCs/>
          <w:szCs w:val="21"/>
        </w:rPr>
        <w:t>进行采购。</w:t>
      </w:r>
      <w:r>
        <w:rPr>
          <w:rFonts w:hint="eastAsia" w:ascii="宋体" w:hAnsi="宋体" w:cs="宋体"/>
          <w:kern w:val="0"/>
          <w:szCs w:val="21"/>
        </w:rPr>
        <w:t>（具体详见用户需求书）</w:t>
      </w:r>
    </w:p>
    <w:p>
      <w:pPr>
        <w:snapToGrid w:val="0"/>
        <w:spacing w:line="360" w:lineRule="auto"/>
        <w:ind w:firstLine="420" w:firstLineChars="200"/>
        <w:rPr>
          <w:rFonts w:ascii="宋体" w:hAnsi="宋体" w:cs="宋体"/>
          <w:bCs/>
          <w:szCs w:val="21"/>
        </w:rPr>
      </w:pPr>
      <w:r>
        <w:rPr>
          <w:rFonts w:hint="eastAsia" w:ascii="宋体" w:hAnsi="宋体" w:cs="宋体"/>
          <w:bCs/>
          <w:szCs w:val="21"/>
        </w:rPr>
        <w:t>5.标段划分：共划分二</w:t>
      </w:r>
      <w:r>
        <w:rPr>
          <w:rFonts w:hint="eastAsia" w:ascii="宋体" w:hAnsi="宋体" w:cs="宋体"/>
          <w:szCs w:val="21"/>
        </w:rPr>
        <w:t>个标段</w:t>
      </w:r>
      <w:r>
        <w:rPr>
          <w:rFonts w:hint="eastAsia" w:ascii="宋体" w:hAnsi="宋体" w:cs="宋体"/>
          <w:szCs w:val="21"/>
          <w:lang w:val="en-US" w:eastAsia="zh-CN"/>
        </w:rPr>
        <w:t>,</w:t>
      </w:r>
      <w:r>
        <w:rPr>
          <w:rFonts w:hint="eastAsia" w:ascii="宋体" w:hAnsi="宋体" w:cs="宋体"/>
          <w:b/>
          <w:bCs/>
          <w:szCs w:val="21"/>
        </w:rPr>
        <w:t>一标段</w:t>
      </w:r>
      <w:r>
        <w:rPr>
          <w:rFonts w:hint="eastAsia" w:ascii="宋体" w:hAnsi="宋体" w:cs="宋体"/>
          <w:b/>
          <w:bCs/>
          <w:szCs w:val="21"/>
          <w:lang w:val="en-US" w:eastAsia="zh-CN"/>
        </w:rPr>
        <w:t>:</w:t>
      </w:r>
      <w:r>
        <w:rPr>
          <w:rFonts w:hint="eastAsia" w:ascii="宋体" w:hAnsi="宋体" w:cs="宋体"/>
          <w:b/>
          <w:bCs/>
          <w:szCs w:val="21"/>
        </w:rPr>
        <w:t>车站配套设备；二标段</w:t>
      </w:r>
      <w:r>
        <w:rPr>
          <w:rFonts w:hint="eastAsia" w:ascii="宋体" w:hAnsi="宋体" w:cs="宋体"/>
          <w:b/>
          <w:bCs/>
          <w:szCs w:val="21"/>
          <w:lang w:val="en-US" w:eastAsia="zh-CN"/>
        </w:rPr>
        <w:t>:</w:t>
      </w:r>
      <w:r>
        <w:rPr>
          <w:rFonts w:hint="eastAsia" w:ascii="宋体" w:hAnsi="宋体" w:cs="宋体"/>
          <w:b/>
          <w:bCs/>
          <w:szCs w:val="21"/>
        </w:rPr>
        <w:t>智能巡检。</w:t>
      </w:r>
    </w:p>
    <w:p>
      <w:pPr>
        <w:snapToGrid w:val="0"/>
        <w:spacing w:line="360" w:lineRule="auto"/>
        <w:ind w:firstLine="420" w:firstLineChars="200"/>
        <w:rPr>
          <w:rFonts w:ascii="宋体" w:hAnsi="宋体" w:cs="宋体"/>
          <w:kern w:val="0"/>
          <w:sz w:val="18"/>
          <w:szCs w:val="18"/>
        </w:rPr>
      </w:pPr>
      <w:r>
        <w:rPr>
          <w:rFonts w:hint="eastAsia" w:ascii="宋体" w:hAnsi="宋体" w:cs="宋体"/>
          <w:bCs/>
          <w:szCs w:val="21"/>
        </w:rPr>
        <w:t>6.质保期：</w:t>
      </w:r>
      <w:r>
        <w:rPr>
          <w:rFonts w:hint="eastAsia" w:asciiTheme="minorHAnsi" w:hAnsiTheme="minorHAnsi"/>
          <w:b/>
          <w:bCs/>
        </w:rPr>
        <w:t>一标段、二标段：</w:t>
      </w:r>
      <w:r>
        <w:rPr>
          <w:rFonts w:hint="eastAsia" w:cs="宋体"/>
          <w:bCs/>
          <w:szCs w:val="21"/>
        </w:rPr>
        <w:t>需求清单中所有物资的质保期从全部物资验收合格之日算起36个月；需求清单中物资的原品牌生产商质保期高于36个月的，按原品牌生产商承诺的质保期执行。</w:t>
      </w:r>
      <w:r>
        <w:rPr>
          <w:rFonts w:hint="eastAsia" w:ascii="宋体" w:hAnsi="宋体" w:cs="宋体"/>
          <w:szCs w:val="21"/>
        </w:rPr>
        <w:t>（具体详见用户需求书）</w:t>
      </w:r>
    </w:p>
    <w:p>
      <w:pPr>
        <w:widowControl/>
        <w:spacing w:line="360" w:lineRule="auto"/>
        <w:ind w:firstLine="420" w:firstLineChars="200"/>
        <w:jc w:val="left"/>
        <w:rPr>
          <w:rFonts w:hint="eastAsia" w:ascii="宋体" w:hAnsi="宋体" w:cs="宋体"/>
          <w:bCs/>
          <w:szCs w:val="21"/>
        </w:rPr>
      </w:pPr>
      <w:r>
        <w:rPr>
          <w:rFonts w:hint="eastAsia" w:ascii="宋体" w:hAnsi="宋体" w:cs="宋体"/>
          <w:bCs/>
          <w:szCs w:val="21"/>
        </w:rPr>
        <w:t>7.供货期：</w:t>
      </w:r>
    </w:p>
    <w:p>
      <w:pPr>
        <w:widowControl/>
        <w:spacing w:line="360" w:lineRule="auto"/>
        <w:ind w:firstLine="422" w:firstLineChars="200"/>
        <w:jc w:val="left"/>
      </w:pPr>
      <w:r>
        <w:rPr>
          <w:rFonts w:hint="eastAsia"/>
          <w:b/>
          <w:bCs/>
        </w:rPr>
        <w:t>一标段（车站配套设备）：</w:t>
      </w:r>
      <w:r>
        <w:rPr>
          <w:rFonts w:hint="eastAsia"/>
        </w:rPr>
        <w:t>从长沙市轨道交通运营有限公司发出书面供货通知之日起30个自然日内完成供货及安装调试。（具体详见用户需求书）</w:t>
      </w:r>
    </w:p>
    <w:p>
      <w:pPr>
        <w:snapToGrid w:val="0"/>
        <w:spacing w:line="360" w:lineRule="auto"/>
        <w:ind w:firstLine="422" w:firstLineChars="200"/>
        <w:rPr>
          <w:rFonts w:ascii="宋体" w:hAnsi="宋体" w:cs="宋体"/>
          <w:szCs w:val="21"/>
        </w:rPr>
      </w:pPr>
      <w:r>
        <w:rPr>
          <w:rFonts w:hint="eastAsia"/>
          <w:b/>
          <w:bCs/>
        </w:rPr>
        <w:t>二标段（智能巡检）：</w:t>
      </w:r>
      <w:r>
        <w:rPr>
          <w:rFonts w:hint="eastAsia"/>
        </w:rPr>
        <w:t>从长沙市轨道交通运营有限公司发出书面供货通知之日起30个自然日内完成供货。（具体详见用户需求书）</w:t>
      </w:r>
      <w:r>
        <w:rPr>
          <w:rFonts w:hint="eastAsia" w:ascii="宋体" w:hAnsi="宋体" w:cs="宋体"/>
          <w:szCs w:val="21"/>
        </w:rPr>
        <w:t>。</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jc w:val="left"/>
        <w:rPr>
          <w:rFonts w:ascii="宋体" w:hAnsi="宋体" w:cs="宋体"/>
          <w:szCs w:val="21"/>
        </w:rPr>
      </w:pPr>
      <w:r>
        <w:rPr>
          <w:rFonts w:hint="eastAsia" w:ascii="宋体" w:hAnsi="宋体" w:cs="宋体"/>
          <w:szCs w:val="21"/>
        </w:rPr>
        <w:t>1. 谈判单位须为具有独立法人资格、自主经营、独立核算的公司/单位，须提供加盖谈判单位公章（鲜章）的营业执照/事业单位法人证书复印件。</w:t>
      </w:r>
    </w:p>
    <w:p>
      <w:pPr>
        <w:spacing w:line="360" w:lineRule="auto"/>
        <w:ind w:firstLine="420" w:firstLineChars="200"/>
        <w:jc w:val="left"/>
        <w:rPr>
          <w:rFonts w:hint="eastAsia" w:ascii="宋体" w:hAnsi="宋体" w:cs="宋体"/>
          <w:szCs w:val="21"/>
        </w:rPr>
      </w:pPr>
      <w:r>
        <w:rPr>
          <w:rFonts w:hint="eastAsia" w:ascii="宋体" w:hAnsi="宋体" w:cs="宋体"/>
          <w:szCs w:val="21"/>
        </w:rPr>
        <w:t>2.谈判单位须具有：</w:t>
      </w:r>
    </w:p>
    <w:p>
      <w:pPr>
        <w:spacing w:line="360" w:lineRule="auto"/>
        <w:ind w:firstLine="422" w:firstLineChars="200"/>
        <w:jc w:val="left"/>
        <w:rPr>
          <w:rFonts w:ascii="宋体" w:hAnsi="宋体" w:cs="宋体"/>
          <w:szCs w:val="21"/>
        </w:rPr>
      </w:pPr>
      <w:r>
        <w:rPr>
          <w:rFonts w:hint="eastAsia"/>
          <w:b/>
          <w:bCs/>
        </w:rPr>
        <w:t>一标段（车站配套设备）</w:t>
      </w:r>
      <w:r>
        <w:rPr>
          <w:rFonts w:hint="eastAsia"/>
        </w:rPr>
        <w:t>：</w:t>
      </w:r>
      <w:r>
        <w:rPr>
          <w:rFonts w:hint="eastAsia" w:ascii="宋体" w:hAnsi="宋体" w:cs="宋体"/>
          <w:szCs w:val="21"/>
        </w:rPr>
        <w:t>谈判单位在本项目谈判截止之日前36个月内须具有单项合同金额不少于30万元的</w:t>
      </w:r>
      <w:r>
        <w:rPr>
          <w:rFonts w:hint="eastAsia"/>
        </w:rPr>
        <w:t>视频智能分析类产品的供货</w:t>
      </w:r>
      <w:r>
        <w:rPr>
          <w:rFonts w:hint="eastAsia" w:ascii="宋体" w:hAnsi="宋体" w:cs="宋体"/>
          <w:szCs w:val="21"/>
        </w:rPr>
        <w:t>业绩。不接受联合体业绩、港澳台或境外业绩。</w:t>
      </w:r>
    </w:p>
    <w:p>
      <w:pPr>
        <w:pStyle w:val="2"/>
        <w:spacing w:line="360" w:lineRule="auto"/>
        <w:ind w:left="0" w:leftChars="0" w:firstLine="420" w:firstLineChars="200"/>
        <w:rPr>
          <w:rFonts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p>
    <w:p>
      <w:pPr>
        <w:pStyle w:val="2"/>
        <w:spacing w:line="360" w:lineRule="auto"/>
        <w:ind w:left="0" w:leftChars="0" w:firstLine="422" w:firstLineChars="200"/>
      </w:pPr>
      <w:r>
        <w:rPr>
          <w:rFonts w:hint="eastAsia"/>
          <w:b/>
          <w:bCs/>
        </w:rPr>
        <w:t>二标段（智能巡检）：</w:t>
      </w:r>
      <w:r>
        <w:rPr>
          <w:rFonts w:hint="eastAsia" w:ascii="宋体" w:hAnsi="宋体" w:cs="宋体"/>
          <w:color w:val="000000"/>
          <w:szCs w:val="21"/>
        </w:rPr>
        <w:t>谈判单位在本项目谈判截止之日前36个月内须具有自动化系统或智能化系统的供货业绩。</w:t>
      </w:r>
      <w:r>
        <w:rPr>
          <w:rFonts w:hint="eastAsia"/>
        </w:rPr>
        <w:t>不接受联合体、港澳台或境外业绩。</w:t>
      </w:r>
    </w:p>
    <w:p>
      <w:pPr>
        <w:widowControl/>
        <w:spacing w:line="360" w:lineRule="auto"/>
        <w:ind w:firstLine="420" w:firstLineChars="200"/>
        <w:rPr>
          <w:rFonts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p>
    <w:p>
      <w:pPr>
        <w:widowControl/>
        <w:spacing w:line="360" w:lineRule="auto"/>
        <w:ind w:firstLine="420" w:firstLineChars="200"/>
        <w:rPr>
          <w:rFonts w:ascii="宋体" w:hAnsi="宋体" w:cs="宋体"/>
          <w:szCs w:val="21"/>
          <w:highlight w:val="yellow"/>
        </w:rPr>
      </w:pPr>
      <w:r>
        <w:rPr>
          <w:rFonts w:hint="eastAsia" w:ascii="宋体" w:hAnsi="宋体" w:cs="宋体"/>
          <w:szCs w:val="21"/>
        </w:rPr>
        <w:t>3.本项目不接受联合体形式参与谈判。</w:t>
      </w:r>
    </w:p>
    <w:p>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cs="宋体"/>
        </w:rPr>
        <w:t xml:space="preserve"> 被长沙市轨道交通集团有限公司及长沙市轨道交通运营有限公司函告禁止在一定期限内参与投标的单位按函告内容执行。</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highlight w:val="none"/>
          <w:u w:val="single"/>
        </w:rPr>
        <w:t>2022</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10 </w:t>
      </w:r>
      <w:r>
        <w:rPr>
          <w:rFonts w:hint="eastAsia" w:ascii="宋体" w:hAnsi="宋体" w:cs="宋体"/>
          <w:szCs w:val="21"/>
          <w:highlight w:val="none"/>
        </w:rPr>
        <w:t>日</w:t>
      </w:r>
      <w:r>
        <w:rPr>
          <w:rFonts w:hint="eastAsia" w:ascii="宋体" w:hAnsi="宋体" w:cs="宋体"/>
          <w:iCs/>
          <w:szCs w:val="21"/>
          <w:highlight w:val="none"/>
        </w:rPr>
        <w:t>1</w:t>
      </w:r>
      <w:r>
        <w:rPr>
          <w:rFonts w:hint="eastAsia" w:ascii="宋体" w:hAnsi="宋体" w:cs="宋体"/>
          <w:iCs/>
          <w:szCs w:val="21"/>
        </w:rPr>
        <w:t>7：00时（含）前（节假日除外）以书面形式（经法定代表人签字或盖章，并加盖谈判单位公章）递交至采购代理机构。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widowControl/>
        <w:spacing w:line="408" w:lineRule="auto"/>
        <w:ind w:firstLine="480"/>
        <w:rPr>
          <w:rFonts w:ascii="宋体" w:hAnsi="宋体" w:cs="宋体"/>
          <w:b/>
          <w:bCs/>
          <w:kern w:val="0"/>
          <w:szCs w:val="21"/>
        </w:rPr>
      </w:pPr>
      <w:r>
        <w:rPr>
          <w:rFonts w:hint="eastAsia" w:ascii="宋体" w:hAnsi="宋体" w:cs="宋体"/>
          <w:b/>
          <w:bCs/>
          <w:kern w:val="0"/>
          <w:szCs w:val="21"/>
        </w:rPr>
        <w:t>六、投标保证金</w:t>
      </w:r>
    </w:p>
    <w:p>
      <w:pPr>
        <w:pStyle w:val="25"/>
        <w:adjustRightInd w:val="0"/>
        <w:snapToGrid w:val="0"/>
        <w:spacing w:line="360" w:lineRule="auto"/>
        <w:ind w:firstLine="420" w:firstLineChars="200"/>
        <w:rPr>
          <w:rFonts w:hAnsi="宋体" w:cs="宋体"/>
          <w:iCs/>
        </w:rPr>
      </w:pPr>
      <w:r>
        <w:rPr>
          <w:rFonts w:hint="eastAsia" w:hAnsi="宋体" w:cs="宋体"/>
          <w:iCs/>
        </w:rPr>
        <w:t>1.所有谈判单位须在城轨采购网（网址：www.mtrmart.com）注册参与并按要求提交投标保证金。本次投标保证金的金额为</w:t>
      </w:r>
      <w:r>
        <w:rPr>
          <w:rFonts w:hint="eastAsia" w:hAnsi="宋体" w:cs="宋体"/>
          <w:b/>
          <w:bCs/>
          <w:iCs/>
        </w:rPr>
        <w:t>（</w:t>
      </w:r>
      <w:r>
        <w:rPr>
          <w:rFonts w:hint="eastAsia" w:hAnsi="宋体" w:cs="宋体"/>
          <w:b/>
          <w:bCs/>
        </w:rPr>
        <w:t>一标段13900元；二标段7800元</w:t>
      </w:r>
      <w:r>
        <w:rPr>
          <w:rFonts w:hint="eastAsia" w:hAnsi="宋体" w:cs="宋体"/>
          <w:b/>
          <w:bCs/>
          <w:iCs/>
        </w:rPr>
        <w:t>）</w:t>
      </w:r>
      <w:r>
        <w:rPr>
          <w:rFonts w:hint="eastAsia" w:hAnsi="宋体" w:cs="宋体"/>
          <w:iCs/>
        </w:rPr>
        <w:t>。投标保证金必须由谈判单位的银行对公账户转出，否则将无权限参加本次谈判。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2.本次参与谈判单位的投标保证金必须在</w:t>
      </w:r>
      <w:r>
        <w:rPr>
          <w:rFonts w:hint="eastAsia" w:ascii="宋体" w:hAnsi="宋体" w:cs="宋体"/>
          <w:iCs/>
          <w:szCs w:val="21"/>
          <w:highlight w:val="none"/>
          <w:u w:val="single"/>
        </w:rPr>
        <w:t>2022</w:t>
      </w:r>
      <w:r>
        <w:rPr>
          <w:rFonts w:hint="eastAsia" w:ascii="宋体" w:hAnsi="宋体" w:cs="宋体"/>
          <w:iCs/>
          <w:szCs w:val="21"/>
          <w:highlight w:val="none"/>
        </w:rPr>
        <w:t>年</w:t>
      </w:r>
      <w:r>
        <w:rPr>
          <w:rFonts w:hint="eastAsia" w:ascii="宋体" w:hAnsi="宋体" w:cs="宋体"/>
          <w:iCs/>
          <w:szCs w:val="21"/>
          <w:highlight w:val="none"/>
          <w:u w:val="single"/>
          <w:lang w:val="en-US" w:eastAsia="zh-CN"/>
        </w:rPr>
        <w:t>2</w:t>
      </w:r>
      <w:r>
        <w:rPr>
          <w:rFonts w:hint="eastAsia" w:ascii="宋体" w:hAnsi="宋体" w:cs="宋体"/>
          <w:iCs/>
          <w:szCs w:val="21"/>
          <w:highlight w:val="none"/>
        </w:rPr>
        <w:t>月</w:t>
      </w:r>
      <w:r>
        <w:rPr>
          <w:rFonts w:hint="eastAsia" w:ascii="宋体" w:hAnsi="宋体" w:cs="宋体"/>
          <w:iCs/>
          <w:szCs w:val="21"/>
          <w:highlight w:val="none"/>
          <w:u w:val="single"/>
        </w:rPr>
        <w:t xml:space="preserve"> </w:t>
      </w:r>
      <w:r>
        <w:rPr>
          <w:rFonts w:hint="eastAsia" w:ascii="宋体" w:hAnsi="宋体" w:cs="宋体"/>
          <w:iCs/>
          <w:szCs w:val="21"/>
          <w:highlight w:val="none"/>
          <w:u w:val="single"/>
          <w:lang w:val="en-US" w:eastAsia="zh-CN"/>
        </w:rPr>
        <w:t>9</w:t>
      </w:r>
      <w:r>
        <w:rPr>
          <w:rFonts w:hint="eastAsia" w:ascii="宋体" w:hAnsi="宋体" w:cs="宋体"/>
          <w:iCs/>
          <w:szCs w:val="21"/>
          <w:highlight w:val="none"/>
          <w:u w:val="single"/>
        </w:rPr>
        <w:t xml:space="preserve"> </w:t>
      </w:r>
      <w:r>
        <w:rPr>
          <w:rFonts w:hint="eastAsia" w:ascii="宋体" w:hAnsi="宋体" w:cs="宋体"/>
          <w:iCs/>
          <w:szCs w:val="21"/>
          <w:highlight w:val="none"/>
        </w:rPr>
        <w:t>日1</w:t>
      </w:r>
      <w:r>
        <w:rPr>
          <w:rFonts w:hint="eastAsia" w:ascii="宋体" w:hAnsi="宋体" w:cs="宋体"/>
          <w:iCs/>
          <w:szCs w:val="21"/>
        </w:rPr>
        <w:t>7:00前(含)到达专用账户（以托管银行到账的日期为准），逾期或未提交投标保证金的谈判单位，将无权限参加本次谈判。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szCs w:val="21"/>
        </w:rPr>
      </w:pPr>
      <w:r>
        <w:rPr>
          <w:rFonts w:hint="eastAsia" w:ascii="宋体" w:hAnsi="宋体" w:cs="宋体"/>
          <w:iCs/>
          <w:szCs w:val="21"/>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szCs w:val="21"/>
        </w:rPr>
      </w:pPr>
      <w:r>
        <w:rPr>
          <w:rFonts w:hint="eastAsia" w:ascii="宋体" w:hAnsi="宋体" w:cs="宋体"/>
          <w:iCs/>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ascii="宋体" w:hAnsi="宋体" w:cs="宋体"/>
          <w:iCs/>
          <w:szCs w:val="21"/>
        </w:rPr>
      </w:pPr>
      <w:r>
        <w:rPr>
          <w:rFonts w:hint="eastAsia" w:ascii="宋体" w:hAnsi="宋体" w:cs="宋体"/>
          <w:iCs/>
          <w:szCs w:val="21"/>
        </w:rPr>
        <w:t>（1）谈判单位提出撤回或撤销或放弃中选资格或对报价提出实质性修改；</w:t>
      </w:r>
    </w:p>
    <w:p>
      <w:pPr>
        <w:spacing w:line="360" w:lineRule="auto"/>
        <w:ind w:firstLine="420" w:firstLineChars="200"/>
        <w:rPr>
          <w:rFonts w:ascii="宋体" w:hAnsi="宋体" w:cs="宋体"/>
          <w:iCs/>
          <w:szCs w:val="21"/>
        </w:rPr>
      </w:pPr>
      <w:r>
        <w:rPr>
          <w:rFonts w:hint="eastAsia" w:ascii="宋体" w:hAnsi="宋体" w:cs="宋体"/>
          <w:iCs/>
          <w:szCs w:val="21"/>
        </w:rPr>
        <w:t>（2）中选单位未能在规定期限内签订合同或不按报价结果签订合同；</w:t>
      </w:r>
    </w:p>
    <w:p>
      <w:pPr>
        <w:spacing w:line="360" w:lineRule="auto"/>
        <w:ind w:firstLine="420" w:firstLineChars="200"/>
        <w:rPr>
          <w:rFonts w:ascii="宋体" w:hAnsi="宋体" w:cs="宋体"/>
          <w:iCs/>
          <w:szCs w:val="21"/>
        </w:rPr>
      </w:pPr>
      <w:r>
        <w:rPr>
          <w:rFonts w:hint="eastAsia" w:ascii="宋体" w:hAnsi="宋体" w:cs="宋体"/>
          <w:iCs/>
          <w:szCs w:val="21"/>
        </w:rPr>
        <w:t>（3）中选单位未能在规定期限内提交履约保证金；</w:t>
      </w:r>
    </w:p>
    <w:p>
      <w:pPr>
        <w:spacing w:line="360" w:lineRule="auto"/>
        <w:ind w:firstLine="420" w:firstLineChars="200"/>
        <w:rPr>
          <w:rFonts w:ascii="宋体" w:hAnsi="宋体" w:cs="宋体"/>
          <w:iCs/>
          <w:szCs w:val="21"/>
        </w:rPr>
      </w:pPr>
      <w:r>
        <w:rPr>
          <w:rFonts w:hint="eastAsia" w:ascii="宋体" w:hAnsi="宋体" w:cs="宋体"/>
          <w:iCs/>
          <w:szCs w:val="21"/>
        </w:rPr>
        <w:t>（4）中选单位在合同订立过程中未能完全响应采购文件、清单、附件、合同要求以致合同无法订立的；</w:t>
      </w:r>
    </w:p>
    <w:p>
      <w:pPr>
        <w:spacing w:line="360" w:lineRule="auto"/>
        <w:ind w:firstLine="420" w:firstLineChars="200"/>
        <w:rPr>
          <w:rFonts w:ascii="宋体" w:hAnsi="宋体" w:cs="宋体"/>
          <w:iCs/>
          <w:szCs w:val="21"/>
        </w:rPr>
      </w:pPr>
      <w:r>
        <w:rPr>
          <w:rFonts w:hint="eastAsia" w:ascii="宋体" w:hAnsi="宋体" w:cs="宋体"/>
          <w:iCs/>
          <w:szCs w:val="21"/>
        </w:rPr>
        <w:t>（5）经查实谈判单位报价资料弄虚作假的；</w:t>
      </w:r>
    </w:p>
    <w:p>
      <w:pPr>
        <w:spacing w:line="360" w:lineRule="auto"/>
        <w:ind w:firstLine="420" w:firstLineChars="200"/>
        <w:rPr>
          <w:rFonts w:ascii="宋体" w:hAnsi="宋体" w:cs="宋体"/>
          <w:iCs/>
          <w:szCs w:val="21"/>
        </w:rPr>
      </w:pPr>
      <w:r>
        <w:rPr>
          <w:rFonts w:hint="eastAsia" w:ascii="宋体" w:hAnsi="宋体" w:cs="宋体"/>
          <w:iCs/>
          <w:szCs w:val="21"/>
        </w:rPr>
        <w:t>（6）串通参与谈判相关行为的。如不同谈判单位的投标保证金从同一账户转出。</w:t>
      </w:r>
    </w:p>
    <w:p>
      <w:pPr>
        <w:spacing w:line="360" w:lineRule="auto"/>
        <w:ind w:firstLine="422" w:firstLineChars="200"/>
        <w:rPr>
          <w:rFonts w:ascii="宋体" w:hAnsi="宋体" w:cs="宋体"/>
          <w:b/>
          <w:bCs/>
          <w:iCs/>
          <w:szCs w:val="21"/>
        </w:rPr>
      </w:pPr>
      <w:r>
        <w:rPr>
          <w:rFonts w:hint="eastAsia" w:ascii="宋体" w:hAnsi="宋体" w:cs="宋体"/>
          <w:b/>
          <w:bCs/>
          <w:kern w:val="0"/>
          <w:szCs w:val="21"/>
        </w:rPr>
        <w:t>七、</w:t>
      </w:r>
      <w:r>
        <w:rPr>
          <w:rFonts w:hint="eastAsia" w:ascii="宋体" w:hAnsi="宋体" w:cs="宋体"/>
          <w:b/>
          <w:bCs/>
          <w:iCs/>
          <w:szCs w:val="21"/>
        </w:rPr>
        <w:t>响应文件的递交</w:t>
      </w:r>
    </w:p>
    <w:p>
      <w:pPr>
        <w:spacing w:line="360" w:lineRule="auto"/>
        <w:ind w:firstLine="420" w:firstLineChars="200"/>
        <w:rPr>
          <w:rFonts w:ascii="宋体" w:hAnsi="宋体"/>
          <w:bCs/>
          <w:szCs w:val="21"/>
        </w:rPr>
      </w:pPr>
      <w:r>
        <w:rPr>
          <w:rFonts w:hint="eastAsia" w:ascii="宋体" w:hAnsi="宋体"/>
          <w:bCs/>
          <w:szCs w:val="21"/>
        </w:rPr>
        <w:t>1.响应文件递交的截止时间及谈判时间为</w:t>
      </w:r>
      <w:r>
        <w:rPr>
          <w:rFonts w:hint="eastAsia" w:ascii="宋体" w:hAnsi="宋体"/>
          <w:bCs/>
          <w:szCs w:val="21"/>
          <w:highlight w:val="none"/>
        </w:rPr>
        <w:t>2022年</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2</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16</w:t>
      </w:r>
      <w:r>
        <w:rPr>
          <w:rFonts w:hint="eastAsia" w:ascii="宋体" w:hAnsi="宋体"/>
          <w:bCs/>
          <w:szCs w:val="21"/>
          <w:highlight w:val="none"/>
        </w:rPr>
        <w:t>日</w:t>
      </w:r>
      <w:r>
        <w:rPr>
          <w:rFonts w:hint="eastAsia" w:ascii="宋体" w:hAnsi="宋体"/>
          <w:bCs/>
          <w:szCs w:val="21"/>
          <w:highlight w:val="none"/>
          <w:u w:val="single"/>
        </w:rPr>
        <w:t xml:space="preserve"> 1</w:t>
      </w:r>
      <w:r>
        <w:rPr>
          <w:rFonts w:hint="eastAsia" w:ascii="宋体" w:hAnsi="宋体"/>
          <w:bCs/>
          <w:szCs w:val="21"/>
          <w:u w:val="single"/>
        </w:rPr>
        <w:t xml:space="preserve">4 </w:t>
      </w:r>
      <w:r>
        <w:rPr>
          <w:rFonts w:hint="eastAsia" w:ascii="宋体" w:hAnsi="宋体"/>
          <w:bCs/>
          <w:szCs w:val="21"/>
        </w:rPr>
        <w:t>时</w:t>
      </w:r>
      <w:r>
        <w:rPr>
          <w:rFonts w:hint="eastAsia" w:ascii="宋体" w:hAnsi="宋体"/>
          <w:bCs/>
          <w:szCs w:val="21"/>
          <w:u w:val="single"/>
        </w:rPr>
        <w:t xml:space="preserve"> 30 </w:t>
      </w:r>
      <w:r>
        <w:rPr>
          <w:rFonts w:hint="eastAsia" w:ascii="宋体" w:hAnsi="宋体"/>
          <w:bCs/>
          <w:szCs w:val="21"/>
        </w:rPr>
        <w:t>分，地点为</w:t>
      </w:r>
      <w:r>
        <w:rPr>
          <w:rFonts w:hint="eastAsia" w:ascii="宋体" w:hAnsi="宋体" w:cs="宋体"/>
          <w:szCs w:val="21"/>
        </w:rPr>
        <w:t>长沙市劳动东路二段48号黄兴车辆段综合楼9楼910室。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rPr>
          <w:rFonts w:ascii="宋体" w:hAnsi="宋体" w:cs="宋体"/>
          <w:b/>
          <w:bCs/>
          <w:kern w:val="0"/>
          <w:szCs w:val="21"/>
        </w:rPr>
      </w:pPr>
      <w:r>
        <w:rPr>
          <w:rFonts w:hint="eastAsia" w:ascii="宋体" w:hAnsi="宋体" w:cs="宋体"/>
          <w:b/>
          <w:bCs/>
          <w:kern w:val="0"/>
          <w:szCs w:val="21"/>
        </w:rPr>
        <w:t>八、中标原则</w:t>
      </w:r>
    </w:p>
    <w:p>
      <w:pPr>
        <w:spacing w:line="360" w:lineRule="auto"/>
        <w:ind w:firstLine="420" w:firstLineChars="200"/>
        <w:rPr>
          <w:rFonts w:ascii="宋体" w:hAnsi="宋体" w:cs="宋体"/>
          <w:kern w:val="0"/>
          <w:szCs w:val="21"/>
        </w:rPr>
      </w:pPr>
      <w:r>
        <w:rPr>
          <w:rFonts w:hint="eastAsia" w:ascii="宋体" w:hAnsi="宋体" w:cs="宋体"/>
          <w:kern w:val="0"/>
          <w:szCs w:val="21"/>
        </w:rPr>
        <w:t>1.同一谈判单位可以同时参加本项目二个标段的谈判，且同一谈判单位可以同时在本项目中中二个标段。谈判评审小组按综合得分由高至低的顺序推荐不超过3名的中标候选人，其他单位不予排序</w:t>
      </w:r>
      <w:r>
        <w:rPr>
          <w:rFonts w:hint="eastAsia" w:ascii="宋体" w:hAnsi="宋体" w:cs="宋体"/>
          <w:kern w:val="0"/>
          <w:szCs w:val="21"/>
          <w:highlight w:val="none"/>
          <w:lang w:val="en-US" w:eastAsia="zh-CN"/>
        </w:rPr>
        <w:t>,推荐排序第一的为本项目的中选单位</w:t>
      </w:r>
      <w:r>
        <w:rPr>
          <w:rFonts w:hint="eastAsia" w:ascii="宋体" w:hAnsi="宋体" w:cs="宋体"/>
          <w:kern w:val="0"/>
          <w:szCs w:val="21"/>
          <w:highlight w:val="none"/>
        </w:rPr>
        <w:t>。</w:t>
      </w:r>
    </w:p>
    <w:p>
      <w:pPr>
        <w:spacing w:line="360" w:lineRule="auto"/>
        <w:ind w:firstLine="420" w:firstLineChars="200"/>
        <w:rPr>
          <w:rFonts w:ascii="宋体" w:hAnsi="宋体"/>
          <w:bCs/>
          <w:szCs w:val="21"/>
        </w:rPr>
      </w:pPr>
      <w:r>
        <w:rPr>
          <w:rFonts w:hint="eastAsia" w:ascii="宋体" w:hAnsi="宋体"/>
          <w:bCs/>
          <w:szCs w:val="21"/>
        </w:rPr>
        <w:t>2.如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spacing w:line="360" w:lineRule="auto"/>
        <w:ind w:firstLine="422" w:firstLineChars="200"/>
        <w:rPr>
          <w:rFonts w:ascii="宋体" w:hAnsi="宋体" w:cs="宋体"/>
          <w:b/>
          <w:szCs w:val="21"/>
        </w:rPr>
      </w:pPr>
      <w:r>
        <w:rPr>
          <w:rFonts w:hint="eastAsia" w:ascii="宋体" w:hAnsi="宋体" w:cs="宋体"/>
          <w:b/>
          <w:iCs/>
          <w:szCs w:val="21"/>
        </w:rPr>
        <w:t>九、采购单位及其委托的采购代理机构的名称、地址和联系方法</w:t>
      </w:r>
    </w:p>
    <w:p>
      <w:pPr>
        <w:adjustRightInd w:val="0"/>
        <w:snapToGrid w:val="0"/>
        <w:spacing w:line="360" w:lineRule="auto"/>
        <w:ind w:firstLine="413" w:firstLineChars="196"/>
        <w:rPr>
          <w:rFonts w:ascii="宋体" w:hAnsi="宋体" w:cs="宋体"/>
          <w:szCs w:val="21"/>
        </w:rPr>
      </w:pPr>
      <w:r>
        <w:rPr>
          <w:rFonts w:hint="eastAsia" w:ascii="宋体" w:hAnsi="宋体" w:cs="宋体"/>
          <w:b/>
          <w:bCs/>
          <w:szCs w:val="21"/>
        </w:rPr>
        <w:t>采购单位：</w:t>
      </w:r>
      <w:r>
        <w:rPr>
          <w:rFonts w:hint="eastAsia" w:ascii="宋体" w:hAnsi="宋体" w:cs="宋体"/>
        </w:rPr>
        <w:t>长沙市轨道交通运营有限公司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联系人：杨工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话：0731-86852347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szCs w:val="21"/>
        </w:rPr>
        <w:t>0731-</w:t>
      </w:r>
      <w:r>
        <w:rPr>
          <w:rFonts w:hint="eastAsia" w:ascii="宋体" w:hAnsi="宋体" w:cs="宋体"/>
          <w:szCs w:val="21"/>
        </w:rPr>
        <w:t>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iCs/>
          <w:szCs w:val="21"/>
        </w:rPr>
        <w:t>中科标禾工程项目管理有限公司</w:t>
      </w:r>
    </w:p>
    <w:p>
      <w:pPr>
        <w:spacing w:line="360" w:lineRule="auto"/>
        <w:ind w:firstLine="420" w:firstLineChars="200"/>
        <w:rPr>
          <w:rFonts w:ascii="宋体" w:hAnsi="宋体" w:cs="宋体"/>
          <w:szCs w:val="21"/>
        </w:rPr>
      </w:pPr>
      <w:r>
        <w:rPr>
          <w:rFonts w:hint="eastAsia" w:ascii="宋体" w:hAnsi="宋体" w:cs="宋体"/>
          <w:szCs w:val="21"/>
        </w:rPr>
        <w:t>联系电话：0731-88065699</w:t>
      </w:r>
    </w:p>
    <w:p>
      <w:pPr>
        <w:spacing w:line="360" w:lineRule="auto"/>
        <w:ind w:firstLine="420" w:firstLineChars="200"/>
        <w:rPr>
          <w:rFonts w:ascii="宋体" w:hAnsi="宋体" w:cs="宋体"/>
          <w:szCs w:val="21"/>
        </w:rPr>
      </w:pPr>
      <w:r>
        <w:rPr>
          <w:rFonts w:hint="eastAsia" w:ascii="宋体" w:hAnsi="宋体" w:cs="宋体"/>
          <w:szCs w:val="21"/>
        </w:rPr>
        <w:t>联系人：沈洁、陈学文</w:t>
      </w:r>
    </w:p>
    <w:p>
      <w:pPr>
        <w:spacing w:line="360" w:lineRule="auto"/>
        <w:ind w:firstLine="420" w:firstLineChars="200"/>
        <w:rPr>
          <w:rFonts w:ascii="宋体" w:hAnsi="宋体" w:cs="宋体"/>
          <w:szCs w:val="21"/>
        </w:rPr>
      </w:pPr>
      <w:r>
        <w:rPr>
          <w:rFonts w:hint="eastAsia" w:ascii="宋体" w:hAnsi="宋体" w:cs="宋体"/>
          <w:szCs w:val="21"/>
        </w:rPr>
        <w:t>地址：长沙市开福区四方坪街道双拥路9号长城万富汇大厦银座10036号房</w:t>
      </w:r>
    </w:p>
    <w:p>
      <w:pPr>
        <w:pStyle w:val="2"/>
        <w:rPr>
          <w:rFonts w:ascii="宋体" w:hAnsi="宋体" w:cs="黑体"/>
          <w:highlight w:val="yellow"/>
        </w:rPr>
      </w:pPr>
    </w:p>
    <w:p>
      <w:pPr>
        <w:rPr>
          <w:rFonts w:ascii="宋体" w:hAnsi="宋体"/>
          <w:highlight w:val="yellow"/>
        </w:rPr>
      </w:pPr>
    </w:p>
    <w:p>
      <w:pPr>
        <w:pStyle w:val="25"/>
        <w:adjustRightInd w:val="0"/>
        <w:snapToGrid w:val="0"/>
        <w:spacing w:line="360" w:lineRule="auto"/>
        <w:jc w:val="right"/>
        <w:rPr>
          <w:rFonts w:hAnsi="宋体"/>
          <w:highlight w:val="none"/>
        </w:rPr>
      </w:pPr>
      <w:bookmarkStart w:id="149" w:name="_GoBack"/>
      <w:bookmarkEnd w:id="149"/>
      <w:r>
        <w:rPr>
          <w:rFonts w:hint="eastAsia" w:hAnsi="宋体" w:cs="宋体"/>
          <w:highlight w:val="none"/>
        </w:rPr>
        <w:t>2022年1月</w:t>
      </w:r>
      <w:r>
        <w:rPr>
          <w:rFonts w:hint="eastAsia" w:hAnsi="宋体" w:cs="宋体"/>
          <w:highlight w:val="none"/>
          <w:lang w:val="en-US" w:eastAsia="zh-CN"/>
        </w:rPr>
        <w:t>25</w:t>
      </w:r>
      <w:r>
        <w:rPr>
          <w:rFonts w:hint="eastAsia" w:hAnsi="宋体" w:cs="宋体"/>
          <w:highlight w:val="none"/>
        </w:rPr>
        <w:t>日</w:t>
      </w:r>
    </w:p>
    <w:p>
      <w:pPr>
        <w:spacing w:after="240"/>
        <w:jc w:val="center"/>
        <w:rPr>
          <w:rFonts w:ascii="宋体" w:hAnsi="宋体" w:cs="宋体"/>
          <w:b/>
          <w:bCs/>
          <w:sz w:val="32"/>
          <w:szCs w:val="32"/>
        </w:rPr>
      </w:pPr>
      <w:r>
        <w:rPr>
          <w:rFonts w:ascii="宋体" w:hAnsi="宋体"/>
          <w:sz w:val="32"/>
          <w:szCs w:val="32"/>
        </w:rPr>
        <w:br w:type="page"/>
      </w:r>
      <w:bookmarkStart w:id="5" w:name="_Toc24592"/>
      <w:bookmarkStart w:id="6" w:name="_Toc14891065"/>
      <w:bookmarkStart w:id="7" w:name="_Toc6753"/>
      <w:bookmarkStart w:id="8" w:name="_Toc5145"/>
      <w:bookmarkStart w:id="9" w:name="_Toc8914"/>
      <w:r>
        <w:rPr>
          <w:rFonts w:hint="eastAsia" w:ascii="宋体" w:hAnsi="宋体" w:cs="宋体"/>
          <w:b/>
          <w:bCs/>
          <w:sz w:val="32"/>
          <w:szCs w:val="32"/>
        </w:rPr>
        <w:t>第二章  谈判须知</w:t>
      </w:r>
      <w:bookmarkEnd w:id="5"/>
      <w:bookmarkEnd w:id="6"/>
      <w:bookmarkEnd w:id="7"/>
      <w:bookmarkEnd w:id="8"/>
      <w:bookmarkEnd w:id="9"/>
    </w:p>
    <w:p>
      <w:pPr>
        <w:jc w:val="center"/>
        <w:outlineLvl w:val="0"/>
        <w:rPr>
          <w:rFonts w:ascii="宋体" w:hAnsi="宋体" w:cs="宋体"/>
          <w:b/>
          <w:bCs/>
          <w:sz w:val="32"/>
          <w:szCs w:val="32"/>
        </w:rPr>
      </w:pPr>
      <w:bookmarkStart w:id="10" w:name="_Toc3316"/>
      <w:bookmarkStart w:id="11" w:name="_Toc14891066"/>
      <w:bookmarkStart w:id="12" w:name="_Toc5430"/>
      <w:bookmarkStart w:id="13" w:name="_Toc6617"/>
      <w:bookmarkStart w:id="14" w:name="_Toc9591"/>
      <w:r>
        <w:rPr>
          <w:rFonts w:hint="eastAsia" w:ascii="宋体" w:hAnsi="宋体" w:cs="宋体"/>
          <w:b/>
          <w:bCs/>
          <w:sz w:val="32"/>
          <w:szCs w:val="32"/>
        </w:rPr>
        <w:t>谈判须知前附表</w:t>
      </w:r>
      <w:bookmarkEnd w:id="10"/>
      <w:bookmarkEnd w:id="11"/>
      <w:bookmarkEnd w:id="12"/>
      <w:bookmarkEnd w:id="13"/>
      <w:bookmarkEnd w:id="14"/>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88"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88" w:type="dxa"/>
            <w:vAlign w:val="center"/>
          </w:tcPr>
          <w:p>
            <w:pPr>
              <w:adjustRightInd w:val="0"/>
              <w:snapToGrid w:val="0"/>
              <w:spacing w:line="360" w:lineRule="auto"/>
              <w:jc w:val="left"/>
              <w:rPr>
                <w:rFonts w:ascii="宋体" w:hAnsi="宋体" w:cs="宋体"/>
                <w:szCs w:val="21"/>
              </w:rPr>
            </w:pPr>
            <w:r>
              <w:rPr>
                <w:rFonts w:hint="eastAsia" w:hAnsi="宋体" w:cs="宋体"/>
                <w:iCs/>
              </w:rPr>
              <w:t>长沙市轨道交通2号线运营期2021年-2022年智慧车站综合管理平台采购项目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rPr>
              <w:t>中科标禾工程项目管理有限公司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项目预算</w:t>
            </w:r>
          </w:p>
        </w:tc>
        <w:tc>
          <w:tcPr>
            <w:tcW w:w="7788" w:type="dxa"/>
            <w:vAlign w:val="center"/>
          </w:tcPr>
          <w:p>
            <w:pPr>
              <w:pStyle w:val="25"/>
              <w:adjustRightInd w:val="0"/>
              <w:snapToGrid w:val="0"/>
              <w:spacing w:line="360" w:lineRule="auto"/>
              <w:jc w:val="left"/>
              <w:rPr>
                <w:rFonts w:hAnsi="宋体" w:cs="宋体"/>
                <w:iCs/>
                <w:color w:val="FF0000"/>
              </w:rPr>
            </w:pPr>
            <w:r>
              <w:rPr>
                <w:rFonts w:hint="eastAsia" w:hAnsi="宋体" w:cs="宋体"/>
                <w:bCs/>
              </w:rPr>
              <w:t>1087586.50</w:t>
            </w:r>
            <w:r>
              <w:rPr>
                <w:rFonts w:hint="eastAsia" w:hAnsi="宋体" w:cs="宋体"/>
                <w:iCs/>
              </w:rPr>
              <w:t>元（</w:t>
            </w:r>
            <w:r>
              <w:rPr>
                <w:rFonts w:hint="eastAsia" w:hAnsi="宋体" w:cs="宋体"/>
              </w:rPr>
              <w:t>其中一标段696975.40元；二标段390611.10元</w:t>
            </w:r>
            <w:r>
              <w:rPr>
                <w:rFonts w:hint="eastAsia" w:hAnsi="宋体" w:cs="宋体"/>
                <w:iCs/>
              </w:rPr>
              <w:t>）</w:t>
            </w:r>
            <w:r>
              <w:rPr>
                <w:rFonts w:hint="eastAsia" w:hAnsi="宋体" w:cs="宋体"/>
              </w:rPr>
              <w:t>，不超过项目预算的谈判总报价为有效报价（各标段报价均不能超过该标段预算）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b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资格要求</w:t>
            </w:r>
          </w:p>
        </w:tc>
        <w:tc>
          <w:tcPr>
            <w:tcW w:w="7788" w:type="dxa"/>
            <w:vAlign w:val="center"/>
          </w:tcPr>
          <w:p>
            <w:pPr>
              <w:spacing w:line="360" w:lineRule="auto"/>
              <w:jc w:val="left"/>
              <w:rPr>
                <w:rFonts w:ascii="宋体" w:hAnsi="宋体" w:cs="宋体"/>
                <w:szCs w:val="21"/>
              </w:rPr>
            </w:pPr>
            <w:r>
              <w:rPr>
                <w:rFonts w:hint="eastAsia" w:ascii="宋体" w:hAnsi="宋体" w:cs="宋体"/>
                <w:bCs/>
                <w:szCs w:val="21"/>
              </w:rPr>
              <w:t>1.</w:t>
            </w:r>
            <w:r>
              <w:rPr>
                <w:rFonts w:hint="eastAsia" w:ascii="宋体" w:hAnsi="宋体" w:cs="宋体"/>
                <w:szCs w:val="21"/>
              </w:rPr>
              <w:t>谈判单位须为具有独立法人资格、自主经营、独立核算的公司/单位，须提供加盖谈判单位公章（鲜章）的营业执照/事业单位法人证书复印件。</w:t>
            </w:r>
          </w:p>
          <w:p>
            <w:pPr>
              <w:spacing w:line="360" w:lineRule="auto"/>
              <w:jc w:val="left"/>
              <w:rPr>
                <w:rFonts w:hint="eastAsia" w:ascii="宋体" w:hAnsi="宋体" w:cs="宋体"/>
                <w:szCs w:val="21"/>
              </w:rPr>
            </w:pPr>
            <w:r>
              <w:rPr>
                <w:rFonts w:hint="eastAsia" w:ascii="宋体" w:hAnsi="宋体" w:cs="宋体"/>
                <w:szCs w:val="21"/>
              </w:rPr>
              <w:t>2.谈判单位须具有：</w:t>
            </w:r>
          </w:p>
          <w:p>
            <w:pPr>
              <w:spacing w:line="360" w:lineRule="auto"/>
              <w:jc w:val="left"/>
              <w:rPr>
                <w:rFonts w:ascii="宋体" w:hAnsi="宋体" w:cs="宋体"/>
                <w:szCs w:val="21"/>
              </w:rPr>
            </w:pPr>
            <w:r>
              <w:rPr>
                <w:rFonts w:hint="eastAsia"/>
                <w:b/>
                <w:bCs/>
              </w:rPr>
              <w:t>一标段（车站配套设备）</w:t>
            </w:r>
            <w:r>
              <w:rPr>
                <w:rFonts w:hint="eastAsia"/>
              </w:rPr>
              <w:t>：</w:t>
            </w:r>
            <w:r>
              <w:rPr>
                <w:rFonts w:hint="eastAsia" w:ascii="宋体" w:hAnsi="宋体" w:cs="宋体"/>
                <w:szCs w:val="21"/>
              </w:rPr>
              <w:t>谈判单位在本项目谈判截止之日前36个月内须具有单项合同金额不少于30万元的</w:t>
            </w:r>
            <w:r>
              <w:rPr>
                <w:rFonts w:hint="eastAsia"/>
              </w:rPr>
              <w:t>视频智能分析类产品的供货</w:t>
            </w:r>
            <w:r>
              <w:rPr>
                <w:rFonts w:hint="eastAsia" w:ascii="宋体" w:hAnsi="宋体" w:cs="宋体"/>
                <w:szCs w:val="21"/>
              </w:rPr>
              <w:t>业绩。不接受联合体业绩、港澳台或境外业绩。</w:t>
            </w:r>
          </w:p>
          <w:p>
            <w:pPr>
              <w:pStyle w:val="45"/>
              <w:spacing w:line="360" w:lineRule="auto"/>
              <w:rPr>
                <w:rFonts w:hAnsi="宋体" w:cs="宋体"/>
                <w:szCs w:val="21"/>
              </w:rPr>
            </w:pPr>
            <w:r>
              <w:rPr>
                <w:rFonts w:hint="eastAsia"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r>
              <w:rPr>
                <w:rFonts w:hAnsi="宋体" w:cs="宋体"/>
                <w:szCs w:val="21"/>
              </w:rPr>
              <w:t>。</w:t>
            </w:r>
          </w:p>
          <w:p>
            <w:pPr>
              <w:pStyle w:val="2"/>
              <w:spacing w:line="360" w:lineRule="auto"/>
              <w:ind w:left="0" w:leftChars="0"/>
            </w:pPr>
            <w:r>
              <w:rPr>
                <w:rFonts w:hint="eastAsia"/>
                <w:b/>
                <w:bCs/>
              </w:rPr>
              <w:t>二标段（智能巡检）：</w:t>
            </w:r>
            <w:r>
              <w:rPr>
                <w:rFonts w:hint="eastAsia" w:ascii="宋体" w:hAnsi="宋体" w:cs="宋体"/>
                <w:color w:val="000000"/>
                <w:szCs w:val="21"/>
              </w:rPr>
              <w:t>谈判单位在本项目谈判截止之日前36个月内须具有自动化系统或智能化系统的供货业绩。</w:t>
            </w:r>
            <w:r>
              <w:rPr>
                <w:rFonts w:hint="eastAsia"/>
              </w:rPr>
              <w:t>不接受联合体、港澳台或境外业绩。</w:t>
            </w:r>
          </w:p>
          <w:p>
            <w:pPr>
              <w:widowControl/>
              <w:spacing w:line="360" w:lineRule="auto"/>
              <w:ind w:firstLine="420" w:firstLineChars="200"/>
              <w:rPr>
                <w:rFonts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p>
          <w:p>
            <w:pPr>
              <w:widowControl/>
              <w:spacing w:line="360" w:lineRule="auto"/>
            </w:pPr>
            <w:r>
              <w:rPr>
                <w:rFonts w:hint="eastAsia" w:ascii="宋体" w:hAnsi="宋体" w:cs="宋体"/>
                <w:szCs w:val="21"/>
              </w:rPr>
              <w:t>3.本项目不接受联合体形式参与谈判。</w:t>
            </w:r>
          </w:p>
          <w:p>
            <w:pPr>
              <w:spacing w:line="360" w:lineRule="auto"/>
              <w:rPr>
                <w:rFonts w:ascii="宋体" w:hAnsi="宋体" w:cs="宋体"/>
                <w:szCs w:val="21"/>
                <w:highlight w:val="yellow"/>
              </w:rPr>
            </w:pPr>
            <w:r>
              <w:rPr>
                <w:rFonts w:hint="eastAsia" w:ascii="宋体" w:hAnsi="宋体" w:cs="宋体"/>
                <w:szCs w:val="21"/>
              </w:rPr>
              <w:t>4.</w:t>
            </w:r>
            <w:r>
              <w:rPr>
                <w:rFonts w:hint="eastAsia" w:ascii="宋体" w:hAnsi="宋体" w:cs="宋体"/>
              </w:rPr>
              <w:t>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5"/>
              <w:adjustRightInd w:val="0"/>
              <w:snapToGrid w:val="0"/>
              <w:spacing w:line="360" w:lineRule="auto"/>
              <w:rPr>
                <w:rFonts w:hAnsi="宋体" w:cs="宋体"/>
                <w:color w:val="000000"/>
              </w:rPr>
            </w:pPr>
            <w:r>
              <w:rPr>
                <w:rFonts w:hint="eastAsia" w:hAnsi="宋体" w:cs="宋体"/>
                <w:highlight w:val="none"/>
                <w:u w:val="single"/>
              </w:rPr>
              <w:t>2022</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u w:val="single"/>
                <w:lang w:val="en-US" w:eastAsia="zh-CN"/>
              </w:rPr>
              <w:t>2</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u w:val="single"/>
                <w:lang w:val="en-US" w:eastAsia="zh-CN"/>
              </w:rPr>
              <w:t>10</w:t>
            </w:r>
            <w:r>
              <w:rPr>
                <w:rFonts w:hint="eastAsia" w:hAnsi="宋体" w:cs="宋体"/>
                <w:highlight w:val="none"/>
              </w:rPr>
              <w:t>日</w:t>
            </w:r>
            <w:r>
              <w:rPr>
                <w:rFonts w:hint="eastAsia" w:hAnsi="宋体" w:cs="宋体"/>
                <w:highlight w:val="none"/>
                <w:u w:val="single"/>
              </w:rPr>
              <w:t xml:space="preserve"> </w:t>
            </w:r>
            <w:r>
              <w:rPr>
                <w:rFonts w:hint="eastAsia" w:hAnsi="宋体" w:cs="宋体"/>
                <w:u w:val="single"/>
              </w:rPr>
              <w:t xml:space="preserve">17 </w:t>
            </w:r>
            <w:r>
              <w:rPr>
                <w:rFonts w:hint="eastAsia" w:hAnsi="宋体" w:cs="宋体"/>
              </w:rPr>
              <w:t>时</w:t>
            </w:r>
            <w:r>
              <w:rPr>
                <w:rFonts w:hint="eastAsia" w:hAnsi="宋体" w:cs="宋体"/>
                <w:u w:val="single"/>
              </w:rPr>
              <w:t xml:space="preserve"> 00 </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pStyle w:val="25"/>
              <w:adjustRightInd w:val="0"/>
              <w:snapToGrid w:val="0"/>
              <w:spacing w:line="360" w:lineRule="auto"/>
              <w:rPr>
                <w:rFonts w:hAnsi="宋体" w:cs="宋体"/>
                <w:iCs/>
                <w:color w:val="FF0000"/>
              </w:rPr>
            </w:pPr>
            <w:r>
              <w:rPr>
                <w:rFonts w:hint="eastAsia" w:hAnsi="宋体" w:cs="宋体"/>
              </w:rPr>
              <w:t>谈判答疑文件应以书面形式递交至：长沙市开福区四方坪街道双拥路9号长城万富汇大厦银座10036号房。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highlight w:val="none"/>
                <w:u w:val="single"/>
              </w:rPr>
              <w:t>2022</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16</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u w:val="single"/>
              </w:rPr>
              <w:t xml:space="preserve">14 </w:t>
            </w:r>
            <w:r>
              <w:rPr>
                <w:rFonts w:hint="eastAsia" w:ascii="宋体" w:hAnsi="宋体" w:cs="宋体"/>
                <w:szCs w:val="21"/>
              </w:rPr>
              <w:t>时</w:t>
            </w:r>
            <w:r>
              <w:rPr>
                <w:rFonts w:hint="eastAsia" w:ascii="宋体" w:hAnsi="宋体" w:cs="宋体"/>
                <w:szCs w:val="21"/>
                <w:u w:val="single"/>
              </w:rPr>
              <w:t xml:space="preserve"> 30 </w:t>
            </w:r>
            <w:r>
              <w:rPr>
                <w:rFonts w:hint="eastAsia" w:ascii="宋体" w:hAnsi="宋体" w:cs="宋体"/>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8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8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价格承包内容</w:t>
            </w:r>
          </w:p>
        </w:tc>
        <w:tc>
          <w:tcPr>
            <w:tcW w:w="7788" w:type="dxa"/>
            <w:vAlign w:val="center"/>
          </w:tcPr>
          <w:p>
            <w:pPr>
              <w:spacing w:line="360" w:lineRule="auto"/>
              <w:jc w:val="left"/>
              <w:rPr>
                <w:rFonts w:ascii="宋体" w:hAnsi="宋体" w:cs="宋体"/>
                <w:szCs w:val="21"/>
              </w:rPr>
            </w:pPr>
            <w:r>
              <w:rPr>
                <w:rFonts w:hint="eastAsia" w:ascii="宋体" w:hAnsi="宋体" w:cs="宋体"/>
                <w:szCs w:val="21"/>
              </w:rPr>
              <w:t>1.合同价款形式：</w:t>
            </w:r>
          </w:p>
          <w:p>
            <w:pPr>
              <w:spacing w:line="360" w:lineRule="auto"/>
              <w:jc w:val="left"/>
              <w:rPr>
                <w:rFonts w:ascii="宋体" w:hAnsi="宋体" w:cs="宋体"/>
                <w:szCs w:val="21"/>
              </w:rPr>
            </w:pPr>
            <w:r>
              <w:rPr>
                <w:rFonts w:hint="eastAsia" w:ascii="宋体" w:hAnsi="宋体" w:cs="宋体"/>
                <w:szCs w:val="21"/>
              </w:rPr>
              <w:t>单价合同（除税率调整外，合同单价（即中标单价/中选单价/成交单价）在合同执行过程中固定不变，不受政策法规变化以及汇率浮动、物价指数浮动等因素的影响）。</w:t>
            </w:r>
          </w:p>
          <w:p>
            <w:pPr>
              <w:spacing w:line="360" w:lineRule="auto"/>
              <w:jc w:val="left"/>
              <w:rPr>
                <w:rFonts w:ascii="宋体" w:hAnsi="宋体" w:cs="宋体"/>
                <w:szCs w:val="21"/>
              </w:rPr>
            </w:pPr>
            <w:r>
              <w:rPr>
                <w:rFonts w:hint="eastAsia" w:ascii="宋体" w:hAnsi="宋体" w:cs="宋体"/>
                <w:szCs w:val="21"/>
              </w:rPr>
              <w:t>2.签约合同价：</w:t>
            </w:r>
          </w:p>
          <w:p>
            <w:pPr>
              <w:spacing w:line="360" w:lineRule="auto"/>
              <w:ind w:left="210" w:hanging="210" w:hangingChars="100"/>
              <w:jc w:val="left"/>
              <w:rPr>
                <w:rFonts w:ascii="宋体" w:hAnsi="宋体" w:cs="宋体"/>
                <w:szCs w:val="21"/>
              </w:rPr>
            </w:pPr>
            <w:r>
              <w:rPr>
                <w:rFonts w:hint="eastAsia" w:ascii="宋体" w:hAnsi="宋体" w:cs="宋体"/>
                <w:szCs w:val="21"/>
              </w:rPr>
              <w:t>签约合同价为含增值税价，金额为人民币（大写）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），具体价格组成详见签约合同价清单。 </w:t>
            </w:r>
          </w:p>
          <w:p>
            <w:pPr>
              <w:adjustRightInd w:val="0"/>
              <w:snapToGrid w:val="0"/>
              <w:spacing w:line="360" w:lineRule="auto"/>
              <w:rPr>
                <w:rFonts w:ascii="宋体" w:hAnsi="宋体" w:cs="宋体"/>
                <w:szCs w:val="21"/>
                <w:highlight w:val="yellow"/>
              </w:rPr>
            </w:pPr>
            <w:r>
              <w:rPr>
                <w:rFonts w:hint="eastAsia" w:ascii="宋体" w:hAnsi="宋体" w:cs="宋体"/>
                <w:szCs w:val="21"/>
              </w:rPr>
              <w:t>按长沙市政府或其职能部门相关规定，本项目的合同价格最终以履约验收合格确定的最终价款为准。合同价格包括乙方履行合同且满足用户需求书/技术规格书全部要求所产生的成本、费用、税金、利润、保险、专利、风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cs="宋体"/>
                <w:b/>
                <w:color w:val="FF0000"/>
                <w:szCs w:val="21"/>
                <w:highlight w:val="yellow"/>
              </w:rPr>
            </w:pPr>
            <w:r>
              <w:rPr>
                <w:rFonts w:hint="eastAsia" w:ascii="宋体" w:hAnsi="宋体" w:cs="宋体"/>
                <w:b/>
                <w:szCs w:val="21"/>
              </w:rPr>
              <w:t>项目支付方式</w:t>
            </w:r>
          </w:p>
        </w:tc>
        <w:tc>
          <w:tcPr>
            <w:tcW w:w="7788" w:type="dxa"/>
            <w:vAlign w:val="center"/>
          </w:tcPr>
          <w:p>
            <w:pPr>
              <w:widowControl/>
              <w:spacing w:line="360" w:lineRule="auto"/>
              <w:rPr>
                <w:rFonts w:ascii="宋体" w:hAnsi="宋体" w:cs="宋体"/>
                <w:szCs w:val="21"/>
              </w:rPr>
            </w:pPr>
            <w:r>
              <w:rPr>
                <w:rFonts w:hint="eastAsia" w:ascii="宋体" w:hAnsi="宋体" w:cs="宋体"/>
                <w:szCs w:val="21"/>
              </w:rPr>
              <w:t>1.预付款</w:t>
            </w:r>
          </w:p>
          <w:p>
            <w:pPr>
              <w:widowControl/>
              <w:spacing w:line="360" w:lineRule="auto"/>
              <w:rPr>
                <w:rFonts w:ascii="宋体" w:hAnsi="宋体" w:cs="宋体"/>
                <w:szCs w:val="21"/>
              </w:rPr>
            </w:pPr>
            <w:r>
              <w:rPr>
                <w:rFonts w:hint="eastAsia" w:ascii="宋体" w:hAnsi="宋体" w:cs="宋体"/>
                <w:szCs w:val="21"/>
              </w:rPr>
              <w:t>本项目无预付款。</w:t>
            </w:r>
          </w:p>
          <w:p>
            <w:pPr>
              <w:widowControl/>
              <w:spacing w:line="360" w:lineRule="auto"/>
              <w:rPr>
                <w:rFonts w:ascii="宋体" w:hAnsi="宋体" w:cs="宋体"/>
                <w:szCs w:val="21"/>
              </w:rPr>
            </w:pPr>
            <w:r>
              <w:rPr>
                <w:rFonts w:hint="eastAsia" w:ascii="宋体" w:hAnsi="宋体" w:cs="宋体"/>
                <w:szCs w:val="21"/>
              </w:rPr>
              <w:t>2. 中间付款</w:t>
            </w:r>
          </w:p>
          <w:p>
            <w:pPr>
              <w:widowControl/>
              <w:spacing w:line="360" w:lineRule="auto"/>
              <w:rPr>
                <w:rFonts w:ascii="宋体" w:hAnsi="宋体" w:cs="宋体"/>
                <w:szCs w:val="21"/>
              </w:rPr>
            </w:pPr>
            <w:r>
              <w:rPr>
                <w:rFonts w:hint="eastAsia" w:ascii="宋体" w:hAnsi="宋体" w:cs="宋体"/>
                <w:szCs w:val="21"/>
              </w:rPr>
              <w:t>乙方按合同约定完成所有物资供货及相关工作，且本项目履约验收合格，在收到经甲方批复的支付申请等资料并证实完整无误后28个工作日内，支付至合同价格的97%。</w:t>
            </w:r>
          </w:p>
          <w:p>
            <w:pPr>
              <w:widowControl/>
              <w:spacing w:line="360" w:lineRule="auto"/>
              <w:rPr>
                <w:rFonts w:ascii="宋体" w:hAnsi="宋体" w:cs="宋体"/>
                <w:szCs w:val="21"/>
              </w:rPr>
            </w:pPr>
            <w:r>
              <w:rPr>
                <w:rFonts w:hint="eastAsia" w:ascii="宋体" w:hAnsi="宋体" w:cs="宋体"/>
                <w:szCs w:val="21"/>
              </w:rPr>
              <w:t>3.最终付款</w:t>
            </w:r>
          </w:p>
          <w:p>
            <w:pPr>
              <w:widowControl/>
              <w:spacing w:line="360" w:lineRule="auto"/>
              <w:rPr>
                <w:rFonts w:ascii="宋体" w:hAnsi="宋体" w:cs="宋体"/>
                <w:szCs w:val="21"/>
              </w:rPr>
            </w:pPr>
            <w:r>
              <w:rPr>
                <w:rFonts w:hint="eastAsia" w:ascii="宋体" w:hAnsi="宋体" w:cs="宋体"/>
                <w:szCs w:val="21"/>
              </w:rPr>
              <w:t>质保期满且物资无质量问题，收到经甲方批复的支付请求等资料并证实完整无误后28个工作日内，支付合同价格的剩余款项。</w:t>
            </w:r>
          </w:p>
          <w:p>
            <w:pPr>
              <w:pStyle w:val="45"/>
              <w:adjustRightInd w:val="0"/>
              <w:snapToGrid w:val="0"/>
              <w:spacing w:after="0" w:line="360" w:lineRule="auto"/>
              <w:ind w:firstLine="0" w:firstLineChars="0"/>
              <w:rPr>
                <w:rFonts w:ascii="宋体" w:hAnsi="宋体" w:cs="宋体"/>
                <w:highlight w:val="yellow"/>
              </w:rPr>
            </w:pPr>
            <w:r>
              <w:rPr>
                <w:rFonts w:hint="eastAsia" w:ascii="宋体" w:hAnsi="宋体" w:cs="宋体"/>
                <w:szCs w:val="21"/>
              </w:rPr>
              <w:t>4.乙方应理解本合同的资金来源为政府资金，款项的拨付须经有关部门批准，若甲方在规定的支付期限内未支付合同价款，乙方不得以款项延迟支付而停止、拒绝履行本合同或要求甲方支付任何利息。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w:t>
            </w:r>
            <w:r>
              <w:rPr>
                <w:rFonts w:hint="eastAsia" w:ascii="宋体" w:hAnsi="宋体" w:cs="宋体"/>
                <w:b/>
                <w:szCs w:val="21"/>
                <w:lang w:eastAsia="zh-CN"/>
              </w:rPr>
              <w:t>如有</w:t>
            </w:r>
            <w:r>
              <w:rPr>
                <w:rFonts w:hint="eastAsia" w:ascii="宋体" w:hAnsi="宋体" w:cs="宋体"/>
                <w:b/>
                <w:szCs w:val="21"/>
              </w:rPr>
              <w:t>）</w:t>
            </w:r>
          </w:p>
        </w:tc>
        <w:tc>
          <w:tcPr>
            <w:tcW w:w="7788" w:type="dxa"/>
            <w:vAlign w:val="center"/>
          </w:tcPr>
          <w:p>
            <w:pPr>
              <w:adjustRightInd w:val="0"/>
              <w:snapToGrid w:val="0"/>
              <w:spacing w:line="360" w:lineRule="auto"/>
              <w:rPr>
                <w:rFonts w:hint="eastAsia" w:ascii="宋体" w:hAnsi="宋体" w:eastAsia="宋体" w:cs="宋体"/>
                <w:szCs w:val="21"/>
                <w:highlight w:val="yellow"/>
                <w:lang w:val="en-US" w:eastAsia="zh-CN"/>
              </w:rPr>
            </w:pPr>
            <w:r>
              <w:rPr>
                <w:rFonts w:hint="eastAsia" w:ascii="宋体" w:hAnsi="宋体" w:cs="宋体"/>
                <w:szCs w:val="21"/>
                <w:highlight w:val="none"/>
                <w:lang w:val="en-US" w:eastAsia="zh-CN"/>
              </w:rPr>
              <w:t>/</w:t>
            </w:r>
          </w:p>
        </w:tc>
      </w:tr>
    </w:tbl>
    <w:p>
      <w:pPr>
        <w:jc w:val="center"/>
        <w:rPr>
          <w:rFonts w:ascii="宋体" w:hAnsi="宋体"/>
          <w:sz w:val="30"/>
          <w:szCs w:val="30"/>
        </w:rPr>
      </w:pPr>
      <w:bookmarkStart w:id="15" w:name="_Toc14891067"/>
    </w:p>
    <w:p>
      <w:pPr>
        <w:widowControl/>
        <w:jc w:val="left"/>
        <w:rPr>
          <w:rFonts w:ascii="宋体" w:hAnsi="宋体"/>
        </w:rPr>
        <w:sectPr>
          <w:footerReference r:id="rId4" w:type="default"/>
          <w:pgSz w:w="11906" w:h="16838"/>
          <w:pgMar w:top="1440" w:right="1797" w:bottom="1440" w:left="1797" w:header="851" w:footer="851" w:gutter="0"/>
          <w:pgNumType w:start="1"/>
          <w:cols w:space="720" w:num="1"/>
          <w:docGrid w:linePitch="312" w:charSpace="0"/>
        </w:sectPr>
      </w:pPr>
    </w:p>
    <w:p>
      <w:pPr>
        <w:spacing w:line="360" w:lineRule="auto"/>
        <w:jc w:val="center"/>
        <w:outlineLvl w:val="0"/>
        <w:rPr>
          <w:rFonts w:ascii="宋体" w:hAnsi="宋体" w:cs="宋体"/>
          <w:b/>
          <w:bCs/>
          <w:sz w:val="32"/>
          <w:szCs w:val="32"/>
        </w:rPr>
      </w:pPr>
      <w:bookmarkStart w:id="16" w:name="_Toc16143"/>
      <w:bookmarkStart w:id="17" w:name="_Toc30640"/>
      <w:bookmarkStart w:id="18" w:name="_Toc16939"/>
      <w:bookmarkStart w:id="19" w:name="_Toc26157"/>
      <w:r>
        <w:rPr>
          <w:rFonts w:hint="eastAsia" w:ascii="宋体" w:hAnsi="宋体" w:cs="宋体"/>
          <w:b/>
          <w:bCs/>
          <w:sz w:val="32"/>
          <w:szCs w:val="32"/>
        </w:rPr>
        <w:t>谈判须知正文</w:t>
      </w:r>
      <w:bookmarkEnd w:id="15"/>
      <w:bookmarkEnd w:id="16"/>
      <w:bookmarkEnd w:id="17"/>
      <w:bookmarkEnd w:id="18"/>
      <w:bookmarkEnd w:id="19"/>
    </w:p>
    <w:p>
      <w:pPr>
        <w:spacing w:line="360" w:lineRule="auto"/>
        <w:rPr>
          <w:rFonts w:ascii="宋体" w:hAnsi="宋体" w:cs="宋体"/>
          <w:b/>
          <w:bCs/>
          <w:szCs w:val="21"/>
        </w:rPr>
      </w:pPr>
      <w:bookmarkStart w:id="20" w:name="_Toc28504"/>
      <w:bookmarkStart w:id="21" w:name="_Toc14891068"/>
      <w:r>
        <w:rPr>
          <w:rFonts w:hint="eastAsia" w:ascii="宋体" w:hAnsi="宋体" w:cs="宋体"/>
          <w:b/>
          <w:bCs/>
          <w:szCs w:val="21"/>
        </w:rPr>
        <w:t>一、说明</w:t>
      </w:r>
      <w:bookmarkEnd w:id="20"/>
      <w:bookmarkEnd w:id="21"/>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spacing w:line="360" w:lineRule="auto"/>
        <w:rPr>
          <w:rFonts w:ascii="宋体" w:hAnsi="宋体" w:cs="宋体"/>
          <w:b/>
          <w:bCs/>
          <w:szCs w:val="21"/>
        </w:rPr>
      </w:pPr>
      <w:bookmarkStart w:id="22" w:name="_Toc30689"/>
      <w:bookmarkStart w:id="23" w:name="_Toc14891069"/>
      <w:r>
        <w:rPr>
          <w:rFonts w:hint="eastAsia" w:ascii="宋体" w:hAnsi="宋体" w:cs="宋体"/>
          <w:b/>
          <w:bCs/>
          <w:szCs w:val="21"/>
        </w:rPr>
        <w:t>二、谈判文件</w:t>
      </w:r>
      <w:bookmarkEnd w:id="22"/>
      <w:bookmarkEnd w:id="2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用户需求书（另册）</w:t>
      </w:r>
    </w:p>
    <w:p>
      <w:pPr>
        <w:pStyle w:val="25"/>
        <w:adjustRightInd w:val="0"/>
        <w:snapToGrid w:val="0"/>
        <w:spacing w:line="360" w:lineRule="auto"/>
        <w:ind w:firstLine="420" w:firstLineChars="200"/>
        <w:rPr>
          <w:rFonts w:hAnsi="宋体" w:cs="宋体"/>
        </w:rPr>
      </w:pPr>
      <w:r>
        <w:rPr>
          <w:rFonts w:hint="eastAsia" w:hAnsi="宋体" w:cs="宋体"/>
        </w:rPr>
        <w:t>第五章 合同格式条款</w:t>
      </w:r>
    </w:p>
    <w:p>
      <w:pPr>
        <w:pStyle w:val="25"/>
        <w:adjustRightInd w:val="0"/>
        <w:snapToGrid w:val="0"/>
        <w:spacing w:line="360" w:lineRule="auto"/>
        <w:ind w:firstLine="420" w:firstLineChars="200"/>
        <w:rPr>
          <w:rFonts w:hAnsi="宋体" w:cs="宋体"/>
        </w:rPr>
      </w:pPr>
      <w:r>
        <w:rPr>
          <w:rFonts w:hint="eastAsia" w:hAnsi="宋体" w:cs="宋体"/>
        </w:rPr>
        <w:t>第六章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spacing w:line="360" w:lineRule="auto"/>
        <w:rPr>
          <w:rFonts w:ascii="宋体" w:hAnsi="宋体" w:cs="宋体"/>
          <w:b/>
          <w:bCs/>
          <w:szCs w:val="21"/>
        </w:rPr>
      </w:pPr>
      <w:bookmarkStart w:id="24" w:name="_Toc14891070"/>
      <w:bookmarkStart w:id="25" w:name="_Toc2701"/>
      <w:r>
        <w:rPr>
          <w:rFonts w:hint="eastAsia" w:ascii="宋体" w:hAnsi="宋体" w:cs="宋体"/>
          <w:b/>
          <w:bCs/>
          <w:szCs w:val="21"/>
        </w:rPr>
        <w:t>三、响应文件</w:t>
      </w:r>
      <w:bookmarkEnd w:id="24"/>
      <w:bookmarkEnd w:id="2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26"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26"/>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（4）谈判单位资格证明文件</w:t>
      </w:r>
    </w:p>
    <w:p>
      <w:pPr>
        <w:pStyle w:val="25"/>
        <w:adjustRightInd w:val="0"/>
        <w:snapToGrid w:val="0"/>
        <w:spacing w:line="360" w:lineRule="auto"/>
        <w:ind w:firstLine="420" w:firstLineChars="200"/>
        <w:rPr>
          <w:rFonts w:hAnsi="宋体" w:cs="宋体"/>
        </w:rPr>
      </w:pPr>
      <w:r>
        <w:rPr>
          <w:rFonts w:hint="eastAsia" w:hAnsi="宋体" w:cs="宋体"/>
        </w:rPr>
        <w:t>（5）报价一览表</w:t>
      </w:r>
    </w:p>
    <w:p>
      <w:pPr>
        <w:pStyle w:val="25"/>
        <w:adjustRightInd w:val="0"/>
        <w:snapToGrid w:val="0"/>
        <w:spacing w:line="360" w:lineRule="auto"/>
        <w:ind w:firstLine="420" w:firstLineChars="200"/>
        <w:rPr>
          <w:rFonts w:hAnsi="宋体" w:cs="宋体"/>
        </w:rPr>
      </w:pPr>
      <w:r>
        <w:rPr>
          <w:rFonts w:hint="eastAsia" w:hAnsi="宋体" w:cs="宋体"/>
        </w:rPr>
        <w:t>（6）分项价格表</w:t>
      </w:r>
    </w:p>
    <w:p>
      <w:pPr>
        <w:pStyle w:val="25"/>
        <w:adjustRightInd w:val="0"/>
        <w:snapToGrid w:val="0"/>
        <w:spacing w:line="360" w:lineRule="auto"/>
        <w:ind w:firstLine="420" w:firstLineChars="200"/>
        <w:rPr>
          <w:rFonts w:hAnsi="宋体" w:cs="宋体"/>
        </w:rPr>
      </w:pPr>
      <w:r>
        <w:rPr>
          <w:rFonts w:hint="eastAsia" w:hAnsi="宋体" w:cs="宋体"/>
        </w:rPr>
        <w:t>（7）其他资料（如有）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谈判单位应按第六章“响应文件格式”的要求在报价文件中进行报价。谈判单位所报的总价及标段报价均不得超过谈判项目预算，不超过谈判项目预算的含税报价方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12.4本项目预算见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12.7最低报价不能作为中选的保证。</w:t>
      </w:r>
    </w:p>
    <w:p>
      <w:pPr>
        <w:tabs>
          <w:tab w:val="left" w:pos="1248"/>
        </w:tabs>
        <w:adjustRightInd w:val="0"/>
        <w:snapToGrid w:val="0"/>
        <w:spacing w:line="360" w:lineRule="auto"/>
        <w:ind w:firstLine="420" w:firstLineChars="200"/>
        <w:rPr>
          <w:rFonts w:ascii="宋体" w:hAnsi="宋体" w:cs="宋体"/>
        </w:rPr>
      </w:pPr>
      <w:r>
        <w:rPr>
          <w:rFonts w:hint="eastAsia" w:ascii="宋体" w:hAnsi="宋体" w:cs="宋体"/>
          <w:szCs w:val="21"/>
        </w:rPr>
        <w:t>12.8</w:t>
      </w:r>
      <w:r>
        <w:rPr>
          <w:rFonts w:hint="eastAsia" w:ascii="宋体" w:hAnsi="宋体" w:cs="宋体"/>
          <w:color w:val="000000"/>
        </w:rPr>
        <w:t>本合同为单价合同方式，</w:t>
      </w:r>
      <w:r>
        <w:rPr>
          <w:rFonts w:hint="eastAsia" w:ascii="宋体" w:hAnsi="宋体" w:cs="宋体"/>
          <w:color w:val="000000"/>
          <w:szCs w:val="21"/>
        </w:rPr>
        <w:t>合同价格包括但不限于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具体内容详见第五章合同格式条款）。</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spacing w:line="360" w:lineRule="auto"/>
        <w:rPr>
          <w:rFonts w:ascii="宋体" w:hAnsi="宋体" w:cs="宋体"/>
          <w:b/>
          <w:bCs/>
          <w:szCs w:val="21"/>
        </w:rPr>
      </w:pPr>
      <w:bookmarkStart w:id="27" w:name="_Toc9319"/>
      <w:bookmarkStart w:id="28" w:name="_Toc14891071"/>
      <w:r>
        <w:rPr>
          <w:rFonts w:hint="eastAsia" w:ascii="宋体" w:hAnsi="宋体" w:cs="宋体"/>
          <w:b/>
          <w:bCs/>
          <w:szCs w:val="21"/>
        </w:rPr>
        <w:t>四、响应文件的递交</w:t>
      </w:r>
      <w:bookmarkEnd w:id="27"/>
      <w:bookmarkEnd w:id="2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spacing w:line="360" w:lineRule="auto"/>
        <w:rPr>
          <w:rFonts w:ascii="宋体" w:hAnsi="宋体" w:cs="宋体"/>
          <w:b/>
          <w:bCs/>
          <w:szCs w:val="21"/>
        </w:rPr>
      </w:pPr>
      <w:bookmarkStart w:id="29" w:name="_Toc7470"/>
      <w:bookmarkStart w:id="30" w:name="_Toc14891072"/>
      <w:r>
        <w:rPr>
          <w:rFonts w:hint="eastAsia" w:ascii="宋体" w:hAnsi="宋体" w:cs="宋体"/>
          <w:b/>
          <w:bCs/>
          <w:szCs w:val="21"/>
        </w:rPr>
        <w:t>五、响应文件的评审</w:t>
      </w:r>
      <w:bookmarkEnd w:id="29"/>
      <w:bookmarkEnd w:id="30"/>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spacing w:line="360" w:lineRule="auto"/>
        <w:rPr>
          <w:rFonts w:ascii="宋体" w:hAnsi="宋体" w:cs="宋体"/>
          <w:b/>
          <w:bCs/>
          <w:szCs w:val="21"/>
        </w:rPr>
      </w:pPr>
      <w:bookmarkStart w:id="31" w:name="_Toc27657"/>
      <w:bookmarkStart w:id="32" w:name="_Toc14891073"/>
      <w:r>
        <w:rPr>
          <w:rFonts w:hint="eastAsia" w:ascii="宋体" w:hAnsi="宋体" w:cs="宋体"/>
          <w:b/>
          <w:bCs/>
          <w:szCs w:val="21"/>
        </w:rPr>
        <w:t>六、响应文件的澄清、说明及补正</w:t>
      </w:r>
      <w:bookmarkEnd w:id="31"/>
      <w:bookmarkEnd w:id="32"/>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20.3与谈判文件有重大偏离的响应文件将被拒绝。重大偏离指谈判总报价、谈判有效期、供货期明显不能满足谈判文件的要求。这些偏离不允许在响应文件递交截止时间之后修正。</w:t>
      </w:r>
    </w:p>
    <w:p>
      <w:pPr>
        <w:spacing w:line="360" w:lineRule="auto"/>
        <w:rPr>
          <w:rFonts w:ascii="宋体" w:hAnsi="宋体" w:cs="宋体"/>
          <w:b/>
          <w:bCs/>
          <w:szCs w:val="21"/>
        </w:rPr>
      </w:pPr>
      <w:bookmarkStart w:id="33" w:name="_Toc28503"/>
      <w:bookmarkStart w:id="34" w:name="_Toc14891074"/>
      <w:r>
        <w:rPr>
          <w:rFonts w:hint="eastAsia" w:ascii="宋体" w:hAnsi="宋体" w:cs="宋体"/>
          <w:b/>
          <w:bCs/>
          <w:szCs w:val="21"/>
        </w:rPr>
        <w:t>七、中选结果与授予合同</w:t>
      </w:r>
      <w:bookmarkEnd w:id="33"/>
      <w:bookmarkEnd w:id="3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5" w:name="page32"/>
      <w:bookmarkEnd w:id="35"/>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spacing w:line="360" w:lineRule="auto"/>
        <w:rPr>
          <w:rFonts w:ascii="宋体" w:hAnsi="宋体" w:cs="宋体"/>
          <w:b/>
          <w:bCs/>
          <w:szCs w:val="21"/>
        </w:rPr>
      </w:pPr>
      <w:bookmarkStart w:id="36" w:name="_Toc894"/>
      <w:bookmarkStart w:id="37" w:name="_Toc14891075"/>
      <w:r>
        <w:rPr>
          <w:rFonts w:hint="eastAsia" w:ascii="宋体" w:hAnsi="宋体" w:cs="宋体"/>
          <w:b/>
          <w:bCs/>
          <w:szCs w:val="21"/>
        </w:rPr>
        <w:t>八、其他</w:t>
      </w:r>
      <w:bookmarkEnd w:id="36"/>
      <w:bookmarkEnd w:id="37"/>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2"/>
        <w:spacing w:line="360" w:lineRule="auto"/>
        <w:ind w:left="0" w:leftChars="0" w:firstLine="420" w:firstLineChars="200"/>
        <w:rPr>
          <w:rFonts w:ascii="宋体" w:hAnsi="宋体" w:cs="宋体"/>
          <w:szCs w:val="21"/>
        </w:rPr>
      </w:pPr>
      <w:r>
        <w:rPr>
          <w:rFonts w:hint="eastAsia" w:ascii="宋体" w:hAnsi="宋体" w:cs="宋体"/>
          <w:szCs w:val="21"/>
        </w:rPr>
        <w:t>中选单位中选后有下列情形之一的，责令限期改正，情节严重的，列入不良行为记录名单，禁止其1至3年内参加长沙市轨道交通运营有限公司招标采购活动，并予以通报：</w:t>
      </w:r>
    </w:p>
    <w:p>
      <w:pPr>
        <w:pStyle w:val="2"/>
        <w:spacing w:line="360" w:lineRule="auto"/>
        <w:ind w:left="0" w:leftChars="0" w:firstLine="420" w:firstLineChars="200"/>
        <w:rPr>
          <w:rFonts w:ascii="宋体" w:hAnsi="宋体" w:cs="宋体"/>
          <w:szCs w:val="21"/>
        </w:rPr>
      </w:pPr>
      <w:r>
        <w:rPr>
          <w:rFonts w:hint="eastAsia" w:ascii="宋体" w:hAnsi="宋体" w:cs="宋体"/>
          <w:szCs w:val="21"/>
        </w:rPr>
        <w:t>1.成交后无正当理由不与采购人签订合同的；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2.未按照采购文件确定的事项签订采购合同，或者与采购人另行订立背离合同实质性内容的协议的；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3.拒绝履行合同义务的；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4.违反法律、规章、规范性文件规定的。</w:t>
      </w:r>
    </w:p>
    <w:p>
      <w:pPr>
        <w:pStyle w:val="45"/>
      </w:pPr>
    </w:p>
    <w:p>
      <w:pPr>
        <w:adjustRightInd w:val="0"/>
        <w:snapToGrid w:val="0"/>
        <w:spacing w:line="360" w:lineRule="auto"/>
        <w:ind w:left="964" w:hanging="964" w:hangingChars="300"/>
        <w:jc w:val="center"/>
        <w:rPr>
          <w:rFonts w:ascii="宋体" w:hAnsi="宋体"/>
          <w:b/>
          <w:sz w:val="32"/>
          <w:szCs w:val="32"/>
        </w:rPr>
        <w:sectPr>
          <w:pgSz w:w="11906" w:h="16838"/>
          <w:pgMar w:top="1440" w:right="1797" w:bottom="1440" w:left="1797" w:header="851" w:footer="851" w:gutter="0"/>
          <w:cols w:space="720" w:num="1"/>
          <w:docGrid w:linePitch="312" w:charSpace="0"/>
        </w:sectPr>
      </w:pPr>
    </w:p>
    <w:p>
      <w:pPr>
        <w:adjustRightInd w:val="0"/>
        <w:snapToGrid w:val="0"/>
        <w:spacing w:line="360" w:lineRule="auto"/>
        <w:rPr>
          <w:rFonts w:ascii="宋体" w:hAnsi="宋体"/>
        </w:rPr>
      </w:pPr>
      <w:r>
        <w:rPr>
          <w:rFonts w:hint="eastAsia" w:ascii="宋体" w:hAnsi="宋体" w:cs="宋体"/>
          <w:b/>
          <w:bCs/>
          <w:szCs w:val="21"/>
        </w:rPr>
        <w:t>附件：采购代理服务费收费标准</w:t>
      </w:r>
    </w:p>
    <w:p>
      <w:pPr>
        <w:pStyle w:val="19"/>
      </w:pP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采购代理服务费收费参照汇率表</w:t>
      </w:r>
    </w:p>
    <w:tbl>
      <w:tblPr>
        <w:tblStyle w:val="47"/>
        <w:tblpPr w:leftFromText="180" w:rightFromText="180" w:vertAnchor="text" w:horzAnchor="page" w:tblpXSpec="center"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rPr>
            </w:pPr>
            <w:r>
              <w:rPr>
                <w:rFonts w:hint="eastAsia" w:ascii="宋体" w:hAnsi="宋体"/>
                <w:szCs w:val="21"/>
              </w:rPr>
              <w:t>汇率</w:t>
            </w:r>
          </w:p>
          <w:p>
            <w:pPr>
              <w:adjustRightInd w:val="0"/>
              <w:snapToGrid w:val="0"/>
              <w:rPr>
                <w:rFonts w:ascii="宋体" w:hAnsi="宋体"/>
                <w:szCs w:val="21"/>
              </w:rPr>
            </w:pPr>
            <w:r>
              <w:rPr>
                <w:rFonts w:hint="eastAsia" w:ascii="宋体" w:hAnsi="宋体"/>
                <w:szCs w:val="21"/>
              </w:rPr>
              <w:t>中</w:t>
            </w:r>
            <w:r>
              <w:rPr>
                <w:rFonts w:ascii="宋体" w:hAnsi="宋体"/>
                <w:szCs w:val="21"/>
              </w:rPr>
              <w:t>选金额</w:t>
            </w:r>
          </w:p>
        </w:tc>
        <w:tc>
          <w:tcPr>
            <w:tcW w:w="1957"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服务</w:t>
            </w:r>
            <w:r>
              <w:rPr>
                <w:rFonts w:ascii="宋体" w:hAnsi="宋体"/>
                <w:szCs w:val="21"/>
              </w:rPr>
              <w:t>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100万</w:t>
            </w:r>
            <w:r>
              <w:rPr>
                <w:rFonts w:ascii="宋体" w:hAnsi="宋体"/>
                <w:szCs w:val="21"/>
              </w:rPr>
              <w:t>元以下</w:t>
            </w:r>
          </w:p>
        </w:tc>
        <w:tc>
          <w:tcPr>
            <w:tcW w:w="1957" w:type="dxa"/>
            <w:vAlign w:val="center"/>
          </w:tcPr>
          <w:p>
            <w:pPr>
              <w:adjustRightInd w:val="0"/>
              <w:snapToGrid w:val="0"/>
              <w:jc w:val="center"/>
              <w:rPr>
                <w:rFonts w:ascii="宋体" w:hAnsi="宋体"/>
                <w:szCs w:val="21"/>
              </w:rPr>
            </w:pPr>
            <w:r>
              <w:rPr>
                <w:rFonts w:hint="eastAsia" w:ascii="宋体" w:hAnsi="宋体"/>
                <w:szCs w:val="21"/>
              </w:rPr>
              <w:t>1.5%</w:t>
            </w:r>
          </w:p>
        </w:tc>
        <w:tc>
          <w:tcPr>
            <w:tcW w:w="2325" w:type="dxa"/>
            <w:vAlign w:val="center"/>
          </w:tcPr>
          <w:p>
            <w:pPr>
              <w:adjustRightInd w:val="0"/>
              <w:snapToGrid w:val="0"/>
              <w:jc w:val="center"/>
              <w:rPr>
                <w:rFonts w:ascii="宋体" w:hAnsi="宋体"/>
                <w:szCs w:val="21"/>
              </w:rPr>
            </w:pPr>
            <w:r>
              <w:rPr>
                <w:rFonts w:hint="eastAsia" w:ascii="宋体" w:hAnsi="宋体"/>
                <w:szCs w:val="21"/>
              </w:rPr>
              <w:t>1.5%</w:t>
            </w:r>
          </w:p>
        </w:tc>
        <w:tc>
          <w:tcPr>
            <w:tcW w:w="2100"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100～400万</w:t>
            </w:r>
            <w:r>
              <w:rPr>
                <w:rFonts w:ascii="宋体" w:hAnsi="宋体"/>
                <w:szCs w:val="21"/>
              </w:rPr>
              <w:t>元</w:t>
            </w:r>
          </w:p>
        </w:tc>
        <w:tc>
          <w:tcPr>
            <w:tcW w:w="1957" w:type="dxa"/>
            <w:vAlign w:val="center"/>
          </w:tcPr>
          <w:p>
            <w:pPr>
              <w:adjustRightInd w:val="0"/>
              <w:snapToGrid w:val="0"/>
              <w:jc w:val="center"/>
              <w:rPr>
                <w:rFonts w:ascii="宋体" w:hAnsi="宋体"/>
                <w:szCs w:val="21"/>
              </w:rPr>
            </w:pPr>
            <w:r>
              <w:rPr>
                <w:rFonts w:hint="eastAsia" w:ascii="宋体" w:hAnsi="宋体"/>
                <w:szCs w:val="21"/>
              </w:rPr>
              <w:t>1.1%</w:t>
            </w:r>
          </w:p>
        </w:tc>
        <w:tc>
          <w:tcPr>
            <w:tcW w:w="2325" w:type="dxa"/>
            <w:vAlign w:val="center"/>
          </w:tcPr>
          <w:p>
            <w:pPr>
              <w:adjustRightInd w:val="0"/>
              <w:snapToGrid w:val="0"/>
              <w:jc w:val="center"/>
              <w:rPr>
                <w:rFonts w:ascii="宋体" w:hAnsi="宋体"/>
                <w:szCs w:val="21"/>
              </w:rPr>
            </w:pPr>
            <w:r>
              <w:rPr>
                <w:rFonts w:hint="eastAsia" w:ascii="宋体" w:hAnsi="宋体"/>
                <w:szCs w:val="21"/>
              </w:rPr>
              <w:t>0.8%</w:t>
            </w:r>
          </w:p>
        </w:tc>
        <w:tc>
          <w:tcPr>
            <w:tcW w:w="2100"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w:t>
            </w:r>
            <w:r>
              <w:rPr>
                <w:rFonts w:hint="eastAsia" w:ascii="宋体" w:hAnsi="宋体"/>
                <w:szCs w:val="21"/>
              </w:rPr>
              <w:t>费</w:t>
            </w:r>
            <w:r>
              <w:rPr>
                <w:rFonts w:ascii="宋体" w:hAnsi="宋体"/>
                <w:szCs w:val="21"/>
              </w:rPr>
              <w:t>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440" w:right="1797" w:bottom="1440" w:left="1797" w:header="851" w:footer="851" w:gutter="0"/>
          <w:cols w:space="720" w:num="1"/>
          <w:docGrid w:linePitch="312" w:charSpace="0"/>
        </w:sectPr>
      </w:pPr>
      <w:r>
        <w:rPr>
          <w:rFonts w:hint="eastAsia" w:ascii="宋体" w:hAnsi="宋体" w:cs="宋体"/>
          <w:szCs w:val="21"/>
        </w:rPr>
        <w:t>本项目采购代理服务费为2万元</w:t>
      </w:r>
    </w:p>
    <w:p>
      <w:pPr>
        <w:spacing w:after="240"/>
        <w:jc w:val="center"/>
        <w:rPr>
          <w:rFonts w:ascii="宋体" w:hAnsi="宋体" w:cs="宋体"/>
          <w:b/>
          <w:bCs/>
          <w:sz w:val="32"/>
          <w:szCs w:val="32"/>
        </w:rPr>
      </w:pPr>
      <w:bookmarkStart w:id="38" w:name="_Toc4275"/>
      <w:bookmarkStart w:id="39" w:name="_Toc28427"/>
      <w:bookmarkStart w:id="40" w:name="_Toc5567"/>
      <w:bookmarkStart w:id="41" w:name="_Toc25542"/>
      <w:r>
        <w:rPr>
          <w:rFonts w:hint="eastAsia" w:ascii="宋体" w:hAnsi="宋体" w:cs="宋体"/>
          <w:b/>
          <w:bCs/>
          <w:sz w:val="32"/>
          <w:szCs w:val="32"/>
        </w:rPr>
        <w:t>第三章  评审办法及标准</w:t>
      </w:r>
      <w:bookmarkEnd w:id="38"/>
      <w:bookmarkEnd w:id="39"/>
      <w:bookmarkEnd w:id="40"/>
      <w:bookmarkEnd w:id="41"/>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w:t>
      </w:r>
      <w:r>
        <w:rPr>
          <w:rFonts w:ascii="宋体" w:hAnsi="宋体" w:cs="宋体"/>
          <w:bCs/>
          <w:szCs w:val="21"/>
        </w:rPr>
        <w:t>1</w:t>
      </w:r>
      <w:r>
        <w:rPr>
          <w:rFonts w:hint="eastAsia" w:ascii="宋体" w:hAnsi="宋体" w:cs="宋体"/>
          <w:bCs/>
          <w:szCs w:val="21"/>
        </w:rPr>
        <w:t>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ascii="宋体" w:hAnsi="宋体" w:cs="宋体"/>
          <w:bCs/>
          <w:szCs w:val="21"/>
        </w:rPr>
        <w:t>2.2</w:t>
      </w:r>
      <w:r>
        <w:rPr>
          <w:rFonts w:hint="eastAsia" w:ascii="宋体" w:hAnsi="宋体" w:cs="宋体"/>
          <w:bCs/>
          <w:szCs w:val="21"/>
        </w:rPr>
        <w:t>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w:t>
      </w:r>
      <w:r>
        <w:rPr>
          <w:rFonts w:hint="eastAsia" w:ascii="宋体" w:hAnsi="宋体" w:cs="宋体"/>
          <w:bCs/>
          <w:szCs w:val="21"/>
        </w:rPr>
        <w:t>身份验证阶段</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w:t>
      </w:r>
      <w:r>
        <w:rPr>
          <w:rFonts w:hint="eastAsia" w:ascii="宋体" w:hAnsi="宋体" w:cs="宋体"/>
          <w:bCs/>
          <w:szCs w:val="21"/>
        </w:rPr>
        <w:t>.1采购单位按本文件前附表内规定的响应文件的谈判现场验证要求，对参与谈判的单位代表身份进行验证。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ascii="宋体" w:hAnsi="宋体" w:cs="宋体"/>
          <w:bCs/>
          <w:szCs w:val="21"/>
        </w:rPr>
        <w:t>3.1</w:t>
      </w:r>
      <w:r>
        <w:rPr>
          <w:rFonts w:hint="eastAsia" w:ascii="宋体" w:hAnsi="宋体" w:cs="宋体"/>
          <w:bCs/>
          <w:szCs w:val="21"/>
        </w:rPr>
        <w:t>.2参与谈判的代表身份经验证不合格的，视为无效响应，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唱价阶段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.2谈判单位法定代表人或授权委托人、现场监督员、记录人等有关人员在唱价记录表上签字确认，谈判单位对本阶段有异议的应当场提出，采购人当场作出答复，并记录在案，未提出的，视为无异议。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ascii="宋体" w:hAnsi="宋体" w:cs="宋体"/>
          <w:b/>
          <w:szCs w:val="21"/>
        </w:rPr>
        <w:t>4</w:t>
      </w:r>
      <w:r>
        <w:rPr>
          <w:rFonts w:hint="eastAsia" w:ascii="宋体" w:hAnsi="宋体" w:cs="宋体"/>
          <w:b/>
          <w:szCs w:val="21"/>
        </w:rPr>
        <w:t>.符合性审查阶段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w:t>
      </w:r>
      <w:bookmarkStart w:id="42" w:name="_Hlk76387758"/>
      <w:r>
        <w:rPr>
          <w:rFonts w:hint="eastAsia" w:ascii="宋体" w:hAnsi="宋体" w:cs="宋体"/>
          <w:szCs w:val="21"/>
        </w:rPr>
        <w:t>，资格审查以谈判单位递交的</w:t>
      </w:r>
      <w:r>
        <w:t>相关资料</w:t>
      </w:r>
      <w:r>
        <w:rPr>
          <w:rFonts w:hint="eastAsia" w:ascii="宋体" w:hAnsi="宋体" w:cs="宋体"/>
          <w:szCs w:val="21"/>
        </w:rPr>
        <w:t>为准。</w:t>
      </w:r>
      <w:bookmarkEnd w:id="42"/>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cs="宋体"/>
          <w:kern w:val="0"/>
          <w:szCs w:val="21"/>
        </w:rPr>
        <w:t>谈判总报价超过</w:t>
      </w:r>
      <w:r>
        <w:rPr>
          <w:rFonts w:hint="eastAsia" w:ascii="宋体" w:hAnsi="宋体"/>
          <w:szCs w:val="21"/>
        </w:rPr>
        <w:t>谈判预算的</w:t>
      </w:r>
      <w:r>
        <w:rPr>
          <w:rFonts w:hint="eastAsia" w:ascii="宋体" w:hAnsi="宋体" w:cs="宋体"/>
          <w:kern w:val="0"/>
          <w:szCs w:val="21"/>
        </w:rPr>
        <w:t>。</w:t>
      </w:r>
    </w:p>
    <w:p>
      <w:pPr>
        <w:pStyle w:val="2"/>
        <w:spacing w:line="360" w:lineRule="auto"/>
        <w:ind w:left="0" w:leftChars="0" w:firstLine="420" w:firstLineChars="200"/>
        <w:rPr>
          <w:rFonts w:ascii="宋体" w:hAnsi="宋体"/>
          <w:szCs w:val="21"/>
        </w:rPr>
      </w:pPr>
      <w:r>
        <w:rPr>
          <w:rFonts w:hint="eastAsia" w:ascii="宋体" w:hAnsi="宋体"/>
          <w:szCs w:val="21"/>
        </w:rPr>
        <w:t>（6）未提交投标保证金的。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ascii="宋体" w:hAnsi="宋体" w:cs="宋体"/>
          <w:b/>
          <w:szCs w:val="21"/>
        </w:rPr>
        <w:t>5</w:t>
      </w:r>
      <w:r>
        <w:rPr>
          <w:rFonts w:hint="eastAsia" w:ascii="宋体" w:hAnsi="宋体" w:cs="宋体"/>
          <w:b/>
          <w:szCs w:val="21"/>
        </w:rPr>
        <w:t>.</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ascii="宋体" w:hAnsi="宋体" w:cs="宋体"/>
          <w:kern w:val="0"/>
          <w:szCs w:val="21"/>
        </w:rPr>
        <w:t>5</w:t>
      </w:r>
      <w:r>
        <w:rPr>
          <w:rFonts w:hint="eastAsia" w:ascii="宋体" w:hAnsi="宋体" w:cs="宋体"/>
          <w:kern w:val="0"/>
          <w:szCs w:val="21"/>
        </w:rPr>
        <w:t>.1谈判评审小组应按以下要求对经符合性审查合格的谈判单位进行详细评审：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w:t>
      </w:r>
      <w:r>
        <w:rPr>
          <w:rFonts w:hint="eastAsia" w:ascii="宋体" w:hAnsi="宋体" w:cs="宋体"/>
          <w:b/>
          <w:bCs/>
          <w:kern w:val="0"/>
          <w:szCs w:val="21"/>
        </w:rPr>
        <w:t>谈判总报价</w:t>
      </w:r>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ascii="宋体" w:hAnsi="宋体" w:cs="宋体"/>
          <w:b/>
          <w:bCs/>
          <w:szCs w:val="21"/>
        </w:rPr>
        <w:t>6</w:t>
      </w:r>
      <w:r>
        <w:rPr>
          <w:rFonts w:hint="eastAsia" w:ascii="宋体" w:hAnsi="宋体" w:cs="宋体"/>
          <w:b/>
          <w:bCs/>
          <w:szCs w:val="21"/>
        </w:rPr>
        <w:t>.推荐中选单位</w:t>
      </w:r>
    </w:p>
    <w:p>
      <w:pPr>
        <w:spacing w:line="360" w:lineRule="auto"/>
        <w:ind w:firstLine="420" w:firstLineChars="200"/>
        <w:rPr>
          <w:rFonts w:ascii="宋体" w:hAnsi="宋体" w:cs="宋体"/>
          <w:kern w:val="0"/>
          <w:szCs w:val="21"/>
          <w:highlight w:val="none"/>
        </w:rPr>
      </w:pPr>
      <w:r>
        <w:rPr>
          <w:rFonts w:ascii="宋体" w:hAnsi="宋体" w:cs="宋体"/>
          <w:bCs/>
          <w:szCs w:val="21"/>
          <w:highlight w:val="none"/>
        </w:rPr>
        <w:t>6</w:t>
      </w:r>
      <w:r>
        <w:rPr>
          <w:rFonts w:hint="eastAsia" w:ascii="宋体" w:hAnsi="宋体" w:cs="宋体"/>
          <w:bCs/>
          <w:szCs w:val="21"/>
          <w:highlight w:val="none"/>
        </w:rPr>
        <w:t>.1</w:t>
      </w:r>
      <w:r>
        <w:rPr>
          <w:rFonts w:hint="eastAsia" w:ascii="宋体" w:hAnsi="宋体" w:cs="宋体"/>
          <w:kern w:val="0"/>
          <w:szCs w:val="21"/>
          <w:highlight w:val="none"/>
        </w:rPr>
        <w:t>谈判评审小组应当在全部评审结束后，谈判评审小组按综合得分由高至低的顺序推荐不超过3名的中标候选人，其他单位不予排序</w:t>
      </w:r>
      <w:r>
        <w:rPr>
          <w:rFonts w:hint="eastAsia" w:ascii="宋体" w:hAnsi="宋体" w:cs="宋体"/>
          <w:kern w:val="0"/>
          <w:szCs w:val="21"/>
          <w:highlight w:val="none"/>
          <w:lang w:val="en-US" w:eastAsia="zh-CN"/>
        </w:rPr>
        <w:t>,推荐排序第一的为本项目的中选单位，</w:t>
      </w:r>
      <w:r>
        <w:rPr>
          <w:rFonts w:hint="eastAsia" w:ascii="宋体" w:hAnsi="宋体" w:cs="宋体"/>
          <w:kern w:val="0"/>
          <w:szCs w:val="21"/>
          <w:highlight w:val="none"/>
        </w:rPr>
        <w:t>并填写评审报告。</w:t>
      </w:r>
    </w:p>
    <w:p>
      <w:pPr>
        <w:widowControl/>
        <w:adjustRightInd w:val="0"/>
        <w:snapToGrid w:val="0"/>
        <w:spacing w:line="360" w:lineRule="auto"/>
        <w:ind w:firstLine="420" w:firstLineChars="200"/>
        <w:rPr>
          <w:rFonts w:ascii="宋体" w:hAnsi="宋体" w:cs="宋体"/>
          <w:kern w:val="0"/>
          <w:szCs w:val="21"/>
        </w:rPr>
      </w:pPr>
      <w:r>
        <w:rPr>
          <w:rFonts w:ascii="宋体" w:hAnsi="宋体" w:cs="宋体"/>
          <w:kern w:val="0"/>
          <w:szCs w:val="21"/>
        </w:rPr>
        <w:t>6</w:t>
      </w:r>
      <w:r>
        <w:rPr>
          <w:rFonts w:hint="eastAsia" w:ascii="宋体" w:hAnsi="宋体" w:cs="宋体"/>
          <w:kern w:val="0"/>
          <w:szCs w:val="21"/>
        </w:rPr>
        <w:t>.2全部评审结束后，若出现报价得分相同的情形，则采用现场抽签方式确定中选单位。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cols w:space="720" w:num="1"/>
          <w:docGrid w:linePitch="312" w:charSpace="0"/>
        </w:sectPr>
      </w:pPr>
      <w:r>
        <w:rPr>
          <w:rFonts w:hint="eastAsia" w:ascii="宋体" w:hAnsi="宋体" w:cs="宋体"/>
          <w:kern w:val="0"/>
          <w:szCs w:val="21"/>
        </w:rPr>
        <w:br w:type="page"/>
      </w:r>
    </w:p>
    <w:p>
      <w:pPr>
        <w:spacing w:after="240"/>
        <w:jc w:val="center"/>
        <w:rPr>
          <w:rFonts w:ascii="宋体" w:hAnsi="宋体" w:cs="宋体"/>
          <w:b/>
          <w:bCs/>
          <w:sz w:val="32"/>
          <w:szCs w:val="32"/>
        </w:rPr>
      </w:pPr>
      <w:bookmarkStart w:id="43" w:name="_Toc17562"/>
      <w:bookmarkStart w:id="44" w:name="_Toc23442"/>
      <w:bookmarkStart w:id="45" w:name="_Toc18407"/>
      <w:bookmarkStart w:id="46" w:name="_Toc17997"/>
      <w:bookmarkStart w:id="47" w:name="_Toc14891077"/>
      <w:r>
        <w:rPr>
          <w:rFonts w:hint="eastAsia" w:ascii="宋体" w:hAnsi="宋体" w:cs="宋体"/>
          <w:b/>
          <w:bCs/>
          <w:sz w:val="32"/>
          <w:szCs w:val="32"/>
        </w:rPr>
        <w:t>第四章  用户需求书</w:t>
      </w:r>
      <w:bookmarkEnd w:id="43"/>
      <w:bookmarkEnd w:id="44"/>
      <w:bookmarkEnd w:id="45"/>
      <w:bookmarkEnd w:id="46"/>
      <w:bookmarkEnd w:id="47"/>
      <w:r>
        <w:rPr>
          <w:rFonts w:hint="eastAsia" w:ascii="宋体" w:hAnsi="宋体" w:cs="宋体"/>
          <w:b/>
          <w:bCs/>
          <w:sz w:val="32"/>
          <w:szCs w:val="32"/>
        </w:rPr>
        <w:t>（另册）</w:t>
      </w:r>
    </w:p>
    <w:p>
      <w:pPr>
        <w:spacing w:after="240"/>
        <w:jc w:val="center"/>
        <w:rPr>
          <w:rFonts w:ascii="宋体" w:hAnsi="宋体" w:cs="宋体"/>
          <w:b/>
          <w:bCs/>
          <w:sz w:val="32"/>
          <w:szCs w:val="32"/>
        </w:rPr>
        <w:sectPr>
          <w:headerReference r:id="rId6" w:type="default"/>
          <w:footerReference r:id="rId7" w:type="default"/>
          <w:pgSz w:w="11850" w:h="16783"/>
          <w:pgMar w:top="1440" w:right="1800" w:bottom="1440" w:left="1800" w:header="851" w:footer="992" w:gutter="0"/>
          <w:cols w:space="720" w:num="1"/>
          <w:docGrid w:type="lines" w:linePitch="312" w:charSpace="0"/>
        </w:sectPr>
      </w:pPr>
      <w:bookmarkStart w:id="48" w:name="_Toc15112"/>
      <w:bookmarkStart w:id="49" w:name="_Toc17441"/>
      <w:bookmarkStart w:id="50" w:name="_Toc13521"/>
      <w:bookmarkStart w:id="51" w:name="_Toc22262"/>
      <w:bookmarkStart w:id="52" w:name="_Toc14891078"/>
    </w:p>
    <w:p>
      <w:pPr>
        <w:spacing w:after="240"/>
        <w:jc w:val="center"/>
        <w:rPr>
          <w:rFonts w:ascii="宋体" w:hAnsi="宋体" w:cs="宋体"/>
          <w:b/>
          <w:bCs/>
          <w:sz w:val="32"/>
          <w:szCs w:val="32"/>
        </w:rPr>
      </w:pPr>
      <w:r>
        <w:rPr>
          <w:rFonts w:hint="eastAsia" w:ascii="宋体" w:hAnsi="宋体" w:cs="宋体"/>
          <w:b/>
          <w:bCs/>
          <w:sz w:val="32"/>
          <w:szCs w:val="32"/>
        </w:rPr>
        <w:t>第五章  合同格式条款</w:t>
      </w:r>
      <w:bookmarkEnd w:id="48"/>
      <w:bookmarkEnd w:id="49"/>
      <w:bookmarkEnd w:id="50"/>
      <w:bookmarkEnd w:id="51"/>
      <w:bookmarkEnd w:id="52"/>
    </w:p>
    <w:p>
      <w:pPr>
        <w:snapToGrid w:val="0"/>
        <w:spacing w:line="360" w:lineRule="auto"/>
        <w:jc w:val="right"/>
        <w:rPr>
          <w:rFonts w:ascii="仿宋_GB2312" w:hAnsi="仿宋_GB2312" w:eastAsia="仿宋_GB2312" w:cs="仿宋_GB2312"/>
          <w:b/>
          <w:bCs/>
          <w:sz w:val="52"/>
          <w:szCs w:val="52"/>
        </w:rPr>
      </w:pPr>
      <w:bookmarkStart w:id="53" w:name="_Toc14277"/>
      <w:bookmarkStart w:id="54" w:name="_Toc20891"/>
      <w:bookmarkStart w:id="55" w:name="_Toc29654"/>
      <w:bookmarkStart w:id="56" w:name="_Toc5097"/>
      <w:r>
        <w:rPr>
          <w:rFonts w:hint="eastAsia" w:ascii="仿宋_GB2312" w:hAnsi="仿宋_GB2312" w:eastAsia="仿宋_GB2312" w:cs="仿宋_GB2312"/>
          <w:b/>
          <w:sz w:val="24"/>
        </w:rPr>
        <w:t>合同编号：</w:t>
      </w:r>
      <w:r>
        <w:rPr>
          <w:rFonts w:hint="eastAsia" w:ascii="仿宋_GB2312" w:hAnsi="仿宋_GB2312" w:eastAsia="仿宋_GB2312" w:cs="仿宋_GB2312"/>
          <w:sz w:val="24"/>
          <w:u w:val="dotted"/>
        </w:rPr>
        <w:t>长轨运  物合【20  】  号</w:t>
      </w:r>
    </w:p>
    <w:p>
      <w:pPr>
        <w:snapToGrid w:val="0"/>
        <w:spacing w:line="360" w:lineRule="auto"/>
        <w:jc w:val="center"/>
        <w:rPr>
          <w:rFonts w:ascii="仿宋_GB2312" w:hAnsi="仿宋_GB2312" w:eastAsia="仿宋_GB2312" w:cs="仿宋_GB2312"/>
          <w:b/>
          <w:bCs/>
          <w:sz w:val="28"/>
          <w:szCs w:val="28"/>
        </w:rPr>
      </w:pPr>
    </w:p>
    <w:p>
      <w:pPr>
        <w:snapToGrid w:val="0"/>
        <w:spacing w:line="360" w:lineRule="auto"/>
        <w:jc w:val="center"/>
        <w:rPr>
          <w:rFonts w:ascii="仿宋_GB2312" w:hAnsi="仿宋_GB2312" w:eastAsia="仿宋_GB2312" w:cs="仿宋_GB2312"/>
          <w:b/>
          <w:bCs/>
          <w:sz w:val="28"/>
          <w:szCs w:val="28"/>
        </w:rPr>
      </w:pPr>
    </w:p>
    <w:p>
      <w:pPr>
        <w:snapToGrid w:val="0"/>
        <w:spacing w:line="360" w:lineRule="auto"/>
        <w:jc w:val="center"/>
        <w:rPr>
          <w:rFonts w:ascii="仿宋_GB2312" w:hAnsi="仿宋_GB2312" w:eastAsia="仿宋_GB2312" w:cs="仿宋_GB2312"/>
          <w:b/>
          <w:bCs/>
          <w:sz w:val="28"/>
          <w:szCs w:val="28"/>
        </w:rPr>
      </w:pPr>
    </w:p>
    <w:p>
      <w:pPr>
        <w:snapToGrid w:val="0"/>
        <w:spacing w:line="360" w:lineRule="auto"/>
        <w:jc w:val="center"/>
        <w:rPr>
          <w:rFonts w:ascii="仿宋_GB2312" w:hAnsi="仿宋_GB2312" w:eastAsia="仿宋_GB2312" w:cs="仿宋_GB2312"/>
          <w:b/>
          <w:bCs/>
          <w:sz w:val="28"/>
          <w:szCs w:val="28"/>
        </w:rPr>
      </w:pPr>
    </w:p>
    <w:p>
      <w:pPr>
        <w:snapToGrid w:val="0"/>
        <w:spacing w:line="360" w:lineRule="auto"/>
        <w:jc w:val="center"/>
        <w:rPr>
          <w:rFonts w:ascii="仿宋_GB2312" w:hAnsi="仿宋_GB2312" w:eastAsia="仿宋_GB2312" w:cs="仿宋_GB2312"/>
          <w:b/>
          <w:bCs/>
          <w:sz w:val="28"/>
          <w:szCs w:val="28"/>
        </w:rPr>
      </w:pPr>
    </w:p>
    <w:p>
      <w:pPr>
        <w:snapToGrid w:val="0"/>
        <w:spacing w:line="360" w:lineRule="auto"/>
        <w:jc w:val="center"/>
        <w:rPr>
          <w:rFonts w:ascii="仿宋_GB2312" w:hAnsi="仿宋_GB2312" w:eastAsia="仿宋_GB2312" w:cs="仿宋_GB2312"/>
          <w:b/>
          <w:bCs/>
          <w:sz w:val="52"/>
          <w:szCs w:val="52"/>
        </w:rPr>
      </w:pPr>
      <w:r>
        <w:rPr>
          <w:rFonts w:hint="eastAsia" w:ascii="仿宋_GB2312" w:hAnsi="仿宋_GB2312" w:eastAsia="仿宋_GB2312" w:cs="仿宋_GB2312"/>
          <w:b/>
          <w:spacing w:val="20"/>
          <w:sz w:val="52"/>
          <w:szCs w:val="52"/>
        </w:rPr>
        <w:t>物资采购合同</w:t>
      </w:r>
    </w:p>
    <w:p>
      <w:pPr>
        <w:snapToGrid w:val="0"/>
        <w:spacing w:line="360" w:lineRule="auto"/>
        <w:jc w:val="center"/>
        <w:rPr>
          <w:rFonts w:ascii="仿宋_GB2312" w:hAnsi="仿宋_GB2312" w:eastAsia="仿宋_GB2312" w:cs="仿宋_GB2312"/>
          <w:bCs/>
          <w:sz w:val="28"/>
          <w:szCs w:val="28"/>
        </w:rPr>
      </w:pPr>
    </w:p>
    <w:p>
      <w:pPr>
        <w:adjustRightInd w:val="0"/>
        <w:snapToGrid w:val="0"/>
        <w:spacing w:line="360" w:lineRule="auto"/>
        <w:ind w:firstLine="835" w:firstLineChars="297"/>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bookmarkStart w:id="57" w:name="_Toc16667"/>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dotted"/>
        </w:rPr>
        <w:t xml:space="preserve">长沙市轨道交通2号线运营期2021年-2022年智慧车站综合管理平台采购项目 </w:t>
      </w:r>
    </w:p>
    <w:p>
      <w:pPr>
        <w:adjustRightInd w:val="0"/>
        <w:snapToGrid w:val="0"/>
        <w:spacing w:line="360" w:lineRule="auto"/>
        <w:ind w:firstLine="835" w:firstLineChars="297"/>
        <w:rPr>
          <w:rFonts w:ascii="仿宋_GB2312" w:hAnsi="仿宋_GB2312" w:eastAsia="仿宋_GB2312" w:cs="仿宋_GB2312"/>
          <w:b/>
          <w:sz w:val="28"/>
          <w:szCs w:val="28"/>
          <w:u w:val="dotted"/>
        </w:rPr>
      </w:pPr>
    </w:p>
    <w:p>
      <w:pPr>
        <w:adjustRightInd w:val="0"/>
        <w:snapToGrid w:val="0"/>
        <w:spacing w:line="360" w:lineRule="auto"/>
        <w:ind w:firstLine="835" w:firstLineChars="297"/>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 xml:space="preserve">           湖南省长沙市              </w:t>
      </w:r>
    </w:p>
    <w:p>
      <w:pPr>
        <w:adjustRightInd w:val="0"/>
        <w:snapToGrid w:val="0"/>
        <w:spacing w:line="360" w:lineRule="auto"/>
        <w:ind w:firstLine="1344" w:firstLineChars="478"/>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采 购 人：</w:t>
      </w:r>
      <w:r>
        <w:rPr>
          <w:rFonts w:hint="eastAsia" w:ascii="仿宋_GB2312" w:hAnsi="仿宋_GB2312" w:eastAsia="仿宋_GB2312" w:cs="仿宋_GB2312"/>
          <w:b/>
          <w:sz w:val="28"/>
          <w:szCs w:val="28"/>
          <w:u w:val="dotted"/>
        </w:rPr>
        <w:t xml:space="preserve">                                     </w:t>
      </w:r>
    </w:p>
    <w:p>
      <w:pPr>
        <w:adjustRightInd w:val="0"/>
        <w:snapToGrid w:val="0"/>
        <w:spacing w:line="360" w:lineRule="auto"/>
        <w:ind w:firstLine="1344" w:firstLineChars="478"/>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供 应 商：</w:t>
      </w:r>
      <w:r>
        <w:rPr>
          <w:rFonts w:hint="eastAsia" w:ascii="仿宋_GB2312" w:hAnsi="仿宋_GB2312" w:eastAsia="仿宋_GB2312" w:cs="仿宋_GB2312"/>
          <w:b/>
          <w:sz w:val="28"/>
          <w:szCs w:val="28"/>
          <w:u w:val="dotted"/>
        </w:rPr>
        <w:t xml:space="preserve">                                     </w:t>
      </w:r>
    </w:p>
    <w:p>
      <w:pPr>
        <w:pageBreakBefore/>
        <w:jc w:val="center"/>
        <w:outlineLvl w:val="0"/>
        <w:rPr>
          <w:rFonts w:ascii="仿宋_GB2312" w:hAnsi="仿宋_GB2312" w:eastAsia="仿宋_GB2312" w:cs="仿宋_GB2312"/>
          <w:b/>
          <w:sz w:val="32"/>
          <w:szCs w:val="32"/>
        </w:rPr>
        <w:sectPr>
          <w:headerReference r:id="rId8" w:type="default"/>
          <w:footerReference r:id="rId9" w:type="default"/>
          <w:pgSz w:w="11850" w:h="16783"/>
          <w:pgMar w:top="1440" w:right="1800" w:bottom="1440" w:left="1800" w:header="851" w:footer="567" w:gutter="0"/>
          <w:cols w:space="720" w:num="1"/>
          <w:docGrid w:type="lines" w:linePitch="312" w:charSpace="0"/>
        </w:sectPr>
      </w:pPr>
    </w:p>
    <w:p>
      <w:pPr>
        <w:pageBreakBefore/>
        <w:jc w:val="center"/>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第一部分 合同协议书</w:t>
      </w:r>
      <w:bookmarkEnd w:id="57"/>
    </w:p>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b/>
          <w:sz w:val="24"/>
        </w:rPr>
        <w:t>采购人</w:t>
      </w:r>
      <w:r>
        <w:rPr>
          <w:rFonts w:hint="eastAsia" w:ascii="仿宋_GB2312" w:hAnsi="仿宋_GB2312" w:eastAsia="仿宋_GB2312" w:cs="仿宋_GB2312"/>
          <w:sz w:val="24"/>
        </w:rPr>
        <w:t>（以下简称甲方）：</w:t>
      </w:r>
      <w:r>
        <w:rPr>
          <w:rFonts w:hint="eastAsia" w:ascii="仿宋_GB2312" w:hAnsi="仿宋_GB2312" w:eastAsia="仿宋_GB2312" w:cs="仿宋_GB2312"/>
          <w:sz w:val="24"/>
          <w:u w:val="single"/>
        </w:rPr>
        <w:t xml:space="preserve">                         </w:t>
      </w:r>
    </w:p>
    <w:p>
      <w:p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b/>
          <w:sz w:val="24"/>
        </w:rPr>
        <w:t>供应商</w:t>
      </w:r>
      <w:r>
        <w:rPr>
          <w:rFonts w:hint="eastAsia" w:ascii="仿宋_GB2312" w:hAnsi="仿宋_GB2312" w:eastAsia="仿宋_GB2312" w:cs="仿宋_GB2312"/>
          <w:sz w:val="24"/>
        </w:rPr>
        <w:t>（以下简称乙方）：</w:t>
      </w:r>
      <w:r>
        <w:rPr>
          <w:rFonts w:hint="eastAsia" w:ascii="仿宋_GB2312" w:hAnsi="仿宋_GB2312" w:eastAsia="仿宋_GB2312" w:cs="仿宋_GB2312"/>
          <w:sz w:val="24"/>
          <w:u w:val="single"/>
        </w:rPr>
        <w:t xml:space="preserve">                         </w:t>
      </w:r>
    </w:p>
    <w:p>
      <w:pPr>
        <w:pStyle w:val="41"/>
        <w:widowControl w:val="0"/>
        <w:adjustRightInd w:val="0"/>
        <w:snapToGrid w:val="0"/>
        <w:spacing w:before="0" w:beforeAutospacing="0" w:after="0" w:afterAutospacing="0" w:line="360" w:lineRule="auto"/>
        <w:ind w:firstLine="480" w:firstLineChars="200"/>
        <w:jc w:val="both"/>
        <w:rPr>
          <w:rFonts w:ascii="仿宋_GB2312" w:hAnsi="仿宋_GB2312" w:eastAsia="仿宋_GB2312" w:cs="仿宋_GB2312"/>
        </w:rPr>
      </w:pPr>
      <w:bookmarkStart w:id="58" w:name="OLE_LINK9"/>
      <w:r>
        <w:rPr>
          <w:rFonts w:hint="eastAsia" w:ascii="仿宋_GB2312" w:hAnsi="仿宋_GB2312" w:eastAsia="仿宋_GB2312" w:cs="仿宋_GB2312"/>
          <w:kern w:val="2"/>
          <w:lang w:bidi="ar"/>
        </w:rPr>
        <w:t>本合同由甲乙双方依照《中华人民共和国民法典》及其他有关法律、行政法规，遵循平等、自愿、公平和诚实信用的原则，</w:t>
      </w:r>
      <w:r>
        <w:rPr>
          <w:rFonts w:hint="eastAsia" w:ascii="仿宋_GB2312" w:hAnsi="仿宋_GB2312" w:eastAsia="仿宋_GB2312" w:cs="仿宋_GB2312"/>
        </w:rPr>
        <w:t>双方就下述项目物资采购及有关事项协商一致，共同签订本合同。</w:t>
      </w:r>
    </w:p>
    <w:p>
      <w:pPr>
        <w:adjustRightInd w:val="0"/>
        <w:snapToGrid w:val="0"/>
        <w:spacing w:line="360" w:lineRule="auto"/>
        <w:ind w:firstLine="472" w:firstLineChars="196"/>
        <w:rPr>
          <w:rFonts w:ascii="仿宋_GB2312" w:hAnsi="仿宋_GB2312" w:eastAsia="仿宋_GB2312" w:cs="仿宋_GB2312"/>
          <w:b/>
          <w:sz w:val="24"/>
        </w:rPr>
      </w:pPr>
      <w:r>
        <w:rPr>
          <w:rFonts w:hint="eastAsia" w:ascii="仿宋_GB2312" w:hAnsi="仿宋_GB2312" w:eastAsia="仿宋_GB2312" w:cs="仿宋_GB2312"/>
          <w:b/>
          <w:sz w:val="24"/>
          <w:lang w:bidi="ar"/>
        </w:rPr>
        <w:t>一、项目概况</w:t>
      </w:r>
    </w:p>
    <w:p>
      <w:pPr>
        <w:adjustRightInd w:val="0"/>
        <w:snapToGrid w:val="0"/>
        <w:spacing w:line="360" w:lineRule="auto"/>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1</w:t>
      </w:r>
      <w:r>
        <w:rPr>
          <w:rFonts w:hint="eastAsia" w:ascii="仿宋_GB2312" w:hAnsi="仿宋_GB2312" w:eastAsia="仿宋_GB2312" w:cs="仿宋_GB2312"/>
          <w:kern w:val="0"/>
          <w:sz w:val="24"/>
        </w:rPr>
        <w:t>.</w:t>
      </w:r>
      <w:r>
        <w:rPr>
          <w:rFonts w:hint="eastAsia" w:ascii="仿宋_GB2312" w:hAnsi="仿宋_GB2312" w:eastAsia="仿宋_GB2312" w:cs="仿宋_GB2312"/>
          <w:sz w:val="24"/>
          <w:lang w:bidi="ar"/>
        </w:rPr>
        <w:t>项目名称：</w:t>
      </w:r>
      <w:r>
        <w:rPr>
          <w:rFonts w:hint="eastAsia" w:ascii="仿宋_GB2312" w:hAnsi="仿宋_GB2312" w:eastAsia="仿宋_GB2312" w:cs="仿宋_GB2312"/>
          <w:sz w:val="24"/>
          <w:u w:val="single"/>
          <w:lang w:bidi="ar"/>
        </w:rPr>
        <w:t xml:space="preserve">                 </w:t>
      </w:r>
    </w:p>
    <w:p>
      <w:pPr>
        <w:adjustRightInd w:val="0"/>
        <w:snapToGrid w:val="0"/>
        <w:spacing w:line="360" w:lineRule="auto"/>
        <w:ind w:firstLine="480" w:firstLineChars="200"/>
        <w:rPr>
          <w:rFonts w:ascii="仿宋_GB2312" w:hAnsi="仿宋_GB2312" w:eastAsia="仿宋_GB2312" w:cs="仿宋_GB2312"/>
          <w:sz w:val="24"/>
          <w:u w:val="single"/>
          <w:lang w:bidi="ar"/>
        </w:rPr>
      </w:pPr>
      <w:r>
        <w:rPr>
          <w:rFonts w:hint="eastAsia" w:ascii="仿宋_GB2312" w:hAnsi="仿宋_GB2312" w:eastAsia="仿宋_GB2312" w:cs="仿宋_GB2312"/>
          <w:sz w:val="24"/>
          <w:lang w:bidi="ar"/>
        </w:rPr>
        <w:t>2</w:t>
      </w:r>
      <w:r>
        <w:rPr>
          <w:rFonts w:hint="eastAsia" w:ascii="仿宋_GB2312" w:hAnsi="仿宋_GB2312" w:eastAsia="仿宋_GB2312" w:cs="仿宋_GB2312"/>
          <w:kern w:val="0"/>
          <w:sz w:val="24"/>
        </w:rPr>
        <w:t>.</w:t>
      </w:r>
      <w:r>
        <w:rPr>
          <w:rFonts w:hint="eastAsia" w:ascii="仿宋_GB2312" w:hAnsi="仿宋_GB2312" w:eastAsia="仿宋_GB2312" w:cs="仿宋_GB2312"/>
          <w:sz w:val="24"/>
          <w:lang w:bidi="ar"/>
        </w:rPr>
        <w:t>项目地点：</w:t>
      </w:r>
      <w:r>
        <w:rPr>
          <w:rFonts w:hint="eastAsia" w:ascii="仿宋_GB2312" w:hAnsi="仿宋_GB2312" w:eastAsia="仿宋_GB2312" w:cs="仿宋_GB2312"/>
          <w:sz w:val="24"/>
          <w:u w:val="single"/>
          <w:lang w:bidi="ar"/>
        </w:rPr>
        <w:t>湖南省长沙市</w:t>
      </w:r>
    </w:p>
    <w:p>
      <w:pPr>
        <w:adjustRightInd w:val="0"/>
        <w:snapToGrid w:val="0"/>
        <w:spacing w:line="360" w:lineRule="auto"/>
        <w:ind w:firstLine="480" w:firstLineChars="200"/>
        <w:rPr>
          <w:rFonts w:ascii="仿宋_GB2312" w:hAnsi="仿宋_GB2312" w:eastAsia="仿宋_GB2312" w:cs="仿宋_GB2312"/>
          <w:sz w:val="24"/>
          <w:u w:val="single"/>
          <w:lang w:bidi="ar"/>
        </w:rPr>
      </w:pPr>
      <w:r>
        <w:rPr>
          <w:rFonts w:hint="eastAsia" w:ascii="仿宋_GB2312" w:hAnsi="仿宋_GB2312" w:eastAsia="仿宋_GB2312" w:cs="仿宋_GB2312"/>
          <w:sz w:val="24"/>
          <w:lang w:bidi="ar"/>
        </w:rPr>
        <w:t>3</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合同标的：</w:t>
      </w:r>
      <w:r>
        <w:rPr>
          <w:rFonts w:hint="eastAsia" w:ascii="仿宋_GB2312" w:hAnsi="仿宋_GB2312" w:eastAsia="仿宋_GB2312" w:cs="仿宋_GB2312"/>
          <w:sz w:val="24"/>
          <w:u w:val="single"/>
          <w:lang w:bidi="ar"/>
        </w:rPr>
        <w:t xml:space="preserve">                 </w:t>
      </w:r>
      <w:r>
        <w:rPr>
          <w:rFonts w:hint="eastAsia" w:ascii="仿宋_GB2312" w:hAnsi="仿宋_GB2312" w:eastAsia="仿宋_GB2312" w:cs="仿宋_GB2312"/>
          <w:sz w:val="24"/>
          <w:lang w:bidi="ar"/>
        </w:rPr>
        <w:t>，</w:t>
      </w:r>
      <w:r>
        <w:rPr>
          <w:rFonts w:hint="eastAsia" w:ascii="仿宋_GB2312" w:hAnsi="仿宋_GB2312" w:eastAsia="仿宋_GB2312" w:cs="仿宋_GB2312"/>
          <w:sz w:val="24"/>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ascii="仿宋_GB2312" w:hAnsi="仿宋_GB2312" w:eastAsia="仿宋_GB2312" w:cs="仿宋_GB2312"/>
          <w:b/>
          <w:sz w:val="24"/>
          <w:lang w:bidi="ar"/>
        </w:rPr>
      </w:pPr>
      <w:r>
        <w:rPr>
          <w:rFonts w:hint="eastAsia" w:ascii="仿宋_GB2312" w:hAnsi="仿宋_GB2312" w:eastAsia="仿宋_GB2312" w:cs="仿宋_GB2312"/>
          <w:b/>
          <w:sz w:val="24"/>
          <w:lang w:bidi="ar"/>
        </w:rPr>
        <w:t>二、合同执行计划</w:t>
      </w:r>
    </w:p>
    <w:p>
      <w:pPr>
        <w:adjustRightInd w:val="0"/>
        <w:snapToGrid w:val="0"/>
        <w:spacing w:line="360" w:lineRule="auto"/>
        <w:ind w:firstLine="470" w:firstLineChars="196"/>
        <w:rPr>
          <w:rFonts w:ascii="仿宋_GB2312" w:hAnsi="仿宋_GB2312" w:eastAsia="仿宋_GB2312" w:cs="仿宋_GB2312"/>
          <w:sz w:val="24"/>
          <w:lang w:bidi="ar"/>
        </w:rPr>
      </w:pPr>
      <w:r>
        <w:rPr>
          <w:rFonts w:hint="eastAsia" w:ascii="仿宋_GB2312" w:hAnsi="仿宋_GB2312" w:eastAsia="仿宋_GB2312" w:cs="仿宋_GB2312"/>
          <w:sz w:val="24"/>
          <w:u w:val="single"/>
          <w:lang w:bidi="ar"/>
        </w:rPr>
        <w:t xml:space="preserve">                 </w:t>
      </w:r>
      <w:r>
        <w:rPr>
          <w:rFonts w:hint="eastAsia" w:ascii="仿宋_GB2312" w:hAnsi="仿宋_GB2312" w:eastAsia="仿宋_GB2312" w:cs="仿宋_GB2312"/>
          <w:sz w:val="24"/>
          <w:lang w:bidi="ar"/>
        </w:rPr>
        <w:t>，具体详见</w:t>
      </w:r>
      <w:r>
        <w:rPr>
          <w:rFonts w:hint="eastAsia" w:ascii="仿宋_GB2312" w:hAnsi="仿宋_GB2312" w:eastAsia="仿宋_GB2312" w:cs="仿宋_GB2312"/>
          <w:sz w:val="24"/>
        </w:rPr>
        <w:t>用户需求书/</w:t>
      </w:r>
      <w:r>
        <w:rPr>
          <w:rFonts w:hint="eastAsia" w:ascii="仿宋_GB2312" w:hAnsi="仿宋_GB2312" w:eastAsia="仿宋_GB2312" w:cs="仿宋_GB2312"/>
          <w:sz w:val="24"/>
          <w:lang w:bidi="ar"/>
        </w:rPr>
        <w:t>技术规格书。</w:t>
      </w:r>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三、合同价款</w:t>
      </w:r>
    </w:p>
    <w:p>
      <w:pPr>
        <w:spacing w:line="360" w:lineRule="auto"/>
        <w:ind w:firstLine="465"/>
        <w:rPr>
          <w:rFonts w:ascii="仿宋_GB2312" w:hAnsi="仿宋_GB2312" w:eastAsia="仿宋_GB2312" w:cs="仿宋_GB2312"/>
          <w:kern w:val="0"/>
          <w:sz w:val="24"/>
        </w:rPr>
      </w:pPr>
      <w:r>
        <w:rPr>
          <w:rFonts w:hint="eastAsia" w:ascii="仿宋_GB2312" w:hAnsi="仿宋_GB2312" w:eastAsia="仿宋_GB2312" w:cs="仿宋_GB2312"/>
          <w:kern w:val="0"/>
          <w:sz w:val="24"/>
        </w:rPr>
        <w:t>1.合同价款形式：</w:t>
      </w:r>
    </w:p>
    <w:p>
      <w:pPr>
        <w:spacing w:line="360" w:lineRule="auto"/>
        <w:ind w:firstLine="465"/>
        <w:rPr>
          <w:rFonts w:ascii="仿宋_GB2312" w:hAnsi="仿宋_GB2312" w:eastAsia="仿宋_GB2312" w:cs="仿宋_GB2312"/>
          <w:kern w:val="0"/>
          <w:sz w:val="24"/>
        </w:rPr>
      </w:pPr>
      <w:r>
        <w:rPr>
          <w:rFonts w:hint="eastAsia" w:ascii="仿宋_GB2312" w:hAnsi="仿宋_GB2312" w:eastAsia="仿宋_GB2312" w:cs="仿宋_GB2312"/>
          <w:kern w:val="0"/>
          <w:sz w:val="24"/>
        </w:rPr>
        <w:t>单价合同</w:t>
      </w:r>
      <w:r>
        <w:rPr>
          <w:rFonts w:hint="eastAsia" w:ascii="仿宋_GB2312" w:hAnsi="仿宋_GB2312" w:eastAsia="仿宋_GB2312" w:cs="仿宋_GB2312"/>
          <w:b/>
          <w:kern w:val="0"/>
          <w:sz w:val="24"/>
        </w:rPr>
        <w:t>（</w:t>
      </w:r>
      <w:r>
        <w:rPr>
          <w:rFonts w:hint="eastAsia" w:ascii="仿宋_GB2312" w:hAnsi="仿宋_GB2312" w:eastAsia="仿宋_GB2312" w:cs="仿宋_GB2312"/>
          <w:kern w:val="0"/>
          <w:sz w:val="24"/>
        </w:rPr>
        <w:t>除税率调整外，合同单价（即中标单价/中选单价/成交单价）在合同执行过程中固定不变</w:t>
      </w:r>
      <w:r>
        <w:rPr>
          <w:rFonts w:hint="eastAsia" w:ascii="仿宋_GB2312" w:hAnsi="仿宋_GB2312" w:eastAsia="仿宋_GB2312" w:cs="仿宋_GB2312"/>
          <w:sz w:val="24"/>
        </w:rPr>
        <w:t>，不受政策法规变化以及汇率浮动、物价指数浮动等因素的影响</w:t>
      </w:r>
      <w:r>
        <w:rPr>
          <w:rFonts w:hint="eastAsia" w:ascii="仿宋_GB2312" w:hAnsi="仿宋_GB2312" w:eastAsia="仿宋_GB2312" w:cs="仿宋_GB2312"/>
          <w:b/>
          <w:kern w:val="0"/>
          <w:sz w:val="24"/>
        </w:rPr>
        <w:t>）</w:t>
      </w:r>
      <w:r>
        <w:rPr>
          <w:rFonts w:hint="eastAsia" w:ascii="仿宋_GB2312" w:hAnsi="仿宋_GB2312" w:eastAsia="仿宋_GB2312" w:cs="仿宋_GB2312"/>
          <w:kern w:val="0"/>
          <w:sz w:val="24"/>
        </w:rPr>
        <w:t>。</w:t>
      </w:r>
    </w:p>
    <w:p>
      <w:pPr>
        <w:spacing w:line="360" w:lineRule="auto"/>
        <w:ind w:firstLine="465"/>
        <w:rPr>
          <w:rFonts w:ascii="仿宋_GB2312" w:hAnsi="仿宋_GB2312" w:eastAsia="仿宋_GB2312" w:cs="仿宋_GB2312"/>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sz w:val="24"/>
        </w:rPr>
        <w:t>签约合同价：</w:t>
      </w:r>
    </w:p>
    <w:p>
      <w:pPr>
        <w:tabs>
          <w:tab w:val="left" w:pos="1248"/>
        </w:tabs>
        <w:adjustRightInd w:val="0"/>
        <w:snapToGrid w:val="0"/>
        <w:spacing w:line="360" w:lineRule="auto"/>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签约合同价为人民币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元（大写金额：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），具体分项价格表详见合同附件之签约合同价清单。</w:t>
      </w:r>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按</w:t>
      </w:r>
      <w:r>
        <w:rPr>
          <w:rFonts w:hint="eastAsia" w:ascii="仿宋_GB2312" w:hAnsi="仿宋_GB2312" w:eastAsia="仿宋_GB2312" w:cs="仿宋_GB2312"/>
          <w:kern w:val="0"/>
          <w:sz w:val="24"/>
          <w:szCs w:val="22"/>
          <w:shd w:val="clear" w:color="auto" w:fill="FFFFFF"/>
        </w:rPr>
        <w:t>长沙市政府或其职能部门相关规定，本项目的合同价格最终以</w:t>
      </w:r>
      <w:r>
        <w:rPr>
          <w:rFonts w:hint="eastAsia" w:ascii="仿宋_GB2312" w:hAnsi="仿宋_GB2312" w:eastAsia="仿宋_GB2312" w:cs="仿宋_GB2312"/>
          <w:kern w:val="0"/>
          <w:sz w:val="24"/>
          <w:szCs w:val="22"/>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shd w:val="clear" w:color="auto" w:fill="FFFFFF"/>
        </w:rPr>
        <w:t>/</w:t>
      </w:r>
      <w:r>
        <w:rPr>
          <w:rFonts w:hint="eastAsia" w:ascii="仿宋_GB2312" w:hAnsi="仿宋_GB2312" w:eastAsia="仿宋_GB2312" w:cs="仿宋_GB2312"/>
          <w:kern w:val="0"/>
          <w:sz w:val="24"/>
          <w:szCs w:val="22"/>
          <w:u w:val="single"/>
          <w:shd w:val="clear" w:color="auto" w:fill="FFFFFF"/>
        </w:rPr>
        <w:sym w:font="Wingdings 2" w:char="0052"/>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kern w:val="0"/>
          <w:sz w:val="24"/>
          <w:szCs w:val="22"/>
          <w:u w:val="single"/>
          <w:shd w:val="clear" w:color="auto" w:fill="FFFFFF"/>
        </w:rPr>
        <w:t>为准</w:t>
      </w:r>
      <w:r>
        <w:rPr>
          <w:rFonts w:hint="eastAsia" w:ascii="仿宋_GB2312" w:hAnsi="仿宋_GB2312" w:eastAsia="仿宋_GB2312" w:cs="仿宋_GB2312"/>
          <w:kern w:val="0"/>
          <w:sz w:val="24"/>
          <w:szCs w:val="22"/>
          <w:shd w:val="clear" w:color="auto" w:fill="FFFFFF"/>
        </w:rPr>
        <w:t>。</w:t>
      </w:r>
      <w:r>
        <w:rPr>
          <w:rFonts w:hint="eastAsia" w:ascii="仿宋_GB2312" w:hAnsi="仿宋_GB2312" w:eastAsia="仿宋_GB2312" w:cs="仿宋_GB2312"/>
          <w:bCs/>
          <w:sz w:val="24"/>
        </w:rPr>
        <w:t>合同价格包括乙方履行合同且满足用户需求书/技术规格书全部要求所产生的成本、费用、税金、利润、保险、专利、风险</w:t>
      </w:r>
      <w:r>
        <w:rPr>
          <w:rFonts w:hint="eastAsia" w:ascii="仿宋_GB2312" w:hAnsi="仿宋_GB2312" w:eastAsia="仿宋_GB2312" w:cs="仿宋_GB2312"/>
          <w:sz w:val="24"/>
        </w:rPr>
        <w:t>等</w:t>
      </w:r>
      <w:r>
        <w:rPr>
          <w:rFonts w:hint="eastAsia" w:ascii="仿宋_GB2312" w:hAnsi="仿宋_GB2312" w:eastAsia="仿宋_GB2312" w:cs="仿宋_GB2312"/>
          <w:bCs/>
          <w:sz w:val="24"/>
        </w:rPr>
        <w:t>。</w:t>
      </w:r>
    </w:p>
    <w:p>
      <w:pPr>
        <w:pStyle w:val="13"/>
        <w:adjustRightInd w:val="0"/>
        <w:snapToGrid w:val="0"/>
        <w:spacing w:line="360"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四、合同文件组成</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合同文件组成及优先解释顺序：</w:t>
      </w:r>
    </w:p>
    <w:p>
      <w:pPr>
        <w:tabs>
          <w:tab w:val="left" w:pos="1248"/>
        </w:tabs>
        <w:adjustRightInd w:val="0"/>
        <w:snapToGrid w:val="0"/>
        <w:spacing w:line="360" w:lineRule="auto"/>
        <w:ind w:firstLine="480" w:firstLineChars="200"/>
        <w:rPr>
          <w:rFonts w:ascii="仿宋_GB2312" w:hAnsi="仿宋_GB2312" w:eastAsia="仿宋_GB2312" w:cs="仿宋_GB2312"/>
          <w:sz w:val="24"/>
        </w:rPr>
      </w:pPr>
      <w:bookmarkStart w:id="59" w:name="OLE_LINK11"/>
      <w:bookmarkStart w:id="60" w:name="OLE_LINK10"/>
      <w:r>
        <w:rPr>
          <w:rFonts w:hint="eastAsia" w:ascii="仿宋_GB2312" w:hAnsi="仿宋_GB2312" w:eastAsia="仿宋_GB2312" w:cs="仿宋_GB2312"/>
          <w:sz w:val="24"/>
        </w:rPr>
        <w:t>（1）</w:t>
      </w:r>
      <w:bookmarkEnd w:id="59"/>
      <w:bookmarkEnd w:id="60"/>
      <w:r>
        <w:rPr>
          <w:rFonts w:hint="eastAsia" w:ascii="仿宋_GB2312" w:hAnsi="仿宋_GB2312" w:eastAsia="仿宋_GB2312" w:cs="仿宋_GB2312"/>
          <w:sz w:val="24"/>
        </w:rPr>
        <w:t>补充协议（</w:t>
      </w:r>
      <w:bookmarkStart w:id="61" w:name="OLE_LINK12"/>
      <w:r>
        <w:rPr>
          <w:rFonts w:hint="eastAsia" w:ascii="仿宋_GB2312" w:hAnsi="仿宋_GB2312" w:eastAsia="仿宋_GB2312" w:cs="仿宋_GB2312"/>
          <w:sz w:val="24"/>
        </w:rPr>
        <w:t>如果有</w:t>
      </w:r>
      <w:bookmarkEnd w:id="61"/>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（2）合同协议书;</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（3）中标通知书/中选通知书/谈判记录表；</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（4）合同条款;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（5）用户需求书/技术规格书;</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（6）签约合同价清单;</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（7）合同附件及乙方按合同附录格式及要求出具的文件;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（9）投标文件/谈判响应文件、澄清文件及其它补充资料；</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（10）批准的图纸（如果有）；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（11）其他构成本合同的文件。</w:t>
      </w:r>
    </w:p>
    <w:p>
      <w:pPr>
        <w:snapToGrid w:val="0"/>
        <w:spacing w:line="360" w:lineRule="auto"/>
        <w:ind w:firstLine="465"/>
        <w:rPr>
          <w:rFonts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snapToGrid w:val="0"/>
        <w:spacing w:line="360" w:lineRule="auto"/>
        <w:ind w:firstLine="465"/>
        <w:rPr>
          <w:rFonts w:ascii="仿宋_GB2312" w:hAnsi="仿宋_GB2312" w:eastAsia="仿宋_GB2312" w:cs="仿宋_GB2312"/>
          <w:kern w:val="0"/>
          <w:sz w:val="24"/>
        </w:rPr>
      </w:pPr>
      <w:r>
        <w:rPr>
          <w:rFonts w:hint="eastAsia" w:ascii="仿宋_GB2312" w:hAnsi="仿宋_GB2312" w:eastAsia="仿宋_GB2312" w:cs="仿宋_GB2312"/>
          <w:kern w:val="0"/>
          <w:sz w:val="24"/>
        </w:rPr>
        <w:t>在合同履行过程中形成的与合同有关的文件均构成合同文件组成部分，并根据其性质确定优先解释顺序。</w:t>
      </w:r>
    </w:p>
    <w:p>
      <w:pPr>
        <w:snapToGrid w:val="0"/>
        <w:spacing w:line="360" w:lineRule="auto"/>
        <w:ind w:firstLine="465"/>
        <w:rPr>
          <w:rFonts w:ascii="仿宋_GB2312" w:hAnsi="仿宋_GB2312" w:eastAsia="仿宋_GB2312" w:cs="仿宋_GB2312"/>
          <w:b/>
          <w:bCs/>
          <w:sz w:val="24"/>
        </w:rPr>
      </w:pPr>
      <w:r>
        <w:rPr>
          <w:rFonts w:hint="eastAsia" w:ascii="仿宋_GB2312" w:hAnsi="仿宋_GB2312" w:eastAsia="仿宋_GB2312" w:cs="仿宋_GB2312"/>
          <w:b/>
          <w:bCs/>
          <w:sz w:val="24"/>
        </w:rPr>
        <w:t>五、承诺</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六、词语定义</w:t>
      </w:r>
    </w:p>
    <w:p>
      <w:pPr>
        <w:spacing w:line="360" w:lineRule="auto"/>
        <w:ind w:firstLine="480"/>
        <w:rPr>
          <w:rFonts w:ascii="仿宋_GB2312" w:hAnsi="仿宋_GB2312" w:eastAsia="仿宋_GB2312" w:cs="仿宋_GB2312"/>
          <w:kern w:val="0"/>
          <w:sz w:val="24"/>
        </w:rPr>
      </w:pPr>
      <w:r>
        <w:rPr>
          <w:rFonts w:hint="eastAsia" w:ascii="仿宋_GB2312" w:hAnsi="仿宋_GB2312" w:eastAsia="仿宋_GB2312" w:cs="仿宋_GB2312"/>
          <w:kern w:val="0"/>
          <w:sz w:val="24"/>
        </w:rPr>
        <w:t>本合同协议书中词语含义与合同条款中的词语含义相同。</w:t>
      </w:r>
    </w:p>
    <w:p>
      <w:pPr>
        <w:spacing w:line="360" w:lineRule="auto"/>
        <w:ind w:firstLine="480"/>
        <w:rPr>
          <w:rFonts w:ascii="仿宋_GB2312" w:hAnsi="仿宋_GB2312" w:eastAsia="仿宋_GB2312" w:cs="仿宋_GB2312"/>
          <w:b/>
          <w:kern w:val="0"/>
          <w:sz w:val="24"/>
        </w:rPr>
      </w:pPr>
      <w:r>
        <w:rPr>
          <w:rFonts w:hint="eastAsia" w:ascii="仿宋_GB2312" w:hAnsi="仿宋_GB2312" w:eastAsia="仿宋_GB2312" w:cs="仿宋_GB2312"/>
          <w:b/>
          <w:kern w:val="0"/>
          <w:sz w:val="24"/>
        </w:rPr>
        <w:t>七、签订时间</w:t>
      </w:r>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本合同于</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日签订。</w:t>
      </w:r>
      <w:bookmarkStart w:id="62" w:name="_Toc351203490"/>
      <w:bookmarkStart w:id="63" w:name="_Toc457826148"/>
      <w:bookmarkStart w:id="64" w:name="_Toc406150419"/>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八、签订地点</w:t>
      </w:r>
      <w:bookmarkEnd w:id="62"/>
      <w:bookmarkEnd w:id="63"/>
      <w:bookmarkEnd w:id="64"/>
    </w:p>
    <w:p>
      <w:pPr>
        <w:adjustRightInd w:val="0"/>
        <w:snapToGrid w:val="0"/>
        <w:spacing w:line="360" w:lineRule="auto"/>
        <w:ind w:firstLine="480" w:firstLineChars="200"/>
        <w:rPr>
          <w:rFonts w:ascii="仿宋_GB2312" w:hAnsi="仿宋_GB2312" w:eastAsia="仿宋_GB2312" w:cs="仿宋_GB2312"/>
          <w:sz w:val="24"/>
          <w:u w:val="single"/>
          <w:lang w:bidi="ar"/>
        </w:rPr>
      </w:pPr>
      <w:r>
        <w:rPr>
          <w:rFonts w:hint="eastAsia" w:ascii="仿宋_GB2312" w:hAnsi="仿宋_GB2312" w:eastAsia="仿宋_GB2312" w:cs="仿宋_GB2312"/>
          <w:bCs/>
          <w:sz w:val="24"/>
        </w:rPr>
        <w:t>本合同在</w:t>
      </w:r>
      <w:r>
        <w:rPr>
          <w:rFonts w:hint="eastAsia" w:ascii="仿宋_GB2312" w:hAnsi="仿宋_GB2312" w:eastAsia="仿宋_GB2312" w:cs="仿宋_GB2312"/>
          <w:bCs/>
          <w:sz w:val="24"/>
          <w:u w:val="single"/>
        </w:rPr>
        <w:t xml:space="preserve"> 湖南省长沙市雨花区 </w:t>
      </w:r>
      <w:r>
        <w:rPr>
          <w:rFonts w:hint="eastAsia" w:ascii="仿宋_GB2312" w:hAnsi="仿宋_GB2312" w:eastAsia="仿宋_GB2312" w:cs="仿宋_GB2312"/>
          <w:bCs/>
          <w:sz w:val="24"/>
        </w:rPr>
        <w:t>签订。</w:t>
      </w:r>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九、合同生效</w:t>
      </w:r>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本合同自</w:t>
      </w:r>
      <w:r>
        <w:rPr>
          <w:rFonts w:hint="eastAsia" w:ascii="仿宋_GB2312" w:hAnsi="仿宋_GB2312" w:eastAsia="仿宋_GB2312" w:cs="仿宋_GB2312"/>
          <w:sz w:val="24"/>
          <w:u w:val="single"/>
        </w:rPr>
        <w:t>合同双方法定代表人或其授权代表签字并加盖合同专用章</w:t>
      </w:r>
      <w:r>
        <w:rPr>
          <w:rFonts w:hint="eastAsia" w:ascii="仿宋_GB2312" w:hAnsi="仿宋_GB2312" w:eastAsia="仿宋_GB2312" w:cs="仿宋_GB2312"/>
          <w:bCs/>
          <w:sz w:val="24"/>
        </w:rPr>
        <w:t>生效。</w:t>
      </w:r>
      <w:bookmarkStart w:id="65" w:name="_Toc457826150"/>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十、合同份数</w:t>
      </w:r>
      <w:bookmarkEnd w:id="65"/>
    </w:p>
    <w:bookmarkEnd w:id="58"/>
    <w:p>
      <w:pPr>
        <w:widowControl/>
        <w:snapToGrid w:val="0"/>
        <w:spacing w:line="360" w:lineRule="auto"/>
        <w:ind w:firstLine="465"/>
        <w:jc w:val="left"/>
        <w:rPr>
          <w:rFonts w:ascii="仿宋_GB2312" w:hAnsi="仿宋_GB2312" w:eastAsia="仿宋_GB2312" w:cs="仿宋_GB2312"/>
          <w:sz w:val="24"/>
        </w:rPr>
      </w:pPr>
      <w:r>
        <w:rPr>
          <w:rFonts w:hint="eastAsia" w:ascii="仿宋_GB2312" w:hAnsi="仿宋_GB2312" w:eastAsia="仿宋_GB2312" w:cs="仿宋_GB2312"/>
          <w:sz w:val="24"/>
        </w:rPr>
        <w:t>本合同一式八份（其中正本二份、副本六份），甲方执六份（一正五副）、乙方执二份（一正一副）。合同正本和副本具有同等效力，当合同副本与正本之间存有差异时，以合同正本为准。</w:t>
      </w: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rPr>
          <w:rFonts w:ascii="仿宋_GB2312" w:hAnsi="仿宋_GB2312" w:eastAsia="仿宋_GB2312" w:cs="仿宋_GB2312"/>
          <w:sz w:val="24"/>
        </w:rPr>
      </w:pPr>
      <w:r>
        <w:rPr>
          <w:rFonts w:ascii="仿宋_GB2312" w:hAnsi="仿宋_GB2312" w:eastAsia="仿宋_GB2312" w:cs="仿宋_GB2312"/>
          <w:sz w:val="24"/>
        </w:rPr>
        <w:br w:type="page"/>
      </w:r>
      <w:r>
        <w:rPr>
          <w:rFonts w:hint="eastAsia" w:ascii="仿宋_GB2312" w:hAnsi="仿宋_GB2312" w:eastAsia="仿宋_GB2312" w:cs="仿宋_GB2312"/>
          <w:sz w:val="24"/>
        </w:rPr>
        <w:t>（本页无正文）</w:t>
      </w: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采购人：(盖章)</w:t>
            </w:r>
          </w:p>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供应商：（盖章）</w:t>
            </w:r>
          </w:p>
          <w:p>
            <w:pPr>
              <w:pStyle w:val="25"/>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25"/>
              <w:snapToGrid w:val="0"/>
              <w:spacing w:line="360" w:lineRule="auto"/>
              <w:ind w:left="19" w:leftChars="9"/>
              <w:rPr>
                <w:rFonts w:ascii="仿宋_GB2312" w:hAnsi="仿宋_GB2312" w:eastAsia="仿宋_GB2312" w:cs="仿宋_GB2312"/>
                <w:sz w:val="24"/>
              </w:rPr>
            </w:pP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25"/>
              <w:snapToGrid w:val="0"/>
              <w:spacing w:line="360" w:lineRule="auto"/>
              <w:ind w:left="34" w:leftChars="16"/>
              <w:rPr>
                <w:rFonts w:ascii="仿宋_GB2312" w:hAnsi="仿宋_GB2312" w:eastAsia="仿宋_GB2312" w:cs="仿宋_GB2312"/>
                <w:sz w:val="24"/>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地址：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邮编：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电话：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传真：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账号：</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时间：</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时间：</w:t>
            </w:r>
          </w:p>
        </w:tc>
      </w:tr>
    </w:tbl>
    <w:p>
      <w:pPr>
        <w:adjustRightInd w:val="0"/>
        <w:snapToGrid w:val="0"/>
        <w:spacing w:line="360" w:lineRule="auto"/>
        <w:jc w:val="center"/>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bookmarkStart w:id="66" w:name="_Toc11845"/>
      <w:r>
        <w:rPr>
          <w:rFonts w:hint="eastAsia" w:ascii="仿宋_GB2312" w:hAnsi="仿宋_GB2312" w:eastAsia="仿宋_GB2312" w:cs="仿宋_GB2312"/>
          <w:b/>
          <w:bCs/>
          <w:sz w:val="32"/>
          <w:szCs w:val="32"/>
        </w:rPr>
        <w:t xml:space="preserve">第二部分 </w:t>
      </w:r>
      <w:bookmarkEnd w:id="66"/>
      <w:bookmarkStart w:id="67" w:name="_Toc578"/>
      <w:r>
        <w:rPr>
          <w:rFonts w:hint="eastAsia" w:ascii="仿宋_GB2312" w:hAnsi="仿宋_GB2312" w:eastAsia="仿宋_GB2312" w:cs="仿宋_GB2312"/>
          <w:b/>
          <w:bCs/>
          <w:sz w:val="32"/>
          <w:szCs w:val="32"/>
        </w:rPr>
        <w:t>合同条款</w:t>
      </w:r>
      <w:bookmarkEnd w:id="67"/>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68" w:name="_Toc21196"/>
      <w:r>
        <w:rPr>
          <w:rFonts w:hint="eastAsia" w:ascii="仿宋_GB2312" w:hAnsi="仿宋_GB2312" w:eastAsia="仿宋_GB2312" w:cs="仿宋_GB2312"/>
          <w:b/>
          <w:sz w:val="24"/>
        </w:rPr>
        <w:t>1.定义</w:t>
      </w:r>
      <w:bookmarkEnd w:id="68"/>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1.1合同当事人</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（1）采购人(以下称甲方)是指在合同协议书中指明的购买物资和服务的单位。</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1.2本合同下列术语应解释为：</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（3）“合同价格”系指根据本合同规定乙方在正确地完全履行合同义务后，</w:t>
      </w:r>
      <w:r>
        <w:rPr>
          <w:rFonts w:hint="eastAsia" w:ascii="仿宋_GB2312" w:hAnsi="仿宋_GB2312" w:eastAsia="仿宋_GB2312" w:cs="仿宋_GB2312"/>
          <w:kern w:val="0"/>
          <w:sz w:val="24"/>
        </w:rPr>
        <w:t>按照长沙市政府或其职能部门相关规定，</w:t>
      </w:r>
      <w:r>
        <w:rPr>
          <w:rFonts w:hint="eastAsia" w:ascii="仿宋_GB2312" w:hAnsi="仿宋_GB2312" w:eastAsia="仿宋_GB2312" w:cs="仿宋_GB2312"/>
          <w:sz w:val="24"/>
          <w:u w:val="single"/>
        </w:rPr>
        <w:sym w:font="Wingdings 2" w:char="00A3"/>
      </w:r>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kern w:val="0"/>
          <w:sz w:val="24"/>
          <w:szCs w:val="22"/>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（6）“合同条款”系指本合同条款。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（8）“履约验收”系指按照长沙市政府相关职能部门或长沙市轨道交通集团有限公司或</w:t>
      </w:r>
      <w:r>
        <w:rPr>
          <w:rFonts w:ascii="仿宋_GB2312" w:hAnsi="仿宋_GB2312" w:eastAsia="仿宋_GB2312" w:cs="仿宋_GB2312"/>
          <w:sz w:val="24"/>
        </w:rPr>
        <w:t>长沙市轨道交通集团有限公司</w:t>
      </w:r>
      <w:r>
        <w:rPr>
          <w:rFonts w:hint="eastAsia" w:ascii="仿宋_GB2312" w:hAnsi="仿宋_GB2312" w:eastAsia="仿宋_GB2312" w:cs="仿宋_GB2312"/>
          <w:sz w:val="24"/>
        </w:rPr>
        <w:t>授权的单位制定的履约验收相关管理规定办理验收。</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69" w:name="_Toc22526"/>
      <w:r>
        <w:rPr>
          <w:rFonts w:hint="eastAsia" w:ascii="仿宋_GB2312" w:hAnsi="仿宋_GB2312" w:eastAsia="仿宋_GB2312" w:cs="仿宋_GB2312"/>
          <w:b/>
          <w:sz w:val="24"/>
        </w:rPr>
        <w:t>2.价款支付</w:t>
      </w:r>
      <w:bookmarkEnd w:id="69"/>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2.1预付款</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本项目无预付款。</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2.2 中间付款</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乙方按合同约定完成所有物资供货及相关工作，且</w:t>
      </w:r>
      <w:r>
        <w:rPr>
          <w:rFonts w:hint="eastAsia" w:ascii="仿宋_GB2312" w:hAnsi="仿宋_GB2312" w:eastAsia="仿宋_GB2312" w:cs="仿宋_GB2312"/>
          <w:kern w:val="0"/>
          <w:sz w:val="24"/>
          <w:szCs w:val="22"/>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shd w:val="clear" w:color="auto" w:fill="FFFFFF"/>
        </w:rPr>
        <w:t>/</w:t>
      </w:r>
      <w:r>
        <w:rPr>
          <w:rFonts w:hint="eastAsia" w:ascii="仿宋_GB2312" w:hAnsi="仿宋_GB2312" w:eastAsia="仿宋_GB2312" w:cs="仿宋_GB2312"/>
          <w:kern w:val="0"/>
          <w:sz w:val="24"/>
          <w:szCs w:val="22"/>
          <w:u w:val="single"/>
          <w:shd w:val="clear" w:color="auto" w:fill="FFFFFF"/>
        </w:rPr>
        <w:sym w:font="Wingdings 2" w:char="0052"/>
      </w:r>
      <w:r>
        <w:rPr>
          <w:rFonts w:hint="eastAsia" w:ascii="仿宋_GB2312" w:hAnsi="仿宋_GB2312" w:eastAsia="仿宋_GB2312" w:cs="仿宋_GB2312"/>
          <w:kern w:val="0"/>
          <w:sz w:val="24"/>
          <w:szCs w:val="22"/>
          <w:u w:val="single"/>
          <w:shd w:val="clear" w:color="auto" w:fill="FFFFFF"/>
        </w:rPr>
        <w:t>本项目履约验收合格</w:t>
      </w:r>
      <w:r>
        <w:rPr>
          <w:rFonts w:hint="eastAsia" w:ascii="仿宋_GB2312" w:hAnsi="仿宋_GB2312" w:eastAsia="仿宋_GB2312" w:cs="仿宋_GB2312"/>
          <w:sz w:val="24"/>
          <w:lang w:bidi="ar"/>
        </w:rPr>
        <w:t>，在收到经甲方批复的支付申请等资料并证实完整无误后28个工作日内，支付至合同价格的97%</w:t>
      </w:r>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2.3最终付款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质保期满且物资无质量问题，收到</w:t>
      </w:r>
      <w:r>
        <w:rPr>
          <w:rFonts w:hint="eastAsia" w:ascii="仿宋_GB2312" w:hAnsi="仿宋_GB2312" w:eastAsia="仿宋_GB2312" w:cs="仿宋_GB2312"/>
          <w:sz w:val="24"/>
          <w:lang w:bidi="ar"/>
        </w:rPr>
        <w:t>经甲方批复的</w:t>
      </w:r>
      <w:r>
        <w:rPr>
          <w:rFonts w:hint="eastAsia" w:ascii="仿宋_GB2312" w:hAnsi="仿宋_GB2312" w:eastAsia="仿宋_GB2312" w:cs="仿宋_GB2312"/>
          <w:sz w:val="24"/>
        </w:rPr>
        <w:t>支付请求等资料并</w:t>
      </w:r>
      <w:r>
        <w:rPr>
          <w:rFonts w:hint="eastAsia" w:ascii="仿宋_GB2312" w:hAnsi="仿宋_GB2312" w:eastAsia="仿宋_GB2312" w:cs="仿宋_GB2312"/>
          <w:sz w:val="24"/>
          <w:lang w:bidi="ar"/>
        </w:rPr>
        <w:t>证实完整无误后</w:t>
      </w:r>
      <w:r>
        <w:rPr>
          <w:rFonts w:hint="eastAsia" w:ascii="仿宋_GB2312" w:hAnsi="仿宋_GB2312" w:eastAsia="仿宋_GB2312" w:cs="仿宋_GB2312"/>
          <w:sz w:val="24"/>
        </w:rPr>
        <w:t>28个工作日内，支付合同价格的剩余款项。</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0" w:name="_Toc4426"/>
      <w:r>
        <w:rPr>
          <w:rFonts w:hint="eastAsia" w:ascii="仿宋_GB2312" w:hAnsi="仿宋_GB2312" w:eastAsia="仿宋_GB2312" w:cs="仿宋_GB2312"/>
          <w:b/>
          <w:bCs/>
          <w:sz w:val="24"/>
        </w:rPr>
        <w:t>3.</w:t>
      </w:r>
      <w:r>
        <w:rPr>
          <w:rFonts w:hint="eastAsia" w:ascii="仿宋_GB2312" w:hAnsi="仿宋_GB2312" w:eastAsia="仿宋_GB2312" w:cs="仿宋_GB2312"/>
          <w:b/>
          <w:sz w:val="24"/>
        </w:rPr>
        <w:t>合同履行的时间、地点和方式</w:t>
      </w:r>
      <w:bookmarkEnd w:id="70"/>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 乙方应当按甲方</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规定的时间、地点、方式履行合同。</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1" w:name="_Toc16729"/>
      <w:r>
        <w:rPr>
          <w:rFonts w:hint="eastAsia" w:ascii="仿宋_GB2312" w:hAnsi="仿宋_GB2312" w:eastAsia="仿宋_GB2312" w:cs="仿宋_GB2312"/>
          <w:b/>
          <w:sz w:val="24"/>
        </w:rPr>
        <w:t>4.物资的验收</w:t>
      </w:r>
      <w:bookmarkEnd w:id="71"/>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4.4甲方检查验收合格后，应当签署检验结果记录或开箱检验单或开箱意见。</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ascii="仿宋_GB2312" w:hAnsi="仿宋_GB2312" w:eastAsia="仿宋_GB2312" w:cs="仿宋_GB2312"/>
          <w:strike/>
          <w:sz w:val="24"/>
        </w:rPr>
      </w:pPr>
      <w:r>
        <w:rPr>
          <w:rFonts w:hint="eastAsia" w:ascii="仿宋_GB2312" w:hAnsi="仿宋_GB2312" w:eastAsia="仿宋_GB2312" w:cs="仿宋_GB2312"/>
          <w:sz w:val="24"/>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2" w:name="_Toc32644"/>
      <w:r>
        <w:rPr>
          <w:rFonts w:hint="eastAsia" w:ascii="仿宋_GB2312" w:hAnsi="仿宋_GB2312" w:eastAsia="仿宋_GB2312" w:cs="仿宋_GB2312"/>
          <w:b/>
          <w:sz w:val="24"/>
        </w:rPr>
        <w:t>5.物资包装要求</w:t>
      </w:r>
      <w:bookmarkEnd w:id="72"/>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 每一个包装箱内应附下列文件：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（1）包括说明合同名称、物资名称、型号、规格、数量等的详细装箱单；</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（2）供货商或生产商出具的产品合格证；</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（3）产品说明书（包括组装、安装图）；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3" w:name="_Toc29550"/>
      <w:r>
        <w:rPr>
          <w:rFonts w:hint="eastAsia" w:ascii="仿宋_GB2312" w:hAnsi="仿宋_GB2312" w:eastAsia="仿宋_GB2312" w:cs="仿宋_GB2312"/>
          <w:b/>
          <w:sz w:val="24"/>
        </w:rPr>
        <w:t>6.运输和保险</w:t>
      </w:r>
      <w:bookmarkEnd w:id="73"/>
    </w:p>
    <w:p>
      <w:pPr>
        <w:tabs>
          <w:tab w:val="left" w:pos="1248"/>
        </w:tabs>
        <w:adjustRightInd w:val="0"/>
        <w:snapToGrid w:val="0"/>
        <w:spacing w:line="360" w:lineRule="auto"/>
        <w:ind w:firstLine="480" w:firstLineChars="200"/>
        <w:outlineLvl w:val="1"/>
        <w:rPr>
          <w:rFonts w:ascii="仿宋_GB2312" w:hAnsi="仿宋_GB2312" w:eastAsia="仿宋_GB2312" w:cs="仿宋_GB2312"/>
          <w:i/>
          <w:strike/>
          <w:sz w:val="24"/>
        </w:rPr>
      </w:pPr>
      <w:r>
        <w:rPr>
          <w:rFonts w:hint="eastAsia" w:ascii="仿宋_GB2312" w:hAnsi="仿宋_GB2312" w:eastAsia="仿宋_GB2312" w:cs="仿宋_GB2312"/>
          <w:sz w:val="24"/>
        </w:rPr>
        <w:t>6.1乙方负责办理和承担将物资运抵本合同第3.1条规定的交货地点的一切事项和风险，相关费用已包括在签约合同价中。</w:t>
      </w:r>
      <w:bookmarkStart w:id="74" w:name="_Toc36"/>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7.质量标准和保证</w:t>
      </w:r>
      <w:bookmarkEnd w:id="74"/>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 质量标准</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（2）国家实施强制性产品认证的，须具有认证标志。</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7.2 保证</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（3）本合同质量保证期以</w:t>
      </w:r>
      <w:r>
        <w:rPr>
          <w:rFonts w:hint="eastAsia" w:ascii="仿宋_GB2312" w:hAnsi="仿宋_GB2312" w:eastAsia="仿宋_GB2312" w:cs="仿宋_GB2312"/>
          <w:sz w:val="24"/>
          <w:u w:val="single"/>
        </w:rPr>
        <w:t>用户需求书/技术规格书约定为准</w:t>
      </w:r>
      <w:r>
        <w:rPr>
          <w:rFonts w:hint="eastAsia" w:ascii="仿宋_GB2312" w:hAnsi="仿宋_GB2312" w:eastAsia="仿宋_GB2312" w:cs="仿宋_GB2312"/>
          <w:sz w:val="24"/>
        </w:rPr>
        <w:t>。如物资原厂保修期长于本合同约定质量保证期的，以原厂保修期为准</w:t>
      </w:r>
      <w:r>
        <w:rPr>
          <w:rFonts w:hint="eastAsia" w:ascii="仿宋_GB2312" w:hAnsi="仿宋_GB2312" w:eastAsia="仿宋_GB2312" w:cs="仿宋_GB2312"/>
          <w:sz w:val="24"/>
          <w:lang w:val="en-GB"/>
        </w:rPr>
        <w:t>。</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（7）在质量保证期后，在合同及</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5" w:name="_Toc1429"/>
      <w:r>
        <w:rPr>
          <w:rFonts w:hint="eastAsia" w:ascii="仿宋_GB2312" w:hAnsi="仿宋_GB2312" w:eastAsia="仿宋_GB2312" w:cs="仿宋_GB2312"/>
          <w:b/>
          <w:sz w:val="24"/>
        </w:rPr>
        <w:t>8.履约担保</w:t>
      </w:r>
      <w:bookmarkEnd w:id="75"/>
    </w:p>
    <w:p>
      <w:pPr>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 xml:space="preserve">8.1 </w:t>
      </w:r>
      <w:r>
        <w:rPr>
          <w:rFonts w:hint="eastAsia" w:ascii="仿宋_GB2312" w:hAnsi="仿宋_GB2312" w:eastAsia="仿宋_GB2312" w:cs="仿宋_GB2312"/>
          <w:kern w:val="0"/>
          <w:sz w:val="24"/>
        </w:rPr>
        <w:t>乙方</w:t>
      </w:r>
      <w:r>
        <w:rPr>
          <w:rFonts w:hint="eastAsia" w:ascii="仿宋_GB2312" w:hAnsi="仿宋_GB2312" w:eastAsia="仿宋_GB2312" w:cs="仿宋_GB2312"/>
          <w:kern w:val="0"/>
          <w:sz w:val="24"/>
          <w:u w:val="single"/>
        </w:rPr>
        <w:sym w:font="Wingdings 2" w:char="0052"/>
      </w:r>
      <w:r>
        <w:rPr>
          <w:rFonts w:hint="eastAsia" w:ascii="仿宋_GB2312" w:hAnsi="仿宋_GB2312" w:eastAsia="仿宋_GB2312" w:cs="仿宋_GB2312"/>
          <w:kern w:val="0"/>
          <w:sz w:val="24"/>
          <w:u w:val="single"/>
        </w:rPr>
        <w:t>需要</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□不需要</w:t>
      </w:r>
      <w:r>
        <w:rPr>
          <w:rFonts w:hint="eastAsia" w:ascii="仿宋_GB2312" w:hAnsi="仿宋_GB2312" w:eastAsia="仿宋_GB2312" w:cs="仿宋_GB2312"/>
          <w:kern w:val="0"/>
          <w:sz w:val="24"/>
        </w:rPr>
        <w:t>提供履约担保。</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bookmarkStart w:id="76" w:name="_Toc954"/>
      <w:r>
        <w:rPr>
          <w:rFonts w:hint="eastAsia" w:ascii="仿宋_GB2312" w:hAnsi="仿宋_GB2312" w:eastAsia="仿宋_GB2312" w:cs="仿宋_GB2312"/>
          <w:kern w:val="0"/>
          <w:sz w:val="24"/>
        </w:rPr>
        <w:t>8.2如需要乙方提供履约担保，则：</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8.2.1履约担保用于补偿甲方因乙方不能完成其合同义务而蒙受的损失，是办理投标担保（如有）退还手续及合同价款支付手续的必要条件之一。</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8.2.2乙方提供履约担保的形式、金额及期限可采用以下方式之一 ：</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采用现金形式，现金担保额度为签约合同价的10%，担保期限为履约保证金到账之日起至合同约定执行计划中供货、安装、调试最晚之日止。履约担保以现金形式提交的，乙方应从其基本账户通过转账或电汇至甲方指定的账户。</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8.2.3如需提供履约担保，则乙方应确保提供的银行履约保函持续有效，在银行履约保函到期前1个月内办理好续保手续，并向甲方提供新的有效的银行履约保函。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8.2.4如需提供履约担保，合同履约未完成而履约担保到期的，乙方应在履约担保到期后的首次办理合同价款支付手续时提供有效的续保文件。</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8.2.5在乙方完成其合同义务包括任何保证义务后，甲方将把履约担保无息退还乙方。</w:t>
      </w:r>
    </w:p>
    <w:p>
      <w:pPr>
        <w:tabs>
          <w:tab w:val="left" w:pos="1248"/>
        </w:tabs>
        <w:adjustRightInd w:val="0"/>
        <w:snapToGrid w:val="0"/>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9.知识产权保护</w:t>
      </w:r>
      <w:bookmarkEnd w:id="76"/>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ascii="仿宋_GB2312" w:hAnsi="仿宋_GB2312" w:eastAsia="仿宋_GB2312" w:cs="仿宋_GB2312"/>
          <w:sz w:val="24"/>
        </w:rPr>
      </w:pPr>
      <w:bookmarkStart w:id="77" w:name="_Toc11812"/>
      <w:r>
        <w:rPr>
          <w:rFonts w:hint="eastAsia" w:ascii="仿宋_GB2312" w:hAnsi="仿宋_GB2312" w:eastAsia="仿宋_GB2312" w:cs="仿宋_GB2312"/>
          <w:b/>
          <w:sz w:val="24"/>
        </w:rPr>
        <w:t>10.服务</w:t>
      </w:r>
      <w:bookmarkEnd w:id="77"/>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10.2 乙方还应提供下列服务：</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（1）物资的现场移动、安装调试（如果有）、安装督导（如果有）及技术支持；</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（2）提供物资组装和维修所需的专用工具和辅助材料（如果有）；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（4）用户需求书及技术规格书规定的其他服务。</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8" w:name="_Toc27596"/>
      <w:r>
        <w:rPr>
          <w:rFonts w:hint="eastAsia" w:ascii="仿宋_GB2312" w:hAnsi="仿宋_GB2312" w:eastAsia="仿宋_GB2312" w:cs="仿宋_GB2312"/>
          <w:b/>
          <w:sz w:val="24"/>
        </w:rPr>
        <w:t>11.违约及赔偿责任</w:t>
      </w:r>
      <w:bookmarkEnd w:id="78"/>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11.1 迟延交货的违约责任</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（2）除非甲方书面同意延迟到货外，如果乙方没有按照合同规定的时间交货，每延误一天，</w:t>
      </w:r>
      <w:r>
        <w:rPr>
          <w:rFonts w:hint="eastAsia" w:ascii="仿宋_GB2312" w:hAnsi="仿宋_GB2312" w:eastAsia="仿宋_GB2312" w:cs="仿宋_GB2312"/>
          <w:kern w:val="0"/>
          <w:sz w:val="24"/>
        </w:rPr>
        <w:t>甲方有权要求乙方</w:t>
      </w:r>
      <w:r>
        <w:rPr>
          <w:rFonts w:hint="eastAsia" w:ascii="仿宋_GB2312" w:hAnsi="仿宋_GB2312" w:eastAsia="仿宋_GB2312" w:cs="仿宋_GB2312"/>
          <w:sz w:val="24"/>
        </w:rPr>
        <w:t>按延迟交货物资价格的1%交纳违约金，违约金最高不超过该批物资价格的20%。</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11.2服务不合格违约</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rPr>
        <w:t>甲方有权要求乙方</w:t>
      </w:r>
      <w:r>
        <w:rPr>
          <w:rFonts w:hint="eastAsia" w:ascii="仿宋_GB2312" w:hAnsi="仿宋_GB2312" w:eastAsia="仿宋_GB2312" w:cs="仿宋_GB2312"/>
          <w:sz w:val="24"/>
        </w:rPr>
        <w:t>交纳人民币1000元/次的违约金。</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11.3 货物不合格违约</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11.4乙方应以现金或转账方式交纳违约金，甲方根据税法相关规定开具收款收据或增值税发票。</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11.5乙方在接到甲方的违约通知后，应按通知要求交纳违约金；否则，甲方有权暂停合同价款支付或从乙方的合同价款中扣除相应的违约金。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11.6赔偿责任</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（1）乙方包装物资时未尽到合理注意义务，导致物资毁损或灭失的，由乙方承担赔偿责任。</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（2）发生因乙方违约导致甲方损失的，乙方除承担本合同约定的违约金外，同时一并承担由此给甲方造成的损失。</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（3）乙方未履行保密义务给甲方或任何第三方造成损失的，乙方应承担相应的赔偿责任。</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ascii="仿宋_GB2312" w:hAnsi="仿宋_GB2312" w:eastAsia="仿宋_GB2312" w:cs="仿宋_GB2312"/>
          <w:sz w:val="24"/>
        </w:rPr>
      </w:pPr>
      <w:bookmarkStart w:id="79" w:name="_Toc9629"/>
      <w:r>
        <w:rPr>
          <w:rFonts w:hint="eastAsia" w:ascii="仿宋_GB2312" w:hAnsi="仿宋_GB2312" w:eastAsia="仿宋_GB2312" w:cs="仿宋_GB2312"/>
          <w:b/>
          <w:sz w:val="24"/>
        </w:rPr>
        <w:t>12.不可抗力</w:t>
      </w:r>
      <w:bookmarkEnd w:id="79"/>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80" w:name="_Toc351203608"/>
      <w:r>
        <w:rPr>
          <w:rFonts w:hint="eastAsia" w:ascii="仿宋_GB2312" w:hAnsi="仿宋_GB2312" w:eastAsia="仿宋_GB2312" w:cs="仿宋_GB2312"/>
          <w:kern w:val="0"/>
          <w:sz w:val="24"/>
          <w:shd w:val="clear" w:color="auto" w:fill="FFFFFF"/>
        </w:rPr>
        <w:t>12</w:t>
      </w:r>
      <w:r>
        <w:rPr>
          <w:rFonts w:ascii="仿宋_GB2312" w:hAnsi="仿宋_GB2312" w:eastAsia="仿宋_GB2312" w:cs="仿宋_GB2312"/>
          <w:kern w:val="0"/>
          <w:sz w:val="24"/>
          <w:shd w:val="clear" w:color="auto" w:fill="FFFFFF"/>
        </w:rPr>
        <w:t>.1</w:t>
      </w:r>
      <w:bookmarkEnd w:id="80"/>
      <w:r>
        <w:rPr>
          <w:rFonts w:hint="eastAsia" w:ascii="仿宋_GB2312" w:hAnsi="仿宋_GB2312" w:eastAsia="仿宋_GB2312" w:cs="仿宋_GB2312"/>
          <w:kern w:val="0"/>
          <w:sz w:val="24"/>
          <w:shd w:val="clear" w:color="auto" w:fill="FFFFFF"/>
        </w:rPr>
        <w:t>不可抗力的确认</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不可抗力发生后，合同当事人应收集证明不可抗力发生及不可抗力造成损失的证据，并及时认真统计所造成的损失。合同当事人对是否属于不可抗力或其损失发生争议时，按第15</w:t>
      </w:r>
      <w:r>
        <w:rPr>
          <w:rFonts w:ascii="仿宋_GB2312" w:hAnsi="仿宋_GB2312" w:eastAsia="仿宋_GB2312" w:cs="仿宋_GB2312"/>
          <w:kern w:val="0"/>
          <w:sz w:val="24"/>
          <w:shd w:val="clear" w:color="auto" w:fill="FFFFFF"/>
        </w:rPr>
        <w:t>条〔争议解决〕的约定处理。</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81" w:name="_Toc296503118"/>
      <w:bookmarkEnd w:id="81"/>
      <w:bookmarkStart w:id="82" w:name="_Toc337558825"/>
      <w:bookmarkEnd w:id="82"/>
      <w:bookmarkStart w:id="83" w:name="_Toc296346619"/>
      <w:bookmarkEnd w:id="83"/>
      <w:bookmarkStart w:id="84" w:name="_Toc351203609"/>
      <w:r>
        <w:rPr>
          <w:rFonts w:hint="eastAsia" w:ascii="仿宋_GB2312" w:hAnsi="仿宋_GB2312" w:eastAsia="仿宋_GB2312" w:cs="仿宋_GB2312"/>
          <w:kern w:val="0"/>
          <w:sz w:val="24"/>
          <w:shd w:val="clear" w:color="auto" w:fill="FFFFFF"/>
        </w:rPr>
        <w:t>12</w:t>
      </w:r>
      <w:r>
        <w:rPr>
          <w:rFonts w:ascii="仿宋_GB2312" w:hAnsi="仿宋_GB2312" w:eastAsia="仿宋_GB2312" w:cs="仿宋_GB2312"/>
          <w:kern w:val="0"/>
          <w:sz w:val="24"/>
          <w:shd w:val="clear" w:color="auto" w:fill="FFFFFF"/>
        </w:rPr>
        <w:t>.2</w:t>
      </w:r>
      <w:bookmarkEnd w:id="84"/>
      <w:r>
        <w:rPr>
          <w:rFonts w:hint="eastAsia" w:ascii="仿宋_GB2312" w:hAnsi="仿宋_GB2312" w:eastAsia="仿宋_GB2312" w:cs="仿宋_GB2312"/>
          <w:kern w:val="0"/>
          <w:sz w:val="24"/>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不可抗力持续发生的，合同一方当事人应及时向合同另一方当事人提交中间报告，说明不可抗力和履行合同受阻的情况，并于不可抗力事件结束后</w:t>
      </w:r>
      <w:r>
        <w:rPr>
          <w:rFonts w:ascii="仿宋_GB2312" w:hAnsi="仿宋_GB2312" w:eastAsia="仿宋_GB2312" w:cs="仿宋_GB2312"/>
          <w:kern w:val="0"/>
          <w:sz w:val="24"/>
          <w:shd w:val="clear" w:color="auto" w:fill="FFFFFF"/>
        </w:rPr>
        <w:t>28天内提交最终报告及有关资料。</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85" w:name="_Toc296503119"/>
      <w:bookmarkEnd w:id="85"/>
      <w:bookmarkStart w:id="86" w:name="_Toc296346620"/>
      <w:bookmarkEnd w:id="86"/>
      <w:bookmarkStart w:id="87" w:name="_Toc337558826"/>
      <w:bookmarkEnd w:id="87"/>
      <w:bookmarkStart w:id="88" w:name="_Toc351203610"/>
      <w:r>
        <w:rPr>
          <w:rFonts w:hint="eastAsia" w:ascii="仿宋_GB2312" w:hAnsi="仿宋_GB2312" w:eastAsia="仿宋_GB2312" w:cs="仿宋_GB2312"/>
          <w:kern w:val="0"/>
          <w:sz w:val="24"/>
          <w:shd w:val="clear" w:color="auto" w:fill="FFFFFF"/>
        </w:rPr>
        <w:t>12</w:t>
      </w:r>
      <w:r>
        <w:rPr>
          <w:rFonts w:ascii="仿宋_GB2312" w:hAnsi="仿宋_GB2312" w:eastAsia="仿宋_GB2312" w:cs="仿宋_GB2312"/>
          <w:kern w:val="0"/>
          <w:sz w:val="24"/>
          <w:shd w:val="clear" w:color="auto" w:fill="FFFFFF"/>
        </w:rPr>
        <w:t>.3</w:t>
      </w:r>
      <w:bookmarkEnd w:id="88"/>
      <w:r>
        <w:rPr>
          <w:rFonts w:hint="eastAsia" w:ascii="仿宋_GB2312" w:hAnsi="仿宋_GB2312" w:eastAsia="仿宋_GB2312" w:cs="仿宋_GB2312"/>
          <w:kern w:val="0"/>
          <w:sz w:val="24"/>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ascii="仿宋_GB2312" w:hAnsi="仿宋_GB2312" w:eastAsia="仿宋_GB2312" w:cs="仿宋_GB2312"/>
        </w:rPr>
      </w:pPr>
      <w:r>
        <w:rPr>
          <w:rFonts w:ascii="仿宋_GB2312" w:hAnsi="仿宋_GB2312" w:eastAsia="仿宋_GB2312" w:cs="仿宋_GB2312"/>
          <w:bCs/>
          <w:sz w:val="24"/>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13.合同终止</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bCs/>
          <w:sz w:val="24"/>
        </w:rPr>
        <w:t xml:space="preserve">13.1 </w:t>
      </w:r>
      <w:r>
        <w:rPr>
          <w:rFonts w:hint="eastAsia" w:ascii="仿宋_GB2312" w:hAnsi="仿宋_GB2312" w:eastAsia="仿宋_GB2312" w:cs="仿宋_GB2312"/>
          <w:kern w:val="0"/>
          <w:sz w:val="24"/>
        </w:rPr>
        <w:t>甲方、乙方履行合同全部义务，合同价款支付完毕，本合同即告终止。</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13.2合同的权利义务终止后，合同当事人应遵循诚实信用原则，履行通知、协助和保密等义务。</w:t>
      </w:r>
    </w:p>
    <w:p>
      <w:pPr>
        <w:snapToGrid w:val="0"/>
        <w:spacing w:line="360" w:lineRule="auto"/>
        <w:ind w:firstLine="480"/>
        <w:outlineLvl w:val="1"/>
        <w:rPr>
          <w:rFonts w:ascii="仿宋_GB2312" w:hAnsi="仿宋_GB2312" w:eastAsia="仿宋_GB2312" w:cs="仿宋_GB2312"/>
          <w:b/>
          <w:sz w:val="24"/>
        </w:rPr>
      </w:pPr>
      <w:r>
        <w:rPr>
          <w:rFonts w:hint="eastAsia" w:ascii="仿宋_GB2312" w:hAnsi="仿宋_GB2312" w:eastAsia="仿宋_GB2312" w:cs="仿宋_GB2312"/>
          <w:b/>
          <w:sz w:val="24"/>
        </w:rPr>
        <w:t>14.合同解除</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14.1本合同一经签订，双方不得擅自变更、解除合同。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14.2有下列情形之一的，合同当事人一方或双方可以解除合同：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（1）乙方将本合同约定的物资及服务工作全部或部分转包给他人，甲方有权解除合同；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（2）乙方提供的物资及服务不符合合同约定的要求，经甲方催告仍不能达到合同约定要求的，甲方有权解除合同；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（3）因不可抗力致使合同无法履行；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（4）因一方违约致使合同无法实际履行或实际履行已无必要；</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（5）违约金总额超过合同签约合同价的20%，甲方有权解除合同。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14.3任何一方提出解除合同的，应提前30天书面通知对方，违约方应赔偿由此给守约方造成的直接损失和间接损失。</w:t>
      </w:r>
      <w:r>
        <w:rPr>
          <w:rFonts w:ascii="仿宋_GB2312" w:hAnsi="仿宋_GB2312" w:eastAsia="仿宋_GB2312" w:cs="仿宋_GB2312"/>
          <w:sz w:val="24"/>
        </w:rPr>
        <w:t>因不可抗力导致的合同解除，双方各自承担自身的损失。</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w:t>
      </w:r>
      <w:r>
        <w:rPr>
          <w:rFonts w:ascii="仿宋_GB2312" w:hAnsi="仿宋_GB2312" w:eastAsia="仿宋_GB2312" w:cs="仿宋_GB2312"/>
          <w:sz w:val="24"/>
        </w:rPr>
        <w:t>.</w:t>
      </w:r>
      <w:r>
        <w:rPr>
          <w:rFonts w:hint="eastAsia" w:ascii="仿宋_GB2312" w:hAnsi="仿宋_GB2312" w:eastAsia="仿宋_GB2312" w:cs="仿宋_GB2312"/>
          <w:sz w:val="24"/>
        </w:rPr>
        <w:t>4因乙方原因提前终止合同的，乙方应承担由此给甲方造成的损失，甲方有权没收乙方所交履约担保（如有），同时甲方有权要求乙方按签约合同价的20%交纳违约金。</w:t>
      </w:r>
      <w:r>
        <w:rPr>
          <w:rFonts w:ascii="仿宋_GB2312" w:hAnsi="仿宋_GB2312" w:eastAsia="仿宋_GB2312" w:cs="仿宋_GB2312"/>
          <w:sz w:val="24"/>
        </w:rPr>
        <w:t>解除部分合同的，甲方</w:t>
      </w:r>
      <w:r>
        <w:rPr>
          <w:rFonts w:hint="eastAsia" w:ascii="仿宋_GB2312" w:hAnsi="仿宋_GB2312" w:eastAsia="仿宋_GB2312" w:cs="仿宋_GB2312"/>
          <w:sz w:val="24"/>
        </w:rPr>
        <w:t>有权另行</w:t>
      </w:r>
      <w:r>
        <w:rPr>
          <w:rFonts w:ascii="仿宋_GB2312" w:hAnsi="仿宋_GB2312" w:eastAsia="仿宋_GB2312" w:cs="仿宋_GB2312"/>
          <w:sz w:val="24"/>
        </w:rPr>
        <w:t>采购</w:t>
      </w:r>
      <w:r>
        <w:rPr>
          <w:rFonts w:hint="eastAsia" w:ascii="仿宋_GB2312" w:hAnsi="仿宋_GB2312" w:eastAsia="仿宋_GB2312" w:cs="仿宋_GB2312"/>
          <w:sz w:val="24"/>
        </w:rPr>
        <w:t>因部分解除合同而</w:t>
      </w:r>
      <w:r>
        <w:rPr>
          <w:rFonts w:ascii="仿宋_GB2312" w:hAnsi="仿宋_GB2312" w:eastAsia="仿宋_GB2312" w:cs="仿宋_GB2312"/>
          <w:sz w:val="24"/>
        </w:rPr>
        <w:t>乙方未履行部分</w:t>
      </w:r>
      <w:r>
        <w:rPr>
          <w:rFonts w:hint="eastAsia" w:ascii="仿宋_GB2312" w:hAnsi="仿宋_GB2312" w:eastAsia="仿宋_GB2312" w:cs="仿宋_GB2312"/>
          <w:sz w:val="24"/>
        </w:rPr>
        <w:t>，</w:t>
      </w:r>
      <w:r>
        <w:rPr>
          <w:rFonts w:ascii="仿宋_GB2312" w:hAnsi="仿宋_GB2312" w:eastAsia="仿宋_GB2312" w:cs="仿宋_GB2312"/>
          <w:sz w:val="24"/>
        </w:rPr>
        <w:t>乙方应承担甲方</w:t>
      </w:r>
      <w:r>
        <w:rPr>
          <w:rFonts w:hint="eastAsia" w:ascii="仿宋_GB2312" w:hAnsi="仿宋_GB2312" w:eastAsia="仿宋_GB2312" w:cs="仿宋_GB2312"/>
          <w:sz w:val="24"/>
        </w:rPr>
        <w:t>由此产生的</w:t>
      </w:r>
      <w:r>
        <w:rPr>
          <w:rFonts w:ascii="仿宋_GB2312" w:hAnsi="仿宋_GB2312" w:eastAsia="仿宋_GB2312" w:cs="仿宋_GB2312"/>
          <w:sz w:val="24"/>
        </w:rPr>
        <w:t>费用并继续履行合同中未解除的部分。</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14</w:t>
      </w:r>
      <w:r>
        <w:rPr>
          <w:rFonts w:ascii="仿宋_GB2312" w:hAnsi="仿宋_GB2312" w:eastAsia="仿宋_GB2312" w:cs="仿宋_GB2312"/>
          <w:sz w:val="24"/>
        </w:rPr>
        <w:t>.</w:t>
      </w:r>
      <w:r>
        <w:rPr>
          <w:rFonts w:hint="eastAsia" w:ascii="仿宋_GB2312" w:hAnsi="仿宋_GB2312" w:eastAsia="仿宋_GB2312" w:cs="仿宋_GB2312"/>
          <w:sz w:val="24"/>
        </w:rPr>
        <w:t>5</w:t>
      </w:r>
      <w:r>
        <w:rPr>
          <w:rFonts w:ascii="仿宋_GB2312" w:hAnsi="仿宋_GB2312" w:eastAsia="仿宋_GB2312" w:cs="仿宋_GB2312"/>
          <w:sz w:val="24"/>
        </w:rPr>
        <w:t>合同解除后，本合同约定的有关结算、争议解决方式的条款仍然有效。</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89" w:name="_Toc19594"/>
      <w:r>
        <w:rPr>
          <w:rFonts w:hint="eastAsia" w:ascii="仿宋_GB2312" w:hAnsi="仿宋_GB2312" w:eastAsia="仿宋_GB2312" w:cs="仿宋_GB2312"/>
          <w:b/>
          <w:sz w:val="24"/>
        </w:rPr>
        <w:t>15.争议解决</w:t>
      </w:r>
      <w:bookmarkEnd w:id="89"/>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种方式解决：</w:t>
      </w:r>
    </w:p>
    <w:p>
      <w:pPr>
        <w:numPr>
          <w:ilvl w:val="0"/>
          <w:numId w:val="6"/>
        </w:numPr>
        <w:tabs>
          <w:tab w:val="left" w:pos="0"/>
        </w:tabs>
        <w:adjustRightInd w:val="0"/>
        <w:snapToGrid w:val="0"/>
        <w:spacing w:line="360" w:lineRule="auto"/>
        <w:ind w:left="7" w:firstLine="413"/>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向</w:t>
      </w:r>
      <w:r>
        <w:rPr>
          <w:rFonts w:hint="eastAsia" w:ascii="仿宋_GB2312" w:hAnsi="仿宋_GB2312" w:eastAsia="仿宋_GB2312" w:cs="仿宋_GB2312"/>
          <w:kern w:val="0"/>
          <w:sz w:val="24"/>
          <w:u w:val="single"/>
        </w:rPr>
        <w:t>长沙</w:t>
      </w:r>
      <w:r>
        <w:rPr>
          <w:rFonts w:hint="eastAsia" w:ascii="仿宋_GB2312" w:hAnsi="仿宋_GB2312" w:eastAsia="仿宋_GB2312" w:cs="仿宋_GB2312"/>
          <w:kern w:val="0"/>
          <w:sz w:val="24"/>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kern w:val="0"/>
          <w:sz w:val="24"/>
        </w:rPr>
        <w:t>（2）向</w:t>
      </w:r>
      <w:r>
        <w:rPr>
          <w:rFonts w:hint="eastAsia" w:ascii="仿宋_GB2312" w:hAnsi="仿宋_GB2312" w:eastAsia="仿宋_GB2312" w:cs="仿宋_GB2312"/>
          <w:kern w:val="0"/>
          <w:sz w:val="24"/>
          <w:u w:val="single"/>
        </w:rPr>
        <w:t>甲方所在地（长沙市雨花区）</w:t>
      </w:r>
      <w:r>
        <w:rPr>
          <w:rFonts w:hint="eastAsia" w:ascii="仿宋_GB2312" w:hAnsi="仿宋_GB2312" w:eastAsia="仿宋_GB2312" w:cs="仿宋_GB2312"/>
          <w:kern w:val="0"/>
          <w:sz w:val="24"/>
        </w:rPr>
        <w:t>人民法院起诉。</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90" w:name="_Toc7592"/>
      <w:r>
        <w:rPr>
          <w:rFonts w:hint="eastAsia" w:ascii="仿宋_GB2312" w:hAnsi="仿宋_GB2312" w:eastAsia="仿宋_GB2312" w:cs="仿宋_GB2312"/>
          <w:b/>
          <w:sz w:val="24"/>
        </w:rPr>
        <w:t>16.法律适用</w:t>
      </w:r>
      <w:bookmarkEnd w:id="90"/>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91" w:name="_Toc20811"/>
      <w:r>
        <w:rPr>
          <w:rFonts w:hint="eastAsia" w:ascii="仿宋_GB2312" w:hAnsi="仿宋_GB2312" w:eastAsia="仿宋_GB2312" w:cs="仿宋_GB2312"/>
          <w:b/>
          <w:sz w:val="24"/>
        </w:rPr>
        <w:t>17.通知</w:t>
      </w:r>
      <w:bookmarkEnd w:id="91"/>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17.1本合同一方给另一方的通知均应采用书面形式，传真或快递送到本合同中规定的对方的地址和办理签收手续，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ascii="仿宋_GB2312" w:hAnsi="仿宋_GB2312" w:eastAsia="仿宋_GB2312" w:cs="仿宋_GB2312"/>
          <w:bCs/>
          <w:sz w:val="24"/>
        </w:rPr>
      </w:pPr>
      <w:bookmarkStart w:id="92" w:name="_Toc5979"/>
      <w:r>
        <w:rPr>
          <w:rFonts w:hint="eastAsia" w:ascii="仿宋_GB2312" w:hAnsi="仿宋_GB2312" w:eastAsia="仿宋_GB2312" w:cs="仿宋_GB2312"/>
          <w:b/>
          <w:bCs/>
          <w:sz w:val="24"/>
        </w:rPr>
        <w:t>18</w:t>
      </w:r>
      <w:r>
        <w:rPr>
          <w:rFonts w:hint="eastAsia" w:ascii="仿宋_GB2312" w:hAnsi="仿宋_GB2312" w:eastAsia="仿宋_GB2312" w:cs="仿宋_GB2312"/>
          <w:b/>
          <w:sz w:val="24"/>
        </w:rPr>
        <w:t>.</w:t>
      </w:r>
      <w:r>
        <w:rPr>
          <w:rFonts w:hint="eastAsia" w:ascii="仿宋_GB2312" w:hAnsi="仿宋_GB2312" w:eastAsia="仿宋_GB2312" w:cs="仿宋_GB2312"/>
          <w:b/>
          <w:bCs/>
          <w:sz w:val="24"/>
        </w:rPr>
        <w:t>双方约定的其他事项</w:t>
      </w:r>
      <w:bookmarkEnd w:id="92"/>
      <w:r>
        <w:rPr>
          <w:rFonts w:hint="eastAsia" w:ascii="仿宋_GB2312" w:hAnsi="仿宋_GB2312" w:eastAsia="仿宋_GB2312" w:cs="仿宋_GB2312"/>
          <w:bCs/>
          <w:sz w:val="24"/>
        </w:rPr>
        <w:t>（</w:t>
      </w:r>
      <w:bookmarkStart w:id="93" w:name="_Toc9260"/>
      <w:bookmarkStart w:id="94" w:name="_Toc437444970"/>
      <w:r>
        <w:rPr>
          <w:rFonts w:hint="eastAsia" w:ascii="仿宋_GB2312" w:hAnsi="仿宋_GB2312" w:eastAsia="仿宋_GB2312" w:cs="仿宋_GB2312"/>
          <w:bCs/>
          <w:sz w:val="24"/>
        </w:rPr>
        <w:t>本条约定与合同条款中其他约定不一致时，以本条为准）：</w:t>
      </w:r>
      <w:r>
        <w:rPr>
          <w:rFonts w:hint="eastAsia" w:ascii="仿宋_GB2312" w:hAnsi="仿宋_GB2312" w:eastAsia="仿宋_GB2312" w:cs="仿宋_GB2312"/>
          <w:bCs/>
          <w:sz w:val="24"/>
          <w:u w:val="single"/>
        </w:rPr>
        <w:t>根据甲方需要，本合同执行过程中，甲方均使用合同章向乙方出具通知、函件等文件，甲方对使用合同章向乙方所发通知、函件等文件均予以认可</w:t>
      </w:r>
      <w:r>
        <w:rPr>
          <w:rFonts w:hint="eastAsia" w:ascii="仿宋_GB2312" w:hAnsi="仿宋_GB2312" w:eastAsia="仿宋_GB2312" w:cs="仿宋_GB2312"/>
          <w:bCs/>
          <w:sz w:val="24"/>
        </w:rPr>
        <w:t>。</w:t>
      </w:r>
    </w:p>
    <w:p>
      <w:pPr>
        <w:tabs>
          <w:tab w:val="left" w:pos="900"/>
        </w:tabs>
        <w:adjustRightInd w:val="0"/>
        <w:snapToGrid w:val="0"/>
        <w:spacing w:line="360" w:lineRule="auto"/>
        <w:jc w:val="center"/>
        <w:textAlignment w:val="baseline"/>
        <w:outlineLvl w:val="0"/>
        <w:rPr>
          <w:rFonts w:ascii="仿宋_GB2312" w:hAnsi="仿宋_GB2312" w:eastAsia="仿宋_GB2312" w:cs="仿宋_GB2312"/>
          <w:sz w:val="24"/>
        </w:rPr>
      </w:pPr>
      <w:r>
        <w:rPr>
          <w:rFonts w:hint="eastAsia" w:ascii="仿宋_GB2312" w:hAnsi="仿宋_GB2312" w:eastAsia="仿宋_GB2312" w:cs="仿宋_GB2312"/>
          <w:b/>
          <w:sz w:val="24"/>
        </w:rPr>
        <w:br w:type="page"/>
      </w:r>
      <w:bookmarkStart w:id="95" w:name="_Toc24687"/>
      <w:r>
        <w:rPr>
          <w:rFonts w:hint="eastAsia" w:ascii="仿宋_GB2312" w:hAnsi="仿宋_GB2312" w:eastAsia="仿宋_GB2312" w:cs="仿宋_GB2312"/>
          <w:b/>
          <w:sz w:val="32"/>
          <w:szCs w:val="32"/>
        </w:rPr>
        <w:t xml:space="preserve">第三部分 </w:t>
      </w:r>
      <w:bookmarkEnd w:id="93"/>
      <w:bookmarkEnd w:id="94"/>
      <w:bookmarkEnd w:id="95"/>
      <w:bookmarkStart w:id="96" w:name="_Toc319826220"/>
      <w:bookmarkStart w:id="97" w:name="_Toc14554"/>
      <w:bookmarkStart w:id="98" w:name="_Toc2997"/>
      <w:r>
        <w:rPr>
          <w:rFonts w:hint="eastAsia" w:ascii="仿宋_GB2312" w:hAnsi="仿宋_GB2312" w:eastAsia="仿宋_GB2312" w:cs="仿宋_GB2312"/>
          <w:b/>
          <w:sz w:val="32"/>
          <w:szCs w:val="32"/>
        </w:rPr>
        <w:t>合同附件</w:t>
      </w:r>
      <w:bookmarkEnd w:id="96"/>
      <w:bookmarkEnd w:id="97"/>
      <w:bookmarkEnd w:id="98"/>
      <w:bookmarkStart w:id="99" w:name="_Toc437444971"/>
      <w:bookmarkStart w:id="100" w:name="_Toc26723"/>
      <w:bookmarkStart w:id="101" w:name="_Toc411417798"/>
    </w:p>
    <w:p>
      <w:pPr>
        <w:adjustRightInd w:val="0"/>
        <w:snapToGrid w:val="0"/>
        <w:rPr>
          <w:rFonts w:ascii="仿宋_GB2312" w:hAnsi="仿宋" w:eastAsia="仿宋_GB2312"/>
          <w:b/>
          <w:sz w:val="24"/>
        </w:rPr>
      </w:pPr>
      <w:bookmarkStart w:id="102" w:name="_Toc17490"/>
      <w:bookmarkStart w:id="103" w:name="_Toc19384"/>
      <w:r>
        <w:rPr>
          <w:rFonts w:hint="eastAsia" w:ascii="仿宋_GB2312" w:hAnsi="仿宋" w:eastAsia="仿宋_GB2312"/>
          <w:b/>
          <w:sz w:val="24"/>
        </w:rPr>
        <w:t>附件1 廉政协议</w:t>
      </w:r>
    </w:p>
    <w:p>
      <w:pPr>
        <w:adjustRightInd w:val="0"/>
        <w:snapToGrid w:val="0"/>
        <w:jc w:val="center"/>
        <w:rPr>
          <w:rFonts w:ascii="仿宋_GB2312" w:hAnsi="仿宋" w:eastAsia="仿宋_GB2312"/>
          <w:b/>
          <w:sz w:val="32"/>
          <w:szCs w:val="32"/>
        </w:rPr>
      </w:pPr>
      <w:r>
        <w:rPr>
          <w:rFonts w:hint="eastAsia" w:ascii="仿宋_GB2312" w:hAnsi="仿宋" w:eastAsia="仿宋_GB2312"/>
          <w:b/>
          <w:sz w:val="32"/>
          <w:szCs w:val="32"/>
        </w:rPr>
        <w:t>廉政协议</w:t>
      </w:r>
    </w:p>
    <w:p>
      <w:pPr>
        <w:widowControl/>
        <w:snapToGrid w:val="0"/>
        <w:spacing w:line="360" w:lineRule="auto"/>
        <w:jc w:val="left"/>
        <w:rPr>
          <w:rFonts w:ascii="仿宋_GB2312" w:hAnsi="仿宋" w:eastAsia="仿宋_GB2312" w:cs="Arial"/>
          <w:kern w:val="0"/>
          <w:sz w:val="24"/>
          <w:lang w:bidi="en-US"/>
        </w:rPr>
      </w:pPr>
    </w:p>
    <w:p>
      <w:pPr>
        <w:pStyle w:val="13"/>
        <w:snapToGrid w:val="0"/>
        <w:spacing w:line="440" w:lineRule="exact"/>
        <w:ind w:firstLine="0"/>
        <w:rPr>
          <w:rFonts w:ascii="仿宋_GB2312" w:hAnsi="仿宋" w:eastAsia="仿宋_GB2312" w:cs="仿宋"/>
          <w:sz w:val="24"/>
          <w:u w:val="single"/>
        </w:rPr>
      </w:pPr>
      <w:r>
        <w:rPr>
          <w:rFonts w:hint="eastAsia" w:ascii="仿宋_GB2312" w:hAnsi="仿宋" w:eastAsia="仿宋_GB2312" w:cs="仿宋"/>
          <w:sz w:val="24"/>
        </w:rPr>
        <w:t>甲方：</w:t>
      </w:r>
      <w:r>
        <w:rPr>
          <w:rFonts w:hint="eastAsia" w:ascii="仿宋_GB2312" w:hAnsi="仿宋" w:eastAsia="仿宋_GB2312" w:cs="仿宋"/>
          <w:sz w:val="24"/>
          <w:u w:val="single"/>
        </w:rPr>
        <w:t xml:space="preserve">                           </w:t>
      </w:r>
    </w:p>
    <w:p>
      <w:pPr>
        <w:pStyle w:val="13"/>
        <w:snapToGrid w:val="0"/>
        <w:spacing w:line="440" w:lineRule="exact"/>
        <w:ind w:firstLine="0"/>
        <w:rPr>
          <w:rFonts w:ascii="仿宋_GB2312" w:hAnsi="仿宋" w:eastAsia="仿宋_GB2312" w:cs="仿宋"/>
          <w:sz w:val="24"/>
        </w:rPr>
      </w:pPr>
      <w:r>
        <w:rPr>
          <w:rFonts w:hint="eastAsia" w:ascii="仿宋_GB2312" w:hAnsi="仿宋" w:eastAsia="仿宋_GB2312" w:cs="仿宋"/>
          <w:sz w:val="24"/>
        </w:rPr>
        <w:t>乙方：</w:t>
      </w:r>
      <w:r>
        <w:rPr>
          <w:rFonts w:hint="eastAsia" w:ascii="仿宋_GB2312" w:hAnsi="仿宋" w:eastAsia="仿宋_GB2312" w:cs="仿宋"/>
          <w:sz w:val="24"/>
          <w:u w:val="single"/>
        </w:rPr>
        <w:t xml:space="preserve">                           </w:t>
      </w:r>
    </w:p>
    <w:p>
      <w:pPr>
        <w:adjustRightInd w:val="0"/>
        <w:snapToGrid w:val="0"/>
        <w:spacing w:line="440" w:lineRule="exact"/>
        <w:ind w:firstLine="480"/>
        <w:jc w:val="left"/>
        <w:rPr>
          <w:rFonts w:ascii="仿宋_GB2312" w:hAnsi="仿宋" w:eastAsia="仿宋_GB2312" w:cs="仿宋"/>
          <w:sz w:val="24"/>
        </w:rPr>
      </w:pPr>
      <w:r>
        <w:rPr>
          <w:rFonts w:hint="eastAsia" w:ascii="仿宋_GB2312" w:hAnsi="仿宋" w:eastAsia="仿宋_GB2312" w:cs="仿宋"/>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 w:eastAsia="仿宋_GB2312" w:cs="仿宋"/>
          <w:b/>
          <w:sz w:val="24"/>
        </w:rPr>
      </w:pPr>
      <w:bookmarkStart w:id="104" w:name="_Toc59896701"/>
      <w:bookmarkStart w:id="105" w:name="_Toc59900969"/>
      <w:r>
        <w:rPr>
          <w:rFonts w:hint="eastAsia" w:ascii="仿宋_GB2312" w:hAnsi="仿宋" w:eastAsia="仿宋_GB2312" w:cs="仿宋"/>
          <w:b/>
          <w:sz w:val="24"/>
        </w:rPr>
        <w:t xml:space="preserve">第一条 </w:t>
      </w:r>
      <w:bookmarkEnd w:id="104"/>
      <w:bookmarkEnd w:id="105"/>
      <w:r>
        <w:rPr>
          <w:rFonts w:hint="eastAsia" w:ascii="仿宋_GB2312" w:hAnsi="仿宋" w:eastAsia="仿宋_GB2312" w:cs="仿宋"/>
          <w:b/>
          <w:sz w:val="24"/>
        </w:rPr>
        <w:t>共同责任</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（一）严格遵守党和国家有关法律法规及湖南省、长沙市的相关规定。</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（二）严格执行</w:t>
      </w:r>
      <w:r>
        <w:rPr>
          <w:rFonts w:hint="eastAsia" w:ascii="仿宋_GB2312" w:hAnsi="仿宋" w:eastAsia="仿宋_GB2312" w:cs="仿宋"/>
          <w:sz w:val="24"/>
          <w:u w:val="single"/>
        </w:rPr>
        <w:t xml:space="preserve">                       </w:t>
      </w:r>
      <w:r>
        <w:rPr>
          <w:rFonts w:hint="eastAsia" w:ascii="仿宋_GB2312" w:hAnsi="仿宋" w:eastAsia="仿宋_GB2312" w:cs="仿宋"/>
          <w:sz w:val="24"/>
        </w:rPr>
        <w:t>（以下称主合同）的合同文件，自觉按合同办事。</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（五）发现对方在业务活动中有违反廉政规定的行为，有及时提醒对方纠正的权利和义务。</w:t>
      </w:r>
    </w:p>
    <w:p>
      <w:pPr>
        <w:adjustRightInd w:val="0"/>
        <w:snapToGrid w:val="0"/>
        <w:spacing w:line="440" w:lineRule="exact"/>
        <w:ind w:firstLine="480"/>
        <w:rPr>
          <w:rFonts w:ascii="仿宋_GB2312" w:hAnsi="仿宋" w:eastAsia="仿宋_GB2312" w:cs="仿宋"/>
          <w:b/>
          <w:sz w:val="24"/>
        </w:rPr>
      </w:pPr>
      <w:r>
        <w:rPr>
          <w:rFonts w:hint="eastAsia" w:ascii="仿宋_GB2312" w:hAnsi="仿宋" w:eastAsia="仿宋_GB2312" w:cs="仿宋"/>
          <w:b/>
          <w:sz w:val="24"/>
        </w:rPr>
        <w:t>第二条 共同权利</w:t>
      </w:r>
    </w:p>
    <w:p>
      <w:pPr>
        <w:adjustRightInd w:val="0"/>
        <w:snapToGrid w:val="0"/>
        <w:spacing w:line="440" w:lineRule="exact"/>
        <w:rPr>
          <w:rFonts w:ascii="仿宋_GB2312" w:hAnsi="仿宋" w:eastAsia="仿宋_GB2312" w:cs="仿宋"/>
          <w:sz w:val="24"/>
        </w:rPr>
      </w:pPr>
      <w:r>
        <w:rPr>
          <w:rFonts w:hint="eastAsia" w:ascii="仿宋_GB2312" w:hAnsi="仿宋" w:eastAsia="仿宋_GB2312" w:cs="仿宋"/>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 w:eastAsia="仿宋_GB2312" w:cs="仿宋"/>
          <w:b/>
          <w:sz w:val="24"/>
        </w:rPr>
      </w:pPr>
      <w:bookmarkStart w:id="106" w:name="_Toc59900970"/>
      <w:bookmarkStart w:id="107" w:name="_Toc59896702"/>
      <w:r>
        <w:rPr>
          <w:rFonts w:hint="eastAsia" w:ascii="仿宋_GB2312" w:hAnsi="仿宋" w:eastAsia="仿宋_GB2312" w:cs="仿宋"/>
          <w:b/>
          <w:sz w:val="24"/>
        </w:rPr>
        <w:t>第三条 甲方的义务</w:t>
      </w:r>
      <w:bookmarkEnd w:id="106"/>
      <w:bookmarkEnd w:id="107"/>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（一）甲方及其工作人员不得索要或接受乙方的礼金、有价证券和贵重物品。</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（二）甲方及其工作人员不得在乙方报销任何应由甲方或个人支付的费用等。</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（三）甲方及其工作人员不得参加乙方安排的超标准宴请和娱乐活动。</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（四）甲方及其工作人员不得接受乙方提供的通讯工具、交通工具和高档办公用品等。</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（六）甲方及其工作人员不得有违反法律、法规、廉洁从业规定的其他行为。</w:t>
      </w:r>
    </w:p>
    <w:p>
      <w:pPr>
        <w:adjustRightInd w:val="0"/>
        <w:snapToGrid w:val="0"/>
        <w:spacing w:line="440" w:lineRule="exact"/>
        <w:ind w:firstLine="480"/>
        <w:rPr>
          <w:rFonts w:ascii="仿宋_GB2312" w:hAnsi="仿宋" w:eastAsia="仿宋_GB2312" w:cs="仿宋"/>
          <w:b/>
          <w:sz w:val="24"/>
        </w:rPr>
      </w:pPr>
      <w:bookmarkStart w:id="108" w:name="_Toc59900971"/>
      <w:bookmarkStart w:id="109" w:name="_Toc59896703"/>
      <w:r>
        <w:rPr>
          <w:rFonts w:hint="eastAsia" w:ascii="仿宋_GB2312" w:hAnsi="仿宋" w:eastAsia="仿宋_GB2312" w:cs="仿宋"/>
          <w:b/>
          <w:sz w:val="24"/>
        </w:rPr>
        <w:t>第四条 乙方义务</w:t>
      </w:r>
      <w:bookmarkEnd w:id="108"/>
      <w:bookmarkEnd w:id="109"/>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（一）乙方不得以任何理由向甲方及其工作人员行贿或馈赠礼金、有价证券、贵重物品。</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（三）乙方不得以任何理由安排甲方工作人员参加超标准宴请、健身及娱乐活动。</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（四）乙方不得为甲方及其工作人员购置或提供通讯工具、交通工具和高档办公用品等。</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（六）乙方不得有违反法律、法规、廉洁从业规定的其他行为。</w:t>
      </w:r>
    </w:p>
    <w:p>
      <w:pPr>
        <w:adjustRightInd w:val="0"/>
        <w:snapToGrid w:val="0"/>
        <w:spacing w:line="440" w:lineRule="exact"/>
        <w:ind w:firstLine="480"/>
        <w:rPr>
          <w:rFonts w:ascii="仿宋_GB2312" w:hAnsi="仿宋" w:eastAsia="仿宋_GB2312" w:cs="仿宋"/>
          <w:b/>
          <w:sz w:val="24"/>
        </w:rPr>
      </w:pPr>
      <w:r>
        <w:rPr>
          <w:rFonts w:hint="eastAsia" w:ascii="仿宋_GB2312" w:hAnsi="仿宋" w:eastAsia="仿宋_GB2312" w:cs="仿宋"/>
          <w:b/>
          <w:sz w:val="24"/>
        </w:rPr>
        <w:t>第五条 违约责任</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的项目进行投标的处罚。</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第七条 本协议有效期为甲乙双方签署之日起至主合同完全履行完毕之日止。</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第八条 本协议作为主合同的附件，与主合同具有同等的法律效力，经合同双方签署立即生效。</w:t>
      </w:r>
    </w:p>
    <w:p>
      <w:pPr>
        <w:snapToGrid w:val="0"/>
        <w:spacing w:line="440" w:lineRule="exact"/>
        <w:rPr>
          <w:rFonts w:ascii="仿宋_GB2312" w:hAnsi="仿宋" w:eastAsia="仿宋_GB2312" w:cs="仿宋"/>
          <w:sz w:val="24"/>
        </w:rPr>
        <w:sectPr>
          <w:footerReference r:id="rId10" w:type="default"/>
          <w:pgSz w:w="11906" w:h="16838"/>
          <w:pgMar w:top="1440" w:right="1797" w:bottom="1440" w:left="1797" w:header="851" w:footer="567" w:gutter="0"/>
          <w:cols w:space="720" w:num="1"/>
          <w:docGrid w:type="lines" w:linePitch="312" w:charSpace="0"/>
        </w:sectPr>
      </w:pPr>
    </w:p>
    <w:p>
      <w:pPr>
        <w:rPr>
          <w:rFonts w:ascii="仿宋_GB2312" w:hAnsi="仿宋" w:eastAsia="仿宋_GB2312" w:cs="仿宋"/>
          <w:sz w:val="24"/>
        </w:rPr>
      </w:pPr>
      <w:r>
        <w:rPr>
          <w:rFonts w:hint="eastAsia" w:ascii="仿宋_GB2312" w:hAnsi="仿宋" w:eastAsia="仿宋_GB2312" w:cs="仿宋"/>
          <w:sz w:val="24"/>
        </w:rPr>
        <w:t>（本页无正文）</w:t>
      </w:r>
    </w:p>
    <w:p>
      <w:pPr>
        <w:pStyle w:val="2"/>
        <w:rPr>
          <w:rFonts w:ascii="仿宋_GB2312" w:eastAsia="仿宋_GB2312"/>
        </w:rPr>
      </w:pPr>
    </w:p>
    <w:p>
      <w:pPr>
        <w:rPr>
          <w:rFonts w:ascii="仿宋_GB2312" w:eastAsia="仿宋_GB2312"/>
        </w:rPr>
      </w:pPr>
    </w:p>
    <w:p>
      <w:pPr>
        <w:pStyle w:val="2"/>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napToGrid w:val="0"/>
        <w:spacing w:line="360" w:lineRule="auto"/>
        <w:rPr>
          <w:rFonts w:ascii="仿宋_GB2312" w:hAnsi="仿宋" w:eastAsia="仿宋_GB2312" w:cs="仿宋"/>
          <w:sz w:val="24"/>
          <w:u w:val="single"/>
        </w:rPr>
      </w:pPr>
      <w:r>
        <w:rPr>
          <w:rFonts w:hint="eastAsia" w:ascii="仿宋_GB2312" w:hAnsi="仿宋" w:eastAsia="仿宋_GB2312" w:cs="仿宋"/>
          <w:sz w:val="24"/>
        </w:rPr>
        <w:t>甲方：</w:t>
      </w:r>
      <w:r>
        <w:rPr>
          <w:rFonts w:hint="eastAsia" w:ascii="仿宋_GB2312" w:hAnsi="仿宋" w:eastAsia="仿宋_GB2312" w:cs="仿宋"/>
          <w:sz w:val="24"/>
          <w:u w:val="single"/>
        </w:rPr>
        <w:t xml:space="preserve"> （盖章）            </w:t>
      </w:r>
      <w:r>
        <w:rPr>
          <w:rFonts w:hint="eastAsia" w:ascii="仿宋_GB2312" w:hAnsi="仿宋" w:eastAsia="仿宋_GB2312" w:cs="仿宋"/>
          <w:sz w:val="24"/>
        </w:rPr>
        <w:t xml:space="preserve">             乙方：</w:t>
      </w:r>
      <w:r>
        <w:rPr>
          <w:rFonts w:hint="eastAsia" w:ascii="仿宋_GB2312" w:hAnsi="仿宋" w:eastAsia="仿宋_GB2312" w:cs="仿宋"/>
          <w:sz w:val="24"/>
          <w:u w:val="single"/>
        </w:rPr>
        <w:t xml:space="preserve"> （盖章）                 </w:t>
      </w:r>
    </w:p>
    <w:p>
      <w:pPr>
        <w:snapToGrid w:val="0"/>
        <w:spacing w:line="360" w:lineRule="auto"/>
        <w:rPr>
          <w:rFonts w:ascii="仿宋_GB2312" w:hAnsi="仿宋" w:eastAsia="仿宋_GB2312" w:cs="仿宋"/>
          <w:sz w:val="24"/>
          <w:u w:val="single"/>
        </w:rPr>
      </w:pPr>
      <w:r>
        <w:rPr>
          <w:rFonts w:hint="eastAsia" w:ascii="仿宋_GB2312" w:hAnsi="仿宋" w:eastAsia="仿宋_GB2312" w:cs="仿宋"/>
          <w:sz w:val="24"/>
        </w:rPr>
        <w:t>法定代表人：</w:t>
      </w:r>
      <w:r>
        <w:rPr>
          <w:rFonts w:hint="eastAsia" w:ascii="仿宋_GB2312" w:hAnsi="仿宋" w:eastAsia="仿宋_GB2312" w:cs="仿宋"/>
          <w:sz w:val="24"/>
          <w:u w:val="single"/>
        </w:rPr>
        <w:t xml:space="preserve">（签字）        </w:t>
      </w:r>
      <w:r>
        <w:rPr>
          <w:rFonts w:hint="eastAsia" w:ascii="仿宋_GB2312" w:hAnsi="仿宋" w:eastAsia="仿宋_GB2312" w:cs="仿宋"/>
          <w:sz w:val="24"/>
        </w:rPr>
        <w:t xml:space="preserve">             法定代表人：</w:t>
      </w:r>
      <w:r>
        <w:rPr>
          <w:rFonts w:hint="eastAsia" w:ascii="仿宋_GB2312" w:hAnsi="仿宋" w:eastAsia="仿宋_GB2312" w:cs="仿宋"/>
          <w:sz w:val="24"/>
          <w:u w:val="single"/>
        </w:rPr>
        <w:t xml:space="preserve"> （签字）           </w:t>
      </w:r>
    </w:p>
    <w:p>
      <w:pPr>
        <w:snapToGrid w:val="0"/>
        <w:spacing w:line="360" w:lineRule="auto"/>
        <w:rPr>
          <w:rFonts w:ascii="仿宋_GB2312" w:hAnsi="仿宋" w:eastAsia="仿宋_GB2312" w:cs="仿宋"/>
          <w:sz w:val="24"/>
        </w:rPr>
      </w:pPr>
      <w:r>
        <w:rPr>
          <w:rFonts w:hint="eastAsia" w:ascii="仿宋_GB2312" w:hAnsi="仿宋" w:eastAsia="仿宋_GB2312" w:cs="仿宋"/>
          <w:sz w:val="24"/>
        </w:rPr>
        <w:t>或授权代理人：</w:t>
      </w:r>
      <w:r>
        <w:rPr>
          <w:rFonts w:hint="eastAsia" w:ascii="仿宋_GB2312" w:hAnsi="仿宋" w:eastAsia="仿宋_GB2312" w:cs="仿宋"/>
          <w:sz w:val="24"/>
          <w:u w:val="single"/>
        </w:rPr>
        <w:t xml:space="preserve">（签字）      </w:t>
      </w:r>
      <w:r>
        <w:rPr>
          <w:rFonts w:hint="eastAsia" w:ascii="仿宋_GB2312" w:hAnsi="仿宋" w:eastAsia="仿宋_GB2312" w:cs="仿宋"/>
          <w:sz w:val="24"/>
        </w:rPr>
        <w:t xml:space="preserve">             或授权代理人：</w:t>
      </w:r>
      <w:r>
        <w:rPr>
          <w:rFonts w:hint="eastAsia" w:ascii="仿宋_GB2312" w:hAnsi="仿宋" w:eastAsia="仿宋_GB2312" w:cs="仿宋"/>
          <w:sz w:val="24"/>
          <w:u w:val="single"/>
        </w:rPr>
        <w:t xml:space="preserve">（签字）           </w:t>
      </w:r>
    </w:p>
    <w:p>
      <w:pPr>
        <w:snapToGrid w:val="0"/>
        <w:spacing w:line="360" w:lineRule="auto"/>
        <w:rPr>
          <w:rFonts w:ascii="仿宋_GB2312" w:hAnsi="仿宋" w:eastAsia="仿宋_GB2312" w:cs="仿宋"/>
          <w:sz w:val="24"/>
          <w:u w:val="single"/>
        </w:rPr>
      </w:pPr>
      <w:r>
        <w:rPr>
          <w:rFonts w:hint="eastAsia" w:ascii="仿宋_GB2312" w:hAnsi="仿宋" w:eastAsia="仿宋_GB2312" w:cs="仿宋"/>
          <w:sz w:val="24"/>
        </w:rPr>
        <w:t>电话：</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电话：</w:t>
      </w:r>
      <w:r>
        <w:rPr>
          <w:rFonts w:hint="eastAsia" w:ascii="仿宋_GB2312" w:hAnsi="仿宋" w:eastAsia="仿宋_GB2312" w:cs="仿宋"/>
          <w:sz w:val="24"/>
          <w:u w:val="single"/>
        </w:rPr>
        <w:t xml:space="preserve">                          </w:t>
      </w:r>
    </w:p>
    <w:p>
      <w:pPr>
        <w:snapToGrid w:val="0"/>
        <w:spacing w:line="360" w:lineRule="auto"/>
        <w:rPr>
          <w:rFonts w:ascii="仿宋_GB2312" w:hAnsi="仿宋" w:eastAsia="仿宋_GB2312" w:cs="仿宋"/>
          <w:sz w:val="24"/>
        </w:rPr>
      </w:pPr>
      <w:r>
        <w:rPr>
          <w:rFonts w:hint="eastAsia" w:ascii="仿宋_GB2312" w:hAnsi="仿宋" w:eastAsia="仿宋_GB2312" w:cs="仿宋"/>
          <w:sz w:val="24"/>
          <w:u w:val="single"/>
        </w:rPr>
        <w:t xml:space="preserve">       </w:t>
      </w:r>
      <w:r>
        <w:rPr>
          <w:rFonts w:hint="eastAsia" w:ascii="仿宋_GB2312" w:hAnsi="仿宋" w:eastAsia="仿宋_GB2312" w:cs="仿宋"/>
          <w:sz w:val="24"/>
        </w:rPr>
        <w:t>年</w:t>
      </w:r>
      <w:r>
        <w:rPr>
          <w:rFonts w:hint="eastAsia" w:ascii="仿宋_GB2312" w:hAnsi="仿宋" w:eastAsia="仿宋_GB2312" w:cs="仿宋"/>
          <w:sz w:val="24"/>
          <w:u w:val="single"/>
        </w:rPr>
        <w:t xml:space="preserve">       </w:t>
      </w:r>
      <w:r>
        <w:rPr>
          <w:rFonts w:hint="eastAsia" w:ascii="仿宋_GB2312" w:hAnsi="仿宋" w:eastAsia="仿宋_GB2312" w:cs="仿宋"/>
          <w:sz w:val="24"/>
        </w:rPr>
        <w:t>月</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日             </w:t>
      </w:r>
      <w:r>
        <w:rPr>
          <w:rFonts w:hint="eastAsia" w:ascii="仿宋_GB2312" w:hAnsi="仿宋" w:eastAsia="仿宋_GB2312" w:cs="仿宋"/>
          <w:sz w:val="24"/>
          <w:u w:val="single"/>
        </w:rPr>
        <w:t xml:space="preserve">        </w:t>
      </w:r>
      <w:r>
        <w:rPr>
          <w:rFonts w:hint="eastAsia" w:ascii="仿宋_GB2312" w:hAnsi="仿宋" w:eastAsia="仿宋_GB2312" w:cs="仿宋"/>
          <w:sz w:val="24"/>
        </w:rPr>
        <w:t>年</w:t>
      </w:r>
      <w:r>
        <w:rPr>
          <w:rFonts w:hint="eastAsia" w:ascii="仿宋_GB2312" w:hAnsi="仿宋" w:eastAsia="仿宋_GB2312" w:cs="仿宋"/>
          <w:sz w:val="24"/>
          <w:u w:val="single"/>
        </w:rPr>
        <w:t xml:space="preserve">        </w:t>
      </w:r>
      <w:r>
        <w:rPr>
          <w:rFonts w:hint="eastAsia" w:ascii="仿宋_GB2312" w:hAnsi="仿宋" w:eastAsia="仿宋_GB2312" w:cs="仿宋"/>
          <w:sz w:val="24"/>
        </w:rPr>
        <w:t>月</w:t>
      </w:r>
      <w:r>
        <w:rPr>
          <w:rFonts w:hint="eastAsia" w:ascii="仿宋_GB2312" w:hAnsi="仿宋" w:eastAsia="仿宋_GB2312" w:cs="仿宋"/>
          <w:sz w:val="24"/>
          <w:u w:val="single"/>
        </w:rPr>
        <w:t xml:space="preserve">      </w:t>
      </w:r>
      <w:r>
        <w:rPr>
          <w:rFonts w:hint="eastAsia" w:ascii="仿宋_GB2312" w:hAnsi="仿宋" w:eastAsia="仿宋_GB2312" w:cs="仿宋"/>
          <w:sz w:val="24"/>
        </w:rPr>
        <w:t>日</w:t>
      </w:r>
    </w:p>
    <w:p>
      <w:pPr>
        <w:pStyle w:val="13"/>
        <w:snapToGrid w:val="0"/>
        <w:spacing w:line="360" w:lineRule="auto"/>
        <w:ind w:firstLine="0"/>
        <w:outlineLvl w:val="1"/>
        <w:rPr>
          <w:rFonts w:ascii="仿宋_GB2312" w:hAnsi="仿宋" w:eastAsia="仿宋_GB2312" w:cs="仿宋"/>
          <w:b/>
          <w:sz w:val="24"/>
        </w:rPr>
      </w:pPr>
      <w:r>
        <w:rPr>
          <w:rFonts w:hint="eastAsia" w:ascii="仿宋_GB2312" w:hAnsi="仿宋" w:eastAsia="仿宋_GB2312" w:cs="仿宋"/>
          <w:sz w:val="24"/>
        </w:rPr>
        <w:t>甲方监督单位：</w:t>
      </w:r>
      <w:r>
        <w:rPr>
          <w:rFonts w:hint="eastAsia" w:ascii="仿宋_GB2312" w:hAnsi="仿宋" w:eastAsia="仿宋_GB2312" w:cs="仿宋"/>
          <w:sz w:val="24"/>
          <w:u w:val="single"/>
        </w:rPr>
        <w:t xml:space="preserve">（盖章）      </w:t>
      </w:r>
      <w:r>
        <w:rPr>
          <w:rFonts w:hint="eastAsia" w:ascii="仿宋_GB2312" w:hAnsi="仿宋" w:eastAsia="仿宋_GB2312" w:cs="仿宋"/>
          <w:sz w:val="24"/>
        </w:rPr>
        <w:t xml:space="preserve">             乙方监督单位：</w:t>
      </w:r>
      <w:r>
        <w:rPr>
          <w:rFonts w:hint="eastAsia" w:ascii="仿宋_GB2312" w:hAnsi="仿宋" w:eastAsia="仿宋_GB2312" w:cs="仿宋"/>
          <w:sz w:val="24"/>
          <w:u w:val="single"/>
        </w:rPr>
        <w:t xml:space="preserve">（盖章）        </w:t>
      </w:r>
    </w:p>
    <w:p>
      <w:pPr>
        <w:pStyle w:val="13"/>
        <w:snapToGrid w:val="0"/>
        <w:spacing w:line="360" w:lineRule="auto"/>
        <w:outlineLvl w:val="1"/>
        <w:rPr>
          <w:rFonts w:ascii="仿宋_GB2312" w:hAnsi="仿宋_GB2312" w:eastAsia="仿宋_GB2312" w:cs="仿宋_GB2312"/>
          <w:b/>
          <w:sz w:val="24"/>
        </w:rPr>
      </w:pPr>
      <w:r>
        <w:rPr>
          <w:rFonts w:hint="eastAsia" w:ascii="仿宋_GB2312" w:hAnsi="仿宋" w:eastAsia="仿宋_GB2312" w:cs="仿宋"/>
          <w:b/>
          <w:bCs/>
          <w:sz w:val="24"/>
        </w:rPr>
        <w:br w:type="page"/>
      </w:r>
      <w:bookmarkEnd w:id="102"/>
      <w:bookmarkEnd w:id="103"/>
      <w:bookmarkStart w:id="110" w:name="_Toc5299"/>
      <w:bookmarkStart w:id="111" w:name="_Hlk26087760"/>
      <w:r>
        <w:rPr>
          <w:rFonts w:hint="eastAsia" w:ascii="仿宋_GB2312" w:hAnsi="仿宋_GB2312" w:eastAsia="仿宋_GB2312" w:cs="仿宋_GB2312"/>
          <w:b/>
          <w:sz w:val="24"/>
        </w:rPr>
        <w:t>附件</w:t>
      </w:r>
      <w:r>
        <w:rPr>
          <w:rFonts w:ascii="仿宋_GB2312" w:hAnsi="仿宋_GB2312" w:eastAsia="仿宋_GB2312" w:cs="仿宋_GB2312"/>
          <w:b/>
          <w:sz w:val="24"/>
        </w:rPr>
        <w:t xml:space="preserve">2 </w:t>
      </w:r>
      <w:r>
        <w:rPr>
          <w:rFonts w:hint="eastAsia" w:ascii="仿宋_GB2312" w:hAnsi="仿宋_GB2312" w:eastAsia="仿宋_GB2312" w:cs="仿宋_GB2312"/>
          <w:b/>
          <w:sz w:val="24"/>
        </w:rPr>
        <w:t>保密协议</w:t>
      </w:r>
    </w:p>
    <w:p>
      <w:pPr>
        <w:widowControl/>
        <w:snapToGrid w:val="0"/>
        <w:spacing w:line="360" w:lineRule="auto"/>
        <w:jc w:val="center"/>
        <w:rPr>
          <w:rFonts w:ascii="仿宋_GB2312" w:hAnsi="仿宋_GB2312" w:eastAsia="仿宋_GB2312" w:cs="仿宋_GB2312"/>
          <w:kern w:val="0"/>
          <w:sz w:val="32"/>
          <w:szCs w:val="32"/>
          <w:lang w:bidi="en-US"/>
        </w:rPr>
      </w:pPr>
      <w:r>
        <w:rPr>
          <w:rFonts w:hint="eastAsia" w:ascii="仿宋_GB2312" w:hAnsi="仿宋_GB2312" w:eastAsia="仿宋_GB2312" w:cs="仿宋_GB2312"/>
          <w:b/>
          <w:bCs/>
          <w:smallCaps/>
          <w:kern w:val="0"/>
          <w:sz w:val="32"/>
          <w:szCs w:val="32"/>
          <w:lang w:bidi="en-US"/>
        </w:rPr>
        <w:t>保密协议</w:t>
      </w:r>
    </w:p>
    <w:p>
      <w:pPr>
        <w:widowControl/>
        <w:snapToGrid w:val="0"/>
        <w:spacing w:line="360" w:lineRule="auto"/>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u w:val="single"/>
          <w:lang w:bidi="en-US"/>
        </w:rPr>
      </w:pPr>
      <w:r>
        <w:rPr>
          <w:rFonts w:hint="eastAsia" w:ascii="仿宋_GB2312" w:hAnsi="仿宋_GB2312" w:eastAsia="仿宋_GB2312" w:cs="仿宋_GB2312"/>
          <w:kern w:val="0"/>
          <w:sz w:val="24"/>
          <w:lang w:bidi="en-US"/>
        </w:rPr>
        <w:t>甲方（全称）：</w:t>
      </w:r>
      <w:r>
        <w:rPr>
          <w:rFonts w:ascii="仿宋_GB2312" w:hAnsi="仿宋_GB2312" w:eastAsia="仿宋_GB2312" w:cs="仿宋_GB2312"/>
          <w:kern w:val="0"/>
          <w:sz w:val="24"/>
          <w:u w:val="single"/>
          <w:lang w:bidi="en-US"/>
        </w:rPr>
        <w:t xml:space="preserve">                      </w:t>
      </w:r>
    </w:p>
    <w:p>
      <w:pPr>
        <w:widowControl/>
        <w:snapToGrid w:val="0"/>
        <w:spacing w:line="360" w:lineRule="auto"/>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乙方（全称）：</w:t>
      </w:r>
      <w:r>
        <w:rPr>
          <w:rFonts w:ascii="仿宋_GB2312" w:hAnsi="仿宋_GB2312" w:eastAsia="仿宋_GB2312" w:cs="仿宋_GB2312"/>
          <w:kern w:val="0"/>
          <w:sz w:val="24"/>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鉴于甲方和乙方签订的</w:t>
      </w:r>
      <w:r>
        <w:rPr>
          <w:rFonts w:ascii="仿宋_GB2312" w:hAnsi="仿宋_GB2312" w:eastAsia="仿宋_GB2312" w:cs="仿宋_GB2312"/>
          <w:kern w:val="0"/>
          <w:sz w:val="24"/>
          <w:u w:val="single"/>
          <w:lang w:bidi="en-US"/>
        </w:rPr>
        <w:t xml:space="preserve">                </w:t>
      </w:r>
      <w:r>
        <w:rPr>
          <w:rFonts w:hint="eastAsia" w:ascii="仿宋_GB2312" w:hAnsi="仿宋_GB2312" w:eastAsia="仿宋_GB2312" w:cs="仿宋_GB2312"/>
          <w:kern w:val="0"/>
          <w:sz w:val="24"/>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第一条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宋体" w:hAnsi="宋体" w:cs="宋体"/>
          <w:kern w:val="0"/>
          <w:sz w:val="24"/>
          <w:lang w:bidi="en-US"/>
        </w:rPr>
        <w:t> </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第二条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第三条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kern w:val="0"/>
          <w:sz w:val="24"/>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第四条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lang w:bidi="en-US"/>
        </w:rPr>
        <w:t>人民币</w:t>
      </w:r>
      <w:r>
        <w:rPr>
          <w:rFonts w:ascii="仿宋_GB2312" w:hAnsi="仿宋_GB2312" w:eastAsia="仿宋_GB2312" w:cs="仿宋_GB2312"/>
          <w:b/>
          <w:kern w:val="0"/>
          <w:sz w:val="24"/>
          <w:u w:val="single"/>
          <w:lang w:bidi="en-US"/>
        </w:rPr>
        <w:t>1000</w:t>
      </w:r>
      <w:r>
        <w:rPr>
          <w:rFonts w:hint="eastAsia" w:ascii="仿宋_GB2312" w:hAnsi="仿宋_GB2312" w:eastAsia="仿宋_GB2312" w:cs="仿宋_GB2312"/>
          <w:b/>
          <w:kern w:val="0"/>
          <w:sz w:val="24"/>
          <w:lang w:bidi="en-US"/>
        </w:rPr>
        <w:t>元</w:t>
      </w:r>
      <w:r>
        <w:rPr>
          <w:rFonts w:hint="eastAsia" w:ascii="仿宋_GB2312" w:hAnsi="仿宋_GB2312" w:eastAsia="仿宋_GB2312" w:cs="仿宋_GB2312"/>
          <w:kern w:val="0"/>
          <w:sz w:val="24"/>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w:t>
      </w:r>
      <w:r>
        <w:rPr>
          <w:rFonts w:ascii="仿宋_GB2312" w:hAnsi="仿宋_GB2312" w:eastAsia="仿宋_GB2312" w:cs="仿宋_GB2312"/>
          <w:kern w:val="0"/>
          <w:sz w:val="24"/>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w:t>
      </w:r>
      <w:r>
        <w:rPr>
          <w:rFonts w:ascii="仿宋_GB2312" w:hAnsi="仿宋_GB2312" w:eastAsia="仿宋_GB2312" w:cs="仿宋_GB2312"/>
          <w:kern w:val="0"/>
          <w:sz w:val="24"/>
          <w:lang w:bidi="en-US"/>
        </w:rPr>
        <w:t>2）因乙方的违反协议行为给甲方造成的经济损失，损失赔偿金额为</w:t>
      </w:r>
      <w:r>
        <w:rPr>
          <w:rFonts w:hint="eastAsia" w:ascii="仿宋_GB2312" w:hAnsi="仿宋_GB2312" w:eastAsia="仿宋_GB2312" w:cs="仿宋_GB2312"/>
          <w:b/>
          <w:kern w:val="0"/>
          <w:sz w:val="24"/>
          <w:lang w:bidi="en-US"/>
        </w:rPr>
        <w:t>主合同签约合同价的</w:t>
      </w:r>
      <w:r>
        <w:rPr>
          <w:rFonts w:ascii="仿宋_GB2312" w:hAnsi="仿宋_GB2312" w:eastAsia="仿宋_GB2312" w:cs="仿宋_GB2312"/>
          <w:b/>
          <w:kern w:val="0"/>
          <w:sz w:val="24"/>
          <w:u w:val="single"/>
          <w:lang w:bidi="en-US"/>
        </w:rPr>
        <w:t>1</w:t>
      </w:r>
      <w:r>
        <w:rPr>
          <w:rFonts w:hint="eastAsia" w:ascii="仿宋_GB2312" w:hAnsi="仿宋_GB2312" w:eastAsia="仿宋_GB2312" w:cs="仿宋_GB2312"/>
          <w:b/>
          <w:kern w:val="0"/>
          <w:sz w:val="24"/>
          <w:lang w:bidi="en-US"/>
        </w:rPr>
        <w:t>％</w:t>
      </w:r>
      <w:r>
        <w:rPr>
          <w:rFonts w:hint="eastAsia" w:ascii="仿宋_GB2312" w:hAnsi="仿宋_GB2312" w:eastAsia="仿宋_GB2312" w:cs="仿宋_GB2312"/>
          <w:kern w:val="0"/>
          <w:sz w:val="24"/>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第五条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因执行本协议而发生的纠纷，可由双方协商解决；协商不成的，任何一方有权向</w:t>
      </w:r>
      <w:r>
        <w:rPr>
          <w:rFonts w:hint="eastAsia" w:ascii="仿宋_GB2312" w:hAnsi="仿宋_GB2312" w:eastAsia="仿宋_GB2312" w:cs="仿宋_GB2312"/>
          <w:kern w:val="0"/>
          <w:sz w:val="24"/>
          <w:u w:val="single"/>
          <w:lang w:bidi="en-US"/>
        </w:rPr>
        <w:t>甲方所在地人民法院</w:t>
      </w:r>
      <w:r>
        <w:rPr>
          <w:rFonts w:hint="eastAsia" w:ascii="仿宋_GB2312" w:hAnsi="仿宋_GB2312" w:eastAsia="仿宋_GB2312" w:cs="仿宋_GB2312"/>
          <w:kern w:val="0"/>
          <w:sz w:val="24"/>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第六条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br w:type="page"/>
      </w:r>
      <w:r>
        <w:rPr>
          <w:rFonts w:hint="eastAsia" w:ascii="仿宋_GB2312" w:hAnsi="仿宋_GB2312" w:eastAsia="仿宋_GB2312" w:cs="仿宋_GB2312"/>
          <w:kern w:val="0"/>
          <w:sz w:val="24"/>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ascii="仿宋_GB2312" w:hAnsi="仿宋_GB2312" w:eastAsia="仿宋_GB2312" w:cs="仿宋_GB2312"/>
                <w:kern w:val="0"/>
                <w:sz w:val="24"/>
              </w:rPr>
            </w:pPr>
            <w:bookmarkStart w:id="112" w:name="3"/>
            <w:bookmarkEnd w:id="112"/>
            <w:r>
              <w:rPr>
                <w:rFonts w:hint="eastAsia" w:ascii="仿宋_GB2312" w:hAnsi="仿宋_GB2312" w:eastAsia="仿宋_GB2312" w:cs="仿宋_GB2312"/>
                <w:kern w:val="0"/>
                <w:sz w:val="24"/>
              </w:rPr>
              <w:t>甲方：</w:t>
            </w:r>
            <w:r>
              <w:rPr>
                <w:rFonts w:ascii="仿宋_GB2312" w:hAnsi="仿宋_GB2312" w:eastAsia="仿宋_GB2312" w:cs="仿宋_GB2312"/>
                <w:kern w:val="0"/>
                <w:sz w:val="24"/>
              </w:rPr>
              <w:t>(盖章)</w:t>
            </w:r>
          </w:p>
        </w:tc>
        <w:tc>
          <w:tcPr>
            <w:tcW w:w="4252" w:type="dxa"/>
          </w:tcPr>
          <w:p>
            <w:pPr>
              <w:adjustRightInd w:val="0"/>
              <w:snapToGrid w:val="0"/>
              <w:spacing w:line="360" w:lineRule="auto"/>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rPr>
            </w:pP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r>
    </w:tbl>
    <w:p>
      <w:pPr>
        <w:adjustRightInd w:val="0"/>
        <w:snapToGrid w:val="0"/>
        <w:spacing w:line="444" w:lineRule="exact"/>
        <w:jc w:val="left"/>
        <w:rPr>
          <w:rFonts w:ascii="仿宋_GB2312" w:hAnsi="仿宋_GB2312" w:eastAsia="仿宋_GB2312" w:cs="仿宋_GB2312"/>
          <w:b/>
          <w:sz w:val="24"/>
        </w:rPr>
      </w:pPr>
    </w:p>
    <w:p>
      <w:pPr>
        <w:adjustRightInd w:val="0"/>
        <w:snapToGrid w:val="0"/>
        <w:spacing w:line="444" w:lineRule="exact"/>
        <w:jc w:val="left"/>
        <w:rPr>
          <w:rFonts w:ascii="仿宋_GB2312" w:hAnsi="仿宋_GB2312" w:eastAsia="仿宋_GB2312" w:cs="仿宋_GB2312"/>
          <w:b/>
          <w:sz w:val="24"/>
        </w:rPr>
      </w:pPr>
      <w:r>
        <w:rPr>
          <w:rFonts w:ascii="仿宋_GB2312" w:hAnsi="仿宋_GB2312" w:eastAsia="仿宋_GB2312" w:cs="仿宋_GB2312"/>
          <w:b/>
          <w:sz w:val="24"/>
        </w:rPr>
        <w:br w:type="page"/>
      </w:r>
      <w:r>
        <w:rPr>
          <w:rFonts w:hint="eastAsia" w:ascii="仿宋_GB2312" w:hAnsi="仿宋_GB2312" w:eastAsia="仿宋_GB2312" w:cs="仿宋_GB2312"/>
          <w:b/>
          <w:sz w:val="24"/>
        </w:rPr>
        <w:t>附件3 中标通知书/中选通知书/谈判记录表</w:t>
      </w:r>
    </w:p>
    <w:p>
      <w:pPr>
        <w:adjustRightInd w:val="0"/>
        <w:snapToGrid w:val="0"/>
        <w:spacing w:line="444" w:lineRule="exact"/>
        <w:jc w:val="left"/>
        <w:rPr>
          <w:rFonts w:ascii="仿宋_GB2312" w:hAnsi="仿宋_GB2312" w:eastAsia="仿宋_GB2312" w:cs="仿宋_GB2312"/>
          <w:b/>
          <w:sz w:val="24"/>
        </w:rPr>
      </w:pPr>
      <w:r>
        <w:rPr>
          <w:rFonts w:hint="eastAsia" w:ascii="仿宋_GB2312" w:hAnsi="仿宋_GB2312" w:eastAsia="仿宋_GB2312" w:cs="仿宋_GB2312"/>
          <w:b/>
          <w:sz w:val="24"/>
        </w:rPr>
        <w:t>附件4 签约合同价清单</w:t>
      </w:r>
    </w:p>
    <w:p>
      <w:pPr>
        <w:adjustRightInd w:val="0"/>
        <w:snapToGrid w:val="0"/>
        <w:spacing w:line="444" w:lineRule="exact"/>
        <w:jc w:val="left"/>
        <w:rPr>
          <w:rFonts w:ascii="仿宋_GB2312" w:hAnsi="仿宋_GB2312" w:eastAsia="仿宋_GB2312" w:cs="仿宋_GB2312"/>
          <w:b/>
          <w:sz w:val="24"/>
        </w:rPr>
      </w:pPr>
      <w:r>
        <w:rPr>
          <w:rFonts w:hint="eastAsia" w:ascii="仿宋_GB2312" w:hAnsi="仿宋_GB2312" w:eastAsia="仿宋_GB2312" w:cs="仿宋_GB2312"/>
          <w:b/>
          <w:sz w:val="24"/>
        </w:rPr>
        <w:t>附件5 澄清与答疑文件</w:t>
      </w:r>
    </w:p>
    <w:p>
      <w:pPr>
        <w:adjustRightInd w:val="0"/>
        <w:snapToGrid w:val="0"/>
        <w:spacing w:line="444" w:lineRule="exact"/>
        <w:jc w:val="left"/>
        <w:rPr>
          <w:rFonts w:ascii="仿宋_GB2312" w:hAnsi="仿宋_GB2312" w:eastAsia="仿宋_GB2312" w:cs="仿宋_GB2312"/>
          <w:b/>
          <w:sz w:val="24"/>
        </w:rPr>
      </w:pPr>
      <w:r>
        <w:rPr>
          <w:rFonts w:hint="eastAsia" w:ascii="仿宋_GB2312" w:hAnsi="仿宋_GB2312" w:eastAsia="仿宋_GB2312" w:cs="仿宋_GB2312"/>
          <w:b/>
          <w:sz w:val="24"/>
        </w:rPr>
        <w:t>附件6 最高投标限价公示说明</w:t>
      </w:r>
    </w:p>
    <w:p>
      <w:pPr>
        <w:adjustRightInd w:val="0"/>
        <w:snapToGrid w:val="0"/>
        <w:spacing w:line="444" w:lineRule="exact"/>
        <w:jc w:val="left"/>
        <w:rPr>
          <w:rFonts w:ascii="仿宋_GB2312" w:hAnsi="仿宋_GB2312" w:eastAsia="仿宋_GB2312" w:cs="仿宋_GB2312"/>
          <w:b/>
          <w:sz w:val="24"/>
        </w:rPr>
      </w:pPr>
      <w:r>
        <w:rPr>
          <w:rFonts w:hint="eastAsia" w:ascii="仿宋_GB2312" w:hAnsi="仿宋_GB2312" w:eastAsia="仿宋_GB2312" w:cs="仿宋_GB2312"/>
          <w:b/>
          <w:sz w:val="24"/>
        </w:rPr>
        <w:t>附件7 用户需求书/技术规格书</w:t>
      </w:r>
    </w:p>
    <w:p>
      <w:pPr>
        <w:pStyle w:val="13"/>
        <w:snapToGrid w:val="0"/>
        <w:spacing w:line="360" w:lineRule="auto"/>
        <w:ind w:firstLine="0"/>
        <w:outlineLvl w:val="1"/>
        <w:rPr>
          <w:rFonts w:ascii="仿宋_GB2312" w:hAnsi="仿宋_GB2312" w:eastAsia="仿宋_GB2312" w:cs="仿宋_GB2312"/>
          <w:b/>
          <w:sz w:val="24"/>
        </w:rPr>
      </w:pPr>
    </w:p>
    <w:p>
      <w:pPr>
        <w:pStyle w:val="13"/>
        <w:snapToGrid w:val="0"/>
        <w:spacing w:line="360" w:lineRule="auto"/>
        <w:ind w:firstLine="0"/>
        <w:jc w:val="center"/>
        <w:outlineLvl w:val="1"/>
        <w:rPr>
          <w:rFonts w:ascii="仿宋_GB2312" w:hAnsi="仿宋_GB2312" w:eastAsia="仿宋_GB2312" w:cs="仿宋_GB2312"/>
          <w:b/>
          <w:sz w:val="32"/>
          <w:szCs w:val="32"/>
        </w:rPr>
      </w:pPr>
      <w:r>
        <w:rPr>
          <w:rFonts w:ascii="仿宋_GB2312" w:hAnsi="仿宋_GB2312" w:eastAsia="仿宋_GB2312" w:cs="仿宋_GB2312"/>
          <w:b/>
          <w:sz w:val="24"/>
        </w:rPr>
        <w:br w:type="page"/>
      </w:r>
      <w:bookmarkEnd w:id="99"/>
      <w:bookmarkEnd w:id="100"/>
      <w:bookmarkEnd w:id="101"/>
      <w:bookmarkEnd w:id="110"/>
      <w:bookmarkEnd w:id="111"/>
      <w:bookmarkStart w:id="113" w:name="_Toc17255"/>
      <w:bookmarkStart w:id="114" w:name="_Toc319826225"/>
      <w:bookmarkStart w:id="115" w:name="_Toc31412"/>
      <w:r>
        <w:rPr>
          <w:rFonts w:hint="eastAsia" w:ascii="仿宋_GB2312" w:hAnsi="仿宋_GB2312" w:eastAsia="仿宋_GB2312" w:cs="仿宋_GB2312"/>
          <w:b/>
          <w:sz w:val="32"/>
          <w:szCs w:val="32"/>
        </w:rPr>
        <w:t>第四部分 合同附录</w:t>
      </w:r>
      <w:bookmarkEnd w:id="113"/>
      <w:bookmarkEnd w:id="114"/>
      <w:bookmarkEnd w:id="115"/>
      <w:bookmarkStart w:id="116" w:name="_Toc437444976"/>
      <w:bookmarkStart w:id="117" w:name="_Toc22409"/>
      <w:bookmarkStart w:id="118" w:name="_Toc411417807"/>
    </w:p>
    <w:p>
      <w:pPr>
        <w:adjustRightInd w:val="0"/>
        <w:snapToGrid w:val="0"/>
        <w:spacing w:line="360" w:lineRule="auto"/>
        <w:outlineLvl w:val="1"/>
        <w:rPr>
          <w:rFonts w:ascii="仿宋_GB2312" w:hAnsi="仿宋_GB2312" w:eastAsia="仿宋_GB2312" w:cs="仿宋_GB2312"/>
          <w:b/>
          <w:bCs/>
          <w:sz w:val="24"/>
        </w:rPr>
      </w:pPr>
      <w:bookmarkStart w:id="119" w:name="_Toc20623"/>
      <w:r>
        <w:rPr>
          <w:rFonts w:hint="eastAsia" w:ascii="仿宋_GB2312" w:hAnsi="仿宋_GB2312" w:eastAsia="仿宋_GB2312" w:cs="仿宋_GB2312"/>
          <w:b/>
          <w:bCs/>
          <w:sz w:val="24"/>
        </w:rPr>
        <w:t xml:space="preserve">附录1 </w:t>
      </w:r>
      <w:bookmarkEnd w:id="116"/>
      <w:bookmarkEnd w:id="117"/>
      <w:bookmarkEnd w:id="118"/>
      <w:bookmarkEnd w:id="119"/>
      <w:bookmarkStart w:id="120" w:name="_Toc319826226"/>
      <w:bookmarkStart w:id="121" w:name="_Toc16781"/>
      <w:bookmarkStart w:id="122" w:name="_Toc437444977"/>
      <w:bookmarkStart w:id="123" w:name="_Toc12472"/>
      <w:r>
        <w:rPr>
          <w:rFonts w:hint="eastAsia" w:ascii="仿宋_GB2312" w:hAnsi="仿宋_GB2312" w:eastAsia="仿宋_GB2312" w:cs="仿宋_GB2312"/>
          <w:b/>
          <w:bCs/>
          <w:sz w:val="24"/>
        </w:rPr>
        <w:t>银行履约保函</w:t>
      </w:r>
      <w:bookmarkEnd w:id="120"/>
      <w:bookmarkEnd w:id="121"/>
      <w:bookmarkEnd w:id="122"/>
      <w:r>
        <w:rPr>
          <w:rFonts w:hint="eastAsia" w:ascii="仿宋_GB2312" w:hAnsi="仿宋_GB2312" w:eastAsia="仿宋_GB2312" w:cs="仿宋_GB2312"/>
          <w:b/>
          <w:bCs/>
          <w:sz w:val="24"/>
        </w:rPr>
        <w:t>（格式）</w:t>
      </w:r>
      <w:bookmarkEnd w:id="123"/>
    </w:p>
    <w:p>
      <w:pPr>
        <w:jc w:val="center"/>
        <w:rPr>
          <w:rFonts w:ascii="仿宋_GB2312" w:hAnsi="仿宋_GB2312" w:eastAsia="仿宋_GB2312" w:cs="仿宋_GB2312"/>
          <w:b/>
          <w:bCs/>
          <w:sz w:val="24"/>
        </w:rPr>
      </w:pP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bCs/>
          <w:sz w:val="24"/>
        </w:rPr>
        <w:t>保函编号：</w:t>
      </w:r>
    </w:p>
    <w:p>
      <w:pPr>
        <w:snapToGrid w:val="0"/>
        <w:spacing w:line="360" w:lineRule="auto"/>
        <w:jc w:val="center"/>
        <w:rPr>
          <w:rFonts w:ascii="仿宋_GB2312" w:hAnsi="仿宋_GB2312" w:eastAsia="仿宋_GB2312" w:cs="仿宋_GB2312"/>
          <w:b/>
          <w:sz w:val="30"/>
          <w:szCs w:val="30"/>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szCs w:val="20"/>
        </w:rPr>
      </w:pP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地址：</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邮政编码：</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电话：</w:t>
      </w: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left="15" w:leftChars="7" w:firstLine="403" w:firstLineChars="168"/>
        <w:rPr>
          <w:rFonts w:ascii="仿宋_GB2312" w:hAnsi="仿宋_GB2312" w:eastAsia="仿宋_GB2312" w:cs="仿宋_GB2312"/>
          <w:szCs w:val="20"/>
        </w:rPr>
      </w:pPr>
      <w:r>
        <w:rPr>
          <w:rFonts w:hint="eastAsia" w:ascii="仿宋_GB2312" w:hAnsi="仿宋_GB2312" w:eastAsia="仿宋_GB2312" w:cs="仿宋_GB2312"/>
          <w:sz w:val="24"/>
          <w:szCs w:val="20"/>
        </w:rPr>
        <w:t>时间：</w:t>
      </w:r>
    </w:p>
    <w:p>
      <w:pPr>
        <w:spacing w:after="240"/>
        <w:jc w:val="center"/>
        <w:rPr>
          <w:rFonts w:ascii="宋体" w:hAnsi="宋体" w:cs="宋体"/>
          <w:b/>
          <w:bCs/>
          <w:sz w:val="32"/>
          <w:szCs w:val="32"/>
        </w:rPr>
      </w:pPr>
    </w:p>
    <w:p>
      <w:pPr>
        <w:pStyle w:val="45"/>
        <w:sectPr>
          <w:footerReference r:id="rId11" w:type="default"/>
          <w:pgSz w:w="11906" w:h="16838"/>
          <w:pgMar w:top="1440" w:right="1797" w:bottom="1440" w:left="1797" w:header="851" w:footer="851" w:gutter="0"/>
          <w:cols w:space="720" w:num="1"/>
          <w:docGrid w:linePitch="312" w:charSpace="0"/>
        </w:sectPr>
      </w:pPr>
    </w:p>
    <w:p>
      <w:pPr>
        <w:spacing w:after="240"/>
        <w:jc w:val="center"/>
        <w:rPr>
          <w:rFonts w:ascii="宋体" w:hAnsi="宋体" w:cs="宋体"/>
          <w:b/>
          <w:bCs/>
          <w:sz w:val="32"/>
          <w:szCs w:val="32"/>
        </w:rPr>
      </w:pPr>
      <w:r>
        <w:rPr>
          <w:rFonts w:ascii="宋体" w:hAnsi="宋体" w:cs="宋体"/>
          <w:b/>
          <w:bCs/>
          <w:sz w:val="32"/>
          <w:szCs w:val="32"/>
        </w:rPr>
        <w:pict>
          <v:shape id="文本框 1" o:spid="_x0000_s1026" o:spt="202" type="#_x0000_t202" style="position:absolute;left:0pt;margin-left:336.75pt;margin-top:30.3pt;height:33pt;width:87.7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cs="宋体"/>
          <w:b/>
          <w:bCs/>
          <w:sz w:val="32"/>
          <w:szCs w:val="32"/>
        </w:rPr>
        <w:t>第六章</w:t>
      </w:r>
      <w:bookmarkStart w:id="124" w:name="_Toc14891079"/>
      <w:r>
        <w:rPr>
          <w:rFonts w:hint="eastAsia" w:ascii="宋体" w:hAnsi="宋体" w:cs="宋体"/>
          <w:b/>
          <w:bCs/>
          <w:sz w:val="32"/>
          <w:szCs w:val="32"/>
        </w:rPr>
        <w:t xml:space="preserve">  响应文件组成</w:t>
      </w:r>
      <w:bookmarkEnd w:id="53"/>
      <w:bookmarkEnd w:id="54"/>
      <w:bookmarkEnd w:id="55"/>
      <w:bookmarkEnd w:id="56"/>
      <w:bookmarkEnd w:id="124"/>
    </w:p>
    <w:p>
      <w:pPr>
        <w:spacing w:line="360" w:lineRule="auto"/>
        <w:rPr>
          <w:rFonts w:ascii="宋体" w:hAnsi="宋体"/>
          <w:b/>
          <w:bCs/>
          <w:sz w:val="52"/>
          <w:szCs w:val="52"/>
        </w:rPr>
      </w:pPr>
    </w:p>
    <w:p>
      <w:pPr>
        <w:pStyle w:val="2"/>
        <w:spacing w:line="360" w:lineRule="auto"/>
        <w:rPr>
          <w:rFonts w:ascii="宋体" w:hAnsi="宋体"/>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sz w:val="28"/>
          <w:szCs w:val="28"/>
        </w:rPr>
      </w:pPr>
    </w:p>
    <w:p>
      <w:pPr>
        <w:pStyle w:val="25"/>
        <w:rPr>
          <w:rFonts w:hAnsi="宋体"/>
          <w:b/>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谈判项目名称及标段：</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      </w:t>
      </w: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jc w:val="center"/>
        <w:rPr>
          <w:rFonts w:hAnsi="宋体"/>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rPr>
          <w:rFonts w:ascii="宋体" w:hAnsi="宋体"/>
          <w:b/>
          <w:sz w:val="32"/>
          <w:szCs w:val="32"/>
        </w:rPr>
        <w:sectPr>
          <w:pgSz w:w="11906" w:h="16838"/>
          <w:pgMar w:top="1440" w:right="1797" w:bottom="1440" w:left="1797" w:header="851" w:footer="851" w:gutter="0"/>
          <w:cols w:space="720" w:num="1"/>
          <w:docGrid w:linePitch="312" w:charSpace="0"/>
        </w:sectPr>
      </w:pPr>
    </w:p>
    <w:p>
      <w:pPr>
        <w:widowControl/>
        <w:spacing w:line="360" w:lineRule="auto"/>
        <w:jc w:val="center"/>
        <w:rPr>
          <w:rFonts w:ascii="宋体"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六、分项价格表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七、其他资料（如有）</w:t>
      </w:r>
    </w:p>
    <w:p>
      <w:pPr>
        <w:ind w:firstLine="480" w:firstLineChars="200"/>
        <w:jc w:val="center"/>
        <w:outlineLvl w:val="1"/>
        <w:rPr>
          <w:rFonts w:ascii="宋体" w:hAnsi="宋体"/>
          <w:b/>
          <w:sz w:val="32"/>
          <w:szCs w:val="32"/>
        </w:rPr>
      </w:pPr>
      <w:r>
        <w:rPr>
          <w:rFonts w:hint="eastAsia" w:ascii="宋体" w:hAnsi="宋体"/>
          <w:sz w:val="24"/>
        </w:rPr>
        <w:br w:type="page"/>
      </w:r>
      <w:bookmarkStart w:id="125" w:name="_Toc14530"/>
      <w:bookmarkStart w:id="126" w:name="_Toc32569"/>
      <w:bookmarkStart w:id="127" w:name="_Toc32600"/>
      <w:bookmarkStart w:id="128" w:name="_Toc24865"/>
      <w:r>
        <w:rPr>
          <w:rFonts w:hint="eastAsia" w:ascii="宋体" w:hAnsi="宋体" w:cs="宋体"/>
          <w:b/>
          <w:sz w:val="32"/>
          <w:szCs w:val="32"/>
        </w:rPr>
        <w:t>一、谈判承诺书</w:t>
      </w:r>
      <w:bookmarkEnd w:id="125"/>
      <w:bookmarkEnd w:id="126"/>
      <w:bookmarkEnd w:id="127"/>
      <w:bookmarkEnd w:id="128"/>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         ）的全部内容，知悉参加竞争性谈判的风险，我方承诺接受谈判文件的全部条款且无任何异议。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bCs/>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b/>
          <w:bCs/>
          <w:color w:val="7030A0"/>
        </w:rPr>
        <w:t>，</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Ansi="宋体"/>
        </w:rPr>
      </w:pPr>
      <w:r>
        <w:rPr>
          <w:rFonts w:hint="eastAsia" w:hAnsi="宋体"/>
        </w:rPr>
        <w:t>五、保证没有组织、参与围标、串标行为。</w:t>
      </w:r>
    </w:p>
    <w:p>
      <w:pPr>
        <w:pStyle w:val="25"/>
        <w:adjustRightInd w:val="0"/>
        <w:snapToGrid w:val="0"/>
        <w:spacing w:line="360" w:lineRule="auto"/>
        <w:ind w:firstLine="420" w:firstLineChars="200"/>
        <w:rPr>
          <w:rFonts w:hAnsi="宋体"/>
        </w:rPr>
      </w:pPr>
      <w:r>
        <w:rPr>
          <w:rFonts w:hint="eastAsia" w:hAnsi="宋体"/>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hAnsi="宋体"/>
        </w:rPr>
        <w:t>七、我方承诺，若贵方需要，我方愿意提供任何与本次谈判有关的数据、情况和技术资料。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九、我方承诺在参与本次竞争性谈判过程中，若出现本文件第一章</w:t>
      </w:r>
      <w:r>
        <w:rPr>
          <w:rFonts w:hint="eastAsia" w:hAnsi="宋体"/>
          <w:b/>
        </w:rPr>
        <w:t>谈判须知正文</w:t>
      </w:r>
      <w:r>
        <w:rPr>
          <w:rFonts w:hint="eastAsia" w:hAnsi="宋体"/>
        </w:rPr>
        <w:t>第26条规定之情形，我方无条件接受条款规定作出的处罚。</w:t>
      </w:r>
    </w:p>
    <w:p>
      <w:pPr>
        <w:pStyle w:val="25"/>
        <w:adjustRightInd w:val="0"/>
        <w:snapToGrid w:val="0"/>
        <w:spacing w:line="360" w:lineRule="auto"/>
        <w:ind w:firstLine="420" w:firstLineChars="200"/>
        <w:rPr>
          <w:rFonts w:hAnsi="宋体"/>
        </w:rPr>
      </w:pPr>
      <w:r>
        <w:rPr>
          <w:rFonts w:hint="eastAsia" w:hAnsi="宋体"/>
        </w:rPr>
        <w:t>十、我方承诺完全响应本文件第四章“用户需求书”及第五章“合同格式条款”内的全部内容。</w:t>
      </w:r>
    </w:p>
    <w:p>
      <w:pPr>
        <w:ind w:firstLine="420" w:firstLineChars="200"/>
        <w:rPr>
          <w:rFonts w:ascii="宋体" w:hAnsi="宋体"/>
          <w:szCs w:val="21"/>
        </w:rPr>
      </w:pPr>
      <w:r>
        <w:rPr>
          <w:rFonts w:hint="eastAsia" w:ascii="宋体" w:hAnsi="宋体"/>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5"/>
        <w:adjustRightInd w:val="0"/>
        <w:snapToGrid w:val="0"/>
        <w:spacing w:line="360" w:lineRule="auto"/>
        <w:rPr>
          <w:rFonts w:hAnsi="宋体"/>
        </w:rPr>
      </w:pPr>
    </w:p>
    <w:p>
      <w:pPr>
        <w:pStyle w:val="25"/>
        <w:adjustRightInd w:val="0"/>
        <w:snapToGrid w:val="0"/>
        <w:spacing w:line="360" w:lineRule="auto"/>
        <w:rPr>
          <w:rFonts w:hAnsi="宋体"/>
        </w:rPr>
      </w:pPr>
    </w:p>
    <w:p>
      <w:pPr>
        <w:spacing w:line="360" w:lineRule="auto"/>
        <w:rPr>
          <w:rFonts w:ascii="宋体" w:hAnsi="宋体"/>
          <w:szCs w:val="21"/>
          <w:u w:val="single"/>
        </w:rPr>
      </w:pPr>
      <w:r>
        <w:rPr>
          <w:rFonts w:hint="eastAsia" w:ascii="宋体" w:hAnsi="宋体"/>
          <w:szCs w:val="21"/>
        </w:rPr>
        <w:t>谈判单位名称：</w:t>
      </w:r>
      <w:r>
        <w:rPr>
          <w:rFonts w:hint="eastAsia" w:ascii="宋体" w:hAnsi="宋体"/>
          <w:szCs w:val="21"/>
          <w:u w:val="single"/>
        </w:rPr>
        <w:t xml:space="preserve">    （盖单位章）    </w:t>
      </w:r>
    </w:p>
    <w:p>
      <w:pPr>
        <w:spacing w:line="360" w:lineRule="auto"/>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 w:val="28"/>
          <w:szCs w:val="28"/>
        </w:rPr>
      </w:pPr>
    </w:p>
    <w:p>
      <w:pPr>
        <w:adjustRightInd w:val="0"/>
        <w:snapToGrid w:val="0"/>
        <w:spacing w:line="360" w:lineRule="auto"/>
        <w:ind w:right="23"/>
        <w:jc w:val="center"/>
        <w:outlineLvl w:val="1"/>
        <w:rPr>
          <w:rFonts w:ascii="宋体" w:hAnsi="宋体" w:cs="宋体"/>
          <w:b/>
          <w:sz w:val="32"/>
          <w:szCs w:val="32"/>
        </w:rPr>
      </w:pPr>
      <w:bookmarkStart w:id="129" w:name="_Toc31277"/>
      <w:bookmarkStart w:id="130" w:name="_Toc24714"/>
      <w:bookmarkStart w:id="131" w:name="_Toc1313"/>
      <w:bookmarkStart w:id="132" w:name="_Toc3026"/>
      <w:r>
        <w:rPr>
          <w:rFonts w:hint="eastAsia" w:ascii="宋体" w:hAnsi="宋体" w:cs="宋体"/>
          <w:b/>
          <w:sz w:val="32"/>
          <w:szCs w:val="32"/>
        </w:rPr>
        <w:t>二、法定代表人身份证明书</w:t>
      </w:r>
      <w:bookmarkEnd w:id="129"/>
      <w:bookmarkEnd w:id="130"/>
      <w:bookmarkEnd w:id="131"/>
      <w:bookmarkEnd w:id="132"/>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w:pict>
          <v:rect id="矩形 4" o:spid="_x0000_s1027" o:spt="1" style="position:absolute;left:0pt;margin-left:222.1pt;margin-top:11.5pt;height:96.15pt;width:185.5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r>
        <w:rPr>
          <w:rFonts w:ascii="宋体" w:hAnsi="宋体"/>
          <w:szCs w:val="21"/>
        </w:rPr>
        <w:pict>
          <v:rect id="矩形 3" o:spid="_x0000_s1028" o:spt="1" style="position:absolute;left:0pt;margin-left:-8.8pt;margin-top:11.5pt;height:96.15pt;width:185.5pt;z-index:-2516510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w:pict>
          <v:rect id="_x0000_s1032" o:spid="_x0000_s1032" o:spt="1" style="position:absolute;left:0pt;margin-left:-9pt;margin-top:2.7pt;height:96.15pt;width:185.5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ascii="宋体" w:hAnsi="宋体"/>
          <w:u w:val="single"/>
        </w:rPr>
        <w:t xml:space="preserve">    （盖单位章）    </w:t>
      </w:r>
    </w:p>
    <w:p>
      <w:pPr>
        <w:spacing w:line="360" w:lineRule="auto"/>
        <w:rPr>
          <w:rFonts w:ascii="宋体" w:hAnsi="宋体"/>
        </w:rPr>
      </w:pPr>
      <w:r>
        <w:rPr>
          <w:rFonts w:hint="eastAsia" w:ascii="宋体" w:hAnsi="宋体"/>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rPr>
          <w:rFonts w:ascii="宋体" w:hAnsi="宋体" w:cs="宋体"/>
          <w:b/>
          <w:sz w:val="32"/>
          <w:szCs w:val="32"/>
        </w:rPr>
      </w:pPr>
      <w:r>
        <w:rPr>
          <w:rFonts w:ascii="宋体" w:hAnsi="宋体"/>
          <w:bCs/>
          <w:sz w:val="24"/>
        </w:rPr>
        <w:br w:type="page"/>
      </w:r>
      <w:bookmarkStart w:id="133" w:name="_Toc761"/>
      <w:bookmarkStart w:id="134" w:name="_Toc8518"/>
      <w:bookmarkStart w:id="135" w:name="_Toc14170"/>
      <w:bookmarkStart w:id="136" w:name="_Toc21066"/>
      <w:r>
        <w:rPr>
          <w:rFonts w:hint="eastAsia" w:ascii="宋体" w:hAnsi="宋体" w:cs="宋体"/>
          <w:b/>
          <w:sz w:val="32"/>
          <w:szCs w:val="32"/>
        </w:rPr>
        <w:t>三、授权委托书</w:t>
      </w:r>
      <w:bookmarkEnd w:id="133"/>
      <w:bookmarkEnd w:id="134"/>
      <w:bookmarkEnd w:id="135"/>
      <w:bookmarkEnd w:id="136"/>
    </w:p>
    <w:p>
      <w:pPr>
        <w:adjustRightInd w:val="0"/>
        <w:snapToGrid w:val="0"/>
        <w:spacing w:line="360" w:lineRule="auto"/>
        <w:jc w:val="center"/>
        <w:rPr>
          <w:rFonts w:ascii="宋体" w:hAnsi="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    年   月   日签字生效，特此声明。</w:t>
      </w:r>
    </w:p>
    <w:p>
      <w:pPr>
        <w:adjustRightInd w:val="0"/>
        <w:snapToGrid w:val="0"/>
        <w:spacing w:before="120" w:beforeLines="50" w:line="360" w:lineRule="auto"/>
        <w:ind w:firstLine="420" w:firstLineChars="200"/>
        <w:rPr>
          <w:rFonts w:ascii="宋体" w:hAnsi="宋体"/>
          <w:szCs w:val="21"/>
        </w:rPr>
      </w:pPr>
      <w:r>
        <w:rPr>
          <w:rFonts w:ascii="宋体" w:hAnsi="宋体"/>
          <w:szCs w:val="21"/>
        </w:rPr>
        <w:pict>
          <v:rect id="矩形 6" o:spid="_x0000_s1029" o:spt="1" style="position:absolute;left:0pt;margin-left:-9pt;margin-top:1.45pt;height:102.35pt;width:111.1pt;z-index:-2516490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">
            <v:path arrowok="t"/>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矩形 7" o:spid="_x0000_s1030" o:spt="1" style="position:absolute;left:0pt;margin-left:272.1pt;margin-top:0.3pt;height:100.1pt;width:122.5pt;z-index:-2516469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">
            <v:path arrowok="t"/>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w:r>
      <w:r>
        <w:rPr>
          <w:rFonts w:ascii="宋体" w:hAnsi="宋体"/>
          <w:szCs w:val="21"/>
        </w:rPr>
        <w:pict>
          <v:rect id="矩形 5" o:spid="_x0000_s1031" o:spt="1" style="position:absolute;left:0pt;flip:x;margin-left:133.45pt;margin-top:1.35pt;height:100.65pt;width:112.85pt;z-index:-2516480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">
            <v:path arrowok="t"/>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ascii="宋体" w:hAnsi="宋体"/>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ascii="宋体" w:hAnsi="宋体"/>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3"/>
        <w:jc w:val="center"/>
        <w:outlineLvl w:val="1"/>
        <w:rPr>
          <w:rFonts w:ascii="宋体" w:hAnsi="宋体" w:cs="宋体"/>
          <w:b/>
          <w:sz w:val="32"/>
          <w:szCs w:val="32"/>
        </w:rPr>
      </w:pPr>
      <w:bookmarkStart w:id="137" w:name="_Toc11357"/>
      <w:bookmarkStart w:id="138" w:name="_Toc18944"/>
      <w:bookmarkStart w:id="139" w:name="_Toc19933"/>
      <w:bookmarkStart w:id="140" w:name="_Toc2295"/>
      <w:r>
        <w:rPr>
          <w:rFonts w:hint="eastAsia" w:ascii="宋体" w:hAnsi="宋体" w:cs="宋体"/>
          <w:b/>
          <w:sz w:val="32"/>
          <w:szCs w:val="32"/>
        </w:rPr>
        <w:t>四、谈判单位资格证明文件</w:t>
      </w:r>
      <w:bookmarkEnd w:id="137"/>
      <w:bookmarkEnd w:id="138"/>
      <w:bookmarkEnd w:id="139"/>
      <w:bookmarkEnd w:id="140"/>
    </w:p>
    <w:p>
      <w:pPr>
        <w:adjustRightInd w:val="0"/>
        <w:snapToGrid w:val="0"/>
        <w:spacing w:line="360" w:lineRule="auto"/>
        <w:rPr>
          <w:rFonts w:ascii="宋体" w:hAnsi="宋体"/>
          <w:bCs/>
          <w:szCs w:val="21"/>
        </w:rPr>
      </w:pP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spacing w:line="360" w:lineRule="auto"/>
        <w:ind w:firstLine="420" w:firstLineChars="200"/>
        <w:jc w:val="left"/>
      </w:pPr>
      <w:r>
        <w:rPr>
          <w:rFonts w:hint="eastAsia" w:ascii="宋体" w:hAnsi="宋体" w:cs="宋体"/>
          <w:szCs w:val="21"/>
          <w:lang w:val="en-US" w:eastAsia="zh-CN"/>
        </w:rPr>
        <w:t>1.</w:t>
      </w:r>
      <w:r>
        <w:rPr>
          <w:rFonts w:hint="eastAsia" w:ascii="宋体" w:hAnsi="宋体" w:cs="宋体"/>
          <w:szCs w:val="21"/>
        </w:rPr>
        <w:t>谈判单位须为具有独立法人资格、自主经营、独立核算的公司/单位，须提供加盖谈判单位公章（鲜章）的营业执照/事业单位法人证书复印件。</w:t>
      </w:r>
    </w:p>
    <w:p>
      <w:pPr>
        <w:spacing w:line="360" w:lineRule="auto"/>
        <w:ind w:firstLine="420" w:firstLineChars="200"/>
        <w:jc w:val="left"/>
        <w:rPr>
          <w:rFonts w:ascii="宋体" w:hAnsi="宋体" w:cs="宋体"/>
          <w:szCs w:val="21"/>
        </w:rPr>
      </w:pPr>
      <w:r>
        <w:rPr>
          <w:rFonts w:hint="eastAsia" w:ascii="宋体" w:hAnsi="宋体" w:cs="宋体"/>
          <w:iCs/>
          <w:lang w:val="en-US" w:eastAsia="zh-CN"/>
        </w:rPr>
        <w:t>2</w:t>
      </w:r>
      <w:r>
        <w:rPr>
          <w:rFonts w:hint="eastAsia" w:ascii="宋体" w:hAnsi="宋体" w:cs="宋体"/>
          <w:iCs/>
        </w:rPr>
        <w:t>.</w:t>
      </w:r>
      <w:r>
        <w:rPr>
          <w:rFonts w:hint="eastAsia"/>
          <w:b/>
          <w:bCs/>
        </w:rPr>
        <w:t>一标段（车站配套设备）</w:t>
      </w:r>
      <w:r>
        <w:rPr>
          <w:rFonts w:hint="eastAsia"/>
        </w:rPr>
        <w:t>：</w:t>
      </w:r>
      <w:r>
        <w:rPr>
          <w:rFonts w:hint="eastAsia" w:ascii="宋体" w:hAnsi="宋体" w:cs="宋体"/>
          <w:szCs w:val="21"/>
        </w:rPr>
        <w:t>谈判单位在本项目谈判截止之日前36个月内须具有单项合同金额不少于30万元的</w:t>
      </w:r>
      <w:r>
        <w:rPr>
          <w:rFonts w:hint="eastAsia"/>
        </w:rPr>
        <w:t>视频智能分析类产品的供货</w:t>
      </w:r>
      <w:r>
        <w:rPr>
          <w:rFonts w:hint="eastAsia" w:ascii="宋体" w:hAnsi="宋体" w:cs="宋体"/>
          <w:szCs w:val="21"/>
        </w:rPr>
        <w:t>业绩。不接受联合体业绩、港澳台或境外业绩。</w:t>
      </w:r>
    </w:p>
    <w:p>
      <w:pPr>
        <w:pStyle w:val="2"/>
        <w:spacing w:line="360" w:lineRule="auto"/>
        <w:ind w:left="0" w:leftChars="0" w:firstLine="420" w:firstLineChars="200"/>
        <w:rPr>
          <w:rFonts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p>
    <w:p>
      <w:pPr>
        <w:pStyle w:val="2"/>
        <w:spacing w:line="360" w:lineRule="auto"/>
        <w:ind w:left="0" w:leftChars="0" w:firstLine="422" w:firstLineChars="200"/>
      </w:pPr>
      <w:r>
        <w:rPr>
          <w:rFonts w:hint="eastAsia"/>
          <w:b/>
          <w:bCs/>
        </w:rPr>
        <w:t>二标段（智能巡检）：</w:t>
      </w:r>
      <w:r>
        <w:rPr>
          <w:rFonts w:hint="eastAsia" w:ascii="宋体" w:hAnsi="宋体" w:cs="宋体"/>
          <w:color w:val="000000"/>
          <w:szCs w:val="21"/>
        </w:rPr>
        <w:t>谈判单位在本项目谈判截止之日前36个月内须具有自动化系统或智能化系统的供货业绩。</w:t>
      </w:r>
      <w:r>
        <w:rPr>
          <w:rFonts w:hint="eastAsia"/>
        </w:rPr>
        <w:t>不接受联合体、港澳台或境外业绩。</w:t>
      </w:r>
    </w:p>
    <w:p>
      <w:pPr>
        <w:pStyle w:val="2"/>
        <w:spacing w:line="360" w:lineRule="auto"/>
        <w:ind w:left="0" w:leftChars="0" w:firstLine="420" w:firstLineChars="200"/>
        <w:rPr>
          <w:rFonts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p>
    <w:p>
      <w:pPr>
        <w:adjustRightInd w:val="0"/>
        <w:snapToGrid w:val="0"/>
        <w:spacing w:line="360" w:lineRule="auto"/>
        <w:ind w:firstLine="420" w:firstLineChars="200"/>
        <w:rPr>
          <w:rFonts w:ascii="宋体" w:hAnsi="宋体" w:cs="宋体"/>
          <w:kern w:val="0"/>
          <w:szCs w:val="21"/>
        </w:rPr>
      </w:pPr>
      <w:r>
        <w:rPr>
          <w:rFonts w:hint="eastAsia" w:ascii="宋体" w:hAnsi="宋体" w:cs="宋体"/>
          <w:iCs/>
          <w:lang w:val="en-US" w:eastAsia="zh-CN"/>
        </w:rPr>
        <w:t>3</w:t>
      </w:r>
      <w:r>
        <w:rPr>
          <w:rFonts w:hint="eastAsia" w:ascii="宋体" w:hAnsi="宋体" w:cs="宋体"/>
          <w:iCs/>
        </w:rPr>
        <w:t>.</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1、上述证明文件复印件均须加盖谈判单位公章（鲜章）。</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w:t>
      </w:r>
      <w:r>
        <w:rPr>
          <w:rFonts w:hint="eastAsia" w:ascii="宋体" w:hAnsi="宋体"/>
          <w:b/>
          <w:bCs/>
          <w:szCs w:val="21"/>
        </w:rPr>
        <w:t>上述证明文件如须递交原件的，应用文件袋单独包装，在响应文件递交的同时一并提交</w:t>
      </w:r>
      <w:r>
        <w:rPr>
          <w:rFonts w:hint="eastAsia" w:ascii="宋体" w:hAnsi="宋体" w:cs="宋体"/>
          <w:b/>
          <w:bCs/>
          <w:szCs w:val="21"/>
        </w:rPr>
        <w:t>。</w:t>
      </w:r>
    </w:p>
    <w:p>
      <w:pPr>
        <w:adjustRightInd w:val="0"/>
        <w:snapToGrid w:val="0"/>
        <w:spacing w:line="360" w:lineRule="auto"/>
        <w:ind w:firstLine="422" w:firstLineChars="200"/>
        <w:rPr>
          <w:rFonts w:ascii="宋体" w:hAnsi="宋体"/>
          <w:b/>
          <w:bCs/>
          <w:szCs w:val="21"/>
        </w:rPr>
      </w:pPr>
    </w:p>
    <w:p>
      <w:pPr>
        <w:pStyle w:val="2"/>
        <w:rPr>
          <w:rFonts w:ascii="宋体" w:hAnsi="宋体"/>
        </w:rPr>
      </w:pPr>
    </w:p>
    <w:p>
      <w:pPr>
        <w:pStyle w:val="2"/>
        <w:rPr>
          <w:rFonts w:ascii="宋体" w:hAnsi="宋体"/>
        </w:rPr>
        <w:sectPr>
          <w:pgSz w:w="11906" w:h="16838"/>
          <w:pgMar w:top="1440" w:right="1797" w:bottom="1440" w:left="1797" w:header="851" w:footer="851" w:gutter="0"/>
          <w:cols w:space="720" w:num="1"/>
        </w:sectPr>
      </w:pPr>
    </w:p>
    <w:p>
      <w:pPr>
        <w:adjustRightInd w:val="0"/>
        <w:snapToGrid w:val="0"/>
        <w:spacing w:line="360" w:lineRule="auto"/>
        <w:ind w:right="23"/>
        <w:jc w:val="center"/>
        <w:outlineLvl w:val="1"/>
        <w:rPr>
          <w:rFonts w:ascii="宋体" w:hAnsi="宋体" w:cs="宋体"/>
          <w:b/>
          <w:sz w:val="32"/>
          <w:szCs w:val="32"/>
        </w:rPr>
      </w:pPr>
      <w:r>
        <w:rPr>
          <w:rFonts w:hint="eastAsia" w:ascii="宋体" w:hAnsi="宋体" w:cs="宋体"/>
          <w:b/>
          <w:sz w:val="32"/>
          <w:szCs w:val="32"/>
        </w:rPr>
        <w:t>五、报价一览表</w:t>
      </w:r>
    </w:p>
    <w:p>
      <w:pPr>
        <w:adjustRightInd w:val="0"/>
        <w:snapToGrid w:val="0"/>
        <w:ind w:firstLine="482" w:firstLineChars="200"/>
        <w:jc w:val="left"/>
        <w:rPr>
          <w:rFonts w:ascii="宋体" w:hAnsi="宋体"/>
          <w:sz w:val="24"/>
        </w:rPr>
      </w:pPr>
      <w:r>
        <w:rPr>
          <w:rFonts w:hint="eastAsia" w:ascii="宋体" w:hAnsi="宋体"/>
          <w:b/>
          <w:bCs/>
          <w:sz w:val="24"/>
        </w:rPr>
        <w:t xml:space="preserve">一标： </w:t>
      </w:r>
      <w:r>
        <w:rPr>
          <w:rFonts w:hint="eastAsia" w:ascii="宋体" w:hAnsi="宋体"/>
          <w:sz w:val="24"/>
        </w:rPr>
        <w:t xml:space="preserve">                                                   金额单位：元</w:t>
      </w:r>
    </w:p>
    <w:tbl>
      <w:tblPr>
        <w:tblStyle w:val="46"/>
        <w:tblW w:w="959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3"/>
        <w:gridCol w:w="2983"/>
        <w:gridCol w:w="2703"/>
        <w:gridCol w:w="1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1953" w:type="dxa"/>
            <w:vAlign w:val="center"/>
          </w:tcPr>
          <w:p>
            <w:pPr>
              <w:tabs>
                <w:tab w:val="left" w:pos="403"/>
                <w:tab w:val="center" w:pos="3781"/>
              </w:tabs>
              <w:spacing w:line="420" w:lineRule="exact"/>
              <w:jc w:val="center"/>
              <w:rPr>
                <w:rFonts w:ascii="宋体" w:hAnsi="宋体"/>
                <w:szCs w:val="21"/>
              </w:rPr>
            </w:pPr>
            <w:r>
              <w:rPr>
                <w:rFonts w:ascii="宋体" w:hAnsi="宋体"/>
                <w:szCs w:val="21"/>
              </w:rPr>
              <w:t>项目名称</w:t>
            </w:r>
            <w:r>
              <w:rPr>
                <w:rFonts w:hint="eastAsia" w:ascii="宋体" w:hAnsi="宋体"/>
                <w:szCs w:val="21"/>
              </w:rPr>
              <w:t>及标段</w:t>
            </w:r>
          </w:p>
        </w:tc>
        <w:tc>
          <w:tcPr>
            <w:tcW w:w="7646"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953" w:type="dxa"/>
            <w:vAlign w:val="center"/>
          </w:tcPr>
          <w:p>
            <w:pPr>
              <w:tabs>
                <w:tab w:val="left" w:pos="403"/>
                <w:tab w:val="center" w:pos="3781"/>
              </w:tabs>
              <w:spacing w:line="420" w:lineRule="exact"/>
              <w:jc w:val="center"/>
              <w:rPr>
                <w:rFonts w:ascii="宋体" w:hAnsi="宋体"/>
                <w:szCs w:val="21"/>
              </w:rPr>
            </w:pPr>
            <w:r>
              <w:rPr>
                <w:rFonts w:hint="eastAsia" w:ascii="宋体" w:hAnsi="宋体"/>
                <w:szCs w:val="21"/>
              </w:rPr>
              <w:t>项目</w:t>
            </w:r>
            <w:r>
              <w:rPr>
                <w:rFonts w:ascii="宋体" w:hAnsi="宋体"/>
                <w:szCs w:val="21"/>
              </w:rPr>
              <w:t>编号</w:t>
            </w:r>
          </w:p>
        </w:tc>
        <w:tc>
          <w:tcPr>
            <w:tcW w:w="7646"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953" w:type="dxa"/>
            <w:vAlign w:val="center"/>
          </w:tcPr>
          <w:p>
            <w:pPr>
              <w:spacing w:line="420" w:lineRule="exact"/>
              <w:jc w:val="center"/>
              <w:rPr>
                <w:rFonts w:ascii="宋体" w:hAnsi="宋体"/>
                <w:color w:val="FF0000"/>
                <w:szCs w:val="21"/>
              </w:rPr>
            </w:pPr>
            <w:r>
              <w:rPr>
                <w:rFonts w:hint="eastAsia" w:ascii="宋体" w:hAnsi="宋体"/>
                <w:szCs w:val="21"/>
              </w:rPr>
              <w:t>供货期</w:t>
            </w:r>
          </w:p>
        </w:tc>
        <w:tc>
          <w:tcPr>
            <w:tcW w:w="7646" w:type="dxa"/>
            <w:gridSpan w:val="3"/>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953" w:type="dxa"/>
            <w:vAlign w:val="center"/>
          </w:tcPr>
          <w:p>
            <w:pPr>
              <w:pStyle w:val="335"/>
              <w:spacing w:line="360" w:lineRule="auto"/>
              <w:ind w:firstLine="422"/>
              <w:rPr>
                <w:rFonts w:ascii="宋体" w:hAnsi="宋体"/>
                <w:szCs w:val="21"/>
              </w:rPr>
            </w:pPr>
            <w:r>
              <w:rPr>
                <w:rFonts w:hint="eastAsia" w:ascii="宋体" w:hAnsi="宋体" w:cs="宋体"/>
                <w:b/>
                <w:bCs/>
                <w:color w:val="000000"/>
                <w:szCs w:val="21"/>
              </w:rPr>
              <w:t>谈判总报价</w:t>
            </w:r>
          </w:p>
        </w:tc>
        <w:tc>
          <w:tcPr>
            <w:tcW w:w="2983" w:type="dxa"/>
            <w:tcBorders>
              <w:right w:val="single" w:color="auto" w:sz="4" w:space="0"/>
            </w:tcBorders>
            <w:vAlign w:val="center"/>
          </w:tcPr>
          <w:p>
            <w:pPr>
              <w:jc w:val="left"/>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2703"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c>
          <w:tcPr>
            <w:tcW w:w="1960"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rPr>
              <w:t>税费为：</w:t>
            </w:r>
            <w:r>
              <w:rPr>
                <w:rFonts w:hint="eastAsia" w:ascii="宋体" w:hAnsi="宋体"/>
                <w:szCs w:val="21"/>
                <w:u w:val="singl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953" w:type="dxa"/>
            <w:vAlign w:val="center"/>
          </w:tcPr>
          <w:p>
            <w:pPr>
              <w:spacing w:line="420" w:lineRule="exact"/>
              <w:jc w:val="center"/>
              <w:rPr>
                <w:rFonts w:ascii="宋体" w:hAnsi="宋体" w:cs="宋体"/>
                <w:szCs w:val="21"/>
              </w:rPr>
            </w:pPr>
            <w:r>
              <w:rPr>
                <w:rFonts w:hint="eastAsia" w:ascii="宋体" w:hAnsi="宋体" w:cs="宋体"/>
                <w:szCs w:val="21"/>
              </w:rPr>
              <w:t>质保期</w:t>
            </w:r>
          </w:p>
        </w:tc>
        <w:tc>
          <w:tcPr>
            <w:tcW w:w="7646"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953" w:type="dxa"/>
            <w:vAlign w:val="center"/>
          </w:tcPr>
          <w:p>
            <w:pPr>
              <w:spacing w:line="420" w:lineRule="exact"/>
              <w:jc w:val="center"/>
              <w:rPr>
                <w:rFonts w:ascii="宋体" w:hAnsi="宋体"/>
                <w:szCs w:val="21"/>
              </w:rPr>
            </w:pPr>
            <w:r>
              <w:rPr>
                <w:rFonts w:ascii="宋体" w:hAnsi="宋体"/>
                <w:szCs w:val="21"/>
              </w:rPr>
              <w:t>备  注</w:t>
            </w:r>
          </w:p>
        </w:tc>
        <w:tc>
          <w:tcPr>
            <w:tcW w:w="7646" w:type="dxa"/>
            <w:gridSpan w:val="3"/>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2.本表内“谈判总报价”是包含了货物所有隐含的运输费、保险费、安装调试费、管理费和利润等其他费用的报价。</w:t>
      </w:r>
    </w:p>
    <w:p>
      <w:pPr>
        <w:adjustRightInd w:val="0"/>
        <w:snapToGrid w:val="0"/>
        <w:spacing w:line="360" w:lineRule="auto"/>
        <w:ind w:firstLine="420" w:firstLineChars="200"/>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adjustRightInd w:val="0"/>
        <w:snapToGrid w:val="0"/>
        <w:spacing w:line="360" w:lineRule="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pStyle w:val="45"/>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5"/>
        <w:rPr>
          <w:rFonts w:ascii="宋体" w:hAnsi="宋体"/>
          <w:szCs w:val="21"/>
        </w:rPr>
      </w:pPr>
    </w:p>
    <w:p>
      <w:pPr>
        <w:pStyle w:val="45"/>
        <w:rPr>
          <w:rFonts w:ascii="宋体" w:hAnsi="宋体"/>
          <w:szCs w:val="21"/>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r>
        <w:rPr>
          <w:rFonts w:hint="eastAsia" w:ascii="宋体" w:hAnsi="宋体" w:cs="宋体"/>
          <w:b/>
          <w:sz w:val="32"/>
          <w:szCs w:val="32"/>
        </w:rPr>
        <w:t>五、报价一览表</w:t>
      </w:r>
    </w:p>
    <w:p>
      <w:pPr>
        <w:adjustRightInd w:val="0"/>
        <w:snapToGrid w:val="0"/>
        <w:ind w:firstLine="241" w:firstLineChars="100"/>
        <w:jc w:val="left"/>
        <w:rPr>
          <w:rFonts w:ascii="宋体" w:hAnsi="宋体"/>
          <w:sz w:val="24"/>
        </w:rPr>
      </w:pPr>
      <w:r>
        <w:rPr>
          <w:rFonts w:hint="eastAsia" w:ascii="宋体" w:hAnsi="宋体"/>
          <w:b/>
          <w:bCs/>
          <w:sz w:val="24"/>
        </w:rPr>
        <w:t xml:space="preserve">二标：  </w:t>
      </w:r>
      <w:r>
        <w:rPr>
          <w:rFonts w:hint="eastAsia" w:ascii="宋体" w:hAnsi="宋体"/>
          <w:sz w:val="24"/>
        </w:rPr>
        <w:t xml:space="preserve">                                                           金额单位：元</w:t>
      </w:r>
    </w:p>
    <w:tbl>
      <w:tblPr>
        <w:tblStyle w:val="46"/>
        <w:tblW w:w="995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7"/>
        <w:gridCol w:w="3095"/>
        <w:gridCol w:w="2805"/>
        <w:gridCol w:w="20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2027" w:type="dxa"/>
            <w:vAlign w:val="center"/>
          </w:tcPr>
          <w:p>
            <w:pPr>
              <w:tabs>
                <w:tab w:val="left" w:pos="403"/>
                <w:tab w:val="center" w:pos="3781"/>
              </w:tabs>
              <w:spacing w:line="420" w:lineRule="exact"/>
              <w:jc w:val="center"/>
              <w:rPr>
                <w:rFonts w:ascii="宋体" w:hAnsi="宋体"/>
                <w:szCs w:val="21"/>
              </w:rPr>
            </w:pPr>
            <w:r>
              <w:rPr>
                <w:rFonts w:ascii="宋体" w:hAnsi="宋体"/>
                <w:szCs w:val="21"/>
              </w:rPr>
              <w:t>项目名称</w:t>
            </w:r>
            <w:r>
              <w:rPr>
                <w:rFonts w:hint="eastAsia" w:ascii="宋体" w:hAnsi="宋体"/>
                <w:szCs w:val="21"/>
              </w:rPr>
              <w:t>及标段</w:t>
            </w:r>
          </w:p>
        </w:tc>
        <w:tc>
          <w:tcPr>
            <w:tcW w:w="7932"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2027" w:type="dxa"/>
            <w:vAlign w:val="center"/>
          </w:tcPr>
          <w:p>
            <w:pPr>
              <w:tabs>
                <w:tab w:val="left" w:pos="403"/>
                <w:tab w:val="center" w:pos="3781"/>
              </w:tabs>
              <w:spacing w:line="420" w:lineRule="exact"/>
              <w:jc w:val="center"/>
              <w:rPr>
                <w:rFonts w:ascii="宋体" w:hAnsi="宋体"/>
                <w:szCs w:val="21"/>
              </w:rPr>
            </w:pPr>
            <w:r>
              <w:rPr>
                <w:rFonts w:hint="eastAsia" w:ascii="宋体" w:hAnsi="宋体"/>
                <w:szCs w:val="21"/>
              </w:rPr>
              <w:t>项目</w:t>
            </w:r>
            <w:r>
              <w:rPr>
                <w:rFonts w:ascii="宋体" w:hAnsi="宋体"/>
                <w:szCs w:val="21"/>
              </w:rPr>
              <w:t>编号</w:t>
            </w:r>
          </w:p>
        </w:tc>
        <w:tc>
          <w:tcPr>
            <w:tcW w:w="7932"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2027" w:type="dxa"/>
            <w:vAlign w:val="center"/>
          </w:tcPr>
          <w:p>
            <w:pPr>
              <w:spacing w:line="420" w:lineRule="exact"/>
              <w:jc w:val="center"/>
              <w:rPr>
                <w:rFonts w:ascii="宋体" w:hAnsi="宋体"/>
                <w:color w:val="FF0000"/>
                <w:szCs w:val="21"/>
              </w:rPr>
            </w:pPr>
            <w:r>
              <w:rPr>
                <w:rFonts w:hint="eastAsia" w:ascii="宋体" w:hAnsi="宋体"/>
                <w:szCs w:val="21"/>
              </w:rPr>
              <w:t>供货期</w:t>
            </w:r>
          </w:p>
        </w:tc>
        <w:tc>
          <w:tcPr>
            <w:tcW w:w="7932" w:type="dxa"/>
            <w:gridSpan w:val="3"/>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2027" w:type="dxa"/>
            <w:vAlign w:val="center"/>
          </w:tcPr>
          <w:p>
            <w:pPr>
              <w:pStyle w:val="335"/>
              <w:spacing w:line="360" w:lineRule="auto"/>
              <w:ind w:firstLine="422"/>
              <w:rPr>
                <w:rFonts w:ascii="宋体" w:hAnsi="宋体"/>
                <w:szCs w:val="21"/>
              </w:rPr>
            </w:pPr>
            <w:r>
              <w:rPr>
                <w:rFonts w:hint="eastAsia" w:ascii="宋体" w:hAnsi="宋体" w:cs="宋体"/>
                <w:b/>
                <w:bCs/>
                <w:color w:val="000000"/>
                <w:szCs w:val="21"/>
              </w:rPr>
              <w:t>谈判总报价</w:t>
            </w:r>
          </w:p>
        </w:tc>
        <w:tc>
          <w:tcPr>
            <w:tcW w:w="3095" w:type="dxa"/>
            <w:tcBorders>
              <w:right w:val="single" w:color="auto" w:sz="4" w:space="0"/>
            </w:tcBorders>
            <w:vAlign w:val="center"/>
          </w:tcPr>
          <w:p>
            <w:pPr>
              <w:jc w:val="left"/>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2805"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c>
          <w:tcPr>
            <w:tcW w:w="2032"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rPr>
              <w:t>税费为：</w:t>
            </w:r>
            <w:r>
              <w:rPr>
                <w:rFonts w:hint="eastAsia" w:ascii="宋体" w:hAnsi="宋体"/>
                <w:szCs w:val="21"/>
                <w:u w:val="singl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2027" w:type="dxa"/>
            <w:vAlign w:val="center"/>
          </w:tcPr>
          <w:p>
            <w:pPr>
              <w:spacing w:line="420" w:lineRule="exact"/>
              <w:jc w:val="center"/>
              <w:rPr>
                <w:rFonts w:ascii="宋体" w:hAnsi="宋体" w:cs="宋体"/>
                <w:szCs w:val="21"/>
              </w:rPr>
            </w:pPr>
            <w:r>
              <w:rPr>
                <w:rFonts w:hint="eastAsia" w:ascii="宋体" w:hAnsi="宋体" w:cs="宋体"/>
                <w:szCs w:val="21"/>
              </w:rPr>
              <w:t>质保期</w:t>
            </w:r>
          </w:p>
        </w:tc>
        <w:tc>
          <w:tcPr>
            <w:tcW w:w="7932"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2027" w:type="dxa"/>
            <w:vAlign w:val="center"/>
          </w:tcPr>
          <w:p>
            <w:pPr>
              <w:spacing w:line="420" w:lineRule="exact"/>
              <w:jc w:val="center"/>
              <w:rPr>
                <w:rFonts w:ascii="宋体" w:hAnsi="宋体"/>
                <w:szCs w:val="21"/>
              </w:rPr>
            </w:pPr>
            <w:r>
              <w:rPr>
                <w:rFonts w:ascii="宋体" w:hAnsi="宋体"/>
                <w:szCs w:val="21"/>
              </w:rPr>
              <w:t>备  注</w:t>
            </w:r>
          </w:p>
        </w:tc>
        <w:tc>
          <w:tcPr>
            <w:tcW w:w="7932" w:type="dxa"/>
            <w:gridSpan w:val="3"/>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2.本表内“谈判总报价”是包含了货物所有隐含的运输费、保险费、安装调试费、管理费和利润等其他费用的报价。</w:t>
      </w:r>
    </w:p>
    <w:p>
      <w:pPr>
        <w:adjustRightInd w:val="0"/>
        <w:snapToGrid w:val="0"/>
        <w:spacing w:line="360" w:lineRule="auto"/>
        <w:ind w:firstLine="420" w:firstLineChars="200"/>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adjustRightInd w:val="0"/>
        <w:snapToGrid w:val="0"/>
        <w:spacing w:line="360" w:lineRule="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pStyle w:val="45"/>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ascii="宋体" w:hAnsi="宋体"/>
          <w:szCs w:val="21"/>
        </w:rPr>
      </w:pPr>
      <w:r>
        <w:rPr>
          <w:rFonts w:hint="eastAsia" w:ascii="宋体" w:hAnsi="宋体"/>
          <w:szCs w:val="21"/>
        </w:rPr>
        <w:br w:type="page"/>
      </w:r>
    </w:p>
    <w:p>
      <w:pPr>
        <w:adjustRightInd w:val="0"/>
        <w:snapToGrid w:val="0"/>
        <w:spacing w:line="360" w:lineRule="auto"/>
        <w:ind w:right="23"/>
        <w:jc w:val="center"/>
        <w:outlineLvl w:val="1"/>
        <w:rPr>
          <w:rFonts w:ascii="宋体" w:hAnsi="宋体" w:cs="宋体"/>
          <w:b/>
          <w:sz w:val="32"/>
          <w:szCs w:val="32"/>
        </w:rPr>
      </w:pPr>
      <w:bookmarkStart w:id="141" w:name="_Toc22350"/>
      <w:bookmarkStart w:id="142" w:name="_Toc9077"/>
      <w:bookmarkStart w:id="143" w:name="_Toc22739"/>
      <w:bookmarkStart w:id="144" w:name="_Toc27585"/>
      <w:r>
        <w:rPr>
          <w:rFonts w:hint="eastAsia" w:ascii="宋体" w:hAnsi="宋体" w:cs="宋体"/>
          <w:b/>
          <w:sz w:val="32"/>
          <w:szCs w:val="32"/>
        </w:rPr>
        <w:t>六、分项价格表</w:t>
      </w:r>
    </w:p>
    <w:p>
      <w:pPr>
        <w:spacing w:line="360" w:lineRule="exact"/>
      </w:pPr>
      <w:r>
        <w:rPr>
          <w:rFonts w:hint="eastAsia" w:ascii="宋体" w:hAnsi="宋体"/>
          <w:b/>
        </w:rPr>
        <w:t>一标:</w:t>
      </w:r>
    </w:p>
    <w:p>
      <w:pPr>
        <w:spacing w:line="360" w:lineRule="exact"/>
        <w:jc w:val="left"/>
        <w:rPr>
          <w:rFonts w:ascii="宋体" w:hAnsi="宋体"/>
        </w:rPr>
      </w:pPr>
      <w:r>
        <w:rPr>
          <w:rFonts w:hint="eastAsia" w:ascii="宋体" w:hAnsi="宋体"/>
          <w:bCs/>
        </w:rPr>
        <w:t>项目</w:t>
      </w:r>
      <w:r>
        <w:rPr>
          <w:rFonts w:hint="eastAsia" w:ascii="宋体" w:hAnsi="宋体"/>
        </w:rPr>
        <w:t>名称及标段：                                                              金额单位：元</w:t>
      </w:r>
    </w:p>
    <w:tbl>
      <w:tblPr>
        <w:tblStyle w:val="46"/>
        <w:tblW w:w="102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834"/>
        <w:gridCol w:w="930"/>
        <w:gridCol w:w="1218"/>
        <w:gridCol w:w="2877"/>
        <w:gridCol w:w="732"/>
        <w:gridCol w:w="662"/>
        <w:gridCol w:w="679"/>
        <w:gridCol w:w="980"/>
        <w:gridCol w:w="8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10296" w:type="dxa"/>
            <w:gridSpan w:val="10"/>
            <w:vAlign w:val="center"/>
          </w:tcPr>
          <w:p>
            <w:pPr>
              <w:adjustRightInd w:val="0"/>
              <w:snapToGrid w:val="0"/>
              <w:spacing w:line="360" w:lineRule="auto"/>
              <w:jc w:val="center"/>
              <w:rPr>
                <w:rFonts w:hint="eastAsia" w:ascii="宋体" w:hAnsi="宋体"/>
                <w:szCs w:val="21"/>
              </w:rPr>
            </w:pPr>
            <w:r>
              <w:rPr>
                <w:rFonts w:hint="eastAsia" w:ascii="宋体" w:hAnsi="宋体"/>
                <w:szCs w:val="21"/>
              </w:rPr>
              <w:t>一标段清单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序号</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货物名称</w:t>
            </w:r>
          </w:p>
        </w:tc>
        <w:tc>
          <w:tcPr>
            <w:tcW w:w="93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品牌</w:t>
            </w:r>
          </w:p>
        </w:tc>
        <w:tc>
          <w:tcPr>
            <w:tcW w:w="1218"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型号规格</w:t>
            </w:r>
          </w:p>
        </w:tc>
        <w:tc>
          <w:tcPr>
            <w:tcW w:w="2877"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技术参数</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单位</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数量</w:t>
            </w:r>
          </w:p>
        </w:tc>
        <w:tc>
          <w:tcPr>
            <w:tcW w:w="679" w:type="dxa"/>
            <w:vAlign w:val="center"/>
          </w:tcPr>
          <w:p>
            <w:pPr>
              <w:adjustRightInd w:val="0"/>
              <w:snapToGrid w:val="0"/>
              <w:spacing w:line="360" w:lineRule="auto"/>
              <w:jc w:val="center"/>
              <w:rPr>
                <w:rFonts w:hint="eastAsia" w:ascii="宋体" w:hAnsi="宋体" w:eastAsia="宋体"/>
                <w:sz w:val="15"/>
                <w:szCs w:val="15"/>
                <w:lang w:val="en-US" w:eastAsia="zh-CN"/>
              </w:rPr>
            </w:pPr>
            <w:r>
              <w:rPr>
                <w:rFonts w:hint="eastAsia" w:ascii="宋体" w:hAnsi="宋体"/>
                <w:sz w:val="15"/>
                <w:szCs w:val="15"/>
              </w:rPr>
              <w:t>单价</w:t>
            </w:r>
            <w:r>
              <w:rPr>
                <w:rFonts w:hint="eastAsia" w:ascii="宋体" w:hAnsi="宋体"/>
                <w:sz w:val="15"/>
                <w:szCs w:val="15"/>
                <w:lang w:val="en-US" w:eastAsia="zh-CN"/>
              </w:rPr>
              <w:t>(元）</w:t>
            </w:r>
          </w:p>
        </w:tc>
        <w:tc>
          <w:tcPr>
            <w:tcW w:w="980" w:type="dxa"/>
            <w:vAlign w:val="center"/>
          </w:tcPr>
          <w:p>
            <w:pPr>
              <w:adjustRightInd w:val="0"/>
              <w:snapToGrid w:val="0"/>
              <w:spacing w:line="360" w:lineRule="auto"/>
              <w:jc w:val="center"/>
              <w:rPr>
                <w:rFonts w:hint="eastAsia" w:ascii="宋体" w:hAnsi="宋体"/>
                <w:sz w:val="15"/>
                <w:szCs w:val="15"/>
              </w:rPr>
            </w:pPr>
            <w:r>
              <w:rPr>
                <w:rFonts w:hint="eastAsia" w:ascii="宋体" w:hAnsi="宋体"/>
                <w:sz w:val="15"/>
                <w:szCs w:val="15"/>
              </w:rPr>
              <w:t>小计</w:t>
            </w:r>
          </w:p>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lang w:eastAsia="zh-CN"/>
              </w:rPr>
              <w:t>（元）</w:t>
            </w:r>
          </w:p>
        </w:tc>
        <w:tc>
          <w:tcPr>
            <w:tcW w:w="864"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*光模块</w:t>
            </w:r>
          </w:p>
        </w:tc>
        <w:tc>
          <w:tcPr>
            <w:tcW w:w="930" w:type="dxa"/>
            <w:vAlign w:val="center"/>
          </w:tcPr>
          <w:p>
            <w:pPr>
              <w:adjustRightInd w:val="0"/>
              <w:snapToGrid w:val="0"/>
              <w:spacing w:line="360" w:lineRule="auto"/>
              <w:jc w:val="center"/>
              <w:rPr>
                <w:rFonts w:ascii="宋体" w:hAnsi="宋体"/>
                <w:sz w:val="15"/>
                <w:szCs w:val="15"/>
              </w:rPr>
            </w:pPr>
          </w:p>
        </w:tc>
        <w:tc>
          <w:tcPr>
            <w:tcW w:w="1218"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eSFP-FE-LX-SM1310</w:t>
            </w:r>
          </w:p>
        </w:tc>
        <w:tc>
          <w:tcPr>
            <w:tcW w:w="2877"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rPr>
              <w:t>光模块-eSFP-100M/155M-单模模块（1310nm，15km，LC）</w:t>
            </w:r>
            <w:r>
              <w:rPr>
                <w:rFonts w:hint="eastAsia" w:ascii="宋体" w:hAnsi="宋体"/>
                <w:sz w:val="15"/>
                <w:szCs w:val="15"/>
                <w:lang w:eastAsia="zh-CN"/>
              </w:rPr>
              <w:t>。</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块</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2</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2</w:t>
            </w:r>
          </w:p>
        </w:tc>
        <w:tc>
          <w:tcPr>
            <w:tcW w:w="834" w:type="dxa"/>
            <w:vAlign w:val="center"/>
          </w:tcPr>
          <w:p>
            <w:pPr>
              <w:spacing w:line="260" w:lineRule="exact"/>
              <w:jc w:val="center"/>
              <w:rPr>
                <w:rFonts w:ascii="宋体" w:hAnsi="宋体"/>
                <w:color w:val="000000"/>
                <w:sz w:val="15"/>
                <w:szCs w:val="15"/>
              </w:rPr>
            </w:pPr>
            <w:r>
              <w:rPr>
                <w:rFonts w:hint="eastAsia" w:ascii="宋体" w:hAnsi="宋体"/>
                <w:color w:val="000000"/>
                <w:sz w:val="15"/>
                <w:szCs w:val="15"/>
              </w:rPr>
              <w:t>摄像机专用</w:t>
            </w:r>
          </w:p>
          <w:p>
            <w:pPr>
              <w:adjustRightInd w:val="0"/>
              <w:snapToGrid w:val="0"/>
              <w:spacing w:line="360" w:lineRule="auto"/>
              <w:jc w:val="center"/>
              <w:rPr>
                <w:rFonts w:ascii="宋体" w:hAnsi="宋体"/>
                <w:sz w:val="15"/>
                <w:szCs w:val="15"/>
              </w:rPr>
            </w:pPr>
            <w:r>
              <w:rPr>
                <w:rFonts w:hint="eastAsia" w:ascii="宋体" w:hAnsi="宋体"/>
                <w:color w:val="000000"/>
                <w:sz w:val="15"/>
                <w:szCs w:val="15"/>
              </w:rPr>
              <w:t>二级吊杆</w:t>
            </w:r>
          </w:p>
        </w:tc>
        <w:tc>
          <w:tcPr>
            <w:tcW w:w="930" w:type="dxa"/>
            <w:vAlign w:val="center"/>
          </w:tcPr>
          <w:p>
            <w:pPr>
              <w:adjustRightInd w:val="0"/>
              <w:snapToGrid w:val="0"/>
              <w:spacing w:line="360" w:lineRule="auto"/>
              <w:jc w:val="center"/>
              <w:rPr>
                <w:rFonts w:ascii="宋体" w:hAnsi="宋体"/>
                <w:sz w:val="15"/>
                <w:szCs w:val="15"/>
              </w:rPr>
            </w:pPr>
          </w:p>
        </w:tc>
        <w:tc>
          <w:tcPr>
            <w:tcW w:w="1218"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现场定制</w:t>
            </w:r>
          </w:p>
        </w:tc>
        <w:tc>
          <w:tcPr>
            <w:tcW w:w="2877"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lang w:eastAsia="zh-CN"/>
              </w:rPr>
              <w:t>现场定制，</w:t>
            </w:r>
            <w:r>
              <w:rPr>
                <w:rFonts w:hint="eastAsia" w:ascii="宋体" w:hAnsi="宋体"/>
                <w:sz w:val="15"/>
                <w:szCs w:val="15"/>
              </w:rPr>
              <w:t>长50mm-3000mm</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根</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19</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含设备箱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3</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w:t>
            </w:r>
            <w:r>
              <w:rPr>
                <w:rFonts w:hint="eastAsia" w:ascii="宋体" w:hAnsi="宋体"/>
                <w:color w:val="000000"/>
                <w:sz w:val="15"/>
                <w:szCs w:val="15"/>
              </w:rPr>
              <w:t>硬盘</w:t>
            </w:r>
          </w:p>
        </w:tc>
        <w:tc>
          <w:tcPr>
            <w:tcW w:w="930" w:type="dxa"/>
            <w:vAlign w:val="center"/>
          </w:tcPr>
          <w:p>
            <w:pPr>
              <w:adjustRightInd w:val="0"/>
              <w:snapToGrid w:val="0"/>
              <w:spacing w:line="360" w:lineRule="auto"/>
              <w:jc w:val="center"/>
              <w:rPr>
                <w:rFonts w:ascii="宋体" w:hAnsi="宋体"/>
                <w:sz w:val="15"/>
                <w:szCs w:val="15"/>
              </w:rPr>
            </w:pPr>
          </w:p>
        </w:tc>
        <w:tc>
          <w:tcPr>
            <w:tcW w:w="1218"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4T，适配华为VCN3000存储服务器</w:t>
            </w:r>
          </w:p>
        </w:tc>
        <w:tc>
          <w:tcPr>
            <w:tcW w:w="2877"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rPr>
              <w:t>4T，适配华为VCN3000存储服务器</w:t>
            </w:r>
            <w:r>
              <w:rPr>
                <w:rFonts w:hint="eastAsia" w:ascii="宋体" w:hAnsi="宋体"/>
                <w:sz w:val="15"/>
                <w:szCs w:val="15"/>
                <w:lang w:eastAsia="zh-CN"/>
              </w:rPr>
              <w:t>。</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块</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10</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4</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w:t>
            </w:r>
            <w:r>
              <w:rPr>
                <w:rFonts w:hint="eastAsia" w:ascii="宋体" w:hAnsi="宋体"/>
                <w:color w:val="000000"/>
                <w:sz w:val="15"/>
                <w:szCs w:val="15"/>
              </w:rPr>
              <w:t>熔纤盘</w:t>
            </w:r>
          </w:p>
        </w:tc>
        <w:tc>
          <w:tcPr>
            <w:tcW w:w="930" w:type="dxa"/>
            <w:vAlign w:val="center"/>
          </w:tcPr>
          <w:p>
            <w:pPr>
              <w:adjustRightInd w:val="0"/>
              <w:snapToGrid w:val="0"/>
              <w:spacing w:line="360" w:lineRule="auto"/>
              <w:jc w:val="center"/>
              <w:rPr>
                <w:rFonts w:ascii="宋体" w:hAnsi="宋体"/>
                <w:sz w:val="15"/>
                <w:szCs w:val="15"/>
              </w:rPr>
            </w:pPr>
          </w:p>
        </w:tc>
        <w:tc>
          <w:tcPr>
            <w:tcW w:w="1218" w:type="dxa"/>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8口</w:t>
            </w:r>
          </w:p>
        </w:tc>
        <w:tc>
          <w:tcPr>
            <w:tcW w:w="2877"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8口</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个</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2</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5</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w:t>
            </w:r>
            <w:r>
              <w:rPr>
                <w:rFonts w:hint="eastAsia" w:ascii="宋体" w:hAnsi="宋体"/>
                <w:color w:val="000000"/>
                <w:sz w:val="15"/>
                <w:szCs w:val="15"/>
              </w:rPr>
              <w:t>电线RVV</w:t>
            </w:r>
          </w:p>
        </w:tc>
        <w:tc>
          <w:tcPr>
            <w:tcW w:w="930" w:type="dxa"/>
            <w:vAlign w:val="center"/>
          </w:tcPr>
          <w:p>
            <w:pPr>
              <w:adjustRightInd w:val="0"/>
              <w:snapToGrid w:val="0"/>
              <w:spacing w:line="360" w:lineRule="auto"/>
              <w:jc w:val="center"/>
              <w:rPr>
                <w:rFonts w:ascii="宋体" w:hAnsi="宋体"/>
                <w:sz w:val="15"/>
                <w:szCs w:val="15"/>
              </w:rPr>
            </w:pPr>
          </w:p>
        </w:tc>
        <w:tc>
          <w:tcPr>
            <w:tcW w:w="1218"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color w:val="000000"/>
                <w:sz w:val="15"/>
                <w:szCs w:val="15"/>
                <w:highlight w:val="none"/>
              </w:rPr>
              <w:t>3*2.5mm²</w:t>
            </w:r>
          </w:p>
        </w:tc>
        <w:tc>
          <w:tcPr>
            <w:tcW w:w="2877" w:type="dxa"/>
            <w:vAlign w:val="center"/>
          </w:tcPr>
          <w:p>
            <w:pPr>
              <w:adjustRightInd w:val="0"/>
              <w:snapToGrid w:val="0"/>
              <w:spacing w:line="360" w:lineRule="auto"/>
              <w:jc w:val="center"/>
              <w:rPr>
                <w:rFonts w:hint="eastAsia" w:ascii="宋体" w:hAnsi="宋体" w:eastAsia="宋体"/>
                <w:sz w:val="15"/>
                <w:szCs w:val="15"/>
                <w:lang w:val="en-US" w:eastAsia="zh-CN"/>
              </w:rPr>
            </w:pPr>
            <w:r>
              <w:rPr>
                <w:rFonts w:hint="eastAsia" w:ascii="宋体" w:hAnsi="宋体"/>
                <w:sz w:val="15"/>
                <w:szCs w:val="15"/>
              </w:rPr>
              <w:t>3*2.5mm²，工艺：铜芯导体，材质：聚氯乙烯绝缘聚氯乙烯护套，类型：圆形电缆</w:t>
            </w:r>
            <w:r>
              <w:rPr>
                <w:rFonts w:hint="eastAsia" w:ascii="宋体" w:hAnsi="宋体"/>
                <w:sz w:val="15"/>
                <w:szCs w:val="15"/>
                <w:lang w:eastAsia="zh-CN"/>
              </w:rPr>
              <w:t>。</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米</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2400</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6</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w:t>
            </w:r>
            <w:r>
              <w:rPr>
                <w:rFonts w:hint="eastAsia" w:ascii="宋体" w:hAnsi="宋体"/>
                <w:color w:val="000000"/>
                <w:sz w:val="15"/>
                <w:szCs w:val="15"/>
              </w:rPr>
              <w:t>波纹管</w:t>
            </w:r>
          </w:p>
        </w:tc>
        <w:tc>
          <w:tcPr>
            <w:tcW w:w="930" w:type="dxa"/>
            <w:vAlign w:val="center"/>
          </w:tcPr>
          <w:p>
            <w:pPr>
              <w:adjustRightInd w:val="0"/>
              <w:snapToGrid w:val="0"/>
              <w:spacing w:line="360" w:lineRule="auto"/>
              <w:jc w:val="center"/>
              <w:rPr>
                <w:rFonts w:ascii="宋体" w:hAnsi="宋体"/>
                <w:sz w:val="15"/>
                <w:szCs w:val="15"/>
              </w:rPr>
            </w:pPr>
          </w:p>
        </w:tc>
        <w:tc>
          <w:tcPr>
            <w:tcW w:w="1218"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color w:val="000000"/>
                <w:sz w:val="15"/>
                <w:szCs w:val="15"/>
                <w:highlight w:val="none"/>
              </w:rPr>
              <w:t>Φ32mm</w:t>
            </w:r>
          </w:p>
        </w:tc>
        <w:tc>
          <w:tcPr>
            <w:tcW w:w="2877"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rPr>
              <w:t>Φ32mm</w:t>
            </w:r>
            <w:r>
              <w:rPr>
                <w:rFonts w:hint="eastAsia" w:ascii="宋体" w:hAnsi="宋体"/>
                <w:sz w:val="15"/>
                <w:szCs w:val="15"/>
                <w:lang w:eastAsia="zh-CN"/>
              </w:rPr>
              <w:t>，</w:t>
            </w:r>
            <w:r>
              <w:rPr>
                <w:rFonts w:hint="eastAsia" w:ascii="宋体" w:hAnsi="宋体"/>
                <w:sz w:val="15"/>
                <w:szCs w:val="15"/>
              </w:rPr>
              <w:t>难燃绝缘PVC波纹管</w:t>
            </w:r>
            <w:r>
              <w:rPr>
                <w:rFonts w:hint="eastAsia" w:ascii="宋体" w:hAnsi="宋体"/>
                <w:sz w:val="15"/>
                <w:szCs w:val="15"/>
                <w:lang w:eastAsia="zh-CN"/>
              </w:rPr>
              <w:t>。</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米</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600</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2"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7</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w:t>
            </w:r>
            <w:r>
              <w:rPr>
                <w:rFonts w:hint="eastAsia" w:ascii="宋体" w:hAnsi="宋体"/>
                <w:color w:val="000000"/>
                <w:sz w:val="15"/>
                <w:szCs w:val="15"/>
              </w:rPr>
              <w:t>显示器</w:t>
            </w:r>
          </w:p>
        </w:tc>
        <w:tc>
          <w:tcPr>
            <w:tcW w:w="930" w:type="dxa"/>
            <w:vAlign w:val="center"/>
          </w:tcPr>
          <w:p>
            <w:pPr>
              <w:adjustRightInd w:val="0"/>
              <w:snapToGrid w:val="0"/>
              <w:spacing w:line="360" w:lineRule="auto"/>
              <w:jc w:val="center"/>
              <w:rPr>
                <w:rFonts w:ascii="宋体" w:hAnsi="宋体"/>
                <w:sz w:val="15"/>
                <w:szCs w:val="15"/>
              </w:rPr>
            </w:pPr>
          </w:p>
        </w:tc>
        <w:tc>
          <w:tcPr>
            <w:tcW w:w="1218" w:type="dxa"/>
          </w:tcPr>
          <w:p>
            <w:pPr>
              <w:adjustRightInd w:val="0"/>
              <w:snapToGrid w:val="0"/>
              <w:spacing w:line="360" w:lineRule="auto"/>
              <w:jc w:val="center"/>
              <w:rPr>
                <w:rFonts w:ascii="宋体" w:hAnsi="宋体"/>
                <w:sz w:val="15"/>
                <w:szCs w:val="15"/>
              </w:rPr>
            </w:pPr>
          </w:p>
        </w:tc>
        <w:tc>
          <w:tcPr>
            <w:tcW w:w="2877"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65寸显示屏，内存3GB，存储16GB，4K高清屏（刷新率不低于60），含壁挂架一套。</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台</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含安装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8</w:t>
            </w:r>
          </w:p>
        </w:tc>
        <w:tc>
          <w:tcPr>
            <w:tcW w:w="834" w:type="dxa"/>
            <w:vAlign w:val="center"/>
          </w:tcPr>
          <w:p>
            <w:pPr>
              <w:spacing w:line="260" w:lineRule="exact"/>
              <w:jc w:val="center"/>
              <w:rPr>
                <w:rFonts w:ascii="宋体" w:hAnsi="宋体"/>
                <w:color w:val="000000"/>
                <w:sz w:val="15"/>
                <w:szCs w:val="15"/>
              </w:rPr>
            </w:pPr>
            <w:r>
              <w:rPr>
                <w:rFonts w:hint="eastAsia" w:ascii="宋体" w:hAnsi="宋体"/>
                <w:sz w:val="15"/>
                <w:szCs w:val="15"/>
              </w:rPr>
              <w:t>*</w:t>
            </w:r>
            <w:r>
              <w:rPr>
                <w:rFonts w:hint="eastAsia" w:ascii="宋体" w:hAnsi="宋体"/>
                <w:color w:val="000000"/>
                <w:sz w:val="15"/>
                <w:szCs w:val="15"/>
              </w:rPr>
              <w:t>视频智能</w:t>
            </w:r>
          </w:p>
          <w:p>
            <w:pPr>
              <w:adjustRightInd w:val="0"/>
              <w:snapToGrid w:val="0"/>
              <w:spacing w:line="360" w:lineRule="auto"/>
              <w:jc w:val="center"/>
              <w:rPr>
                <w:rFonts w:ascii="宋体" w:hAnsi="宋体"/>
                <w:sz w:val="15"/>
                <w:szCs w:val="15"/>
              </w:rPr>
            </w:pPr>
            <w:r>
              <w:rPr>
                <w:rFonts w:hint="eastAsia" w:ascii="宋体" w:hAnsi="宋体"/>
                <w:color w:val="000000"/>
                <w:sz w:val="15"/>
                <w:szCs w:val="15"/>
              </w:rPr>
              <w:t>分析仪</w:t>
            </w:r>
          </w:p>
        </w:tc>
        <w:tc>
          <w:tcPr>
            <w:tcW w:w="930" w:type="dxa"/>
            <w:vAlign w:val="center"/>
          </w:tcPr>
          <w:p>
            <w:pPr>
              <w:adjustRightInd w:val="0"/>
              <w:snapToGrid w:val="0"/>
              <w:spacing w:line="360" w:lineRule="auto"/>
              <w:jc w:val="center"/>
              <w:rPr>
                <w:rFonts w:ascii="宋体" w:hAnsi="宋体"/>
                <w:sz w:val="15"/>
                <w:szCs w:val="15"/>
              </w:rPr>
            </w:pPr>
          </w:p>
        </w:tc>
        <w:tc>
          <w:tcPr>
            <w:tcW w:w="1218" w:type="dxa"/>
          </w:tcPr>
          <w:p>
            <w:pPr>
              <w:adjustRightInd w:val="0"/>
              <w:snapToGrid w:val="0"/>
              <w:spacing w:line="360" w:lineRule="auto"/>
              <w:jc w:val="center"/>
              <w:rPr>
                <w:rFonts w:ascii="宋体" w:hAnsi="宋体"/>
                <w:sz w:val="15"/>
                <w:szCs w:val="15"/>
              </w:rPr>
            </w:pPr>
          </w:p>
        </w:tc>
        <w:tc>
          <w:tcPr>
            <w:tcW w:w="2877"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1.设备高度≤1U；</w:t>
            </w:r>
          </w:p>
          <w:p>
            <w:pPr>
              <w:adjustRightInd w:val="0"/>
              <w:snapToGrid w:val="0"/>
              <w:spacing w:line="360" w:lineRule="auto"/>
              <w:jc w:val="left"/>
              <w:rPr>
                <w:rFonts w:hint="eastAsia" w:ascii="宋体" w:hAnsi="宋体"/>
                <w:sz w:val="15"/>
                <w:szCs w:val="15"/>
              </w:rPr>
            </w:pPr>
            <w:r>
              <w:rPr>
                <w:rFonts w:hint="eastAsia" w:ascii="宋体" w:hAnsi="宋体"/>
                <w:sz w:val="15"/>
                <w:szCs w:val="15"/>
              </w:rPr>
              <w:t>2.设备至少具备1个1000Mbps RJ45网络接口，报警输入接口4个，报警输出接口4个；</w:t>
            </w:r>
          </w:p>
          <w:p>
            <w:pPr>
              <w:adjustRightInd w:val="0"/>
              <w:snapToGrid w:val="0"/>
              <w:spacing w:line="360" w:lineRule="auto"/>
              <w:jc w:val="left"/>
              <w:rPr>
                <w:rFonts w:hint="eastAsia" w:ascii="宋体" w:hAnsi="宋体"/>
                <w:sz w:val="15"/>
                <w:szCs w:val="15"/>
              </w:rPr>
            </w:pPr>
            <w:r>
              <w:rPr>
                <w:rFonts w:hint="eastAsia" w:ascii="宋体" w:hAnsi="宋体"/>
                <w:sz w:val="15"/>
                <w:szCs w:val="15"/>
              </w:rPr>
              <w:t>3.设备具备电源/硬盘/运行3个状态指示灯；</w:t>
            </w:r>
          </w:p>
          <w:p>
            <w:pPr>
              <w:adjustRightInd w:val="0"/>
              <w:snapToGrid w:val="0"/>
              <w:spacing w:line="360" w:lineRule="auto"/>
              <w:jc w:val="left"/>
              <w:rPr>
                <w:rFonts w:hint="eastAsia" w:ascii="宋体" w:hAnsi="宋体"/>
                <w:sz w:val="15"/>
                <w:szCs w:val="15"/>
              </w:rPr>
            </w:pPr>
            <w:r>
              <w:rPr>
                <w:rFonts w:hint="eastAsia" w:ascii="宋体" w:hAnsi="宋体"/>
                <w:sz w:val="15"/>
                <w:szCs w:val="15"/>
              </w:rPr>
              <w:t>4.设备具备硬盘接口1个，具备重置复位键；</w:t>
            </w:r>
          </w:p>
          <w:p>
            <w:pPr>
              <w:adjustRightInd w:val="0"/>
              <w:snapToGrid w:val="0"/>
              <w:spacing w:line="360" w:lineRule="auto"/>
              <w:jc w:val="left"/>
              <w:rPr>
                <w:rFonts w:hint="eastAsia" w:ascii="宋体" w:hAnsi="宋体"/>
                <w:sz w:val="15"/>
                <w:szCs w:val="15"/>
              </w:rPr>
            </w:pPr>
            <w:r>
              <w:rPr>
                <w:rFonts w:hint="eastAsia" w:ascii="宋体" w:hAnsi="宋体"/>
                <w:sz w:val="15"/>
                <w:szCs w:val="15"/>
              </w:rPr>
              <w:t>5.其他接口：RS232接口1个，RS485接口1个，HDMI接口1个，USB2.0接口1个，USB3.0接口1个；</w:t>
            </w:r>
          </w:p>
          <w:p>
            <w:pPr>
              <w:adjustRightInd w:val="0"/>
              <w:snapToGrid w:val="0"/>
              <w:spacing w:line="360" w:lineRule="auto"/>
              <w:jc w:val="left"/>
              <w:rPr>
                <w:rFonts w:hint="eastAsia" w:ascii="宋体" w:hAnsi="宋体"/>
                <w:sz w:val="15"/>
                <w:szCs w:val="15"/>
              </w:rPr>
            </w:pPr>
            <w:r>
              <w:rPr>
                <w:rFonts w:hint="eastAsia" w:ascii="宋体" w:hAnsi="宋体"/>
                <w:sz w:val="15"/>
                <w:szCs w:val="15"/>
              </w:rPr>
              <w:t>6.设备支持GB28181/Onvif/Rtsp等视频标准协议，可接入市面主流高清监控摄像机进行智能分析，可接入分辨率不限于720P、1080P、4K（3840*2160）等；</w:t>
            </w:r>
          </w:p>
          <w:p>
            <w:pPr>
              <w:adjustRightInd w:val="0"/>
              <w:snapToGrid w:val="0"/>
              <w:spacing w:line="360" w:lineRule="auto"/>
              <w:jc w:val="left"/>
              <w:rPr>
                <w:rFonts w:hint="eastAsia" w:ascii="宋体" w:hAnsi="宋体"/>
                <w:sz w:val="15"/>
                <w:szCs w:val="15"/>
              </w:rPr>
            </w:pPr>
            <w:r>
              <w:rPr>
                <w:rFonts w:hint="eastAsia" w:ascii="宋体" w:hAnsi="宋体"/>
                <w:sz w:val="15"/>
                <w:szCs w:val="15"/>
              </w:rPr>
              <w:t>7.设备性能满足实时分析4路4K（3840*2160）高清视频图像的需求；</w:t>
            </w:r>
            <w:r>
              <w:rPr>
                <w:rFonts w:hint="eastAsia" w:ascii="宋体" w:hAnsi="宋体"/>
                <w:sz w:val="15"/>
                <w:szCs w:val="15"/>
              </w:rPr>
              <w:br w:type="textWrapping"/>
            </w:r>
            <w:r>
              <w:rPr>
                <w:rFonts w:hint="eastAsia" w:ascii="宋体" w:hAnsi="宋体"/>
                <w:sz w:val="15"/>
                <w:szCs w:val="15"/>
              </w:rPr>
              <w:t>8.设备需具备良好人机界面，支持Web配置及SNMP远程管理；</w:t>
            </w:r>
          </w:p>
          <w:p>
            <w:pPr>
              <w:adjustRightInd w:val="0"/>
              <w:snapToGrid w:val="0"/>
              <w:spacing w:line="360" w:lineRule="auto"/>
              <w:jc w:val="left"/>
              <w:rPr>
                <w:rFonts w:hint="eastAsia" w:ascii="宋体" w:hAnsi="宋体"/>
                <w:sz w:val="15"/>
                <w:szCs w:val="15"/>
              </w:rPr>
            </w:pPr>
            <w:r>
              <w:rPr>
                <w:rFonts w:hint="eastAsia" w:ascii="宋体" w:hAnsi="宋体"/>
                <w:sz w:val="15"/>
                <w:szCs w:val="15"/>
              </w:rPr>
              <w:t>9.设备视频智能分析软件算法具备车站视频智能分析软件著作权和公安部检测认证报告；</w:t>
            </w:r>
          </w:p>
          <w:p>
            <w:pPr>
              <w:adjustRightInd w:val="0"/>
              <w:snapToGrid w:val="0"/>
              <w:spacing w:line="360" w:lineRule="auto"/>
              <w:jc w:val="left"/>
              <w:rPr>
                <w:rFonts w:hint="eastAsia" w:ascii="宋体" w:hAnsi="宋体"/>
                <w:sz w:val="15"/>
                <w:szCs w:val="15"/>
              </w:rPr>
            </w:pPr>
            <w:r>
              <w:rPr>
                <w:rFonts w:hint="eastAsia" w:ascii="宋体" w:hAnsi="宋体"/>
                <w:sz w:val="15"/>
                <w:szCs w:val="15"/>
              </w:rPr>
              <w:t>10.设备整机为无风扇设计结构，可保证设备运行高可靠性；</w:t>
            </w:r>
          </w:p>
          <w:p>
            <w:pPr>
              <w:adjustRightInd w:val="0"/>
              <w:snapToGrid w:val="0"/>
              <w:spacing w:line="360" w:lineRule="auto"/>
              <w:jc w:val="left"/>
              <w:rPr>
                <w:rFonts w:ascii="宋体" w:hAnsi="宋体"/>
                <w:sz w:val="15"/>
                <w:szCs w:val="15"/>
              </w:rPr>
            </w:pPr>
            <w:r>
              <w:rPr>
                <w:rFonts w:hint="eastAsia" w:ascii="宋体" w:hAnsi="宋体"/>
                <w:sz w:val="15"/>
                <w:szCs w:val="15"/>
              </w:rPr>
              <w:t>11.工作温度：-25℃~+70℃。</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台</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8</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r>
              <w:rPr>
                <w:rFonts w:hint="eastAsia" w:ascii="宋体" w:hAnsi="宋体"/>
                <w:sz w:val="15"/>
                <w:szCs w:val="15"/>
              </w:rPr>
              <w:t>含安装。软件算法易于启动和停止，布防和撤防的操作简便，并能够根据时间设定进行布防和撤防操作。告警产生的同时，视频内容分析进程不受报警触发的影响而中断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9</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*尾纤</w:t>
            </w:r>
          </w:p>
        </w:tc>
        <w:tc>
          <w:tcPr>
            <w:tcW w:w="930" w:type="dxa"/>
            <w:vAlign w:val="center"/>
          </w:tcPr>
          <w:p>
            <w:pPr>
              <w:adjustRightInd w:val="0"/>
              <w:snapToGrid w:val="0"/>
              <w:spacing w:line="360" w:lineRule="auto"/>
              <w:jc w:val="center"/>
              <w:rPr>
                <w:rFonts w:ascii="宋体" w:hAnsi="宋体"/>
                <w:sz w:val="15"/>
                <w:szCs w:val="15"/>
              </w:rPr>
            </w:pPr>
          </w:p>
        </w:tc>
        <w:tc>
          <w:tcPr>
            <w:tcW w:w="1218" w:type="dxa"/>
          </w:tcPr>
          <w:p>
            <w:pPr>
              <w:adjustRightInd w:val="0"/>
              <w:snapToGrid w:val="0"/>
              <w:spacing w:line="360" w:lineRule="auto"/>
              <w:jc w:val="center"/>
              <w:rPr>
                <w:rFonts w:hint="eastAsia" w:ascii="宋体" w:hAnsi="宋体"/>
                <w:color w:val="000000"/>
                <w:sz w:val="15"/>
                <w:szCs w:val="15"/>
                <w:highlight w:val="none"/>
              </w:rPr>
            </w:pPr>
          </w:p>
          <w:p>
            <w:pPr>
              <w:adjustRightInd w:val="0"/>
              <w:snapToGrid w:val="0"/>
              <w:spacing w:line="360" w:lineRule="auto"/>
              <w:jc w:val="center"/>
              <w:rPr>
                <w:rFonts w:ascii="宋体" w:hAnsi="宋体"/>
                <w:sz w:val="15"/>
                <w:szCs w:val="15"/>
              </w:rPr>
            </w:pPr>
            <w:r>
              <w:rPr>
                <w:rFonts w:hint="eastAsia" w:ascii="宋体" w:hAnsi="宋体"/>
                <w:color w:val="000000"/>
                <w:sz w:val="15"/>
                <w:szCs w:val="15"/>
                <w:highlight w:val="none"/>
              </w:rPr>
              <w:t>LC-SC</w:t>
            </w:r>
          </w:p>
        </w:tc>
        <w:tc>
          <w:tcPr>
            <w:tcW w:w="2877"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rPr>
              <w:t>单模万兆光纤跳线SC/ST/FC/LC尾纤电信级</w:t>
            </w:r>
            <w:r>
              <w:rPr>
                <w:rFonts w:hint="eastAsia" w:ascii="宋体" w:hAnsi="宋体"/>
                <w:sz w:val="15"/>
                <w:szCs w:val="15"/>
                <w:lang w:eastAsia="zh-CN"/>
              </w:rPr>
              <w:t>，</w:t>
            </w:r>
            <w:r>
              <w:rPr>
                <w:rFonts w:hint="eastAsia" w:ascii="宋体" w:hAnsi="宋体"/>
                <w:sz w:val="15"/>
                <w:szCs w:val="15"/>
              </w:rPr>
              <w:t>LC-SC</w:t>
            </w:r>
            <w:r>
              <w:rPr>
                <w:rFonts w:hint="eastAsia" w:ascii="宋体" w:hAnsi="宋体"/>
                <w:sz w:val="15"/>
                <w:szCs w:val="15"/>
                <w:lang w:eastAsia="zh-CN"/>
              </w:rPr>
              <w:t>。</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根</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4</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8452" w:type="dxa"/>
            <w:gridSpan w:val="8"/>
            <w:vAlign w:val="center"/>
          </w:tcPr>
          <w:p>
            <w:pPr>
              <w:adjustRightInd w:val="0"/>
              <w:snapToGrid w:val="0"/>
              <w:spacing w:line="360" w:lineRule="auto"/>
              <w:jc w:val="center"/>
              <w:rPr>
                <w:rFonts w:hint="eastAsia" w:ascii="宋体" w:hAnsi="宋体" w:eastAsia="宋体"/>
                <w:szCs w:val="21"/>
                <w:lang w:eastAsia="zh-CN"/>
              </w:rPr>
            </w:pPr>
            <w:r>
              <w:rPr>
                <w:rFonts w:hint="eastAsia" w:ascii="宋体" w:hAnsi="宋体"/>
                <w:b/>
                <w:szCs w:val="21"/>
              </w:rPr>
              <w:t>合 计</w:t>
            </w:r>
            <w:r>
              <w:rPr>
                <w:rFonts w:hint="eastAsia" w:ascii="宋体" w:hAnsi="宋体"/>
                <w:b/>
                <w:szCs w:val="21"/>
                <w:lang w:val="en-US" w:eastAsia="zh-CN"/>
              </w:rPr>
              <w:t xml:space="preserve"> </w:t>
            </w:r>
            <w:r>
              <w:rPr>
                <w:rFonts w:hint="eastAsia" w:ascii="宋体" w:hAnsi="宋体"/>
                <w:b/>
                <w:szCs w:val="21"/>
                <w:lang w:eastAsia="zh-CN"/>
              </w:rPr>
              <w:t>金</w:t>
            </w:r>
            <w:r>
              <w:rPr>
                <w:rFonts w:hint="eastAsia" w:ascii="宋体" w:hAnsi="宋体"/>
                <w:b/>
                <w:szCs w:val="21"/>
                <w:lang w:val="en-US" w:eastAsia="zh-CN"/>
              </w:rPr>
              <w:t xml:space="preserve"> </w:t>
            </w:r>
            <w:r>
              <w:rPr>
                <w:rFonts w:hint="eastAsia" w:ascii="宋体" w:hAnsi="宋体"/>
                <w:b/>
                <w:szCs w:val="21"/>
                <w:lang w:eastAsia="zh-CN"/>
              </w:rPr>
              <w:t>额（元）</w:t>
            </w:r>
          </w:p>
        </w:tc>
        <w:tc>
          <w:tcPr>
            <w:tcW w:w="980" w:type="dxa"/>
            <w:vAlign w:val="center"/>
          </w:tcPr>
          <w:p>
            <w:pPr>
              <w:adjustRightInd w:val="0"/>
              <w:snapToGrid w:val="0"/>
              <w:spacing w:line="360" w:lineRule="auto"/>
              <w:jc w:val="center"/>
              <w:rPr>
                <w:rFonts w:ascii="宋体" w:hAnsi="宋体"/>
                <w:szCs w:val="21"/>
              </w:rPr>
            </w:pPr>
          </w:p>
        </w:tc>
        <w:tc>
          <w:tcPr>
            <w:tcW w:w="864" w:type="dxa"/>
            <w:vAlign w:val="center"/>
          </w:tcPr>
          <w:p>
            <w:pPr>
              <w:adjustRightInd w:val="0"/>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7" w:hRule="atLeast"/>
        </w:trPr>
        <w:tc>
          <w:tcPr>
            <w:tcW w:w="10296" w:type="dxa"/>
            <w:gridSpan w:val="10"/>
            <w:vAlign w:val="center"/>
          </w:tcPr>
          <w:p>
            <w:pPr>
              <w:adjustRightInd w:val="0"/>
              <w:snapToGrid w:val="0"/>
              <w:spacing w:line="360" w:lineRule="auto"/>
              <w:jc w:val="left"/>
              <w:rPr>
                <w:rFonts w:hint="eastAsia" w:ascii="宋体" w:hAnsi="宋体"/>
                <w:b/>
                <w:szCs w:val="21"/>
                <w:lang w:val="en-US" w:eastAsia="zh-CN"/>
              </w:rPr>
            </w:pPr>
            <w:r>
              <w:rPr>
                <w:rFonts w:hint="eastAsia" w:ascii="宋体" w:hAnsi="宋体"/>
                <w:b/>
                <w:szCs w:val="21"/>
                <w:lang w:val="en-US" w:eastAsia="zh-CN"/>
              </w:rPr>
              <w:t>说明：</w:t>
            </w:r>
          </w:p>
          <w:p>
            <w:pPr>
              <w:pStyle w:val="2"/>
              <w:spacing w:line="360" w:lineRule="auto"/>
              <w:ind w:left="0" w:leftChars="0" w:firstLine="0" w:firstLineChars="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1.如部分产品停产升级或技术规格优于上述型号，请出示相关证明材料。</w:t>
            </w:r>
          </w:p>
          <w:p>
            <w:pPr>
              <w:adjustRightInd w:val="0"/>
              <w:snapToGrid w:val="0"/>
              <w:spacing w:line="360" w:lineRule="auto"/>
              <w:jc w:val="left"/>
              <w:rPr>
                <w:rFonts w:hint="eastAsia" w:ascii="宋体" w:hAnsi="宋体"/>
                <w:b/>
                <w:szCs w:val="21"/>
                <w:lang w:val="en-US" w:eastAsia="zh-CN"/>
              </w:rPr>
            </w:pPr>
            <w:r>
              <w:rPr>
                <w:rFonts w:hint="eastAsia" w:ascii="宋体" w:hAnsi="宋体"/>
                <w:b/>
                <w:szCs w:val="21"/>
                <w:lang w:val="en-US" w:eastAsia="zh-CN"/>
              </w:rPr>
              <w:t>2.对于清单中已明确品牌的物资，请按照该品牌物资进行响应；</w:t>
            </w:r>
          </w:p>
          <w:p>
            <w:pPr>
              <w:adjustRightInd w:val="0"/>
              <w:snapToGrid w:val="0"/>
              <w:spacing w:line="360" w:lineRule="auto"/>
              <w:jc w:val="center"/>
              <w:rPr>
                <w:rFonts w:hint="eastAsia" w:ascii="宋体" w:hAnsi="宋体"/>
                <w:b/>
                <w:szCs w:val="21"/>
                <w:lang w:val="en-US" w:eastAsia="zh-CN"/>
              </w:rPr>
            </w:pPr>
            <w:r>
              <w:rPr>
                <w:rFonts w:hint="eastAsia" w:ascii="宋体" w:hAnsi="宋体"/>
                <w:b/>
                <w:szCs w:val="21"/>
                <w:lang w:val="en-US" w:eastAsia="zh-CN"/>
              </w:rPr>
              <w:t>3.对于清单中带*号未明确品牌的物资，响应时必须含有品牌和型号，作为后续合同签订及到货验收的依据。</w:t>
            </w:r>
          </w:p>
        </w:tc>
      </w:tr>
    </w:tbl>
    <w:p>
      <w:pPr>
        <w:rPr>
          <w:rFonts w:ascii="宋体" w:hAnsi="宋体"/>
        </w:rPr>
      </w:pPr>
    </w:p>
    <w:p>
      <w:pPr>
        <w:adjustRightInd w:val="0"/>
        <w:snapToGrid w:val="0"/>
        <w:spacing w:line="360" w:lineRule="auto"/>
        <w:ind w:left="-88" w:leftChars="-42"/>
        <w:rPr>
          <w:rFonts w:ascii="宋体" w:hAnsi="宋体"/>
          <w:b/>
          <w:szCs w:val="21"/>
        </w:rPr>
      </w:pPr>
      <w:r>
        <w:rPr>
          <w:rFonts w:hint="eastAsia" w:ascii="宋体" w:hAnsi="宋体"/>
          <w:b/>
          <w:szCs w:val="21"/>
        </w:rPr>
        <w:t>备注：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包含谈判文件“用户需求书”或其他部分对该项目所有要求的详细报价。“合计”金额之和应与《报价一览表》内“谈判总报价”金额一致。栏目“单价”为综合单价，应包含所有隐含的管理费、税金和利润等其他费用。</w:t>
      </w:r>
    </w:p>
    <w:p>
      <w:pPr>
        <w:pStyle w:val="27"/>
        <w:adjustRightInd w:val="0"/>
        <w:snapToGrid w:val="0"/>
        <w:spacing w:line="360" w:lineRule="auto"/>
        <w:rPr>
          <w:rFonts w:ascii="宋体" w:hAnsi="宋体"/>
          <w:sz w:val="21"/>
          <w:szCs w:val="21"/>
        </w:rPr>
      </w:pPr>
    </w:p>
    <w:p>
      <w:pPr>
        <w:pStyle w:val="27"/>
        <w:adjustRightInd w:val="0"/>
        <w:snapToGrid w:val="0"/>
        <w:spacing w:line="360" w:lineRule="auto"/>
        <w:ind w:firstLine="420" w:firstLineChars="200"/>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ind w:firstLine="420" w:firstLineChars="200"/>
        <w:rPr>
          <w:rFonts w:ascii="宋体" w:hAnsi="宋体" w:cs="宋体"/>
          <w:b/>
          <w:sz w:val="32"/>
          <w:szCs w:val="32"/>
        </w:rPr>
        <w:sectPr>
          <w:pgSz w:w="11906" w:h="16838"/>
          <w:pgMar w:top="720" w:right="720" w:bottom="720" w:left="720" w:header="851" w:footer="992" w:gutter="0"/>
          <w:cols w:space="720" w:num="1"/>
          <w:docGrid w:type="lines"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p>
    <w:p>
      <w:pPr>
        <w:adjustRightInd w:val="0"/>
        <w:snapToGrid w:val="0"/>
        <w:spacing w:line="360" w:lineRule="auto"/>
        <w:ind w:right="23"/>
        <w:jc w:val="center"/>
        <w:outlineLvl w:val="1"/>
      </w:pPr>
      <w:r>
        <w:rPr>
          <w:rFonts w:hint="eastAsia" w:ascii="宋体" w:hAnsi="宋体" w:cs="宋体"/>
          <w:b/>
          <w:sz w:val="32"/>
          <w:szCs w:val="32"/>
        </w:rPr>
        <w:t>六、分项价格表</w:t>
      </w:r>
    </w:p>
    <w:p>
      <w:pPr>
        <w:pStyle w:val="2"/>
        <w:ind w:left="0" w:leftChars="0"/>
        <w:rPr>
          <w:b/>
          <w:bCs/>
        </w:rPr>
      </w:pPr>
      <w:r>
        <w:rPr>
          <w:rFonts w:hint="eastAsia"/>
          <w:b/>
          <w:bCs/>
        </w:rPr>
        <w:t>二标：</w:t>
      </w:r>
    </w:p>
    <w:p>
      <w:pPr>
        <w:spacing w:line="360" w:lineRule="exact"/>
        <w:jc w:val="left"/>
        <w:rPr>
          <w:rFonts w:ascii="宋体" w:hAnsi="宋体"/>
        </w:rPr>
      </w:pPr>
      <w:r>
        <w:rPr>
          <w:rFonts w:hint="eastAsia" w:ascii="宋体" w:hAnsi="宋体"/>
          <w:bCs/>
        </w:rPr>
        <w:t>项目</w:t>
      </w:r>
      <w:r>
        <w:rPr>
          <w:rFonts w:hint="eastAsia" w:ascii="宋体" w:hAnsi="宋体"/>
        </w:rPr>
        <w:t>名称及标段：                                                    金额单位：元</w:t>
      </w:r>
    </w:p>
    <w:tbl>
      <w:tblPr>
        <w:tblStyle w:val="46"/>
        <w:tblpPr w:leftFromText="180" w:rightFromText="180" w:vertAnchor="text" w:horzAnchor="page" w:tblpX="1773" w:tblpY="230"/>
        <w:tblOverlap w:val="never"/>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874"/>
        <w:gridCol w:w="564"/>
        <w:gridCol w:w="874"/>
        <w:gridCol w:w="3053"/>
        <w:gridCol w:w="644"/>
        <w:gridCol w:w="613"/>
        <w:gridCol w:w="765"/>
        <w:gridCol w:w="965"/>
        <w:gridCol w:w="7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620" w:type="dxa"/>
            <w:gridSpan w:val="10"/>
            <w:vAlign w:val="center"/>
          </w:tcPr>
          <w:p>
            <w:pPr>
              <w:adjustRightInd w:val="0"/>
              <w:snapToGrid w:val="0"/>
              <w:spacing w:line="360" w:lineRule="auto"/>
              <w:jc w:val="center"/>
              <w:rPr>
                <w:rFonts w:hint="eastAsia" w:ascii="宋体" w:hAnsi="宋体"/>
                <w:szCs w:val="21"/>
              </w:rPr>
            </w:pPr>
            <w:r>
              <w:rPr>
                <w:rFonts w:hint="eastAsia" w:ascii="宋体" w:hAnsi="宋体"/>
                <w:szCs w:val="21"/>
              </w:rPr>
              <w:t>二标段清单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序号</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货物名称</w:t>
            </w:r>
          </w:p>
        </w:tc>
        <w:tc>
          <w:tcPr>
            <w:tcW w:w="56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品牌</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型号规格</w:t>
            </w:r>
          </w:p>
        </w:tc>
        <w:tc>
          <w:tcPr>
            <w:tcW w:w="305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技术参数</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单位</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数量</w:t>
            </w:r>
          </w:p>
        </w:tc>
        <w:tc>
          <w:tcPr>
            <w:tcW w:w="765"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rPr>
              <w:t>单价</w:t>
            </w:r>
            <w:r>
              <w:rPr>
                <w:rFonts w:hint="eastAsia" w:ascii="宋体" w:hAnsi="宋体"/>
                <w:sz w:val="15"/>
                <w:szCs w:val="15"/>
                <w:lang w:eastAsia="zh-CN"/>
              </w:rPr>
              <w:t>（元）</w:t>
            </w:r>
          </w:p>
        </w:tc>
        <w:tc>
          <w:tcPr>
            <w:tcW w:w="965" w:type="dxa"/>
            <w:vAlign w:val="center"/>
          </w:tcPr>
          <w:p>
            <w:pPr>
              <w:adjustRightInd w:val="0"/>
              <w:snapToGrid w:val="0"/>
              <w:spacing w:line="360" w:lineRule="auto"/>
              <w:jc w:val="center"/>
              <w:rPr>
                <w:rFonts w:hint="eastAsia" w:ascii="宋体" w:hAnsi="宋体"/>
                <w:sz w:val="15"/>
                <w:szCs w:val="15"/>
              </w:rPr>
            </w:pPr>
            <w:r>
              <w:rPr>
                <w:rFonts w:hint="eastAsia" w:ascii="宋体" w:hAnsi="宋体"/>
                <w:sz w:val="15"/>
                <w:szCs w:val="15"/>
              </w:rPr>
              <w:t>小计</w:t>
            </w:r>
          </w:p>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lang w:eastAsia="zh-CN"/>
              </w:rPr>
              <w:t>（元）</w:t>
            </w:r>
          </w:p>
        </w:tc>
        <w:tc>
          <w:tcPr>
            <w:tcW w:w="725" w:type="dxa"/>
            <w:vAlign w:val="center"/>
          </w:tcPr>
          <w:p>
            <w:pPr>
              <w:adjustRightInd w:val="0"/>
              <w:snapToGrid w:val="0"/>
              <w:spacing w:line="360" w:lineRule="auto"/>
              <w:jc w:val="center"/>
              <w:rPr>
                <w:rFonts w:hint="eastAsia" w:ascii="宋体" w:hAnsi="宋体" w:eastAsia="宋体"/>
                <w:sz w:val="15"/>
                <w:szCs w:val="15"/>
                <w:lang w:val="en-US" w:eastAsia="zh-CN"/>
              </w:rPr>
            </w:pPr>
            <w:r>
              <w:rPr>
                <w:rFonts w:hint="eastAsia" w:ascii="宋体" w:hAnsi="宋体"/>
                <w:sz w:val="15"/>
                <w:szCs w:val="15"/>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6"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*极速火灾报警单管机</w:t>
            </w:r>
          </w:p>
        </w:tc>
        <w:tc>
          <w:tcPr>
            <w:tcW w:w="564" w:type="dxa"/>
            <w:vAlign w:val="center"/>
          </w:tcPr>
          <w:p>
            <w:pPr>
              <w:adjustRightInd w:val="0"/>
              <w:snapToGrid w:val="0"/>
              <w:spacing w:line="360" w:lineRule="auto"/>
              <w:jc w:val="center"/>
              <w:rPr>
                <w:rFonts w:ascii="宋体" w:hAnsi="宋体"/>
                <w:sz w:val="15"/>
                <w:szCs w:val="15"/>
              </w:rPr>
            </w:pPr>
          </w:p>
        </w:tc>
        <w:tc>
          <w:tcPr>
            <w:tcW w:w="874" w:type="dxa"/>
          </w:tcPr>
          <w:p>
            <w:pPr>
              <w:adjustRightInd w:val="0"/>
              <w:snapToGrid w:val="0"/>
              <w:spacing w:line="360" w:lineRule="auto"/>
              <w:jc w:val="center"/>
              <w:rPr>
                <w:rFonts w:ascii="宋体" w:hAnsi="宋体"/>
                <w:sz w:val="15"/>
                <w:szCs w:val="15"/>
              </w:rPr>
            </w:pP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 xml:space="preserve">1.采用热释离子探测技术； </w:t>
            </w:r>
          </w:p>
          <w:p>
            <w:pPr>
              <w:adjustRightInd w:val="0"/>
              <w:snapToGrid w:val="0"/>
              <w:spacing w:line="360" w:lineRule="auto"/>
              <w:jc w:val="left"/>
              <w:rPr>
                <w:rFonts w:hint="eastAsia" w:ascii="宋体" w:hAnsi="宋体"/>
                <w:sz w:val="15"/>
                <w:szCs w:val="15"/>
              </w:rPr>
            </w:pPr>
            <w:r>
              <w:rPr>
                <w:rFonts w:hint="eastAsia" w:ascii="宋体" w:hAnsi="宋体"/>
                <w:sz w:val="15"/>
                <w:szCs w:val="15"/>
              </w:rPr>
              <w:t>2.采用“云雾室”探测原理；</w:t>
            </w:r>
          </w:p>
          <w:p>
            <w:pPr>
              <w:adjustRightInd w:val="0"/>
              <w:snapToGrid w:val="0"/>
              <w:spacing w:line="360" w:lineRule="auto"/>
              <w:jc w:val="left"/>
              <w:rPr>
                <w:rFonts w:hint="eastAsia" w:ascii="宋体" w:hAnsi="宋体"/>
                <w:sz w:val="15"/>
                <w:szCs w:val="15"/>
              </w:rPr>
            </w:pPr>
            <w:r>
              <w:rPr>
                <w:rFonts w:hint="eastAsia" w:ascii="宋体" w:hAnsi="宋体"/>
                <w:sz w:val="15"/>
                <w:szCs w:val="15"/>
              </w:rPr>
              <w:t>3.设备满足免维护运行；并具有抗高温﹑抗潮湿﹑抗震动﹑抗强电磁场干扰等特点；</w:t>
            </w:r>
          </w:p>
          <w:p>
            <w:pPr>
              <w:adjustRightInd w:val="0"/>
              <w:snapToGrid w:val="0"/>
              <w:spacing w:line="360" w:lineRule="auto"/>
              <w:jc w:val="left"/>
              <w:rPr>
                <w:rFonts w:hint="eastAsia" w:ascii="宋体" w:hAnsi="宋体"/>
                <w:sz w:val="15"/>
                <w:szCs w:val="15"/>
              </w:rPr>
            </w:pPr>
            <w:r>
              <w:rPr>
                <w:rFonts w:hint="eastAsia" w:ascii="宋体" w:hAnsi="宋体"/>
                <w:sz w:val="15"/>
                <w:szCs w:val="15"/>
              </w:rPr>
              <w:t>4.设备采用单管型；</w:t>
            </w:r>
          </w:p>
          <w:p>
            <w:pPr>
              <w:adjustRightInd w:val="0"/>
              <w:snapToGrid w:val="0"/>
              <w:spacing w:line="360" w:lineRule="auto"/>
              <w:jc w:val="left"/>
              <w:rPr>
                <w:rFonts w:hint="eastAsia" w:ascii="宋体" w:hAnsi="宋体"/>
                <w:sz w:val="15"/>
                <w:szCs w:val="15"/>
              </w:rPr>
            </w:pPr>
            <w:r>
              <w:rPr>
                <w:rFonts w:hint="eastAsia" w:ascii="宋体" w:hAnsi="宋体"/>
                <w:sz w:val="15"/>
                <w:szCs w:val="15"/>
              </w:rPr>
              <w:t>5.具有粉尘过滤功能，并且能抗粉尘、雾霾等情况的干扰；防护等级不低于IP30；</w:t>
            </w:r>
          </w:p>
          <w:p>
            <w:pPr>
              <w:adjustRightInd w:val="0"/>
              <w:snapToGrid w:val="0"/>
              <w:spacing w:line="360" w:lineRule="auto"/>
              <w:jc w:val="left"/>
              <w:rPr>
                <w:rFonts w:hint="eastAsia" w:ascii="宋体" w:hAnsi="宋体"/>
                <w:sz w:val="15"/>
                <w:szCs w:val="15"/>
              </w:rPr>
            </w:pPr>
            <w:r>
              <w:rPr>
                <w:rFonts w:hint="eastAsia" w:ascii="宋体" w:hAnsi="宋体"/>
                <w:sz w:val="15"/>
                <w:szCs w:val="15"/>
              </w:rPr>
              <w:t>6.具有正常工作与报警功能，并预留独立干节点接口；</w:t>
            </w:r>
          </w:p>
          <w:p>
            <w:pPr>
              <w:adjustRightInd w:val="0"/>
              <w:snapToGrid w:val="0"/>
              <w:spacing w:line="360" w:lineRule="auto"/>
              <w:jc w:val="left"/>
              <w:rPr>
                <w:rFonts w:ascii="宋体" w:hAnsi="宋体"/>
                <w:sz w:val="15"/>
                <w:szCs w:val="15"/>
              </w:rPr>
            </w:pPr>
            <w:r>
              <w:rPr>
                <w:rFonts w:hint="eastAsia" w:ascii="宋体" w:hAnsi="宋体"/>
                <w:sz w:val="15"/>
                <w:szCs w:val="15"/>
              </w:rPr>
              <w:t>7.设备具备国家CCCF认证。</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3</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7"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2</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*极速火灾报警微型机</w:t>
            </w:r>
          </w:p>
        </w:tc>
        <w:tc>
          <w:tcPr>
            <w:tcW w:w="564" w:type="dxa"/>
            <w:vAlign w:val="center"/>
          </w:tcPr>
          <w:p>
            <w:pPr>
              <w:adjustRightInd w:val="0"/>
              <w:snapToGrid w:val="0"/>
              <w:spacing w:line="360" w:lineRule="auto"/>
              <w:jc w:val="center"/>
              <w:rPr>
                <w:rFonts w:ascii="宋体" w:hAnsi="宋体"/>
                <w:sz w:val="15"/>
                <w:szCs w:val="15"/>
              </w:rPr>
            </w:pPr>
          </w:p>
        </w:tc>
        <w:tc>
          <w:tcPr>
            <w:tcW w:w="874" w:type="dxa"/>
          </w:tcPr>
          <w:p>
            <w:pPr>
              <w:adjustRightInd w:val="0"/>
              <w:snapToGrid w:val="0"/>
              <w:spacing w:line="360" w:lineRule="auto"/>
              <w:jc w:val="center"/>
              <w:rPr>
                <w:rFonts w:ascii="宋体" w:hAnsi="宋体"/>
                <w:sz w:val="15"/>
                <w:szCs w:val="15"/>
              </w:rPr>
            </w:pP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 xml:space="preserve">1.采用热释离子探测技术； </w:t>
            </w:r>
          </w:p>
          <w:p>
            <w:pPr>
              <w:adjustRightInd w:val="0"/>
              <w:snapToGrid w:val="0"/>
              <w:spacing w:line="360" w:lineRule="auto"/>
              <w:jc w:val="left"/>
              <w:rPr>
                <w:rFonts w:hint="eastAsia" w:ascii="宋体" w:hAnsi="宋体"/>
                <w:sz w:val="15"/>
                <w:szCs w:val="15"/>
              </w:rPr>
            </w:pPr>
            <w:r>
              <w:rPr>
                <w:rFonts w:hint="eastAsia" w:ascii="宋体" w:hAnsi="宋体"/>
                <w:sz w:val="15"/>
                <w:szCs w:val="15"/>
              </w:rPr>
              <w:t>2.采用“云雾室”探测原理；</w:t>
            </w:r>
          </w:p>
          <w:p>
            <w:pPr>
              <w:adjustRightInd w:val="0"/>
              <w:snapToGrid w:val="0"/>
              <w:spacing w:line="360" w:lineRule="auto"/>
              <w:jc w:val="left"/>
              <w:rPr>
                <w:rFonts w:hint="eastAsia" w:ascii="宋体" w:hAnsi="宋体"/>
                <w:sz w:val="15"/>
                <w:szCs w:val="15"/>
              </w:rPr>
            </w:pPr>
            <w:r>
              <w:rPr>
                <w:rFonts w:hint="eastAsia" w:ascii="宋体" w:hAnsi="宋体"/>
                <w:sz w:val="15"/>
                <w:szCs w:val="15"/>
              </w:rPr>
              <w:t>3.设备满足免维护运行；并具有抗高温﹑抗潮湿﹑抗震动﹑抗强电磁场干扰等特点；</w:t>
            </w:r>
          </w:p>
          <w:p>
            <w:pPr>
              <w:adjustRightInd w:val="0"/>
              <w:snapToGrid w:val="0"/>
              <w:spacing w:line="360" w:lineRule="auto"/>
              <w:jc w:val="left"/>
              <w:rPr>
                <w:rFonts w:hint="eastAsia" w:ascii="宋体" w:hAnsi="宋体"/>
                <w:sz w:val="15"/>
                <w:szCs w:val="15"/>
              </w:rPr>
            </w:pPr>
            <w:r>
              <w:rPr>
                <w:rFonts w:hint="eastAsia" w:ascii="宋体" w:hAnsi="宋体"/>
                <w:sz w:val="15"/>
                <w:szCs w:val="15"/>
              </w:rPr>
              <w:t>4.设备采用6mm采样软管；</w:t>
            </w:r>
          </w:p>
          <w:p>
            <w:pPr>
              <w:adjustRightInd w:val="0"/>
              <w:snapToGrid w:val="0"/>
              <w:spacing w:line="360" w:lineRule="auto"/>
              <w:jc w:val="left"/>
              <w:rPr>
                <w:rFonts w:hint="eastAsia" w:ascii="宋体" w:hAnsi="宋体"/>
                <w:sz w:val="15"/>
                <w:szCs w:val="15"/>
              </w:rPr>
            </w:pPr>
            <w:r>
              <w:rPr>
                <w:rFonts w:hint="eastAsia" w:ascii="宋体" w:hAnsi="宋体"/>
                <w:sz w:val="15"/>
                <w:szCs w:val="15"/>
              </w:rPr>
              <w:t>5.具有粉尘过滤功能，并且能抗粉尘、雾霾等情况的干扰；防护等级不低于IP30；</w:t>
            </w:r>
          </w:p>
          <w:p>
            <w:pPr>
              <w:adjustRightInd w:val="0"/>
              <w:snapToGrid w:val="0"/>
              <w:spacing w:line="360" w:lineRule="auto"/>
              <w:jc w:val="left"/>
              <w:rPr>
                <w:rFonts w:hint="eastAsia" w:ascii="宋体" w:hAnsi="宋体"/>
                <w:sz w:val="15"/>
                <w:szCs w:val="15"/>
              </w:rPr>
            </w:pPr>
            <w:r>
              <w:rPr>
                <w:rFonts w:hint="eastAsia" w:ascii="宋体" w:hAnsi="宋体"/>
                <w:sz w:val="15"/>
                <w:szCs w:val="15"/>
              </w:rPr>
              <w:t>6.具有正常工作与报警功能，并预留独立干节点接口；</w:t>
            </w:r>
          </w:p>
          <w:p>
            <w:pPr>
              <w:adjustRightInd w:val="0"/>
              <w:snapToGrid w:val="0"/>
              <w:spacing w:line="360" w:lineRule="auto"/>
              <w:jc w:val="left"/>
              <w:rPr>
                <w:rFonts w:ascii="宋体" w:hAnsi="宋体"/>
                <w:sz w:val="15"/>
                <w:szCs w:val="15"/>
              </w:rPr>
            </w:pPr>
            <w:r>
              <w:rPr>
                <w:rFonts w:hint="eastAsia" w:ascii="宋体" w:hAnsi="宋体"/>
                <w:sz w:val="15"/>
                <w:szCs w:val="15"/>
              </w:rPr>
              <w:t>7.设备具备国家CCCF认证。</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13</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5"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3</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*开关电源盘</w:t>
            </w:r>
          </w:p>
        </w:tc>
        <w:tc>
          <w:tcPr>
            <w:tcW w:w="564" w:type="dxa"/>
            <w:vAlign w:val="center"/>
          </w:tcPr>
          <w:p>
            <w:pPr>
              <w:adjustRightInd w:val="0"/>
              <w:snapToGrid w:val="0"/>
              <w:spacing w:line="360" w:lineRule="auto"/>
              <w:jc w:val="center"/>
              <w:rPr>
                <w:rFonts w:ascii="宋体" w:hAnsi="宋体"/>
                <w:sz w:val="15"/>
                <w:szCs w:val="15"/>
              </w:rPr>
            </w:pPr>
          </w:p>
        </w:tc>
        <w:tc>
          <w:tcPr>
            <w:tcW w:w="874" w:type="dxa"/>
          </w:tcPr>
          <w:p>
            <w:pPr>
              <w:adjustRightInd w:val="0"/>
              <w:snapToGrid w:val="0"/>
              <w:spacing w:line="360" w:lineRule="auto"/>
              <w:jc w:val="center"/>
              <w:rPr>
                <w:rFonts w:ascii="宋体" w:hAnsi="宋体" w:cs="Arial"/>
                <w:sz w:val="18"/>
                <w:szCs w:val="18"/>
              </w:rPr>
            </w:pPr>
          </w:p>
          <w:p>
            <w:pPr>
              <w:adjustRightInd w:val="0"/>
              <w:snapToGrid w:val="0"/>
              <w:spacing w:line="360" w:lineRule="auto"/>
              <w:jc w:val="center"/>
              <w:rPr>
                <w:rFonts w:ascii="宋体" w:hAnsi="宋体" w:cs="Arial"/>
                <w:sz w:val="18"/>
                <w:szCs w:val="18"/>
              </w:rPr>
            </w:pPr>
          </w:p>
          <w:p>
            <w:pPr>
              <w:adjustRightInd w:val="0"/>
              <w:snapToGrid w:val="0"/>
              <w:spacing w:line="360" w:lineRule="auto"/>
              <w:jc w:val="center"/>
              <w:rPr>
                <w:rFonts w:ascii="宋体" w:hAnsi="宋体"/>
                <w:sz w:val="15"/>
                <w:szCs w:val="15"/>
              </w:rPr>
            </w:pPr>
            <w:r>
              <w:rPr>
                <w:rFonts w:hint="eastAsia" w:ascii="宋体" w:hAnsi="宋体"/>
                <w:sz w:val="15"/>
                <w:szCs w:val="15"/>
              </w:rPr>
              <w:t>DC24V</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额定输入电压：AC220V±10%；50±5Hz</w:t>
            </w:r>
          </w:p>
          <w:p>
            <w:pPr>
              <w:adjustRightInd w:val="0"/>
              <w:snapToGrid w:val="0"/>
              <w:spacing w:line="360" w:lineRule="auto"/>
              <w:jc w:val="left"/>
              <w:rPr>
                <w:rFonts w:hint="eastAsia" w:ascii="宋体" w:hAnsi="宋体"/>
                <w:sz w:val="15"/>
                <w:szCs w:val="15"/>
              </w:rPr>
            </w:pPr>
            <w:r>
              <w:rPr>
                <w:rFonts w:hint="eastAsia" w:ascii="宋体" w:hAnsi="宋体"/>
                <w:sz w:val="15"/>
                <w:szCs w:val="15"/>
              </w:rPr>
              <w:t>额定输出电压：DC24V±1V</w:t>
            </w:r>
          </w:p>
          <w:p>
            <w:pPr>
              <w:adjustRightInd w:val="0"/>
              <w:snapToGrid w:val="0"/>
              <w:spacing w:line="360" w:lineRule="auto"/>
              <w:jc w:val="left"/>
              <w:rPr>
                <w:rFonts w:hint="eastAsia" w:ascii="宋体" w:hAnsi="宋体"/>
                <w:sz w:val="15"/>
                <w:szCs w:val="15"/>
              </w:rPr>
            </w:pPr>
            <w:r>
              <w:rPr>
                <w:rFonts w:hint="eastAsia" w:ascii="宋体" w:hAnsi="宋体"/>
                <w:sz w:val="15"/>
                <w:szCs w:val="15"/>
              </w:rPr>
              <w:t>额定输出电流：10A</w:t>
            </w:r>
          </w:p>
          <w:p>
            <w:pPr>
              <w:adjustRightInd w:val="0"/>
              <w:snapToGrid w:val="0"/>
              <w:spacing w:line="360" w:lineRule="auto"/>
              <w:jc w:val="left"/>
              <w:rPr>
                <w:rFonts w:hint="eastAsia" w:ascii="宋体" w:hAnsi="宋体"/>
                <w:sz w:val="15"/>
                <w:szCs w:val="15"/>
              </w:rPr>
            </w:pPr>
            <w:r>
              <w:rPr>
                <w:rFonts w:hint="eastAsia" w:ascii="宋体" w:hAnsi="宋体"/>
                <w:sz w:val="15"/>
                <w:szCs w:val="15"/>
              </w:rPr>
              <w:t>最大充电电压：≤28V</w:t>
            </w:r>
          </w:p>
          <w:p>
            <w:pPr>
              <w:adjustRightInd w:val="0"/>
              <w:snapToGrid w:val="0"/>
              <w:spacing w:line="360" w:lineRule="auto"/>
              <w:jc w:val="left"/>
              <w:rPr>
                <w:rFonts w:hint="eastAsia" w:ascii="宋体" w:hAnsi="宋体"/>
                <w:sz w:val="15"/>
                <w:szCs w:val="15"/>
              </w:rPr>
            </w:pPr>
            <w:r>
              <w:rPr>
                <w:rFonts w:hint="eastAsia" w:ascii="宋体" w:hAnsi="宋体"/>
                <w:sz w:val="15"/>
                <w:szCs w:val="15"/>
              </w:rPr>
              <w:t>最大充电电流：2.5A</w:t>
            </w:r>
          </w:p>
          <w:p>
            <w:pPr>
              <w:adjustRightInd w:val="0"/>
              <w:snapToGrid w:val="0"/>
              <w:spacing w:line="360" w:lineRule="auto"/>
              <w:jc w:val="left"/>
              <w:rPr>
                <w:rFonts w:hint="eastAsia" w:ascii="宋体" w:hAnsi="宋体"/>
                <w:sz w:val="15"/>
                <w:szCs w:val="15"/>
              </w:rPr>
            </w:pPr>
            <w:r>
              <w:rPr>
                <w:rFonts w:hint="eastAsia" w:ascii="宋体" w:hAnsi="宋体"/>
                <w:sz w:val="15"/>
                <w:szCs w:val="15"/>
              </w:rPr>
              <w:t>推荐蓄电池配置：12V28Ah</w:t>
            </w:r>
          </w:p>
          <w:p>
            <w:pPr>
              <w:adjustRightInd w:val="0"/>
              <w:snapToGrid w:val="0"/>
              <w:spacing w:line="360" w:lineRule="auto"/>
              <w:jc w:val="left"/>
              <w:rPr>
                <w:rFonts w:ascii="宋体" w:hAnsi="宋体"/>
                <w:sz w:val="15"/>
                <w:szCs w:val="15"/>
              </w:rPr>
            </w:pPr>
            <w:r>
              <w:rPr>
                <w:rFonts w:hint="eastAsia" w:ascii="宋体" w:hAnsi="宋体"/>
                <w:sz w:val="15"/>
                <w:szCs w:val="15"/>
              </w:rPr>
              <w:t>开关电源配置电源箱，不小于250*300*150mm。</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3</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3"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4</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*机器人升降云台</w:t>
            </w:r>
          </w:p>
        </w:tc>
        <w:tc>
          <w:tcPr>
            <w:tcW w:w="564" w:type="dxa"/>
            <w:vAlign w:val="center"/>
          </w:tcPr>
          <w:p>
            <w:pPr>
              <w:adjustRightInd w:val="0"/>
              <w:snapToGrid w:val="0"/>
              <w:spacing w:line="360" w:lineRule="auto"/>
              <w:jc w:val="center"/>
              <w:rPr>
                <w:rFonts w:ascii="宋体" w:hAnsi="宋体"/>
                <w:sz w:val="15"/>
                <w:szCs w:val="15"/>
              </w:rPr>
            </w:pP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垂直升降距离:2m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尺寸:长*宽*高26*26*30cm</w:t>
            </w:r>
          </w:p>
          <w:p>
            <w:pPr>
              <w:adjustRightInd w:val="0"/>
              <w:snapToGrid w:val="0"/>
              <w:spacing w:line="360" w:lineRule="auto"/>
              <w:jc w:val="left"/>
              <w:rPr>
                <w:rFonts w:hint="eastAsia" w:ascii="宋体" w:hAnsi="宋体"/>
                <w:sz w:val="15"/>
                <w:szCs w:val="15"/>
              </w:rPr>
            </w:pPr>
            <w:r>
              <w:rPr>
                <w:rFonts w:hint="eastAsia" w:ascii="宋体" w:hAnsi="宋体"/>
                <w:sz w:val="15"/>
                <w:szCs w:val="15"/>
              </w:rPr>
              <w:t>重量：6~9kg</w:t>
            </w:r>
          </w:p>
          <w:p>
            <w:pPr>
              <w:adjustRightInd w:val="0"/>
              <w:snapToGrid w:val="0"/>
              <w:spacing w:line="360" w:lineRule="auto"/>
              <w:jc w:val="left"/>
              <w:rPr>
                <w:rFonts w:hint="eastAsia" w:ascii="宋体" w:hAnsi="宋体"/>
                <w:sz w:val="15"/>
                <w:szCs w:val="15"/>
              </w:rPr>
            </w:pPr>
            <w:r>
              <w:rPr>
                <w:rFonts w:hint="eastAsia" w:ascii="宋体" w:hAnsi="宋体"/>
                <w:sz w:val="15"/>
                <w:szCs w:val="15"/>
              </w:rPr>
              <w:t>垂直升降距离:2m</w:t>
            </w:r>
          </w:p>
          <w:p>
            <w:pPr>
              <w:adjustRightInd w:val="0"/>
              <w:snapToGrid w:val="0"/>
              <w:spacing w:line="360" w:lineRule="auto"/>
              <w:jc w:val="left"/>
              <w:rPr>
                <w:rFonts w:hint="eastAsia" w:ascii="宋体" w:hAnsi="宋体"/>
                <w:sz w:val="15"/>
                <w:szCs w:val="15"/>
              </w:rPr>
            </w:pPr>
            <w:r>
              <w:rPr>
                <w:rFonts w:hint="eastAsia" w:ascii="宋体" w:hAnsi="宋体"/>
                <w:sz w:val="15"/>
                <w:szCs w:val="15"/>
              </w:rPr>
              <w:t>垂直升降速度:0.9~3.6m/min</w:t>
            </w:r>
          </w:p>
          <w:p>
            <w:pPr>
              <w:adjustRightInd w:val="0"/>
              <w:snapToGrid w:val="0"/>
              <w:spacing w:line="360" w:lineRule="auto"/>
              <w:jc w:val="left"/>
              <w:rPr>
                <w:rFonts w:hint="eastAsia" w:ascii="宋体" w:hAnsi="宋体"/>
                <w:sz w:val="15"/>
                <w:szCs w:val="15"/>
              </w:rPr>
            </w:pPr>
            <w:r>
              <w:rPr>
                <w:rFonts w:hint="eastAsia" w:ascii="宋体" w:hAnsi="宋体"/>
                <w:sz w:val="15"/>
                <w:szCs w:val="15"/>
              </w:rPr>
              <w:t>升降云台结构:交叉套叠式</w:t>
            </w:r>
          </w:p>
          <w:p>
            <w:pPr>
              <w:adjustRightInd w:val="0"/>
              <w:snapToGrid w:val="0"/>
              <w:spacing w:line="360" w:lineRule="auto"/>
              <w:jc w:val="left"/>
              <w:rPr>
                <w:rFonts w:hint="eastAsia" w:ascii="宋体" w:hAnsi="宋体"/>
                <w:sz w:val="15"/>
                <w:szCs w:val="15"/>
              </w:rPr>
            </w:pPr>
            <w:r>
              <w:rPr>
                <w:rFonts w:hint="eastAsia" w:ascii="宋体" w:hAnsi="宋体"/>
                <w:sz w:val="15"/>
                <w:szCs w:val="15"/>
              </w:rPr>
              <w:t>升降云台最大载重:20kg</w:t>
            </w:r>
          </w:p>
          <w:p>
            <w:pPr>
              <w:adjustRightInd w:val="0"/>
              <w:snapToGrid w:val="0"/>
              <w:spacing w:line="360" w:lineRule="auto"/>
              <w:jc w:val="left"/>
              <w:rPr>
                <w:rFonts w:ascii="宋体" w:hAnsi="宋体"/>
                <w:sz w:val="15"/>
                <w:szCs w:val="15"/>
              </w:rPr>
            </w:pPr>
            <w:r>
              <w:rPr>
                <w:rFonts w:hint="eastAsia" w:ascii="宋体" w:hAnsi="宋体"/>
                <w:sz w:val="15"/>
                <w:szCs w:val="15"/>
              </w:rPr>
              <w:t>保证升降时的平稳性及信号、供电畅通性升降运动控制机构，由电机、牵引带、摩擦轮、旋转编码器、轴承座、螺板、行程开关、接插座等构成。</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6"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5</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*红外热传感模块</w:t>
            </w:r>
          </w:p>
        </w:tc>
        <w:tc>
          <w:tcPr>
            <w:tcW w:w="564" w:type="dxa"/>
            <w:vAlign w:val="center"/>
          </w:tcPr>
          <w:p>
            <w:pPr>
              <w:adjustRightInd w:val="0"/>
              <w:snapToGrid w:val="0"/>
              <w:spacing w:line="360" w:lineRule="auto"/>
              <w:jc w:val="center"/>
              <w:rPr>
                <w:rFonts w:ascii="宋体" w:hAnsi="宋体"/>
                <w:sz w:val="15"/>
                <w:szCs w:val="15"/>
              </w:rPr>
            </w:pP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尺寸：长*宽*高67*45*45 mm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热成像功能：</w:t>
            </w:r>
          </w:p>
          <w:p>
            <w:pPr>
              <w:adjustRightInd w:val="0"/>
              <w:snapToGrid w:val="0"/>
              <w:spacing w:line="360" w:lineRule="auto"/>
              <w:jc w:val="left"/>
              <w:rPr>
                <w:rFonts w:hint="eastAsia" w:ascii="宋体" w:hAnsi="宋体"/>
                <w:sz w:val="15"/>
                <w:szCs w:val="15"/>
              </w:rPr>
            </w:pPr>
            <w:r>
              <w:rPr>
                <w:rFonts w:hint="eastAsia" w:ascii="宋体" w:hAnsi="宋体"/>
                <w:sz w:val="15"/>
                <w:szCs w:val="15"/>
              </w:rPr>
              <w:t>热成像定焦镜头4mm，最小聚焦距离0.3m</w:t>
            </w:r>
          </w:p>
          <w:p>
            <w:pPr>
              <w:adjustRightInd w:val="0"/>
              <w:snapToGrid w:val="0"/>
              <w:spacing w:line="360" w:lineRule="auto"/>
              <w:jc w:val="left"/>
              <w:rPr>
                <w:rFonts w:hint="eastAsia" w:ascii="宋体" w:hAnsi="宋体"/>
                <w:sz w:val="15"/>
                <w:szCs w:val="15"/>
              </w:rPr>
            </w:pPr>
            <w:r>
              <w:rPr>
                <w:rFonts w:hint="eastAsia" w:ascii="宋体" w:hAnsi="宋体"/>
                <w:sz w:val="15"/>
                <w:szCs w:val="15"/>
              </w:rPr>
              <w:t>分辨率384*288，高灵敏度探测器，支持对比度调节</w:t>
            </w:r>
          </w:p>
          <w:p>
            <w:pPr>
              <w:adjustRightInd w:val="0"/>
              <w:snapToGrid w:val="0"/>
              <w:spacing w:line="360" w:lineRule="auto"/>
              <w:jc w:val="left"/>
              <w:rPr>
                <w:rFonts w:hint="eastAsia" w:ascii="宋体" w:hAnsi="宋体"/>
                <w:sz w:val="15"/>
                <w:szCs w:val="15"/>
              </w:rPr>
            </w:pPr>
            <w:r>
              <w:rPr>
                <w:rFonts w:hint="eastAsia" w:ascii="宋体" w:hAnsi="宋体"/>
                <w:sz w:val="15"/>
                <w:szCs w:val="15"/>
              </w:rPr>
              <w:t>最高温十字定位</w:t>
            </w:r>
          </w:p>
          <w:p>
            <w:pPr>
              <w:adjustRightInd w:val="0"/>
              <w:snapToGrid w:val="0"/>
              <w:spacing w:line="360" w:lineRule="auto"/>
              <w:jc w:val="left"/>
              <w:rPr>
                <w:rFonts w:hint="eastAsia" w:ascii="宋体" w:hAnsi="宋体"/>
                <w:sz w:val="15"/>
                <w:szCs w:val="15"/>
              </w:rPr>
            </w:pPr>
            <w:r>
              <w:rPr>
                <w:rFonts w:hint="eastAsia" w:ascii="宋体" w:hAnsi="宋体"/>
                <w:sz w:val="15"/>
                <w:szCs w:val="15"/>
              </w:rPr>
              <w:t>支持点、线、框测温</w:t>
            </w:r>
          </w:p>
          <w:p>
            <w:pPr>
              <w:adjustRightInd w:val="0"/>
              <w:snapToGrid w:val="0"/>
              <w:spacing w:line="360" w:lineRule="auto"/>
              <w:jc w:val="left"/>
              <w:rPr>
                <w:rFonts w:hint="eastAsia" w:ascii="宋体" w:hAnsi="宋体"/>
                <w:sz w:val="15"/>
                <w:szCs w:val="15"/>
              </w:rPr>
            </w:pPr>
            <w:r>
              <w:rPr>
                <w:rFonts w:hint="eastAsia" w:ascii="宋体" w:hAnsi="宋体"/>
                <w:sz w:val="15"/>
                <w:szCs w:val="15"/>
              </w:rPr>
              <w:t>测温范围：-20-150℃或0-550℃</w:t>
            </w:r>
          </w:p>
          <w:p>
            <w:pPr>
              <w:adjustRightInd w:val="0"/>
              <w:snapToGrid w:val="0"/>
              <w:spacing w:line="360" w:lineRule="auto"/>
              <w:jc w:val="left"/>
              <w:rPr>
                <w:rFonts w:hint="eastAsia" w:ascii="宋体" w:hAnsi="宋体"/>
                <w:sz w:val="15"/>
                <w:szCs w:val="15"/>
              </w:rPr>
            </w:pPr>
            <w:r>
              <w:rPr>
                <w:rFonts w:hint="eastAsia" w:ascii="宋体" w:hAnsi="宋体"/>
                <w:sz w:val="15"/>
                <w:szCs w:val="15"/>
              </w:rPr>
              <w:t>测温精度：±2℃或者读数的±2%（取最大值）</w:t>
            </w:r>
          </w:p>
          <w:p>
            <w:pPr>
              <w:adjustRightInd w:val="0"/>
              <w:snapToGrid w:val="0"/>
              <w:spacing w:line="360" w:lineRule="auto"/>
              <w:jc w:val="left"/>
              <w:rPr>
                <w:rFonts w:hint="eastAsia" w:ascii="宋体" w:hAnsi="宋体"/>
                <w:sz w:val="15"/>
                <w:szCs w:val="15"/>
              </w:rPr>
            </w:pPr>
            <w:r>
              <w:rPr>
                <w:rFonts w:hint="eastAsia" w:ascii="宋体" w:hAnsi="宋体"/>
                <w:sz w:val="15"/>
                <w:szCs w:val="15"/>
              </w:rPr>
              <w:t>电源输入DC12V</w:t>
            </w:r>
          </w:p>
          <w:p>
            <w:pPr>
              <w:adjustRightInd w:val="0"/>
              <w:snapToGrid w:val="0"/>
              <w:spacing w:line="360" w:lineRule="auto"/>
              <w:jc w:val="left"/>
              <w:rPr>
                <w:rFonts w:hint="eastAsia" w:ascii="宋体" w:hAnsi="宋体"/>
                <w:sz w:val="15"/>
                <w:szCs w:val="15"/>
              </w:rPr>
            </w:pPr>
            <w:r>
              <w:rPr>
                <w:rFonts w:hint="eastAsia" w:ascii="宋体" w:hAnsi="宋体"/>
                <w:sz w:val="15"/>
                <w:szCs w:val="15"/>
              </w:rPr>
              <w:t>功率2W</w:t>
            </w:r>
          </w:p>
          <w:p>
            <w:pPr>
              <w:adjustRightInd w:val="0"/>
              <w:snapToGrid w:val="0"/>
              <w:spacing w:line="360" w:lineRule="auto"/>
              <w:jc w:val="left"/>
              <w:rPr>
                <w:rFonts w:hint="eastAsia" w:ascii="宋体" w:hAnsi="宋体"/>
                <w:sz w:val="15"/>
                <w:szCs w:val="15"/>
              </w:rPr>
            </w:pPr>
            <w:r>
              <w:rPr>
                <w:rFonts w:hint="eastAsia" w:ascii="宋体" w:hAnsi="宋体"/>
                <w:sz w:val="15"/>
                <w:szCs w:val="15"/>
              </w:rPr>
              <w:t>工作温度和湿度-20℃~50℃，＜90% RH</w:t>
            </w:r>
          </w:p>
          <w:p>
            <w:pPr>
              <w:adjustRightInd w:val="0"/>
              <w:snapToGrid w:val="0"/>
              <w:spacing w:line="360" w:lineRule="auto"/>
              <w:jc w:val="left"/>
              <w:rPr>
                <w:rFonts w:hint="eastAsia" w:ascii="宋体" w:hAnsi="宋体"/>
                <w:sz w:val="15"/>
                <w:szCs w:val="15"/>
              </w:rPr>
            </w:pPr>
            <w:r>
              <w:rPr>
                <w:rFonts w:hint="eastAsia" w:ascii="宋体" w:hAnsi="宋体"/>
                <w:sz w:val="15"/>
                <w:szCs w:val="15"/>
              </w:rPr>
              <w:t>重量120g</w:t>
            </w:r>
          </w:p>
          <w:p>
            <w:pPr>
              <w:adjustRightInd w:val="0"/>
              <w:snapToGrid w:val="0"/>
              <w:spacing w:line="360" w:lineRule="auto"/>
              <w:jc w:val="left"/>
              <w:rPr>
                <w:rFonts w:hint="eastAsia" w:ascii="宋体" w:hAnsi="宋体"/>
                <w:sz w:val="15"/>
                <w:szCs w:val="15"/>
              </w:rPr>
            </w:pPr>
            <w:r>
              <w:rPr>
                <w:rFonts w:hint="eastAsia" w:ascii="宋体" w:hAnsi="宋体"/>
                <w:sz w:val="15"/>
                <w:szCs w:val="15"/>
              </w:rPr>
              <w:t>尺寸：长*宽*高67* 45 *45 mm</w:t>
            </w:r>
          </w:p>
          <w:p>
            <w:pPr>
              <w:adjustRightInd w:val="0"/>
              <w:snapToGrid w:val="0"/>
              <w:spacing w:line="360" w:lineRule="auto"/>
              <w:jc w:val="left"/>
              <w:rPr>
                <w:rFonts w:ascii="宋体" w:hAnsi="宋体"/>
                <w:sz w:val="15"/>
                <w:szCs w:val="15"/>
              </w:rPr>
            </w:pPr>
            <w:r>
              <w:rPr>
                <w:rFonts w:hint="eastAsia" w:ascii="宋体" w:hAnsi="宋体"/>
                <w:sz w:val="15"/>
                <w:szCs w:val="15"/>
              </w:rPr>
              <w:t>安装M3螺纹口。</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5"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6</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*机器人电源模块</w:t>
            </w:r>
          </w:p>
        </w:tc>
        <w:tc>
          <w:tcPr>
            <w:tcW w:w="564" w:type="dxa"/>
            <w:vAlign w:val="center"/>
          </w:tcPr>
          <w:p>
            <w:pPr>
              <w:adjustRightInd w:val="0"/>
              <w:snapToGrid w:val="0"/>
              <w:spacing w:line="360" w:lineRule="auto"/>
              <w:jc w:val="center"/>
              <w:rPr>
                <w:rFonts w:ascii="宋体" w:hAnsi="宋体"/>
                <w:sz w:val="15"/>
                <w:szCs w:val="15"/>
              </w:rPr>
            </w:pP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尺寸：长*宽*高110*78*36mm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24VDC 3A开关电源，尺寸：长*宽*高110*78*36mm ，数量2个，</w:t>
            </w:r>
          </w:p>
          <w:p>
            <w:pPr>
              <w:adjustRightInd w:val="0"/>
              <w:snapToGrid w:val="0"/>
              <w:spacing w:line="360" w:lineRule="auto"/>
              <w:jc w:val="left"/>
              <w:rPr>
                <w:rFonts w:ascii="宋体" w:hAnsi="宋体"/>
                <w:sz w:val="15"/>
                <w:szCs w:val="15"/>
              </w:rPr>
            </w:pPr>
            <w:r>
              <w:rPr>
                <w:rFonts w:hint="eastAsia" w:ascii="宋体" w:hAnsi="宋体"/>
                <w:sz w:val="15"/>
                <w:szCs w:val="15"/>
              </w:rPr>
              <w:t>12VDC 5A开关电源，尺寸：长*宽*高110*78*36mm ，数量2个。</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4" w:hRule="atLeast"/>
        </w:trPr>
        <w:tc>
          <w:tcPr>
            <w:tcW w:w="543" w:type="dxa"/>
            <w:vAlign w:val="center"/>
          </w:tcPr>
          <w:p>
            <w:pPr>
              <w:adjustRightInd w:val="0"/>
              <w:snapToGrid w:val="0"/>
              <w:spacing w:line="360" w:lineRule="auto"/>
              <w:jc w:val="center"/>
              <w:rPr>
                <w:rFonts w:hint="default" w:ascii="宋体" w:hAnsi="宋体" w:eastAsia="宋体" w:cs="Times New Roman"/>
                <w:kern w:val="2"/>
                <w:sz w:val="15"/>
                <w:szCs w:val="15"/>
                <w:lang w:val="en-US" w:eastAsia="zh-CN" w:bidi="ar-SA"/>
              </w:rPr>
            </w:pPr>
            <w:r>
              <w:rPr>
                <w:rFonts w:hint="eastAsia" w:ascii="宋体" w:hAnsi="宋体" w:cs="Times New Roman"/>
                <w:kern w:val="2"/>
                <w:sz w:val="15"/>
                <w:szCs w:val="15"/>
                <w:lang w:val="en-US" w:eastAsia="zh-CN" w:bidi="ar-SA"/>
              </w:rPr>
              <w:t>7</w:t>
            </w:r>
          </w:p>
        </w:tc>
        <w:tc>
          <w:tcPr>
            <w:tcW w:w="874" w:type="dxa"/>
            <w:vAlign w:val="center"/>
          </w:tcPr>
          <w:p>
            <w:pPr>
              <w:adjustRightInd w:val="0"/>
              <w:snapToGrid w:val="0"/>
              <w:spacing w:line="360" w:lineRule="auto"/>
              <w:jc w:val="center"/>
              <w:rPr>
                <w:rFonts w:hint="eastAsia" w:ascii="宋体" w:hAnsi="宋体" w:eastAsia="宋体" w:cs="Times New Roman"/>
                <w:kern w:val="2"/>
                <w:sz w:val="15"/>
                <w:szCs w:val="15"/>
                <w:lang w:val="en-US" w:eastAsia="zh-CN" w:bidi="ar-SA"/>
              </w:rPr>
            </w:pPr>
            <w:r>
              <w:rPr>
                <w:rFonts w:hint="eastAsia" w:ascii="宋体" w:hAnsi="宋体"/>
                <w:sz w:val="15"/>
                <w:szCs w:val="15"/>
              </w:rPr>
              <w:t>*镜面管理服务器</w:t>
            </w:r>
          </w:p>
        </w:tc>
        <w:tc>
          <w:tcPr>
            <w:tcW w:w="564" w:type="dxa"/>
            <w:vAlign w:val="center"/>
          </w:tcPr>
          <w:p>
            <w:pPr>
              <w:adjustRightInd w:val="0"/>
              <w:snapToGrid w:val="0"/>
              <w:spacing w:line="360" w:lineRule="auto"/>
              <w:jc w:val="center"/>
              <w:rPr>
                <w:rFonts w:ascii="宋体" w:hAnsi="宋体" w:eastAsia="宋体" w:cs="Times New Roman"/>
                <w:kern w:val="2"/>
                <w:sz w:val="15"/>
                <w:szCs w:val="15"/>
                <w:lang w:val="en-US" w:eastAsia="zh-CN" w:bidi="ar-SA"/>
              </w:rPr>
            </w:pPr>
          </w:p>
        </w:tc>
        <w:tc>
          <w:tcPr>
            <w:tcW w:w="874" w:type="dxa"/>
            <w:vAlign w:val="center"/>
          </w:tcPr>
          <w:p>
            <w:pPr>
              <w:adjustRightInd w:val="0"/>
              <w:snapToGrid w:val="0"/>
              <w:spacing w:line="360" w:lineRule="auto"/>
              <w:jc w:val="center"/>
              <w:rPr>
                <w:rFonts w:hint="eastAsia" w:ascii="宋体" w:hAnsi="宋体" w:eastAsia="宋体" w:cs="Times New Roman"/>
                <w:kern w:val="2"/>
                <w:sz w:val="15"/>
                <w:szCs w:val="15"/>
                <w:lang w:val="en-US" w:eastAsia="zh-CN" w:bidi="ar-SA"/>
              </w:rPr>
            </w:pPr>
            <w:r>
              <w:rPr>
                <w:rFonts w:hint="eastAsia" w:ascii="宋体" w:hAnsi="宋体"/>
                <w:sz w:val="15"/>
                <w:szCs w:val="15"/>
              </w:rPr>
              <w:t>21.5寸显示屏</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结构：塔式</w:t>
            </w:r>
          </w:p>
          <w:p>
            <w:pPr>
              <w:adjustRightInd w:val="0"/>
              <w:snapToGrid w:val="0"/>
              <w:spacing w:line="360" w:lineRule="auto"/>
              <w:jc w:val="left"/>
              <w:rPr>
                <w:rFonts w:hint="eastAsia" w:ascii="宋体" w:hAnsi="宋体"/>
                <w:sz w:val="15"/>
                <w:szCs w:val="15"/>
              </w:rPr>
            </w:pPr>
            <w:r>
              <w:rPr>
                <w:rFonts w:hint="eastAsia" w:ascii="宋体" w:hAnsi="宋体"/>
                <w:sz w:val="15"/>
                <w:szCs w:val="15"/>
              </w:rPr>
              <w:t>操作系统：Windows Server、Linux</w:t>
            </w:r>
          </w:p>
          <w:p>
            <w:pPr>
              <w:adjustRightInd w:val="0"/>
              <w:snapToGrid w:val="0"/>
              <w:spacing w:line="360" w:lineRule="auto"/>
              <w:jc w:val="left"/>
              <w:rPr>
                <w:rFonts w:hint="eastAsia" w:ascii="宋体" w:hAnsi="宋体"/>
                <w:sz w:val="15"/>
                <w:szCs w:val="15"/>
              </w:rPr>
            </w:pPr>
            <w:r>
              <w:rPr>
                <w:rFonts w:hint="eastAsia" w:ascii="宋体" w:hAnsi="宋体"/>
                <w:sz w:val="15"/>
                <w:szCs w:val="15"/>
              </w:rPr>
              <w:t>CPU：至强E3；</w:t>
            </w:r>
          </w:p>
          <w:p>
            <w:pPr>
              <w:adjustRightInd w:val="0"/>
              <w:snapToGrid w:val="0"/>
              <w:spacing w:line="360" w:lineRule="auto"/>
              <w:jc w:val="left"/>
              <w:rPr>
                <w:rFonts w:hint="eastAsia" w:ascii="宋体" w:hAnsi="宋体"/>
                <w:sz w:val="15"/>
                <w:szCs w:val="15"/>
              </w:rPr>
            </w:pPr>
            <w:r>
              <w:rPr>
                <w:rFonts w:hint="eastAsia" w:ascii="宋体" w:hAnsi="宋体"/>
                <w:sz w:val="15"/>
                <w:szCs w:val="15"/>
              </w:rPr>
              <w:t>内存：16G；</w:t>
            </w:r>
          </w:p>
          <w:p>
            <w:pPr>
              <w:adjustRightInd w:val="0"/>
              <w:snapToGrid w:val="0"/>
              <w:spacing w:line="360" w:lineRule="auto"/>
              <w:jc w:val="left"/>
              <w:rPr>
                <w:rFonts w:hint="eastAsia" w:ascii="宋体" w:hAnsi="宋体"/>
                <w:sz w:val="15"/>
                <w:szCs w:val="15"/>
              </w:rPr>
            </w:pPr>
            <w:r>
              <w:rPr>
                <w:rFonts w:hint="eastAsia" w:ascii="宋体" w:hAnsi="宋体"/>
                <w:sz w:val="15"/>
                <w:szCs w:val="15"/>
              </w:rPr>
              <w:t>硬盘：1T 固态；</w:t>
            </w:r>
          </w:p>
          <w:p>
            <w:pPr>
              <w:adjustRightInd w:val="0"/>
              <w:snapToGrid w:val="0"/>
              <w:spacing w:line="360" w:lineRule="auto"/>
              <w:jc w:val="left"/>
              <w:rPr>
                <w:rFonts w:hint="eastAsia" w:ascii="宋体" w:hAnsi="宋体"/>
                <w:sz w:val="15"/>
                <w:szCs w:val="15"/>
              </w:rPr>
            </w:pPr>
            <w:r>
              <w:rPr>
                <w:rFonts w:hint="eastAsia" w:ascii="宋体" w:hAnsi="宋体"/>
                <w:sz w:val="15"/>
                <w:szCs w:val="15"/>
              </w:rPr>
              <w:t>显卡：集成显卡（显示内存 &gt; 781MB）；</w:t>
            </w:r>
          </w:p>
          <w:p>
            <w:pPr>
              <w:adjustRightInd w:val="0"/>
              <w:snapToGrid w:val="0"/>
              <w:spacing w:line="360" w:lineRule="auto"/>
              <w:jc w:val="left"/>
              <w:rPr>
                <w:rFonts w:hint="eastAsia" w:ascii="宋体" w:hAnsi="宋体"/>
                <w:sz w:val="15"/>
                <w:szCs w:val="15"/>
              </w:rPr>
            </w:pPr>
            <w:r>
              <w:rPr>
                <w:rFonts w:hint="eastAsia" w:ascii="宋体" w:hAnsi="宋体"/>
                <w:sz w:val="15"/>
                <w:szCs w:val="15"/>
              </w:rPr>
              <w:t>网卡：集成网卡（网速 &gt;100M）；</w:t>
            </w:r>
          </w:p>
          <w:p>
            <w:pPr>
              <w:adjustRightInd w:val="0"/>
              <w:snapToGrid w:val="0"/>
              <w:spacing w:line="360" w:lineRule="auto"/>
              <w:jc w:val="left"/>
              <w:rPr>
                <w:rFonts w:hint="eastAsia" w:ascii="宋体" w:hAnsi="宋体" w:eastAsia="宋体" w:cs="Times New Roman"/>
                <w:kern w:val="2"/>
                <w:sz w:val="15"/>
                <w:szCs w:val="15"/>
                <w:lang w:val="en-US" w:eastAsia="zh-CN" w:bidi="ar-SA"/>
              </w:rPr>
            </w:pPr>
            <w:r>
              <w:rPr>
                <w:rFonts w:hint="eastAsia" w:ascii="宋体" w:hAnsi="宋体"/>
                <w:sz w:val="15"/>
                <w:szCs w:val="15"/>
              </w:rPr>
              <w:t>显示器：21.5寸显示屏。</w:t>
            </w:r>
          </w:p>
        </w:tc>
        <w:tc>
          <w:tcPr>
            <w:tcW w:w="644" w:type="dxa"/>
            <w:vAlign w:val="center"/>
          </w:tcPr>
          <w:p>
            <w:pPr>
              <w:adjustRightInd w:val="0"/>
              <w:snapToGrid w:val="0"/>
              <w:spacing w:line="360" w:lineRule="auto"/>
              <w:jc w:val="center"/>
              <w:rPr>
                <w:rFonts w:hint="eastAsia" w:ascii="宋体" w:hAnsi="宋体" w:eastAsia="宋体" w:cs="Times New Roman"/>
                <w:kern w:val="2"/>
                <w:sz w:val="15"/>
                <w:szCs w:val="15"/>
                <w:lang w:val="en-US" w:eastAsia="zh-CN" w:bidi="ar-SA"/>
              </w:rPr>
            </w:pPr>
            <w:r>
              <w:rPr>
                <w:rFonts w:hint="eastAsia" w:ascii="宋体" w:hAnsi="宋体"/>
                <w:sz w:val="15"/>
                <w:szCs w:val="15"/>
              </w:rPr>
              <w:t>台</w:t>
            </w:r>
          </w:p>
        </w:tc>
        <w:tc>
          <w:tcPr>
            <w:tcW w:w="613" w:type="dxa"/>
            <w:vAlign w:val="center"/>
          </w:tcPr>
          <w:p>
            <w:pPr>
              <w:adjustRightInd w:val="0"/>
              <w:snapToGrid w:val="0"/>
              <w:spacing w:line="360" w:lineRule="auto"/>
              <w:jc w:val="center"/>
              <w:rPr>
                <w:rFonts w:hint="eastAsia" w:ascii="宋体" w:hAnsi="宋体" w:eastAsia="宋体" w:cs="Times New Roman"/>
                <w:kern w:val="2"/>
                <w:sz w:val="15"/>
                <w:szCs w:val="15"/>
                <w:lang w:val="en-US" w:eastAsia="zh-CN" w:bidi="ar-SA"/>
              </w:rPr>
            </w:pPr>
            <w:r>
              <w:rPr>
                <w:rFonts w:hint="eastAsia" w:ascii="宋体" w:hAnsi="宋体"/>
                <w:sz w:val="15"/>
                <w:szCs w:val="15"/>
              </w:rPr>
              <w:t>1</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4" w:hRule="atLeast"/>
        </w:trPr>
        <w:tc>
          <w:tcPr>
            <w:tcW w:w="543" w:type="dxa"/>
            <w:vAlign w:val="center"/>
          </w:tcPr>
          <w:p>
            <w:pPr>
              <w:adjustRightInd w:val="0"/>
              <w:snapToGrid w:val="0"/>
              <w:spacing w:line="360" w:lineRule="auto"/>
              <w:jc w:val="center"/>
              <w:rPr>
                <w:rFonts w:hint="eastAsia" w:ascii="宋体" w:hAnsi="宋体" w:eastAsia="宋体"/>
                <w:sz w:val="15"/>
                <w:szCs w:val="15"/>
                <w:highlight w:val="none"/>
                <w:lang w:eastAsia="zh-CN"/>
              </w:rPr>
            </w:pPr>
            <w:r>
              <w:rPr>
                <w:rFonts w:hint="eastAsia" w:ascii="宋体" w:hAnsi="宋体"/>
                <w:sz w:val="15"/>
                <w:szCs w:val="15"/>
                <w:highlight w:val="none"/>
                <w:lang w:val="en-US" w:eastAsia="zh-CN"/>
              </w:rPr>
              <w:t>8</w:t>
            </w:r>
          </w:p>
        </w:tc>
        <w:tc>
          <w:tcPr>
            <w:tcW w:w="87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*镜面电脑</w:t>
            </w:r>
          </w:p>
        </w:tc>
        <w:tc>
          <w:tcPr>
            <w:tcW w:w="564" w:type="dxa"/>
            <w:vAlign w:val="center"/>
          </w:tcPr>
          <w:p>
            <w:pPr>
              <w:adjustRightInd w:val="0"/>
              <w:snapToGrid w:val="0"/>
              <w:spacing w:line="360" w:lineRule="auto"/>
              <w:jc w:val="center"/>
              <w:rPr>
                <w:rFonts w:ascii="宋体" w:hAnsi="宋体"/>
                <w:sz w:val="15"/>
                <w:szCs w:val="15"/>
                <w:highlight w:val="none"/>
              </w:rPr>
            </w:pPr>
          </w:p>
        </w:tc>
        <w:tc>
          <w:tcPr>
            <w:tcW w:w="87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镜面玻璃尺寸：长*宽98*118cm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1.镜面玻璃尺寸：长*宽98*118cm</w:t>
            </w:r>
          </w:p>
          <w:p>
            <w:pPr>
              <w:adjustRightInd w:val="0"/>
              <w:snapToGrid w:val="0"/>
              <w:spacing w:line="360" w:lineRule="auto"/>
              <w:jc w:val="left"/>
              <w:rPr>
                <w:rFonts w:hint="eastAsia" w:ascii="宋体" w:hAnsi="宋体"/>
                <w:sz w:val="15"/>
                <w:szCs w:val="15"/>
              </w:rPr>
            </w:pPr>
            <w:r>
              <w:rPr>
                <w:rFonts w:hint="eastAsia" w:ascii="宋体" w:hAnsi="宋体"/>
                <w:sz w:val="15"/>
                <w:szCs w:val="15"/>
              </w:rPr>
              <w:t>2.外框尺寸：长*宽100*120cm，外框带墙体安装挂钩；</w:t>
            </w:r>
          </w:p>
          <w:p>
            <w:pPr>
              <w:adjustRightInd w:val="0"/>
              <w:snapToGrid w:val="0"/>
              <w:spacing w:line="360" w:lineRule="auto"/>
              <w:jc w:val="left"/>
              <w:rPr>
                <w:rFonts w:hint="eastAsia" w:ascii="宋体" w:hAnsi="宋体"/>
                <w:sz w:val="15"/>
                <w:szCs w:val="15"/>
              </w:rPr>
            </w:pPr>
            <w:r>
              <w:rPr>
                <w:rFonts w:hint="eastAsia" w:ascii="宋体" w:hAnsi="宋体"/>
                <w:sz w:val="15"/>
                <w:szCs w:val="15"/>
              </w:rPr>
              <w:t>3.内置扬声器：2个</w:t>
            </w:r>
          </w:p>
          <w:p>
            <w:pPr>
              <w:adjustRightInd w:val="0"/>
              <w:snapToGrid w:val="0"/>
              <w:spacing w:line="360" w:lineRule="auto"/>
              <w:jc w:val="left"/>
              <w:rPr>
                <w:rFonts w:hint="eastAsia" w:ascii="宋体" w:hAnsi="宋体"/>
                <w:sz w:val="15"/>
                <w:szCs w:val="15"/>
              </w:rPr>
            </w:pPr>
            <w:r>
              <w:rPr>
                <w:rFonts w:hint="eastAsia" w:ascii="宋体" w:hAnsi="宋体"/>
                <w:sz w:val="15"/>
                <w:szCs w:val="15"/>
              </w:rPr>
              <w:t>4.CPU：工控I3</w:t>
            </w:r>
          </w:p>
          <w:p>
            <w:pPr>
              <w:adjustRightInd w:val="0"/>
              <w:snapToGrid w:val="0"/>
              <w:spacing w:line="360" w:lineRule="auto"/>
              <w:jc w:val="left"/>
              <w:rPr>
                <w:rFonts w:hint="eastAsia" w:ascii="宋体" w:hAnsi="宋体"/>
                <w:sz w:val="15"/>
                <w:szCs w:val="15"/>
              </w:rPr>
            </w:pPr>
            <w:r>
              <w:rPr>
                <w:rFonts w:hint="eastAsia" w:ascii="宋体" w:hAnsi="宋体"/>
                <w:sz w:val="15"/>
                <w:szCs w:val="15"/>
              </w:rPr>
              <w:t>5.内存：4G</w:t>
            </w:r>
          </w:p>
          <w:p>
            <w:pPr>
              <w:adjustRightInd w:val="0"/>
              <w:snapToGrid w:val="0"/>
              <w:spacing w:line="360" w:lineRule="auto"/>
              <w:jc w:val="left"/>
              <w:rPr>
                <w:rFonts w:hint="eastAsia" w:ascii="宋体" w:hAnsi="宋体"/>
                <w:sz w:val="15"/>
                <w:szCs w:val="15"/>
              </w:rPr>
            </w:pPr>
            <w:r>
              <w:rPr>
                <w:rFonts w:hint="eastAsia" w:ascii="宋体" w:hAnsi="宋体"/>
                <w:sz w:val="15"/>
                <w:szCs w:val="15"/>
              </w:rPr>
              <w:t>6.硬盘：64G</w:t>
            </w:r>
          </w:p>
          <w:p>
            <w:pPr>
              <w:adjustRightInd w:val="0"/>
              <w:snapToGrid w:val="0"/>
              <w:spacing w:line="360" w:lineRule="auto"/>
              <w:jc w:val="left"/>
              <w:rPr>
                <w:rFonts w:hint="eastAsia" w:ascii="宋体" w:hAnsi="宋体"/>
                <w:sz w:val="15"/>
                <w:szCs w:val="15"/>
              </w:rPr>
            </w:pPr>
            <w:r>
              <w:rPr>
                <w:rFonts w:hint="eastAsia" w:ascii="宋体" w:hAnsi="宋体"/>
                <w:sz w:val="15"/>
                <w:szCs w:val="15"/>
              </w:rPr>
              <w:t>7.内置LCD显示器*1：≥27寸(分辨率1080*1920) （内置显示器在玻璃镜面上的显示位置根据洗手台实际需求可灵活调整）</w:t>
            </w:r>
          </w:p>
          <w:p>
            <w:pPr>
              <w:adjustRightInd w:val="0"/>
              <w:snapToGrid w:val="0"/>
              <w:spacing w:line="360" w:lineRule="auto"/>
              <w:jc w:val="left"/>
              <w:rPr>
                <w:rFonts w:hint="eastAsia" w:ascii="宋体" w:hAnsi="宋体"/>
                <w:sz w:val="15"/>
                <w:szCs w:val="15"/>
              </w:rPr>
            </w:pPr>
            <w:r>
              <w:rPr>
                <w:rFonts w:hint="eastAsia" w:ascii="宋体" w:hAnsi="宋体"/>
                <w:sz w:val="15"/>
                <w:szCs w:val="15"/>
              </w:rPr>
              <w:t>8.操作系统：windows10/Ubuntu</w:t>
            </w:r>
          </w:p>
          <w:p>
            <w:pPr>
              <w:adjustRightInd w:val="0"/>
              <w:snapToGrid w:val="0"/>
              <w:spacing w:line="360" w:lineRule="auto"/>
              <w:jc w:val="left"/>
              <w:rPr>
                <w:rFonts w:hint="eastAsia" w:ascii="宋体" w:hAnsi="宋体"/>
                <w:sz w:val="15"/>
                <w:szCs w:val="15"/>
              </w:rPr>
            </w:pPr>
            <w:r>
              <w:rPr>
                <w:rFonts w:hint="eastAsia" w:ascii="宋体" w:hAnsi="宋体"/>
                <w:sz w:val="15"/>
                <w:szCs w:val="15"/>
              </w:rPr>
              <w:t>9.其他接口：RJ45接口≥1个，AC220电源接口≥1个，电源按钮≥1个，USB2.0接口≥1个，USB3.0接口≥1个，散热口2个</w:t>
            </w:r>
          </w:p>
          <w:p>
            <w:pPr>
              <w:adjustRightInd w:val="0"/>
              <w:snapToGrid w:val="0"/>
              <w:spacing w:line="360" w:lineRule="auto"/>
              <w:jc w:val="left"/>
              <w:rPr>
                <w:rFonts w:hint="eastAsia" w:ascii="宋体" w:hAnsi="宋体"/>
                <w:sz w:val="15"/>
                <w:szCs w:val="15"/>
              </w:rPr>
            </w:pPr>
            <w:r>
              <w:rPr>
                <w:rFonts w:hint="eastAsia" w:ascii="宋体" w:hAnsi="宋体"/>
                <w:sz w:val="15"/>
                <w:szCs w:val="15"/>
              </w:rPr>
              <w:t>10.工作温度：-25℃～+70℃</w:t>
            </w:r>
          </w:p>
          <w:p>
            <w:pPr>
              <w:adjustRightInd w:val="0"/>
              <w:snapToGrid w:val="0"/>
              <w:spacing w:line="360" w:lineRule="auto"/>
              <w:jc w:val="left"/>
              <w:rPr>
                <w:rFonts w:ascii="宋体" w:hAnsi="宋体"/>
                <w:sz w:val="15"/>
                <w:szCs w:val="15"/>
                <w:highlight w:val="none"/>
              </w:rPr>
            </w:pPr>
            <w:r>
              <w:rPr>
                <w:rFonts w:hint="eastAsia" w:ascii="宋体" w:hAnsi="宋体"/>
                <w:sz w:val="15"/>
                <w:szCs w:val="15"/>
              </w:rPr>
              <w:t>11.支持定时开关机，支持来电自动重启。</w:t>
            </w:r>
          </w:p>
        </w:tc>
        <w:tc>
          <w:tcPr>
            <w:tcW w:w="64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台</w:t>
            </w:r>
          </w:p>
        </w:tc>
        <w:tc>
          <w:tcPr>
            <w:tcW w:w="613" w:type="dxa"/>
            <w:vAlign w:val="center"/>
          </w:tcPr>
          <w:p>
            <w:pPr>
              <w:adjustRightInd w:val="0"/>
              <w:snapToGrid w:val="0"/>
              <w:spacing w:line="360" w:lineRule="auto"/>
              <w:jc w:val="center"/>
              <w:rPr>
                <w:rFonts w:hint="eastAsia" w:ascii="宋体" w:hAnsi="宋体" w:eastAsia="宋体"/>
                <w:sz w:val="15"/>
                <w:szCs w:val="15"/>
                <w:highlight w:val="none"/>
                <w:lang w:eastAsia="zh-CN"/>
              </w:rPr>
            </w:pPr>
            <w:r>
              <w:rPr>
                <w:rFonts w:hint="eastAsia" w:ascii="宋体" w:hAnsi="宋体"/>
                <w:sz w:val="15"/>
                <w:szCs w:val="15"/>
                <w:lang w:val="en-US" w:eastAsia="zh-CN"/>
              </w:rPr>
              <w:t>4</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1" w:hRule="atLeast"/>
        </w:trPr>
        <w:tc>
          <w:tcPr>
            <w:tcW w:w="543" w:type="dxa"/>
            <w:vAlign w:val="center"/>
          </w:tcPr>
          <w:p>
            <w:pPr>
              <w:adjustRightInd w:val="0"/>
              <w:snapToGrid w:val="0"/>
              <w:spacing w:line="360" w:lineRule="auto"/>
              <w:jc w:val="center"/>
              <w:rPr>
                <w:rFonts w:hint="eastAsia" w:ascii="宋体" w:hAnsi="宋体" w:eastAsia="宋体"/>
                <w:sz w:val="15"/>
                <w:szCs w:val="15"/>
                <w:highlight w:val="none"/>
                <w:lang w:eastAsia="zh-CN"/>
              </w:rPr>
            </w:pPr>
            <w:r>
              <w:rPr>
                <w:rFonts w:hint="eastAsia" w:ascii="宋体" w:hAnsi="宋体"/>
                <w:sz w:val="15"/>
                <w:szCs w:val="15"/>
                <w:highlight w:val="none"/>
                <w:lang w:val="en-US" w:eastAsia="zh-CN"/>
              </w:rPr>
              <w:t>9</w:t>
            </w:r>
          </w:p>
        </w:tc>
        <w:tc>
          <w:tcPr>
            <w:tcW w:w="87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*镜面电脑</w:t>
            </w:r>
          </w:p>
        </w:tc>
        <w:tc>
          <w:tcPr>
            <w:tcW w:w="564" w:type="dxa"/>
            <w:vAlign w:val="center"/>
          </w:tcPr>
          <w:p>
            <w:pPr>
              <w:adjustRightInd w:val="0"/>
              <w:snapToGrid w:val="0"/>
              <w:spacing w:line="360" w:lineRule="auto"/>
              <w:jc w:val="center"/>
              <w:rPr>
                <w:rFonts w:ascii="宋体" w:hAnsi="宋体"/>
                <w:sz w:val="15"/>
                <w:szCs w:val="15"/>
                <w:highlight w:val="none"/>
              </w:rPr>
            </w:pPr>
          </w:p>
        </w:tc>
        <w:tc>
          <w:tcPr>
            <w:tcW w:w="87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镜面玻璃尺寸：长*宽198*98cm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1.镜面玻璃尺寸：长*宽198*98cm；</w:t>
            </w:r>
          </w:p>
          <w:p>
            <w:pPr>
              <w:adjustRightInd w:val="0"/>
              <w:snapToGrid w:val="0"/>
              <w:spacing w:line="360" w:lineRule="auto"/>
              <w:jc w:val="left"/>
              <w:rPr>
                <w:rFonts w:hint="eastAsia" w:ascii="宋体" w:hAnsi="宋体"/>
                <w:sz w:val="15"/>
                <w:szCs w:val="15"/>
              </w:rPr>
            </w:pPr>
            <w:r>
              <w:rPr>
                <w:rFonts w:hint="eastAsia" w:ascii="宋体" w:hAnsi="宋体"/>
                <w:sz w:val="15"/>
                <w:szCs w:val="15"/>
              </w:rPr>
              <w:t>2.外框尺寸：长*宽200*100cm；外框带墙体安装挂钩；</w:t>
            </w:r>
          </w:p>
          <w:p>
            <w:pPr>
              <w:adjustRightInd w:val="0"/>
              <w:snapToGrid w:val="0"/>
              <w:spacing w:line="360" w:lineRule="auto"/>
              <w:jc w:val="left"/>
              <w:rPr>
                <w:rFonts w:hint="eastAsia" w:ascii="宋体" w:hAnsi="宋体"/>
                <w:sz w:val="15"/>
                <w:szCs w:val="15"/>
              </w:rPr>
            </w:pPr>
            <w:r>
              <w:rPr>
                <w:rFonts w:hint="eastAsia" w:ascii="宋体" w:hAnsi="宋体"/>
                <w:sz w:val="15"/>
                <w:szCs w:val="15"/>
              </w:rPr>
              <w:t>3.内置扬声器：2个</w:t>
            </w:r>
          </w:p>
          <w:p>
            <w:pPr>
              <w:adjustRightInd w:val="0"/>
              <w:snapToGrid w:val="0"/>
              <w:spacing w:line="360" w:lineRule="auto"/>
              <w:jc w:val="left"/>
              <w:rPr>
                <w:rFonts w:hint="eastAsia" w:ascii="宋体" w:hAnsi="宋体"/>
                <w:sz w:val="15"/>
                <w:szCs w:val="15"/>
              </w:rPr>
            </w:pPr>
            <w:r>
              <w:rPr>
                <w:rFonts w:hint="eastAsia" w:ascii="宋体" w:hAnsi="宋体"/>
                <w:sz w:val="15"/>
                <w:szCs w:val="15"/>
              </w:rPr>
              <w:t>4.CPU：工控I3</w:t>
            </w:r>
          </w:p>
          <w:p>
            <w:pPr>
              <w:adjustRightInd w:val="0"/>
              <w:snapToGrid w:val="0"/>
              <w:spacing w:line="360" w:lineRule="auto"/>
              <w:jc w:val="left"/>
              <w:rPr>
                <w:rFonts w:hint="eastAsia" w:ascii="宋体" w:hAnsi="宋体"/>
                <w:sz w:val="15"/>
                <w:szCs w:val="15"/>
              </w:rPr>
            </w:pPr>
            <w:r>
              <w:rPr>
                <w:rFonts w:hint="eastAsia" w:ascii="宋体" w:hAnsi="宋体"/>
                <w:sz w:val="15"/>
                <w:szCs w:val="15"/>
              </w:rPr>
              <w:t>5.内存：4G</w:t>
            </w:r>
          </w:p>
          <w:p>
            <w:pPr>
              <w:adjustRightInd w:val="0"/>
              <w:snapToGrid w:val="0"/>
              <w:spacing w:line="360" w:lineRule="auto"/>
              <w:jc w:val="left"/>
              <w:rPr>
                <w:rFonts w:hint="eastAsia" w:ascii="宋体" w:hAnsi="宋体"/>
                <w:sz w:val="15"/>
                <w:szCs w:val="15"/>
              </w:rPr>
            </w:pPr>
            <w:r>
              <w:rPr>
                <w:rFonts w:hint="eastAsia" w:ascii="宋体" w:hAnsi="宋体"/>
                <w:sz w:val="15"/>
                <w:szCs w:val="15"/>
              </w:rPr>
              <w:t>6.硬盘：64G</w:t>
            </w:r>
          </w:p>
          <w:p>
            <w:pPr>
              <w:adjustRightInd w:val="0"/>
              <w:snapToGrid w:val="0"/>
              <w:spacing w:line="360" w:lineRule="auto"/>
              <w:jc w:val="left"/>
              <w:rPr>
                <w:rFonts w:hint="eastAsia" w:ascii="宋体" w:hAnsi="宋体"/>
                <w:sz w:val="15"/>
                <w:szCs w:val="15"/>
              </w:rPr>
            </w:pPr>
            <w:r>
              <w:rPr>
                <w:rFonts w:hint="eastAsia" w:ascii="宋体" w:hAnsi="宋体"/>
                <w:sz w:val="15"/>
                <w:szCs w:val="15"/>
              </w:rPr>
              <w:t>7.内置LCD显示器*2：≥ 32寸(分辨率1080*1920)（内置显示器在玻璃镜面上的显示位置根据洗手台实际需求可灵活调整）</w:t>
            </w:r>
          </w:p>
          <w:p>
            <w:pPr>
              <w:adjustRightInd w:val="0"/>
              <w:snapToGrid w:val="0"/>
              <w:spacing w:line="360" w:lineRule="auto"/>
              <w:jc w:val="left"/>
              <w:rPr>
                <w:rFonts w:hint="eastAsia" w:ascii="宋体" w:hAnsi="宋体"/>
                <w:sz w:val="15"/>
                <w:szCs w:val="15"/>
              </w:rPr>
            </w:pPr>
            <w:r>
              <w:rPr>
                <w:rFonts w:hint="eastAsia" w:ascii="宋体" w:hAnsi="宋体"/>
                <w:sz w:val="15"/>
                <w:szCs w:val="15"/>
              </w:rPr>
              <w:t>8.操作系统：windows10/Ubuntu</w:t>
            </w:r>
          </w:p>
          <w:p>
            <w:pPr>
              <w:adjustRightInd w:val="0"/>
              <w:snapToGrid w:val="0"/>
              <w:spacing w:line="360" w:lineRule="auto"/>
              <w:jc w:val="left"/>
              <w:rPr>
                <w:rFonts w:hint="eastAsia" w:ascii="宋体" w:hAnsi="宋体"/>
                <w:sz w:val="15"/>
                <w:szCs w:val="15"/>
              </w:rPr>
            </w:pPr>
            <w:r>
              <w:rPr>
                <w:rFonts w:hint="eastAsia" w:ascii="宋体" w:hAnsi="宋体"/>
                <w:sz w:val="15"/>
                <w:szCs w:val="15"/>
              </w:rPr>
              <w:t>9.其他接口：RJ45接口≥1个，AC220电源接口≥1个，电源按钮≥1个，USB2.0接口≥1个，USB3.0接口≥1个，散热口2个；</w:t>
            </w:r>
          </w:p>
          <w:p>
            <w:pPr>
              <w:adjustRightInd w:val="0"/>
              <w:snapToGrid w:val="0"/>
              <w:spacing w:line="360" w:lineRule="auto"/>
              <w:jc w:val="left"/>
              <w:rPr>
                <w:rFonts w:hint="eastAsia" w:ascii="宋体" w:hAnsi="宋体"/>
                <w:sz w:val="15"/>
                <w:szCs w:val="15"/>
              </w:rPr>
            </w:pPr>
            <w:r>
              <w:rPr>
                <w:rFonts w:hint="eastAsia" w:ascii="宋体" w:hAnsi="宋体"/>
                <w:sz w:val="15"/>
                <w:szCs w:val="15"/>
              </w:rPr>
              <w:t>10.工作温度：-25℃～+70℃；</w:t>
            </w:r>
          </w:p>
          <w:p>
            <w:pPr>
              <w:adjustRightInd w:val="0"/>
              <w:snapToGrid w:val="0"/>
              <w:spacing w:line="360" w:lineRule="auto"/>
              <w:jc w:val="left"/>
              <w:rPr>
                <w:rFonts w:hint="eastAsia" w:ascii="宋体" w:hAnsi="宋体"/>
                <w:sz w:val="15"/>
                <w:szCs w:val="15"/>
              </w:rPr>
            </w:pPr>
            <w:r>
              <w:rPr>
                <w:rFonts w:hint="eastAsia" w:ascii="宋体" w:hAnsi="宋体"/>
                <w:sz w:val="15"/>
                <w:szCs w:val="15"/>
              </w:rPr>
              <w:t>11.支持定时开关机，支持来电自动重启</w:t>
            </w:r>
          </w:p>
          <w:p>
            <w:pPr>
              <w:adjustRightInd w:val="0"/>
              <w:snapToGrid w:val="0"/>
              <w:spacing w:line="360" w:lineRule="auto"/>
              <w:jc w:val="left"/>
              <w:rPr>
                <w:rFonts w:ascii="宋体" w:hAnsi="宋体"/>
                <w:sz w:val="15"/>
                <w:szCs w:val="15"/>
                <w:highlight w:val="none"/>
              </w:rPr>
            </w:pPr>
            <w:r>
              <w:rPr>
                <w:rFonts w:hint="eastAsia" w:ascii="宋体" w:hAnsi="宋体"/>
                <w:sz w:val="15"/>
                <w:szCs w:val="15"/>
              </w:rPr>
              <w:t>12.支持多屏幕同屏。</w:t>
            </w:r>
          </w:p>
        </w:tc>
        <w:tc>
          <w:tcPr>
            <w:tcW w:w="64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台</w:t>
            </w:r>
          </w:p>
        </w:tc>
        <w:tc>
          <w:tcPr>
            <w:tcW w:w="613" w:type="dxa"/>
            <w:vAlign w:val="center"/>
          </w:tcPr>
          <w:p>
            <w:pPr>
              <w:adjustRightInd w:val="0"/>
              <w:snapToGrid w:val="0"/>
              <w:spacing w:line="360" w:lineRule="auto"/>
              <w:jc w:val="center"/>
              <w:rPr>
                <w:rFonts w:hint="eastAsia" w:ascii="宋体" w:hAnsi="宋体" w:eastAsia="宋体"/>
                <w:sz w:val="15"/>
                <w:szCs w:val="15"/>
                <w:highlight w:val="none"/>
                <w:lang w:eastAsia="zh-CN"/>
              </w:rPr>
            </w:pPr>
            <w:r>
              <w:rPr>
                <w:rFonts w:hint="eastAsia" w:ascii="宋体" w:hAnsi="宋体"/>
                <w:sz w:val="15"/>
                <w:szCs w:val="15"/>
                <w:lang w:val="en-US" w:eastAsia="zh-CN"/>
              </w:rPr>
              <w:t>1</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1"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10</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*吊装铝合金轨道总成</w:t>
            </w:r>
          </w:p>
        </w:tc>
        <w:tc>
          <w:tcPr>
            <w:tcW w:w="564" w:type="dxa"/>
            <w:vAlign w:val="center"/>
          </w:tcPr>
          <w:p>
            <w:pPr>
              <w:adjustRightInd w:val="0"/>
              <w:snapToGrid w:val="0"/>
              <w:spacing w:line="360" w:lineRule="auto"/>
              <w:jc w:val="center"/>
              <w:rPr>
                <w:rFonts w:ascii="宋体" w:hAnsi="宋体"/>
                <w:sz w:val="15"/>
                <w:szCs w:val="15"/>
              </w:rPr>
            </w:pP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轨道尺寸：长*宽*高  300*8*9cm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 xml:space="preserve">吊装铝合金覆膜防蚀轨道；配套钢制薄片齿条（厚度小于等于2mm）和标配安装附件套装（套装包括吊装连接构件、吸顶T型构件、吊装T型构件、配套膨胀螺栓、终端支架、轨道安装连接件、轨道下连板、配套螺栓）；轨道内置一体式屏蔽履带供电；通讯线缆总成；轨道尺寸：长*宽*高 </w:t>
            </w:r>
          </w:p>
          <w:p>
            <w:pPr>
              <w:adjustRightInd w:val="0"/>
              <w:snapToGrid w:val="0"/>
              <w:spacing w:line="360" w:lineRule="auto"/>
              <w:jc w:val="left"/>
              <w:rPr>
                <w:rFonts w:ascii="宋体" w:hAnsi="宋体"/>
                <w:sz w:val="15"/>
                <w:szCs w:val="15"/>
              </w:rPr>
            </w:pPr>
            <w:r>
              <w:rPr>
                <w:rFonts w:hint="eastAsia" w:ascii="宋体" w:hAnsi="宋体"/>
                <w:sz w:val="15"/>
                <w:szCs w:val="15"/>
              </w:rPr>
              <w:t xml:space="preserve"> 300*8*9cm。</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5</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7930" w:type="dxa"/>
            <w:gridSpan w:val="8"/>
            <w:vAlign w:val="center"/>
          </w:tcPr>
          <w:p>
            <w:pPr>
              <w:adjustRightInd w:val="0"/>
              <w:snapToGrid w:val="0"/>
              <w:spacing w:line="360" w:lineRule="auto"/>
              <w:jc w:val="center"/>
              <w:rPr>
                <w:rFonts w:hint="eastAsia" w:ascii="宋体" w:hAnsi="宋体" w:eastAsia="宋体"/>
                <w:szCs w:val="21"/>
                <w:lang w:eastAsia="zh-CN"/>
              </w:rPr>
            </w:pPr>
            <w:r>
              <w:rPr>
                <w:rFonts w:hint="eastAsia" w:ascii="宋体" w:hAnsi="宋体"/>
                <w:b/>
                <w:szCs w:val="21"/>
              </w:rPr>
              <w:t>合 计</w:t>
            </w:r>
            <w:r>
              <w:rPr>
                <w:rFonts w:hint="eastAsia" w:ascii="宋体" w:hAnsi="宋体"/>
                <w:b/>
                <w:szCs w:val="21"/>
                <w:lang w:val="en-US" w:eastAsia="zh-CN"/>
              </w:rPr>
              <w:t xml:space="preserve"> </w:t>
            </w:r>
            <w:r>
              <w:rPr>
                <w:rFonts w:hint="eastAsia" w:ascii="宋体" w:hAnsi="宋体"/>
                <w:b/>
                <w:szCs w:val="21"/>
                <w:lang w:eastAsia="zh-CN"/>
              </w:rPr>
              <w:t>金</w:t>
            </w:r>
            <w:r>
              <w:rPr>
                <w:rFonts w:hint="eastAsia" w:ascii="宋体" w:hAnsi="宋体"/>
                <w:b/>
                <w:szCs w:val="21"/>
                <w:lang w:val="en-US" w:eastAsia="zh-CN"/>
              </w:rPr>
              <w:t xml:space="preserve"> </w:t>
            </w:r>
            <w:r>
              <w:rPr>
                <w:rFonts w:hint="eastAsia" w:ascii="宋体" w:hAnsi="宋体"/>
                <w:b/>
                <w:szCs w:val="21"/>
                <w:lang w:eastAsia="zh-CN"/>
              </w:rPr>
              <w:t>额（元）</w:t>
            </w:r>
          </w:p>
        </w:tc>
        <w:tc>
          <w:tcPr>
            <w:tcW w:w="965" w:type="dxa"/>
            <w:vAlign w:val="center"/>
          </w:tcPr>
          <w:p>
            <w:pPr>
              <w:adjustRightInd w:val="0"/>
              <w:snapToGrid w:val="0"/>
              <w:spacing w:line="360" w:lineRule="auto"/>
              <w:jc w:val="center"/>
              <w:rPr>
                <w:rFonts w:ascii="宋体" w:hAnsi="宋体"/>
                <w:szCs w:val="21"/>
              </w:rPr>
            </w:pPr>
          </w:p>
        </w:tc>
        <w:tc>
          <w:tcPr>
            <w:tcW w:w="725" w:type="dxa"/>
            <w:vAlign w:val="center"/>
          </w:tcPr>
          <w:p>
            <w:pPr>
              <w:adjustRightInd w:val="0"/>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4" w:hRule="atLeast"/>
        </w:trPr>
        <w:tc>
          <w:tcPr>
            <w:tcW w:w="9620" w:type="dxa"/>
            <w:gridSpan w:val="10"/>
            <w:vAlign w:val="center"/>
          </w:tcPr>
          <w:p>
            <w:pPr>
              <w:adjustRightInd w:val="0"/>
              <w:snapToGrid w:val="0"/>
              <w:spacing w:line="360" w:lineRule="auto"/>
              <w:jc w:val="left"/>
              <w:rPr>
                <w:rFonts w:hint="eastAsia" w:ascii="宋体" w:hAnsi="宋体"/>
                <w:b/>
                <w:szCs w:val="21"/>
                <w:lang w:val="en-US" w:eastAsia="zh-CN"/>
              </w:rPr>
            </w:pPr>
            <w:r>
              <w:rPr>
                <w:rFonts w:hint="eastAsia" w:ascii="宋体" w:hAnsi="宋体"/>
                <w:b/>
                <w:szCs w:val="21"/>
                <w:lang w:val="en-US" w:eastAsia="zh-CN"/>
              </w:rPr>
              <w:t>说明：</w:t>
            </w:r>
          </w:p>
          <w:p>
            <w:pPr>
              <w:pStyle w:val="2"/>
              <w:spacing w:line="360" w:lineRule="auto"/>
              <w:ind w:left="0" w:leftChars="0" w:firstLine="0" w:firstLineChars="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1.如部分产品停产升级或技术规格优于上述型号，请出示相关证明材料。</w:t>
            </w:r>
          </w:p>
          <w:p>
            <w:pPr>
              <w:adjustRightInd w:val="0"/>
              <w:snapToGri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2.对于清单中已明确品牌的物资，请按照该品牌物资进行响应；</w:t>
            </w:r>
          </w:p>
          <w:p>
            <w:pPr>
              <w:adjustRightInd w:val="0"/>
              <w:snapToGrid w:val="0"/>
              <w:spacing w:line="360" w:lineRule="auto"/>
              <w:jc w:val="left"/>
              <w:rPr>
                <w:rFonts w:hint="eastAsia" w:ascii="宋体" w:hAnsi="宋体"/>
                <w:b/>
                <w:szCs w:val="21"/>
                <w:lang w:val="en-US" w:eastAsia="zh-CN"/>
              </w:rPr>
            </w:pPr>
            <w:r>
              <w:rPr>
                <w:rFonts w:hint="eastAsia" w:ascii="宋体" w:hAnsi="宋体"/>
                <w:b/>
                <w:szCs w:val="21"/>
                <w:lang w:val="en-US" w:eastAsia="zh-CN"/>
              </w:rPr>
              <w:t>3.对于清单中带*号未明确品牌的物资，响应时必须含有品牌和型号，作为后续合同签订及到货验收的依据。</w:t>
            </w:r>
          </w:p>
        </w:tc>
      </w:tr>
    </w:tbl>
    <w:p/>
    <w:p>
      <w:pPr>
        <w:adjustRightInd w:val="0"/>
        <w:snapToGrid w:val="0"/>
        <w:spacing w:line="360" w:lineRule="auto"/>
        <w:rPr>
          <w:rFonts w:ascii="宋体" w:hAnsi="宋体"/>
          <w:b/>
          <w:szCs w:val="21"/>
        </w:rPr>
      </w:pPr>
      <w:r>
        <w:rPr>
          <w:rFonts w:hint="eastAsia" w:ascii="宋体" w:hAnsi="宋体"/>
          <w:b/>
          <w:szCs w:val="21"/>
        </w:rPr>
        <w:t>备注：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2.本表包含谈判文件“用户需求书”或其他部分对该项目所有要求的详细报价。“合计”金额之和应与《报价一览表》内“谈判总报价”金额一致。栏目“单价”为综合单价，应包含所有隐含的管理费、税金和利润等其他费用。</w:t>
      </w:r>
    </w:p>
    <w:p>
      <w:pPr>
        <w:pStyle w:val="2"/>
      </w:pPr>
    </w:p>
    <w:p>
      <w:pPr>
        <w:pStyle w:val="27"/>
        <w:adjustRightInd w:val="0"/>
        <w:snapToGrid w:val="0"/>
        <w:spacing w:line="360" w:lineRule="auto"/>
        <w:ind w:firstLine="420" w:firstLineChars="200"/>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ind w:firstLine="420" w:firstLineChars="200"/>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3"/>
        <w:jc w:val="center"/>
        <w:outlineLvl w:val="1"/>
        <w:rPr>
          <w:rFonts w:ascii="宋体" w:hAnsi="宋体" w:cs="宋体"/>
          <w:b/>
          <w:sz w:val="32"/>
          <w:szCs w:val="32"/>
        </w:rPr>
        <w:sectPr>
          <w:pgSz w:w="11906" w:h="16838"/>
          <w:pgMar w:top="1440" w:right="1797" w:bottom="1440" w:left="1797" w:header="851" w:footer="992" w:gutter="0"/>
          <w:cols w:space="720" w:num="1"/>
          <w:docGrid w:type="lines" w:linePitch="312" w:charSpace="0"/>
        </w:sectPr>
      </w:pPr>
    </w:p>
    <w:p>
      <w:pPr>
        <w:adjustRightInd w:val="0"/>
        <w:snapToGrid w:val="0"/>
        <w:spacing w:line="360" w:lineRule="auto"/>
        <w:ind w:right="23"/>
        <w:jc w:val="center"/>
        <w:outlineLvl w:val="1"/>
        <w:rPr>
          <w:rFonts w:ascii="宋体" w:hAnsi="宋体" w:cs="宋体"/>
          <w:b/>
          <w:sz w:val="32"/>
          <w:szCs w:val="32"/>
        </w:rPr>
      </w:pPr>
      <w:r>
        <w:rPr>
          <w:rFonts w:hint="eastAsia" w:ascii="宋体" w:hAnsi="宋体" w:cs="宋体"/>
          <w:b/>
          <w:sz w:val="32"/>
          <w:szCs w:val="32"/>
        </w:rPr>
        <w:t>七、其他资料</w:t>
      </w:r>
      <w:bookmarkEnd w:id="141"/>
      <w:bookmarkEnd w:id="142"/>
      <w:bookmarkEnd w:id="143"/>
      <w:bookmarkEnd w:id="144"/>
      <w:r>
        <w:rPr>
          <w:rFonts w:hint="eastAsia" w:ascii="宋体" w:hAnsi="宋体" w:cs="宋体"/>
          <w:b/>
          <w:sz w:val="32"/>
          <w:szCs w:val="32"/>
        </w:rPr>
        <w:t>（如有）</w:t>
      </w:r>
    </w:p>
    <w:p>
      <w:pPr>
        <w:adjustRightInd w:val="0"/>
        <w:snapToGrid w:val="0"/>
        <w:spacing w:before="156" w:beforeLines="50" w:line="360" w:lineRule="auto"/>
        <w:ind w:firstLine="420" w:firstLineChars="200"/>
        <w:jc w:val="center"/>
        <w:rPr>
          <w:rFonts w:ascii="宋体" w:hAnsi="宋体"/>
          <w:szCs w:val="21"/>
        </w:rPr>
      </w:pPr>
      <w:bookmarkStart w:id="145" w:name="_Toc10648"/>
      <w:bookmarkStart w:id="146" w:name="_Toc22084"/>
      <w:bookmarkStart w:id="147" w:name="_Toc18188"/>
      <w:bookmarkStart w:id="148" w:name="_Toc5412"/>
      <w:r>
        <w:rPr>
          <w:rFonts w:hint="eastAsia" w:ascii="宋体" w:hAnsi="宋体"/>
          <w:szCs w:val="21"/>
        </w:rPr>
        <w:t>谈判单位认为需要提供的其他报价资料，格式自拟。</w:t>
      </w:r>
      <w:bookmarkEnd w:id="145"/>
      <w:bookmarkEnd w:id="146"/>
      <w:bookmarkEnd w:id="147"/>
      <w:bookmarkEnd w:id="148"/>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59" o:spid="_x0000_s205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60" o:spid="_x0000_s206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13</w:t>
                </w:r>
                <w:r>
                  <w:fldChar w:fldCharType="end"/>
                </w: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w:pict>
        <v:shape id="_x0000_s2061" o:spid="_x0000_s206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16</w:t>
                </w:r>
                <w:r>
                  <w:fldChar w:fldCharType="end"/>
                </w:r>
              </w:p>
            </w:txbxContent>
          </v:textbox>
        </v:shape>
      </w:pict>
    </w:r>
    <w:r>
      <w:rPr>
        <w:rFonts w:hint="eastAsia" w:eastAsia="楷体_GB231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w:pict>
        <v:shape id="_x0000_s2062" o:spid="_x0000_s206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w:pict>
        <v:shape id="_x0000_s2063" o:spid="_x0000_s206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2064" o:spid="_x0000_s206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33</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0784A"/>
    <w:rsid w:val="00005EC9"/>
    <w:rsid w:val="00006D21"/>
    <w:rsid w:val="000127FE"/>
    <w:rsid w:val="00016902"/>
    <w:rsid w:val="00017A03"/>
    <w:rsid w:val="000274C6"/>
    <w:rsid w:val="00041547"/>
    <w:rsid w:val="00052640"/>
    <w:rsid w:val="00052912"/>
    <w:rsid w:val="00063D15"/>
    <w:rsid w:val="00074928"/>
    <w:rsid w:val="00091C9D"/>
    <w:rsid w:val="000C106E"/>
    <w:rsid w:val="000E7968"/>
    <w:rsid w:val="000F3387"/>
    <w:rsid w:val="00115FE6"/>
    <w:rsid w:val="00116BAE"/>
    <w:rsid w:val="00121C56"/>
    <w:rsid w:val="001453A1"/>
    <w:rsid w:val="00162D59"/>
    <w:rsid w:val="00186162"/>
    <w:rsid w:val="00194941"/>
    <w:rsid w:val="001A5EF3"/>
    <w:rsid w:val="001C23BF"/>
    <w:rsid w:val="001D6D72"/>
    <w:rsid w:val="001D7E18"/>
    <w:rsid w:val="001E4BC4"/>
    <w:rsid w:val="002069C8"/>
    <w:rsid w:val="002101BD"/>
    <w:rsid w:val="002139EB"/>
    <w:rsid w:val="0022188F"/>
    <w:rsid w:val="00222B8F"/>
    <w:rsid w:val="00222DFA"/>
    <w:rsid w:val="00230A1A"/>
    <w:rsid w:val="002314A3"/>
    <w:rsid w:val="00241856"/>
    <w:rsid w:val="002504FF"/>
    <w:rsid w:val="002523FD"/>
    <w:rsid w:val="0025312F"/>
    <w:rsid w:val="00255546"/>
    <w:rsid w:val="00280E34"/>
    <w:rsid w:val="00286014"/>
    <w:rsid w:val="002B1D56"/>
    <w:rsid w:val="002D3315"/>
    <w:rsid w:val="002F262C"/>
    <w:rsid w:val="003102A2"/>
    <w:rsid w:val="00331810"/>
    <w:rsid w:val="00352136"/>
    <w:rsid w:val="00380064"/>
    <w:rsid w:val="00381105"/>
    <w:rsid w:val="00381BB4"/>
    <w:rsid w:val="003958B2"/>
    <w:rsid w:val="0039632C"/>
    <w:rsid w:val="003B1109"/>
    <w:rsid w:val="003C2697"/>
    <w:rsid w:val="003D080C"/>
    <w:rsid w:val="003D19B4"/>
    <w:rsid w:val="003D6204"/>
    <w:rsid w:val="003D666D"/>
    <w:rsid w:val="003F46A7"/>
    <w:rsid w:val="004014FD"/>
    <w:rsid w:val="00423B85"/>
    <w:rsid w:val="004263EB"/>
    <w:rsid w:val="00432B31"/>
    <w:rsid w:val="0043561C"/>
    <w:rsid w:val="00453EE9"/>
    <w:rsid w:val="00473865"/>
    <w:rsid w:val="0048093D"/>
    <w:rsid w:val="00485744"/>
    <w:rsid w:val="004929D5"/>
    <w:rsid w:val="00495DBC"/>
    <w:rsid w:val="00495F57"/>
    <w:rsid w:val="004978CA"/>
    <w:rsid w:val="004B3D80"/>
    <w:rsid w:val="004B41B1"/>
    <w:rsid w:val="004C7840"/>
    <w:rsid w:val="004E3E63"/>
    <w:rsid w:val="00504DED"/>
    <w:rsid w:val="00517342"/>
    <w:rsid w:val="00522C87"/>
    <w:rsid w:val="00526589"/>
    <w:rsid w:val="00545140"/>
    <w:rsid w:val="0055214F"/>
    <w:rsid w:val="005556A5"/>
    <w:rsid w:val="0056117D"/>
    <w:rsid w:val="0056143E"/>
    <w:rsid w:val="00584FBA"/>
    <w:rsid w:val="0058754B"/>
    <w:rsid w:val="005C688B"/>
    <w:rsid w:val="005C6B3C"/>
    <w:rsid w:val="005D46FA"/>
    <w:rsid w:val="005E6BBB"/>
    <w:rsid w:val="00641E72"/>
    <w:rsid w:val="0068504A"/>
    <w:rsid w:val="0068515F"/>
    <w:rsid w:val="00687C87"/>
    <w:rsid w:val="00696DB9"/>
    <w:rsid w:val="006A61E9"/>
    <w:rsid w:val="006B2599"/>
    <w:rsid w:val="006B6300"/>
    <w:rsid w:val="006C5E01"/>
    <w:rsid w:val="006D0A13"/>
    <w:rsid w:val="006D4C66"/>
    <w:rsid w:val="006E025D"/>
    <w:rsid w:val="006E1396"/>
    <w:rsid w:val="006E7E8A"/>
    <w:rsid w:val="006F5FAC"/>
    <w:rsid w:val="00703837"/>
    <w:rsid w:val="0070784A"/>
    <w:rsid w:val="007203CC"/>
    <w:rsid w:val="00730CC6"/>
    <w:rsid w:val="00740D0D"/>
    <w:rsid w:val="00743EAA"/>
    <w:rsid w:val="007666FF"/>
    <w:rsid w:val="00793ABB"/>
    <w:rsid w:val="0079784E"/>
    <w:rsid w:val="007C242F"/>
    <w:rsid w:val="007D0446"/>
    <w:rsid w:val="007D7C61"/>
    <w:rsid w:val="007F2A83"/>
    <w:rsid w:val="007F3811"/>
    <w:rsid w:val="007F512B"/>
    <w:rsid w:val="00801CDE"/>
    <w:rsid w:val="00802770"/>
    <w:rsid w:val="0081382B"/>
    <w:rsid w:val="00842354"/>
    <w:rsid w:val="00842E06"/>
    <w:rsid w:val="008511F3"/>
    <w:rsid w:val="00877465"/>
    <w:rsid w:val="008820C0"/>
    <w:rsid w:val="008B6242"/>
    <w:rsid w:val="008C7C9F"/>
    <w:rsid w:val="008D2E27"/>
    <w:rsid w:val="00915948"/>
    <w:rsid w:val="00923E97"/>
    <w:rsid w:val="00981802"/>
    <w:rsid w:val="009A5642"/>
    <w:rsid w:val="009B5270"/>
    <w:rsid w:val="009C10AF"/>
    <w:rsid w:val="009D41D7"/>
    <w:rsid w:val="009D7D4A"/>
    <w:rsid w:val="009E03FD"/>
    <w:rsid w:val="009E2384"/>
    <w:rsid w:val="00A0779E"/>
    <w:rsid w:val="00A1747A"/>
    <w:rsid w:val="00A34DC1"/>
    <w:rsid w:val="00A41E73"/>
    <w:rsid w:val="00A4298F"/>
    <w:rsid w:val="00A618F2"/>
    <w:rsid w:val="00A61CCE"/>
    <w:rsid w:val="00A72E80"/>
    <w:rsid w:val="00A92B7C"/>
    <w:rsid w:val="00AA1709"/>
    <w:rsid w:val="00AB013C"/>
    <w:rsid w:val="00AD284D"/>
    <w:rsid w:val="00AD758B"/>
    <w:rsid w:val="00AE7813"/>
    <w:rsid w:val="00AF11ED"/>
    <w:rsid w:val="00AF1EBD"/>
    <w:rsid w:val="00B01BA0"/>
    <w:rsid w:val="00B54827"/>
    <w:rsid w:val="00B74689"/>
    <w:rsid w:val="00B77D0D"/>
    <w:rsid w:val="00B82298"/>
    <w:rsid w:val="00B832A9"/>
    <w:rsid w:val="00B918DC"/>
    <w:rsid w:val="00B92FA2"/>
    <w:rsid w:val="00BE15B5"/>
    <w:rsid w:val="00C0069B"/>
    <w:rsid w:val="00C20479"/>
    <w:rsid w:val="00C21267"/>
    <w:rsid w:val="00C21D69"/>
    <w:rsid w:val="00C421E8"/>
    <w:rsid w:val="00C44B3D"/>
    <w:rsid w:val="00C532E5"/>
    <w:rsid w:val="00C57914"/>
    <w:rsid w:val="00C6008B"/>
    <w:rsid w:val="00C758E3"/>
    <w:rsid w:val="00CB534B"/>
    <w:rsid w:val="00CD624B"/>
    <w:rsid w:val="00CE51F2"/>
    <w:rsid w:val="00CE631C"/>
    <w:rsid w:val="00CE703D"/>
    <w:rsid w:val="00CF0192"/>
    <w:rsid w:val="00CF040C"/>
    <w:rsid w:val="00CF33D8"/>
    <w:rsid w:val="00CF6FD5"/>
    <w:rsid w:val="00D12668"/>
    <w:rsid w:val="00D164FE"/>
    <w:rsid w:val="00D17964"/>
    <w:rsid w:val="00D25462"/>
    <w:rsid w:val="00D31733"/>
    <w:rsid w:val="00D43330"/>
    <w:rsid w:val="00D45708"/>
    <w:rsid w:val="00D52DEC"/>
    <w:rsid w:val="00D628FC"/>
    <w:rsid w:val="00D6362F"/>
    <w:rsid w:val="00D84A7F"/>
    <w:rsid w:val="00DA1E17"/>
    <w:rsid w:val="00DA51BD"/>
    <w:rsid w:val="00DC6DB0"/>
    <w:rsid w:val="00DD046F"/>
    <w:rsid w:val="00DF363F"/>
    <w:rsid w:val="00E10E15"/>
    <w:rsid w:val="00E32EEF"/>
    <w:rsid w:val="00E67EDA"/>
    <w:rsid w:val="00E74692"/>
    <w:rsid w:val="00E77817"/>
    <w:rsid w:val="00E944EE"/>
    <w:rsid w:val="00EB473C"/>
    <w:rsid w:val="00ED2C03"/>
    <w:rsid w:val="00EF6911"/>
    <w:rsid w:val="00F02BD7"/>
    <w:rsid w:val="00F13C88"/>
    <w:rsid w:val="00F20951"/>
    <w:rsid w:val="00F37996"/>
    <w:rsid w:val="00F410E0"/>
    <w:rsid w:val="00F579E9"/>
    <w:rsid w:val="00FA6734"/>
    <w:rsid w:val="00FE3699"/>
    <w:rsid w:val="01403F6F"/>
    <w:rsid w:val="014D6F55"/>
    <w:rsid w:val="01553A81"/>
    <w:rsid w:val="01932790"/>
    <w:rsid w:val="01CF51F6"/>
    <w:rsid w:val="01EA6EEC"/>
    <w:rsid w:val="01EB0B76"/>
    <w:rsid w:val="01F95304"/>
    <w:rsid w:val="021B19D1"/>
    <w:rsid w:val="02263AD9"/>
    <w:rsid w:val="02294C31"/>
    <w:rsid w:val="024C0DC0"/>
    <w:rsid w:val="02787973"/>
    <w:rsid w:val="02787D91"/>
    <w:rsid w:val="02823A35"/>
    <w:rsid w:val="02921AB5"/>
    <w:rsid w:val="029A1968"/>
    <w:rsid w:val="029C7EDA"/>
    <w:rsid w:val="02AB7973"/>
    <w:rsid w:val="02BF5617"/>
    <w:rsid w:val="02C8111D"/>
    <w:rsid w:val="02FB4FEB"/>
    <w:rsid w:val="031F3BB0"/>
    <w:rsid w:val="03727DAF"/>
    <w:rsid w:val="039C0C88"/>
    <w:rsid w:val="03BC41F8"/>
    <w:rsid w:val="03D41287"/>
    <w:rsid w:val="03F31A5E"/>
    <w:rsid w:val="03FC0CEA"/>
    <w:rsid w:val="04240981"/>
    <w:rsid w:val="042B3AFB"/>
    <w:rsid w:val="0445397B"/>
    <w:rsid w:val="0471407F"/>
    <w:rsid w:val="04D13D33"/>
    <w:rsid w:val="04E70891"/>
    <w:rsid w:val="04EE0D07"/>
    <w:rsid w:val="054E6891"/>
    <w:rsid w:val="05990F81"/>
    <w:rsid w:val="05CA73F2"/>
    <w:rsid w:val="05EB6762"/>
    <w:rsid w:val="05F777CC"/>
    <w:rsid w:val="061842D1"/>
    <w:rsid w:val="061A0774"/>
    <w:rsid w:val="067428EB"/>
    <w:rsid w:val="06C11238"/>
    <w:rsid w:val="06CD11F8"/>
    <w:rsid w:val="06D335AE"/>
    <w:rsid w:val="06D605B3"/>
    <w:rsid w:val="070C68F7"/>
    <w:rsid w:val="072B22BC"/>
    <w:rsid w:val="074C43F1"/>
    <w:rsid w:val="07650D5D"/>
    <w:rsid w:val="07A76048"/>
    <w:rsid w:val="07B16F85"/>
    <w:rsid w:val="082211DD"/>
    <w:rsid w:val="08232382"/>
    <w:rsid w:val="082F5114"/>
    <w:rsid w:val="083D23B2"/>
    <w:rsid w:val="085429C9"/>
    <w:rsid w:val="086136BB"/>
    <w:rsid w:val="08786792"/>
    <w:rsid w:val="08807627"/>
    <w:rsid w:val="089F6734"/>
    <w:rsid w:val="093252EE"/>
    <w:rsid w:val="09422E59"/>
    <w:rsid w:val="094A4EE7"/>
    <w:rsid w:val="0959407C"/>
    <w:rsid w:val="097D1C20"/>
    <w:rsid w:val="098A3350"/>
    <w:rsid w:val="09A23D38"/>
    <w:rsid w:val="09AB154E"/>
    <w:rsid w:val="0A0B173F"/>
    <w:rsid w:val="0A2948BE"/>
    <w:rsid w:val="0A451CA7"/>
    <w:rsid w:val="0AA94D17"/>
    <w:rsid w:val="0AE24958"/>
    <w:rsid w:val="0B0459F0"/>
    <w:rsid w:val="0B4432D5"/>
    <w:rsid w:val="0B590F4A"/>
    <w:rsid w:val="0B8511E8"/>
    <w:rsid w:val="0BAA700E"/>
    <w:rsid w:val="0BEB10E2"/>
    <w:rsid w:val="0C156CFF"/>
    <w:rsid w:val="0C1A66D1"/>
    <w:rsid w:val="0C361670"/>
    <w:rsid w:val="0C411CD0"/>
    <w:rsid w:val="0C5B1FA9"/>
    <w:rsid w:val="0C7D1518"/>
    <w:rsid w:val="0C8E4136"/>
    <w:rsid w:val="0CA062F8"/>
    <w:rsid w:val="0CED2457"/>
    <w:rsid w:val="0D066854"/>
    <w:rsid w:val="0D2C1377"/>
    <w:rsid w:val="0D5C5AB2"/>
    <w:rsid w:val="0D614F04"/>
    <w:rsid w:val="0D6A4C3D"/>
    <w:rsid w:val="0D8146BF"/>
    <w:rsid w:val="0D847932"/>
    <w:rsid w:val="0DC51AA6"/>
    <w:rsid w:val="0DCC335E"/>
    <w:rsid w:val="0DF87606"/>
    <w:rsid w:val="0E04554D"/>
    <w:rsid w:val="0E0C0187"/>
    <w:rsid w:val="0E1865F8"/>
    <w:rsid w:val="0E413AE2"/>
    <w:rsid w:val="0E94477A"/>
    <w:rsid w:val="0EBC2000"/>
    <w:rsid w:val="0ED5035C"/>
    <w:rsid w:val="0ED676FB"/>
    <w:rsid w:val="0F143C2E"/>
    <w:rsid w:val="0F340DCE"/>
    <w:rsid w:val="0F3918CC"/>
    <w:rsid w:val="0F397095"/>
    <w:rsid w:val="0F44488F"/>
    <w:rsid w:val="0FD663C6"/>
    <w:rsid w:val="10190CBD"/>
    <w:rsid w:val="102D14D1"/>
    <w:rsid w:val="104E0318"/>
    <w:rsid w:val="10A750E5"/>
    <w:rsid w:val="10E03F78"/>
    <w:rsid w:val="11342822"/>
    <w:rsid w:val="115D2B41"/>
    <w:rsid w:val="118640B3"/>
    <w:rsid w:val="11F0026F"/>
    <w:rsid w:val="12321665"/>
    <w:rsid w:val="126C7EC0"/>
    <w:rsid w:val="1277417D"/>
    <w:rsid w:val="12BC3211"/>
    <w:rsid w:val="12BE7F96"/>
    <w:rsid w:val="12E70400"/>
    <w:rsid w:val="12F745E0"/>
    <w:rsid w:val="12F96D8F"/>
    <w:rsid w:val="1342515B"/>
    <w:rsid w:val="1356443E"/>
    <w:rsid w:val="1360694E"/>
    <w:rsid w:val="136253A7"/>
    <w:rsid w:val="136544CD"/>
    <w:rsid w:val="139D2223"/>
    <w:rsid w:val="13A934D3"/>
    <w:rsid w:val="13C0328F"/>
    <w:rsid w:val="13C5215F"/>
    <w:rsid w:val="13C719E1"/>
    <w:rsid w:val="13DC2553"/>
    <w:rsid w:val="142D4C56"/>
    <w:rsid w:val="1444680B"/>
    <w:rsid w:val="145C45D5"/>
    <w:rsid w:val="147221DE"/>
    <w:rsid w:val="149B2B25"/>
    <w:rsid w:val="15340E77"/>
    <w:rsid w:val="157939BE"/>
    <w:rsid w:val="15C01930"/>
    <w:rsid w:val="161C194F"/>
    <w:rsid w:val="162E1686"/>
    <w:rsid w:val="163247B8"/>
    <w:rsid w:val="167D6633"/>
    <w:rsid w:val="16C7330C"/>
    <w:rsid w:val="16CE41FA"/>
    <w:rsid w:val="16E77616"/>
    <w:rsid w:val="16F862E2"/>
    <w:rsid w:val="173A56D7"/>
    <w:rsid w:val="17615051"/>
    <w:rsid w:val="176159C8"/>
    <w:rsid w:val="17740B65"/>
    <w:rsid w:val="17C50F2C"/>
    <w:rsid w:val="18613676"/>
    <w:rsid w:val="1871686D"/>
    <w:rsid w:val="18735165"/>
    <w:rsid w:val="188542AB"/>
    <w:rsid w:val="1888103C"/>
    <w:rsid w:val="18940F06"/>
    <w:rsid w:val="189E1726"/>
    <w:rsid w:val="18AE213F"/>
    <w:rsid w:val="18EF3A7F"/>
    <w:rsid w:val="190C670E"/>
    <w:rsid w:val="191C7D65"/>
    <w:rsid w:val="19266EAE"/>
    <w:rsid w:val="193E61A9"/>
    <w:rsid w:val="199E1C7E"/>
    <w:rsid w:val="19AA66B3"/>
    <w:rsid w:val="19B175FE"/>
    <w:rsid w:val="19BA2DA6"/>
    <w:rsid w:val="19E17184"/>
    <w:rsid w:val="19F75E1F"/>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E400B3"/>
    <w:rsid w:val="1D2119DA"/>
    <w:rsid w:val="1D211A71"/>
    <w:rsid w:val="1D481945"/>
    <w:rsid w:val="1D961B49"/>
    <w:rsid w:val="1D9F6122"/>
    <w:rsid w:val="1DC7500C"/>
    <w:rsid w:val="1E0B3639"/>
    <w:rsid w:val="1E1E77F3"/>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5A5B6B"/>
    <w:rsid w:val="1FA7260B"/>
    <w:rsid w:val="1FB35D19"/>
    <w:rsid w:val="1FEB61A9"/>
    <w:rsid w:val="1FEE3736"/>
    <w:rsid w:val="2034266D"/>
    <w:rsid w:val="20441BF7"/>
    <w:rsid w:val="20567811"/>
    <w:rsid w:val="207B20B8"/>
    <w:rsid w:val="20C87EE6"/>
    <w:rsid w:val="20D4307C"/>
    <w:rsid w:val="20DF6696"/>
    <w:rsid w:val="21156537"/>
    <w:rsid w:val="218469C1"/>
    <w:rsid w:val="21FB6487"/>
    <w:rsid w:val="22611A5A"/>
    <w:rsid w:val="22620C72"/>
    <w:rsid w:val="22622A21"/>
    <w:rsid w:val="22AE5F02"/>
    <w:rsid w:val="22DF68BA"/>
    <w:rsid w:val="22E14510"/>
    <w:rsid w:val="22E54FD6"/>
    <w:rsid w:val="23407456"/>
    <w:rsid w:val="235B09E0"/>
    <w:rsid w:val="236B55EE"/>
    <w:rsid w:val="23E2019C"/>
    <w:rsid w:val="24552B00"/>
    <w:rsid w:val="24582CE4"/>
    <w:rsid w:val="246C3202"/>
    <w:rsid w:val="250462EA"/>
    <w:rsid w:val="252D7657"/>
    <w:rsid w:val="25355DF2"/>
    <w:rsid w:val="25390605"/>
    <w:rsid w:val="253A3746"/>
    <w:rsid w:val="256021B1"/>
    <w:rsid w:val="256C29A0"/>
    <w:rsid w:val="256C4EB8"/>
    <w:rsid w:val="257517C0"/>
    <w:rsid w:val="25752417"/>
    <w:rsid w:val="25933BDB"/>
    <w:rsid w:val="25B66BA8"/>
    <w:rsid w:val="25E70ABF"/>
    <w:rsid w:val="261F7DD8"/>
    <w:rsid w:val="2661226B"/>
    <w:rsid w:val="267142D5"/>
    <w:rsid w:val="26A03A0B"/>
    <w:rsid w:val="26CF4594"/>
    <w:rsid w:val="26EC07A9"/>
    <w:rsid w:val="271E4DAB"/>
    <w:rsid w:val="272A5BFE"/>
    <w:rsid w:val="27320D1C"/>
    <w:rsid w:val="274759C4"/>
    <w:rsid w:val="274B7559"/>
    <w:rsid w:val="27C973D8"/>
    <w:rsid w:val="28166B73"/>
    <w:rsid w:val="282349DC"/>
    <w:rsid w:val="282442D9"/>
    <w:rsid w:val="284367B5"/>
    <w:rsid w:val="284C2446"/>
    <w:rsid w:val="285718A5"/>
    <w:rsid w:val="28E86B18"/>
    <w:rsid w:val="28F865CB"/>
    <w:rsid w:val="29020E18"/>
    <w:rsid w:val="29053276"/>
    <w:rsid w:val="29212087"/>
    <w:rsid w:val="29250E1B"/>
    <w:rsid w:val="293E4CC1"/>
    <w:rsid w:val="29443F92"/>
    <w:rsid w:val="295A53EB"/>
    <w:rsid w:val="296C37B4"/>
    <w:rsid w:val="29803AA3"/>
    <w:rsid w:val="29884B07"/>
    <w:rsid w:val="298957C4"/>
    <w:rsid w:val="29DF4E52"/>
    <w:rsid w:val="2A1D6A45"/>
    <w:rsid w:val="2A6F6EBA"/>
    <w:rsid w:val="2A830C79"/>
    <w:rsid w:val="2ACB2E7C"/>
    <w:rsid w:val="2AD11736"/>
    <w:rsid w:val="2B1029CF"/>
    <w:rsid w:val="2B424E87"/>
    <w:rsid w:val="2B5F0E77"/>
    <w:rsid w:val="2B640F55"/>
    <w:rsid w:val="2B7F64C1"/>
    <w:rsid w:val="2BA3212D"/>
    <w:rsid w:val="2BE7007A"/>
    <w:rsid w:val="2BFE408A"/>
    <w:rsid w:val="2C1D78F3"/>
    <w:rsid w:val="2C234403"/>
    <w:rsid w:val="2C393680"/>
    <w:rsid w:val="2CDF0482"/>
    <w:rsid w:val="2D22640D"/>
    <w:rsid w:val="2D2A75FA"/>
    <w:rsid w:val="2D464D5F"/>
    <w:rsid w:val="2D4E5097"/>
    <w:rsid w:val="2D592D22"/>
    <w:rsid w:val="2D883E6B"/>
    <w:rsid w:val="2DDA45E3"/>
    <w:rsid w:val="2DEB1F6F"/>
    <w:rsid w:val="2DFB00B5"/>
    <w:rsid w:val="2E562A8C"/>
    <w:rsid w:val="2E697CA3"/>
    <w:rsid w:val="2E6D23B0"/>
    <w:rsid w:val="2E6D4E98"/>
    <w:rsid w:val="2E7931EC"/>
    <w:rsid w:val="2E944745"/>
    <w:rsid w:val="2E9705D3"/>
    <w:rsid w:val="2E9C3022"/>
    <w:rsid w:val="2EBE0475"/>
    <w:rsid w:val="2EC1790D"/>
    <w:rsid w:val="2EE23871"/>
    <w:rsid w:val="2F1D1D68"/>
    <w:rsid w:val="2F2A65B2"/>
    <w:rsid w:val="2F6C2DFA"/>
    <w:rsid w:val="2FBB15AA"/>
    <w:rsid w:val="300C3711"/>
    <w:rsid w:val="3022617D"/>
    <w:rsid w:val="30464B56"/>
    <w:rsid w:val="307C2C0D"/>
    <w:rsid w:val="30967620"/>
    <w:rsid w:val="309F2085"/>
    <w:rsid w:val="30BD1FE5"/>
    <w:rsid w:val="30E74D92"/>
    <w:rsid w:val="30F36C74"/>
    <w:rsid w:val="30F9318B"/>
    <w:rsid w:val="31272F44"/>
    <w:rsid w:val="317951F6"/>
    <w:rsid w:val="318A61DA"/>
    <w:rsid w:val="31936105"/>
    <w:rsid w:val="31AA2DD6"/>
    <w:rsid w:val="31B658D4"/>
    <w:rsid w:val="32316E69"/>
    <w:rsid w:val="325B404D"/>
    <w:rsid w:val="32887E5F"/>
    <w:rsid w:val="32922EE0"/>
    <w:rsid w:val="329E5AD1"/>
    <w:rsid w:val="32CC51E5"/>
    <w:rsid w:val="32E6051A"/>
    <w:rsid w:val="32F33B15"/>
    <w:rsid w:val="330F10BA"/>
    <w:rsid w:val="3342483F"/>
    <w:rsid w:val="334677AC"/>
    <w:rsid w:val="337067B3"/>
    <w:rsid w:val="33A718ED"/>
    <w:rsid w:val="33AA3E3F"/>
    <w:rsid w:val="34086FF6"/>
    <w:rsid w:val="3416535A"/>
    <w:rsid w:val="347365F6"/>
    <w:rsid w:val="34AC6BE3"/>
    <w:rsid w:val="34BD03D7"/>
    <w:rsid w:val="34EB329F"/>
    <w:rsid w:val="34FE1F7D"/>
    <w:rsid w:val="35270865"/>
    <w:rsid w:val="35804316"/>
    <w:rsid w:val="35C42A65"/>
    <w:rsid w:val="3609516B"/>
    <w:rsid w:val="36116C06"/>
    <w:rsid w:val="361B7BDC"/>
    <w:rsid w:val="364221AD"/>
    <w:rsid w:val="36627D01"/>
    <w:rsid w:val="369B1BA6"/>
    <w:rsid w:val="36AC6FD2"/>
    <w:rsid w:val="36AE45FE"/>
    <w:rsid w:val="36B04BEB"/>
    <w:rsid w:val="36D4159F"/>
    <w:rsid w:val="36DB78F6"/>
    <w:rsid w:val="36E67798"/>
    <w:rsid w:val="36FF0DB1"/>
    <w:rsid w:val="37067020"/>
    <w:rsid w:val="372649E2"/>
    <w:rsid w:val="372C59AA"/>
    <w:rsid w:val="373000B7"/>
    <w:rsid w:val="37963F54"/>
    <w:rsid w:val="379A6B89"/>
    <w:rsid w:val="379B6A7D"/>
    <w:rsid w:val="379D0E21"/>
    <w:rsid w:val="37BF2E3D"/>
    <w:rsid w:val="37D107AA"/>
    <w:rsid w:val="37F43335"/>
    <w:rsid w:val="387827ED"/>
    <w:rsid w:val="38926D93"/>
    <w:rsid w:val="38B04B0E"/>
    <w:rsid w:val="38FA071C"/>
    <w:rsid w:val="38FD54AF"/>
    <w:rsid w:val="390741E5"/>
    <w:rsid w:val="391F264A"/>
    <w:rsid w:val="39243472"/>
    <w:rsid w:val="392B2144"/>
    <w:rsid w:val="394205BC"/>
    <w:rsid w:val="39494385"/>
    <w:rsid w:val="394E6CCA"/>
    <w:rsid w:val="3958510F"/>
    <w:rsid w:val="3997588E"/>
    <w:rsid w:val="39B46D56"/>
    <w:rsid w:val="39C828E7"/>
    <w:rsid w:val="39DD557C"/>
    <w:rsid w:val="39FC4298"/>
    <w:rsid w:val="3A4536A9"/>
    <w:rsid w:val="3A552184"/>
    <w:rsid w:val="3A800711"/>
    <w:rsid w:val="3A810CA0"/>
    <w:rsid w:val="3A96496C"/>
    <w:rsid w:val="3A9F3479"/>
    <w:rsid w:val="3ABC7EEE"/>
    <w:rsid w:val="3AE331DB"/>
    <w:rsid w:val="3AED2009"/>
    <w:rsid w:val="3B1939D0"/>
    <w:rsid w:val="3B474570"/>
    <w:rsid w:val="3B581890"/>
    <w:rsid w:val="3B9A1C8B"/>
    <w:rsid w:val="3BAB26D3"/>
    <w:rsid w:val="3BD009CC"/>
    <w:rsid w:val="3BF45BDB"/>
    <w:rsid w:val="3C2B1FE6"/>
    <w:rsid w:val="3C2F7C35"/>
    <w:rsid w:val="3C6C5321"/>
    <w:rsid w:val="3C8779B9"/>
    <w:rsid w:val="3C8B2C2B"/>
    <w:rsid w:val="3C940215"/>
    <w:rsid w:val="3C9F058C"/>
    <w:rsid w:val="3CC97C4F"/>
    <w:rsid w:val="3CCA29EB"/>
    <w:rsid w:val="3CCC5DBF"/>
    <w:rsid w:val="3CF75C7B"/>
    <w:rsid w:val="3D3F6064"/>
    <w:rsid w:val="3D497E6A"/>
    <w:rsid w:val="3D634958"/>
    <w:rsid w:val="3D6C6B53"/>
    <w:rsid w:val="3D8C6BB2"/>
    <w:rsid w:val="3D987150"/>
    <w:rsid w:val="3D9E333B"/>
    <w:rsid w:val="3DBC00BF"/>
    <w:rsid w:val="3DCB1A6B"/>
    <w:rsid w:val="3DED30AA"/>
    <w:rsid w:val="3DF00A70"/>
    <w:rsid w:val="3E2D5980"/>
    <w:rsid w:val="3E3102BB"/>
    <w:rsid w:val="3E614AA5"/>
    <w:rsid w:val="3EB02545"/>
    <w:rsid w:val="3EB21D54"/>
    <w:rsid w:val="3F18661A"/>
    <w:rsid w:val="3F7512EA"/>
    <w:rsid w:val="3F9730B9"/>
    <w:rsid w:val="3FC55901"/>
    <w:rsid w:val="3FC9458D"/>
    <w:rsid w:val="3FD033AD"/>
    <w:rsid w:val="401F021A"/>
    <w:rsid w:val="404148A6"/>
    <w:rsid w:val="40572AB6"/>
    <w:rsid w:val="405D3459"/>
    <w:rsid w:val="4068264C"/>
    <w:rsid w:val="407728FD"/>
    <w:rsid w:val="40CA0DB3"/>
    <w:rsid w:val="410603FC"/>
    <w:rsid w:val="410D06B8"/>
    <w:rsid w:val="418842A8"/>
    <w:rsid w:val="41A274B6"/>
    <w:rsid w:val="41C034AF"/>
    <w:rsid w:val="42311D52"/>
    <w:rsid w:val="424A712C"/>
    <w:rsid w:val="4263268C"/>
    <w:rsid w:val="429F7E60"/>
    <w:rsid w:val="42CB2D35"/>
    <w:rsid w:val="42DD5840"/>
    <w:rsid w:val="42F759C4"/>
    <w:rsid w:val="43023463"/>
    <w:rsid w:val="430420F8"/>
    <w:rsid w:val="434660D0"/>
    <w:rsid w:val="43554BAC"/>
    <w:rsid w:val="435D3A52"/>
    <w:rsid w:val="436D6609"/>
    <w:rsid w:val="4392054D"/>
    <w:rsid w:val="43A027A3"/>
    <w:rsid w:val="43A031B7"/>
    <w:rsid w:val="43A05E1A"/>
    <w:rsid w:val="43AA1E91"/>
    <w:rsid w:val="43AF27CC"/>
    <w:rsid w:val="43BA343C"/>
    <w:rsid w:val="43C42006"/>
    <w:rsid w:val="43F8127E"/>
    <w:rsid w:val="44107E1A"/>
    <w:rsid w:val="4428525F"/>
    <w:rsid w:val="444A0170"/>
    <w:rsid w:val="4458707E"/>
    <w:rsid w:val="446155D3"/>
    <w:rsid w:val="44667276"/>
    <w:rsid w:val="44A37922"/>
    <w:rsid w:val="44B63420"/>
    <w:rsid w:val="44B71DE6"/>
    <w:rsid w:val="44BE70AA"/>
    <w:rsid w:val="44DB6B8D"/>
    <w:rsid w:val="45160574"/>
    <w:rsid w:val="45F8252B"/>
    <w:rsid w:val="46153B79"/>
    <w:rsid w:val="46162EA8"/>
    <w:rsid w:val="4655670F"/>
    <w:rsid w:val="465911A1"/>
    <w:rsid w:val="465E48A1"/>
    <w:rsid w:val="46CD6A3D"/>
    <w:rsid w:val="46D23AA8"/>
    <w:rsid w:val="46D446A7"/>
    <w:rsid w:val="47165D61"/>
    <w:rsid w:val="475D1752"/>
    <w:rsid w:val="47767BD4"/>
    <w:rsid w:val="477D0471"/>
    <w:rsid w:val="478F59C9"/>
    <w:rsid w:val="47FB44E3"/>
    <w:rsid w:val="488A747A"/>
    <w:rsid w:val="489640A7"/>
    <w:rsid w:val="489E300A"/>
    <w:rsid w:val="4955748F"/>
    <w:rsid w:val="49694B92"/>
    <w:rsid w:val="49737357"/>
    <w:rsid w:val="49AD4F98"/>
    <w:rsid w:val="49AE64C9"/>
    <w:rsid w:val="49E51E3A"/>
    <w:rsid w:val="4A0366CF"/>
    <w:rsid w:val="4A256483"/>
    <w:rsid w:val="4A38641F"/>
    <w:rsid w:val="4A800E57"/>
    <w:rsid w:val="4A8D4A10"/>
    <w:rsid w:val="4A9F5D83"/>
    <w:rsid w:val="4AB52052"/>
    <w:rsid w:val="4AD43BE1"/>
    <w:rsid w:val="4AF859CC"/>
    <w:rsid w:val="4B2D7D6E"/>
    <w:rsid w:val="4B657DEC"/>
    <w:rsid w:val="4B8152D3"/>
    <w:rsid w:val="4B835116"/>
    <w:rsid w:val="4B965649"/>
    <w:rsid w:val="4BBA0F4B"/>
    <w:rsid w:val="4BC03621"/>
    <w:rsid w:val="4BC22F72"/>
    <w:rsid w:val="4BD30DE9"/>
    <w:rsid w:val="4BDE75A9"/>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104D86"/>
    <w:rsid w:val="4E44138D"/>
    <w:rsid w:val="4E6E459C"/>
    <w:rsid w:val="4E98618A"/>
    <w:rsid w:val="4E9D352C"/>
    <w:rsid w:val="4EB95E17"/>
    <w:rsid w:val="4ED45410"/>
    <w:rsid w:val="4F59559A"/>
    <w:rsid w:val="4F6B02B8"/>
    <w:rsid w:val="4F72409C"/>
    <w:rsid w:val="4FA43165"/>
    <w:rsid w:val="4FB6214D"/>
    <w:rsid w:val="4FFA2095"/>
    <w:rsid w:val="50645753"/>
    <w:rsid w:val="50785197"/>
    <w:rsid w:val="50A93BA8"/>
    <w:rsid w:val="50C13FA2"/>
    <w:rsid w:val="50E65CE2"/>
    <w:rsid w:val="511E0033"/>
    <w:rsid w:val="51202751"/>
    <w:rsid w:val="512031E9"/>
    <w:rsid w:val="51366F1E"/>
    <w:rsid w:val="5143280B"/>
    <w:rsid w:val="51546F21"/>
    <w:rsid w:val="518255AC"/>
    <w:rsid w:val="518A1586"/>
    <w:rsid w:val="519D734D"/>
    <w:rsid w:val="51A86476"/>
    <w:rsid w:val="51DD620D"/>
    <w:rsid w:val="51F83F85"/>
    <w:rsid w:val="52051862"/>
    <w:rsid w:val="52245275"/>
    <w:rsid w:val="522A5D40"/>
    <w:rsid w:val="523D3E5E"/>
    <w:rsid w:val="52535651"/>
    <w:rsid w:val="527A1B70"/>
    <w:rsid w:val="52E37F64"/>
    <w:rsid w:val="53163533"/>
    <w:rsid w:val="531C4BE8"/>
    <w:rsid w:val="541E7DFB"/>
    <w:rsid w:val="544111E8"/>
    <w:rsid w:val="5444354A"/>
    <w:rsid w:val="547A6B2A"/>
    <w:rsid w:val="549277AF"/>
    <w:rsid w:val="550431D5"/>
    <w:rsid w:val="551D6AF9"/>
    <w:rsid w:val="55432278"/>
    <w:rsid w:val="55A60ADC"/>
    <w:rsid w:val="55C24420"/>
    <w:rsid w:val="55D857C5"/>
    <w:rsid w:val="56253A26"/>
    <w:rsid w:val="5638334C"/>
    <w:rsid w:val="56780FF9"/>
    <w:rsid w:val="56870578"/>
    <w:rsid w:val="569241C0"/>
    <w:rsid w:val="56944288"/>
    <w:rsid w:val="56A33B67"/>
    <w:rsid w:val="56A40E03"/>
    <w:rsid w:val="56E20A0E"/>
    <w:rsid w:val="5712602C"/>
    <w:rsid w:val="5737516A"/>
    <w:rsid w:val="57431AE0"/>
    <w:rsid w:val="57730A91"/>
    <w:rsid w:val="5780384C"/>
    <w:rsid w:val="57A27BD5"/>
    <w:rsid w:val="57C762A2"/>
    <w:rsid w:val="58006B48"/>
    <w:rsid w:val="5812512F"/>
    <w:rsid w:val="587179A2"/>
    <w:rsid w:val="588C140C"/>
    <w:rsid w:val="58B21650"/>
    <w:rsid w:val="58C00F3E"/>
    <w:rsid w:val="590C4068"/>
    <w:rsid w:val="59103E6F"/>
    <w:rsid w:val="59373C72"/>
    <w:rsid w:val="5945207E"/>
    <w:rsid w:val="595B4F2E"/>
    <w:rsid w:val="596D221D"/>
    <w:rsid w:val="59A237B5"/>
    <w:rsid w:val="59A77712"/>
    <w:rsid w:val="59CB276C"/>
    <w:rsid w:val="5A2F15F8"/>
    <w:rsid w:val="5A331049"/>
    <w:rsid w:val="5A72604D"/>
    <w:rsid w:val="5A7F77CE"/>
    <w:rsid w:val="5A9807FB"/>
    <w:rsid w:val="5AA20C09"/>
    <w:rsid w:val="5ABC5F71"/>
    <w:rsid w:val="5AD20F31"/>
    <w:rsid w:val="5AF81EC0"/>
    <w:rsid w:val="5B0E4DAE"/>
    <w:rsid w:val="5B0E6862"/>
    <w:rsid w:val="5B4D14FF"/>
    <w:rsid w:val="5B58464F"/>
    <w:rsid w:val="5B8509D1"/>
    <w:rsid w:val="5B90297B"/>
    <w:rsid w:val="5BF20877"/>
    <w:rsid w:val="5BF95560"/>
    <w:rsid w:val="5C11606C"/>
    <w:rsid w:val="5C4E0A2D"/>
    <w:rsid w:val="5C524815"/>
    <w:rsid w:val="5C64452B"/>
    <w:rsid w:val="5C7719CE"/>
    <w:rsid w:val="5C8E79BD"/>
    <w:rsid w:val="5CA6604A"/>
    <w:rsid w:val="5CC94E55"/>
    <w:rsid w:val="5D082FD3"/>
    <w:rsid w:val="5D2719C9"/>
    <w:rsid w:val="5D285026"/>
    <w:rsid w:val="5D5C0E3F"/>
    <w:rsid w:val="5D5E619D"/>
    <w:rsid w:val="5D697358"/>
    <w:rsid w:val="5D747A99"/>
    <w:rsid w:val="5D9249ED"/>
    <w:rsid w:val="5DA1646B"/>
    <w:rsid w:val="5DD05A1D"/>
    <w:rsid w:val="5DD7329D"/>
    <w:rsid w:val="5DDC5DDB"/>
    <w:rsid w:val="5DEA3572"/>
    <w:rsid w:val="5DF04FFA"/>
    <w:rsid w:val="5E063C72"/>
    <w:rsid w:val="5E19167C"/>
    <w:rsid w:val="5E3C01D4"/>
    <w:rsid w:val="5E6F443D"/>
    <w:rsid w:val="5E70354F"/>
    <w:rsid w:val="5E89062E"/>
    <w:rsid w:val="5E8C7523"/>
    <w:rsid w:val="5E94632E"/>
    <w:rsid w:val="5E9C2B92"/>
    <w:rsid w:val="5EB82786"/>
    <w:rsid w:val="5EB94C72"/>
    <w:rsid w:val="5F111534"/>
    <w:rsid w:val="5F2541B1"/>
    <w:rsid w:val="5F804106"/>
    <w:rsid w:val="5F8E0C9A"/>
    <w:rsid w:val="5FAC1101"/>
    <w:rsid w:val="5FBC6FFC"/>
    <w:rsid w:val="5FD91B32"/>
    <w:rsid w:val="5FDE3D1C"/>
    <w:rsid w:val="5FEB36B0"/>
    <w:rsid w:val="60070235"/>
    <w:rsid w:val="60247960"/>
    <w:rsid w:val="60337FBD"/>
    <w:rsid w:val="60347715"/>
    <w:rsid w:val="60557909"/>
    <w:rsid w:val="608B596D"/>
    <w:rsid w:val="60B20DDE"/>
    <w:rsid w:val="60BB292F"/>
    <w:rsid w:val="60CF6017"/>
    <w:rsid w:val="60EC58A1"/>
    <w:rsid w:val="60F765D6"/>
    <w:rsid w:val="614A193E"/>
    <w:rsid w:val="61644F0C"/>
    <w:rsid w:val="619B0A4D"/>
    <w:rsid w:val="61BC5698"/>
    <w:rsid w:val="61C05E29"/>
    <w:rsid w:val="61E220CA"/>
    <w:rsid w:val="621F3A28"/>
    <w:rsid w:val="622919DE"/>
    <w:rsid w:val="623817CD"/>
    <w:rsid w:val="625671C6"/>
    <w:rsid w:val="626D5F1F"/>
    <w:rsid w:val="628D5A05"/>
    <w:rsid w:val="629635F2"/>
    <w:rsid w:val="62B26831"/>
    <w:rsid w:val="62BF4253"/>
    <w:rsid w:val="62C2392A"/>
    <w:rsid w:val="62DB156F"/>
    <w:rsid w:val="62E35C5C"/>
    <w:rsid w:val="62FF0173"/>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50401CF"/>
    <w:rsid w:val="65205814"/>
    <w:rsid w:val="653D52DC"/>
    <w:rsid w:val="655373D5"/>
    <w:rsid w:val="659D4F4E"/>
    <w:rsid w:val="65A300A1"/>
    <w:rsid w:val="65DB5C3D"/>
    <w:rsid w:val="65DC330D"/>
    <w:rsid w:val="66442BBA"/>
    <w:rsid w:val="6645354B"/>
    <w:rsid w:val="666631F7"/>
    <w:rsid w:val="66780DEE"/>
    <w:rsid w:val="668E1E21"/>
    <w:rsid w:val="66926F8C"/>
    <w:rsid w:val="66966882"/>
    <w:rsid w:val="66AB117E"/>
    <w:rsid w:val="66BD2286"/>
    <w:rsid w:val="66F269C9"/>
    <w:rsid w:val="671B5A75"/>
    <w:rsid w:val="67285BDC"/>
    <w:rsid w:val="67C1521F"/>
    <w:rsid w:val="67FB2FC2"/>
    <w:rsid w:val="6838125F"/>
    <w:rsid w:val="684E7153"/>
    <w:rsid w:val="685029BF"/>
    <w:rsid w:val="68942469"/>
    <w:rsid w:val="689A4745"/>
    <w:rsid w:val="68A270B1"/>
    <w:rsid w:val="68EE3CF6"/>
    <w:rsid w:val="68F34F53"/>
    <w:rsid w:val="6943781E"/>
    <w:rsid w:val="69522C18"/>
    <w:rsid w:val="69560D87"/>
    <w:rsid w:val="69624B7D"/>
    <w:rsid w:val="69A515B8"/>
    <w:rsid w:val="69A85914"/>
    <w:rsid w:val="69B33835"/>
    <w:rsid w:val="69B54893"/>
    <w:rsid w:val="69F0666F"/>
    <w:rsid w:val="69FA018D"/>
    <w:rsid w:val="6A25465E"/>
    <w:rsid w:val="6A561128"/>
    <w:rsid w:val="6A572716"/>
    <w:rsid w:val="6A87076D"/>
    <w:rsid w:val="6A9454E3"/>
    <w:rsid w:val="6ACF2D0F"/>
    <w:rsid w:val="6AFC0247"/>
    <w:rsid w:val="6AFC23BD"/>
    <w:rsid w:val="6B287CCA"/>
    <w:rsid w:val="6B37191E"/>
    <w:rsid w:val="6BA33D44"/>
    <w:rsid w:val="6BDA30FF"/>
    <w:rsid w:val="6C0707A6"/>
    <w:rsid w:val="6C4068D5"/>
    <w:rsid w:val="6C8568B5"/>
    <w:rsid w:val="6C966E13"/>
    <w:rsid w:val="6CAE2F39"/>
    <w:rsid w:val="6CB00C5D"/>
    <w:rsid w:val="6CF84967"/>
    <w:rsid w:val="6D0441AB"/>
    <w:rsid w:val="6D4150D0"/>
    <w:rsid w:val="6D481945"/>
    <w:rsid w:val="6D6650F6"/>
    <w:rsid w:val="6D6D32A5"/>
    <w:rsid w:val="6D7B403E"/>
    <w:rsid w:val="6D96704E"/>
    <w:rsid w:val="6DEC7B87"/>
    <w:rsid w:val="6E4000AE"/>
    <w:rsid w:val="6EB467A6"/>
    <w:rsid w:val="6EF06A3A"/>
    <w:rsid w:val="6F231086"/>
    <w:rsid w:val="6F2C1077"/>
    <w:rsid w:val="6F4412DE"/>
    <w:rsid w:val="6F867000"/>
    <w:rsid w:val="6FB01FF6"/>
    <w:rsid w:val="6FDF6ED5"/>
    <w:rsid w:val="6FE27E45"/>
    <w:rsid w:val="70021241"/>
    <w:rsid w:val="702D3037"/>
    <w:rsid w:val="70854008"/>
    <w:rsid w:val="70EE0B58"/>
    <w:rsid w:val="716025BB"/>
    <w:rsid w:val="71F327E9"/>
    <w:rsid w:val="71FB08E7"/>
    <w:rsid w:val="722F69F0"/>
    <w:rsid w:val="72312813"/>
    <w:rsid w:val="72525910"/>
    <w:rsid w:val="7272141E"/>
    <w:rsid w:val="729A51BF"/>
    <w:rsid w:val="72B463D3"/>
    <w:rsid w:val="72C31F67"/>
    <w:rsid w:val="72D92D08"/>
    <w:rsid w:val="730F2443"/>
    <w:rsid w:val="733A43FB"/>
    <w:rsid w:val="738A19B2"/>
    <w:rsid w:val="740B69BA"/>
    <w:rsid w:val="74460C31"/>
    <w:rsid w:val="745948C9"/>
    <w:rsid w:val="747814E9"/>
    <w:rsid w:val="74782083"/>
    <w:rsid w:val="7499444F"/>
    <w:rsid w:val="74F00783"/>
    <w:rsid w:val="74F21A8E"/>
    <w:rsid w:val="75092D2E"/>
    <w:rsid w:val="751F35C6"/>
    <w:rsid w:val="752673FA"/>
    <w:rsid w:val="75445278"/>
    <w:rsid w:val="755743E2"/>
    <w:rsid w:val="755A18B2"/>
    <w:rsid w:val="756D2420"/>
    <w:rsid w:val="757F436A"/>
    <w:rsid w:val="75D33B60"/>
    <w:rsid w:val="75EB0030"/>
    <w:rsid w:val="767A1884"/>
    <w:rsid w:val="7681376B"/>
    <w:rsid w:val="76EB3EDE"/>
    <w:rsid w:val="771405C6"/>
    <w:rsid w:val="77186802"/>
    <w:rsid w:val="77244002"/>
    <w:rsid w:val="7759121E"/>
    <w:rsid w:val="778C19C1"/>
    <w:rsid w:val="77DE7388"/>
    <w:rsid w:val="78123276"/>
    <w:rsid w:val="781B6350"/>
    <w:rsid w:val="783F252C"/>
    <w:rsid w:val="78661D77"/>
    <w:rsid w:val="787542C9"/>
    <w:rsid w:val="787C4A52"/>
    <w:rsid w:val="787C6D8C"/>
    <w:rsid w:val="787D1A38"/>
    <w:rsid w:val="78833D88"/>
    <w:rsid w:val="78C70562"/>
    <w:rsid w:val="78E82C11"/>
    <w:rsid w:val="792279DB"/>
    <w:rsid w:val="797C1AA1"/>
    <w:rsid w:val="79DF08DD"/>
    <w:rsid w:val="7A177680"/>
    <w:rsid w:val="7A934CC7"/>
    <w:rsid w:val="7AB93CAD"/>
    <w:rsid w:val="7ADD5745"/>
    <w:rsid w:val="7AEE3247"/>
    <w:rsid w:val="7AFB7263"/>
    <w:rsid w:val="7B062FF2"/>
    <w:rsid w:val="7B1E69AF"/>
    <w:rsid w:val="7B4771D3"/>
    <w:rsid w:val="7B4969DA"/>
    <w:rsid w:val="7B4B57FE"/>
    <w:rsid w:val="7B8A01D0"/>
    <w:rsid w:val="7B8A7BFE"/>
    <w:rsid w:val="7BBA7BC4"/>
    <w:rsid w:val="7BD87AA8"/>
    <w:rsid w:val="7BF444AB"/>
    <w:rsid w:val="7BFE0356"/>
    <w:rsid w:val="7C050FEE"/>
    <w:rsid w:val="7C1F696C"/>
    <w:rsid w:val="7C241FA4"/>
    <w:rsid w:val="7C2F7F24"/>
    <w:rsid w:val="7C374966"/>
    <w:rsid w:val="7C4F6127"/>
    <w:rsid w:val="7C557027"/>
    <w:rsid w:val="7C774202"/>
    <w:rsid w:val="7CF32D47"/>
    <w:rsid w:val="7CF47DC4"/>
    <w:rsid w:val="7D2D7E4F"/>
    <w:rsid w:val="7D382B57"/>
    <w:rsid w:val="7D3D1C6F"/>
    <w:rsid w:val="7D4B2DA0"/>
    <w:rsid w:val="7D572DC5"/>
    <w:rsid w:val="7D703C18"/>
    <w:rsid w:val="7D70416C"/>
    <w:rsid w:val="7D7D2444"/>
    <w:rsid w:val="7DB53173"/>
    <w:rsid w:val="7DBD0485"/>
    <w:rsid w:val="7DC17AA5"/>
    <w:rsid w:val="7DFB52FF"/>
    <w:rsid w:val="7E3F400C"/>
    <w:rsid w:val="7E3F5C67"/>
    <w:rsid w:val="7E485A8B"/>
    <w:rsid w:val="7E710432"/>
    <w:rsid w:val="7E784FFE"/>
    <w:rsid w:val="7E835EDA"/>
    <w:rsid w:val="7E9B79AE"/>
    <w:rsid w:val="7F0D36A8"/>
    <w:rsid w:val="7F0D6F9B"/>
    <w:rsid w:val="7F267E5E"/>
    <w:rsid w:val="7F511034"/>
    <w:rsid w:val="7F5A126B"/>
    <w:rsid w:val="7FB12B06"/>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1"/>
    <w:qFormat/>
    <w:uiPriority w:val="0"/>
    <w:rPr>
      <w:sz w:val="18"/>
      <w:szCs w:val="18"/>
    </w:rPr>
  </w:style>
  <w:style w:type="character" w:customStyle="1" w:styleId="62">
    <w:name w:val="页脚 字符"/>
    <w:basedOn w:val="48"/>
    <w:link w:val="30"/>
    <w:qFormat/>
    <w:uiPriority w:val="0"/>
    <w:rPr>
      <w:sz w:val="18"/>
      <w:szCs w:val="18"/>
    </w:rPr>
  </w:style>
  <w:style w:type="character" w:customStyle="1" w:styleId="63">
    <w:name w:val="标题 1 字符"/>
    <w:basedOn w:val="48"/>
    <w:link w:val="3"/>
    <w:qFormat/>
    <w:uiPriority w:val="0"/>
    <w:rPr>
      <w:rFonts w:ascii="Times New Roman" w:hAnsi="Times New Roman" w:eastAsia="宋体" w:cs="Times New Roman"/>
      <w:b/>
      <w:bCs/>
      <w:kern w:val="0"/>
      <w:sz w:val="24"/>
      <w:szCs w:val="20"/>
    </w:rPr>
  </w:style>
  <w:style w:type="character" w:customStyle="1" w:styleId="64">
    <w:name w:val="标题 2 字符"/>
    <w:basedOn w:val="48"/>
    <w:link w:val="4"/>
    <w:qFormat/>
    <w:uiPriority w:val="0"/>
    <w:rPr>
      <w:rFonts w:ascii="Arial" w:hAnsi="Arial" w:eastAsia="宋体" w:cs="Times New Roman"/>
      <w:b/>
      <w:bCs/>
      <w:kern w:val="0"/>
      <w:sz w:val="24"/>
      <w:szCs w:val="32"/>
    </w:rPr>
  </w:style>
  <w:style w:type="character" w:customStyle="1" w:styleId="65">
    <w:name w:val="标题 3 字符"/>
    <w:basedOn w:val="48"/>
    <w:link w:val="5"/>
    <w:qFormat/>
    <w:uiPriority w:val="0"/>
    <w:rPr>
      <w:rFonts w:ascii="Times New Roman" w:hAnsi="Times New Roman" w:eastAsia="宋体" w:cs="Times New Roman"/>
      <w:b/>
      <w:bCs/>
      <w:kern w:val="0"/>
      <w:sz w:val="32"/>
      <w:szCs w:val="32"/>
    </w:rPr>
  </w:style>
  <w:style w:type="character" w:customStyle="1" w:styleId="66">
    <w:name w:val="标题 4 字符"/>
    <w:basedOn w:val="48"/>
    <w:link w:val="6"/>
    <w:qFormat/>
    <w:uiPriority w:val="0"/>
    <w:rPr>
      <w:rFonts w:ascii="Arial" w:hAnsi="Arial" w:eastAsia="黑体" w:cs="Times New Roman"/>
      <w:b/>
      <w:bCs/>
      <w:kern w:val="0"/>
      <w:sz w:val="28"/>
      <w:szCs w:val="28"/>
    </w:rPr>
  </w:style>
  <w:style w:type="character" w:customStyle="1" w:styleId="67">
    <w:name w:val="标题 5 字符"/>
    <w:basedOn w:val="48"/>
    <w:link w:val="7"/>
    <w:qFormat/>
    <w:uiPriority w:val="0"/>
    <w:rPr>
      <w:rFonts w:ascii="Times New Roman" w:hAnsi="Times New Roman" w:eastAsia="宋体" w:cs="Times New Roman"/>
      <w:b/>
      <w:bCs/>
      <w:kern w:val="0"/>
      <w:sz w:val="28"/>
      <w:szCs w:val="28"/>
    </w:rPr>
  </w:style>
  <w:style w:type="character" w:customStyle="1" w:styleId="68">
    <w:name w:val="标题 6 字符"/>
    <w:basedOn w:val="48"/>
    <w:link w:val="8"/>
    <w:qFormat/>
    <w:uiPriority w:val="0"/>
    <w:rPr>
      <w:rFonts w:ascii="Arial" w:hAnsi="Arial" w:eastAsia="黑体" w:cs="Times New Roman"/>
      <w:b/>
      <w:bCs/>
      <w:kern w:val="0"/>
      <w:sz w:val="24"/>
      <w:szCs w:val="24"/>
    </w:rPr>
  </w:style>
  <w:style w:type="character" w:customStyle="1" w:styleId="69">
    <w:name w:val="标题 7 字符"/>
    <w:basedOn w:val="48"/>
    <w:link w:val="9"/>
    <w:qFormat/>
    <w:uiPriority w:val="0"/>
    <w:rPr>
      <w:rFonts w:ascii="Times New Roman" w:hAnsi="Times New Roman" w:eastAsia="宋体" w:cs="Times New Roman"/>
      <w:b/>
      <w:bCs/>
      <w:kern w:val="0"/>
      <w:sz w:val="24"/>
      <w:szCs w:val="24"/>
    </w:rPr>
  </w:style>
  <w:style w:type="character" w:customStyle="1" w:styleId="70">
    <w:name w:val="标题 8 字符"/>
    <w:basedOn w:val="48"/>
    <w:link w:val="10"/>
    <w:qFormat/>
    <w:uiPriority w:val="0"/>
    <w:rPr>
      <w:rFonts w:ascii="Arial" w:hAnsi="Arial" w:eastAsia="黑体" w:cs="Times New Roman"/>
      <w:kern w:val="0"/>
      <w:sz w:val="24"/>
      <w:szCs w:val="24"/>
    </w:rPr>
  </w:style>
  <w:style w:type="character" w:customStyle="1" w:styleId="71">
    <w:name w:val="标题 9 字符"/>
    <w:basedOn w:val="48"/>
    <w:link w:val="11"/>
    <w:qFormat/>
    <w:uiPriority w:val="0"/>
    <w:rPr>
      <w:rFonts w:ascii="Arial" w:hAnsi="Arial" w:eastAsia="黑体" w:cs="Times New Roman"/>
      <w:kern w:val="0"/>
      <w:sz w:val="20"/>
      <w:szCs w:val="21"/>
    </w:rPr>
  </w:style>
  <w:style w:type="character" w:customStyle="1" w:styleId="72">
    <w:name w:val="正文文本 2 字符"/>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29"/>
    <w:qFormat/>
    <w:locked/>
    <w:uiPriority w:val="0"/>
    <w:rPr>
      <w:rFonts w:ascii="Calibri" w:hAnsi="Calibri" w:eastAsia="宋体" w:cs="黑体"/>
      <w:sz w:val="18"/>
      <w:szCs w:val="18"/>
    </w:rPr>
  </w:style>
  <w:style w:type="character" w:customStyle="1" w:styleId="97">
    <w:name w:val="正文文本缩进 字符"/>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3"/>
    <w:qFormat/>
    <w:uiPriority w:val="0"/>
    <w:rPr>
      <w:rFonts w:ascii="Cambria" w:hAnsi="Cambria" w:eastAsia="宋体" w:cs="Times New Roman"/>
      <w:b/>
      <w:sz w:val="32"/>
      <w:szCs w:val="24"/>
    </w:rPr>
  </w:style>
  <w:style w:type="character" w:customStyle="1" w:styleId="101">
    <w:name w:val="正文文本缩进 2 字符"/>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0"/>
    <w:qFormat/>
    <w:uiPriority w:val="0"/>
    <w:rPr>
      <w:rFonts w:ascii="Arial" w:hAnsi="Arial" w:eastAsia="宋体" w:cs="Arial"/>
      <w:kern w:val="0"/>
      <w:sz w:val="24"/>
      <w:szCs w:val="24"/>
    </w:rPr>
  </w:style>
  <w:style w:type="character" w:customStyle="1" w:styleId="114">
    <w:name w:val="称呼 字符"/>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6"/>
    <w:qFormat/>
    <w:uiPriority w:val="0"/>
    <w:rPr>
      <w:rFonts w:ascii="Calibri" w:hAnsi="Calibri" w:eastAsia="宋体" w:cs="黑体"/>
      <w:sz w:val="16"/>
      <w:szCs w:val="16"/>
    </w:rPr>
  </w:style>
  <w:style w:type="character" w:customStyle="1" w:styleId="125">
    <w:name w:val="副标题 字符"/>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文本首行缩进 字符"/>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link w:val="365"/>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link w:val="364"/>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link w:val="366"/>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标题 1 1 Char"/>
    <w:link w:val="246"/>
    <w:qFormat/>
    <w:uiPriority w:val="0"/>
    <w:rPr>
      <w:rFonts w:ascii="Calibri" w:hAnsi="Calibri" w:cs="黑体"/>
      <w:b/>
      <w:kern w:val="2"/>
      <w:sz w:val="24"/>
      <w:szCs w:val="22"/>
    </w:rPr>
  </w:style>
  <w:style w:type="character" w:customStyle="1" w:styleId="365">
    <w:name w:val="列表编号3 Char"/>
    <w:link w:val="207"/>
    <w:qFormat/>
    <w:uiPriority w:val="0"/>
    <w:rPr>
      <w:rFonts w:ascii="宋体" w:hAnsi="宋体"/>
      <w:snapToGrid w:val="0"/>
      <w:sz w:val="24"/>
      <w:szCs w:val="24"/>
    </w:rPr>
  </w:style>
  <w:style w:type="character" w:customStyle="1" w:styleId="366">
    <w:name w:val="标题 1.1 Char"/>
    <w:link w:val="272"/>
    <w:qFormat/>
    <w:uiPriority w:val="0"/>
    <w:rPr>
      <w:rFonts w:ascii="宋体" w:hAnsi="宋体"/>
      <w:b/>
      <w:snapToGrid w:val="0"/>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9"/>
    <customShpInfo spid="_x0000_s2060"/>
    <customShpInfo spid="_x0000_s2061"/>
    <customShpInfo spid="_x0000_s2062"/>
    <customShpInfo spid="_x0000_s2063"/>
    <customShpInfo spid="_x0000_s2064"/>
    <customShpInfo spid="_x0000_s1026"/>
    <customShpInfo spid="_x0000_s1027"/>
    <customShpInfo spid="_x0000_s1028"/>
    <customShpInfo spid="_x0000_s1032"/>
    <customShpInfo spid="_x0000_s102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BA771-E93E-4DC0-9F18-619F54655238}">
  <ds:schemaRefs/>
</ds:datastoreItem>
</file>

<file path=docProps/app.xml><?xml version="1.0" encoding="utf-8"?>
<Properties xmlns="http://schemas.openxmlformats.org/officeDocument/2006/extended-properties" xmlns:vt="http://schemas.openxmlformats.org/officeDocument/2006/docPropsVTypes">
  <Template>Normal.dotm</Template>
  <Pages>55</Pages>
  <Words>4616</Words>
  <Characters>26312</Characters>
  <Lines>219</Lines>
  <Paragraphs>61</Paragraphs>
  <TotalTime>23</TotalTime>
  <ScaleCrop>false</ScaleCrop>
  <LinksUpToDate>false</LinksUpToDate>
  <CharactersWithSpaces>30867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2019-09-11T08:04:00Z</dcterms:created>
  <dc:creator>李 毅</dc:creator>
  <cp:lastModifiedBy>Administrator</cp:lastModifiedBy>
  <cp:lastPrinted>2022-01-07T08:28:00Z</cp:lastPrinted>
  <dcterms:modified xsi:type="dcterms:W3CDTF">2022-01-25T00:38:50Z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E3EAB622B826443188F796C87BECCAB5</vt:lpwstr>
  </property>
</Properties>
</file>