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127D3F59" w:rsidR="00E01BA2" w:rsidRDefault="003F01C4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3F01C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3F01C4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2号线运营期2022年度钢轨打磨车备品备件及耗材采购项目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71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316"/>
        <w:gridCol w:w="1498"/>
        <w:gridCol w:w="2776"/>
        <w:gridCol w:w="1080"/>
        <w:gridCol w:w="904"/>
        <w:gridCol w:w="1080"/>
        <w:gridCol w:w="1180"/>
      </w:tblGrid>
      <w:tr w:rsidR="003F01C4" w:rsidRPr="003F01C4" w14:paraId="0E18B72F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4663BFF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118A9F7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7A3D13D0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142DFD6A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5F7FE2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41B9D9AB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E0436D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A6C76DC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3F01C4" w:rsidRPr="003F01C4" w14:paraId="7D3CE66C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53830B5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37B17728" w14:textId="77777777" w:rsidR="003F01C4" w:rsidRPr="009D7AEE" w:rsidRDefault="003F01C4" w:rsidP="003F01C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12000071001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2E35067C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提升油缸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3468B6D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413883工作压力：10MPa，工作介质：阻燃液压油；双作用活塞式油缸。哈斯科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45FC046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85FF194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C3A4CA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612901F4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哈斯科</w:t>
            </w:r>
          </w:p>
        </w:tc>
      </w:tr>
      <w:tr w:rsidR="003F01C4" w:rsidRPr="003F01C4" w14:paraId="20265AA0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60B5F2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2D30D05E" w14:textId="77777777" w:rsidR="003F01C4" w:rsidRPr="009D7AEE" w:rsidRDefault="003F01C4" w:rsidP="003F01C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75010106501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44B67C9E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显示屏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27D78467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4997780IP防护等级：IP67；采用J1939协议进行通讯；固定内存:128M，闪存128M，扩展内存卡8G。卡特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1FF3671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6D84A6C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ABBBA5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16E5101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卡特彼勒中国有限公司</w:t>
            </w:r>
          </w:p>
        </w:tc>
      </w:tr>
      <w:tr w:rsidR="003F01C4" w:rsidRPr="003F01C4" w14:paraId="0012D602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6F6122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1DEE55F8" w14:textId="77777777" w:rsidR="003F01C4" w:rsidRPr="009D7AEE" w:rsidRDefault="003F01C4" w:rsidP="003F01C4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75020443710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5B64C9A8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空压机风扇电机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4992592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型号：VA18-BP70/LL-86A 24VIP等级：IP68，         电压：DC24V，             外形尺寸：直径397毫米，安装孔直径：6.5毫米，                    重量：2.57KG。SPAL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432F53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67B6277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7D2481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75595B5C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SPAL</w:t>
            </w:r>
          </w:p>
        </w:tc>
      </w:tr>
      <w:tr w:rsidR="003F01C4" w:rsidRPr="003F01C4" w14:paraId="6010ABC0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DA8A852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A4E4853" w14:textId="77777777" w:rsidR="003F01C4" w:rsidRPr="009D7AEE" w:rsidRDefault="003F01C4" w:rsidP="003F01C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79020107501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28398D6B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液压滤芯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42F2FFB0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UE310AN08Z适用范围：钢轨打磨车补油和进给PALL公司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F47D727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0215F9AB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17CA66" w14:textId="2D48158D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758B9"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55B0662" w14:textId="77777777" w:rsidR="003F01C4" w:rsidRPr="003F01C4" w:rsidRDefault="003F01C4" w:rsidP="003F01C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3F01C4">
              <w:rPr>
                <w:rFonts w:ascii="Arial" w:eastAsia="宋体" w:hAnsi="Arial" w:cs="Arial"/>
                <w:kern w:val="0"/>
                <w:sz w:val="20"/>
                <w:szCs w:val="20"/>
              </w:rPr>
              <w:t>PALL</w:t>
            </w:r>
            <w:r w:rsidRPr="003F01C4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公司</w:t>
            </w:r>
          </w:p>
        </w:tc>
      </w:tr>
      <w:tr w:rsidR="003F01C4" w:rsidRPr="003F01C4" w14:paraId="131DE617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99CFE5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9C97AA6" w14:textId="77777777" w:rsidR="003F01C4" w:rsidRPr="009D7AEE" w:rsidRDefault="003F01C4" w:rsidP="003F01C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79020108001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41733940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液压滤芯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7C682B55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UE319AT13Z适用范围：钢轨打磨车液压滤芯出油PALL公司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35348FA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6D236447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CAE03F" w14:textId="416F8A9B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758B9"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5E277F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Arial" w:eastAsia="宋体" w:hAnsi="Arial" w:cs="Arial"/>
                <w:kern w:val="0"/>
                <w:sz w:val="20"/>
                <w:szCs w:val="20"/>
              </w:rPr>
              <w:t>PALL</w:t>
            </w: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</w:tr>
      <w:tr w:rsidR="003F01C4" w:rsidRPr="003F01C4" w14:paraId="06CFA6D7" w14:textId="77777777" w:rsidTr="009D7AEE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D10C79C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07C6A1EA" w14:textId="77777777" w:rsidR="003F01C4" w:rsidRPr="009D7AEE" w:rsidRDefault="003F01C4" w:rsidP="003F01C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D7AEE">
              <w:rPr>
                <w:rFonts w:ascii="宋体" w:eastAsia="宋体" w:hAnsi="宋体" w:cs="Arial"/>
                <w:kern w:val="0"/>
                <w:sz w:val="20"/>
                <w:szCs w:val="20"/>
              </w:rPr>
              <w:t>79020108501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6A3E3365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液压滤芯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14:paraId="6F469C08" w14:textId="77777777" w:rsidR="003F01C4" w:rsidRPr="003F01C4" w:rsidRDefault="003F01C4" w:rsidP="003F0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UE319AS20Z适用范围：钢轨打磨车液压滤芯回油PALL公司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2DCBFCB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69B67CFA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E55F70" w14:textId="6F25219D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C758B9" w:rsidRPr="003F01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1A09D8D2" w14:textId="77777777" w:rsidR="003F01C4" w:rsidRPr="003F01C4" w:rsidRDefault="003F01C4" w:rsidP="003F0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1C4">
              <w:rPr>
                <w:rFonts w:ascii="Arial" w:eastAsia="宋体" w:hAnsi="Arial" w:cs="Arial"/>
                <w:kern w:val="0"/>
                <w:sz w:val="20"/>
                <w:szCs w:val="20"/>
              </w:rPr>
              <w:t>PALL</w:t>
            </w:r>
            <w:r w:rsidRPr="003F01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AFD9E" w14:textId="77777777" w:rsidR="003A2605" w:rsidRDefault="003A2605" w:rsidP="00465C93">
      <w:r>
        <w:separator/>
      </w:r>
    </w:p>
  </w:endnote>
  <w:endnote w:type="continuationSeparator" w:id="0">
    <w:p w14:paraId="52A8F07E" w14:textId="77777777" w:rsidR="003A2605" w:rsidRDefault="003A2605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21A7B" w14:textId="77777777" w:rsidR="003A2605" w:rsidRDefault="003A2605" w:rsidP="00465C93">
      <w:r>
        <w:separator/>
      </w:r>
    </w:p>
  </w:footnote>
  <w:footnote w:type="continuationSeparator" w:id="0">
    <w:p w14:paraId="3A67459A" w14:textId="77777777" w:rsidR="003A2605" w:rsidRDefault="003A2605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3A2605"/>
    <w:rsid w:val="003F01C4"/>
    <w:rsid w:val="00426ADB"/>
    <w:rsid w:val="00465C93"/>
    <w:rsid w:val="00542814"/>
    <w:rsid w:val="00625F28"/>
    <w:rsid w:val="006A1AE2"/>
    <w:rsid w:val="009D7AEE"/>
    <w:rsid w:val="00A00B4C"/>
    <w:rsid w:val="00C758B9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15</cp:revision>
  <dcterms:created xsi:type="dcterms:W3CDTF">2022-10-14T03:26:00Z</dcterms:created>
  <dcterms:modified xsi:type="dcterms:W3CDTF">2022-10-18T06:24:00Z</dcterms:modified>
</cp:coreProperties>
</file>