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161"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center"/>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长沙市轨道交通2号线运营期2021年-2024年控制中心（OCC）行车指挥大屏幕系统维保服务项目</w:t>
      </w:r>
    </w:p>
    <w:p>
      <w:pPr>
        <w:pStyle w:val="2"/>
        <w:spacing w:line="360" w:lineRule="auto"/>
        <w:ind w:firstLine="0" w:firstLineChars="0"/>
        <w:jc w:val="center"/>
        <w:rPr>
          <w:rFonts w:asciiTheme="minorEastAsia" w:hAnsiTheme="minorEastAsia" w:eastAsiaTheme="minorEastAsia"/>
        </w:rPr>
      </w:pPr>
    </w:p>
    <w:p>
      <w:pPr>
        <w:spacing w:line="360" w:lineRule="auto"/>
        <w:jc w:val="both"/>
        <w:rPr>
          <w:rFonts w:hint="eastAsia"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lang w:val="en-US" w:eastAsia="zh-CN"/>
        </w:rPr>
        <w:t>长沙市轨道交通运营有限公司</w:t>
      </w:r>
    </w:p>
    <w:p>
      <w:pPr>
        <w:spacing w:line="360" w:lineRule="auto"/>
        <w:ind w:firstLine="2249" w:firstLineChars="700"/>
        <w:jc w:val="center"/>
        <w:rPr>
          <w:rFonts w:cs="Courier New" w:asciiTheme="minorEastAsia" w:hAnsiTheme="minorEastAsia" w:eastAsiaTheme="minorEastAsia"/>
          <w:b/>
          <w:sz w:val="32"/>
          <w:szCs w:val="21"/>
          <w:u w:val="single"/>
        </w:rPr>
      </w:pPr>
    </w:p>
    <w:p>
      <w:pPr>
        <w:pStyle w:val="2"/>
        <w:spacing w:line="360" w:lineRule="auto"/>
        <w:ind w:firstLine="0" w:firstLineChars="0"/>
        <w:jc w:val="center"/>
        <w:rPr>
          <w:rFonts w:asciiTheme="minorEastAsia" w:hAnsiTheme="minorEastAsia" w:eastAsiaTheme="minorEastAsia"/>
        </w:rPr>
      </w:pPr>
    </w:p>
    <w:p>
      <w:pPr>
        <w:spacing w:line="360" w:lineRule="auto"/>
        <w:jc w:val="both"/>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长轨运服采【2021】010号</w:t>
      </w:r>
    </w:p>
    <w:p>
      <w:pPr>
        <w:pStyle w:val="26"/>
        <w:adjustRightInd w:val="0"/>
        <w:snapToGrid w:val="0"/>
        <w:spacing w:line="360" w:lineRule="auto"/>
        <w:jc w:val="center"/>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u w:val="none"/>
        </w:rPr>
      </w:pPr>
      <w:r>
        <w:rPr>
          <w:rFonts w:hint="eastAsia" w:asciiTheme="minorEastAsia" w:hAnsiTheme="minorEastAsia" w:eastAsiaTheme="minorEastAsia"/>
          <w:b/>
          <w:sz w:val="32"/>
          <w:u w:val="none"/>
        </w:rPr>
        <w:t>二〇二</w:t>
      </w:r>
      <w:r>
        <w:rPr>
          <w:rFonts w:hint="eastAsia" w:asciiTheme="minorEastAsia" w:hAnsiTheme="minorEastAsia" w:eastAsiaTheme="minorEastAsia"/>
          <w:b/>
          <w:sz w:val="32"/>
          <w:u w:val="none"/>
          <w:lang w:eastAsia="zh-CN"/>
        </w:rPr>
        <w:t>一</w:t>
      </w:r>
      <w:r>
        <w:rPr>
          <w:rFonts w:hint="eastAsia" w:asciiTheme="minorEastAsia" w:hAnsiTheme="minorEastAsia" w:eastAsiaTheme="minorEastAsia"/>
          <w:b/>
          <w:sz w:val="32"/>
          <w:u w:val="none"/>
        </w:rPr>
        <w:t>年</w:t>
      </w:r>
      <w:r>
        <w:rPr>
          <w:rFonts w:hint="eastAsia" w:asciiTheme="minorEastAsia" w:hAnsiTheme="minorEastAsia" w:eastAsiaTheme="minorEastAsia"/>
          <w:b/>
          <w:sz w:val="32"/>
          <w:u w:val="none"/>
          <w:lang w:val="en-US" w:eastAsia="zh-CN"/>
        </w:rPr>
        <w:t>八</w:t>
      </w:r>
      <w:r>
        <w:rPr>
          <w:rFonts w:hint="eastAsia" w:asciiTheme="minorEastAsia" w:hAnsiTheme="minorEastAsia" w:eastAsiaTheme="minorEastAsia"/>
          <w:b/>
          <w:sz w:val="32"/>
          <w:u w:val="none"/>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191" w:right="1417" w:bottom="1191" w:left="1191"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3</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3</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5</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5</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6</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6</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9</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9</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9</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10</w:t>
      </w:r>
      <w:r>
        <w:fldChar w:fldCharType="end"/>
      </w:r>
      <w:r>
        <w:fldChar w:fldCharType="end"/>
      </w:r>
    </w:p>
    <w:p>
      <w:pPr>
        <w:pStyle w:val="33"/>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12</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12</w:t>
      </w:r>
      <w:r>
        <w:fldChar w:fldCharType="end"/>
      </w:r>
      <w:r>
        <w:fldChar w:fldCharType="end"/>
      </w:r>
    </w:p>
    <w:p>
      <w:pPr>
        <w:pStyle w:val="33"/>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14</w:t>
      </w:r>
      <w:r>
        <w:fldChar w:fldCharType="end"/>
      </w:r>
      <w:r>
        <w:fldChar w:fldCharType="end"/>
      </w:r>
    </w:p>
    <w:p>
      <w:pPr>
        <w:pStyle w:val="33"/>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15</w:t>
      </w:r>
      <w:r>
        <w:fldChar w:fldCharType="end"/>
      </w:r>
      <w:r>
        <w:fldChar w:fldCharType="end"/>
      </w:r>
    </w:p>
    <w:p>
      <w:pPr>
        <w:pStyle w:val="33"/>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25</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szCs w:val="21"/>
          <w:u w:val="single"/>
        </w:rPr>
        <w:t>湖南万达项目管理有限公司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lang w:eastAsia="zh-CN"/>
        </w:rPr>
        <w:t>长沙市轨道交通运营有限公司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长沙市轨道交通2号线运营期2021年-2024年控制中心（OCC）行车指挥大屏幕系统维保服务项目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left="1680" w:leftChars="200" w:hanging="1260" w:hangingChars="600"/>
        <w:jc w:val="left"/>
        <w:rPr>
          <w:rFonts w:hint="eastAsia" w:cs="宋体" w:asciiTheme="minorEastAsia" w:hAnsiTheme="minorEastAsia" w:eastAsiaTheme="minorEastAsia"/>
          <w:szCs w:val="21"/>
          <w:u w:val="single"/>
        </w:rPr>
      </w:pPr>
      <w:r>
        <w:rPr>
          <w:rFonts w:hint="eastAsia" w:cs="宋体" w:asciiTheme="minorEastAsia" w:hAnsiTheme="minorEastAsia" w:eastAsiaTheme="minorEastAsia"/>
          <w:iCs/>
        </w:rPr>
        <w:t>1.项目名称：</w:t>
      </w:r>
      <w:r>
        <w:rPr>
          <w:rFonts w:hint="eastAsia" w:cs="宋体" w:asciiTheme="minorEastAsia" w:hAnsiTheme="minorEastAsia" w:eastAsiaTheme="minorEastAsia"/>
          <w:szCs w:val="21"/>
          <w:u w:val="none"/>
        </w:rPr>
        <w:t>长沙市轨道交通2号线运营期2021年-2024年控制中心（OCC）行车指挥大屏幕系统维保服务项目</w:t>
      </w:r>
    </w:p>
    <w:p>
      <w:pPr>
        <w:pStyle w:val="26"/>
        <w:adjustRightInd w:val="0"/>
        <w:snapToGrid w:val="0"/>
        <w:spacing w:line="360" w:lineRule="auto"/>
        <w:ind w:firstLine="420" w:firstLineChars="200"/>
        <w:rPr>
          <w:rFonts w:hint="eastAsia" w:hAnsi="宋体" w:cs="宋体"/>
          <w:iCs/>
          <w:highlight w:val="none"/>
        </w:rPr>
      </w:pPr>
      <w:r>
        <w:rPr>
          <w:rFonts w:hint="eastAsia" w:cs="宋体" w:asciiTheme="minorEastAsia" w:hAnsiTheme="minorEastAsia" w:eastAsiaTheme="minorEastAsia"/>
          <w:iCs/>
        </w:rPr>
        <w:t>2.最高限价：</w:t>
      </w:r>
      <w:r>
        <w:rPr>
          <w:rFonts w:hint="eastAsia" w:hAnsi="宋体" w:cs="宋体" w:eastAsiaTheme="minorEastAsia"/>
          <w:iCs/>
          <w:highlight w:val="none"/>
          <w:lang w:val="en-US" w:eastAsia="zh-CN"/>
        </w:rPr>
        <w:t>545758.00</w:t>
      </w:r>
      <w:r>
        <w:rPr>
          <w:rFonts w:hint="eastAsia" w:hAnsi="宋体" w:cs="宋体"/>
          <w:iCs/>
          <w:highlight w:val="none"/>
        </w:rPr>
        <w:t>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ascii="宋体" w:hAnsi="Calibri"/>
          <w:color w:val="000000"/>
          <w:szCs w:val="21"/>
          <w:highlight w:val="none"/>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ascii="宋体" w:hAnsi="宋体" w:eastAsia="宋体" w:cs="宋体"/>
          <w:kern w:val="2"/>
          <w:sz w:val="21"/>
          <w:szCs w:val="21"/>
          <w:highlight w:val="none"/>
          <w:lang w:val="en-US" w:eastAsia="zh-CN" w:bidi="ar-SA"/>
        </w:rPr>
        <w:t>本项目服务期限暂定为2021年10月1日</w:t>
      </w:r>
      <w:r>
        <w:rPr>
          <w:rFonts w:hint="eastAsia" w:ascii="宋体" w:hAnsi="宋体" w:cs="宋体"/>
          <w:kern w:val="2"/>
          <w:sz w:val="21"/>
          <w:szCs w:val="21"/>
          <w:highlight w:val="none"/>
          <w:lang w:val="en-US" w:eastAsia="zh-CN" w:bidi="ar-SA"/>
        </w:rPr>
        <w:t>至</w:t>
      </w:r>
      <w:r>
        <w:rPr>
          <w:rFonts w:hint="eastAsia" w:ascii="宋体" w:hAnsi="宋体" w:eastAsia="宋体" w:cs="宋体"/>
          <w:kern w:val="2"/>
          <w:sz w:val="21"/>
          <w:szCs w:val="21"/>
          <w:highlight w:val="none"/>
          <w:lang w:val="en-US" w:eastAsia="zh-CN" w:bidi="ar-SA"/>
        </w:rPr>
        <w:t>2024年</w:t>
      </w:r>
      <w:r>
        <w:rPr>
          <w:rFonts w:hint="eastAsia" w:ascii="宋体" w:hAnsi="宋体" w:cs="宋体"/>
          <w:kern w:val="2"/>
          <w:sz w:val="21"/>
          <w:szCs w:val="21"/>
          <w:highlight w:val="none"/>
          <w:lang w:val="en-US" w:eastAsia="zh-CN" w:bidi="ar-SA"/>
        </w:rPr>
        <w:t>12</w:t>
      </w:r>
      <w:r>
        <w:rPr>
          <w:rFonts w:hint="eastAsia" w:ascii="宋体" w:hAnsi="宋体" w:eastAsia="宋体" w:cs="宋体"/>
          <w:kern w:val="2"/>
          <w:sz w:val="21"/>
          <w:szCs w:val="21"/>
          <w:highlight w:val="none"/>
          <w:lang w:val="en-US" w:eastAsia="zh-CN" w:bidi="ar-SA"/>
        </w:rPr>
        <w:t>月3</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日。总计3</w:t>
      </w:r>
      <w:r>
        <w:rPr>
          <w:rFonts w:hint="eastAsia" w:ascii="宋体" w:hAnsi="宋体" w:cs="宋体"/>
          <w:kern w:val="2"/>
          <w:sz w:val="21"/>
          <w:szCs w:val="21"/>
          <w:highlight w:val="none"/>
          <w:lang w:val="en-US" w:eastAsia="zh-CN" w:bidi="ar-SA"/>
        </w:rPr>
        <w:t>9</w:t>
      </w:r>
      <w:r>
        <w:rPr>
          <w:rFonts w:hint="eastAsia" w:ascii="宋体" w:hAnsi="宋体" w:eastAsia="宋体" w:cs="宋体"/>
          <w:kern w:val="2"/>
          <w:sz w:val="21"/>
          <w:szCs w:val="21"/>
          <w:highlight w:val="none"/>
          <w:lang w:val="en-US" w:eastAsia="zh-CN" w:bidi="ar-SA"/>
        </w:rPr>
        <w:t>个月（实际服务时间以</w:t>
      </w:r>
      <w:r>
        <w:rPr>
          <w:rFonts w:hint="eastAsia" w:ascii="宋体" w:hAnsi="宋体" w:cs="宋体"/>
          <w:kern w:val="2"/>
          <w:sz w:val="21"/>
          <w:szCs w:val="21"/>
          <w:highlight w:val="none"/>
          <w:lang w:val="en-US" w:eastAsia="zh-CN" w:bidi="ar-SA"/>
        </w:rPr>
        <w:t>采购单位</w:t>
      </w:r>
      <w:r>
        <w:rPr>
          <w:rFonts w:hint="eastAsia" w:ascii="宋体" w:hAnsi="宋体" w:eastAsia="宋体" w:cs="宋体"/>
          <w:kern w:val="2"/>
          <w:sz w:val="21"/>
          <w:szCs w:val="21"/>
          <w:highlight w:val="none"/>
          <w:lang w:val="en-US" w:eastAsia="zh-CN" w:bidi="ar-SA"/>
        </w:rPr>
        <w:t>发出的进场通知书起算，</w:t>
      </w:r>
      <w:r>
        <w:rPr>
          <w:rFonts w:hint="eastAsia" w:ascii="宋体" w:hAnsi="宋体" w:cs="宋体"/>
          <w:kern w:val="2"/>
          <w:sz w:val="21"/>
          <w:szCs w:val="21"/>
          <w:highlight w:val="none"/>
          <w:lang w:val="en-US" w:eastAsia="zh-CN" w:bidi="ar-SA"/>
        </w:rPr>
        <w:t>项目截止时间为2024年12月31日</w:t>
      </w:r>
      <w:r>
        <w:rPr>
          <w:rFonts w:hint="eastAsia" w:ascii="宋体" w:hAnsi="宋体" w:eastAsia="宋体" w:cs="宋体"/>
          <w:kern w:val="2"/>
          <w:sz w:val="21"/>
          <w:szCs w:val="21"/>
          <w:highlight w:val="none"/>
          <w:lang w:val="en-US" w:eastAsia="zh-CN" w:bidi="ar-SA"/>
        </w:rPr>
        <w:t>）</w:t>
      </w:r>
      <w:r>
        <w:rPr>
          <w:rFonts w:hint="eastAsia" w:ascii="宋体" w:hAnsi="宋体" w:cs="宋体"/>
          <w:highlight w:val="none"/>
        </w:rPr>
        <w:t>。</w:t>
      </w:r>
      <w:r>
        <w:rPr>
          <w:rFonts w:hint="eastAsia" w:ascii="宋体" w:hAnsi="Calibri"/>
          <w:color w:val="000000"/>
          <w:szCs w:val="21"/>
          <w:highlight w:val="none"/>
        </w:rPr>
        <w:t>（具体详见用户需求书）</w:t>
      </w:r>
    </w:p>
    <w:p>
      <w:pPr>
        <w:spacing w:line="360" w:lineRule="auto"/>
        <w:ind w:firstLine="420" w:firstLineChars="200"/>
        <w:jc w:val="left"/>
      </w:pPr>
      <w:r>
        <w:rPr>
          <w:rFonts w:hint="eastAsia" w:ascii="宋体" w:hAnsi="宋体" w:cs="宋体"/>
          <w:bCs/>
          <w:szCs w:val="21"/>
        </w:rPr>
        <w:t>5.</w:t>
      </w:r>
      <w:r>
        <w:rPr>
          <w:rFonts w:hint="eastAsia" w:ascii="宋体" w:hAnsi="宋体" w:cs="宋体"/>
          <w:iCs/>
          <w:szCs w:val="21"/>
        </w:rPr>
        <w:t>采购范围：</w:t>
      </w:r>
      <w:r>
        <w:rPr>
          <w:rFonts w:hint="eastAsia" w:ascii="宋体" w:hAnsi="宋体" w:eastAsia="宋体" w:cs="宋体"/>
          <w:kern w:val="2"/>
          <w:sz w:val="21"/>
          <w:szCs w:val="21"/>
          <w:lang w:val="en-US" w:eastAsia="zh-CN" w:bidi="ar-SA"/>
        </w:rPr>
        <w:t>本项目主要为长沙市轨道交通2号线大屏幕系统提供维保服务，主要包括但不限于系统定期维护（含1次精密维保）、故障处置、应急服务及技术支持等内容。</w:t>
      </w:r>
      <w:r>
        <w:rPr>
          <w:rFonts w:hint="eastAsia" w:ascii="宋体" w:hAnsi="宋体" w:cs="宋体"/>
          <w:color w:val="000000"/>
        </w:rPr>
        <w:t>（具体详见用户需求书）</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000000"/>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spacing w:line="360" w:lineRule="auto"/>
        <w:ind w:firstLine="420" w:firstLineChars="200"/>
        <w:jc w:val="left"/>
        <w:rPr>
          <w:rFonts w:hint="default" w:ascii="宋体" w:hAnsi="宋体" w:cs="宋体"/>
          <w:highlight w:val="none"/>
          <w:lang w:val="en-US" w:eastAsia="zh-CN"/>
        </w:rPr>
      </w:pPr>
      <w:r>
        <w:rPr>
          <w:rFonts w:hint="eastAsia" w:ascii="宋体" w:hAnsi="宋体" w:cs="宋体"/>
          <w:bCs/>
          <w:highlight w:val="none"/>
          <w:lang w:val="en-US" w:eastAsia="zh-CN"/>
        </w:rPr>
        <w:t>2.谈判单位在本项目响应文件递交截止之日前36个月内单项合同金额不少于25万元的大屏幕系统维护保养相关业绩。不接受联合体业绩、港澳台或境外业绩。</w:t>
      </w:r>
      <w:r>
        <w:rPr>
          <w:rFonts w:hint="eastAsia" w:ascii="宋体" w:hAnsi="宋体" w:cs="宋体"/>
          <w:highlight w:val="none"/>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.本次谈判不接受联合体形式参与谈判。</w:t>
      </w:r>
    </w:p>
    <w:p>
      <w:pPr>
        <w:pStyle w:val="26"/>
        <w:adjustRightInd w:val="0"/>
        <w:snapToGrid w:val="0"/>
        <w:spacing w:line="360" w:lineRule="auto"/>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w:t>
      </w:r>
      <w:bookmarkStart w:id="4" w:name="_Hlk75876024"/>
      <w:r>
        <w:rPr>
          <w:rFonts w:hint="eastAsia" w:ascii="宋体" w:hAnsi="宋体" w:cs="宋体"/>
        </w:rPr>
        <w:t>被长沙市轨道交通集团有限公司及长沙市轨道交通运营有限公司函告禁止在一定期限内参与投标的单位按函告内容执行</w:t>
      </w:r>
      <w:bookmarkEnd w:id="4"/>
      <w:r>
        <w:rPr>
          <w:rFonts w:hint="eastAsia" w:ascii="宋体" w:hAnsi="宋体" w:cs="宋体"/>
        </w:rPr>
        <w:t>。</w:t>
      </w:r>
    </w:p>
    <w:p>
      <w:pPr>
        <w:pStyle w:val="26"/>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5" w:name="_Toc32507"/>
      <w:r>
        <w:rPr>
          <w:rFonts w:hint="eastAsia" w:asciiTheme="minorEastAsia" w:hAnsiTheme="minorEastAsia" w:eastAsiaTheme="minorEastAsia"/>
          <w:b/>
          <w:iCs/>
        </w:rPr>
        <w:t>四、自主竞争性谈判文件的获取</w:t>
      </w:r>
      <w:bookmarkEnd w:id="5"/>
    </w:p>
    <w:p>
      <w:pPr>
        <w:spacing w:line="360" w:lineRule="auto"/>
        <w:ind w:firstLine="420" w:firstLineChars="200"/>
        <w:rPr>
          <w:rFonts w:ascii="宋体" w:hAnsi="宋体" w:cs="宋体"/>
          <w:szCs w:val="21"/>
        </w:rPr>
      </w:pPr>
      <w:bookmarkStart w:id="6" w:name="_Toc27070"/>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6"/>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08</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rPr>
        <w:t>日</w:t>
      </w:r>
      <w:r>
        <w:rPr>
          <w:rFonts w:hint="eastAsia" w:ascii="宋体" w:hAnsi="宋体" w:cs="Courier New"/>
          <w:iCs/>
          <w:szCs w:val="21"/>
        </w:rPr>
        <w:t>17：00时（含）前（节假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7" w:name="_Toc28010"/>
      <w:r>
        <w:rPr>
          <w:rFonts w:hint="eastAsia" w:asciiTheme="minorEastAsia" w:hAnsiTheme="minorEastAsia" w:eastAsiaTheme="minorEastAsia"/>
          <w:b/>
          <w:iCs/>
        </w:rPr>
        <w:t>六、响应文件的递交</w:t>
      </w:r>
      <w:bookmarkEnd w:id="7"/>
    </w:p>
    <w:p>
      <w:pPr>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highlight w:val="none"/>
        </w:rPr>
        <w:t>202</w:t>
      </w:r>
      <w:r>
        <w:rPr>
          <w:rFonts w:hint="eastAsia" w:ascii="宋体" w:hAnsi="宋体"/>
          <w:bCs/>
          <w:szCs w:val="21"/>
          <w:highlight w:val="none"/>
          <w:lang w:val="en-US" w:eastAsia="zh-CN"/>
        </w:rPr>
        <w:t>1</w:t>
      </w:r>
      <w:r>
        <w:rPr>
          <w:rFonts w:ascii="宋体" w:hAnsi="宋体"/>
          <w:bCs/>
          <w:szCs w:val="21"/>
          <w:highlight w:val="none"/>
        </w:rPr>
        <w:t>年</w:t>
      </w:r>
      <w:r>
        <w:rPr>
          <w:rFonts w:hint="eastAsia" w:ascii="宋体" w:hAnsi="宋体"/>
          <w:bCs/>
          <w:szCs w:val="21"/>
          <w:highlight w:val="none"/>
          <w:lang w:val="en-US" w:eastAsia="zh-CN"/>
        </w:rPr>
        <w:t>08</w:t>
      </w:r>
      <w:r>
        <w:rPr>
          <w:rFonts w:ascii="宋体" w:hAnsi="宋体"/>
          <w:bCs/>
          <w:szCs w:val="21"/>
          <w:highlight w:val="none"/>
        </w:rPr>
        <w:t>月</w:t>
      </w:r>
      <w:r>
        <w:rPr>
          <w:rFonts w:hint="eastAsia" w:ascii="宋体" w:hAnsi="宋体"/>
          <w:bCs/>
          <w:szCs w:val="21"/>
          <w:highlight w:val="none"/>
          <w:lang w:val="en-US" w:eastAsia="zh-CN"/>
        </w:rPr>
        <w:t>18</w:t>
      </w:r>
      <w:r>
        <w:rPr>
          <w:rFonts w:ascii="宋体" w:hAnsi="宋体"/>
          <w:bCs/>
          <w:szCs w:val="21"/>
        </w:rPr>
        <w:t>日</w:t>
      </w:r>
      <w:r>
        <w:rPr>
          <w:rFonts w:hint="eastAsia" w:ascii="宋体" w:hAnsi="宋体"/>
          <w:bCs/>
          <w:szCs w:val="21"/>
          <w:highlight w:val="none"/>
          <w:lang w:val="en-US" w:eastAsia="zh-CN"/>
        </w:rPr>
        <w:t>14</w:t>
      </w:r>
      <w:r>
        <w:rPr>
          <w:rFonts w:ascii="宋体" w:hAnsi="宋体"/>
          <w:bCs/>
          <w:szCs w:val="21"/>
          <w:highlight w:val="none"/>
        </w:rPr>
        <w:t>时</w:t>
      </w:r>
      <w:r>
        <w:rPr>
          <w:rFonts w:hint="eastAsia" w:ascii="宋体" w:hAnsi="宋体"/>
          <w:bCs/>
          <w:szCs w:val="21"/>
          <w:highlight w:val="none"/>
          <w:lang w:val="en-US" w:eastAsia="zh-CN"/>
        </w:rPr>
        <w:t>30</w:t>
      </w:r>
      <w:r>
        <w:rPr>
          <w:rFonts w:ascii="宋体" w:hAnsi="宋体"/>
          <w:bCs/>
          <w:szCs w:val="21"/>
        </w:rPr>
        <w:t>分，地点为</w:t>
      </w:r>
      <w:r>
        <w:rPr>
          <w:rFonts w:hint="eastAsia" w:ascii="宋体" w:hAnsi="宋体" w:cs="宋体"/>
          <w:szCs w:val="21"/>
        </w:rPr>
        <w:t>长沙市劳动东路二段48号黄兴车辆段综合楼9楼910室。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8" w:name="_Toc16891"/>
      <w:r>
        <w:rPr>
          <w:rFonts w:hint="eastAsia" w:asciiTheme="minorEastAsia" w:hAnsiTheme="minorEastAsia" w:eastAsiaTheme="minorEastAsia"/>
          <w:b/>
          <w:iCs/>
        </w:rPr>
        <w:t>七、采购单位及其委托的采购代理机构的名称、地址和联系方法</w:t>
      </w:r>
      <w:bookmarkEnd w:id="8"/>
      <w:bookmarkStart w:id="141" w:name="_GoBack"/>
      <w:bookmarkEnd w:id="141"/>
    </w:p>
    <w:p>
      <w:pPr>
        <w:adjustRightInd w:val="0"/>
        <w:snapToGrid w:val="0"/>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rPr>
        <w:t>采购单位</w:t>
      </w:r>
      <w:r>
        <w:rPr>
          <w:rFonts w:hint="eastAsia" w:asciiTheme="minorEastAsia" w:hAnsiTheme="minorEastAsia" w:eastAsiaTheme="minorEastAsia"/>
          <w:szCs w:val="21"/>
          <w:lang w:eastAsia="zh-CN"/>
        </w:rPr>
        <w:t>：</w:t>
      </w:r>
      <w:r>
        <w:rPr>
          <w:rFonts w:hint="eastAsia" w:cs="宋体" w:asciiTheme="minorEastAsia" w:hAnsiTheme="minorEastAsia" w:eastAsiaTheme="minorEastAsia"/>
          <w:szCs w:val="21"/>
          <w:u w:val="none"/>
          <w:lang w:eastAsia="zh-CN"/>
        </w:rPr>
        <w:t>长沙市轨道交通运营有限公司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ascii="宋体" w:hAnsi="宋体" w:cs="宋体"/>
          <w:szCs w:val="21"/>
        </w:rPr>
        <w:t>长沙市劳动东路二段48号黄兴车辆段综合楼9楼910室。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lang w:eastAsia="zh-CN"/>
        </w:rPr>
        <w:t>陈</w:t>
      </w:r>
      <w:r>
        <w:rPr>
          <w:rFonts w:hint="eastAsia" w:asciiTheme="minorEastAsia" w:hAnsiTheme="minorEastAsia" w:eastAsiaTheme="minorEastAsia"/>
          <w:szCs w:val="21"/>
        </w:rPr>
        <w:t>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监督举报电话：0731-86852247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联系人：文工</w:t>
      </w:r>
    </w:p>
    <w:p>
      <w:pPr>
        <w:adjustRightInd w:val="0"/>
        <w:snapToGrid w:val="0"/>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rPr>
        <w:t>采购代理机构：</w:t>
      </w:r>
      <w:r>
        <w:rPr>
          <w:rFonts w:hint="eastAsia" w:cs="宋体" w:asciiTheme="minorEastAsia" w:hAnsiTheme="minorEastAsia" w:eastAsiaTheme="minorEastAsia"/>
          <w:b/>
          <w:szCs w:val="21"/>
          <w:highlight w:val="none"/>
        </w:rPr>
        <w:t>湖南万达项目管理有限公司</w:t>
      </w:r>
    </w:p>
    <w:p>
      <w:pPr>
        <w:adjustRightInd w:val="0"/>
        <w:snapToGrid w:val="0"/>
        <w:spacing w:line="360" w:lineRule="auto"/>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地  址：</w:t>
      </w:r>
      <w:r>
        <w:rPr>
          <w:rFonts w:hint="eastAsia" w:cs="宋体" w:asciiTheme="minorEastAsia" w:hAnsiTheme="minorEastAsia" w:eastAsiaTheme="minorEastAsia"/>
          <w:szCs w:val="21"/>
          <w:highlight w:val="none"/>
          <w:lang w:val="en-US" w:eastAsia="zh-CN"/>
        </w:rPr>
        <w:t>长沙市雨花区劳动东路旭辉国际广场C2栋1707-1715</w:t>
      </w:r>
    </w:p>
    <w:p>
      <w:pPr>
        <w:adjustRightInd w:val="0"/>
        <w:snapToGrid w:val="0"/>
        <w:spacing w:line="360" w:lineRule="auto"/>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电  话：</w:t>
      </w:r>
      <w:r>
        <w:rPr>
          <w:rFonts w:hint="eastAsia" w:asciiTheme="minorEastAsia" w:hAnsiTheme="minorEastAsia" w:eastAsiaTheme="minorEastAsia"/>
          <w:szCs w:val="21"/>
          <w:highlight w:val="none"/>
          <w:lang w:eastAsia="zh-CN"/>
        </w:rPr>
        <w:t>18973130688</w:t>
      </w:r>
    </w:p>
    <w:p>
      <w:pPr>
        <w:spacing w:line="360" w:lineRule="auto"/>
        <w:ind w:firstLine="420" w:firstLineChars="200"/>
        <w:rPr>
          <w:rFonts w:hint="default"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联系人：</w:t>
      </w:r>
      <w:r>
        <w:rPr>
          <w:rFonts w:hint="eastAsia" w:asciiTheme="minorEastAsia" w:hAnsiTheme="minorEastAsia" w:eastAsiaTheme="minorEastAsia"/>
          <w:szCs w:val="21"/>
          <w:highlight w:val="none"/>
          <w:lang w:val="en-US" w:eastAsia="zh-CN"/>
        </w:rPr>
        <w:t>曹女士</w:t>
      </w:r>
    </w:p>
    <w:p>
      <w:pPr>
        <w:wordWrap w:val="0"/>
        <w:spacing w:line="360" w:lineRule="auto"/>
        <w:ind w:firstLine="42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08</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05</w:t>
      </w:r>
      <w:r>
        <w:rPr>
          <w:rFonts w:hint="eastAsia" w:asciiTheme="minorEastAsia" w:hAnsiTheme="minorEastAsia" w:eastAsiaTheme="minorEastAsia"/>
          <w:szCs w:val="21"/>
          <w:highlight w:val="none"/>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9" w:name="_Toc25405"/>
      <w:r>
        <w:rPr>
          <w:rFonts w:hint="eastAsia" w:cs="宋体" w:asciiTheme="minorEastAsia" w:hAnsiTheme="minorEastAsia" w:eastAsiaTheme="minorEastAsia"/>
          <w:bCs w:val="0"/>
          <w:sz w:val="32"/>
          <w:szCs w:val="32"/>
        </w:rPr>
        <w:t>第二章  谈判须知</w:t>
      </w:r>
      <w:bookmarkEnd w:id="9"/>
    </w:p>
    <w:p>
      <w:pPr>
        <w:pStyle w:val="5"/>
        <w:keepNext w:val="0"/>
        <w:keepLines w:val="0"/>
        <w:ind w:firstLine="643" w:firstLineChars="200"/>
        <w:jc w:val="center"/>
        <w:rPr>
          <w:rFonts w:cs="宋体" w:asciiTheme="minorEastAsia" w:hAnsiTheme="minorEastAsia" w:eastAsiaTheme="minorEastAsia"/>
          <w:sz w:val="32"/>
        </w:rPr>
      </w:pPr>
      <w:bookmarkStart w:id="10" w:name="_Toc10631"/>
      <w:r>
        <w:rPr>
          <w:rFonts w:hint="eastAsia" w:cs="宋体" w:asciiTheme="minorEastAsia" w:hAnsiTheme="minorEastAsia" w:eastAsiaTheme="minorEastAsia"/>
          <w:sz w:val="32"/>
        </w:rPr>
        <w:t>谈判须知前附表</w:t>
      </w:r>
      <w:bookmarkEnd w:id="10"/>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jc w:val="left"/>
              <w:rPr>
                <w:rFonts w:cs="宋体" w:asciiTheme="minorEastAsia" w:hAnsiTheme="minorEastAsia" w:eastAsiaTheme="minorEastAsia"/>
              </w:rPr>
            </w:pPr>
            <w:r>
              <w:rPr>
                <w:rFonts w:hint="eastAsia" w:cs="宋体" w:asciiTheme="minorEastAsia" w:hAnsiTheme="minorEastAsia" w:eastAsiaTheme="minorEastAsia"/>
                <w:szCs w:val="21"/>
                <w:u w:val="none"/>
              </w:rPr>
              <w:t>长沙市轨道交通2号线运营期2021年-2024年控制中心（OCC）行车指挥大屏幕系统维保服务项目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u w:val="none"/>
                <w:lang w:eastAsia="zh-CN"/>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hint="eastAsia" w:cs="宋体" w:asciiTheme="minorEastAsia" w:hAnsiTheme="minorEastAsia" w:eastAsiaTheme="minorEastAsia"/>
                <w:iCs/>
                <w:szCs w:val="21"/>
                <w:lang w:eastAsia="zh-CN"/>
              </w:rPr>
            </w:pPr>
            <w:r>
              <w:rPr>
                <w:rFonts w:hint="eastAsia" w:cs="宋体" w:asciiTheme="minorEastAsia" w:hAnsiTheme="minorEastAsia" w:eastAsiaTheme="minorEastAsia"/>
                <w:szCs w:val="21"/>
                <w:highlight w:val="none"/>
                <w:u w:val="none"/>
                <w:lang w:eastAsia="zh-CN"/>
              </w:rPr>
              <w:t>湖南万达项目管理有限公司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highlight w:val="none"/>
                <w:u w:val="none"/>
                <w:lang w:val="en-US" w:eastAsia="zh-CN"/>
              </w:rPr>
              <w:t>545758.00</w:t>
            </w:r>
            <w:r>
              <w:rPr>
                <w:rFonts w:hint="eastAsia" w:cs="宋体" w:asciiTheme="minorEastAsia" w:hAnsiTheme="minorEastAsia" w:eastAsiaTheme="minorEastAsia"/>
                <w:szCs w:val="21"/>
                <w:highlight w:val="none"/>
                <w:u w:val="none"/>
              </w:rPr>
              <w:t>元</w:t>
            </w:r>
            <w:r>
              <w:rPr>
                <w:rFonts w:hint="eastAsia" w:ascii="宋体" w:hAnsi="宋体" w:cs="宋体"/>
                <w:szCs w:val="21"/>
                <w:highlight w:val="none"/>
              </w:rPr>
              <w:t>，</w:t>
            </w:r>
            <w:r>
              <w:rPr>
                <w:rFonts w:hint="eastAsia" w:ascii="宋体" w:hAnsi="宋体" w:cs="宋体"/>
                <w:b/>
                <w:bCs/>
                <w:szCs w:val="21"/>
              </w:rPr>
              <w:t>不超过最高限价的谈判报价为有效报价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spacing w:line="360" w:lineRule="auto"/>
              <w:jc w:val="left"/>
              <w:rPr>
                <w:rFonts w:hint="default" w:ascii="宋体" w:hAnsi="宋体" w:cs="宋体"/>
                <w:lang w:val="en-US" w:eastAsia="zh-CN"/>
              </w:rPr>
            </w:pPr>
            <w:r>
              <w:rPr>
                <w:rFonts w:hint="eastAsia" w:ascii="宋体" w:hAnsi="宋体" w:cs="宋体"/>
                <w:bCs/>
                <w:lang w:val="en-US" w:eastAsia="zh-CN"/>
              </w:rPr>
              <w:t>2.</w:t>
            </w:r>
            <w:r>
              <w:rPr>
                <w:rFonts w:hint="eastAsia" w:ascii="宋体" w:hAnsi="宋体" w:cs="宋体"/>
                <w:bCs/>
                <w:highlight w:val="none"/>
                <w:lang w:val="en-US" w:eastAsia="zh-CN"/>
              </w:rPr>
              <w:t>谈判单位在本项目响应文件递交截止之日前36个月内单项合同金额不少于25万元的大屏幕系统维护保养相关业绩。</w:t>
            </w:r>
            <w:r>
              <w:rPr>
                <w:rFonts w:hint="eastAsia" w:ascii="宋体" w:hAnsi="宋体" w:cs="宋体"/>
                <w:bCs/>
                <w:lang w:val="en-US" w:eastAsia="zh-CN"/>
              </w:rPr>
              <w:t>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jc w:val="left"/>
              <w:rPr>
                <w:rFonts w:ascii="宋体" w:hAnsi="宋体" w:cs="宋体"/>
              </w:rPr>
            </w:pPr>
            <w:r>
              <w:rPr>
                <w:rFonts w:hint="eastAsia" w:ascii="宋体" w:hAnsi="宋体" w:cs="宋体"/>
                <w:lang w:val="en-US" w:eastAsia="zh-CN"/>
              </w:rPr>
              <w:t>3</w:t>
            </w:r>
            <w:r>
              <w:rPr>
                <w:rFonts w:hint="eastAsia" w:ascii="宋体" w:hAnsi="宋体" w:cs="宋体"/>
              </w:rPr>
              <w:t>.本次谈判不接受联合体形式参与谈判。</w:t>
            </w:r>
          </w:p>
          <w:p>
            <w:pPr>
              <w:pStyle w:val="26"/>
              <w:adjustRightInd w:val="0"/>
              <w:snapToGrid w:val="0"/>
              <w:spacing w:line="360" w:lineRule="auto"/>
              <w:jc w:val="left"/>
              <w:rPr>
                <w:rFonts w:cs="宋体" w:asciiTheme="minorEastAsia" w:hAnsiTheme="minorEastAsia" w:eastAsiaTheme="minorEastAsia"/>
                <w:szCs w:val="21"/>
              </w:rPr>
            </w:pPr>
            <w:r>
              <w:rPr>
                <w:rFonts w:hint="eastAsia" w:ascii="宋体" w:hAnsi="宋体" w:cs="宋体"/>
                <w:lang w:val="en-US" w:eastAsia="zh-CN"/>
              </w:rPr>
              <w:t>4</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hAnsi="宋体"/>
                <w:highlight w:val="none"/>
              </w:rPr>
              <w:t>202</w:t>
            </w:r>
            <w:r>
              <w:rPr>
                <w:rFonts w:hint="eastAsia" w:hAnsi="宋体"/>
                <w:highlight w:val="none"/>
                <w:lang w:val="en-US" w:eastAsia="zh-CN"/>
              </w:rPr>
              <w:t>1</w:t>
            </w:r>
            <w:r>
              <w:rPr>
                <w:rFonts w:hint="eastAsia" w:hAnsi="宋体"/>
                <w:highlight w:val="none"/>
              </w:rPr>
              <w:t>年</w:t>
            </w:r>
            <w:r>
              <w:rPr>
                <w:rFonts w:hint="eastAsia" w:hAnsi="宋体"/>
                <w:highlight w:val="none"/>
                <w:lang w:val="en-US" w:eastAsia="zh-CN"/>
              </w:rPr>
              <w:t>08</w:t>
            </w:r>
            <w:r>
              <w:rPr>
                <w:rFonts w:hint="eastAsia" w:hAnsi="宋体"/>
                <w:highlight w:val="none"/>
              </w:rPr>
              <w:t>月</w:t>
            </w:r>
            <w:r>
              <w:rPr>
                <w:rFonts w:hint="eastAsia" w:hAnsi="宋体"/>
                <w:highlight w:val="none"/>
                <w:lang w:val="en-US" w:eastAsia="zh-CN"/>
              </w:rPr>
              <w:t>11</w:t>
            </w:r>
            <w:r>
              <w:rPr>
                <w:rFonts w:hint="eastAsia" w:hAnsi="宋体"/>
                <w:highlight w:val="none"/>
              </w:rPr>
              <w:t>日</w:t>
            </w:r>
            <w:r>
              <w:rPr>
                <w:rFonts w:hint="eastAsia" w:cs="宋体" w:asciiTheme="minorEastAsia" w:hAnsiTheme="minorEastAsia" w:eastAsiaTheme="minorEastAsia"/>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ascii="宋体" w:hAnsi="宋体" w:eastAsia="宋体" w:cs="宋体"/>
                <w:color w:val="auto"/>
                <w:szCs w:val="22"/>
                <w:highlight w:val="none"/>
              </w:rPr>
              <w:t>谈判答疑文件应以书面形式递交至</w:t>
            </w:r>
            <w:r>
              <w:rPr>
                <w:rFonts w:hint="eastAsia" w:ascii="宋体" w:hAnsi="宋体" w:eastAsia="宋体" w:cs="宋体"/>
                <w:bCs/>
                <w:color w:val="auto"/>
                <w:highlight w:val="none"/>
                <w:lang w:eastAsia="zh-CN"/>
              </w:rPr>
              <w:t>湖南万达项目管理有限公司</w:t>
            </w:r>
            <w:r>
              <w:rPr>
                <w:rFonts w:hint="eastAsia" w:ascii="宋体" w:hAnsi="宋体" w:eastAsia="宋体" w:cs="宋体"/>
                <w:bCs/>
                <w:color w:val="auto"/>
                <w:highlight w:val="none"/>
              </w:rPr>
              <w:t>（</w:t>
            </w:r>
            <w:r>
              <w:rPr>
                <w:rFonts w:hint="eastAsia" w:ascii="宋体" w:hAnsi="宋体" w:eastAsia="宋体" w:cs="宋体"/>
                <w:bCs/>
                <w:color w:val="auto"/>
                <w:highlight w:val="none"/>
                <w:u w:val="none"/>
              </w:rPr>
              <w:t>长沙市雨花区劳动东路旭辉国际广场C2栋1707-1715</w:t>
            </w:r>
            <w:r>
              <w:rPr>
                <w:rFonts w:hint="eastAsia" w:ascii="宋体" w:hAnsi="宋体" w:eastAsia="宋体" w:cs="宋体"/>
                <w:bCs/>
                <w:color w:val="auto"/>
                <w:highlight w:val="none"/>
              </w:rPr>
              <w:t>）</w:t>
            </w:r>
            <w:r>
              <w:rPr>
                <w:rFonts w:hint="eastAsia" w:ascii="宋体" w:hAnsi="宋体" w:eastAsia="宋体" w:cs="宋体"/>
                <w:color w:val="auto"/>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bCs/>
                <w:szCs w:val="21"/>
                <w:highlight w:val="none"/>
                <w:u w:val="none"/>
              </w:rPr>
              <w:t>202</w:t>
            </w:r>
            <w:r>
              <w:rPr>
                <w:rFonts w:hint="eastAsia" w:ascii="宋体" w:hAnsi="宋体"/>
                <w:bCs/>
                <w:szCs w:val="21"/>
                <w:highlight w:val="none"/>
                <w:u w:val="none"/>
                <w:lang w:val="en-US" w:eastAsia="zh-CN"/>
              </w:rPr>
              <w:t>1</w:t>
            </w:r>
            <w:r>
              <w:rPr>
                <w:rFonts w:ascii="宋体" w:hAnsi="宋体"/>
                <w:bCs/>
                <w:szCs w:val="21"/>
                <w:highlight w:val="none"/>
                <w:u w:val="none"/>
              </w:rPr>
              <w:t>年</w:t>
            </w:r>
            <w:r>
              <w:rPr>
                <w:rFonts w:hint="eastAsia" w:ascii="宋体" w:hAnsi="宋体"/>
                <w:bCs/>
                <w:szCs w:val="21"/>
                <w:highlight w:val="none"/>
                <w:u w:val="none"/>
                <w:lang w:val="en-US" w:eastAsia="zh-CN"/>
              </w:rPr>
              <w:t>08</w:t>
            </w:r>
            <w:r>
              <w:rPr>
                <w:rFonts w:ascii="宋体" w:hAnsi="宋体"/>
                <w:bCs/>
                <w:szCs w:val="21"/>
                <w:highlight w:val="none"/>
                <w:u w:val="none"/>
              </w:rPr>
              <w:t>月</w:t>
            </w:r>
            <w:r>
              <w:rPr>
                <w:rFonts w:hint="eastAsia" w:ascii="宋体" w:hAnsi="宋体"/>
                <w:bCs/>
                <w:szCs w:val="21"/>
                <w:highlight w:val="none"/>
                <w:u w:val="none"/>
                <w:lang w:val="en-US" w:eastAsia="zh-CN"/>
              </w:rPr>
              <w:t>18</w:t>
            </w:r>
            <w:r>
              <w:rPr>
                <w:rFonts w:ascii="宋体" w:hAnsi="宋体"/>
                <w:bCs/>
                <w:szCs w:val="21"/>
                <w:highlight w:val="none"/>
                <w:u w:val="none"/>
              </w:rPr>
              <w:t>日</w:t>
            </w:r>
            <w:r>
              <w:rPr>
                <w:rFonts w:hint="eastAsia" w:cs="宋体" w:asciiTheme="minorEastAsia" w:hAnsiTheme="minorEastAsia" w:eastAsiaTheme="minorEastAsia"/>
                <w:highlight w:val="none"/>
                <w:u w:val="none"/>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highlight w:val="none"/>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iCs/>
                <w:szCs w:val="21"/>
              </w:rPr>
              <w:t>本项目采用</w:t>
            </w:r>
            <w:r>
              <w:rPr>
                <w:rFonts w:hint="eastAsia" w:cs="宋体" w:asciiTheme="minorEastAsia" w:hAnsiTheme="minorEastAsia" w:eastAsiaTheme="minorEastAsia"/>
                <w:iCs/>
                <w:szCs w:val="21"/>
                <w:lang w:eastAsia="zh-CN"/>
              </w:rPr>
              <w:t>总</w:t>
            </w:r>
            <w:r>
              <w:rPr>
                <w:rFonts w:hint="eastAsia" w:cs="宋体" w:asciiTheme="minorEastAsia" w:hAnsiTheme="minorEastAsia" w:eastAsiaTheme="minorEastAsia"/>
                <w:iCs/>
                <w:szCs w:val="21"/>
              </w:rPr>
              <w:t>价合同方式（除税率调整外，合同总价（即中标总价/中选总价/成交总价）在合同执行过程中固定不变，不随政府政策（长沙市规定的最低工资标准变化等）及市场物价上涨或回落等因素调整）</w:t>
            </w:r>
            <w:r>
              <w:rPr>
                <w:rFonts w:hint="eastAsia" w:cs="宋体" w:asciiTheme="minorEastAsia" w:hAnsiTheme="minorEastAsia" w:eastAsiaTheme="minorEastAsia"/>
                <w:iCs/>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highlight w:val="none"/>
              </w:rPr>
              <w:t>项目支付方式</w:t>
            </w:r>
          </w:p>
        </w:tc>
        <w:tc>
          <w:tcPr>
            <w:tcW w:w="7510" w:type="dxa"/>
            <w:vAlign w:val="center"/>
          </w:tcPr>
          <w:p>
            <w:pPr>
              <w:adjustRightInd w:val="0"/>
              <w:snapToGrid w:val="0"/>
              <w:spacing w:line="360" w:lineRule="auto"/>
              <w:jc w:val="left"/>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lang w:val="en-US" w:eastAsia="zh-CN"/>
              </w:rPr>
              <w:t>1.</w:t>
            </w:r>
            <w:r>
              <w:rPr>
                <w:rFonts w:hint="eastAsia" w:cs="宋体" w:asciiTheme="minorEastAsia" w:hAnsiTheme="minorEastAsia" w:eastAsiaTheme="minorEastAsia"/>
                <w:iCs/>
                <w:szCs w:val="21"/>
              </w:rPr>
              <w:t>预付款</w:t>
            </w:r>
          </w:p>
          <w:p>
            <w:pPr>
              <w:adjustRightInd w:val="0"/>
              <w:snapToGrid w:val="0"/>
              <w:spacing w:line="360" w:lineRule="auto"/>
              <w:jc w:val="left"/>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rPr>
              <w:t>本项目无预付款。</w:t>
            </w:r>
          </w:p>
          <w:p>
            <w:pPr>
              <w:adjustRightInd w:val="0"/>
              <w:snapToGrid w:val="0"/>
              <w:spacing w:line="360" w:lineRule="auto"/>
              <w:jc w:val="left"/>
              <w:rPr>
                <w:rFonts w:hint="eastAsia" w:cs="宋体" w:asciiTheme="minorEastAsia" w:hAnsiTheme="minorEastAsia" w:eastAsiaTheme="minorEastAsia"/>
                <w:iCs/>
                <w:szCs w:val="21"/>
                <w:lang w:val="en-US" w:eastAsia="zh-CN"/>
              </w:rPr>
            </w:pPr>
            <w:r>
              <w:rPr>
                <w:rFonts w:hint="eastAsia" w:cs="宋体" w:asciiTheme="minorEastAsia" w:hAnsiTheme="minorEastAsia" w:eastAsiaTheme="minorEastAsia"/>
                <w:iCs/>
                <w:szCs w:val="21"/>
                <w:lang w:val="en-US" w:eastAsia="zh-CN"/>
              </w:rPr>
              <w:t>2.中间付款</w:t>
            </w:r>
          </w:p>
          <w:p>
            <w:pPr>
              <w:adjustRightInd w:val="0"/>
              <w:snapToGrid w:val="0"/>
              <w:spacing w:line="360" w:lineRule="auto"/>
              <w:jc w:val="left"/>
              <w:rPr>
                <w:rFonts w:hint="eastAsia" w:cs="宋体" w:asciiTheme="minorEastAsia" w:hAnsiTheme="minorEastAsia" w:eastAsiaTheme="minorEastAsia"/>
                <w:iCs/>
                <w:szCs w:val="21"/>
                <w:lang w:val="en-US" w:eastAsia="zh-CN"/>
              </w:rPr>
            </w:pPr>
            <w:r>
              <w:rPr>
                <w:rFonts w:hint="eastAsia" w:cs="宋体" w:asciiTheme="minorEastAsia" w:hAnsiTheme="minorEastAsia" w:eastAsiaTheme="minorEastAsia"/>
                <w:iCs/>
                <w:szCs w:val="21"/>
                <w:lang w:val="en-US" w:eastAsia="zh-CN"/>
              </w:rPr>
              <w:t>付款周期为每季度支付一次。每次为按签约合同价的90%平均到每个付款周期，并依据甲方对乙方的考核结果向乙方支付上一个付款周期的价款；中间支付的累计付款金额不超过签约合同价的90%。</w:t>
            </w:r>
          </w:p>
          <w:p>
            <w:pPr>
              <w:adjustRightInd w:val="0"/>
              <w:snapToGrid w:val="0"/>
              <w:spacing w:line="360" w:lineRule="auto"/>
              <w:jc w:val="left"/>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rPr>
              <w:t>上述款项在甲方收到乙方的经甲方审批同意支付申请、增值税专用发票及有效期内的履约担保复印件等相关资料后28个工作日内支付。</w:t>
            </w:r>
          </w:p>
          <w:p>
            <w:pPr>
              <w:adjustRightInd w:val="0"/>
              <w:snapToGrid w:val="0"/>
              <w:spacing w:line="360" w:lineRule="auto"/>
              <w:jc w:val="left"/>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lang w:val="en-US" w:eastAsia="zh-CN"/>
              </w:rPr>
              <w:t>3.</w:t>
            </w:r>
            <w:r>
              <w:rPr>
                <w:rFonts w:hint="eastAsia" w:cs="宋体" w:asciiTheme="minorEastAsia" w:hAnsiTheme="minorEastAsia" w:eastAsiaTheme="minorEastAsia"/>
                <w:iCs/>
                <w:szCs w:val="21"/>
              </w:rPr>
              <w:t>最终付款</w:t>
            </w:r>
          </w:p>
          <w:p>
            <w:pPr>
              <w:adjustRightInd w:val="0"/>
              <w:snapToGrid w:val="0"/>
              <w:spacing w:line="360" w:lineRule="auto"/>
              <w:jc w:val="left"/>
              <w:rPr>
                <w:rFonts w:cs="宋体" w:asciiTheme="minorEastAsia" w:hAnsiTheme="minorEastAsia" w:eastAsiaTheme="minorEastAsia"/>
                <w:color w:val="000000"/>
              </w:rPr>
            </w:pPr>
            <w:r>
              <w:rPr>
                <w:rFonts w:hint="eastAsia" w:cs="宋体" w:asciiTheme="minorEastAsia" w:hAnsiTheme="minorEastAsia" w:eastAsiaTheme="minorEastAsia"/>
                <w:iCs/>
                <w:szCs w:val="21"/>
              </w:rPr>
              <w:t>乙方按合同约定完成全部工作、项目通过最终验收，且□本项目的合同价格（即结算价格）经长沙市政府相关职能部门或长沙市轨道交通集团有限公司授权的单位审定/</w:t>
            </w:r>
            <w:r>
              <w:rPr>
                <w:rFonts w:hint="eastAsia" w:cs="宋体" w:asciiTheme="minorEastAsia" w:hAnsiTheme="minorEastAsia" w:eastAsiaTheme="minorEastAsia"/>
                <w:iCs/>
                <w:szCs w:val="21"/>
              </w:rPr>
              <w:sym w:font="Wingdings 2" w:char="0052"/>
            </w:r>
            <w:r>
              <w:rPr>
                <w:rFonts w:hint="eastAsia" w:cs="宋体" w:asciiTheme="minorEastAsia" w:hAnsiTheme="minorEastAsia" w:eastAsiaTheme="minorEastAsia"/>
                <w:iCs/>
                <w:szCs w:val="21"/>
              </w:rPr>
              <w:t>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spacing w:line="360" w:lineRule="auto"/>
              <w:rPr>
                <w:rFonts w:hint="eastAsia" w:cs="宋体" w:asciiTheme="minorEastAsia" w:hAnsiTheme="minorEastAsia" w:eastAsiaTheme="minorEastAsia"/>
                <w:iCs/>
                <w:szCs w:val="21"/>
              </w:rPr>
            </w:pPr>
            <w:r>
              <w:rPr>
                <w:rFonts w:hint="eastAsia" w:cs="宋体" w:asciiTheme="minorEastAsia" w:hAnsiTheme="minorEastAsia" w:eastAsiaTheme="minorEastAsia"/>
                <w:iCs/>
                <w:szCs w:val="21"/>
              </w:rPr>
              <w:t>长沙市轨道交通集团有限公司</w:t>
            </w:r>
            <w:r>
              <w:rPr>
                <w:rFonts w:hint="eastAsia" w:cs="宋体" w:asciiTheme="minorEastAsia" w:hAnsiTheme="minorEastAsia" w:eastAsiaTheme="minorEastAsia"/>
                <w:iCs/>
                <w:szCs w:val="21"/>
              </w:rPr>
              <w:fldChar w:fldCharType="begin"/>
            </w:r>
            <w:r>
              <w:rPr>
                <w:rFonts w:hint="eastAsia" w:cs="宋体" w:asciiTheme="minorEastAsia" w:hAnsiTheme="minorEastAsia" w:eastAsiaTheme="minorEastAsia"/>
                <w:iCs/>
                <w:szCs w:val="21"/>
              </w:rPr>
              <w:instrText xml:space="preserve"> HYPERLINK "http://www.hncsmtr.com/" </w:instrText>
            </w:r>
            <w:r>
              <w:rPr>
                <w:rFonts w:hint="eastAsia" w:cs="宋体" w:asciiTheme="minorEastAsia" w:hAnsiTheme="minorEastAsia" w:eastAsiaTheme="minorEastAsia"/>
                <w:iCs/>
                <w:szCs w:val="21"/>
              </w:rPr>
              <w:fldChar w:fldCharType="separate"/>
            </w:r>
            <w:r>
              <w:rPr>
                <w:rFonts w:hint="eastAsia" w:cs="宋体" w:asciiTheme="minorEastAsia" w:hAnsiTheme="minorEastAsia" w:eastAsiaTheme="minorEastAsia"/>
                <w:iCs/>
                <w:szCs w:val="21"/>
              </w:rPr>
              <w:t>http://www.hncsmtr.com/</w:t>
            </w:r>
            <w:r>
              <w:rPr>
                <w:rFonts w:hint="eastAsia" w:cs="宋体" w:asciiTheme="minorEastAsia" w:hAnsiTheme="minorEastAsia" w:eastAsiaTheme="minorEastAsia"/>
                <w:iCs/>
                <w:szCs w:val="21"/>
              </w:rPr>
              <w:fldChar w:fldCharType="end"/>
            </w:r>
          </w:p>
          <w:p>
            <w:pPr>
              <w:spacing w:line="360" w:lineRule="auto"/>
            </w:pPr>
            <w:r>
              <w:rPr>
                <w:rFonts w:hint="eastAsia" w:cs="宋体" w:asciiTheme="minorEastAsia" w:hAnsiTheme="minorEastAsia" w:eastAsiaTheme="minorEastAsia"/>
                <w:iCs/>
                <w:szCs w:val="21"/>
                <w:lang w:val="en-US" w:eastAsia="zh-CN"/>
              </w:rPr>
              <w:t>中国招标投标公共服务平台http://www.cebpubservice.com/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191" w:right="1417" w:bottom="1191" w:left="1191"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1" w:name="_Toc934"/>
      <w:r>
        <w:rPr>
          <w:rFonts w:hint="eastAsia" w:cs="宋体" w:asciiTheme="minorEastAsia" w:hAnsiTheme="minorEastAsia" w:eastAsiaTheme="minorEastAsia"/>
          <w:sz w:val="32"/>
        </w:rPr>
        <w:t>谈判须知正文</w:t>
      </w:r>
      <w:bookmarkEnd w:id="11"/>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11459"/>
      <w:r>
        <w:rPr>
          <w:rFonts w:hint="eastAsia" w:asciiTheme="minorEastAsia" w:hAnsiTheme="minorEastAsia" w:eastAsiaTheme="minorEastAsia"/>
          <w:b/>
          <w:iCs/>
        </w:rPr>
        <w:t>一、说明</w:t>
      </w:r>
      <w:bookmarkEnd w:id="12"/>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4016"/>
      <w:r>
        <w:rPr>
          <w:rFonts w:hint="eastAsia" w:asciiTheme="minorEastAsia" w:hAnsiTheme="minorEastAsia" w:eastAsiaTheme="minorEastAsia"/>
          <w:b/>
          <w:iCs/>
        </w:rPr>
        <w:t>二、谈判文件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4" w:name="_Toc32270"/>
      <w:r>
        <w:rPr>
          <w:rFonts w:hint="eastAsia" w:asciiTheme="minorEastAsia" w:hAnsiTheme="minorEastAsia" w:eastAsiaTheme="minorEastAsia"/>
          <w:b/>
          <w:iCs/>
        </w:rPr>
        <w:t>三、响应文件</w:t>
      </w:r>
      <w:bookmarkEnd w:id="14"/>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10.6</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文件应当对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文件的实质性要求和条件作出满足性或更有利于</w:t>
      </w:r>
      <w:r>
        <w:rPr>
          <w:rFonts w:hint="eastAsia" w:asciiTheme="minorEastAsia" w:hAnsiTheme="minorEastAsia" w:eastAsiaTheme="minorEastAsia"/>
          <w:szCs w:val="21"/>
          <w:lang w:eastAsia="zh-CN"/>
        </w:rPr>
        <w:t>采购单位</w:t>
      </w:r>
      <w:r>
        <w:rPr>
          <w:rFonts w:hint="eastAsia" w:asciiTheme="minorEastAsia" w:hAnsiTheme="minorEastAsia" w:eastAsiaTheme="minorEastAsia"/>
          <w:szCs w:val="21"/>
        </w:rPr>
        <w:t>的响应，</w:t>
      </w:r>
      <w:bookmarkStart w:id="15" w:name="page22"/>
      <w:bookmarkEnd w:id="15"/>
      <w:r>
        <w:rPr>
          <w:rFonts w:hint="eastAsia" w:asciiTheme="minorEastAsia" w:hAnsiTheme="minorEastAsia" w:eastAsiaTheme="minorEastAsia"/>
          <w:szCs w:val="21"/>
        </w:rPr>
        <w:t>否则，</w:t>
      </w:r>
      <w:r>
        <w:rPr>
          <w:rFonts w:hint="eastAsia" w:asciiTheme="minorEastAsia" w:hAnsiTheme="minorEastAsia" w:eastAsiaTheme="minorEastAsia"/>
          <w:szCs w:val="21"/>
          <w:lang w:eastAsia="zh-CN"/>
        </w:rPr>
        <w:t>谈判单位</w:t>
      </w:r>
      <w:r>
        <w:rPr>
          <w:rFonts w:hint="eastAsia" w:asciiTheme="minorEastAsia" w:hAnsiTheme="minorEastAsia" w:eastAsiaTheme="minorEastAsia"/>
          <w:szCs w:val="21"/>
        </w:rPr>
        <w:t>的投标将被否决。实质性要求和条件见</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须知前附表。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（5）服务方案</w:t>
      </w:r>
      <w:r>
        <w:rPr>
          <w:rFonts w:hint="eastAsia" w:asciiTheme="minorEastAsia" w:hAnsiTheme="minorEastAsia" w:eastAsiaTheme="minorEastAsia"/>
        </w:rPr>
        <w:t>（如有）</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）报价一览表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7</w:t>
      </w:r>
      <w:r>
        <w:rPr>
          <w:rFonts w:hint="eastAsia" w:asciiTheme="minorEastAsia" w:hAnsiTheme="minorEastAsia" w:eastAsiaTheme="minorEastAsia"/>
        </w:rPr>
        <w:t>）其他资料（如有）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谈判单位所报的总价不得超过</w:t>
      </w:r>
      <w:r>
        <w:rPr>
          <w:rFonts w:hint="eastAsia" w:hAnsi="宋体" w:cs="宋体"/>
          <w:iCs/>
          <w:highlight w:val="none"/>
        </w:rPr>
        <w:t>最高限价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bCs/>
          <w:szCs w:val="21"/>
          <w:highlight w:val="yellow"/>
        </w:rPr>
      </w:pPr>
      <w:r>
        <w:rPr>
          <w:rFonts w:hint="eastAsia" w:asciiTheme="minorEastAsia" w:hAnsiTheme="minorEastAsia" w:eastAsiaTheme="minorEastAsia"/>
          <w:szCs w:val="21"/>
          <w:highlight w:val="none"/>
        </w:rPr>
        <w:t>12.8</w:t>
      </w:r>
      <w:r>
        <w:rPr>
          <w:rFonts w:hint="eastAsia" w:cs="Times New Roman" w:asciiTheme="minorEastAsia" w:hAnsiTheme="minorEastAsia" w:eastAsiaTheme="minorEastAsia"/>
          <w:bCs/>
          <w:szCs w:val="21"/>
          <w:highlight w:val="none"/>
          <w:lang w:val="en-US" w:eastAsia="zh-CN"/>
        </w:rPr>
        <w:t>总价合同</w:t>
      </w:r>
      <w:r>
        <w:rPr>
          <w:rFonts w:hint="eastAsia" w:cs="Courier New" w:asciiTheme="minorEastAsia" w:hAnsiTheme="minorEastAsia" w:eastAsiaTheme="minorEastAsia"/>
          <w:kern w:val="2"/>
          <w:sz w:val="21"/>
          <w:szCs w:val="21"/>
          <w:lang w:val="en-US" w:eastAsia="zh-CN" w:bidi="ar-SA"/>
        </w:rPr>
        <w:t>（除税率调整外，合同总价（即中标总价/中选总价/成交总价）在合同执行过程中固定不变，不随政府政策（长沙市规定的最低工资标准变化等）及市场物价上涨或回落等因素调整）。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6070"/>
      <w:r>
        <w:rPr>
          <w:rFonts w:hint="eastAsia" w:asciiTheme="minorEastAsia" w:hAnsiTheme="minorEastAsia" w:eastAsiaTheme="minorEastAsia"/>
          <w:b/>
          <w:iCs/>
        </w:rPr>
        <w:t>四、响应文件的递交</w:t>
      </w:r>
      <w:bookmarkEnd w:id="16"/>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24040"/>
      <w:r>
        <w:rPr>
          <w:rFonts w:hint="eastAsia" w:asciiTheme="minorEastAsia" w:hAnsiTheme="minorEastAsia" w:eastAsiaTheme="minorEastAsia"/>
          <w:b/>
          <w:iCs/>
        </w:rPr>
        <w:t>五、响应文件的评审</w:t>
      </w:r>
      <w:bookmarkEnd w:id="17"/>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8" w:name="_Toc19842"/>
      <w:r>
        <w:rPr>
          <w:rFonts w:hint="eastAsia" w:asciiTheme="minorEastAsia" w:hAnsiTheme="minorEastAsia" w:eastAsiaTheme="minorEastAsia"/>
          <w:b/>
          <w:iCs/>
        </w:rPr>
        <w:t>六、响应文件的澄清、说明及补正</w:t>
      </w:r>
      <w:bookmarkEnd w:id="18"/>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9" w:name="_Toc1303"/>
      <w:r>
        <w:rPr>
          <w:rFonts w:hint="eastAsia" w:asciiTheme="minorEastAsia" w:hAnsiTheme="minorEastAsia" w:eastAsiaTheme="minorEastAsia"/>
          <w:b/>
          <w:iCs/>
        </w:rPr>
        <w:t>七、中选结果与授予合同</w:t>
      </w:r>
      <w:bookmarkEnd w:id="19"/>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20" w:name="page32"/>
      <w:bookmarkEnd w:id="20"/>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2" w:firstLineChars="200"/>
        <w:outlineLvl w:val="1"/>
        <w:rPr>
          <w:rFonts w:cs="宋体" w:asciiTheme="minorEastAsia" w:hAnsiTheme="minorEastAsia" w:eastAsiaTheme="minorEastAsia"/>
        </w:rPr>
      </w:pPr>
      <w:bookmarkStart w:id="21" w:name="_Toc9305"/>
      <w:r>
        <w:rPr>
          <w:rFonts w:hint="eastAsia" w:cs="宋体" w:asciiTheme="minorEastAsia" w:hAnsiTheme="minorEastAsia" w:eastAsiaTheme="minorEastAsia"/>
          <w:b/>
          <w:bCs/>
        </w:rPr>
        <w:t>八、</w:t>
      </w:r>
      <w:r>
        <w:rPr>
          <w:rFonts w:hint="eastAsia" w:asciiTheme="minorEastAsia" w:hAnsiTheme="minorEastAsia" w:eastAsiaTheme="minorEastAsia"/>
          <w:b/>
          <w:bCs/>
          <w:iCs/>
        </w:rPr>
        <w:t>其</w:t>
      </w:r>
      <w:r>
        <w:rPr>
          <w:rFonts w:hint="eastAsia" w:asciiTheme="minorEastAsia" w:hAnsiTheme="minorEastAsia" w:eastAsiaTheme="minorEastAsia"/>
          <w:b/>
          <w:iCs/>
        </w:rPr>
        <w:t>他</w:t>
      </w:r>
      <w:bookmarkEnd w:id="21"/>
    </w:p>
    <w:p>
      <w:pPr>
        <w:pStyle w:val="215"/>
        <w:ind w:firstLine="420" w:firstLineChars="200"/>
        <w:jc w:val="both"/>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w:t>
      </w:r>
      <w:r>
        <w:rPr>
          <w:rFonts w:hint="eastAsia" w:asciiTheme="minorEastAsia" w:hAnsiTheme="minorEastAsia" w:eastAsiaTheme="minorEastAsia"/>
          <w:sz w:val="21"/>
          <w:szCs w:val="21"/>
          <w:lang w:eastAsia="zh-CN"/>
        </w:rPr>
        <w:t>理。</w:t>
      </w:r>
    </w:p>
    <w:p>
      <w:pPr>
        <w:adjustRightInd w:val="0"/>
        <w:snapToGri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080" w:bottom="1440" w:left="108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adjustRightInd w:val="0"/>
        <w:snapToGrid w:val="0"/>
        <w:spacing w:line="360" w:lineRule="auto"/>
        <w:ind w:firstLine="420" w:firstLineChars="200"/>
        <w:rPr>
          <w:rFonts w:hint="eastAsia" w:asciiTheme="minorEastAsia" w:hAnsiTheme="minorEastAsia" w:eastAsiaTheme="minorEastAsia"/>
          <w:szCs w:val="21"/>
          <w:lang w:eastAsia="zh-CN"/>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22" w:name="_Toc10493"/>
      <w:r>
        <w:rPr>
          <w:rFonts w:hint="eastAsia" w:cs="宋体" w:asciiTheme="minorEastAsia" w:hAnsiTheme="minorEastAsia" w:eastAsiaTheme="minorEastAsia"/>
          <w:bCs w:val="0"/>
          <w:sz w:val="32"/>
          <w:szCs w:val="32"/>
        </w:rPr>
        <w:t>第三章 评审办法及标准</w:t>
      </w:r>
      <w:bookmarkEnd w:id="22"/>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3" w:name="_Toc5767"/>
      <w:r>
        <w:rPr>
          <w:rFonts w:hint="eastAsia" w:cs="宋体" w:asciiTheme="minorEastAsia" w:hAnsiTheme="minorEastAsia" w:eastAsiaTheme="minorEastAsia"/>
          <w:b/>
        </w:rPr>
        <w:t>一、评审办法</w:t>
      </w:r>
      <w:bookmarkEnd w:id="23"/>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4" w:name="_Toc13176"/>
      <w:r>
        <w:rPr>
          <w:rFonts w:hint="eastAsia" w:cs="宋体" w:asciiTheme="minorEastAsia" w:hAnsiTheme="minorEastAsia" w:eastAsiaTheme="minorEastAsia"/>
          <w:b/>
        </w:rPr>
        <w:t>二、谈判程序</w:t>
      </w:r>
      <w:bookmarkEnd w:id="24"/>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5" w:name="_Toc25638"/>
      <w:r>
        <w:rPr>
          <w:rFonts w:hint="eastAsia" w:cs="宋体" w:asciiTheme="minorEastAsia" w:hAnsiTheme="minorEastAsia" w:eastAsiaTheme="minorEastAsia"/>
          <w:b/>
          <w:szCs w:val="21"/>
        </w:rPr>
        <w:t>三、谈判验证阶段</w:t>
      </w:r>
      <w:bookmarkEnd w:id="25"/>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6" w:name="_Toc21262"/>
      <w:r>
        <w:rPr>
          <w:rFonts w:hint="eastAsia" w:cs="宋体" w:asciiTheme="minorEastAsia" w:hAnsiTheme="minorEastAsia" w:eastAsiaTheme="minorEastAsia"/>
          <w:b/>
          <w:szCs w:val="21"/>
        </w:rPr>
        <w:t>四、谈判评审阶段</w:t>
      </w:r>
      <w:bookmarkEnd w:id="26"/>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最高限价的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（8）被长沙市轨道交通集团有限公司及长沙市轨道交通运营有限公司函告禁止在一定期限内参与投标的单位按函告内容执行。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6.3</w:t>
      </w:r>
      <w:r>
        <w:rPr>
          <w:rFonts w:hint="eastAsia" w:ascii="宋体" w:hAnsi="宋体" w:cs="宋体"/>
          <w:kern w:val="0"/>
          <w:szCs w:val="21"/>
        </w:rPr>
        <w:t>中选单位放弃中选、因不可抗力不能履行合同，或者被查实存在影响中选结果的违法行为等情形，不符合中选条件的，采购</w:t>
      </w:r>
      <w:r>
        <w:rPr>
          <w:rFonts w:hint="eastAsia" w:ascii="宋体" w:hAnsi="宋体" w:cs="宋体"/>
          <w:kern w:val="0"/>
          <w:szCs w:val="21"/>
          <w:lang w:eastAsia="zh-CN"/>
        </w:rPr>
        <w:t>单位可以依次确定排序靠后的中选候选单位为中选单位或</w:t>
      </w:r>
      <w:r>
        <w:rPr>
          <w:rFonts w:hint="eastAsia" w:ascii="宋体" w:hAnsi="宋体" w:cs="宋体"/>
          <w:kern w:val="0"/>
          <w:szCs w:val="21"/>
        </w:rPr>
        <w:t>重新采购。</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footerReference r:id="rId9" w:type="default"/>
          <w:pgSz w:w="11906" w:h="16838"/>
          <w:pgMar w:top="1440" w:right="1080" w:bottom="1440" w:left="1080"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7" w:name="_Toc32047"/>
      <w:r>
        <w:rPr>
          <w:rFonts w:hint="eastAsia" w:cs="宋体" w:asciiTheme="minorEastAsia" w:hAnsiTheme="minorEastAsia" w:eastAsiaTheme="minorEastAsia"/>
          <w:bCs w:val="0"/>
          <w:sz w:val="32"/>
          <w:szCs w:val="32"/>
        </w:rPr>
        <w:t>用户需求书</w:t>
      </w:r>
      <w:bookmarkStart w:id="28" w:name="_Toc4401260"/>
      <w:bookmarkStart w:id="29" w:name="_Toc8303500"/>
      <w:bookmarkStart w:id="30" w:name="_Toc5975439"/>
      <w:r>
        <w:rPr>
          <w:rFonts w:hint="eastAsia" w:cs="宋体" w:asciiTheme="minorEastAsia" w:hAnsiTheme="minorEastAsia" w:eastAsiaTheme="minorEastAsia"/>
          <w:bCs w:val="0"/>
          <w:sz w:val="32"/>
          <w:szCs w:val="32"/>
        </w:rPr>
        <w:t>（另册）</w:t>
      </w:r>
      <w:bookmarkEnd w:id="27"/>
    </w:p>
    <w:bookmarkEnd w:id="28"/>
    <w:bookmarkEnd w:id="29"/>
    <w:bookmarkEnd w:id="30"/>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bookmarkStart w:id="31" w:name="_Toc27955"/>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第五章  合同格式条款</w:t>
      </w:r>
      <w:bookmarkEnd w:id="31"/>
    </w:p>
    <w:p>
      <w:pPr>
        <w:spacing w:line="360" w:lineRule="auto"/>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版本号：CSGDHT-SBWB2017-20201215</w:t>
      </w:r>
    </w:p>
    <w:p>
      <w:pPr>
        <w:adjustRightInd w:val="0"/>
        <w:snapToGrid w:val="0"/>
        <w:spacing w:line="400" w:lineRule="exact"/>
        <w:ind w:firstLine="2891" w:firstLineChars="1200"/>
        <w:jc w:val="right"/>
        <w:rPr>
          <w:rFonts w:ascii="仿宋" w:hAnsi="仿宋" w:eastAsia="仿宋"/>
          <w:sz w:val="22"/>
          <w:szCs w:val="18"/>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single"/>
        </w:rPr>
        <w:t xml:space="preserve">         合同【20   】   号</w:t>
      </w:r>
    </w:p>
    <w:p>
      <w:pPr>
        <w:wordWrap w:val="0"/>
        <w:spacing w:line="360" w:lineRule="auto"/>
        <w:jc w:val="right"/>
        <w:rPr>
          <w:rFonts w:hint="default" w:ascii="仿宋_GB2312" w:hAnsi="仿宋_GB2312" w:eastAsia="仿宋_GB2312" w:cs="仿宋_GB2312"/>
          <w:b/>
          <w:sz w:val="52"/>
          <w:lang w:val="en-US" w:eastAsia="zh-CN"/>
        </w:rPr>
      </w:pPr>
      <w:r>
        <w:rPr>
          <w:rFonts w:hint="eastAsia" w:ascii="仿宋_GB2312" w:hAnsi="仿宋_GB2312" w:eastAsia="仿宋_GB2312" w:cs="仿宋_GB2312"/>
          <w:b/>
          <w:sz w:val="24"/>
          <w:lang w:val="en-US" w:eastAsia="zh-CN"/>
        </w:rPr>
        <w:t xml:space="preserve">               </w:t>
      </w:r>
    </w:p>
    <w:p>
      <w:pPr>
        <w:tabs>
          <w:tab w:val="left" w:pos="3105"/>
        </w:tabs>
        <w:snapToGrid w:val="0"/>
        <w:spacing w:line="700" w:lineRule="exact"/>
        <w:rPr>
          <w:rFonts w:hint="eastAsia" w:ascii="仿宋_GB2312" w:hAnsi="仿宋_GB2312" w:eastAsia="仿宋_GB2312" w:cs="仿宋_GB2312"/>
          <w:b/>
          <w:sz w:val="28"/>
          <w:szCs w:val="28"/>
        </w:rPr>
      </w:pPr>
    </w:p>
    <w:p>
      <w:pPr>
        <w:snapToGrid w:val="0"/>
        <w:spacing w:line="700" w:lineRule="exact"/>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pacing w:val="20"/>
          <w:sz w:val="28"/>
          <w:szCs w:val="28"/>
        </w:rPr>
      </w:pPr>
    </w:p>
    <w:p>
      <w:pPr>
        <w:spacing w:line="360" w:lineRule="auto"/>
        <w:jc w:val="center"/>
        <w:rPr>
          <w:rFonts w:hint="eastAsia" w:ascii="宋体" w:hAnsi="宋体" w:eastAsia="宋体" w:cs="宋体"/>
          <w:b/>
          <w:spacing w:val="20"/>
          <w:sz w:val="52"/>
          <w:szCs w:val="52"/>
        </w:rPr>
      </w:pPr>
      <w:r>
        <w:rPr>
          <w:rFonts w:hint="eastAsia" w:ascii="宋体" w:hAnsi="宋体" w:eastAsia="宋体" w:cs="宋体"/>
          <w:b/>
          <w:spacing w:val="20"/>
          <w:sz w:val="52"/>
          <w:szCs w:val="52"/>
        </w:rPr>
        <w:t>设备维修保养服务委外合同</w:t>
      </w:r>
    </w:p>
    <w:p>
      <w:pPr>
        <w:spacing w:before="240" w:beforeLines="100"/>
        <w:jc w:val="center"/>
        <w:rPr>
          <w:rFonts w:hint="eastAsia" w:ascii="宋体" w:hAnsi="宋体" w:eastAsia="宋体" w:cs="宋体"/>
          <w:b/>
          <w:sz w:val="28"/>
          <w:szCs w:val="28"/>
        </w:rPr>
      </w:pPr>
    </w:p>
    <w:p>
      <w:pPr>
        <w:spacing w:before="240" w:beforeLines="100"/>
        <w:jc w:val="center"/>
        <w:rPr>
          <w:rFonts w:hint="eastAsia" w:ascii="宋体" w:hAnsi="宋体" w:eastAsia="宋体" w:cs="宋体"/>
          <w:b/>
          <w:sz w:val="28"/>
          <w:szCs w:val="28"/>
        </w:rPr>
      </w:pPr>
    </w:p>
    <w:p>
      <w:pPr>
        <w:spacing w:before="240" w:beforeLines="100"/>
        <w:jc w:val="center"/>
        <w:rPr>
          <w:rFonts w:hint="eastAsia" w:ascii="宋体" w:hAnsi="宋体" w:eastAsia="宋体" w:cs="宋体"/>
          <w:b/>
          <w:sz w:val="28"/>
          <w:szCs w:val="28"/>
        </w:rPr>
      </w:pPr>
    </w:p>
    <w:p>
      <w:pPr>
        <w:spacing w:before="240" w:beforeLines="100"/>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28"/>
          <w:u w:val="dotted"/>
        </w:rPr>
      </w:pPr>
      <w:r>
        <w:rPr>
          <w:rFonts w:hint="eastAsia" w:ascii="宋体" w:hAnsi="宋体" w:eastAsia="宋体" w:cs="宋体"/>
          <w:b/>
          <w:sz w:val="28"/>
        </w:rPr>
        <w:t>项目名称：</w:t>
      </w:r>
      <w:r>
        <w:rPr>
          <w:rFonts w:hint="eastAsia" w:ascii="宋体" w:hAnsi="宋体" w:eastAsia="宋体" w:cs="宋体"/>
          <w:b/>
          <w:sz w:val="28"/>
          <w:u w:val="single"/>
        </w:rPr>
        <w:t xml:space="preserve"> 长沙市轨道交通2号线运营期2021年-2024年控制中心（OCC）行车指挥大屏幕系统维保服务项目 </w:t>
      </w:r>
    </w:p>
    <w:p>
      <w:pPr>
        <w:adjustRightInd w:val="0"/>
        <w:snapToGrid w:val="0"/>
        <w:spacing w:line="360" w:lineRule="auto"/>
        <w:ind w:firstLine="835" w:firstLineChars="297"/>
        <w:rPr>
          <w:rFonts w:hint="eastAsia" w:ascii="宋体" w:hAnsi="宋体" w:eastAsia="宋体" w:cs="宋体"/>
          <w:b/>
          <w:sz w:val="28"/>
          <w:u w:val="dotted"/>
        </w:rPr>
      </w:pPr>
    </w:p>
    <w:p>
      <w:pPr>
        <w:adjustRightInd w:val="0"/>
        <w:snapToGrid w:val="0"/>
        <w:spacing w:line="360" w:lineRule="auto"/>
        <w:ind w:firstLine="835" w:firstLineChars="297"/>
        <w:rPr>
          <w:rFonts w:hint="eastAsia" w:ascii="宋体" w:hAnsi="宋体" w:eastAsia="宋体" w:cs="宋体"/>
          <w:b/>
          <w:sz w:val="28"/>
          <w:u w:val="dotted"/>
        </w:rPr>
      </w:pPr>
      <w:r>
        <w:rPr>
          <w:rFonts w:hint="eastAsia" w:ascii="宋体" w:hAnsi="宋体" w:eastAsia="宋体" w:cs="宋体"/>
          <w:b/>
          <w:sz w:val="28"/>
        </w:rPr>
        <w:t>项目地点：</w:t>
      </w:r>
      <w:r>
        <w:rPr>
          <w:rFonts w:hint="eastAsia" w:ascii="宋体" w:hAnsi="宋体" w:eastAsia="宋体" w:cs="宋体"/>
          <w:b/>
          <w:sz w:val="28"/>
          <w:u w:val="single"/>
        </w:rPr>
        <w:t xml:space="preserve">            湖南省长沙市             </w:t>
      </w:r>
    </w:p>
    <w:p>
      <w:pPr>
        <w:adjustRightInd w:val="0"/>
        <w:snapToGrid w:val="0"/>
        <w:spacing w:line="360" w:lineRule="auto"/>
        <w:ind w:firstLine="1344" w:firstLineChars="478"/>
        <w:rPr>
          <w:rFonts w:hint="eastAsia" w:ascii="宋体" w:hAnsi="宋体" w:eastAsia="宋体" w:cs="宋体"/>
          <w:b/>
          <w:sz w:val="28"/>
        </w:rPr>
      </w:pPr>
    </w:p>
    <w:p>
      <w:pPr>
        <w:adjustRightInd w:val="0"/>
        <w:snapToGrid w:val="0"/>
        <w:spacing w:line="360" w:lineRule="auto"/>
        <w:ind w:firstLine="835" w:firstLineChars="297"/>
        <w:rPr>
          <w:rFonts w:hint="eastAsia" w:ascii="宋体" w:hAnsi="宋体" w:eastAsia="宋体" w:cs="宋体"/>
          <w:b/>
          <w:sz w:val="28"/>
          <w:u w:val="single"/>
        </w:rPr>
      </w:pPr>
      <w:r>
        <w:rPr>
          <w:rFonts w:hint="eastAsia" w:ascii="宋体" w:hAnsi="宋体" w:eastAsia="宋体" w:cs="宋体"/>
          <w:b/>
          <w:sz w:val="28"/>
        </w:rPr>
        <w:t>甲    方：</w:t>
      </w:r>
      <w:r>
        <w:rPr>
          <w:rFonts w:hint="eastAsia" w:ascii="宋体" w:hAnsi="宋体" w:eastAsia="宋体" w:cs="宋体"/>
          <w:b/>
          <w:sz w:val="28"/>
          <w:u w:val="single"/>
        </w:rPr>
        <w:t xml:space="preserve">                                     </w:t>
      </w:r>
    </w:p>
    <w:p>
      <w:pPr>
        <w:adjustRightInd w:val="0"/>
        <w:snapToGrid w:val="0"/>
        <w:spacing w:line="360" w:lineRule="auto"/>
        <w:ind w:firstLine="1344" w:firstLineChars="478"/>
        <w:rPr>
          <w:rFonts w:hint="eastAsia" w:ascii="宋体" w:hAnsi="宋体" w:eastAsia="宋体" w:cs="宋体"/>
          <w:b/>
          <w:sz w:val="28"/>
        </w:rPr>
      </w:pPr>
    </w:p>
    <w:p>
      <w:pPr>
        <w:adjustRightInd w:val="0"/>
        <w:snapToGrid w:val="0"/>
        <w:spacing w:line="360" w:lineRule="auto"/>
        <w:ind w:firstLine="835" w:firstLineChars="297"/>
        <w:rPr>
          <w:rFonts w:hint="eastAsia" w:ascii="宋体" w:hAnsi="宋体" w:eastAsia="宋体" w:cs="宋体"/>
          <w:b/>
          <w:sz w:val="28"/>
          <w:u w:val="dotted"/>
        </w:rPr>
      </w:pPr>
      <w:r>
        <w:rPr>
          <w:rFonts w:hint="eastAsia" w:ascii="宋体" w:hAnsi="宋体" w:eastAsia="宋体" w:cs="宋体"/>
          <w:b/>
          <w:sz w:val="28"/>
        </w:rPr>
        <w:t>乙    方：</w:t>
      </w:r>
      <w:r>
        <w:rPr>
          <w:rFonts w:hint="eastAsia" w:ascii="宋体" w:hAnsi="宋体" w:eastAsia="宋体" w:cs="宋体"/>
          <w:b/>
          <w:sz w:val="28"/>
          <w:u w:val="single"/>
        </w:rPr>
        <w:t xml:space="preserve">                                     </w:t>
      </w:r>
    </w:p>
    <w:p>
      <w:pPr>
        <w:jc w:val="center"/>
        <w:rPr>
          <w:rFonts w:hint="eastAsia" w:ascii="宋体" w:hAnsi="宋体" w:eastAsia="宋体" w:cs="宋体"/>
          <w:b/>
          <w:sz w:val="36"/>
          <w:szCs w:val="36"/>
        </w:rPr>
        <w:sectPr>
          <w:footerReference r:id="rId10" w:type="even"/>
          <w:pgSz w:w="11850" w:h="16783"/>
          <w:pgMar w:top="1191" w:right="1417" w:bottom="1191" w:left="1191" w:header="851" w:footer="992" w:gutter="0"/>
          <w:cols w:space="720" w:num="1"/>
          <w:titlePg/>
          <w:docGrid w:linePitch="312" w:charSpace="0"/>
        </w:sectPr>
      </w:pPr>
      <w:bookmarkStart w:id="32" w:name="_Toc368066683"/>
    </w:p>
    <w:p>
      <w:pPr>
        <w:pStyle w:val="33"/>
        <w:tabs>
          <w:tab w:val="left" w:pos="420"/>
          <w:tab w:val="right" w:leader="dot" w:pos="8820"/>
        </w:tabs>
        <w:spacing w:line="360" w:lineRule="auto"/>
        <w:jc w:val="center"/>
        <w:outlineLvl w:val="0"/>
        <w:rPr>
          <w:rFonts w:hint="eastAsia" w:ascii="宋体" w:hAnsi="宋体" w:eastAsia="宋体" w:cs="宋体"/>
          <w:sz w:val="32"/>
          <w:szCs w:val="32"/>
          <w:u w:val="single"/>
        </w:rPr>
      </w:pPr>
      <w:bookmarkStart w:id="33" w:name="_Toc29208"/>
      <w:bookmarkStart w:id="34" w:name="_Toc30639"/>
      <w:r>
        <w:rPr>
          <w:rFonts w:hint="eastAsia" w:ascii="宋体" w:hAnsi="宋体" w:eastAsia="宋体" w:cs="宋体"/>
          <w:sz w:val="32"/>
          <w:szCs w:val="32"/>
        </w:rPr>
        <w:t>第一部分 合同协议书</w:t>
      </w:r>
      <w:bookmarkEnd w:id="32"/>
      <w:bookmarkEnd w:id="33"/>
      <w:bookmarkEnd w:id="34"/>
    </w:p>
    <w:p>
      <w:pPr>
        <w:snapToGrid w:val="0"/>
        <w:spacing w:line="360" w:lineRule="auto"/>
        <w:rPr>
          <w:rFonts w:hint="eastAsia" w:ascii="宋体" w:hAnsi="宋体" w:eastAsia="宋体" w:cs="宋体"/>
          <w:b/>
        </w:rPr>
      </w:pPr>
    </w:p>
    <w:p>
      <w:pPr>
        <w:pStyle w:val="15"/>
        <w:tabs>
          <w:tab w:val="left" w:pos="720"/>
        </w:tabs>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kern w:val="0"/>
          <w:sz w:val="21"/>
          <w:szCs w:val="21"/>
        </w:rPr>
        <w:t>根据《中华人民共和国民法典》及其他有关法律、法规，遵循平等、自愿、公平和诚实信用的原则</w:t>
      </w:r>
      <w:r>
        <w:rPr>
          <w:rFonts w:hint="eastAsia" w:ascii="宋体" w:hAnsi="宋体" w:eastAsia="宋体" w:cs="宋体"/>
          <w:sz w:val="21"/>
          <w:szCs w:val="21"/>
        </w:rPr>
        <w:t>，</w:t>
      </w:r>
      <w:r>
        <w:rPr>
          <w:rFonts w:hint="eastAsia" w:ascii="宋体" w:hAnsi="宋体" w:eastAsia="宋体" w:cs="宋体"/>
          <w:kern w:val="0"/>
          <w:sz w:val="21"/>
          <w:szCs w:val="21"/>
        </w:rPr>
        <w:t>双方就下述项目设备维修保养及有关事项协商一致</w:t>
      </w:r>
      <w:r>
        <w:rPr>
          <w:rFonts w:hint="eastAsia" w:ascii="宋体" w:hAnsi="宋体" w:eastAsia="宋体" w:cs="宋体"/>
          <w:sz w:val="21"/>
          <w:szCs w:val="21"/>
        </w:rPr>
        <w:t>，共同签订本合同。</w:t>
      </w:r>
    </w:p>
    <w:p>
      <w:pPr>
        <w:pStyle w:val="15"/>
        <w:tabs>
          <w:tab w:val="left" w:pos="720"/>
        </w:tabs>
        <w:snapToGrid w:val="0"/>
        <w:spacing w:line="360" w:lineRule="auto"/>
        <w:ind w:left="0" w:firstLine="480"/>
        <w:rPr>
          <w:rFonts w:hint="eastAsia" w:ascii="宋体" w:hAnsi="宋体" w:eastAsia="宋体" w:cs="宋体"/>
          <w:b/>
          <w:bCs/>
          <w:sz w:val="21"/>
          <w:szCs w:val="21"/>
        </w:rPr>
      </w:pPr>
      <w:r>
        <w:rPr>
          <w:rFonts w:hint="eastAsia" w:ascii="宋体" w:hAnsi="宋体" w:eastAsia="宋体" w:cs="宋体"/>
          <w:b/>
          <w:bCs/>
          <w:sz w:val="21"/>
          <w:szCs w:val="21"/>
        </w:rPr>
        <w:t>一、项目概况</w:t>
      </w:r>
    </w:p>
    <w:p>
      <w:pPr>
        <w:snapToGrid w:val="0"/>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1.项目名称：</w:t>
      </w:r>
      <w:r>
        <w:rPr>
          <w:rFonts w:hint="eastAsia" w:ascii="宋体" w:hAnsi="宋体" w:eastAsia="宋体" w:cs="宋体"/>
          <w:kern w:val="0"/>
          <w:sz w:val="21"/>
          <w:szCs w:val="21"/>
          <w:u w:val="single"/>
        </w:rPr>
        <w:t xml:space="preserve">                 </w:t>
      </w:r>
    </w:p>
    <w:p>
      <w:pPr>
        <w:snapToGrid w:val="0"/>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2.项目地点：</w:t>
      </w:r>
      <w:r>
        <w:rPr>
          <w:rFonts w:hint="eastAsia" w:ascii="宋体" w:hAnsi="宋体" w:eastAsia="宋体" w:cs="宋体"/>
          <w:kern w:val="0"/>
          <w:sz w:val="21"/>
          <w:szCs w:val="21"/>
          <w:u w:val="single"/>
        </w:rPr>
        <w:t xml:space="preserve"> 湖南省长沙市</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.项目范围及内容</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，具体详见</w:t>
      </w:r>
      <w:r>
        <w:rPr>
          <w:rFonts w:hint="eastAsia" w:ascii="宋体" w:hAnsi="宋体" w:eastAsia="宋体" w:cs="宋体"/>
          <w:sz w:val="21"/>
          <w:szCs w:val="21"/>
          <w:u w:val="single"/>
        </w:rPr>
        <w:t>用户需求书/技术规格书</w:t>
      </w:r>
      <w:r>
        <w:rPr>
          <w:rFonts w:hint="eastAsia" w:ascii="宋体" w:hAnsi="宋体" w:eastAsia="宋体" w:cs="宋体"/>
          <w:sz w:val="21"/>
          <w:szCs w:val="21"/>
        </w:rPr>
        <w:t>。</w:t>
      </w:r>
    </w:p>
    <w:p>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二、服务期限</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，具体详见</w:t>
      </w:r>
      <w:r>
        <w:rPr>
          <w:rFonts w:hint="eastAsia" w:ascii="宋体" w:hAnsi="宋体" w:eastAsia="宋体" w:cs="宋体"/>
          <w:sz w:val="21"/>
          <w:szCs w:val="21"/>
          <w:u w:val="single"/>
        </w:rPr>
        <w:t>用户需求书/技术规格书</w:t>
      </w:r>
      <w:r>
        <w:rPr>
          <w:rFonts w:hint="eastAsia" w:ascii="宋体" w:hAnsi="宋体" w:eastAsia="宋体" w:cs="宋体"/>
          <w:sz w:val="21"/>
          <w:szCs w:val="21"/>
        </w:rPr>
        <w:t>。</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w:t>
      </w:r>
      <w:r>
        <w:rPr>
          <w:rFonts w:hint="eastAsia" w:ascii="宋体" w:hAnsi="宋体" w:eastAsia="宋体" w:cs="宋体"/>
          <w:b/>
          <w:color w:val="auto"/>
          <w:sz w:val="21"/>
          <w:szCs w:val="21"/>
        </w:rPr>
        <w:t>合同价款</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.合同价款形式：</w:t>
      </w:r>
    </w:p>
    <w:p>
      <w:pPr>
        <w:snapToGrid w:val="0"/>
        <w:spacing w:line="360" w:lineRule="auto"/>
        <w:ind w:firstLine="465"/>
        <w:rPr>
          <w:rFonts w:hint="eastAsia" w:ascii="宋体" w:hAnsi="宋体" w:eastAsia="宋体" w:cs="宋体"/>
          <w:sz w:val="21"/>
          <w:szCs w:val="21"/>
          <w:u w:val="single"/>
        </w:rPr>
      </w:pP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总价合同</w:t>
      </w:r>
      <w:r>
        <w:rPr>
          <w:rFonts w:hint="eastAsia" w:ascii="宋体" w:hAnsi="宋体" w:eastAsia="宋体" w:cs="宋体"/>
          <w:b/>
          <w:sz w:val="21"/>
          <w:szCs w:val="21"/>
          <w:u w:val="single"/>
        </w:rPr>
        <w:t>（</w:t>
      </w:r>
      <w:r>
        <w:rPr>
          <w:rFonts w:hint="eastAsia" w:ascii="宋体" w:hAnsi="宋体" w:eastAsia="宋体" w:cs="宋体"/>
          <w:sz w:val="21"/>
          <w:szCs w:val="21"/>
          <w:u w:val="single"/>
        </w:rPr>
        <w:t>除税率调整外，合同总价</w:t>
      </w:r>
      <w:r>
        <w:rPr>
          <w:rFonts w:hint="eastAsia" w:ascii="宋体" w:hAnsi="宋体" w:eastAsia="宋体" w:cs="宋体"/>
          <w:kern w:val="0"/>
          <w:sz w:val="21"/>
          <w:szCs w:val="21"/>
          <w:u w:val="single"/>
        </w:rPr>
        <w:t>（即中标总价/中选总价/成交总价）</w:t>
      </w:r>
      <w:r>
        <w:rPr>
          <w:rFonts w:hint="eastAsia" w:ascii="宋体" w:hAnsi="宋体" w:eastAsia="宋体" w:cs="宋体"/>
          <w:sz w:val="21"/>
          <w:szCs w:val="21"/>
          <w:u w:val="single"/>
        </w:rPr>
        <w:t>在合同执行过程中固定不变，不随政府政策（长沙市规定的最低工资标准变化等）及市场物价上涨或回落等因素调整</w:t>
      </w:r>
      <w:r>
        <w:rPr>
          <w:rFonts w:hint="eastAsia" w:ascii="宋体" w:hAnsi="宋体" w:eastAsia="宋体" w:cs="宋体"/>
          <w:b/>
          <w:sz w:val="21"/>
          <w:szCs w:val="21"/>
          <w:u w:val="single"/>
        </w:rPr>
        <w:t>）</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□单价合同</w:t>
      </w:r>
      <w:r>
        <w:rPr>
          <w:rFonts w:hint="eastAsia" w:ascii="宋体" w:hAnsi="宋体" w:eastAsia="宋体" w:cs="宋体"/>
          <w:b/>
          <w:color w:val="auto"/>
          <w:sz w:val="21"/>
          <w:szCs w:val="21"/>
          <w:u w:val="single"/>
        </w:rPr>
        <w:t>（</w:t>
      </w:r>
      <w:r>
        <w:rPr>
          <w:rFonts w:hint="eastAsia" w:ascii="宋体" w:hAnsi="宋体" w:eastAsia="宋体" w:cs="宋体"/>
          <w:color w:val="auto"/>
          <w:sz w:val="21"/>
          <w:szCs w:val="21"/>
          <w:u w:val="single"/>
          <w:lang w:eastAsia="zh-CN"/>
        </w:rPr>
        <w:t>除税率调整外，</w:t>
      </w:r>
      <w:r>
        <w:rPr>
          <w:rFonts w:hint="eastAsia" w:ascii="宋体" w:hAnsi="宋体" w:eastAsia="宋体" w:cs="宋体"/>
          <w:color w:val="auto"/>
          <w:sz w:val="21"/>
          <w:szCs w:val="21"/>
          <w:u w:val="single"/>
        </w:rPr>
        <w:t>合同单价（即中标单价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中选单价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成交单价）</w:t>
      </w:r>
      <w:r>
        <w:rPr>
          <w:rFonts w:hint="eastAsia" w:ascii="宋体" w:hAnsi="宋体" w:eastAsia="宋体" w:cs="宋体"/>
          <w:color w:val="auto"/>
          <w:sz w:val="21"/>
          <w:szCs w:val="21"/>
          <w:u w:val="single"/>
          <w:lang w:eastAsia="zh-CN"/>
        </w:rPr>
        <w:t>在</w:t>
      </w:r>
      <w:r>
        <w:rPr>
          <w:rFonts w:hint="eastAsia" w:ascii="宋体" w:hAnsi="宋体" w:eastAsia="宋体" w:cs="宋体"/>
          <w:color w:val="auto"/>
          <w:sz w:val="21"/>
          <w:szCs w:val="21"/>
          <w:u w:val="single"/>
        </w:rPr>
        <w:t>合同执行过程中固定不变，不随政府政策（长沙市规定的最低工资标准变化等）及市场物价上涨或回落等因素调整</w:t>
      </w:r>
      <w:r>
        <w:rPr>
          <w:rFonts w:hint="eastAsia" w:ascii="宋体" w:hAnsi="宋体" w:eastAsia="宋体" w:cs="宋体"/>
          <w:b/>
          <w:color w:val="auto"/>
          <w:sz w:val="21"/>
          <w:szCs w:val="21"/>
          <w:u w:val="single"/>
        </w:rPr>
        <w:t>）</w:t>
      </w:r>
    </w:p>
    <w:p>
      <w:pPr>
        <w:spacing w:line="360" w:lineRule="auto"/>
        <w:ind w:firstLine="465"/>
        <w:rPr>
          <w:rFonts w:hint="eastAsia" w:ascii="宋体" w:hAnsi="宋体" w:eastAsia="宋体" w:cs="宋体"/>
          <w:sz w:val="21"/>
          <w:szCs w:val="21"/>
        </w:rPr>
      </w:pPr>
      <w:r>
        <w:rPr>
          <w:rFonts w:hint="eastAsia" w:ascii="宋体" w:hAnsi="宋体" w:eastAsia="宋体" w:cs="宋体"/>
          <w:sz w:val="21"/>
          <w:szCs w:val="21"/>
        </w:rPr>
        <w:t>2.签约合同价：</w:t>
      </w:r>
    </w:p>
    <w:p>
      <w:pPr>
        <w:spacing w:line="360" w:lineRule="auto"/>
        <w:ind w:firstLine="465"/>
        <w:rPr>
          <w:rFonts w:hint="eastAsia" w:ascii="宋体" w:hAnsi="宋体" w:eastAsia="宋体" w:cs="宋体"/>
          <w:sz w:val="21"/>
          <w:szCs w:val="21"/>
        </w:rPr>
      </w:pPr>
      <w:r>
        <w:rPr>
          <w:rFonts w:hint="eastAsia" w:ascii="宋体" w:hAnsi="宋体" w:eastAsia="宋体" w:cs="宋体"/>
          <w:sz w:val="21"/>
          <w:szCs w:val="21"/>
        </w:rPr>
        <w:t>签约合同价为含增值税价，金额为人民币（大写）</w:t>
      </w:r>
      <w:r>
        <w:rPr>
          <w:rFonts w:hint="eastAsia" w:ascii="宋体" w:hAnsi="宋体" w:eastAsia="宋体" w:cs="宋体"/>
          <w:sz w:val="21"/>
          <w:szCs w:val="21"/>
          <w:u w:val="single"/>
        </w:rPr>
        <w:t>          </w:t>
      </w:r>
      <w:r>
        <w:rPr>
          <w:rFonts w:hint="eastAsia" w:ascii="宋体" w:hAnsi="宋体" w:eastAsia="宋体" w:cs="宋体"/>
          <w:sz w:val="21"/>
          <w:szCs w:val="21"/>
        </w:rPr>
        <w:t>（¥</w:t>
      </w:r>
      <w:r>
        <w:rPr>
          <w:rFonts w:hint="eastAsia" w:ascii="宋体" w:hAnsi="宋体" w:eastAsia="宋体" w:cs="宋体"/>
          <w:sz w:val="21"/>
          <w:szCs w:val="21"/>
          <w:u w:val="single"/>
        </w:rPr>
        <w:t>       </w:t>
      </w:r>
      <w:r>
        <w:rPr>
          <w:rFonts w:hint="eastAsia" w:ascii="宋体" w:hAnsi="宋体" w:eastAsia="宋体" w:cs="宋体"/>
          <w:sz w:val="21"/>
          <w:szCs w:val="21"/>
        </w:rPr>
        <w:t>），其中不含增值税价格为¥</w:t>
      </w:r>
      <w:r>
        <w:rPr>
          <w:rFonts w:hint="eastAsia" w:ascii="宋体" w:hAnsi="宋体" w:eastAsia="宋体" w:cs="宋体"/>
          <w:sz w:val="21"/>
          <w:szCs w:val="21"/>
          <w:u w:val="single"/>
        </w:rPr>
        <w:t>        </w:t>
      </w:r>
      <w:r>
        <w:rPr>
          <w:rFonts w:hint="eastAsia" w:ascii="宋体" w:hAnsi="宋体" w:eastAsia="宋体" w:cs="宋体"/>
          <w:sz w:val="21"/>
          <w:szCs w:val="21"/>
        </w:rPr>
        <w:t>、签约合同价中的增值税为¥</w:t>
      </w:r>
      <w:r>
        <w:rPr>
          <w:rFonts w:hint="eastAsia" w:ascii="宋体" w:hAnsi="宋体" w:eastAsia="宋体" w:cs="宋体"/>
          <w:sz w:val="21"/>
          <w:szCs w:val="21"/>
          <w:u w:val="single"/>
        </w:rPr>
        <w:t>        </w:t>
      </w:r>
      <w:r>
        <w:rPr>
          <w:rFonts w:hint="eastAsia" w:ascii="宋体" w:hAnsi="宋体" w:eastAsia="宋体" w:cs="宋体"/>
          <w:sz w:val="21"/>
          <w:szCs w:val="21"/>
        </w:rPr>
        <w:t>。增值税根据乙方提供给甲方的增值税专用发票中的税额据实支付和结算</w:t>
      </w:r>
      <w:r>
        <w:rPr>
          <w:rFonts w:hint="eastAsia" w:ascii="宋体" w:hAnsi="宋体" w:eastAsia="宋体" w:cs="宋体"/>
          <w:kern w:val="0"/>
          <w:sz w:val="21"/>
          <w:szCs w:val="21"/>
          <w:shd w:val="clear" w:color="auto" w:fill="FFFFFF"/>
        </w:rPr>
        <w:t>，</w:t>
      </w:r>
      <w:r>
        <w:rPr>
          <w:rFonts w:hint="eastAsia" w:ascii="宋体" w:hAnsi="宋体" w:eastAsia="宋体" w:cs="宋体"/>
          <w:sz w:val="21"/>
          <w:szCs w:val="21"/>
        </w:rPr>
        <w:t>具体价格组成详见签约合同价清单。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按长沙市政府或其职能部门相关规定，本项目的合同价格（即结算价格）最终以</w:t>
      </w:r>
      <w:r>
        <w:rPr>
          <w:rFonts w:hint="eastAsia" w:ascii="宋体" w:hAnsi="宋体" w:eastAsia="宋体" w:cs="宋体"/>
          <w:sz w:val="21"/>
          <w:szCs w:val="21"/>
          <w:u w:val="single"/>
        </w:rPr>
        <w:t>□长沙市政府相关职能部门或长沙市轨道交通集团有限公司授权的单位审定价款为准</w:t>
      </w:r>
      <w:r>
        <w:rPr>
          <w:rFonts w:hint="eastAsia" w:ascii="宋体" w:hAnsi="宋体" w:eastAsia="宋体" w:cs="宋体"/>
          <w:sz w:val="21"/>
          <w:szCs w:val="21"/>
        </w:rPr>
        <w:t>/</w:t>
      </w: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履约验收合格确定的最终价款为准</w:t>
      </w:r>
      <w:r>
        <w:rPr>
          <w:rFonts w:hint="eastAsia" w:ascii="宋体" w:hAnsi="宋体" w:eastAsia="宋体" w:cs="宋体"/>
          <w:sz w:val="21"/>
          <w:szCs w:val="21"/>
        </w:rPr>
        <w:t>。</w:t>
      </w:r>
      <w:r>
        <w:rPr>
          <w:rFonts w:hint="eastAsia" w:ascii="宋体" w:hAnsi="宋体" w:eastAsia="宋体" w:cs="宋体"/>
          <w:bCs/>
          <w:sz w:val="21"/>
          <w:szCs w:val="21"/>
        </w:rPr>
        <w:t>合同价格包括乙方履行合同且满足用户需求书/技术规格书全部要求所产生的成本、费用、税金、利润、保险、专利、风险</w:t>
      </w:r>
      <w:r>
        <w:rPr>
          <w:rFonts w:hint="eastAsia" w:ascii="宋体" w:hAnsi="宋体" w:eastAsia="宋体" w:cs="宋体"/>
          <w:sz w:val="21"/>
          <w:szCs w:val="21"/>
        </w:rPr>
        <w:t>等</w:t>
      </w:r>
      <w:r>
        <w:rPr>
          <w:rFonts w:hint="eastAsia" w:ascii="宋体" w:hAnsi="宋体" w:eastAsia="宋体" w:cs="宋体"/>
          <w:bCs/>
          <w:sz w:val="21"/>
          <w:szCs w:val="21"/>
        </w:rPr>
        <w:t>。</w:t>
      </w:r>
    </w:p>
    <w:p>
      <w:pPr>
        <w:tabs>
          <w:tab w:val="left" w:pos="1248"/>
        </w:tabs>
        <w:adjustRightInd w:val="0"/>
        <w:snapToGrid w:val="0"/>
        <w:spacing w:line="360" w:lineRule="auto"/>
        <w:ind w:firstLine="422" w:firstLineChars="200"/>
        <w:jc w:val="left"/>
        <w:outlineLvl w:val="2"/>
        <w:rPr>
          <w:rFonts w:hint="eastAsia" w:ascii="宋体" w:hAnsi="宋体" w:eastAsia="宋体" w:cs="宋体"/>
          <w:b/>
          <w:kern w:val="0"/>
          <w:sz w:val="21"/>
          <w:szCs w:val="21"/>
        </w:rPr>
      </w:pPr>
      <w:r>
        <w:rPr>
          <w:rFonts w:hint="eastAsia" w:ascii="宋体" w:hAnsi="宋体" w:eastAsia="宋体" w:cs="宋体"/>
          <w:b/>
          <w:kern w:val="0"/>
          <w:sz w:val="21"/>
          <w:szCs w:val="21"/>
        </w:rPr>
        <w:t>四、合同文件及优先解释顺序</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合同文件组成及优先解释顺序：</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（3）中标通知书/中选通知书/谈判记录表；</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（5）用户需求书/技术规格书；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（6）签约合同价清单；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（7）合同附件及乙方按合同附录格式及要求出具的文件；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（8）招标文件/自主竞争性谈判文件/直接委托谈判文件、澄清与答疑文件及其它补充资料；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（9）投标文件/谈判响应文件、澄清文件及其它补充资料；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spacing w:line="360" w:lineRule="auto"/>
        <w:ind w:firstLine="465"/>
        <w:rPr>
          <w:rFonts w:hint="eastAsia" w:ascii="宋体" w:hAnsi="宋体" w:eastAsia="宋体" w:cs="宋体"/>
          <w:kern w:val="0"/>
          <w:sz w:val="21"/>
          <w:szCs w:val="21"/>
        </w:rPr>
      </w:pPr>
      <w:r>
        <w:rPr>
          <w:rFonts w:hint="eastAsia" w:ascii="宋体" w:hAnsi="宋体" w:eastAsia="宋体" w:cs="宋体"/>
          <w:kern w:val="0"/>
          <w:sz w:val="21"/>
          <w:szCs w:val="21"/>
        </w:rPr>
        <w:t>在合同履行过程中形成的与合同有关的文件均构成合同文件组成部分，并根据其性质确定优先解释顺序。</w:t>
      </w:r>
    </w:p>
    <w:p>
      <w:pPr>
        <w:spacing w:line="360" w:lineRule="auto"/>
        <w:ind w:firstLine="465"/>
        <w:rPr>
          <w:rFonts w:hint="eastAsia" w:ascii="宋体" w:hAnsi="宋体" w:eastAsia="宋体" w:cs="宋体"/>
          <w:kern w:val="0"/>
          <w:sz w:val="21"/>
          <w:szCs w:val="21"/>
        </w:rPr>
      </w:pPr>
      <w:r>
        <w:rPr>
          <w:rFonts w:hint="eastAsia" w:ascii="宋体" w:hAnsi="宋体" w:eastAsia="宋体" w:cs="宋体"/>
          <w:b/>
          <w:kern w:val="0"/>
          <w:sz w:val="21"/>
          <w:szCs w:val="21"/>
        </w:rPr>
        <w:t>五、承诺</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.甲方承诺按照合同约定提供有关条件和相关资料，并按照合同约定的期限和方式支付合同价款。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w:t>
      </w:r>
      <w:r>
        <w:rPr>
          <w:rFonts w:hint="eastAsia" w:ascii="宋体" w:hAnsi="宋体" w:eastAsia="宋体" w:cs="宋体"/>
          <w:sz w:val="21"/>
          <w:szCs w:val="21"/>
        </w:rPr>
        <w:t>乙方承诺</w:t>
      </w:r>
      <w:r>
        <w:rPr>
          <w:rFonts w:hint="eastAsia" w:ascii="宋体" w:hAnsi="宋体" w:eastAsia="宋体" w:cs="宋体"/>
          <w:kern w:val="0"/>
          <w:sz w:val="21"/>
          <w:szCs w:val="21"/>
        </w:rPr>
        <w:t>按照法律法规和技术标准规定及合同约定</w:t>
      </w:r>
      <w:r>
        <w:rPr>
          <w:rFonts w:hint="eastAsia" w:ascii="宋体" w:hAnsi="宋体" w:eastAsia="宋体" w:cs="宋体"/>
          <w:sz w:val="21"/>
          <w:szCs w:val="21"/>
        </w:rPr>
        <w:t>提供货物和服务，并修补缺陷。</w:t>
      </w:r>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六、词语定义</w:t>
      </w:r>
    </w:p>
    <w:p>
      <w:pPr>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本合同协议书中词语含义与合同条款中的词语含义相同。</w:t>
      </w:r>
      <w:bookmarkStart w:id="35" w:name="_Toc406150418"/>
      <w:bookmarkStart w:id="36" w:name="_Toc351203489"/>
      <w:bookmarkStart w:id="37" w:name="_Toc457826147"/>
    </w:p>
    <w:p>
      <w:pPr>
        <w:spacing w:line="360" w:lineRule="auto"/>
        <w:ind w:firstLine="480"/>
        <w:rPr>
          <w:rFonts w:hint="eastAsia" w:ascii="宋体" w:hAnsi="宋体" w:eastAsia="宋体" w:cs="宋体"/>
          <w:b/>
          <w:kern w:val="0"/>
          <w:sz w:val="21"/>
          <w:szCs w:val="21"/>
        </w:rPr>
      </w:pPr>
      <w:r>
        <w:rPr>
          <w:rFonts w:hint="eastAsia" w:ascii="宋体" w:hAnsi="宋体" w:eastAsia="宋体" w:cs="宋体"/>
          <w:b/>
          <w:kern w:val="0"/>
          <w:sz w:val="21"/>
          <w:szCs w:val="21"/>
        </w:rPr>
        <w:t>七、签订时间</w:t>
      </w:r>
      <w:bookmarkEnd w:id="35"/>
      <w:bookmarkEnd w:id="36"/>
      <w:bookmarkEnd w:id="37"/>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本合同于</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日签订。</w:t>
      </w:r>
      <w:bookmarkStart w:id="38" w:name="_Toc457826148"/>
      <w:bookmarkStart w:id="39" w:name="_Toc351203490"/>
      <w:bookmarkStart w:id="40" w:name="_Toc406150419"/>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八、签订地点</w:t>
      </w:r>
      <w:bookmarkEnd w:id="38"/>
      <w:bookmarkEnd w:id="39"/>
      <w:bookmarkEnd w:id="40"/>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本合同在</w:t>
      </w:r>
      <w:r>
        <w:rPr>
          <w:rFonts w:hint="eastAsia" w:ascii="宋体" w:hAnsi="宋体" w:eastAsia="宋体" w:cs="宋体"/>
          <w:bCs/>
          <w:sz w:val="21"/>
          <w:szCs w:val="21"/>
          <w:u w:val="single"/>
        </w:rPr>
        <w:t xml:space="preserve"> 湖南省长沙市雨花区 </w:t>
      </w:r>
      <w:r>
        <w:rPr>
          <w:rFonts w:hint="eastAsia" w:ascii="宋体" w:hAnsi="宋体" w:eastAsia="宋体" w:cs="宋体"/>
          <w:bCs/>
          <w:sz w:val="21"/>
          <w:szCs w:val="21"/>
        </w:rPr>
        <w:t>签订。</w:t>
      </w:r>
      <w:bookmarkStart w:id="41" w:name="_Toc406150420"/>
      <w:bookmarkStart w:id="42" w:name="_Toc457826149"/>
      <w:bookmarkStart w:id="43" w:name="_Toc351203492"/>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九、合同生效</w:t>
      </w:r>
      <w:bookmarkEnd w:id="41"/>
      <w:bookmarkEnd w:id="42"/>
      <w:bookmarkEnd w:id="43"/>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本合同自</w:t>
      </w:r>
      <w:r>
        <w:rPr>
          <w:rFonts w:hint="eastAsia" w:ascii="宋体" w:hAnsi="宋体" w:eastAsia="宋体" w:cs="宋体"/>
          <w:sz w:val="21"/>
          <w:szCs w:val="21"/>
          <w:u w:val="single"/>
        </w:rPr>
        <w:t>合同双方法定代表人或其授权代表签字并加盖合同专用章</w:t>
      </w:r>
      <w:r>
        <w:rPr>
          <w:rFonts w:hint="eastAsia" w:ascii="宋体" w:hAnsi="宋体" w:eastAsia="宋体" w:cs="宋体"/>
          <w:bCs/>
          <w:sz w:val="21"/>
          <w:szCs w:val="21"/>
        </w:rPr>
        <w:t>生效。</w:t>
      </w:r>
      <w:bookmarkStart w:id="44" w:name="_Toc457826150"/>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十、合同份数</w:t>
      </w:r>
      <w:bookmarkEnd w:id="44"/>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cs="宋体"/>
          <w:sz w:val="21"/>
          <w:szCs w:val="21"/>
          <w:lang w:eastAsia="zh-CN"/>
        </w:rPr>
        <w:t>八</w:t>
      </w:r>
      <w:r>
        <w:rPr>
          <w:rFonts w:hint="eastAsia" w:ascii="宋体" w:hAnsi="宋体" w:eastAsia="宋体" w:cs="宋体"/>
          <w:sz w:val="21"/>
          <w:szCs w:val="21"/>
        </w:rPr>
        <w:t>份（其中正本二份、副本</w:t>
      </w:r>
      <w:r>
        <w:rPr>
          <w:rFonts w:hint="eastAsia" w:ascii="宋体" w:hAnsi="宋体" w:eastAsia="宋体" w:cs="宋体"/>
          <w:sz w:val="21"/>
          <w:szCs w:val="21"/>
          <w:lang w:eastAsia="zh-CN"/>
        </w:rPr>
        <w:t>六</w:t>
      </w:r>
      <w:r>
        <w:rPr>
          <w:rFonts w:hint="eastAsia" w:ascii="宋体" w:hAnsi="宋体" w:eastAsia="宋体" w:cs="宋体"/>
          <w:sz w:val="21"/>
          <w:szCs w:val="21"/>
        </w:rPr>
        <w:t>份），甲方执</w:t>
      </w:r>
      <w:r>
        <w:rPr>
          <w:rFonts w:hint="eastAsia" w:ascii="宋体" w:hAnsi="宋体" w:eastAsia="宋体" w:cs="宋体"/>
          <w:sz w:val="21"/>
          <w:szCs w:val="21"/>
          <w:lang w:eastAsia="zh-CN"/>
        </w:rPr>
        <w:t>六</w:t>
      </w:r>
      <w:r>
        <w:rPr>
          <w:rFonts w:hint="eastAsia" w:ascii="宋体" w:hAnsi="宋体" w:eastAsia="宋体" w:cs="宋体"/>
          <w:sz w:val="21"/>
          <w:szCs w:val="21"/>
        </w:rPr>
        <w:t>份（一正</w:t>
      </w:r>
      <w:r>
        <w:rPr>
          <w:rFonts w:hint="eastAsia" w:ascii="宋体" w:hAnsi="宋体" w:eastAsia="宋体" w:cs="宋体"/>
          <w:sz w:val="21"/>
          <w:szCs w:val="21"/>
          <w:lang w:eastAsia="zh-CN"/>
        </w:rPr>
        <w:t>五</w:t>
      </w:r>
      <w:r>
        <w:rPr>
          <w:rFonts w:hint="eastAsia" w:ascii="宋体" w:hAnsi="宋体" w:eastAsia="宋体" w:cs="宋体"/>
          <w:sz w:val="21"/>
          <w:szCs w:val="21"/>
        </w:rPr>
        <w:t>副）、乙方执</w:t>
      </w:r>
      <w:r>
        <w:rPr>
          <w:rFonts w:hint="eastAsia" w:ascii="宋体" w:hAnsi="宋体" w:eastAsia="宋体" w:cs="宋体"/>
          <w:sz w:val="21"/>
          <w:szCs w:val="21"/>
          <w:lang w:eastAsia="zh-CN"/>
        </w:rPr>
        <w:t>二</w:t>
      </w:r>
      <w:r>
        <w:rPr>
          <w:rFonts w:hint="eastAsia" w:ascii="宋体" w:hAnsi="宋体" w:eastAsia="宋体" w:cs="宋体"/>
          <w:sz w:val="21"/>
          <w:szCs w:val="21"/>
        </w:rPr>
        <w:t>份（一正</w:t>
      </w:r>
      <w:r>
        <w:rPr>
          <w:rFonts w:hint="eastAsia" w:ascii="宋体" w:hAnsi="宋体" w:eastAsia="宋体" w:cs="宋体"/>
          <w:sz w:val="21"/>
          <w:szCs w:val="21"/>
          <w:lang w:eastAsia="zh-CN"/>
        </w:rPr>
        <w:t>一</w:t>
      </w:r>
      <w:r>
        <w:rPr>
          <w:rFonts w:hint="eastAsia" w:ascii="宋体" w:hAnsi="宋体" w:eastAsia="宋体" w:cs="宋体"/>
          <w:sz w:val="21"/>
          <w:szCs w:val="21"/>
        </w:rPr>
        <w:t>副）。合同正本和副本具有同等效力，当合同副本与正本之间存有差异时，以合同正本为准。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p>
    <w:p>
      <w:pPr>
        <w:pageBreakBefore/>
        <w:spacing w:line="500" w:lineRule="exact"/>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6"/>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6"/>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6"/>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时间：</w:t>
            </w:r>
          </w:p>
        </w:tc>
      </w:tr>
    </w:tbl>
    <w:p>
      <w:pPr>
        <w:spacing w:line="360" w:lineRule="auto"/>
        <w:rPr>
          <w:rFonts w:hint="eastAsia" w:ascii="宋体" w:hAnsi="宋体" w:eastAsia="宋体" w:cs="宋体"/>
          <w:sz w:val="21"/>
          <w:szCs w:val="21"/>
        </w:rPr>
      </w:pPr>
    </w:p>
    <w:p>
      <w:pPr>
        <w:spacing w:line="360" w:lineRule="auto"/>
        <w:jc w:val="center"/>
        <w:outlineLvl w:val="0"/>
        <w:rPr>
          <w:rFonts w:hint="eastAsia" w:ascii="宋体" w:hAnsi="宋体" w:eastAsia="宋体" w:cs="宋体"/>
          <w:b/>
          <w:sz w:val="32"/>
          <w:szCs w:val="32"/>
        </w:rPr>
      </w:pPr>
      <w:bookmarkStart w:id="45" w:name="_Toc2245"/>
      <w:bookmarkStart w:id="46" w:name="_Toc368066684"/>
      <w:r>
        <w:rPr>
          <w:rFonts w:hint="eastAsia" w:ascii="宋体" w:hAnsi="宋体" w:eastAsia="宋体" w:cs="宋体"/>
          <w:b/>
          <w:sz w:val="21"/>
          <w:szCs w:val="21"/>
        </w:rPr>
        <w:br w:type="page"/>
      </w:r>
      <w:bookmarkStart w:id="47" w:name="_Toc11675"/>
      <w:r>
        <w:rPr>
          <w:rFonts w:hint="eastAsia" w:ascii="宋体" w:hAnsi="宋体" w:eastAsia="宋体" w:cs="宋体"/>
          <w:b/>
          <w:sz w:val="32"/>
          <w:szCs w:val="32"/>
        </w:rPr>
        <w:t xml:space="preserve">第二部分 </w:t>
      </w:r>
      <w:bookmarkEnd w:id="45"/>
      <w:bookmarkEnd w:id="46"/>
      <w:bookmarkEnd w:id="47"/>
      <w:bookmarkStart w:id="48" w:name="_Toc26018"/>
      <w:bookmarkStart w:id="49" w:name="_Toc29343"/>
      <w:bookmarkStart w:id="50" w:name="_Toc368066685"/>
      <w:r>
        <w:rPr>
          <w:rFonts w:hint="eastAsia" w:ascii="宋体" w:hAnsi="宋体" w:eastAsia="宋体" w:cs="宋体"/>
          <w:b/>
          <w:sz w:val="32"/>
          <w:szCs w:val="32"/>
        </w:rPr>
        <w:t>合同条款</w:t>
      </w:r>
      <w:bookmarkEnd w:id="48"/>
      <w:bookmarkEnd w:id="49"/>
      <w:bookmarkEnd w:id="50"/>
    </w:p>
    <w:p>
      <w:pPr>
        <w:spacing w:line="360" w:lineRule="auto"/>
        <w:ind w:firstLine="413" w:firstLineChars="196"/>
        <w:outlineLvl w:val="1"/>
        <w:rPr>
          <w:rFonts w:hint="eastAsia" w:ascii="宋体" w:hAnsi="宋体" w:eastAsia="宋体" w:cs="宋体"/>
          <w:b/>
          <w:bCs/>
          <w:sz w:val="21"/>
          <w:szCs w:val="21"/>
        </w:rPr>
      </w:pPr>
      <w:bookmarkStart w:id="51" w:name="_Toc368066686"/>
      <w:bookmarkStart w:id="52" w:name="_Toc28651"/>
      <w:bookmarkStart w:id="53" w:name="_Toc7761"/>
      <w:bookmarkStart w:id="54" w:name="_Toc192323513"/>
      <w:bookmarkStart w:id="55" w:name="_Toc136850799"/>
      <w:bookmarkStart w:id="56" w:name="_Toc240992305"/>
      <w:bookmarkStart w:id="57" w:name="_Toc357774462"/>
      <w:r>
        <w:rPr>
          <w:rFonts w:hint="eastAsia" w:ascii="宋体" w:hAnsi="宋体" w:eastAsia="宋体" w:cs="宋体"/>
          <w:b/>
          <w:bCs/>
          <w:sz w:val="21"/>
          <w:szCs w:val="21"/>
        </w:rPr>
        <w:t>1、</w:t>
      </w:r>
      <w:bookmarkEnd w:id="51"/>
      <w:r>
        <w:rPr>
          <w:rFonts w:hint="eastAsia" w:ascii="宋体" w:hAnsi="宋体" w:eastAsia="宋体" w:cs="宋体"/>
          <w:b/>
          <w:bCs/>
          <w:sz w:val="21"/>
          <w:szCs w:val="21"/>
        </w:rPr>
        <w:t>定义</w:t>
      </w:r>
      <w:bookmarkEnd w:id="52"/>
      <w:bookmarkEnd w:id="53"/>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（2）“签约合同价”系指甲方和乙方在合同协议书中确定的金额，即本项目的中标价格/中选价格/成交价格。</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（3）“合同价格”系指根据本合同规定乙方在正确地完全履行合同义务后，</w:t>
      </w:r>
      <w:r>
        <w:rPr>
          <w:rFonts w:hint="eastAsia" w:ascii="宋体" w:hAnsi="宋体" w:eastAsia="宋体" w:cs="宋体"/>
          <w:kern w:val="0"/>
          <w:sz w:val="21"/>
          <w:szCs w:val="21"/>
        </w:rPr>
        <w:t>按照长沙市政府或其职能部门相关规定，</w:t>
      </w:r>
      <w:r>
        <w:rPr>
          <w:rFonts w:hint="eastAsia" w:ascii="宋体" w:hAnsi="宋体" w:eastAsia="宋体" w:cs="宋体"/>
          <w:sz w:val="21"/>
          <w:szCs w:val="21"/>
          <w:u w:val="single"/>
        </w:rPr>
        <w:sym w:font="Wingdings 2" w:char="00A3"/>
      </w:r>
      <w:r>
        <w:rPr>
          <w:rFonts w:hint="eastAsia" w:ascii="宋体" w:hAnsi="宋体" w:eastAsia="宋体" w:cs="宋体"/>
          <w:sz w:val="21"/>
          <w:szCs w:val="21"/>
          <w:u w:val="single"/>
        </w:rPr>
        <w:t>经长沙市政府相关职能部门或长沙市轨道交通集团有限公司</w:t>
      </w:r>
      <w:r>
        <w:rPr>
          <w:rFonts w:hint="eastAsia" w:ascii="宋体" w:hAnsi="宋体" w:eastAsia="宋体" w:cs="宋体"/>
          <w:sz w:val="21"/>
          <w:szCs w:val="21"/>
          <w:u w:val="single"/>
          <w:shd w:val="clear" w:color="auto" w:fill="FFFFFF"/>
        </w:rPr>
        <w:t>授权的单位</w:t>
      </w:r>
      <w:r>
        <w:rPr>
          <w:rFonts w:hint="eastAsia" w:ascii="宋体" w:hAnsi="宋体" w:eastAsia="宋体" w:cs="宋体"/>
          <w:sz w:val="21"/>
          <w:szCs w:val="21"/>
          <w:u w:val="single"/>
        </w:rPr>
        <w:t>审定的结算价格</w:t>
      </w:r>
      <w:r>
        <w:rPr>
          <w:rFonts w:hint="eastAsia" w:ascii="宋体" w:hAnsi="宋体" w:eastAsia="宋体" w:cs="宋体"/>
          <w:sz w:val="21"/>
          <w:szCs w:val="21"/>
        </w:rPr>
        <w:t>/</w:t>
      </w: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履约验收合格确定的最终价款</w:t>
      </w:r>
      <w:r>
        <w:rPr>
          <w:rFonts w:hint="eastAsia" w:ascii="宋体" w:hAnsi="宋体" w:eastAsia="宋体" w:cs="宋体"/>
          <w:sz w:val="21"/>
          <w:szCs w:val="21"/>
        </w:rPr>
        <w:t>。</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（4）“甲方”是指承担直接投资责任和委托维修保养业务的一方以及其合法继承人，即合同协议书中所述的甲方。</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（5）“乙方”是指承担维修保养业务和维修保养责任的一方以及其合法继承人，即合同协议书中所述的乙方。</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（6）“维保机构”是指乙方派驻本工程现场实施维修保养业务的组织。</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（7）“日”是指任何一天零时至第二天零时的时间段。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（8）“月”是指根据公历从一个月份中任何一天开始到下一个月相应日期的前一天的时间段。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（10）“响应时间”是指在接报故障后赶赴且到达现场处理的时间。</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（11）“接报”是指甲方通知乙方的形式，包括口头、电话、电子邮件、书面等。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（12）“现场”是指故障发生地点、区段，或报故障车站、部门等。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（14）“履约验收”系指按照长沙市政府相关职能部门或长沙市轨道交通集团有限公司或长沙市轨道交通集团有限公司授权的单位制定的履约验收相关管理规定办理验收。</w:t>
      </w:r>
    </w:p>
    <w:p>
      <w:pPr>
        <w:spacing w:line="360" w:lineRule="auto"/>
        <w:ind w:firstLine="413" w:firstLineChars="196"/>
        <w:outlineLvl w:val="1"/>
        <w:rPr>
          <w:rFonts w:hint="eastAsia" w:ascii="宋体" w:hAnsi="宋体" w:eastAsia="宋体" w:cs="宋体"/>
          <w:b/>
          <w:bCs/>
          <w:sz w:val="21"/>
          <w:szCs w:val="21"/>
        </w:rPr>
      </w:pPr>
      <w:bookmarkStart w:id="58" w:name="_Toc12453"/>
      <w:bookmarkStart w:id="59" w:name="_Toc20721"/>
      <w:bookmarkStart w:id="60" w:name="_Toc368066687"/>
      <w:r>
        <w:rPr>
          <w:rFonts w:hint="eastAsia" w:ascii="宋体" w:hAnsi="宋体" w:eastAsia="宋体" w:cs="宋体"/>
          <w:b/>
          <w:bCs/>
          <w:sz w:val="21"/>
          <w:szCs w:val="21"/>
        </w:rPr>
        <w:t>2、标准和规范</w:t>
      </w:r>
      <w:bookmarkEnd w:id="58"/>
      <w:bookmarkEnd w:id="59"/>
    </w:p>
    <w:p>
      <w:pPr>
        <w:tabs>
          <w:tab w:val="left" w:pos="851"/>
        </w:tabs>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本项目</w:t>
      </w:r>
      <w:r>
        <w:rPr>
          <w:rFonts w:hint="eastAsia" w:ascii="宋体" w:hAnsi="宋体" w:eastAsia="宋体" w:cs="宋体"/>
          <w:color w:val="auto"/>
          <w:sz w:val="21"/>
          <w:szCs w:val="21"/>
        </w:rPr>
        <w:t>的技术标准</w:t>
      </w:r>
      <w:r>
        <w:rPr>
          <w:rFonts w:hint="eastAsia" w:ascii="宋体" w:hAnsi="宋体" w:eastAsia="宋体" w:cs="宋体"/>
          <w:color w:val="auto"/>
          <w:sz w:val="21"/>
          <w:szCs w:val="21"/>
          <w:lang w:eastAsia="zh-CN"/>
        </w:rPr>
        <w:t>或功能的其他要求</w:t>
      </w:r>
      <w:r>
        <w:rPr>
          <w:rFonts w:hint="eastAsia" w:ascii="宋体" w:hAnsi="宋体" w:eastAsia="宋体" w:cs="宋体"/>
          <w:color w:val="auto"/>
          <w:sz w:val="21"/>
          <w:szCs w:val="21"/>
          <w:u w:val="single"/>
          <w:lang w:val="en-US" w:eastAsia="zh-CN"/>
        </w:rPr>
        <w:t>以用户需求书/技术规格书为准</w:t>
      </w:r>
      <w:r>
        <w:rPr>
          <w:rFonts w:hint="eastAsia" w:ascii="宋体" w:hAnsi="宋体" w:eastAsia="宋体" w:cs="宋体"/>
          <w:color w:val="auto"/>
          <w:sz w:val="21"/>
          <w:szCs w:val="21"/>
          <w:lang w:val="en-US" w:eastAsia="zh-CN"/>
        </w:rPr>
        <w:t>。</w:t>
      </w:r>
    </w:p>
    <w:p>
      <w:pPr>
        <w:pStyle w:val="2"/>
        <w:spacing w:after="0" w:line="360" w:lineRule="auto"/>
        <w:ind w:firstLine="422" w:firstLineChars="200"/>
        <w:outlineLvl w:val="1"/>
        <w:rPr>
          <w:rFonts w:hint="eastAsia" w:ascii="宋体" w:hAnsi="宋体" w:eastAsia="宋体" w:cs="宋体"/>
          <w:b/>
          <w:bCs/>
          <w:color w:val="auto"/>
          <w:sz w:val="21"/>
          <w:szCs w:val="21"/>
        </w:rPr>
      </w:pPr>
      <w:bookmarkStart w:id="61" w:name="_Toc1523"/>
      <w:bookmarkStart w:id="62" w:name="_Toc10573"/>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bookmarkEnd w:id="60"/>
      <w:bookmarkEnd w:id="61"/>
      <w:bookmarkEnd w:id="62"/>
      <w:bookmarkStart w:id="63" w:name="_Toc23394"/>
      <w:bookmarkStart w:id="64" w:name="_Toc23767"/>
      <w:r>
        <w:rPr>
          <w:rFonts w:hint="eastAsia" w:ascii="宋体" w:hAnsi="宋体" w:eastAsia="宋体" w:cs="宋体"/>
          <w:b/>
          <w:bCs/>
          <w:color w:val="auto"/>
          <w:sz w:val="21"/>
          <w:szCs w:val="21"/>
          <w:lang w:eastAsia="zh-CN"/>
        </w:rPr>
        <w:t>价款支付</w:t>
      </w:r>
      <w:bookmarkEnd w:id="63"/>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3.1 预付款</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ar"/>
        </w:rPr>
        <w:t>本项目无预付款。</w:t>
      </w:r>
    </w:p>
    <w:p>
      <w:pPr>
        <w:pStyle w:val="2"/>
        <w:spacing w:after="0" w:line="360" w:lineRule="auto"/>
        <w:ind w:firstLine="420" w:firstLineChars="200"/>
        <w:rPr>
          <w:rFonts w:hint="eastAsia" w:ascii="宋体" w:hAnsi="宋体" w:eastAsia="宋体" w:cs="宋体"/>
          <w:sz w:val="21"/>
          <w:szCs w:val="21"/>
          <w:lang w:val="en-US" w:eastAsia="zh-CN"/>
        </w:rPr>
      </w:pPr>
      <w:bookmarkStart w:id="65" w:name="_Toc19286"/>
      <w:r>
        <w:rPr>
          <w:rFonts w:hint="eastAsia" w:ascii="宋体" w:hAnsi="宋体" w:eastAsia="宋体" w:cs="宋体"/>
          <w:sz w:val="21"/>
          <w:szCs w:val="21"/>
          <w:lang w:val="en-US" w:eastAsia="zh-CN"/>
        </w:rPr>
        <w:t>3.2 中间付款</w:t>
      </w:r>
    </w:p>
    <w:p>
      <w:pPr>
        <w:pStyle w:val="2"/>
        <w:spacing w:after="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付款周期为每季度支付一次。每次为按签约合同价的90%平均到每个付款周期，并依据甲方对乙方的考核结果向乙方支付上一个付款周期的价款；中间支付的累计付款金额不超过签约合同价的90%。</w:t>
      </w:r>
    </w:p>
    <w:p>
      <w:pPr>
        <w:pStyle w:val="42"/>
        <w:adjustRightInd w:val="0"/>
        <w:snapToGrid w:val="0"/>
        <w:spacing w:before="0" w:beforeAutospacing="0" w:after="0" w:afterAutospacing="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 最终付款</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乙方按合同约定完成全部工作、项目通过最终验收，</w:t>
      </w:r>
      <w:r>
        <w:rPr>
          <w:rFonts w:hint="eastAsia" w:ascii="宋体" w:hAnsi="宋体" w:eastAsia="宋体" w:cs="宋体"/>
          <w:sz w:val="21"/>
          <w:szCs w:val="21"/>
        </w:rPr>
        <w:t>且</w:t>
      </w:r>
      <w:r>
        <w:rPr>
          <w:rFonts w:hint="eastAsia" w:ascii="宋体" w:hAnsi="宋体" w:eastAsia="宋体" w:cs="宋体"/>
          <w:sz w:val="21"/>
          <w:szCs w:val="21"/>
          <w:u w:val="single"/>
        </w:rPr>
        <w:t>□本项目的合同价格（即结算价格）经长沙市政府相关职能部门或长沙市轨道交通集团有限公司授权的单位审定</w:t>
      </w:r>
      <w:r>
        <w:rPr>
          <w:rFonts w:hint="eastAsia" w:ascii="宋体" w:hAnsi="宋体" w:eastAsia="宋体" w:cs="宋体"/>
          <w:sz w:val="21"/>
          <w:szCs w:val="21"/>
        </w:rPr>
        <w:t>/</w:t>
      </w:r>
      <w:r>
        <w:rPr>
          <w:rFonts w:hint="eastAsia" w:ascii="宋体" w:hAnsi="宋体" w:eastAsia="宋体" w:cs="宋体"/>
          <w:sz w:val="21"/>
          <w:szCs w:val="21"/>
          <w:u w:val="single"/>
        </w:rPr>
        <w:sym w:font="Wingdings 2" w:char="0052"/>
      </w:r>
      <w:r>
        <w:rPr>
          <w:rFonts w:hint="eastAsia" w:ascii="宋体" w:hAnsi="宋体" w:eastAsia="宋体" w:cs="宋体"/>
          <w:sz w:val="21"/>
          <w:szCs w:val="21"/>
          <w:u w:val="single"/>
        </w:rPr>
        <w:t>本项目履约验收合格</w:t>
      </w:r>
      <w:r>
        <w:rPr>
          <w:rFonts w:hint="eastAsia" w:ascii="宋体" w:hAnsi="宋体" w:eastAsia="宋体" w:cs="宋体"/>
          <w:kern w:val="0"/>
          <w:sz w:val="21"/>
          <w:szCs w:val="21"/>
        </w:rPr>
        <w:t>后，在收到经甲方批复的支付申请及增值税专用发票等资料并证实完整无误后28个工作日内，支付至合同价格的100%。</w:t>
      </w:r>
    </w:p>
    <w:p>
      <w:pPr>
        <w:spacing w:line="360" w:lineRule="auto"/>
        <w:ind w:firstLine="413" w:firstLineChars="196"/>
        <w:outlineLvl w:val="1"/>
        <w:rPr>
          <w:rFonts w:hint="eastAsia" w:ascii="宋体" w:hAnsi="宋体" w:eastAsia="宋体" w:cs="宋体"/>
          <w:b/>
          <w:bCs/>
          <w:sz w:val="21"/>
          <w:szCs w:val="21"/>
        </w:rPr>
      </w:pPr>
      <w:r>
        <w:rPr>
          <w:rFonts w:hint="eastAsia" w:ascii="宋体" w:hAnsi="宋体" w:eastAsia="宋体" w:cs="宋体"/>
          <w:b/>
          <w:bCs/>
          <w:sz w:val="21"/>
          <w:szCs w:val="21"/>
        </w:rPr>
        <w:t>4、</w:t>
      </w:r>
      <w:bookmarkEnd w:id="54"/>
      <w:bookmarkEnd w:id="55"/>
      <w:bookmarkEnd w:id="56"/>
      <w:bookmarkEnd w:id="57"/>
      <w:r>
        <w:rPr>
          <w:rFonts w:hint="eastAsia" w:ascii="宋体" w:hAnsi="宋体" w:eastAsia="宋体" w:cs="宋体"/>
          <w:b/>
          <w:bCs/>
          <w:sz w:val="21"/>
          <w:szCs w:val="21"/>
        </w:rPr>
        <w:t>履约担保</w:t>
      </w:r>
      <w:bookmarkEnd w:id="64"/>
      <w:bookmarkEnd w:id="65"/>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bookmarkStart w:id="66" w:name="_Toc443376818"/>
      <w:bookmarkStart w:id="67" w:name="_Toc443208225"/>
      <w:r>
        <w:rPr>
          <w:rFonts w:hint="eastAsia" w:ascii="宋体" w:hAnsi="宋体" w:eastAsia="宋体" w:cs="宋体"/>
          <w:kern w:val="0"/>
          <w:sz w:val="21"/>
          <w:szCs w:val="21"/>
        </w:rPr>
        <w:t>4.1 乙方</w:t>
      </w:r>
      <w:r>
        <w:rPr>
          <w:rFonts w:hint="eastAsia" w:ascii="宋体" w:hAnsi="宋体" w:eastAsia="宋体" w:cs="宋体"/>
          <w:kern w:val="0"/>
          <w:sz w:val="21"/>
          <w:szCs w:val="21"/>
          <w:u w:val="single"/>
        </w:rPr>
        <w:sym w:font="Wingdings 2" w:char="0052"/>
      </w:r>
      <w:r>
        <w:rPr>
          <w:rFonts w:hint="eastAsia" w:ascii="宋体" w:hAnsi="宋体" w:eastAsia="宋体" w:cs="宋体"/>
          <w:kern w:val="0"/>
          <w:sz w:val="21"/>
          <w:szCs w:val="21"/>
          <w:u w:val="single"/>
        </w:rPr>
        <w:t>需要</w:t>
      </w:r>
      <w:r>
        <w:rPr>
          <w:rFonts w:hint="eastAsia" w:ascii="宋体" w:hAnsi="宋体" w:eastAsia="宋体" w:cs="宋体"/>
          <w:kern w:val="0"/>
          <w:sz w:val="21"/>
          <w:szCs w:val="21"/>
        </w:rPr>
        <w:t>/</w:t>
      </w:r>
      <w:r>
        <w:rPr>
          <w:rFonts w:hint="eastAsia" w:ascii="宋体" w:hAnsi="宋体" w:eastAsia="宋体" w:cs="宋体"/>
          <w:kern w:val="0"/>
          <w:sz w:val="21"/>
          <w:szCs w:val="21"/>
          <w:u w:val="single"/>
        </w:rPr>
        <w:t>□不需要</w:t>
      </w:r>
      <w:r>
        <w:rPr>
          <w:rFonts w:hint="eastAsia" w:ascii="宋体" w:hAnsi="宋体" w:eastAsia="宋体" w:cs="宋体"/>
          <w:kern w:val="0"/>
          <w:sz w:val="21"/>
          <w:szCs w:val="21"/>
        </w:rPr>
        <w:t>提供履约担保。</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 如需要乙方提供履约担保，则：</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kern w:val="0"/>
          <w:sz w:val="21"/>
          <w:szCs w:val="21"/>
        </w:rPr>
        <w:t>4.2.1履约担保用于补偿甲方因乙方不能完成其合同义务而蒙受的损失，是办理投标担保（如有）退还手续及合同价款支付手续的必要条件之一。</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4.2.2乙方提供履约担保的形式、金额及期限可采用以下方式之一：</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4.2.3如需提供履约担保，则乙方应确保提供的银行履约保函持续有效，在银行履约保函到期前1个月内办理好续保手续，并向甲方提供新的有效的银行履约保函。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4.2.4如需提供履约担保，合同履约未完成而履约担保到期的，乙方应在履约担保到期后的首次办理合同价款支付手续时提供有效的续保文件。</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kern w:val="0"/>
          <w:sz w:val="21"/>
          <w:szCs w:val="21"/>
        </w:rPr>
        <w:t>4.2.5在乙方完成其合同义务包括任何保证义务后，甲方将把履约担保无息退还乙方。</w:t>
      </w:r>
    </w:p>
    <w:bookmarkEnd w:id="66"/>
    <w:bookmarkEnd w:id="67"/>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68" w:name="_Toc469"/>
      <w:bookmarkStart w:id="69" w:name="_Toc21707"/>
      <w:r>
        <w:rPr>
          <w:rFonts w:hint="eastAsia" w:ascii="宋体" w:hAnsi="宋体" w:eastAsia="宋体" w:cs="宋体"/>
          <w:b/>
          <w:bCs/>
          <w:sz w:val="21"/>
          <w:szCs w:val="21"/>
        </w:rPr>
        <w:t>5、合同变更</w:t>
      </w:r>
      <w:bookmarkEnd w:id="68"/>
      <w:bookmarkEnd w:id="69"/>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（1）要实施的工作的说明（如果有的话）以及工作的实施进度计划；</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（2）对进度计划或本合同项下的乙方义务进行任何必要的修改的建议；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（3）乙方对合同价格调整的建议。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1）根据合同规定的原则计出总价；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2）根据合同单价和/或单位费率计算而计出总价；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3）根据合同价格类推和/或按比例计算而计出总价；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4）根据合同规定的相应成本确定。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70" w:name="_Toc28160"/>
      <w:bookmarkStart w:id="71" w:name="_Toc16499"/>
      <w:r>
        <w:rPr>
          <w:rFonts w:hint="eastAsia" w:ascii="宋体" w:hAnsi="宋体" w:eastAsia="宋体" w:cs="宋体"/>
          <w:b/>
          <w:bCs/>
          <w:sz w:val="21"/>
          <w:szCs w:val="21"/>
        </w:rPr>
        <w:t>6、材料设备供应</w:t>
      </w:r>
      <w:bookmarkEnd w:id="70"/>
      <w:bookmarkEnd w:id="71"/>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6.4 所有维修保养更换的损坏件，应交给甲方回收报废。</w:t>
      </w:r>
    </w:p>
    <w:p>
      <w:pPr>
        <w:pStyle w:val="2"/>
        <w:spacing w:after="0" w:line="360" w:lineRule="auto"/>
        <w:ind w:firstLine="422" w:firstLineChars="200"/>
        <w:outlineLvl w:val="1"/>
        <w:rPr>
          <w:rFonts w:hint="eastAsia" w:ascii="宋体" w:hAnsi="宋体" w:eastAsia="宋体" w:cs="宋体"/>
          <w:b/>
          <w:bCs/>
          <w:color w:val="auto"/>
          <w:sz w:val="21"/>
          <w:szCs w:val="21"/>
        </w:rPr>
      </w:pPr>
      <w:bookmarkStart w:id="72" w:name="_Toc9335"/>
      <w:bookmarkStart w:id="73" w:name="_Toc16050"/>
      <w:bookmarkStart w:id="74" w:name="_Toc368066694"/>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、双方责任</w:t>
      </w:r>
      <w:bookmarkEnd w:id="72"/>
      <w:bookmarkEnd w:id="73"/>
      <w:bookmarkEnd w:id="74"/>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.1甲方责任</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向乙方提供完成本项目的基础资料。</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协调乙方执行本合同与甲方内部有关职能部门的关系，办理有关内部批准文件。乙方进场维护保养时，甲方给予配合。</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甲方在本项目</w:t>
      </w:r>
      <w:r>
        <w:rPr>
          <w:rFonts w:hint="eastAsia" w:ascii="宋体" w:hAnsi="宋体" w:eastAsia="宋体" w:cs="宋体"/>
          <w:color w:val="auto"/>
          <w:sz w:val="21"/>
          <w:szCs w:val="21"/>
          <w:lang w:eastAsia="zh-CN"/>
        </w:rPr>
        <w:t>履行期间</w:t>
      </w:r>
      <w:r>
        <w:rPr>
          <w:rFonts w:hint="eastAsia" w:ascii="宋体" w:hAnsi="宋体" w:eastAsia="宋体" w:cs="宋体"/>
          <w:color w:val="auto"/>
          <w:sz w:val="21"/>
          <w:szCs w:val="21"/>
        </w:rPr>
        <w:t>派一名代表协助乙方处理维修保养中存在的问题，并对乙方维修保养工作进行监督、检查。</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根据本合同规定按时向乙方付款。</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按合同要求组织验收。</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乙方责任</w:t>
      </w:r>
    </w:p>
    <w:p>
      <w:pPr>
        <w:pStyle w:val="2"/>
        <w:spacing w:after="0" w:line="360" w:lineRule="auto"/>
        <w:ind w:firstLine="420" w:firstLineChars="200"/>
        <w:rPr>
          <w:rFonts w:hint="eastAsia" w:ascii="宋体" w:hAnsi="宋体" w:eastAsia="宋体" w:cs="宋体"/>
          <w:color w:val="auto"/>
          <w:sz w:val="21"/>
          <w:szCs w:val="21"/>
        </w:rPr>
      </w:pPr>
      <w:bookmarkStart w:id="75" w:name="_Toc368066695"/>
      <w:bookmarkStart w:id="76" w:name="_Toc240992313"/>
      <w:bookmarkStart w:id="77" w:name="_Toc357774470"/>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）乙方应</w:t>
      </w:r>
      <w:r>
        <w:rPr>
          <w:rFonts w:hint="eastAsia" w:ascii="宋体" w:hAnsi="宋体" w:eastAsia="宋体" w:cs="宋体"/>
          <w:color w:val="auto"/>
          <w:sz w:val="21"/>
          <w:szCs w:val="21"/>
        </w:rPr>
        <w:t>按照甲方要求制定详细的维修保养计划，经甲方审核后</w:t>
      </w:r>
      <w:r>
        <w:rPr>
          <w:rFonts w:hint="eastAsia" w:ascii="宋体" w:hAnsi="宋体" w:eastAsia="宋体" w:cs="宋体"/>
          <w:color w:val="auto"/>
          <w:sz w:val="21"/>
          <w:szCs w:val="21"/>
          <w:lang w:eastAsia="zh-CN"/>
        </w:rPr>
        <w:t>方能进行</w:t>
      </w:r>
      <w:r>
        <w:rPr>
          <w:rFonts w:hint="eastAsia" w:ascii="宋体" w:hAnsi="宋体" w:eastAsia="宋体" w:cs="宋体"/>
          <w:color w:val="auto"/>
          <w:sz w:val="21"/>
          <w:szCs w:val="21"/>
        </w:rPr>
        <w:t>设备维护维修工作。</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应严格按照合同</w:t>
      </w:r>
      <w:r>
        <w:rPr>
          <w:rFonts w:hint="eastAsia" w:ascii="宋体" w:hAnsi="宋体" w:eastAsia="宋体" w:cs="宋体"/>
          <w:color w:val="auto"/>
          <w:sz w:val="21"/>
          <w:szCs w:val="21"/>
          <w:lang w:eastAsia="zh-CN"/>
        </w:rPr>
        <w:t>约定的标准、规范提供维修保养服务。</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维保人员</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rPr>
        <w:t>统一着装，并</w:t>
      </w:r>
      <w:r>
        <w:rPr>
          <w:rFonts w:hint="eastAsia" w:ascii="宋体" w:hAnsi="宋体" w:eastAsia="宋体" w:cs="宋体"/>
          <w:color w:val="auto"/>
          <w:sz w:val="21"/>
          <w:szCs w:val="21"/>
          <w:lang w:eastAsia="zh-CN"/>
        </w:rPr>
        <w:t>按有关规定</w:t>
      </w:r>
      <w:r>
        <w:rPr>
          <w:rFonts w:hint="eastAsia" w:ascii="宋体" w:hAnsi="宋体" w:eastAsia="宋体" w:cs="宋体"/>
          <w:color w:val="auto"/>
          <w:sz w:val="21"/>
          <w:szCs w:val="21"/>
        </w:rPr>
        <w:t>配发劳保防护用品。</w:t>
      </w:r>
      <w:r>
        <w:rPr>
          <w:rFonts w:hint="eastAsia" w:ascii="宋体" w:hAnsi="宋体" w:eastAsia="宋体" w:cs="宋体"/>
          <w:color w:val="auto"/>
          <w:sz w:val="21"/>
          <w:szCs w:val="21"/>
          <w:lang w:eastAsia="zh-CN"/>
        </w:rPr>
        <w:t>维修保养过程中，乙方须</w:t>
      </w:r>
      <w:r>
        <w:rPr>
          <w:rFonts w:hint="eastAsia" w:ascii="宋体" w:hAnsi="宋体" w:eastAsia="宋体" w:cs="宋体"/>
          <w:color w:val="auto"/>
          <w:sz w:val="21"/>
          <w:szCs w:val="21"/>
        </w:rPr>
        <w:t>采取严格的安全防护措施。</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须安排专人</w:t>
      </w:r>
      <w:r>
        <w:rPr>
          <w:rFonts w:hint="eastAsia" w:ascii="宋体" w:hAnsi="宋体" w:eastAsia="宋体" w:cs="宋体"/>
          <w:color w:val="auto"/>
          <w:sz w:val="21"/>
          <w:szCs w:val="21"/>
        </w:rPr>
        <w:t>值班，确保通讯畅通。</w:t>
      </w:r>
      <w:r>
        <w:rPr>
          <w:rFonts w:hint="eastAsia" w:ascii="宋体" w:hAnsi="宋体" w:eastAsia="宋体" w:cs="宋体"/>
          <w:color w:val="auto"/>
          <w:sz w:val="21"/>
          <w:szCs w:val="21"/>
          <w:lang w:eastAsia="zh-CN"/>
        </w:rPr>
        <w:t>接到甲方通知后，按甲方要求在规定时间内响应并到达现场进行维修处理。</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）乙方须</w:t>
      </w:r>
      <w:r>
        <w:rPr>
          <w:rFonts w:hint="eastAsia" w:ascii="宋体" w:hAnsi="宋体" w:eastAsia="宋体" w:cs="宋体"/>
          <w:color w:val="auto"/>
          <w:sz w:val="21"/>
          <w:szCs w:val="21"/>
        </w:rPr>
        <w:t>接受甲方对工期、质量、人员组成、设备、仪器、维护维修过程的监督。</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）乙方须按投标承诺配置维保机构人员，如投标阶段未明确人员名单，则乙方须按甲方要求将维保机构人员资料交甲方备案。维保机构</w:t>
      </w:r>
      <w:r>
        <w:rPr>
          <w:rFonts w:hint="eastAsia" w:ascii="宋体" w:hAnsi="宋体" w:eastAsia="宋体" w:cs="宋体"/>
          <w:color w:val="auto"/>
          <w:sz w:val="21"/>
          <w:szCs w:val="21"/>
        </w:rPr>
        <w:t>人员数量及技术能力</w:t>
      </w:r>
      <w:r>
        <w:rPr>
          <w:rFonts w:hint="eastAsia" w:ascii="宋体" w:hAnsi="宋体" w:eastAsia="宋体" w:cs="宋体"/>
          <w:color w:val="auto"/>
          <w:sz w:val="21"/>
          <w:szCs w:val="21"/>
          <w:lang w:eastAsia="zh-CN"/>
        </w:rPr>
        <w:t>应保持</w:t>
      </w:r>
      <w:r>
        <w:rPr>
          <w:rFonts w:hint="eastAsia" w:ascii="宋体" w:hAnsi="宋体" w:eastAsia="宋体" w:cs="宋体"/>
          <w:color w:val="auto"/>
          <w:sz w:val="21"/>
          <w:szCs w:val="21"/>
        </w:rPr>
        <w:t>稳定，未经甲方许可不得擅自更换人员。</w:t>
      </w:r>
      <w:r>
        <w:rPr>
          <w:rFonts w:hint="eastAsia" w:ascii="宋体" w:hAnsi="宋体" w:eastAsia="宋体" w:cs="宋体"/>
          <w:color w:val="auto"/>
          <w:sz w:val="21"/>
          <w:szCs w:val="21"/>
          <w:lang w:eastAsia="zh-CN"/>
        </w:rPr>
        <w:t>确需</w:t>
      </w:r>
      <w:r>
        <w:rPr>
          <w:rFonts w:hint="eastAsia" w:ascii="宋体" w:hAnsi="宋体" w:eastAsia="宋体" w:cs="宋体"/>
          <w:color w:val="auto"/>
          <w:sz w:val="21"/>
          <w:szCs w:val="21"/>
        </w:rPr>
        <w:t>更换人员</w:t>
      </w:r>
      <w:r>
        <w:rPr>
          <w:rFonts w:hint="eastAsia" w:ascii="宋体" w:hAnsi="宋体" w:eastAsia="宋体" w:cs="宋体"/>
          <w:color w:val="auto"/>
          <w:sz w:val="21"/>
          <w:szCs w:val="21"/>
          <w:lang w:eastAsia="zh-CN"/>
        </w:rPr>
        <w:t>的，乙方应按甲方相关规定办理变更手续，经甲方审批同意并按本合同第</w:t>
      </w:r>
      <w:r>
        <w:rPr>
          <w:rFonts w:hint="eastAsia" w:ascii="宋体" w:hAnsi="宋体" w:eastAsia="宋体" w:cs="宋体"/>
          <w:color w:val="auto"/>
          <w:sz w:val="21"/>
          <w:szCs w:val="21"/>
          <w:lang w:val="en-US" w:eastAsia="zh-CN"/>
        </w:rPr>
        <w:t>10条支付违约金后方可更换</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须</w:t>
      </w:r>
      <w:r>
        <w:rPr>
          <w:rFonts w:hint="eastAsia" w:ascii="宋体" w:hAnsi="宋体" w:eastAsia="宋体" w:cs="宋体"/>
          <w:color w:val="auto"/>
          <w:sz w:val="21"/>
          <w:szCs w:val="21"/>
        </w:rPr>
        <w:t>积极配合</w:t>
      </w:r>
      <w:r>
        <w:rPr>
          <w:rFonts w:hint="eastAsia" w:ascii="宋体" w:hAnsi="宋体" w:eastAsia="宋体" w:cs="宋体"/>
          <w:color w:val="auto"/>
          <w:sz w:val="21"/>
          <w:szCs w:val="21"/>
          <w:lang w:eastAsia="zh-CN"/>
        </w:rPr>
        <w:t>行业主管部门</w:t>
      </w:r>
      <w:r>
        <w:rPr>
          <w:rFonts w:hint="eastAsia" w:ascii="宋体" w:hAnsi="宋体" w:eastAsia="宋体" w:cs="宋体"/>
          <w:color w:val="auto"/>
          <w:sz w:val="21"/>
          <w:szCs w:val="21"/>
        </w:rPr>
        <w:t>对设备的检查、检测、遗留问题整改等</w:t>
      </w:r>
      <w:r>
        <w:rPr>
          <w:rFonts w:hint="eastAsia" w:ascii="宋体" w:hAnsi="宋体" w:eastAsia="宋体" w:cs="宋体"/>
          <w:color w:val="auto"/>
          <w:sz w:val="21"/>
          <w:szCs w:val="21"/>
          <w:lang w:eastAsia="zh-CN"/>
        </w:rPr>
        <w:t>相关工作</w:t>
      </w:r>
      <w:r>
        <w:rPr>
          <w:rFonts w:hint="eastAsia" w:ascii="宋体" w:hAnsi="宋体" w:eastAsia="宋体" w:cs="宋体"/>
          <w:color w:val="auto"/>
          <w:sz w:val="21"/>
          <w:szCs w:val="21"/>
        </w:rPr>
        <w:t>。</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乙方应理解甲方有权根据政府要求及进度情况对工期做合理调整，工期调整后乙方不得以任何理由增加费用，乙方应充分考虑并承诺承担因工期调整所发生的相关费用。</w:t>
      </w:r>
    </w:p>
    <w:p>
      <w:pPr>
        <w:pStyle w:val="2"/>
        <w:spacing w:after="0" w:line="360" w:lineRule="auto"/>
        <w:ind w:firstLine="422" w:firstLineChars="200"/>
        <w:rPr>
          <w:rFonts w:hint="eastAsia" w:ascii="宋体" w:hAnsi="宋体" w:eastAsia="宋体" w:cs="宋体"/>
          <w:b/>
          <w:bCs/>
          <w:color w:val="auto"/>
          <w:sz w:val="21"/>
          <w:szCs w:val="21"/>
        </w:rPr>
      </w:pPr>
      <w:bookmarkStart w:id="78" w:name="_Toc21185"/>
      <w:bookmarkStart w:id="79" w:name="_Toc13407"/>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、项目验收</w:t>
      </w:r>
      <w:bookmarkEnd w:id="75"/>
      <w:bookmarkEnd w:id="78"/>
      <w:bookmarkEnd w:id="79"/>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应按甲方规定的时间</w:t>
      </w:r>
      <w:r>
        <w:rPr>
          <w:rFonts w:hint="eastAsia" w:ascii="宋体" w:hAnsi="宋体" w:eastAsia="宋体" w:cs="宋体"/>
          <w:color w:val="auto"/>
          <w:sz w:val="21"/>
          <w:szCs w:val="21"/>
        </w:rPr>
        <w:t>以书面形式提交维护保养报告，维护保养成果及维护保养报告经甲方确认达到本合同要求的技术及质量标准，视为验收合格。</w:t>
      </w:r>
      <w:r>
        <w:rPr>
          <w:rFonts w:hint="eastAsia" w:ascii="宋体" w:hAnsi="宋体" w:eastAsia="宋体" w:cs="宋体"/>
          <w:color w:val="auto"/>
          <w:sz w:val="21"/>
          <w:szCs w:val="21"/>
          <w:lang w:eastAsia="zh-CN"/>
        </w:rPr>
        <w:t>具体要求以用户需求书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技术规格书为准。</w:t>
      </w:r>
    </w:p>
    <w:bookmarkEnd w:id="76"/>
    <w:bookmarkEnd w:id="77"/>
    <w:p>
      <w:pPr>
        <w:pStyle w:val="2"/>
        <w:spacing w:after="0" w:line="360" w:lineRule="auto"/>
        <w:ind w:firstLine="422" w:firstLineChars="200"/>
        <w:outlineLvl w:val="1"/>
        <w:rPr>
          <w:rFonts w:hint="eastAsia" w:ascii="宋体" w:hAnsi="宋体" w:eastAsia="宋体" w:cs="宋体"/>
          <w:b/>
          <w:bCs/>
          <w:color w:val="auto"/>
          <w:sz w:val="21"/>
          <w:szCs w:val="21"/>
          <w:lang w:val="en-US" w:eastAsia="zh-CN" w:bidi="ar"/>
        </w:rPr>
      </w:pPr>
      <w:bookmarkStart w:id="80" w:name="_Toc368066696"/>
      <w:bookmarkStart w:id="81" w:name="_Toc2817"/>
      <w:bookmarkStart w:id="82" w:name="_Toc26125"/>
      <w:bookmarkStart w:id="83" w:name="_Toc136850808"/>
      <w:r>
        <w:rPr>
          <w:rFonts w:hint="eastAsia" w:ascii="宋体" w:hAnsi="宋体" w:eastAsia="宋体" w:cs="宋体"/>
          <w:b/>
          <w:bCs/>
          <w:color w:val="auto"/>
          <w:sz w:val="21"/>
          <w:szCs w:val="21"/>
          <w:lang w:val="en-US" w:eastAsia="zh-CN" w:bidi="ar"/>
        </w:rPr>
        <w:t>9、违约责任</w:t>
      </w:r>
      <w:bookmarkEnd w:id="80"/>
      <w:bookmarkEnd w:id="81"/>
      <w:bookmarkEnd w:id="82"/>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9.1人员管理不到位的违约责任</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合同履行期间，原则上不允许更换项目负责人，确需更换且符合合同要求的，乙方应按甲方相关规定办理变更手续，且只能更换一次；经报甲方审批同意更换项目负责人的，甲方有权要求乙方交纳10000元违约金。</w:t>
      </w:r>
      <w:r>
        <w:rPr>
          <w:rFonts w:hint="eastAsia" w:ascii="宋体" w:hAnsi="宋体" w:eastAsia="宋体" w:cs="宋体"/>
          <w:sz w:val="21"/>
          <w:szCs w:val="21"/>
        </w:rPr>
        <w:t>未经甲方审批同意，乙方擅自变更项目负责人的，每查实一次，</w:t>
      </w:r>
      <w:r>
        <w:rPr>
          <w:rFonts w:hint="eastAsia" w:ascii="宋体" w:hAnsi="宋体" w:eastAsia="宋体" w:cs="宋体"/>
          <w:kern w:val="0"/>
          <w:sz w:val="21"/>
          <w:szCs w:val="21"/>
        </w:rPr>
        <w:t>甲方有权要求乙方交纳</w:t>
      </w:r>
      <w:r>
        <w:rPr>
          <w:rFonts w:hint="eastAsia" w:ascii="宋体" w:hAnsi="宋体" w:eastAsia="宋体" w:cs="宋体"/>
          <w:sz w:val="21"/>
          <w:szCs w:val="21"/>
        </w:rPr>
        <w:t>20000元违约金。</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合同履行期间，原则上不允许乙方更换项目其他人员，确需更换且符合合同要求的，乙方应按甲方相关规定办理变更手续。更换人员人数每年达到项目总人数30%（不含）-50%（含）的，超过部分甲方有权要求乙方交纳2000元/人的违约金；更换人员人数每年超过项目总人数50%以上的，超过部分甲方有权要求乙方交纳4000元/人的违约金。未征得甲方审批同意，擅自更换其他人员，甲方有权要求乙方交纳支付4000元/人的违约金。</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（3）项目负责人缺勤的，</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500元/天的违约金；项目其他人员缺勤的，</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200元/人天的违约金。</w:t>
      </w:r>
      <w:r>
        <w:rPr>
          <w:rFonts w:hint="eastAsia" w:ascii="宋体" w:hAnsi="宋体" w:eastAsia="宋体" w:cs="宋体"/>
          <w:color w:val="auto"/>
          <w:sz w:val="21"/>
          <w:szCs w:val="21"/>
          <w:lang w:eastAsia="zh-CN"/>
        </w:rPr>
        <w:t>缺勤以甲方不定时抽查和乙方内部审核的签到表或打卡记录为准。</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 维保工作不到位的违约责任</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维保工作不到位的违约责任在用户需求书/技术规格书中明确的，按用户需求书/技术规格书执行，无明确约定的，按下述条款执行。</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（1）未经甲方书面同意，乙方在设备维保过程中使用不符合合同要求的备件和材料的，乙方应立即按甲方要求进行整改，且</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5000元/次的违约金，并赔偿由此给甲方造成的全部损失。</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乙方未</w:t>
      </w:r>
      <w:r>
        <w:rPr>
          <w:rFonts w:hint="eastAsia" w:ascii="宋体" w:hAnsi="宋体" w:eastAsia="宋体" w:cs="宋体"/>
          <w:color w:val="auto"/>
          <w:sz w:val="21"/>
          <w:szCs w:val="21"/>
        </w:rPr>
        <w:t>采取严格的安全防护措施</w:t>
      </w:r>
      <w:r>
        <w:rPr>
          <w:rFonts w:hint="eastAsia" w:ascii="宋体" w:hAnsi="宋体" w:eastAsia="宋体" w:cs="宋体"/>
          <w:color w:val="auto"/>
          <w:sz w:val="21"/>
          <w:szCs w:val="21"/>
          <w:lang w:eastAsia="zh-CN"/>
        </w:rPr>
        <w:t>导致发生人员安全事故的，由乙方</w:t>
      </w:r>
      <w:r>
        <w:rPr>
          <w:rFonts w:hint="eastAsia" w:ascii="宋体" w:hAnsi="宋体" w:eastAsia="宋体" w:cs="宋体"/>
          <w:color w:val="auto"/>
          <w:sz w:val="21"/>
          <w:szCs w:val="21"/>
        </w:rPr>
        <w:t>承担全部责任及由此而</w:t>
      </w:r>
      <w:r>
        <w:rPr>
          <w:rFonts w:hint="eastAsia" w:ascii="宋体" w:hAnsi="宋体" w:eastAsia="宋体" w:cs="宋体"/>
          <w:color w:val="auto"/>
          <w:sz w:val="21"/>
          <w:szCs w:val="21"/>
          <w:lang w:eastAsia="zh-CN"/>
        </w:rPr>
        <w:t>产</w:t>
      </w:r>
      <w:r>
        <w:rPr>
          <w:rFonts w:hint="eastAsia" w:ascii="宋体" w:hAnsi="宋体" w:eastAsia="宋体" w:cs="宋体"/>
          <w:color w:val="auto"/>
          <w:sz w:val="21"/>
          <w:szCs w:val="21"/>
        </w:rPr>
        <w:t>生的一切费用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并赔偿由此给甲方造成的全部损失</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乙方未按合同规定的时间对设备进行日常维护保养、特定日保障的（如有），</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2000</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lang w:val="en-US" w:eastAsia="zh-CN"/>
        </w:rPr>
        <w:t>/次</w:t>
      </w:r>
      <w:r>
        <w:rPr>
          <w:rFonts w:hint="eastAsia" w:ascii="宋体" w:hAnsi="宋体" w:eastAsia="宋体" w:cs="宋体"/>
          <w:color w:val="auto"/>
          <w:sz w:val="21"/>
          <w:szCs w:val="21"/>
          <w:lang w:eastAsia="zh-CN"/>
        </w:rPr>
        <w:t>的违约金，</w:t>
      </w:r>
      <w:r>
        <w:rPr>
          <w:rFonts w:hint="eastAsia" w:ascii="宋体" w:hAnsi="宋体" w:eastAsia="宋体" w:cs="宋体"/>
          <w:color w:val="auto"/>
          <w:sz w:val="21"/>
          <w:szCs w:val="21"/>
          <w:lang w:val="en-US" w:eastAsia="zh-CN"/>
        </w:rPr>
        <w:t>并赔偿由此给甲方造成的全部损失</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（4）乙方</w:t>
      </w:r>
      <w:r>
        <w:rPr>
          <w:rFonts w:hint="eastAsia" w:ascii="宋体" w:hAnsi="宋体" w:eastAsia="宋体" w:cs="宋体"/>
          <w:color w:val="auto"/>
          <w:sz w:val="21"/>
          <w:szCs w:val="21"/>
          <w:lang w:eastAsia="zh-CN"/>
        </w:rPr>
        <w:t>接到甲方设备故障（缺陷）通知后，未按甲方要求的时间响应或到达现场进行维修处理的，</w:t>
      </w:r>
      <w:r>
        <w:rPr>
          <w:rFonts w:hint="eastAsia" w:ascii="宋体" w:hAnsi="宋体" w:eastAsia="宋体" w:cs="宋体"/>
          <w:color w:val="auto"/>
          <w:sz w:val="21"/>
          <w:szCs w:val="21"/>
        </w:rPr>
        <w:t>甲方有权要求乙方</w:t>
      </w:r>
      <w:r>
        <w:rPr>
          <w:rFonts w:hint="eastAsia" w:ascii="宋体" w:hAnsi="宋体" w:eastAsia="宋体" w:cs="宋体"/>
          <w:color w:val="auto"/>
          <w:sz w:val="21"/>
          <w:szCs w:val="21"/>
          <w:lang w:eastAsia="zh-CN"/>
        </w:rPr>
        <w:t>交纳</w:t>
      </w:r>
      <w:r>
        <w:rPr>
          <w:rFonts w:hint="eastAsia" w:ascii="宋体" w:hAnsi="宋体" w:eastAsia="宋体" w:cs="宋体"/>
          <w:color w:val="auto"/>
          <w:sz w:val="21"/>
          <w:szCs w:val="21"/>
          <w:lang w:val="en-US" w:eastAsia="zh-CN"/>
        </w:rPr>
        <w:t>1000元/次</w:t>
      </w:r>
      <w:r>
        <w:rPr>
          <w:rFonts w:hint="eastAsia" w:ascii="宋体" w:hAnsi="宋体" w:eastAsia="宋体" w:cs="宋体"/>
          <w:color w:val="auto"/>
          <w:sz w:val="21"/>
          <w:szCs w:val="21"/>
          <w:lang w:eastAsia="zh-CN"/>
        </w:rPr>
        <w:t>的违约金，</w:t>
      </w:r>
      <w:r>
        <w:rPr>
          <w:rFonts w:hint="eastAsia" w:ascii="宋体" w:hAnsi="宋体" w:eastAsia="宋体" w:cs="宋体"/>
          <w:color w:val="auto"/>
          <w:sz w:val="21"/>
          <w:szCs w:val="21"/>
          <w:lang w:val="en-US" w:eastAsia="zh-CN"/>
        </w:rPr>
        <w:t>并赔偿由此给甲方造成的全部损失</w:t>
      </w:r>
      <w:r>
        <w:rPr>
          <w:rFonts w:hint="eastAsia" w:ascii="宋体" w:hAnsi="宋体" w:eastAsia="宋体" w:cs="宋体"/>
          <w:color w:val="auto"/>
          <w:sz w:val="21"/>
          <w:szCs w:val="21"/>
          <w:lang w:eastAsia="zh-CN"/>
        </w:rPr>
        <w:t>。</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（5）乙方应在甲方规定的进场日期进场并提供服务，每逾期一天，甲方有权按照5000元/天收取逾期违约金。如逾期超过</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lang w:val="en-US" w:eastAsia="zh-CN"/>
        </w:rPr>
        <w:t>天，甲方有权解除本合同并追究乙方的违约责任。</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9.3因乙方提供的发票导致甲方被税务部门追究相关法律责任的，乙方应承担由此给甲方造成的损失（包括但不限于未抵扣的税费、滞纳金）。</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乙方应以现金或转账方式交纳违约金，甲方根据税法相关规定开具收款收据或增值税发票。</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5乙方在接到甲方的违约通知后，应按通知要求交纳违约金；否则，甲方有权暂停合同价款支付或从乙方的合同价款中扣除相应的违约金。</w:t>
      </w:r>
    </w:p>
    <w:bookmarkEnd w:id="83"/>
    <w:p>
      <w:pPr>
        <w:pStyle w:val="2"/>
        <w:spacing w:after="0" w:line="360" w:lineRule="auto"/>
        <w:ind w:firstLine="422" w:firstLineChars="200"/>
        <w:outlineLvl w:val="1"/>
        <w:rPr>
          <w:rFonts w:hint="eastAsia" w:ascii="宋体" w:hAnsi="宋体" w:eastAsia="宋体" w:cs="宋体"/>
          <w:b/>
          <w:bCs/>
          <w:color w:val="auto"/>
          <w:sz w:val="21"/>
          <w:szCs w:val="21"/>
        </w:rPr>
      </w:pPr>
      <w:bookmarkStart w:id="84" w:name="_Toc11534"/>
      <w:bookmarkStart w:id="85" w:name="_Toc368066697"/>
      <w:bookmarkStart w:id="86" w:name="_Toc12374"/>
      <w:bookmarkStart w:id="87" w:name="_Toc357774473"/>
      <w:bookmarkStart w:id="88" w:name="_Toc240992316"/>
      <w:bookmarkStart w:id="89" w:name="_Toc192323538"/>
      <w:bookmarkStart w:id="90" w:name="_Toc136850810"/>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rPr>
        <w:t>、不可抗力</w:t>
      </w:r>
      <w:bookmarkEnd w:id="84"/>
      <w:bookmarkEnd w:id="85"/>
      <w:bookmarkEnd w:id="86"/>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bookmarkStart w:id="91" w:name="_Toc351203608"/>
      <w:bookmarkStart w:id="92" w:name="_Toc136850809"/>
      <w:r>
        <w:rPr>
          <w:rFonts w:hint="eastAsia" w:ascii="宋体" w:hAnsi="宋体" w:eastAsia="宋体" w:cs="宋体"/>
          <w:kern w:val="0"/>
          <w:sz w:val="21"/>
          <w:szCs w:val="21"/>
          <w:shd w:val="clear" w:color="auto" w:fill="FFFFFF"/>
        </w:rPr>
        <w:t>10.1</w:t>
      </w:r>
      <w:bookmarkEnd w:id="91"/>
      <w:r>
        <w:rPr>
          <w:rFonts w:hint="eastAsia" w:ascii="宋体" w:hAnsi="宋体" w:eastAsia="宋体" w:cs="宋体"/>
          <w:kern w:val="0"/>
          <w:sz w:val="21"/>
          <w:szCs w:val="21"/>
          <w:shd w:val="clear" w:color="auto" w:fill="FFFFFF"/>
        </w:rPr>
        <w:t>不可抗力的确认</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不可抗力发生后，合同当事人应收集证明不可抗力发生及不可抗力造成损失的证据，并及时认真统计所造成的损失。合同当事人对是否属于不可抗力或其损失发生争议时，按第13条〔争议解决〕的约定处理。</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bookmarkStart w:id="93" w:name="_Toc296503118"/>
      <w:bookmarkEnd w:id="93"/>
      <w:bookmarkStart w:id="94" w:name="_Toc296346619"/>
      <w:bookmarkEnd w:id="94"/>
      <w:bookmarkStart w:id="95" w:name="_Toc337558825"/>
      <w:bookmarkEnd w:id="95"/>
      <w:bookmarkStart w:id="96" w:name="_Toc351203609"/>
      <w:r>
        <w:rPr>
          <w:rFonts w:hint="eastAsia" w:ascii="宋体" w:hAnsi="宋体" w:eastAsia="宋体" w:cs="宋体"/>
          <w:kern w:val="0"/>
          <w:sz w:val="21"/>
          <w:szCs w:val="21"/>
          <w:shd w:val="clear" w:color="auto" w:fill="FFFFFF"/>
        </w:rPr>
        <w:t>10.2</w:t>
      </w:r>
      <w:bookmarkEnd w:id="96"/>
      <w:r>
        <w:rPr>
          <w:rFonts w:hint="eastAsia" w:ascii="宋体" w:hAnsi="宋体" w:eastAsia="宋体" w:cs="宋体"/>
          <w:kern w:val="0"/>
          <w:sz w:val="21"/>
          <w:szCs w:val="21"/>
          <w:shd w:val="clear" w:color="auto" w:fill="FFFFFF"/>
        </w:rPr>
        <w:t>不可抗力的通知</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bookmarkStart w:id="97" w:name="_Toc296346620"/>
      <w:bookmarkEnd w:id="97"/>
      <w:bookmarkStart w:id="98" w:name="_Toc296503119"/>
      <w:bookmarkEnd w:id="98"/>
      <w:bookmarkStart w:id="99" w:name="_Toc337558826"/>
      <w:bookmarkEnd w:id="99"/>
      <w:bookmarkStart w:id="100" w:name="_Toc351203610"/>
      <w:r>
        <w:rPr>
          <w:rFonts w:hint="eastAsia" w:ascii="宋体" w:hAnsi="宋体" w:eastAsia="宋体" w:cs="宋体"/>
          <w:kern w:val="0"/>
          <w:sz w:val="21"/>
          <w:szCs w:val="21"/>
          <w:shd w:val="clear" w:color="auto" w:fill="FFFFFF"/>
        </w:rPr>
        <w:t>10.3</w:t>
      </w:r>
      <w:bookmarkEnd w:id="100"/>
      <w:r>
        <w:rPr>
          <w:rFonts w:hint="eastAsia" w:ascii="宋体" w:hAnsi="宋体" w:eastAsia="宋体" w:cs="宋体"/>
          <w:kern w:val="0"/>
          <w:sz w:val="21"/>
          <w:szCs w:val="21"/>
          <w:shd w:val="clear" w:color="auto" w:fill="FFFFFF"/>
        </w:rPr>
        <w:t>不可抗力后果的承担</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不可抗力发生后，合同当事人均应采取措施尽量避免和减少损失的扩大，任何一方当事人没有采取有效措施导致损失扩大的，应对扩大的损失承担责任。</w:t>
      </w:r>
    </w:p>
    <w:p>
      <w:pPr>
        <w:pStyle w:val="2"/>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shd w:val="clear" w:color="auto" w:fill="FFFFFF"/>
        </w:rPr>
        <w:t>因合同一方迟延履行合同义务，在迟延履行期间遭遇不可抗力的，不免除其违约责任。</w:t>
      </w:r>
    </w:p>
    <w:bookmarkEnd w:id="92"/>
    <w:p>
      <w:pPr>
        <w:pStyle w:val="2"/>
        <w:spacing w:after="0" w:line="360" w:lineRule="auto"/>
        <w:ind w:firstLine="422" w:firstLineChars="200"/>
        <w:outlineLvl w:val="1"/>
        <w:rPr>
          <w:rFonts w:hint="eastAsia" w:ascii="宋体" w:hAnsi="宋体" w:eastAsia="宋体" w:cs="宋体"/>
          <w:b/>
          <w:bCs/>
          <w:color w:val="auto"/>
          <w:sz w:val="21"/>
          <w:szCs w:val="21"/>
          <w:lang w:val="en-US" w:eastAsia="zh-CN"/>
        </w:rPr>
      </w:pPr>
      <w:bookmarkStart w:id="101" w:name="_Toc5613"/>
      <w:bookmarkStart w:id="102" w:name="_Toc24616"/>
      <w:r>
        <w:rPr>
          <w:rFonts w:hint="eastAsia" w:ascii="宋体" w:hAnsi="宋体" w:eastAsia="宋体" w:cs="宋体"/>
          <w:b/>
          <w:bCs/>
          <w:color w:val="auto"/>
          <w:sz w:val="21"/>
          <w:szCs w:val="21"/>
          <w:lang w:val="en-US" w:eastAsia="zh-CN"/>
        </w:rPr>
        <w:t>11、合同解除</w:t>
      </w:r>
      <w:bookmarkEnd w:id="101"/>
      <w:bookmarkEnd w:id="102"/>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 有下列情形之一的，合同当事人一方或双方可以解除合同：</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（1）乙方将本合同约定的工作全部或部分转包给他人，甲方有权解除合同；</w:t>
      </w:r>
    </w:p>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（2）乙方提供的维保服务不符合合同约定的要求，经甲方催告仍不能达到合同约定要求的，甲方有权解除合同；</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（3）因不可抗力致使合同无法履行；</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（4）因一方违约致使合同无法实际履行或实际履行已无必要；</w:t>
      </w:r>
    </w:p>
    <w:p>
      <w:pPr>
        <w:pStyle w:val="2"/>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（5）违约金总额超过合同签约价的20%，甲方有权解除合同。</w:t>
      </w:r>
    </w:p>
    <w:p>
      <w:pPr>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11.2任何一方提出解除合同的，应提前30天书面通知对方，违约方应赔偿由此给守约方造成的直接损失和间接损失。因不可抗力导致的合同解除，双方各自承担自身的损失。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2"/>
        <w:snapToGrid w:val="0"/>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11.4合同解除后，本合同约定的有关结算、争议解决方式的条款仍然有效。</w:t>
      </w:r>
    </w:p>
    <w:p>
      <w:pPr>
        <w:pStyle w:val="2"/>
        <w:snapToGrid w:val="0"/>
        <w:spacing w:after="0" w:line="360" w:lineRule="auto"/>
        <w:ind w:firstLine="422" w:firstLineChars="200"/>
        <w:outlineLvl w:val="1"/>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12、合同终止</w:t>
      </w:r>
    </w:p>
    <w:p>
      <w:pPr>
        <w:pStyle w:val="2"/>
        <w:snapToGrid w:val="0"/>
        <w:spacing w:after="0" w:line="360" w:lineRule="auto"/>
        <w:ind w:firstLine="420" w:firstLineChars="200"/>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12.1 甲方、乙方履行合同全部义务，合同价款支付完毕，本合同即告终止。</w:t>
      </w:r>
    </w:p>
    <w:p>
      <w:pPr>
        <w:pStyle w:val="2"/>
        <w:snapToGrid w:val="0"/>
        <w:spacing w:after="0" w:line="360" w:lineRule="auto"/>
        <w:ind w:firstLine="420" w:firstLineChars="200"/>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12.2合同的权利义务终止后，合同当事人应遵循诚实信用原则，履行通知、协助和保密等义务。</w:t>
      </w:r>
    </w:p>
    <w:p>
      <w:pPr>
        <w:pStyle w:val="2"/>
        <w:snapToGrid w:val="0"/>
        <w:spacing w:after="0" w:line="360" w:lineRule="auto"/>
        <w:ind w:firstLine="422" w:firstLineChars="20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、争议解决</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宋体" w:hAnsi="宋体" w:eastAsia="宋体" w:cs="宋体"/>
          <w:kern w:val="0"/>
          <w:sz w:val="21"/>
          <w:szCs w:val="21"/>
          <w:u w:val="single"/>
        </w:rPr>
        <w:t>（2）</w:t>
      </w:r>
      <w:r>
        <w:rPr>
          <w:rFonts w:hint="eastAsia" w:ascii="宋体" w:hAnsi="宋体" w:eastAsia="宋体" w:cs="宋体"/>
          <w:kern w:val="0"/>
          <w:sz w:val="21"/>
          <w:szCs w:val="21"/>
        </w:rPr>
        <w:t>种方式解决：</w:t>
      </w:r>
    </w:p>
    <w:p>
      <w:pPr>
        <w:tabs>
          <w:tab w:val="left" w:pos="0"/>
        </w:tabs>
        <w:adjustRightInd w:val="0"/>
        <w:snapToGrid w:val="0"/>
        <w:spacing w:line="360" w:lineRule="auto"/>
        <w:ind w:left="7" w:firstLine="413"/>
        <w:jc w:val="left"/>
        <w:rPr>
          <w:rFonts w:hint="eastAsia" w:ascii="宋体" w:hAnsi="宋体" w:eastAsia="宋体" w:cs="宋体"/>
          <w:sz w:val="21"/>
          <w:szCs w:val="21"/>
        </w:rPr>
      </w:pPr>
      <w:r>
        <w:rPr>
          <w:rFonts w:hint="eastAsia" w:ascii="宋体" w:hAnsi="宋体" w:eastAsia="宋体" w:cs="宋体"/>
          <w:kern w:val="0"/>
          <w:sz w:val="21"/>
          <w:szCs w:val="21"/>
        </w:rPr>
        <w:t>（1）向</w:t>
      </w:r>
      <w:r>
        <w:rPr>
          <w:rFonts w:hint="eastAsia" w:ascii="宋体" w:hAnsi="宋体" w:eastAsia="宋体" w:cs="宋体"/>
          <w:kern w:val="0"/>
          <w:sz w:val="21"/>
          <w:szCs w:val="21"/>
          <w:u w:val="single"/>
        </w:rPr>
        <w:t>长沙</w:t>
      </w:r>
      <w:r>
        <w:rPr>
          <w:rFonts w:hint="eastAsia" w:ascii="宋体" w:hAnsi="宋体" w:eastAsia="宋体" w:cs="宋体"/>
          <w:kern w:val="0"/>
          <w:sz w:val="21"/>
          <w:szCs w:val="21"/>
        </w:rPr>
        <w:t>仲裁委员会申请仲裁；</w:t>
      </w:r>
    </w:p>
    <w:p>
      <w:pPr>
        <w:tabs>
          <w:tab w:val="left" w:pos="0"/>
        </w:tabs>
        <w:adjustRightInd w:val="0"/>
        <w:snapToGrid w:val="0"/>
        <w:spacing w:line="360" w:lineRule="auto"/>
        <w:ind w:left="7" w:firstLine="413"/>
        <w:jc w:val="left"/>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甲方所在地</w:t>
      </w:r>
      <w:r>
        <w:rPr>
          <w:rFonts w:hint="eastAsia" w:ascii="宋体" w:hAnsi="宋体" w:eastAsia="宋体" w:cs="宋体"/>
          <w:sz w:val="21"/>
          <w:szCs w:val="21"/>
        </w:rPr>
        <w:t>人民法院起诉。</w:t>
      </w:r>
    </w:p>
    <w:p>
      <w:pPr>
        <w:tabs>
          <w:tab w:val="left" w:pos="1248"/>
        </w:tabs>
        <w:adjustRightInd w:val="0"/>
        <w:snapToGrid w:val="0"/>
        <w:spacing w:line="360" w:lineRule="auto"/>
        <w:ind w:firstLine="422" w:firstLineChars="200"/>
        <w:outlineLvl w:val="1"/>
        <w:rPr>
          <w:rFonts w:hint="eastAsia" w:ascii="宋体" w:hAnsi="宋体" w:eastAsia="宋体" w:cs="宋体"/>
          <w:b/>
          <w:sz w:val="21"/>
          <w:szCs w:val="21"/>
        </w:rPr>
      </w:pPr>
      <w:bookmarkStart w:id="103" w:name="_Toc7592"/>
      <w:bookmarkStart w:id="104" w:name="_Toc20824"/>
      <w:r>
        <w:rPr>
          <w:rFonts w:hint="eastAsia" w:ascii="宋体" w:hAnsi="宋体" w:eastAsia="宋体" w:cs="宋体"/>
          <w:b/>
          <w:sz w:val="21"/>
          <w:szCs w:val="21"/>
        </w:rPr>
        <w:t>14、法律适用</w:t>
      </w:r>
      <w:bookmarkEnd w:id="103"/>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22" w:firstLineChars="200"/>
        <w:outlineLvl w:val="1"/>
        <w:rPr>
          <w:rFonts w:hint="eastAsia" w:ascii="宋体" w:hAnsi="宋体" w:eastAsia="宋体" w:cs="宋体"/>
          <w:b/>
          <w:sz w:val="21"/>
          <w:szCs w:val="21"/>
        </w:rPr>
      </w:pPr>
      <w:bookmarkStart w:id="105" w:name="_Toc20811"/>
      <w:r>
        <w:rPr>
          <w:rFonts w:hint="eastAsia" w:ascii="宋体" w:hAnsi="宋体" w:eastAsia="宋体" w:cs="宋体"/>
          <w:b/>
          <w:sz w:val="21"/>
          <w:szCs w:val="21"/>
        </w:rPr>
        <w:t>15、通知</w:t>
      </w:r>
      <w:bookmarkEnd w:id="105"/>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15.2通知以送到之日或通知书中规定的生效之日起生效，两者中以较迟之日为准。</w:t>
      </w:r>
    </w:p>
    <w:p>
      <w:pPr>
        <w:pStyle w:val="2"/>
        <w:numPr>
          <w:ilvl w:val="0"/>
          <w:numId w:val="3"/>
        </w:numPr>
        <w:spacing w:after="0" w:line="360" w:lineRule="auto"/>
        <w:ind w:firstLine="422" w:firstLineChars="200"/>
        <w:outlineLvl w:val="1"/>
        <w:rPr>
          <w:rFonts w:hint="eastAsia" w:ascii="宋体" w:hAnsi="宋体" w:eastAsia="宋体" w:cs="宋体"/>
          <w:color w:val="auto"/>
          <w:sz w:val="21"/>
          <w:szCs w:val="21"/>
          <w:u w:val="single"/>
          <w:lang w:val="en-US" w:eastAsia="zh-CN"/>
        </w:rPr>
      </w:pPr>
      <w:r>
        <w:rPr>
          <w:rFonts w:hint="eastAsia" w:ascii="宋体" w:hAnsi="宋体" w:eastAsia="宋体" w:cs="宋体"/>
          <w:b/>
          <w:bCs/>
          <w:color w:val="auto"/>
          <w:sz w:val="21"/>
          <w:szCs w:val="21"/>
          <w:lang w:val="en-US" w:eastAsia="zh-CN"/>
        </w:rPr>
        <w:t>双方约定的其他事项</w:t>
      </w:r>
      <w:bookmarkEnd w:id="104"/>
      <w:r>
        <w:rPr>
          <w:rFonts w:hint="eastAsia" w:ascii="宋体" w:hAnsi="宋体" w:eastAsia="宋体" w:cs="宋体"/>
          <w:color w:val="auto"/>
          <w:sz w:val="21"/>
          <w:szCs w:val="21"/>
        </w:rPr>
        <w:t>（</w:t>
      </w:r>
      <w:r>
        <w:rPr>
          <w:rFonts w:hint="eastAsia" w:ascii="宋体" w:hAnsi="宋体" w:eastAsia="宋体" w:cs="宋体"/>
          <w:bCs/>
          <w:color w:val="auto"/>
          <w:sz w:val="21"/>
          <w:szCs w:val="21"/>
        </w:rPr>
        <w:t>本条约定与合同条款中其他约定不一致时，以本条为准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val="en-US" w:eastAsia="zh-CN"/>
        </w:rPr>
        <w:t xml:space="preserve"> 16.1 第一部分合同协议书第三条第2款修改为“签约合同价为含增值税价，金额为人民币（大写）          （¥       ），具体价格组成详见签约合同价清单”。</w:t>
      </w:r>
    </w:p>
    <w:p>
      <w:pPr>
        <w:pStyle w:val="2"/>
        <w:keepNext w:val="0"/>
        <w:keepLines w:val="0"/>
        <w:pageBreakBefore w:val="0"/>
        <w:widowControl w:val="0"/>
        <w:numPr>
          <w:ilvl w:val="0"/>
          <w:numId w:val="0"/>
        </w:numPr>
        <w:kinsoku/>
        <w:wordWrap/>
        <w:overflowPunct/>
        <w:topLinePunct w:val="0"/>
        <w:autoSpaceDE/>
        <w:autoSpaceDN/>
        <w:bidi w:val="0"/>
        <w:spacing w:after="0" w:line="360"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 xml:space="preserve">16.2 第二部分合同条款第9.1条第（2）款“合同履行期间，原则上不允许乙方更换项目其他人员，确需更换且符合合同要求的，乙方应按甲方相关规定办理变更手续。更换人员人数每年达到项目总人数30%（不含）-50%（含）的，超过部分甲方有权要求乙方交纳2000元/人的违约金；更换人员人数每年超过项目总人数50%以上的，超过部分甲方有权要求乙方交纳4000元/人的违约金。未征得甲方审批同意，擅自更换其他人员，甲方有权要求乙方交纳支付4000元/人的违约金。”修改为“合同履行期间，原则上不允许乙方更换项目其他人员，确需更换且符合合同要求的，乙方应按甲方相关规定办理变更手续。未征得甲方审批同意，擅自更换其他人员，甲方有权要求乙方交纳支付4000元/人的违约金” </w:t>
      </w:r>
      <w:r>
        <w:rPr>
          <w:rFonts w:hint="eastAsia" w:ascii="宋体" w:hAnsi="宋体" w:eastAsia="宋体" w:cs="宋体"/>
          <w:color w:val="auto"/>
          <w:sz w:val="21"/>
          <w:szCs w:val="21"/>
          <w:lang w:val="en-US" w:eastAsia="zh-CN"/>
        </w:rPr>
        <w:t>。</w:t>
      </w:r>
    </w:p>
    <w:p>
      <w:pPr>
        <w:keepNext w:val="0"/>
        <w:keepLines w:val="0"/>
        <w:pageBreakBefore w:val="0"/>
        <w:widowControl w:val="0"/>
        <w:tabs>
          <w:tab w:val="left" w:pos="851"/>
          <w:tab w:val="left" w:pos="1440"/>
        </w:tabs>
        <w:kinsoku/>
        <w:wordWrap/>
        <w:overflowPunct/>
        <w:topLinePunct w:val="0"/>
        <w:autoSpaceDE/>
        <w:autoSpaceDN/>
        <w:bidi w:val="0"/>
        <w:adjustRightInd w:val="0"/>
        <w:snapToGrid w:val="0"/>
        <w:spacing w:before="120" w:beforeLines="50" w:after="120" w:afterLines="50" w:line="360" w:lineRule="auto"/>
        <w:ind w:firstLine="420" w:firstLineChars="200"/>
        <w:jc w:val="center"/>
        <w:textAlignment w:val="auto"/>
        <w:outlineLvl w:val="0"/>
        <w:rPr>
          <w:rFonts w:hint="eastAsia" w:ascii="宋体" w:hAnsi="宋体" w:eastAsia="宋体" w:cs="宋体"/>
          <w:sz w:val="21"/>
          <w:szCs w:val="21"/>
        </w:rPr>
        <w:sectPr>
          <w:footerReference r:id="rId12" w:type="first"/>
          <w:footerReference r:id="rId11" w:type="default"/>
          <w:pgSz w:w="11850" w:h="16783"/>
          <w:pgMar w:top="1191" w:right="1417" w:bottom="1191" w:left="1191" w:header="851" w:footer="992" w:gutter="0"/>
          <w:pgNumType w:start="1"/>
          <w:cols w:space="720" w:num="1"/>
          <w:titlePg/>
          <w:docGrid w:linePitch="312" w:charSpace="0"/>
        </w:sectPr>
      </w:pPr>
    </w:p>
    <w:bookmarkEnd w:id="87"/>
    <w:bookmarkEnd w:id="88"/>
    <w:bookmarkEnd w:id="89"/>
    <w:bookmarkEnd w:id="90"/>
    <w:p>
      <w:pPr>
        <w:pageBreakBefore/>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106" w:name="_Toc501718834"/>
      <w:bookmarkStart w:id="107" w:name="_Toc26755"/>
      <w:bookmarkStart w:id="108" w:name="_Toc25884"/>
      <w:r>
        <w:rPr>
          <w:rFonts w:hint="eastAsia" w:ascii="宋体" w:hAnsi="宋体" w:eastAsia="宋体" w:cs="宋体"/>
          <w:b/>
          <w:bCs/>
          <w:kern w:val="0"/>
          <w:sz w:val="21"/>
          <w:szCs w:val="21"/>
        </w:rPr>
        <w:t>第三部分 合同附件</w:t>
      </w:r>
      <w:bookmarkEnd w:id="106"/>
    </w:p>
    <w:p>
      <w:pPr>
        <w:adjustRightInd w:val="0"/>
        <w:snapToGrid w:val="0"/>
        <w:rPr>
          <w:rFonts w:hint="eastAsia" w:ascii="宋体" w:hAnsi="宋体" w:eastAsia="宋体" w:cs="宋体"/>
          <w:b/>
          <w:sz w:val="21"/>
          <w:szCs w:val="21"/>
        </w:rPr>
      </w:pPr>
      <w:bookmarkStart w:id="109" w:name="_Toc501718838"/>
      <w:bookmarkStart w:id="110" w:name="_Toc501718835"/>
      <w:r>
        <w:rPr>
          <w:rFonts w:hint="eastAsia" w:ascii="宋体" w:hAnsi="宋体" w:eastAsia="宋体" w:cs="宋体"/>
          <w:b/>
          <w:sz w:val="21"/>
          <w:szCs w:val="21"/>
        </w:rPr>
        <w:t>附件1 廉政协议</w:t>
      </w:r>
    </w:p>
    <w:p>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廉政协议</w:t>
      </w:r>
    </w:p>
    <w:p>
      <w:pPr>
        <w:widowControl/>
        <w:snapToGrid w:val="0"/>
        <w:spacing w:line="360" w:lineRule="auto"/>
        <w:jc w:val="left"/>
        <w:rPr>
          <w:rFonts w:hint="eastAsia" w:ascii="宋体" w:hAnsi="宋体" w:eastAsia="宋体" w:cs="宋体"/>
          <w:kern w:val="0"/>
          <w:sz w:val="21"/>
          <w:szCs w:val="21"/>
          <w:lang w:bidi="en-US"/>
        </w:rPr>
      </w:pPr>
    </w:p>
    <w:p>
      <w:pPr>
        <w:widowControl/>
        <w:snapToGrid w:val="0"/>
        <w:spacing w:line="440" w:lineRule="exact"/>
        <w:jc w:val="left"/>
        <w:rPr>
          <w:rFonts w:hint="eastAsia" w:ascii="宋体" w:hAnsi="宋体" w:eastAsia="宋体" w:cs="宋体"/>
          <w:kern w:val="0"/>
          <w:sz w:val="21"/>
          <w:szCs w:val="21"/>
          <w:u w:val="single"/>
        </w:rPr>
      </w:pPr>
      <w:r>
        <w:rPr>
          <w:rFonts w:hint="eastAsia" w:ascii="宋体" w:hAnsi="宋体" w:eastAsia="宋体" w:cs="宋体"/>
          <w:kern w:val="0"/>
          <w:sz w:val="21"/>
          <w:szCs w:val="21"/>
        </w:rPr>
        <w:t>甲方：</w:t>
      </w:r>
      <w:r>
        <w:rPr>
          <w:rFonts w:hint="eastAsia" w:ascii="宋体" w:hAnsi="宋体" w:eastAsia="宋体" w:cs="宋体"/>
          <w:kern w:val="0"/>
          <w:sz w:val="21"/>
          <w:szCs w:val="21"/>
          <w:u w:val="single"/>
        </w:rPr>
        <w:t xml:space="preserve">                         </w:t>
      </w:r>
    </w:p>
    <w:p>
      <w:pPr>
        <w:widowControl/>
        <w:snapToGrid w:val="0"/>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乙方：</w:t>
      </w:r>
      <w:r>
        <w:rPr>
          <w:rFonts w:hint="eastAsia" w:ascii="宋体" w:hAnsi="宋体" w:eastAsia="宋体" w:cs="宋体"/>
          <w:kern w:val="0"/>
          <w:sz w:val="21"/>
          <w:szCs w:val="21"/>
          <w:u w:val="single"/>
        </w:rPr>
        <w:t xml:space="preserve">                         </w:t>
      </w:r>
    </w:p>
    <w:p>
      <w:pPr>
        <w:adjustRightInd w:val="0"/>
        <w:snapToGrid w:val="0"/>
        <w:spacing w:line="440" w:lineRule="exact"/>
        <w:ind w:firstLine="480"/>
        <w:jc w:val="left"/>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b/>
          <w:sz w:val="21"/>
          <w:szCs w:val="21"/>
        </w:rPr>
      </w:pPr>
      <w:bookmarkStart w:id="111" w:name="_Toc59900969"/>
      <w:bookmarkStart w:id="112" w:name="_Toc59896701"/>
      <w:r>
        <w:rPr>
          <w:rFonts w:hint="eastAsia" w:ascii="宋体" w:hAnsi="宋体" w:eastAsia="宋体" w:cs="宋体"/>
          <w:b/>
          <w:sz w:val="21"/>
          <w:szCs w:val="21"/>
        </w:rPr>
        <w:t xml:space="preserve">第一条 </w:t>
      </w:r>
      <w:bookmarkEnd w:id="111"/>
      <w:bookmarkEnd w:id="112"/>
      <w:r>
        <w:rPr>
          <w:rFonts w:hint="eastAsia" w:ascii="宋体" w:hAnsi="宋体" w:eastAsia="宋体" w:cs="宋体"/>
          <w:b/>
          <w:sz w:val="21"/>
          <w:szCs w:val="21"/>
        </w:rPr>
        <w:t>共同责任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b/>
          <w:sz w:val="21"/>
          <w:szCs w:val="21"/>
        </w:rPr>
      </w:pPr>
      <w:r>
        <w:rPr>
          <w:rFonts w:hint="eastAsia" w:ascii="宋体" w:hAnsi="宋体" w:eastAsia="宋体" w:cs="宋体"/>
          <w:b/>
          <w:sz w:val="21"/>
          <w:szCs w:val="21"/>
        </w:rPr>
        <w:t>第二条 共同权利</w:t>
      </w:r>
    </w:p>
    <w:p>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b/>
          <w:sz w:val="21"/>
          <w:szCs w:val="21"/>
        </w:rPr>
      </w:pPr>
      <w:bookmarkStart w:id="113" w:name="_Toc59896702"/>
      <w:bookmarkStart w:id="114" w:name="_Toc59900970"/>
      <w:r>
        <w:rPr>
          <w:rFonts w:hint="eastAsia" w:ascii="宋体" w:hAnsi="宋体" w:eastAsia="宋体" w:cs="宋体"/>
          <w:b/>
          <w:sz w:val="21"/>
          <w:szCs w:val="21"/>
        </w:rPr>
        <w:t>第三条 甲方的义务</w:t>
      </w:r>
      <w:bookmarkEnd w:id="113"/>
      <w:bookmarkEnd w:id="114"/>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b/>
          <w:sz w:val="21"/>
          <w:szCs w:val="21"/>
        </w:rPr>
      </w:pPr>
      <w:bookmarkStart w:id="115" w:name="_Toc59896703"/>
      <w:bookmarkStart w:id="116" w:name="_Toc59900971"/>
      <w:r>
        <w:rPr>
          <w:rFonts w:hint="eastAsia" w:ascii="宋体" w:hAnsi="宋体" w:eastAsia="宋体" w:cs="宋体"/>
          <w:b/>
          <w:sz w:val="21"/>
          <w:szCs w:val="21"/>
        </w:rPr>
        <w:t>第四条 乙方义务</w:t>
      </w:r>
      <w:bookmarkEnd w:id="115"/>
      <w:bookmarkEnd w:id="116"/>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（六）乙方不得有违反法律、法规、廉洁从业规定的其他行为。</w:t>
      </w:r>
    </w:p>
    <w:p>
      <w:pPr>
        <w:adjustRightInd w:val="0"/>
        <w:snapToGrid w:val="0"/>
        <w:spacing w:line="440" w:lineRule="exact"/>
        <w:ind w:firstLine="480"/>
        <w:rPr>
          <w:rFonts w:hint="eastAsia" w:ascii="宋体" w:hAnsi="宋体" w:eastAsia="宋体" w:cs="宋体"/>
          <w:b/>
          <w:sz w:val="21"/>
          <w:szCs w:val="21"/>
        </w:rPr>
      </w:pPr>
      <w:r>
        <w:rPr>
          <w:rFonts w:hint="eastAsia" w:ascii="宋体" w:hAnsi="宋体" w:eastAsia="宋体" w:cs="宋体"/>
          <w:b/>
          <w:sz w:val="21"/>
          <w:szCs w:val="21"/>
        </w:rPr>
        <w:t>第五条 违约责任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第八条 本协议作为主合同的附件，与主合同具有同等的法律效力，经合同双方签署立即生效。</w:t>
      </w:r>
    </w:p>
    <w:p>
      <w:pPr>
        <w:snapToGrid w:val="0"/>
        <w:spacing w:line="440" w:lineRule="exact"/>
        <w:rPr>
          <w:rFonts w:hint="eastAsia" w:ascii="宋体" w:hAnsi="宋体" w:eastAsia="宋体" w:cs="宋体"/>
          <w:sz w:val="21"/>
          <w:szCs w:val="21"/>
        </w:rPr>
        <w:sectPr>
          <w:pgSz w:w="11906" w:h="16838"/>
          <w:pgMar w:top="1440" w:right="1800" w:bottom="1440" w:left="1800" w:header="851" w:footer="992" w:gutter="0"/>
          <w:cols w:space="720" w:num="1"/>
          <w:docGrid w:type="lines" w:linePitch="312" w:charSpace="0"/>
        </w:sectPr>
      </w:pPr>
    </w:p>
    <w:p>
      <w:pPr>
        <w:rPr>
          <w:rFonts w:hint="eastAsia" w:ascii="宋体" w:hAnsi="宋体" w:eastAsia="宋体" w:cs="宋体"/>
          <w:sz w:val="21"/>
          <w:szCs w:val="21"/>
        </w:rPr>
      </w:pPr>
      <w:r>
        <w:rPr>
          <w:rFonts w:hint="eastAsia" w:ascii="宋体" w:hAnsi="宋体" w:eastAsia="宋体" w:cs="宋体"/>
          <w:sz w:val="21"/>
          <w:szCs w:val="21"/>
        </w:rPr>
        <w:t>（本页无正文）</w:t>
      </w:r>
    </w:p>
    <w:p>
      <w:pPr>
        <w:ind w:left="420" w:leftChars="200"/>
        <w:rPr>
          <w:rFonts w:hint="eastAsia" w:ascii="宋体" w:hAnsi="宋体" w:eastAsia="宋体" w:cs="宋体"/>
          <w:sz w:val="21"/>
          <w:szCs w:val="21"/>
        </w:rPr>
      </w:pPr>
    </w:p>
    <w:p>
      <w:pPr>
        <w:rPr>
          <w:rFonts w:hint="eastAsia" w:ascii="宋体" w:hAnsi="宋体" w:eastAsia="宋体" w:cs="宋体"/>
          <w:sz w:val="21"/>
          <w:szCs w:val="21"/>
        </w:rPr>
      </w:pPr>
    </w:p>
    <w:p>
      <w:pPr>
        <w:ind w:left="420" w:leftChars="200"/>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（盖章）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（签字）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或授权代理人：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或授权代理人：</w:t>
      </w:r>
      <w:r>
        <w:rPr>
          <w:rFonts w:hint="eastAsia" w:ascii="宋体" w:hAnsi="宋体" w:eastAsia="宋体" w:cs="宋体"/>
          <w:sz w:val="21"/>
          <w:szCs w:val="21"/>
          <w:u w:val="single"/>
        </w:rPr>
        <w:t xml:space="preserve">（签字）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widowControl/>
        <w:snapToGrid w:val="0"/>
        <w:spacing w:line="360" w:lineRule="auto"/>
        <w:jc w:val="left"/>
        <w:outlineLvl w:val="1"/>
        <w:rPr>
          <w:rFonts w:hint="eastAsia" w:ascii="宋体" w:hAnsi="宋体" w:eastAsia="宋体" w:cs="宋体"/>
          <w:b/>
          <w:kern w:val="0"/>
          <w:sz w:val="21"/>
          <w:szCs w:val="21"/>
        </w:rPr>
      </w:pPr>
      <w:r>
        <w:rPr>
          <w:rFonts w:hint="eastAsia" w:ascii="宋体" w:hAnsi="宋体" w:eastAsia="宋体" w:cs="宋体"/>
          <w:kern w:val="0"/>
          <w:sz w:val="21"/>
          <w:szCs w:val="21"/>
        </w:rPr>
        <w:t>甲方监督单位：</w:t>
      </w:r>
      <w:r>
        <w:rPr>
          <w:rFonts w:hint="eastAsia" w:ascii="宋体" w:hAnsi="宋体" w:eastAsia="宋体" w:cs="宋体"/>
          <w:kern w:val="0"/>
          <w:sz w:val="21"/>
          <w:szCs w:val="21"/>
          <w:u w:val="single"/>
        </w:rPr>
        <w:t xml:space="preserve">（盖章）      </w:t>
      </w:r>
      <w:r>
        <w:rPr>
          <w:rFonts w:hint="eastAsia" w:ascii="宋体" w:hAnsi="宋体" w:eastAsia="宋体" w:cs="宋体"/>
          <w:kern w:val="0"/>
          <w:sz w:val="21"/>
          <w:szCs w:val="21"/>
        </w:rPr>
        <w:t xml:space="preserve">             乙方监督单位：</w:t>
      </w:r>
      <w:r>
        <w:rPr>
          <w:rFonts w:hint="eastAsia" w:ascii="宋体" w:hAnsi="宋体" w:eastAsia="宋体" w:cs="宋体"/>
          <w:kern w:val="0"/>
          <w:sz w:val="21"/>
          <w:szCs w:val="21"/>
          <w:u w:val="single"/>
        </w:rPr>
        <w:t xml:space="preserve">（盖章）        </w:t>
      </w:r>
    </w:p>
    <w:bookmarkEnd w:id="109"/>
    <w:p>
      <w:pPr>
        <w:pStyle w:val="15"/>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附件2 保密协议</w:t>
      </w:r>
    </w:p>
    <w:p>
      <w:pPr>
        <w:widowControl/>
        <w:snapToGrid w:val="0"/>
        <w:spacing w:line="360" w:lineRule="auto"/>
        <w:jc w:val="center"/>
        <w:rPr>
          <w:rFonts w:hint="eastAsia" w:ascii="宋体" w:hAnsi="宋体" w:eastAsia="宋体" w:cs="宋体"/>
          <w:kern w:val="0"/>
          <w:sz w:val="21"/>
          <w:szCs w:val="21"/>
          <w:lang w:bidi="en-US"/>
        </w:rPr>
      </w:pPr>
      <w:r>
        <w:rPr>
          <w:rFonts w:hint="eastAsia" w:ascii="宋体" w:hAnsi="宋体" w:eastAsia="宋体" w:cs="宋体"/>
          <w:b/>
          <w:bCs/>
          <w:smallCaps/>
          <w:kern w:val="0"/>
          <w:sz w:val="21"/>
          <w:szCs w:val="21"/>
          <w:lang w:bidi="en-US"/>
        </w:rPr>
        <w:t>保密协议</w:t>
      </w:r>
    </w:p>
    <w:p>
      <w:pPr>
        <w:widowControl/>
        <w:snapToGrid w:val="0"/>
        <w:spacing w:line="360" w:lineRule="auto"/>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鉴于甲方和乙方签订的</w:t>
      </w:r>
      <w:r>
        <w:rPr>
          <w:rFonts w:hint="eastAsia" w:ascii="宋体" w:hAnsi="宋体" w:eastAsia="宋体" w:cs="宋体"/>
          <w:kern w:val="0"/>
          <w:sz w:val="21"/>
          <w:szCs w:val="21"/>
          <w:u w:val="single"/>
          <w:lang w:bidi="en-US"/>
        </w:rPr>
        <w:t xml:space="preserve">                </w:t>
      </w:r>
      <w:r>
        <w:rPr>
          <w:rFonts w:hint="eastAsia" w:ascii="宋体" w:hAnsi="宋体" w:eastAsia="宋体" w:cs="宋体"/>
          <w:kern w:val="0"/>
          <w:sz w:val="21"/>
          <w:szCs w:val="21"/>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第一条 保密内容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甲、乙双方确认，乙方应承担保密义务的内容为：</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第二条 乙方的保密义务</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1、乙方应主动采取加密措施对上述第一条所列内容进行保密，防止不承担同等保密义务的任何第三者知悉及使用。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2、乙方不得刺探或者以其他不正当手段（包括利用计算机进行检索、浏览、复制等）获取主合同及主合同执行过程中的甲方秘密。</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3、乙方不得向不承担同等保密义务的任何第三人披露上述第一条所列内容。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4、乙方不得允许（包括出借、赠与、出租、转让等行为）或协助不承担同等保密义务的任何第三人使用上述第一条所列内容。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7、乙方如发现上述第一条所列内容被泄露或者自己过失泄露秘密，应当采取有效措施防止泄密进一步扩大，并及时向甲方报告。</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第三条 保密期限</w:t>
      </w:r>
    </w:p>
    <w:p>
      <w:pPr>
        <w:widowControl/>
        <w:snapToGrid w:val="0"/>
        <w:spacing w:line="360" w:lineRule="auto"/>
        <w:ind w:firstLine="420" w:firstLineChars="200"/>
        <w:jc w:val="left"/>
        <w:rPr>
          <w:rFonts w:hint="eastAsia" w:ascii="宋体" w:hAnsi="宋体" w:eastAsia="宋体" w:cs="宋体"/>
          <w:b/>
          <w:kern w:val="0"/>
          <w:sz w:val="21"/>
          <w:szCs w:val="21"/>
          <w:lang w:bidi="en-US"/>
        </w:rPr>
      </w:pPr>
      <w:r>
        <w:rPr>
          <w:rFonts w:hint="eastAsia" w:ascii="宋体" w:hAnsi="宋体" w:eastAsia="宋体" w:cs="宋体"/>
          <w:kern w:val="0"/>
          <w:sz w:val="21"/>
          <w:szCs w:val="21"/>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第四条 违约责任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1、因乙方未履行本协议第二条规定的保密义务，但尚未给甲方造成损失或严重后果的，每发生一次，甲方有权要求乙方支付</w:t>
      </w:r>
      <w:r>
        <w:rPr>
          <w:rFonts w:hint="eastAsia" w:ascii="宋体" w:hAnsi="宋体" w:eastAsia="宋体" w:cs="宋体"/>
          <w:b/>
          <w:kern w:val="0"/>
          <w:sz w:val="21"/>
          <w:szCs w:val="21"/>
          <w:lang w:bidi="en-US"/>
        </w:rPr>
        <w:t>人民币</w:t>
      </w:r>
      <w:r>
        <w:rPr>
          <w:rFonts w:hint="eastAsia" w:ascii="宋体" w:hAnsi="宋体" w:eastAsia="宋体" w:cs="宋体"/>
          <w:b/>
          <w:kern w:val="0"/>
          <w:sz w:val="21"/>
          <w:szCs w:val="21"/>
          <w:u w:val="single"/>
          <w:lang w:bidi="en-US"/>
        </w:rPr>
        <w:t>1000</w:t>
      </w:r>
      <w:r>
        <w:rPr>
          <w:rFonts w:hint="eastAsia" w:ascii="宋体" w:hAnsi="宋体" w:eastAsia="宋体" w:cs="宋体"/>
          <w:b/>
          <w:kern w:val="0"/>
          <w:sz w:val="21"/>
          <w:szCs w:val="21"/>
          <w:lang w:bidi="en-US"/>
        </w:rPr>
        <w:t>元</w:t>
      </w:r>
      <w:r>
        <w:rPr>
          <w:rFonts w:hint="eastAsia" w:ascii="宋体" w:hAnsi="宋体" w:eastAsia="宋体" w:cs="宋体"/>
          <w:kern w:val="0"/>
          <w:sz w:val="21"/>
          <w:szCs w:val="21"/>
          <w:lang w:bidi="en-US"/>
        </w:rPr>
        <w:t>的违约金。</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2、因乙方未履行本协议第二条规定的保密义务，给甲方造成损失或严重后果的，每发生一次，乙方应承担以下赔偿责任：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（1）甲方调查乙方的违反协议行为而发生的所有费用；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（2）因乙方的违反协议行为给甲方造成的经济损失，损失赔偿金额为</w:t>
      </w:r>
      <w:r>
        <w:rPr>
          <w:rFonts w:hint="eastAsia" w:ascii="宋体" w:hAnsi="宋体" w:eastAsia="宋体" w:cs="宋体"/>
          <w:b/>
          <w:kern w:val="0"/>
          <w:sz w:val="21"/>
          <w:szCs w:val="21"/>
          <w:lang w:bidi="en-US"/>
        </w:rPr>
        <w:t>主合同签约合同价的</w:t>
      </w:r>
      <w:r>
        <w:rPr>
          <w:rFonts w:hint="eastAsia" w:ascii="宋体" w:hAnsi="宋体" w:eastAsia="宋体" w:cs="宋体"/>
          <w:b/>
          <w:kern w:val="0"/>
          <w:sz w:val="21"/>
          <w:szCs w:val="21"/>
          <w:u w:val="single"/>
          <w:lang w:bidi="en-US"/>
        </w:rPr>
        <w:t>1</w:t>
      </w:r>
      <w:r>
        <w:rPr>
          <w:rFonts w:hint="eastAsia" w:ascii="宋体" w:hAnsi="宋体" w:eastAsia="宋体" w:cs="宋体"/>
          <w:b/>
          <w:kern w:val="0"/>
          <w:sz w:val="21"/>
          <w:szCs w:val="21"/>
          <w:lang w:bidi="en-US"/>
        </w:rPr>
        <w:t>％</w:t>
      </w:r>
      <w:r>
        <w:rPr>
          <w:rFonts w:hint="eastAsia" w:ascii="宋体" w:hAnsi="宋体" w:eastAsia="宋体" w:cs="宋体"/>
          <w:kern w:val="0"/>
          <w:sz w:val="21"/>
          <w:szCs w:val="21"/>
          <w:lang w:bidi="en-US"/>
        </w:rPr>
        <w:t>（有证据证明甲方实际损失超过这一金额的，以甲方实际损失为准）。</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第五条 争议的解决</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因执行本协议而发生的纠纷，可由双方协商解决；协商不成的，任何一方有权向</w:t>
      </w:r>
      <w:r>
        <w:rPr>
          <w:rFonts w:hint="eastAsia" w:ascii="宋体" w:hAnsi="宋体" w:eastAsia="宋体" w:cs="宋体"/>
          <w:kern w:val="0"/>
          <w:sz w:val="21"/>
          <w:szCs w:val="21"/>
          <w:u w:val="single"/>
          <w:lang w:bidi="en-US"/>
        </w:rPr>
        <w:t>甲方所在地人民法院</w:t>
      </w:r>
      <w:r>
        <w:rPr>
          <w:rFonts w:hint="eastAsia" w:ascii="宋体" w:hAnsi="宋体" w:eastAsia="宋体" w:cs="宋体"/>
          <w:kern w:val="0"/>
          <w:sz w:val="21"/>
          <w:szCs w:val="21"/>
          <w:lang w:bidi="en-US"/>
        </w:rPr>
        <w:t>提起诉讼。</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第六条 协议的效力和变更</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1、本协议自双方法定代表人或其授权代表签字并加盖公章后生效。</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2、任何对本协议所作的任何增补和修改，除非由双方合法指派的代表书面做出，否则视为无效或对双方均无约束力。</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br w:type="page"/>
      </w:r>
      <w:r>
        <w:rPr>
          <w:rFonts w:hint="eastAsia" w:ascii="宋体" w:hAnsi="宋体" w:eastAsia="宋体" w:cs="宋体"/>
          <w:kern w:val="0"/>
          <w:sz w:val="21"/>
          <w:szCs w:val="21"/>
          <w:lang w:bidi="en-US"/>
        </w:rPr>
        <w:t>（本页无正文）</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宋体" w:hAnsi="宋体" w:eastAsia="宋体" w:cs="宋体"/>
                <w:kern w:val="0"/>
                <w:sz w:val="21"/>
                <w:szCs w:val="21"/>
              </w:rPr>
            </w:pPr>
            <w:bookmarkStart w:id="117" w:name="3"/>
            <w:bookmarkEnd w:id="117"/>
            <w:r>
              <w:rPr>
                <w:rFonts w:hint="eastAsia" w:ascii="宋体" w:hAnsi="宋体" w:eastAsia="宋体" w:cs="宋体"/>
                <w:kern w:val="0"/>
                <w:sz w:val="21"/>
                <w:szCs w:val="21"/>
              </w:rPr>
              <w:t>甲方：(盖章)</w:t>
            </w:r>
          </w:p>
        </w:tc>
        <w:tc>
          <w:tcPr>
            <w:tcW w:w="4252" w:type="dxa"/>
            <w:noWrap w:val="0"/>
            <w:vAlign w:val="top"/>
          </w:tcPr>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p>
            <w:pPr>
              <w:adjustRightInd w:val="0"/>
              <w:snapToGrid w:val="0"/>
              <w:spacing w:line="360" w:lineRule="auto"/>
              <w:ind w:left="19" w:leftChars="9"/>
              <w:textAlignment w:val="baseline"/>
              <w:rPr>
                <w:rFonts w:hint="eastAsia" w:ascii="宋体" w:hAnsi="宋体" w:eastAsia="宋体" w:cs="宋体"/>
                <w:kern w:val="0"/>
                <w:sz w:val="21"/>
                <w:szCs w:val="21"/>
              </w:rPr>
            </w:pP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r>
    </w:tbl>
    <w:p>
      <w:pPr>
        <w:widowControl/>
        <w:snapToGrid w:val="0"/>
        <w:spacing w:line="360" w:lineRule="auto"/>
        <w:jc w:val="left"/>
        <w:rPr>
          <w:rFonts w:hint="eastAsia" w:ascii="宋体" w:hAnsi="宋体" w:eastAsia="宋体" w:cs="宋体"/>
          <w:kern w:val="0"/>
          <w:sz w:val="21"/>
          <w:szCs w:val="21"/>
          <w:lang w:bidi="en-US"/>
        </w:rPr>
      </w:pPr>
    </w:p>
    <w:p>
      <w:pPr>
        <w:snapToGrid w:val="0"/>
        <w:spacing w:line="360" w:lineRule="auto"/>
        <w:ind w:firstLine="420" w:firstLineChars="200"/>
        <w:jc w:val="left"/>
        <w:rPr>
          <w:rFonts w:hint="eastAsia" w:ascii="宋体" w:hAnsi="宋体" w:eastAsia="宋体" w:cs="宋体"/>
          <w:sz w:val="21"/>
          <w:szCs w:val="21"/>
        </w:rPr>
      </w:pPr>
    </w:p>
    <w:p>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sz w:val="21"/>
          <w:szCs w:val="21"/>
        </w:rPr>
        <w:br w:type="page"/>
      </w:r>
      <w:r>
        <w:rPr>
          <w:rFonts w:hint="eastAsia" w:ascii="宋体" w:hAnsi="宋体" w:eastAsia="宋体" w:cs="宋体"/>
          <w:b/>
          <w:sz w:val="21"/>
          <w:szCs w:val="21"/>
        </w:rPr>
        <w:t>附件3 中标通知书/中选通知书/谈判记录表</w:t>
      </w:r>
    </w:p>
    <w:p>
      <w:pPr>
        <w:adjustRightInd w:val="0"/>
        <w:snapToGrid w:val="0"/>
        <w:spacing w:line="360" w:lineRule="auto"/>
        <w:jc w:val="left"/>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附件4 签约合同价清单</w:t>
      </w:r>
      <w:bookmarkEnd w:id="110"/>
    </w:p>
    <w:p>
      <w:pPr>
        <w:pStyle w:val="15"/>
        <w:tabs>
          <w:tab w:val="left" w:pos="720"/>
        </w:tabs>
        <w:snapToGrid w:val="0"/>
        <w:spacing w:line="360" w:lineRule="auto"/>
        <w:ind w:left="0" w:firstLine="0"/>
        <w:outlineLvl w:val="1"/>
        <w:rPr>
          <w:rFonts w:hint="eastAsia" w:ascii="宋体" w:hAnsi="宋体" w:eastAsia="宋体" w:cs="宋体"/>
          <w:b/>
          <w:sz w:val="21"/>
          <w:szCs w:val="21"/>
        </w:rPr>
      </w:pPr>
      <w:bookmarkStart w:id="118" w:name="_Toc501718836"/>
      <w:r>
        <w:rPr>
          <w:rFonts w:hint="eastAsia" w:ascii="宋体" w:hAnsi="宋体" w:eastAsia="宋体" w:cs="宋体"/>
          <w:b/>
          <w:sz w:val="21"/>
          <w:szCs w:val="21"/>
        </w:rPr>
        <w:br w:type="page"/>
      </w:r>
      <w:r>
        <w:rPr>
          <w:rFonts w:hint="eastAsia" w:ascii="宋体" w:hAnsi="宋体" w:eastAsia="宋体" w:cs="宋体"/>
          <w:b/>
          <w:sz w:val="21"/>
          <w:szCs w:val="21"/>
        </w:rPr>
        <w:t>附件5 项目关键岗位人员表</w:t>
      </w:r>
      <w:bookmarkEnd w:id="118"/>
    </w:p>
    <w:p>
      <w:pPr>
        <w:pStyle w:val="15"/>
        <w:tabs>
          <w:tab w:val="left" w:pos="720"/>
        </w:tabs>
        <w:snapToGrid w:val="0"/>
        <w:spacing w:line="360" w:lineRule="auto"/>
        <w:ind w:left="0" w:firstLine="0"/>
        <w:outlineLvl w:val="1"/>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附件6 澄清与答疑文件</w:t>
      </w:r>
    </w:p>
    <w:p>
      <w:pPr>
        <w:pStyle w:val="15"/>
        <w:tabs>
          <w:tab w:val="left" w:pos="720"/>
        </w:tabs>
        <w:snapToGrid w:val="0"/>
        <w:spacing w:line="360" w:lineRule="auto"/>
        <w:ind w:left="0" w:firstLine="0"/>
        <w:outlineLvl w:val="1"/>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附件7 最高投标限价公示说明</w:t>
      </w:r>
    </w:p>
    <w:p>
      <w:pPr>
        <w:pStyle w:val="15"/>
        <w:tabs>
          <w:tab w:val="left" w:pos="720"/>
        </w:tabs>
        <w:snapToGrid w:val="0"/>
        <w:spacing w:line="360" w:lineRule="auto"/>
        <w:ind w:left="0" w:firstLine="0"/>
        <w:outlineLvl w:val="1"/>
        <w:rPr>
          <w:rFonts w:hint="eastAsia" w:ascii="宋体" w:hAnsi="宋体" w:eastAsia="宋体" w:cs="宋体"/>
          <w:b/>
          <w:sz w:val="21"/>
          <w:szCs w:val="21"/>
        </w:rPr>
      </w:pPr>
      <w:bookmarkStart w:id="119" w:name="_Toc501718837"/>
      <w:r>
        <w:rPr>
          <w:rFonts w:hint="eastAsia" w:ascii="宋体" w:hAnsi="宋体" w:eastAsia="宋体" w:cs="宋体"/>
          <w:b/>
          <w:sz w:val="21"/>
          <w:szCs w:val="21"/>
        </w:rPr>
        <w:br w:type="page"/>
      </w:r>
      <w:r>
        <w:rPr>
          <w:rFonts w:hint="eastAsia" w:ascii="宋体" w:hAnsi="宋体" w:eastAsia="宋体" w:cs="宋体"/>
          <w:b/>
          <w:sz w:val="21"/>
          <w:szCs w:val="21"/>
        </w:rPr>
        <w:t>附件8用户需求书</w:t>
      </w:r>
      <w:bookmarkEnd w:id="119"/>
      <w:r>
        <w:rPr>
          <w:rFonts w:hint="eastAsia" w:ascii="宋体" w:hAnsi="宋体" w:eastAsia="宋体" w:cs="宋体"/>
          <w:b/>
          <w:sz w:val="21"/>
          <w:szCs w:val="21"/>
        </w:rPr>
        <w:t>/技术规格书</w:t>
      </w:r>
    </w:p>
    <w:p>
      <w:pPr>
        <w:pStyle w:val="15"/>
        <w:tabs>
          <w:tab w:val="left" w:pos="720"/>
        </w:tabs>
        <w:snapToGrid w:val="0"/>
        <w:spacing w:line="360" w:lineRule="auto"/>
        <w:ind w:left="0" w:firstLine="0"/>
        <w:outlineLvl w:val="1"/>
        <w:rPr>
          <w:rFonts w:hint="eastAsia" w:ascii="宋体" w:hAnsi="宋体" w:eastAsia="宋体" w:cs="宋体"/>
          <w:b/>
          <w:sz w:val="21"/>
          <w:szCs w:val="21"/>
        </w:rPr>
      </w:pPr>
    </w:p>
    <w:p>
      <w:pPr>
        <w:pStyle w:val="15"/>
        <w:tabs>
          <w:tab w:val="left" w:pos="720"/>
        </w:tabs>
        <w:snapToGrid w:val="0"/>
        <w:spacing w:line="360" w:lineRule="auto"/>
        <w:ind w:firstLine="0"/>
        <w:outlineLvl w:val="1"/>
        <w:rPr>
          <w:rFonts w:hint="eastAsia" w:ascii="宋体" w:hAnsi="宋体" w:eastAsia="宋体" w:cs="宋体"/>
          <w:b/>
          <w:sz w:val="21"/>
          <w:szCs w:val="21"/>
        </w:rPr>
      </w:pPr>
    </w:p>
    <w:p>
      <w:pPr>
        <w:widowControl/>
        <w:snapToGrid w:val="0"/>
        <w:spacing w:line="360" w:lineRule="auto"/>
        <w:jc w:val="center"/>
        <w:rPr>
          <w:rFonts w:hint="eastAsia" w:ascii="宋体" w:hAnsi="宋体" w:eastAsia="宋体" w:cs="宋体"/>
          <w:b/>
          <w:bCs/>
          <w:sz w:val="21"/>
          <w:szCs w:val="21"/>
        </w:rPr>
      </w:pPr>
      <w:r>
        <w:rPr>
          <w:rFonts w:hint="eastAsia" w:ascii="宋体" w:hAnsi="宋体" w:eastAsia="宋体" w:cs="宋体"/>
          <w:b/>
          <w:sz w:val="21"/>
          <w:szCs w:val="21"/>
        </w:rPr>
        <w:br w:type="page"/>
      </w:r>
      <w:bookmarkStart w:id="120" w:name="_Toc494117897"/>
      <w:bookmarkStart w:id="121" w:name="_Toc492458579"/>
      <w:bookmarkStart w:id="122" w:name="_Toc499044865"/>
      <w:r>
        <w:rPr>
          <w:rFonts w:hint="eastAsia" w:ascii="宋体" w:hAnsi="宋体" w:eastAsia="宋体" w:cs="宋体"/>
          <w:b/>
          <w:bCs/>
          <w:kern w:val="0"/>
          <w:sz w:val="21"/>
          <w:szCs w:val="21"/>
        </w:rPr>
        <w:t xml:space="preserve">第四部分 </w:t>
      </w:r>
      <w:r>
        <w:rPr>
          <w:rFonts w:hint="eastAsia" w:ascii="宋体" w:hAnsi="宋体" w:eastAsia="宋体" w:cs="宋体"/>
          <w:b/>
          <w:bCs/>
          <w:sz w:val="21"/>
          <w:szCs w:val="21"/>
        </w:rPr>
        <w:t>合同附录</w:t>
      </w:r>
      <w:bookmarkEnd w:id="120"/>
      <w:bookmarkEnd w:id="121"/>
      <w:bookmarkEnd w:id="122"/>
    </w:p>
    <w:p>
      <w:pPr>
        <w:snapToGrid w:val="0"/>
        <w:spacing w:line="360" w:lineRule="auto"/>
        <w:rPr>
          <w:rFonts w:hint="eastAsia" w:ascii="宋体" w:hAnsi="宋体" w:eastAsia="宋体" w:cs="宋体"/>
          <w:b/>
          <w:sz w:val="21"/>
          <w:szCs w:val="21"/>
        </w:rPr>
      </w:pPr>
      <w:bookmarkStart w:id="123" w:name="_Toc499044866"/>
      <w:bookmarkStart w:id="124" w:name="_Toc494117898"/>
      <w:bookmarkStart w:id="125" w:name="_Toc492458580"/>
      <w:r>
        <w:rPr>
          <w:rFonts w:hint="eastAsia" w:ascii="宋体" w:hAnsi="宋体" w:eastAsia="宋体" w:cs="宋体"/>
          <w:b/>
          <w:sz w:val="21"/>
          <w:szCs w:val="21"/>
        </w:rPr>
        <w:t xml:space="preserve">附录1 </w:t>
      </w:r>
      <w:bookmarkEnd w:id="123"/>
      <w:bookmarkEnd w:id="124"/>
      <w:bookmarkEnd w:id="125"/>
      <w:bookmarkStart w:id="126" w:name="_Toc492458581"/>
      <w:bookmarkStart w:id="127" w:name="_Toc499044867"/>
      <w:bookmarkStart w:id="128" w:name="_Toc494117899"/>
      <w:r>
        <w:rPr>
          <w:rFonts w:hint="eastAsia" w:ascii="宋体" w:hAnsi="宋体" w:eastAsia="宋体" w:cs="宋体"/>
          <w:b/>
          <w:sz w:val="21"/>
          <w:szCs w:val="21"/>
        </w:rPr>
        <w:t xml:space="preserve"> 履约保函（格式）</w:t>
      </w:r>
      <w:bookmarkEnd w:id="126"/>
      <w:bookmarkEnd w:id="127"/>
      <w:bookmarkEnd w:id="128"/>
    </w:p>
    <w:p>
      <w:pPr>
        <w:jc w:val="center"/>
        <w:rPr>
          <w:rFonts w:hint="eastAsia" w:ascii="宋体" w:hAnsi="宋体" w:eastAsia="宋体" w:cs="宋体"/>
          <w:b/>
          <w:bCs/>
          <w:sz w:val="21"/>
          <w:szCs w:val="21"/>
        </w:rPr>
      </w:pPr>
      <w:r>
        <w:rPr>
          <w:rFonts w:hint="eastAsia" w:ascii="宋体" w:hAnsi="宋体" w:eastAsia="宋体" w:cs="宋体"/>
          <w:b/>
          <w:bCs/>
          <w:sz w:val="21"/>
          <w:szCs w:val="21"/>
        </w:rPr>
        <w:t xml:space="preserve">                          保函编号：</w:t>
      </w: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jc w:val="center"/>
        <w:rPr>
          <w:rFonts w:hint="eastAsia" w:ascii="宋体" w:hAnsi="宋体" w:eastAsia="宋体" w:cs="宋体"/>
          <w:b/>
          <w:sz w:val="21"/>
          <w:szCs w:val="21"/>
        </w:rPr>
      </w:pP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甲方（全称）：</w:t>
      </w:r>
      <w:r>
        <w:rPr>
          <w:rFonts w:hint="eastAsia" w:ascii="宋体" w:hAnsi="宋体" w:eastAsia="宋体" w:cs="宋体"/>
          <w:sz w:val="21"/>
          <w:szCs w:val="21"/>
          <w:u w:val="single"/>
        </w:rPr>
        <w:t xml:space="preserve">                  </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鉴于甲方</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2、担保期限为自本保函生效之日起至</w:t>
      </w:r>
      <w:r>
        <w:rPr>
          <w:rFonts w:hint="eastAsia" w:ascii="宋体" w:hAnsi="宋体" w:eastAsia="宋体" w:cs="宋体"/>
          <w:sz w:val="21"/>
          <w:szCs w:val="21"/>
          <w:u w:val="single"/>
        </w:rPr>
        <w:t xml:space="preserve">           </w:t>
      </w:r>
      <w:r>
        <w:rPr>
          <w:rFonts w:hint="eastAsia" w:ascii="宋体" w:hAnsi="宋体" w:eastAsia="宋体" w:cs="宋体"/>
          <w:sz w:val="21"/>
          <w:szCs w:val="21"/>
        </w:rPr>
        <w:t>之日止。</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本保函自我方加盖公章之日起生效。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担保人（盖公章）：</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邮政编码：</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电话：</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传真：</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时间：</w:t>
      </w:r>
    </w:p>
    <w:bookmarkEnd w:id="107"/>
    <w:bookmarkEnd w:id="108"/>
    <w:p>
      <w:pPr>
        <w:widowControl/>
        <w:snapToGrid w:val="0"/>
        <w:spacing w:line="360" w:lineRule="auto"/>
        <w:jc w:val="center"/>
        <w:outlineLvl w:val="1"/>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widowControl/>
        <w:snapToGrid w:val="0"/>
        <w:jc w:val="left"/>
        <w:outlineLvl w:val="1"/>
        <w:rPr>
          <w:rFonts w:hint="eastAsia" w:ascii="宋体" w:hAnsi="宋体" w:eastAsia="宋体" w:cs="宋体"/>
          <w:b/>
          <w:kern w:val="0"/>
          <w:sz w:val="21"/>
          <w:szCs w:val="21"/>
        </w:rPr>
      </w:pPr>
      <w:r>
        <w:rPr>
          <w:rFonts w:hint="eastAsia" w:ascii="宋体" w:hAnsi="宋体" w:eastAsia="宋体" w:cs="宋体"/>
          <w:b/>
          <w:kern w:val="0"/>
          <w:sz w:val="21"/>
          <w:szCs w:val="21"/>
        </w:rPr>
        <w:t>第五部分 招标文件/自主竞争性谈判文件/直接委托谈判文件、澄清与答疑文件及其他补充资料（如有，另册）</w:t>
      </w: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spacing w:line="360" w:lineRule="auto"/>
        <w:jc w:val="center"/>
        <w:outlineLvl w:val="1"/>
        <w:rPr>
          <w:rFonts w:hint="eastAsia" w:ascii="宋体" w:hAnsi="宋体" w:eastAsia="宋体" w:cs="宋体"/>
          <w:b/>
          <w:kern w:val="0"/>
          <w:sz w:val="21"/>
          <w:szCs w:val="21"/>
        </w:rPr>
      </w:pPr>
    </w:p>
    <w:p>
      <w:pPr>
        <w:widowControl/>
        <w:snapToGrid w:val="0"/>
        <w:jc w:val="left"/>
        <w:outlineLvl w:val="1"/>
        <w:rPr>
          <w:rFonts w:hint="eastAsia" w:ascii="宋体" w:hAnsi="宋体" w:eastAsia="宋体" w:cs="宋体"/>
          <w:b/>
          <w:kern w:val="0"/>
          <w:sz w:val="21"/>
          <w:szCs w:val="21"/>
        </w:rPr>
      </w:pPr>
      <w:r>
        <w:rPr>
          <w:rFonts w:hint="eastAsia" w:ascii="宋体" w:hAnsi="宋体" w:eastAsia="宋体" w:cs="宋体"/>
          <w:b/>
          <w:kern w:val="0"/>
          <w:sz w:val="21"/>
          <w:szCs w:val="21"/>
        </w:rPr>
        <w:t>第六部分 投标文件/谈判响应文件、澄清文件及其他补充资料（如有，另册）</w:t>
      </w:r>
    </w:p>
    <w:p>
      <w:pPr>
        <w:tabs>
          <w:tab w:val="left" w:pos="1248"/>
        </w:tabs>
        <w:adjustRightInd w:val="0"/>
        <w:snapToGrid w:val="0"/>
        <w:spacing w:line="360" w:lineRule="auto"/>
        <w:rPr>
          <w:rFonts w:hint="eastAsia" w:ascii="宋体" w:hAnsi="宋体" w:eastAsia="宋体" w:cs="宋体"/>
          <w:szCs w:val="24"/>
        </w:rPr>
      </w:pPr>
    </w:p>
    <w:p>
      <w:pPr>
        <w:tabs>
          <w:tab w:val="left" w:pos="851"/>
          <w:tab w:val="left" w:pos="1440"/>
        </w:tabs>
        <w:adjustRightInd w:val="0"/>
        <w:snapToGrid w:val="0"/>
        <w:spacing w:before="120" w:beforeLines="50" w:after="120" w:afterLines="50" w:line="360" w:lineRule="auto"/>
        <w:jc w:val="center"/>
        <w:outlineLvl w:val="0"/>
        <w:rPr>
          <w:rFonts w:hint="eastAsia" w:ascii="仿宋_GB2312" w:hAnsi="仿宋_GB2312" w:eastAsia="仿宋_GB2312" w:cs="仿宋_GB2312"/>
          <w:sz w:val="24"/>
        </w:rPr>
      </w:pPr>
    </w:p>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bookmarkStart w:id="129" w:name="_Toc6432"/>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rPr>
          <w:rFonts w:hint="eastAsia" w:cs="宋体" w:asciiTheme="minorEastAsia" w:hAnsiTheme="minorEastAsia" w:eastAsiaTheme="minorEastAsia"/>
          <w:bCs w:val="0"/>
          <w:sz w:val="32"/>
          <w:szCs w:val="32"/>
        </w:rPr>
      </w:pPr>
    </w:p>
    <w:p>
      <w:pPr>
        <w:pStyle w:val="2"/>
        <w:rPr>
          <w:rFonts w:hint="eastAsia" w:cs="宋体" w:asciiTheme="minorEastAsia" w:hAnsiTheme="minorEastAsia" w:eastAsiaTheme="minorEastAsia"/>
          <w:bCs w:val="0"/>
          <w:sz w:val="32"/>
          <w:szCs w:val="32"/>
        </w:rPr>
      </w:pPr>
    </w:p>
    <w:p>
      <w:pPr>
        <w:pStyle w:val="2"/>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rPr>
          <w:rFonts w:hint="eastAsia" w:cs="宋体" w:asciiTheme="minorEastAsia" w:hAnsiTheme="minorEastAsia" w:eastAsiaTheme="minorEastAsia"/>
          <w:bCs w:val="0"/>
          <w:sz w:val="32"/>
          <w:szCs w:val="32"/>
        </w:rPr>
      </w:pPr>
    </w:p>
    <w:p>
      <w:pPr>
        <w:pStyle w:val="2"/>
        <w:rPr>
          <w:rFonts w:hint="eastAsia" w:cs="宋体" w:asciiTheme="minorEastAsia" w:hAnsiTheme="minorEastAsia" w:eastAsiaTheme="minorEastAsia"/>
          <w:bCs w:val="0"/>
          <w:sz w:val="32"/>
          <w:szCs w:val="32"/>
        </w:rPr>
      </w:pPr>
    </w:p>
    <w:p>
      <w:pPr>
        <w:pStyle w:val="2"/>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第六章  响应文件组成</w:t>
      </w:r>
      <w:bookmarkEnd w:id="129"/>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0</wp:posOffset>
                </wp:positionV>
                <wp:extent cx="1114425" cy="419100"/>
                <wp:effectExtent l="7620" t="0" r="20955" b="14605"/>
                <wp:wrapNone/>
                <wp:docPr id="12"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1312;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QBmpbXAAAABwEAAA8AAAAAAAAAAQAgAAAAIgAAAGRycy9kb3du&#10;cmV2LnhtbFBLAQIUABQAAAAIAIdO4kCLT3LuOQIAAJgEAAAOAAAAAAAAAAEAIAAAACYBAABkcnMv&#10;ZTJvRG9jLnhtbFBLBQYAAAAABgAGAFkBAADRBQ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auto"/>
        <w:ind w:firstLine="883" w:firstLineChars="200"/>
        <w:jc w:val="center"/>
        <w:rPr>
          <w:rFonts w:asciiTheme="minorEastAsia" w:hAnsiTheme="minorEastAsia" w:eastAsiaTheme="minorEastAsia"/>
          <w:b/>
          <w:sz w:val="44"/>
          <w:szCs w:val="44"/>
        </w:rPr>
        <w:sectPr>
          <w:footerReference r:id="rId15" w:type="first"/>
          <w:headerReference r:id="rId13" w:type="default"/>
          <w:footerReference r:id="rId14" w:type="default"/>
          <w:pgSz w:w="12240" w:h="15840"/>
          <w:pgMar w:top="1440" w:right="1800" w:bottom="1440" w:left="1800" w:header="720" w:footer="720" w:gutter="0"/>
          <w:cols w:space="720" w:num="1"/>
          <w:titlePg/>
          <w:docGrid w:type="lines" w:linePitch="323" w:charSpace="0"/>
        </w:sectPr>
      </w:pPr>
    </w:p>
    <w:p>
      <w:pPr>
        <w:spacing w:line="360" w:lineRule="auto"/>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ascii="宋体" w:hAnsi="宋体"/>
          <w:strike/>
          <w:dstrike w:val="0"/>
          <w:szCs w:val="21"/>
          <w:highlight w:val="yellow"/>
        </w:rPr>
      </w:pPr>
      <w:r>
        <w:rPr>
          <w:rFonts w:hint="eastAsia" w:ascii="宋体" w:hAnsi="宋体" w:cs="Times New Roman"/>
          <w:szCs w:val="21"/>
          <w:lang w:eastAsia="zh-CN"/>
        </w:rPr>
        <w:t>五、</w:t>
      </w:r>
      <w:r>
        <w:rPr>
          <w:rFonts w:hint="eastAsia" w:ascii="宋体" w:hAnsi="宋体"/>
          <w:szCs w:val="21"/>
        </w:rPr>
        <w:t>服务方案（如有）</w:t>
      </w:r>
    </w:p>
    <w:p>
      <w:pPr>
        <w:adjustRightInd w:val="0"/>
        <w:snapToGrid w:val="0"/>
        <w:spacing w:line="360" w:lineRule="auto"/>
        <w:jc w:val="left"/>
        <w:rPr>
          <w:strike/>
          <w:dstrike w:val="0"/>
          <w:highlight w:val="yellow"/>
        </w:rPr>
      </w:pPr>
      <w:r>
        <w:rPr>
          <w:rFonts w:hint="eastAsia" w:ascii="宋体" w:hAnsi="宋体"/>
          <w:szCs w:val="21"/>
          <w:lang w:eastAsia="zh-CN"/>
        </w:rPr>
        <w:t>六</w:t>
      </w:r>
      <w:r>
        <w:rPr>
          <w:rFonts w:hint="eastAsia" w:ascii="宋体" w:hAnsi="宋体"/>
          <w:szCs w:val="21"/>
        </w:rPr>
        <w:t>、报价一览表</w:t>
      </w:r>
    </w:p>
    <w:p>
      <w:pPr>
        <w:adjustRightInd w:val="0"/>
        <w:snapToGrid w:val="0"/>
        <w:spacing w:line="360" w:lineRule="auto"/>
        <w:jc w:val="left"/>
        <w:rPr>
          <w:rFonts w:ascii="宋体" w:hAnsi="宋体"/>
          <w:szCs w:val="21"/>
        </w:rPr>
      </w:pPr>
      <w:r>
        <w:rPr>
          <w:rFonts w:hint="eastAsia" w:ascii="宋体" w:hAnsi="宋体"/>
          <w:szCs w:val="21"/>
          <w:lang w:eastAsia="zh-CN"/>
        </w:rPr>
        <w:t>七</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w:t>
      </w:r>
      <w:r>
        <w:rPr>
          <w:rFonts w:hint="eastAsia" w:hAnsi="宋体"/>
        </w:rPr>
        <w:t>若出现本文件第一章</w:t>
      </w:r>
      <w:r>
        <w:rPr>
          <w:rFonts w:hint="eastAsia" w:hAnsi="宋体"/>
          <w:b/>
        </w:rPr>
        <w:t>谈判须知正文</w:t>
      </w:r>
      <w:r>
        <w:rPr>
          <w:rFonts w:hint="eastAsia" w:hAnsi="宋体"/>
        </w:rPr>
        <w:t>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3360" behindDoc="1" locked="0" layoutInCell="1" allowOverlap="1">
                <wp:simplePos x="0" y="0"/>
                <wp:positionH relativeFrom="column">
                  <wp:posOffset>2776220</wp:posOffset>
                </wp:positionH>
                <wp:positionV relativeFrom="paragraph">
                  <wp:posOffset>138430</wp:posOffset>
                </wp:positionV>
                <wp:extent cx="2355850" cy="1221105"/>
                <wp:effectExtent l="4445" t="4445" r="17145" b="8890"/>
                <wp:wrapNone/>
                <wp:docPr id="11"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18.6pt;margin-top:10.9pt;height:96.15pt;width:185.5pt;z-index:-251653120;mso-width-relative:page;mso-height-relative:page;" fillcolor="#FFFFFF" filled="t" stroked="t" coordsize="21600,21600" o:gfxdata="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IopNdYAAAAKAQAADwAAAAAAAAABACAAAAAiAAAAZHJzL2Rvd25yZXYueG1s&#10;UEsBAhQAFAAAAAgAh07iQFt0cpwzAgAAjQQAAA4AAAAAAAAAAQAgAAAAJQEAAGRycy9lMm9Eb2Mu&#10;eG1sUEsFBgAAAAAGAAYAWQEAAMoFA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55850" cy="1221105"/>
                <wp:effectExtent l="4445" t="4445" r="17145" b="8890"/>
                <wp:wrapNone/>
                <wp:docPr id="10"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7216;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acqyNkAAAAKAQAADwAAAAAAAAABACAAAAAiAAAAZHJzL2Rvd25yZXYu&#10;eG1sUEsBAhQAFAAAAAgAh07iQDP9pDczAgAAjQQAAA4AAAAAAAAAAQAgAAAAKAEAAGRycy9lMm9E&#10;b2MueG1sUEsFBgAAAAAGAAYAWQEAAM0FA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-116205</wp:posOffset>
                </wp:positionH>
                <wp:positionV relativeFrom="paragraph">
                  <wp:posOffset>195580</wp:posOffset>
                </wp:positionV>
                <wp:extent cx="2355850" cy="1221105"/>
                <wp:effectExtent l="4445" t="4445" r="17145"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15pt;margin-top:15.4pt;height:96.15pt;width:185.5pt;z-index:251665408;mso-width-relative:page;mso-height-relative:page;" fillcolor="#FFFFFF" filled="t" stroked="t" coordsize="21600,21600" o:gfxdata="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gOtK/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highlight w:val="none"/>
          <w:u w:val="single"/>
        </w:rPr>
        <w:t>谈判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highlight w:val="none"/>
          <w:u w:val="single"/>
        </w:rPr>
        <w:t>谈判</w:t>
      </w:r>
      <w:r>
        <w:rPr>
          <w:rFonts w:hint="eastAsia" w:asciiTheme="minorEastAsia" w:hAnsiTheme="minorEastAsia" w:eastAsiaTheme="minorEastAsia"/>
          <w:szCs w:val="21"/>
          <w:u w:val="single"/>
        </w:rPr>
        <w:t>项目编号</w:t>
      </w:r>
      <w:r>
        <w:rPr>
          <w:rFonts w:hint="eastAsia" w:cs="宋体" w:asciiTheme="minorEastAsia" w:hAnsiTheme="minorEastAsia" w:eastAsiaTheme="minorEastAsia"/>
          <w:kern w:val="0"/>
          <w:szCs w:val="21"/>
          <w:u w:val="single"/>
        </w:rPr>
        <w:t>）</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6432" behindDoc="1" locked="0" layoutInCell="1" allowOverlap="1">
                <wp:simplePos x="0" y="0"/>
                <wp:positionH relativeFrom="column">
                  <wp:posOffset>-116205</wp:posOffset>
                </wp:positionH>
                <wp:positionV relativeFrom="paragraph">
                  <wp:posOffset>129540</wp:posOffset>
                </wp:positionV>
                <wp:extent cx="2355850" cy="1221105"/>
                <wp:effectExtent l="4445" t="4445" r="17145" b="889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15pt;margin-top:10.2pt;height:96.15pt;width:185.5pt;z-index:-251650048;mso-width-relative:page;mso-height-relative:page;" fillcolor="#FFFFFF" filled="t" stroked="t" coordsize="21600,21600" o:gfxdata="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ZMbdDYAAAACgEAAA8AAAAAAAAAAQAgAAAA&#10;IgAAAGRycy9kb3ducmV2LnhtbFBLAQIUABQAAAAIAIdO4kDW+RE/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r>
        <w:rPr>
          <w:rFonts w:hint="eastAsia" w:asciiTheme="minorEastAsia" w:hAnsiTheme="minorEastAsia" w:eastAsiaTheme="minorEastAsia"/>
          <w:szCs w:val="21"/>
        </w:rPr>
        <w:tab/>
      </w:r>
      <w:r>
        <w:rPr>
          <w:rFonts w:ascii="宋体" w:hAnsi="宋体"/>
          <w:szCs w:val="21"/>
        </w:rPr>
        <mc:AlternateContent>
          <mc:Choice Requires="wps">
            <w:drawing>
              <wp:anchor distT="0" distB="0" distL="114300" distR="114300" simplePos="0" relativeHeight="251667456" behindDoc="1" locked="0" layoutInCell="1" allowOverlap="1">
                <wp:simplePos x="0" y="0"/>
                <wp:positionH relativeFrom="column">
                  <wp:posOffset>2967355</wp:posOffset>
                </wp:positionH>
                <wp:positionV relativeFrom="paragraph">
                  <wp:posOffset>118745</wp:posOffset>
                </wp:positionV>
                <wp:extent cx="2355850" cy="1221105"/>
                <wp:effectExtent l="4445" t="4445" r="17145" b="8890"/>
                <wp:wrapNone/>
                <wp:docPr id="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3.65pt;margin-top:9.35pt;height:96.15pt;width:185.5pt;z-index:-251649024;mso-width-relative:page;mso-height-relative:page;" fillcolor="#FFFFFF" filled="t" stroked="t" coordsize="21600,21600" o:gfxdata="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iKPsfYAAAACgEAAA8AAAAAAAAAAQAgAAAA&#10;IgAAAGRycy9kb3ducmV2LnhtbFBLAQIUABQAAAAIAIdO4kBARbsV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-118745</wp:posOffset>
                </wp:positionH>
                <wp:positionV relativeFrom="paragraph">
                  <wp:posOffset>-121285</wp:posOffset>
                </wp:positionV>
                <wp:extent cx="2355850" cy="1221105"/>
                <wp:effectExtent l="4445" t="4445" r="17145" b="889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委托代理人身份证（正面）复印件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35pt;margin-top:-9.55pt;height:96.15pt;width:185.5pt;z-index:251668480;mso-width-relative:page;mso-height-relative:page;" fillcolor="#FFFFFF" filled="t" stroked="t" coordsize="21600,21600" o:gfxdata="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rwWN2QAAAAsBAAAPAAAAAAAAAAEAIAAA&#10;ACIAAABkcnMvZG93bnJldi54bWxQSwECFAAUAAAACACHTuJAbvcH1E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mc:Fallback>
        </mc:AlternateContent>
      </w:r>
      <w:r>
        <w:rPr>
          <w:rFonts w:hint="eastAsia" w:asciiTheme="minorEastAsia" w:hAnsiTheme="minorEastAsia" w:eastAsiaTheme="minorEastAsia"/>
          <w:szCs w:val="21"/>
        </w:rPr>
        <w:tab/>
      </w:r>
      <w:r>
        <w:rPr>
          <w:rFonts w:ascii="宋体" w:hAnsi="宋体"/>
          <w:szCs w:val="21"/>
        </w:rPr>
        <mc:AlternateContent>
          <mc:Choice Requires="wps">
            <w:drawing>
              <wp:anchor distT="0" distB="0" distL="114300" distR="114300" simplePos="0" relativeHeight="251669504" behindDoc="1" locked="0" layoutInCell="1" allowOverlap="1">
                <wp:simplePos x="0" y="0"/>
                <wp:positionH relativeFrom="column">
                  <wp:posOffset>2967355</wp:posOffset>
                </wp:positionH>
                <wp:positionV relativeFrom="paragraph">
                  <wp:posOffset>-130810</wp:posOffset>
                </wp:positionV>
                <wp:extent cx="2355850" cy="1221105"/>
                <wp:effectExtent l="4445" t="4445" r="17145" b="8890"/>
                <wp:wrapNone/>
                <wp:docPr id="5"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3.65pt;margin-top:-10.3pt;height:96.15pt;width:185.5pt;z-index:-251646976;mso-width-relative:page;mso-height-relative:page;" fillcolor="#FFFFFF" filled="t" stroked="t" coordsize="21600,21600" o:gfxdata="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Z18TvYAAAACwEAAA8AAAAAAAAAAQAgAAAA&#10;IgAAAGRycy9kb3ducmV2LnhtbFBLAQIUABQAAAAIAIdO4kBp+5v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-118745</wp:posOffset>
                </wp:positionH>
                <wp:positionV relativeFrom="paragraph">
                  <wp:posOffset>-50800</wp:posOffset>
                </wp:positionV>
                <wp:extent cx="2355850" cy="1221105"/>
                <wp:effectExtent l="4445" t="4445" r="17145" b="8890"/>
                <wp:wrapNone/>
                <wp:docPr id="6"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35pt;margin-top:-4pt;height:96.15pt;width:185.5pt;z-index:251670528;mso-width-relative:page;mso-height-relative:page;" fillcolor="#FFFFFF" filled="t" stroked="t" coordsize="21600,21600" o:gfxdata="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TE+xrYAAAACgEAAA8AAAAAAAAAAQAgAAAA&#10;IgAAAGRycy9kb3ducmV2LnhtbFBLAQIUABQAAAAIAIdO4kBHSScN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
      <w:pPr>
        <w:pStyle w:val="14"/>
      </w:pPr>
    </w:p>
    <w:p/>
    <w:p>
      <w:pPr>
        <w:pStyle w:val="14"/>
      </w:pPr>
    </w:p>
    <w:p/>
    <w:p>
      <w:pPr>
        <w:pStyle w:val="2"/>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42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numPr>
          <w:ilvl w:val="0"/>
          <w:numId w:val="0"/>
        </w:numPr>
        <w:spacing w:line="360" w:lineRule="auto"/>
        <w:ind w:firstLine="420" w:firstLineChars="200"/>
        <w:jc w:val="left"/>
        <w:rPr>
          <w:rFonts w:hint="eastAsia" w:ascii="宋体" w:hAnsi="宋体" w:cs="宋体"/>
          <w:color w:val="auto"/>
          <w:sz w:val="21"/>
          <w:szCs w:val="21"/>
          <w:highlight w:val="none"/>
          <w:u w:val="none"/>
          <w:lang w:eastAsia="zh-CN"/>
        </w:rPr>
      </w:pPr>
      <w:r>
        <w:rPr>
          <w:rFonts w:hint="eastAsia" w:ascii="宋体" w:hAnsi="宋体" w:cs="宋体"/>
          <w:color w:val="000000"/>
          <w:lang w:val="en-US" w:eastAsia="zh-CN"/>
        </w:rPr>
        <w:t>1.</w:t>
      </w:r>
      <w:r>
        <w:rPr>
          <w:rFonts w:hint="eastAsia" w:ascii="宋体" w:hAnsi="宋体" w:cs="宋体"/>
          <w:color w:val="000000"/>
        </w:rPr>
        <w:t>谈判单位</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spacing w:line="360" w:lineRule="auto"/>
        <w:ind w:firstLine="420" w:firstLineChars="200"/>
        <w:jc w:val="left"/>
        <w:rPr>
          <w:rFonts w:ascii="宋体" w:hAnsi="宋体" w:cs="宋体"/>
        </w:rPr>
      </w:pPr>
      <w:r>
        <w:rPr>
          <w:rFonts w:hint="eastAsia" w:ascii="宋体" w:hAnsi="宋体" w:cs="宋体"/>
          <w:bCs/>
          <w:lang w:val="en-US" w:eastAsia="zh-CN"/>
        </w:rPr>
        <w:t>2.谈判单位在本项目响应文件递交截止之日前36个月内单项合同金额不少于25万元的大屏幕系统维护保养相关业绩。不接受联合体业绩、港澳台或境外业绩。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jc w:val="left"/>
        <w:rPr>
          <w:rFonts w:eastAsiaTheme="minorEastAsia"/>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sz w:val="32"/>
          <w:szCs w:val="32"/>
          <w:lang w:eastAsia="zh-CN"/>
        </w:rPr>
        <w:t>五</w:t>
      </w:r>
      <w:r>
        <w:rPr>
          <w:rFonts w:hint="eastAsia" w:asciiTheme="minorEastAsia" w:hAnsiTheme="minorEastAsia" w:eastAsiaTheme="minorEastAsia"/>
          <w:b/>
          <w:sz w:val="32"/>
          <w:szCs w:val="32"/>
        </w:rPr>
        <w:t>、</w:t>
      </w:r>
      <w:r>
        <w:rPr>
          <w:rFonts w:hint="eastAsia" w:asciiTheme="minorEastAsia" w:hAnsiTheme="minorEastAsia" w:eastAsiaTheme="minorEastAsia"/>
          <w:b/>
          <w:bCs/>
          <w:sz w:val="32"/>
          <w:szCs w:val="32"/>
        </w:rPr>
        <w:t>服务方案</w:t>
      </w:r>
      <w:r>
        <w:rPr>
          <w:rFonts w:hint="eastAsia" w:asciiTheme="minorEastAsia" w:hAnsiTheme="minorEastAsia" w:eastAsiaTheme="minorEastAsia"/>
          <w:b/>
          <w:bCs/>
          <w:sz w:val="32"/>
          <w:szCs w:val="32"/>
          <w:lang w:eastAsia="zh-CN"/>
        </w:rPr>
        <w:t>（如有）</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法定代表人或其委托代理人(签字或盖章)：</w:t>
      </w:r>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sz w:val="24"/>
        </w:rPr>
      </w:pPr>
    </w:p>
    <w:p>
      <w:pPr>
        <w:spacing w:line="360" w:lineRule="auto"/>
        <w:ind w:firstLine="480" w:firstLineChars="200"/>
        <w:jc w:val="center"/>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lang w:eastAsia="zh-CN"/>
        </w:rPr>
        <w:t>六</w:t>
      </w:r>
      <w:r>
        <w:rPr>
          <w:rFonts w:hint="eastAsia" w:asciiTheme="minorEastAsia" w:hAnsiTheme="minorEastAsia" w:eastAsiaTheme="minorEastAsia"/>
          <w:b/>
          <w:bCs/>
          <w:sz w:val="32"/>
          <w:szCs w:val="32"/>
        </w:rPr>
        <w:t>、报价一览表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30" w:name="_Toc12617"/>
      <w:bookmarkStart w:id="131" w:name="_Toc26371"/>
      <w:bookmarkStart w:id="132" w:name="_Toc15367"/>
      <w:bookmarkStart w:id="133" w:name="_Toc2219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0"/>
      <w:bookmarkEnd w:id="131"/>
      <w:bookmarkEnd w:id="132"/>
      <w:bookmarkEnd w:id="133"/>
    </w:p>
    <w:p>
      <w:pPr>
        <w:adjustRightInd w:val="0"/>
        <w:snapToGrid w:val="0"/>
        <w:spacing w:line="360" w:lineRule="auto"/>
        <w:ind w:firstLine="420" w:firstLineChars="200"/>
        <w:rPr>
          <w:rFonts w:asciiTheme="minorEastAsia" w:hAnsiTheme="minorEastAsia" w:eastAsiaTheme="minorEastAsia"/>
          <w:szCs w:val="21"/>
        </w:rPr>
      </w:pPr>
      <w:bookmarkStart w:id="134" w:name="_Toc14381"/>
      <w:bookmarkStart w:id="135" w:name="_Toc23990"/>
      <w:bookmarkStart w:id="136" w:name="_Toc26095"/>
      <w:bookmarkStart w:id="137" w:name="_Toc7637"/>
      <w:r>
        <w:rPr>
          <w:rFonts w:hint="eastAsia" w:asciiTheme="minorEastAsia" w:hAnsiTheme="minorEastAsia" w:eastAsiaTheme="minorEastAsia"/>
          <w:szCs w:val="21"/>
        </w:rPr>
        <w:t>法定代表人或其委托代理人(签字或盖章)：</w:t>
      </w:r>
      <w:bookmarkEnd w:id="134"/>
      <w:bookmarkEnd w:id="135"/>
      <w:bookmarkEnd w:id="136"/>
      <w:bookmarkEnd w:id="137"/>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r>
        <w:rPr>
          <w:rFonts w:asciiTheme="minorEastAsia" w:hAnsiTheme="minorEastAsia" w:eastAsiaTheme="minorEastAsia"/>
          <w:b/>
          <w:sz w:val="32"/>
          <w:szCs w:val="32"/>
        </w:rPr>
        <w:br w:type="page"/>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七</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38" w:name="_Toc14618"/>
      <w:bookmarkStart w:id="139" w:name="_Toc15601"/>
      <w:bookmarkStart w:id="140" w:name="_Toc3706"/>
      <w:r>
        <w:rPr>
          <w:rFonts w:hint="eastAsia" w:asciiTheme="minorEastAsia" w:hAnsiTheme="minorEastAsia" w:eastAsiaTheme="minorEastAsia"/>
          <w:szCs w:val="21"/>
        </w:rPr>
        <w:t>谈判单位认为需要提供的其他报价资料，格式自拟。</w:t>
      </w:r>
      <w:bookmarkEnd w:id="138"/>
      <w:bookmarkEnd w:id="139"/>
      <w:bookmarkEnd w:id="140"/>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8"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ffectLst/>
                    </wps:spPr>
                    <wps:txbx>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nTGy0AAAAAMBAAAPAAAAAAAAAAEAIAAAACIAAABkcnMvZG93bnJldi54bWxQ&#10;SwECFAAUAAAACACHTuJA+JE9XP8BAAARBAAADgAAAAAAAAABACAAAAAfAQAAZHJzL2Uyb0RvYy54&#10;bWxQSwUGAAAAAAYABgBZAQAAkAUAAAAA&#10;">
              <v:fill on="f" focussize="0,0"/>
              <v:stroke on="f"/>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mc:Fallback>
      </mc:AlternateContent>
    </w:r>
  </w:p>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1"/>
                          </w:pPr>
                          <w:r>
                            <w:fldChar w:fldCharType="begin"/>
                          </w:r>
                          <w:r>
                            <w:instrText xml:space="preserve"> PAGE  \* MERGEFORMAT </w:instrText>
                          </w:r>
                          <w:r>
                            <w:fldChar w:fldCharType="separate"/>
                          </w:r>
                          <w:r>
                            <w:t>24</w:t>
                          </w:r>
                          <w: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CWdTs8AAgAAEgQAAA4AAAAAAAAAAQAgAAAAHwEAAGRycy9lMm9Eb2Mu&#10;eG1sUEsFBgAAAAAGAAYAWQEAAJE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14"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3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4vdRNAAAAACAQAADwAAAAAAAAABACAAAAAiAAAAZHJzL2Rvd25yZXYueG1s&#10;UEsBAhQAFAAAAAgAh07iQN8W7doAAgAAEQQAAA4AAAAAAAAAAQAgAAAAHwEAAGRycy9lMm9Eb2Mu&#10;eG1sUEsFBgAAAAAGAAYAWQEAAJE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1"/>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AA+8cUAAgAAEwQAAA4AAAAAAAAAAQAgAAAAHwEAAGRycy9lMm9Eb2Mu&#10;eG1sUEsFBgAAAAAGAAYAWQEAAJE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0" b="0"/>
              <wp:wrapNone/>
              <wp:docPr id="16"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1"/>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DdAl8IAQIAABMEAAAOAAAAAAAAAAEAIAAAAB8BAABkcnMvZTJvRG9j&#10;LnhtbFBLBQYAAAAABgAGAFkBAACS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3"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1"/>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KnwvVQAAgAAEwQAAA4AAAAAAAAAAQAgAAAAHwEAAGRycy9lMm9Eb2Mu&#10;eG1sUEsFBgAAAAAGAAYAWQEAAJE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mc:Fallback>
      </mc:AlternateConten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1"/>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DRMUR0EAIAABEEAAAOAAAAAAAAAAEAIAAA&#10;AB8BAABkcnMvZTJvRG9jLnhtbFBLBQYAAAAABgAGAFkBAACh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u w:val="none"/>
      </w:rPr>
      <w:t>长沙市轨道交通2号线运营期2021年-2024年控制中心（OCC）行车指挥大屏幕系统维保服务项目</w:t>
    </w:r>
    <w:r>
      <w:rPr>
        <w:rFonts w:hint="eastAsia" w:cs="宋体" w:asciiTheme="minorEastAsia" w:hAnsiTheme="minorEastAsia" w:eastAsiaTheme="minorEastAsia"/>
        <w:szCs w:val="21"/>
        <w:u w:val="none"/>
        <w:lang w:val="en-US" w:eastAsia="zh-CN"/>
      </w:rPr>
      <w:t xml:space="preserve">  </w:t>
    </w:r>
    <w:r>
      <w:rPr>
        <w:rFonts w:hint="eastAsia" w:cs="宋体" w:asciiTheme="minorEastAsia" w:hAnsiTheme="minorEastAsia" w:eastAsiaTheme="minorEastAsia"/>
        <w:iCs/>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2</w:t>
    </w:r>
    <w:r>
      <w:rPr>
        <w:rFonts w:hint="eastAsia" w:cs="宋体" w:asciiTheme="minorEastAsia" w:hAnsiTheme="minorEastAsia" w:eastAsiaTheme="minorEastAsia"/>
        <w:szCs w:val="21"/>
        <w:u w:val="none"/>
      </w:rPr>
      <w:t>号线运营期2021年-2024年控制中心（OCC）行车指挥大屏幕系统维保服务项目</w:t>
    </w:r>
    <w:r>
      <w:rPr>
        <w:rFonts w:hint="eastAsia" w:cs="宋体" w:asciiTheme="minorEastAsia" w:hAnsiTheme="minorEastAsia" w:eastAsiaTheme="minorEastAsia"/>
        <w:iCs/>
      </w:rPr>
      <w:t xml:space="preserve">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2</w:t>
    </w:r>
    <w:r>
      <w:rPr>
        <w:rFonts w:hint="eastAsia" w:cs="宋体" w:asciiTheme="minorEastAsia" w:hAnsiTheme="minorEastAsia" w:eastAsiaTheme="minorEastAsia"/>
        <w:szCs w:val="21"/>
        <w:u w:val="none"/>
      </w:rPr>
      <w:t>号线运营期2021年-2024年控制中心（OCC）行车指挥大屏幕系统维保服务项目</w:t>
    </w:r>
    <w:r>
      <w:rPr>
        <w:rFonts w:hint="eastAsia" w:cs="宋体" w:asciiTheme="minorEastAsia" w:hAnsiTheme="minorEastAsia" w:eastAsiaTheme="minorEastAsia"/>
        <w:iCs/>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36BA6"/>
    <w:multiLevelType w:val="singleLevel"/>
    <w:tmpl w:val="AC736BA6"/>
    <w:lvl w:ilvl="0" w:tentative="0">
      <w:start w:val="16"/>
      <w:numFmt w:val="decimal"/>
      <w:suff w:val="nothing"/>
      <w:lvlText w:val="%1、"/>
      <w:lvlJc w:val="left"/>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17E9F"/>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77817"/>
    <w:rsid w:val="00E944EE"/>
    <w:rsid w:val="00EF6911"/>
    <w:rsid w:val="00F00E9C"/>
    <w:rsid w:val="00F37996"/>
    <w:rsid w:val="00F410E0"/>
    <w:rsid w:val="00F42B84"/>
    <w:rsid w:val="00F4788D"/>
    <w:rsid w:val="00F579E9"/>
    <w:rsid w:val="00F66731"/>
    <w:rsid w:val="00FA3634"/>
    <w:rsid w:val="00FA6734"/>
    <w:rsid w:val="00FB44A8"/>
    <w:rsid w:val="00FE3699"/>
    <w:rsid w:val="00FF60B0"/>
    <w:rsid w:val="010E6185"/>
    <w:rsid w:val="016E73A8"/>
    <w:rsid w:val="01900C21"/>
    <w:rsid w:val="01DE6B70"/>
    <w:rsid w:val="02016232"/>
    <w:rsid w:val="02245592"/>
    <w:rsid w:val="02574D6F"/>
    <w:rsid w:val="028D51BD"/>
    <w:rsid w:val="03105694"/>
    <w:rsid w:val="033466BE"/>
    <w:rsid w:val="035225A6"/>
    <w:rsid w:val="03B46D8E"/>
    <w:rsid w:val="03D609D8"/>
    <w:rsid w:val="03ED3E80"/>
    <w:rsid w:val="040617AE"/>
    <w:rsid w:val="04072F21"/>
    <w:rsid w:val="04266FF5"/>
    <w:rsid w:val="04385203"/>
    <w:rsid w:val="045A64E9"/>
    <w:rsid w:val="04AA348C"/>
    <w:rsid w:val="04C124CC"/>
    <w:rsid w:val="04D54031"/>
    <w:rsid w:val="05754F0B"/>
    <w:rsid w:val="05894214"/>
    <w:rsid w:val="05B56F61"/>
    <w:rsid w:val="05E97ECF"/>
    <w:rsid w:val="05EC14AF"/>
    <w:rsid w:val="0615210C"/>
    <w:rsid w:val="06543BAE"/>
    <w:rsid w:val="06853137"/>
    <w:rsid w:val="06A37E29"/>
    <w:rsid w:val="06C32324"/>
    <w:rsid w:val="070C59FF"/>
    <w:rsid w:val="073C0D51"/>
    <w:rsid w:val="073C2982"/>
    <w:rsid w:val="076456E2"/>
    <w:rsid w:val="08023E55"/>
    <w:rsid w:val="084B2BFB"/>
    <w:rsid w:val="08787227"/>
    <w:rsid w:val="08A566A5"/>
    <w:rsid w:val="08C565F2"/>
    <w:rsid w:val="08E85BDE"/>
    <w:rsid w:val="08FB2D1E"/>
    <w:rsid w:val="09664C98"/>
    <w:rsid w:val="097C063F"/>
    <w:rsid w:val="097D1C20"/>
    <w:rsid w:val="097F42B9"/>
    <w:rsid w:val="09CE7845"/>
    <w:rsid w:val="09D61CB2"/>
    <w:rsid w:val="0A5F4AB0"/>
    <w:rsid w:val="0A9A0228"/>
    <w:rsid w:val="0AF06CB5"/>
    <w:rsid w:val="0B0F623B"/>
    <w:rsid w:val="0B1F1EAA"/>
    <w:rsid w:val="0B9B3B31"/>
    <w:rsid w:val="0C110A24"/>
    <w:rsid w:val="0C164A2F"/>
    <w:rsid w:val="0C665E0B"/>
    <w:rsid w:val="0CD45FAF"/>
    <w:rsid w:val="0D421BF6"/>
    <w:rsid w:val="0D66668B"/>
    <w:rsid w:val="0D8442DA"/>
    <w:rsid w:val="0DDB6291"/>
    <w:rsid w:val="0E4F1AB5"/>
    <w:rsid w:val="0E616540"/>
    <w:rsid w:val="0EE35C4D"/>
    <w:rsid w:val="0FA10E50"/>
    <w:rsid w:val="0FEE6040"/>
    <w:rsid w:val="10396637"/>
    <w:rsid w:val="10703D88"/>
    <w:rsid w:val="107B51B9"/>
    <w:rsid w:val="10B34BBC"/>
    <w:rsid w:val="10B963C5"/>
    <w:rsid w:val="10EC3B06"/>
    <w:rsid w:val="110C2C29"/>
    <w:rsid w:val="111F6D05"/>
    <w:rsid w:val="11ED3001"/>
    <w:rsid w:val="11FB259E"/>
    <w:rsid w:val="120D48A5"/>
    <w:rsid w:val="12281DA5"/>
    <w:rsid w:val="124C2DD4"/>
    <w:rsid w:val="125407C8"/>
    <w:rsid w:val="12914C7C"/>
    <w:rsid w:val="12F77001"/>
    <w:rsid w:val="12F86A9E"/>
    <w:rsid w:val="130F064B"/>
    <w:rsid w:val="13281088"/>
    <w:rsid w:val="1348753D"/>
    <w:rsid w:val="136544CD"/>
    <w:rsid w:val="138B6D9B"/>
    <w:rsid w:val="1411188B"/>
    <w:rsid w:val="142F09C8"/>
    <w:rsid w:val="144D4CC0"/>
    <w:rsid w:val="145040B4"/>
    <w:rsid w:val="14506D47"/>
    <w:rsid w:val="14AB387C"/>
    <w:rsid w:val="15886F53"/>
    <w:rsid w:val="15B1368D"/>
    <w:rsid w:val="15C505E4"/>
    <w:rsid w:val="15C57604"/>
    <w:rsid w:val="15D00CD9"/>
    <w:rsid w:val="15DD7FEE"/>
    <w:rsid w:val="15ED6A1A"/>
    <w:rsid w:val="16A82777"/>
    <w:rsid w:val="170054FC"/>
    <w:rsid w:val="179374CA"/>
    <w:rsid w:val="18120B9A"/>
    <w:rsid w:val="184738E0"/>
    <w:rsid w:val="1881538B"/>
    <w:rsid w:val="1893797B"/>
    <w:rsid w:val="18C33474"/>
    <w:rsid w:val="18D13CF0"/>
    <w:rsid w:val="18EB4CFD"/>
    <w:rsid w:val="19035318"/>
    <w:rsid w:val="19630DF4"/>
    <w:rsid w:val="1A1F3BB6"/>
    <w:rsid w:val="1A5D27FE"/>
    <w:rsid w:val="1A773ED5"/>
    <w:rsid w:val="1A80468D"/>
    <w:rsid w:val="1A815267"/>
    <w:rsid w:val="1A9C1831"/>
    <w:rsid w:val="1A9D4677"/>
    <w:rsid w:val="1AD9067D"/>
    <w:rsid w:val="1B324E6A"/>
    <w:rsid w:val="1B543B6E"/>
    <w:rsid w:val="1C2A56DF"/>
    <w:rsid w:val="1C3228C1"/>
    <w:rsid w:val="1C3E793F"/>
    <w:rsid w:val="1D1D4C21"/>
    <w:rsid w:val="1D3A53FA"/>
    <w:rsid w:val="1D5C448C"/>
    <w:rsid w:val="1E415100"/>
    <w:rsid w:val="1E4D41B9"/>
    <w:rsid w:val="1E6646CC"/>
    <w:rsid w:val="1E981D4A"/>
    <w:rsid w:val="1EA54A7E"/>
    <w:rsid w:val="1EE6655A"/>
    <w:rsid w:val="1EF70DCF"/>
    <w:rsid w:val="1EFC3574"/>
    <w:rsid w:val="1F875FC9"/>
    <w:rsid w:val="1FD401CA"/>
    <w:rsid w:val="202020E0"/>
    <w:rsid w:val="20512691"/>
    <w:rsid w:val="20811D27"/>
    <w:rsid w:val="216878F8"/>
    <w:rsid w:val="219C6F36"/>
    <w:rsid w:val="21C65A2F"/>
    <w:rsid w:val="21EA0F73"/>
    <w:rsid w:val="22001CA7"/>
    <w:rsid w:val="221C2152"/>
    <w:rsid w:val="23217DAC"/>
    <w:rsid w:val="233E41F0"/>
    <w:rsid w:val="23540F1C"/>
    <w:rsid w:val="23D27D69"/>
    <w:rsid w:val="23F8119B"/>
    <w:rsid w:val="24421CA9"/>
    <w:rsid w:val="24967E12"/>
    <w:rsid w:val="24B15E11"/>
    <w:rsid w:val="24B252EC"/>
    <w:rsid w:val="24BC37AA"/>
    <w:rsid w:val="24DD7A74"/>
    <w:rsid w:val="25092129"/>
    <w:rsid w:val="2588569F"/>
    <w:rsid w:val="25D97C90"/>
    <w:rsid w:val="26261814"/>
    <w:rsid w:val="2658296F"/>
    <w:rsid w:val="26662701"/>
    <w:rsid w:val="267F0FB7"/>
    <w:rsid w:val="26B0428E"/>
    <w:rsid w:val="26D60619"/>
    <w:rsid w:val="26E4674D"/>
    <w:rsid w:val="27350900"/>
    <w:rsid w:val="273B23BD"/>
    <w:rsid w:val="27405291"/>
    <w:rsid w:val="2797453C"/>
    <w:rsid w:val="27A20687"/>
    <w:rsid w:val="27C64702"/>
    <w:rsid w:val="27D74926"/>
    <w:rsid w:val="27DD3377"/>
    <w:rsid w:val="28263CD2"/>
    <w:rsid w:val="2888133C"/>
    <w:rsid w:val="28FF5D1E"/>
    <w:rsid w:val="29210A38"/>
    <w:rsid w:val="29290B62"/>
    <w:rsid w:val="2951072C"/>
    <w:rsid w:val="296342BC"/>
    <w:rsid w:val="29C26535"/>
    <w:rsid w:val="29F6050F"/>
    <w:rsid w:val="29FE6640"/>
    <w:rsid w:val="2A766FF7"/>
    <w:rsid w:val="2A800F2F"/>
    <w:rsid w:val="2AC97A0D"/>
    <w:rsid w:val="2B80536B"/>
    <w:rsid w:val="2C074F20"/>
    <w:rsid w:val="2C162F55"/>
    <w:rsid w:val="2C3C6E9F"/>
    <w:rsid w:val="2C5D4AA0"/>
    <w:rsid w:val="2C7627E2"/>
    <w:rsid w:val="2C9B7BF5"/>
    <w:rsid w:val="2CD03954"/>
    <w:rsid w:val="2CF96CFB"/>
    <w:rsid w:val="2D8D261C"/>
    <w:rsid w:val="2DDB7325"/>
    <w:rsid w:val="2DE54E1E"/>
    <w:rsid w:val="2DE56563"/>
    <w:rsid w:val="2E6E0021"/>
    <w:rsid w:val="2E8E7239"/>
    <w:rsid w:val="2EA33208"/>
    <w:rsid w:val="2EB13550"/>
    <w:rsid w:val="2EC50125"/>
    <w:rsid w:val="2EF25909"/>
    <w:rsid w:val="2F127912"/>
    <w:rsid w:val="2F2A1A38"/>
    <w:rsid w:val="2F634563"/>
    <w:rsid w:val="2FC36A41"/>
    <w:rsid w:val="2FF4780A"/>
    <w:rsid w:val="303E02A6"/>
    <w:rsid w:val="30615EB3"/>
    <w:rsid w:val="30C60441"/>
    <w:rsid w:val="30CC793C"/>
    <w:rsid w:val="30F76A65"/>
    <w:rsid w:val="30F77CED"/>
    <w:rsid w:val="31AC2400"/>
    <w:rsid w:val="31B61A82"/>
    <w:rsid w:val="32B27CA8"/>
    <w:rsid w:val="32D73185"/>
    <w:rsid w:val="32F7027C"/>
    <w:rsid w:val="3304077D"/>
    <w:rsid w:val="33057ECE"/>
    <w:rsid w:val="3326112B"/>
    <w:rsid w:val="33AB69E0"/>
    <w:rsid w:val="33BD1A5D"/>
    <w:rsid w:val="33E115E4"/>
    <w:rsid w:val="33F309CF"/>
    <w:rsid w:val="341B77C1"/>
    <w:rsid w:val="34271182"/>
    <w:rsid w:val="342E4543"/>
    <w:rsid w:val="343B7C3F"/>
    <w:rsid w:val="349537D0"/>
    <w:rsid w:val="35024471"/>
    <w:rsid w:val="3506708D"/>
    <w:rsid w:val="3527735C"/>
    <w:rsid w:val="359D78EF"/>
    <w:rsid w:val="35A44054"/>
    <w:rsid w:val="35BE0D2C"/>
    <w:rsid w:val="35C66E26"/>
    <w:rsid w:val="35F3787B"/>
    <w:rsid w:val="36586AB4"/>
    <w:rsid w:val="36630339"/>
    <w:rsid w:val="36B77340"/>
    <w:rsid w:val="36D5672B"/>
    <w:rsid w:val="36E403EC"/>
    <w:rsid w:val="373D2A39"/>
    <w:rsid w:val="378B54B8"/>
    <w:rsid w:val="37BA2E78"/>
    <w:rsid w:val="37EB41B9"/>
    <w:rsid w:val="38907664"/>
    <w:rsid w:val="38DE4586"/>
    <w:rsid w:val="38F9177D"/>
    <w:rsid w:val="391018B5"/>
    <w:rsid w:val="3916310C"/>
    <w:rsid w:val="392705C8"/>
    <w:rsid w:val="392B2144"/>
    <w:rsid w:val="393442DF"/>
    <w:rsid w:val="398B57E5"/>
    <w:rsid w:val="39E27939"/>
    <w:rsid w:val="3A59316D"/>
    <w:rsid w:val="3AEA797E"/>
    <w:rsid w:val="3AF1674B"/>
    <w:rsid w:val="3B235613"/>
    <w:rsid w:val="3BC74370"/>
    <w:rsid w:val="3C263F3D"/>
    <w:rsid w:val="3C4545B9"/>
    <w:rsid w:val="3C7D1CA0"/>
    <w:rsid w:val="3CB459C9"/>
    <w:rsid w:val="3D0B4700"/>
    <w:rsid w:val="3D350E98"/>
    <w:rsid w:val="3DA606C7"/>
    <w:rsid w:val="3DEA3029"/>
    <w:rsid w:val="3E691BED"/>
    <w:rsid w:val="3EC634DD"/>
    <w:rsid w:val="3ECD75DF"/>
    <w:rsid w:val="3F1C763B"/>
    <w:rsid w:val="3F8178C4"/>
    <w:rsid w:val="3FB211CB"/>
    <w:rsid w:val="3FC73801"/>
    <w:rsid w:val="3FED00A7"/>
    <w:rsid w:val="40013CE1"/>
    <w:rsid w:val="401A1D25"/>
    <w:rsid w:val="401F311B"/>
    <w:rsid w:val="403854CE"/>
    <w:rsid w:val="40BE1148"/>
    <w:rsid w:val="40F267D8"/>
    <w:rsid w:val="40F50849"/>
    <w:rsid w:val="411A3A24"/>
    <w:rsid w:val="41365969"/>
    <w:rsid w:val="414015A3"/>
    <w:rsid w:val="416F3170"/>
    <w:rsid w:val="425B2511"/>
    <w:rsid w:val="42A637B4"/>
    <w:rsid w:val="42B113B1"/>
    <w:rsid w:val="42DC17D1"/>
    <w:rsid w:val="42FD678B"/>
    <w:rsid w:val="432E2C9E"/>
    <w:rsid w:val="434660D0"/>
    <w:rsid w:val="434B6200"/>
    <w:rsid w:val="43574AFD"/>
    <w:rsid w:val="438C7A2F"/>
    <w:rsid w:val="43EB0F20"/>
    <w:rsid w:val="44051EC9"/>
    <w:rsid w:val="442F27D2"/>
    <w:rsid w:val="4431133A"/>
    <w:rsid w:val="446837DD"/>
    <w:rsid w:val="44857645"/>
    <w:rsid w:val="44CD3908"/>
    <w:rsid w:val="44F37BA4"/>
    <w:rsid w:val="4575004E"/>
    <w:rsid w:val="457B4715"/>
    <w:rsid w:val="458D53A3"/>
    <w:rsid w:val="45BD7EF6"/>
    <w:rsid w:val="45F966B5"/>
    <w:rsid w:val="462F7A20"/>
    <w:rsid w:val="46530052"/>
    <w:rsid w:val="469965DF"/>
    <w:rsid w:val="46E17929"/>
    <w:rsid w:val="4774262F"/>
    <w:rsid w:val="484163F5"/>
    <w:rsid w:val="48521B3A"/>
    <w:rsid w:val="48605FB4"/>
    <w:rsid w:val="48D14ADE"/>
    <w:rsid w:val="48EE3DF0"/>
    <w:rsid w:val="49D82E6E"/>
    <w:rsid w:val="4A164FC6"/>
    <w:rsid w:val="4AA87A18"/>
    <w:rsid w:val="4AC5638E"/>
    <w:rsid w:val="4AEC3FDD"/>
    <w:rsid w:val="4B05124C"/>
    <w:rsid w:val="4C68124D"/>
    <w:rsid w:val="4CF400BB"/>
    <w:rsid w:val="4D40298C"/>
    <w:rsid w:val="4D6E4698"/>
    <w:rsid w:val="4D936BE1"/>
    <w:rsid w:val="4D955D6C"/>
    <w:rsid w:val="4DB24FC1"/>
    <w:rsid w:val="4DDE6A54"/>
    <w:rsid w:val="4E31396D"/>
    <w:rsid w:val="4E560899"/>
    <w:rsid w:val="4E8548FC"/>
    <w:rsid w:val="4EBC2354"/>
    <w:rsid w:val="4EC90D3E"/>
    <w:rsid w:val="4ECE5168"/>
    <w:rsid w:val="4EDE7DC9"/>
    <w:rsid w:val="4EEF295D"/>
    <w:rsid w:val="4F242CF1"/>
    <w:rsid w:val="4F792F65"/>
    <w:rsid w:val="4FDD0550"/>
    <w:rsid w:val="50021C16"/>
    <w:rsid w:val="50293BF6"/>
    <w:rsid w:val="509F17C1"/>
    <w:rsid w:val="50F978C5"/>
    <w:rsid w:val="5131529D"/>
    <w:rsid w:val="51322546"/>
    <w:rsid w:val="513C44F8"/>
    <w:rsid w:val="51482C9B"/>
    <w:rsid w:val="51CD5EEE"/>
    <w:rsid w:val="51D7189A"/>
    <w:rsid w:val="51E90A34"/>
    <w:rsid w:val="51EC0037"/>
    <w:rsid w:val="51EF3594"/>
    <w:rsid w:val="51F135B6"/>
    <w:rsid w:val="522D2330"/>
    <w:rsid w:val="527E492A"/>
    <w:rsid w:val="52F421A7"/>
    <w:rsid w:val="5322696F"/>
    <w:rsid w:val="539147A7"/>
    <w:rsid w:val="539864B4"/>
    <w:rsid w:val="53BD08B1"/>
    <w:rsid w:val="53E457E1"/>
    <w:rsid w:val="53FA1417"/>
    <w:rsid w:val="542832F5"/>
    <w:rsid w:val="543D7759"/>
    <w:rsid w:val="5444354A"/>
    <w:rsid w:val="545308D5"/>
    <w:rsid w:val="548A000A"/>
    <w:rsid w:val="550C1056"/>
    <w:rsid w:val="55964824"/>
    <w:rsid w:val="559B0BD4"/>
    <w:rsid w:val="56096771"/>
    <w:rsid w:val="56427277"/>
    <w:rsid w:val="564C796F"/>
    <w:rsid w:val="56B1373D"/>
    <w:rsid w:val="56C20F2D"/>
    <w:rsid w:val="57155134"/>
    <w:rsid w:val="57477B2B"/>
    <w:rsid w:val="5760098D"/>
    <w:rsid w:val="577466A4"/>
    <w:rsid w:val="57C86EED"/>
    <w:rsid w:val="583D5903"/>
    <w:rsid w:val="58652BF9"/>
    <w:rsid w:val="58814608"/>
    <w:rsid w:val="58F11BFD"/>
    <w:rsid w:val="590A7119"/>
    <w:rsid w:val="595647B3"/>
    <w:rsid w:val="596D221D"/>
    <w:rsid w:val="598409DC"/>
    <w:rsid w:val="59BC25A2"/>
    <w:rsid w:val="59D37CF1"/>
    <w:rsid w:val="5AB129E1"/>
    <w:rsid w:val="5AD95640"/>
    <w:rsid w:val="5ADF6442"/>
    <w:rsid w:val="5B0E4B6D"/>
    <w:rsid w:val="5B1146F6"/>
    <w:rsid w:val="5B1D7FDB"/>
    <w:rsid w:val="5B8A42D9"/>
    <w:rsid w:val="5B95287A"/>
    <w:rsid w:val="5BB8572C"/>
    <w:rsid w:val="5C151288"/>
    <w:rsid w:val="5C247228"/>
    <w:rsid w:val="5C524815"/>
    <w:rsid w:val="5CA131AC"/>
    <w:rsid w:val="5CDA0CDF"/>
    <w:rsid w:val="5CFC7090"/>
    <w:rsid w:val="5D396783"/>
    <w:rsid w:val="5D3E7167"/>
    <w:rsid w:val="5D481133"/>
    <w:rsid w:val="5D4F4FA5"/>
    <w:rsid w:val="5DA1750E"/>
    <w:rsid w:val="5DFB7E40"/>
    <w:rsid w:val="5E9D6655"/>
    <w:rsid w:val="5EB1616D"/>
    <w:rsid w:val="5F3757E7"/>
    <w:rsid w:val="5F774243"/>
    <w:rsid w:val="6003109B"/>
    <w:rsid w:val="601B4236"/>
    <w:rsid w:val="606611FA"/>
    <w:rsid w:val="6071183C"/>
    <w:rsid w:val="60D45EA8"/>
    <w:rsid w:val="60D97C14"/>
    <w:rsid w:val="60EC41BA"/>
    <w:rsid w:val="60F765D6"/>
    <w:rsid w:val="612F50EF"/>
    <w:rsid w:val="61564531"/>
    <w:rsid w:val="61616FB8"/>
    <w:rsid w:val="61BD5058"/>
    <w:rsid w:val="62236FBB"/>
    <w:rsid w:val="623945A2"/>
    <w:rsid w:val="624A6D8F"/>
    <w:rsid w:val="625C1A96"/>
    <w:rsid w:val="62A85CDD"/>
    <w:rsid w:val="62B50AF2"/>
    <w:rsid w:val="62BA7EC8"/>
    <w:rsid w:val="62C96256"/>
    <w:rsid w:val="62CC2A90"/>
    <w:rsid w:val="62CF68C3"/>
    <w:rsid w:val="62E35C5C"/>
    <w:rsid w:val="62E63623"/>
    <w:rsid w:val="632A666E"/>
    <w:rsid w:val="6336440C"/>
    <w:rsid w:val="63864F94"/>
    <w:rsid w:val="63B42FBE"/>
    <w:rsid w:val="63E953E2"/>
    <w:rsid w:val="642E1744"/>
    <w:rsid w:val="643A1B9E"/>
    <w:rsid w:val="64546A26"/>
    <w:rsid w:val="64653614"/>
    <w:rsid w:val="64C26052"/>
    <w:rsid w:val="64D12B30"/>
    <w:rsid w:val="652B48A4"/>
    <w:rsid w:val="65820123"/>
    <w:rsid w:val="65913AED"/>
    <w:rsid w:val="65E83D26"/>
    <w:rsid w:val="65FC519A"/>
    <w:rsid w:val="66132EED"/>
    <w:rsid w:val="6631751C"/>
    <w:rsid w:val="66585984"/>
    <w:rsid w:val="66BA08E0"/>
    <w:rsid w:val="66D10CCC"/>
    <w:rsid w:val="66E2472E"/>
    <w:rsid w:val="66E96BAE"/>
    <w:rsid w:val="670D79CE"/>
    <w:rsid w:val="67392F67"/>
    <w:rsid w:val="673B1F5E"/>
    <w:rsid w:val="675F2BF7"/>
    <w:rsid w:val="676A4EFC"/>
    <w:rsid w:val="677F4A59"/>
    <w:rsid w:val="685925FD"/>
    <w:rsid w:val="68873370"/>
    <w:rsid w:val="68B4359C"/>
    <w:rsid w:val="68BC1ED4"/>
    <w:rsid w:val="68E123EB"/>
    <w:rsid w:val="69046328"/>
    <w:rsid w:val="69562F7B"/>
    <w:rsid w:val="69723C0E"/>
    <w:rsid w:val="69C05706"/>
    <w:rsid w:val="69CE2E46"/>
    <w:rsid w:val="69EF1903"/>
    <w:rsid w:val="69F95246"/>
    <w:rsid w:val="6A636C96"/>
    <w:rsid w:val="6A6B60F4"/>
    <w:rsid w:val="6A7A5845"/>
    <w:rsid w:val="6ABE21AD"/>
    <w:rsid w:val="6AC000A1"/>
    <w:rsid w:val="6B2D6B2E"/>
    <w:rsid w:val="6B2E6FFD"/>
    <w:rsid w:val="6B4B4491"/>
    <w:rsid w:val="6B5A7F06"/>
    <w:rsid w:val="6B61607C"/>
    <w:rsid w:val="6B776B5F"/>
    <w:rsid w:val="6B781B95"/>
    <w:rsid w:val="6B96184C"/>
    <w:rsid w:val="6B9A5005"/>
    <w:rsid w:val="6BCF3FFD"/>
    <w:rsid w:val="6BD17C84"/>
    <w:rsid w:val="6C2B361E"/>
    <w:rsid w:val="6C4224C8"/>
    <w:rsid w:val="6C74273D"/>
    <w:rsid w:val="6C830519"/>
    <w:rsid w:val="6C94160D"/>
    <w:rsid w:val="6CBA2C30"/>
    <w:rsid w:val="6CF25E26"/>
    <w:rsid w:val="6CF32683"/>
    <w:rsid w:val="6D5D766A"/>
    <w:rsid w:val="6DAC5669"/>
    <w:rsid w:val="6DBF6989"/>
    <w:rsid w:val="6E953493"/>
    <w:rsid w:val="6EEB1E65"/>
    <w:rsid w:val="6F2B3B22"/>
    <w:rsid w:val="6F850583"/>
    <w:rsid w:val="6FBC3B21"/>
    <w:rsid w:val="6FC04798"/>
    <w:rsid w:val="6FEE25CE"/>
    <w:rsid w:val="6FF33E1A"/>
    <w:rsid w:val="70227688"/>
    <w:rsid w:val="702E36F8"/>
    <w:rsid w:val="702F5C21"/>
    <w:rsid w:val="70302936"/>
    <w:rsid w:val="70702265"/>
    <w:rsid w:val="708231F8"/>
    <w:rsid w:val="7095454D"/>
    <w:rsid w:val="710E6F5D"/>
    <w:rsid w:val="71252D0C"/>
    <w:rsid w:val="712551AD"/>
    <w:rsid w:val="715E60D0"/>
    <w:rsid w:val="72011C2C"/>
    <w:rsid w:val="72E548CC"/>
    <w:rsid w:val="730A11F0"/>
    <w:rsid w:val="738F320C"/>
    <w:rsid w:val="73952AC6"/>
    <w:rsid w:val="73DA6DE2"/>
    <w:rsid w:val="74410A18"/>
    <w:rsid w:val="74DA47FB"/>
    <w:rsid w:val="74FB6BE5"/>
    <w:rsid w:val="7535292A"/>
    <w:rsid w:val="753B7D13"/>
    <w:rsid w:val="756B79EC"/>
    <w:rsid w:val="75933503"/>
    <w:rsid w:val="75FF2008"/>
    <w:rsid w:val="760667A9"/>
    <w:rsid w:val="76621715"/>
    <w:rsid w:val="76BA6269"/>
    <w:rsid w:val="76CD42B6"/>
    <w:rsid w:val="770C4A8E"/>
    <w:rsid w:val="77661E96"/>
    <w:rsid w:val="77684BEC"/>
    <w:rsid w:val="77B417B8"/>
    <w:rsid w:val="77D949F2"/>
    <w:rsid w:val="781264F1"/>
    <w:rsid w:val="79026401"/>
    <w:rsid w:val="791D1490"/>
    <w:rsid w:val="79341836"/>
    <w:rsid w:val="79547B6C"/>
    <w:rsid w:val="79552F8E"/>
    <w:rsid w:val="79CF54F5"/>
    <w:rsid w:val="79D24D33"/>
    <w:rsid w:val="79DC1930"/>
    <w:rsid w:val="79E04430"/>
    <w:rsid w:val="79EE69A0"/>
    <w:rsid w:val="7A375F45"/>
    <w:rsid w:val="7A545A20"/>
    <w:rsid w:val="7A8377CB"/>
    <w:rsid w:val="7A851190"/>
    <w:rsid w:val="7AA13CA4"/>
    <w:rsid w:val="7AB93CAD"/>
    <w:rsid w:val="7AD51802"/>
    <w:rsid w:val="7B044D87"/>
    <w:rsid w:val="7B49296F"/>
    <w:rsid w:val="7B625890"/>
    <w:rsid w:val="7C8200BE"/>
    <w:rsid w:val="7C996C5E"/>
    <w:rsid w:val="7CE57EF5"/>
    <w:rsid w:val="7D3149F1"/>
    <w:rsid w:val="7DAE2B75"/>
    <w:rsid w:val="7DDC42F1"/>
    <w:rsid w:val="7DF00C43"/>
    <w:rsid w:val="7E5343A3"/>
    <w:rsid w:val="7E5366E5"/>
    <w:rsid w:val="7F806A77"/>
    <w:rsid w:val="7FAF6940"/>
    <w:rsid w:val="7FED5A4C"/>
    <w:rsid w:val="7FF4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3430</Words>
  <Characters>19554</Characters>
  <Lines>162</Lines>
  <Paragraphs>45</Paragraphs>
  <TotalTime>3</TotalTime>
  <ScaleCrop>false</ScaleCrop>
  <LinksUpToDate>false</LinksUpToDate>
  <CharactersWithSpaces>22939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陈湘梅</cp:lastModifiedBy>
  <cp:lastPrinted>2021-07-29T07:13:00Z</cp:lastPrinted>
  <dcterms:modified xsi:type="dcterms:W3CDTF">2021-08-04T01:28:58Z</dcterms:modified>
  <dc:title>长沙市轨道交通运营有限公司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4522F07D3C0446D2B71F7E7269C44EA2</vt:lpwstr>
  </property>
</Properties>
</file>