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Ansi="宋体" w:cs="宋体"/>
          <w:b/>
          <w:sz w:val="52"/>
          <w:szCs w:val="52"/>
        </w:rPr>
      </w:pPr>
    </w:p>
    <w:p>
      <w:pPr>
        <w:pStyle w:val="26"/>
        <w:jc w:val="center"/>
        <w:rPr>
          <w:rFonts w:hAnsi="宋体" w:cs="宋体"/>
          <w:b/>
          <w:bCs/>
          <w:sz w:val="52"/>
          <w:szCs w:val="52"/>
        </w:rPr>
      </w:pPr>
      <w:r>
        <w:rPr>
          <w:rFonts w:hint="eastAsia" w:hAnsi="宋体" w:cs="宋体"/>
          <w:b/>
          <w:sz w:val="52"/>
          <w:szCs w:val="52"/>
        </w:rPr>
        <w:t>长沙市轨道交通运营有限公司</w:t>
      </w:r>
    </w:p>
    <w:p>
      <w:pPr>
        <w:pStyle w:val="26"/>
        <w:adjustRightInd w:val="0"/>
        <w:snapToGrid w:val="0"/>
        <w:spacing w:line="360" w:lineRule="auto"/>
        <w:jc w:val="center"/>
        <w:rPr>
          <w:rFonts w:hAnsi="宋体" w:cs="宋体"/>
          <w:b/>
          <w:sz w:val="52"/>
          <w:szCs w:val="52"/>
        </w:rPr>
      </w:pPr>
      <w:r>
        <w:rPr>
          <w:rFonts w:hint="eastAsia" w:hAnsi="宋体" w:cs="宋体"/>
          <w:b/>
          <w:sz w:val="52"/>
          <w:szCs w:val="52"/>
        </w:rPr>
        <w:t>自主竞争性谈判文件</w:t>
      </w:r>
    </w:p>
    <w:p>
      <w:pPr>
        <w:pStyle w:val="26"/>
        <w:adjustRightInd w:val="0"/>
        <w:snapToGrid w:val="0"/>
        <w:spacing w:before="120" w:beforeLines="50" w:line="360" w:lineRule="auto"/>
        <w:rPr>
          <w:rFonts w:hAnsi="宋体" w:cs="宋体"/>
          <w:b/>
          <w:sz w:val="32"/>
          <w:szCs w:val="32"/>
        </w:rPr>
      </w:pPr>
    </w:p>
    <w:p>
      <w:pPr>
        <w:pStyle w:val="26"/>
        <w:adjustRightInd w:val="0"/>
        <w:snapToGrid w:val="0"/>
        <w:spacing w:line="360" w:lineRule="auto"/>
        <w:rPr>
          <w:rFonts w:hAnsi="宋体" w:cs="宋体"/>
          <w:sz w:val="32"/>
          <w:szCs w:val="32"/>
        </w:rPr>
      </w:pPr>
    </w:p>
    <w:p>
      <w:pPr>
        <w:spacing w:line="360" w:lineRule="auto"/>
        <w:ind w:left="2669" w:leftChars="200" w:hanging="2249" w:hangingChars="700"/>
        <w:jc w:val="left"/>
        <w:rPr>
          <w:rFonts w:hint="default" w:ascii="宋体" w:hAnsi="宋体" w:eastAsia="宋体" w:cs="宋体"/>
          <w:b/>
          <w:sz w:val="32"/>
          <w:szCs w:val="21"/>
          <w:lang w:val="en-US" w:eastAsia="zh-CN"/>
        </w:rPr>
      </w:pPr>
      <w:r>
        <w:rPr>
          <w:rFonts w:hint="eastAsia" w:ascii="宋体" w:hAnsi="宋体" w:cs="宋体"/>
          <w:b/>
          <w:sz w:val="32"/>
          <w:szCs w:val="21"/>
        </w:rPr>
        <w:t>谈判项目名称：</w:t>
      </w:r>
      <w:r>
        <w:rPr>
          <w:rFonts w:hint="eastAsia" w:ascii="宋体" w:hAnsi="宋体" w:cs="宋体"/>
          <w:b/>
          <w:sz w:val="32"/>
          <w:szCs w:val="21"/>
          <w:u w:val="single"/>
        </w:rPr>
        <w:t>长沙市轨道交通2号线一期工程运营期正线0.4KV开关柜冷水机组抽屉开关改造工程项目</w:t>
      </w:r>
      <w:r>
        <w:rPr>
          <w:rFonts w:hint="eastAsia" w:ascii="宋体" w:hAnsi="宋体" w:cs="宋体"/>
          <w:b/>
          <w:sz w:val="32"/>
          <w:szCs w:val="21"/>
          <w:u w:val="single"/>
          <w:lang w:val="en-US" w:eastAsia="zh-CN"/>
        </w:rPr>
        <w:t>(第二次)</w:t>
      </w:r>
    </w:p>
    <w:p>
      <w:pPr>
        <w:pStyle w:val="26"/>
        <w:adjustRightInd w:val="0"/>
        <w:snapToGrid w:val="0"/>
        <w:spacing w:line="360" w:lineRule="auto"/>
        <w:ind w:firstLine="643" w:firstLineChars="200"/>
        <w:rPr>
          <w:rFonts w:hAnsi="宋体" w:cs="宋体"/>
          <w:b/>
          <w:sz w:val="32"/>
        </w:rPr>
      </w:pPr>
    </w:p>
    <w:p>
      <w:pPr>
        <w:pStyle w:val="26"/>
        <w:adjustRightInd w:val="0"/>
        <w:snapToGrid w:val="0"/>
        <w:spacing w:line="360" w:lineRule="auto"/>
        <w:ind w:firstLine="643" w:firstLineChars="200"/>
        <w:rPr>
          <w:rFonts w:hAnsi="宋体" w:cs="宋体"/>
          <w:b/>
          <w:sz w:val="32"/>
        </w:rPr>
      </w:pPr>
      <w:r>
        <w:rPr>
          <w:rFonts w:hint="eastAsia" w:hAnsi="宋体" w:cs="宋体"/>
          <w:b/>
          <w:sz w:val="32"/>
        </w:rPr>
        <w:t>采购单位名称：</w:t>
      </w:r>
      <w:r>
        <w:rPr>
          <w:rFonts w:hint="eastAsia" w:hAnsi="宋体" w:cs="宋体"/>
          <w:b/>
          <w:sz w:val="32"/>
          <w:u w:val="single"/>
        </w:rPr>
        <w:t>长沙市轨道交通运营有限公司</w:t>
      </w:r>
    </w:p>
    <w:p>
      <w:pPr>
        <w:pStyle w:val="26"/>
        <w:adjustRightInd w:val="0"/>
        <w:snapToGrid w:val="0"/>
        <w:spacing w:line="360" w:lineRule="auto"/>
        <w:ind w:firstLine="643" w:firstLineChars="200"/>
        <w:rPr>
          <w:rFonts w:hAnsi="宋体" w:cs="宋体"/>
          <w:b/>
          <w:sz w:val="32"/>
        </w:rPr>
      </w:pPr>
    </w:p>
    <w:p>
      <w:pPr>
        <w:pStyle w:val="26"/>
        <w:adjustRightInd w:val="0"/>
        <w:snapToGrid w:val="0"/>
        <w:spacing w:line="360" w:lineRule="auto"/>
        <w:ind w:firstLine="643" w:firstLineChars="200"/>
        <w:rPr>
          <w:rFonts w:hAnsi="宋体" w:cs="宋体"/>
          <w:b/>
          <w:sz w:val="32"/>
          <w:u w:val="single"/>
        </w:rPr>
      </w:pPr>
      <w:r>
        <w:rPr>
          <w:rFonts w:hint="eastAsia" w:hAnsi="宋体" w:cs="宋体"/>
          <w:b/>
          <w:sz w:val="32"/>
        </w:rPr>
        <w:t>谈判项目编号：</w:t>
      </w:r>
      <w:r>
        <w:rPr>
          <w:rFonts w:hint="eastAsia" w:hAnsi="宋体" w:cs="宋体"/>
          <w:b/>
          <w:sz w:val="32"/>
          <w:u w:val="single"/>
        </w:rPr>
        <w:t>长轨运工采【2021】004号</w:t>
      </w:r>
    </w:p>
    <w:p>
      <w:pPr>
        <w:pStyle w:val="26"/>
        <w:adjustRightInd w:val="0"/>
        <w:snapToGrid w:val="0"/>
        <w:spacing w:before="120" w:beforeLines="50" w:line="360" w:lineRule="auto"/>
        <w:rPr>
          <w:rFonts w:hAnsi="宋体" w:cs="宋体"/>
          <w:b/>
          <w:sz w:val="32"/>
          <w:szCs w:val="32"/>
        </w:rPr>
      </w:pPr>
    </w:p>
    <w:p>
      <w:pPr>
        <w:pStyle w:val="26"/>
        <w:adjustRightInd w:val="0"/>
        <w:snapToGrid w:val="0"/>
        <w:spacing w:before="120" w:beforeLines="50" w:line="360" w:lineRule="auto"/>
        <w:rPr>
          <w:rFonts w:hAnsi="宋体" w:cs="宋体"/>
          <w:b/>
          <w:sz w:val="32"/>
          <w:szCs w:val="32"/>
        </w:rPr>
      </w:pPr>
    </w:p>
    <w:p>
      <w:pPr>
        <w:pStyle w:val="26"/>
        <w:adjustRightInd w:val="0"/>
        <w:snapToGrid w:val="0"/>
        <w:spacing w:line="360" w:lineRule="auto"/>
        <w:rPr>
          <w:rFonts w:hAnsi="宋体" w:cs="宋体"/>
          <w:b/>
          <w:sz w:val="32"/>
        </w:rPr>
      </w:pPr>
    </w:p>
    <w:p>
      <w:pPr>
        <w:pStyle w:val="26"/>
        <w:adjustRightInd w:val="0"/>
        <w:snapToGrid w:val="0"/>
        <w:spacing w:line="360" w:lineRule="auto"/>
        <w:rPr>
          <w:rFonts w:hAnsi="宋体" w:cs="宋体"/>
          <w:b/>
          <w:sz w:val="32"/>
        </w:rPr>
      </w:pPr>
    </w:p>
    <w:p>
      <w:pPr>
        <w:pStyle w:val="26"/>
        <w:adjustRightInd w:val="0"/>
        <w:snapToGrid w:val="0"/>
        <w:spacing w:line="360" w:lineRule="auto"/>
        <w:rPr>
          <w:rFonts w:hAnsi="宋体" w:cs="宋体"/>
          <w:b/>
          <w:sz w:val="32"/>
        </w:rPr>
      </w:pPr>
    </w:p>
    <w:p>
      <w:pPr>
        <w:pStyle w:val="26"/>
        <w:adjustRightInd w:val="0"/>
        <w:snapToGrid w:val="0"/>
        <w:spacing w:line="360" w:lineRule="auto"/>
        <w:rPr>
          <w:rFonts w:hAnsi="宋体" w:cs="宋体"/>
          <w:b/>
          <w:sz w:val="32"/>
        </w:rPr>
      </w:pPr>
    </w:p>
    <w:p>
      <w:pPr>
        <w:pStyle w:val="26"/>
        <w:adjustRightInd w:val="0"/>
        <w:snapToGrid w:val="0"/>
        <w:spacing w:line="360" w:lineRule="auto"/>
        <w:rPr>
          <w:rFonts w:hAnsi="宋体" w:cs="宋体"/>
          <w:bCs/>
          <w:sz w:val="32"/>
        </w:rPr>
      </w:pPr>
    </w:p>
    <w:p>
      <w:pPr>
        <w:pStyle w:val="26"/>
        <w:adjustRightInd w:val="0"/>
        <w:snapToGrid w:val="0"/>
        <w:spacing w:line="360" w:lineRule="auto"/>
        <w:jc w:val="center"/>
        <w:rPr>
          <w:rFonts w:hAnsi="宋体" w:cs="宋体"/>
          <w:bCs/>
          <w:sz w:val="32"/>
        </w:rPr>
      </w:pPr>
      <w:r>
        <w:rPr>
          <w:rFonts w:hint="eastAsia" w:hAnsi="宋体" w:cs="宋体"/>
          <w:b/>
          <w:sz w:val="32"/>
        </w:rPr>
        <w:t>二〇二一年</w:t>
      </w:r>
      <w:r>
        <w:rPr>
          <w:rFonts w:hint="eastAsia" w:hAnsi="宋体" w:cs="宋体"/>
          <w:b/>
          <w:sz w:val="32"/>
          <w:lang w:eastAsia="zh-CN"/>
        </w:rPr>
        <w:t>六</w:t>
      </w:r>
      <w:r>
        <w:rPr>
          <w:rFonts w:hint="eastAsia" w:hAnsi="宋体" w:cs="宋体"/>
          <w:b/>
          <w:sz w:val="32"/>
        </w:rPr>
        <w:t>月</w:t>
      </w:r>
    </w:p>
    <w:p>
      <w:pPr>
        <w:pStyle w:val="26"/>
        <w:adjustRightInd w:val="0"/>
        <w:snapToGrid w:val="0"/>
        <w:spacing w:line="360" w:lineRule="auto"/>
        <w:jc w:val="center"/>
        <w:rPr>
          <w:rFonts w:hAnsi="宋体" w:cs="宋体"/>
          <w:b/>
          <w:sz w:val="32"/>
        </w:rPr>
      </w:pPr>
    </w:p>
    <w:p>
      <w:pPr>
        <w:pStyle w:val="26"/>
        <w:adjustRightInd w:val="0"/>
        <w:snapToGrid w:val="0"/>
        <w:spacing w:line="360" w:lineRule="auto"/>
        <w:jc w:val="center"/>
        <w:rPr>
          <w:rFonts w:hAnsi="宋体" w:cs="宋体"/>
          <w:b/>
          <w:sz w:val="32"/>
        </w:rPr>
        <w:sectPr>
          <w:pgSz w:w="11906" w:h="16838"/>
          <w:pgMar w:top="1191" w:right="1417" w:bottom="1191" w:left="1191" w:header="851" w:footer="851" w:gutter="0"/>
          <w:pgNumType w:start="0"/>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3"/>
        <w:tabs>
          <w:tab w:val="right" w:leader="dot" w:pos="8312"/>
        </w:tabs>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fldChar w:fldCharType="begin"/>
      </w:r>
      <w:r>
        <w:instrText xml:space="preserve"> HYPERLINK \l "_Toc13254" </w:instrText>
      </w:r>
      <w:r>
        <w:fldChar w:fldCharType="separate"/>
      </w:r>
      <w:r>
        <w:rPr>
          <w:rFonts w:hint="eastAsia" w:ascii="宋体" w:hAnsi="宋体" w:cs="宋体"/>
          <w:szCs w:val="32"/>
        </w:rPr>
        <w:t>第一章  谈判邀请公告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_Toc13254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"_Toc26282"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_Toc26282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"_Toc17682" </w:instrText>
      </w:r>
      <w:r>
        <w:fldChar w:fldCharType="separate"/>
      </w:r>
      <w:r>
        <w:rPr>
          <w:rFonts w:hint="eastAsia" w:ascii="宋体" w:hAnsi="宋体" w:cs="宋体"/>
          <w:szCs w:val="32"/>
        </w:rPr>
        <w:t>谈判须知前附表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_Toc17682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"_Toc11980" </w:instrText>
      </w:r>
      <w:r>
        <w:fldChar w:fldCharType="separate"/>
      </w:r>
      <w:r>
        <w:rPr>
          <w:rFonts w:hint="eastAsia" w:ascii="宋体" w:hAnsi="宋体" w:cs="宋体"/>
          <w:bCs/>
          <w:szCs w:val="32"/>
        </w:rPr>
        <w:t>谈判须知正文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_Toc11980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"_Toc25658" </w:instrText>
      </w:r>
      <w:r>
        <w:fldChar w:fldCharType="separate"/>
      </w:r>
      <w:r>
        <w:rPr>
          <w:rFonts w:hint="eastAsia" w:ascii="宋体" w:hAnsi="宋体" w:cs="宋体"/>
          <w:szCs w:val="21"/>
        </w:rPr>
        <w:t>一、说明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_Toc25658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"_Toc10190" </w:instrText>
      </w:r>
      <w:r>
        <w:fldChar w:fldCharType="separate"/>
      </w:r>
      <w:r>
        <w:rPr>
          <w:rFonts w:hint="eastAsia" w:ascii="宋体" w:hAnsi="宋体" w:cs="宋体"/>
          <w:szCs w:val="21"/>
        </w:rPr>
        <w:t>二、谈判文件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_Toc10190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"_Toc15974" </w:instrText>
      </w:r>
      <w:r>
        <w:fldChar w:fldCharType="separate"/>
      </w:r>
      <w:r>
        <w:rPr>
          <w:rFonts w:hint="eastAsia" w:ascii="宋体" w:hAnsi="宋体" w:cs="宋体"/>
          <w:szCs w:val="21"/>
        </w:rPr>
        <w:t>三、响应文件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_Toc15974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"_Toc28626" </w:instrText>
      </w:r>
      <w:r>
        <w:fldChar w:fldCharType="separate"/>
      </w:r>
      <w:r>
        <w:rPr>
          <w:rFonts w:hint="eastAsia" w:ascii="宋体" w:hAnsi="宋体" w:cs="宋体"/>
          <w:szCs w:val="21"/>
        </w:rPr>
        <w:t>四、响应文件的递交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_Toc28626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"_Toc28776" </w:instrText>
      </w:r>
      <w:r>
        <w:fldChar w:fldCharType="separate"/>
      </w:r>
      <w:r>
        <w:rPr>
          <w:rFonts w:hint="eastAsia" w:ascii="宋体" w:hAnsi="宋体" w:cs="宋体"/>
          <w:szCs w:val="21"/>
        </w:rPr>
        <w:t>五、响应文件的评审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_Toc28776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"_Toc4811" </w:instrText>
      </w:r>
      <w:r>
        <w:fldChar w:fldCharType="separate"/>
      </w:r>
      <w:r>
        <w:rPr>
          <w:rFonts w:hint="eastAsia" w:ascii="宋体" w:hAnsi="宋体" w:cs="宋体"/>
          <w:szCs w:val="21"/>
        </w:rPr>
        <w:t>六、响应文件的澄清、说明及补正</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_Toc4811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"_Toc22305" </w:instrText>
      </w:r>
      <w:r>
        <w:fldChar w:fldCharType="separate"/>
      </w:r>
      <w:r>
        <w:rPr>
          <w:rFonts w:hint="eastAsia" w:ascii="宋体" w:hAnsi="宋体" w:cs="宋体"/>
          <w:szCs w:val="21"/>
        </w:rPr>
        <w:t>七、中选结果与授予合同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_Toc22305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"_Toc32718" </w:instrText>
      </w:r>
      <w:r>
        <w:fldChar w:fldCharType="separate"/>
      </w:r>
      <w:r>
        <w:rPr>
          <w:rFonts w:hint="eastAsia" w:ascii="宋体" w:hAnsi="宋体" w:cs="宋体"/>
          <w:szCs w:val="21"/>
        </w:rPr>
        <w:t>八、其他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_Toc32718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"_Toc31786"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_Toc31786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"_Toc23967"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_Toc23967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"_Toc16008" </w:instrText>
      </w:r>
      <w:r>
        <w:fldChar w:fldCharType="separate"/>
      </w:r>
      <w:r>
        <w:rPr>
          <w:rFonts w:hint="eastAsia" w:ascii="宋体" w:hAnsi="宋体" w:cs="宋体"/>
          <w:szCs w:val="32"/>
        </w:rPr>
        <w:t xml:space="preserve">第五章  </w:t>
      </w:r>
      <w:r>
        <w:rPr>
          <w:rFonts w:hint="eastAsia" w:ascii="宋体" w:hAnsi="宋体" w:cs="宋体"/>
          <w:bCs/>
          <w:szCs w:val="32"/>
        </w:rPr>
        <w:t>最高限价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_Toc16008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"_Toc26126" </w:instrText>
      </w:r>
      <w:r>
        <w:fldChar w:fldCharType="separate"/>
      </w:r>
      <w:r>
        <w:rPr>
          <w:rFonts w:hint="eastAsia" w:ascii="宋体" w:hAnsi="宋体" w:cs="宋体"/>
          <w:szCs w:val="32"/>
        </w:rPr>
        <w:t>第六章  合同格式条款</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rPr>
        <w:t>4</w:t>
      </w:r>
    </w:p>
    <w:p>
      <w:pPr>
        <w:pStyle w:val="33"/>
        <w:tabs>
          <w:tab w:val="right" w:leader="dot" w:pos="8312"/>
        </w:tabs>
        <w:spacing w:line="360" w:lineRule="auto"/>
        <w:rPr>
          <w:rFonts w:ascii="宋体" w:hAnsi="宋体" w:cs="宋体"/>
        </w:rPr>
      </w:pPr>
      <w:r>
        <w:fldChar w:fldCharType="begin"/>
      </w:r>
      <w:r>
        <w:instrText xml:space="preserve"> HYPERLINK \l "_Toc12762" </w:instrText>
      </w:r>
      <w:r>
        <w:fldChar w:fldCharType="separate"/>
      </w:r>
      <w:r>
        <w:rPr>
          <w:rFonts w:hint="eastAsia" w:ascii="宋体" w:hAnsi="宋体" w:cs="宋体"/>
          <w:szCs w:val="32"/>
        </w:rPr>
        <w:t xml:space="preserve">第七章  </w:t>
      </w:r>
      <w:r>
        <w:rPr>
          <w:rFonts w:hint="eastAsia" w:ascii="宋体" w:hAnsi="宋体" w:cs="宋体"/>
          <w:bCs/>
          <w:szCs w:val="32"/>
        </w:rPr>
        <w:t>响应文件组成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_Toc12762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"_Toc2508" </w:instrText>
      </w:r>
      <w:r>
        <w:fldChar w:fldCharType="separate"/>
      </w:r>
      <w:r>
        <w:rPr>
          <w:rFonts w:hint="eastAsia" w:ascii="宋体" w:hAnsi="宋体" w:cs="宋体"/>
          <w:szCs w:val="32"/>
        </w:rPr>
        <w:t>一、谈判承诺书</w:t>
      </w:r>
      <w:r>
        <w:rPr>
          <w:rFonts w:hint="eastAsia" w:ascii="宋体" w:hAnsi="宋体" w:cs="宋体"/>
        </w:rPr>
        <w:tab/>
      </w:r>
      <w:r>
        <w:rPr>
          <w:rFonts w:ascii="宋体" w:hAnsi="宋体" w:cs="宋体"/>
        </w:rPr>
        <w:t>48</w:t>
      </w:r>
      <w:r>
        <w:rPr>
          <w:rFonts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"_Toc2211" </w:instrText>
      </w:r>
      <w:r>
        <w:fldChar w:fldCharType="separate"/>
      </w:r>
      <w:r>
        <w:rPr>
          <w:rFonts w:hint="eastAsia" w:ascii="宋体" w:hAnsi="宋体" w:cs="宋体"/>
          <w:szCs w:val="32"/>
        </w:rPr>
        <w:t>二、法定代表人身份证明书</w:t>
      </w:r>
      <w:r>
        <w:rPr>
          <w:rFonts w:hint="eastAsia" w:ascii="宋体" w:hAnsi="宋体" w:cs="宋体"/>
        </w:rPr>
        <w:tab/>
      </w:r>
      <w:r>
        <w:rPr>
          <w:rFonts w:hint="eastAsia" w:ascii="宋体" w:hAnsi="宋体" w:cs="宋体"/>
        </w:rPr>
        <w:t>6</w:t>
      </w:r>
      <w:r>
        <w:rPr>
          <w:rFonts w:hint="eastAsia" w:ascii="宋体" w:hAnsi="宋体" w:cs="宋体"/>
        </w:rPr>
        <w:fldChar w:fldCharType="end"/>
      </w:r>
      <w:r>
        <w:rPr>
          <w:rFonts w:hint="eastAsia" w:ascii="宋体" w:hAnsi="宋体" w:cs="宋体"/>
        </w:rPr>
        <w:t>0</w:t>
      </w:r>
    </w:p>
    <w:p>
      <w:pPr>
        <w:pStyle w:val="38"/>
        <w:tabs>
          <w:tab w:val="right" w:leader="dot" w:pos="8312"/>
        </w:tabs>
        <w:spacing w:line="360" w:lineRule="auto"/>
        <w:rPr>
          <w:rFonts w:ascii="宋体" w:hAnsi="宋体" w:cs="宋体"/>
        </w:rPr>
      </w:pPr>
      <w:r>
        <w:fldChar w:fldCharType="begin"/>
      </w:r>
      <w:r>
        <w:instrText xml:space="preserve"> HYPERLINK \l "_Toc3592" </w:instrText>
      </w:r>
      <w:r>
        <w:fldChar w:fldCharType="separate"/>
      </w:r>
      <w:r>
        <w:rPr>
          <w:rFonts w:hint="eastAsia" w:ascii="宋体" w:hAnsi="宋体" w:cs="宋体"/>
          <w:szCs w:val="32"/>
        </w:rPr>
        <w:t>三、授权委托书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_Toc3592 </w:instrText>
      </w:r>
      <w:r>
        <w:rPr>
          <w:rFonts w:hint="eastAsia" w:ascii="宋体" w:hAnsi="宋体" w:cs="宋体"/>
        </w:rPr>
        <w:fldChar w:fldCharType="separate"/>
      </w:r>
      <w:r>
        <w:rPr>
          <w:rFonts w:hint="eastAsia" w:ascii="宋体" w:hAnsi="宋体" w:cs="宋体"/>
        </w:rPr>
        <w:t>35</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"_Toc30284" </w:instrText>
      </w:r>
      <w:r>
        <w:fldChar w:fldCharType="separate"/>
      </w:r>
      <w:r>
        <w:rPr>
          <w:rFonts w:hint="eastAsia" w:ascii="宋体" w:hAnsi="宋体" w:cs="宋体"/>
          <w:szCs w:val="32"/>
        </w:rPr>
        <w:t>四、谈判单位资格证明文件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_Toc30284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"_Toc6552" </w:instrText>
      </w:r>
      <w:r>
        <w:fldChar w:fldCharType="separate"/>
      </w:r>
      <w:r>
        <w:rPr>
          <w:rFonts w:hint="eastAsia" w:ascii="宋体" w:hAnsi="宋体" w:cs="宋体"/>
          <w:szCs w:val="32"/>
        </w:rPr>
        <w:t>五、不拖欠农民工工资承诺书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_Toc6552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"_Toc2843" </w:instrText>
      </w:r>
      <w:r>
        <w:fldChar w:fldCharType="separate"/>
      </w:r>
      <w:r>
        <w:rPr>
          <w:rFonts w:hint="eastAsia" w:ascii="宋体" w:hAnsi="宋体" w:cs="宋体"/>
          <w:szCs w:val="32"/>
        </w:rPr>
        <w:t>六、报价一览表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_Toc2843 </w:instrText>
      </w:r>
      <w:r>
        <w:rPr>
          <w:rFonts w:hint="eastAsia" w:ascii="宋体" w:hAnsi="宋体" w:cs="宋体"/>
        </w:rPr>
        <w:fldChar w:fldCharType="separate"/>
      </w:r>
      <w:r>
        <w:rPr>
          <w:rFonts w:hint="eastAsia" w:ascii="宋体" w:hAnsi="宋体" w:cs="宋体"/>
        </w:rPr>
        <w:t>38</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"_Toc5453" </w:instrText>
      </w:r>
      <w:r>
        <w:fldChar w:fldCharType="separate"/>
      </w:r>
      <w:r>
        <w:rPr>
          <w:rFonts w:hint="eastAsia" w:ascii="宋体" w:hAnsi="宋体" w:cs="宋体"/>
          <w:szCs w:val="32"/>
        </w:rPr>
        <w:t>七、报价汇总表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_Toc5453 </w:instrText>
      </w:r>
      <w:r>
        <w:rPr>
          <w:rFonts w:hint="eastAsia" w:ascii="宋体" w:hAnsi="宋体" w:cs="宋体"/>
        </w:rPr>
        <w:fldChar w:fldCharType="separate"/>
      </w:r>
      <w:r>
        <w:rPr>
          <w:rFonts w:hint="eastAsia" w:ascii="宋体" w:hAnsi="宋体" w:cs="宋体"/>
        </w:rPr>
        <w:t>39</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"_Toc18361" </w:instrText>
      </w:r>
      <w:r>
        <w:fldChar w:fldCharType="separate"/>
      </w:r>
      <w:r>
        <w:rPr>
          <w:rFonts w:hint="eastAsia" w:ascii="宋体" w:hAnsi="宋体" w:cs="宋体"/>
          <w:szCs w:val="32"/>
        </w:rPr>
        <w:t>八、投标报价表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_Toc18361 </w:instrText>
      </w:r>
      <w:r>
        <w:rPr>
          <w:rFonts w:hint="eastAsia" w:ascii="宋体" w:hAnsi="宋体" w:cs="宋体"/>
        </w:rPr>
        <w:fldChar w:fldCharType="separate"/>
      </w:r>
      <w:r>
        <w:rPr>
          <w:rFonts w:hint="eastAsia" w:ascii="宋体" w:hAnsi="宋体" w:cs="宋体"/>
        </w:rPr>
        <w:t>40</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"_Toc13786" </w:instrText>
      </w:r>
      <w:r>
        <w:fldChar w:fldCharType="separate"/>
      </w:r>
      <w:r>
        <w:rPr>
          <w:rFonts w:hint="eastAsia" w:ascii="宋体" w:hAnsi="宋体" w:cs="宋体"/>
          <w:szCs w:val="32"/>
        </w:rPr>
        <w:t>九、其他资料（如有）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_Toc13786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pPr>
        <w:spacing w:line="360" w:lineRule="auto"/>
        <w:rPr>
          <w:rFonts w:ascii="宋体" w:hAnsi="宋体" w:cs="宋体"/>
        </w:rPr>
      </w:pPr>
      <w:r>
        <w:rPr>
          <w:rFonts w:hint="eastAsia" w:ascii="宋体" w:hAnsi="宋体" w:cs="宋体"/>
        </w:rPr>
        <w:fldChar w:fldCharType="end"/>
      </w:r>
    </w:p>
    <w:p>
      <w:pPr>
        <w:pStyle w:val="4"/>
        <w:keepNext w:val="0"/>
        <w:rPr>
          <w:rFonts w:ascii="宋体" w:hAnsi="宋体" w:cs="宋体"/>
          <w:sz w:val="32"/>
          <w:szCs w:val="32"/>
        </w:rPr>
        <w:sectPr>
          <w:footerReference r:id="rId3" w:type="default"/>
          <w:pgSz w:w="11906" w:h="16838"/>
          <w:pgMar w:top="1191" w:right="1417" w:bottom="1191" w:left="1191" w:header="851" w:footer="851" w:gutter="0"/>
          <w:pgNumType w:start="1"/>
          <w:cols w:space="720" w:num="1"/>
          <w:docGrid w:linePitch="312" w:charSpace="0"/>
        </w:sectPr>
      </w:pPr>
      <w:bookmarkStart w:id="1" w:name="_Toc5016"/>
      <w:bookmarkStart w:id="2" w:name="_Toc29614"/>
    </w:p>
    <w:p>
      <w:pPr>
        <w:pStyle w:val="4"/>
        <w:keepNext w:val="0"/>
        <w:spacing w:line="360" w:lineRule="auto"/>
        <w:rPr>
          <w:rFonts w:ascii="宋体" w:hAnsi="宋体" w:cs="宋体"/>
          <w:sz w:val="32"/>
          <w:szCs w:val="32"/>
        </w:rPr>
      </w:pPr>
      <w:bookmarkStart w:id="3" w:name="_Toc13254"/>
      <w:bookmarkStart w:id="4" w:name="_Toc13376"/>
      <w:r>
        <w:rPr>
          <w:rFonts w:hint="eastAsia" w:ascii="宋体" w:hAnsi="宋体" w:cs="宋体"/>
          <w:sz w:val="32"/>
          <w:szCs w:val="32"/>
        </w:rPr>
        <w:t>第一章  谈判邀请公告</w:t>
      </w:r>
      <w:bookmarkEnd w:id="0"/>
      <w:bookmarkEnd w:id="1"/>
      <w:bookmarkEnd w:id="2"/>
      <w:bookmarkEnd w:id="3"/>
      <w:bookmarkEnd w:id="4"/>
    </w:p>
    <w:p>
      <w:pPr>
        <w:pStyle w:val="26"/>
        <w:adjustRightInd w:val="0"/>
        <w:snapToGrid w:val="0"/>
        <w:spacing w:line="360" w:lineRule="auto"/>
        <w:rPr>
          <w:rFonts w:hAnsi="宋体" w:cs="宋体"/>
          <w:iCs/>
          <w:u w:val="single"/>
        </w:rPr>
      </w:pPr>
    </w:p>
    <w:p>
      <w:pPr>
        <w:spacing w:line="360" w:lineRule="auto"/>
        <w:ind w:firstLine="420" w:firstLineChars="200"/>
        <w:jc w:val="left"/>
        <w:rPr>
          <w:rFonts w:ascii="宋体" w:hAnsi="宋体" w:cs="宋体"/>
          <w:iCs/>
          <w:szCs w:val="21"/>
        </w:rPr>
      </w:pPr>
      <w:r>
        <w:rPr>
          <w:rFonts w:hint="eastAsia" w:ascii="宋体" w:hAnsi="宋体" w:cs="宋体"/>
          <w:bCs/>
          <w:iCs/>
          <w:color w:val="000000"/>
          <w:szCs w:val="21"/>
        </w:rPr>
        <w:t>五矿国际招标有限责任公司</w:t>
      </w:r>
      <w:r>
        <w:rPr>
          <w:rFonts w:hint="eastAsia" w:ascii="宋体" w:hAnsi="宋体" w:cs="宋体"/>
          <w:szCs w:val="21"/>
        </w:rPr>
        <w:t>受长沙市轨道交通运营有限公司的委托，</w:t>
      </w:r>
      <w:r>
        <w:rPr>
          <w:rFonts w:hint="eastAsia" w:ascii="宋体" w:hAnsi="宋体" w:cs="宋体"/>
          <w:iCs/>
          <w:szCs w:val="21"/>
        </w:rPr>
        <w:t>对</w:t>
      </w:r>
      <w:r>
        <w:rPr>
          <w:rFonts w:hint="eastAsia" w:ascii="宋体"/>
          <w:color w:val="000000"/>
          <w:szCs w:val="21"/>
        </w:rPr>
        <w:t>长沙市轨道交通2号线一期工程运营期正线0.4KV开关柜冷水机组抽屉开关改造工程项目</w:t>
      </w:r>
      <w:r>
        <w:rPr>
          <w:rFonts w:hint="eastAsia" w:ascii="宋体"/>
          <w:color w:val="000000"/>
          <w:szCs w:val="21"/>
          <w:lang w:eastAsia="zh-CN"/>
        </w:rPr>
        <w:t>（第二次）</w:t>
      </w:r>
      <w:r>
        <w:rPr>
          <w:rFonts w:hint="eastAsia" w:ascii="宋体" w:hAnsi="宋体" w:cs="宋体"/>
          <w:iCs/>
          <w:szCs w:val="21"/>
        </w:rPr>
        <w:t>进行自主竞争性谈判采购，现发布公告，邀请符合条件的单位参与谈判采购活动。</w:t>
      </w:r>
    </w:p>
    <w:p>
      <w:pPr>
        <w:pStyle w:val="26"/>
        <w:adjustRightInd w:val="0"/>
        <w:snapToGrid w:val="0"/>
        <w:spacing w:line="360" w:lineRule="auto"/>
        <w:ind w:firstLine="422" w:firstLineChars="200"/>
        <w:rPr>
          <w:rFonts w:hAnsi="宋体" w:cs="宋体"/>
          <w:b/>
          <w:iCs/>
        </w:rPr>
      </w:pPr>
      <w:r>
        <w:rPr>
          <w:rFonts w:hint="eastAsia" w:hAnsi="宋体" w:cs="宋体"/>
          <w:b/>
          <w:iCs/>
        </w:rPr>
        <w:t>一、项目概况</w:t>
      </w:r>
    </w:p>
    <w:p>
      <w:pPr>
        <w:pStyle w:val="26"/>
        <w:adjustRightInd w:val="0"/>
        <w:snapToGrid w:val="0"/>
        <w:spacing w:line="360" w:lineRule="auto"/>
        <w:ind w:firstLine="420" w:firstLineChars="200"/>
        <w:rPr>
          <w:rFonts w:hint="eastAsia" w:ascii="宋体" w:hAnsi="宋体" w:eastAsia="宋体" w:cs="宋体"/>
          <w:bCs/>
          <w:kern w:val="2"/>
          <w:sz w:val="21"/>
          <w:szCs w:val="21"/>
          <w:lang w:val="en-US" w:eastAsia="zh-CN" w:bidi="ar-SA"/>
        </w:rPr>
      </w:pPr>
      <w:r>
        <w:rPr>
          <w:rFonts w:hint="eastAsia" w:hAnsi="宋体" w:cs="宋体"/>
          <w:iCs/>
        </w:rPr>
        <w:t>1.项目名称:</w:t>
      </w:r>
      <w:r>
        <w:rPr>
          <w:rFonts w:hint="eastAsia"/>
          <w:color w:val="000000"/>
        </w:rPr>
        <w:t xml:space="preserve"> 长沙市轨道交通2号线一期工程运营期正线0.4KV开关柜冷水机组抽屉开关改造工程项目</w:t>
      </w:r>
      <w:r>
        <w:rPr>
          <w:rFonts w:hint="eastAsia" w:ascii="宋体"/>
          <w:color w:val="000000"/>
          <w:szCs w:val="21"/>
          <w:lang w:eastAsia="zh-CN"/>
        </w:rPr>
        <w:t>（第二次）</w:t>
      </w:r>
    </w:p>
    <w:p>
      <w:pPr>
        <w:pStyle w:val="26"/>
        <w:adjustRightInd w:val="0"/>
        <w:snapToGrid w:val="0"/>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2.最</w:t>
      </w:r>
      <w:r>
        <w:rPr>
          <w:rFonts w:hint="eastAsia"/>
          <w:color w:val="000000"/>
          <w:lang w:val="en-US" w:eastAsia="zh-CN"/>
        </w:rPr>
        <w:t>高限价:195720.64元</w:t>
      </w:r>
    </w:p>
    <w:p>
      <w:pPr>
        <w:snapToGrid w:val="0"/>
        <w:spacing w:line="360" w:lineRule="auto"/>
        <w:ind w:firstLine="420" w:firstLineChars="200"/>
        <w:rPr>
          <w:rFonts w:hint="eastAsia" w:ascii="宋体" w:hAnsi="Courier New" w:eastAsia="宋体" w:cs="Courier New"/>
          <w:color w:val="000000"/>
          <w:kern w:val="2"/>
          <w:sz w:val="21"/>
          <w:szCs w:val="21"/>
          <w:lang w:val="en-US" w:eastAsia="zh-CN" w:bidi="ar-SA"/>
        </w:rPr>
      </w:pPr>
      <w:r>
        <w:rPr>
          <w:rFonts w:hint="eastAsia" w:ascii="宋体" w:hAnsi="宋体" w:cs="宋体"/>
          <w:iCs/>
          <w:szCs w:val="21"/>
        </w:rPr>
        <w:t>3.标段划分:</w:t>
      </w:r>
      <w:r>
        <w:rPr>
          <w:rFonts w:hint="eastAsia" w:ascii="宋体" w:hAnsi="Courier New" w:eastAsia="宋体" w:cs="Courier New"/>
          <w:color w:val="000000"/>
          <w:kern w:val="2"/>
          <w:sz w:val="21"/>
          <w:szCs w:val="21"/>
          <w:lang w:val="en-US" w:eastAsia="zh-CN" w:bidi="ar-SA"/>
        </w:rPr>
        <w:t>共划分1个标段</w:t>
      </w:r>
    </w:p>
    <w:p>
      <w:pPr>
        <w:snapToGrid w:val="0"/>
        <w:spacing w:line="360" w:lineRule="auto"/>
        <w:ind w:firstLine="420" w:firstLineChars="200"/>
        <w:rPr>
          <w:rFonts w:ascii="宋体" w:hAnsi="宋体" w:cs="宋体"/>
          <w:iCs/>
          <w:szCs w:val="21"/>
        </w:rPr>
      </w:pPr>
      <w:r>
        <w:rPr>
          <w:rFonts w:hint="eastAsia" w:ascii="宋体" w:hAnsi="宋体" w:cs="宋体"/>
          <w:iCs/>
          <w:szCs w:val="21"/>
        </w:rPr>
        <w:t>4.质保期：</w:t>
      </w:r>
      <w:r>
        <w:rPr>
          <w:rFonts w:hint="eastAsia" w:ascii="宋体" w:hAnsi="宋体" w:cs="宋体"/>
          <w:bCs/>
          <w:szCs w:val="21"/>
        </w:rPr>
        <w:t>项目通过验收并交付使用，视作进入质保期，质保期为24个月。如质保期内出现重大质量缺陷，质保期从该质量缺陷修复后起重新计算。重大质量缺陷的认定依照国家、省、市相关规定执行。（具体详见用户需求书）</w:t>
      </w:r>
    </w:p>
    <w:p>
      <w:pPr>
        <w:snapToGrid w:val="0"/>
        <w:spacing w:line="360" w:lineRule="auto"/>
        <w:ind w:firstLine="420" w:firstLineChars="200"/>
        <w:rPr>
          <w:rFonts w:ascii="宋体" w:hAnsi="宋体" w:cs="宋体"/>
          <w:iCs/>
          <w:szCs w:val="21"/>
        </w:rPr>
      </w:pPr>
      <w:r>
        <w:rPr>
          <w:rFonts w:hint="eastAsia" w:ascii="宋体" w:hAnsi="宋体" w:cs="宋体"/>
          <w:iCs/>
          <w:szCs w:val="21"/>
        </w:rPr>
        <w:t>5.施工工期：</w:t>
      </w:r>
      <w:r>
        <w:rPr>
          <w:rFonts w:hint="eastAsia" w:ascii="宋体" w:hAnsi="宋体" w:cs="宋体"/>
          <w:bCs/>
          <w:szCs w:val="21"/>
        </w:rPr>
        <w:t>承包单位接到采购单位发出开工通知起算180天内完成项目所有施工、调试及竣工验收。（具体详见用户需求书）</w:t>
      </w:r>
    </w:p>
    <w:p>
      <w:pPr>
        <w:snapToGrid w:val="0"/>
        <w:spacing w:line="360" w:lineRule="auto"/>
        <w:ind w:firstLine="420" w:firstLineChars="200"/>
        <w:rPr>
          <w:rFonts w:ascii="宋体" w:hAnsi="宋体" w:cs="宋体"/>
          <w:bCs/>
          <w:szCs w:val="21"/>
        </w:rPr>
      </w:pPr>
      <w:r>
        <w:rPr>
          <w:rFonts w:hint="eastAsia" w:ascii="宋体" w:hAnsi="宋体" w:cs="宋体"/>
          <w:bCs/>
          <w:szCs w:val="21"/>
        </w:rPr>
        <w:t>6.</w:t>
      </w:r>
      <w:r>
        <w:rPr>
          <w:rFonts w:hint="eastAsia" w:ascii="宋体" w:hAnsi="宋体" w:cs="宋体"/>
          <w:iCs/>
          <w:szCs w:val="21"/>
        </w:rPr>
        <w:t>采购范围：</w:t>
      </w:r>
      <w:r>
        <w:rPr>
          <w:rFonts w:hint="eastAsia" w:ascii="宋体" w:hAnsi="宋体" w:cs="宋体"/>
          <w:bCs/>
          <w:szCs w:val="21"/>
        </w:rPr>
        <w:t>本项目拟对长沙市轨道交通2号线一期工程光达站至望城坡站(12个站点）变电所冷水机组抽屉开关进行改造，提高抽屉柜运行稳定性和安全性</w:t>
      </w:r>
      <w:r>
        <w:rPr>
          <w:rFonts w:hint="eastAsia" w:ascii="宋体" w:hAnsi="宋体" w:cs="宋体"/>
          <w:szCs w:val="21"/>
        </w:rPr>
        <w:t>。（具体详见用户需求书）</w:t>
      </w:r>
    </w:p>
    <w:p>
      <w:pPr>
        <w:pStyle w:val="26"/>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rPr>
          <w:rFonts w:ascii="宋体" w:hAnsi="宋体" w:cs="宋体"/>
          <w:szCs w:val="21"/>
        </w:rPr>
      </w:pPr>
      <w:r>
        <w:rPr>
          <w:rFonts w:hint="eastAsia" w:ascii="宋体" w:hAnsi="宋体" w:cs="宋体"/>
          <w:szCs w:val="21"/>
        </w:rPr>
        <w:t>1.谈判单位须为具有独立法人资格、自主经营、独立核算的公司，须提供加盖谈判单位公章的营业执照复印件。</w:t>
      </w:r>
    </w:p>
    <w:p>
      <w:pPr>
        <w:spacing w:line="360" w:lineRule="auto"/>
        <w:ind w:firstLine="420" w:firstLineChars="200"/>
        <w:rPr>
          <w:rFonts w:ascii="宋体" w:hAnsi="宋体" w:cs="宋体"/>
          <w:szCs w:val="21"/>
        </w:rPr>
      </w:pPr>
      <w:r>
        <w:rPr>
          <w:rFonts w:hint="eastAsia" w:ascii="宋体" w:hAnsi="宋体" w:cs="宋体"/>
          <w:szCs w:val="21"/>
        </w:rPr>
        <w:t>2.谈判单位须具有机电工程施工总承包三级（含）以上或建筑机电安装工程专业承包三级（含）以上资质，须具有有效的施工企业《安全生产许可证》。</w:t>
      </w:r>
    </w:p>
    <w:p>
      <w:pPr>
        <w:spacing w:line="360" w:lineRule="auto"/>
        <w:ind w:firstLine="420" w:firstLineChars="200"/>
        <w:rPr>
          <w:rFonts w:ascii="宋体" w:hAnsi="宋体" w:cs="宋体"/>
          <w:szCs w:val="21"/>
        </w:rPr>
      </w:pPr>
      <w:r>
        <w:rPr>
          <w:rFonts w:hint="eastAsia" w:ascii="宋体" w:hAnsi="宋体" w:cs="宋体"/>
          <w:szCs w:val="21"/>
        </w:rPr>
        <w:t>3.本项目现场施工部关键岗位人员最低配备按《湖南省建设工程施工项目部和现场监理部关键岗位人员配备管理办法》湘建建〔2020〕208号文执行。</w:t>
      </w:r>
    </w:p>
    <w:p>
      <w:pPr>
        <w:spacing w:line="360" w:lineRule="auto"/>
        <w:ind w:firstLine="420" w:firstLineChars="200"/>
        <w:rPr>
          <w:rFonts w:hint="eastAsia" w:ascii="宋体" w:hAnsi="宋体" w:eastAsia="宋体" w:cs="宋体"/>
          <w:szCs w:val="21"/>
          <w:lang w:eastAsia="zh-CN"/>
        </w:rPr>
      </w:pPr>
      <w:r>
        <w:rPr>
          <w:rFonts w:ascii="宋体" w:hAnsi="宋体" w:cs="宋体"/>
          <w:szCs w:val="21"/>
        </w:rPr>
        <w:t>3.</w:t>
      </w:r>
      <w:r>
        <w:rPr>
          <w:rFonts w:hint="eastAsia" w:ascii="宋体" w:hAnsi="宋体" w:cs="宋体"/>
          <w:szCs w:val="21"/>
        </w:rPr>
        <w:t>1.拟任项目负责人具备机电工程或建筑工程专业贰级及以上注册建造师执业资格和项目负责人安全生产考核合格证</w:t>
      </w:r>
      <w:r>
        <w:rPr>
          <w:rFonts w:hint="eastAsia" w:ascii="宋体" w:hAnsi="宋体" w:cs="宋体"/>
          <w:szCs w:val="21"/>
          <w:lang w:eastAsia="zh-CN"/>
        </w:rPr>
        <w:t>。</w:t>
      </w:r>
    </w:p>
    <w:p>
      <w:pPr>
        <w:spacing w:line="360" w:lineRule="auto"/>
        <w:ind w:firstLine="420" w:firstLineChars="200"/>
        <w:rPr>
          <w:rFonts w:hint="eastAsia" w:ascii="宋体" w:hAnsi="宋体" w:eastAsia="宋体" w:cs="宋体"/>
          <w:szCs w:val="21"/>
          <w:lang w:eastAsia="zh-CN"/>
        </w:rPr>
      </w:pPr>
      <w:r>
        <w:rPr>
          <w:rFonts w:ascii="宋体" w:hAnsi="宋体" w:cs="宋体"/>
          <w:szCs w:val="21"/>
        </w:rPr>
        <w:t>3.</w:t>
      </w:r>
      <w:r>
        <w:rPr>
          <w:rFonts w:hint="eastAsia" w:ascii="宋体" w:hAnsi="宋体" w:cs="宋体"/>
          <w:szCs w:val="21"/>
        </w:rPr>
        <w:t>2.拟任技术负责人具备机电工程相关专业助理工程师及以上职称</w:t>
      </w:r>
      <w:r>
        <w:rPr>
          <w:rFonts w:hint="eastAsia" w:ascii="宋体" w:hAnsi="宋体" w:cs="宋体"/>
          <w:szCs w:val="21"/>
          <w:lang w:eastAsia="zh-CN"/>
        </w:rPr>
        <w:t>。</w:t>
      </w:r>
    </w:p>
    <w:p>
      <w:pPr>
        <w:spacing w:line="360" w:lineRule="auto"/>
        <w:ind w:firstLine="420" w:firstLineChars="200"/>
        <w:rPr>
          <w:rFonts w:hint="eastAsia" w:ascii="宋体" w:hAnsi="宋体" w:eastAsia="宋体" w:cs="宋体"/>
          <w:szCs w:val="21"/>
          <w:lang w:eastAsia="zh-CN"/>
        </w:rPr>
      </w:pPr>
      <w:r>
        <w:rPr>
          <w:rFonts w:ascii="宋体" w:hAnsi="宋体" w:cs="宋体"/>
          <w:szCs w:val="21"/>
        </w:rPr>
        <w:t>3.</w:t>
      </w:r>
      <w:r>
        <w:rPr>
          <w:rFonts w:hint="eastAsia" w:ascii="宋体" w:hAnsi="宋体" w:cs="宋体"/>
          <w:szCs w:val="21"/>
        </w:rPr>
        <w:t>3.拟任施工员具备施工员岗位资格证书</w:t>
      </w:r>
      <w:r>
        <w:rPr>
          <w:rFonts w:hint="eastAsia" w:ascii="宋体" w:hAnsi="宋体" w:cs="宋体"/>
          <w:szCs w:val="21"/>
          <w:lang w:eastAsia="zh-CN"/>
        </w:rPr>
        <w:t>。</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4.</w:t>
      </w:r>
      <w:r>
        <w:rPr>
          <w:rFonts w:hint="eastAsia" w:ascii="宋体" w:hAnsi="宋体" w:cs="宋体"/>
          <w:szCs w:val="21"/>
          <w:lang w:val="en-US" w:eastAsia="zh-CN"/>
        </w:rPr>
        <w:t>拟任专职安全员具备专职安全生产管理人员安全生产考核合格证</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注：岗位资格证书注明了单位名称的，应与本人执业单位一致。</w:t>
      </w:r>
    </w:p>
    <w:p>
      <w:pPr>
        <w:spacing w:line="360" w:lineRule="auto"/>
        <w:ind w:firstLine="420" w:firstLineChars="200"/>
        <w:rPr>
          <w:rFonts w:ascii="宋体" w:hAnsi="宋体" w:cs="宋体"/>
          <w:szCs w:val="21"/>
        </w:rPr>
      </w:pPr>
      <w:r>
        <w:rPr>
          <w:rFonts w:hint="eastAsia" w:ascii="宋体" w:hAnsi="宋体" w:cs="宋体"/>
          <w:szCs w:val="21"/>
        </w:rPr>
        <w:t>4.湖南省外企业须按照湘建建【2015】190号文件要求办理省外入湘企业基本情况登记（以“湖南省住房和城乡建设网”查询为准）或具有入湘施工登记证（处于有效期内）。</w:t>
      </w:r>
    </w:p>
    <w:p>
      <w:pPr>
        <w:spacing w:line="360" w:lineRule="auto"/>
        <w:ind w:firstLine="420" w:firstLineChars="200"/>
        <w:rPr>
          <w:rFonts w:ascii="宋体" w:hAnsi="宋体" w:cs="宋体"/>
          <w:szCs w:val="21"/>
        </w:rPr>
      </w:pPr>
      <w:r>
        <w:rPr>
          <w:rFonts w:hint="eastAsia" w:ascii="宋体" w:hAnsi="宋体" w:cs="宋体"/>
          <w:szCs w:val="21"/>
        </w:rPr>
        <w:t>5.本项目不接受联合体形式参与谈判。</w:t>
      </w:r>
    </w:p>
    <w:p>
      <w:pPr>
        <w:spacing w:line="360" w:lineRule="auto"/>
        <w:ind w:firstLine="420" w:firstLineChars="200"/>
        <w:rPr>
          <w:rFonts w:ascii="宋体" w:hAnsi="宋体" w:cs="宋体"/>
          <w:szCs w:val="21"/>
        </w:rPr>
      </w:pPr>
      <w:r>
        <w:rPr>
          <w:rFonts w:hint="eastAsia" w:ascii="宋体" w:hAnsi="宋体" w:cs="宋体"/>
          <w:szCs w:val="21"/>
        </w:rPr>
        <w:t>6.被长沙市轨道交通集团函告禁止在一定期限内参与轨道公司项目投标的单位按函告内容执行。</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经符合性审查合格后的最低价法。</w:t>
      </w:r>
    </w:p>
    <w:p>
      <w:pPr>
        <w:tabs>
          <w:tab w:val="left" w:pos="1629"/>
        </w:tabs>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凡有意参加谈判的单位，请于挂网之日起至20</w:t>
      </w:r>
      <w:r>
        <w:rPr>
          <w:rFonts w:ascii="宋体" w:hAnsi="宋体" w:cs="宋体"/>
          <w:szCs w:val="21"/>
        </w:rPr>
        <w:t>21</w:t>
      </w:r>
      <w:r>
        <w:rPr>
          <w:rFonts w:hint="eastAsia" w:ascii="宋体" w:hAnsi="宋体" w:cs="宋体"/>
          <w:szCs w:val="21"/>
        </w:rPr>
        <w:t>年</w:t>
      </w:r>
      <w:r>
        <w:rPr>
          <w:rFonts w:ascii="宋体" w:hAnsi="宋体" w:cs="宋体"/>
          <w:szCs w:val="21"/>
        </w:rPr>
        <w:t>0</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01</w:t>
      </w:r>
      <w:r>
        <w:rPr>
          <w:rFonts w:hint="eastAsia" w:ascii="宋体" w:hAnsi="宋体" w:cs="宋体"/>
          <w:szCs w:val="21"/>
        </w:rPr>
        <w:t>日登录长沙市轨道交通集团有限公司官方网站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应于20</w:t>
      </w:r>
      <w:r>
        <w:rPr>
          <w:rFonts w:ascii="宋体" w:hAnsi="宋体" w:cs="宋体"/>
          <w:szCs w:val="21"/>
        </w:rPr>
        <w:t>21</w:t>
      </w:r>
      <w:r>
        <w:rPr>
          <w:rFonts w:hint="eastAsia" w:ascii="宋体" w:hAnsi="宋体" w:cs="宋体"/>
          <w:szCs w:val="21"/>
        </w:rPr>
        <w:t>年</w:t>
      </w:r>
      <w:r>
        <w:rPr>
          <w:rFonts w:ascii="宋体" w:hAnsi="宋体" w:cs="宋体"/>
          <w:szCs w:val="21"/>
        </w:rPr>
        <w:t>0</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02</w:t>
      </w:r>
      <w:r>
        <w:rPr>
          <w:rFonts w:hint="eastAsia" w:ascii="宋体" w:hAnsi="宋体" w:cs="宋体"/>
          <w:szCs w:val="21"/>
        </w:rPr>
        <w:t>日</w:t>
      </w:r>
      <w:bookmarkStart w:id="119" w:name="_GoBack"/>
      <w:bookmarkEnd w:id="119"/>
      <w:r>
        <w:rPr>
          <w:rFonts w:hint="eastAsia" w:ascii="宋体" w:hAnsi="宋体" w:cs="宋体"/>
          <w:iCs/>
          <w:szCs w:val="21"/>
        </w:rPr>
        <w:t>17：00时（含）前（节假日除外）以书面形式（经法定代表人签字或盖章，并加盖单位公章）递交至采购代理机构。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spacing w:line="360" w:lineRule="auto"/>
        <w:ind w:firstLine="422" w:firstLineChars="200"/>
        <w:rPr>
          <w:rFonts w:ascii="宋体" w:hAnsi="宋体" w:cs="宋体"/>
          <w:b/>
          <w:bCs/>
          <w:iCs/>
          <w:szCs w:val="21"/>
        </w:rPr>
      </w:pPr>
      <w:r>
        <w:rPr>
          <w:rFonts w:hint="eastAsia" w:ascii="宋体" w:hAnsi="宋体" w:cs="宋体"/>
          <w:b/>
          <w:bCs/>
          <w:kern w:val="0"/>
          <w:szCs w:val="21"/>
        </w:rPr>
        <w:t>六、</w:t>
      </w:r>
      <w:r>
        <w:rPr>
          <w:rFonts w:hint="eastAsia" w:ascii="宋体" w:hAnsi="宋体" w:cs="宋体"/>
          <w:b/>
          <w:bCs/>
          <w:iCs/>
          <w:szCs w:val="21"/>
        </w:rPr>
        <w:t>响应文件的递交</w:t>
      </w:r>
    </w:p>
    <w:p>
      <w:pPr>
        <w:spacing w:line="360" w:lineRule="auto"/>
        <w:ind w:firstLine="420" w:firstLineChars="200"/>
        <w:rPr>
          <w:rFonts w:ascii="宋体" w:hAnsi="宋体" w:cs="宋体"/>
          <w:bCs/>
          <w:szCs w:val="21"/>
        </w:rPr>
      </w:pPr>
      <w:r>
        <w:rPr>
          <w:rFonts w:hint="eastAsia" w:ascii="宋体" w:hAnsi="宋体" w:cs="宋体"/>
          <w:bCs/>
          <w:szCs w:val="21"/>
        </w:rPr>
        <w:t>1.响应文件递交的截止时间及谈判时间为20</w:t>
      </w:r>
      <w:r>
        <w:rPr>
          <w:rFonts w:ascii="宋体" w:hAnsi="宋体" w:cs="宋体"/>
          <w:bCs/>
          <w:szCs w:val="21"/>
        </w:rPr>
        <w:t>21</w:t>
      </w:r>
      <w:r>
        <w:rPr>
          <w:rFonts w:hint="eastAsia" w:ascii="宋体" w:hAnsi="宋体" w:cs="宋体"/>
          <w:bCs/>
          <w:szCs w:val="21"/>
        </w:rPr>
        <w:t>年</w:t>
      </w:r>
      <w:r>
        <w:rPr>
          <w:rFonts w:hint="eastAsia" w:ascii="宋体" w:hAnsi="宋体" w:cs="宋体"/>
          <w:bCs/>
          <w:szCs w:val="21"/>
          <w:lang w:val="en-US" w:eastAsia="zh-CN"/>
        </w:rPr>
        <w:t>07</w:t>
      </w:r>
      <w:r>
        <w:rPr>
          <w:rFonts w:hint="eastAsia" w:ascii="宋体" w:hAnsi="宋体" w:cs="宋体"/>
          <w:bCs/>
          <w:szCs w:val="21"/>
        </w:rPr>
        <w:t>月</w:t>
      </w:r>
      <w:r>
        <w:rPr>
          <w:rFonts w:hint="eastAsia" w:ascii="宋体" w:hAnsi="宋体" w:cs="宋体"/>
          <w:bCs/>
          <w:szCs w:val="21"/>
          <w:lang w:val="en-US" w:eastAsia="zh-CN"/>
        </w:rPr>
        <w:t>08</w:t>
      </w:r>
      <w:r>
        <w:rPr>
          <w:rFonts w:hint="eastAsia" w:ascii="宋体" w:hAnsi="宋体" w:cs="宋体"/>
          <w:bCs/>
          <w:szCs w:val="21"/>
        </w:rPr>
        <w:t>日 14 时 30 分，地点为</w:t>
      </w:r>
      <w:r>
        <w:rPr>
          <w:rFonts w:hint="eastAsia" w:ascii="宋体" w:hAnsi="宋体" w:cs="宋体"/>
          <w:szCs w:val="21"/>
        </w:rPr>
        <w:t>长沙市劳动东路二段48号黄兴车辆段综合楼9楼910室。</w:t>
      </w:r>
    </w:p>
    <w:p>
      <w:pPr>
        <w:spacing w:line="360" w:lineRule="auto"/>
        <w:ind w:firstLine="420" w:firstLineChars="200"/>
        <w:rPr>
          <w:rFonts w:ascii="宋体" w:hAnsi="宋体" w:cs="宋体"/>
          <w:szCs w:val="21"/>
        </w:rPr>
      </w:pPr>
      <w:r>
        <w:rPr>
          <w:rFonts w:hint="eastAsia" w:ascii="宋体" w:hAnsi="宋体" w:cs="宋体"/>
          <w:szCs w:val="21"/>
        </w:rPr>
        <w:t>2.逾期送达的或者未送达指定地点的或者未密封的响应文件，采购单位或采购代理机构将予以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spacing w:line="360" w:lineRule="auto"/>
        <w:ind w:firstLine="422" w:firstLineChars="200"/>
        <w:rPr>
          <w:rFonts w:ascii="宋体" w:hAnsi="宋体" w:cs="宋体"/>
          <w:b/>
          <w:szCs w:val="21"/>
        </w:rPr>
      </w:pPr>
      <w:r>
        <w:rPr>
          <w:rFonts w:hint="eastAsia" w:ascii="宋体" w:hAnsi="宋体" w:cs="宋体"/>
          <w:b/>
          <w:iCs/>
          <w:szCs w:val="21"/>
        </w:rPr>
        <w:t>七、采购单位及其委托的采购代理机构的名称、地址和联系方法</w:t>
      </w:r>
    </w:p>
    <w:p>
      <w:pPr>
        <w:adjustRightInd w:val="0"/>
        <w:snapToGrid w:val="0"/>
        <w:spacing w:line="360" w:lineRule="auto"/>
        <w:ind w:firstLine="413" w:firstLineChars="196"/>
        <w:rPr>
          <w:rFonts w:ascii="宋体" w:hAnsi="宋体" w:cs="宋体"/>
          <w:szCs w:val="21"/>
        </w:rPr>
      </w:pPr>
      <w:r>
        <w:rPr>
          <w:rFonts w:hint="eastAsia" w:ascii="宋体" w:hAnsi="宋体" w:cs="宋体"/>
          <w:b/>
          <w:bCs/>
          <w:szCs w:val="21"/>
        </w:rPr>
        <w:t>采购单位：</w:t>
      </w:r>
      <w:r>
        <w:rPr>
          <w:rFonts w:hint="eastAsia" w:ascii="宋体" w:hAnsi="宋体" w:cs="宋体"/>
          <w:szCs w:val="21"/>
        </w:rPr>
        <w:t>长沙市轨道交通运营有限公司</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联系人：奉工</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电  话：</w:t>
      </w:r>
      <w:r>
        <w:rPr>
          <w:rFonts w:hint="eastAsia" w:ascii="宋体" w:hAnsi="宋体" w:cs="宋体"/>
          <w:szCs w:val="21"/>
        </w:rPr>
        <w:t>0731-</w:t>
      </w:r>
      <w:r>
        <w:rPr>
          <w:rFonts w:hint="eastAsia" w:ascii="宋体" w:hAnsi="宋体" w:cs="宋体"/>
          <w:bCs/>
          <w:szCs w:val="21"/>
        </w:rPr>
        <w:t>86852373</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cs="宋体"/>
          <w:szCs w:val="21"/>
        </w:rPr>
        <w:t>0731-86852247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ascii="宋体" w:hAnsi="宋体" w:cs="宋体"/>
          <w:szCs w:val="21"/>
        </w:rPr>
      </w:pPr>
      <w:r>
        <w:rPr>
          <w:rFonts w:hint="eastAsia" w:ascii="宋体" w:hAnsi="宋体" w:cs="宋体"/>
          <w:b/>
          <w:bCs/>
          <w:szCs w:val="21"/>
        </w:rPr>
        <w:t>采购代理机构：</w:t>
      </w:r>
      <w:r>
        <w:rPr>
          <w:rFonts w:hint="eastAsia" w:ascii="宋体" w:hAnsi="宋体" w:cs="宋体"/>
          <w:bCs/>
          <w:iCs/>
          <w:color w:val="000000"/>
          <w:szCs w:val="21"/>
        </w:rPr>
        <w:t>五矿国际招标有限责任公司</w:t>
      </w:r>
    </w:p>
    <w:p>
      <w:pPr>
        <w:spacing w:line="360" w:lineRule="auto"/>
        <w:ind w:firstLine="420" w:firstLineChars="200"/>
        <w:rPr>
          <w:rFonts w:ascii="宋体" w:hAnsi="宋体" w:cs="宋体"/>
          <w:szCs w:val="21"/>
        </w:rPr>
      </w:pPr>
      <w:r>
        <w:rPr>
          <w:rFonts w:hint="eastAsia" w:ascii="宋体" w:hAnsi="宋体" w:cs="宋体"/>
          <w:szCs w:val="21"/>
        </w:rPr>
        <w:t>联系电话：0</w:t>
      </w:r>
      <w:r>
        <w:rPr>
          <w:rFonts w:ascii="宋体" w:hAnsi="宋体" w:cs="宋体"/>
          <w:szCs w:val="21"/>
        </w:rPr>
        <w:t>731</w:t>
      </w:r>
      <w:r>
        <w:rPr>
          <w:rFonts w:hint="eastAsia" w:ascii="宋体" w:hAnsi="宋体" w:cs="宋体"/>
          <w:szCs w:val="21"/>
        </w:rPr>
        <w:t>-</w:t>
      </w:r>
      <w:r>
        <w:rPr>
          <w:rFonts w:ascii="宋体" w:hAnsi="宋体" w:cs="宋体"/>
          <w:szCs w:val="21"/>
        </w:rPr>
        <w:t>82990478</w:t>
      </w:r>
    </w:p>
    <w:p>
      <w:pPr>
        <w:spacing w:line="360" w:lineRule="auto"/>
        <w:ind w:firstLine="420" w:firstLineChars="200"/>
        <w:rPr>
          <w:rFonts w:ascii="宋体" w:hAnsi="宋体" w:cs="宋体"/>
          <w:szCs w:val="21"/>
        </w:rPr>
      </w:pPr>
      <w:r>
        <w:rPr>
          <w:rFonts w:hint="eastAsia" w:ascii="宋体" w:hAnsi="宋体" w:cs="宋体"/>
          <w:szCs w:val="21"/>
        </w:rPr>
        <w:t>联系人：熊女士</w:t>
      </w:r>
    </w:p>
    <w:p>
      <w:pPr>
        <w:spacing w:line="360" w:lineRule="auto"/>
        <w:ind w:firstLine="420" w:firstLineChars="200"/>
        <w:rPr>
          <w:rFonts w:ascii="宋体" w:hAnsi="宋体" w:cs="宋体"/>
          <w:szCs w:val="21"/>
        </w:rPr>
      </w:pPr>
      <w:r>
        <w:rPr>
          <w:rFonts w:hint="eastAsia" w:ascii="宋体" w:hAnsi="宋体" w:cs="宋体"/>
          <w:szCs w:val="21"/>
        </w:rPr>
        <w:t>地址：长沙市天心区劳动西路2</w:t>
      </w:r>
      <w:r>
        <w:rPr>
          <w:rFonts w:ascii="宋体" w:hAnsi="宋体" w:cs="宋体"/>
          <w:szCs w:val="21"/>
        </w:rPr>
        <w:t>90号湖南有色</w:t>
      </w:r>
      <w:r>
        <w:rPr>
          <w:rFonts w:hint="eastAsia" w:ascii="宋体" w:hAnsi="宋体" w:cs="宋体"/>
          <w:szCs w:val="21"/>
        </w:rPr>
        <w:t>B栋4</w:t>
      </w:r>
      <w:r>
        <w:rPr>
          <w:rFonts w:ascii="宋体" w:hAnsi="宋体" w:cs="宋体"/>
          <w:szCs w:val="21"/>
        </w:rPr>
        <w:t>06室</w:t>
      </w:r>
    </w:p>
    <w:p>
      <w:pPr>
        <w:pStyle w:val="14"/>
        <w:jc w:val="right"/>
        <w:rPr>
          <w:rFonts w:hint="eastAsia" w:ascii="宋体" w:hAnsi="宋体" w:cs="宋体"/>
          <w:szCs w:val="21"/>
        </w:rPr>
      </w:pPr>
    </w:p>
    <w:p>
      <w:pPr>
        <w:jc w:val="right"/>
        <w:rPr>
          <w:rFonts w:hint="eastAsia" w:ascii="宋体" w:hAnsi="宋体" w:cs="宋体"/>
          <w:szCs w:val="21"/>
        </w:rPr>
      </w:pPr>
      <w:r>
        <w:rPr>
          <w:rFonts w:hint="eastAsia" w:ascii="宋体" w:hAnsi="宋体" w:cs="宋体"/>
          <w:szCs w:val="21"/>
        </w:rPr>
        <w:t>20</w:t>
      </w:r>
      <w:r>
        <w:rPr>
          <w:rFonts w:ascii="宋体" w:hAnsi="宋体" w:cs="宋体"/>
          <w:szCs w:val="21"/>
        </w:rPr>
        <w:t>21</w:t>
      </w:r>
      <w:r>
        <w:rPr>
          <w:rFonts w:hint="eastAsia" w:ascii="宋体" w:hAnsi="宋体" w:cs="宋体"/>
          <w:szCs w:val="21"/>
        </w:rPr>
        <w:t>年</w:t>
      </w:r>
      <w:r>
        <w:rPr>
          <w:rFonts w:ascii="宋体" w:hAnsi="宋体" w:cs="宋体"/>
          <w:szCs w:val="21"/>
        </w:rPr>
        <w:t>0</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w:t>
      </w: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ascii="宋体" w:hAnsi="宋体" w:cs="宋体"/>
        </w:rPr>
      </w:pPr>
      <w:r>
        <w:rPr>
          <w:rFonts w:hint="eastAsia" w:ascii="宋体" w:hAnsi="宋体" w:cs="宋体"/>
        </w:rPr>
        <w:t>附表：</w:t>
      </w:r>
    </w:p>
    <w:p>
      <w:pPr>
        <w:adjustRightInd w:val="0"/>
        <w:snapToGrid w:val="0"/>
        <w:spacing w:line="400" w:lineRule="atLeast"/>
        <w:jc w:val="center"/>
        <w:rPr>
          <w:rFonts w:ascii="宋体" w:hAnsi="宋体" w:cs="宋体"/>
          <w:bCs/>
          <w:szCs w:val="21"/>
        </w:rPr>
      </w:pPr>
      <w:bookmarkStart w:id="5" w:name="_Hlk70062579"/>
      <w:r>
        <w:rPr>
          <w:rFonts w:hint="eastAsia" w:ascii="宋体" w:hAnsi="宋体" w:cs="宋体"/>
          <w:bCs/>
          <w:szCs w:val="21"/>
        </w:rPr>
        <w:t>关键岗位人员最低配备要求表</w:t>
      </w:r>
    </w:p>
    <w:tbl>
      <w:tblPr>
        <w:tblStyle w:val="47"/>
        <w:tblpPr w:leftFromText="180" w:rightFromText="180" w:vertAnchor="text" w:horzAnchor="page" w:tblpX="1255" w:tblpY="413"/>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0"/>
        <w:gridCol w:w="71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2490" w:type="dxa"/>
            <w:vAlign w:val="center"/>
          </w:tcPr>
          <w:p>
            <w:pPr>
              <w:adjustRightInd w:val="0"/>
              <w:snapToGrid w:val="0"/>
              <w:jc w:val="center"/>
              <w:rPr>
                <w:rFonts w:ascii="宋体" w:hAnsi="宋体"/>
                <w:szCs w:val="21"/>
              </w:rPr>
            </w:pPr>
            <w:r>
              <w:rPr>
                <w:rFonts w:hint="eastAsia" w:ascii="宋体" w:hAnsi="宋体"/>
                <w:szCs w:val="21"/>
              </w:rPr>
              <w:t>关键岗位人员</w:t>
            </w:r>
          </w:p>
          <w:p>
            <w:pPr>
              <w:adjustRightInd w:val="0"/>
              <w:snapToGrid w:val="0"/>
              <w:jc w:val="center"/>
              <w:rPr>
                <w:rFonts w:ascii="宋体" w:hAnsi="宋体"/>
                <w:szCs w:val="21"/>
              </w:rPr>
            </w:pPr>
            <w:r>
              <w:rPr>
                <w:rFonts w:hint="eastAsia" w:ascii="宋体" w:hAnsi="宋体"/>
                <w:szCs w:val="21"/>
              </w:rPr>
              <w:t>最低配备要求</w:t>
            </w:r>
          </w:p>
        </w:tc>
        <w:tc>
          <w:tcPr>
            <w:tcW w:w="7110" w:type="dxa"/>
            <w:vAlign w:val="center"/>
          </w:tcPr>
          <w:p>
            <w:pPr>
              <w:adjustRightInd w:val="0"/>
              <w:snapToGrid w:val="0"/>
              <w:jc w:val="center"/>
              <w:rPr>
                <w:rFonts w:ascii="宋体" w:hAnsi="宋体"/>
                <w:szCs w:val="21"/>
              </w:rPr>
            </w:pPr>
            <w:r>
              <w:rPr>
                <w:rFonts w:hint="eastAsia" w:ascii="宋体" w:hAnsi="宋体"/>
                <w:szCs w:val="21"/>
              </w:rPr>
              <w:t>其他要求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2490" w:type="dxa"/>
            <w:vAlign w:val="center"/>
          </w:tcPr>
          <w:p>
            <w:pPr>
              <w:pStyle w:val="42"/>
              <w:spacing w:before="0" w:beforeAutospacing="0" w:after="0" w:afterAutospacing="0" w:line="400" w:lineRule="exact"/>
              <w:ind w:firstLine="420" w:firstLineChars="200"/>
              <w:rPr>
                <w:sz w:val="21"/>
                <w:szCs w:val="21"/>
              </w:rPr>
            </w:pPr>
            <w:r>
              <w:rPr>
                <w:rFonts w:hint="eastAsia"/>
                <w:sz w:val="21"/>
                <w:szCs w:val="21"/>
              </w:rPr>
              <w:t>现场施工部关键岗位人员按湘建建【2020】208号文最低配备如下：</w:t>
            </w:r>
          </w:p>
          <w:p>
            <w:pPr>
              <w:pStyle w:val="42"/>
              <w:spacing w:before="0" w:beforeAutospacing="0" w:after="0" w:afterAutospacing="0" w:line="400" w:lineRule="exact"/>
              <w:ind w:firstLine="420" w:firstLineChars="200"/>
              <w:rPr>
                <w:szCs w:val="21"/>
              </w:rPr>
            </w:pPr>
            <w:r>
              <w:rPr>
                <w:rFonts w:hint="eastAsia"/>
                <w:sz w:val="21"/>
                <w:szCs w:val="21"/>
              </w:rPr>
              <w:t>项目负责人1人、技术负责人1、施工员1人、专职安全员1人</w:t>
            </w:r>
          </w:p>
        </w:tc>
        <w:tc>
          <w:tcPr>
            <w:tcW w:w="7110" w:type="dxa"/>
            <w:vAlign w:val="center"/>
          </w:tcPr>
          <w:p>
            <w:pPr>
              <w:widowControl/>
              <w:spacing w:before="100" w:after="100" w:line="375" w:lineRule="atLeast"/>
              <w:rPr>
                <w:rFonts w:hint="eastAsia" w:ascii="宋体" w:hAnsi="宋体" w:eastAsia="宋体" w:cs="宋体"/>
                <w:bCs/>
                <w:iCs/>
                <w:szCs w:val="22"/>
                <w:lang w:eastAsia="zh-CN"/>
              </w:rPr>
            </w:pPr>
            <w:r>
              <w:rPr>
                <w:rFonts w:hint="eastAsia" w:ascii="宋体" w:hAnsi="宋体" w:cs="宋体"/>
                <w:bCs/>
                <w:iCs/>
                <w:szCs w:val="22"/>
              </w:rPr>
              <w:t>1.拟任项目负责人具备机电工程或建筑工程专业贰级及以上注册建造师执业资格和项目负责人安全生产考核合格证</w:t>
            </w:r>
            <w:r>
              <w:rPr>
                <w:rFonts w:hint="eastAsia" w:ascii="宋体" w:hAnsi="宋体" w:cs="宋体"/>
                <w:bCs/>
                <w:iCs/>
                <w:szCs w:val="22"/>
                <w:lang w:eastAsia="zh-CN"/>
              </w:rPr>
              <w:t>。</w:t>
            </w:r>
          </w:p>
          <w:p>
            <w:pPr>
              <w:widowControl/>
              <w:spacing w:before="100" w:after="100" w:line="375" w:lineRule="atLeast"/>
              <w:rPr>
                <w:rFonts w:hint="eastAsia" w:ascii="宋体" w:hAnsi="宋体" w:eastAsia="宋体" w:cs="宋体"/>
                <w:bCs/>
                <w:iCs/>
                <w:szCs w:val="22"/>
                <w:lang w:eastAsia="zh-CN"/>
              </w:rPr>
            </w:pPr>
            <w:r>
              <w:rPr>
                <w:rFonts w:hint="eastAsia" w:ascii="宋体" w:hAnsi="宋体" w:cs="宋体"/>
                <w:bCs/>
                <w:iCs/>
                <w:szCs w:val="22"/>
              </w:rPr>
              <w:t>2.拟任技术负责人具备机电工程相关专业助理工程师及以上职称</w:t>
            </w:r>
            <w:r>
              <w:rPr>
                <w:rFonts w:hint="eastAsia" w:ascii="宋体" w:hAnsi="宋体" w:cs="宋体"/>
                <w:bCs/>
                <w:iCs/>
                <w:szCs w:val="22"/>
                <w:lang w:eastAsia="zh-CN"/>
              </w:rPr>
              <w:t>。</w:t>
            </w:r>
          </w:p>
          <w:p>
            <w:pPr>
              <w:widowControl/>
              <w:spacing w:before="100" w:after="100" w:line="375" w:lineRule="atLeast"/>
              <w:rPr>
                <w:rFonts w:hint="eastAsia" w:ascii="宋体" w:hAnsi="宋体" w:eastAsia="宋体" w:cs="宋体"/>
                <w:bCs/>
                <w:iCs/>
                <w:szCs w:val="22"/>
                <w:lang w:eastAsia="zh-CN"/>
              </w:rPr>
            </w:pPr>
            <w:r>
              <w:rPr>
                <w:rFonts w:hint="eastAsia" w:ascii="宋体" w:hAnsi="宋体" w:cs="宋体"/>
                <w:bCs/>
                <w:iCs/>
                <w:szCs w:val="22"/>
              </w:rPr>
              <w:t>3.拟任施工员具备施工员岗位资格证书</w:t>
            </w:r>
            <w:r>
              <w:rPr>
                <w:rFonts w:hint="eastAsia" w:ascii="宋体" w:hAnsi="宋体" w:cs="宋体"/>
                <w:bCs/>
                <w:iCs/>
                <w:szCs w:val="22"/>
                <w:lang w:eastAsia="zh-CN"/>
              </w:rPr>
              <w:t>。</w:t>
            </w:r>
          </w:p>
          <w:p>
            <w:pPr>
              <w:widowControl/>
              <w:spacing w:before="100" w:after="100" w:line="375" w:lineRule="atLeast"/>
              <w:rPr>
                <w:rFonts w:ascii="宋体" w:hAnsi="宋体" w:cs="宋体"/>
                <w:bCs/>
                <w:iCs/>
                <w:szCs w:val="22"/>
              </w:rPr>
            </w:pPr>
            <w:r>
              <w:rPr>
                <w:rFonts w:hint="eastAsia" w:ascii="宋体" w:hAnsi="宋体" w:cs="宋体"/>
                <w:bCs/>
                <w:iCs/>
                <w:szCs w:val="22"/>
              </w:rPr>
              <w:t>4.拟任</w:t>
            </w:r>
            <w:r>
              <w:rPr>
                <w:rFonts w:hint="eastAsia" w:ascii="宋体" w:hAnsi="宋体" w:cs="宋体"/>
                <w:kern w:val="0"/>
                <w:szCs w:val="21"/>
              </w:rPr>
              <w:t>专职</w:t>
            </w:r>
            <w:r>
              <w:rPr>
                <w:rFonts w:hint="eastAsia" w:ascii="宋体" w:hAnsi="宋体" w:cs="宋体"/>
                <w:bCs/>
                <w:iCs/>
                <w:szCs w:val="22"/>
              </w:rPr>
              <w:t>安全员具备</w:t>
            </w:r>
            <w:r>
              <w:rPr>
                <w:rFonts w:hint="eastAsia"/>
                <w:sz w:val="21"/>
                <w:szCs w:val="21"/>
                <w:lang w:val="en-US" w:eastAsia="zh-CN"/>
              </w:rPr>
              <w:t>专职安全生产管理人员安全生产考核合格证</w:t>
            </w:r>
            <w:r>
              <w:rPr>
                <w:rFonts w:hint="eastAsia" w:ascii="宋体" w:hAnsi="宋体" w:cs="宋体"/>
                <w:bCs/>
                <w:iCs/>
                <w:szCs w:val="22"/>
              </w:rPr>
              <w:t>。</w:t>
            </w:r>
          </w:p>
          <w:p>
            <w:pPr>
              <w:spacing w:before="240" w:beforeLines="100"/>
              <w:ind w:right="101" w:rightChars="48"/>
              <w:jc w:val="left"/>
              <w:rPr>
                <w:rFonts w:ascii="宋体" w:hAnsi="宋体"/>
                <w:szCs w:val="21"/>
              </w:rPr>
            </w:pPr>
            <w:r>
              <w:rPr>
                <w:rFonts w:hint="eastAsia" w:ascii="宋体" w:hAnsi="宋体"/>
                <w:szCs w:val="21"/>
              </w:rPr>
              <w:t>注：岗位资格证书注明了单位名称的，应与本人执业单位一致</w:t>
            </w:r>
            <w:r>
              <w:rPr>
                <w:rFonts w:ascii="宋体" w:hAnsi="宋体"/>
                <w:szCs w:val="21"/>
              </w:rPr>
              <w:t>。</w:t>
            </w:r>
          </w:p>
        </w:tc>
      </w:tr>
    </w:tbl>
    <w:p>
      <w:pPr>
        <w:adjustRightInd w:val="0"/>
        <w:snapToGrid w:val="0"/>
        <w:spacing w:line="360" w:lineRule="auto"/>
        <w:rPr>
          <w:rFonts w:ascii="宋体" w:hAnsi="宋体" w:cs="宋体"/>
          <w:bCs/>
          <w:szCs w:val="21"/>
        </w:rPr>
      </w:pPr>
    </w:p>
    <w:p>
      <w:pPr>
        <w:adjustRightInd w:val="0"/>
        <w:snapToGrid w:val="0"/>
        <w:spacing w:line="360" w:lineRule="auto"/>
        <w:rPr>
          <w:rFonts w:ascii="宋体" w:hAnsi="宋体" w:cs="宋体"/>
          <w:bCs/>
          <w:szCs w:val="21"/>
        </w:rPr>
      </w:pPr>
    </w:p>
    <w:p>
      <w:pPr>
        <w:pStyle w:val="2"/>
        <w:spacing w:after="0" w:line="240" w:lineRule="auto"/>
        <w:ind w:firstLine="200" w:firstLineChars="0"/>
        <w:rPr>
          <w:rFonts w:ascii="宋体" w:hAnsi="宋体"/>
        </w:rPr>
      </w:pPr>
      <w:r>
        <w:rPr>
          <w:rFonts w:hint="eastAsia" w:ascii="Calibri" w:hAnsi="宋体" w:cs="宋体"/>
          <w:bCs/>
        </w:rPr>
        <w:t>注：</w:t>
      </w:r>
      <w:r>
        <w:rPr>
          <w:rFonts w:ascii="Calibri" w:hAnsi="宋体" w:cs="宋体"/>
          <w:kern w:val="0"/>
        </w:rPr>
        <w:t>在项目实施过程中，</w:t>
      </w:r>
      <w:r>
        <w:rPr>
          <w:rFonts w:hint="eastAsia" w:ascii="宋体" w:hAnsi="宋体" w:cs="宋体"/>
          <w:kern w:val="0"/>
        </w:rPr>
        <w:t>施工项目部</w:t>
      </w:r>
      <w:r>
        <w:rPr>
          <w:rFonts w:ascii="Calibri" w:hAnsi="宋体" w:cs="宋体"/>
          <w:kern w:val="0"/>
        </w:rPr>
        <w:t>关键岗位人员配备应按</w:t>
      </w:r>
      <w:r>
        <w:rPr>
          <w:rFonts w:hint="eastAsia" w:ascii="Calibri" w:hAnsi="宋体" w:cs="宋体"/>
          <w:bCs/>
          <w:kern w:val="0"/>
        </w:rPr>
        <w:t>《湖南省建设工程施工项目部和现场监理部关键岗位人员配</w:t>
      </w:r>
      <w:r>
        <w:rPr>
          <w:rFonts w:hint="eastAsia" w:ascii="宋体" w:hAnsi="宋体" w:cs="宋体"/>
          <w:bCs/>
          <w:kern w:val="0"/>
        </w:rPr>
        <w:t>备管理办法》（</w:t>
      </w:r>
      <w:r>
        <w:rPr>
          <w:rFonts w:hint="eastAsia" w:ascii="宋体" w:hAnsi="宋体" w:cs="宋体"/>
          <w:szCs w:val="21"/>
        </w:rPr>
        <w:t>湘建建〔2020〕208号</w:t>
      </w:r>
      <w:r>
        <w:rPr>
          <w:rFonts w:hint="eastAsia" w:ascii="宋体" w:hAnsi="宋体" w:cs="宋体"/>
          <w:bCs/>
          <w:kern w:val="0"/>
        </w:rPr>
        <w:t>）</w:t>
      </w:r>
      <w:r>
        <w:rPr>
          <w:rFonts w:ascii="宋体" w:hAnsi="宋体" w:cs="宋体"/>
          <w:kern w:val="0"/>
        </w:rPr>
        <w:t>的规定</w:t>
      </w:r>
      <w:r>
        <w:rPr>
          <w:rFonts w:hint="eastAsia" w:ascii="宋体" w:hAnsi="宋体" w:cs="宋体"/>
          <w:kern w:val="0"/>
        </w:rPr>
        <w:t>执行。</w:t>
      </w:r>
    </w:p>
    <w:bookmarkEnd w:id="5"/>
    <w:p>
      <w:pPr>
        <w:pStyle w:val="4"/>
        <w:keepNext w:val="0"/>
        <w:spacing w:after="240"/>
        <w:rPr>
          <w:rFonts w:ascii="宋体" w:hAnsi="宋体" w:cs="宋体"/>
          <w:bCs w:val="0"/>
          <w:sz w:val="32"/>
          <w:szCs w:val="32"/>
        </w:rPr>
      </w:pPr>
      <w:r>
        <w:rPr>
          <w:rFonts w:hint="eastAsia" w:ascii="宋体" w:hAnsi="宋体" w:cs="宋体"/>
          <w:b w:val="0"/>
          <w:bCs w:val="0"/>
          <w:sz w:val="32"/>
          <w:szCs w:val="32"/>
        </w:rPr>
        <w:br w:type="page"/>
      </w:r>
      <w:bookmarkStart w:id="6" w:name="_Toc26282"/>
      <w:bookmarkStart w:id="7" w:name="_Toc14891065"/>
      <w:bookmarkStart w:id="8" w:name="_Toc6753"/>
      <w:bookmarkStart w:id="9" w:name="_Toc5145"/>
      <w:bookmarkStart w:id="10" w:name="_Toc8914"/>
      <w:r>
        <w:rPr>
          <w:rFonts w:hint="eastAsia" w:ascii="宋体" w:hAnsi="宋体" w:cs="宋体"/>
          <w:bCs w:val="0"/>
          <w:sz w:val="32"/>
          <w:szCs w:val="32"/>
        </w:rPr>
        <w:t>第二章  谈判须知</w:t>
      </w:r>
      <w:bookmarkEnd w:id="6"/>
      <w:bookmarkEnd w:id="7"/>
      <w:bookmarkEnd w:id="8"/>
      <w:bookmarkEnd w:id="9"/>
      <w:bookmarkEnd w:id="10"/>
    </w:p>
    <w:p>
      <w:pPr>
        <w:pStyle w:val="5"/>
        <w:keepNext w:val="0"/>
        <w:keepLines w:val="0"/>
        <w:jc w:val="center"/>
        <w:rPr>
          <w:rFonts w:ascii="宋体" w:hAnsi="宋体" w:cs="宋体"/>
          <w:sz w:val="21"/>
          <w:szCs w:val="21"/>
        </w:rPr>
      </w:pPr>
      <w:bookmarkStart w:id="11" w:name="_Toc9591"/>
      <w:bookmarkStart w:id="12" w:name="_Toc6617"/>
      <w:bookmarkStart w:id="13" w:name="_Toc14891066"/>
      <w:bookmarkStart w:id="14" w:name="_Toc17682"/>
      <w:bookmarkStart w:id="15" w:name="_Toc5430"/>
      <w:r>
        <w:rPr>
          <w:rFonts w:hint="eastAsia" w:ascii="宋体" w:hAnsi="宋体" w:cs="宋体"/>
          <w:sz w:val="32"/>
        </w:rPr>
        <w:t>谈判须知前附表</w:t>
      </w:r>
      <w:bookmarkEnd w:id="11"/>
      <w:bookmarkEnd w:id="12"/>
      <w:bookmarkEnd w:id="13"/>
      <w:bookmarkEnd w:id="14"/>
      <w:bookmarkEnd w:id="15"/>
    </w:p>
    <w:tbl>
      <w:tblPr>
        <w:tblStyle w:val="47"/>
        <w:tblW w:w="99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2"/>
        <w:gridCol w:w="82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742" w:type="dxa"/>
            <w:vAlign w:val="center"/>
          </w:tcPr>
          <w:p>
            <w:pPr>
              <w:adjustRightInd w:val="0"/>
              <w:snapToGrid w:val="0"/>
              <w:spacing w:before="120" w:beforeLines="50" w:line="360" w:lineRule="auto"/>
              <w:jc w:val="center"/>
              <w:rPr>
                <w:rFonts w:ascii="宋体" w:hAnsi="宋体" w:cs="宋体"/>
                <w:b/>
                <w:szCs w:val="21"/>
              </w:rPr>
            </w:pPr>
            <w:r>
              <w:rPr>
                <w:rFonts w:hint="eastAsia" w:ascii="宋体" w:hAnsi="宋体" w:cs="宋体"/>
                <w:b/>
                <w:szCs w:val="21"/>
              </w:rPr>
              <w:t>名  称</w:t>
            </w:r>
          </w:p>
        </w:tc>
        <w:tc>
          <w:tcPr>
            <w:tcW w:w="8250" w:type="dxa"/>
            <w:vAlign w:val="center"/>
          </w:tcPr>
          <w:p>
            <w:pPr>
              <w:adjustRightInd w:val="0"/>
              <w:snapToGrid w:val="0"/>
              <w:spacing w:before="120" w:beforeLines="50"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采购项目</w:t>
            </w:r>
          </w:p>
        </w:tc>
        <w:tc>
          <w:tcPr>
            <w:tcW w:w="8250" w:type="dxa"/>
            <w:vAlign w:val="center"/>
          </w:tcPr>
          <w:p>
            <w:pPr>
              <w:adjustRightInd w:val="0"/>
              <w:snapToGrid w:val="0"/>
              <w:spacing w:before="120" w:beforeLines="50" w:after="120" w:afterLines="50" w:line="300" w:lineRule="auto"/>
              <w:jc w:val="left"/>
              <w:rPr>
                <w:rFonts w:hint="eastAsia" w:ascii="宋体" w:hAnsi="宋体" w:eastAsia="宋体" w:cs="宋体"/>
                <w:szCs w:val="21"/>
                <w:lang w:eastAsia="zh-CN"/>
              </w:rPr>
            </w:pPr>
            <w:r>
              <w:rPr>
                <w:rFonts w:hint="eastAsia" w:ascii="宋体" w:hAnsi="宋体" w:cs="宋体"/>
                <w:iCs/>
                <w:szCs w:val="21"/>
              </w:rPr>
              <w:t>长沙市轨道交通2号线一期工程运营期正线0.4KV开关柜冷水机组抽屉开关改造工程项目</w:t>
            </w:r>
            <w:r>
              <w:rPr>
                <w:rFonts w:hint="eastAsia" w:ascii="宋体" w:hAnsi="宋体" w:cs="宋体"/>
                <w:iCs/>
                <w:szCs w:val="21"/>
                <w:lang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采购单位</w:t>
            </w:r>
          </w:p>
        </w:tc>
        <w:tc>
          <w:tcPr>
            <w:tcW w:w="8250" w:type="dxa"/>
            <w:vAlign w:val="center"/>
          </w:tcPr>
          <w:p>
            <w:pPr>
              <w:adjustRightInd w:val="0"/>
              <w:snapToGrid w:val="0"/>
              <w:spacing w:before="120" w:beforeLines="50" w:after="120" w:afterLines="50" w:line="300" w:lineRule="auto"/>
              <w:jc w:val="left"/>
              <w:rPr>
                <w:rFonts w:ascii="宋体" w:hAnsi="宋体" w:cs="宋体"/>
                <w:iCs/>
                <w:szCs w:val="21"/>
              </w:rPr>
            </w:pPr>
            <w:r>
              <w:rPr>
                <w:rFonts w:hint="eastAsia" w:ascii="宋体" w:hAnsi="宋体" w:cs="宋体"/>
                <w:szCs w:val="21"/>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采购代理机构</w:t>
            </w:r>
          </w:p>
        </w:tc>
        <w:tc>
          <w:tcPr>
            <w:tcW w:w="8250" w:type="dxa"/>
            <w:vAlign w:val="center"/>
          </w:tcPr>
          <w:p>
            <w:pPr>
              <w:adjustRightInd w:val="0"/>
              <w:snapToGrid w:val="0"/>
              <w:spacing w:before="120" w:beforeLines="50" w:after="120" w:afterLines="50" w:line="300" w:lineRule="auto"/>
              <w:jc w:val="left"/>
              <w:rPr>
                <w:rFonts w:ascii="宋体" w:hAnsi="宋体" w:cs="宋体"/>
                <w:iCs/>
                <w:szCs w:val="21"/>
              </w:rPr>
            </w:pPr>
            <w:r>
              <w:rPr>
                <w:rFonts w:hint="eastAsia" w:ascii="宋体" w:hAnsi="宋体" w:cs="宋体"/>
                <w:iCs/>
                <w:szCs w:val="21"/>
              </w:rPr>
              <w:t>五矿国际招标有限责任公司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最高限价</w:t>
            </w:r>
          </w:p>
        </w:tc>
        <w:tc>
          <w:tcPr>
            <w:tcW w:w="8250" w:type="dxa"/>
            <w:vAlign w:val="center"/>
          </w:tcPr>
          <w:p>
            <w:pPr>
              <w:adjustRightInd w:val="0"/>
              <w:snapToGrid w:val="0"/>
              <w:spacing w:before="120" w:beforeLines="50" w:after="120" w:afterLines="50" w:line="300" w:lineRule="auto"/>
              <w:jc w:val="left"/>
              <w:rPr>
                <w:rFonts w:ascii="宋体" w:hAnsi="宋体" w:cs="宋体"/>
                <w:iCs/>
                <w:szCs w:val="21"/>
              </w:rPr>
            </w:pPr>
            <w:r>
              <w:rPr>
                <w:rFonts w:ascii="宋体" w:hAnsi="宋体" w:cs="宋体"/>
                <w:sz w:val="24"/>
              </w:rPr>
              <w:t>1</w:t>
            </w:r>
            <w:r>
              <w:rPr>
                <w:rFonts w:hint="eastAsia" w:ascii="宋体" w:hAnsi="宋体" w:cs="宋体"/>
                <w:szCs w:val="21"/>
              </w:rPr>
              <w:t>95720.64元，不超过最高限价的谈判报价为有限报价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评审办法</w:t>
            </w:r>
          </w:p>
        </w:tc>
        <w:tc>
          <w:tcPr>
            <w:tcW w:w="8250" w:type="dxa"/>
            <w:vAlign w:val="center"/>
          </w:tcPr>
          <w:p>
            <w:pPr>
              <w:adjustRightInd w:val="0"/>
              <w:snapToGrid w:val="0"/>
              <w:spacing w:before="120" w:beforeLines="50" w:after="120" w:afterLines="50" w:line="300" w:lineRule="auto"/>
              <w:jc w:val="left"/>
              <w:rPr>
                <w:rFonts w:ascii="宋体" w:hAnsi="宋体" w:cs="宋体"/>
                <w:iCs/>
                <w:szCs w:val="21"/>
              </w:rPr>
            </w:pPr>
            <w:r>
              <w:rPr>
                <w:rFonts w:hint="eastAsia" w:ascii="宋体" w:hAnsi="宋体" w:cs="宋体"/>
                <w:b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62"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资格要求</w:t>
            </w:r>
          </w:p>
        </w:tc>
        <w:tc>
          <w:tcPr>
            <w:tcW w:w="8250" w:type="dxa"/>
            <w:vAlign w:val="center"/>
          </w:tcPr>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1.谈判单位须为具有独立法人资格、自主经营、独立核算的公司</w:t>
            </w:r>
            <w:r>
              <w:rPr>
                <w:rFonts w:hint="eastAsia" w:ascii="宋体" w:hAnsi="宋体" w:cs="宋体"/>
                <w:szCs w:val="21"/>
                <w:lang w:eastAsia="zh-CN"/>
              </w:rPr>
              <w:t>，</w:t>
            </w:r>
            <w:r>
              <w:rPr>
                <w:rFonts w:hint="eastAsia" w:ascii="宋体" w:hAnsi="宋体" w:cs="宋体"/>
                <w:szCs w:val="21"/>
              </w:rPr>
              <w:t>须提供加盖谈判单位公章的营业执照复印件</w:t>
            </w:r>
            <w:r>
              <w:rPr>
                <w:rFonts w:hint="eastAsia" w:ascii="宋体" w:hAnsi="宋体" w:cs="宋体"/>
                <w:szCs w:val="21"/>
                <w:lang w:eastAsia="zh-CN"/>
              </w:rPr>
              <w:t>。</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2.谈判单位须具有机电工程施工总承包三级（含）以上或建筑机电安装工程专业承包三级（含）以上资质，须具有有效的施工企业《安全生产许可证》</w:t>
            </w:r>
            <w:r>
              <w:rPr>
                <w:rFonts w:hint="eastAsia" w:ascii="宋体" w:hAnsi="宋体" w:cs="宋体"/>
                <w:szCs w:val="21"/>
                <w:lang w:eastAsia="zh-CN"/>
              </w:rPr>
              <w:t>。</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3.本项目现场施工部关键岗位人员最低配备按《湖南省建设工程施工项目部和现场监理部关键岗位人员配备管理办法》湘建建〔2020〕208号文执行</w:t>
            </w:r>
            <w:r>
              <w:rPr>
                <w:rFonts w:hint="eastAsia" w:ascii="宋体" w:hAnsi="宋体" w:cs="宋体"/>
                <w:szCs w:val="21"/>
                <w:lang w:eastAsia="zh-CN"/>
              </w:rPr>
              <w:t>。</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3.1.拟任项目负责人具备机电工程或建筑工程专业贰级及以上注册建造师执业资格和项目负责人安全生产考核合格证</w:t>
            </w:r>
            <w:r>
              <w:rPr>
                <w:rFonts w:hint="eastAsia" w:ascii="宋体" w:hAnsi="宋体" w:cs="宋体"/>
                <w:szCs w:val="21"/>
                <w:lang w:eastAsia="zh-CN"/>
              </w:rPr>
              <w:t>。</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3.2.拟任技术负责人具备机电工程相关专业助理工程师及以上职称</w:t>
            </w:r>
            <w:r>
              <w:rPr>
                <w:rFonts w:hint="eastAsia" w:ascii="宋体" w:hAnsi="宋体" w:cs="宋体"/>
                <w:szCs w:val="21"/>
                <w:lang w:eastAsia="zh-CN"/>
              </w:rPr>
              <w:t>。</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3.3.拟任施工员具备施工员岗位资格证书</w:t>
            </w:r>
            <w:r>
              <w:rPr>
                <w:rFonts w:hint="eastAsia" w:ascii="宋体" w:hAnsi="宋体" w:cs="宋体"/>
                <w:szCs w:val="21"/>
                <w:lang w:eastAsia="zh-CN"/>
              </w:rPr>
              <w:t>。</w:t>
            </w:r>
          </w:p>
          <w:p>
            <w:pPr>
              <w:adjustRightInd w:val="0"/>
              <w:snapToGrid w:val="0"/>
              <w:spacing w:before="120" w:beforeLines="50" w:after="120" w:afterLines="50" w:line="300" w:lineRule="auto"/>
              <w:rPr>
                <w:rFonts w:ascii="宋体" w:hAnsi="宋体" w:cs="宋体"/>
                <w:szCs w:val="21"/>
              </w:rPr>
            </w:pPr>
            <w:r>
              <w:rPr>
                <w:rFonts w:hint="eastAsia" w:ascii="宋体" w:hAnsi="宋体" w:cs="宋体"/>
                <w:szCs w:val="21"/>
              </w:rPr>
              <w:t xml:space="preserve">3.4. </w:t>
            </w:r>
            <w:r>
              <w:rPr>
                <w:rFonts w:hint="eastAsia" w:ascii="宋体" w:hAnsi="宋体" w:cs="宋体"/>
                <w:szCs w:val="21"/>
                <w:lang w:val="en-US" w:eastAsia="zh-CN"/>
              </w:rPr>
              <w:t>拟任专职安全员具备专职安全生产管理人员安全生产考核合格证</w:t>
            </w:r>
            <w:r>
              <w:rPr>
                <w:rFonts w:hint="eastAsia" w:ascii="宋体" w:hAnsi="宋体" w:cs="宋体"/>
                <w:szCs w:val="21"/>
              </w:rPr>
              <w:t>。</w:t>
            </w:r>
          </w:p>
          <w:p>
            <w:pPr>
              <w:adjustRightInd w:val="0"/>
              <w:snapToGrid w:val="0"/>
              <w:spacing w:before="120" w:beforeLines="50" w:after="120" w:afterLines="50" w:line="300" w:lineRule="auto"/>
              <w:rPr>
                <w:rFonts w:ascii="宋体" w:hAnsi="宋体" w:cs="宋体"/>
                <w:szCs w:val="21"/>
              </w:rPr>
            </w:pPr>
            <w:r>
              <w:rPr>
                <w:rFonts w:hint="eastAsia" w:ascii="宋体" w:hAnsi="宋体" w:cs="宋体"/>
                <w:szCs w:val="21"/>
              </w:rPr>
              <w:t>注：岗位资格证书注明了单位名称的，应与本人执业单位一致。</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4.湖南省外企业须按照湘建建【2015】190号文件要求办理省外入湘企业基本情况登记（以“湖南省住房和城乡建设网”查询为准）或具有入湘施工登记证（处于有效期内）</w:t>
            </w:r>
            <w:r>
              <w:rPr>
                <w:rFonts w:hint="eastAsia" w:ascii="宋体" w:hAnsi="宋体" w:cs="宋体"/>
                <w:szCs w:val="21"/>
                <w:lang w:eastAsia="zh-CN"/>
              </w:rPr>
              <w:t>。</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5.本项目不接受联合体形式参与谈判</w:t>
            </w:r>
            <w:r>
              <w:rPr>
                <w:rFonts w:hint="eastAsia" w:ascii="宋体" w:hAnsi="宋体" w:cs="宋体"/>
                <w:szCs w:val="21"/>
                <w:lang w:eastAsia="zh-CN"/>
              </w:rPr>
              <w:t>。</w:t>
            </w:r>
          </w:p>
          <w:p>
            <w:pPr>
              <w:adjustRightInd w:val="0"/>
              <w:snapToGrid w:val="0"/>
              <w:spacing w:before="120" w:beforeLines="50" w:after="120" w:afterLines="50" w:line="300" w:lineRule="auto"/>
              <w:rPr>
                <w:rFonts w:ascii="宋体" w:hAnsi="宋体" w:cs="宋体"/>
                <w:szCs w:val="21"/>
              </w:rPr>
            </w:pPr>
            <w:r>
              <w:rPr>
                <w:rFonts w:hint="eastAsia" w:ascii="宋体" w:hAnsi="宋体" w:cs="宋体"/>
                <w:szCs w:val="21"/>
              </w:rPr>
              <w:t>6.被长沙市轨道交通集团函告禁止在一定期限内参与轨道公司项目投标的单位按函告内容执行。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8"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谈判答疑文件递交截止时间</w:t>
            </w:r>
          </w:p>
        </w:tc>
        <w:tc>
          <w:tcPr>
            <w:tcW w:w="8250" w:type="dxa"/>
            <w:vAlign w:val="center"/>
          </w:tcPr>
          <w:p>
            <w:pPr>
              <w:pStyle w:val="26"/>
              <w:adjustRightInd w:val="0"/>
              <w:snapToGrid w:val="0"/>
              <w:spacing w:before="120" w:beforeLines="50" w:after="120" w:afterLines="50" w:line="300" w:lineRule="auto"/>
              <w:rPr>
                <w:rFonts w:hAnsi="宋体" w:cs="宋体"/>
              </w:rPr>
            </w:pPr>
            <w:r>
              <w:rPr>
                <w:rFonts w:hint="eastAsia" w:hAnsi="宋体" w:cs="宋体"/>
              </w:rPr>
              <w:t>20</w:t>
            </w:r>
            <w:r>
              <w:rPr>
                <w:rFonts w:hAnsi="宋体" w:cs="宋体"/>
              </w:rPr>
              <w:t>21</w:t>
            </w:r>
            <w:r>
              <w:rPr>
                <w:rFonts w:hint="eastAsia" w:hAnsi="宋体" w:cs="宋体"/>
              </w:rPr>
              <w:t xml:space="preserve">年 </w:t>
            </w:r>
            <w:r>
              <w:rPr>
                <w:rFonts w:hint="eastAsia" w:hAnsi="宋体" w:cs="宋体"/>
                <w:lang w:val="en-US" w:eastAsia="zh-CN"/>
              </w:rPr>
              <w:t>07</w:t>
            </w:r>
            <w:r>
              <w:rPr>
                <w:rFonts w:hint="eastAsia" w:hAnsi="宋体" w:cs="宋体"/>
              </w:rPr>
              <w:t xml:space="preserve">月 </w:t>
            </w:r>
            <w:r>
              <w:rPr>
                <w:rFonts w:hint="eastAsia" w:hAnsi="宋体" w:cs="宋体"/>
                <w:lang w:val="en-US" w:eastAsia="zh-CN"/>
              </w:rPr>
              <w:t>02</w:t>
            </w:r>
            <w:r>
              <w:rPr>
                <w:rFonts w:hint="eastAsia" w:hAnsi="宋体" w:cs="宋体"/>
              </w:rPr>
              <w:t>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谈判答疑文件递交方式及地点</w:t>
            </w:r>
          </w:p>
        </w:tc>
        <w:tc>
          <w:tcPr>
            <w:tcW w:w="8250" w:type="dxa"/>
            <w:vAlign w:val="center"/>
          </w:tcPr>
          <w:p>
            <w:pPr>
              <w:pStyle w:val="26"/>
              <w:adjustRightInd w:val="0"/>
              <w:snapToGrid w:val="0"/>
              <w:spacing w:before="120" w:beforeLines="50" w:after="120" w:afterLines="50" w:line="300" w:lineRule="auto"/>
              <w:rPr>
                <w:rFonts w:hAnsi="宋体" w:cs="宋体"/>
                <w:iCs/>
              </w:rPr>
            </w:pPr>
            <w:r>
              <w:rPr>
                <w:rFonts w:hint="eastAsia" w:hAnsi="宋体" w:cs="宋体"/>
              </w:rPr>
              <w:t>谈判答疑文件应以书面形式递交至：五矿国际招标有限责任公司（</w:t>
            </w:r>
            <w:r>
              <w:rPr>
                <w:rFonts w:hint="eastAsia" w:hAnsi="宋体" w:cs="宋体"/>
                <w:bCs/>
                <w:iCs/>
                <w:color w:val="000000" w:themeColor="text1"/>
                <w14:textFill>
                  <w14:solidFill>
                    <w14:schemeClr w14:val="tx1"/>
                  </w14:solidFill>
                </w14:textFill>
              </w:rPr>
              <w:t>长沙市天心区劳动西路290号湖南有色B栋406室</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响应文件的递交截止及谈判时间</w:t>
            </w:r>
          </w:p>
        </w:tc>
        <w:tc>
          <w:tcPr>
            <w:tcW w:w="8250" w:type="dxa"/>
            <w:vAlign w:val="center"/>
          </w:tcPr>
          <w:p>
            <w:pPr>
              <w:adjustRightInd w:val="0"/>
              <w:snapToGrid w:val="0"/>
              <w:spacing w:before="120" w:beforeLines="50" w:after="120" w:afterLines="50" w:line="300" w:lineRule="auto"/>
              <w:jc w:val="left"/>
              <w:rPr>
                <w:rFonts w:ascii="宋体" w:hAnsi="宋体" w:cs="宋体"/>
                <w:szCs w:val="21"/>
              </w:rPr>
            </w:pPr>
            <w:r>
              <w:rPr>
                <w:rFonts w:hint="eastAsia" w:ascii="宋体" w:hAnsi="宋体" w:cs="宋体"/>
                <w:bCs/>
                <w:szCs w:val="21"/>
              </w:rPr>
              <w:t>20</w:t>
            </w:r>
            <w:r>
              <w:rPr>
                <w:rFonts w:ascii="宋体" w:hAnsi="宋体" w:cs="宋体"/>
                <w:bCs/>
                <w:szCs w:val="21"/>
              </w:rPr>
              <w:t>21</w:t>
            </w:r>
            <w:r>
              <w:rPr>
                <w:rFonts w:hint="eastAsia" w:ascii="宋体" w:hAnsi="宋体" w:cs="宋体"/>
                <w:bCs/>
                <w:szCs w:val="21"/>
              </w:rPr>
              <w:t>年</w:t>
            </w:r>
            <w:r>
              <w:rPr>
                <w:rFonts w:hint="eastAsia" w:ascii="宋体" w:hAnsi="宋体" w:cs="宋体"/>
                <w:bCs/>
                <w:szCs w:val="21"/>
                <w:lang w:val="en-US" w:eastAsia="zh-CN"/>
              </w:rPr>
              <w:t>07</w:t>
            </w:r>
            <w:r>
              <w:rPr>
                <w:rFonts w:hint="eastAsia" w:ascii="宋体" w:hAnsi="宋体" w:cs="宋体"/>
                <w:bCs/>
                <w:szCs w:val="21"/>
              </w:rPr>
              <w:t>月</w:t>
            </w:r>
            <w:r>
              <w:rPr>
                <w:rFonts w:hint="eastAsia" w:ascii="宋体" w:hAnsi="宋体" w:cs="宋体"/>
                <w:bCs/>
                <w:szCs w:val="21"/>
                <w:lang w:val="en-US" w:eastAsia="zh-CN"/>
              </w:rPr>
              <w:t>08</w:t>
            </w:r>
            <w:r>
              <w:rPr>
                <w:rFonts w:hint="eastAsia" w:ascii="宋体" w:hAnsi="宋体" w:cs="宋体"/>
                <w:bCs/>
                <w:szCs w:val="21"/>
              </w:rPr>
              <w:t>日 14 时 30 分</w:t>
            </w:r>
            <w:r>
              <w:rPr>
                <w:rFonts w:hint="eastAsia" w:ascii="宋体" w:hAnsi="宋体" w:cs="宋体"/>
                <w:szCs w:val="21"/>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响应文件的递交及谈判地点</w:t>
            </w:r>
          </w:p>
        </w:tc>
        <w:tc>
          <w:tcPr>
            <w:tcW w:w="8250" w:type="dxa"/>
            <w:vAlign w:val="center"/>
          </w:tcPr>
          <w:p>
            <w:pPr>
              <w:adjustRightInd w:val="0"/>
              <w:snapToGrid w:val="0"/>
              <w:spacing w:before="120" w:beforeLines="50" w:after="120" w:afterLines="50" w:line="30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谈判现场验证须提交的资料</w:t>
            </w:r>
          </w:p>
        </w:tc>
        <w:tc>
          <w:tcPr>
            <w:tcW w:w="8250" w:type="dxa"/>
            <w:vAlign w:val="center"/>
          </w:tcPr>
          <w:p>
            <w:pPr>
              <w:adjustRightInd w:val="0"/>
              <w:snapToGrid w:val="0"/>
              <w:spacing w:before="120" w:beforeLines="50" w:after="120" w:afterLines="50" w:line="30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before="120" w:beforeLines="50" w:after="120" w:afterLines="50" w:line="30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响应文件有效期</w:t>
            </w:r>
          </w:p>
        </w:tc>
        <w:tc>
          <w:tcPr>
            <w:tcW w:w="8250" w:type="dxa"/>
            <w:vAlign w:val="center"/>
          </w:tcPr>
          <w:p>
            <w:pPr>
              <w:adjustRightInd w:val="0"/>
              <w:snapToGrid w:val="0"/>
              <w:spacing w:before="120" w:beforeLines="50" w:after="120" w:afterLines="50" w:line="30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响应文件份数</w:t>
            </w:r>
          </w:p>
        </w:tc>
        <w:tc>
          <w:tcPr>
            <w:tcW w:w="8250" w:type="dxa"/>
            <w:vAlign w:val="center"/>
          </w:tcPr>
          <w:p>
            <w:pPr>
              <w:adjustRightInd w:val="0"/>
              <w:snapToGrid w:val="0"/>
              <w:spacing w:before="120" w:beforeLines="50" w:line="30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60"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价格承包内容</w:t>
            </w:r>
          </w:p>
        </w:tc>
        <w:tc>
          <w:tcPr>
            <w:tcW w:w="8250" w:type="dxa"/>
            <w:vAlign w:val="center"/>
          </w:tcPr>
          <w:p>
            <w:pPr>
              <w:adjustRightInd w:val="0"/>
              <w:snapToGrid w:val="0"/>
              <w:spacing w:before="120" w:beforeLines="50" w:line="300" w:lineRule="auto"/>
              <w:jc w:val="left"/>
              <w:rPr>
                <w:rFonts w:ascii="宋体" w:hAnsi="宋体" w:cs="宋体"/>
                <w:szCs w:val="21"/>
              </w:rPr>
            </w:pPr>
            <w:r>
              <w:rPr>
                <w:rFonts w:hint="eastAsia" w:ascii="宋体" w:hAnsi="宋体" w:cs="宋体"/>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项目支付方式</w:t>
            </w:r>
          </w:p>
        </w:tc>
        <w:tc>
          <w:tcPr>
            <w:tcW w:w="8250" w:type="dxa"/>
            <w:vAlign w:val="center"/>
          </w:tcPr>
          <w:p>
            <w:pPr>
              <w:pStyle w:val="2"/>
              <w:adjustRightInd w:val="0"/>
              <w:snapToGrid w:val="0"/>
              <w:spacing w:before="120" w:beforeLines="50" w:afterLines="50" w:line="300" w:lineRule="auto"/>
              <w:ind w:firstLine="0" w:firstLineChars="0"/>
              <w:rPr>
                <w:rFonts w:ascii="宋体" w:hAnsi="宋体" w:cs="宋体"/>
                <w:bCs/>
                <w:szCs w:val="21"/>
              </w:rPr>
            </w:pPr>
            <w:r>
              <w:rPr>
                <w:rFonts w:hint="eastAsia" w:ascii="宋体" w:hAnsi="宋体" w:cs="宋体"/>
                <w:bCs/>
                <w:szCs w:val="21"/>
              </w:rPr>
              <w:t>1.本工程无预付款，在工程竣工验收合格移交竣工资料后，支付至实际竣工计量金额的70%，但支付金额不得超过签约合同价的70%；</w:t>
            </w:r>
          </w:p>
          <w:p>
            <w:pPr>
              <w:pStyle w:val="2"/>
              <w:adjustRightInd w:val="0"/>
              <w:snapToGrid w:val="0"/>
              <w:spacing w:before="120" w:beforeLines="50" w:afterLines="50" w:line="300" w:lineRule="auto"/>
              <w:ind w:firstLine="0" w:firstLineChars="0"/>
              <w:rPr>
                <w:rFonts w:ascii="宋体" w:hAnsi="宋体" w:cs="宋体"/>
                <w:bCs/>
                <w:szCs w:val="21"/>
              </w:rPr>
            </w:pPr>
            <w:r>
              <w:rPr>
                <w:rFonts w:hint="eastAsia" w:ascii="宋体" w:hAnsi="宋体" w:cs="宋体"/>
                <w:bCs/>
                <w:szCs w:val="21"/>
              </w:rPr>
              <w:t>2.工程竣工结算经甲方审定后，支付至合同价格的97%（开具合同价格100%、合法有效的增值税专用发票原件），剩下的3%作为工程质量保证金，在已办理结算的前提下，保修期满后如无任何质量问题甲方一次性无息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信息发布</w:t>
            </w:r>
          </w:p>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指定媒体</w:t>
            </w:r>
          </w:p>
        </w:tc>
        <w:tc>
          <w:tcPr>
            <w:tcW w:w="8250" w:type="dxa"/>
            <w:vAlign w:val="center"/>
          </w:tcPr>
          <w:p>
            <w:pPr>
              <w:adjustRightInd w:val="0"/>
              <w:snapToGrid w:val="0"/>
              <w:spacing w:before="120" w:beforeLines="50" w:after="120" w:afterLines="50" w:line="30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6"/>
                <w:rFonts w:hint="eastAsia" w:ascii="宋体" w:hAnsi="宋体" w:cs="宋体"/>
                <w:color w:val="auto"/>
                <w:szCs w:val="21"/>
                <w:u w:val="none"/>
              </w:rPr>
              <w:t>http://www.hncsmtr.com/</w:t>
            </w:r>
            <w:r>
              <w:rPr>
                <w:rStyle w:val="56"/>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采购代理服务费</w:t>
            </w:r>
          </w:p>
        </w:tc>
        <w:tc>
          <w:tcPr>
            <w:tcW w:w="8250" w:type="dxa"/>
            <w:vAlign w:val="center"/>
          </w:tcPr>
          <w:p>
            <w:pPr>
              <w:adjustRightInd w:val="0"/>
              <w:snapToGrid w:val="0"/>
              <w:spacing w:before="120" w:beforeLines="50" w:after="120" w:afterLines="50" w:line="30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742"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其他规定</w:t>
            </w:r>
          </w:p>
        </w:tc>
        <w:tc>
          <w:tcPr>
            <w:tcW w:w="8250" w:type="dxa"/>
            <w:vAlign w:val="center"/>
          </w:tcPr>
          <w:p>
            <w:pPr>
              <w:adjustRightInd w:val="0"/>
              <w:snapToGrid w:val="0"/>
              <w:spacing w:before="120" w:beforeLines="50" w:after="120" w:afterLines="50" w:line="300" w:lineRule="auto"/>
              <w:rPr>
                <w:rFonts w:ascii="宋体" w:hAnsi="宋体" w:cs="宋体"/>
              </w:rPr>
            </w:pPr>
            <w:r>
              <w:rPr>
                <w:rFonts w:hint="eastAsia" w:ascii="宋体" w:hAnsi="宋体" w:cs="宋体"/>
                <w:szCs w:val="21"/>
              </w:rPr>
              <w:t>（如有）</w:t>
            </w:r>
          </w:p>
        </w:tc>
      </w:tr>
    </w:tbl>
    <w:p>
      <w:pPr>
        <w:pStyle w:val="14"/>
        <w:rPr>
          <w:rFonts w:ascii="宋体" w:hAnsi="宋体" w:cs="宋体"/>
        </w:rPr>
      </w:pPr>
      <w:bookmarkStart w:id="16" w:name="_Toc14891067"/>
    </w:p>
    <w:p/>
    <w:p>
      <w:pPr>
        <w:pStyle w:val="2"/>
        <w:rPr>
          <w:rFonts w:hint="eastAsia"/>
        </w:rPr>
      </w:pPr>
    </w:p>
    <w:p>
      <w:pPr>
        <w:pStyle w:val="5"/>
        <w:keepNext w:val="0"/>
        <w:keepLines w:val="0"/>
        <w:jc w:val="center"/>
        <w:rPr>
          <w:rFonts w:hint="eastAsia" w:ascii="宋体" w:hAnsi="宋体" w:cs="宋体"/>
          <w:sz w:val="32"/>
        </w:rPr>
      </w:pPr>
      <w:bookmarkStart w:id="17" w:name="_Toc30640"/>
      <w:bookmarkStart w:id="18" w:name="_Toc26157"/>
      <w:bookmarkStart w:id="19" w:name="_Toc11980"/>
      <w:bookmarkStart w:id="20" w:name="_Toc16939"/>
      <w:r>
        <w:rPr>
          <w:rFonts w:hint="eastAsia" w:ascii="宋体" w:hAnsi="宋体" w:cs="宋体"/>
          <w:sz w:val="32"/>
        </w:rPr>
        <w:t>谈判须知正文</w:t>
      </w:r>
      <w:bookmarkEnd w:id="16"/>
      <w:bookmarkEnd w:id="17"/>
      <w:bookmarkEnd w:id="18"/>
      <w:bookmarkEnd w:id="19"/>
      <w:bookmarkEnd w:id="20"/>
    </w:p>
    <w:p/>
    <w:p>
      <w:pPr>
        <w:pStyle w:val="5"/>
        <w:keepNext w:val="0"/>
        <w:keepLines w:val="0"/>
        <w:rPr>
          <w:rFonts w:ascii="宋体" w:hAnsi="宋体" w:cs="宋体"/>
          <w:sz w:val="21"/>
          <w:szCs w:val="21"/>
        </w:rPr>
      </w:pPr>
      <w:bookmarkStart w:id="21" w:name="_Toc25658"/>
      <w:bookmarkStart w:id="22" w:name="_Toc14891068"/>
      <w:r>
        <w:rPr>
          <w:rFonts w:hint="eastAsia" w:ascii="宋体" w:hAnsi="宋体" w:cs="宋体"/>
          <w:sz w:val="21"/>
          <w:szCs w:val="21"/>
        </w:rPr>
        <w:t>一、说明</w:t>
      </w:r>
      <w:bookmarkEnd w:id="21"/>
      <w:bookmarkEnd w:id="22"/>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7"/>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7"/>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7"/>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7"/>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7"/>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7"/>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6"/>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6"/>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6"/>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5"/>
        <w:keepNext w:val="0"/>
        <w:keepLines w:val="0"/>
        <w:rPr>
          <w:rFonts w:ascii="宋体" w:hAnsi="宋体" w:cs="宋体"/>
          <w:sz w:val="21"/>
          <w:szCs w:val="21"/>
        </w:rPr>
      </w:pPr>
      <w:bookmarkStart w:id="23" w:name="_Toc14891069"/>
      <w:bookmarkStart w:id="24" w:name="_Toc10190"/>
      <w:r>
        <w:rPr>
          <w:rFonts w:hint="eastAsia" w:ascii="宋体" w:hAnsi="宋体" w:cs="宋体"/>
          <w:sz w:val="21"/>
          <w:szCs w:val="21"/>
        </w:rPr>
        <w:t>二、谈判文件</w:t>
      </w:r>
      <w:bookmarkEnd w:id="23"/>
      <w:bookmarkEnd w:id="24"/>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6"/>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6"/>
        <w:adjustRightInd w:val="0"/>
        <w:snapToGrid w:val="0"/>
        <w:spacing w:line="360" w:lineRule="auto"/>
        <w:ind w:firstLine="420" w:firstLineChars="200"/>
        <w:rPr>
          <w:rFonts w:hAnsi="宋体" w:cs="宋体"/>
        </w:rPr>
      </w:pPr>
      <w:r>
        <w:rPr>
          <w:rFonts w:hint="eastAsia" w:hAnsi="宋体" w:cs="宋体"/>
        </w:rPr>
        <w:t>第一章 谈判邀请公告</w:t>
      </w:r>
    </w:p>
    <w:p>
      <w:pPr>
        <w:pStyle w:val="26"/>
        <w:adjustRightInd w:val="0"/>
        <w:snapToGrid w:val="0"/>
        <w:spacing w:line="360" w:lineRule="auto"/>
        <w:ind w:firstLine="420" w:firstLineChars="200"/>
        <w:rPr>
          <w:rFonts w:hAnsi="宋体" w:cs="宋体"/>
        </w:rPr>
      </w:pPr>
      <w:r>
        <w:rPr>
          <w:rFonts w:hint="eastAsia" w:hAnsi="宋体" w:cs="宋体"/>
        </w:rPr>
        <w:t>第二章 谈判须知</w:t>
      </w:r>
    </w:p>
    <w:p>
      <w:pPr>
        <w:pStyle w:val="26"/>
        <w:adjustRightInd w:val="0"/>
        <w:snapToGrid w:val="0"/>
        <w:spacing w:line="360" w:lineRule="auto"/>
        <w:ind w:firstLine="420" w:firstLineChars="200"/>
        <w:rPr>
          <w:rFonts w:hAnsi="宋体" w:cs="宋体"/>
        </w:rPr>
      </w:pPr>
      <w:r>
        <w:rPr>
          <w:rFonts w:hint="eastAsia" w:hAnsi="宋体" w:cs="宋体"/>
        </w:rPr>
        <w:t>第三章 评审办法及标准</w:t>
      </w:r>
    </w:p>
    <w:p>
      <w:pPr>
        <w:pStyle w:val="26"/>
        <w:adjustRightInd w:val="0"/>
        <w:snapToGrid w:val="0"/>
        <w:spacing w:line="360" w:lineRule="auto"/>
        <w:ind w:firstLine="420" w:firstLineChars="200"/>
        <w:rPr>
          <w:rFonts w:hAnsi="宋体" w:cs="宋体"/>
        </w:rPr>
      </w:pPr>
      <w:r>
        <w:rPr>
          <w:rFonts w:hint="eastAsia" w:hAnsi="宋体" w:cs="宋体"/>
        </w:rPr>
        <w:t>第四章 用户需求书</w:t>
      </w:r>
    </w:p>
    <w:p>
      <w:pPr>
        <w:pStyle w:val="26"/>
        <w:adjustRightInd w:val="0"/>
        <w:snapToGrid w:val="0"/>
        <w:spacing w:line="360" w:lineRule="auto"/>
        <w:ind w:firstLine="420" w:firstLineChars="200"/>
        <w:rPr>
          <w:rFonts w:hAnsi="宋体" w:cs="宋体"/>
        </w:rPr>
      </w:pPr>
      <w:r>
        <w:rPr>
          <w:rFonts w:hint="eastAsia" w:hAnsi="宋体" w:cs="宋体"/>
        </w:rPr>
        <w:t>第五章 最高限价</w:t>
      </w:r>
    </w:p>
    <w:p>
      <w:pPr>
        <w:pStyle w:val="26"/>
        <w:adjustRightInd w:val="0"/>
        <w:snapToGrid w:val="0"/>
        <w:spacing w:line="360" w:lineRule="auto"/>
        <w:ind w:firstLine="420" w:firstLineChars="200"/>
        <w:rPr>
          <w:rFonts w:hAnsi="宋体" w:cs="宋体"/>
        </w:rPr>
      </w:pPr>
      <w:r>
        <w:rPr>
          <w:rFonts w:hint="eastAsia" w:hAnsi="宋体" w:cs="宋体"/>
        </w:rPr>
        <w:t>第六章 合同格式条款</w:t>
      </w:r>
    </w:p>
    <w:p>
      <w:pPr>
        <w:pStyle w:val="26"/>
        <w:adjustRightInd w:val="0"/>
        <w:snapToGrid w:val="0"/>
        <w:spacing w:line="360" w:lineRule="auto"/>
        <w:ind w:firstLine="420" w:firstLineChars="200"/>
        <w:rPr>
          <w:rFonts w:hAnsi="宋体" w:cs="宋体"/>
        </w:rPr>
      </w:pPr>
      <w:r>
        <w:rPr>
          <w:rFonts w:hint="eastAsia" w:hAnsi="宋体" w:cs="宋体"/>
        </w:rPr>
        <w:t>第七章 响应文件组成</w:t>
      </w:r>
    </w:p>
    <w:p>
      <w:pPr>
        <w:pStyle w:val="26"/>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6"/>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5"/>
        <w:keepNext w:val="0"/>
        <w:keepLines w:val="0"/>
        <w:rPr>
          <w:rFonts w:ascii="宋体" w:hAnsi="宋体" w:cs="宋体"/>
          <w:sz w:val="21"/>
          <w:szCs w:val="21"/>
        </w:rPr>
      </w:pPr>
      <w:bookmarkStart w:id="25" w:name="_Toc14891070"/>
      <w:bookmarkStart w:id="26" w:name="_Toc15974"/>
      <w:r>
        <w:rPr>
          <w:rFonts w:hint="eastAsia" w:ascii="宋体" w:hAnsi="宋体" w:cs="宋体"/>
          <w:sz w:val="21"/>
          <w:szCs w:val="21"/>
        </w:rPr>
        <w:t>三、响应文件</w:t>
      </w:r>
      <w:bookmarkEnd w:id="25"/>
      <w:bookmarkEnd w:id="26"/>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6"/>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6"/>
        <w:adjustRightInd w:val="0"/>
        <w:snapToGrid w:val="0"/>
        <w:spacing w:line="360" w:lineRule="auto"/>
        <w:ind w:firstLine="420" w:firstLineChars="200"/>
        <w:rPr>
          <w:rFonts w:hAnsi="宋体" w:cs="宋体"/>
        </w:rPr>
      </w:pPr>
      <w:r>
        <w:rPr>
          <w:rFonts w:hint="eastAsia" w:hAnsi="宋体" w:cs="宋体"/>
        </w:rPr>
        <w:t>（1）谈判承诺书</w:t>
      </w:r>
    </w:p>
    <w:p>
      <w:pPr>
        <w:pStyle w:val="26"/>
        <w:adjustRightInd w:val="0"/>
        <w:snapToGrid w:val="0"/>
        <w:spacing w:line="360" w:lineRule="auto"/>
        <w:ind w:firstLine="420" w:firstLineChars="200"/>
        <w:rPr>
          <w:rFonts w:hAnsi="宋体" w:cs="宋体"/>
        </w:rPr>
      </w:pPr>
      <w:r>
        <w:rPr>
          <w:rFonts w:hint="eastAsia" w:hAnsi="宋体" w:cs="宋体"/>
        </w:rPr>
        <w:t>（2）法定代表人身份证明书</w:t>
      </w:r>
    </w:p>
    <w:p>
      <w:pPr>
        <w:pStyle w:val="26"/>
        <w:adjustRightInd w:val="0"/>
        <w:snapToGrid w:val="0"/>
        <w:spacing w:line="360" w:lineRule="auto"/>
        <w:ind w:firstLine="420" w:firstLineChars="200"/>
        <w:rPr>
          <w:rFonts w:hAnsi="宋体" w:cs="宋体"/>
        </w:rPr>
      </w:pPr>
      <w:r>
        <w:rPr>
          <w:rFonts w:hint="eastAsia" w:hAnsi="宋体" w:cs="宋体"/>
        </w:rPr>
        <w:t>（3）授权委托书</w:t>
      </w:r>
    </w:p>
    <w:p>
      <w:pPr>
        <w:pStyle w:val="26"/>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6"/>
        <w:adjustRightInd w:val="0"/>
        <w:snapToGrid w:val="0"/>
        <w:spacing w:line="360" w:lineRule="auto"/>
        <w:ind w:firstLine="420" w:firstLineChars="200"/>
        <w:rPr>
          <w:rFonts w:hAnsi="宋体" w:cs="宋体"/>
        </w:rPr>
      </w:pPr>
      <w:r>
        <w:rPr>
          <w:rFonts w:hint="eastAsia" w:hAnsi="宋体" w:cs="宋体"/>
        </w:rPr>
        <w:t>（5）不拖欠农民工工资承诺书</w:t>
      </w:r>
    </w:p>
    <w:p>
      <w:pPr>
        <w:pStyle w:val="26"/>
        <w:adjustRightInd w:val="0"/>
        <w:snapToGrid w:val="0"/>
        <w:spacing w:line="360" w:lineRule="auto"/>
        <w:ind w:firstLine="420" w:firstLineChars="200"/>
        <w:rPr>
          <w:rFonts w:hAnsi="宋体" w:cs="宋体"/>
        </w:rPr>
      </w:pPr>
      <w:r>
        <w:rPr>
          <w:rFonts w:hint="eastAsia" w:hAnsi="宋体" w:cs="宋体"/>
        </w:rPr>
        <w:t>（6）报价一览表</w:t>
      </w:r>
    </w:p>
    <w:p>
      <w:pPr>
        <w:pStyle w:val="26"/>
        <w:adjustRightInd w:val="0"/>
        <w:snapToGrid w:val="0"/>
        <w:spacing w:line="360" w:lineRule="auto"/>
        <w:ind w:firstLine="420" w:firstLineChars="200"/>
        <w:rPr>
          <w:rFonts w:hAnsi="宋体" w:cs="宋体"/>
        </w:rPr>
      </w:pPr>
      <w:r>
        <w:rPr>
          <w:rFonts w:hint="eastAsia" w:hAnsi="宋体" w:cs="宋体"/>
        </w:rPr>
        <w:t>（7）报价汇总表</w:t>
      </w:r>
    </w:p>
    <w:p>
      <w:pPr>
        <w:pStyle w:val="26"/>
        <w:adjustRightInd w:val="0"/>
        <w:snapToGrid w:val="0"/>
        <w:spacing w:line="360" w:lineRule="auto"/>
        <w:ind w:firstLine="420" w:firstLineChars="200"/>
        <w:rPr>
          <w:rFonts w:hAnsi="宋体" w:cs="宋体"/>
        </w:rPr>
      </w:pPr>
      <w:r>
        <w:rPr>
          <w:rFonts w:hint="eastAsia" w:hAnsi="宋体" w:cs="宋体"/>
        </w:rPr>
        <w:t>（8）投标报价表</w:t>
      </w:r>
    </w:p>
    <w:p>
      <w:pPr>
        <w:pStyle w:val="26"/>
        <w:adjustRightInd w:val="0"/>
        <w:snapToGrid w:val="0"/>
        <w:spacing w:line="360" w:lineRule="auto"/>
        <w:ind w:firstLine="420" w:firstLineChars="200"/>
        <w:rPr>
          <w:rFonts w:hAnsi="宋体" w:cs="宋体"/>
        </w:rPr>
      </w:pPr>
      <w:r>
        <w:rPr>
          <w:rFonts w:hint="eastAsia" w:hAnsi="宋体" w:cs="宋体"/>
        </w:rPr>
        <w:t>（9）其他资料（如有）</w:t>
      </w:r>
    </w:p>
    <w:p>
      <w:pPr>
        <w:pStyle w:val="26"/>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12.1 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12.4计价方式：谈判单位应遵守湘建价﹝2020﹞56号文件的有关规定，定额执行2020年湖南省消耗量标准，在保证质量、工期的前提下，根据工程实际情况报出自己的报价，但报价不能低于其企业成本价。</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12.5 人工工资单价按湘建价﹝2019﹞130号文执行。人工工资单价在施工期间若发生政策性调整，按相应文件的人工工资单价（综合工资单价）进行调差，人工调差执行投标报价优惠率并计税金。</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12.6绿色施工安全防护措施费用按湘建价﹝2020﹞56号文件的要求，谈判单位应在投标文件对绿色施工安全防护措施费用单独列项，单独报价，不得低于文件规定的费率标准。</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12.7销项税额必须严格按标准执行，不得折扣、优惠；</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12.8 材料价格调整问题:见合同条款。</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12.9 工程量的变更调整：见合同条款。</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12.10 本项目设置最高限价，谈判单位所报总价不能超过最高限价，不超过最高限价的报价为有效报价。本项目最高限价</w:t>
      </w:r>
      <w:r>
        <w:rPr>
          <w:rFonts w:hint="eastAsia" w:ascii="宋体" w:hAnsi="宋体" w:cs="宋体"/>
        </w:rPr>
        <w:t>见</w:t>
      </w:r>
      <w:r>
        <w:rPr>
          <w:rFonts w:hint="eastAsia" w:ascii="宋体" w:hAnsi="宋体" w:cs="宋体"/>
          <w:b/>
        </w:rPr>
        <w:t>前附表</w:t>
      </w:r>
      <w:r>
        <w:rPr>
          <w:rFonts w:hint="eastAsia" w:ascii="宋体" w:hAnsi="宋体" w:cs="宋体"/>
        </w:rPr>
        <w:t>。</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12.11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ascii="宋体" w:hAnsi="宋体" w:cs="宋体"/>
          <w:b/>
          <w:bCs/>
          <w:szCs w:val="21"/>
        </w:rPr>
      </w:pPr>
      <w:r>
        <w:rPr>
          <w:rFonts w:hint="eastAsia" w:ascii="宋体" w:hAnsi="宋体" w:cs="宋体"/>
          <w:szCs w:val="21"/>
        </w:rPr>
        <w:t>12.12 谈判单位投标前请进行必要的现场踏勘，了解项目实际情况，产生的费用自行承担。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12.13 谈判单位应按谈判文件规定的要求、责任范围和合同条件，以</w:t>
      </w:r>
      <w:r>
        <w:rPr>
          <w:rFonts w:hint="eastAsia" w:ascii="宋体" w:hAnsi="宋体" w:cs="宋体"/>
          <w:bCs/>
          <w:szCs w:val="21"/>
        </w:rPr>
        <w:t>人民币</w:t>
      </w:r>
      <w:r>
        <w:rPr>
          <w:rFonts w:hint="eastAsia" w:ascii="宋体" w:hAnsi="宋体" w:cs="宋体"/>
          <w:szCs w:val="21"/>
        </w:rPr>
        <w:t>报价，以元为单位，保留小数点后两位。</w:t>
      </w:r>
    </w:p>
    <w:p>
      <w:pPr>
        <w:pStyle w:val="26"/>
        <w:adjustRightInd w:val="0"/>
        <w:snapToGrid w:val="0"/>
        <w:spacing w:line="360" w:lineRule="auto"/>
        <w:ind w:firstLine="420" w:firstLineChars="200"/>
        <w:rPr>
          <w:rFonts w:hAnsi="宋体" w:cs="宋体"/>
        </w:rPr>
      </w:pPr>
      <w:r>
        <w:rPr>
          <w:rFonts w:hint="eastAsia" w:hAnsi="宋体" w:cs="宋体"/>
        </w:rPr>
        <w:t>12.14 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6"/>
        <w:adjustRightInd w:val="0"/>
        <w:snapToGrid w:val="0"/>
        <w:spacing w:line="360" w:lineRule="auto"/>
        <w:ind w:firstLine="420" w:firstLineChars="200"/>
        <w:rPr>
          <w:rFonts w:hAnsi="宋体" w:cs="宋体"/>
        </w:rPr>
      </w:pPr>
      <w:r>
        <w:rPr>
          <w:rFonts w:hint="eastAsia" w:hAnsi="宋体" w:cs="宋体"/>
        </w:rPr>
        <w:t>12.15 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12.16 最低报价不能作为中选的保证。</w:t>
      </w:r>
    </w:p>
    <w:p>
      <w:pPr>
        <w:adjustRightInd w:val="0"/>
        <w:snapToGrid w:val="0"/>
        <w:spacing w:line="360" w:lineRule="auto"/>
        <w:ind w:firstLine="420" w:firstLineChars="200"/>
        <w:rPr>
          <w:rFonts w:ascii="宋体" w:hAnsi="宋体" w:cs="宋体"/>
        </w:rPr>
      </w:pPr>
      <w:r>
        <w:rPr>
          <w:rFonts w:hint="eastAsia" w:ascii="宋体" w:hAnsi="宋体" w:cs="宋体"/>
          <w:szCs w:val="21"/>
        </w:rPr>
        <w:t>12.17</w:t>
      </w:r>
      <w:r>
        <w:rPr>
          <w:rFonts w:hint="eastAsia" w:ascii="宋体" w:hAnsi="宋体" w:cs="宋体"/>
          <w:bCs/>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7"/>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6"/>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6"/>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5"/>
        <w:keepNext w:val="0"/>
        <w:keepLines w:val="0"/>
        <w:rPr>
          <w:rFonts w:ascii="宋体" w:hAnsi="宋体" w:cs="宋体"/>
          <w:sz w:val="21"/>
          <w:szCs w:val="21"/>
        </w:rPr>
      </w:pPr>
      <w:bookmarkStart w:id="27" w:name="_Toc14891071"/>
      <w:bookmarkStart w:id="28" w:name="_Toc28626"/>
      <w:r>
        <w:rPr>
          <w:rFonts w:hint="eastAsia" w:ascii="宋体" w:hAnsi="宋体" w:cs="宋体"/>
          <w:sz w:val="21"/>
          <w:szCs w:val="21"/>
        </w:rPr>
        <w:t>四、响应文件的递交</w:t>
      </w:r>
      <w:bookmarkEnd w:id="27"/>
      <w:bookmarkEnd w:id="28"/>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（填写单位名称并加盖单位公章）</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5"/>
        <w:keepNext w:val="0"/>
        <w:keepLines w:val="0"/>
        <w:rPr>
          <w:rFonts w:ascii="宋体" w:hAnsi="宋体" w:cs="宋体"/>
          <w:sz w:val="21"/>
          <w:szCs w:val="21"/>
        </w:rPr>
      </w:pPr>
      <w:bookmarkStart w:id="29" w:name="_Toc28776"/>
      <w:bookmarkStart w:id="30" w:name="_Toc14891072"/>
      <w:r>
        <w:rPr>
          <w:rFonts w:hint="eastAsia" w:ascii="宋体" w:hAnsi="宋体" w:cs="宋体"/>
          <w:sz w:val="21"/>
          <w:szCs w:val="21"/>
        </w:rPr>
        <w:t>五、响应文件的评审</w:t>
      </w:r>
      <w:bookmarkEnd w:id="29"/>
      <w:bookmarkEnd w:id="30"/>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pStyle w:val="5"/>
        <w:keepNext w:val="0"/>
        <w:keepLines w:val="0"/>
        <w:rPr>
          <w:rFonts w:ascii="宋体" w:hAnsi="宋体" w:cs="宋体"/>
          <w:sz w:val="21"/>
          <w:szCs w:val="21"/>
        </w:rPr>
      </w:pPr>
      <w:bookmarkStart w:id="31" w:name="_Toc14891073"/>
      <w:bookmarkStart w:id="32" w:name="_Toc4811"/>
      <w:r>
        <w:rPr>
          <w:rFonts w:hint="eastAsia" w:ascii="宋体" w:hAnsi="宋体" w:cs="宋体"/>
          <w:sz w:val="21"/>
          <w:szCs w:val="21"/>
        </w:rPr>
        <w:t>六、响应文件的澄清、说明及补正</w:t>
      </w:r>
      <w:bookmarkEnd w:id="31"/>
      <w:bookmarkEnd w:id="32"/>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20.3与谈判文件有重大偏离的响应文件将被拒绝。重大偏离指谈判总报价、谈判有限期、施工工期明显不能满足谈判文件的要求。这些偏离不允许在响应文件递交截止时间之后修正。</w:t>
      </w:r>
    </w:p>
    <w:p>
      <w:pPr>
        <w:pStyle w:val="5"/>
        <w:keepNext w:val="0"/>
        <w:keepLines w:val="0"/>
        <w:rPr>
          <w:rFonts w:ascii="宋体" w:hAnsi="宋体" w:cs="宋体"/>
          <w:sz w:val="21"/>
          <w:szCs w:val="21"/>
        </w:rPr>
      </w:pPr>
      <w:bookmarkStart w:id="33" w:name="_Toc22305"/>
      <w:bookmarkStart w:id="34" w:name="_Toc14891074"/>
      <w:r>
        <w:rPr>
          <w:rFonts w:hint="eastAsia" w:ascii="宋体" w:hAnsi="宋体" w:cs="宋体"/>
          <w:sz w:val="21"/>
          <w:szCs w:val="21"/>
        </w:rPr>
        <w:t>七、中选结果与授予合同</w:t>
      </w:r>
      <w:bookmarkEnd w:id="33"/>
      <w:bookmarkEnd w:id="34"/>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6"/>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6"/>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6"/>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6"/>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6"/>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6"/>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6"/>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7"/>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7"/>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7"/>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5" w:name="page32"/>
      <w:bookmarkEnd w:id="35"/>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6"/>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rPr>
          <w:rFonts w:ascii="宋体" w:hAnsi="宋体" w:cs="宋体"/>
          <w:sz w:val="21"/>
          <w:szCs w:val="21"/>
        </w:rPr>
      </w:pPr>
      <w:bookmarkStart w:id="36" w:name="_Toc14891075"/>
      <w:bookmarkStart w:id="37" w:name="_Toc32718"/>
      <w:r>
        <w:rPr>
          <w:rFonts w:hint="eastAsia" w:ascii="宋体" w:hAnsi="宋体" w:cs="宋体"/>
          <w:sz w:val="21"/>
          <w:szCs w:val="21"/>
        </w:rPr>
        <w:t>八、其他</w:t>
      </w:r>
      <w:bookmarkEnd w:id="36"/>
      <w:bookmarkEnd w:id="37"/>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宋体" w:hAnsi="宋体" w:cs="宋体"/>
          <w:b/>
          <w:sz w:val="32"/>
          <w:szCs w:val="32"/>
        </w:rPr>
        <w:sectPr>
          <w:footerReference r:id="rId4" w:type="default"/>
          <w:pgSz w:w="11906" w:h="16838"/>
          <w:pgMar w:top="1191" w:right="1417" w:bottom="1191" w:left="1191" w:header="851" w:footer="851" w:gutter="0"/>
          <w:cols w:space="720" w:num="1"/>
          <w:docGrid w:linePitch="312" w:charSpace="0"/>
        </w:sectPr>
      </w:pPr>
    </w:p>
    <w:p>
      <w:pPr>
        <w:adjustRightInd w:val="0"/>
        <w:snapToGrid w:val="0"/>
        <w:spacing w:line="360" w:lineRule="auto"/>
        <w:rPr>
          <w:rFonts w:ascii="宋体" w:hAnsi="宋体" w:cs="宋体"/>
          <w:b/>
          <w:bCs/>
          <w:szCs w:val="21"/>
        </w:rPr>
      </w:pPr>
      <w:r>
        <w:rPr>
          <w:rFonts w:hint="eastAsia" w:ascii="宋体" w:hAnsi="宋体" w:cs="宋体"/>
          <w:b/>
          <w:bCs/>
          <w:szCs w:val="21"/>
        </w:rPr>
        <w:t>附件：采购代理服务费收费标准</w:t>
      </w: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采购代理服务收费参照汇率表</w:t>
      </w:r>
    </w:p>
    <w:tbl>
      <w:tblPr>
        <w:tblStyle w:val="48"/>
        <w:tblpPr w:leftFromText="180" w:rightFromText="180" w:vertAnchor="text" w:horzAnchor="margin" w:tblpXSpec="right" w:tblpY="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2162"/>
        <w:gridCol w:w="2569"/>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294" w:type="pct"/>
            <w:tcBorders>
              <w:top w:val="single" w:color="auto" w:sz="12" w:space="0"/>
              <w:left w:val="single" w:color="auto" w:sz="12" w:space="0"/>
              <w:tl2br w:val="single" w:color="auto" w:sz="4" w:space="0"/>
            </w:tcBorders>
            <w:vAlign w:val="center"/>
          </w:tcPr>
          <w:p>
            <w:pPr>
              <w:adjustRightInd w:val="0"/>
              <w:snapToGrid w:val="0"/>
              <w:jc w:val="right"/>
              <w:rPr>
                <w:rFonts w:ascii="宋体" w:hAnsi="宋体" w:cs="宋体"/>
                <w:szCs w:val="21"/>
              </w:rPr>
            </w:pPr>
            <w:r>
              <w:rPr>
                <w:rFonts w:hint="eastAsia" w:ascii="宋体" w:hAnsi="宋体" w:cs="宋体"/>
                <w:szCs w:val="21"/>
              </w:rPr>
              <w:t>汇率</w:t>
            </w:r>
          </w:p>
          <w:p>
            <w:pPr>
              <w:adjustRightInd w:val="0"/>
              <w:snapToGrid w:val="0"/>
              <w:rPr>
                <w:rFonts w:ascii="宋体" w:hAnsi="宋体" w:cs="宋体"/>
                <w:szCs w:val="21"/>
              </w:rPr>
            </w:pPr>
            <w:r>
              <w:rPr>
                <w:rFonts w:hint="eastAsia" w:ascii="宋体" w:hAnsi="宋体" w:cs="宋体"/>
                <w:szCs w:val="21"/>
              </w:rPr>
              <w:t>中选金额</w:t>
            </w:r>
          </w:p>
        </w:tc>
        <w:tc>
          <w:tcPr>
            <w:tcW w:w="1136" w:type="pct"/>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货物采购</w:t>
            </w:r>
          </w:p>
        </w:tc>
        <w:tc>
          <w:tcPr>
            <w:tcW w:w="1350" w:type="pct"/>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服务采购</w:t>
            </w:r>
          </w:p>
        </w:tc>
        <w:tc>
          <w:tcPr>
            <w:tcW w:w="1220" w:type="pct"/>
            <w:tcBorders>
              <w:top w:val="single" w:color="auto" w:sz="12" w:space="0"/>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294" w:type="pct"/>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100万元以下</w:t>
            </w:r>
          </w:p>
        </w:tc>
        <w:tc>
          <w:tcPr>
            <w:tcW w:w="1136" w:type="pct"/>
            <w:vAlign w:val="center"/>
          </w:tcPr>
          <w:p>
            <w:pPr>
              <w:adjustRightInd w:val="0"/>
              <w:snapToGrid w:val="0"/>
              <w:jc w:val="center"/>
              <w:rPr>
                <w:rFonts w:ascii="宋体" w:hAnsi="宋体" w:cs="宋体"/>
                <w:szCs w:val="21"/>
              </w:rPr>
            </w:pPr>
            <w:r>
              <w:rPr>
                <w:rFonts w:hint="eastAsia" w:ascii="宋体" w:hAnsi="宋体" w:cs="宋体"/>
                <w:szCs w:val="21"/>
              </w:rPr>
              <w:t>1.5%</w:t>
            </w:r>
          </w:p>
        </w:tc>
        <w:tc>
          <w:tcPr>
            <w:tcW w:w="1350" w:type="pct"/>
            <w:vAlign w:val="center"/>
          </w:tcPr>
          <w:p>
            <w:pPr>
              <w:adjustRightInd w:val="0"/>
              <w:snapToGrid w:val="0"/>
              <w:jc w:val="center"/>
              <w:rPr>
                <w:rFonts w:ascii="宋体" w:hAnsi="宋体" w:cs="宋体"/>
                <w:szCs w:val="21"/>
              </w:rPr>
            </w:pPr>
            <w:r>
              <w:rPr>
                <w:rFonts w:hint="eastAsia" w:ascii="宋体" w:hAnsi="宋体" w:cs="宋体"/>
                <w:szCs w:val="21"/>
              </w:rPr>
              <w:t>1.5%</w:t>
            </w:r>
          </w:p>
        </w:tc>
        <w:tc>
          <w:tcPr>
            <w:tcW w:w="1220" w:type="pct"/>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294" w:type="pct"/>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100～400万元</w:t>
            </w:r>
          </w:p>
        </w:tc>
        <w:tc>
          <w:tcPr>
            <w:tcW w:w="1136" w:type="pct"/>
            <w:vAlign w:val="center"/>
          </w:tcPr>
          <w:p>
            <w:pPr>
              <w:adjustRightInd w:val="0"/>
              <w:snapToGrid w:val="0"/>
              <w:jc w:val="center"/>
              <w:rPr>
                <w:rFonts w:ascii="宋体" w:hAnsi="宋体" w:cs="宋体"/>
                <w:szCs w:val="21"/>
              </w:rPr>
            </w:pPr>
            <w:r>
              <w:rPr>
                <w:rFonts w:hint="eastAsia" w:ascii="宋体" w:hAnsi="宋体" w:cs="宋体"/>
                <w:szCs w:val="21"/>
              </w:rPr>
              <w:t>1.1%</w:t>
            </w:r>
          </w:p>
        </w:tc>
        <w:tc>
          <w:tcPr>
            <w:tcW w:w="1350" w:type="pct"/>
            <w:vAlign w:val="center"/>
          </w:tcPr>
          <w:p>
            <w:pPr>
              <w:adjustRightInd w:val="0"/>
              <w:snapToGrid w:val="0"/>
              <w:jc w:val="center"/>
              <w:rPr>
                <w:rFonts w:ascii="宋体" w:hAnsi="宋体" w:cs="宋体"/>
                <w:szCs w:val="21"/>
              </w:rPr>
            </w:pPr>
            <w:r>
              <w:rPr>
                <w:rFonts w:hint="eastAsia" w:ascii="宋体" w:hAnsi="宋体" w:cs="宋体"/>
                <w:szCs w:val="21"/>
              </w:rPr>
              <w:t>0.8%</w:t>
            </w:r>
          </w:p>
        </w:tc>
        <w:tc>
          <w:tcPr>
            <w:tcW w:w="1220" w:type="pct"/>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94" w:type="pct"/>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备注</w:t>
            </w:r>
          </w:p>
        </w:tc>
        <w:tc>
          <w:tcPr>
            <w:tcW w:w="3706" w:type="pct"/>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s="宋体"/>
                <w:szCs w:val="21"/>
              </w:rPr>
            </w:pPr>
            <w:r>
              <w:rPr>
                <w:rFonts w:hint="eastAsia" w:ascii="宋体" w:hAnsi="宋体" w:cs="宋体"/>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5" w:type="default"/>
          <w:pgSz w:w="11906" w:h="16838"/>
          <w:pgMar w:top="1191" w:right="1417" w:bottom="1191" w:left="1191" w:header="851" w:footer="851" w:gutter="0"/>
          <w:cols w:space="720" w:num="1"/>
          <w:docGrid w:linePitch="312" w:charSpace="0"/>
        </w:sectPr>
      </w:pPr>
      <w:r>
        <w:rPr>
          <w:rFonts w:hint="eastAsia" w:ascii="宋体" w:hAnsi="宋体" w:cs="宋体"/>
          <w:szCs w:val="21"/>
        </w:rPr>
        <w:t>本项目采购代理服务费为2万元</w:t>
      </w:r>
    </w:p>
    <w:p>
      <w:pPr>
        <w:pStyle w:val="4"/>
        <w:keepNext w:val="0"/>
        <w:spacing w:line="360" w:lineRule="auto"/>
        <w:rPr>
          <w:rFonts w:ascii="宋体" w:hAnsi="宋体" w:cs="宋体"/>
          <w:bCs w:val="0"/>
          <w:sz w:val="32"/>
          <w:szCs w:val="32"/>
        </w:rPr>
      </w:pPr>
      <w:bookmarkStart w:id="38" w:name="_Toc5567"/>
      <w:bookmarkStart w:id="39" w:name="_Toc31786"/>
      <w:bookmarkStart w:id="40" w:name="_Toc28427"/>
      <w:bookmarkStart w:id="41" w:name="_Toc4275"/>
      <w:r>
        <w:rPr>
          <w:rFonts w:hint="eastAsia" w:ascii="宋体" w:hAnsi="宋体" w:cs="宋体"/>
          <w:bCs w:val="0"/>
          <w:sz w:val="32"/>
          <w:szCs w:val="32"/>
        </w:rPr>
        <w:t>第三章  评审办法及标准</w:t>
      </w:r>
      <w:bookmarkEnd w:id="38"/>
      <w:bookmarkEnd w:id="39"/>
      <w:bookmarkEnd w:id="40"/>
      <w:bookmarkEnd w:id="41"/>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3．谈判程序分为：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4.2参与谈判的代表身份经验证不合格的，视为无效响应，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5.2谈判单位法定代表人或授权委托人、现场监审、记录人等有关人员在唱价记录表上签字确认，谈判单位对本阶段有异议的应当场提出，采购人当场作出答复，并记录在案，未提出的，视为无异议。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6.符合性审查阶段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6.1资格的符合性审查</w:t>
      </w:r>
    </w:p>
    <w:p>
      <w:pPr>
        <w:adjustRightInd w:val="0"/>
        <w:snapToGrid w:val="0"/>
        <w:spacing w:line="360" w:lineRule="auto"/>
        <w:ind w:firstLine="420" w:firstLineChars="200"/>
        <w:rPr>
          <w:rFonts w:ascii="宋体" w:hAnsi="宋体" w:cs="宋体"/>
          <w:szCs w:val="21"/>
          <w:highlight w:val="yellow"/>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6.3有下列情形之一的，为符合性审查不合格，视为无效响应，不进入下一阶段：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（1）未按照谈判文件规定要求签署盖章的；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（3）不满足资格条件要求的；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（4）不满足用户需求书要求的；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（5）超过最高限价的；</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（6）递交两份或多份内容不同的报价文件，或在一份报价文件中对同一项目报有两个或多个报价，且未声明哪一个有效的。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7.</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8.推荐中选单位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8.1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8.2全部评审结束后，若出现报价得分相同的情形，则采用现场抽签方式确定中选单位。</w:t>
      </w:r>
    </w:p>
    <w:p>
      <w:pPr>
        <w:rPr>
          <w:rFonts w:ascii="宋体" w:hAnsi="宋体" w:cs="宋体"/>
          <w:bCs/>
          <w:szCs w:val="21"/>
        </w:rPr>
        <w:sectPr>
          <w:pgSz w:w="11906" w:h="16838"/>
          <w:pgMar w:top="1191" w:right="1417" w:bottom="1191" w:left="1191" w:header="851" w:footer="851" w:gutter="0"/>
          <w:cols w:space="720" w:num="1"/>
          <w:docGrid w:linePitch="312" w:charSpace="0"/>
        </w:sectPr>
      </w:pPr>
      <w:r>
        <w:rPr>
          <w:rFonts w:hint="eastAsia" w:ascii="宋体" w:hAnsi="宋体" w:cs="宋体"/>
          <w:kern w:val="0"/>
          <w:szCs w:val="21"/>
        </w:rPr>
        <w:br w:type="page"/>
      </w:r>
    </w:p>
    <w:p>
      <w:pPr>
        <w:pStyle w:val="4"/>
        <w:keepNext w:val="0"/>
        <w:rPr>
          <w:rFonts w:ascii="宋体" w:hAnsi="宋体" w:cs="宋体"/>
          <w:bCs w:val="0"/>
          <w:sz w:val="32"/>
          <w:szCs w:val="32"/>
        </w:rPr>
      </w:pPr>
      <w:bookmarkStart w:id="42" w:name="_Toc23967"/>
      <w:bookmarkStart w:id="43" w:name="_Toc14891077"/>
      <w:bookmarkStart w:id="44" w:name="_Toc23442"/>
      <w:bookmarkStart w:id="45" w:name="_Toc17997"/>
      <w:bookmarkStart w:id="46" w:name="_Toc17562"/>
      <w:r>
        <w:rPr>
          <w:rFonts w:hint="eastAsia" w:ascii="宋体" w:hAnsi="宋体" w:cs="宋体"/>
          <w:bCs w:val="0"/>
          <w:sz w:val="32"/>
          <w:szCs w:val="32"/>
        </w:rPr>
        <w:t>第四章  用户需求书</w:t>
      </w:r>
      <w:bookmarkEnd w:id="42"/>
      <w:bookmarkEnd w:id="43"/>
      <w:bookmarkEnd w:id="44"/>
      <w:bookmarkEnd w:id="45"/>
      <w:bookmarkEnd w:id="46"/>
      <w:r>
        <w:rPr>
          <w:rFonts w:hint="eastAsia" w:ascii="宋体" w:hAnsi="宋体" w:cs="宋体"/>
          <w:bCs w:val="0"/>
          <w:sz w:val="32"/>
          <w:szCs w:val="32"/>
        </w:rPr>
        <w:t>（另册）</w:t>
      </w:r>
    </w:p>
    <w:p>
      <w:pPr>
        <w:widowControl/>
        <w:jc w:val="left"/>
        <w:rPr>
          <w:rFonts w:hint="eastAsia" w:ascii="黑体" w:hAnsi="黑体" w:eastAsia="黑体" w:cs="黑体"/>
          <w:b/>
          <w:kern w:val="0"/>
          <w:sz w:val="30"/>
          <w:szCs w:val="30"/>
        </w:rPr>
      </w:pPr>
      <w:r>
        <w:rPr>
          <w:rFonts w:ascii="黑体" w:hAnsi="黑体" w:eastAsia="黑体" w:cs="黑体"/>
          <w:b/>
          <w:kern w:val="0"/>
          <w:sz w:val="30"/>
          <w:szCs w:val="30"/>
        </w:rPr>
        <w:br w:type="page"/>
      </w:r>
    </w:p>
    <w:p>
      <w:pPr>
        <w:pStyle w:val="4"/>
        <w:keepNext w:val="0"/>
        <w:rPr>
          <w:rFonts w:ascii="宋体" w:hAnsi="宋体" w:cs="宋体"/>
          <w:sz w:val="32"/>
          <w:szCs w:val="32"/>
        </w:rPr>
      </w:pPr>
      <w:bookmarkStart w:id="47" w:name="_Toc16008"/>
      <w:r>
        <w:rPr>
          <w:rFonts w:hint="eastAsia" w:ascii="宋体" w:hAnsi="宋体" w:cs="宋体"/>
          <w:bCs w:val="0"/>
          <w:sz w:val="32"/>
          <w:szCs w:val="32"/>
        </w:rPr>
        <w:t xml:space="preserve">第五章  </w:t>
      </w:r>
      <w:bookmarkEnd w:id="47"/>
      <w:r>
        <w:rPr>
          <w:rFonts w:hint="eastAsia" w:ascii="宋体" w:hAnsi="宋体" w:cs="宋体"/>
          <w:bCs w:val="0"/>
          <w:sz w:val="32"/>
          <w:szCs w:val="32"/>
        </w:rPr>
        <w:t>谈判</w:t>
      </w:r>
      <w:r>
        <w:rPr>
          <w:rFonts w:hint="eastAsia" w:ascii="宋体" w:hAnsi="宋体" w:cs="宋体"/>
          <w:sz w:val="32"/>
          <w:szCs w:val="32"/>
        </w:rPr>
        <w:t>最高限价</w:t>
      </w:r>
    </w:p>
    <w:p>
      <w:pPr>
        <w:adjustRightInd w:val="0"/>
        <w:snapToGrid w:val="0"/>
        <w:spacing w:before="156" w:beforeLines="50" w:after="156" w:afterLines="50" w:line="300" w:lineRule="auto"/>
        <w:ind w:firstLine="420" w:firstLineChars="200"/>
      </w:pPr>
      <w:r>
        <w:rPr>
          <w:rFonts w:hint="eastAsia" w:ascii="Times New Roman" w:hAnsi="Times New Roman" w:eastAsia="宋体" w:cs="Times New Roman"/>
          <w:kern w:val="2"/>
          <w:sz w:val="21"/>
          <w:szCs w:val="24"/>
          <w:lang w:val="en-US" w:eastAsia="zh-CN" w:bidi="ar-SA"/>
        </w:rPr>
        <w:t>本项目招标</w:t>
      </w:r>
      <w:r>
        <w:rPr>
          <w:rFonts w:ascii="Times New Roman" w:hAnsi="Times New Roman" w:eastAsia="宋体" w:cs="Times New Roman"/>
          <w:kern w:val="2"/>
          <w:sz w:val="21"/>
          <w:szCs w:val="24"/>
          <w:lang w:val="en-US" w:eastAsia="zh-CN" w:bidi="ar-SA"/>
        </w:rPr>
        <w:t>最高限价</w:t>
      </w:r>
      <w:r>
        <w:rPr>
          <w:rFonts w:hint="eastAsia" w:ascii="Times New Roman" w:hAnsi="Times New Roman" w:eastAsia="宋体" w:cs="Times New Roman"/>
          <w:kern w:val="2"/>
          <w:sz w:val="21"/>
          <w:szCs w:val="24"/>
          <w:lang w:val="en-US" w:eastAsia="zh-CN" w:bidi="ar-SA"/>
        </w:rPr>
        <w:t>（小写）：</w:t>
      </w:r>
      <w:r>
        <w:rPr>
          <w:rFonts w:ascii="Times New Roman" w:hAnsi="Times New Roman" w:eastAsia="宋体" w:cs="Times New Roman"/>
          <w:kern w:val="2"/>
          <w:sz w:val="21"/>
          <w:szCs w:val="24"/>
          <w:lang w:val="en-US" w:eastAsia="zh-CN" w:bidi="ar-SA"/>
        </w:rPr>
        <w:t>1957</w:t>
      </w:r>
      <w:r>
        <w:t>20.64元</w:t>
      </w:r>
      <w:r>
        <w:rPr>
          <w:rFonts w:hint="eastAsia"/>
        </w:rPr>
        <w:t>；（大写）：拾玖万伍仟柒佰贰拾元陆角肆分。</w:t>
      </w:r>
    </w:p>
    <w:p>
      <w:pPr>
        <w:pStyle w:val="2"/>
        <w:rPr>
          <w:rFonts w:hint="eastAsia"/>
        </w:rPr>
      </w:pPr>
      <w:r>
        <w:t>本项目清单详见附件</w:t>
      </w:r>
      <w:r>
        <w:rPr>
          <w:rFonts w:hint="eastAsia"/>
        </w:rPr>
        <w:t>：</w:t>
      </w:r>
      <w:r>
        <w:t>最高限价</w:t>
      </w:r>
      <w:r>
        <w:rPr>
          <w:rFonts w:hint="eastAsia"/>
        </w:rPr>
        <w:t>。</w:t>
      </w:r>
    </w:p>
    <w:p>
      <w:pPr>
        <w:pStyle w:val="4"/>
        <w:keepNext w:val="0"/>
        <w:rPr>
          <w:rFonts w:ascii="宋体" w:hAnsi="宋体" w:cs="宋体"/>
          <w:bCs w:val="0"/>
          <w:sz w:val="32"/>
          <w:szCs w:val="32"/>
        </w:rPr>
      </w:pPr>
      <w:bookmarkStart w:id="48" w:name="_Toc17441"/>
      <w:bookmarkStart w:id="49" w:name="_Toc14891078"/>
      <w:bookmarkStart w:id="50" w:name="_Toc13521"/>
      <w:bookmarkStart w:id="51" w:name="_Toc22262"/>
      <w:bookmarkStart w:id="52" w:name="_Toc26126"/>
    </w:p>
    <w:p>
      <w:pPr>
        <w:rPr>
          <w:rFonts w:hint="eastAsia"/>
        </w:rPr>
        <w:sectPr>
          <w:headerReference r:id="rId6" w:type="default"/>
          <w:footerReference r:id="rId7" w:type="default"/>
          <w:endnotePr>
            <w:numFmt w:val="decimal"/>
          </w:endnotePr>
          <w:pgSz w:w="11906" w:h="16838"/>
          <w:pgMar w:top="1191" w:right="1417" w:bottom="1191" w:left="1191" w:header="851" w:footer="851" w:gutter="0"/>
          <w:cols w:space="720" w:num="1"/>
          <w:docGrid w:type="lines" w:linePitch="312" w:charSpace="0"/>
        </w:sectPr>
      </w:pPr>
    </w:p>
    <w:p>
      <w:pPr>
        <w:pStyle w:val="4"/>
        <w:keepNext w:val="0"/>
        <w:rPr>
          <w:rFonts w:ascii="宋体" w:hAnsi="宋体" w:cs="宋体"/>
          <w:bCs w:val="0"/>
          <w:sz w:val="32"/>
          <w:szCs w:val="32"/>
        </w:rPr>
      </w:pPr>
      <w:r>
        <w:rPr>
          <w:rFonts w:hint="eastAsia" w:ascii="宋体" w:hAnsi="宋体" w:cs="宋体"/>
          <w:bCs w:val="0"/>
          <w:sz w:val="32"/>
          <w:szCs w:val="32"/>
        </w:rPr>
        <w:t>第六章  合同格式条款</w:t>
      </w:r>
      <w:bookmarkEnd w:id="48"/>
      <w:bookmarkEnd w:id="49"/>
      <w:bookmarkEnd w:id="50"/>
      <w:bookmarkEnd w:id="51"/>
      <w:bookmarkEnd w:id="52"/>
    </w:p>
    <w:p>
      <w:pPr>
        <w:adjustRightInd w:val="0"/>
        <w:snapToGrid w:val="0"/>
        <w:spacing w:line="360" w:lineRule="auto"/>
        <w:ind w:firstLine="2880" w:firstLineChars="1200"/>
        <w:jc w:val="right"/>
        <w:rPr>
          <w:rFonts w:ascii="仿宋" w:hAnsi="仿宋" w:eastAsia="仿宋" w:cs="仿宋"/>
          <w:sz w:val="22"/>
          <w:szCs w:val="18"/>
        </w:rPr>
      </w:pPr>
      <w:r>
        <w:rPr>
          <w:rFonts w:hint="eastAsia" w:ascii="仿宋" w:hAnsi="仿宋" w:eastAsia="仿宋" w:cs="仿宋"/>
          <w:sz w:val="24"/>
        </w:rPr>
        <w:t>合同编号:长轨运  工合[20  ]  号</w:t>
      </w:r>
    </w:p>
    <w:p>
      <w:pPr>
        <w:adjustRightInd w:val="0"/>
        <w:snapToGrid w:val="0"/>
        <w:spacing w:line="360" w:lineRule="auto"/>
        <w:rPr>
          <w:rFonts w:ascii="仿宋" w:hAnsi="仿宋" w:eastAsia="仿宋" w:cs="仿宋"/>
          <w:b/>
          <w:sz w:val="18"/>
          <w:szCs w:val="18"/>
        </w:rPr>
      </w:pPr>
    </w:p>
    <w:p>
      <w:pPr>
        <w:adjustRightInd w:val="0"/>
        <w:snapToGrid w:val="0"/>
        <w:spacing w:line="360" w:lineRule="auto"/>
        <w:rPr>
          <w:rFonts w:ascii="仿宋" w:hAnsi="仿宋" w:eastAsia="仿宋" w:cs="仿宋"/>
          <w:b/>
          <w:sz w:val="18"/>
          <w:szCs w:val="18"/>
        </w:rPr>
      </w:pPr>
    </w:p>
    <w:p>
      <w:pPr>
        <w:adjustRightInd w:val="0"/>
        <w:snapToGrid w:val="0"/>
        <w:spacing w:line="360" w:lineRule="auto"/>
        <w:rPr>
          <w:rFonts w:ascii="仿宋" w:hAnsi="仿宋" w:eastAsia="仿宋" w:cs="仿宋"/>
          <w:b/>
          <w:sz w:val="18"/>
          <w:szCs w:val="18"/>
        </w:rPr>
      </w:pPr>
    </w:p>
    <w:p>
      <w:pPr>
        <w:adjustRightInd w:val="0"/>
        <w:snapToGrid w:val="0"/>
        <w:spacing w:line="360" w:lineRule="auto"/>
        <w:rPr>
          <w:rFonts w:ascii="仿宋" w:hAnsi="仿宋" w:eastAsia="仿宋" w:cs="仿宋"/>
          <w:b/>
          <w:sz w:val="18"/>
          <w:szCs w:val="18"/>
        </w:rPr>
      </w:pPr>
    </w:p>
    <w:p>
      <w:pPr>
        <w:adjustRightInd w:val="0"/>
        <w:snapToGrid w:val="0"/>
        <w:spacing w:line="360" w:lineRule="auto"/>
        <w:rPr>
          <w:rFonts w:ascii="仿宋" w:hAnsi="仿宋" w:eastAsia="仿宋" w:cs="仿宋"/>
          <w:b/>
          <w:sz w:val="18"/>
          <w:szCs w:val="18"/>
        </w:rPr>
      </w:pPr>
    </w:p>
    <w:p>
      <w:pPr>
        <w:adjustRightInd w:val="0"/>
        <w:snapToGrid w:val="0"/>
        <w:spacing w:line="360" w:lineRule="auto"/>
        <w:jc w:val="center"/>
        <w:rPr>
          <w:rFonts w:ascii="仿宋" w:hAnsi="仿宋" w:eastAsia="仿宋" w:cs="仿宋"/>
          <w:b/>
          <w:sz w:val="48"/>
          <w:szCs w:val="48"/>
        </w:rPr>
      </w:pPr>
      <w:r>
        <w:rPr>
          <w:rFonts w:hint="eastAsia" w:ascii="仿宋" w:hAnsi="仿宋" w:eastAsia="仿宋" w:cs="仿宋"/>
          <w:b/>
          <w:spacing w:val="20"/>
          <w:sz w:val="52"/>
          <w:szCs w:val="52"/>
        </w:rPr>
        <w:t>工程项目合同</w:t>
      </w:r>
      <w:r>
        <w:rPr>
          <w:rFonts w:hint="eastAsia" w:ascii="仿宋" w:hAnsi="仿宋" w:eastAsia="仿宋" w:cs="仿宋"/>
          <w:b/>
          <w:spacing w:val="20"/>
          <w:sz w:val="48"/>
          <w:szCs w:val="48"/>
        </w:rPr>
        <w:t xml:space="preserve"> </w:t>
      </w:r>
    </w:p>
    <w:p>
      <w:pPr>
        <w:adjustRightInd w:val="0"/>
        <w:snapToGrid w:val="0"/>
        <w:spacing w:line="360" w:lineRule="auto"/>
        <w:ind w:firstLine="421" w:firstLineChars="233"/>
        <w:rPr>
          <w:rFonts w:ascii="仿宋" w:hAnsi="仿宋" w:eastAsia="仿宋" w:cs="仿宋"/>
          <w:b/>
          <w:sz w:val="18"/>
          <w:szCs w:val="18"/>
        </w:rPr>
      </w:pPr>
    </w:p>
    <w:p>
      <w:pPr>
        <w:adjustRightInd w:val="0"/>
        <w:snapToGrid w:val="0"/>
        <w:spacing w:line="360" w:lineRule="auto"/>
        <w:rPr>
          <w:rFonts w:ascii="仿宋" w:hAnsi="仿宋" w:eastAsia="仿宋" w:cs="仿宋"/>
          <w:b/>
          <w:sz w:val="18"/>
          <w:szCs w:val="18"/>
        </w:rPr>
      </w:pPr>
    </w:p>
    <w:p>
      <w:pPr>
        <w:adjustRightInd w:val="0"/>
        <w:snapToGrid w:val="0"/>
        <w:spacing w:line="360" w:lineRule="auto"/>
        <w:ind w:firstLine="421" w:firstLineChars="233"/>
        <w:rPr>
          <w:rFonts w:ascii="仿宋" w:hAnsi="仿宋" w:eastAsia="仿宋" w:cs="仿宋"/>
          <w:b/>
          <w:sz w:val="18"/>
          <w:szCs w:val="18"/>
        </w:rPr>
      </w:pPr>
    </w:p>
    <w:p>
      <w:pPr>
        <w:adjustRightInd w:val="0"/>
        <w:snapToGrid w:val="0"/>
        <w:spacing w:line="360" w:lineRule="auto"/>
        <w:ind w:firstLine="421" w:firstLineChars="233"/>
        <w:rPr>
          <w:rFonts w:ascii="仿宋" w:hAnsi="仿宋" w:eastAsia="仿宋" w:cs="仿宋"/>
          <w:b/>
          <w:sz w:val="18"/>
          <w:szCs w:val="18"/>
        </w:rPr>
      </w:pPr>
    </w:p>
    <w:p>
      <w:pPr>
        <w:adjustRightInd w:val="0"/>
        <w:snapToGrid w:val="0"/>
        <w:spacing w:line="360" w:lineRule="auto"/>
        <w:ind w:left="2151" w:leftChars="399" w:hanging="1313" w:hangingChars="467"/>
        <w:jc w:val="left"/>
        <w:rPr>
          <w:rFonts w:ascii="仿宋" w:hAnsi="仿宋" w:eastAsia="仿宋" w:cs="仿宋"/>
          <w:b/>
          <w:sz w:val="28"/>
          <w:szCs w:val="28"/>
        </w:rPr>
      </w:pPr>
      <w:r>
        <w:rPr>
          <w:rFonts w:hint="eastAsia" w:ascii="仿宋" w:hAnsi="仿宋" w:eastAsia="仿宋" w:cs="仿宋"/>
          <w:b/>
          <w:sz w:val="28"/>
          <w:szCs w:val="28"/>
        </w:rPr>
        <w:t>项目名称：</w:t>
      </w:r>
      <w:r>
        <w:rPr>
          <w:rFonts w:hint="eastAsia" w:ascii="仿宋" w:hAnsi="仿宋" w:eastAsia="仿宋" w:cs="仿宋"/>
          <w:b/>
          <w:sz w:val="28"/>
          <w:szCs w:val="28"/>
          <w:u w:val="dotted"/>
        </w:rPr>
        <w:t>长沙市轨道交通2号线一期工程运营期正线0.4kv开关柜冷水机组抽屉开关改造工程项目</w:t>
      </w:r>
    </w:p>
    <w:p>
      <w:pPr>
        <w:adjustRightInd w:val="0"/>
        <w:snapToGrid w:val="0"/>
        <w:spacing w:line="360" w:lineRule="auto"/>
        <w:ind w:firstLine="655" w:firstLineChars="233"/>
        <w:jc w:val="left"/>
        <w:rPr>
          <w:rFonts w:ascii="仿宋" w:hAnsi="仿宋" w:eastAsia="仿宋" w:cs="仿宋"/>
          <w:b/>
          <w:sz w:val="28"/>
          <w:szCs w:val="28"/>
        </w:rPr>
      </w:pPr>
    </w:p>
    <w:p>
      <w:pPr>
        <w:ind w:left="420" w:leftChars="200"/>
      </w:pPr>
    </w:p>
    <w:p>
      <w:pPr>
        <w:adjustRightInd w:val="0"/>
        <w:snapToGrid w:val="0"/>
        <w:spacing w:line="360" w:lineRule="auto"/>
        <w:ind w:firstLine="655" w:firstLineChars="233"/>
        <w:jc w:val="left"/>
        <w:rPr>
          <w:rFonts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r>
        <w:rPr>
          <w:rFonts w:hint="eastAsia" w:ascii="仿宋" w:hAnsi="仿宋" w:eastAsia="仿宋" w:cs="仿宋"/>
          <w:b/>
          <w:sz w:val="28"/>
          <w:szCs w:val="28"/>
        </w:rPr>
        <w:t xml:space="preserve">    </w:t>
      </w:r>
    </w:p>
    <w:p>
      <w:pPr>
        <w:adjustRightInd w:val="0"/>
        <w:snapToGrid w:val="0"/>
        <w:spacing w:line="360" w:lineRule="auto"/>
        <w:ind w:firstLine="655" w:firstLineChars="233"/>
        <w:jc w:val="left"/>
        <w:rPr>
          <w:rFonts w:ascii="仿宋" w:hAnsi="仿宋" w:eastAsia="仿宋" w:cs="仿宋"/>
          <w:b/>
          <w:sz w:val="28"/>
          <w:szCs w:val="28"/>
        </w:rPr>
      </w:pPr>
    </w:p>
    <w:p>
      <w:pPr>
        <w:adjustRightInd w:val="0"/>
        <w:snapToGrid w:val="0"/>
        <w:spacing w:line="360" w:lineRule="auto"/>
        <w:jc w:val="left"/>
        <w:rPr>
          <w:rFonts w:ascii="仿宋" w:hAnsi="仿宋" w:eastAsia="仿宋" w:cs="仿宋"/>
          <w:b/>
          <w:sz w:val="28"/>
          <w:szCs w:val="28"/>
        </w:rPr>
      </w:pPr>
    </w:p>
    <w:p>
      <w:pPr>
        <w:adjustRightInd w:val="0"/>
        <w:snapToGrid w:val="0"/>
        <w:spacing w:line="360" w:lineRule="auto"/>
        <w:ind w:firstLine="655" w:firstLineChars="233"/>
        <w:jc w:val="left"/>
        <w:rPr>
          <w:rFonts w:ascii="仿宋" w:hAnsi="仿宋" w:eastAsia="仿宋" w:cs="仿宋"/>
          <w:b/>
          <w:sz w:val="28"/>
          <w:szCs w:val="28"/>
        </w:rPr>
      </w:pPr>
    </w:p>
    <w:p>
      <w:pPr>
        <w:adjustRightInd w:val="0"/>
        <w:snapToGrid w:val="0"/>
        <w:spacing w:line="360" w:lineRule="auto"/>
        <w:ind w:firstLine="655" w:firstLineChars="233"/>
        <w:jc w:val="left"/>
        <w:rPr>
          <w:rFonts w:ascii="仿宋" w:hAnsi="仿宋" w:eastAsia="仿宋" w:cs="仿宋"/>
          <w:b/>
          <w:sz w:val="28"/>
          <w:szCs w:val="28"/>
        </w:rPr>
      </w:pPr>
      <w:r>
        <w:rPr>
          <w:rFonts w:hint="eastAsia" w:ascii="仿宋" w:hAnsi="仿宋" w:eastAsia="仿宋" w:cs="仿宋"/>
          <w:b/>
          <w:sz w:val="28"/>
          <w:szCs w:val="28"/>
        </w:rPr>
        <w:t>甲方：</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firstLine="655" w:firstLineChars="233"/>
        <w:jc w:val="left"/>
        <w:rPr>
          <w:rFonts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jc w:val="left"/>
        <w:rPr>
          <w:rFonts w:ascii="仿宋" w:hAnsi="仿宋" w:eastAsia="仿宋" w:cs="仿宋"/>
          <w:b/>
          <w:sz w:val="28"/>
          <w:szCs w:val="28"/>
        </w:rPr>
      </w:pPr>
    </w:p>
    <w:p>
      <w:pPr>
        <w:adjustRightInd w:val="0"/>
        <w:snapToGrid w:val="0"/>
        <w:spacing w:line="360" w:lineRule="auto"/>
        <w:ind w:firstLine="655" w:firstLineChars="233"/>
        <w:jc w:val="left"/>
        <w:rPr>
          <w:rFonts w:ascii="仿宋" w:hAnsi="仿宋" w:eastAsia="仿宋" w:cs="仿宋"/>
          <w:b/>
          <w:sz w:val="28"/>
          <w:szCs w:val="28"/>
        </w:rPr>
      </w:pPr>
      <w:r>
        <w:rPr>
          <w:rFonts w:hint="eastAsia" w:ascii="仿宋" w:hAnsi="仿宋" w:eastAsia="仿宋" w:cs="仿宋"/>
          <w:b/>
          <w:sz w:val="28"/>
          <w:szCs w:val="28"/>
        </w:rPr>
        <w:t>乙方：</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firstLine="655" w:firstLineChars="233"/>
        <w:jc w:val="left"/>
        <w:rPr>
          <w:rFonts w:ascii="仿宋" w:hAnsi="仿宋" w:eastAsia="仿宋" w:cs="仿宋"/>
          <w:b/>
          <w:sz w:val="28"/>
          <w:szCs w:val="28"/>
        </w:rPr>
      </w:pPr>
    </w:p>
    <w:p>
      <w:pPr>
        <w:adjustRightInd w:val="0"/>
        <w:snapToGrid w:val="0"/>
        <w:spacing w:line="360" w:lineRule="auto"/>
        <w:ind w:firstLine="421" w:firstLineChars="233"/>
        <w:rPr>
          <w:rFonts w:ascii="仿宋" w:hAnsi="仿宋" w:eastAsia="仿宋" w:cs="仿宋"/>
          <w:b/>
          <w:sz w:val="18"/>
          <w:szCs w:val="18"/>
        </w:rPr>
      </w:pPr>
    </w:p>
    <w:p>
      <w:pPr>
        <w:adjustRightInd w:val="0"/>
        <w:snapToGrid w:val="0"/>
        <w:spacing w:line="360" w:lineRule="auto"/>
        <w:rPr>
          <w:rFonts w:ascii="仿宋" w:hAnsi="仿宋" w:eastAsia="仿宋" w:cs="仿宋"/>
          <w:b/>
          <w:sz w:val="24"/>
        </w:rPr>
        <w:sectPr>
          <w:headerReference r:id="rId8" w:type="default"/>
          <w:footerReference r:id="rId9" w:type="default"/>
          <w:endnotePr>
            <w:numFmt w:val="decimal"/>
          </w:endnotePr>
          <w:pgSz w:w="11906" w:h="16838"/>
          <w:pgMar w:top="1440" w:right="1440" w:bottom="1440" w:left="1440" w:header="851" w:footer="851" w:gutter="0"/>
          <w:cols w:space="720" w:num="1"/>
          <w:docGrid w:type="lines" w:linePitch="312" w:charSpace="0"/>
        </w:sectPr>
      </w:pPr>
    </w:p>
    <w:p>
      <w:pPr>
        <w:adjustRightInd w:val="0"/>
        <w:snapToGrid w:val="0"/>
        <w:spacing w:line="400" w:lineRule="exact"/>
        <w:jc w:val="center"/>
        <w:outlineLvl w:val="0"/>
        <w:rPr>
          <w:rFonts w:ascii="仿宋" w:hAnsi="仿宋" w:eastAsia="仿宋" w:cs="仿宋"/>
          <w:b/>
          <w:bCs/>
          <w:sz w:val="32"/>
          <w:szCs w:val="32"/>
        </w:rPr>
      </w:pPr>
      <w:r>
        <w:rPr>
          <w:rFonts w:hint="eastAsia" w:ascii="仿宋" w:hAnsi="仿宋" w:eastAsia="仿宋" w:cs="仿宋"/>
          <w:b/>
          <w:bCs/>
          <w:sz w:val="32"/>
          <w:szCs w:val="32"/>
        </w:rPr>
        <w:t>第一部分 合同协议书</w:t>
      </w:r>
    </w:p>
    <w:p>
      <w:pPr>
        <w:adjustRightInd w:val="0"/>
        <w:snapToGrid w:val="0"/>
        <w:spacing w:line="360" w:lineRule="auto"/>
        <w:rPr>
          <w:rFonts w:ascii="仿宋_GB2312" w:hAnsi="仿宋_GB2312" w:eastAsia="仿宋_GB2312" w:cs="仿宋_GB2312"/>
          <w:b/>
          <w:sz w:val="24"/>
          <w:u w:val="dotted"/>
        </w:rPr>
      </w:pPr>
      <w:r>
        <w:rPr>
          <w:rFonts w:hint="eastAsia" w:ascii="仿宋_GB2312" w:hAnsi="仿宋_GB2312" w:eastAsia="仿宋_GB2312" w:cs="仿宋_GB2312"/>
          <w:b/>
          <w:sz w:val="24"/>
        </w:rPr>
        <w:t>甲方（全称）:</w:t>
      </w:r>
      <w:r>
        <w:rPr>
          <w:rFonts w:hint="eastAsia" w:ascii="仿宋_GB2312" w:hAnsi="仿宋_GB2312" w:eastAsia="仿宋_GB2312" w:cs="仿宋_GB2312"/>
          <w:bCs/>
          <w:snapToGrid w:val="0"/>
          <w:kern w:val="0"/>
          <w:sz w:val="24"/>
          <w:u w:val="single"/>
        </w:rPr>
        <w:t xml:space="preserve">                       </w:t>
      </w:r>
      <w:r>
        <w:rPr>
          <w:rFonts w:hint="eastAsia" w:ascii="仿宋_GB2312" w:hAnsi="仿宋_GB2312" w:eastAsia="仿宋_GB2312" w:cs="仿宋_GB2312"/>
          <w:bCs/>
          <w:snapToGrid w:val="0"/>
          <w:kern w:val="0"/>
          <w:sz w:val="24"/>
        </w:rPr>
        <w:t>（以下简称甲方）</w:t>
      </w:r>
    </w:p>
    <w:p>
      <w:pPr>
        <w:adjustRightInd w:val="0"/>
        <w:snapToGrid w:val="0"/>
        <w:spacing w:line="360" w:lineRule="auto"/>
        <w:rPr>
          <w:rFonts w:ascii="仿宋_GB2312" w:hAnsi="仿宋_GB2312" w:eastAsia="仿宋_GB2312" w:cs="仿宋_GB2312"/>
          <w:b/>
          <w:sz w:val="24"/>
          <w:u w:val="dotted"/>
        </w:rPr>
      </w:pPr>
      <w:r>
        <w:rPr>
          <w:rFonts w:hint="eastAsia" w:ascii="仿宋_GB2312" w:hAnsi="仿宋_GB2312" w:eastAsia="仿宋_GB2312" w:cs="仿宋_GB2312"/>
          <w:b/>
          <w:sz w:val="24"/>
        </w:rPr>
        <w:t>乙方（全称）</w:t>
      </w:r>
      <w:r>
        <w:rPr>
          <w:rFonts w:hint="eastAsia" w:ascii="仿宋_GB2312" w:hAnsi="仿宋_GB2312" w:eastAsia="仿宋_GB2312" w:cs="仿宋_GB2312"/>
          <w:bCs/>
          <w:snapToGrid w:val="0"/>
          <w:kern w:val="0"/>
          <w:sz w:val="24"/>
        </w:rPr>
        <w:t>:</w:t>
      </w:r>
      <w:r>
        <w:rPr>
          <w:rFonts w:hint="eastAsia" w:ascii="仿宋_GB2312" w:hAnsi="仿宋_GB2312" w:eastAsia="仿宋_GB2312" w:cs="仿宋_GB2312"/>
          <w:bCs/>
          <w:snapToGrid w:val="0"/>
          <w:kern w:val="0"/>
          <w:sz w:val="24"/>
          <w:u w:val="single"/>
        </w:rPr>
        <w:t xml:space="preserve">                       </w:t>
      </w:r>
      <w:r>
        <w:rPr>
          <w:rFonts w:hint="eastAsia" w:ascii="仿宋_GB2312" w:hAnsi="仿宋_GB2312" w:eastAsia="仿宋_GB2312" w:cs="仿宋_GB2312"/>
          <w:bCs/>
          <w:snapToGrid w:val="0"/>
          <w:kern w:val="0"/>
          <w:sz w:val="24"/>
        </w:rPr>
        <w:t>（以下简称乙方）</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中华人民共和国民法典》、《中华人民共和国建筑法》、《中华人民共和国招标投标法》等相关法律法规的规定，遵循平等、自愿、公平和诚实信用的原则，双方就项目工程建设及有关事项协商一致，共同签订本合同。</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bCs/>
          <w:sz w:val="24"/>
        </w:rPr>
        <w:t>1、工程概况</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1.1工程名称：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1.2工程地点：</w:t>
      </w:r>
      <w:r>
        <w:rPr>
          <w:rFonts w:hint="eastAsia" w:ascii="仿宋_GB2312" w:hAnsi="仿宋_GB2312" w:eastAsia="仿宋_GB2312" w:cs="仿宋_GB2312"/>
          <w:sz w:val="24"/>
          <w:u w:val="single"/>
        </w:rPr>
        <w:t>详见用户需求书/技术规格书</w:t>
      </w:r>
      <w:r>
        <w:rPr>
          <w:rFonts w:hint="eastAsia" w:ascii="仿宋_GB2312" w:hAnsi="仿宋_GB2312" w:eastAsia="仿宋_GB2312" w:cs="仿宋_GB2312"/>
          <w:sz w:val="24"/>
        </w:rPr>
        <w:t>。</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1.3工程内容：</w:t>
      </w:r>
      <w:r>
        <w:rPr>
          <w:rFonts w:hint="eastAsia" w:ascii="仿宋_GB2312" w:hAnsi="仿宋_GB2312" w:eastAsia="仿宋_GB2312" w:cs="仿宋_GB2312"/>
          <w:sz w:val="24"/>
          <w:u w:val="single"/>
        </w:rPr>
        <w:t xml:space="preserve"> 详见用户需求书/技术规格书</w:t>
      </w:r>
      <w:r>
        <w:rPr>
          <w:rFonts w:hint="eastAsia" w:ascii="仿宋_GB2312" w:hAnsi="仿宋_GB2312" w:eastAsia="仿宋_GB2312" w:cs="仿宋_GB2312"/>
          <w:sz w:val="24"/>
        </w:rPr>
        <w:t>，具体工程内容以施工图纸和工程量清单为准。</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1.4工程承包范围：</w:t>
      </w:r>
      <w:bookmarkStart w:id="53" w:name="_Toc414154001"/>
      <w:r>
        <w:rPr>
          <w:rFonts w:hint="eastAsia" w:ascii="仿宋_GB2312" w:hAnsi="仿宋_GB2312" w:eastAsia="仿宋_GB2312" w:cs="仿宋_GB2312"/>
          <w:sz w:val="24"/>
          <w:u w:val="single"/>
        </w:rPr>
        <w:t>详见用户需求书/技术规格书</w:t>
      </w:r>
      <w:r>
        <w:rPr>
          <w:rFonts w:hint="eastAsia" w:ascii="仿宋_GB2312" w:hAnsi="仿宋_GB2312" w:eastAsia="仿宋_GB2312" w:cs="仿宋_GB2312"/>
          <w:sz w:val="24"/>
        </w:rPr>
        <w:t>。</w:t>
      </w:r>
    </w:p>
    <w:bookmarkEnd w:id="53"/>
    <w:p>
      <w:pPr>
        <w:adjustRightInd w:val="0"/>
        <w:snapToGrid w:val="0"/>
        <w:spacing w:line="360" w:lineRule="auto"/>
        <w:outlineLvl w:val="1"/>
        <w:rPr>
          <w:rFonts w:ascii="仿宋_GB2312" w:hAnsi="仿宋_GB2312" w:eastAsia="仿宋_GB2312" w:cs="仿宋_GB2312"/>
          <w:b/>
          <w:bCs/>
          <w:sz w:val="24"/>
        </w:rPr>
      </w:pPr>
      <w:bookmarkStart w:id="54" w:name="_Toc414154003"/>
      <w:r>
        <w:rPr>
          <w:rFonts w:hint="eastAsia" w:ascii="仿宋_GB2312" w:hAnsi="仿宋_GB2312" w:eastAsia="仿宋_GB2312" w:cs="仿宋_GB2312"/>
          <w:b/>
          <w:bCs/>
          <w:sz w:val="24"/>
        </w:rPr>
        <w:t>2、合同工期</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u w:val="single"/>
        </w:rPr>
        <w:t>详见用户需求书/技术规格书</w:t>
      </w:r>
      <w:r>
        <w:rPr>
          <w:rFonts w:hint="eastAsia" w:ascii="仿宋_GB2312" w:hAnsi="仿宋_GB2312" w:eastAsia="仿宋_GB2312" w:cs="仿宋_GB2312"/>
          <w:sz w:val="24"/>
        </w:rPr>
        <w:t>。</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bCs/>
          <w:sz w:val="24"/>
        </w:rPr>
        <w:t>3、签约合同价与合同形式</w:t>
      </w:r>
    </w:p>
    <w:p>
      <w:pPr>
        <w:adjustRightInd w:val="0"/>
        <w:snapToGrid w:val="0"/>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3.1签约合同价为：人民币（大写）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ascii="Calibri" w:hAnsi="Calibri" w:eastAsia="仿宋_GB2312" w:cs="Calibri"/>
          <w:sz w:val="24"/>
        </w:rPr>
        <w:t>¥</w:t>
      </w:r>
      <w:r>
        <w:rPr>
          <w:rFonts w:hint="eastAsia" w:ascii="仿宋_GB2312" w:hAnsi="仿宋_GB2312" w:eastAsia="仿宋_GB2312" w:cs="仿宋_GB2312"/>
          <w:sz w:val="24"/>
          <w:u w:val="single"/>
        </w:rPr>
        <w:t xml:space="preserve">             元 </w:t>
      </w:r>
      <w:r>
        <w:rPr>
          <w:rFonts w:hint="eastAsia" w:ascii="仿宋_GB2312" w:hAnsi="仿宋_GB2312" w:eastAsia="仿宋_GB2312" w:cs="仿宋_GB2312"/>
          <w:sz w:val="24"/>
        </w:rPr>
        <w:t>）。</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3.2合同价格方式：</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80"/>
        <w:rPr>
          <w:rFonts w:ascii="仿宋_GB2312" w:hAnsi="仿宋_GB2312" w:eastAsia="仿宋_GB2312" w:cs="仿宋_GB2312"/>
          <w:sz w:val="24"/>
          <w:u w:val="single"/>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总价合同，合同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bCs/>
          <w:sz w:val="24"/>
        </w:rPr>
        <w:t>4、合同文件构成</w:t>
      </w:r>
    </w:p>
    <w:p>
      <w:pPr>
        <w:adjustRightInd w:val="0"/>
        <w:snapToGrid w:val="0"/>
        <w:spacing w:line="360" w:lineRule="auto"/>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组成本合同的文件包括：</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（1）补充协议（如果有）；</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（2）合同协议书；</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（3）中选通知书/谈判记录表；</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（4）用户需求书/技术规格书；</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（5）图纸；</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（6）技术标准及要求;</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（7）签约合同价清单；</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（8）合同附件及承包人按合同附录格式及要求出具的文件；</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（9）自主竞争性谈判文件/直接委托谈判文件、澄清与答疑文件及其它补充资料；</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（10）谈判响应文件、澄清文件及其它补充资料；</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（11）其他构成本合同的文件。</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上述各项合同文件包括合同当事人就该项合同文件所作出的补充和修改，属于同一类内容的文件，应以最新签署的为准。</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在合同履行过程中形成的与合同有关的文件均构成合同文件组成部分，并根据其性质确定优先解释顺序。</w:t>
      </w:r>
    </w:p>
    <w:p>
      <w:pPr>
        <w:adjustRightInd w:val="0"/>
        <w:snapToGrid w:val="0"/>
        <w:spacing w:line="360" w:lineRule="auto"/>
        <w:outlineLvl w:val="1"/>
        <w:rPr>
          <w:rFonts w:ascii="仿宋_GB2312" w:hAnsi="仿宋_GB2312" w:eastAsia="仿宋_GB2312" w:cs="仿宋_GB2312"/>
          <w:kern w:val="28"/>
          <w:sz w:val="24"/>
        </w:rPr>
      </w:pPr>
      <w:bookmarkStart w:id="55" w:name="_Toc414154011"/>
      <w:r>
        <w:rPr>
          <w:rFonts w:hint="eastAsia" w:ascii="仿宋_GB2312" w:hAnsi="仿宋_GB2312" w:eastAsia="仿宋_GB2312" w:cs="仿宋_GB2312"/>
          <w:b/>
          <w:sz w:val="24"/>
        </w:rPr>
        <w:t>5、缺陷责任期和工程保修期</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5.1缺陷责任期：</w:t>
      </w:r>
      <w:r>
        <w:rPr>
          <w:rFonts w:hint="eastAsia" w:ascii="仿宋_GB2312" w:hAnsi="仿宋_GB2312" w:eastAsia="仿宋_GB2312" w:cs="仿宋_GB2312"/>
          <w:sz w:val="24"/>
          <w:u w:val="single"/>
        </w:rPr>
        <w:t>详见用户需求书/技术规格书</w:t>
      </w:r>
      <w:r>
        <w:rPr>
          <w:rFonts w:hint="eastAsia" w:ascii="仿宋_GB2312" w:hAnsi="仿宋_GB2312" w:eastAsia="仿宋_GB2312" w:cs="仿宋_GB2312"/>
          <w:sz w:val="24"/>
        </w:rPr>
        <w:t>。</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5.2工程保修期：</w:t>
      </w:r>
      <w:r>
        <w:rPr>
          <w:rFonts w:hint="eastAsia" w:ascii="仿宋_GB2312" w:hAnsi="仿宋_GB2312" w:eastAsia="仿宋_GB2312" w:cs="仿宋_GB2312"/>
          <w:sz w:val="24"/>
          <w:u w:val="single"/>
        </w:rPr>
        <w:t>详见用户需求书/技术规格书</w:t>
      </w:r>
      <w:r>
        <w:rPr>
          <w:rFonts w:hint="eastAsia" w:ascii="仿宋_GB2312" w:hAnsi="仿宋_GB2312" w:eastAsia="仿宋_GB2312" w:cs="仿宋_GB2312"/>
          <w:sz w:val="24"/>
        </w:rPr>
        <w:t>。</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5.3在工程移交甲方后，因乙方原因产生的质量缺陷，乙方应承担质量缺陷责任和保修义务。缺陷责任期届满，乙方仍应按合同约定的工程各部位保修年限承担保修义务。</w:t>
      </w:r>
    </w:p>
    <w:bookmarkEnd w:id="55"/>
    <w:p>
      <w:pPr>
        <w:adjustRightInd w:val="0"/>
        <w:snapToGrid w:val="0"/>
        <w:spacing w:line="360" w:lineRule="auto"/>
        <w:outlineLvl w:val="1"/>
        <w:rPr>
          <w:rFonts w:ascii="仿宋_GB2312" w:hAnsi="仿宋_GB2312" w:eastAsia="仿宋_GB2312" w:cs="仿宋_GB2312"/>
          <w:b/>
          <w:sz w:val="24"/>
        </w:rPr>
      </w:pPr>
      <w:r>
        <w:rPr>
          <w:rFonts w:hint="eastAsia" w:ascii="仿宋_GB2312" w:hAnsi="仿宋_GB2312" w:eastAsia="仿宋_GB2312" w:cs="仿宋_GB2312"/>
          <w:b/>
          <w:sz w:val="24"/>
        </w:rPr>
        <w:t>6、工程质量</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6.1 本工程质量标准必须符合现行国家有关工程施工质量验收规范和标准的要求。</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6.2乙方应向甲方提交工程质量保证体系及措施文件，建立完善的质量检查制度，并提交相应的工程质量文件。</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6.3因乙方原因造成工程质量未达到合同约定标准的，甲方有权要求乙方返工直至工程质量达到合同约定的标准为止，并由乙方承担由此增加的费用和（或）延误的工期。</w:t>
      </w:r>
    </w:p>
    <w:p>
      <w:pPr>
        <w:adjustRightInd w:val="0"/>
        <w:snapToGrid w:val="0"/>
        <w:spacing w:line="360" w:lineRule="auto"/>
        <w:outlineLvl w:val="1"/>
        <w:rPr>
          <w:rFonts w:ascii="仿宋_GB2312" w:hAnsi="仿宋_GB2312" w:eastAsia="仿宋_GB2312" w:cs="仿宋_GB2312"/>
          <w:b/>
          <w:sz w:val="24"/>
        </w:rPr>
      </w:pPr>
      <w:r>
        <w:rPr>
          <w:rFonts w:hint="eastAsia" w:ascii="仿宋_GB2312" w:hAnsi="仿宋_GB2312" w:eastAsia="仿宋_GB2312" w:cs="仿宋_GB2312"/>
          <w:b/>
          <w:sz w:val="24"/>
        </w:rPr>
        <w:t>7、材料和工程设备</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7.1乙方负责采购的材料、工程设备须符合设计和有关标准要求，乙方应提供产品合格证明及出厂证明，对材料、工程设备质量负责，并负责妥善保管。</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7.2法律规定材料和工程设备使用前必须进行检验或试验的，属于乙方自检性质的，乙方应单独进行检验和试验；属于甲方的抽检性质的，应按配合受委托的检测机构进行检验或试验。检验和试验不合格的不得使用。</w:t>
      </w:r>
    </w:p>
    <w:p>
      <w:pPr>
        <w:adjustRightInd w:val="0"/>
        <w:snapToGrid w:val="0"/>
        <w:spacing w:line="360" w:lineRule="auto"/>
        <w:outlineLvl w:val="1"/>
        <w:rPr>
          <w:rFonts w:ascii="仿宋_GB2312" w:hAnsi="仿宋_GB2312" w:eastAsia="仿宋_GB2312" w:cs="仿宋_GB2312"/>
          <w:b/>
          <w:sz w:val="24"/>
        </w:rPr>
      </w:pPr>
      <w:r>
        <w:rPr>
          <w:rFonts w:hint="eastAsia" w:ascii="仿宋_GB2312" w:hAnsi="仿宋_GB2312" w:eastAsia="仿宋_GB2312" w:cs="仿宋_GB2312"/>
          <w:b/>
          <w:sz w:val="24"/>
        </w:rPr>
        <w:t>8、验收</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8.1 乙方应确保所完成施工的质量，应符合本合同约定的质量标准。乙方施工完毕，应7天内向甲方提交完工报告，通知甲方验收。</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8.2 乙方在工程完毕交付验收前提供相关技术资料（包括但不限于系统原理图、安装图纸、产品使用说明书、维护保养手册、竣工图等，具体以甲方要求为准）4份，以上技术资料同时提交电子版。竣工资料乙方应根据甲方相关规章制度准备齐全。</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8.3 乙方应配合甲方对其工程进行竣工验收，验收时双方现场签认工程量；乙方在完成工程竣工后向甲方提出验收申请，由甲方组织开展验收工作。因乙方原因导致工程验收不合格的，乙方应缴纳按合同总价款5%/次所计的违约金，造成工期延误的，还应按本合同约定承担相应的违约责任。</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sz w:val="24"/>
        </w:rPr>
        <w:t>9、</w:t>
      </w:r>
      <w:bookmarkStart w:id="56" w:name="_Toc414154013"/>
      <w:r>
        <w:rPr>
          <w:rFonts w:hint="eastAsia" w:ascii="仿宋_GB2312" w:hAnsi="仿宋_GB2312" w:eastAsia="仿宋_GB2312" w:cs="仿宋_GB2312"/>
          <w:b/>
          <w:sz w:val="24"/>
        </w:rPr>
        <w:t>安全生产与文明施工</w:t>
      </w:r>
      <w:bookmarkEnd w:id="56"/>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9.1乙方应按法律规定和合同约定，制定安全生产文明施工管理制度，采取有效的环境保护措施，做好开工前的安全技术交底，办理工伤保险，确保工程及人员、材料、设备和设施的安全。</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9.2乙方应按有关规定，采取严格的安全防护措施搞好安全施工，并承担安全事故的全部责任及由此而发生的一切费用。发生包括人员伤亡在内的安全事故，乙方应按有关规定立即上报有关部门并书面通知甲方，同时按政府有关要求处理，发生的费用由乙方全部承担。</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9.3在施工期间，乙方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甲方或当地公安部门。</w:t>
      </w:r>
    </w:p>
    <w:p>
      <w:pPr>
        <w:adjustRightInd w:val="0"/>
        <w:snapToGrid w:val="0"/>
        <w:spacing w:line="360" w:lineRule="auto"/>
        <w:outlineLvl w:val="1"/>
        <w:rPr>
          <w:rFonts w:ascii="仿宋_GB2312" w:hAnsi="仿宋_GB2312" w:eastAsia="仿宋_GB2312" w:cs="仿宋_GB2312"/>
          <w:b/>
          <w:sz w:val="24"/>
        </w:rPr>
      </w:pPr>
      <w:bookmarkStart w:id="57" w:name="_Toc414154014"/>
      <w:r>
        <w:rPr>
          <w:rFonts w:hint="eastAsia" w:ascii="仿宋_GB2312" w:hAnsi="仿宋_GB2312" w:eastAsia="仿宋_GB2312" w:cs="仿宋_GB2312"/>
          <w:b/>
          <w:sz w:val="24"/>
        </w:rPr>
        <w:t>10、</w:t>
      </w:r>
      <w:bookmarkEnd w:id="57"/>
      <w:r>
        <w:rPr>
          <w:rFonts w:hint="eastAsia" w:ascii="仿宋_GB2312" w:hAnsi="仿宋_GB2312" w:eastAsia="仿宋_GB2312" w:cs="仿宋_GB2312"/>
          <w:b/>
          <w:sz w:val="24"/>
        </w:rPr>
        <w:t>变更估价与材料调差</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10.1变更估价：合同中有相同单价的，采用合同单价；合同中有类似单价的，则参照类似合同单价；合同中无相同或类似单价的，则在变更计价时执行招标控制价采用的消耗量标准，缺项部分借用其他定额，取费相应执行招标控制价采用的有关规定，并执行合同优惠率 (招标控制价-中标总价）/招标控制价× 百分之百，人工工日单价按 招标控制价审定时的综合人工工资单价计取。</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10.2材料调差：已标价工程量清单或预算书中载明的材料、工程设备单价，在合同履行期间无论涨、跌，均不做任何调整。</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bCs/>
          <w:sz w:val="24"/>
        </w:rPr>
        <w:t>11、价款支付</w:t>
      </w:r>
    </w:p>
    <w:p>
      <w:pPr>
        <w:adjustRightInd w:val="0"/>
        <w:snapToGrid w:val="0"/>
        <w:spacing w:line="360" w:lineRule="auto"/>
        <w:ind w:firstLine="480"/>
        <w:rPr>
          <w:rFonts w:ascii="仿宋_GB2312" w:hAnsi="仿宋_GB2312" w:eastAsia="仿宋_GB2312" w:cs="仿宋_GB2312"/>
          <w:kern w:val="28"/>
          <w:sz w:val="24"/>
        </w:rPr>
      </w:pPr>
      <w:bookmarkStart w:id="58" w:name="_Toc479247487"/>
      <w:r>
        <w:rPr>
          <w:rFonts w:hint="eastAsia" w:ascii="仿宋_GB2312" w:hAnsi="仿宋_GB2312" w:eastAsia="仿宋_GB2312" w:cs="仿宋_GB2312"/>
          <w:kern w:val="28"/>
          <w:sz w:val="24"/>
        </w:rPr>
        <w:t>11.1本工程无预付款</w:t>
      </w:r>
      <w:bookmarkEnd w:id="58"/>
      <w:bookmarkStart w:id="59" w:name="_Toc479247488"/>
      <w:r>
        <w:rPr>
          <w:rFonts w:hint="eastAsia" w:ascii="仿宋_GB2312" w:hAnsi="仿宋_GB2312" w:eastAsia="仿宋_GB2312" w:cs="仿宋_GB2312"/>
          <w:kern w:val="28"/>
          <w:sz w:val="24"/>
        </w:rPr>
        <w:t>，在工程竣工验收合格移交竣工资料后，支付至实际竣工计量金额的70%，但支付金额不得超过签约合同价的70%；</w:t>
      </w:r>
      <w:bookmarkEnd w:id="59"/>
    </w:p>
    <w:p>
      <w:pPr>
        <w:adjustRightInd w:val="0"/>
        <w:snapToGrid w:val="0"/>
        <w:spacing w:line="360" w:lineRule="auto"/>
        <w:ind w:firstLine="480"/>
        <w:rPr>
          <w:rFonts w:ascii="仿宋_GB2312" w:hAnsi="仿宋_GB2312" w:eastAsia="仿宋_GB2312" w:cs="仿宋_GB2312"/>
          <w:kern w:val="28"/>
          <w:sz w:val="24"/>
        </w:rPr>
      </w:pPr>
      <w:bookmarkStart w:id="60" w:name="_Toc479247489"/>
      <w:r>
        <w:rPr>
          <w:rFonts w:hint="eastAsia" w:ascii="仿宋_GB2312" w:hAnsi="仿宋_GB2312" w:eastAsia="仿宋_GB2312" w:cs="仿宋_GB2312"/>
          <w:kern w:val="28"/>
          <w:sz w:val="24"/>
        </w:rPr>
        <w:t>11.2工程竣工结算经甲方审定后，支付至合同价格的97%（开具合同价格100%、合法有效的增值税专用发票原件），剩下的3%作为工程质量保证金，在已办理结算的前提下，保修期满后如无任何质量问题甲方一次性无息付清；</w:t>
      </w:r>
      <w:bookmarkEnd w:id="60"/>
    </w:p>
    <w:p>
      <w:pPr>
        <w:adjustRightInd w:val="0"/>
        <w:snapToGrid w:val="0"/>
        <w:spacing w:line="360" w:lineRule="auto"/>
        <w:ind w:firstLine="480"/>
        <w:rPr>
          <w:rFonts w:ascii="仿宋_GB2312" w:hAnsi="仿宋_GB2312" w:eastAsia="仿宋_GB2312" w:cs="仿宋_GB2312"/>
          <w:kern w:val="28"/>
          <w:sz w:val="24"/>
        </w:rPr>
      </w:pPr>
      <w:bookmarkStart w:id="61" w:name="_Toc479247490"/>
      <w:r>
        <w:rPr>
          <w:rFonts w:hint="eastAsia" w:ascii="仿宋_GB2312" w:hAnsi="仿宋_GB2312" w:eastAsia="仿宋_GB2312" w:cs="仿宋_GB2312"/>
          <w:kern w:val="28"/>
          <w:sz w:val="24"/>
        </w:rPr>
        <w:t>11.3本合同以人民币结算，并采用银行转账方式支付。</w:t>
      </w:r>
      <w:bookmarkEnd w:id="61"/>
    </w:p>
    <w:p>
      <w:pPr>
        <w:adjustRightInd w:val="0"/>
        <w:snapToGrid w:val="0"/>
        <w:spacing w:line="360" w:lineRule="auto"/>
        <w:ind w:firstLine="480"/>
        <w:rPr>
          <w:rFonts w:ascii="仿宋_GB2312" w:hAnsi="仿宋_GB2312" w:eastAsia="仿宋_GB2312" w:cs="仿宋_GB2312"/>
          <w:kern w:val="28"/>
          <w:sz w:val="24"/>
        </w:rPr>
      </w:pPr>
      <w:bookmarkStart w:id="62" w:name="_Toc479247491"/>
      <w:r>
        <w:rPr>
          <w:rFonts w:hint="eastAsia" w:ascii="仿宋_GB2312" w:hAnsi="仿宋_GB2312" w:eastAsia="仿宋_GB2312" w:cs="仿宋_GB2312"/>
          <w:kern w:val="28"/>
          <w:sz w:val="24"/>
        </w:rPr>
        <w:t>11.4所有支付均在收到乙方提供的以下资料后支付：</w:t>
      </w:r>
      <w:bookmarkEnd w:id="62"/>
    </w:p>
    <w:p>
      <w:pPr>
        <w:adjustRightInd w:val="0"/>
        <w:snapToGrid w:val="0"/>
        <w:spacing w:line="360" w:lineRule="auto"/>
        <w:ind w:firstLine="480"/>
        <w:rPr>
          <w:rFonts w:ascii="仿宋_GB2312" w:hAnsi="仿宋_GB2312" w:eastAsia="仿宋_GB2312" w:cs="仿宋_GB2312"/>
          <w:kern w:val="28"/>
          <w:sz w:val="24"/>
        </w:rPr>
      </w:pPr>
      <w:bookmarkStart w:id="63" w:name="_Toc479247492"/>
      <w:r>
        <w:rPr>
          <w:rFonts w:hint="eastAsia" w:ascii="仿宋_GB2312" w:hAnsi="仿宋_GB2312" w:eastAsia="仿宋_GB2312" w:cs="仿宋_GB2312"/>
          <w:kern w:val="28"/>
          <w:sz w:val="24"/>
        </w:rPr>
        <w:t>（1）经甲方审批同意的支付申请和相关资料；</w:t>
      </w:r>
      <w:bookmarkEnd w:id="63"/>
    </w:p>
    <w:p>
      <w:pPr>
        <w:adjustRightInd w:val="0"/>
        <w:snapToGrid w:val="0"/>
        <w:spacing w:line="360" w:lineRule="auto"/>
        <w:ind w:firstLine="480"/>
        <w:rPr>
          <w:rFonts w:ascii="仿宋_GB2312" w:hAnsi="仿宋_GB2312" w:eastAsia="仿宋_GB2312" w:cs="仿宋_GB2312"/>
          <w:kern w:val="28"/>
          <w:sz w:val="24"/>
        </w:rPr>
      </w:pPr>
      <w:bookmarkStart w:id="64" w:name="_Toc479247493"/>
      <w:r>
        <w:rPr>
          <w:rFonts w:hint="eastAsia" w:ascii="仿宋_GB2312" w:hAnsi="仿宋_GB2312" w:eastAsia="仿宋_GB2312" w:cs="仿宋_GB2312"/>
          <w:kern w:val="28"/>
          <w:sz w:val="24"/>
        </w:rPr>
        <w:t>（2）相应的税务发票原件；</w:t>
      </w:r>
      <w:bookmarkEnd w:id="64"/>
    </w:p>
    <w:p>
      <w:pPr>
        <w:adjustRightInd w:val="0"/>
        <w:snapToGrid w:val="0"/>
        <w:spacing w:line="360" w:lineRule="auto"/>
        <w:ind w:firstLine="480"/>
        <w:rPr>
          <w:rFonts w:ascii="仿宋_GB2312" w:hAnsi="仿宋_GB2312" w:eastAsia="仿宋_GB2312" w:cs="仿宋_GB2312"/>
          <w:kern w:val="28"/>
          <w:sz w:val="24"/>
        </w:rPr>
      </w:pPr>
      <w:bookmarkStart w:id="65" w:name="_Toc479247494"/>
      <w:r>
        <w:rPr>
          <w:rFonts w:hint="eastAsia" w:ascii="仿宋_GB2312" w:hAnsi="仿宋_GB2312" w:eastAsia="仿宋_GB2312" w:cs="仿宋_GB2312"/>
          <w:kern w:val="28"/>
          <w:sz w:val="24"/>
        </w:rPr>
        <w:t>（3）本合同约定的其他结算资料。</w:t>
      </w:r>
      <w:bookmarkEnd w:id="65"/>
    </w:p>
    <w:p>
      <w:pPr>
        <w:adjustRightInd w:val="0"/>
        <w:snapToGrid w:val="0"/>
        <w:spacing w:line="360" w:lineRule="auto"/>
        <w:ind w:firstLine="480"/>
        <w:rPr>
          <w:rFonts w:ascii="仿宋_GB2312" w:hAnsi="仿宋_GB2312" w:eastAsia="仿宋_GB2312" w:cs="仿宋_GB2312"/>
          <w:kern w:val="28"/>
          <w:sz w:val="24"/>
        </w:rPr>
      </w:pPr>
      <w:r>
        <w:rPr>
          <w:rFonts w:hint="eastAsia" w:ascii="仿宋_GB2312" w:hAnsi="仿宋_GB2312" w:eastAsia="仿宋_GB2312" w:cs="仿宋_GB2312"/>
          <w:kern w:val="28"/>
          <w:sz w:val="24"/>
        </w:rPr>
        <w:t>乙方未按约定提供上述材料的，甲方有权不予支付本合同约定价款，且不构成违约。</w:t>
      </w:r>
    </w:p>
    <w:p>
      <w:pPr>
        <w:adjustRightInd w:val="0"/>
        <w:snapToGrid w:val="0"/>
        <w:spacing w:line="360" w:lineRule="auto"/>
        <w:ind w:firstLine="480"/>
        <w:rPr>
          <w:rFonts w:ascii="仿宋_GB2312" w:hAnsi="仿宋_GB2312" w:eastAsia="仿宋_GB2312" w:cs="仿宋_GB2312"/>
          <w:kern w:val="28"/>
          <w:sz w:val="24"/>
        </w:rPr>
      </w:pPr>
      <w:r>
        <w:rPr>
          <w:rFonts w:hint="eastAsia" w:ascii="仿宋_GB2312" w:hAnsi="仿宋_GB2312" w:eastAsia="仿宋_GB2312" w:cs="仿宋_GB2312"/>
          <w:kern w:val="28"/>
          <w:sz w:val="24"/>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adjustRightInd w:val="0"/>
        <w:snapToGrid w:val="0"/>
        <w:spacing w:line="360" w:lineRule="auto"/>
        <w:outlineLvl w:val="1"/>
        <w:rPr>
          <w:rFonts w:ascii="仿宋_GB2312" w:hAnsi="仿宋_GB2312" w:eastAsia="仿宋_GB2312" w:cs="仿宋_GB2312"/>
          <w:b/>
          <w:bCs/>
          <w:kern w:val="28"/>
          <w:sz w:val="24"/>
        </w:rPr>
      </w:pPr>
      <w:bookmarkStart w:id="66" w:name="_Toc414154016"/>
      <w:r>
        <w:rPr>
          <w:rFonts w:hint="eastAsia" w:ascii="仿宋_GB2312" w:hAnsi="仿宋_GB2312" w:eastAsia="仿宋_GB2312" w:cs="仿宋_GB2312"/>
          <w:b/>
          <w:bCs/>
          <w:sz w:val="24"/>
        </w:rPr>
        <w:t>12</w:t>
      </w:r>
      <w:r>
        <w:rPr>
          <w:rFonts w:hint="eastAsia" w:ascii="仿宋_GB2312" w:hAnsi="仿宋_GB2312" w:eastAsia="仿宋_GB2312" w:cs="仿宋_GB2312"/>
          <w:b/>
          <w:sz w:val="24"/>
        </w:rPr>
        <w:t>、违约</w:t>
      </w:r>
      <w:bookmarkEnd w:id="66"/>
      <w:r>
        <w:rPr>
          <w:rFonts w:hint="eastAsia" w:ascii="仿宋_GB2312" w:hAnsi="仿宋_GB2312" w:eastAsia="仿宋_GB2312" w:cs="仿宋_GB2312"/>
          <w:b/>
          <w:sz w:val="24"/>
        </w:rPr>
        <w:t>责任</w:t>
      </w:r>
    </w:p>
    <w:p>
      <w:pPr>
        <w:adjustRightInd w:val="0"/>
        <w:snapToGrid w:val="0"/>
        <w:spacing w:line="360" w:lineRule="auto"/>
        <w:ind w:firstLine="480"/>
        <w:rPr>
          <w:rFonts w:ascii="仿宋_GB2312" w:hAnsi="仿宋_GB2312" w:eastAsia="仿宋_GB2312"/>
          <w:sz w:val="24"/>
        </w:rPr>
      </w:pPr>
      <w:r>
        <w:rPr>
          <w:rFonts w:hint="eastAsia" w:ascii="仿宋_GB2312" w:hAnsi="仿宋_GB2312" w:eastAsia="仿宋_GB2312" w:cs="仿宋_GB2312"/>
          <w:sz w:val="24"/>
        </w:rPr>
        <w:t>12.1</w:t>
      </w:r>
      <w:r>
        <w:rPr>
          <w:rFonts w:hint="eastAsia" w:ascii="仿宋_GB2312" w:hAnsi="仿宋_GB2312" w:eastAsia="仿宋_GB2312"/>
          <w:sz w:val="24"/>
        </w:rPr>
        <w:t>乙方因自身</w:t>
      </w:r>
      <w:r>
        <w:rPr>
          <w:rFonts w:hint="eastAsia" w:ascii="仿宋_GB2312" w:hAnsi="仿宋_GB2312" w:eastAsia="仿宋_GB2312" w:cs="仿宋_GB2312"/>
          <w:kern w:val="28"/>
          <w:sz w:val="24"/>
        </w:rPr>
        <w:t>原因</w:t>
      </w:r>
      <w:r>
        <w:rPr>
          <w:rFonts w:hint="eastAsia" w:ascii="仿宋_GB2312" w:hAnsi="仿宋_GB2312" w:eastAsia="仿宋_GB2312"/>
          <w:sz w:val="24"/>
        </w:rPr>
        <w:t>未能按合同要求完成工程施工的，每延误一天应向甲方交纳500元的违约金。</w:t>
      </w:r>
    </w:p>
    <w:p>
      <w:pPr>
        <w:adjustRightInd w:val="0"/>
        <w:snapToGrid w:val="0"/>
        <w:spacing w:line="360" w:lineRule="auto"/>
        <w:ind w:firstLine="480"/>
        <w:rPr>
          <w:rFonts w:ascii="仿宋_GB2312" w:hAnsi="仿宋_GB2312" w:eastAsia="仿宋_GB2312"/>
          <w:sz w:val="24"/>
        </w:rPr>
      </w:pPr>
      <w:r>
        <w:rPr>
          <w:rFonts w:hint="eastAsia" w:ascii="仿宋_GB2312" w:hAnsi="仿宋_GB2312" w:eastAsia="仿宋_GB2312"/>
          <w:sz w:val="24"/>
        </w:rPr>
        <w:t>12.2乙方违反合同约定采购和使用不合格的材料和工程设备，每查实一次应按2000元/次向甲方交纳违约金，并负责更换合格的材料和工程设备直至甲方满意为止，由此产生的相关费用和造成的工程延误责任由乙方承担。</w:t>
      </w:r>
    </w:p>
    <w:p>
      <w:pPr>
        <w:adjustRightInd w:val="0"/>
        <w:snapToGrid w:val="0"/>
        <w:spacing w:line="360" w:lineRule="auto"/>
        <w:ind w:firstLine="480"/>
        <w:rPr>
          <w:rFonts w:ascii="仿宋_GB2312" w:hAnsi="仿宋_GB2312" w:eastAsia="仿宋_GB2312"/>
          <w:sz w:val="24"/>
        </w:rPr>
      </w:pPr>
      <w:r>
        <w:rPr>
          <w:rFonts w:hint="eastAsia" w:ascii="仿宋_GB2312" w:hAnsi="仿宋_GB2312" w:eastAsia="仿宋_GB2312"/>
          <w:sz w:val="24"/>
        </w:rPr>
        <w:t>12.3在施工过程中，</w:t>
      </w:r>
      <w:r>
        <w:rPr>
          <w:rFonts w:hint="eastAsia" w:ascii="仿宋_GB2312" w:hAnsi="仿宋_GB2312" w:eastAsia="仿宋_GB2312" w:cs="仿宋_GB2312"/>
          <w:kern w:val="28"/>
          <w:sz w:val="24"/>
        </w:rPr>
        <w:t>乙方</w:t>
      </w:r>
      <w:r>
        <w:rPr>
          <w:rFonts w:hint="eastAsia" w:ascii="仿宋_GB2312" w:hAnsi="仿宋_GB2312" w:eastAsia="仿宋_GB2312"/>
          <w:sz w:val="24"/>
        </w:rPr>
        <w:t>存在质量安全隐患及不文明行为情况，且未根据相关部门要求及时整改的，乙方应向甲方交纳2000元/次·处的违约金，且甲方有权对乙方予以通报批评。</w:t>
      </w:r>
    </w:p>
    <w:p>
      <w:pPr>
        <w:adjustRightInd w:val="0"/>
        <w:snapToGrid w:val="0"/>
        <w:spacing w:line="360" w:lineRule="auto"/>
        <w:ind w:firstLine="480"/>
        <w:rPr>
          <w:rFonts w:ascii="仿宋_GB2312" w:hAnsi="仿宋_GB2312" w:eastAsia="仿宋_GB2312"/>
          <w:sz w:val="24"/>
        </w:rPr>
      </w:pPr>
      <w:r>
        <w:rPr>
          <w:rFonts w:hint="eastAsia" w:ascii="仿宋_GB2312" w:hAnsi="仿宋_GB2312" w:eastAsia="仿宋_GB2312"/>
          <w:sz w:val="24"/>
        </w:rPr>
        <w:t>12.4乙方在施工过程中，发生一般等级及以上质量安全责任事故的，按照国家相关规定调查处理，由乙方承担相应的责任和损失，乙方应向甲方交纳1万元/次的违约金。</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bCs/>
          <w:sz w:val="24"/>
        </w:rPr>
        <w:t>13、甲方的权利义务</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13.1甲方应遵守法律，并办理法律规定由甲方办理的许可、批准或备案，并协助乙方办理法律规定的应由乙方办理的有关施工证件和批件。</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13.2甲方应书面通知乙方其派驻施工现场的甲方代表的姓名、职务、联系方式及授权范围等事项。甲方代表在甲方的授权范围内，负责处理合同履行过程中与甲方有关的具体事宜。</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13.3甲方应最迟于开工日期 7 天前向乙方移交施工现场。甲方应在移交施工现场前向乙方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13.4甲方应按合同约定向乙方及时支付合同价款，并组织竣工验收。</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13.5甲方为保证工程质量、安全、进度和为规范市场行为、资金支付等下发的工程管理规定作为本合同的组成部分，乙方承诺在合同履约期间严格遵守；否则，甲方有权采取经济措施、勒令撤换人员、调整工程内容等以确保相关要求的落实。因乙方不遵照甲方下发的工程管理规定给甲方造成的损失，由乙方承担。</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13.6合同履约过程中，乙方出现以下违约行为的，甲方有权单方解除合同：</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（1）乙方进行转包或违法分包的。</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（2）乙方的违约行为产生的违约金累计达到签约合同价的10%的。</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bCs/>
          <w:sz w:val="24"/>
        </w:rPr>
        <w:t>14、乙方的权利义务</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14.1乙方应按照法律规定及合同约定组织完成工程施工，确保工程质量和安全，不进行转包及违法分包。</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14.2乙方应办理法律规定由乙方办理的许可和批准，并将办理结果书面报送甲方留存。</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14.3乙方应按合同约定的工作内容和施工进度要求，编制施工组织设计和施工措施计划，并对所有施工作业和施工方法的完备性和安全可靠性负责。</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14.4乙方应将甲方按合同约定支付的各项价款专用于合同工程，且应及时支付其雇用人员工资，确保民工工资及时足额发放，并及时向分包人支付合同价款。</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14.5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14.6乙方应按照法律规定和合同约定编制竣工资料，完成竣工资料立卷及归档，并向甲方提交用于存档的不少于4套竣工资料，相关费用已含在签约合同价中。</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14.7乙方应自行解决施工所需的通讯、场内道路以及施工、办公、生活所需的临时房屋、办公设备、施工设备等设施、设备，相关费用已含在签约合同价中。</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14.8乙方应当预计到施工期间对外界可能产生的必需的不可能避免的干扰，应当积极主动与外界进行协调。乙方有责任维护甲方在市民中的企业形象，若因工程原因发生骚乱等对甲方有影响的重大事件，乙方要负全责，造成甲方被第三方索赔，甲方保留向乙方索赔的权利。</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14.9乙方指派</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为本工程的项目负责人，具体处理本工程施工过程中的各项事务。</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14.10因政策变化、不可抗力及合同当事人之外的原因导致合同暂停，乙方应妥善做好已完工程、已购材料和工程设备的保护。</w:t>
      </w:r>
    </w:p>
    <w:p>
      <w:pPr>
        <w:adjustRightInd w:val="0"/>
        <w:snapToGrid w:val="0"/>
        <w:spacing w:line="360" w:lineRule="auto"/>
        <w:outlineLvl w:val="1"/>
        <w:rPr>
          <w:rFonts w:ascii="仿宋_GB2312" w:hAnsi="仿宋_GB2312" w:eastAsia="仿宋_GB2312" w:cs="仿宋_GB2312"/>
          <w:b/>
          <w:sz w:val="24"/>
        </w:rPr>
      </w:pPr>
      <w:r>
        <w:rPr>
          <w:rFonts w:hint="eastAsia" w:ascii="仿宋_GB2312" w:hAnsi="仿宋_GB2312" w:eastAsia="仿宋_GB2312" w:cs="仿宋_GB2312"/>
          <w:b/>
          <w:bCs/>
          <w:sz w:val="24"/>
        </w:rPr>
        <w:t>15</w:t>
      </w:r>
      <w:r>
        <w:rPr>
          <w:rFonts w:hint="eastAsia" w:ascii="仿宋_GB2312" w:hAnsi="仿宋_GB2312" w:eastAsia="仿宋_GB2312" w:cs="仿宋_GB2312"/>
          <w:b/>
          <w:sz w:val="24"/>
        </w:rPr>
        <w:t>、其他</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15.1合同当事人应在颁发工程接收证书后 7 天内完成工程的移交。工程移交前，乙方应负责工程照管、成品保护、保管等，并承担与之有关的各项费用。</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15.2因合同及合同有关事项产生的争议，合同当事人可以向有</w:t>
      </w:r>
      <w:r>
        <w:rPr>
          <w:rFonts w:hint="eastAsia" w:ascii="仿宋_GB2312" w:hAnsi="仿宋_GB2312" w:eastAsia="仿宋_GB2312" w:cs="仿宋_GB2312"/>
          <w:sz w:val="24"/>
          <w:u w:val="single"/>
        </w:rPr>
        <w:t>本合同签订地（长沙市雨花区）的人民法院</w:t>
      </w:r>
      <w:r>
        <w:rPr>
          <w:rFonts w:hint="eastAsia" w:ascii="仿宋_GB2312" w:hAnsi="仿宋_GB2312" w:eastAsia="仿宋_GB2312" w:cs="仿宋_GB2312"/>
          <w:sz w:val="24"/>
        </w:rPr>
        <w:t>起诉。</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15.3合同未尽事宜，合同当事人另行签订补充协议，补充协议是合同的组成部分。</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15.4本合同自 双方法定代表人或授权代表签字，加盖公章或合同专用章后生效。</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15.5合同签订时间</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本合同于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日签订。</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15.6合同签订地点</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本合同在</w:t>
      </w:r>
      <w:r>
        <w:rPr>
          <w:rFonts w:hint="eastAsia" w:ascii="仿宋_GB2312" w:hAnsi="仿宋_GB2312" w:eastAsia="仿宋_GB2312" w:cs="仿宋_GB2312"/>
          <w:sz w:val="24"/>
          <w:u w:val="single"/>
        </w:rPr>
        <w:t xml:space="preserve"> 湖南省长沙市雨花区 </w:t>
      </w:r>
      <w:r>
        <w:rPr>
          <w:rFonts w:hint="eastAsia" w:ascii="仿宋_GB2312" w:hAnsi="仿宋_GB2312" w:eastAsia="仿宋_GB2312" w:cs="仿宋_GB2312"/>
          <w:sz w:val="24"/>
        </w:rPr>
        <w:t>签订。</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15.7本合同一式八份（二正六副），甲方执六份（一正五副），乙方执二份（一正一副）。合同正本和副本均具有同等法律效力，当合同副本与正本存有差异时，以合同正本为准。</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15.8“合同价格”系指甲方用于支付乙方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15.9双方约定的其他事项（本条约定与合同条款中其他约定不一致时，以本条为准）：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ind w:left="420" w:leftChars="200"/>
      </w:pPr>
    </w:p>
    <w:p>
      <w:pPr>
        <w:ind w:left="420" w:leftChars="200"/>
      </w:pPr>
    </w:p>
    <w:p/>
    <w:p>
      <w:pPr>
        <w:ind w:left="420" w:leftChars="200"/>
      </w:pPr>
    </w:p>
    <w:p/>
    <w:p>
      <w:pPr>
        <w:ind w:left="420" w:leftChars="200"/>
      </w:pPr>
    </w:p>
    <w:p/>
    <w:p>
      <w:pPr>
        <w:ind w:left="420" w:leftChars="200"/>
      </w:pPr>
    </w:p>
    <w:p/>
    <w:p>
      <w:pPr>
        <w:ind w:left="420" w:leftChars="200"/>
      </w:pPr>
    </w:p>
    <w:p/>
    <w:p>
      <w:pPr>
        <w:ind w:left="420" w:leftChars="200"/>
      </w:pPr>
    </w:p>
    <w:p/>
    <w:p>
      <w:pPr>
        <w:pStyle w:val="2"/>
      </w:pPr>
    </w:p>
    <w:p>
      <w:pPr>
        <w:pStyle w:val="2"/>
      </w:pPr>
    </w:p>
    <w:p>
      <w:pPr>
        <w:pStyle w:val="2"/>
      </w:pPr>
    </w:p>
    <w:p>
      <w:pPr>
        <w:pStyle w:val="2"/>
      </w:pPr>
    </w:p>
    <w:p>
      <w:pPr>
        <w:pStyle w:val="2"/>
      </w:pPr>
    </w:p>
    <w:p>
      <w:pPr>
        <w:pStyle w:val="2"/>
      </w:pPr>
    </w:p>
    <w:p>
      <w:pPr>
        <w:pStyle w:val="2"/>
      </w:pPr>
    </w:p>
    <w:p>
      <w:pPr>
        <w:ind w:left="420" w:leftChars="200"/>
      </w:pPr>
    </w:p>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（以下无正文条款）</w:t>
      </w:r>
    </w:p>
    <w:p>
      <w:pPr>
        <w:adjustRightInd w:val="0"/>
        <w:snapToGrid w:val="0"/>
        <w:spacing w:line="360" w:lineRule="auto"/>
        <w:ind w:firstLine="630"/>
        <w:rPr>
          <w:rFonts w:ascii="仿宋" w:hAnsi="仿宋" w:eastAsia="仿宋" w:cs="仿宋"/>
          <w:sz w:val="24"/>
        </w:rPr>
      </w:pPr>
    </w:p>
    <w:bookmarkEnd w:id="54"/>
    <w:tbl>
      <w:tblPr>
        <w:tblStyle w:val="47"/>
        <w:tblW w:w="0" w:type="auto"/>
        <w:jc w:val="center"/>
        <w:tblLayout w:type="fixed"/>
        <w:tblCellMar>
          <w:top w:w="0" w:type="dxa"/>
          <w:left w:w="108" w:type="dxa"/>
          <w:bottom w:w="0" w:type="dxa"/>
          <w:right w:w="108" w:type="dxa"/>
        </w:tblCellMar>
      </w:tblPr>
      <w:tblGrid>
        <w:gridCol w:w="4436"/>
        <w:gridCol w:w="4223"/>
      </w:tblGrid>
      <w:tr>
        <w:tblPrEx>
          <w:tblCellMar>
            <w:top w:w="0" w:type="dxa"/>
            <w:left w:w="108" w:type="dxa"/>
            <w:bottom w:w="0" w:type="dxa"/>
            <w:right w:w="108" w:type="dxa"/>
          </w:tblCellMar>
        </w:tblPrEx>
        <w:trPr>
          <w:trHeight w:val="1226" w:hRule="atLeast"/>
          <w:jc w:val="center"/>
        </w:trPr>
        <w:tc>
          <w:tcPr>
            <w:tcW w:w="4436" w:type="dxa"/>
            <w:tcBorders>
              <w:top w:val="nil"/>
              <w:left w:val="nil"/>
              <w:bottom w:val="nil"/>
              <w:right w:val="nil"/>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甲方：(盖章)</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4223" w:type="dxa"/>
            <w:tcBorders>
              <w:top w:val="nil"/>
              <w:left w:val="nil"/>
              <w:bottom w:val="nil"/>
              <w:right w:val="nil"/>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乙方：（盖章）</w:t>
            </w:r>
          </w:p>
          <w:p>
            <w:pPr>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1011" w:hRule="atLeast"/>
          <w:jc w:val="center"/>
        </w:trPr>
        <w:tc>
          <w:tcPr>
            <w:tcW w:w="4436"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tc>
        <w:tc>
          <w:tcPr>
            <w:tcW w:w="4223" w:type="dxa"/>
            <w:tcBorders>
              <w:top w:val="nil"/>
              <w:left w:val="nil"/>
              <w:bottom w:val="nil"/>
              <w:right w:val="nil"/>
            </w:tcBorders>
          </w:tcPr>
          <w:p>
            <w:pPr>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tc>
      </w:tr>
      <w:tr>
        <w:tblPrEx>
          <w:tblCellMar>
            <w:top w:w="0" w:type="dxa"/>
            <w:left w:w="108" w:type="dxa"/>
            <w:bottom w:w="0" w:type="dxa"/>
            <w:right w:w="108" w:type="dxa"/>
          </w:tblCellMar>
        </w:tblPrEx>
        <w:trPr>
          <w:trHeight w:val="612" w:hRule="atLeast"/>
          <w:jc w:val="center"/>
        </w:trPr>
        <w:tc>
          <w:tcPr>
            <w:tcW w:w="4436" w:type="dxa"/>
            <w:tcBorders>
              <w:top w:val="nil"/>
              <w:left w:val="nil"/>
              <w:bottom w:val="nil"/>
              <w:right w:val="nil"/>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地    址：  </w:t>
            </w:r>
          </w:p>
        </w:tc>
        <w:tc>
          <w:tcPr>
            <w:tcW w:w="4223" w:type="dxa"/>
            <w:tcBorders>
              <w:top w:val="nil"/>
              <w:left w:val="nil"/>
              <w:bottom w:val="nil"/>
              <w:right w:val="nil"/>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地    址：  </w:t>
            </w:r>
          </w:p>
        </w:tc>
      </w:tr>
      <w:tr>
        <w:tblPrEx>
          <w:tblCellMar>
            <w:top w:w="0" w:type="dxa"/>
            <w:left w:w="108" w:type="dxa"/>
            <w:bottom w:w="0" w:type="dxa"/>
            <w:right w:w="108" w:type="dxa"/>
          </w:tblCellMar>
        </w:tblPrEx>
        <w:trPr>
          <w:trHeight w:val="642" w:hRule="atLeast"/>
          <w:jc w:val="center"/>
        </w:trPr>
        <w:tc>
          <w:tcPr>
            <w:tcW w:w="4436" w:type="dxa"/>
            <w:tcBorders>
              <w:top w:val="nil"/>
              <w:left w:val="nil"/>
              <w:bottom w:val="nil"/>
              <w:right w:val="nil"/>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邮    编： </w:t>
            </w:r>
          </w:p>
        </w:tc>
        <w:tc>
          <w:tcPr>
            <w:tcW w:w="4223" w:type="dxa"/>
            <w:tcBorders>
              <w:top w:val="nil"/>
              <w:left w:val="nil"/>
              <w:bottom w:val="nil"/>
              <w:right w:val="nil"/>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邮    编： </w:t>
            </w:r>
          </w:p>
        </w:tc>
      </w:tr>
      <w:tr>
        <w:tblPrEx>
          <w:tblCellMar>
            <w:top w:w="0" w:type="dxa"/>
            <w:left w:w="108" w:type="dxa"/>
            <w:bottom w:w="0" w:type="dxa"/>
            <w:right w:w="108" w:type="dxa"/>
          </w:tblCellMar>
        </w:tblPrEx>
        <w:trPr>
          <w:trHeight w:val="612" w:hRule="atLeast"/>
          <w:jc w:val="center"/>
        </w:trPr>
        <w:tc>
          <w:tcPr>
            <w:tcW w:w="4436"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电    话： </w:t>
            </w:r>
          </w:p>
        </w:tc>
        <w:tc>
          <w:tcPr>
            <w:tcW w:w="4223"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电    话： </w:t>
            </w:r>
          </w:p>
        </w:tc>
      </w:tr>
      <w:tr>
        <w:tblPrEx>
          <w:tblCellMar>
            <w:top w:w="0" w:type="dxa"/>
            <w:left w:w="108" w:type="dxa"/>
            <w:bottom w:w="0" w:type="dxa"/>
            <w:right w:w="108" w:type="dxa"/>
          </w:tblCellMar>
        </w:tblPrEx>
        <w:trPr>
          <w:trHeight w:val="737" w:hRule="atLeast"/>
          <w:jc w:val="center"/>
        </w:trPr>
        <w:tc>
          <w:tcPr>
            <w:tcW w:w="4436"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传    真： </w:t>
            </w:r>
          </w:p>
        </w:tc>
        <w:tc>
          <w:tcPr>
            <w:tcW w:w="4223"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传    真： </w:t>
            </w:r>
          </w:p>
        </w:tc>
      </w:tr>
      <w:tr>
        <w:tblPrEx>
          <w:tblCellMar>
            <w:top w:w="0" w:type="dxa"/>
            <w:left w:w="108" w:type="dxa"/>
            <w:bottom w:w="0" w:type="dxa"/>
            <w:right w:w="108" w:type="dxa"/>
          </w:tblCellMar>
        </w:tblPrEx>
        <w:trPr>
          <w:trHeight w:val="612" w:hRule="atLeast"/>
          <w:jc w:val="center"/>
        </w:trPr>
        <w:tc>
          <w:tcPr>
            <w:tcW w:w="4436"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4223"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开户银行：</w:t>
            </w:r>
          </w:p>
        </w:tc>
      </w:tr>
      <w:tr>
        <w:tblPrEx>
          <w:tblCellMar>
            <w:top w:w="0" w:type="dxa"/>
            <w:left w:w="108" w:type="dxa"/>
            <w:bottom w:w="0" w:type="dxa"/>
            <w:right w:w="108" w:type="dxa"/>
          </w:tblCellMar>
        </w:tblPrEx>
        <w:trPr>
          <w:trHeight w:val="665" w:hRule="atLeast"/>
          <w:jc w:val="center"/>
        </w:trPr>
        <w:tc>
          <w:tcPr>
            <w:tcW w:w="4436"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账    号：</w:t>
            </w:r>
          </w:p>
        </w:tc>
        <w:tc>
          <w:tcPr>
            <w:tcW w:w="4223"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账    号：</w:t>
            </w:r>
          </w:p>
        </w:tc>
      </w:tr>
      <w:tr>
        <w:tblPrEx>
          <w:tblCellMar>
            <w:top w:w="0" w:type="dxa"/>
            <w:left w:w="108" w:type="dxa"/>
            <w:bottom w:w="0" w:type="dxa"/>
            <w:right w:w="108" w:type="dxa"/>
          </w:tblCellMar>
        </w:tblPrEx>
        <w:trPr>
          <w:trHeight w:val="612" w:hRule="atLeast"/>
          <w:jc w:val="center"/>
        </w:trPr>
        <w:tc>
          <w:tcPr>
            <w:tcW w:w="4436"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税    号：</w:t>
            </w:r>
          </w:p>
        </w:tc>
        <w:tc>
          <w:tcPr>
            <w:tcW w:w="4223"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税    号：</w:t>
            </w:r>
          </w:p>
        </w:tc>
      </w:tr>
    </w:tbl>
    <w:p>
      <w:pPr>
        <w:adjustRightInd w:val="0"/>
        <w:snapToGrid w:val="0"/>
        <w:spacing w:line="800" w:lineRule="exact"/>
        <w:rPr>
          <w:rFonts w:ascii="仿宋" w:hAnsi="仿宋" w:eastAsia="仿宋" w:cs="仿宋"/>
          <w:sz w:val="32"/>
          <w:szCs w:val="32"/>
        </w:rPr>
        <w:sectPr>
          <w:headerReference r:id="rId10" w:type="default"/>
          <w:footerReference r:id="rId11" w:type="default"/>
          <w:pgSz w:w="11906" w:h="16838"/>
          <w:pgMar w:top="1418" w:right="1418" w:bottom="1418" w:left="1588" w:header="851" w:footer="992" w:gutter="0"/>
          <w:cols w:space="720" w:num="1"/>
          <w:docGrid w:type="lines" w:linePitch="312" w:charSpace="0"/>
        </w:sectPr>
      </w:pPr>
      <w:r>
        <w:rPr>
          <w:rFonts w:hint="eastAsia" w:ascii="仿宋" w:hAnsi="仿宋" w:eastAsia="仿宋" w:cs="仿宋"/>
          <w:sz w:val="32"/>
          <w:szCs w:val="32"/>
        </w:rPr>
        <w:t xml:space="preserve"> </w:t>
      </w:r>
    </w:p>
    <w:p>
      <w:pPr>
        <w:adjustRightInd w:val="0"/>
        <w:snapToGrid w:val="0"/>
        <w:spacing w:line="400" w:lineRule="exact"/>
        <w:jc w:val="center"/>
        <w:outlineLvl w:val="0"/>
        <w:rPr>
          <w:rFonts w:ascii="仿宋" w:hAnsi="仿宋" w:eastAsia="仿宋" w:cs="仿宋"/>
          <w:sz w:val="32"/>
          <w:szCs w:val="32"/>
        </w:rPr>
      </w:pPr>
      <w:bookmarkStart w:id="67" w:name="_Toc10030"/>
      <w:r>
        <w:rPr>
          <w:rFonts w:hint="eastAsia" w:ascii="仿宋" w:hAnsi="仿宋" w:eastAsia="仿宋" w:cs="仿宋"/>
          <w:b/>
          <w:bCs/>
          <w:sz w:val="32"/>
          <w:szCs w:val="32"/>
        </w:rPr>
        <w:t>第二部分 中选通知书</w:t>
      </w:r>
      <w:r>
        <w:rPr>
          <w:rFonts w:hint="eastAsia" w:ascii="仿宋" w:hAnsi="仿宋" w:eastAsia="仿宋" w:cs="仿宋"/>
          <w:sz w:val="32"/>
          <w:szCs w:val="32"/>
        </w:rPr>
        <w:br w:type="page"/>
      </w:r>
    </w:p>
    <w:p>
      <w:pPr>
        <w:adjustRightInd w:val="0"/>
        <w:snapToGrid w:val="0"/>
        <w:spacing w:line="400" w:lineRule="exact"/>
        <w:jc w:val="center"/>
        <w:outlineLvl w:val="0"/>
        <w:rPr>
          <w:rFonts w:ascii="仿宋" w:hAnsi="仿宋" w:eastAsia="仿宋" w:cs="仿宋"/>
          <w:b/>
          <w:bCs/>
          <w:sz w:val="32"/>
          <w:szCs w:val="32"/>
        </w:rPr>
      </w:pPr>
      <w:r>
        <w:rPr>
          <w:rFonts w:hint="eastAsia" w:ascii="仿宋" w:hAnsi="仿宋" w:eastAsia="仿宋" w:cs="仿宋"/>
          <w:b/>
          <w:bCs/>
          <w:sz w:val="32"/>
          <w:szCs w:val="32"/>
        </w:rPr>
        <w:t>第三部分 合同附件</w:t>
      </w:r>
    </w:p>
    <w:bookmarkEnd w:id="67"/>
    <w:p>
      <w:pPr>
        <w:adjustRightInd w:val="0"/>
        <w:snapToGrid w:val="0"/>
        <w:spacing w:line="360" w:lineRule="auto"/>
        <w:jc w:val="left"/>
        <w:outlineLvl w:val="0"/>
        <w:rPr>
          <w:rFonts w:ascii="仿宋_GB2312" w:hAnsi="仿宋_GB2312" w:eastAsia="仿宋_GB2312" w:cs="仿宋_GB2312"/>
          <w:b/>
          <w:sz w:val="32"/>
          <w:szCs w:val="32"/>
        </w:rPr>
      </w:pPr>
      <w:r>
        <w:rPr>
          <w:rFonts w:hint="eastAsia" w:ascii="仿宋_GB2312" w:hAnsi="仿宋_GB2312" w:eastAsia="仿宋_GB2312" w:cs="仿宋_GB2312"/>
          <w:b/>
          <w:bCs/>
          <w:sz w:val="24"/>
        </w:rPr>
        <w:t>附件1 廉政协议</w:t>
      </w:r>
    </w:p>
    <w:p>
      <w:pPr>
        <w:adjustRightInd w:val="0"/>
        <w:snapToGrid w:val="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廉政协议</w:t>
      </w:r>
    </w:p>
    <w:p>
      <w:pPr>
        <w:snapToGrid w:val="0"/>
        <w:spacing w:line="44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 xml:space="preserve">                        </w:t>
      </w:r>
    </w:p>
    <w:p>
      <w:pPr>
        <w:snapToGrid w:val="0"/>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乙方：</w:t>
      </w:r>
      <w:r>
        <w:rPr>
          <w:rFonts w:hint="eastAsia" w:ascii="仿宋_GB2312" w:hAnsi="仿宋_GB2312" w:eastAsia="仿宋_GB2312" w:cs="仿宋_GB2312"/>
          <w:sz w:val="24"/>
          <w:u w:val="single"/>
        </w:rPr>
        <w:t xml:space="preserve">                        </w:t>
      </w:r>
    </w:p>
    <w:p>
      <w:pPr>
        <w:adjustRightInd w:val="0"/>
        <w:snapToGrid w:val="0"/>
        <w:spacing w:line="440" w:lineRule="exact"/>
        <w:ind w:firstLine="480"/>
        <w:jc w:val="left"/>
        <w:rPr>
          <w:rFonts w:ascii="仿宋_GB2312" w:hAnsi="仿宋_GB2312" w:eastAsia="仿宋_GB2312" w:cs="仿宋_GB2312"/>
          <w:sz w:val="24"/>
        </w:rPr>
      </w:pPr>
      <w:r>
        <w:rPr>
          <w:rFonts w:hint="eastAsia" w:ascii="仿宋_GB2312" w:hAnsi="仿宋_GB2312" w:eastAsia="仿宋_GB2312" w:cs="仿宋_GB2312"/>
          <w:sz w:val="24"/>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_GB2312" w:eastAsia="仿宋_GB2312" w:cs="仿宋_GB2312"/>
          <w:sz w:val="24"/>
        </w:rPr>
      </w:pPr>
      <w:bookmarkStart w:id="68" w:name="_Toc59896701"/>
      <w:bookmarkStart w:id="69" w:name="_Toc59900969"/>
      <w:r>
        <w:rPr>
          <w:rFonts w:hint="eastAsia" w:ascii="仿宋_GB2312" w:hAnsi="仿宋_GB2312" w:eastAsia="仿宋_GB2312" w:cs="仿宋_GB2312"/>
          <w:sz w:val="24"/>
        </w:rPr>
        <w:t xml:space="preserve">第一条 </w:t>
      </w:r>
      <w:bookmarkEnd w:id="68"/>
      <w:bookmarkEnd w:id="69"/>
      <w:r>
        <w:rPr>
          <w:rFonts w:hint="eastAsia" w:ascii="仿宋_GB2312" w:hAnsi="仿宋_GB2312" w:eastAsia="仿宋_GB2312" w:cs="仿宋_GB2312"/>
          <w:sz w:val="24"/>
        </w:rPr>
        <w:t>共同责任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（一）严格遵守党和国家有关法律法规及湖南省、长沙市的相关规定。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（二）严格执行</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（以下称主合同）的合同文件，自觉按合同办事。</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（五）发现对方在业务活动中有违反廉政规定的行为，有及时提醒对方纠正的权利和义务。</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第二条 共同权利</w:t>
      </w:r>
    </w:p>
    <w:p>
      <w:pPr>
        <w:adjustRightInd w:val="0"/>
        <w:snapToGrid w:val="0"/>
        <w:spacing w:line="440" w:lineRule="exact"/>
        <w:rPr>
          <w:rFonts w:ascii="仿宋_GB2312" w:hAnsi="仿宋_GB2312" w:eastAsia="仿宋_GB2312" w:cs="仿宋_GB2312"/>
          <w:sz w:val="24"/>
        </w:rPr>
      </w:pPr>
      <w:r>
        <w:rPr>
          <w:rFonts w:hint="eastAsia" w:ascii="仿宋_GB2312" w:hAnsi="仿宋_GB2312" w:eastAsia="仿宋_GB2312" w:cs="仿宋_GB2312"/>
          <w:sz w:val="24"/>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_GB2312" w:eastAsia="仿宋_GB2312" w:cs="仿宋_GB2312"/>
          <w:sz w:val="24"/>
        </w:rPr>
      </w:pPr>
      <w:bookmarkStart w:id="70" w:name="_Toc59900970"/>
      <w:bookmarkStart w:id="71" w:name="_Toc59896702"/>
      <w:r>
        <w:rPr>
          <w:rFonts w:hint="eastAsia" w:ascii="仿宋_GB2312" w:hAnsi="仿宋_GB2312" w:eastAsia="仿宋_GB2312" w:cs="仿宋_GB2312"/>
          <w:sz w:val="24"/>
        </w:rPr>
        <w:t>第三条 甲方的义务</w:t>
      </w:r>
      <w:bookmarkEnd w:id="70"/>
      <w:bookmarkEnd w:id="71"/>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（一）甲方及其工作人员不得索要或接受乙方的礼金、有价证券和贵重物品。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（二）甲方及其工作人员不得在乙方报销任何应由甲方或个人支付的费用等。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（三）甲方及其工作人员不得参加乙方安排的超标准宴请和娱乐活动。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（四）甲方及其工作人员不得接受乙方提供的通讯工具、交通工具和高档办公用品等。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（六）甲方及其工作人员不得有违反法律、法规、廉洁从业规定的其他行为。</w:t>
      </w:r>
    </w:p>
    <w:p>
      <w:pPr>
        <w:adjustRightInd w:val="0"/>
        <w:snapToGrid w:val="0"/>
        <w:spacing w:line="440" w:lineRule="exact"/>
        <w:ind w:firstLine="480"/>
        <w:rPr>
          <w:rFonts w:ascii="仿宋_GB2312" w:hAnsi="仿宋_GB2312" w:eastAsia="仿宋_GB2312" w:cs="仿宋_GB2312"/>
          <w:sz w:val="24"/>
        </w:rPr>
      </w:pPr>
      <w:bookmarkStart w:id="72" w:name="_Toc59896703"/>
      <w:bookmarkStart w:id="73" w:name="_Toc59900971"/>
      <w:r>
        <w:rPr>
          <w:rFonts w:hint="eastAsia" w:ascii="仿宋_GB2312" w:hAnsi="仿宋_GB2312" w:eastAsia="仿宋_GB2312" w:cs="仿宋_GB2312"/>
          <w:sz w:val="24"/>
        </w:rPr>
        <w:t>第四条 乙方义务</w:t>
      </w:r>
      <w:bookmarkEnd w:id="72"/>
      <w:bookmarkEnd w:id="73"/>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（一）乙方不得以任何理由向甲方及其工作人员行贿或馈赠礼金、有价证券、贵重物品。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（二）乙方不得以任何名义为甲方及其工作人员报销应由甲方单位或个人支付的任何费用。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（三）乙方不得以任何理由安排甲方工作人员参加超标准宴请、健身及娱乐活动。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（四）乙方不得为甲方及其工作人员购置或提供通讯工具、交通工具和高档办公用品等。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（六）乙方不得有违反法律、法规、廉洁从业规定的其他行为。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第五条 违约责任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第七条 本协议有效期为甲乙双方签署之日起至主合同完全履行完毕之日止。</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第八条 本协议作为主合同的附件，与主合同具有同等的法律效力，经合同双方签署立即生效。</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第九条 发现有违反相关要求的，可通过以下途径举报：</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（1）监督举报电话（限短信方式）：15367896029，15367896120。</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（2）举报邮箱：yygsjbyx2015@163.com。</w:t>
      </w:r>
    </w:p>
    <w:p>
      <w:pPr>
        <w:ind w:left="420" w:leftChars="200"/>
      </w:pPr>
    </w:p>
    <w:p>
      <w:pPr>
        <w:snapToGrid w:val="0"/>
        <w:spacing w:line="440" w:lineRule="exact"/>
        <w:rPr>
          <w:rFonts w:ascii="仿宋_GB2312" w:hAnsi="仿宋_GB2312" w:eastAsia="仿宋_GB2312" w:cs="仿宋_GB2312"/>
          <w:sz w:val="24"/>
        </w:rPr>
        <w:sectPr>
          <w:footerReference r:id="rId12" w:type="default"/>
          <w:pgSz w:w="11906" w:h="16838"/>
          <w:pgMar w:top="1440" w:right="1800" w:bottom="1440" w:left="1800" w:header="851" w:footer="992" w:gutter="0"/>
          <w:cols w:space="720" w:num="1"/>
          <w:docGrid w:type="lines" w:linePitch="312" w:charSpace="0"/>
        </w:sectPr>
      </w:pPr>
    </w:p>
    <w:p>
      <w:pPr>
        <w:rPr>
          <w:rFonts w:ascii="仿宋_GB2312" w:hAnsi="仿宋_GB2312" w:eastAsia="仿宋_GB2312" w:cs="仿宋_GB2312"/>
          <w:sz w:val="24"/>
        </w:rPr>
      </w:pPr>
      <w:r>
        <w:rPr>
          <w:rFonts w:hint="eastAsia" w:ascii="仿宋_GB2312" w:hAnsi="仿宋_GB2312" w:eastAsia="仿宋_GB2312" w:cs="仿宋_GB2312"/>
          <w:sz w:val="24"/>
        </w:rPr>
        <w:t>（本页无正文）</w:t>
      </w:r>
    </w:p>
    <w:p>
      <w:pPr>
        <w:rPr>
          <w:rFonts w:ascii="仿宋_GB2312" w:hAnsi="仿宋_GB2312" w:eastAsia="仿宋_GB2312" w:cs="仿宋_GB2312"/>
        </w:rPr>
      </w:pPr>
    </w:p>
    <w:p>
      <w:pPr>
        <w:rPr>
          <w:rFonts w:ascii="仿宋_GB2312" w:hAnsi="仿宋_GB2312" w:eastAsia="仿宋_GB2312" w:cs="仿宋_GB2312"/>
        </w:rPr>
      </w:pP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 xml:space="preserve"> （盖章）            </w:t>
      </w:r>
      <w:r>
        <w:rPr>
          <w:rFonts w:hint="eastAsia" w:ascii="仿宋_GB2312" w:hAnsi="仿宋_GB2312" w:eastAsia="仿宋_GB2312" w:cs="仿宋_GB2312"/>
          <w:sz w:val="24"/>
        </w:rPr>
        <w:t xml:space="preserve">             乙方：</w:t>
      </w:r>
      <w:r>
        <w:rPr>
          <w:rFonts w:hint="eastAsia" w:ascii="仿宋_GB2312" w:hAnsi="仿宋_GB2312" w:eastAsia="仿宋_GB2312" w:cs="仿宋_GB2312"/>
          <w:sz w:val="24"/>
          <w:u w:val="single"/>
        </w:rPr>
        <w:t xml:space="preserve"> （盖章）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法定代表人：</w:t>
      </w:r>
      <w:r>
        <w:rPr>
          <w:rFonts w:hint="eastAsia" w:ascii="仿宋_GB2312" w:hAnsi="仿宋_GB2312" w:eastAsia="仿宋_GB2312" w:cs="仿宋_GB2312"/>
          <w:sz w:val="24"/>
          <w:u w:val="single"/>
        </w:rPr>
        <w:t xml:space="preserve"> （签字）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或授权代理人：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或授权代理人：</w:t>
      </w:r>
      <w:r>
        <w:rPr>
          <w:rFonts w:hint="eastAsia" w:ascii="仿宋_GB2312" w:hAnsi="仿宋_GB2312" w:eastAsia="仿宋_GB2312" w:cs="仿宋_GB2312"/>
          <w:sz w:val="24"/>
          <w:u w:val="single"/>
        </w:rPr>
        <w:t xml:space="preserve">（签字）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电话：</w:t>
      </w:r>
      <w:r>
        <w:rPr>
          <w:rFonts w:hint="eastAsia" w:ascii="仿宋_GB2312" w:hAnsi="仿宋_GB2312" w:eastAsia="仿宋_GB2312" w:cs="仿宋_GB2312"/>
          <w:sz w:val="24"/>
          <w:u w:val="single"/>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napToGrid w:val="0"/>
        <w:spacing w:line="360" w:lineRule="auto"/>
        <w:rPr>
          <w:rFonts w:ascii="仿宋_GB2312" w:hAnsi="仿宋_GB2312" w:eastAsia="仿宋_GB2312" w:cs="仿宋_GB2312"/>
          <w:b/>
          <w:sz w:val="24"/>
        </w:rPr>
      </w:pPr>
      <w:r>
        <w:rPr>
          <w:rFonts w:hint="eastAsia" w:ascii="仿宋_GB2312" w:hAnsi="仿宋_GB2312" w:eastAsia="仿宋_GB2312" w:cs="仿宋_GB2312"/>
          <w:sz w:val="24"/>
        </w:rPr>
        <w:t>甲方监督单位：</w:t>
      </w:r>
      <w:r>
        <w:rPr>
          <w:rFonts w:hint="eastAsia" w:ascii="仿宋_GB2312" w:hAnsi="仿宋_GB2312" w:eastAsia="仿宋_GB2312" w:cs="仿宋_GB2312"/>
          <w:sz w:val="24"/>
          <w:u w:val="single"/>
        </w:rPr>
        <w:t xml:space="preserve">（盖章）       </w:t>
      </w:r>
      <w:r>
        <w:rPr>
          <w:rFonts w:hint="eastAsia" w:ascii="仿宋_GB2312" w:hAnsi="仿宋_GB2312" w:eastAsia="仿宋_GB2312" w:cs="仿宋_GB2312"/>
          <w:sz w:val="24"/>
        </w:rPr>
        <w:t xml:space="preserve">            乙方监督单位：</w:t>
      </w:r>
      <w:r>
        <w:rPr>
          <w:rFonts w:hint="eastAsia" w:ascii="仿宋_GB2312" w:hAnsi="仿宋_GB2312" w:eastAsia="仿宋_GB2312" w:cs="仿宋_GB2312"/>
          <w:sz w:val="24"/>
          <w:u w:val="single"/>
        </w:rPr>
        <w:t xml:space="preserve">（盖章）        </w:t>
      </w:r>
    </w:p>
    <w:p>
      <w:pPr>
        <w:adjustRightInd w:val="0"/>
        <w:snapToGrid w:val="0"/>
        <w:spacing w:line="360" w:lineRule="auto"/>
        <w:jc w:val="left"/>
        <w:outlineLvl w:val="0"/>
        <w:rPr>
          <w:rFonts w:ascii="仿宋_GB2312" w:hAnsi="仿宋_GB2312" w:eastAsia="仿宋_GB2312" w:cs="仿宋_GB2312"/>
          <w:bCs/>
          <w:sz w:val="24"/>
          <w:u w:val="single"/>
        </w:rPr>
      </w:pPr>
      <w:r>
        <w:rPr>
          <w:rFonts w:hint="eastAsia" w:ascii="仿宋" w:hAnsi="仿宋" w:eastAsia="仿宋" w:cs="仿宋"/>
        </w:rPr>
        <w:br w:type="page"/>
      </w:r>
      <w:r>
        <w:rPr>
          <w:rFonts w:hint="eastAsia" w:ascii="仿宋_GB2312" w:hAnsi="仿宋_GB2312" w:eastAsia="仿宋_GB2312" w:cs="仿宋_GB2312"/>
          <w:sz w:val="24"/>
        </w:rPr>
        <w:t>附件2：签约合同价格清单（已标价工程量清单或预算书）</w:t>
      </w:r>
    </w:p>
    <w:p>
      <w:pPr>
        <w:adjustRightInd w:val="0"/>
        <w:snapToGrid w:val="0"/>
        <w:spacing w:line="360" w:lineRule="auto"/>
        <w:jc w:val="left"/>
        <w:outlineLvl w:val="0"/>
        <w:rPr>
          <w:rFonts w:ascii="仿宋_GB2312" w:hAnsi="仿宋_GB2312" w:eastAsia="仿宋_GB2312" w:cs="仿宋_GB2312"/>
          <w:sz w:val="24"/>
        </w:rPr>
      </w:pPr>
      <w:bookmarkStart w:id="74" w:name="_Toc7255"/>
      <w:r>
        <w:rPr>
          <w:rFonts w:hint="eastAsia" w:ascii="仿宋_GB2312" w:hAnsi="仿宋_GB2312" w:eastAsia="仿宋_GB2312" w:cs="仿宋_GB2312"/>
          <w:sz w:val="24"/>
        </w:rPr>
        <w:t>附件3：用户需求书/技术规格书</w:t>
      </w:r>
    </w:p>
    <w:p>
      <w:pPr>
        <w:adjustRightInd w:val="0"/>
        <w:snapToGrid w:val="0"/>
        <w:spacing w:line="400" w:lineRule="exact"/>
        <w:jc w:val="center"/>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第四部分 合同附录</w:t>
      </w:r>
      <w:bookmarkEnd w:id="74"/>
      <w:bookmarkStart w:id="75" w:name="_Toc451247264"/>
      <w:bookmarkStart w:id="76" w:name="_Toc437444976"/>
      <w:bookmarkStart w:id="77" w:name="_Toc411417807"/>
      <w:bookmarkStart w:id="78" w:name="_Toc460309156"/>
    </w:p>
    <w:bookmarkEnd w:id="75"/>
    <w:bookmarkEnd w:id="76"/>
    <w:bookmarkEnd w:id="77"/>
    <w:bookmarkEnd w:id="78"/>
    <w:p>
      <w:pPr>
        <w:snapToGrid w:val="0"/>
        <w:spacing w:before="156" w:line="360" w:lineRule="auto"/>
        <w:outlineLvl w:val="1"/>
        <w:rPr>
          <w:rFonts w:ascii="仿宋_GB2312" w:hAnsi="仿宋_GB2312" w:eastAsia="仿宋_GB2312" w:cs="仿宋_GB2312"/>
          <w:b/>
          <w:sz w:val="24"/>
        </w:rPr>
      </w:pPr>
      <w:bookmarkStart w:id="79" w:name="_Toc6333"/>
      <w:r>
        <w:rPr>
          <w:rFonts w:hint="eastAsia" w:ascii="仿宋_GB2312" w:hAnsi="仿宋_GB2312" w:eastAsia="仿宋_GB2312" w:cs="仿宋_GB2312"/>
          <w:b/>
          <w:sz w:val="24"/>
        </w:rPr>
        <w:t>附录1  履约保函（格式</w:t>
      </w:r>
      <w:bookmarkEnd w:id="79"/>
      <w:r>
        <w:rPr>
          <w:rFonts w:hint="eastAsia" w:ascii="仿宋_GB2312" w:hAnsi="仿宋_GB2312" w:eastAsia="仿宋_GB2312" w:cs="仿宋_GB2312"/>
          <w:b/>
          <w:sz w:val="24"/>
        </w:rPr>
        <w:t>）</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                              保函编号：</w:t>
      </w:r>
    </w:p>
    <w:p>
      <w:pPr>
        <w:jc w:val="center"/>
        <w:rPr>
          <w:rFonts w:ascii="仿宋_GB2312" w:hAnsi="仿宋_GB2312" w:eastAsia="仿宋_GB2312" w:cs="仿宋_GB2312"/>
          <w:b/>
          <w:sz w:val="24"/>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银行履约保函</w:t>
      </w:r>
    </w:p>
    <w:p>
      <w:pPr>
        <w:jc w:val="center"/>
        <w:rPr>
          <w:rFonts w:ascii="仿宋_GB2312" w:hAnsi="仿宋_GB2312" w:eastAsia="仿宋_GB2312" w:cs="仿宋_GB2312"/>
          <w:b/>
          <w:sz w:val="24"/>
        </w:rPr>
      </w:pPr>
    </w:p>
    <w:p>
      <w:pPr>
        <w:adjustRightInd w:val="0"/>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甲方（全称）：</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鉴于甲方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（以下简称“你方”）与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1、担保金额为人民币（大写）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元（小写：</w:t>
      </w:r>
      <w:r>
        <w:rPr>
          <w:rFonts w:ascii="Calibri" w:hAnsi="Calibri" w:eastAsia="仿宋_GB2312" w:cs="Calibri"/>
          <w:sz w:val="24"/>
          <w:szCs w:val="20"/>
        </w:rPr>
        <w:t>¥</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2、担保期限为自本保函生效之日起至</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之日止。</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szCs w:val="20"/>
        </w:rPr>
      </w:pPr>
    </w:p>
    <w:p>
      <w:pPr>
        <w:adjustRightInd w:val="0"/>
        <w:snapToGrid w:val="0"/>
        <w:spacing w:line="360" w:lineRule="auto"/>
        <w:ind w:left="15" w:leftChars="7" w:firstLine="403" w:firstLineChars="168"/>
        <w:rPr>
          <w:rFonts w:ascii="仿宋_GB2312" w:hAnsi="仿宋_GB2312" w:eastAsia="仿宋_GB2312" w:cs="仿宋_GB2312"/>
          <w:sz w:val="24"/>
          <w:szCs w:val="20"/>
        </w:rPr>
      </w:pPr>
      <w:r>
        <w:rPr>
          <w:rFonts w:hint="eastAsia" w:ascii="仿宋_GB2312" w:hAnsi="仿宋_GB2312" w:eastAsia="仿宋_GB2312" w:cs="仿宋_GB2312"/>
          <w:sz w:val="24"/>
          <w:szCs w:val="20"/>
        </w:rPr>
        <w:t>担保人（盖公章）：</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签字：</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地址：</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邮政编码：</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电话：</w:t>
      </w:r>
    </w:p>
    <w:p>
      <w:pPr>
        <w:adjustRightInd w:val="0"/>
        <w:snapToGrid w:val="0"/>
        <w:spacing w:line="360" w:lineRule="auto"/>
        <w:ind w:left="15" w:leftChars="7" w:firstLine="403" w:firstLineChars="168"/>
        <w:rPr>
          <w:rFonts w:ascii="仿宋_GB2312" w:hAnsi="仿宋_GB2312" w:eastAsia="仿宋_GB2312" w:cs="仿宋_GB2312"/>
          <w:sz w:val="24"/>
          <w:szCs w:val="20"/>
        </w:rPr>
      </w:pPr>
      <w:r>
        <w:rPr>
          <w:rFonts w:hint="eastAsia" w:ascii="仿宋_GB2312" w:hAnsi="仿宋_GB2312" w:eastAsia="仿宋_GB2312" w:cs="仿宋_GB2312"/>
          <w:sz w:val="24"/>
          <w:szCs w:val="20"/>
        </w:rPr>
        <w:t>传真：</w:t>
      </w:r>
    </w:p>
    <w:p>
      <w:pPr>
        <w:adjustRightInd w:val="0"/>
        <w:snapToGrid w:val="0"/>
        <w:spacing w:line="360" w:lineRule="auto"/>
        <w:ind w:left="15" w:leftChars="7" w:firstLine="403" w:firstLineChars="168"/>
        <w:rPr>
          <w:rFonts w:ascii="仿宋" w:hAnsi="仿宋" w:eastAsia="仿宋" w:cs="仿宋"/>
          <w:sz w:val="24"/>
        </w:rPr>
      </w:pPr>
      <w:r>
        <w:rPr>
          <w:rFonts w:hint="eastAsia" w:ascii="仿宋_GB2312" w:hAnsi="仿宋_GB2312" w:eastAsia="仿宋_GB2312" w:cs="仿宋_GB2312"/>
          <w:sz w:val="24"/>
          <w:szCs w:val="20"/>
        </w:rPr>
        <w:t>时间：</w:t>
      </w:r>
    </w:p>
    <w:p/>
    <w:p>
      <w:pPr>
        <w:snapToGrid w:val="0"/>
        <w:spacing w:line="360" w:lineRule="auto"/>
        <w:jc w:val="center"/>
        <w:outlineLvl w:val="0"/>
        <w:rPr>
          <w:rFonts w:ascii="宋体" w:hAnsi="宋体" w:cs="宋体"/>
          <w:b/>
          <w:sz w:val="32"/>
          <w:szCs w:val="32"/>
        </w:rPr>
        <w:sectPr>
          <w:headerReference r:id="rId13" w:type="default"/>
          <w:footerReference r:id="rId14" w:type="default"/>
          <w:pgSz w:w="11906" w:h="16838"/>
          <w:pgMar w:top="1440" w:right="1440" w:bottom="1440" w:left="1440" w:header="851" w:footer="851" w:gutter="0"/>
          <w:cols w:space="720" w:num="1"/>
          <w:docGrid w:linePitch="312" w:charSpace="0"/>
        </w:sectPr>
      </w:pPr>
      <w:bookmarkStart w:id="80" w:name="_Toc12762"/>
      <w:bookmarkStart w:id="81" w:name="_Toc5097"/>
      <w:bookmarkStart w:id="82" w:name="_Toc20891"/>
      <w:bookmarkStart w:id="83" w:name="_Toc29654"/>
    </w:p>
    <w:p>
      <w:pPr>
        <w:snapToGrid w:val="0"/>
        <w:spacing w:line="360" w:lineRule="auto"/>
        <w:jc w:val="center"/>
        <w:outlineLvl w:val="0"/>
        <w:rPr>
          <w:rFonts w:ascii="宋体" w:hAnsi="宋体" w:cs="宋体"/>
          <w:bCs/>
          <w:sz w:val="32"/>
          <w:szCs w:val="32"/>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438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84"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80"/>
      <w:bookmarkEnd w:id="81"/>
      <w:bookmarkEnd w:id="82"/>
      <w:bookmarkEnd w:id="83"/>
      <w:bookmarkEnd w:id="84"/>
    </w:p>
    <w:p>
      <w:pPr>
        <w:spacing w:line="360" w:lineRule="auto"/>
        <w:rPr>
          <w:rFonts w:ascii="宋体" w:hAnsi="宋体" w:cs="宋体"/>
          <w:b/>
          <w:bCs/>
          <w:sz w:val="52"/>
          <w:szCs w:val="52"/>
        </w:rPr>
      </w:pPr>
    </w:p>
    <w:p>
      <w:pPr>
        <w:pStyle w:val="14"/>
        <w:spacing w:line="360" w:lineRule="auto"/>
        <w:rPr>
          <w:rFonts w:ascii="宋体" w:hAnsi="宋体" w:cs="宋体"/>
        </w:rPr>
      </w:pPr>
    </w:p>
    <w:p>
      <w:pPr>
        <w:spacing w:line="360" w:lineRule="auto"/>
        <w:jc w:val="center"/>
        <w:rPr>
          <w:rFonts w:ascii="宋体" w:hAnsi="宋体" w:cs="宋体"/>
          <w:b/>
          <w:bCs/>
          <w:sz w:val="52"/>
          <w:szCs w:val="52"/>
        </w:rPr>
      </w:pPr>
      <w:r>
        <w:rPr>
          <w:rFonts w:hint="eastAsia" w:ascii="宋体" w:hAnsi="宋体" w:cs="宋体"/>
          <w:b/>
          <w:bCs/>
          <w:sz w:val="52"/>
          <w:szCs w:val="52"/>
        </w:rPr>
        <w:t>自主竞争性谈判</w:t>
      </w:r>
    </w:p>
    <w:p>
      <w:pPr>
        <w:adjustRightInd w:val="0"/>
        <w:snapToGrid w:val="0"/>
        <w:spacing w:line="360" w:lineRule="auto"/>
        <w:jc w:val="center"/>
        <w:rPr>
          <w:rFonts w:ascii="宋体" w:hAnsi="宋体" w:cs="宋体"/>
          <w:b/>
          <w:bCs/>
          <w:sz w:val="52"/>
          <w:szCs w:val="52"/>
        </w:rPr>
      </w:pPr>
      <w:r>
        <w:rPr>
          <w:rFonts w:hint="eastAsia" w:ascii="宋体" w:hAnsi="宋体" w:cs="宋体"/>
          <w:b/>
          <w:bCs/>
          <w:sz w:val="52"/>
          <w:szCs w:val="52"/>
        </w:rPr>
        <w:t>响应文件</w:t>
      </w:r>
    </w:p>
    <w:p>
      <w:pPr>
        <w:spacing w:line="360" w:lineRule="auto"/>
        <w:rPr>
          <w:rFonts w:ascii="宋体" w:hAnsi="宋体" w:cs="宋体"/>
          <w:sz w:val="28"/>
          <w:szCs w:val="28"/>
        </w:rPr>
      </w:pPr>
    </w:p>
    <w:p>
      <w:pPr>
        <w:pStyle w:val="26"/>
        <w:rPr>
          <w:rFonts w:hAnsi="宋体" w:cs="宋体"/>
          <w:b/>
          <w:sz w:val="32"/>
          <w:szCs w:val="32"/>
        </w:rPr>
      </w:pPr>
    </w:p>
    <w:p>
      <w:pPr>
        <w:pStyle w:val="26"/>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谈判项目名称：</w:t>
      </w:r>
      <w:r>
        <w:rPr>
          <w:rFonts w:hint="eastAsia" w:hAnsi="宋体" w:cs="宋体"/>
          <w:b/>
          <w:bCs/>
          <w:sz w:val="32"/>
          <w:szCs w:val="32"/>
          <w:u w:val="single"/>
        </w:rPr>
        <w:t xml:space="preserve">                      </w:t>
      </w: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谈判单位名称：</w:t>
      </w:r>
      <w:r>
        <w:rPr>
          <w:rFonts w:hint="eastAsia" w:hAnsi="宋体" w:cs="宋体"/>
          <w:b/>
          <w:bCs/>
          <w:sz w:val="32"/>
          <w:szCs w:val="32"/>
          <w:u w:val="single"/>
        </w:rPr>
        <w:t xml:space="preserve">      （加盖单位公章）</w:t>
      </w: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谈判项目编号：</w:t>
      </w:r>
      <w:r>
        <w:rPr>
          <w:rFonts w:hint="eastAsia" w:hAnsi="宋体" w:cs="宋体"/>
          <w:b/>
          <w:bCs/>
          <w:sz w:val="32"/>
          <w:szCs w:val="32"/>
          <w:u w:val="single"/>
        </w:rPr>
        <w:t xml:space="preserve">                      </w:t>
      </w: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jc w:val="center"/>
        <w:rPr>
          <w:rFonts w:hAnsi="宋体" w:cs="宋体"/>
        </w:rPr>
      </w:pPr>
      <w:r>
        <w:rPr>
          <w:rFonts w:hint="eastAsia" w:hAnsi="宋体" w:cs="宋体"/>
          <w:b/>
          <w:bCs/>
          <w:sz w:val="32"/>
          <w:szCs w:val="32"/>
        </w:rPr>
        <w:t>日  期：</w:t>
      </w:r>
      <w:r>
        <w:rPr>
          <w:rFonts w:hint="eastAsia" w:hAnsi="宋体" w:cs="宋体"/>
          <w:b/>
          <w:bCs/>
          <w:sz w:val="32"/>
          <w:szCs w:val="32"/>
          <w:u w:val="single"/>
        </w:rPr>
        <w:t xml:space="preserve">   </w:t>
      </w:r>
      <w:r>
        <w:rPr>
          <w:rFonts w:hint="eastAsia" w:hAnsi="宋体" w:cs="宋体"/>
          <w:b/>
          <w:bCs/>
          <w:sz w:val="32"/>
          <w:szCs w:val="32"/>
        </w:rPr>
        <w:t>年</w:t>
      </w:r>
      <w:r>
        <w:rPr>
          <w:rFonts w:hint="eastAsia" w:hAnsi="宋体" w:cs="宋体"/>
          <w:b/>
          <w:bCs/>
          <w:sz w:val="32"/>
          <w:szCs w:val="32"/>
          <w:u w:val="single"/>
        </w:rPr>
        <w:t xml:space="preserve">  </w:t>
      </w:r>
      <w:r>
        <w:rPr>
          <w:rFonts w:hint="eastAsia" w:hAnsi="宋体" w:cs="宋体"/>
          <w:b/>
          <w:bCs/>
          <w:sz w:val="32"/>
          <w:szCs w:val="32"/>
        </w:rPr>
        <w:t>月</w:t>
      </w:r>
      <w:r>
        <w:rPr>
          <w:rFonts w:hint="eastAsia" w:hAnsi="宋体" w:cs="宋体"/>
          <w:b/>
          <w:bCs/>
          <w:sz w:val="32"/>
          <w:szCs w:val="32"/>
          <w:u w:val="single"/>
        </w:rPr>
        <w:t xml:space="preserve">  </w:t>
      </w:r>
      <w:r>
        <w:rPr>
          <w:rFonts w:hint="eastAsia" w:hAnsi="宋体" w:cs="宋体"/>
          <w:b/>
          <w:bCs/>
          <w:sz w:val="32"/>
          <w:szCs w:val="32"/>
        </w:rPr>
        <w:t>日</w:t>
      </w:r>
    </w:p>
    <w:p>
      <w:pPr>
        <w:spacing w:line="360" w:lineRule="exact"/>
        <w:rPr>
          <w:rFonts w:ascii="宋体" w:hAnsi="宋体" w:cs="宋体"/>
          <w:b/>
        </w:rPr>
      </w:pPr>
    </w:p>
    <w:p>
      <w:pPr>
        <w:adjustRightInd w:val="0"/>
        <w:snapToGrid w:val="0"/>
        <w:spacing w:line="360" w:lineRule="auto"/>
        <w:jc w:val="center"/>
        <w:outlineLvl w:val="0"/>
        <w:rPr>
          <w:rFonts w:ascii="宋体" w:hAnsi="宋体" w:cs="宋体"/>
          <w:b/>
          <w:sz w:val="32"/>
          <w:szCs w:val="32"/>
        </w:rPr>
        <w:sectPr>
          <w:pgSz w:w="11906" w:h="16838"/>
          <w:pgMar w:top="1440" w:right="1440" w:bottom="1440" w:left="1440" w:header="851" w:footer="851" w:gutter="0"/>
          <w:cols w:space="720" w:num="1"/>
          <w:docGrid w:linePitch="312" w:charSpace="0"/>
        </w:sectPr>
      </w:pPr>
    </w:p>
    <w:p>
      <w:pPr>
        <w:widowControl/>
        <w:spacing w:line="360" w:lineRule="auto"/>
        <w:jc w:val="center"/>
        <w:rPr>
          <w:rFonts w:ascii="宋体" w:hAnsi="宋体" w:cs="宋体"/>
          <w:b/>
          <w:bCs/>
          <w:sz w:val="32"/>
          <w:szCs w:val="32"/>
        </w:rPr>
      </w:pPr>
      <w:r>
        <w:rPr>
          <w:rFonts w:hint="eastAsia" w:ascii="宋体" w:hAnsi="宋体" w:cs="宋体"/>
          <w:b/>
          <w:sz w:val="32"/>
          <w:szCs w:val="32"/>
        </w:rPr>
        <w:t>目   录</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一、谈判承诺书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二、法定代表人身份证明书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三、授权委托书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四、谈判单位资格条件证明文件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五、不拖欠农民工工资承诺书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六、报价一览表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七、报价汇总表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八、投标报价表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九、其他资料（如有）</w:t>
      </w:r>
    </w:p>
    <w:p>
      <w:pPr>
        <w:ind w:firstLine="480" w:firstLineChars="200"/>
        <w:jc w:val="center"/>
        <w:outlineLvl w:val="1"/>
        <w:rPr>
          <w:rFonts w:ascii="宋体" w:hAnsi="宋体" w:cs="宋体"/>
          <w:b/>
          <w:sz w:val="32"/>
          <w:szCs w:val="32"/>
        </w:rPr>
      </w:pPr>
      <w:r>
        <w:rPr>
          <w:rFonts w:hint="eastAsia" w:ascii="宋体" w:hAnsi="宋体" w:cs="宋体"/>
          <w:sz w:val="24"/>
        </w:rPr>
        <w:br w:type="page"/>
      </w:r>
      <w:bookmarkStart w:id="85" w:name="_Toc2508"/>
      <w:bookmarkStart w:id="86" w:name="_Toc32569"/>
      <w:bookmarkStart w:id="87" w:name="_Toc14530"/>
      <w:bookmarkStart w:id="88" w:name="_Toc32600"/>
      <w:r>
        <w:rPr>
          <w:rFonts w:hint="eastAsia" w:ascii="宋体" w:hAnsi="宋体" w:cs="宋体"/>
          <w:b/>
          <w:sz w:val="32"/>
          <w:szCs w:val="32"/>
        </w:rPr>
        <w:t>一、谈判承诺书</w:t>
      </w:r>
      <w:bookmarkEnd w:id="85"/>
      <w:bookmarkEnd w:id="86"/>
      <w:bookmarkEnd w:id="87"/>
      <w:bookmarkEnd w:id="88"/>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(采购单位)：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项目名称)的竞争性谈判文件（谈判项目编号：         ）的全部内容，知悉参加竞争性谈判的风险，我方承诺接受谈判文件的全部条款且无任何异议。</w:t>
      </w:r>
    </w:p>
    <w:p>
      <w:pPr>
        <w:pStyle w:val="26"/>
        <w:adjustRightInd w:val="0"/>
        <w:snapToGrid w:val="0"/>
        <w:spacing w:line="360" w:lineRule="auto"/>
        <w:ind w:firstLine="420" w:firstLineChars="200"/>
        <w:rPr>
          <w:rFonts w:hAnsi="宋体" w:cs="宋体"/>
        </w:rPr>
      </w:pPr>
      <w:r>
        <w:rPr>
          <w:rFonts w:hint="eastAsia" w:hAnsi="宋体" w:cs="宋体"/>
        </w:rPr>
        <w:t>一、参与本项目竞争性谈判活动系本公司自愿行为。</w:t>
      </w:r>
    </w:p>
    <w:p>
      <w:pPr>
        <w:pStyle w:val="26"/>
        <w:adjustRightInd w:val="0"/>
        <w:snapToGrid w:val="0"/>
        <w:spacing w:line="360" w:lineRule="auto"/>
        <w:ind w:firstLine="420" w:firstLineChars="200"/>
        <w:rPr>
          <w:rFonts w:hAnsi="宋体" w:cs="宋体"/>
        </w:rPr>
      </w:pPr>
      <w:r>
        <w:rPr>
          <w:rFonts w:hint="eastAsia" w:hAnsi="宋体" w:cs="宋体"/>
        </w:rPr>
        <w:t>二、我方同意在谈判文件中规定的提交响应文件截止时间起</w:t>
      </w:r>
      <w:r>
        <w:rPr>
          <w:rFonts w:hint="eastAsia" w:hAnsi="宋体" w:cs="宋体"/>
          <w:u w:val="single"/>
        </w:rPr>
        <w:t>180</w:t>
      </w:r>
      <w:r>
        <w:rPr>
          <w:rFonts w:hint="eastAsia" w:hAnsi="宋体" w:cs="宋体"/>
        </w:rPr>
        <w:t>日历天内(响应文件有效期)遵守本响应文件中的承诺且在此期限期满之前均具有法律约束力。</w:t>
      </w:r>
    </w:p>
    <w:p>
      <w:pPr>
        <w:pStyle w:val="26"/>
        <w:adjustRightInd w:val="0"/>
        <w:snapToGrid w:val="0"/>
        <w:spacing w:line="360" w:lineRule="auto"/>
        <w:ind w:firstLine="420" w:firstLineChars="200"/>
        <w:rPr>
          <w:rFonts w:hAnsi="宋体" w:cs="宋体"/>
          <w:bCs/>
        </w:rPr>
      </w:pPr>
      <w:r>
        <w:rPr>
          <w:rFonts w:hint="eastAsia" w:hAnsi="宋体" w:cs="宋体"/>
        </w:rPr>
        <w:t>三、我方提交的响应文件均为正本份和副本份，电子文件（包括响应文件全部内容）份，并保证响应文件提供的数据和材料是真实、准确的，</w:t>
      </w:r>
      <w:r>
        <w:rPr>
          <w:rFonts w:hint="eastAsia" w:hAnsi="宋体"/>
          <w:b/>
          <w:bCs/>
        </w:rPr>
        <w:t>均无复制、粘贴之情形</w:t>
      </w:r>
      <w:r>
        <w:rPr>
          <w:rFonts w:hint="eastAsia" w:hAnsi="宋体"/>
          <w:bCs/>
        </w:rPr>
        <w:t>，</w:t>
      </w:r>
      <w:r>
        <w:rPr>
          <w:rFonts w:hint="eastAsia" w:hAnsi="宋体" w:cs="宋体"/>
        </w:rPr>
        <w:t>且无低于成本的恶意报价行为。否则，愿承担由此引起的一切</w:t>
      </w:r>
      <w:r>
        <w:rPr>
          <w:rFonts w:hint="eastAsia" w:hAnsi="宋体" w:cs="宋体"/>
          <w:bCs/>
        </w:rPr>
        <w:t>法律责任。</w:t>
      </w:r>
    </w:p>
    <w:p>
      <w:pPr>
        <w:pStyle w:val="26"/>
        <w:adjustRightInd w:val="0"/>
        <w:snapToGrid w:val="0"/>
        <w:spacing w:line="360" w:lineRule="auto"/>
        <w:ind w:firstLine="420" w:firstLineChars="200"/>
        <w:rPr>
          <w:rFonts w:hAnsi="宋体" w:cs="宋体"/>
        </w:rPr>
      </w:pPr>
      <w:r>
        <w:rPr>
          <w:rFonts w:hint="eastAsia" w:hAnsi="宋体" w:cs="宋体"/>
        </w:rPr>
        <w:t>四、遵守贵司各项管理制度和谈判现场纪律，服从现场工作人员管理，自觉维护贵司谈判活动秩序。</w:t>
      </w:r>
    </w:p>
    <w:p>
      <w:pPr>
        <w:pStyle w:val="26"/>
        <w:adjustRightInd w:val="0"/>
        <w:snapToGrid w:val="0"/>
        <w:spacing w:line="360" w:lineRule="auto"/>
        <w:ind w:firstLine="420" w:firstLineChars="200"/>
        <w:rPr>
          <w:rFonts w:hAnsi="宋体" w:cs="宋体"/>
        </w:rPr>
      </w:pPr>
      <w:r>
        <w:rPr>
          <w:rFonts w:hint="eastAsia" w:hAnsi="宋体" w:cs="宋体"/>
        </w:rPr>
        <w:t>五、保证没有组织、参与围标、串标行为。</w:t>
      </w:r>
    </w:p>
    <w:p>
      <w:pPr>
        <w:pStyle w:val="26"/>
        <w:adjustRightInd w:val="0"/>
        <w:snapToGrid w:val="0"/>
        <w:spacing w:line="360" w:lineRule="auto"/>
        <w:ind w:firstLine="420" w:firstLineChars="200"/>
        <w:rPr>
          <w:rFonts w:hAnsi="宋体" w:cs="宋体"/>
        </w:rPr>
      </w:pPr>
      <w:r>
        <w:rPr>
          <w:rFonts w:hint="eastAsia" w:hAnsi="宋体" w:cs="宋体"/>
        </w:rPr>
        <w:t>六、不与采购单位或者谈判评审小组成员私下联络和串通以牟取中选；不以他人名义参与谈判或者以其他方式弄虚作假骗取中选；不在谈判结束后进行虚假、恶意质疑和投诉。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hAnsi="宋体" w:cs="宋体"/>
        </w:rPr>
      </w:pPr>
      <w:r>
        <w:rPr>
          <w:rFonts w:hint="eastAsia" w:hAnsi="宋体" w:cs="宋体"/>
        </w:rPr>
        <w:t>七、我方承诺，若贵方需要，我方愿意提供任何与本次谈判有关的数据、情况和技术资料。</w:t>
      </w:r>
    </w:p>
    <w:p>
      <w:pPr>
        <w:pStyle w:val="26"/>
        <w:adjustRightInd w:val="0"/>
        <w:snapToGrid w:val="0"/>
        <w:spacing w:line="360" w:lineRule="auto"/>
        <w:ind w:firstLine="420" w:firstLineChars="200"/>
        <w:rPr>
          <w:rFonts w:hAnsi="宋体" w:cs="宋体"/>
        </w:rPr>
      </w:pPr>
      <w:r>
        <w:rPr>
          <w:rFonts w:hint="eastAsia" w:hAnsi="宋体" w:cs="宋体"/>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hAnsi="宋体" w:cs="宋体"/>
        </w:rPr>
      </w:pPr>
      <w:r>
        <w:rPr>
          <w:rFonts w:hint="eastAsia" w:hAnsi="宋体" w:cs="宋体"/>
        </w:rPr>
        <w:t>九、我方承诺在参与本次竞争性谈判过程中，若出现本文件</w:t>
      </w:r>
      <w:r>
        <w:rPr>
          <w:rFonts w:hint="eastAsia" w:hAnsi="宋体" w:cs="宋体"/>
          <w:b/>
        </w:rPr>
        <w:t>谈判须知正文</w:t>
      </w:r>
      <w:r>
        <w:rPr>
          <w:rFonts w:hint="eastAsia" w:hAnsi="宋体" w:cs="宋体"/>
        </w:rPr>
        <w:t>第26条规定之情形，我方无条件接受条款规定作出的处罚。</w:t>
      </w:r>
    </w:p>
    <w:p>
      <w:pPr>
        <w:pStyle w:val="26"/>
        <w:adjustRightInd w:val="0"/>
        <w:snapToGrid w:val="0"/>
        <w:spacing w:line="360" w:lineRule="auto"/>
        <w:ind w:firstLine="420" w:firstLineChars="200"/>
        <w:rPr>
          <w:rFonts w:hAnsi="宋体" w:cs="宋体"/>
        </w:rPr>
      </w:pPr>
      <w:r>
        <w:rPr>
          <w:rFonts w:hint="eastAsia" w:hAnsi="宋体" w:cs="宋体"/>
        </w:rPr>
        <w:t>十、我方承诺完全响应本文件第四章“用户需求书”及第六章“合同格式条款”内的全部内容。</w:t>
      </w:r>
    </w:p>
    <w:p>
      <w:pPr>
        <w:ind w:firstLine="420" w:firstLineChars="200"/>
        <w:rPr>
          <w:rFonts w:ascii="宋体" w:hAnsi="宋体" w:cs="宋体"/>
          <w:szCs w:val="21"/>
        </w:rPr>
      </w:pPr>
      <w:r>
        <w:rPr>
          <w:rFonts w:hint="eastAsia" w:ascii="宋体" w:hAnsi="宋体" w:cs="宋体"/>
          <w:szCs w:val="21"/>
        </w:rPr>
        <w:t>十一、如有违反本承诺书内容的行为，愿意承担由此产生的法律责任及后果。</w:t>
      </w:r>
    </w:p>
    <w:p>
      <w:pPr>
        <w:adjustRightInd w:val="0"/>
        <w:snapToGrid w:val="0"/>
        <w:spacing w:line="360" w:lineRule="auto"/>
        <w:ind w:right="24"/>
        <w:rPr>
          <w:rFonts w:ascii="宋体" w:hAnsi="宋体" w:cs="宋体"/>
          <w:bCs/>
          <w:szCs w:val="21"/>
        </w:rPr>
      </w:pPr>
    </w:p>
    <w:p>
      <w:pPr>
        <w:pStyle w:val="26"/>
        <w:adjustRightInd w:val="0"/>
        <w:snapToGrid w:val="0"/>
        <w:spacing w:line="360" w:lineRule="auto"/>
        <w:rPr>
          <w:rFonts w:hAnsi="宋体" w:cs="宋体"/>
        </w:rPr>
      </w:pPr>
    </w:p>
    <w:p>
      <w:pPr>
        <w:pStyle w:val="26"/>
        <w:adjustRightInd w:val="0"/>
        <w:snapToGrid w:val="0"/>
        <w:spacing w:line="360" w:lineRule="auto"/>
        <w:rPr>
          <w:rFonts w:hAnsi="宋体" w:cs="宋体"/>
        </w:rPr>
      </w:pPr>
    </w:p>
    <w:p>
      <w:pPr>
        <w:spacing w:line="360" w:lineRule="auto"/>
        <w:rPr>
          <w:rFonts w:ascii="宋体" w:hAnsi="宋体" w:cs="宋体"/>
          <w:szCs w:val="21"/>
          <w:u w:val="single"/>
        </w:rPr>
      </w:pPr>
      <w:r>
        <w:rPr>
          <w:rFonts w:hint="eastAsia" w:ascii="宋体" w:hAnsi="宋体" w:cs="宋体"/>
          <w:szCs w:val="21"/>
        </w:rPr>
        <w:t>谈判单位名称：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rPr>
          <w:rFonts w:ascii="宋体" w:hAnsi="宋体" w:cs="宋体"/>
          <w:bCs/>
          <w:szCs w:val="21"/>
        </w:rPr>
      </w:pPr>
    </w:p>
    <w:p>
      <w:pPr>
        <w:adjustRightInd w:val="0"/>
        <w:snapToGrid w:val="0"/>
        <w:spacing w:line="360" w:lineRule="auto"/>
        <w:ind w:right="24"/>
        <w:rPr>
          <w:rFonts w:ascii="宋体" w:hAnsi="宋体" w:cs="宋体"/>
          <w:bCs/>
          <w:sz w:val="28"/>
          <w:szCs w:val="28"/>
        </w:rPr>
      </w:pPr>
    </w:p>
    <w:p>
      <w:pPr>
        <w:pStyle w:val="14"/>
        <w:rPr>
          <w:rFonts w:ascii="宋体" w:hAnsi="宋体" w:cs="宋体"/>
          <w:bCs/>
          <w:sz w:val="28"/>
          <w:szCs w:val="28"/>
        </w:rPr>
      </w:pPr>
    </w:p>
    <w:p>
      <w:pPr>
        <w:rPr>
          <w:rFonts w:ascii="宋体" w:hAnsi="宋体" w:cs="宋体"/>
          <w:bCs/>
          <w:sz w:val="28"/>
          <w:szCs w:val="28"/>
        </w:rPr>
      </w:pPr>
    </w:p>
    <w:p>
      <w:pPr>
        <w:pStyle w:val="14"/>
        <w:rPr>
          <w:rFonts w:ascii="宋体" w:hAnsi="宋体" w:cs="宋体"/>
        </w:rPr>
      </w:pPr>
    </w:p>
    <w:p>
      <w:pPr>
        <w:adjustRightInd w:val="0"/>
        <w:snapToGrid w:val="0"/>
        <w:spacing w:line="360" w:lineRule="auto"/>
        <w:ind w:right="24"/>
        <w:jc w:val="center"/>
        <w:outlineLvl w:val="1"/>
        <w:rPr>
          <w:rFonts w:ascii="宋体" w:hAnsi="宋体" w:cs="宋体"/>
          <w:b/>
          <w:sz w:val="32"/>
          <w:szCs w:val="32"/>
        </w:rPr>
      </w:pPr>
      <w:bookmarkStart w:id="89" w:name="_Toc2211"/>
      <w:bookmarkStart w:id="90" w:name="_Toc31277"/>
      <w:bookmarkStart w:id="91" w:name="_Toc1313"/>
      <w:bookmarkStart w:id="92" w:name="_Toc3026"/>
      <w:r>
        <w:rPr>
          <w:rFonts w:hint="eastAsia" w:ascii="宋体" w:hAnsi="宋体" w:cs="宋体"/>
          <w:b/>
          <w:sz w:val="32"/>
          <w:szCs w:val="32"/>
        </w:rPr>
        <w:t>二、法定代表人身份证明书</w:t>
      </w:r>
      <w:bookmarkEnd w:id="89"/>
      <w:bookmarkEnd w:id="90"/>
      <w:bookmarkEnd w:id="91"/>
      <w:bookmarkEnd w:id="92"/>
    </w:p>
    <w:p>
      <w:pPr>
        <w:snapToGrid w:val="0"/>
        <w:spacing w:line="480" w:lineRule="auto"/>
        <w:rPr>
          <w:rFonts w:ascii="宋体" w:hAnsi="宋体" w:cs="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谈判单位</w:t>
      </w:r>
      <w:r>
        <w:rPr>
          <w:rFonts w:hint="eastAsia" w:ascii="宋体" w:hAnsi="宋体" w:cs="宋体"/>
          <w:kern w:val="0"/>
          <w:szCs w:val="21"/>
        </w:rPr>
        <w:t>名称）的法定代表人。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6432"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50048;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法定代表人身份证（反面）复印件</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540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1072;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b/>
          <w:szCs w:val="21"/>
        </w:rPr>
      </w:pPr>
      <w:r>
        <w:rPr>
          <w:rFonts w:hint="eastAsia" w:ascii="宋体" w:hAnsi="宋体" w:cs="宋体"/>
          <w:szCs w:val="21"/>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5pt;height:96.15pt;width:185.5pt;z-index:251670528;mso-width-relative:page;mso-height-relative:page;" fillcolor="#FFFFFF" filled="t" stroked="t"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备注：上述证件复印件可另附页，另附页时，证件复印件均须加盖单位公章。</w:t>
      </w:r>
    </w:p>
    <w:p>
      <w:pPr>
        <w:snapToGrid w:val="0"/>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spacing w:line="360" w:lineRule="auto"/>
        <w:rPr>
          <w:rFonts w:ascii="宋体" w:hAnsi="宋体" w:cs="宋体"/>
        </w:r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Cs/>
          <w:sz w:val="24"/>
        </w:rPr>
        <w:br w:type="page"/>
      </w:r>
      <w:bookmarkStart w:id="93" w:name="_Toc3592"/>
      <w:bookmarkStart w:id="94" w:name="_Toc761"/>
      <w:bookmarkStart w:id="95" w:name="_Toc21066"/>
      <w:bookmarkStart w:id="96" w:name="_Toc14170"/>
      <w:r>
        <w:rPr>
          <w:rFonts w:hint="eastAsia" w:ascii="宋体" w:hAnsi="宋体" w:cs="宋体"/>
          <w:b/>
          <w:sz w:val="32"/>
          <w:szCs w:val="32"/>
        </w:rPr>
        <w:t>三、授权委托书</w:t>
      </w:r>
      <w:bookmarkEnd w:id="93"/>
      <w:bookmarkEnd w:id="94"/>
      <w:bookmarkEnd w:id="95"/>
      <w:bookmarkEnd w:id="96"/>
    </w:p>
    <w:p>
      <w:pPr>
        <w:adjustRightInd w:val="0"/>
        <w:snapToGrid w:val="0"/>
        <w:spacing w:line="360" w:lineRule="auto"/>
        <w:jc w:val="center"/>
        <w:rPr>
          <w:rFonts w:ascii="宋体" w:hAnsi="宋体" w:cs="宋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cs="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cs="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cs="宋体"/>
          <w:szCs w:val="21"/>
        </w:rPr>
      </w:pPr>
      <w:r>
        <w:rPr>
          <w:rFonts w:hint="eastAsia" w:ascii="宋体" w:hAnsi="宋体" w:cs="宋体"/>
          <w:szCs w:val="21"/>
        </w:rPr>
        <w:t>本授权书于    年   月   日签字生效，特此声明。</w:t>
      </w:r>
    </w:p>
    <w:p>
      <w:pPr>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49024;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9504"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46976;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8480"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48000;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adjustRightInd w:val="0"/>
        <w:snapToGrid w:val="0"/>
        <w:spacing w:line="360" w:lineRule="auto"/>
        <w:ind w:right="420"/>
        <w:rPr>
          <w:rFonts w:ascii="宋体" w:hAnsi="宋体" w:cs="宋体"/>
          <w:szCs w:val="21"/>
        </w:rPr>
      </w:pPr>
      <w:r>
        <w:rPr>
          <w:rFonts w:hint="eastAsia" w:ascii="宋体" w:hAnsi="宋体" w:cs="宋体"/>
          <w:szCs w:val="21"/>
        </w:rPr>
        <w:t>法定代表人（亲笔签字）：</w:t>
      </w:r>
      <w:r>
        <w:rPr>
          <w:rFonts w:hint="eastAsia" w:ascii="宋体" w:hAnsi="宋体" w:cs="宋体"/>
          <w:szCs w:val="21"/>
          <w:u w:val="single"/>
        </w:rPr>
        <w:t xml:space="preserve">                      </w:t>
      </w:r>
    </w:p>
    <w:p>
      <w:pPr>
        <w:adjustRightInd w:val="0"/>
        <w:snapToGrid w:val="0"/>
        <w:spacing w:line="360" w:lineRule="auto"/>
        <w:ind w:right="420"/>
        <w:rPr>
          <w:rFonts w:ascii="宋体" w:hAnsi="宋体" w:cs="宋体"/>
          <w:szCs w:val="21"/>
        </w:rPr>
      </w:pPr>
      <w:r>
        <w:rPr>
          <w:rFonts w:hint="eastAsia" w:ascii="宋体" w:hAnsi="宋体" w:cs="宋体"/>
          <w:szCs w:val="21"/>
        </w:rPr>
        <w:t>委托代理人（亲笔签字）：</w:t>
      </w:r>
      <w:r>
        <w:rPr>
          <w:rFonts w:hint="eastAsia" w:ascii="宋体" w:hAnsi="宋体" w:cs="宋体"/>
          <w:szCs w:val="21"/>
          <w:u w:val="single"/>
        </w:rPr>
        <w:t xml:space="preserve">                      </w:t>
      </w:r>
    </w:p>
    <w:p>
      <w:pPr>
        <w:spacing w:line="360" w:lineRule="auto"/>
        <w:rPr>
          <w:rFonts w:ascii="宋体" w:hAnsi="宋体" w:cs="宋体"/>
          <w:szCs w:val="21"/>
        </w:rPr>
        <w:sectPr>
          <w:pgSz w:w="11906" w:h="16838"/>
          <w:pgMar w:top="1191" w:right="1417" w:bottom="1191" w:left="1191" w:header="851" w:footer="851" w:gutter="0"/>
          <w:cols w:space="720" w:num="1"/>
          <w:docGrid w:linePitch="312" w:charSpace="0"/>
        </w:sect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bookmarkStart w:id="97" w:name="_Toc18944"/>
      <w:bookmarkStart w:id="98" w:name="_Toc11357"/>
      <w:bookmarkStart w:id="99" w:name="_Toc30284"/>
      <w:bookmarkStart w:id="100" w:name="_Toc2295"/>
      <w:r>
        <w:rPr>
          <w:rFonts w:hint="eastAsia" w:ascii="宋体" w:hAnsi="宋体" w:cs="宋体"/>
          <w:b/>
          <w:sz w:val="32"/>
          <w:szCs w:val="32"/>
        </w:rPr>
        <w:t>四、谈判单位资格证明文件</w:t>
      </w:r>
      <w:bookmarkEnd w:id="97"/>
      <w:bookmarkEnd w:id="98"/>
      <w:bookmarkEnd w:id="99"/>
      <w:bookmarkEnd w:id="100"/>
    </w:p>
    <w:p>
      <w:pPr>
        <w:adjustRightInd w:val="0"/>
        <w:snapToGrid w:val="0"/>
        <w:spacing w:line="360" w:lineRule="auto"/>
        <w:rPr>
          <w:rFonts w:ascii="宋体" w:hAnsi="宋体" w:cs="宋体"/>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r>
        <w:rPr>
          <w:rFonts w:hint="eastAsia" w:ascii="宋体" w:hAnsi="宋体"/>
          <w:b/>
          <w:szCs w:val="21"/>
        </w:rPr>
        <w:t>复印件</w:t>
      </w:r>
      <w:r>
        <w:rPr>
          <w:rFonts w:hint="eastAsia" w:ascii="宋体" w:hAnsi="宋体"/>
          <w:bCs/>
          <w:szCs w:val="21"/>
        </w:rPr>
        <w:t>：</w:t>
      </w:r>
    </w:p>
    <w:p>
      <w:pPr>
        <w:adjustRightInd w:val="0"/>
        <w:snapToGrid w:val="0"/>
        <w:spacing w:line="360" w:lineRule="auto"/>
        <w:ind w:firstLine="420" w:firstLineChars="200"/>
        <w:rPr>
          <w:rFonts w:ascii="宋体" w:hAnsi="宋体"/>
          <w:bCs/>
          <w:szCs w:val="21"/>
        </w:rPr>
      </w:pPr>
      <w:r>
        <w:rPr>
          <w:rFonts w:hint="eastAsia" w:ascii="宋体" w:hAnsi="宋体"/>
          <w:bCs/>
          <w:szCs w:val="21"/>
        </w:rPr>
        <w:t>1.需提供营业执照；</w:t>
      </w:r>
    </w:p>
    <w:p>
      <w:pPr>
        <w:adjustRightInd w:val="0"/>
        <w:snapToGrid w:val="0"/>
        <w:spacing w:line="360" w:lineRule="auto"/>
        <w:ind w:firstLine="420" w:firstLineChars="200"/>
        <w:rPr>
          <w:rFonts w:ascii="宋体" w:hAnsi="宋体"/>
          <w:bCs/>
          <w:szCs w:val="21"/>
        </w:rPr>
      </w:pPr>
      <w:r>
        <w:rPr>
          <w:rFonts w:hint="eastAsia" w:ascii="宋体" w:hAnsi="宋体"/>
          <w:bCs/>
          <w:szCs w:val="21"/>
        </w:rPr>
        <w:t>2.需提供机电工程施工总承包三级（含）以上或建筑机电安装工程专业承包三级（含）以上资质证书，有效的施工企业《安全生产许可证》；</w:t>
      </w:r>
    </w:p>
    <w:p>
      <w:pPr>
        <w:adjustRightInd w:val="0"/>
        <w:snapToGrid w:val="0"/>
        <w:spacing w:line="360" w:lineRule="auto"/>
        <w:ind w:firstLine="420" w:firstLineChars="200"/>
        <w:rPr>
          <w:rFonts w:ascii="宋体" w:hAnsi="宋体"/>
          <w:bCs/>
          <w:szCs w:val="21"/>
        </w:rPr>
      </w:pPr>
      <w:r>
        <w:rPr>
          <w:rFonts w:hint="eastAsia" w:ascii="宋体" w:hAnsi="宋体"/>
          <w:bCs/>
          <w:szCs w:val="21"/>
        </w:rPr>
        <w:t>3.需提供项目负责人机电工程或建筑工程专业贰级及以上注册建造师执业资格证、安全生产考核合格证；</w:t>
      </w:r>
    </w:p>
    <w:p>
      <w:pPr>
        <w:adjustRightInd w:val="0"/>
        <w:snapToGrid w:val="0"/>
        <w:spacing w:line="360" w:lineRule="auto"/>
        <w:ind w:firstLine="420" w:firstLineChars="200"/>
        <w:rPr>
          <w:rFonts w:ascii="宋体" w:hAnsi="宋体"/>
          <w:bCs/>
          <w:szCs w:val="21"/>
        </w:rPr>
      </w:pPr>
      <w:r>
        <w:rPr>
          <w:rFonts w:hint="eastAsia" w:ascii="宋体" w:hAnsi="宋体"/>
          <w:bCs/>
          <w:szCs w:val="21"/>
        </w:rPr>
        <w:t>4.需提供技术负责人机电工程相关专业助理工程师及以上职称；</w:t>
      </w:r>
    </w:p>
    <w:p>
      <w:pPr>
        <w:adjustRightInd w:val="0"/>
        <w:snapToGrid w:val="0"/>
        <w:spacing w:line="360" w:lineRule="auto"/>
        <w:ind w:firstLine="420" w:firstLineChars="200"/>
        <w:rPr>
          <w:rFonts w:ascii="宋体" w:hAnsi="宋体"/>
          <w:bCs/>
          <w:szCs w:val="21"/>
        </w:rPr>
      </w:pPr>
      <w:r>
        <w:rPr>
          <w:rFonts w:hint="eastAsia" w:ascii="宋体" w:hAnsi="宋体"/>
          <w:bCs/>
          <w:szCs w:val="21"/>
        </w:rPr>
        <w:t>5.需提供施工员岗位资格证书；</w:t>
      </w:r>
    </w:p>
    <w:p>
      <w:pPr>
        <w:adjustRightInd w:val="0"/>
        <w:snapToGrid w:val="0"/>
        <w:spacing w:line="360" w:lineRule="auto"/>
        <w:ind w:firstLine="420" w:firstLineChars="200"/>
        <w:rPr>
          <w:rFonts w:ascii="宋体" w:hAnsi="宋体"/>
          <w:bCs/>
          <w:szCs w:val="21"/>
        </w:rPr>
      </w:pPr>
      <w:r>
        <w:rPr>
          <w:rFonts w:hint="eastAsia" w:ascii="宋体" w:hAnsi="宋体"/>
          <w:bCs/>
          <w:szCs w:val="21"/>
        </w:rPr>
        <w:t>6.</w:t>
      </w:r>
      <w:r>
        <w:rPr>
          <w:rFonts w:hint="eastAsia" w:ascii="宋体" w:hAnsi="宋体"/>
          <w:bCs/>
          <w:szCs w:val="21"/>
          <w:lang w:eastAsia="zh-CN"/>
        </w:rPr>
        <w:t>需提供</w:t>
      </w:r>
      <w:r>
        <w:rPr>
          <w:rFonts w:hint="eastAsia"/>
          <w:sz w:val="21"/>
          <w:szCs w:val="21"/>
          <w:lang w:val="en-US" w:eastAsia="zh-CN"/>
        </w:rPr>
        <w:t>专职安全员具备专职安全生产管理人员安全生产考核合格证</w:t>
      </w:r>
      <w:r>
        <w:rPr>
          <w:rFonts w:hint="eastAsia" w:ascii="宋体" w:hAnsi="宋体"/>
          <w:bCs/>
          <w:szCs w:val="21"/>
        </w:rPr>
        <w:t>；</w:t>
      </w:r>
    </w:p>
    <w:p>
      <w:pPr>
        <w:adjustRightInd w:val="0"/>
        <w:snapToGrid w:val="0"/>
        <w:spacing w:line="360" w:lineRule="auto"/>
        <w:ind w:firstLine="420" w:firstLineChars="200"/>
        <w:rPr>
          <w:rFonts w:ascii="宋体" w:hAnsi="宋体"/>
          <w:bCs/>
          <w:szCs w:val="21"/>
        </w:rPr>
      </w:pPr>
      <w:r>
        <w:rPr>
          <w:rFonts w:hint="eastAsia" w:ascii="宋体" w:hAnsi="宋体"/>
          <w:bCs/>
          <w:szCs w:val="21"/>
        </w:rPr>
        <w:t>7.湖南省外企业须按照湘建建【2015】190号文件要求办理省外入湘企业基本情况登记（以“湖南省住房和城乡建设网”查询为准）或具有入湘施工登记证（处于有效期内）；</w:t>
      </w:r>
    </w:p>
    <w:p>
      <w:pPr>
        <w:adjustRightInd w:val="0"/>
        <w:snapToGrid w:val="0"/>
        <w:spacing w:line="360" w:lineRule="auto"/>
        <w:ind w:firstLine="420" w:firstLineChars="200"/>
        <w:rPr>
          <w:rFonts w:ascii="宋体" w:hAnsi="宋体"/>
          <w:bCs/>
          <w:szCs w:val="21"/>
        </w:rPr>
      </w:pPr>
      <w:r>
        <w:rPr>
          <w:rFonts w:hint="eastAsia" w:ascii="宋体" w:hAnsi="宋体"/>
          <w:bCs/>
          <w:szCs w:val="21"/>
        </w:rPr>
        <w:t>8.谈判单位认为与本项目资格条件有关的其它证明文件（如有，格式自拟）。</w:t>
      </w:r>
    </w:p>
    <w:p>
      <w:pPr>
        <w:adjustRightInd w:val="0"/>
        <w:snapToGrid w:val="0"/>
        <w:spacing w:line="360" w:lineRule="auto"/>
        <w:ind w:firstLine="422" w:firstLineChars="200"/>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备注：上述证明文件复印件均须加盖谈判单位公章。</w:t>
      </w:r>
    </w:p>
    <w:p>
      <w:pPr>
        <w:adjustRightInd w:val="0"/>
        <w:snapToGrid w:val="0"/>
        <w:spacing w:line="360" w:lineRule="auto"/>
        <w:ind w:firstLine="422" w:firstLineChars="200"/>
        <w:rPr>
          <w:rFonts w:ascii="宋体" w:hAnsi="宋体" w:cs="宋体"/>
          <w:b/>
          <w:bCs/>
          <w:szCs w:val="21"/>
        </w:rPr>
      </w:pPr>
    </w:p>
    <w:p>
      <w:pPr>
        <w:pStyle w:val="14"/>
        <w:rPr>
          <w:rFonts w:ascii="宋体" w:hAnsi="宋体" w:cs="宋体"/>
        </w:rPr>
      </w:pPr>
    </w:p>
    <w:p>
      <w:pPr>
        <w:pStyle w:val="14"/>
        <w:rPr>
          <w:rFonts w:ascii="宋体" w:hAnsi="宋体" w:cs="宋体"/>
        </w:rPr>
        <w:sectPr>
          <w:pgSz w:w="11906" w:h="16838"/>
          <w:pgMar w:top="1191" w:right="1417" w:bottom="1191" w:left="1191" w:header="851" w:footer="851" w:gutter="0"/>
          <w:cols w:space="720" w:num="1"/>
        </w:sectPr>
      </w:pPr>
    </w:p>
    <w:p>
      <w:pPr>
        <w:adjustRightInd w:val="0"/>
        <w:snapToGrid w:val="0"/>
        <w:spacing w:line="360" w:lineRule="auto"/>
        <w:ind w:right="24"/>
        <w:jc w:val="center"/>
        <w:outlineLvl w:val="1"/>
        <w:rPr>
          <w:rFonts w:ascii="宋体" w:hAnsi="宋体" w:cs="宋体"/>
          <w:b/>
          <w:sz w:val="32"/>
          <w:szCs w:val="32"/>
        </w:rPr>
      </w:pPr>
      <w:bookmarkStart w:id="101" w:name="_Toc30403"/>
      <w:bookmarkStart w:id="102" w:name="_Toc9230"/>
      <w:bookmarkStart w:id="103" w:name="_Toc7528"/>
      <w:bookmarkStart w:id="104" w:name="_Toc6552"/>
      <w:r>
        <w:rPr>
          <w:rFonts w:hint="eastAsia" w:ascii="宋体" w:hAnsi="宋体" w:cs="宋体"/>
          <w:b/>
          <w:sz w:val="32"/>
          <w:szCs w:val="32"/>
        </w:rPr>
        <w:t>五、</w:t>
      </w:r>
      <w:bookmarkEnd w:id="101"/>
      <w:bookmarkEnd w:id="102"/>
      <w:bookmarkEnd w:id="103"/>
      <w:r>
        <w:rPr>
          <w:rFonts w:hint="eastAsia" w:ascii="宋体" w:hAnsi="宋体" w:cs="宋体"/>
          <w:b/>
          <w:sz w:val="32"/>
          <w:szCs w:val="32"/>
        </w:rPr>
        <w:t>不拖欠农民工工资承诺书</w:t>
      </w:r>
      <w:bookmarkEnd w:id="104"/>
    </w:p>
    <w:p>
      <w:pPr>
        <w:adjustRightInd w:val="0"/>
        <w:snapToGrid w:val="0"/>
        <w:ind w:left="-88" w:leftChars="-42" w:firstLine="211" w:firstLineChars="100"/>
        <w:jc w:val="center"/>
        <w:rPr>
          <w:rFonts w:ascii="宋体" w:hAnsi="宋体" w:cs="宋体"/>
          <w:b/>
          <w:bCs/>
          <w:szCs w:val="21"/>
        </w:rPr>
      </w:pPr>
    </w:p>
    <w:p>
      <w:pPr>
        <w:ind w:firstLine="105" w:firstLineChars="50"/>
        <w:rPr>
          <w:rFonts w:ascii="宋体" w:hAnsi="宋体" w:cs="宋体"/>
          <w:u w:val="single"/>
        </w:rPr>
      </w:pPr>
      <w:r>
        <w:rPr>
          <w:rFonts w:hint="eastAsia" w:ascii="宋体" w:hAnsi="宋体" w:cs="宋体"/>
        </w:rPr>
        <w:t>致：</w:t>
      </w:r>
      <w:r>
        <w:rPr>
          <w:rFonts w:hint="eastAsia" w:ascii="宋体" w:hAnsi="宋体" w:cs="宋体"/>
          <w:u w:val="single"/>
        </w:rPr>
        <w:t xml:space="preserve">         （采购单位）        </w:t>
      </w:r>
    </w:p>
    <w:p>
      <w:pPr>
        <w:rPr>
          <w:rFonts w:ascii="宋体" w:hAnsi="宋体" w:cs="宋体"/>
        </w:rPr>
      </w:pPr>
    </w:p>
    <w:p>
      <w:pPr>
        <w:spacing w:line="360" w:lineRule="auto"/>
        <w:ind w:firstLine="420" w:firstLineChars="200"/>
        <w:rPr>
          <w:rFonts w:ascii="宋体" w:hAnsi="宋体" w:cs="宋体"/>
        </w:rPr>
      </w:pPr>
      <w:r>
        <w:rPr>
          <w:rFonts w:hint="eastAsia" w:ascii="宋体" w:hAnsi="宋体" w:cs="宋体"/>
        </w:rPr>
        <w:t>根据贵方的</w:t>
      </w:r>
      <w:r>
        <w:rPr>
          <w:rFonts w:hint="eastAsia" w:ascii="宋体" w:hAnsi="宋体" w:cs="宋体"/>
          <w:u w:val="single"/>
        </w:rPr>
        <w:t xml:space="preserve">                      </w:t>
      </w:r>
      <w:r>
        <w:rPr>
          <w:rFonts w:hint="eastAsia" w:ascii="宋体" w:hAnsi="宋体" w:cs="宋体"/>
        </w:rPr>
        <w:t>项目谈判文件，一旦我方中选，我方保证按长建发【2004】54号（关于印发《防止发生拖欠工程款行为联动实施办法》）文件精神执行，及时足额支付民工工资。</w:t>
      </w:r>
    </w:p>
    <w:p>
      <w:pPr>
        <w:spacing w:line="360" w:lineRule="auto"/>
        <w:rPr>
          <w:rFonts w:ascii="宋体" w:hAnsi="宋体" w:cs="宋体"/>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邮编：</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pStyle w:val="28"/>
        <w:adjustRightInd w:val="0"/>
        <w:snapToGrid w:val="0"/>
        <w:spacing w:line="360" w:lineRule="auto"/>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rPr>
          <w:rFonts w:ascii="宋体" w:hAnsi="宋体" w:cs="宋体"/>
          <w:szCs w:val="21"/>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spacing w:line="36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28"/>
          <w:szCs w:val="28"/>
        </w:rPr>
      </w:pPr>
      <w:r>
        <w:rPr>
          <w:rFonts w:hint="eastAsia" w:ascii="宋体" w:hAnsi="宋体" w:cs="宋体"/>
          <w:sz w:val="24"/>
        </w:rPr>
        <w:br w:type="page"/>
      </w:r>
      <w:bookmarkStart w:id="105" w:name="_Toc15835"/>
      <w:bookmarkStart w:id="106" w:name="_Toc2843"/>
      <w:bookmarkStart w:id="107" w:name="_Toc5387"/>
      <w:bookmarkStart w:id="108" w:name="_Toc25553"/>
      <w:r>
        <w:rPr>
          <w:rFonts w:hint="eastAsia" w:ascii="宋体" w:hAnsi="宋体" w:cs="宋体"/>
          <w:b/>
          <w:sz w:val="32"/>
          <w:szCs w:val="32"/>
        </w:rPr>
        <w:t>六、报价一览表</w:t>
      </w:r>
      <w:bookmarkEnd w:id="105"/>
      <w:bookmarkEnd w:id="106"/>
      <w:bookmarkEnd w:id="107"/>
      <w:bookmarkEnd w:id="108"/>
    </w:p>
    <w:p>
      <w:pPr>
        <w:adjustRightInd w:val="0"/>
        <w:snapToGrid w:val="0"/>
        <w:jc w:val="right"/>
        <w:rPr>
          <w:rFonts w:ascii="宋体" w:hAnsi="宋体" w:cs="宋体"/>
          <w:sz w:val="24"/>
        </w:rPr>
      </w:pPr>
    </w:p>
    <w:tbl>
      <w:tblPr>
        <w:tblStyle w:val="47"/>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6"/>
        <w:gridCol w:w="1910"/>
        <w:gridCol w:w="2409"/>
        <w:gridCol w:w="21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6"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项目名称</w:t>
            </w:r>
          </w:p>
        </w:tc>
        <w:tc>
          <w:tcPr>
            <w:tcW w:w="6424"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项目编号</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工期承诺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保修承诺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质量等级</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拟任项目负责人</w:t>
            </w:r>
          </w:p>
        </w:tc>
        <w:tc>
          <w:tcPr>
            <w:tcW w:w="1910"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注册专业及等级</w:t>
            </w:r>
          </w:p>
        </w:tc>
        <w:tc>
          <w:tcPr>
            <w:tcW w:w="2105"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szCs w:val="21"/>
              </w:rPr>
            </w:pPr>
            <w:r>
              <w:rPr>
                <w:rFonts w:hint="eastAsia" w:ascii="宋体" w:hAnsi="宋体" w:cs="宋体"/>
                <w:b/>
                <w:szCs w:val="21"/>
              </w:rPr>
              <w:t>谈判总报价</w:t>
            </w:r>
          </w:p>
        </w:tc>
        <w:tc>
          <w:tcPr>
            <w:tcW w:w="19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w:t>
            </w:r>
          </w:p>
        </w:tc>
        <w:tc>
          <w:tcPr>
            <w:tcW w:w="4514" w:type="dxa"/>
            <w:gridSpan w:val="2"/>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2096"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备  注</w:t>
            </w:r>
          </w:p>
        </w:tc>
        <w:tc>
          <w:tcPr>
            <w:tcW w:w="6424" w:type="dxa"/>
            <w:gridSpan w:val="3"/>
            <w:tcBorders>
              <w:top w:val="single" w:color="auto" w:sz="6" w:space="0"/>
              <w:left w:val="single" w:color="auto" w:sz="6" w:space="0"/>
              <w:bottom w:val="single" w:color="auto" w:sz="12"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bl>
    <w:p>
      <w:pPr>
        <w:adjustRightInd w:val="0"/>
        <w:snapToGrid w:val="0"/>
        <w:spacing w:before="156" w:beforeLines="50"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2.本表内“谈判总报价”是包含了所有隐含的管理费、税金和利润等其他费用的报价。</w:t>
      </w:r>
    </w:p>
    <w:p>
      <w:pPr>
        <w:pStyle w:val="14"/>
        <w:ind w:left="0" w:leftChars="0" w:firstLine="422" w:firstLineChars="200"/>
        <w:rPr>
          <w:rFonts w:ascii="宋体" w:hAnsi="宋体" w:cs="宋体"/>
        </w:rPr>
      </w:pPr>
      <w:r>
        <w:rPr>
          <w:rFonts w:hint="eastAsia" w:ascii="宋体" w:hAnsi="宋体" w:cs="宋体"/>
          <w:b/>
          <w:szCs w:val="21"/>
        </w:rPr>
        <w:t>3.本项目设置最高限价，谈判单位所报总价不能超过最高限价，不超过最高限价的报价为有效报价。</w:t>
      </w: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pStyle w:val="28"/>
        <w:adjustRightInd w:val="0"/>
        <w:snapToGrid w:val="0"/>
        <w:spacing w:line="360" w:lineRule="auto"/>
        <w:rPr>
          <w:rFonts w:ascii="宋体" w:hAnsi="宋体" w:cs="宋体"/>
          <w:bCs/>
          <w:sz w:val="21"/>
          <w:szCs w:val="21"/>
        </w:rPr>
      </w:pPr>
      <w:bookmarkStart w:id="109" w:name="_Toc5231"/>
      <w:r>
        <w:rPr>
          <w:rFonts w:hint="eastAsia" w:ascii="宋体" w:hAnsi="宋体" w:cs="宋体"/>
          <w:sz w:val="21"/>
          <w:szCs w:val="21"/>
        </w:rPr>
        <w:t>谈判单位名称：</w:t>
      </w:r>
      <w:r>
        <w:rPr>
          <w:rFonts w:hint="eastAsia" w:ascii="宋体" w:hAnsi="宋体" w:cs="宋体"/>
          <w:sz w:val="21"/>
          <w:szCs w:val="21"/>
          <w:u w:val="single"/>
        </w:rPr>
        <w:t xml:space="preserve">    （盖单位章）</w:t>
      </w:r>
      <w:bookmarkEnd w:id="109"/>
      <w:r>
        <w:rPr>
          <w:rFonts w:hint="eastAsia" w:ascii="宋体" w:hAnsi="宋体" w:cs="宋体"/>
          <w:sz w:val="21"/>
          <w:szCs w:val="21"/>
          <w:u w:val="single"/>
        </w:rPr>
        <w:t xml:space="preserve">    </w:t>
      </w:r>
    </w:p>
    <w:p>
      <w:pPr>
        <w:adjustRightInd w:val="0"/>
        <w:snapToGrid w:val="0"/>
        <w:spacing w:line="360" w:lineRule="auto"/>
        <w:rPr>
          <w:rFonts w:ascii="宋体" w:hAnsi="宋体" w:cs="宋体"/>
          <w:szCs w:val="21"/>
        </w:rPr>
      </w:pPr>
      <w:bookmarkStart w:id="110" w:name="_Toc28605"/>
      <w:r>
        <w:rPr>
          <w:rFonts w:hint="eastAsia" w:ascii="宋体" w:hAnsi="宋体" w:cs="宋体"/>
          <w:szCs w:val="21"/>
        </w:rPr>
        <w:t>法定代表人或其委托代理人(签字或盖章)：</w:t>
      </w:r>
      <w:bookmarkEnd w:id="110"/>
      <w:r>
        <w:rPr>
          <w:rFonts w:hint="eastAsia" w:ascii="宋体" w:hAnsi="宋体" w:cs="宋体"/>
          <w:szCs w:val="21"/>
          <w:u w:val="single"/>
        </w:rPr>
        <w:t xml:space="preserve">               </w:t>
      </w:r>
    </w:p>
    <w:p>
      <w:pPr>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sectPr>
          <w:pgSz w:w="11906" w:h="16838"/>
          <w:pgMar w:top="1191" w:right="1417" w:bottom="1191" w:left="1191" w:header="851" w:footer="992" w:gutter="0"/>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bookmarkStart w:id="111" w:name="_Toc28059"/>
      <w:bookmarkStart w:id="112" w:name="_Toc26804"/>
      <w:bookmarkStart w:id="113" w:name="_Toc5453"/>
      <w:r>
        <w:rPr>
          <w:rFonts w:hint="eastAsia" w:ascii="宋体" w:hAnsi="宋体" w:cs="宋体"/>
          <w:b/>
          <w:sz w:val="32"/>
          <w:szCs w:val="32"/>
        </w:rPr>
        <w:t>七、</w:t>
      </w:r>
      <w:bookmarkEnd w:id="111"/>
      <w:bookmarkEnd w:id="112"/>
      <w:r>
        <w:rPr>
          <w:rFonts w:hint="eastAsia" w:ascii="宋体" w:hAnsi="宋体" w:cs="宋体"/>
          <w:b/>
          <w:sz w:val="32"/>
          <w:szCs w:val="32"/>
        </w:rPr>
        <w:t>报价汇总表</w:t>
      </w:r>
      <w:bookmarkEnd w:id="113"/>
    </w:p>
    <w:p>
      <w:pPr>
        <w:spacing w:line="360" w:lineRule="exact"/>
        <w:ind w:firstLine="630" w:firstLineChars="300"/>
        <w:jc w:val="left"/>
        <w:rPr>
          <w:rFonts w:ascii="宋体" w:hAnsi="宋体" w:cs="宋体"/>
        </w:rPr>
      </w:pPr>
      <w:r>
        <w:rPr>
          <w:rFonts w:hint="eastAsia" w:ascii="宋体" w:hAnsi="宋体" w:cs="宋体"/>
          <w:bCs/>
        </w:rPr>
        <w:t>项目</w:t>
      </w:r>
      <w:r>
        <w:rPr>
          <w:rFonts w:hint="eastAsia" w:ascii="宋体" w:hAnsi="宋体" w:cs="宋体"/>
        </w:rPr>
        <w:t>名称：                                                     金额单位：元</w:t>
      </w:r>
    </w:p>
    <w:tbl>
      <w:tblPr>
        <w:tblStyle w:val="47"/>
        <w:tblW w:w="83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790"/>
        <w:gridCol w:w="303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45" w:hRule="atLeast"/>
          <w:jc w:val="center"/>
        </w:trPr>
        <w:tc>
          <w:tcPr>
            <w:tcW w:w="790" w:type="dxa"/>
            <w:vAlign w:val="center"/>
          </w:tcPr>
          <w:p>
            <w:pPr>
              <w:tabs>
                <w:tab w:val="left" w:pos="403"/>
                <w:tab w:val="center" w:pos="3781"/>
              </w:tabs>
              <w:spacing w:line="420" w:lineRule="exact"/>
              <w:ind w:right="-5206" w:rightChars="-2479" w:firstLine="105" w:firstLineChars="50"/>
              <w:rPr>
                <w:rFonts w:ascii="宋体" w:hAnsi="宋体" w:cs="宋体"/>
                <w:b/>
                <w:szCs w:val="21"/>
              </w:rPr>
            </w:pPr>
            <w:r>
              <w:rPr>
                <w:rFonts w:hint="eastAsia" w:ascii="宋体" w:hAnsi="宋体" w:cs="宋体"/>
                <w:b/>
                <w:szCs w:val="21"/>
              </w:rPr>
              <w:t>序 号</w:t>
            </w:r>
          </w:p>
        </w:tc>
        <w:tc>
          <w:tcPr>
            <w:tcW w:w="3033" w:type="dxa"/>
            <w:vAlign w:val="center"/>
          </w:tcPr>
          <w:p>
            <w:pPr>
              <w:tabs>
                <w:tab w:val="left" w:pos="403"/>
                <w:tab w:val="center" w:pos="3781"/>
              </w:tabs>
              <w:spacing w:line="420" w:lineRule="exact"/>
              <w:ind w:right="-5206" w:rightChars="-2479" w:firstLine="1054" w:firstLineChars="500"/>
              <w:rPr>
                <w:rFonts w:ascii="宋体" w:hAnsi="宋体" w:cs="宋体"/>
                <w:b/>
                <w:bCs/>
                <w:szCs w:val="21"/>
              </w:rPr>
            </w:pPr>
            <w:r>
              <w:rPr>
                <w:rFonts w:hint="eastAsia" w:ascii="宋体" w:hAnsi="宋体" w:cs="宋体"/>
                <w:b/>
                <w:bCs/>
                <w:szCs w:val="21"/>
              </w:rPr>
              <w:t>费用名称</w:t>
            </w:r>
          </w:p>
        </w:tc>
        <w:tc>
          <w:tcPr>
            <w:tcW w:w="4516" w:type="dxa"/>
            <w:vAlign w:val="center"/>
          </w:tcPr>
          <w:p>
            <w:pPr>
              <w:tabs>
                <w:tab w:val="left" w:pos="403"/>
                <w:tab w:val="center" w:pos="3781"/>
              </w:tabs>
              <w:spacing w:line="420" w:lineRule="exact"/>
              <w:ind w:firstLine="316" w:firstLineChars="150"/>
              <w:jc w:val="center"/>
              <w:rPr>
                <w:rFonts w:ascii="宋体" w:hAnsi="宋体" w:cs="宋体"/>
                <w:b/>
                <w:bCs/>
                <w:szCs w:val="21"/>
              </w:rPr>
            </w:pPr>
            <w:r>
              <w:rPr>
                <w:rFonts w:hint="eastAsia" w:ascii="宋体" w:hAnsi="宋体" w:cs="宋体"/>
                <w:b/>
                <w:bCs/>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0"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一</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分部分项费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38" w:hRule="atLeast"/>
          <w:jc w:val="center"/>
        </w:trPr>
        <w:tc>
          <w:tcPr>
            <w:tcW w:w="790"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二</w:t>
            </w:r>
          </w:p>
        </w:tc>
        <w:tc>
          <w:tcPr>
            <w:tcW w:w="3033"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单价措施项目费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37"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szCs w:val="21"/>
              </w:rPr>
              <w:t>2</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总价措施项目费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绿色施工安全防护措施项目费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3.1</w:t>
            </w:r>
          </w:p>
        </w:tc>
        <w:tc>
          <w:tcPr>
            <w:tcW w:w="3033"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其中安全生产费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三</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其他项目费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0"/>
                <w:szCs w:val="21"/>
                <w:lang w:bidi="ar"/>
              </w:rPr>
              <w:t>四</w:t>
            </w:r>
          </w:p>
        </w:tc>
        <w:tc>
          <w:tcPr>
            <w:tcW w:w="3033" w:type="dxa"/>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0"/>
                <w:szCs w:val="21"/>
                <w:lang w:bidi="ar"/>
              </w:rPr>
              <w:t>销项税额</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kern w:val="2"/>
                <w:sz w:val="21"/>
                <w:szCs w:val="21"/>
                <w:lang w:val="en-US" w:eastAsia="zh-CN" w:bidi="ar-SA"/>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8" w:hRule="atLeast"/>
          <w:jc w:val="center"/>
        </w:trPr>
        <w:tc>
          <w:tcPr>
            <w:tcW w:w="3823" w:type="dxa"/>
            <w:gridSpan w:val="2"/>
            <w:vMerge w:val="restart"/>
            <w:vAlign w:val="center"/>
          </w:tcPr>
          <w:p>
            <w:pPr>
              <w:tabs>
                <w:tab w:val="left" w:pos="403"/>
                <w:tab w:val="center" w:pos="3781"/>
              </w:tabs>
              <w:spacing w:line="420" w:lineRule="exact"/>
              <w:ind w:right="-5206" w:rightChars="-2479" w:firstLine="735" w:firstLineChars="350"/>
              <w:rPr>
                <w:rFonts w:ascii="宋体" w:hAnsi="宋体" w:cs="宋体"/>
                <w:szCs w:val="21"/>
              </w:rPr>
            </w:pPr>
            <w:r>
              <w:rPr>
                <w:rFonts w:hint="eastAsia" w:ascii="宋体" w:hAnsi="宋体" w:cs="宋体"/>
                <w:szCs w:val="21"/>
              </w:rPr>
              <w:t>总  报  价</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3823" w:type="dxa"/>
            <w:gridSpan w:val="2"/>
            <w:vMerge w:val="continue"/>
            <w:vAlign w:val="center"/>
          </w:tcPr>
          <w:p>
            <w:pPr>
              <w:tabs>
                <w:tab w:val="left" w:pos="403"/>
                <w:tab w:val="center" w:pos="3781"/>
              </w:tabs>
              <w:spacing w:line="420" w:lineRule="exact"/>
              <w:ind w:right="-5206" w:rightChars="-2479" w:firstLine="315" w:firstLineChars="150"/>
              <w:rPr>
                <w:rFonts w:ascii="宋体" w:hAnsi="宋体" w:cs="宋体"/>
                <w:szCs w:val="21"/>
              </w:rPr>
            </w:pP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bl>
    <w:p>
      <w:pPr>
        <w:adjustRightInd w:val="0"/>
        <w:snapToGrid w:val="0"/>
        <w:spacing w:before="156" w:beforeLines="50" w:line="360" w:lineRule="auto"/>
        <w:ind w:left="-88" w:leftChars="-42"/>
        <w:rPr>
          <w:rFonts w:hint="eastAsia" w:ascii="宋体" w:hAnsi="宋体" w:cs="宋体"/>
          <w:b/>
          <w:szCs w:val="21"/>
        </w:rPr>
      </w:pPr>
      <w:r>
        <w:rPr>
          <w:rFonts w:hint="eastAsia" w:ascii="宋体" w:hAnsi="宋体" w:cs="宋体"/>
          <w:b/>
          <w:szCs w:val="21"/>
        </w:rPr>
        <w:t>注：本表后附注册造价工程师注册证书影印件。如谈判单位委托工程造价咨询机构编制报价文件的，还应附委托合同。</w:t>
      </w:r>
    </w:p>
    <w:p>
      <w:pPr>
        <w:pStyle w:val="2"/>
        <w:rPr>
          <w:rFonts w:hint="eastAsia" w:ascii="宋体" w:hAnsi="宋体" w:cs="宋体"/>
          <w:b/>
          <w:szCs w:val="21"/>
        </w:rPr>
      </w:pPr>
    </w:p>
    <w:p>
      <w:pPr>
        <w:pStyle w:val="2"/>
        <w:rPr>
          <w:rFonts w:hint="eastAsia" w:ascii="宋体" w:hAnsi="宋体" w:cs="宋体"/>
          <w:b/>
          <w:szCs w:val="21"/>
        </w:rPr>
      </w:pPr>
    </w:p>
    <w:p>
      <w:pPr>
        <w:pStyle w:val="28"/>
        <w:adjustRightInd w:val="0"/>
        <w:snapToGrid w:val="0"/>
        <w:spacing w:line="360" w:lineRule="auto"/>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rPr>
          <w:rFonts w:ascii="宋体" w:hAnsi="宋体" w:cs="宋体"/>
          <w:szCs w:val="21"/>
          <w:u w:val="single"/>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adjustRightInd w:val="0"/>
        <w:snapToGrid w:val="0"/>
        <w:spacing w:line="360" w:lineRule="auto"/>
        <w:rPr>
          <w:rFonts w:ascii="宋体" w:hAnsi="宋体" w:cs="宋体"/>
          <w:szCs w:val="21"/>
        </w:rPr>
      </w:pPr>
      <w:r>
        <w:rPr>
          <w:rFonts w:hint="eastAsia" w:ascii="宋体" w:hAnsi="宋体" w:cs="宋体"/>
          <w:szCs w:val="21"/>
        </w:rPr>
        <w:t>注册造价工程师：(签字并加盖注册造价师执业专用章。如谈判单位委托他人编制报价文件的，由被委托人的注册造价工程师签字并加盖注册造价师执业专用章。)</w:t>
      </w:r>
    </w:p>
    <w:p>
      <w:pPr>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jc w:val="center"/>
        <w:rPr>
          <w:rFonts w:ascii="宋体" w:hAnsi="宋体" w:cs="宋体"/>
          <w:b/>
          <w:sz w:val="32"/>
          <w:szCs w:val="32"/>
        </w:rPr>
        <w:sectPr>
          <w:pgSz w:w="11906" w:h="16838"/>
          <w:pgMar w:top="1191" w:right="1417" w:bottom="1191" w:left="1191" w:header="851" w:footer="992" w:gutter="0"/>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bookmarkStart w:id="114" w:name="_Toc22739"/>
      <w:bookmarkStart w:id="115" w:name="_Toc27585"/>
      <w:bookmarkStart w:id="116" w:name="_Toc9077"/>
      <w:bookmarkStart w:id="117" w:name="_Toc18361"/>
      <w:r>
        <w:rPr>
          <w:rFonts w:hint="eastAsia" w:ascii="宋体" w:hAnsi="宋体" w:cs="宋体"/>
          <w:b/>
          <w:sz w:val="32"/>
          <w:szCs w:val="32"/>
        </w:rPr>
        <w:t>八、</w:t>
      </w:r>
      <w:bookmarkEnd w:id="114"/>
      <w:bookmarkEnd w:id="115"/>
      <w:bookmarkEnd w:id="116"/>
      <w:r>
        <w:rPr>
          <w:rFonts w:hint="eastAsia" w:ascii="宋体" w:hAnsi="宋体" w:cs="宋体"/>
          <w:b/>
          <w:sz w:val="32"/>
          <w:szCs w:val="32"/>
        </w:rPr>
        <w:t>投标报价表</w:t>
      </w:r>
      <w:bookmarkEnd w:id="117"/>
    </w:p>
    <w:p>
      <w:pPr>
        <w:adjustRightInd w:val="0"/>
        <w:snapToGrid w:val="0"/>
        <w:spacing w:before="156" w:beforeLines="50" w:line="360" w:lineRule="auto"/>
        <w:jc w:val="left"/>
        <w:rPr>
          <w:rFonts w:ascii="宋体" w:hAnsi="宋体" w:cs="宋体"/>
          <w:b/>
          <w:bCs/>
          <w:szCs w:val="21"/>
        </w:rPr>
      </w:pPr>
      <w:r>
        <w:rPr>
          <w:rFonts w:hint="eastAsia" w:ascii="宋体" w:hAnsi="宋体" w:cs="宋体"/>
          <w:szCs w:val="21"/>
        </w:rPr>
        <w:t>采用</w:t>
      </w:r>
      <w:r>
        <w:rPr>
          <w:rFonts w:hint="eastAsia" w:ascii="宋体" w:hAnsi="宋体" w:cs="宋体"/>
          <w:b/>
          <w:bCs/>
          <w:szCs w:val="21"/>
        </w:rPr>
        <w:t>CSPK计价软件、湘建价〔2020〕56号规定的投标报价格式。具体投标报价表格：</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1、E8投标总价扉页</w:t>
      </w:r>
    </w:p>
    <w:p>
      <w:pPr>
        <w:adjustRightInd w:val="0"/>
        <w:snapToGrid w:val="0"/>
        <w:spacing w:before="156" w:beforeLines="50" w:line="360" w:lineRule="auto"/>
        <w:ind w:firstLine="420" w:firstLineChars="200"/>
        <w:jc w:val="left"/>
        <w:rPr>
          <w:rFonts w:hint="eastAsia" w:ascii="宋体" w:hAnsi="宋体" w:eastAsia="宋体" w:cs="宋体"/>
          <w:szCs w:val="21"/>
          <w:lang w:val="en-US" w:eastAsia="zh-CN"/>
        </w:rPr>
      </w:pPr>
      <w:r>
        <w:rPr>
          <w:rFonts w:hint="eastAsia" w:ascii="宋体" w:hAnsi="宋体" w:cs="宋体"/>
          <w:szCs w:val="21"/>
        </w:rPr>
        <w:t>2、E1</w:t>
      </w:r>
      <w:r>
        <w:rPr>
          <w:rFonts w:hint="eastAsia" w:ascii="宋体" w:hAnsi="宋体" w:cs="宋体"/>
          <w:szCs w:val="21"/>
          <w:lang w:val="en-US" w:eastAsia="zh-CN"/>
        </w:rPr>
        <w:t>2建设项目投标报价汇总表</w:t>
      </w:r>
    </w:p>
    <w:p>
      <w:pPr>
        <w:adjustRightInd w:val="0"/>
        <w:snapToGrid w:val="0"/>
        <w:spacing w:before="156" w:beforeLines="50" w:line="360" w:lineRule="auto"/>
        <w:ind w:firstLine="420" w:firstLineChars="200"/>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E13单项工程</w:t>
      </w:r>
      <w:r>
        <w:rPr>
          <w:rFonts w:hint="eastAsia" w:ascii="宋体" w:hAnsi="宋体" w:cs="宋体"/>
          <w:szCs w:val="21"/>
          <w:lang w:val="en-US" w:eastAsia="zh-CN"/>
        </w:rPr>
        <w:t>投标报价</w:t>
      </w:r>
      <w:r>
        <w:rPr>
          <w:rFonts w:hint="eastAsia" w:ascii="宋体" w:hAnsi="宋体" w:cs="宋体"/>
          <w:szCs w:val="21"/>
        </w:rPr>
        <w:t>汇总表</w:t>
      </w:r>
    </w:p>
    <w:p>
      <w:pPr>
        <w:pStyle w:val="2"/>
        <w:rPr>
          <w:rFonts w:hint="eastAsia" w:eastAsia="宋体"/>
          <w:lang w:val="en-US" w:eastAsia="zh-CN"/>
        </w:rPr>
      </w:pPr>
      <w:r>
        <w:rPr>
          <w:rFonts w:hint="eastAsia" w:ascii="宋体" w:hAnsi="宋体" w:cs="宋体"/>
          <w:szCs w:val="21"/>
          <w:lang w:val="en-US" w:eastAsia="zh-CN"/>
        </w:rPr>
        <w:t>4、</w:t>
      </w:r>
      <w:r>
        <w:rPr>
          <w:rFonts w:hint="eastAsia" w:ascii="宋体" w:hAnsi="宋体" w:cs="宋体"/>
          <w:szCs w:val="21"/>
        </w:rPr>
        <w:t>E18工程量清单计价表（全清单</w:t>
      </w:r>
      <w:r>
        <w:rPr>
          <w:rFonts w:hint="eastAsia" w:ascii="宋体" w:hAnsi="宋体" w:cs="宋体"/>
          <w:szCs w:val="21"/>
          <w:lang w:eastAsia="zh-CN"/>
        </w:rPr>
        <w:t>）</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、E18工程量清单计价表（全清单</w:t>
      </w:r>
      <w:r>
        <w:rPr>
          <w:rFonts w:hint="eastAsia" w:ascii="宋体" w:hAnsi="宋体" w:cs="宋体"/>
          <w:szCs w:val="21"/>
          <w:lang w:eastAsia="zh-CN"/>
        </w:rPr>
        <w:t>子目</w:t>
      </w:r>
      <w:r>
        <w:rPr>
          <w:rFonts w:hint="eastAsia" w:ascii="宋体" w:hAnsi="宋体" w:cs="宋体"/>
          <w:szCs w:val="21"/>
        </w:rPr>
        <w:t>）</w:t>
      </w:r>
    </w:p>
    <w:p>
      <w:pPr>
        <w:adjustRightInd w:val="0"/>
        <w:snapToGrid w:val="0"/>
        <w:spacing w:before="156" w:beforeLines="50" w:line="360" w:lineRule="auto"/>
        <w:ind w:firstLine="420" w:firstLineChars="200"/>
        <w:jc w:val="left"/>
        <w:rPr>
          <w:rFonts w:hint="eastAsia" w:ascii="宋体" w:hAnsi="宋体" w:eastAsia="宋体" w:cs="宋体"/>
          <w:szCs w:val="21"/>
          <w:lang w:val="en-US" w:eastAsia="zh-CN"/>
        </w:rPr>
      </w:pPr>
      <w:r>
        <w:rPr>
          <w:rFonts w:hint="eastAsia" w:ascii="宋体" w:hAnsi="宋体" w:cs="宋体"/>
          <w:szCs w:val="21"/>
          <w:lang w:val="en-US" w:eastAsia="zh-CN"/>
        </w:rPr>
        <w:t>6</w:t>
      </w:r>
      <w:r>
        <w:rPr>
          <w:rFonts w:hint="eastAsia" w:ascii="宋体" w:hAnsi="宋体" w:cs="宋体"/>
          <w:szCs w:val="21"/>
        </w:rPr>
        <w:t>、E2</w:t>
      </w:r>
      <w:r>
        <w:rPr>
          <w:rFonts w:hint="eastAsia" w:ascii="宋体" w:hAnsi="宋体" w:cs="宋体"/>
          <w:szCs w:val="21"/>
          <w:lang w:val="en-US" w:eastAsia="zh-CN"/>
        </w:rPr>
        <w:t>0总价措施项目清单计费表</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E21绿色施工安全防护计价表</w:t>
      </w:r>
    </w:p>
    <w:p>
      <w:pPr>
        <w:adjustRightInd w:val="0"/>
        <w:snapToGrid w:val="0"/>
        <w:spacing w:before="156" w:beforeLines="50"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8</w:t>
      </w:r>
      <w:r>
        <w:rPr>
          <w:rFonts w:hint="eastAsia" w:ascii="宋体" w:hAnsi="宋体" w:cs="宋体"/>
          <w:szCs w:val="21"/>
        </w:rPr>
        <w:t>、E2</w:t>
      </w:r>
      <w:r>
        <w:rPr>
          <w:rFonts w:hint="eastAsia" w:ascii="宋体" w:hAnsi="宋体" w:cs="宋体"/>
          <w:szCs w:val="21"/>
          <w:lang w:val="en-US" w:eastAsia="zh-CN"/>
        </w:rPr>
        <w:t>3其他项目清单与计价汇总表</w:t>
      </w:r>
    </w:p>
    <w:p>
      <w:pPr>
        <w:adjustRightInd w:val="0"/>
        <w:snapToGrid w:val="0"/>
        <w:spacing w:before="156" w:beforeLines="50" w:line="360" w:lineRule="auto"/>
        <w:ind w:firstLine="420" w:firstLineChars="200"/>
        <w:jc w:val="left"/>
      </w:pPr>
      <w:r>
        <w:rPr>
          <w:rFonts w:hint="eastAsia" w:ascii="宋体" w:hAnsi="宋体" w:cs="宋体"/>
          <w:szCs w:val="21"/>
          <w:lang w:val="en-US" w:eastAsia="zh-CN"/>
        </w:rPr>
        <w:t>9、</w:t>
      </w:r>
      <w:r>
        <w:rPr>
          <w:rFonts w:hint="eastAsia" w:ascii="宋体" w:hAnsi="宋体" w:cs="宋体"/>
          <w:szCs w:val="21"/>
        </w:rPr>
        <w:t>E40人工、材料、机械汇总表</w:t>
      </w:r>
    </w:p>
    <w:p>
      <w:pPr>
        <w:adjustRightInd w:val="0"/>
        <w:snapToGrid w:val="0"/>
        <w:spacing w:before="156" w:beforeLines="50" w:line="360" w:lineRule="auto"/>
        <w:ind w:firstLine="420" w:firstLineChars="200"/>
        <w:jc w:val="left"/>
        <w:rPr>
          <w:rFonts w:hint="eastAsia" w:ascii="宋体" w:hAnsi="宋体" w:eastAsia="宋体" w:cs="宋体"/>
          <w:szCs w:val="21"/>
          <w:lang w:eastAsia="zh-CN"/>
        </w:rPr>
      </w:pPr>
      <w:r>
        <w:rPr>
          <w:rFonts w:hint="eastAsia" w:ascii="宋体" w:hAnsi="宋体" w:cs="宋体"/>
          <w:szCs w:val="21"/>
          <w:lang w:val="en-US" w:eastAsia="zh-CN"/>
        </w:rPr>
        <w:t>10</w:t>
      </w:r>
      <w:r>
        <w:rPr>
          <w:rFonts w:hint="eastAsia" w:ascii="宋体" w:hAnsi="宋体" w:cs="宋体"/>
          <w:szCs w:val="21"/>
        </w:rPr>
        <w:t>、不可竞争费表</w:t>
      </w:r>
      <w:r>
        <w:rPr>
          <w:rFonts w:hint="eastAsia" w:ascii="宋体" w:hAnsi="宋体" w:cs="宋体"/>
          <w:szCs w:val="21"/>
          <w:lang w:eastAsia="zh-CN"/>
        </w:rPr>
        <w:t>（投标）</w:t>
      </w:r>
    </w:p>
    <w:p>
      <w:pPr>
        <w:rPr>
          <w:rFonts w:hint="eastAsia" w:ascii="宋体" w:hAnsi="宋体" w:cs="宋体"/>
          <w:szCs w:val="21"/>
        </w:rPr>
      </w:pPr>
      <w:r>
        <w:rPr>
          <w:rFonts w:hint="eastAsia" w:ascii="宋体" w:hAnsi="宋体" w:cs="宋体"/>
          <w:szCs w:val="21"/>
        </w:rPr>
        <w:br w:type="page"/>
      </w:r>
    </w:p>
    <w:p>
      <w:pPr>
        <w:pStyle w:val="2"/>
        <w:rPr>
          <w:rFonts w:hint="eastAsia" w:ascii="宋体" w:hAnsi="宋体" w:cs="宋体"/>
          <w:szCs w:val="21"/>
        </w:rPr>
      </w:pPr>
    </w:p>
    <w:p>
      <w:pPr>
        <w:pStyle w:val="2"/>
        <w:rPr>
          <w:rFonts w:hint="eastAsia" w:ascii="宋体" w:hAnsi="宋体" w:cs="宋体"/>
          <w:szCs w:val="21"/>
        </w:rPr>
      </w:pPr>
    </w:p>
    <w:p>
      <w:pPr>
        <w:adjustRightInd w:val="0"/>
        <w:snapToGrid w:val="0"/>
        <w:spacing w:line="360" w:lineRule="auto"/>
        <w:ind w:right="24"/>
        <w:jc w:val="center"/>
        <w:outlineLvl w:val="1"/>
        <w:rPr>
          <w:rFonts w:ascii="宋体" w:hAnsi="宋体" w:cs="宋体"/>
          <w:b/>
          <w:sz w:val="32"/>
          <w:szCs w:val="32"/>
        </w:rPr>
      </w:pPr>
      <w:bookmarkStart w:id="118" w:name="_Toc13786"/>
      <w:r>
        <w:rPr>
          <w:rFonts w:hint="eastAsia" w:ascii="宋体" w:hAnsi="宋体" w:cs="宋体"/>
          <w:b/>
          <w:sz w:val="32"/>
          <w:szCs w:val="32"/>
        </w:rPr>
        <w:t>九、其他资料（如有）</w:t>
      </w:r>
      <w:bookmarkEnd w:id="118"/>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谈判单位认为需要提供的其他报价资料，格式自拟。</w:t>
      </w:r>
    </w:p>
    <w:p>
      <w:pPr>
        <w:pStyle w:val="14"/>
        <w:rPr>
          <w:rFonts w:ascii="宋体" w:hAnsi="宋体" w:cs="宋体"/>
        </w:rPr>
      </w:pPr>
    </w:p>
    <w:sectPr>
      <w:pgSz w:w="11906" w:h="16838"/>
      <w:pgMar w:top="1191" w:right="1417" w:bottom="1191"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2"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3919089"/>
    </w:sdtPr>
    <w:sdtContent>
      <w:p>
        <w:pPr>
          <w:pStyle w:val="31"/>
          <w:jc w:val="center"/>
        </w:pPr>
        <w:r>
          <w:fldChar w:fldCharType="begin"/>
        </w:r>
        <w:r>
          <w:instrText xml:space="preserve">PAGE   \* MERGEFORMAT</w:instrText>
        </w:r>
        <w:r>
          <w:fldChar w:fldCharType="separate"/>
        </w:r>
        <w:r>
          <w:rPr>
            <w:lang w:val="zh-CN"/>
          </w:rPr>
          <w:t>19</w:t>
        </w:r>
        <w:r>
          <w:fldChar w:fldCharType="end"/>
        </w:r>
      </w:p>
    </w:sdtContent>
  </w:sdt>
  <w:p>
    <w:pPr>
      <w:pStyle w:val="3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3175" b="5715"/>
              <wp:wrapNone/>
              <wp:docPr id="22" name="文本框 2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&#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wOFPHUAAAAAgEAAA8AAAAAAAAAAQAgAAAAIgAAAGRy&#10;cy9kb3ducmV2LnhtbFBLAQIUABQAAAAIAIdO4kCTeaRZ0AEAAJYDAAAOAAAAAAAAAAEAIAAAACMB&#10;AABkcnMvZTJvRG9jLnhtbFBLBQYAAAAABgAGAFkBAABlBQAAAAA=&#10;">
              <v:fill on="f" focussize="0,0"/>
              <v:stroke on="f" weight="1.2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293A88"/>
    <w:multiLevelType w:val="singleLevel"/>
    <w:tmpl w:val="FE293A88"/>
    <w:lvl w:ilvl="0" w:tentative="0">
      <w:start w:val="3"/>
      <w:numFmt w:val="chineseCounting"/>
      <w:pStyle w:val="359"/>
      <w:suff w:val="nothing"/>
      <w:lvlText w:val="%1、"/>
      <w:lvlJc w:val="left"/>
      <w:rPr>
        <w:rFonts w:hint="eastAsia"/>
      </w:rPr>
    </w:lvl>
  </w:abstractNum>
  <w:abstractNum w:abstractNumId="1">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371"/>
      <w:suff w:val="nothing"/>
      <w:lvlText w:val="%1%2.%3　"/>
      <w:lvlJc w:val="left"/>
      <w:pPr>
        <w:ind w:left="0" w:firstLine="0"/>
      </w:pPr>
      <w:rPr>
        <w:rFonts w:hint="eastAsia" w:ascii="黑体" w:hAnsi="Times New Roman" w:eastAsia="黑体"/>
        <w:b w:val="0"/>
        <w:i w:val="0"/>
        <w:sz w:val="21"/>
      </w:rPr>
    </w:lvl>
    <w:lvl w:ilvl="3" w:tentative="0">
      <w:start w:val="1"/>
      <w:numFmt w:val="decimal"/>
      <w:pStyle w:val="370"/>
      <w:suff w:val="nothing"/>
      <w:lvlText w:val="%1%2.%3.%4　"/>
      <w:lvlJc w:val="left"/>
      <w:pPr>
        <w:ind w:left="0" w:firstLine="0"/>
      </w:pPr>
      <w:rPr>
        <w:rFonts w:hint="eastAsia" w:ascii="黑体" w:hAnsi="Times New Roman" w:eastAsia="黑体"/>
        <w:b w:val="0"/>
        <w:i w:val="0"/>
        <w:sz w:val="21"/>
      </w:rPr>
    </w:lvl>
    <w:lvl w:ilvl="4" w:tentative="0">
      <w:start w:val="1"/>
      <w:numFmt w:val="decimal"/>
      <w:pStyle w:val="37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274C6"/>
    <w:rsid w:val="00034CF0"/>
    <w:rsid w:val="00035CEB"/>
    <w:rsid w:val="00052640"/>
    <w:rsid w:val="0005265F"/>
    <w:rsid w:val="0005608F"/>
    <w:rsid w:val="00063195"/>
    <w:rsid w:val="00063D15"/>
    <w:rsid w:val="00074928"/>
    <w:rsid w:val="00091C9D"/>
    <w:rsid w:val="000C106E"/>
    <w:rsid w:val="000D4DB5"/>
    <w:rsid w:val="000E1CBA"/>
    <w:rsid w:val="000E7968"/>
    <w:rsid w:val="00115FE6"/>
    <w:rsid w:val="00116BAE"/>
    <w:rsid w:val="00121CEF"/>
    <w:rsid w:val="00126951"/>
    <w:rsid w:val="001453A1"/>
    <w:rsid w:val="00156787"/>
    <w:rsid w:val="00162D59"/>
    <w:rsid w:val="00186162"/>
    <w:rsid w:val="001A72BF"/>
    <w:rsid w:val="001B508B"/>
    <w:rsid w:val="001C23BF"/>
    <w:rsid w:val="001C5373"/>
    <w:rsid w:val="001D6D72"/>
    <w:rsid w:val="001F0A0C"/>
    <w:rsid w:val="002069C8"/>
    <w:rsid w:val="00211A52"/>
    <w:rsid w:val="002139EB"/>
    <w:rsid w:val="002148CB"/>
    <w:rsid w:val="0022188F"/>
    <w:rsid w:val="00222DFA"/>
    <w:rsid w:val="00230A1A"/>
    <w:rsid w:val="002314A3"/>
    <w:rsid w:val="002504FF"/>
    <w:rsid w:val="002523FD"/>
    <w:rsid w:val="00252AAF"/>
    <w:rsid w:val="0025312F"/>
    <w:rsid w:val="00255546"/>
    <w:rsid w:val="002608D4"/>
    <w:rsid w:val="00273E66"/>
    <w:rsid w:val="00286014"/>
    <w:rsid w:val="002A0BE4"/>
    <w:rsid w:val="002B1D56"/>
    <w:rsid w:val="002B6EEA"/>
    <w:rsid w:val="002C1CE4"/>
    <w:rsid w:val="002F262C"/>
    <w:rsid w:val="003102A2"/>
    <w:rsid w:val="00331810"/>
    <w:rsid w:val="0033745F"/>
    <w:rsid w:val="00360A3F"/>
    <w:rsid w:val="0037231B"/>
    <w:rsid w:val="00373A37"/>
    <w:rsid w:val="00374740"/>
    <w:rsid w:val="00380064"/>
    <w:rsid w:val="00381105"/>
    <w:rsid w:val="00381BB4"/>
    <w:rsid w:val="00387430"/>
    <w:rsid w:val="003958B2"/>
    <w:rsid w:val="0039632C"/>
    <w:rsid w:val="003B1109"/>
    <w:rsid w:val="003B295C"/>
    <w:rsid w:val="003D080C"/>
    <w:rsid w:val="003D6204"/>
    <w:rsid w:val="003E5113"/>
    <w:rsid w:val="003F1C64"/>
    <w:rsid w:val="003F46A7"/>
    <w:rsid w:val="004014FD"/>
    <w:rsid w:val="00423B85"/>
    <w:rsid w:val="004263EB"/>
    <w:rsid w:val="0044519B"/>
    <w:rsid w:val="00452FD8"/>
    <w:rsid w:val="00453EE9"/>
    <w:rsid w:val="00467AD1"/>
    <w:rsid w:val="00473865"/>
    <w:rsid w:val="00475B14"/>
    <w:rsid w:val="00477241"/>
    <w:rsid w:val="0048093D"/>
    <w:rsid w:val="0048697D"/>
    <w:rsid w:val="004929D5"/>
    <w:rsid w:val="00495DBC"/>
    <w:rsid w:val="00495F57"/>
    <w:rsid w:val="004978CA"/>
    <w:rsid w:val="004B3D80"/>
    <w:rsid w:val="004B400C"/>
    <w:rsid w:val="004B41B1"/>
    <w:rsid w:val="00504DED"/>
    <w:rsid w:val="00526589"/>
    <w:rsid w:val="00545140"/>
    <w:rsid w:val="0055214F"/>
    <w:rsid w:val="005556A5"/>
    <w:rsid w:val="0056117D"/>
    <w:rsid w:val="0056143E"/>
    <w:rsid w:val="00583F2F"/>
    <w:rsid w:val="0058754B"/>
    <w:rsid w:val="005B1968"/>
    <w:rsid w:val="005B61D8"/>
    <w:rsid w:val="005C5FED"/>
    <w:rsid w:val="005C688B"/>
    <w:rsid w:val="005E30FF"/>
    <w:rsid w:val="005E6BBB"/>
    <w:rsid w:val="0061719D"/>
    <w:rsid w:val="006236CD"/>
    <w:rsid w:val="00641E72"/>
    <w:rsid w:val="00677C90"/>
    <w:rsid w:val="0068504A"/>
    <w:rsid w:val="0068515F"/>
    <w:rsid w:val="00687C87"/>
    <w:rsid w:val="006B49BD"/>
    <w:rsid w:val="006B6300"/>
    <w:rsid w:val="006C3B60"/>
    <w:rsid w:val="006C57DE"/>
    <w:rsid w:val="006D0A13"/>
    <w:rsid w:val="006E025D"/>
    <w:rsid w:val="006F1AC0"/>
    <w:rsid w:val="006F5FAC"/>
    <w:rsid w:val="0070019E"/>
    <w:rsid w:val="00702C2B"/>
    <w:rsid w:val="0070784A"/>
    <w:rsid w:val="00711760"/>
    <w:rsid w:val="00715EAC"/>
    <w:rsid w:val="00730CC6"/>
    <w:rsid w:val="00740D0D"/>
    <w:rsid w:val="00781D15"/>
    <w:rsid w:val="00790983"/>
    <w:rsid w:val="00793ABB"/>
    <w:rsid w:val="0079784E"/>
    <w:rsid w:val="007A443F"/>
    <w:rsid w:val="007C13AE"/>
    <w:rsid w:val="007D0446"/>
    <w:rsid w:val="007D38B0"/>
    <w:rsid w:val="007F12B4"/>
    <w:rsid w:val="007F3811"/>
    <w:rsid w:val="00802770"/>
    <w:rsid w:val="00803931"/>
    <w:rsid w:val="0081382B"/>
    <w:rsid w:val="00841713"/>
    <w:rsid w:val="00842E06"/>
    <w:rsid w:val="008511F3"/>
    <w:rsid w:val="0086685E"/>
    <w:rsid w:val="00896354"/>
    <w:rsid w:val="008B6242"/>
    <w:rsid w:val="008B71AF"/>
    <w:rsid w:val="008C5C49"/>
    <w:rsid w:val="008C7C9F"/>
    <w:rsid w:val="009131DE"/>
    <w:rsid w:val="00915948"/>
    <w:rsid w:val="00923E97"/>
    <w:rsid w:val="0092736B"/>
    <w:rsid w:val="0094549A"/>
    <w:rsid w:val="0099304F"/>
    <w:rsid w:val="009A5642"/>
    <w:rsid w:val="009B5270"/>
    <w:rsid w:val="009B73D4"/>
    <w:rsid w:val="009C10AF"/>
    <w:rsid w:val="009D41D7"/>
    <w:rsid w:val="009D7D4A"/>
    <w:rsid w:val="009E03FD"/>
    <w:rsid w:val="009E1396"/>
    <w:rsid w:val="009E2384"/>
    <w:rsid w:val="00A046B6"/>
    <w:rsid w:val="00A20A49"/>
    <w:rsid w:val="00A21A08"/>
    <w:rsid w:val="00A22C74"/>
    <w:rsid w:val="00A34DC1"/>
    <w:rsid w:val="00A41E73"/>
    <w:rsid w:val="00A618F2"/>
    <w:rsid w:val="00A61CCE"/>
    <w:rsid w:val="00A64F8F"/>
    <w:rsid w:val="00A760AD"/>
    <w:rsid w:val="00A87E8F"/>
    <w:rsid w:val="00A92B7C"/>
    <w:rsid w:val="00AA1709"/>
    <w:rsid w:val="00AA6716"/>
    <w:rsid w:val="00AB013C"/>
    <w:rsid w:val="00AD758B"/>
    <w:rsid w:val="00AF11ED"/>
    <w:rsid w:val="00B01BA0"/>
    <w:rsid w:val="00B35611"/>
    <w:rsid w:val="00B45A8A"/>
    <w:rsid w:val="00B74689"/>
    <w:rsid w:val="00B76C7E"/>
    <w:rsid w:val="00B82298"/>
    <w:rsid w:val="00B832A9"/>
    <w:rsid w:val="00B92FA2"/>
    <w:rsid w:val="00BB4BA0"/>
    <w:rsid w:val="00BB5271"/>
    <w:rsid w:val="00BC3E36"/>
    <w:rsid w:val="00BC79F2"/>
    <w:rsid w:val="00BD75A4"/>
    <w:rsid w:val="00BE15B5"/>
    <w:rsid w:val="00BF3B1E"/>
    <w:rsid w:val="00C0069B"/>
    <w:rsid w:val="00C04B2E"/>
    <w:rsid w:val="00C152E8"/>
    <w:rsid w:val="00C20479"/>
    <w:rsid w:val="00C21D69"/>
    <w:rsid w:val="00C22490"/>
    <w:rsid w:val="00C417A0"/>
    <w:rsid w:val="00C532E5"/>
    <w:rsid w:val="00C57914"/>
    <w:rsid w:val="00C6008B"/>
    <w:rsid w:val="00C64FC4"/>
    <w:rsid w:val="00C65E82"/>
    <w:rsid w:val="00C758E3"/>
    <w:rsid w:val="00C8315A"/>
    <w:rsid w:val="00C94925"/>
    <w:rsid w:val="00CB534B"/>
    <w:rsid w:val="00CC1ED5"/>
    <w:rsid w:val="00CE51F2"/>
    <w:rsid w:val="00CE631C"/>
    <w:rsid w:val="00CE703D"/>
    <w:rsid w:val="00CF0192"/>
    <w:rsid w:val="00CF040C"/>
    <w:rsid w:val="00CF4AC5"/>
    <w:rsid w:val="00CF51C2"/>
    <w:rsid w:val="00D14F20"/>
    <w:rsid w:val="00D164FE"/>
    <w:rsid w:val="00D31733"/>
    <w:rsid w:val="00D43330"/>
    <w:rsid w:val="00D45257"/>
    <w:rsid w:val="00D45708"/>
    <w:rsid w:val="00D52894"/>
    <w:rsid w:val="00D6362F"/>
    <w:rsid w:val="00D757FF"/>
    <w:rsid w:val="00D832F7"/>
    <w:rsid w:val="00D84A7F"/>
    <w:rsid w:val="00DA51BD"/>
    <w:rsid w:val="00DF363F"/>
    <w:rsid w:val="00E32EEF"/>
    <w:rsid w:val="00E74692"/>
    <w:rsid w:val="00E77817"/>
    <w:rsid w:val="00E944EE"/>
    <w:rsid w:val="00EA3AF6"/>
    <w:rsid w:val="00EB059B"/>
    <w:rsid w:val="00ED2764"/>
    <w:rsid w:val="00ED47AE"/>
    <w:rsid w:val="00ED47AF"/>
    <w:rsid w:val="00EF6911"/>
    <w:rsid w:val="00F37996"/>
    <w:rsid w:val="00F410E0"/>
    <w:rsid w:val="00F44785"/>
    <w:rsid w:val="00F579E9"/>
    <w:rsid w:val="00F909BB"/>
    <w:rsid w:val="00F944E3"/>
    <w:rsid w:val="00FA6734"/>
    <w:rsid w:val="00FC4118"/>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CA33E5"/>
    <w:rsid w:val="04E70891"/>
    <w:rsid w:val="04EE0D07"/>
    <w:rsid w:val="054E6891"/>
    <w:rsid w:val="059024C4"/>
    <w:rsid w:val="05990F81"/>
    <w:rsid w:val="05D62C3D"/>
    <w:rsid w:val="05EB6762"/>
    <w:rsid w:val="05F777CC"/>
    <w:rsid w:val="061842D1"/>
    <w:rsid w:val="067428EB"/>
    <w:rsid w:val="06B940B9"/>
    <w:rsid w:val="06C11238"/>
    <w:rsid w:val="06D605B3"/>
    <w:rsid w:val="070C68F7"/>
    <w:rsid w:val="072B22BC"/>
    <w:rsid w:val="074C43F1"/>
    <w:rsid w:val="07650D5D"/>
    <w:rsid w:val="076C66C9"/>
    <w:rsid w:val="07A76048"/>
    <w:rsid w:val="07B16F85"/>
    <w:rsid w:val="082211DD"/>
    <w:rsid w:val="08232382"/>
    <w:rsid w:val="082F5114"/>
    <w:rsid w:val="083D23B2"/>
    <w:rsid w:val="086136BB"/>
    <w:rsid w:val="08786792"/>
    <w:rsid w:val="08807627"/>
    <w:rsid w:val="089F6734"/>
    <w:rsid w:val="08D444CD"/>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8511E8"/>
    <w:rsid w:val="0BAA700E"/>
    <w:rsid w:val="0BC61F4B"/>
    <w:rsid w:val="0BEB10E2"/>
    <w:rsid w:val="0C156CFF"/>
    <w:rsid w:val="0C1A66D1"/>
    <w:rsid w:val="0C361670"/>
    <w:rsid w:val="0C411CD0"/>
    <w:rsid w:val="0C5B1FA9"/>
    <w:rsid w:val="0C6B5B18"/>
    <w:rsid w:val="0C8E4136"/>
    <w:rsid w:val="0CA062F8"/>
    <w:rsid w:val="0CED2457"/>
    <w:rsid w:val="0D2C1377"/>
    <w:rsid w:val="0D5C5AB2"/>
    <w:rsid w:val="0D614F04"/>
    <w:rsid w:val="0D6A4C3D"/>
    <w:rsid w:val="0DCC335E"/>
    <w:rsid w:val="0DF87606"/>
    <w:rsid w:val="0E04554D"/>
    <w:rsid w:val="0E0C0187"/>
    <w:rsid w:val="0E413AE2"/>
    <w:rsid w:val="0E94477A"/>
    <w:rsid w:val="0EBC2000"/>
    <w:rsid w:val="0F143C2E"/>
    <w:rsid w:val="0F340DCE"/>
    <w:rsid w:val="0F3918CC"/>
    <w:rsid w:val="0F397095"/>
    <w:rsid w:val="0FD663C6"/>
    <w:rsid w:val="10190CBD"/>
    <w:rsid w:val="102D14D1"/>
    <w:rsid w:val="104E0318"/>
    <w:rsid w:val="10A750E5"/>
    <w:rsid w:val="11342822"/>
    <w:rsid w:val="115D2B41"/>
    <w:rsid w:val="1183006F"/>
    <w:rsid w:val="118640B3"/>
    <w:rsid w:val="12321665"/>
    <w:rsid w:val="126C7EC0"/>
    <w:rsid w:val="1277417D"/>
    <w:rsid w:val="12A242AB"/>
    <w:rsid w:val="12BE7F96"/>
    <w:rsid w:val="12DA4361"/>
    <w:rsid w:val="12E70400"/>
    <w:rsid w:val="12F745E0"/>
    <w:rsid w:val="12F96D8F"/>
    <w:rsid w:val="1342515B"/>
    <w:rsid w:val="1356443E"/>
    <w:rsid w:val="1360694E"/>
    <w:rsid w:val="136253A7"/>
    <w:rsid w:val="136544CD"/>
    <w:rsid w:val="136B6B81"/>
    <w:rsid w:val="13A934D3"/>
    <w:rsid w:val="13B91F37"/>
    <w:rsid w:val="13B923AB"/>
    <w:rsid w:val="13C0328F"/>
    <w:rsid w:val="13C5215F"/>
    <w:rsid w:val="13C65382"/>
    <w:rsid w:val="13C719E1"/>
    <w:rsid w:val="13D5488F"/>
    <w:rsid w:val="13DC2553"/>
    <w:rsid w:val="142D4C56"/>
    <w:rsid w:val="1444419D"/>
    <w:rsid w:val="145C45D5"/>
    <w:rsid w:val="149B2B25"/>
    <w:rsid w:val="14B6139F"/>
    <w:rsid w:val="15340E77"/>
    <w:rsid w:val="157939BE"/>
    <w:rsid w:val="15832312"/>
    <w:rsid w:val="15C01930"/>
    <w:rsid w:val="161C194F"/>
    <w:rsid w:val="162E1686"/>
    <w:rsid w:val="16387566"/>
    <w:rsid w:val="165E1B64"/>
    <w:rsid w:val="167D6633"/>
    <w:rsid w:val="16C7330C"/>
    <w:rsid w:val="16CE41FA"/>
    <w:rsid w:val="16E77616"/>
    <w:rsid w:val="16F862E2"/>
    <w:rsid w:val="17253717"/>
    <w:rsid w:val="173A56D7"/>
    <w:rsid w:val="176159C8"/>
    <w:rsid w:val="17740B65"/>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A358C2"/>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9E744F"/>
    <w:rsid w:val="1BBD3D34"/>
    <w:rsid w:val="1BBE13E9"/>
    <w:rsid w:val="1BC54211"/>
    <w:rsid w:val="1BCC07FF"/>
    <w:rsid w:val="1BD21A8E"/>
    <w:rsid w:val="1BED31A7"/>
    <w:rsid w:val="1BF6640F"/>
    <w:rsid w:val="1C2D03AA"/>
    <w:rsid w:val="1C2F51F0"/>
    <w:rsid w:val="1C4B2F98"/>
    <w:rsid w:val="1CD83B22"/>
    <w:rsid w:val="1CE27556"/>
    <w:rsid w:val="1CE400B3"/>
    <w:rsid w:val="1D2119DA"/>
    <w:rsid w:val="1D481945"/>
    <w:rsid w:val="1D961B49"/>
    <w:rsid w:val="1D9F6122"/>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8F3CFA"/>
    <w:rsid w:val="1FA7260B"/>
    <w:rsid w:val="1FEE3736"/>
    <w:rsid w:val="1FF45180"/>
    <w:rsid w:val="2034266D"/>
    <w:rsid w:val="20441BF7"/>
    <w:rsid w:val="20567811"/>
    <w:rsid w:val="207B20B8"/>
    <w:rsid w:val="20C87EE6"/>
    <w:rsid w:val="20D4307C"/>
    <w:rsid w:val="20DF6696"/>
    <w:rsid w:val="21156537"/>
    <w:rsid w:val="215026B3"/>
    <w:rsid w:val="218469C1"/>
    <w:rsid w:val="21FB5F50"/>
    <w:rsid w:val="21FB6487"/>
    <w:rsid w:val="22611A5A"/>
    <w:rsid w:val="22620C72"/>
    <w:rsid w:val="22622A21"/>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0458B5"/>
    <w:rsid w:val="28166B73"/>
    <w:rsid w:val="282442D9"/>
    <w:rsid w:val="284367B5"/>
    <w:rsid w:val="284C2446"/>
    <w:rsid w:val="285718A5"/>
    <w:rsid w:val="28F865CB"/>
    <w:rsid w:val="29053276"/>
    <w:rsid w:val="291E0B10"/>
    <w:rsid w:val="29212087"/>
    <w:rsid w:val="29250E1B"/>
    <w:rsid w:val="293E4CC1"/>
    <w:rsid w:val="29443F92"/>
    <w:rsid w:val="2951346C"/>
    <w:rsid w:val="295A53EB"/>
    <w:rsid w:val="29803AA3"/>
    <w:rsid w:val="29884B07"/>
    <w:rsid w:val="298957C4"/>
    <w:rsid w:val="29DF4E52"/>
    <w:rsid w:val="2A1D6A45"/>
    <w:rsid w:val="2A4E2CE7"/>
    <w:rsid w:val="2A6F6EBA"/>
    <w:rsid w:val="2A830C79"/>
    <w:rsid w:val="2AD11736"/>
    <w:rsid w:val="2B1029CF"/>
    <w:rsid w:val="2B3D0710"/>
    <w:rsid w:val="2B424E87"/>
    <w:rsid w:val="2B5F0E77"/>
    <w:rsid w:val="2B7F64C1"/>
    <w:rsid w:val="2BA3212D"/>
    <w:rsid w:val="2BE7007A"/>
    <w:rsid w:val="2BEF05F1"/>
    <w:rsid w:val="2BFE408A"/>
    <w:rsid w:val="2C1D78F3"/>
    <w:rsid w:val="2C234403"/>
    <w:rsid w:val="2C393680"/>
    <w:rsid w:val="2C487ED7"/>
    <w:rsid w:val="2C8F2DC3"/>
    <w:rsid w:val="2CDF0482"/>
    <w:rsid w:val="2D22640D"/>
    <w:rsid w:val="2D464D5F"/>
    <w:rsid w:val="2D4E5097"/>
    <w:rsid w:val="2D592D22"/>
    <w:rsid w:val="2D8043C0"/>
    <w:rsid w:val="2DEB1F6F"/>
    <w:rsid w:val="2DFB00B5"/>
    <w:rsid w:val="2E414663"/>
    <w:rsid w:val="2E697CA3"/>
    <w:rsid w:val="2E6D23B0"/>
    <w:rsid w:val="2E6D4E98"/>
    <w:rsid w:val="2E7931EC"/>
    <w:rsid w:val="2E944745"/>
    <w:rsid w:val="2E9705D3"/>
    <w:rsid w:val="2E9C3022"/>
    <w:rsid w:val="2EBE0475"/>
    <w:rsid w:val="2EC1790D"/>
    <w:rsid w:val="2EE23871"/>
    <w:rsid w:val="2EF24A2C"/>
    <w:rsid w:val="2F1D1D68"/>
    <w:rsid w:val="2F1F4CCA"/>
    <w:rsid w:val="2F2A65B2"/>
    <w:rsid w:val="2F6C2DFA"/>
    <w:rsid w:val="300C3711"/>
    <w:rsid w:val="3022617D"/>
    <w:rsid w:val="30464B56"/>
    <w:rsid w:val="306B39B6"/>
    <w:rsid w:val="307C2C0D"/>
    <w:rsid w:val="30967620"/>
    <w:rsid w:val="309F2085"/>
    <w:rsid w:val="30BD1FE5"/>
    <w:rsid w:val="30E74D92"/>
    <w:rsid w:val="30F36C74"/>
    <w:rsid w:val="30F9318B"/>
    <w:rsid w:val="31272F44"/>
    <w:rsid w:val="31936105"/>
    <w:rsid w:val="31B658D4"/>
    <w:rsid w:val="31E45051"/>
    <w:rsid w:val="31E67461"/>
    <w:rsid w:val="31F37F3C"/>
    <w:rsid w:val="32316E69"/>
    <w:rsid w:val="325B404D"/>
    <w:rsid w:val="32887E5F"/>
    <w:rsid w:val="32922EE0"/>
    <w:rsid w:val="329E5AD1"/>
    <w:rsid w:val="32CC51E5"/>
    <w:rsid w:val="32E6051A"/>
    <w:rsid w:val="32F33B15"/>
    <w:rsid w:val="3342483F"/>
    <w:rsid w:val="33527222"/>
    <w:rsid w:val="33A718ED"/>
    <w:rsid w:val="33AA3E3F"/>
    <w:rsid w:val="34086FF6"/>
    <w:rsid w:val="34AC6BE3"/>
    <w:rsid w:val="34EB329F"/>
    <w:rsid w:val="34FE1F7D"/>
    <w:rsid w:val="35270865"/>
    <w:rsid w:val="35C42A65"/>
    <w:rsid w:val="3609516B"/>
    <w:rsid w:val="36116C06"/>
    <w:rsid w:val="361B7BDC"/>
    <w:rsid w:val="364221AD"/>
    <w:rsid w:val="36627D01"/>
    <w:rsid w:val="369B1BA6"/>
    <w:rsid w:val="36A84C6D"/>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DF2765"/>
    <w:rsid w:val="37F43335"/>
    <w:rsid w:val="388D5F91"/>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6F5314"/>
    <w:rsid w:val="3C8779B9"/>
    <w:rsid w:val="3C8B2C2B"/>
    <w:rsid w:val="3C940215"/>
    <w:rsid w:val="3C9F058C"/>
    <w:rsid w:val="3CC97C4F"/>
    <w:rsid w:val="3CCA29EB"/>
    <w:rsid w:val="3CCC5DBF"/>
    <w:rsid w:val="3CE65E04"/>
    <w:rsid w:val="3CF75C7B"/>
    <w:rsid w:val="3D497E6A"/>
    <w:rsid w:val="3D634958"/>
    <w:rsid w:val="3D6C6B53"/>
    <w:rsid w:val="3D8C6BB2"/>
    <w:rsid w:val="3D987150"/>
    <w:rsid w:val="3D9E333B"/>
    <w:rsid w:val="3DBC00BF"/>
    <w:rsid w:val="3DCB1A6B"/>
    <w:rsid w:val="3DED30AA"/>
    <w:rsid w:val="3E2D5980"/>
    <w:rsid w:val="3E3102BB"/>
    <w:rsid w:val="3E604692"/>
    <w:rsid w:val="3E614AA5"/>
    <w:rsid w:val="3EB02545"/>
    <w:rsid w:val="3EB21D54"/>
    <w:rsid w:val="3F18661A"/>
    <w:rsid w:val="3F7512EA"/>
    <w:rsid w:val="3F946403"/>
    <w:rsid w:val="3F9730B9"/>
    <w:rsid w:val="3FC55901"/>
    <w:rsid w:val="3FC9458D"/>
    <w:rsid w:val="3FD033AD"/>
    <w:rsid w:val="3FE71A20"/>
    <w:rsid w:val="401F021A"/>
    <w:rsid w:val="40247604"/>
    <w:rsid w:val="404148A6"/>
    <w:rsid w:val="40572AB6"/>
    <w:rsid w:val="405D3459"/>
    <w:rsid w:val="4068264C"/>
    <w:rsid w:val="407728FD"/>
    <w:rsid w:val="40CA0DB3"/>
    <w:rsid w:val="410603FC"/>
    <w:rsid w:val="410D06B8"/>
    <w:rsid w:val="418842A8"/>
    <w:rsid w:val="41A274B6"/>
    <w:rsid w:val="41C034AF"/>
    <w:rsid w:val="41C70A28"/>
    <w:rsid w:val="422B2493"/>
    <w:rsid w:val="42311D52"/>
    <w:rsid w:val="424A712C"/>
    <w:rsid w:val="4263268C"/>
    <w:rsid w:val="42777D20"/>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A37922"/>
    <w:rsid w:val="44B63420"/>
    <w:rsid w:val="44B71DE6"/>
    <w:rsid w:val="44BE70AA"/>
    <w:rsid w:val="44DB6B8D"/>
    <w:rsid w:val="45160574"/>
    <w:rsid w:val="45420D01"/>
    <w:rsid w:val="455E1B2B"/>
    <w:rsid w:val="45795B69"/>
    <w:rsid w:val="45D9171A"/>
    <w:rsid w:val="45F8252B"/>
    <w:rsid w:val="46153B79"/>
    <w:rsid w:val="46362CFF"/>
    <w:rsid w:val="4655670F"/>
    <w:rsid w:val="465E48A1"/>
    <w:rsid w:val="46CD6A3D"/>
    <w:rsid w:val="46D23AA8"/>
    <w:rsid w:val="46D446A7"/>
    <w:rsid w:val="46DD6BE8"/>
    <w:rsid w:val="47165D61"/>
    <w:rsid w:val="475D1752"/>
    <w:rsid w:val="47767BD4"/>
    <w:rsid w:val="477D0471"/>
    <w:rsid w:val="478F59C9"/>
    <w:rsid w:val="47EA68ED"/>
    <w:rsid w:val="47FB44E3"/>
    <w:rsid w:val="488A747A"/>
    <w:rsid w:val="488C68A7"/>
    <w:rsid w:val="489640A7"/>
    <w:rsid w:val="489E300A"/>
    <w:rsid w:val="48A8092A"/>
    <w:rsid w:val="4955748F"/>
    <w:rsid w:val="49694B92"/>
    <w:rsid w:val="49737357"/>
    <w:rsid w:val="49E51E3A"/>
    <w:rsid w:val="4A0366CF"/>
    <w:rsid w:val="4A0A77FA"/>
    <w:rsid w:val="4A256483"/>
    <w:rsid w:val="4A38641F"/>
    <w:rsid w:val="4A66688A"/>
    <w:rsid w:val="4A800E57"/>
    <w:rsid w:val="4A8D4A10"/>
    <w:rsid w:val="4A9F5D83"/>
    <w:rsid w:val="4AB52052"/>
    <w:rsid w:val="4AB86D48"/>
    <w:rsid w:val="4AF859CC"/>
    <w:rsid w:val="4B657DEC"/>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342A62"/>
    <w:rsid w:val="4D4946C3"/>
    <w:rsid w:val="4D6215E1"/>
    <w:rsid w:val="4D667D39"/>
    <w:rsid w:val="4D6A6CFA"/>
    <w:rsid w:val="4D8C427F"/>
    <w:rsid w:val="4DB579D1"/>
    <w:rsid w:val="4DBD70EB"/>
    <w:rsid w:val="4E0C1E01"/>
    <w:rsid w:val="4E44138D"/>
    <w:rsid w:val="4E6E459C"/>
    <w:rsid w:val="4E98618A"/>
    <w:rsid w:val="4E9D352C"/>
    <w:rsid w:val="4EB95E17"/>
    <w:rsid w:val="4ED45410"/>
    <w:rsid w:val="4EF452C5"/>
    <w:rsid w:val="4F6B02B8"/>
    <w:rsid w:val="4F72409C"/>
    <w:rsid w:val="4F765628"/>
    <w:rsid w:val="4FA43165"/>
    <w:rsid w:val="4FB6214D"/>
    <w:rsid w:val="4FFA2095"/>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C56DFA"/>
    <w:rsid w:val="56E20A0E"/>
    <w:rsid w:val="57053D37"/>
    <w:rsid w:val="5712602C"/>
    <w:rsid w:val="5737516A"/>
    <w:rsid w:val="57431AE0"/>
    <w:rsid w:val="57730A91"/>
    <w:rsid w:val="5780384C"/>
    <w:rsid w:val="57A27BD5"/>
    <w:rsid w:val="57A91214"/>
    <w:rsid w:val="57C762A2"/>
    <w:rsid w:val="57E71A09"/>
    <w:rsid w:val="5812512F"/>
    <w:rsid w:val="58451B93"/>
    <w:rsid w:val="587179A2"/>
    <w:rsid w:val="587249A9"/>
    <w:rsid w:val="587747DC"/>
    <w:rsid w:val="58876FB5"/>
    <w:rsid w:val="5888038F"/>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79293A"/>
    <w:rsid w:val="5B8509D1"/>
    <w:rsid w:val="5B90297B"/>
    <w:rsid w:val="5BBF7D4C"/>
    <w:rsid w:val="5C11606C"/>
    <w:rsid w:val="5C11763B"/>
    <w:rsid w:val="5C4B3D62"/>
    <w:rsid w:val="5C4E0A2D"/>
    <w:rsid w:val="5C524815"/>
    <w:rsid w:val="5C5F6AAF"/>
    <w:rsid w:val="5C64452B"/>
    <w:rsid w:val="5C7719CE"/>
    <w:rsid w:val="5C8E79BD"/>
    <w:rsid w:val="5CA6604A"/>
    <w:rsid w:val="5D2719C9"/>
    <w:rsid w:val="5D285026"/>
    <w:rsid w:val="5D472272"/>
    <w:rsid w:val="5D5C0E3F"/>
    <w:rsid w:val="5D5E619D"/>
    <w:rsid w:val="5D697358"/>
    <w:rsid w:val="5D742A37"/>
    <w:rsid w:val="5D747A99"/>
    <w:rsid w:val="5D9249ED"/>
    <w:rsid w:val="5DA1646B"/>
    <w:rsid w:val="5DD7329D"/>
    <w:rsid w:val="5DDC5DDB"/>
    <w:rsid w:val="5DF04FFA"/>
    <w:rsid w:val="5E063C72"/>
    <w:rsid w:val="5E0C15D4"/>
    <w:rsid w:val="5E19167C"/>
    <w:rsid w:val="5E3C01D4"/>
    <w:rsid w:val="5E6F443D"/>
    <w:rsid w:val="5E70354F"/>
    <w:rsid w:val="5E8C7523"/>
    <w:rsid w:val="5E94632E"/>
    <w:rsid w:val="5E9C2B92"/>
    <w:rsid w:val="5EB82786"/>
    <w:rsid w:val="5EB94C72"/>
    <w:rsid w:val="5F111534"/>
    <w:rsid w:val="5F2541B1"/>
    <w:rsid w:val="5F804106"/>
    <w:rsid w:val="5F8E0C9A"/>
    <w:rsid w:val="5F9A4C50"/>
    <w:rsid w:val="5FBC6FFC"/>
    <w:rsid w:val="5FD2151E"/>
    <w:rsid w:val="5FD91B32"/>
    <w:rsid w:val="5FDE3D1C"/>
    <w:rsid w:val="5FEB36B0"/>
    <w:rsid w:val="5FEE5C03"/>
    <w:rsid w:val="60070235"/>
    <w:rsid w:val="60247960"/>
    <w:rsid w:val="60337FBD"/>
    <w:rsid w:val="60557909"/>
    <w:rsid w:val="608B596D"/>
    <w:rsid w:val="60B20DDE"/>
    <w:rsid w:val="60CF6017"/>
    <w:rsid w:val="60EC58A1"/>
    <w:rsid w:val="60F765D6"/>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6D5CEB"/>
    <w:rsid w:val="659D4F4E"/>
    <w:rsid w:val="65A300A1"/>
    <w:rsid w:val="65AE0F57"/>
    <w:rsid w:val="65DB5C3D"/>
    <w:rsid w:val="65DC330D"/>
    <w:rsid w:val="65E935AE"/>
    <w:rsid w:val="666631F7"/>
    <w:rsid w:val="66780DEE"/>
    <w:rsid w:val="668E1E21"/>
    <w:rsid w:val="66926F8C"/>
    <w:rsid w:val="66966882"/>
    <w:rsid w:val="66AB117E"/>
    <w:rsid w:val="66C84756"/>
    <w:rsid w:val="66D269D6"/>
    <w:rsid w:val="66F269C9"/>
    <w:rsid w:val="67285BDC"/>
    <w:rsid w:val="67C1521F"/>
    <w:rsid w:val="67FB2FC2"/>
    <w:rsid w:val="6838125F"/>
    <w:rsid w:val="684E7153"/>
    <w:rsid w:val="68942469"/>
    <w:rsid w:val="689A4745"/>
    <w:rsid w:val="68A270B1"/>
    <w:rsid w:val="69522C18"/>
    <w:rsid w:val="69560D87"/>
    <w:rsid w:val="69624B7D"/>
    <w:rsid w:val="69A85914"/>
    <w:rsid w:val="69B54893"/>
    <w:rsid w:val="69F0666F"/>
    <w:rsid w:val="69FA018D"/>
    <w:rsid w:val="6A25465E"/>
    <w:rsid w:val="6A3133B9"/>
    <w:rsid w:val="6A572716"/>
    <w:rsid w:val="6A87076D"/>
    <w:rsid w:val="6A9454E3"/>
    <w:rsid w:val="6ACE133C"/>
    <w:rsid w:val="6ACF2D0F"/>
    <w:rsid w:val="6AFC0247"/>
    <w:rsid w:val="6AFC23BD"/>
    <w:rsid w:val="6B287CCA"/>
    <w:rsid w:val="6B37191E"/>
    <w:rsid w:val="6B9D0419"/>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F06A3A"/>
    <w:rsid w:val="6F231086"/>
    <w:rsid w:val="6F2C1077"/>
    <w:rsid w:val="6F4412DE"/>
    <w:rsid w:val="6F4A3EE7"/>
    <w:rsid w:val="6FB01FF6"/>
    <w:rsid w:val="6FE27E45"/>
    <w:rsid w:val="702D3037"/>
    <w:rsid w:val="70854008"/>
    <w:rsid w:val="70D76F56"/>
    <w:rsid w:val="70EE0B58"/>
    <w:rsid w:val="71432678"/>
    <w:rsid w:val="71662747"/>
    <w:rsid w:val="71F327E9"/>
    <w:rsid w:val="72525910"/>
    <w:rsid w:val="7272141E"/>
    <w:rsid w:val="729A51BF"/>
    <w:rsid w:val="72B463D3"/>
    <w:rsid w:val="72C31F67"/>
    <w:rsid w:val="730F2443"/>
    <w:rsid w:val="738A19B2"/>
    <w:rsid w:val="74031B8D"/>
    <w:rsid w:val="74460C31"/>
    <w:rsid w:val="745948C9"/>
    <w:rsid w:val="747814E9"/>
    <w:rsid w:val="74782083"/>
    <w:rsid w:val="74864594"/>
    <w:rsid w:val="7499444F"/>
    <w:rsid w:val="74EA6F75"/>
    <w:rsid w:val="74F00783"/>
    <w:rsid w:val="74F21A8E"/>
    <w:rsid w:val="75092D2E"/>
    <w:rsid w:val="751F35C6"/>
    <w:rsid w:val="752673FA"/>
    <w:rsid w:val="75445278"/>
    <w:rsid w:val="755743E2"/>
    <w:rsid w:val="755A18B2"/>
    <w:rsid w:val="756D2420"/>
    <w:rsid w:val="75AD468E"/>
    <w:rsid w:val="75C114FE"/>
    <w:rsid w:val="75C3529A"/>
    <w:rsid w:val="75D33B60"/>
    <w:rsid w:val="75EB0030"/>
    <w:rsid w:val="767A1884"/>
    <w:rsid w:val="76806AED"/>
    <w:rsid w:val="7681376B"/>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582D39"/>
    <w:rsid w:val="797C1AA1"/>
    <w:rsid w:val="7A934CC7"/>
    <w:rsid w:val="7AB93CAD"/>
    <w:rsid w:val="7ADD5745"/>
    <w:rsid w:val="7AFB7263"/>
    <w:rsid w:val="7B062FF2"/>
    <w:rsid w:val="7B06618E"/>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B763AB"/>
    <w:rsid w:val="7CF32D47"/>
    <w:rsid w:val="7CF47DC4"/>
    <w:rsid w:val="7D2D7E4F"/>
    <w:rsid w:val="7D3D1C6F"/>
    <w:rsid w:val="7D703C18"/>
    <w:rsid w:val="7D70416C"/>
    <w:rsid w:val="7D7D2444"/>
    <w:rsid w:val="7DB53173"/>
    <w:rsid w:val="7DBD0485"/>
    <w:rsid w:val="7DC17AA5"/>
    <w:rsid w:val="7DF00948"/>
    <w:rsid w:val="7DF35877"/>
    <w:rsid w:val="7E3760A4"/>
    <w:rsid w:val="7E3F400C"/>
    <w:rsid w:val="7E3F5C67"/>
    <w:rsid w:val="7E485A8B"/>
    <w:rsid w:val="7E710432"/>
    <w:rsid w:val="7E784FFE"/>
    <w:rsid w:val="7E835EDA"/>
    <w:rsid w:val="7F0028A1"/>
    <w:rsid w:val="7F0D36A8"/>
    <w:rsid w:val="7F0D6F9B"/>
    <w:rsid w:val="7F267E5E"/>
    <w:rsid w:val="7F511034"/>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
    <w:qFormat/>
    <w:uiPriority w:val="0"/>
    <w:pPr>
      <w:keepNext/>
      <w:jc w:val="center"/>
      <w:outlineLvl w:val="0"/>
    </w:pPr>
    <w:rPr>
      <w:b/>
      <w:bCs/>
      <w:kern w:val="0"/>
      <w:sz w:val="24"/>
      <w:szCs w:val="20"/>
    </w:rPr>
  </w:style>
  <w:style w:type="paragraph" w:styleId="5">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76"/>
    <w:unhideWhenUsed/>
    <w:qFormat/>
    <w:uiPriority w:val="0"/>
    <w:pPr>
      <w:spacing w:line="500" w:lineRule="exact"/>
      <w:ind w:firstLine="420" w:firstLineChars="200"/>
    </w:pPr>
  </w:style>
  <w:style w:type="paragraph" w:styleId="3">
    <w:name w:val="Body Text"/>
    <w:basedOn w:val="1"/>
    <w:link w:val="118"/>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294"/>
    <w:qFormat/>
    <w:uiPriority w:val="99"/>
    <w:pPr>
      <w:widowControl/>
      <w:ind w:firstLine="420"/>
      <w:jc w:val="left"/>
    </w:pPr>
    <w:rPr>
      <w:kern w:val="0"/>
      <w:sz w:val="20"/>
      <w:szCs w:val="20"/>
    </w:rPr>
  </w:style>
  <w:style w:type="paragraph" w:styleId="16">
    <w:name w:val="Document Map"/>
    <w:basedOn w:val="1"/>
    <w:link w:val="128"/>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110"/>
    <w:unhideWhenUsed/>
    <w:qFormat/>
    <w:uiPriority w:val="0"/>
    <w:pPr>
      <w:jc w:val="left"/>
    </w:pPr>
  </w:style>
  <w:style w:type="paragraph" w:styleId="19">
    <w:name w:val="Salutation"/>
    <w:basedOn w:val="1"/>
    <w:next w:val="1"/>
    <w:link w:val="115"/>
    <w:qFormat/>
    <w:uiPriority w:val="0"/>
    <w:rPr>
      <w:rFonts w:ascii="仿宋_GB2312" w:eastAsia="仿宋_GB2312"/>
      <w:sz w:val="24"/>
    </w:rPr>
  </w:style>
  <w:style w:type="paragraph" w:styleId="20">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98"/>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0"/>
    <w:pPr>
      <w:ind w:left="840" w:leftChars="400"/>
    </w:pPr>
  </w:style>
  <w:style w:type="paragraph" w:styleId="26">
    <w:name w:val="Plain Text"/>
    <w:basedOn w:val="1"/>
    <w:link w:val="107"/>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40"/>
    <w:qFormat/>
    <w:uiPriority w:val="0"/>
    <w:rPr>
      <w:rFonts w:ascii="Calibri" w:hAnsi="Calibri" w:cs="黑体"/>
      <w:sz w:val="24"/>
      <w:szCs w:val="22"/>
    </w:rPr>
  </w:style>
  <w:style w:type="paragraph" w:styleId="29">
    <w:name w:val="Body Text Indent 2"/>
    <w:basedOn w:val="1"/>
    <w:link w:val="102"/>
    <w:qFormat/>
    <w:uiPriority w:val="0"/>
    <w:pPr>
      <w:spacing w:after="120" w:line="480" w:lineRule="auto"/>
      <w:ind w:left="420" w:leftChars="200"/>
    </w:pPr>
  </w:style>
  <w:style w:type="paragraph" w:styleId="30">
    <w:name w:val="Balloon Text"/>
    <w:basedOn w:val="1"/>
    <w:link w:val="97"/>
    <w:qFormat/>
    <w:uiPriority w:val="0"/>
    <w:rPr>
      <w:rFonts w:ascii="Calibri" w:hAnsi="Calibri" w:cs="黑体"/>
      <w:sz w:val="18"/>
      <w:szCs w:val="18"/>
    </w:rPr>
  </w:style>
  <w:style w:type="paragraph" w:styleId="31">
    <w:name w:val="footer"/>
    <w:basedOn w:val="1"/>
    <w:link w:val="63"/>
    <w:unhideWhenUsed/>
    <w:qFormat/>
    <w:uiPriority w:val="99"/>
    <w:pPr>
      <w:tabs>
        <w:tab w:val="center" w:pos="4153"/>
        <w:tab w:val="right" w:pos="8306"/>
      </w:tabs>
      <w:snapToGrid w:val="0"/>
      <w:jc w:val="left"/>
    </w:pPr>
    <w:rPr>
      <w:sz w:val="18"/>
      <w:szCs w:val="18"/>
    </w:rPr>
  </w:style>
  <w:style w:type="paragraph" w:styleId="32">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5"/>
    <w:qFormat/>
    <w:uiPriority w:val="0"/>
    <w:pPr>
      <w:spacing w:after="120"/>
      <w:ind w:left="420" w:leftChars="200"/>
    </w:pPr>
    <w:rPr>
      <w:rFonts w:ascii="Calibri" w:hAnsi="Calibri" w:cs="黑体"/>
      <w:sz w:val="16"/>
      <w:szCs w:val="16"/>
    </w:r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3"/>
    <w:qFormat/>
    <w:uiPriority w:val="0"/>
    <w:pPr>
      <w:spacing w:after="120" w:line="480" w:lineRule="auto"/>
    </w:p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1"/>
    <w:qFormat/>
    <w:uiPriority w:val="0"/>
    <w:pPr>
      <w:spacing w:before="240" w:after="60"/>
      <w:jc w:val="center"/>
      <w:outlineLvl w:val="0"/>
    </w:pPr>
    <w:rPr>
      <w:rFonts w:ascii="Cambria" w:hAnsi="Cambria"/>
      <w:b/>
      <w:sz w:val="32"/>
    </w:rPr>
  </w:style>
  <w:style w:type="paragraph" w:styleId="45">
    <w:name w:val="annotation subject"/>
    <w:basedOn w:val="18"/>
    <w:next w:val="18"/>
    <w:link w:val="87"/>
    <w:qFormat/>
    <w:uiPriority w:val="0"/>
    <w:rPr>
      <w:rFonts w:ascii="Calibri" w:hAnsi="Calibri" w:cs="黑体"/>
      <w:b/>
      <w:bCs/>
    </w:rPr>
  </w:style>
  <w:style w:type="paragraph" w:styleId="46">
    <w:name w:val="Body Text First Indent 2"/>
    <w:basedOn w:val="21"/>
    <w:link w:val="366"/>
    <w:unhideWhenUsed/>
    <w:qFormat/>
    <w:uiPriority w:val="0"/>
    <w:pPr>
      <w:ind w:firstLine="420" w:firstLineChars="200"/>
    </w:pPr>
    <w:rPr>
      <w:rFonts w:ascii="Times New Roman" w:hAnsi="Times New Roman" w:cs="Times New Roman"/>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Char"/>
    <w:basedOn w:val="49"/>
    <w:link w:val="32"/>
    <w:qFormat/>
    <w:uiPriority w:val="0"/>
    <w:rPr>
      <w:sz w:val="18"/>
      <w:szCs w:val="18"/>
    </w:rPr>
  </w:style>
  <w:style w:type="character" w:customStyle="1" w:styleId="63">
    <w:name w:val="页脚 Char"/>
    <w:basedOn w:val="49"/>
    <w:link w:val="31"/>
    <w:qFormat/>
    <w:uiPriority w:val="99"/>
    <w:rPr>
      <w:sz w:val="18"/>
      <w:szCs w:val="18"/>
    </w:rPr>
  </w:style>
  <w:style w:type="character" w:customStyle="1" w:styleId="64">
    <w:name w:val="标题 1 Char1"/>
    <w:basedOn w:val="49"/>
    <w:link w:val="4"/>
    <w:qFormat/>
    <w:uiPriority w:val="0"/>
    <w:rPr>
      <w:rFonts w:ascii="Times New Roman" w:hAnsi="Times New Roman" w:eastAsia="宋体" w:cs="Times New Roman"/>
      <w:b/>
      <w:bCs/>
      <w:kern w:val="0"/>
      <w:sz w:val="24"/>
      <w:szCs w:val="20"/>
    </w:rPr>
  </w:style>
  <w:style w:type="character" w:customStyle="1" w:styleId="65">
    <w:name w:val="标题 2 Char1"/>
    <w:basedOn w:val="49"/>
    <w:link w:val="5"/>
    <w:qFormat/>
    <w:uiPriority w:val="0"/>
    <w:rPr>
      <w:rFonts w:ascii="Arial" w:hAnsi="Arial" w:eastAsia="宋体" w:cs="Times New Roman"/>
      <w:b/>
      <w:bCs/>
      <w:kern w:val="0"/>
      <w:sz w:val="24"/>
      <w:szCs w:val="32"/>
    </w:rPr>
  </w:style>
  <w:style w:type="character" w:customStyle="1" w:styleId="66">
    <w:name w:val="标题 3 Char1"/>
    <w:basedOn w:val="49"/>
    <w:link w:val="6"/>
    <w:qFormat/>
    <w:uiPriority w:val="0"/>
    <w:rPr>
      <w:rFonts w:ascii="Times New Roman" w:hAnsi="Times New Roman" w:eastAsia="宋体" w:cs="Times New Roman"/>
      <w:b/>
      <w:bCs/>
      <w:kern w:val="0"/>
      <w:sz w:val="32"/>
      <w:szCs w:val="32"/>
    </w:rPr>
  </w:style>
  <w:style w:type="character" w:customStyle="1" w:styleId="67">
    <w:name w:val="标题 4 Char1"/>
    <w:basedOn w:val="49"/>
    <w:link w:val="7"/>
    <w:qFormat/>
    <w:uiPriority w:val="0"/>
    <w:rPr>
      <w:rFonts w:ascii="Arial" w:hAnsi="Arial" w:eastAsia="黑体" w:cs="Times New Roman"/>
      <w:b/>
      <w:bCs/>
      <w:kern w:val="0"/>
      <w:sz w:val="28"/>
      <w:szCs w:val="28"/>
    </w:rPr>
  </w:style>
  <w:style w:type="character" w:customStyle="1" w:styleId="68">
    <w:name w:val="标题 5 Char1"/>
    <w:basedOn w:val="49"/>
    <w:link w:val="8"/>
    <w:qFormat/>
    <w:uiPriority w:val="0"/>
    <w:rPr>
      <w:rFonts w:ascii="Times New Roman" w:hAnsi="Times New Roman" w:eastAsia="宋体" w:cs="Times New Roman"/>
      <w:b/>
      <w:bCs/>
      <w:kern w:val="0"/>
      <w:sz w:val="28"/>
      <w:szCs w:val="28"/>
    </w:rPr>
  </w:style>
  <w:style w:type="character" w:customStyle="1" w:styleId="69">
    <w:name w:val="标题 6 Char1"/>
    <w:basedOn w:val="49"/>
    <w:link w:val="9"/>
    <w:qFormat/>
    <w:uiPriority w:val="0"/>
    <w:rPr>
      <w:rFonts w:ascii="Arial" w:hAnsi="Arial" w:eastAsia="黑体" w:cs="Times New Roman"/>
      <w:b/>
      <w:bCs/>
      <w:kern w:val="0"/>
      <w:sz w:val="24"/>
      <w:szCs w:val="24"/>
    </w:rPr>
  </w:style>
  <w:style w:type="character" w:customStyle="1" w:styleId="70">
    <w:name w:val="标题 7 Char1"/>
    <w:basedOn w:val="49"/>
    <w:link w:val="10"/>
    <w:qFormat/>
    <w:uiPriority w:val="0"/>
    <w:rPr>
      <w:rFonts w:ascii="Times New Roman" w:hAnsi="Times New Roman" w:eastAsia="宋体" w:cs="Times New Roman"/>
      <w:b/>
      <w:bCs/>
      <w:kern w:val="0"/>
      <w:sz w:val="24"/>
      <w:szCs w:val="24"/>
    </w:rPr>
  </w:style>
  <w:style w:type="character" w:customStyle="1" w:styleId="71">
    <w:name w:val="标题 8 Char1"/>
    <w:basedOn w:val="49"/>
    <w:link w:val="11"/>
    <w:qFormat/>
    <w:uiPriority w:val="0"/>
    <w:rPr>
      <w:rFonts w:ascii="Arial" w:hAnsi="Arial" w:eastAsia="黑体" w:cs="Times New Roman"/>
      <w:kern w:val="0"/>
      <w:sz w:val="24"/>
      <w:szCs w:val="24"/>
    </w:rPr>
  </w:style>
  <w:style w:type="character" w:customStyle="1" w:styleId="72">
    <w:name w:val="标题 9 Char1"/>
    <w:basedOn w:val="49"/>
    <w:link w:val="12"/>
    <w:qFormat/>
    <w:uiPriority w:val="0"/>
    <w:rPr>
      <w:rFonts w:ascii="Arial" w:hAnsi="Arial" w:eastAsia="黑体" w:cs="Times New Roman"/>
      <w:kern w:val="0"/>
      <w:sz w:val="20"/>
      <w:szCs w:val="21"/>
    </w:rPr>
  </w:style>
  <w:style w:type="character" w:customStyle="1" w:styleId="73">
    <w:name w:val="正文文本 2 Char"/>
    <w:basedOn w:val="49"/>
    <w:link w:val="40"/>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Char1"/>
    <w:link w:val="45"/>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Char1"/>
    <w:link w:val="30"/>
    <w:qFormat/>
    <w:locked/>
    <w:uiPriority w:val="0"/>
    <w:rPr>
      <w:rFonts w:ascii="Calibri" w:hAnsi="Calibri" w:eastAsia="宋体" w:cs="黑体"/>
      <w:sz w:val="18"/>
      <w:szCs w:val="18"/>
    </w:rPr>
  </w:style>
  <w:style w:type="character" w:customStyle="1" w:styleId="98">
    <w:name w:val="正文文本缩进 Char"/>
    <w:basedOn w:val="49"/>
    <w:link w:val="21"/>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Char2"/>
    <w:basedOn w:val="49"/>
    <w:link w:val="44"/>
    <w:qFormat/>
    <w:uiPriority w:val="0"/>
    <w:rPr>
      <w:rFonts w:ascii="Cambria" w:hAnsi="Cambria" w:eastAsia="宋体" w:cs="Times New Roman"/>
      <w:b/>
      <w:sz w:val="32"/>
      <w:szCs w:val="24"/>
    </w:rPr>
  </w:style>
  <w:style w:type="character" w:customStyle="1" w:styleId="102">
    <w:name w:val="正文文本缩进 2 Char"/>
    <w:basedOn w:val="49"/>
    <w:link w:val="29"/>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Char2"/>
    <w:basedOn w:val="49"/>
    <w:link w:val="26"/>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Char"/>
    <w:basedOn w:val="49"/>
    <w:link w:val="18"/>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Char"/>
    <w:basedOn w:val="49"/>
    <w:link w:val="41"/>
    <w:qFormat/>
    <w:uiPriority w:val="0"/>
    <w:rPr>
      <w:rFonts w:ascii="Arial" w:hAnsi="Arial" w:eastAsia="宋体" w:cs="Arial"/>
      <w:kern w:val="0"/>
      <w:sz w:val="24"/>
      <w:szCs w:val="24"/>
    </w:rPr>
  </w:style>
  <w:style w:type="character" w:customStyle="1" w:styleId="115">
    <w:name w:val="称呼 Char"/>
    <w:basedOn w:val="49"/>
    <w:link w:val="19"/>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Char"/>
    <w:basedOn w:val="49"/>
    <w:link w:val="3"/>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Char1"/>
    <w:link w:val="37"/>
    <w:qFormat/>
    <w:uiPriority w:val="0"/>
    <w:rPr>
      <w:rFonts w:ascii="Calibri" w:hAnsi="Calibri" w:eastAsia="宋体" w:cs="黑体"/>
      <w:sz w:val="16"/>
      <w:szCs w:val="16"/>
    </w:rPr>
  </w:style>
  <w:style w:type="character" w:customStyle="1" w:styleId="126">
    <w:name w:val="副标题 Char"/>
    <w:basedOn w:val="49"/>
    <w:link w:val="35"/>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Char"/>
    <w:basedOn w:val="49"/>
    <w:link w:val="16"/>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Char1"/>
    <w:link w:val="28"/>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Char"/>
    <w:basedOn w:val="49"/>
    <w:link w:val="20"/>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首行缩进 Char"/>
    <w:basedOn w:val="173"/>
    <w:link w:val="2"/>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3"/>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0"/>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6"/>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4"/>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4"/>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4"/>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Char"/>
    <w:link w:val="15"/>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Char"/>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5"/>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4"/>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7"/>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6"/>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6"/>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34"/>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51"/>
    <w:basedOn w:val="49"/>
    <w:qFormat/>
    <w:uiPriority w:val="0"/>
    <w:rPr>
      <w:rFonts w:hint="eastAsia" w:ascii="宋体" w:hAnsi="宋体" w:eastAsia="宋体" w:cs="宋体"/>
      <w:b/>
      <w:color w:val="000000"/>
      <w:sz w:val="40"/>
      <w:szCs w:val="40"/>
      <w:u w:val="none"/>
    </w:rPr>
  </w:style>
  <w:style w:type="character" w:customStyle="1" w:styleId="366">
    <w:name w:val="正文首行缩进 2 Char"/>
    <w:basedOn w:val="98"/>
    <w:link w:val="46"/>
    <w:semiHidden/>
    <w:qFormat/>
    <w:uiPriority w:val="99"/>
    <w:rPr>
      <w:rFonts w:ascii="Calibri" w:hAnsi="Calibri" w:eastAsia="宋体" w:cs="黑体"/>
      <w:kern w:val="2"/>
      <w:sz w:val="21"/>
      <w:szCs w:val="24"/>
    </w:rPr>
  </w:style>
  <w:style w:type="paragraph" w:customStyle="1" w:styleId="367">
    <w:name w:val="5正文"/>
    <w:qFormat/>
    <w:uiPriority w:val="0"/>
    <w:pPr>
      <w:widowControl w:val="0"/>
      <w:adjustRightInd w:val="0"/>
      <w:snapToGrid w:val="0"/>
      <w:spacing w:line="500" w:lineRule="exact"/>
      <w:ind w:firstLine="200" w:firstLineChars="200"/>
    </w:pPr>
    <w:rPr>
      <w:rFonts w:ascii="宋体" w:hAnsi="Times New Roman" w:eastAsia="宋体" w:cs="Times New Roman"/>
      <w:sz w:val="24"/>
      <w:szCs w:val="24"/>
      <w:lang w:val="en-US" w:eastAsia="zh-CN" w:bidi="ar-SA"/>
    </w:rPr>
  </w:style>
  <w:style w:type="paragraph" w:customStyle="1" w:styleId="368">
    <w:name w:val="1)"/>
    <w:basedOn w:val="1"/>
    <w:qFormat/>
    <w:uiPriority w:val="99"/>
    <w:pPr>
      <w:widowControl/>
      <w:spacing w:line="400" w:lineRule="exact"/>
      <w:jc w:val="left"/>
    </w:pPr>
    <w:rPr>
      <w:rFonts w:ascii="宋体" w:hAnsi="宋体"/>
      <w:kern w:val="0"/>
      <w:sz w:val="24"/>
      <w:szCs w:val="20"/>
    </w:rPr>
  </w:style>
  <w:style w:type="paragraph" w:customStyle="1" w:styleId="369">
    <w:name w:val="WPSOffice手动目录 3"/>
    <w:qFormat/>
    <w:uiPriority w:val="0"/>
    <w:pPr>
      <w:ind w:left="400" w:leftChars="400"/>
    </w:pPr>
    <w:rPr>
      <w:rFonts w:ascii="Calibri" w:hAnsi="Calibri" w:eastAsia="宋体" w:cs="Times New Roman"/>
      <w:lang w:val="en-US" w:eastAsia="zh-CN" w:bidi="ar-SA"/>
    </w:rPr>
  </w:style>
  <w:style w:type="paragraph" w:customStyle="1" w:styleId="370">
    <w:name w:val="二级条标题"/>
    <w:basedOn w:val="371"/>
    <w:next w:val="324"/>
    <w:qFormat/>
    <w:uiPriority w:val="0"/>
    <w:pPr>
      <w:numPr>
        <w:ilvl w:val="3"/>
      </w:numPr>
      <w:outlineLvl w:val="3"/>
    </w:pPr>
  </w:style>
  <w:style w:type="paragraph" w:customStyle="1" w:styleId="371">
    <w:name w:val="一级条标题"/>
    <w:next w:val="324"/>
    <w:qFormat/>
    <w:uiPriority w:val="0"/>
    <w:pPr>
      <w:numPr>
        <w:ilvl w:val="2"/>
        <w:numId w:val="6"/>
      </w:numPr>
      <w:outlineLvl w:val="2"/>
    </w:pPr>
    <w:rPr>
      <w:rFonts w:ascii="Times New Roman" w:hAnsi="Times New Roman" w:eastAsia="黑体" w:cs="Times New Roman"/>
      <w:sz w:val="21"/>
      <w:lang w:val="en-US" w:eastAsia="zh-CN" w:bidi="ar-SA"/>
    </w:rPr>
  </w:style>
  <w:style w:type="paragraph" w:customStyle="1" w:styleId="372">
    <w:name w:val="三级条标题"/>
    <w:basedOn w:val="370"/>
    <w:next w:val="324"/>
    <w:qFormat/>
    <w:uiPriority w:val="0"/>
    <w:pPr>
      <w:numPr>
        <w:ilvl w:val="4"/>
      </w:numPr>
      <w:outlineLvl w:val="4"/>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15BA0-B0E3-4883-8F50-F98521765FD6}">
  <ds:schemaRefs/>
</ds:datastoreItem>
</file>

<file path=docProps/app.xml><?xml version="1.0" encoding="utf-8"?>
<Properties xmlns="http://schemas.openxmlformats.org/officeDocument/2006/extended-properties" xmlns:vt="http://schemas.openxmlformats.org/officeDocument/2006/docPropsVTypes">
  <Template>Normal</Template>
  <Company>WKZBHN</Company>
  <Pages>1</Pages>
  <Words>3585</Words>
  <Characters>20438</Characters>
  <Lines>170</Lines>
  <Paragraphs>47</Paragraphs>
  <TotalTime>8</TotalTime>
  <ScaleCrop>false</ScaleCrop>
  <LinksUpToDate>false</LinksUpToDate>
  <CharactersWithSpaces>23976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Administrator</cp:lastModifiedBy>
  <cp:lastPrinted>2021-05-28T06:31:00Z</cp:lastPrinted>
  <dcterms:modified xsi:type="dcterms:W3CDTF">2021-06-22T08:19:39Z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98586BCB19DB4CE9BA720FEE7BB15296</vt:lpwstr>
  </property>
</Properties>
</file>