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spacing w:line="360" w:lineRule="auto"/>
        <w:ind w:firstLine="422" w:firstLineChars="200"/>
        <w:jc w:val="center"/>
        <w:rPr>
          <w:rFonts w:asciiTheme="minorEastAsia" w:hAnsiTheme="minorEastAsia" w:eastAsiaTheme="minorEastAsia"/>
          <w:b/>
        </w:rPr>
      </w:pPr>
    </w:p>
    <w:p>
      <w:pPr>
        <w:pStyle w:val="25"/>
        <w:spacing w:line="360" w:lineRule="auto"/>
        <w:ind w:firstLine="1044" w:firstLineChars="200"/>
        <w:jc w:val="center"/>
        <w:rPr>
          <w:rFonts w:asciiTheme="minorEastAsia" w:hAnsiTheme="minorEastAsia" w:eastAsiaTheme="minorEastAsia"/>
          <w:b/>
          <w:bCs/>
          <w:sz w:val="52"/>
          <w:szCs w:val="52"/>
        </w:rPr>
      </w:pPr>
      <w:r>
        <w:rPr>
          <w:rFonts w:hint="eastAsia" w:asciiTheme="minorEastAsia" w:hAnsiTheme="minorEastAsia" w:eastAsiaTheme="minorEastAsia"/>
          <w:b/>
          <w:sz w:val="52"/>
          <w:szCs w:val="52"/>
        </w:rPr>
        <w:t>长沙市轨道交通运营有限公司</w:t>
      </w:r>
    </w:p>
    <w:p>
      <w:pPr>
        <w:pStyle w:val="25"/>
        <w:adjustRightInd w:val="0"/>
        <w:snapToGrid w:val="0"/>
        <w:spacing w:line="360" w:lineRule="auto"/>
        <w:ind w:firstLine="1044" w:firstLineChars="200"/>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自主竞争性谈判文件</w:t>
      </w:r>
    </w:p>
    <w:p>
      <w:pPr>
        <w:pStyle w:val="25"/>
        <w:adjustRightInd w:val="0"/>
        <w:snapToGrid w:val="0"/>
        <w:spacing w:before="161" w:beforeLines="50" w:line="360" w:lineRule="auto"/>
        <w:rPr>
          <w:rFonts w:asciiTheme="minorEastAsia" w:hAnsiTheme="minorEastAsia" w:eastAsiaTheme="minorEastAsia"/>
          <w:b/>
          <w:sz w:val="32"/>
          <w:szCs w:val="32"/>
        </w:rPr>
      </w:pPr>
    </w:p>
    <w:p>
      <w:pPr>
        <w:pStyle w:val="25"/>
        <w:adjustRightInd w:val="0"/>
        <w:snapToGrid w:val="0"/>
        <w:spacing w:line="360" w:lineRule="auto"/>
        <w:rPr>
          <w:rFonts w:asciiTheme="minorEastAsia" w:hAnsiTheme="minorEastAsia" w:eastAsiaTheme="minorEastAsia"/>
          <w:sz w:val="32"/>
          <w:szCs w:val="32"/>
        </w:rPr>
      </w:pPr>
    </w:p>
    <w:p>
      <w:pPr>
        <w:spacing w:line="360" w:lineRule="auto"/>
        <w:ind w:left="2249" w:hanging="2249" w:hangingChars="700"/>
        <w:jc w:val="left"/>
        <w:rPr>
          <w:rFonts w:hint="eastAsia" w:cs="Courier New" w:asciiTheme="minorEastAsia" w:hAnsiTheme="minorEastAsia" w:eastAsiaTheme="minorEastAsia"/>
          <w:b/>
          <w:sz w:val="32"/>
          <w:szCs w:val="21"/>
          <w:u w:val="single"/>
          <w:lang w:eastAsia="zh-CN"/>
        </w:rPr>
      </w:pPr>
      <w:r>
        <w:rPr>
          <w:rFonts w:hint="eastAsia" w:cs="Courier New" w:asciiTheme="minorEastAsia" w:hAnsiTheme="minorEastAsia" w:eastAsiaTheme="minorEastAsia"/>
          <w:b/>
          <w:sz w:val="32"/>
          <w:szCs w:val="21"/>
        </w:rPr>
        <w:t>谈判项目名称：</w:t>
      </w:r>
      <w:r>
        <w:rPr>
          <w:rFonts w:hint="eastAsia" w:cs="Courier New" w:asciiTheme="minorEastAsia" w:hAnsiTheme="minorEastAsia" w:eastAsiaTheme="minorEastAsia"/>
          <w:b/>
          <w:sz w:val="32"/>
          <w:szCs w:val="21"/>
          <w:u w:val="single"/>
        </w:rPr>
        <w:t>长沙市轨道交通1、2、5号线运营期2021年-2023年特种设备（起重机类）委外维修保养服务项目</w:t>
      </w:r>
      <w:r>
        <w:rPr>
          <w:rFonts w:hint="eastAsia" w:cs="Courier New" w:asciiTheme="minorEastAsia" w:hAnsiTheme="minorEastAsia" w:eastAsiaTheme="minorEastAsia"/>
          <w:b/>
          <w:sz w:val="32"/>
          <w:szCs w:val="21"/>
          <w:u w:val="single"/>
          <w:lang w:eastAsia="zh-CN"/>
        </w:rPr>
        <w:t>（第二次）</w:t>
      </w:r>
    </w:p>
    <w:p>
      <w:pPr>
        <w:pStyle w:val="45"/>
        <w:spacing w:line="360" w:lineRule="auto"/>
        <w:ind w:firstLine="0" w:firstLineChars="0"/>
        <w:rPr>
          <w:rFonts w:asciiTheme="minorEastAsia" w:hAnsiTheme="minorEastAsia" w:eastAsiaTheme="minorEastAsia"/>
        </w:rPr>
      </w:pPr>
    </w:p>
    <w:p>
      <w:pPr>
        <w:spacing w:line="360" w:lineRule="auto"/>
        <w:jc w:val="left"/>
        <w:rPr>
          <w:rFonts w:cs="Courier New" w:asciiTheme="minorEastAsia" w:hAnsiTheme="minorEastAsia" w:eastAsiaTheme="minorEastAsia"/>
          <w:b/>
          <w:sz w:val="32"/>
          <w:szCs w:val="21"/>
          <w:u w:val="single"/>
        </w:rPr>
      </w:pPr>
      <w:r>
        <w:rPr>
          <w:rFonts w:hint="eastAsia" w:cs="Courier New" w:asciiTheme="minorEastAsia" w:hAnsiTheme="minorEastAsia" w:eastAsiaTheme="minorEastAsia"/>
          <w:b/>
          <w:sz w:val="32"/>
          <w:szCs w:val="21"/>
        </w:rPr>
        <w:t>采购单位名称：</w:t>
      </w:r>
      <w:r>
        <w:rPr>
          <w:rFonts w:hint="eastAsia" w:cs="Courier New" w:asciiTheme="minorEastAsia" w:hAnsiTheme="minorEastAsia" w:eastAsiaTheme="minorEastAsia"/>
          <w:b/>
          <w:sz w:val="32"/>
          <w:szCs w:val="21"/>
          <w:u w:val="single"/>
        </w:rPr>
        <w:t>长沙市轨道交通运营有限公司</w:t>
      </w:r>
    </w:p>
    <w:p>
      <w:pPr>
        <w:pStyle w:val="45"/>
        <w:ind w:firstLine="2249" w:firstLineChars="700"/>
        <w:rPr>
          <w:rFonts w:cs="Courier New" w:asciiTheme="minorEastAsia" w:hAnsiTheme="minorEastAsia" w:eastAsiaTheme="minorEastAsia"/>
          <w:b/>
          <w:sz w:val="32"/>
          <w:szCs w:val="21"/>
          <w:u w:val="single"/>
        </w:rPr>
      </w:pPr>
      <w:r>
        <w:rPr>
          <w:rFonts w:hint="eastAsia" w:cs="Courier New" w:asciiTheme="minorEastAsia" w:hAnsiTheme="minorEastAsia" w:eastAsiaTheme="minorEastAsia"/>
          <w:b/>
          <w:sz w:val="32"/>
          <w:szCs w:val="21"/>
          <w:u w:val="single"/>
        </w:rPr>
        <w:t>长沙市轨道交通一号线建设发展有限公司</w:t>
      </w:r>
    </w:p>
    <w:p>
      <w:pPr>
        <w:pStyle w:val="45"/>
        <w:ind w:firstLine="2249" w:firstLineChars="700"/>
        <w:rPr>
          <w:rFonts w:cs="Courier New" w:asciiTheme="minorEastAsia" w:hAnsiTheme="minorEastAsia" w:eastAsiaTheme="minorEastAsia"/>
          <w:b/>
          <w:sz w:val="32"/>
          <w:szCs w:val="21"/>
          <w:u w:val="single"/>
        </w:rPr>
      </w:pPr>
      <w:r>
        <w:rPr>
          <w:rFonts w:hint="eastAsia" w:cs="Courier New" w:asciiTheme="minorEastAsia" w:hAnsiTheme="minorEastAsia" w:eastAsiaTheme="minorEastAsia"/>
          <w:b/>
          <w:sz w:val="32"/>
          <w:szCs w:val="21"/>
          <w:u w:val="single"/>
        </w:rPr>
        <w:t>长沙市轨道交通五号线建设发展有限公司</w:t>
      </w:r>
    </w:p>
    <w:p>
      <w:pPr>
        <w:spacing w:line="360" w:lineRule="auto"/>
        <w:ind w:firstLine="2249" w:firstLineChars="700"/>
        <w:jc w:val="left"/>
        <w:rPr>
          <w:rFonts w:cs="Courier New" w:asciiTheme="minorEastAsia" w:hAnsiTheme="minorEastAsia" w:eastAsiaTheme="minorEastAsia"/>
          <w:b/>
          <w:sz w:val="32"/>
          <w:szCs w:val="21"/>
          <w:u w:val="single"/>
        </w:rPr>
      </w:pPr>
    </w:p>
    <w:p>
      <w:pPr>
        <w:pStyle w:val="45"/>
        <w:spacing w:line="360" w:lineRule="auto"/>
        <w:ind w:firstLine="0" w:firstLineChars="0"/>
        <w:rPr>
          <w:rFonts w:asciiTheme="minorEastAsia" w:hAnsiTheme="minorEastAsia" w:eastAsiaTheme="minorEastAsia"/>
        </w:rPr>
      </w:pPr>
    </w:p>
    <w:p>
      <w:pPr>
        <w:spacing w:line="360" w:lineRule="auto"/>
        <w:jc w:val="left"/>
        <w:rPr>
          <w:rFonts w:cs="Courier New" w:asciiTheme="minorEastAsia" w:hAnsiTheme="minorEastAsia" w:eastAsiaTheme="minorEastAsia"/>
          <w:b/>
          <w:sz w:val="32"/>
          <w:szCs w:val="21"/>
          <w:u w:val="single"/>
        </w:rPr>
      </w:pPr>
      <w:r>
        <w:rPr>
          <w:rFonts w:hint="eastAsia" w:cs="Courier New" w:asciiTheme="minorEastAsia" w:hAnsiTheme="minorEastAsia" w:eastAsiaTheme="minorEastAsia"/>
          <w:b/>
          <w:sz w:val="32"/>
          <w:szCs w:val="21"/>
        </w:rPr>
        <w:t>谈判项目编号：</w:t>
      </w:r>
      <w:r>
        <w:rPr>
          <w:rFonts w:hint="eastAsia" w:cs="Courier New" w:asciiTheme="minorEastAsia" w:hAnsiTheme="minorEastAsia" w:eastAsiaTheme="minorEastAsia"/>
          <w:b/>
          <w:sz w:val="32"/>
          <w:szCs w:val="21"/>
          <w:u w:val="single"/>
        </w:rPr>
        <w:t>长轨运服采【2021】002号</w:t>
      </w:r>
    </w:p>
    <w:p>
      <w:pPr>
        <w:pStyle w:val="25"/>
        <w:adjustRightInd w:val="0"/>
        <w:snapToGrid w:val="0"/>
        <w:spacing w:line="360" w:lineRule="auto"/>
        <w:rPr>
          <w:rFonts w:asciiTheme="minorEastAsia" w:hAnsiTheme="minorEastAsia" w:eastAsiaTheme="minorEastAsia"/>
          <w:b/>
          <w:sz w:val="32"/>
        </w:rPr>
      </w:pPr>
    </w:p>
    <w:p>
      <w:pPr>
        <w:pStyle w:val="25"/>
        <w:adjustRightInd w:val="0"/>
        <w:snapToGrid w:val="0"/>
        <w:spacing w:line="360" w:lineRule="auto"/>
        <w:rPr>
          <w:rFonts w:asciiTheme="minorEastAsia" w:hAnsiTheme="minorEastAsia" w:eastAsiaTheme="minorEastAsia"/>
          <w:b/>
          <w:sz w:val="32"/>
        </w:rPr>
      </w:pPr>
    </w:p>
    <w:p>
      <w:pPr>
        <w:pStyle w:val="25"/>
        <w:adjustRightInd w:val="0"/>
        <w:snapToGrid w:val="0"/>
        <w:spacing w:line="360" w:lineRule="auto"/>
        <w:rPr>
          <w:rFonts w:asciiTheme="minorEastAsia" w:hAnsiTheme="minorEastAsia" w:eastAsiaTheme="minorEastAsia"/>
          <w:b/>
          <w:sz w:val="32"/>
        </w:rPr>
      </w:pPr>
    </w:p>
    <w:p>
      <w:pPr>
        <w:pStyle w:val="25"/>
        <w:adjustRightInd w:val="0"/>
        <w:snapToGrid w:val="0"/>
        <w:spacing w:line="360" w:lineRule="auto"/>
        <w:ind w:firstLine="643" w:firstLineChars="200"/>
        <w:jc w:val="center"/>
        <w:rPr>
          <w:rFonts w:asciiTheme="minorEastAsia" w:hAnsiTheme="minorEastAsia" w:eastAsiaTheme="minorEastAsia"/>
          <w:b/>
          <w:sz w:val="32"/>
        </w:rPr>
      </w:pPr>
      <w:r>
        <w:rPr>
          <w:rFonts w:hint="eastAsia" w:asciiTheme="minorEastAsia" w:hAnsiTheme="minorEastAsia" w:eastAsiaTheme="minorEastAsia"/>
          <w:b/>
          <w:sz w:val="32"/>
        </w:rPr>
        <w:t>二〇二一年</w:t>
      </w:r>
      <w:r>
        <w:rPr>
          <w:rFonts w:hint="eastAsia" w:asciiTheme="minorEastAsia" w:hAnsiTheme="minorEastAsia" w:eastAsiaTheme="minorEastAsia"/>
          <w:b/>
          <w:sz w:val="32"/>
          <w:lang w:eastAsia="zh-CN"/>
        </w:rPr>
        <w:t>五</w:t>
      </w:r>
      <w:r>
        <w:rPr>
          <w:rFonts w:hint="eastAsia" w:asciiTheme="minorEastAsia" w:hAnsiTheme="minorEastAsia" w:eastAsiaTheme="minorEastAsia"/>
          <w:b/>
          <w:sz w:val="32"/>
        </w:rPr>
        <w:t>月</w:t>
      </w:r>
    </w:p>
    <w:p>
      <w:pPr>
        <w:spacing w:line="360" w:lineRule="auto"/>
        <w:ind w:firstLine="643" w:firstLineChars="200"/>
        <w:jc w:val="center"/>
        <w:rPr>
          <w:rFonts w:asciiTheme="minorEastAsia" w:hAnsiTheme="minorEastAsia" w:eastAsiaTheme="minorEastAsia"/>
          <w:b/>
          <w:bCs/>
          <w:sz w:val="32"/>
          <w:szCs w:val="32"/>
        </w:rPr>
        <w:sectPr>
          <w:pgSz w:w="12240" w:h="15840"/>
          <w:pgMar w:top="1440" w:right="1800" w:bottom="1440" w:left="1800" w:header="720" w:footer="720" w:gutter="0"/>
          <w:pgNumType w:start="1"/>
          <w:cols w:space="720" w:num="1"/>
          <w:titlePg/>
          <w:docGrid w:type="lines" w:linePitch="323" w:charSpace="0"/>
        </w:sectPr>
      </w:pPr>
    </w:p>
    <w:p>
      <w:pPr>
        <w:spacing w:line="360" w:lineRule="auto"/>
        <w:ind w:firstLine="643" w:firstLineChars="200"/>
        <w:jc w:val="center"/>
        <w:rPr>
          <w:rFonts w:asciiTheme="minorEastAsia" w:hAnsiTheme="minorEastAsia" w:eastAsiaTheme="minorEastAsia"/>
          <w:b/>
          <w:bCs/>
          <w:sz w:val="32"/>
          <w:szCs w:val="32"/>
        </w:rPr>
      </w:pPr>
      <w:r>
        <w:rPr>
          <w:rFonts w:asciiTheme="minorEastAsia" w:hAnsiTheme="minorEastAsia" w:eastAsiaTheme="minorEastAsia"/>
          <w:b/>
          <w:bCs/>
          <w:sz w:val="32"/>
          <w:szCs w:val="32"/>
        </w:rPr>
        <w:t>目录</w:t>
      </w:r>
    </w:p>
    <w:p>
      <w:pPr>
        <w:pStyle w:val="32"/>
        <w:tabs>
          <w:tab w:val="right" w:leader="dot" w:pos="9972"/>
        </w:tabs>
        <w:spacing w:line="360" w:lineRule="auto"/>
        <w:ind w:firstLine="420" w:firstLineChars="200"/>
        <w:jc w:val="center"/>
        <w:rPr>
          <w:rFonts w:asciiTheme="minorEastAsia" w:hAnsiTheme="minorEastAsia" w:eastAsiaTheme="minorEastAsia"/>
        </w:rPr>
      </w:pPr>
    </w:p>
    <w:p>
      <w:pPr>
        <w:pStyle w:val="32"/>
        <w:tabs>
          <w:tab w:val="right" w:leader="dot" w:pos="8640"/>
        </w:tabs>
      </w:pP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TOC \o "1-3" \h \z \u </w:instrText>
      </w:r>
      <w:r>
        <w:rPr>
          <w:rFonts w:hint="eastAsia" w:cs="宋体" w:asciiTheme="minorEastAsia" w:hAnsiTheme="minorEastAsia" w:eastAsiaTheme="minorEastAsia"/>
        </w:rPr>
        <w:fldChar w:fldCharType="separate"/>
      </w:r>
      <w:r>
        <w:fldChar w:fldCharType="begin"/>
      </w:r>
      <w:r>
        <w:instrText xml:space="preserve"> HYPERLINK \l "_Toc2735" </w:instrText>
      </w:r>
      <w:r>
        <w:fldChar w:fldCharType="separate"/>
      </w:r>
      <w:r>
        <w:rPr>
          <w:rFonts w:hint="eastAsia" w:cs="宋体" w:asciiTheme="minorEastAsia" w:hAnsiTheme="minorEastAsia" w:eastAsiaTheme="minorEastAsia"/>
          <w:szCs w:val="32"/>
        </w:rPr>
        <w:t>第一章  谈判邀请公告</w:t>
      </w:r>
      <w:r>
        <w:tab/>
      </w:r>
      <w:r>
        <w:fldChar w:fldCharType="end"/>
      </w:r>
    </w:p>
    <w:p>
      <w:pPr>
        <w:pStyle w:val="37"/>
        <w:tabs>
          <w:tab w:val="right" w:leader="dot" w:pos="8640"/>
        </w:tabs>
      </w:pPr>
      <w:r>
        <w:fldChar w:fldCharType="begin"/>
      </w:r>
      <w:r>
        <w:instrText xml:space="preserve"> HYPERLINK \l "_Toc26391" </w:instrText>
      </w:r>
      <w:r>
        <w:fldChar w:fldCharType="separate"/>
      </w:r>
      <w:r>
        <w:rPr>
          <w:rFonts w:hint="eastAsia" w:asciiTheme="minorEastAsia" w:hAnsiTheme="minorEastAsia" w:eastAsiaTheme="minorEastAsia"/>
          <w:iCs/>
        </w:rPr>
        <w:t>一、项目概况</w:t>
      </w:r>
      <w:r>
        <w:tab/>
      </w:r>
      <w:r>
        <w:fldChar w:fldCharType="end"/>
      </w:r>
    </w:p>
    <w:p>
      <w:pPr>
        <w:pStyle w:val="37"/>
        <w:tabs>
          <w:tab w:val="right" w:leader="dot" w:pos="8640"/>
        </w:tabs>
      </w:pPr>
      <w:r>
        <w:fldChar w:fldCharType="begin"/>
      </w:r>
      <w:r>
        <w:instrText xml:space="preserve"> HYPERLINK \l "_Toc15560" </w:instrText>
      </w:r>
      <w:r>
        <w:fldChar w:fldCharType="separate"/>
      </w:r>
      <w:r>
        <w:rPr>
          <w:rFonts w:hint="eastAsia" w:asciiTheme="minorEastAsia" w:hAnsiTheme="minorEastAsia" w:eastAsiaTheme="minorEastAsia"/>
          <w:iCs/>
        </w:rPr>
        <w:t>二、资格要求</w:t>
      </w:r>
      <w:r>
        <w:tab/>
      </w:r>
      <w:r>
        <w:fldChar w:fldCharType="end"/>
      </w:r>
    </w:p>
    <w:p>
      <w:pPr>
        <w:pStyle w:val="37"/>
        <w:tabs>
          <w:tab w:val="right" w:leader="dot" w:pos="8640"/>
        </w:tabs>
      </w:pPr>
      <w:r>
        <w:fldChar w:fldCharType="begin"/>
      </w:r>
      <w:r>
        <w:instrText xml:space="preserve"> HYPERLINK \l "_Toc879" </w:instrText>
      </w:r>
      <w:r>
        <w:fldChar w:fldCharType="separate"/>
      </w:r>
      <w:r>
        <w:rPr>
          <w:rFonts w:hint="eastAsia" w:asciiTheme="minorEastAsia" w:hAnsiTheme="minorEastAsia" w:eastAsiaTheme="minorEastAsia"/>
          <w:iCs/>
        </w:rPr>
        <w:t>三、评审办法</w:t>
      </w:r>
      <w:r>
        <w:tab/>
      </w:r>
      <w:r>
        <w:fldChar w:fldCharType="end"/>
      </w:r>
    </w:p>
    <w:p>
      <w:pPr>
        <w:pStyle w:val="37"/>
        <w:tabs>
          <w:tab w:val="right" w:leader="dot" w:pos="8640"/>
        </w:tabs>
      </w:pPr>
      <w:r>
        <w:fldChar w:fldCharType="begin"/>
      </w:r>
      <w:r>
        <w:instrText xml:space="preserve"> HYPERLINK \l "_Toc32507" </w:instrText>
      </w:r>
      <w:r>
        <w:fldChar w:fldCharType="separate"/>
      </w:r>
      <w:r>
        <w:rPr>
          <w:rFonts w:hint="eastAsia" w:asciiTheme="minorEastAsia" w:hAnsiTheme="minorEastAsia" w:eastAsiaTheme="minorEastAsia"/>
          <w:iCs/>
        </w:rPr>
        <w:t>四、自主竞争性谈判文件的获取</w:t>
      </w:r>
      <w:r>
        <w:tab/>
      </w:r>
      <w:r>
        <w:fldChar w:fldCharType="end"/>
      </w:r>
    </w:p>
    <w:p>
      <w:pPr>
        <w:pStyle w:val="37"/>
        <w:tabs>
          <w:tab w:val="right" w:leader="dot" w:pos="8640"/>
        </w:tabs>
      </w:pPr>
      <w:r>
        <w:fldChar w:fldCharType="begin"/>
      </w:r>
      <w:r>
        <w:instrText xml:space="preserve"> HYPERLINK \l "_Toc27070" </w:instrText>
      </w:r>
      <w:r>
        <w:fldChar w:fldCharType="separate"/>
      </w:r>
      <w:r>
        <w:rPr>
          <w:rFonts w:hint="eastAsia" w:asciiTheme="minorEastAsia" w:hAnsiTheme="minorEastAsia" w:eastAsiaTheme="minorEastAsia"/>
          <w:iCs/>
        </w:rPr>
        <w:t>五、谈判文件的澄清与答疑</w:t>
      </w:r>
      <w:r>
        <w:tab/>
      </w:r>
      <w:r>
        <w:fldChar w:fldCharType="end"/>
      </w:r>
    </w:p>
    <w:p>
      <w:pPr>
        <w:pStyle w:val="37"/>
        <w:tabs>
          <w:tab w:val="right" w:leader="dot" w:pos="8640"/>
        </w:tabs>
      </w:pPr>
      <w:r>
        <w:fldChar w:fldCharType="begin"/>
      </w:r>
      <w:r>
        <w:instrText xml:space="preserve"> HYPERLINK \l "_Toc28010" </w:instrText>
      </w:r>
      <w:r>
        <w:fldChar w:fldCharType="separate"/>
      </w:r>
      <w:r>
        <w:rPr>
          <w:rFonts w:hint="eastAsia" w:asciiTheme="minorEastAsia" w:hAnsiTheme="minorEastAsia" w:eastAsiaTheme="minorEastAsia"/>
          <w:iCs/>
        </w:rPr>
        <w:t>六、响应文件的递交</w:t>
      </w:r>
      <w:r>
        <w:tab/>
      </w:r>
      <w:r>
        <w:fldChar w:fldCharType="end"/>
      </w:r>
    </w:p>
    <w:p>
      <w:pPr>
        <w:pStyle w:val="37"/>
        <w:tabs>
          <w:tab w:val="right" w:leader="dot" w:pos="8640"/>
        </w:tabs>
      </w:pPr>
      <w:r>
        <w:fldChar w:fldCharType="begin"/>
      </w:r>
      <w:r>
        <w:instrText xml:space="preserve"> HYPERLINK \l "_Toc16891" </w:instrText>
      </w:r>
      <w:r>
        <w:fldChar w:fldCharType="separate"/>
      </w:r>
      <w:r>
        <w:rPr>
          <w:rFonts w:hint="eastAsia" w:asciiTheme="minorEastAsia" w:hAnsiTheme="minorEastAsia" w:eastAsiaTheme="minorEastAsia"/>
          <w:iCs/>
        </w:rPr>
        <w:t>七、采购单位及其委托的采购代理机构的名称、地址和联系方法</w:t>
      </w:r>
      <w:r>
        <w:tab/>
      </w:r>
      <w:r>
        <w:fldChar w:fldCharType="end"/>
      </w:r>
    </w:p>
    <w:p>
      <w:pPr>
        <w:pStyle w:val="32"/>
        <w:tabs>
          <w:tab w:val="right" w:leader="dot" w:pos="8640"/>
        </w:tabs>
      </w:pPr>
      <w:r>
        <w:fldChar w:fldCharType="begin"/>
      </w:r>
      <w:r>
        <w:instrText xml:space="preserve"> HYPERLINK \l "_Toc25405" </w:instrText>
      </w:r>
      <w:r>
        <w:fldChar w:fldCharType="separate"/>
      </w:r>
      <w:r>
        <w:rPr>
          <w:rFonts w:hint="eastAsia" w:cs="宋体" w:asciiTheme="minorEastAsia" w:hAnsiTheme="minorEastAsia" w:eastAsiaTheme="minorEastAsia"/>
          <w:szCs w:val="32"/>
        </w:rPr>
        <w:t>第二章  谈判须知</w:t>
      </w:r>
      <w:r>
        <w:tab/>
      </w:r>
      <w:r>
        <w:fldChar w:fldCharType="end"/>
      </w:r>
    </w:p>
    <w:p>
      <w:pPr>
        <w:pStyle w:val="37"/>
        <w:tabs>
          <w:tab w:val="right" w:leader="dot" w:pos="8640"/>
        </w:tabs>
      </w:pPr>
      <w:r>
        <w:fldChar w:fldCharType="begin"/>
      </w:r>
      <w:r>
        <w:instrText xml:space="preserve"> HYPERLINK \l "_Toc10631" </w:instrText>
      </w:r>
      <w:r>
        <w:fldChar w:fldCharType="separate"/>
      </w:r>
      <w:r>
        <w:rPr>
          <w:rFonts w:hint="eastAsia" w:cs="宋体" w:asciiTheme="minorEastAsia" w:hAnsiTheme="minorEastAsia" w:eastAsiaTheme="minorEastAsia"/>
        </w:rPr>
        <w:t>谈判须知前附表</w:t>
      </w:r>
      <w:r>
        <w:tab/>
      </w:r>
      <w:r>
        <w:fldChar w:fldCharType="end"/>
      </w:r>
    </w:p>
    <w:p>
      <w:pPr>
        <w:pStyle w:val="37"/>
        <w:tabs>
          <w:tab w:val="right" w:leader="dot" w:pos="8640"/>
        </w:tabs>
      </w:pPr>
      <w:r>
        <w:fldChar w:fldCharType="begin"/>
      </w:r>
      <w:r>
        <w:instrText xml:space="preserve"> HYPERLINK \l "_Toc934" </w:instrText>
      </w:r>
      <w:r>
        <w:fldChar w:fldCharType="separate"/>
      </w:r>
      <w:r>
        <w:rPr>
          <w:rFonts w:hint="eastAsia" w:cs="宋体" w:asciiTheme="minorEastAsia" w:hAnsiTheme="minorEastAsia" w:eastAsiaTheme="minorEastAsia"/>
        </w:rPr>
        <w:t>谈判须知正文</w:t>
      </w:r>
      <w:r>
        <w:tab/>
      </w:r>
      <w:r>
        <w:fldChar w:fldCharType="end"/>
      </w:r>
    </w:p>
    <w:p>
      <w:pPr>
        <w:pStyle w:val="37"/>
        <w:tabs>
          <w:tab w:val="right" w:leader="dot" w:pos="8640"/>
        </w:tabs>
      </w:pPr>
      <w:r>
        <w:fldChar w:fldCharType="begin"/>
      </w:r>
      <w:r>
        <w:instrText xml:space="preserve"> HYPERLINK \l "_Toc11459" </w:instrText>
      </w:r>
      <w:r>
        <w:fldChar w:fldCharType="separate"/>
      </w:r>
      <w:r>
        <w:rPr>
          <w:rFonts w:hint="eastAsia" w:asciiTheme="minorEastAsia" w:hAnsiTheme="minorEastAsia" w:eastAsiaTheme="minorEastAsia"/>
          <w:iCs/>
        </w:rPr>
        <w:t>一、说明</w:t>
      </w:r>
      <w:r>
        <w:tab/>
      </w:r>
      <w:r>
        <w:fldChar w:fldCharType="end"/>
      </w:r>
    </w:p>
    <w:p>
      <w:pPr>
        <w:pStyle w:val="37"/>
        <w:tabs>
          <w:tab w:val="right" w:leader="dot" w:pos="8640"/>
        </w:tabs>
      </w:pPr>
      <w:r>
        <w:fldChar w:fldCharType="begin"/>
      </w:r>
      <w:r>
        <w:instrText xml:space="preserve"> HYPERLINK \l "_Toc4016" </w:instrText>
      </w:r>
      <w:r>
        <w:fldChar w:fldCharType="separate"/>
      </w:r>
      <w:r>
        <w:rPr>
          <w:rFonts w:hint="eastAsia" w:asciiTheme="minorEastAsia" w:hAnsiTheme="minorEastAsia" w:eastAsiaTheme="minorEastAsia"/>
          <w:iCs/>
        </w:rPr>
        <w:t>二、谈判文件</w:t>
      </w:r>
      <w:r>
        <w:tab/>
      </w:r>
      <w:r>
        <w:fldChar w:fldCharType="end"/>
      </w:r>
    </w:p>
    <w:p>
      <w:pPr>
        <w:pStyle w:val="37"/>
        <w:tabs>
          <w:tab w:val="right" w:leader="dot" w:pos="8640"/>
        </w:tabs>
      </w:pPr>
      <w:r>
        <w:fldChar w:fldCharType="begin"/>
      </w:r>
      <w:r>
        <w:instrText xml:space="preserve"> HYPERLINK \l "_Toc32270" </w:instrText>
      </w:r>
      <w:r>
        <w:fldChar w:fldCharType="separate"/>
      </w:r>
      <w:r>
        <w:rPr>
          <w:rFonts w:hint="eastAsia" w:asciiTheme="minorEastAsia" w:hAnsiTheme="minorEastAsia" w:eastAsiaTheme="minorEastAsia"/>
          <w:iCs/>
        </w:rPr>
        <w:t>三、响应文件</w:t>
      </w:r>
      <w:r>
        <w:tab/>
      </w:r>
      <w:r>
        <w:fldChar w:fldCharType="end"/>
      </w:r>
    </w:p>
    <w:p>
      <w:pPr>
        <w:pStyle w:val="37"/>
        <w:tabs>
          <w:tab w:val="right" w:leader="dot" w:pos="8640"/>
        </w:tabs>
      </w:pPr>
      <w:r>
        <w:fldChar w:fldCharType="begin"/>
      </w:r>
      <w:r>
        <w:instrText xml:space="preserve"> HYPERLINK \l "_Toc6070" </w:instrText>
      </w:r>
      <w:r>
        <w:fldChar w:fldCharType="separate"/>
      </w:r>
      <w:r>
        <w:rPr>
          <w:rFonts w:hint="eastAsia" w:asciiTheme="minorEastAsia" w:hAnsiTheme="minorEastAsia" w:eastAsiaTheme="minorEastAsia"/>
          <w:iCs/>
        </w:rPr>
        <w:t>四、响应文件的递交</w:t>
      </w:r>
      <w:r>
        <w:tab/>
      </w:r>
      <w:r>
        <w:fldChar w:fldCharType="end"/>
      </w:r>
    </w:p>
    <w:p>
      <w:pPr>
        <w:pStyle w:val="37"/>
        <w:tabs>
          <w:tab w:val="right" w:leader="dot" w:pos="8640"/>
        </w:tabs>
      </w:pPr>
      <w:r>
        <w:fldChar w:fldCharType="begin"/>
      </w:r>
      <w:r>
        <w:instrText xml:space="preserve"> HYPERLINK \l "_Toc24040" </w:instrText>
      </w:r>
      <w:r>
        <w:fldChar w:fldCharType="separate"/>
      </w:r>
      <w:r>
        <w:rPr>
          <w:rFonts w:hint="eastAsia" w:asciiTheme="minorEastAsia" w:hAnsiTheme="minorEastAsia" w:eastAsiaTheme="minorEastAsia"/>
          <w:iCs/>
        </w:rPr>
        <w:t>五、响应文件的评审</w:t>
      </w:r>
      <w:r>
        <w:tab/>
      </w:r>
      <w:r>
        <w:fldChar w:fldCharType="end"/>
      </w:r>
    </w:p>
    <w:p>
      <w:pPr>
        <w:pStyle w:val="37"/>
        <w:tabs>
          <w:tab w:val="right" w:leader="dot" w:pos="8640"/>
        </w:tabs>
      </w:pPr>
      <w:r>
        <w:fldChar w:fldCharType="begin"/>
      </w:r>
      <w:r>
        <w:instrText xml:space="preserve"> HYPERLINK \l "_Toc19842" </w:instrText>
      </w:r>
      <w:r>
        <w:fldChar w:fldCharType="separate"/>
      </w:r>
      <w:r>
        <w:rPr>
          <w:rFonts w:hint="eastAsia" w:asciiTheme="minorEastAsia" w:hAnsiTheme="minorEastAsia" w:eastAsiaTheme="minorEastAsia"/>
          <w:iCs/>
        </w:rPr>
        <w:t>六、响应文件的澄清、说明及补正</w:t>
      </w:r>
      <w:r>
        <w:tab/>
      </w:r>
      <w:r>
        <w:fldChar w:fldCharType="end"/>
      </w:r>
    </w:p>
    <w:p>
      <w:pPr>
        <w:pStyle w:val="37"/>
        <w:tabs>
          <w:tab w:val="right" w:leader="dot" w:pos="8640"/>
        </w:tabs>
      </w:pPr>
      <w:r>
        <w:fldChar w:fldCharType="begin"/>
      </w:r>
      <w:r>
        <w:instrText xml:space="preserve"> HYPERLINK \l "_Toc1303" </w:instrText>
      </w:r>
      <w:r>
        <w:fldChar w:fldCharType="separate"/>
      </w:r>
      <w:r>
        <w:rPr>
          <w:rFonts w:hint="eastAsia" w:asciiTheme="minorEastAsia" w:hAnsiTheme="minorEastAsia" w:eastAsiaTheme="minorEastAsia"/>
          <w:iCs/>
        </w:rPr>
        <w:t>七、中选结果与授予合同</w:t>
      </w:r>
      <w:r>
        <w:tab/>
      </w:r>
      <w:r>
        <w:fldChar w:fldCharType="end"/>
      </w:r>
    </w:p>
    <w:p>
      <w:pPr>
        <w:pStyle w:val="37"/>
        <w:tabs>
          <w:tab w:val="right" w:leader="dot" w:pos="8640"/>
        </w:tabs>
      </w:pPr>
      <w:r>
        <w:fldChar w:fldCharType="begin"/>
      </w:r>
      <w:r>
        <w:instrText xml:space="preserve"> HYPERLINK \l "_Toc9305" </w:instrText>
      </w:r>
      <w:r>
        <w:fldChar w:fldCharType="separate"/>
      </w:r>
      <w:r>
        <w:rPr>
          <w:rFonts w:hint="eastAsia" w:cs="宋体" w:asciiTheme="minorEastAsia" w:hAnsiTheme="minorEastAsia" w:eastAsiaTheme="minorEastAsia"/>
          <w:szCs w:val="21"/>
        </w:rPr>
        <w:t>八、</w:t>
      </w:r>
      <w:r>
        <w:rPr>
          <w:rFonts w:hint="eastAsia" w:asciiTheme="minorEastAsia" w:hAnsiTheme="minorEastAsia" w:eastAsiaTheme="minorEastAsia"/>
          <w:iCs/>
        </w:rPr>
        <w:t>其他</w:t>
      </w:r>
      <w:r>
        <w:tab/>
      </w:r>
      <w:r>
        <w:fldChar w:fldCharType="end"/>
      </w:r>
    </w:p>
    <w:p>
      <w:pPr>
        <w:pStyle w:val="32"/>
        <w:tabs>
          <w:tab w:val="right" w:leader="dot" w:pos="8640"/>
        </w:tabs>
      </w:pPr>
      <w:r>
        <w:fldChar w:fldCharType="begin"/>
      </w:r>
      <w:r>
        <w:instrText xml:space="preserve"> HYPERLINK \l "_Toc10493" </w:instrText>
      </w:r>
      <w:r>
        <w:fldChar w:fldCharType="separate"/>
      </w:r>
      <w:r>
        <w:rPr>
          <w:rFonts w:hint="eastAsia" w:cs="宋体" w:asciiTheme="minorEastAsia" w:hAnsiTheme="minorEastAsia" w:eastAsiaTheme="minorEastAsia"/>
          <w:szCs w:val="32"/>
        </w:rPr>
        <w:t>第三章 评审办法及标准</w:t>
      </w:r>
      <w:r>
        <w:tab/>
      </w:r>
      <w:r>
        <w:fldChar w:fldCharType="end"/>
      </w:r>
    </w:p>
    <w:p>
      <w:pPr>
        <w:pStyle w:val="37"/>
        <w:tabs>
          <w:tab w:val="right" w:leader="dot" w:pos="8640"/>
        </w:tabs>
      </w:pPr>
      <w:r>
        <w:fldChar w:fldCharType="begin"/>
      </w:r>
      <w:r>
        <w:instrText xml:space="preserve"> HYPERLINK \l "_Toc5767" </w:instrText>
      </w:r>
      <w:r>
        <w:fldChar w:fldCharType="separate"/>
      </w:r>
      <w:r>
        <w:rPr>
          <w:rFonts w:hint="eastAsia" w:cs="宋体" w:asciiTheme="minorEastAsia" w:hAnsiTheme="minorEastAsia" w:eastAsiaTheme="minorEastAsia"/>
          <w:szCs w:val="21"/>
        </w:rPr>
        <w:t>一、评审办法</w:t>
      </w:r>
      <w:r>
        <w:tab/>
      </w:r>
      <w:r>
        <w:fldChar w:fldCharType="end"/>
      </w:r>
    </w:p>
    <w:p>
      <w:pPr>
        <w:pStyle w:val="37"/>
        <w:tabs>
          <w:tab w:val="right" w:leader="dot" w:pos="8640"/>
        </w:tabs>
      </w:pPr>
      <w:r>
        <w:fldChar w:fldCharType="begin"/>
      </w:r>
      <w:r>
        <w:instrText xml:space="preserve"> HYPERLINK \l "_Toc13176" </w:instrText>
      </w:r>
      <w:r>
        <w:fldChar w:fldCharType="separate"/>
      </w:r>
      <w:r>
        <w:rPr>
          <w:rFonts w:hint="eastAsia" w:cs="宋体" w:asciiTheme="minorEastAsia" w:hAnsiTheme="minorEastAsia" w:eastAsiaTheme="minorEastAsia"/>
          <w:szCs w:val="21"/>
        </w:rPr>
        <w:t>二、谈判程序</w:t>
      </w:r>
      <w:r>
        <w:tab/>
      </w:r>
      <w:r>
        <w:fldChar w:fldCharType="end"/>
      </w:r>
    </w:p>
    <w:p>
      <w:pPr>
        <w:pStyle w:val="37"/>
        <w:tabs>
          <w:tab w:val="right" w:leader="dot" w:pos="8640"/>
        </w:tabs>
      </w:pPr>
      <w:r>
        <w:fldChar w:fldCharType="begin"/>
      </w:r>
      <w:r>
        <w:instrText xml:space="preserve"> HYPERLINK \l "_Toc25638" </w:instrText>
      </w:r>
      <w:r>
        <w:fldChar w:fldCharType="separate"/>
      </w:r>
      <w:r>
        <w:rPr>
          <w:rFonts w:hint="eastAsia" w:cs="宋体" w:asciiTheme="minorEastAsia" w:hAnsiTheme="minorEastAsia" w:eastAsiaTheme="minorEastAsia"/>
          <w:szCs w:val="21"/>
        </w:rPr>
        <w:t>三、谈判验证阶段</w:t>
      </w:r>
      <w:r>
        <w:tab/>
      </w:r>
      <w:r>
        <w:fldChar w:fldCharType="end"/>
      </w:r>
    </w:p>
    <w:p>
      <w:pPr>
        <w:pStyle w:val="37"/>
        <w:tabs>
          <w:tab w:val="right" w:leader="dot" w:pos="8640"/>
        </w:tabs>
      </w:pPr>
      <w:r>
        <w:fldChar w:fldCharType="begin"/>
      </w:r>
      <w:r>
        <w:instrText xml:space="preserve"> HYPERLINK \l "_Toc21262" </w:instrText>
      </w:r>
      <w:r>
        <w:fldChar w:fldCharType="separate"/>
      </w:r>
      <w:r>
        <w:rPr>
          <w:rFonts w:hint="eastAsia" w:cs="宋体" w:asciiTheme="minorEastAsia" w:hAnsiTheme="minorEastAsia" w:eastAsiaTheme="minorEastAsia"/>
          <w:szCs w:val="21"/>
        </w:rPr>
        <w:t>四、谈判评审阶段</w:t>
      </w:r>
      <w:r>
        <w:tab/>
      </w:r>
      <w:r>
        <w:fldChar w:fldCharType="end"/>
      </w:r>
    </w:p>
    <w:p>
      <w:pPr>
        <w:pStyle w:val="32"/>
        <w:tabs>
          <w:tab w:val="right" w:leader="dot" w:pos="8640"/>
        </w:tabs>
      </w:pPr>
      <w:r>
        <w:fldChar w:fldCharType="begin"/>
      </w:r>
      <w:r>
        <w:instrText xml:space="preserve"> HYPERLINK \l "_Toc32047" </w:instrText>
      </w:r>
      <w:r>
        <w:fldChar w:fldCharType="separate"/>
      </w:r>
      <w:r>
        <w:rPr>
          <w:rFonts w:hint="eastAsia" w:cs="宋体" w:asciiTheme="minorEastAsia" w:hAnsiTheme="minorEastAsia" w:eastAsiaTheme="minorEastAsia"/>
          <w:szCs w:val="32"/>
        </w:rPr>
        <w:t>第四章 用户需求书（另册）</w:t>
      </w:r>
      <w:r>
        <w:tab/>
      </w:r>
      <w:r>
        <w:fldChar w:fldCharType="end"/>
      </w:r>
    </w:p>
    <w:p>
      <w:pPr>
        <w:pStyle w:val="32"/>
        <w:tabs>
          <w:tab w:val="right" w:leader="dot" w:pos="8640"/>
        </w:tabs>
      </w:pPr>
      <w:r>
        <w:fldChar w:fldCharType="begin"/>
      </w:r>
      <w:r>
        <w:instrText xml:space="preserve"> HYPERLINK \l "_Toc27955" </w:instrText>
      </w:r>
      <w:r>
        <w:fldChar w:fldCharType="separate"/>
      </w:r>
      <w:r>
        <w:rPr>
          <w:rFonts w:hint="eastAsia" w:cs="宋体" w:asciiTheme="minorEastAsia" w:hAnsiTheme="minorEastAsia" w:eastAsiaTheme="minorEastAsia"/>
          <w:szCs w:val="32"/>
        </w:rPr>
        <w:t>第五章  合同格式条款</w:t>
      </w:r>
      <w:r>
        <w:tab/>
      </w:r>
      <w:r>
        <w:fldChar w:fldCharType="end"/>
      </w:r>
    </w:p>
    <w:p>
      <w:pPr>
        <w:pStyle w:val="32"/>
        <w:tabs>
          <w:tab w:val="right" w:leader="dot" w:pos="8640"/>
        </w:tabs>
      </w:pPr>
      <w:r>
        <w:fldChar w:fldCharType="begin"/>
      </w:r>
      <w:r>
        <w:instrText xml:space="preserve"> HYPERLINK \l "_Toc6432" </w:instrText>
      </w:r>
      <w:r>
        <w:fldChar w:fldCharType="separate"/>
      </w:r>
      <w:r>
        <w:rPr>
          <w:rFonts w:hint="eastAsia" w:cs="宋体" w:asciiTheme="minorEastAsia" w:hAnsiTheme="minorEastAsia" w:eastAsiaTheme="minorEastAsia"/>
          <w:szCs w:val="32"/>
        </w:rPr>
        <w:t>第六章  响应文件组成</w:t>
      </w:r>
      <w:r>
        <w:tab/>
      </w:r>
      <w:r>
        <w:fldChar w:fldCharType="end"/>
      </w:r>
    </w:p>
    <w:p>
      <w:pPr>
        <w:spacing w:line="360" w:lineRule="auto"/>
        <w:ind w:firstLine="420" w:firstLineChars="200"/>
        <w:rPr>
          <w:rFonts w:asciiTheme="minorEastAsia" w:hAnsiTheme="minorEastAsia" w:eastAsiaTheme="minorEastAsia"/>
          <w:b/>
          <w:sz w:val="32"/>
          <w:szCs w:val="32"/>
        </w:rPr>
        <w:sectPr>
          <w:pgSz w:w="12240" w:h="15840"/>
          <w:pgMar w:top="1440" w:right="1800" w:bottom="1440" w:left="1800" w:header="720" w:footer="720" w:gutter="0"/>
          <w:pgNumType w:start="1"/>
          <w:cols w:space="720" w:num="1"/>
          <w:titlePg/>
          <w:docGrid w:type="lines" w:linePitch="323" w:charSpace="0"/>
        </w:sectPr>
      </w:pPr>
      <w:r>
        <w:rPr>
          <w:rFonts w:hint="eastAsia" w:cs="宋体" w:asciiTheme="minorEastAsia" w:hAnsiTheme="minorEastAsia" w:eastAsiaTheme="minorEastAsia"/>
          <w:bCs/>
          <w:lang w:val="zh-CN"/>
        </w:rPr>
        <w:fldChar w:fldCharType="end"/>
      </w:r>
    </w:p>
    <w:p>
      <w:pPr>
        <w:pStyle w:val="3"/>
        <w:keepNext w:val="0"/>
        <w:spacing w:line="360" w:lineRule="auto"/>
        <w:ind w:firstLine="643" w:firstLineChars="200"/>
        <w:rPr>
          <w:rFonts w:asciiTheme="minorEastAsia" w:hAnsiTheme="minorEastAsia" w:eastAsiaTheme="minorEastAsia"/>
          <w:iCs/>
          <w:u w:val="single"/>
        </w:rPr>
      </w:pPr>
      <w:bookmarkStart w:id="0" w:name="_Toc2735"/>
      <w:r>
        <w:rPr>
          <w:rFonts w:hint="eastAsia" w:cs="宋体" w:asciiTheme="minorEastAsia" w:hAnsiTheme="minorEastAsia" w:eastAsiaTheme="minorEastAsia"/>
          <w:sz w:val="32"/>
          <w:szCs w:val="32"/>
        </w:rPr>
        <w:t>第一章  谈判邀请公告</w:t>
      </w:r>
      <w:bookmarkEnd w:id="0"/>
    </w:p>
    <w:p>
      <w:pPr>
        <w:pStyle w:val="45"/>
        <w:rPr>
          <w:rFonts w:cs="宋体" w:asciiTheme="minorEastAsia" w:hAnsiTheme="minorEastAsia" w:eastAsiaTheme="minorEastAsia"/>
          <w:iCs/>
          <w:u w:val="single"/>
        </w:rPr>
      </w:pPr>
      <w:r>
        <w:rPr>
          <w:rFonts w:hint="eastAsia" w:ascii="宋体" w:hAnsi="宋体" w:cs="宋体"/>
          <w:szCs w:val="21"/>
          <w:u w:val="single"/>
        </w:rPr>
        <w:t>湖南中投项目管理有限公司</w:t>
      </w:r>
      <w:r>
        <w:rPr>
          <w:rFonts w:hint="eastAsia" w:ascii="宋体" w:hAnsi="宋体" w:cs="宋体"/>
          <w:szCs w:val="21"/>
        </w:rPr>
        <w:t>受</w:t>
      </w:r>
      <w:r>
        <w:rPr>
          <w:rFonts w:hint="eastAsia" w:ascii="宋体" w:hAnsi="宋体" w:cs="宋体"/>
          <w:szCs w:val="21"/>
          <w:u w:val="single"/>
        </w:rPr>
        <w:t>长沙市轨道交通运营有限公司、长沙市轨道交通一号线建设发展有限公司、长沙市轨道交通五号线建设发展有限公司</w:t>
      </w:r>
      <w:r>
        <w:rPr>
          <w:rFonts w:hint="eastAsia" w:cs="宋体" w:asciiTheme="minorEastAsia" w:hAnsiTheme="minorEastAsia" w:eastAsiaTheme="minorEastAsia"/>
        </w:rPr>
        <w:t>的委托，</w:t>
      </w:r>
      <w:r>
        <w:rPr>
          <w:rFonts w:hint="eastAsia" w:cs="宋体" w:asciiTheme="minorEastAsia" w:hAnsiTheme="minorEastAsia" w:eastAsiaTheme="minorEastAsia"/>
          <w:iCs/>
        </w:rPr>
        <w:t>对</w:t>
      </w:r>
      <w:r>
        <w:rPr>
          <w:rFonts w:hint="eastAsia" w:cs="宋体" w:asciiTheme="minorEastAsia" w:hAnsiTheme="minorEastAsia" w:eastAsiaTheme="minorEastAsia"/>
          <w:szCs w:val="21"/>
          <w:u w:val="single"/>
        </w:rPr>
        <w:t>长沙市轨道交通1、2、5号线运营期2021年-2023年特种设备（起重机类）委外维修保养服务项目</w:t>
      </w:r>
      <w:r>
        <w:rPr>
          <w:rFonts w:hint="eastAsia" w:cs="宋体" w:asciiTheme="minorEastAsia" w:hAnsiTheme="minorEastAsia" w:eastAsiaTheme="minorEastAsia"/>
          <w:szCs w:val="21"/>
          <w:u w:val="single"/>
          <w:lang w:eastAsia="zh-CN"/>
        </w:rPr>
        <w:t>（第二次）</w:t>
      </w:r>
      <w:r>
        <w:rPr>
          <w:rFonts w:hint="eastAsia" w:cs="宋体" w:asciiTheme="minorEastAsia" w:hAnsiTheme="minorEastAsia" w:eastAsiaTheme="minorEastAsia"/>
          <w:iCs/>
        </w:rPr>
        <w:t>进行自主竞争性谈判采购，现发布公告，邀请符合条件的单位参与谈判采购活动。</w:t>
      </w:r>
    </w:p>
    <w:p>
      <w:pPr>
        <w:pStyle w:val="25"/>
        <w:adjustRightInd w:val="0"/>
        <w:snapToGrid w:val="0"/>
        <w:spacing w:line="360" w:lineRule="auto"/>
        <w:ind w:firstLine="422" w:firstLineChars="200"/>
        <w:outlineLvl w:val="1"/>
        <w:rPr>
          <w:rFonts w:asciiTheme="minorEastAsia" w:hAnsiTheme="minorEastAsia" w:eastAsiaTheme="minorEastAsia"/>
          <w:b/>
          <w:iCs/>
        </w:rPr>
      </w:pPr>
      <w:bookmarkStart w:id="1" w:name="_Toc26391"/>
      <w:r>
        <w:rPr>
          <w:rFonts w:hint="eastAsia" w:asciiTheme="minorEastAsia" w:hAnsiTheme="minorEastAsia" w:eastAsiaTheme="minorEastAsia"/>
          <w:b/>
          <w:iCs/>
        </w:rPr>
        <w:t>一、项目概况</w:t>
      </w:r>
      <w:bookmarkEnd w:id="1"/>
    </w:p>
    <w:p>
      <w:pPr>
        <w:pStyle w:val="25"/>
        <w:adjustRightInd w:val="0"/>
        <w:snapToGrid w:val="0"/>
        <w:spacing w:line="360" w:lineRule="auto"/>
        <w:ind w:firstLine="420" w:firstLineChars="200"/>
        <w:rPr>
          <w:rFonts w:hint="eastAsia" w:cs="宋体" w:asciiTheme="minorEastAsia" w:hAnsiTheme="minorEastAsia" w:eastAsiaTheme="minorEastAsia"/>
          <w:lang w:eastAsia="zh-CN"/>
        </w:rPr>
      </w:pPr>
      <w:r>
        <w:rPr>
          <w:rFonts w:hint="eastAsia" w:cs="宋体" w:asciiTheme="minorEastAsia" w:hAnsiTheme="minorEastAsia" w:eastAsiaTheme="minorEastAsia"/>
          <w:iCs/>
        </w:rPr>
        <w:t>1.项目名称：</w:t>
      </w:r>
      <w:r>
        <w:rPr>
          <w:rFonts w:hint="eastAsia" w:cs="宋体" w:asciiTheme="minorEastAsia" w:hAnsiTheme="minorEastAsia" w:eastAsiaTheme="minorEastAsia"/>
        </w:rPr>
        <w:t>长沙市轨道交通1、2、5号线运营期2021年-2023年特种设备（起重机类）委外维修保养服务项目</w:t>
      </w:r>
      <w:r>
        <w:rPr>
          <w:rFonts w:hint="eastAsia" w:cs="宋体" w:asciiTheme="minorEastAsia" w:hAnsiTheme="minorEastAsia" w:eastAsiaTheme="minorEastAsia"/>
          <w:lang w:eastAsia="zh-CN"/>
        </w:rPr>
        <w:t>（第二次）</w:t>
      </w:r>
    </w:p>
    <w:p>
      <w:pPr>
        <w:pStyle w:val="25"/>
        <w:adjustRightInd w:val="0"/>
        <w:snapToGrid w:val="0"/>
        <w:spacing w:line="360" w:lineRule="auto"/>
        <w:ind w:firstLine="420" w:firstLineChars="200"/>
        <w:rPr>
          <w:rFonts w:cs="宋体" w:asciiTheme="minorEastAsia" w:hAnsiTheme="minorEastAsia" w:eastAsiaTheme="minorEastAsia"/>
          <w:iCs/>
        </w:rPr>
      </w:pPr>
      <w:r>
        <w:rPr>
          <w:rFonts w:hint="eastAsia" w:cs="宋体" w:asciiTheme="minorEastAsia" w:hAnsiTheme="minorEastAsia" w:eastAsiaTheme="minorEastAsia"/>
          <w:iCs/>
        </w:rPr>
        <w:t>2.</w:t>
      </w:r>
      <w:r>
        <w:rPr>
          <w:rFonts w:hint="eastAsia" w:hAnsi="宋体" w:cs="宋体"/>
          <w:iCs/>
        </w:rPr>
        <w:t>最高投标</w:t>
      </w:r>
      <w:r>
        <w:rPr>
          <w:rFonts w:hint="eastAsia" w:cs="宋体" w:asciiTheme="minorEastAsia" w:hAnsiTheme="minorEastAsia" w:eastAsiaTheme="minorEastAsia"/>
        </w:rPr>
        <w:t>限价：</w:t>
      </w:r>
      <w:r>
        <w:rPr>
          <w:rFonts w:hint="eastAsia" w:cs="宋体" w:asciiTheme="minorEastAsia" w:hAnsiTheme="minorEastAsia" w:eastAsiaTheme="minorEastAsia"/>
          <w:iCs/>
          <w:kern w:val="2"/>
          <w:sz w:val="21"/>
          <w:szCs w:val="24"/>
          <w:lang w:val="en-US" w:eastAsia="zh-CN" w:bidi="ar-SA"/>
        </w:rPr>
        <w:t>723812.52元</w:t>
      </w:r>
    </w:p>
    <w:p>
      <w:pPr>
        <w:spacing w:line="360" w:lineRule="auto"/>
        <w:ind w:firstLine="420" w:firstLineChars="200"/>
        <w:jc w:val="left"/>
        <w:rPr>
          <w:rFonts w:cs="宋体" w:asciiTheme="minorEastAsia" w:hAnsiTheme="minorEastAsia" w:eastAsiaTheme="minorEastAsia"/>
          <w:iCs/>
          <w:u w:val="single"/>
        </w:rPr>
      </w:pPr>
      <w:r>
        <w:rPr>
          <w:rFonts w:hint="eastAsia" w:cs="宋体" w:asciiTheme="minorEastAsia" w:hAnsiTheme="minorEastAsia" w:eastAsiaTheme="minorEastAsia"/>
          <w:iCs/>
          <w:szCs w:val="21"/>
        </w:rPr>
        <w:t>3.</w:t>
      </w:r>
      <w:r>
        <w:rPr>
          <w:rFonts w:hint="eastAsia" w:cs="宋体" w:asciiTheme="minorEastAsia" w:hAnsiTheme="minorEastAsia" w:eastAsiaTheme="minorEastAsia"/>
          <w:iCs/>
        </w:rPr>
        <w:t>标段划分：共划分1个标段。</w:t>
      </w:r>
    </w:p>
    <w:p>
      <w:pPr>
        <w:spacing w:line="560" w:lineRule="exact"/>
        <w:ind w:firstLine="420" w:firstLineChars="200"/>
        <w:rPr>
          <w:rFonts w:ascii="宋体" w:hAnsi="宋体" w:cs="宋体"/>
          <w:iCs/>
          <w:szCs w:val="21"/>
          <w:highlight w:val="yellow"/>
        </w:rPr>
      </w:pPr>
      <w:r>
        <w:rPr>
          <w:rFonts w:hint="eastAsia" w:cs="宋体" w:asciiTheme="minorEastAsia" w:hAnsiTheme="minorEastAsia" w:eastAsiaTheme="minorEastAsia"/>
          <w:iCs/>
          <w:szCs w:val="21"/>
        </w:rPr>
        <w:t>4.</w:t>
      </w:r>
      <w:r>
        <w:rPr>
          <w:rFonts w:hint="eastAsia" w:cs="宋体" w:asciiTheme="minorEastAsia" w:hAnsiTheme="minorEastAsia" w:eastAsiaTheme="minorEastAsia"/>
          <w:iCs/>
        </w:rPr>
        <w:t>服务期限：</w:t>
      </w:r>
      <w:r>
        <w:rPr>
          <w:rFonts w:hint="eastAsia" w:ascii="宋体" w:hAnsi="Calibri"/>
          <w:color w:val="000000"/>
          <w:szCs w:val="21"/>
        </w:rPr>
        <w:t>本项目服务期限暂定为</w:t>
      </w:r>
      <w:r>
        <w:rPr>
          <w:rFonts w:hint="eastAsia" w:ascii="宋体" w:hAnsi="宋体" w:cs="宋体"/>
          <w:iCs/>
          <w:szCs w:val="21"/>
        </w:rPr>
        <w:t>1、2号线2021年6月1日至2023年7月31日，总计26个月；5号线2021年9月1日至2023年7月31日，共计23个月（</w:t>
      </w:r>
      <w:r>
        <w:rPr>
          <w:rFonts w:hint="eastAsia" w:ascii="宋体" w:hAnsi="Calibri"/>
          <w:color w:val="000000"/>
          <w:szCs w:val="21"/>
        </w:rPr>
        <w:t>实际服务时间以供应商接到招标人发出的进场通知起算</w:t>
      </w:r>
      <w:r>
        <w:rPr>
          <w:rFonts w:hint="eastAsia" w:ascii="宋体" w:hAnsi="宋体" w:cs="宋体"/>
          <w:iCs/>
          <w:szCs w:val="21"/>
        </w:rPr>
        <w:t>）。</w:t>
      </w:r>
      <w:r>
        <w:rPr>
          <w:rFonts w:hint="eastAsia" w:ascii="宋体" w:hAnsi="Calibri"/>
          <w:color w:val="000000"/>
          <w:szCs w:val="21"/>
        </w:rPr>
        <w:t>（具体详见用户需求书）</w:t>
      </w:r>
    </w:p>
    <w:p>
      <w:pPr>
        <w:spacing w:line="360" w:lineRule="auto"/>
        <w:ind w:firstLine="420" w:firstLineChars="200"/>
        <w:rPr>
          <w:rFonts w:asciiTheme="minorEastAsia" w:hAnsiTheme="minorEastAsia" w:eastAsiaTheme="minorEastAsia"/>
          <w:szCs w:val="21"/>
        </w:rPr>
      </w:pPr>
      <w:r>
        <w:rPr>
          <w:rFonts w:hint="eastAsia" w:cs="宋体" w:asciiTheme="minorEastAsia" w:hAnsiTheme="minorEastAsia" w:eastAsiaTheme="minorEastAsia"/>
          <w:iCs/>
          <w:szCs w:val="21"/>
        </w:rPr>
        <w:t>5.采购范围：本项目主要为长沙市轨道交通包含1、2、5号线车辆段起重机、2号线固定式空压机及移动式空压机等设备的维护保养服务项目，包括1号线尚双塘车辆段7台起重机、2号线黄兴车辆段19台起重机、5号线水渡河车辆段9台起重机，共计35台起重机（含驾驶舱空调、滑触线、大车轨道检查）的计划性检修、1、2号线起重机故障修、定期检验（年审换证）；2号线黄兴车辆段2台固定式空压机及5台移动式空压机的计划性检修、故障修、压力容器定期检验（年审换证）等工作全过程。其中1、2号线33台设备维修保养均含24次月检、2次年检共26次服务；5号线9台设备维修保养均含21次月检、2次年检共23次服务。（具体详见</w:t>
      </w:r>
      <w:r>
        <w:rPr>
          <w:rFonts w:hint="eastAsia" w:asciiTheme="minorEastAsia" w:hAnsiTheme="minorEastAsia" w:eastAsiaTheme="minorEastAsia"/>
          <w:szCs w:val="21"/>
        </w:rPr>
        <w:t>用户需求书）</w:t>
      </w:r>
    </w:p>
    <w:p>
      <w:pPr>
        <w:spacing w:line="360" w:lineRule="auto"/>
        <w:ind w:firstLine="422" w:firstLineChars="200"/>
        <w:rPr>
          <w:rFonts w:asciiTheme="minorEastAsia" w:hAnsiTheme="minorEastAsia" w:eastAsiaTheme="minorEastAsia"/>
          <w:b/>
          <w:bCs/>
          <w:szCs w:val="21"/>
        </w:rPr>
      </w:pPr>
      <w:bookmarkStart w:id="2" w:name="_Toc15560"/>
      <w:r>
        <w:rPr>
          <w:rFonts w:hint="eastAsia" w:asciiTheme="minorEastAsia" w:hAnsiTheme="minorEastAsia" w:eastAsiaTheme="minorEastAsia"/>
          <w:b/>
          <w:bCs/>
          <w:szCs w:val="21"/>
        </w:rPr>
        <w:t>二、资格要求</w:t>
      </w:r>
      <w:bookmarkEnd w:id="2"/>
    </w:p>
    <w:p>
      <w:pPr>
        <w:spacing w:line="360" w:lineRule="auto"/>
        <w:ind w:firstLine="420" w:firstLineChars="200"/>
        <w:rPr>
          <w:rFonts w:asciiTheme="minorEastAsia" w:hAnsiTheme="minorEastAsia" w:eastAsiaTheme="minorEastAsia"/>
          <w:szCs w:val="21"/>
        </w:rPr>
      </w:pPr>
      <w:bookmarkStart w:id="3" w:name="_Toc879"/>
      <w:r>
        <w:rPr>
          <w:rFonts w:hint="eastAsia" w:asciiTheme="minorEastAsia" w:hAnsiTheme="minorEastAsia" w:eastAsiaTheme="minorEastAsia"/>
          <w:szCs w:val="21"/>
        </w:rPr>
        <w:t>1.谈判单位须为具有独立法人资格、自主经营、独立核算的公司。须提供加盖谈判单位公章的营业执照复印件。</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2.谈判单位须具有市场监督管理部门核发的有效期内的《特种设备生产许可证》(起重机类)或《特种设备安装改造维修许可证》(起重机类)。须提供以上资质证书原件。</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3.谈判单位在本项目响应文件递交截止之日前36个月内须具有特种设备或轨道交通工艺检修类设备维修保养服务业绩。不接受联合体业绩、港澳台或境外业绩。</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业绩证明材料以同时提供的合同复印件和发票（开票金额不少于合同金额的10%）复印件（均须加盖谈判单位公章）为准，业绩金额以合同中金额为准，时间以合同中甲方签字时间为准。</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人员配备要求：项目经理1人，具有中级及以上维修电工或钳工证，提供由劳动保障部门出具的投标截止时间前半年内连续三个月的社保证明文件。维保人员电工须具有中级维修电工证及具备起重机械检修经验，钳工需具有中级机械钳工证及具备起重机械检修经验。</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5.本次谈判不接受联合体形式参与谈判。</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6.被长沙市轨道交通集团函告禁止在一定期限内参与轨道公司项目投标的单位按函告内容执行。</w:t>
      </w:r>
    </w:p>
    <w:p>
      <w:pPr>
        <w:pStyle w:val="25"/>
        <w:adjustRightInd w:val="0"/>
        <w:snapToGrid w:val="0"/>
        <w:spacing w:line="360" w:lineRule="auto"/>
        <w:ind w:firstLine="422" w:firstLineChars="200"/>
        <w:rPr>
          <w:rFonts w:asciiTheme="minorEastAsia" w:hAnsiTheme="minorEastAsia" w:eastAsiaTheme="minorEastAsia"/>
          <w:b/>
          <w:iCs/>
        </w:rPr>
      </w:pPr>
      <w:r>
        <w:rPr>
          <w:rFonts w:hint="eastAsia" w:asciiTheme="minorEastAsia" w:hAnsiTheme="minorEastAsia" w:eastAsiaTheme="minorEastAsia"/>
          <w:b/>
          <w:iCs/>
        </w:rPr>
        <w:t>三、评审办法</w:t>
      </w:r>
      <w:bookmarkEnd w:id="3"/>
    </w:p>
    <w:p>
      <w:pPr>
        <w:adjustRightInd w:val="0"/>
        <w:snapToGrid w:val="0"/>
        <w:spacing w:line="360" w:lineRule="auto"/>
        <w:ind w:firstLine="420" w:firstLineChars="200"/>
        <w:rPr>
          <w:rFonts w:asciiTheme="minorEastAsia" w:hAnsiTheme="minorEastAsia" w:eastAsiaTheme="minorEastAsia"/>
          <w:szCs w:val="21"/>
        </w:rPr>
      </w:pPr>
      <w:r>
        <w:rPr>
          <w:rFonts w:hint="eastAsia" w:cs="Courier New" w:asciiTheme="minorEastAsia" w:hAnsiTheme="minorEastAsia" w:eastAsiaTheme="minorEastAsia"/>
          <w:iCs/>
          <w:szCs w:val="21"/>
        </w:rPr>
        <w:t>本项目评审办法采用经符合性审查合格后的最低价法。</w:t>
      </w:r>
    </w:p>
    <w:p>
      <w:pPr>
        <w:pStyle w:val="25"/>
        <w:adjustRightInd w:val="0"/>
        <w:snapToGrid w:val="0"/>
        <w:spacing w:line="360" w:lineRule="auto"/>
        <w:ind w:firstLine="422" w:firstLineChars="200"/>
        <w:outlineLvl w:val="1"/>
        <w:rPr>
          <w:rFonts w:asciiTheme="minorEastAsia" w:hAnsiTheme="minorEastAsia" w:eastAsiaTheme="minorEastAsia"/>
          <w:b/>
          <w:iCs/>
        </w:rPr>
      </w:pPr>
      <w:bookmarkStart w:id="4" w:name="_Toc32507"/>
      <w:r>
        <w:rPr>
          <w:rFonts w:hint="eastAsia" w:asciiTheme="minorEastAsia" w:hAnsiTheme="minorEastAsia" w:eastAsiaTheme="minorEastAsia"/>
          <w:b/>
          <w:iCs/>
        </w:rPr>
        <w:t>四、自主竞争性谈判文件的获取</w:t>
      </w:r>
      <w:bookmarkEnd w:id="4"/>
    </w:p>
    <w:p>
      <w:pPr>
        <w:spacing w:line="360" w:lineRule="auto"/>
        <w:ind w:firstLine="420" w:firstLineChars="200"/>
        <w:rPr>
          <w:rFonts w:hint="eastAsia" w:asciiTheme="minorEastAsia" w:hAnsiTheme="minorEastAsia" w:eastAsiaTheme="minorEastAsia"/>
          <w:szCs w:val="21"/>
        </w:rPr>
      </w:pPr>
      <w:bookmarkStart w:id="5" w:name="_Toc27070"/>
      <w:r>
        <w:rPr>
          <w:rFonts w:hint="eastAsia" w:asciiTheme="minorEastAsia" w:hAnsiTheme="minorEastAsia" w:eastAsiaTheme="minorEastAsia"/>
          <w:szCs w:val="21"/>
        </w:rPr>
        <w:t>凡有意参加谈判的单位，请于本公告发布之日起登录长沙市轨道交通集团有限公司官方网站（http://www.hncsmtr.com/）获取自主竞争性谈判文件。</w:t>
      </w:r>
    </w:p>
    <w:p>
      <w:pPr>
        <w:pStyle w:val="25"/>
        <w:adjustRightInd w:val="0"/>
        <w:snapToGrid w:val="0"/>
        <w:spacing w:line="360" w:lineRule="auto"/>
        <w:ind w:firstLine="422" w:firstLineChars="200"/>
        <w:outlineLvl w:val="1"/>
        <w:rPr>
          <w:rFonts w:asciiTheme="minorEastAsia" w:hAnsiTheme="minorEastAsia" w:eastAsiaTheme="minorEastAsia"/>
          <w:b/>
          <w:iCs/>
        </w:rPr>
      </w:pPr>
      <w:r>
        <w:rPr>
          <w:rFonts w:hint="eastAsia" w:asciiTheme="minorEastAsia" w:hAnsiTheme="minorEastAsia" w:eastAsiaTheme="minorEastAsia"/>
          <w:b/>
          <w:iCs/>
        </w:rPr>
        <w:t>五、谈判文件的澄清与答疑</w:t>
      </w:r>
      <w:bookmarkEnd w:id="5"/>
    </w:p>
    <w:p>
      <w:pPr>
        <w:spacing w:line="360" w:lineRule="auto"/>
        <w:ind w:firstLine="420" w:firstLineChars="200"/>
        <w:rPr>
          <w:rFonts w:cs="Courier New" w:asciiTheme="minorEastAsia" w:hAnsiTheme="minorEastAsia" w:eastAsiaTheme="minorEastAsia"/>
          <w:iCs/>
          <w:szCs w:val="21"/>
        </w:rPr>
      </w:pPr>
      <w:r>
        <w:rPr>
          <w:rFonts w:hint="eastAsia" w:asciiTheme="minorEastAsia" w:hAnsiTheme="minorEastAsia" w:eastAsiaTheme="minorEastAsia"/>
          <w:szCs w:val="21"/>
        </w:rPr>
        <w:t>1.</w:t>
      </w:r>
      <w:r>
        <w:rPr>
          <w:rFonts w:hint="eastAsia" w:cs="Courier New" w:asciiTheme="minorEastAsia" w:hAnsiTheme="minorEastAsia" w:eastAsiaTheme="minorEastAsia"/>
          <w:iCs/>
          <w:szCs w:val="21"/>
        </w:rPr>
        <w:t>本项目不组织答疑会和现场踏勘。</w:t>
      </w:r>
    </w:p>
    <w:p>
      <w:pPr>
        <w:spacing w:line="360" w:lineRule="auto"/>
        <w:ind w:firstLine="420" w:firstLineChars="200"/>
        <w:rPr>
          <w:rFonts w:cs="Courier New" w:asciiTheme="minorEastAsia" w:hAnsiTheme="minorEastAsia" w:eastAsiaTheme="minorEastAsia"/>
          <w:iCs/>
          <w:szCs w:val="21"/>
        </w:rPr>
      </w:pPr>
      <w:r>
        <w:rPr>
          <w:rFonts w:hint="eastAsia" w:ascii="宋体" w:hAnsi="宋体" w:cs="Courier New"/>
          <w:iCs/>
          <w:szCs w:val="21"/>
        </w:rPr>
        <w:t>2.谈判单位若对谈判文件有任何疑问，</w:t>
      </w:r>
      <w:r>
        <w:rPr>
          <w:rFonts w:hint="eastAsia" w:ascii="宋体" w:hAnsi="宋体"/>
          <w:szCs w:val="21"/>
        </w:rPr>
        <w:t>应</w:t>
      </w:r>
      <w:r>
        <w:rPr>
          <w:rFonts w:hint="eastAsia" w:ascii="宋体" w:hAnsi="宋体"/>
          <w:szCs w:val="21"/>
          <w:highlight w:val="none"/>
        </w:rPr>
        <w:t>于2021年</w:t>
      </w:r>
      <w:r>
        <w:rPr>
          <w:rFonts w:hint="eastAsia" w:ascii="宋体" w:hAnsi="宋体"/>
          <w:szCs w:val="21"/>
          <w:highlight w:val="none"/>
          <w:lang w:val="en-US" w:eastAsia="zh-CN"/>
        </w:rPr>
        <w:t>06</w:t>
      </w:r>
      <w:r>
        <w:rPr>
          <w:rFonts w:hint="eastAsia" w:ascii="宋体" w:hAnsi="宋体"/>
          <w:szCs w:val="21"/>
          <w:highlight w:val="none"/>
        </w:rPr>
        <w:t>月</w:t>
      </w:r>
      <w:r>
        <w:rPr>
          <w:rFonts w:hint="eastAsia" w:ascii="宋体" w:hAnsi="宋体"/>
          <w:szCs w:val="21"/>
          <w:highlight w:val="none"/>
          <w:lang w:val="en-US" w:eastAsia="zh-CN"/>
        </w:rPr>
        <w:t>01</w:t>
      </w:r>
      <w:r>
        <w:rPr>
          <w:rFonts w:hint="eastAsia" w:ascii="宋体" w:hAnsi="宋体"/>
          <w:szCs w:val="21"/>
          <w:highlight w:val="none"/>
        </w:rPr>
        <w:t>日</w:t>
      </w:r>
      <w:r>
        <w:rPr>
          <w:rFonts w:hint="eastAsia" w:ascii="宋体" w:hAnsi="宋体" w:cs="Courier New"/>
          <w:iCs/>
          <w:szCs w:val="21"/>
          <w:highlight w:val="none"/>
        </w:rPr>
        <w:t>1</w:t>
      </w:r>
      <w:r>
        <w:rPr>
          <w:rFonts w:hint="eastAsia" w:ascii="宋体" w:hAnsi="宋体" w:cs="Courier New"/>
          <w:iCs/>
          <w:szCs w:val="21"/>
        </w:rPr>
        <w:t>7：00时（含）前（节假</w:t>
      </w:r>
      <w:r>
        <w:rPr>
          <w:rFonts w:hint="eastAsia" w:cs="Courier New" w:asciiTheme="minorEastAsia" w:hAnsiTheme="minorEastAsia" w:eastAsiaTheme="minorEastAsia"/>
          <w:iCs/>
          <w:szCs w:val="21"/>
        </w:rPr>
        <w:t>日除外）以书面形式（经法定代表人签字或盖章，并加盖单位公章）递交至采购代理机构。</w:t>
      </w:r>
    </w:p>
    <w:p>
      <w:pPr>
        <w:spacing w:line="360" w:lineRule="auto"/>
        <w:ind w:firstLine="420" w:firstLineChars="200"/>
        <w:rPr>
          <w:rFonts w:cs="Courier New" w:asciiTheme="minorEastAsia" w:hAnsiTheme="minorEastAsia" w:eastAsiaTheme="minorEastAsia"/>
          <w:iCs/>
          <w:szCs w:val="21"/>
        </w:rPr>
      </w:pPr>
      <w:r>
        <w:rPr>
          <w:rFonts w:hint="eastAsia" w:cs="Courier New" w:asciiTheme="minorEastAsia" w:hAnsiTheme="minorEastAsia" w:eastAsiaTheme="minorEastAsia"/>
          <w:iCs/>
          <w:szCs w:val="21"/>
        </w:rPr>
        <w:t>3.在谈判截止时间前，采购单位或采购代理机构可主动的或在解答谈判单位提出的问题时对谈判文件进行澄清或修改。</w:t>
      </w:r>
    </w:p>
    <w:p>
      <w:pPr>
        <w:spacing w:line="360" w:lineRule="auto"/>
        <w:ind w:firstLine="420" w:firstLineChars="200"/>
        <w:rPr>
          <w:rFonts w:cs="宋体" w:asciiTheme="minorEastAsia" w:hAnsiTheme="minorEastAsia" w:eastAsiaTheme="minorEastAsia"/>
          <w:kern w:val="0"/>
          <w:szCs w:val="21"/>
        </w:rPr>
      </w:pPr>
      <w:r>
        <w:rPr>
          <w:rFonts w:hint="eastAsia" w:cs="Courier New" w:asciiTheme="minorEastAsia" w:hAnsiTheme="minorEastAsia" w:eastAsiaTheme="minorEastAsia"/>
          <w:iCs/>
          <w:szCs w:val="21"/>
        </w:rPr>
        <w:t>4.</w:t>
      </w:r>
      <w:r>
        <w:rPr>
          <w:rFonts w:hint="eastAsia" w:cs="宋体" w:asciiTheme="minorEastAsia" w:hAnsiTheme="minorEastAsia" w:eastAsiaTheme="minorEastAsia"/>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pPr>
        <w:pStyle w:val="25"/>
        <w:adjustRightInd w:val="0"/>
        <w:snapToGrid w:val="0"/>
        <w:spacing w:line="360" w:lineRule="auto"/>
        <w:ind w:firstLine="422" w:firstLineChars="200"/>
        <w:outlineLvl w:val="1"/>
        <w:rPr>
          <w:rFonts w:asciiTheme="minorEastAsia" w:hAnsiTheme="minorEastAsia" w:eastAsiaTheme="minorEastAsia"/>
          <w:b/>
          <w:iCs/>
        </w:rPr>
      </w:pPr>
      <w:bookmarkStart w:id="6" w:name="_Toc28010"/>
      <w:r>
        <w:rPr>
          <w:rFonts w:hint="eastAsia" w:asciiTheme="minorEastAsia" w:hAnsiTheme="minorEastAsia" w:eastAsiaTheme="minorEastAsia"/>
          <w:b/>
          <w:iCs/>
        </w:rPr>
        <w:t>六、响应文件的递交</w:t>
      </w:r>
      <w:bookmarkEnd w:id="6"/>
    </w:p>
    <w:p>
      <w:pPr>
        <w:adjustRightInd w:val="0"/>
        <w:snapToGrid w:val="0"/>
        <w:spacing w:line="360" w:lineRule="auto"/>
        <w:ind w:firstLine="420" w:firstLineChars="200"/>
        <w:rPr>
          <w:rFonts w:asciiTheme="minorEastAsia" w:hAnsiTheme="minorEastAsia" w:eastAsiaTheme="minorEastAsia"/>
          <w:szCs w:val="21"/>
        </w:rPr>
      </w:pPr>
      <w:r>
        <w:rPr>
          <w:rFonts w:hint="eastAsia" w:ascii="宋体" w:hAnsi="宋体"/>
          <w:bCs/>
          <w:szCs w:val="21"/>
        </w:rPr>
        <w:t>1.响应</w:t>
      </w:r>
      <w:r>
        <w:rPr>
          <w:rFonts w:ascii="宋体" w:hAnsi="宋体"/>
          <w:bCs/>
          <w:szCs w:val="21"/>
        </w:rPr>
        <w:t>文件递交的截止时间</w:t>
      </w:r>
      <w:r>
        <w:rPr>
          <w:rFonts w:hint="eastAsia" w:ascii="宋体" w:hAnsi="宋体"/>
          <w:bCs/>
          <w:szCs w:val="21"/>
        </w:rPr>
        <w:t>及谈判时间</w:t>
      </w:r>
      <w:r>
        <w:rPr>
          <w:rFonts w:ascii="宋体" w:hAnsi="宋体"/>
          <w:bCs/>
          <w:szCs w:val="21"/>
        </w:rPr>
        <w:t>为</w:t>
      </w:r>
      <w:r>
        <w:rPr>
          <w:rFonts w:hint="eastAsia" w:ascii="宋体" w:hAnsi="宋体"/>
          <w:bCs/>
          <w:szCs w:val="21"/>
          <w:highlight w:val="none"/>
        </w:rPr>
        <w:t>2021</w:t>
      </w:r>
      <w:r>
        <w:rPr>
          <w:rFonts w:ascii="宋体" w:hAnsi="宋体"/>
          <w:bCs/>
          <w:szCs w:val="21"/>
          <w:highlight w:val="none"/>
        </w:rPr>
        <w:t>年</w:t>
      </w:r>
      <w:r>
        <w:rPr>
          <w:rFonts w:hint="eastAsia" w:ascii="宋体" w:hAnsi="宋体"/>
          <w:bCs/>
          <w:szCs w:val="21"/>
          <w:highlight w:val="none"/>
          <w:lang w:val="en-US" w:eastAsia="zh-CN"/>
        </w:rPr>
        <w:t>06</w:t>
      </w:r>
      <w:r>
        <w:rPr>
          <w:rFonts w:ascii="宋体" w:hAnsi="宋体"/>
          <w:bCs/>
          <w:szCs w:val="21"/>
          <w:highlight w:val="none"/>
        </w:rPr>
        <w:t>月</w:t>
      </w:r>
      <w:r>
        <w:rPr>
          <w:rFonts w:hint="eastAsia" w:ascii="宋体" w:hAnsi="宋体"/>
          <w:bCs/>
          <w:szCs w:val="21"/>
          <w:highlight w:val="none"/>
          <w:lang w:val="en-US" w:eastAsia="zh-CN"/>
        </w:rPr>
        <w:t>07</w:t>
      </w:r>
      <w:r>
        <w:rPr>
          <w:rFonts w:ascii="宋体" w:hAnsi="宋体"/>
          <w:bCs/>
          <w:szCs w:val="21"/>
          <w:highlight w:val="none"/>
        </w:rPr>
        <w:t>日</w:t>
      </w:r>
      <w:r>
        <w:rPr>
          <w:rFonts w:hint="eastAsia" w:ascii="宋体" w:hAnsi="宋体"/>
          <w:bCs/>
          <w:szCs w:val="21"/>
          <w:highlight w:val="none"/>
        </w:rPr>
        <w:t>1</w:t>
      </w:r>
      <w:r>
        <w:rPr>
          <w:rFonts w:hint="eastAsia" w:ascii="宋体" w:hAnsi="宋体"/>
          <w:bCs/>
          <w:szCs w:val="21"/>
        </w:rPr>
        <w:t>4</w:t>
      </w:r>
      <w:r>
        <w:rPr>
          <w:rFonts w:ascii="宋体" w:hAnsi="宋体"/>
          <w:bCs/>
          <w:szCs w:val="21"/>
        </w:rPr>
        <w:t>时</w:t>
      </w:r>
      <w:r>
        <w:rPr>
          <w:rFonts w:hint="eastAsia" w:ascii="宋体" w:hAnsi="宋体"/>
          <w:bCs/>
          <w:szCs w:val="21"/>
        </w:rPr>
        <w:t>30</w:t>
      </w:r>
      <w:r>
        <w:rPr>
          <w:rFonts w:ascii="宋体" w:hAnsi="宋体"/>
          <w:bCs/>
          <w:szCs w:val="21"/>
        </w:rPr>
        <w:t>分，地点为</w:t>
      </w:r>
      <w:r>
        <w:rPr>
          <w:rFonts w:hint="eastAsia" w:asciiTheme="minorEastAsia" w:hAnsiTheme="minorEastAsia" w:eastAsiaTheme="minorEastAsia"/>
          <w:szCs w:val="21"/>
        </w:rPr>
        <w:t>长沙市劳动东路二段48号黄兴车辆段综合楼9楼910室</w:t>
      </w:r>
      <w:r>
        <w:rPr>
          <w:rFonts w:hint="eastAsia" w:cs="宋体"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逾期送达的</w:t>
      </w:r>
      <w:r>
        <w:rPr>
          <w:rFonts w:hint="eastAsia" w:asciiTheme="minorEastAsia" w:hAnsiTheme="minorEastAsia" w:eastAsiaTheme="minorEastAsia"/>
          <w:szCs w:val="21"/>
        </w:rPr>
        <w:t>或者</w:t>
      </w:r>
      <w:r>
        <w:rPr>
          <w:rFonts w:asciiTheme="minorEastAsia" w:hAnsiTheme="minorEastAsia" w:eastAsiaTheme="minorEastAsia"/>
          <w:szCs w:val="21"/>
        </w:rPr>
        <w:t>未送达指定地点的或者</w:t>
      </w:r>
      <w:r>
        <w:rPr>
          <w:rFonts w:hint="eastAsia" w:asciiTheme="minorEastAsia" w:hAnsiTheme="minorEastAsia" w:eastAsiaTheme="minorEastAsia"/>
          <w:szCs w:val="21"/>
        </w:rPr>
        <w:t>未</w:t>
      </w:r>
      <w:r>
        <w:rPr>
          <w:rFonts w:asciiTheme="minorEastAsia" w:hAnsiTheme="minorEastAsia" w:eastAsiaTheme="minorEastAsia"/>
          <w:szCs w:val="21"/>
        </w:rPr>
        <w:t>密封的</w:t>
      </w:r>
      <w:r>
        <w:rPr>
          <w:rFonts w:hint="eastAsia" w:asciiTheme="minorEastAsia" w:hAnsiTheme="minorEastAsia" w:eastAsiaTheme="minorEastAsia"/>
          <w:szCs w:val="21"/>
        </w:rPr>
        <w:t>响应</w:t>
      </w:r>
      <w:r>
        <w:rPr>
          <w:rFonts w:asciiTheme="minorEastAsia" w:hAnsiTheme="minorEastAsia" w:eastAsiaTheme="minorEastAsia"/>
          <w:szCs w:val="21"/>
        </w:rPr>
        <w:t>文件，</w:t>
      </w:r>
      <w:r>
        <w:rPr>
          <w:rFonts w:hint="eastAsia" w:asciiTheme="minorEastAsia" w:hAnsiTheme="minorEastAsia" w:eastAsiaTheme="minorEastAsia"/>
          <w:szCs w:val="21"/>
        </w:rPr>
        <w:t>采购单位或采购代理机构</w:t>
      </w:r>
      <w:r>
        <w:rPr>
          <w:rFonts w:asciiTheme="minorEastAsia" w:hAnsiTheme="minorEastAsia" w:eastAsiaTheme="minorEastAsia"/>
          <w:szCs w:val="21"/>
        </w:rPr>
        <w:t>将予以</w:t>
      </w:r>
      <w:r>
        <w:rPr>
          <w:rFonts w:asciiTheme="minorEastAsia" w:hAnsiTheme="minorEastAsia" w:eastAsiaTheme="minorEastAsia"/>
          <w:b/>
          <w:bCs/>
          <w:szCs w:val="21"/>
        </w:rPr>
        <w:t>拒收</w:t>
      </w:r>
      <w:r>
        <w:rPr>
          <w:rFonts w:asciiTheme="minorEastAsia" w:hAnsiTheme="minorEastAsia" w:eastAsiaTheme="minorEastAsia"/>
          <w:szCs w:val="21"/>
        </w:rPr>
        <w:t>。</w:t>
      </w:r>
    </w:p>
    <w:p>
      <w:pPr>
        <w:pStyle w:val="25"/>
        <w:adjustRightInd w:val="0"/>
        <w:snapToGrid w:val="0"/>
        <w:spacing w:line="360" w:lineRule="auto"/>
        <w:ind w:firstLine="422" w:firstLineChars="200"/>
        <w:outlineLvl w:val="1"/>
        <w:rPr>
          <w:rFonts w:asciiTheme="minorEastAsia" w:hAnsiTheme="minorEastAsia" w:eastAsiaTheme="minorEastAsia"/>
          <w:b/>
          <w:iCs/>
        </w:rPr>
      </w:pPr>
      <w:bookmarkStart w:id="7" w:name="_Toc16891"/>
      <w:r>
        <w:rPr>
          <w:rFonts w:hint="eastAsia" w:asciiTheme="minorEastAsia" w:hAnsiTheme="minorEastAsia" w:eastAsiaTheme="minorEastAsia"/>
          <w:b/>
          <w:iCs/>
        </w:rPr>
        <w:t>七、采购单位及其委托的采购代理机构的名称、地址和联系方法</w:t>
      </w:r>
      <w:bookmarkEnd w:id="7"/>
    </w:p>
    <w:p>
      <w:pPr>
        <w:adjustRightInd w:val="0"/>
        <w:snapToGrid w:val="0"/>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采购单位：长沙市轨道交通运营有限公司</w:t>
      </w:r>
    </w:p>
    <w:p>
      <w:pPr>
        <w:adjustRightInd w:val="0"/>
        <w:snapToGrid w:val="0"/>
        <w:spacing w:line="360" w:lineRule="auto"/>
        <w:ind w:firstLine="1470" w:firstLineChars="7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长沙市轨道交通一号线建设发展有限公司</w:t>
      </w:r>
    </w:p>
    <w:p>
      <w:pPr>
        <w:adjustRightInd w:val="0"/>
        <w:snapToGrid w:val="0"/>
        <w:spacing w:line="360" w:lineRule="auto"/>
        <w:ind w:firstLine="1470" w:firstLineChars="7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长沙市轨道交通五号线建设发展有限公司</w:t>
      </w:r>
    </w:p>
    <w:p>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地  址：长沙市劳动东路二段48号黄兴车辆段综合楼9楼910室</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联系人：</w:t>
      </w:r>
      <w:r>
        <w:rPr>
          <w:rFonts w:hint="eastAsia" w:asciiTheme="minorEastAsia" w:hAnsiTheme="minorEastAsia" w:eastAsiaTheme="minorEastAsia"/>
          <w:szCs w:val="21"/>
        </w:rPr>
        <w:t>杨工</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电  话：</w:t>
      </w:r>
      <w:r>
        <w:rPr>
          <w:rFonts w:hint="eastAsia" w:asciiTheme="minorEastAsia" w:hAnsiTheme="minorEastAsia" w:eastAsiaTheme="minorEastAsia"/>
          <w:szCs w:val="21"/>
        </w:rPr>
        <w:t>0731-86852347</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监督举报电话：</w:t>
      </w:r>
      <w:r>
        <w:rPr>
          <w:rFonts w:hint="eastAsia" w:asciiTheme="minorEastAsia" w:hAnsiTheme="minorEastAsia" w:eastAsiaTheme="minorEastAsia"/>
          <w:szCs w:val="21"/>
        </w:rPr>
        <w:t>0731-86852247</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联系人：文工</w:t>
      </w:r>
    </w:p>
    <w:p>
      <w:pPr>
        <w:adjustRightInd w:val="0"/>
        <w:snapToGrid w:val="0"/>
        <w:spacing w:line="360" w:lineRule="auto"/>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采购代理机构：湖南中投项目管理有限公司</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地  址：长沙市雨花区韶山中路4</w:t>
      </w:r>
      <w:r>
        <w:rPr>
          <w:rFonts w:cs="宋体" w:asciiTheme="minorEastAsia" w:hAnsiTheme="minorEastAsia" w:eastAsiaTheme="minorEastAsia"/>
          <w:szCs w:val="21"/>
        </w:rPr>
        <w:t>89号万博汇云谷</w:t>
      </w:r>
      <w:r>
        <w:rPr>
          <w:rFonts w:hint="eastAsia" w:cs="宋体" w:asciiTheme="minorEastAsia" w:hAnsiTheme="minorEastAsia" w:eastAsiaTheme="minorEastAsia"/>
          <w:szCs w:val="21"/>
        </w:rPr>
        <w:t>2</w:t>
      </w:r>
      <w:r>
        <w:rPr>
          <w:rFonts w:cs="宋体" w:asciiTheme="minorEastAsia" w:hAnsiTheme="minorEastAsia" w:eastAsiaTheme="minorEastAsia"/>
          <w:szCs w:val="21"/>
        </w:rPr>
        <w:t>0楼</w:t>
      </w:r>
      <w:r>
        <w:rPr>
          <w:rFonts w:hint="eastAsia" w:cs="宋体" w:asciiTheme="minorEastAsia" w:hAnsiTheme="minorEastAsia" w:eastAsiaTheme="minorEastAsia"/>
          <w:szCs w:val="21"/>
        </w:rPr>
        <w:t>2</w:t>
      </w:r>
      <w:r>
        <w:rPr>
          <w:rFonts w:cs="宋体" w:asciiTheme="minorEastAsia" w:hAnsiTheme="minorEastAsia" w:eastAsiaTheme="minorEastAsia"/>
          <w:szCs w:val="21"/>
        </w:rPr>
        <w:t>008室</w:t>
      </w:r>
    </w:p>
    <w:p>
      <w:pPr>
        <w:adjustRightInd w:val="0"/>
        <w:snapToGrid w:val="0"/>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电  话：</w:t>
      </w:r>
      <w:r>
        <w:rPr>
          <w:rFonts w:hint="eastAsia" w:asciiTheme="minorEastAsia" w:hAnsiTheme="minorEastAsia" w:eastAsiaTheme="minorEastAsia"/>
          <w:szCs w:val="21"/>
        </w:rPr>
        <w:t>0731-8</w:t>
      </w:r>
      <w:r>
        <w:rPr>
          <w:rFonts w:asciiTheme="minorEastAsia" w:hAnsiTheme="minorEastAsia" w:eastAsiaTheme="minorEastAsia"/>
          <w:szCs w:val="21"/>
        </w:rPr>
        <w:t>82255989</w:t>
      </w:r>
    </w:p>
    <w:p>
      <w:pPr>
        <w:spacing w:line="360" w:lineRule="auto"/>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联系人：</w:t>
      </w:r>
      <w:r>
        <w:rPr>
          <w:rFonts w:hint="eastAsia" w:asciiTheme="minorEastAsia" w:hAnsiTheme="minorEastAsia" w:eastAsiaTheme="minorEastAsia"/>
          <w:szCs w:val="21"/>
        </w:rPr>
        <w:t>王依、盛娟、王莎莎</w:t>
      </w:r>
    </w:p>
    <w:p>
      <w:pPr>
        <w:wordWrap w:val="0"/>
        <w:spacing w:line="360" w:lineRule="auto"/>
        <w:ind w:firstLine="420" w:firstLineChars="200"/>
        <w:jc w:val="righ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2021年</w:t>
      </w:r>
      <w:r>
        <w:rPr>
          <w:rFonts w:hint="eastAsia" w:asciiTheme="minorEastAsia" w:hAnsiTheme="minorEastAsia" w:eastAsiaTheme="minorEastAsia"/>
          <w:szCs w:val="21"/>
          <w:highlight w:val="none"/>
          <w:lang w:val="en-US" w:eastAsia="zh-CN"/>
        </w:rPr>
        <w:t>05</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25</w:t>
      </w:r>
      <w:r>
        <w:rPr>
          <w:rFonts w:hint="eastAsia" w:asciiTheme="minorEastAsia" w:hAnsiTheme="minorEastAsia" w:eastAsiaTheme="minorEastAsia"/>
          <w:szCs w:val="21"/>
          <w:highlight w:val="none"/>
        </w:rPr>
        <w:t>日</w:t>
      </w:r>
    </w:p>
    <w:p>
      <w:pPr>
        <w:pStyle w:val="3"/>
        <w:keepNext w:val="0"/>
        <w:spacing w:after="240" w:line="360" w:lineRule="auto"/>
        <w:ind w:firstLine="640" w:firstLineChars="200"/>
        <w:rPr>
          <w:rFonts w:asciiTheme="minorEastAsia" w:hAnsiTheme="minorEastAsia" w:eastAsiaTheme="minorEastAsia"/>
          <w:bCs w:val="0"/>
          <w:sz w:val="32"/>
          <w:szCs w:val="32"/>
        </w:rPr>
      </w:pPr>
      <w:r>
        <w:rPr>
          <w:rFonts w:asciiTheme="minorEastAsia" w:hAnsiTheme="minorEastAsia" w:eastAsiaTheme="minorEastAsia"/>
          <w:b w:val="0"/>
          <w:bCs w:val="0"/>
          <w:sz w:val="32"/>
          <w:szCs w:val="32"/>
        </w:rPr>
        <w:br w:type="page"/>
      </w:r>
      <w:bookmarkStart w:id="8" w:name="_Toc25405"/>
      <w:r>
        <w:rPr>
          <w:rFonts w:hint="eastAsia" w:cs="宋体" w:asciiTheme="minorEastAsia" w:hAnsiTheme="minorEastAsia" w:eastAsiaTheme="minorEastAsia"/>
          <w:bCs w:val="0"/>
          <w:sz w:val="32"/>
          <w:szCs w:val="32"/>
        </w:rPr>
        <w:t>第二章  谈判须知</w:t>
      </w:r>
      <w:bookmarkEnd w:id="8"/>
    </w:p>
    <w:p>
      <w:pPr>
        <w:pStyle w:val="4"/>
        <w:keepNext w:val="0"/>
        <w:keepLines w:val="0"/>
        <w:ind w:firstLine="643" w:firstLineChars="200"/>
        <w:jc w:val="center"/>
        <w:rPr>
          <w:rFonts w:cs="宋体" w:asciiTheme="minorEastAsia" w:hAnsiTheme="minorEastAsia" w:eastAsiaTheme="minorEastAsia"/>
          <w:sz w:val="32"/>
        </w:rPr>
      </w:pPr>
      <w:bookmarkStart w:id="9" w:name="_Toc10631"/>
      <w:r>
        <w:rPr>
          <w:rFonts w:hint="eastAsia" w:cs="宋体" w:asciiTheme="minorEastAsia" w:hAnsiTheme="minorEastAsia" w:eastAsiaTheme="minorEastAsia"/>
          <w:sz w:val="32"/>
        </w:rPr>
        <w:t>谈判须知前附表</w:t>
      </w:r>
      <w:bookmarkEnd w:id="9"/>
    </w:p>
    <w:tbl>
      <w:tblPr>
        <w:tblStyle w:val="46"/>
        <w:tblW w:w="953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25"/>
        <w:gridCol w:w="75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名  称</w:t>
            </w:r>
          </w:p>
        </w:tc>
        <w:tc>
          <w:tcPr>
            <w:tcW w:w="7510"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采购项目</w:t>
            </w:r>
          </w:p>
        </w:tc>
        <w:tc>
          <w:tcPr>
            <w:tcW w:w="7510" w:type="dxa"/>
            <w:vAlign w:val="center"/>
          </w:tcPr>
          <w:p>
            <w:pPr>
              <w:pStyle w:val="25"/>
              <w:adjustRightInd w:val="0"/>
              <w:snapToGrid w:val="0"/>
              <w:spacing w:line="360" w:lineRule="auto"/>
              <w:rPr>
                <w:rFonts w:hint="eastAsia" w:cs="宋体" w:asciiTheme="minorEastAsia" w:hAnsiTheme="minorEastAsia" w:eastAsiaTheme="minorEastAsia"/>
                <w:lang w:eastAsia="zh-CN"/>
              </w:rPr>
            </w:pPr>
            <w:r>
              <w:rPr>
                <w:rFonts w:hint="eastAsia" w:cs="宋体" w:asciiTheme="minorEastAsia" w:hAnsiTheme="minorEastAsia" w:eastAsiaTheme="minorEastAsia"/>
              </w:rPr>
              <w:t>长沙市轨道交通1、2、5号线运营期2021年-2023年特种设备（起重机类）委外维修保养服务项目</w:t>
            </w:r>
            <w:r>
              <w:rPr>
                <w:rFonts w:hint="eastAsia" w:cs="宋体" w:asciiTheme="minorEastAsia" w:hAnsiTheme="minorEastAsia" w:eastAsiaTheme="minorEastAsia"/>
                <w:lang w:eastAsia="zh-CN"/>
              </w:rPr>
              <w:t>（第二次）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采购单位</w:t>
            </w:r>
          </w:p>
        </w:tc>
        <w:tc>
          <w:tcPr>
            <w:tcW w:w="7510" w:type="dxa"/>
            <w:vAlign w:val="center"/>
          </w:tcPr>
          <w:p>
            <w:pPr>
              <w:adjustRightInd w:val="0"/>
              <w:snapToGrid w:val="0"/>
              <w:spacing w:line="360" w:lineRule="auto"/>
              <w:rPr>
                <w:rFonts w:cs="宋体" w:asciiTheme="minorEastAsia" w:hAnsiTheme="minorEastAsia" w:eastAsiaTheme="minorEastAsia"/>
                <w:iCs/>
                <w:szCs w:val="21"/>
              </w:rPr>
            </w:pPr>
            <w:r>
              <w:rPr>
                <w:rFonts w:hint="eastAsia" w:cs="宋体" w:asciiTheme="minorEastAsia" w:hAnsiTheme="minorEastAsia" w:eastAsiaTheme="minorEastAsia"/>
                <w:szCs w:val="21"/>
              </w:rPr>
              <w:t>长沙市轨道交通运营有限公司、长沙市轨道交通一号线建设发展有限公司、长沙市轨道交通五号线建设发展有限公司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采购代理机构</w:t>
            </w:r>
          </w:p>
        </w:tc>
        <w:tc>
          <w:tcPr>
            <w:tcW w:w="7510" w:type="dxa"/>
            <w:vAlign w:val="center"/>
          </w:tcPr>
          <w:p>
            <w:pPr>
              <w:adjustRightInd w:val="0"/>
              <w:snapToGrid w:val="0"/>
              <w:spacing w:line="360" w:lineRule="auto"/>
              <w:rPr>
                <w:rFonts w:cs="宋体" w:asciiTheme="minorEastAsia" w:hAnsiTheme="minorEastAsia" w:eastAsiaTheme="minorEastAsia"/>
                <w:iCs/>
                <w:szCs w:val="21"/>
              </w:rPr>
            </w:pPr>
            <w:r>
              <w:rPr>
                <w:rFonts w:hint="eastAsia" w:cs="宋体" w:asciiTheme="minorEastAsia" w:hAnsiTheme="minorEastAsia" w:eastAsiaTheme="minorEastAsia"/>
                <w:iCs/>
                <w:szCs w:val="21"/>
              </w:rPr>
              <w:t>湖南中投项目管理有限公司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宋体" w:hAnsi="宋体" w:cs="宋体"/>
                <w:b/>
                <w:szCs w:val="21"/>
              </w:rPr>
              <w:t>最高投标限价</w:t>
            </w:r>
          </w:p>
        </w:tc>
        <w:tc>
          <w:tcPr>
            <w:tcW w:w="7510" w:type="dxa"/>
            <w:vAlign w:val="center"/>
          </w:tcPr>
          <w:p>
            <w:pPr>
              <w:pStyle w:val="25"/>
              <w:adjustRightInd w:val="0"/>
              <w:snapToGrid w:val="0"/>
              <w:spacing w:line="360" w:lineRule="auto"/>
              <w:rPr>
                <w:rFonts w:cs="宋体" w:asciiTheme="minorEastAsia" w:hAnsiTheme="minorEastAsia" w:eastAsiaTheme="minorEastAsia"/>
                <w:iCs/>
              </w:rPr>
            </w:pPr>
            <w:r>
              <w:t>723812.5</w:t>
            </w:r>
            <w:r>
              <w:rPr>
                <w:rFonts w:cs="宋体" w:asciiTheme="minorEastAsia" w:hAnsiTheme="minorEastAsia" w:eastAsiaTheme="minorEastAsia"/>
                <w:iCs/>
              </w:rPr>
              <w:t>2元</w:t>
            </w:r>
            <w:r>
              <w:rPr>
                <w:rFonts w:hint="eastAsia" w:cs="宋体" w:asciiTheme="minorEastAsia" w:hAnsiTheme="minorEastAsia" w:eastAsiaTheme="minorEastAsia"/>
                <w:iCs/>
              </w:rPr>
              <w:t>，</w:t>
            </w:r>
            <w:r>
              <w:rPr>
                <w:rFonts w:hint="eastAsia" w:hAnsi="宋体" w:cs="宋体"/>
                <w:b/>
                <w:bCs/>
              </w:rPr>
              <w:t>不超过最高投标限价的谈判报价为有效报价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评审办法</w:t>
            </w:r>
          </w:p>
        </w:tc>
        <w:tc>
          <w:tcPr>
            <w:tcW w:w="7510" w:type="dxa"/>
            <w:vAlign w:val="center"/>
          </w:tcPr>
          <w:p>
            <w:pPr>
              <w:adjustRightInd w:val="0"/>
              <w:snapToGrid w:val="0"/>
              <w:spacing w:line="360" w:lineRule="auto"/>
              <w:rPr>
                <w:rFonts w:cs="宋体" w:asciiTheme="minorEastAsia" w:hAnsiTheme="minorEastAsia" w:eastAsiaTheme="minorEastAsia"/>
                <w:iCs/>
                <w:szCs w:val="21"/>
              </w:rPr>
            </w:pPr>
            <w:r>
              <w:rPr>
                <w:rFonts w:hint="eastAsia" w:cs="宋体" w:asciiTheme="minorEastAsia" w:hAnsiTheme="minorEastAsia" w:eastAsiaTheme="minorEastAsia"/>
                <w:iCs/>
                <w:szCs w:val="21"/>
              </w:rPr>
              <w:t>经符合性审查合格后的最低价法。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资格要求</w:t>
            </w:r>
          </w:p>
        </w:tc>
        <w:tc>
          <w:tcPr>
            <w:tcW w:w="7510" w:type="dxa"/>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1.谈判单位须为具有独立法人资格、自主经营、独立核算的公司。须提供加盖谈判单位公章的营业执照复印件。</w:t>
            </w:r>
          </w:p>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2.谈判单位须具有市场监督管理部门核发的有效期内的《特种设备生产许可证》(起重机类)或《特种设备安装改造维修许可证》(起重机类)。须提供以上资质证书原件。</w:t>
            </w:r>
          </w:p>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3.谈判单位在本项目响应文件递交截止之日前36个月内须具有特种设备或轨道交通工艺检修类设备维修保养服务业绩。不接受联合体业绩、港澳台或境外业绩。</w:t>
            </w:r>
          </w:p>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业绩证明材料以同时提供的合同复印件和发票（开票金额不少于合同金额的10%）复印件（均须加盖谈判单位公章）为准，业绩金额以合同中金额为准，时间以合同中甲方签字时间为准。</w:t>
            </w:r>
          </w:p>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4.人员配备要求：项目经理1人，具有中级及以上维修电工或钳工证，提供由劳动保障部门出具的投标截止时间前半年内连续三个月的社保证明文件。维保人员电工须具有中级维修电工证及具备起重机械检修经验，钳工需具有中级机械钳工证及具备起重机械检修经验。</w:t>
            </w:r>
          </w:p>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5.本次谈判不接受联合体形式参与谈判。</w:t>
            </w:r>
          </w:p>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6.被长沙市轨道交通集团函告禁止在一定期限内参与轨道公司项目投标的单位按函告内容执行。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谈判答疑文件递交截止时间</w:t>
            </w:r>
          </w:p>
        </w:tc>
        <w:tc>
          <w:tcPr>
            <w:tcW w:w="7510" w:type="dxa"/>
            <w:vAlign w:val="center"/>
          </w:tcPr>
          <w:p>
            <w:pPr>
              <w:pStyle w:val="25"/>
              <w:adjustRightInd w:val="0"/>
              <w:snapToGrid w:val="0"/>
              <w:spacing w:line="360" w:lineRule="auto"/>
              <w:rPr>
                <w:rFonts w:cs="宋体" w:asciiTheme="minorEastAsia" w:hAnsiTheme="minorEastAsia" w:eastAsiaTheme="minorEastAsia"/>
              </w:rPr>
            </w:pPr>
            <w:r>
              <w:rPr>
                <w:rFonts w:hint="eastAsia" w:hAnsi="宋体"/>
                <w:highlight w:val="none"/>
              </w:rPr>
              <w:t>2021年</w:t>
            </w:r>
            <w:r>
              <w:rPr>
                <w:rFonts w:hint="eastAsia" w:hAnsi="宋体"/>
                <w:highlight w:val="none"/>
                <w:lang w:val="en-US" w:eastAsia="zh-CN"/>
              </w:rPr>
              <w:t>06</w:t>
            </w:r>
            <w:r>
              <w:rPr>
                <w:rFonts w:hint="eastAsia" w:hAnsi="宋体"/>
                <w:highlight w:val="none"/>
              </w:rPr>
              <w:t>月</w:t>
            </w:r>
            <w:r>
              <w:rPr>
                <w:rFonts w:hint="eastAsia" w:hAnsi="宋体"/>
                <w:highlight w:val="none"/>
                <w:lang w:val="en-US" w:eastAsia="zh-CN"/>
              </w:rPr>
              <w:t>01</w:t>
            </w:r>
            <w:r>
              <w:rPr>
                <w:rFonts w:hint="eastAsia" w:hAnsi="宋体"/>
                <w:highlight w:val="none"/>
              </w:rPr>
              <w:t>日</w:t>
            </w:r>
            <w:r>
              <w:rPr>
                <w:rFonts w:hint="eastAsia" w:cs="宋体" w:asciiTheme="minorEastAsia" w:hAnsiTheme="minorEastAsia" w:eastAsiaTheme="minorEastAsia"/>
                <w:highlight w:val="none"/>
              </w:rPr>
              <w:t>17时00分(北京时间)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谈判答疑文件递交方式及地点</w:t>
            </w:r>
          </w:p>
        </w:tc>
        <w:tc>
          <w:tcPr>
            <w:tcW w:w="7510" w:type="dxa"/>
            <w:vAlign w:val="center"/>
          </w:tcPr>
          <w:p>
            <w:pPr>
              <w:pStyle w:val="25"/>
              <w:adjustRightInd w:val="0"/>
              <w:snapToGrid w:val="0"/>
              <w:spacing w:line="360" w:lineRule="auto"/>
              <w:rPr>
                <w:rFonts w:cs="宋体" w:asciiTheme="minorEastAsia" w:hAnsiTheme="minorEastAsia" w:eastAsiaTheme="minorEastAsia"/>
                <w:iCs/>
              </w:rPr>
            </w:pPr>
            <w:r>
              <w:rPr>
                <w:rFonts w:hint="eastAsia" w:cs="宋体" w:asciiTheme="minorEastAsia" w:hAnsiTheme="minorEastAsia" w:eastAsiaTheme="minorEastAsia"/>
                <w:iCs/>
              </w:rPr>
              <w:t>谈判答疑文件应以书面形式递交至湖南中投项目管理有限公司（长沙市雨花区韶山中路489号万博汇云谷20楼2008室）。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响应文件的递交截止及谈判时间</w:t>
            </w:r>
          </w:p>
        </w:tc>
        <w:tc>
          <w:tcPr>
            <w:tcW w:w="7510" w:type="dxa"/>
            <w:vAlign w:val="center"/>
          </w:tcPr>
          <w:p>
            <w:pPr>
              <w:adjustRightInd w:val="0"/>
              <w:snapToGrid w:val="0"/>
              <w:spacing w:line="360" w:lineRule="auto"/>
              <w:jc w:val="left"/>
              <w:rPr>
                <w:rFonts w:cs="宋体" w:asciiTheme="minorEastAsia" w:hAnsiTheme="minorEastAsia" w:eastAsiaTheme="minorEastAsia"/>
                <w:szCs w:val="21"/>
                <w:highlight w:val="none"/>
              </w:rPr>
            </w:pPr>
            <w:r>
              <w:rPr>
                <w:rFonts w:hint="eastAsia" w:ascii="宋体" w:hAnsi="宋体"/>
                <w:bCs/>
                <w:szCs w:val="21"/>
                <w:highlight w:val="none"/>
              </w:rPr>
              <w:t>2021</w:t>
            </w:r>
            <w:r>
              <w:rPr>
                <w:rFonts w:ascii="宋体" w:hAnsi="宋体"/>
                <w:bCs/>
                <w:szCs w:val="21"/>
                <w:highlight w:val="none"/>
              </w:rPr>
              <w:t>年</w:t>
            </w:r>
            <w:r>
              <w:rPr>
                <w:rFonts w:hint="eastAsia" w:ascii="宋体" w:hAnsi="宋体"/>
                <w:bCs/>
                <w:szCs w:val="21"/>
                <w:highlight w:val="none"/>
                <w:lang w:val="en-US" w:eastAsia="zh-CN"/>
              </w:rPr>
              <w:t>06</w:t>
            </w:r>
            <w:r>
              <w:rPr>
                <w:rFonts w:ascii="宋体" w:hAnsi="宋体"/>
                <w:bCs/>
                <w:szCs w:val="21"/>
                <w:highlight w:val="none"/>
              </w:rPr>
              <w:t>月</w:t>
            </w:r>
            <w:r>
              <w:rPr>
                <w:rFonts w:hint="eastAsia" w:ascii="宋体" w:hAnsi="宋体"/>
                <w:bCs/>
                <w:szCs w:val="21"/>
                <w:highlight w:val="none"/>
                <w:lang w:val="en-US" w:eastAsia="zh-CN"/>
              </w:rPr>
              <w:t>07</w:t>
            </w:r>
            <w:r>
              <w:rPr>
                <w:rFonts w:ascii="宋体" w:hAnsi="宋体"/>
                <w:bCs/>
                <w:szCs w:val="21"/>
                <w:highlight w:val="none"/>
              </w:rPr>
              <w:t>日</w:t>
            </w:r>
            <w:r>
              <w:rPr>
                <w:rFonts w:hint="eastAsia" w:cs="宋体" w:asciiTheme="minorEastAsia" w:hAnsiTheme="minorEastAsia" w:eastAsiaTheme="minorEastAsia"/>
                <w:highlight w:val="none"/>
              </w:rPr>
              <w:t>14时30分(北京时间)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响应文件的递交及谈判地点</w:t>
            </w:r>
          </w:p>
        </w:tc>
        <w:tc>
          <w:tcPr>
            <w:tcW w:w="7510" w:type="dxa"/>
            <w:vAlign w:val="center"/>
          </w:tcPr>
          <w:p>
            <w:pPr>
              <w:adjustRightInd w:val="0"/>
              <w:snapToGrid w:val="0"/>
              <w:spacing w:line="360" w:lineRule="auto"/>
              <w:rPr>
                <w:rFonts w:cs="宋体" w:asciiTheme="minorEastAsia" w:hAnsiTheme="minorEastAsia" w:eastAsiaTheme="minorEastAsia"/>
                <w:szCs w:val="21"/>
                <w:highlight w:val="none"/>
              </w:rPr>
            </w:pPr>
            <w:r>
              <w:rPr>
                <w:rFonts w:hint="eastAsia" w:asciiTheme="minorEastAsia" w:hAnsiTheme="minorEastAsia" w:eastAsiaTheme="minorEastAsia"/>
                <w:szCs w:val="21"/>
                <w:highlight w:val="none"/>
              </w:rPr>
              <w:t>长沙市劳动东路二段48号黄兴车辆段综合楼9楼910室。</w:t>
            </w:r>
            <w:bookmarkStart w:id="146" w:name="_GoBack"/>
            <w:bookmarkEnd w:id="14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谈判现场验证须提交的资料</w:t>
            </w:r>
          </w:p>
        </w:tc>
        <w:tc>
          <w:tcPr>
            <w:tcW w:w="7510" w:type="dxa"/>
            <w:vAlign w:val="center"/>
          </w:tcPr>
          <w:p>
            <w:pPr>
              <w:adjustRightInd w:val="0"/>
              <w:snapToGrid w:val="0"/>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iCs/>
                <w:szCs w:val="21"/>
              </w:rPr>
              <w:t>1.谈判单位代表是谈判单位法定代表人参加的，法定代表人须提供法定代表人身份证明书原件</w:t>
            </w:r>
            <w:r>
              <w:rPr>
                <w:rFonts w:hint="eastAsia" w:cs="宋体" w:asciiTheme="minorEastAsia" w:hAnsiTheme="minorEastAsia" w:eastAsiaTheme="minorEastAsia"/>
                <w:b/>
                <w:bCs/>
                <w:iCs/>
                <w:szCs w:val="21"/>
              </w:rPr>
              <w:t>（格式详见本文件第六章）</w:t>
            </w:r>
            <w:r>
              <w:rPr>
                <w:rFonts w:hint="eastAsia" w:cs="宋体" w:asciiTheme="minorEastAsia" w:hAnsiTheme="minorEastAsia" w:eastAsiaTheme="minorEastAsia"/>
                <w:szCs w:val="21"/>
              </w:rPr>
              <w:t>及本人身份证原件。</w:t>
            </w:r>
          </w:p>
          <w:p>
            <w:pPr>
              <w:adjustRightInd w:val="0"/>
              <w:snapToGrid w:val="0"/>
              <w:spacing w:line="360" w:lineRule="auto"/>
              <w:jc w:val="left"/>
              <w:rPr>
                <w:rFonts w:cs="宋体" w:asciiTheme="minorEastAsia" w:hAnsiTheme="minorEastAsia" w:eastAsiaTheme="minorEastAsia"/>
                <w:iCs/>
                <w:szCs w:val="21"/>
              </w:rPr>
            </w:pPr>
            <w:r>
              <w:rPr>
                <w:rFonts w:hint="eastAsia" w:cs="宋体" w:asciiTheme="minorEastAsia" w:hAnsiTheme="minorEastAsia" w:eastAsiaTheme="minorEastAsia"/>
                <w:szCs w:val="21"/>
              </w:rPr>
              <w:t>2.谈判单位代表是由谈判单位法定代表人授权的委托代理人参加的，其授权委托代理人须提供授权委托书原件</w:t>
            </w:r>
            <w:r>
              <w:rPr>
                <w:rFonts w:hint="eastAsia" w:cs="宋体" w:asciiTheme="minorEastAsia" w:hAnsiTheme="minorEastAsia" w:eastAsiaTheme="minorEastAsia"/>
                <w:b/>
                <w:szCs w:val="21"/>
              </w:rPr>
              <w:t>（格式详见本文件</w:t>
            </w:r>
            <w:r>
              <w:rPr>
                <w:rFonts w:hint="eastAsia" w:cs="宋体" w:asciiTheme="minorEastAsia" w:hAnsiTheme="minorEastAsia" w:eastAsiaTheme="minorEastAsia"/>
                <w:b/>
                <w:bCs/>
                <w:iCs/>
                <w:szCs w:val="21"/>
              </w:rPr>
              <w:t>第六章</w:t>
            </w:r>
            <w:r>
              <w:rPr>
                <w:rFonts w:hint="eastAsia" w:cs="宋体" w:asciiTheme="minorEastAsia" w:hAnsiTheme="minorEastAsia" w:eastAsiaTheme="minorEastAsia"/>
                <w:b/>
                <w:szCs w:val="21"/>
              </w:rPr>
              <w:t>）</w:t>
            </w:r>
            <w:r>
              <w:rPr>
                <w:rFonts w:hint="eastAsia" w:cs="宋体" w:asciiTheme="minorEastAsia" w:hAnsiTheme="minorEastAsia" w:eastAsiaTheme="minorEastAsia"/>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响应文件有效期</w:t>
            </w:r>
          </w:p>
        </w:tc>
        <w:tc>
          <w:tcPr>
            <w:tcW w:w="7510" w:type="dxa"/>
            <w:vAlign w:val="center"/>
          </w:tcPr>
          <w:p>
            <w:pPr>
              <w:adjustRightInd w:val="0"/>
              <w:snapToGrid w:val="0"/>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响应文件份数</w:t>
            </w:r>
          </w:p>
        </w:tc>
        <w:tc>
          <w:tcPr>
            <w:tcW w:w="7510" w:type="dxa"/>
            <w:vAlign w:val="center"/>
          </w:tcPr>
          <w:p>
            <w:pPr>
              <w:adjustRightInd w:val="0"/>
              <w:snapToGrid w:val="0"/>
              <w:spacing w:line="360" w:lineRule="auto"/>
              <w:rPr>
                <w:rFonts w:cs="宋体" w:asciiTheme="minorEastAsia" w:hAnsiTheme="minorEastAsia" w:eastAsiaTheme="minorEastAsia"/>
                <w:szCs w:val="21"/>
                <w:u w:val="single"/>
              </w:rPr>
            </w:pPr>
            <w:r>
              <w:rPr>
                <w:rFonts w:hint="eastAsia" w:cs="宋体" w:asciiTheme="minorEastAsia" w:hAnsiTheme="minorEastAsia" w:eastAsiaTheme="minorEastAsia"/>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2025" w:type="dxa"/>
            <w:vAlign w:val="center"/>
          </w:tcPr>
          <w:p>
            <w:pPr>
              <w:adjustRightInd w:val="0"/>
              <w:snapToGrid w:val="0"/>
              <w:spacing w:line="360" w:lineRule="auto"/>
              <w:jc w:val="center"/>
              <w:rPr>
                <w:rFonts w:cs="仿宋_GB2312" w:asciiTheme="minorEastAsia" w:hAnsiTheme="minorEastAsia" w:eastAsiaTheme="minorEastAsia"/>
                <w:b/>
                <w:szCs w:val="21"/>
                <w:highlight w:val="yellow"/>
              </w:rPr>
            </w:pPr>
            <w:r>
              <w:rPr>
                <w:rFonts w:hint="eastAsia" w:cs="仿宋_GB2312" w:asciiTheme="minorEastAsia" w:hAnsiTheme="minorEastAsia" w:eastAsiaTheme="minorEastAsia"/>
                <w:b/>
                <w:szCs w:val="21"/>
              </w:rPr>
              <w:t>价格承包内容</w:t>
            </w:r>
          </w:p>
        </w:tc>
        <w:tc>
          <w:tcPr>
            <w:tcW w:w="7510" w:type="dxa"/>
            <w:vAlign w:val="center"/>
          </w:tcPr>
          <w:p>
            <w:pPr>
              <w:widowControl/>
              <w:spacing w:line="360" w:lineRule="auto"/>
              <w:rPr>
                <w:rFonts w:cs="宋体" w:asciiTheme="minorEastAsia" w:hAnsiTheme="minorEastAsia" w:eastAsiaTheme="minorEastAsia"/>
                <w:color w:val="000000"/>
              </w:rPr>
            </w:pPr>
            <w:r>
              <w:rPr>
                <w:rFonts w:hint="eastAsia" w:ascii="宋体" w:hAnsi="宋体" w:cs="宋体"/>
              </w:rPr>
              <w:t>单价合同（除税率调整外，合同单价（即中标单价/中选单价/成交单价）在合同执行过程中固定不变，不随政府政策（长沙市规定的最低工资标准变化等）及市场物价上涨或回落等因素调整）。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highlight w:val="yellow"/>
              </w:rPr>
            </w:pPr>
            <w:r>
              <w:rPr>
                <w:rFonts w:hint="eastAsia" w:asciiTheme="minorEastAsia" w:hAnsiTheme="minorEastAsia" w:eastAsiaTheme="minorEastAsia"/>
                <w:b/>
                <w:szCs w:val="21"/>
              </w:rPr>
              <w:t>项目支付方式</w:t>
            </w:r>
          </w:p>
        </w:tc>
        <w:tc>
          <w:tcPr>
            <w:tcW w:w="7510" w:type="dxa"/>
            <w:vAlign w:val="center"/>
          </w:tcPr>
          <w:p>
            <w:pPr>
              <w:spacing w:line="360" w:lineRule="auto"/>
              <w:rPr>
                <w:rFonts w:ascii="宋体" w:hAnsi="宋体" w:cs="宋体"/>
              </w:rPr>
            </w:pPr>
            <w:r>
              <w:rPr>
                <w:rFonts w:hint="eastAsia" w:ascii="宋体" w:hAnsi="宋体" w:cs="宋体"/>
              </w:rPr>
              <w:t>1.预付款</w:t>
            </w:r>
          </w:p>
          <w:p>
            <w:pPr>
              <w:spacing w:line="360" w:lineRule="auto"/>
              <w:rPr>
                <w:rFonts w:ascii="宋体" w:hAnsi="宋体" w:cs="宋体"/>
              </w:rPr>
            </w:pPr>
            <w:r>
              <w:rPr>
                <w:rFonts w:hint="eastAsia" w:ascii="宋体" w:hAnsi="宋体" w:cs="宋体"/>
              </w:rPr>
              <w:t>本项目无预付款。</w:t>
            </w:r>
          </w:p>
          <w:p>
            <w:pPr>
              <w:spacing w:line="360" w:lineRule="auto"/>
              <w:rPr>
                <w:rFonts w:ascii="宋体" w:hAnsi="宋体" w:cs="宋体"/>
              </w:rPr>
            </w:pPr>
            <w:r>
              <w:rPr>
                <w:rFonts w:hint="eastAsia" w:ascii="宋体" w:hAnsi="宋体" w:cs="宋体"/>
              </w:rPr>
              <w:t>2.中间付款</w:t>
            </w:r>
          </w:p>
          <w:p>
            <w:pPr>
              <w:spacing w:line="360" w:lineRule="auto"/>
              <w:rPr>
                <w:rFonts w:ascii="宋体" w:hAnsi="宋体" w:cs="宋体"/>
              </w:rPr>
            </w:pPr>
            <w:r>
              <w:rPr>
                <w:rFonts w:hint="eastAsia" w:ascii="宋体" w:hAnsi="宋体" w:cs="宋体"/>
              </w:rPr>
              <w:t>付款周期为每季度支付一次。每次为按签约合同价的90%平均到每个付款周期，并依据甲方对乙方的考核结果向乙方支付上一个付款周期的价款；中间支付的累计付款金额不超过签约合同价的90%。</w:t>
            </w:r>
          </w:p>
          <w:p>
            <w:pPr>
              <w:spacing w:line="360" w:lineRule="auto"/>
              <w:rPr>
                <w:rFonts w:ascii="宋体" w:hAnsi="宋体" w:cs="宋体"/>
              </w:rPr>
            </w:pPr>
            <w:r>
              <w:rPr>
                <w:rFonts w:hint="eastAsia" w:ascii="宋体" w:hAnsi="宋体" w:cs="宋体"/>
              </w:rPr>
              <w:t>上述款项在甲方收到乙方的经甲方审批同意支付申请、增值税专用发票及有效期内的履约担保复印件等相关资料后28个工作日内支付。</w:t>
            </w:r>
          </w:p>
          <w:p>
            <w:pPr>
              <w:spacing w:line="360" w:lineRule="auto"/>
              <w:rPr>
                <w:rFonts w:ascii="宋体" w:hAnsi="宋体" w:cs="宋体"/>
              </w:rPr>
            </w:pPr>
            <w:r>
              <w:rPr>
                <w:rFonts w:hint="eastAsia" w:ascii="宋体" w:hAnsi="宋体" w:cs="宋体"/>
              </w:rPr>
              <w:t>3.最终付款</w:t>
            </w:r>
          </w:p>
          <w:p>
            <w:pPr>
              <w:spacing w:line="360" w:lineRule="auto"/>
              <w:rPr>
                <w:rFonts w:cs="宋体" w:asciiTheme="minorEastAsia" w:hAnsiTheme="minorEastAsia" w:eastAsiaTheme="minorEastAsia"/>
                <w:color w:val="000000"/>
              </w:rPr>
            </w:pPr>
            <w:r>
              <w:rPr>
                <w:rFonts w:hint="eastAsia" w:ascii="宋体" w:hAnsi="宋体" w:cs="宋体"/>
              </w:rPr>
              <w:t>乙方按合同约定完成全部工作、项目通过最终验收，且本项目履约验收合格后，在收到经甲方批复的支付申请及增值税专用发票等资料并证实完整无误后28个工作日内，支付至合同价格的100%。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信息发布</w:t>
            </w:r>
          </w:p>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指定媒体</w:t>
            </w:r>
          </w:p>
        </w:tc>
        <w:tc>
          <w:tcPr>
            <w:tcW w:w="7510" w:type="dxa"/>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长沙市轨道交通集团有限公司</w:t>
            </w:r>
            <w:r>
              <w:fldChar w:fldCharType="begin"/>
            </w:r>
            <w:r>
              <w:instrText xml:space="preserve"> HYPERLINK "http://www.hncsmtr.com/" </w:instrText>
            </w:r>
            <w:r>
              <w:fldChar w:fldCharType="separate"/>
            </w:r>
            <w:r>
              <w:rPr>
                <w:rStyle w:val="55"/>
                <w:rFonts w:hint="eastAsia" w:cs="宋体" w:asciiTheme="minorEastAsia" w:hAnsiTheme="minorEastAsia" w:eastAsiaTheme="minorEastAsia"/>
                <w:color w:val="auto"/>
                <w:szCs w:val="21"/>
              </w:rPr>
              <w:t>http://www.hncsmtr.com/</w:t>
            </w:r>
            <w:r>
              <w:rPr>
                <w:rStyle w:val="55"/>
                <w:rFonts w:hint="eastAsia" w:cs="宋体" w:asciiTheme="minorEastAsia" w:hAnsiTheme="minorEastAsia" w:eastAsiaTheme="minorEastAsia"/>
                <w:color w:val="auto"/>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采购代理</w:t>
            </w:r>
            <w:r>
              <w:rPr>
                <w:rFonts w:asciiTheme="minorEastAsia" w:hAnsiTheme="minorEastAsia" w:eastAsiaTheme="minorEastAsia"/>
                <w:b/>
                <w:szCs w:val="21"/>
              </w:rPr>
              <w:t>服务费</w:t>
            </w:r>
          </w:p>
        </w:tc>
        <w:tc>
          <w:tcPr>
            <w:tcW w:w="7510" w:type="dxa"/>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本项目采购代理服务费以中选价为基数，按《采购代理服务收费汇率表》(附件一)计算，服务费超过2万元的，按2万元计取，服务费低于5000元的，按5000元计取。由中选单位全额支付，中选单位应在本项目完成中选通知书备案、资料归档等手续，且接到采购单位的通知后，向采购代理机构缴纳采购代理服务费。</w:t>
            </w:r>
          </w:p>
        </w:tc>
      </w:tr>
    </w:tbl>
    <w:p>
      <w:pPr>
        <w:pStyle w:val="4"/>
        <w:keepNext w:val="0"/>
        <w:keepLines w:val="0"/>
        <w:ind w:firstLine="602" w:firstLineChars="200"/>
        <w:jc w:val="center"/>
        <w:rPr>
          <w:rFonts w:asciiTheme="minorEastAsia" w:hAnsiTheme="minorEastAsia" w:eastAsiaTheme="minorEastAsia"/>
          <w:sz w:val="30"/>
          <w:szCs w:val="30"/>
        </w:rPr>
        <w:sectPr>
          <w:footerReference r:id="rId4" w:type="first"/>
          <w:footerReference r:id="rId3" w:type="default"/>
          <w:pgSz w:w="12240" w:h="15840"/>
          <w:pgMar w:top="1440" w:right="1800" w:bottom="1440" w:left="1800" w:header="720" w:footer="720" w:gutter="0"/>
          <w:pgNumType w:start="1"/>
          <w:cols w:space="720" w:num="1"/>
          <w:titlePg/>
          <w:docGrid w:type="lines" w:linePitch="323" w:charSpace="0"/>
        </w:sectPr>
      </w:pPr>
    </w:p>
    <w:p>
      <w:pPr>
        <w:pStyle w:val="4"/>
        <w:keepNext w:val="0"/>
        <w:keepLines w:val="0"/>
        <w:ind w:firstLine="643" w:firstLineChars="200"/>
        <w:jc w:val="center"/>
        <w:rPr>
          <w:rFonts w:cs="宋体" w:asciiTheme="minorEastAsia" w:hAnsiTheme="minorEastAsia" w:eastAsiaTheme="minorEastAsia"/>
          <w:sz w:val="32"/>
        </w:rPr>
      </w:pPr>
      <w:bookmarkStart w:id="10" w:name="_Toc934"/>
      <w:r>
        <w:rPr>
          <w:rFonts w:hint="eastAsia" w:cs="宋体" w:asciiTheme="minorEastAsia" w:hAnsiTheme="minorEastAsia" w:eastAsiaTheme="minorEastAsia"/>
          <w:sz w:val="32"/>
        </w:rPr>
        <w:t>谈判须知正文</w:t>
      </w:r>
      <w:bookmarkEnd w:id="10"/>
    </w:p>
    <w:p>
      <w:pPr>
        <w:pStyle w:val="25"/>
        <w:adjustRightInd w:val="0"/>
        <w:snapToGrid w:val="0"/>
        <w:spacing w:line="360" w:lineRule="auto"/>
        <w:ind w:firstLine="422" w:firstLineChars="200"/>
        <w:outlineLvl w:val="1"/>
        <w:rPr>
          <w:rFonts w:asciiTheme="minorEastAsia" w:hAnsiTheme="minorEastAsia" w:eastAsiaTheme="minorEastAsia"/>
          <w:b/>
          <w:iCs/>
        </w:rPr>
      </w:pPr>
      <w:bookmarkStart w:id="11" w:name="_Toc11459"/>
      <w:r>
        <w:rPr>
          <w:rFonts w:hint="eastAsia" w:asciiTheme="minorEastAsia" w:hAnsiTheme="minorEastAsia" w:eastAsiaTheme="minorEastAsia"/>
          <w:b/>
          <w:iCs/>
        </w:rPr>
        <w:t>一、说明</w:t>
      </w:r>
      <w:bookmarkEnd w:id="11"/>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bCs/>
          <w:szCs w:val="21"/>
        </w:rPr>
        <w:t>1.</w:t>
      </w:r>
      <w:r>
        <w:rPr>
          <w:rFonts w:hint="eastAsia" w:asciiTheme="minorEastAsia" w:hAnsiTheme="minorEastAsia" w:eastAsiaTheme="minorEastAsia"/>
          <w:b/>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2.本谈判文件的解释权属于长沙市轨道交通运营有限公司。</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3.定义</w:t>
      </w:r>
    </w:p>
    <w:p>
      <w:pPr>
        <w:adjustRightInd w:val="0"/>
        <w:snapToGrid w:val="0"/>
        <w:spacing w:line="360" w:lineRule="auto"/>
        <w:ind w:firstLine="420" w:firstLineChars="200"/>
        <w:rPr>
          <w:rFonts w:asciiTheme="minorEastAsia" w:hAnsiTheme="minorEastAsia" w:eastAsiaTheme="minorEastAsia"/>
          <w:b/>
          <w:szCs w:val="21"/>
        </w:rPr>
      </w:pPr>
      <w:r>
        <w:rPr>
          <w:rFonts w:hint="eastAsia" w:asciiTheme="minorEastAsia" w:hAnsiTheme="minorEastAsia" w:eastAsiaTheme="minorEastAsia"/>
          <w:szCs w:val="21"/>
        </w:rPr>
        <w:t>3.1“采购单位”是指依法进行采购的法人组织。本项目的采购单位名称见</w:t>
      </w:r>
      <w:r>
        <w:rPr>
          <w:rFonts w:hint="eastAsia" w:asciiTheme="minorEastAsia" w:hAnsiTheme="minorEastAsia" w:eastAsiaTheme="minorEastAsia"/>
          <w:b/>
          <w:szCs w:val="21"/>
        </w:rPr>
        <w:t>前附表</w:t>
      </w:r>
      <w:r>
        <w:rPr>
          <w:rFonts w:hint="eastAsia" w:asciiTheme="minorEastAsia" w:hAnsiTheme="minorEastAsia" w:eastAsiaTheme="minorEastAsia"/>
          <w:szCs w:val="21"/>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3.2“谈判单位”是指响应本谈判文件要求、参加谈判的法人组织。</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3.3“采购代理机构”是指接受采购人委托，代理采购项目的机构。本采购项目的采购代理机构名称见</w:t>
      </w:r>
      <w:r>
        <w:rPr>
          <w:rFonts w:hint="eastAsia" w:asciiTheme="minorEastAsia" w:hAnsiTheme="minorEastAsia" w:eastAsiaTheme="minorEastAsia"/>
          <w:b/>
          <w:bCs/>
          <w:szCs w:val="21"/>
        </w:rPr>
        <w:t>前附表</w:t>
      </w:r>
      <w:r>
        <w:rPr>
          <w:rFonts w:hint="eastAsia" w:asciiTheme="minorEastAsia" w:hAnsiTheme="minorEastAsia" w:eastAsiaTheme="minorEastAsia"/>
          <w:szCs w:val="21"/>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3.4“谈判</w:t>
      </w:r>
      <w:r>
        <w:rPr>
          <w:rFonts w:hint="eastAsia" w:asciiTheme="minorEastAsia" w:hAnsiTheme="minorEastAsia" w:eastAsiaTheme="minorEastAsia"/>
          <w:b/>
          <w:bCs/>
          <w:szCs w:val="21"/>
        </w:rPr>
        <w:t>评审</w:t>
      </w:r>
      <w:r>
        <w:rPr>
          <w:rFonts w:hint="eastAsia" w:asciiTheme="minorEastAsia" w:hAnsiTheme="minorEastAsia" w:eastAsiaTheme="minorEastAsia"/>
          <w:szCs w:val="21"/>
        </w:rPr>
        <w:t>小组”是指采购单位按其规定组建，依法依规履行其职责和义务的机构。</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4.谈判单位资格要求</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4.1参与谈判的单位应当符合</w:t>
      </w:r>
      <w:r>
        <w:rPr>
          <w:rFonts w:hint="eastAsia" w:asciiTheme="minorEastAsia" w:hAnsiTheme="minorEastAsia" w:eastAsiaTheme="minorEastAsia"/>
          <w:b/>
          <w:szCs w:val="21"/>
        </w:rPr>
        <w:t>前附表</w:t>
      </w:r>
      <w:r>
        <w:rPr>
          <w:rFonts w:hint="eastAsia" w:asciiTheme="minorEastAsia" w:hAnsiTheme="minorEastAsia" w:eastAsiaTheme="minorEastAsia"/>
          <w:szCs w:val="21"/>
        </w:rPr>
        <w:t>中规定的资格要求；</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4.2参与谈判的单位</w:t>
      </w:r>
      <w:r>
        <w:rPr>
          <w:rFonts w:asciiTheme="minorEastAsia" w:hAnsiTheme="minorEastAsia" w:eastAsiaTheme="minorEastAsia"/>
          <w:szCs w:val="21"/>
        </w:rPr>
        <w:t>存在下列情形之一</w:t>
      </w:r>
      <w:r>
        <w:rPr>
          <w:rFonts w:hint="eastAsia" w:asciiTheme="minorEastAsia" w:hAnsiTheme="minorEastAsia" w:eastAsiaTheme="minorEastAsia"/>
          <w:szCs w:val="21"/>
        </w:rPr>
        <w:t>的，其</w:t>
      </w:r>
      <w:r>
        <w:rPr>
          <w:rFonts w:hint="eastAsia" w:asciiTheme="minorEastAsia" w:hAnsiTheme="minorEastAsia" w:eastAsiaTheme="minorEastAsia"/>
          <w:bCs/>
          <w:szCs w:val="21"/>
        </w:rPr>
        <w:t>谈判</w:t>
      </w:r>
      <w:r>
        <w:rPr>
          <w:rFonts w:asciiTheme="minorEastAsia" w:hAnsiTheme="minorEastAsia" w:eastAsiaTheme="minorEastAsia"/>
          <w:szCs w:val="21"/>
        </w:rPr>
        <w:t>将被</w:t>
      </w:r>
      <w:r>
        <w:rPr>
          <w:rFonts w:asciiTheme="minorEastAsia" w:hAnsiTheme="minorEastAsia" w:eastAsiaTheme="minorEastAsia"/>
          <w:b/>
          <w:bCs/>
          <w:szCs w:val="21"/>
        </w:rPr>
        <w:t>否决</w:t>
      </w:r>
      <w:r>
        <w:rPr>
          <w:rFonts w:asciiTheme="minorEastAsia" w:hAnsiTheme="minorEastAsia" w:eastAsiaTheme="minorEastAsia"/>
          <w:szCs w:val="21"/>
        </w:rPr>
        <w:t>：</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（1）与采购单位（或本项目采购代理机构）存在利害关系且可能影响采购公正性；</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（2）谈判单位法定代表人或负责人与其他谈判单位法定代表人或负责人为同一人；</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（3）与本采购项目的其他谈判单位存在控股、管理关系；</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（4）被责令停产停业、暂扣或者吊销许可证、暂扣或者吊销执照；</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（5）进入破产、清算、注销程序，或存在其他可能丧失履约能力的情形；</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（6）在国家企业信用信息公示系统中显示已被列入严重违法失信企业名单；</w:t>
      </w:r>
    </w:p>
    <w:p>
      <w:pPr>
        <w:adjustRightInd w:val="0"/>
        <w:snapToGrid w:val="0"/>
        <w:spacing w:line="360" w:lineRule="auto"/>
        <w:ind w:firstLine="420" w:firstLineChars="200"/>
        <w:rPr>
          <w:rFonts w:cs="宋体" w:asciiTheme="minorEastAsia" w:hAnsiTheme="minorEastAsia" w:eastAsiaTheme="minorEastAsia"/>
          <w:strike/>
          <w:szCs w:val="21"/>
        </w:rPr>
      </w:pPr>
      <w:r>
        <w:rPr>
          <w:rFonts w:hint="eastAsia" w:cs="宋体" w:asciiTheme="minorEastAsia" w:hAnsiTheme="minorEastAsia" w:eastAsiaTheme="minorEastAsia"/>
          <w:szCs w:val="21"/>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5.参与谈判的费用</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5.2</w:t>
      </w:r>
      <w:r>
        <w:rPr>
          <w:rFonts w:hint="eastAsia" w:cs="宋体" w:asciiTheme="minorEastAsia" w:hAnsiTheme="minorEastAsia" w:eastAsiaTheme="minorEastAsia"/>
          <w:szCs w:val="21"/>
        </w:rPr>
        <w:t>采购代理服务费由中选单位全额承担。本项目采购代理服务费以中选价为基数，按谈判须知</w:t>
      </w:r>
      <w:r>
        <w:rPr>
          <w:rFonts w:hint="eastAsia" w:cs="宋体" w:asciiTheme="minorEastAsia" w:hAnsiTheme="minorEastAsia" w:eastAsiaTheme="minorEastAsia"/>
          <w:b/>
          <w:bCs/>
          <w:szCs w:val="21"/>
        </w:rPr>
        <w:t>《采购代理服务费收费标准》（详见本须知附件）</w:t>
      </w:r>
      <w:r>
        <w:rPr>
          <w:rFonts w:hint="eastAsia" w:cs="宋体" w:asciiTheme="minorEastAsia" w:hAnsiTheme="minorEastAsia" w:eastAsiaTheme="minorEastAsia"/>
          <w:szCs w:val="21"/>
        </w:rPr>
        <w:t>向中选单位收取。</w:t>
      </w:r>
    </w:p>
    <w:p>
      <w:pPr>
        <w:pStyle w:val="25"/>
        <w:adjustRightInd w:val="0"/>
        <w:snapToGrid w:val="0"/>
        <w:spacing w:line="360" w:lineRule="auto"/>
        <w:ind w:firstLine="422" w:firstLineChars="200"/>
        <w:rPr>
          <w:rFonts w:asciiTheme="minorEastAsia" w:hAnsiTheme="minorEastAsia" w:eastAsiaTheme="minorEastAsia"/>
          <w:b/>
          <w:bCs/>
        </w:rPr>
      </w:pPr>
      <w:r>
        <w:rPr>
          <w:rFonts w:hint="eastAsia" w:asciiTheme="minorEastAsia" w:hAnsiTheme="minorEastAsia" w:eastAsiaTheme="minorEastAsia"/>
          <w:b/>
        </w:rPr>
        <w:t>6．</w:t>
      </w:r>
      <w:r>
        <w:rPr>
          <w:rFonts w:hint="eastAsia" w:asciiTheme="minorEastAsia" w:hAnsiTheme="minorEastAsia" w:eastAsiaTheme="minorEastAsia"/>
          <w:b/>
          <w:bCs/>
        </w:rPr>
        <w:t>谈判单位代表</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6.1谈判单位代表为谈判单位法定代表人的：应提供法定代表人身份证明书</w:t>
      </w:r>
      <w:r>
        <w:rPr>
          <w:rFonts w:hint="eastAsia" w:asciiTheme="minorEastAsia" w:hAnsiTheme="minorEastAsia" w:eastAsiaTheme="minorEastAsia"/>
          <w:b/>
          <w:bCs/>
        </w:rPr>
        <w:t>（见</w:t>
      </w:r>
      <w:r>
        <w:rPr>
          <w:rFonts w:hint="eastAsia" w:asciiTheme="minorEastAsia" w:hAnsiTheme="minorEastAsia" w:eastAsiaTheme="minorEastAsia"/>
          <w:b/>
          <w:bCs/>
          <w:iCs/>
        </w:rPr>
        <w:t>第六章</w:t>
      </w:r>
      <w:r>
        <w:rPr>
          <w:rFonts w:hint="eastAsia" w:asciiTheme="minorEastAsia" w:hAnsiTheme="minorEastAsia" w:eastAsiaTheme="minorEastAsia"/>
          <w:b/>
          <w:bCs/>
        </w:rPr>
        <w:t>响应文件格式）</w:t>
      </w:r>
      <w:r>
        <w:rPr>
          <w:rFonts w:hint="eastAsia" w:asciiTheme="minorEastAsia" w:hAnsiTheme="minorEastAsia" w:eastAsiaTheme="minorEastAsia"/>
        </w:rPr>
        <w:t>原件及本人身份证原件。</w:t>
      </w:r>
    </w:p>
    <w:p>
      <w:pPr>
        <w:pStyle w:val="25"/>
        <w:adjustRightInd w:val="0"/>
        <w:snapToGrid w:val="0"/>
        <w:spacing w:line="360" w:lineRule="auto"/>
        <w:ind w:firstLine="420" w:firstLineChars="200"/>
        <w:rPr>
          <w:rFonts w:asciiTheme="minorEastAsia" w:hAnsiTheme="minorEastAsia" w:eastAsiaTheme="minorEastAsia"/>
          <w:b/>
          <w:strike/>
        </w:rPr>
      </w:pPr>
      <w:r>
        <w:rPr>
          <w:rFonts w:hint="eastAsia" w:asciiTheme="minorEastAsia" w:hAnsiTheme="minorEastAsia" w:eastAsiaTheme="minorEastAsia"/>
        </w:rPr>
        <w:t>6.2谈判单位代表不是谈判单位法定代表人的：应提供授权委托书</w:t>
      </w:r>
      <w:r>
        <w:rPr>
          <w:rFonts w:hint="eastAsia" w:asciiTheme="minorEastAsia" w:hAnsiTheme="minorEastAsia" w:eastAsiaTheme="minorEastAsia"/>
          <w:b/>
          <w:bCs/>
        </w:rPr>
        <w:t>（见</w:t>
      </w:r>
      <w:r>
        <w:rPr>
          <w:rFonts w:hint="eastAsia" w:asciiTheme="minorEastAsia" w:hAnsiTheme="minorEastAsia" w:eastAsiaTheme="minorEastAsia"/>
          <w:b/>
          <w:bCs/>
          <w:iCs/>
        </w:rPr>
        <w:t>第六章</w:t>
      </w:r>
      <w:r>
        <w:rPr>
          <w:rFonts w:hint="eastAsia" w:asciiTheme="minorEastAsia" w:hAnsiTheme="minorEastAsia" w:eastAsiaTheme="minorEastAsia"/>
          <w:b/>
          <w:bCs/>
        </w:rPr>
        <w:t>响应文件格式）</w:t>
      </w:r>
      <w:r>
        <w:rPr>
          <w:rFonts w:hint="eastAsia" w:asciiTheme="minorEastAsia" w:hAnsiTheme="minorEastAsia" w:eastAsiaTheme="minorEastAsia"/>
        </w:rPr>
        <w:t>原件及本人身份证原件。</w:t>
      </w:r>
    </w:p>
    <w:p>
      <w:pPr>
        <w:pStyle w:val="25"/>
        <w:adjustRightInd w:val="0"/>
        <w:snapToGrid w:val="0"/>
        <w:spacing w:line="360" w:lineRule="auto"/>
        <w:ind w:firstLine="422" w:firstLineChars="200"/>
        <w:outlineLvl w:val="1"/>
        <w:rPr>
          <w:rFonts w:asciiTheme="minorEastAsia" w:hAnsiTheme="minorEastAsia" w:eastAsiaTheme="minorEastAsia"/>
          <w:b/>
          <w:iCs/>
        </w:rPr>
      </w:pPr>
      <w:bookmarkStart w:id="12" w:name="_Toc4016"/>
      <w:r>
        <w:rPr>
          <w:rFonts w:hint="eastAsia" w:asciiTheme="minorEastAsia" w:hAnsiTheme="minorEastAsia" w:eastAsiaTheme="minorEastAsia"/>
          <w:b/>
          <w:iCs/>
        </w:rPr>
        <w:t>二、谈判文件</w:t>
      </w:r>
      <w:bookmarkEnd w:id="12"/>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7．谈判文件的组成</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7.1谈判文件由下列文件组成：</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第一章 谈判邀请公告</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第二章 谈判须知</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第三章 评审办法及标准</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第四章 用户需求书</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第五章 合同格式条款</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第六章 响应文件组成</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7.2</w:t>
      </w:r>
      <w:r>
        <w:rPr>
          <w:rFonts w:hint="eastAsia" w:cs="宋体" w:asciiTheme="minorEastAsia" w:hAnsiTheme="minorEastAsia" w:eastAsiaTheme="minorEastAsia"/>
          <w:kern w:val="0"/>
        </w:rPr>
        <w:t>响应文件递交截止时间前对谈判文件澄清或者修改内容，均为谈判文件的组成部分。</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7.3</w:t>
      </w:r>
      <w:r>
        <w:rPr>
          <w:rFonts w:hint="eastAsia" w:asciiTheme="minorEastAsia" w:hAnsiTheme="minorEastAsia" w:eastAsiaTheme="minorEastAsia"/>
          <w:szCs w:val="21"/>
        </w:rPr>
        <w:t>谈判单位应仔细阅读</w:t>
      </w:r>
      <w:r>
        <w:rPr>
          <w:rFonts w:hint="eastAsia" w:asciiTheme="minorEastAsia" w:hAnsiTheme="minorEastAsia" w:eastAsiaTheme="minorEastAsia"/>
          <w:bCs/>
          <w:szCs w:val="21"/>
        </w:rPr>
        <w:t>谈判</w:t>
      </w:r>
      <w:r>
        <w:rPr>
          <w:rFonts w:hint="eastAsia" w:asciiTheme="minorEastAsia" w:hAnsiTheme="minorEastAsia" w:eastAsiaTheme="minorEastAsia"/>
          <w:szCs w:val="21"/>
        </w:rPr>
        <w:t>文件的全部内容，按照</w:t>
      </w:r>
      <w:r>
        <w:rPr>
          <w:rFonts w:hint="eastAsia" w:asciiTheme="minorEastAsia" w:hAnsiTheme="minorEastAsia" w:eastAsiaTheme="minorEastAsia"/>
          <w:bCs/>
          <w:szCs w:val="21"/>
        </w:rPr>
        <w:t>谈判</w:t>
      </w:r>
      <w:r>
        <w:rPr>
          <w:rFonts w:hint="eastAsia" w:asciiTheme="minorEastAsia" w:hAnsiTheme="minorEastAsia" w:eastAsiaTheme="minorEastAsia"/>
          <w:szCs w:val="21"/>
        </w:rPr>
        <w:t>文件要求编制响应文件。任何对</w:t>
      </w:r>
      <w:r>
        <w:rPr>
          <w:rFonts w:hint="eastAsia" w:asciiTheme="minorEastAsia" w:hAnsiTheme="minorEastAsia" w:eastAsiaTheme="minorEastAsia"/>
          <w:bCs/>
          <w:szCs w:val="21"/>
        </w:rPr>
        <w:t>谈判</w:t>
      </w:r>
      <w:r>
        <w:rPr>
          <w:rFonts w:hint="eastAsia" w:asciiTheme="minorEastAsia" w:hAnsiTheme="minorEastAsia" w:eastAsiaTheme="minorEastAsia"/>
          <w:szCs w:val="21"/>
        </w:rPr>
        <w:t>文件的忽略或误解不能作为响应文件存在缺陷或瑕疵的理由，其风险由谈判单位承担。</w:t>
      </w:r>
    </w:p>
    <w:p>
      <w:pPr>
        <w:adjustRightInd w:val="0"/>
        <w:snapToGrid w:val="0"/>
        <w:spacing w:line="360" w:lineRule="auto"/>
        <w:ind w:firstLine="422" w:firstLineChars="200"/>
        <w:rPr>
          <w:rFonts w:cs="宋体" w:asciiTheme="minorEastAsia" w:hAnsiTheme="minorEastAsia" w:eastAsiaTheme="minorEastAsia"/>
          <w:b/>
          <w:kern w:val="0"/>
        </w:rPr>
      </w:pPr>
      <w:r>
        <w:rPr>
          <w:rFonts w:hint="eastAsia" w:asciiTheme="minorEastAsia" w:hAnsiTheme="minorEastAsia" w:eastAsiaTheme="minorEastAsia"/>
          <w:b/>
          <w:bCs/>
          <w:szCs w:val="21"/>
        </w:rPr>
        <w:t>8.</w:t>
      </w:r>
      <w:r>
        <w:rPr>
          <w:rFonts w:hint="eastAsia" w:cs="宋体" w:asciiTheme="minorEastAsia" w:hAnsiTheme="minorEastAsia" w:eastAsiaTheme="minorEastAsia"/>
          <w:b/>
          <w:kern w:val="0"/>
        </w:rPr>
        <w:t>谈判文件的澄清及答疑</w:t>
      </w:r>
    </w:p>
    <w:p>
      <w:pPr>
        <w:spacing w:line="360" w:lineRule="auto"/>
        <w:ind w:firstLine="420" w:firstLineChars="200"/>
        <w:rPr>
          <w:rFonts w:cs="Courier New" w:asciiTheme="minorEastAsia" w:hAnsiTheme="minorEastAsia" w:eastAsiaTheme="minorEastAsia"/>
          <w:iCs/>
          <w:szCs w:val="21"/>
        </w:rPr>
      </w:pPr>
      <w:r>
        <w:rPr>
          <w:rFonts w:hint="eastAsia" w:cs="Courier New" w:asciiTheme="minorEastAsia" w:hAnsiTheme="minorEastAsia" w:eastAsiaTheme="minorEastAsia"/>
          <w:iCs/>
          <w:szCs w:val="21"/>
        </w:rPr>
        <w:t>8.1.谈判单位应仔细阅读和检查谈判文件的全部内容，如有疑问，</w:t>
      </w:r>
      <w:r>
        <w:rPr>
          <w:rFonts w:hint="eastAsia" w:asciiTheme="minorEastAsia" w:hAnsiTheme="minorEastAsia" w:eastAsiaTheme="minorEastAsia"/>
          <w:szCs w:val="21"/>
        </w:rPr>
        <w:t>应按</w:t>
      </w:r>
      <w:r>
        <w:rPr>
          <w:rFonts w:hint="eastAsia" w:asciiTheme="minorEastAsia" w:hAnsiTheme="minorEastAsia" w:eastAsiaTheme="minorEastAsia"/>
          <w:b/>
          <w:bCs/>
          <w:szCs w:val="21"/>
        </w:rPr>
        <w:t>前附表</w:t>
      </w:r>
      <w:r>
        <w:rPr>
          <w:rFonts w:hint="eastAsia" w:asciiTheme="minorEastAsia" w:hAnsiTheme="minorEastAsia" w:eastAsiaTheme="minorEastAsia"/>
          <w:szCs w:val="21"/>
        </w:rPr>
        <w:t>规定的时间、方式及地点</w:t>
      </w:r>
      <w:r>
        <w:rPr>
          <w:rFonts w:hint="eastAsia" w:cs="Courier New" w:asciiTheme="minorEastAsia" w:hAnsiTheme="minorEastAsia" w:eastAsiaTheme="minorEastAsia"/>
          <w:iCs/>
          <w:szCs w:val="21"/>
        </w:rPr>
        <w:t>向采购代理机构提出，</w:t>
      </w:r>
      <w:r>
        <w:rPr>
          <w:rFonts w:hint="eastAsia" w:asciiTheme="minorEastAsia" w:hAnsiTheme="minorEastAsia" w:eastAsiaTheme="minorEastAsia"/>
          <w:szCs w:val="21"/>
        </w:rPr>
        <w:t>否则，由此引起的损失由谈判单位自己承担。</w:t>
      </w:r>
    </w:p>
    <w:p>
      <w:pPr>
        <w:spacing w:line="360" w:lineRule="auto"/>
        <w:ind w:firstLine="420" w:firstLineChars="200"/>
        <w:rPr>
          <w:rFonts w:cs="Courier New" w:asciiTheme="minorEastAsia" w:hAnsiTheme="minorEastAsia" w:eastAsiaTheme="minorEastAsia"/>
          <w:iCs/>
          <w:szCs w:val="21"/>
        </w:rPr>
      </w:pPr>
      <w:r>
        <w:rPr>
          <w:rFonts w:hint="eastAsia" w:cs="Courier New" w:asciiTheme="minorEastAsia" w:hAnsiTheme="minorEastAsia" w:eastAsiaTheme="minorEastAsia"/>
          <w:iCs/>
          <w:szCs w:val="21"/>
        </w:rPr>
        <w:t>8.2.在谈判截止时间前，采购单位或采购代理机构可主动的或在解答谈判单位提出的问题时对谈判文件进行澄清或修改。</w:t>
      </w:r>
    </w:p>
    <w:p>
      <w:pPr>
        <w:adjustRightInd w:val="0"/>
        <w:snapToGrid w:val="0"/>
        <w:spacing w:line="360" w:lineRule="auto"/>
        <w:ind w:firstLine="420" w:firstLineChars="200"/>
        <w:rPr>
          <w:rFonts w:cs="宋体" w:asciiTheme="minorEastAsia" w:hAnsiTheme="minorEastAsia" w:eastAsiaTheme="minorEastAsia"/>
          <w:kern w:val="0"/>
          <w:szCs w:val="21"/>
        </w:rPr>
      </w:pPr>
      <w:r>
        <w:rPr>
          <w:rFonts w:hint="eastAsia" w:asciiTheme="minorEastAsia" w:hAnsiTheme="minorEastAsia" w:eastAsiaTheme="minorEastAsia"/>
          <w:szCs w:val="21"/>
        </w:rPr>
        <w:t>8.3</w:t>
      </w:r>
      <w:r>
        <w:rPr>
          <w:rFonts w:hint="eastAsia" w:cs="宋体" w:asciiTheme="minorEastAsia" w:hAnsiTheme="minorEastAsia" w:eastAsiaTheme="minorEastAsia"/>
          <w:kern w:val="0"/>
          <w:szCs w:val="21"/>
        </w:rPr>
        <w:t>澄清或者修改的内容可能影响响应文件编制的，采购单位或采购代理机构应当在提交响应文件截止之日3个工作日前，</w:t>
      </w:r>
      <w:r>
        <w:rPr>
          <w:rFonts w:hint="eastAsia" w:cs="宋体" w:asciiTheme="minorEastAsia" w:hAnsiTheme="minorEastAsia" w:eastAsiaTheme="minorEastAsia"/>
          <w:kern w:val="0"/>
        </w:rPr>
        <w:t>在长沙市轨道交通集团有限公司官网</w:t>
      </w:r>
      <w:r>
        <w:rPr>
          <w:rFonts w:hint="eastAsia" w:cs="宋体" w:asciiTheme="minorEastAsia" w:hAnsiTheme="minorEastAsia" w:eastAsiaTheme="minorEastAsia"/>
          <w:kern w:val="0"/>
          <w:szCs w:val="21"/>
        </w:rPr>
        <w:t>（http://www.hncsmtr.com/）</w:t>
      </w:r>
      <w:r>
        <w:rPr>
          <w:rFonts w:hint="eastAsia" w:cs="宋体" w:asciiTheme="minorEastAsia" w:hAnsiTheme="minorEastAsia" w:eastAsiaTheme="minorEastAsia"/>
          <w:kern w:val="0"/>
        </w:rPr>
        <w:t>发布澄清或答疑文件及顺延谈判时间，敬请获得谈判文件的所有谈判单位关注，恕不另行通知，如有遗漏采购单位或代理机构不负任何责任。</w:t>
      </w:r>
    </w:p>
    <w:p>
      <w:pPr>
        <w:adjustRightInd w:val="0"/>
        <w:snapToGrid w:val="0"/>
        <w:spacing w:line="360" w:lineRule="auto"/>
        <w:ind w:firstLine="422" w:firstLineChars="200"/>
        <w:rPr>
          <w:rFonts w:asciiTheme="minorEastAsia" w:hAnsiTheme="minorEastAsia" w:eastAsiaTheme="minorEastAsia"/>
          <w:b/>
        </w:rPr>
      </w:pPr>
      <w:r>
        <w:rPr>
          <w:rFonts w:hint="eastAsia" w:asciiTheme="minorEastAsia" w:hAnsiTheme="minorEastAsia" w:eastAsiaTheme="minorEastAsia"/>
          <w:b/>
          <w:bCs/>
          <w:szCs w:val="21"/>
        </w:rPr>
        <w:t>9.</w:t>
      </w:r>
      <w:r>
        <w:rPr>
          <w:rFonts w:hint="eastAsia" w:cs="宋体" w:asciiTheme="minorEastAsia" w:hAnsiTheme="minorEastAsia" w:eastAsiaTheme="minorEastAsia"/>
          <w:b/>
          <w:kern w:val="0"/>
        </w:rPr>
        <w:t>响应文件递交截止时间、谈判会议时间及地点</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9.1</w:t>
      </w:r>
      <w:r>
        <w:rPr>
          <w:rFonts w:hint="eastAsia" w:cs="宋体" w:asciiTheme="minorEastAsia" w:hAnsiTheme="minorEastAsia" w:eastAsiaTheme="minorEastAsia"/>
          <w:kern w:val="0"/>
        </w:rPr>
        <w:t>谈判单位递交响应文件截止时间、谈判会议</w:t>
      </w:r>
      <w:r>
        <w:rPr>
          <w:rFonts w:hint="eastAsia" w:asciiTheme="minorEastAsia" w:hAnsiTheme="minorEastAsia" w:eastAsiaTheme="minorEastAsia"/>
        </w:rPr>
        <w:t>时间及地点见</w:t>
      </w:r>
      <w:r>
        <w:rPr>
          <w:rFonts w:hint="eastAsia" w:asciiTheme="minorEastAsia" w:hAnsiTheme="minorEastAsia" w:eastAsiaTheme="minorEastAsia"/>
          <w:b/>
        </w:rPr>
        <w:t>前附表</w:t>
      </w:r>
      <w:r>
        <w:rPr>
          <w:rFonts w:hint="eastAsia" w:asciiTheme="minorEastAsia" w:hAnsiTheme="minorEastAsia" w:eastAsiaTheme="minorEastAsia"/>
        </w:rPr>
        <w:t>。</w:t>
      </w:r>
    </w:p>
    <w:p>
      <w:pPr>
        <w:pStyle w:val="25"/>
        <w:adjustRightInd w:val="0"/>
        <w:snapToGrid w:val="0"/>
        <w:spacing w:line="360" w:lineRule="auto"/>
        <w:ind w:firstLine="422" w:firstLineChars="200"/>
        <w:outlineLvl w:val="1"/>
        <w:rPr>
          <w:rFonts w:asciiTheme="minorEastAsia" w:hAnsiTheme="minorEastAsia" w:eastAsiaTheme="minorEastAsia"/>
          <w:b/>
          <w:iCs/>
        </w:rPr>
      </w:pPr>
      <w:bookmarkStart w:id="13" w:name="_Toc32270"/>
      <w:r>
        <w:rPr>
          <w:rFonts w:hint="eastAsia" w:asciiTheme="minorEastAsia" w:hAnsiTheme="minorEastAsia" w:eastAsiaTheme="minorEastAsia"/>
          <w:b/>
          <w:iCs/>
        </w:rPr>
        <w:t>三、响应文件</w:t>
      </w:r>
      <w:bookmarkEnd w:id="13"/>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10.一般要求</w:t>
      </w:r>
    </w:p>
    <w:p>
      <w:pPr>
        <w:adjustRightInd w:val="0"/>
        <w:snapToGrid w:val="0"/>
        <w:spacing w:line="360" w:lineRule="auto"/>
        <w:ind w:firstLine="420" w:firstLineChars="200"/>
        <w:rPr>
          <w:rFonts w:ascii="宋体" w:hAnsi="宋体" w:cs="宋体"/>
          <w:bCs/>
          <w:szCs w:val="21"/>
        </w:rPr>
      </w:pPr>
      <w:r>
        <w:rPr>
          <w:rFonts w:hint="eastAsia" w:asciiTheme="minorEastAsia" w:hAnsiTheme="minorEastAsia" w:eastAsiaTheme="minorEastAsia"/>
          <w:bCs/>
          <w:szCs w:val="21"/>
        </w:rPr>
        <w:t>10.1</w:t>
      </w:r>
      <w:r>
        <w:rPr>
          <w:rFonts w:hint="eastAsia" w:ascii="宋体" w:hAnsi="宋体" w:cs="宋体"/>
          <w:bCs/>
          <w:szCs w:val="21"/>
        </w:rPr>
        <w:t>谈判单位应仔细阅读谈判文件的所有内容，按谈判文件的要求编制响应文件，</w:t>
      </w:r>
      <w:r>
        <w:rPr>
          <w:rFonts w:hint="eastAsia" w:ascii="宋体" w:hAnsi="宋体" w:cs="宋体"/>
          <w:b/>
          <w:szCs w:val="21"/>
        </w:rPr>
        <w:t>严禁复制、粘贴，</w:t>
      </w:r>
      <w:r>
        <w:rPr>
          <w:rFonts w:hint="eastAsia" w:ascii="宋体" w:hAnsi="宋体" w:cs="宋体"/>
          <w:bCs/>
          <w:szCs w:val="21"/>
        </w:rPr>
        <w:t>并保证所提供的全部资料的真实性。</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10.2</w:t>
      </w:r>
      <w:r>
        <w:rPr>
          <w:rFonts w:hint="eastAsia" w:asciiTheme="minorEastAsia" w:hAnsiTheme="minorEastAsia" w:eastAsiaTheme="minorEastAsia"/>
          <w:szCs w:val="21"/>
        </w:rPr>
        <w:t>谈判单位提交的响应文件、谈判单位与采购单位及采购代理机构的所有来往函电均使用中文。</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bCs/>
        </w:rPr>
        <w:t>10.3</w:t>
      </w:r>
      <w:r>
        <w:rPr>
          <w:rFonts w:hint="eastAsia" w:asciiTheme="minorEastAsia" w:hAnsiTheme="minorEastAsia" w:eastAsiaTheme="minorEastAsia"/>
        </w:rPr>
        <w:t>计量单位应使用我国法定计量单位，未列明时应默认为我国法定计量单位。</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10.4响应文件应采用书面形式，电报、传真、电子邮件形式的响应文件概不接受。</w:t>
      </w:r>
    </w:p>
    <w:p>
      <w:pPr>
        <w:adjustRightInd w:val="0"/>
        <w:snapToGrid w:val="0"/>
        <w:spacing w:line="360" w:lineRule="auto"/>
        <w:ind w:firstLine="420" w:firstLineChars="200"/>
      </w:pPr>
      <w:r>
        <w:rPr>
          <w:rFonts w:hint="eastAsia" w:asciiTheme="minorEastAsia" w:hAnsiTheme="minorEastAsia" w:eastAsiaTheme="minorEastAsia"/>
          <w:szCs w:val="21"/>
        </w:rPr>
        <w:t>10.5谈判单位提交的响应文件应按谈判文件中提供的响应文件格式编制。</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11.</w:t>
      </w:r>
      <w:r>
        <w:rPr>
          <w:rFonts w:hint="eastAsia" w:asciiTheme="minorEastAsia" w:hAnsiTheme="minorEastAsia" w:eastAsiaTheme="minorEastAsia"/>
          <w:b/>
          <w:szCs w:val="21"/>
        </w:rPr>
        <w:t>响应文件</w:t>
      </w:r>
      <w:r>
        <w:rPr>
          <w:rFonts w:hint="eastAsia" w:asciiTheme="minorEastAsia" w:hAnsiTheme="minorEastAsia" w:eastAsiaTheme="minorEastAsia"/>
          <w:b/>
          <w:bCs/>
          <w:szCs w:val="21"/>
        </w:rPr>
        <w:t>的组成</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11.1响应文件应包括下列内容：</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（1）谈判承诺书</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（2）法定代表人身份证明书</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（3）授权委托书</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（4）谈判单位资格条件证明文件</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（5）服务方案</w:t>
      </w:r>
    </w:p>
    <w:p>
      <w:pPr>
        <w:pStyle w:val="25"/>
        <w:adjustRightInd w:val="0"/>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（6）报价一览表</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（7）其他资料（如有）</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11.2在谈判过程中，谈判单位根据</w:t>
      </w:r>
      <w:r>
        <w:rPr>
          <w:rFonts w:hint="eastAsia" w:cs="宋体" w:asciiTheme="minorEastAsia" w:hAnsiTheme="minorEastAsia" w:eastAsiaTheme="minorEastAsia"/>
          <w:kern w:val="0"/>
        </w:rPr>
        <w:t>谈判评审小组</w:t>
      </w:r>
      <w:r>
        <w:rPr>
          <w:rFonts w:hint="eastAsia" w:asciiTheme="minorEastAsia" w:hAnsiTheme="minorEastAsia" w:eastAsiaTheme="minorEastAsia"/>
          <w:bCs/>
        </w:rPr>
        <w:t>要求</w:t>
      </w:r>
      <w:r>
        <w:rPr>
          <w:rFonts w:hint="eastAsia" w:cs="宋体" w:asciiTheme="minorEastAsia" w:hAnsiTheme="minorEastAsia" w:eastAsiaTheme="minorEastAsia"/>
          <w:kern w:val="0"/>
        </w:rPr>
        <w:t>提交的</w:t>
      </w:r>
      <w:r>
        <w:rPr>
          <w:rFonts w:hint="eastAsia" w:asciiTheme="minorEastAsia" w:hAnsiTheme="minorEastAsia" w:eastAsiaTheme="minorEastAsia"/>
        </w:rPr>
        <w:t>书面承诺或其他文件是响应文件的有效组成部分。</w:t>
      </w:r>
    </w:p>
    <w:p>
      <w:pPr>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11.3</w:t>
      </w:r>
      <w:r>
        <w:rPr>
          <w:rFonts w:hint="eastAsia" w:asciiTheme="minorEastAsia" w:hAnsiTheme="minorEastAsia" w:eastAsiaTheme="minorEastAsia"/>
          <w:szCs w:val="21"/>
        </w:rPr>
        <w:t>谈判单位无论成交与否，其递交的响应文件均不予退还。</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12.报价要求</w:t>
      </w:r>
    </w:p>
    <w:p>
      <w:pPr>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12.1谈判单位应按</w:t>
      </w:r>
      <w:r>
        <w:rPr>
          <w:rFonts w:hint="eastAsia" w:asciiTheme="minorEastAsia" w:hAnsiTheme="minorEastAsia" w:eastAsiaTheme="minorEastAsia"/>
          <w:szCs w:val="21"/>
        </w:rPr>
        <w:t>第六章</w:t>
      </w:r>
      <w:r>
        <w:rPr>
          <w:rFonts w:hint="eastAsia" w:asciiTheme="minorEastAsia" w:hAnsiTheme="minorEastAsia" w:eastAsiaTheme="minorEastAsia"/>
        </w:rPr>
        <w:t>“响应文件格式”的要求在报价文件中进行报价。</w:t>
      </w:r>
      <w:r>
        <w:rPr>
          <w:rFonts w:hint="eastAsia" w:asciiTheme="minorEastAsia" w:hAnsiTheme="minorEastAsia" w:eastAsiaTheme="minorEastAsia"/>
          <w:szCs w:val="21"/>
        </w:rPr>
        <w:t>谈判单位所报的总价及综合单价均不得超过</w:t>
      </w:r>
      <w:r>
        <w:rPr>
          <w:rFonts w:hint="eastAsia" w:hAnsi="宋体" w:cs="宋体"/>
          <w:iCs/>
        </w:rPr>
        <w:t>最高投标限价</w:t>
      </w:r>
      <w:r>
        <w:rPr>
          <w:rFonts w:hint="eastAsia" w:asciiTheme="minorEastAsia" w:hAnsiTheme="minorEastAsia" w:eastAsiaTheme="minorEastAsia"/>
        </w:rPr>
        <w:t>，</w:t>
      </w:r>
      <w:r>
        <w:rPr>
          <w:rFonts w:hint="eastAsia" w:asciiTheme="minorEastAsia" w:hAnsiTheme="minorEastAsia" w:eastAsiaTheme="minorEastAsia"/>
          <w:szCs w:val="21"/>
        </w:rPr>
        <w:t>不超过</w:t>
      </w:r>
      <w:r>
        <w:rPr>
          <w:rFonts w:hint="eastAsia" w:hAnsi="宋体" w:cs="宋体"/>
          <w:iCs/>
        </w:rPr>
        <w:t>最高投标限价</w:t>
      </w:r>
      <w:r>
        <w:rPr>
          <w:rFonts w:hint="eastAsia" w:asciiTheme="minorEastAsia" w:hAnsiTheme="minorEastAsia" w:eastAsiaTheme="minorEastAsia"/>
          <w:szCs w:val="21"/>
        </w:rPr>
        <w:t>的报价方为有效报价，</w:t>
      </w:r>
      <w:r>
        <w:rPr>
          <w:rFonts w:hint="eastAsia" w:asciiTheme="minorEastAsia" w:hAnsiTheme="minorEastAsia" w:eastAsiaTheme="minorEastAsia"/>
        </w:rPr>
        <w:t>谈判时需明确税费，税率必须符合国家政策法规规定，合同支付时服务单位需开具经</w:t>
      </w:r>
      <w:r>
        <w:rPr>
          <w:rFonts w:hint="eastAsia" w:asciiTheme="minorEastAsia" w:hAnsiTheme="minorEastAsia" w:eastAsiaTheme="minorEastAsia"/>
          <w:b/>
        </w:rPr>
        <w:t>采购单位</w:t>
      </w:r>
      <w:r>
        <w:rPr>
          <w:rFonts w:hint="eastAsia" w:asciiTheme="minorEastAsia" w:hAnsiTheme="minorEastAsia" w:eastAsiaTheme="minorEastAsia"/>
        </w:rPr>
        <w:t>认可的合法完税单据。</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12.2谈判单位应充分了解该项目的总体情况以及影响谈判报价的其他要素。</w:t>
      </w:r>
      <w:r>
        <w:rPr>
          <w:rFonts w:hint="eastAsia" w:asciiTheme="minorEastAsia" w:hAnsiTheme="minorEastAsia" w:eastAsiaTheme="minorEastAsia"/>
          <w:b/>
          <w:szCs w:val="21"/>
        </w:rPr>
        <w:t>最终结算以长沙市轨道交通运营有限公司审核为准。</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12.3谈判总报价为各分项报价金额之和，谈判总报价与分项报价的合价不一致的，应以各分项合价累计数为准，修正谈判总报价；如分项报价中存在缺漏项，则视为缺漏项价格已包含在其他分项报价之中。谈判</w:t>
      </w:r>
      <w:r>
        <w:rPr>
          <w:rFonts w:asciiTheme="minorEastAsia" w:hAnsiTheme="minorEastAsia" w:eastAsiaTheme="minorEastAsia"/>
          <w:szCs w:val="21"/>
        </w:rPr>
        <w:t>单位在</w:t>
      </w:r>
      <w:r>
        <w:rPr>
          <w:rFonts w:hint="eastAsia" w:asciiTheme="minorEastAsia" w:hAnsiTheme="minorEastAsia" w:eastAsiaTheme="minorEastAsia"/>
          <w:szCs w:val="21"/>
        </w:rPr>
        <w:t>谈判</w:t>
      </w:r>
      <w:r>
        <w:rPr>
          <w:rFonts w:asciiTheme="minorEastAsia" w:hAnsiTheme="minorEastAsia" w:eastAsiaTheme="minorEastAsia"/>
          <w:szCs w:val="21"/>
        </w:rPr>
        <w:t>截止时间前修改</w:t>
      </w:r>
      <w:r>
        <w:rPr>
          <w:rFonts w:hint="eastAsia" w:asciiTheme="minorEastAsia" w:hAnsiTheme="minorEastAsia" w:eastAsiaTheme="minorEastAsia"/>
          <w:szCs w:val="21"/>
        </w:rPr>
        <w:t>报价文件</w:t>
      </w:r>
      <w:r>
        <w:rPr>
          <w:rFonts w:asciiTheme="minorEastAsia" w:hAnsiTheme="minorEastAsia" w:eastAsiaTheme="minorEastAsia"/>
          <w:szCs w:val="21"/>
        </w:rPr>
        <w:t>中的</w:t>
      </w:r>
      <w:r>
        <w:rPr>
          <w:rFonts w:hint="eastAsia" w:asciiTheme="minorEastAsia" w:hAnsiTheme="minorEastAsia" w:eastAsiaTheme="minorEastAsia"/>
          <w:szCs w:val="21"/>
        </w:rPr>
        <w:t>谈判总</w:t>
      </w:r>
      <w:r>
        <w:rPr>
          <w:rFonts w:asciiTheme="minorEastAsia" w:hAnsiTheme="minorEastAsia" w:eastAsiaTheme="minorEastAsia"/>
          <w:szCs w:val="21"/>
        </w:rPr>
        <w:t>报价，应同时修改</w:t>
      </w:r>
      <w:r>
        <w:rPr>
          <w:rFonts w:hint="eastAsia" w:asciiTheme="minorEastAsia" w:hAnsiTheme="minorEastAsia" w:eastAsiaTheme="minorEastAsia"/>
          <w:szCs w:val="21"/>
        </w:rPr>
        <w:t>报价</w:t>
      </w:r>
      <w:r>
        <w:rPr>
          <w:rFonts w:asciiTheme="minorEastAsia" w:hAnsiTheme="minorEastAsia" w:eastAsiaTheme="minorEastAsia"/>
          <w:szCs w:val="21"/>
        </w:rPr>
        <w:t>文件</w:t>
      </w:r>
      <w:r>
        <w:rPr>
          <w:rFonts w:hint="eastAsia" w:asciiTheme="minorEastAsia" w:hAnsiTheme="minorEastAsia" w:eastAsiaTheme="minorEastAsia"/>
          <w:szCs w:val="21"/>
        </w:rPr>
        <w:t>《报价一览表》和《分项价格表》</w:t>
      </w:r>
      <w:r>
        <w:rPr>
          <w:rFonts w:asciiTheme="minorEastAsia" w:hAnsiTheme="minorEastAsia" w:eastAsiaTheme="minorEastAsia"/>
          <w:szCs w:val="21"/>
        </w:rPr>
        <w:t>中的相应报价。</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12.4本项目</w:t>
      </w:r>
      <w:r>
        <w:rPr>
          <w:rFonts w:hint="eastAsia" w:hAnsi="宋体" w:cs="宋体"/>
          <w:iCs/>
        </w:rPr>
        <w:t>最高投标限价</w:t>
      </w:r>
      <w:r>
        <w:rPr>
          <w:rFonts w:hint="eastAsia" w:asciiTheme="minorEastAsia" w:hAnsiTheme="minorEastAsia" w:eastAsiaTheme="minorEastAsia"/>
        </w:rPr>
        <w:t>见</w:t>
      </w:r>
      <w:r>
        <w:rPr>
          <w:rFonts w:hint="eastAsia" w:asciiTheme="minorEastAsia" w:hAnsiTheme="minorEastAsia" w:eastAsiaTheme="minorEastAsia"/>
          <w:b/>
        </w:rPr>
        <w:t>前附表</w:t>
      </w:r>
      <w:r>
        <w:rPr>
          <w:rFonts w:hint="eastAsia" w:asciiTheme="minorEastAsia" w:hAnsiTheme="minorEastAsia" w:eastAsiaTheme="minorEastAsia"/>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12.5除合同另有约定外，谈判报价作为中选价及合同价在合同履行期间是固定不变的，不受政策、法规变化以及汇率浮动、物价指数浮动等因素的影响。中选人不得以任何理由予以变更。</w:t>
      </w:r>
      <w:r>
        <w:rPr>
          <w:rFonts w:hint="eastAsia" w:asciiTheme="minorEastAsia" w:hAnsiTheme="minorEastAsia" w:eastAsiaTheme="minorEastAsia"/>
        </w:rPr>
        <w:t>以可变动价格提交的报价将被认为是非实质响应而被拒绝。</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12.6谈判单位递交两份或多份内容不同的报价文件，或在一份报价文件中对同一项目报有两个或多个报价，且未声明哪一个有效的，将被认为是非实质响应而被拒绝。</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12.7最低报价不能作为中选的保证。</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12.8</w:t>
      </w:r>
      <w:r>
        <w:rPr>
          <w:rFonts w:hint="eastAsia" w:asciiTheme="minorEastAsia" w:hAnsiTheme="minorEastAsia" w:eastAsiaTheme="minorEastAsia"/>
          <w:bCs/>
          <w:szCs w:val="21"/>
        </w:rPr>
        <w:t>单价合同（除税率调整外，合同单价（即中标单价/中选单价/成交单价）在合同执行过程中固定不变，不随政府政策（长沙市规定的最低工资标准变化等）及市场物价上涨或回落等因素调整）。</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13.</w:t>
      </w:r>
      <w:r>
        <w:rPr>
          <w:rFonts w:hint="eastAsia" w:asciiTheme="minorEastAsia" w:hAnsiTheme="minorEastAsia" w:eastAsiaTheme="minorEastAsia"/>
          <w:b/>
          <w:bCs/>
        </w:rPr>
        <w:t>响应文件</w:t>
      </w:r>
      <w:r>
        <w:rPr>
          <w:rFonts w:hint="eastAsia" w:asciiTheme="minorEastAsia" w:hAnsiTheme="minorEastAsia" w:eastAsiaTheme="minorEastAsia"/>
          <w:b/>
          <w:bCs/>
          <w:szCs w:val="21"/>
        </w:rPr>
        <w:t>有效期</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13.1响应文件</w:t>
      </w:r>
      <w:r>
        <w:rPr>
          <w:rFonts w:hint="eastAsia" w:asciiTheme="minorEastAsia" w:hAnsiTheme="minorEastAsia" w:eastAsiaTheme="minorEastAsia"/>
          <w:szCs w:val="21"/>
        </w:rPr>
        <w:t>有效期见</w:t>
      </w:r>
      <w:r>
        <w:rPr>
          <w:rFonts w:hint="eastAsia" w:asciiTheme="minorEastAsia" w:hAnsiTheme="minorEastAsia" w:eastAsiaTheme="minorEastAsia"/>
          <w:b/>
        </w:rPr>
        <w:t>前附表</w:t>
      </w:r>
      <w:r>
        <w:rPr>
          <w:rFonts w:hint="eastAsia" w:asciiTheme="minorEastAsia" w:hAnsiTheme="minorEastAsia" w:eastAsiaTheme="minorEastAsia"/>
          <w:szCs w:val="21"/>
        </w:rPr>
        <w:t>，在此期间</w:t>
      </w:r>
      <w:r>
        <w:rPr>
          <w:rFonts w:hint="eastAsia" w:asciiTheme="minorEastAsia" w:hAnsiTheme="minorEastAsia" w:eastAsiaTheme="minorEastAsia"/>
        </w:rPr>
        <w:t>响应</w:t>
      </w:r>
      <w:r>
        <w:rPr>
          <w:rFonts w:hint="eastAsia" w:asciiTheme="minorEastAsia" w:hAnsiTheme="minorEastAsia" w:eastAsiaTheme="minorEastAsia"/>
          <w:szCs w:val="21"/>
        </w:rPr>
        <w:t>文件对谈判单位具有法律约束力，</w:t>
      </w:r>
      <w:r>
        <w:rPr>
          <w:rFonts w:hint="eastAsia" w:cs="Arial" w:asciiTheme="minorEastAsia" w:hAnsiTheme="minorEastAsia" w:eastAsiaTheme="minorEastAsia"/>
        </w:rPr>
        <w:t>从</w:t>
      </w:r>
      <w:r>
        <w:rPr>
          <w:rFonts w:hint="eastAsia" w:asciiTheme="minorEastAsia" w:hAnsiTheme="minorEastAsia" w:eastAsiaTheme="minorEastAsia"/>
          <w:b/>
        </w:rPr>
        <w:t>前附表</w:t>
      </w:r>
      <w:r>
        <w:rPr>
          <w:rFonts w:hint="eastAsia" w:asciiTheme="minorEastAsia" w:hAnsiTheme="minorEastAsia" w:eastAsiaTheme="minorEastAsia"/>
        </w:rPr>
        <w:t>规定的</w:t>
      </w:r>
      <w:r>
        <w:rPr>
          <w:rFonts w:hint="eastAsia" w:cs="宋体" w:asciiTheme="minorEastAsia" w:hAnsiTheme="minorEastAsia" w:eastAsiaTheme="minorEastAsia"/>
          <w:kern w:val="0"/>
          <w:szCs w:val="21"/>
        </w:rPr>
        <w:t>响应文件递交截止时间</w:t>
      </w:r>
      <w:r>
        <w:rPr>
          <w:rFonts w:hint="eastAsia" w:asciiTheme="minorEastAsia" w:hAnsiTheme="minorEastAsia" w:eastAsiaTheme="minorEastAsia"/>
        </w:rPr>
        <w:t>之日</w:t>
      </w:r>
      <w:r>
        <w:rPr>
          <w:rFonts w:hint="eastAsia" w:cs="Arial" w:asciiTheme="minorEastAsia" w:hAnsiTheme="minorEastAsia" w:eastAsiaTheme="minorEastAsia"/>
        </w:rPr>
        <w:t>起计算。</w:t>
      </w:r>
      <w:r>
        <w:rPr>
          <w:rFonts w:hint="eastAsia" w:asciiTheme="minorEastAsia" w:hAnsiTheme="minorEastAsia" w:eastAsiaTheme="minorEastAsia"/>
        </w:rPr>
        <w:t>响应文件有效期不足的将被视为无效响应。</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14.响应文件的编制</w:t>
      </w:r>
    </w:p>
    <w:p>
      <w:pPr>
        <w:pStyle w:val="215"/>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14</w:t>
      </w:r>
      <w:r>
        <w:rPr>
          <w:rFonts w:asciiTheme="minorEastAsia" w:hAnsiTheme="minorEastAsia" w:eastAsiaTheme="minorEastAsia"/>
          <w:sz w:val="21"/>
          <w:szCs w:val="21"/>
        </w:rPr>
        <w:t>.1</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文件应按</w:t>
      </w:r>
      <w:r>
        <w:rPr>
          <w:rFonts w:hint="eastAsia" w:asciiTheme="minorEastAsia" w:hAnsiTheme="minorEastAsia" w:eastAsiaTheme="minorEastAsia"/>
          <w:b/>
          <w:bCs/>
          <w:sz w:val="21"/>
          <w:szCs w:val="21"/>
        </w:rPr>
        <w:t>第六章</w:t>
      </w:r>
      <w:r>
        <w:rPr>
          <w:rFonts w:asciiTheme="minorEastAsia" w:hAnsiTheme="minorEastAsia" w:eastAsiaTheme="minorEastAsia"/>
          <w:sz w:val="21"/>
          <w:szCs w:val="21"/>
        </w:rPr>
        <w:t>“</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文件格式”进行编写，如有必要，可以增加附页，作为</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文件的组成部分。</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14.2响应</w:t>
      </w:r>
      <w:r>
        <w:rPr>
          <w:rFonts w:asciiTheme="minorEastAsia" w:hAnsiTheme="minorEastAsia" w:eastAsiaTheme="minorEastAsia"/>
        </w:rPr>
        <w:t>文件</w:t>
      </w:r>
      <w:r>
        <w:rPr>
          <w:rFonts w:hint="eastAsia" w:asciiTheme="minorEastAsia" w:hAnsiTheme="minorEastAsia" w:eastAsiaTheme="minorEastAsia"/>
        </w:rPr>
        <w:t>应用不褪色的材料书写或打印（建议</w:t>
      </w:r>
      <w:r>
        <w:rPr>
          <w:rFonts w:asciiTheme="minorEastAsia" w:hAnsiTheme="minorEastAsia" w:eastAsiaTheme="minorEastAsia"/>
        </w:rPr>
        <w:t>双面打印</w:t>
      </w:r>
      <w:r>
        <w:rPr>
          <w:rFonts w:hint="eastAsia" w:asciiTheme="minorEastAsia" w:hAnsiTheme="minorEastAsia" w:eastAsiaTheme="minorEastAsia"/>
        </w:rPr>
        <w:t>），并按</w:t>
      </w:r>
      <w:r>
        <w:rPr>
          <w:rFonts w:hint="eastAsia" w:cs="Times New Roman" w:asciiTheme="minorEastAsia" w:hAnsiTheme="minorEastAsia" w:eastAsiaTheme="minorEastAsia"/>
          <w:b/>
          <w:bCs/>
        </w:rPr>
        <w:t>第六章</w:t>
      </w:r>
      <w:r>
        <w:rPr>
          <w:rFonts w:hint="eastAsia" w:asciiTheme="minorEastAsia" w:hAnsiTheme="minorEastAsia" w:eastAsiaTheme="minorEastAsia"/>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cs="Times New Roman" w:asciiTheme="minorEastAsia" w:hAnsiTheme="minorEastAsia" w:eastAsiaTheme="minorEastAsia"/>
          <w:b/>
          <w:bCs/>
        </w:rPr>
        <w:t>第六章</w:t>
      </w:r>
      <w:r>
        <w:rPr>
          <w:rFonts w:asciiTheme="minorEastAsia" w:hAnsiTheme="minorEastAsia" w:eastAsiaTheme="minorEastAsia"/>
        </w:rPr>
        <w:t>“</w:t>
      </w:r>
      <w:r>
        <w:rPr>
          <w:rFonts w:hint="eastAsia" w:asciiTheme="minorEastAsia" w:hAnsiTheme="minorEastAsia" w:eastAsiaTheme="minorEastAsia"/>
        </w:rPr>
        <w:t>响应文件格式</w:t>
      </w:r>
      <w:r>
        <w:rPr>
          <w:rFonts w:asciiTheme="minorEastAsia" w:hAnsiTheme="minorEastAsia" w:eastAsiaTheme="minorEastAsia"/>
        </w:rPr>
        <w:t>”</w:t>
      </w:r>
      <w:r>
        <w:rPr>
          <w:rFonts w:hint="eastAsia" w:asciiTheme="minorEastAsia" w:hAnsiTheme="minorEastAsia" w:eastAsiaTheme="minorEastAsia"/>
        </w:rPr>
        <w:t>的要求。</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14.3响应文件应尽量避免涂改、行间插字或删除。如果出现上述情况，改动之处应由谈判单位的法定代表人或其授权的代理人签字或盖单位公章。</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14.4响应文件为一式三份，其中正本一份，副本两份，均须胶装成册；电子文件一份（U盘或光盘，应包含响应文件的所有内容，并标注谈判单位名称）。响应文件正本和副本的封面上应清楚地标记“</w:t>
      </w:r>
      <w:r>
        <w:rPr>
          <w:rFonts w:hint="eastAsia" w:asciiTheme="minorEastAsia" w:hAnsiTheme="minorEastAsia" w:eastAsiaTheme="minorEastAsia"/>
          <w:b/>
          <w:bCs/>
        </w:rPr>
        <w:t>正本</w:t>
      </w:r>
      <w:r>
        <w:rPr>
          <w:rFonts w:hint="eastAsia" w:asciiTheme="minorEastAsia" w:hAnsiTheme="minorEastAsia" w:eastAsiaTheme="minorEastAsia"/>
        </w:rPr>
        <w:t>”或“</w:t>
      </w:r>
      <w:r>
        <w:rPr>
          <w:rFonts w:hint="eastAsia" w:asciiTheme="minorEastAsia" w:hAnsiTheme="minorEastAsia" w:eastAsiaTheme="minorEastAsia"/>
          <w:b/>
          <w:bCs/>
        </w:rPr>
        <w:t>副本</w:t>
      </w:r>
      <w:r>
        <w:rPr>
          <w:rFonts w:hint="eastAsia" w:asciiTheme="minorEastAsia" w:hAnsiTheme="minorEastAsia" w:eastAsiaTheme="minorEastAsia"/>
        </w:rPr>
        <w:t>”的字样，</w:t>
      </w:r>
      <w:r>
        <w:rPr>
          <w:rFonts w:asciiTheme="minorEastAsia" w:hAnsiTheme="minorEastAsia" w:eastAsiaTheme="minorEastAsia"/>
        </w:rPr>
        <w:t>若</w:t>
      </w:r>
      <w:r>
        <w:rPr>
          <w:rFonts w:hint="eastAsia" w:asciiTheme="minorEastAsia" w:hAnsiTheme="minorEastAsia" w:eastAsiaTheme="minorEastAsia"/>
        </w:rPr>
        <w:t>响应</w:t>
      </w:r>
      <w:r>
        <w:rPr>
          <w:rFonts w:asciiTheme="minorEastAsia" w:hAnsiTheme="minorEastAsia" w:eastAsiaTheme="minorEastAsia"/>
        </w:rPr>
        <w:t>文件副本</w:t>
      </w:r>
      <w:r>
        <w:rPr>
          <w:rFonts w:hint="eastAsia" w:asciiTheme="minorEastAsia" w:hAnsiTheme="minorEastAsia" w:eastAsiaTheme="minorEastAsia"/>
        </w:rPr>
        <w:t>为</w:t>
      </w:r>
      <w:r>
        <w:rPr>
          <w:rFonts w:asciiTheme="minorEastAsia" w:hAnsiTheme="minorEastAsia" w:eastAsiaTheme="minorEastAsia"/>
        </w:rPr>
        <w:t>正本的复印件，</w:t>
      </w:r>
      <w:r>
        <w:rPr>
          <w:rFonts w:hint="eastAsia" w:asciiTheme="minorEastAsia" w:hAnsiTheme="minorEastAsia" w:eastAsiaTheme="minorEastAsia"/>
        </w:rPr>
        <w:t>还</w:t>
      </w:r>
      <w:r>
        <w:rPr>
          <w:rFonts w:asciiTheme="minorEastAsia" w:hAnsiTheme="minorEastAsia" w:eastAsiaTheme="minorEastAsia"/>
        </w:rPr>
        <w:t>需</w:t>
      </w:r>
      <w:r>
        <w:rPr>
          <w:rFonts w:hint="eastAsia" w:asciiTheme="minorEastAsia" w:hAnsiTheme="minorEastAsia" w:eastAsiaTheme="minorEastAsia"/>
        </w:rPr>
        <w:t>在谈判文件</w:t>
      </w:r>
      <w:r>
        <w:rPr>
          <w:rFonts w:asciiTheme="minorEastAsia" w:hAnsiTheme="minorEastAsia" w:eastAsiaTheme="minorEastAsia"/>
        </w:rPr>
        <w:t>要求盖章处加盖单位公章。</w:t>
      </w:r>
      <w:r>
        <w:rPr>
          <w:rFonts w:hint="eastAsia" w:asciiTheme="minorEastAsia" w:hAnsiTheme="minorEastAsia" w:eastAsiaTheme="minorEastAsia"/>
        </w:rPr>
        <w:t>当正本和副本有差异时，以正本为准。</w:t>
      </w:r>
    </w:p>
    <w:p>
      <w:pPr>
        <w:pStyle w:val="25"/>
        <w:adjustRightInd w:val="0"/>
        <w:snapToGrid w:val="0"/>
        <w:spacing w:line="360" w:lineRule="auto"/>
        <w:ind w:firstLine="422" w:firstLineChars="200"/>
        <w:outlineLvl w:val="1"/>
        <w:rPr>
          <w:rFonts w:asciiTheme="minorEastAsia" w:hAnsiTheme="minorEastAsia" w:eastAsiaTheme="minorEastAsia"/>
          <w:b/>
          <w:iCs/>
        </w:rPr>
      </w:pPr>
      <w:bookmarkStart w:id="14" w:name="_Toc6070"/>
      <w:r>
        <w:rPr>
          <w:rFonts w:hint="eastAsia" w:asciiTheme="minorEastAsia" w:hAnsiTheme="minorEastAsia" w:eastAsiaTheme="minorEastAsia"/>
          <w:b/>
          <w:iCs/>
        </w:rPr>
        <w:t>四、响应文件的递交</w:t>
      </w:r>
      <w:bookmarkEnd w:id="14"/>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15.</w:t>
      </w:r>
      <w:r>
        <w:rPr>
          <w:rFonts w:hint="eastAsia" w:asciiTheme="minorEastAsia" w:hAnsiTheme="minorEastAsia" w:eastAsiaTheme="minorEastAsia"/>
          <w:b/>
          <w:szCs w:val="21"/>
        </w:rPr>
        <w:t>响应文件</w:t>
      </w:r>
      <w:r>
        <w:rPr>
          <w:rFonts w:hint="eastAsia" w:asciiTheme="minorEastAsia" w:hAnsiTheme="minorEastAsia" w:eastAsiaTheme="minorEastAsia"/>
          <w:b/>
          <w:bCs/>
          <w:szCs w:val="21"/>
        </w:rPr>
        <w:t>的密封</w:t>
      </w:r>
    </w:p>
    <w:p>
      <w:pPr>
        <w:adjustRightInd w:val="0"/>
        <w:snapToGrid w:val="0"/>
        <w:spacing w:line="360" w:lineRule="auto"/>
        <w:ind w:firstLine="420" w:firstLineChars="200"/>
        <w:jc w:val="left"/>
        <w:rPr>
          <w:rFonts w:asciiTheme="minorEastAsia" w:hAnsiTheme="minorEastAsia" w:eastAsiaTheme="minorEastAsia"/>
          <w:b/>
          <w:bCs/>
          <w:szCs w:val="21"/>
        </w:rPr>
      </w:pPr>
      <w:r>
        <w:rPr>
          <w:rFonts w:hint="eastAsia" w:asciiTheme="minorEastAsia" w:hAnsiTheme="minorEastAsia" w:eastAsiaTheme="minorEastAsia"/>
        </w:rPr>
        <w:t>15.1谈判单位须将响应文件一正两副与电子文件一起密封包装。</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16.响应文件的标记</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16.1</w:t>
      </w:r>
      <w:r>
        <w:rPr>
          <w:rFonts w:hint="eastAsia" w:asciiTheme="minorEastAsia" w:hAnsiTheme="minorEastAsia" w:eastAsiaTheme="minorEastAsia"/>
          <w:bCs/>
          <w:szCs w:val="21"/>
        </w:rPr>
        <w:t>响应文件的密封封套上须写明如下内容</w:t>
      </w:r>
      <w:r>
        <w:rPr>
          <w:rFonts w:hint="eastAsia" w:asciiTheme="minorEastAsia" w:hAnsiTheme="minorEastAsia" w:eastAsiaTheme="minorEastAsia"/>
          <w:szCs w:val="21"/>
        </w:rPr>
        <w:t>。</w:t>
      </w:r>
    </w:p>
    <w:tbl>
      <w:tblPr>
        <w:tblStyle w:val="46"/>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7938" w:type="dxa"/>
          </w:tcPr>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采购单位：</w:t>
            </w:r>
          </w:p>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项目名称：</w:t>
            </w:r>
          </w:p>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谈判单位：</w:t>
            </w:r>
            <w:r>
              <w:rPr>
                <w:rFonts w:hint="eastAsia" w:asciiTheme="minorEastAsia" w:hAnsiTheme="minorEastAsia" w:eastAsiaTheme="minorEastAsia"/>
                <w:szCs w:val="21"/>
                <w:u w:val="single"/>
              </w:rPr>
              <w:t>（填写单位名称并加盖单位公章）</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年     月     日</w:t>
            </w:r>
          </w:p>
        </w:tc>
      </w:tr>
    </w:tbl>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17.响应文件的递交</w:t>
      </w:r>
    </w:p>
    <w:p>
      <w:pPr>
        <w:adjustRightInd w:val="0"/>
        <w:snapToGrid w:val="0"/>
        <w:spacing w:line="360" w:lineRule="auto"/>
        <w:ind w:firstLine="420" w:firstLineChars="200"/>
        <w:rPr>
          <w:rFonts w:cs="宋体" w:asciiTheme="minorEastAsia" w:hAnsiTheme="minorEastAsia" w:eastAsiaTheme="minorEastAsia"/>
          <w:kern w:val="0"/>
        </w:rPr>
      </w:pPr>
      <w:r>
        <w:rPr>
          <w:rFonts w:hint="eastAsia" w:asciiTheme="minorEastAsia" w:hAnsiTheme="minorEastAsia" w:eastAsiaTheme="minorEastAsia"/>
          <w:szCs w:val="21"/>
        </w:rPr>
        <w:t>17.1谈判单位应按要求在</w:t>
      </w:r>
      <w:r>
        <w:rPr>
          <w:rFonts w:hint="eastAsia" w:cs="宋体" w:asciiTheme="minorEastAsia" w:hAnsiTheme="minorEastAsia" w:eastAsiaTheme="minorEastAsia"/>
          <w:kern w:val="0"/>
          <w:szCs w:val="21"/>
        </w:rPr>
        <w:t>响应文件递交截止时间</w:t>
      </w:r>
      <w:r>
        <w:rPr>
          <w:rFonts w:hint="eastAsia" w:asciiTheme="minorEastAsia" w:hAnsiTheme="minorEastAsia" w:eastAsiaTheme="minorEastAsia"/>
          <w:szCs w:val="21"/>
        </w:rPr>
        <w:t>前，将响应文件送</w:t>
      </w:r>
      <w:r>
        <w:rPr>
          <w:rFonts w:hint="eastAsia" w:cs="Arial" w:asciiTheme="minorEastAsia" w:hAnsiTheme="minorEastAsia" w:eastAsiaTheme="minorEastAsia"/>
          <w:szCs w:val="21"/>
        </w:rPr>
        <w:t>达</w:t>
      </w:r>
      <w:r>
        <w:rPr>
          <w:rFonts w:hint="eastAsia" w:asciiTheme="minorEastAsia" w:hAnsiTheme="minorEastAsia" w:eastAsiaTheme="minorEastAsia"/>
          <w:szCs w:val="21"/>
        </w:rPr>
        <w:t>指定地点，响应文件递交截止时间、地点及要求见</w:t>
      </w:r>
      <w:r>
        <w:rPr>
          <w:rFonts w:hint="eastAsia" w:asciiTheme="minorEastAsia" w:hAnsiTheme="minorEastAsia" w:eastAsiaTheme="minorEastAsia"/>
          <w:b/>
          <w:szCs w:val="21"/>
        </w:rPr>
        <w:t>前附表</w:t>
      </w:r>
      <w:r>
        <w:rPr>
          <w:rFonts w:hint="eastAsia" w:asciiTheme="minorEastAsia" w:hAnsiTheme="minorEastAsia" w:eastAsiaTheme="minorEastAsia"/>
          <w:szCs w:val="21"/>
        </w:rPr>
        <w:t>。</w:t>
      </w:r>
      <w:r>
        <w:rPr>
          <w:rFonts w:hint="eastAsia" w:cs="宋体" w:asciiTheme="minorEastAsia" w:hAnsiTheme="minorEastAsia" w:eastAsiaTheme="minorEastAsia"/>
          <w:kern w:val="0"/>
        </w:rPr>
        <w:t>在截止时间后送达的响应文件，采购单位应当拒收。</w:t>
      </w:r>
    </w:p>
    <w:p>
      <w:pPr>
        <w:adjustRightInd w:val="0"/>
        <w:snapToGrid w:val="0"/>
        <w:spacing w:line="360" w:lineRule="auto"/>
        <w:ind w:firstLine="420" w:firstLineChars="200"/>
        <w:rPr>
          <w:rFonts w:asciiTheme="minorEastAsia" w:hAnsiTheme="minorEastAsia" w:eastAsiaTheme="minorEastAsia"/>
          <w:b/>
          <w:sz w:val="24"/>
        </w:rPr>
      </w:pPr>
      <w:r>
        <w:rPr>
          <w:rFonts w:hint="eastAsia" w:asciiTheme="minorEastAsia" w:hAnsiTheme="minorEastAsia" w:eastAsiaTheme="minorEastAsia"/>
          <w:bCs/>
          <w:szCs w:val="21"/>
        </w:rPr>
        <w:t>17.2采购单位在</w:t>
      </w:r>
      <w:r>
        <w:rPr>
          <w:rFonts w:hint="eastAsia" w:asciiTheme="minorEastAsia" w:hAnsiTheme="minorEastAsia" w:eastAsiaTheme="minorEastAsia"/>
          <w:b/>
          <w:bCs/>
          <w:szCs w:val="21"/>
        </w:rPr>
        <w:t>前附表</w:t>
      </w:r>
      <w:r>
        <w:rPr>
          <w:rFonts w:hint="eastAsia" w:asciiTheme="minorEastAsia" w:hAnsiTheme="minorEastAsia" w:eastAsiaTheme="minorEastAsia"/>
          <w:bCs/>
          <w:szCs w:val="21"/>
        </w:rPr>
        <w:t>规定的谈判时间和地点，组织谈判单位签到并接收谈判文件。</w:t>
      </w:r>
    </w:p>
    <w:p>
      <w:pPr>
        <w:pStyle w:val="25"/>
        <w:adjustRightInd w:val="0"/>
        <w:snapToGrid w:val="0"/>
        <w:spacing w:line="360" w:lineRule="auto"/>
        <w:ind w:firstLine="422" w:firstLineChars="200"/>
        <w:outlineLvl w:val="1"/>
        <w:rPr>
          <w:rFonts w:asciiTheme="minorEastAsia" w:hAnsiTheme="minorEastAsia" w:eastAsiaTheme="minorEastAsia"/>
          <w:b/>
          <w:iCs/>
        </w:rPr>
      </w:pPr>
      <w:bookmarkStart w:id="15" w:name="_Toc24040"/>
      <w:r>
        <w:rPr>
          <w:rFonts w:hint="eastAsia" w:asciiTheme="minorEastAsia" w:hAnsiTheme="minorEastAsia" w:eastAsiaTheme="minorEastAsia"/>
          <w:b/>
          <w:iCs/>
        </w:rPr>
        <w:t>五、响应文件的评审</w:t>
      </w:r>
      <w:bookmarkEnd w:id="15"/>
    </w:p>
    <w:p>
      <w:pPr>
        <w:adjustRightInd w:val="0"/>
        <w:snapToGrid w:val="0"/>
        <w:spacing w:line="360" w:lineRule="auto"/>
        <w:ind w:firstLine="420" w:firstLineChars="200"/>
        <w:rPr>
          <w:rFonts w:asciiTheme="minorEastAsia" w:hAnsiTheme="minorEastAsia" w:eastAsiaTheme="minorEastAsia"/>
          <w:b/>
          <w:sz w:val="24"/>
        </w:rPr>
      </w:pPr>
      <w:r>
        <w:rPr>
          <w:rFonts w:hint="eastAsia" w:asciiTheme="minorEastAsia" w:hAnsiTheme="minorEastAsia" w:eastAsiaTheme="minorEastAsia"/>
          <w:szCs w:val="21"/>
        </w:rPr>
        <w:t>18.</w:t>
      </w:r>
      <w:r>
        <w:rPr>
          <w:rFonts w:hint="eastAsia" w:asciiTheme="minorEastAsia" w:hAnsiTheme="minorEastAsia" w:eastAsiaTheme="minorEastAsia"/>
          <w:bCs/>
          <w:szCs w:val="21"/>
        </w:rPr>
        <w:t>评审由谈判评审小组负责，谈判评审小组应按照本谈判文件第三章“评审办法及标准”的内容和程序对响应文件进行评审。</w:t>
      </w:r>
    </w:p>
    <w:p>
      <w:pPr>
        <w:pStyle w:val="25"/>
        <w:adjustRightInd w:val="0"/>
        <w:snapToGrid w:val="0"/>
        <w:spacing w:line="360" w:lineRule="auto"/>
        <w:ind w:firstLine="422" w:firstLineChars="200"/>
        <w:outlineLvl w:val="1"/>
        <w:rPr>
          <w:rFonts w:asciiTheme="minorEastAsia" w:hAnsiTheme="minorEastAsia" w:eastAsiaTheme="minorEastAsia"/>
          <w:b/>
          <w:iCs/>
        </w:rPr>
      </w:pPr>
      <w:bookmarkStart w:id="16" w:name="_Toc19842"/>
      <w:r>
        <w:rPr>
          <w:rFonts w:hint="eastAsia" w:asciiTheme="minorEastAsia" w:hAnsiTheme="minorEastAsia" w:eastAsiaTheme="minorEastAsia"/>
          <w:b/>
          <w:iCs/>
        </w:rPr>
        <w:t>六、响应文件的澄清、说明及补正</w:t>
      </w:r>
      <w:bookmarkEnd w:id="16"/>
    </w:p>
    <w:p>
      <w:pPr>
        <w:adjustRightInd w:val="0"/>
        <w:snapToGrid w:val="0"/>
        <w:spacing w:line="360" w:lineRule="auto"/>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19.澄清</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19.1谈判评审小组可就响应文件中含糊之处要求谈判单位进行解释或澄清，谈判单位必须按照要求派法定代表人或授权委托人进行答疑和澄清。</w:t>
      </w:r>
    </w:p>
    <w:p>
      <w:pPr>
        <w:adjustRightInd w:val="0"/>
        <w:snapToGrid w:val="0"/>
        <w:spacing w:line="360" w:lineRule="auto"/>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20.说明及补正</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20.1必要时谈判评审小组可要求谈判单位就澄清的问题作书面回答或承诺，该书面回答或承诺应有谈判单位法定代表人或委托代理人的签字或盖章，并将作为响应文件的一部分。</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20.2谈判单位对响应文件的澄清不得改变谈判报价及实质内容。</w:t>
      </w:r>
    </w:p>
    <w:p>
      <w:pPr>
        <w:adjustRightInd w:val="0"/>
        <w:snapToGrid w:val="0"/>
        <w:spacing w:line="360" w:lineRule="auto"/>
        <w:ind w:firstLine="420" w:firstLineChars="200"/>
        <w:jc w:val="left"/>
        <w:rPr>
          <w:rFonts w:asciiTheme="minorEastAsia" w:hAnsiTheme="minorEastAsia" w:eastAsiaTheme="minorEastAsia"/>
          <w:b/>
          <w:sz w:val="24"/>
        </w:rPr>
      </w:pPr>
      <w:r>
        <w:rPr>
          <w:rFonts w:hint="eastAsia" w:cs="宋体" w:asciiTheme="minorEastAsia" w:hAnsiTheme="minorEastAsia" w:eastAsiaTheme="minorEastAsia"/>
          <w:kern w:val="0"/>
          <w:szCs w:val="21"/>
        </w:rPr>
        <w:t>20.3与谈判文件有重大偏离的响应文件将被拒绝。重大偏离指谈判总报价、谈判有效期、服务期/供货期/施工工期明显不能满足谈判文件的要求。这些偏离不允许在响应文件递交截止时间之后修正。</w:t>
      </w:r>
    </w:p>
    <w:p>
      <w:pPr>
        <w:pStyle w:val="25"/>
        <w:adjustRightInd w:val="0"/>
        <w:snapToGrid w:val="0"/>
        <w:spacing w:line="360" w:lineRule="auto"/>
        <w:ind w:firstLine="422" w:firstLineChars="200"/>
        <w:outlineLvl w:val="1"/>
        <w:rPr>
          <w:rFonts w:asciiTheme="minorEastAsia" w:hAnsiTheme="minorEastAsia" w:eastAsiaTheme="minorEastAsia"/>
          <w:b/>
          <w:iCs/>
        </w:rPr>
      </w:pPr>
      <w:bookmarkStart w:id="17" w:name="_Toc1303"/>
      <w:r>
        <w:rPr>
          <w:rFonts w:hint="eastAsia" w:asciiTheme="minorEastAsia" w:hAnsiTheme="minorEastAsia" w:eastAsiaTheme="minorEastAsia"/>
          <w:b/>
          <w:iCs/>
        </w:rPr>
        <w:t>七、中选结果与授予合同</w:t>
      </w:r>
      <w:bookmarkEnd w:id="17"/>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21.中选信息的公布</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21.1中选单位确定后，采购单位应将结果信息在</w:t>
      </w:r>
      <w:r>
        <w:rPr>
          <w:rFonts w:hint="eastAsia" w:asciiTheme="minorEastAsia" w:hAnsiTheme="minorEastAsia" w:eastAsiaTheme="minorEastAsia"/>
          <w:b/>
        </w:rPr>
        <w:t>前附表</w:t>
      </w:r>
      <w:r>
        <w:rPr>
          <w:rFonts w:hint="eastAsia" w:asciiTheme="minorEastAsia" w:hAnsiTheme="minorEastAsia" w:eastAsiaTheme="minorEastAsia"/>
        </w:rPr>
        <w:t>指定的媒体上公布，</w:t>
      </w:r>
      <w:r>
        <w:rPr>
          <w:rFonts w:hint="eastAsia" w:asciiTheme="minorEastAsia" w:hAnsiTheme="minorEastAsia" w:eastAsiaTheme="minorEastAsia"/>
          <w:b/>
          <w:bCs/>
        </w:rPr>
        <w:t>公示期限为3个工作日</w:t>
      </w:r>
      <w:r>
        <w:rPr>
          <w:rFonts w:hint="eastAsia" w:asciiTheme="minorEastAsia" w:hAnsiTheme="minorEastAsia" w:eastAsiaTheme="minorEastAsia"/>
        </w:rPr>
        <w:t>。</w:t>
      </w:r>
    </w:p>
    <w:p>
      <w:pPr>
        <w:pStyle w:val="25"/>
        <w:adjustRightInd w:val="0"/>
        <w:snapToGrid w:val="0"/>
        <w:spacing w:line="360" w:lineRule="auto"/>
        <w:ind w:left="420" w:leftChars="200"/>
        <w:rPr>
          <w:rFonts w:asciiTheme="minorEastAsia" w:hAnsiTheme="minorEastAsia" w:eastAsiaTheme="minorEastAsia"/>
        </w:rPr>
      </w:pPr>
      <w:r>
        <w:rPr>
          <w:rFonts w:hint="eastAsia" w:asciiTheme="minorEastAsia" w:hAnsiTheme="minorEastAsia" w:eastAsiaTheme="minorEastAsia"/>
          <w:b/>
          <w:bCs/>
        </w:rPr>
        <w:t>22.评审结果异议</w:t>
      </w:r>
      <w:r>
        <w:rPr>
          <w:rFonts w:cs="宋体" w:asciiTheme="minorEastAsia" w:hAnsiTheme="minorEastAsia" w:eastAsiaTheme="minorEastAsia"/>
          <w:kern w:val="0"/>
          <w:sz w:val="24"/>
          <w:szCs w:val="24"/>
        </w:rPr>
        <w:br w:type="textWrapping"/>
      </w:r>
      <w:r>
        <w:rPr>
          <w:rFonts w:hint="eastAsia" w:asciiTheme="minorEastAsia" w:hAnsiTheme="minorEastAsia" w:eastAsiaTheme="minorEastAsia"/>
        </w:rPr>
        <w:t>22.1谈判单位对评审结果有异议的，应当在结果公示期间提出。</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23.中选通知</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24.签订合同</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24.1谈判文件、中选单位的响应文件及其补充的文件等均为签订合同的依据。</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24.2中选单位应当在中选通知书发出后及时与采购单位签订合同。</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24.3中选单位应当按照合同约定履行义务。</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25.纪律和监督</w:t>
      </w:r>
    </w:p>
    <w:p>
      <w:pPr>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25.1对采购单位的纪律要求</w:t>
      </w:r>
    </w:p>
    <w:p>
      <w:pPr>
        <w:pStyle w:val="215"/>
        <w:ind w:firstLine="420" w:firstLineChars="200"/>
        <w:jc w:val="both"/>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采购单位</w:t>
      </w:r>
      <w:r>
        <w:rPr>
          <w:rFonts w:cs="Courier New" w:asciiTheme="minorEastAsia" w:hAnsiTheme="minorEastAsia" w:eastAsiaTheme="minorEastAsia"/>
          <w:sz w:val="21"/>
          <w:szCs w:val="21"/>
        </w:rPr>
        <w:t>不得泄露</w:t>
      </w:r>
      <w:r>
        <w:rPr>
          <w:rFonts w:hint="eastAsia" w:cs="Courier New" w:asciiTheme="minorEastAsia" w:hAnsiTheme="minorEastAsia" w:eastAsiaTheme="minorEastAsia"/>
          <w:sz w:val="21"/>
          <w:szCs w:val="21"/>
        </w:rPr>
        <w:t>谈判</w:t>
      </w:r>
      <w:r>
        <w:rPr>
          <w:rFonts w:cs="Courier New" w:asciiTheme="minorEastAsia" w:hAnsiTheme="minorEastAsia" w:eastAsiaTheme="minorEastAsia"/>
          <w:sz w:val="21"/>
          <w:szCs w:val="21"/>
        </w:rPr>
        <w:t>活动中应当保密的情况和资料，不得与</w:t>
      </w:r>
      <w:r>
        <w:rPr>
          <w:rFonts w:hint="eastAsia" w:cs="Courier New" w:asciiTheme="minorEastAsia" w:hAnsiTheme="minorEastAsia" w:eastAsiaTheme="minorEastAsia"/>
          <w:sz w:val="21"/>
          <w:szCs w:val="21"/>
        </w:rPr>
        <w:t>谈判单位</w:t>
      </w:r>
      <w:r>
        <w:rPr>
          <w:rFonts w:cs="Courier New" w:asciiTheme="minorEastAsia" w:hAnsiTheme="minorEastAsia" w:eastAsiaTheme="minorEastAsia"/>
          <w:sz w:val="21"/>
          <w:szCs w:val="21"/>
        </w:rPr>
        <w:t>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25.2对谈判单位的纪律要求</w:t>
      </w:r>
    </w:p>
    <w:p>
      <w:pPr>
        <w:pStyle w:val="215"/>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谈判单位</w:t>
      </w:r>
      <w:r>
        <w:rPr>
          <w:rFonts w:asciiTheme="minorEastAsia" w:hAnsiTheme="minorEastAsia" w:eastAsiaTheme="minorEastAsia"/>
          <w:sz w:val="21"/>
          <w:szCs w:val="21"/>
        </w:rPr>
        <w:t>不得相互串通或者与</w:t>
      </w:r>
      <w:r>
        <w:rPr>
          <w:rFonts w:hint="eastAsia" w:asciiTheme="minorEastAsia" w:hAnsiTheme="minorEastAsia" w:eastAsiaTheme="minorEastAsia"/>
          <w:sz w:val="21"/>
          <w:szCs w:val="21"/>
        </w:rPr>
        <w:t>采购单位及采购代理机构</w:t>
      </w:r>
      <w:r>
        <w:rPr>
          <w:rFonts w:asciiTheme="minorEastAsia" w:hAnsiTheme="minorEastAsia" w:eastAsiaTheme="minorEastAsia"/>
          <w:sz w:val="21"/>
          <w:szCs w:val="21"/>
        </w:rPr>
        <w:t>串通，不得向</w:t>
      </w:r>
      <w:r>
        <w:rPr>
          <w:rFonts w:hint="eastAsia" w:asciiTheme="minorEastAsia" w:hAnsiTheme="minorEastAsia" w:eastAsiaTheme="minorEastAsia"/>
          <w:sz w:val="21"/>
          <w:szCs w:val="21"/>
        </w:rPr>
        <w:t>采购单位、采购代理机构</w:t>
      </w:r>
      <w:r>
        <w:rPr>
          <w:rFonts w:asciiTheme="minorEastAsia" w:hAnsiTheme="minorEastAsia" w:eastAsiaTheme="minorEastAsia"/>
          <w:sz w:val="21"/>
          <w:szCs w:val="21"/>
        </w:rPr>
        <w:t>或者</w:t>
      </w:r>
      <w:r>
        <w:rPr>
          <w:rFonts w:hint="eastAsia" w:asciiTheme="minorEastAsia" w:hAnsiTheme="minorEastAsia" w:eastAsiaTheme="minorEastAsia"/>
          <w:sz w:val="21"/>
          <w:szCs w:val="21"/>
        </w:rPr>
        <w:t>谈判评审小组</w:t>
      </w:r>
      <w:r>
        <w:rPr>
          <w:rFonts w:asciiTheme="minorEastAsia" w:hAnsiTheme="minorEastAsia" w:eastAsiaTheme="minorEastAsia"/>
          <w:sz w:val="21"/>
          <w:szCs w:val="21"/>
        </w:rPr>
        <w:t>成员行贿谋取中</w:t>
      </w:r>
      <w:r>
        <w:rPr>
          <w:rFonts w:hint="eastAsia" w:asciiTheme="minorEastAsia" w:hAnsiTheme="minorEastAsia" w:eastAsiaTheme="minorEastAsia"/>
          <w:sz w:val="21"/>
          <w:szCs w:val="21"/>
        </w:rPr>
        <w:t>选</w:t>
      </w:r>
      <w:r>
        <w:rPr>
          <w:rFonts w:asciiTheme="minorEastAsia" w:hAnsiTheme="minorEastAsia" w:eastAsiaTheme="minorEastAsia"/>
          <w:sz w:val="21"/>
          <w:szCs w:val="21"/>
        </w:rPr>
        <w:t>，不得以他人名义</w:t>
      </w:r>
      <w:r>
        <w:rPr>
          <w:rFonts w:hint="eastAsia" w:asciiTheme="minorEastAsia" w:hAnsiTheme="minorEastAsia" w:eastAsiaTheme="minorEastAsia"/>
          <w:sz w:val="21"/>
          <w:szCs w:val="21"/>
        </w:rPr>
        <w:t>参与谈判</w:t>
      </w:r>
      <w:r>
        <w:rPr>
          <w:rFonts w:asciiTheme="minorEastAsia" w:hAnsiTheme="minorEastAsia" w:eastAsiaTheme="minorEastAsia"/>
          <w:sz w:val="21"/>
          <w:szCs w:val="21"/>
        </w:rPr>
        <w:t>或者以其他方式弄虚作假骗取中</w:t>
      </w:r>
      <w:r>
        <w:rPr>
          <w:rFonts w:hint="eastAsia" w:asciiTheme="minorEastAsia" w:hAnsiTheme="minorEastAsia" w:eastAsiaTheme="minorEastAsia"/>
          <w:sz w:val="21"/>
          <w:szCs w:val="21"/>
        </w:rPr>
        <w:t>选</w:t>
      </w:r>
      <w:r>
        <w:rPr>
          <w:rFonts w:asciiTheme="minorEastAsia" w:hAnsiTheme="minorEastAsia" w:eastAsiaTheme="minorEastAsia"/>
          <w:sz w:val="21"/>
          <w:szCs w:val="21"/>
        </w:rPr>
        <w:t>；</w:t>
      </w:r>
      <w:r>
        <w:rPr>
          <w:rFonts w:hint="eastAsia" w:asciiTheme="minorEastAsia" w:hAnsiTheme="minorEastAsia" w:eastAsiaTheme="minorEastAsia"/>
          <w:sz w:val="21"/>
          <w:szCs w:val="21"/>
        </w:rPr>
        <w:t>谈判单位</w:t>
      </w:r>
      <w:r>
        <w:rPr>
          <w:rFonts w:asciiTheme="minorEastAsia" w:hAnsiTheme="minorEastAsia" w:eastAsiaTheme="minorEastAsia"/>
          <w:sz w:val="21"/>
          <w:szCs w:val="21"/>
        </w:rPr>
        <w:t>不得以任何方式干扰、影响评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25.3对</w:t>
      </w:r>
      <w:r>
        <w:rPr>
          <w:rFonts w:hint="eastAsia" w:asciiTheme="minorEastAsia" w:hAnsiTheme="minorEastAsia" w:eastAsiaTheme="minorEastAsia"/>
          <w:b/>
          <w:szCs w:val="21"/>
        </w:rPr>
        <w:t>谈判评审小组</w:t>
      </w:r>
      <w:r>
        <w:rPr>
          <w:rFonts w:hint="eastAsia" w:asciiTheme="minorEastAsia" w:hAnsiTheme="minorEastAsia" w:eastAsiaTheme="minorEastAsia"/>
          <w:b/>
          <w:bCs/>
          <w:szCs w:val="21"/>
        </w:rPr>
        <w:t>成员的纪律要求</w:t>
      </w:r>
    </w:p>
    <w:p>
      <w:pPr>
        <w:pStyle w:val="215"/>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谈判评审小组</w:t>
      </w:r>
      <w:r>
        <w:rPr>
          <w:rFonts w:asciiTheme="minorEastAsia" w:hAnsiTheme="minorEastAsia" w:eastAsiaTheme="minorEastAsia"/>
          <w:sz w:val="21"/>
          <w:szCs w:val="21"/>
        </w:rPr>
        <w:t>成员不得收受他人的财物或者其他好处，不得向他人透露对</w:t>
      </w:r>
      <w:r>
        <w:rPr>
          <w:rFonts w:hint="eastAsia" w:asciiTheme="minorEastAsia" w:hAnsiTheme="minorEastAsia" w:eastAsiaTheme="minorEastAsia"/>
          <w:sz w:val="21"/>
          <w:szCs w:val="21"/>
        </w:rPr>
        <w:t>谈判</w:t>
      </w:r>
      <w:r>
        <w:rPr>
          <w:rFonts w:asciiTheme="minorEastAsia" w:hAnsiTheme="minorEastAsia" w:eastAsiaTheme="minorEastAsia"/>
          <w:sz w:val="21"/>
          <w:szCs w:val="21"/>
        </w:rPr>
        <w:t>文件的评审和比较以及评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有关的其他情况。在评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活动中，</w:t>
      </w:r>
      <w:r>
        <w:rPr>
          <w:rFonts w:hint="eastAsia" w:asciiTheme="minorEastAsia" w:hAnsiTheme="minorEastAsia" w:eastAsiaTheme="minorEastAsia"/>
          <w:sz w:val="21"/>
          <w:szCs w:val="21"/>
        </w:rPr>
        <w:t>谈判评审小组</w:t>
      </w:r>
      <w:r>
        <w:rPr>
          <w:rFonts w:asciiTheme="minorEastAsia" w:hAnsiTheme="minorEastAsia" w:eastAsiaTheme="minorEastAsia"/>
          <w:sz w:val="21"/>
          <w:szCs w:val="21"/>
        </w:rPr>
        <w:t>成员应当客观、公正地履行职责，遵守职业道德，不得擅离职守，影响评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程序正常进行，不得使用第</w:t>
      </w:r>
      <w:bookmarkStart w:id="18" w:name="page32"/>
      <w:bookmarkEnd w:id="18"/>
      <w:r>
        <w:rPr>
          <w:rFonts w:asciiTheme="minorEastAsia" w:hAnsiTheme="minorEastAsia" w:eastAsiaTheme="minorEastAsia"/>
          <w:sz w:val="21"/>
          <w:szCs w:val="21"/>
        </w:rPr>
        <w:t>三章“评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办法”没有规定的评审因素和标准进行评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25.4对与评审活动有关的工作人员的纪律要求</w:t>
      </w:r>
    </w:p>
    <w:p>
      <w:pPr>
        <w:pStyle w:val="25"/>
        <w:adjustRightInd w:val="0"/>
        <w:snapToGrid w:val="0"/>
        <w:spacing w:line="360" w:lineRule="auto"/>
        <w:ind w:firstLine="420" w:firstLineChars="200"/>
        <w:rPr>
          <w:rFonts w:asciiTheme="minorEastAsia" w:hAnsiTheme="minorEastAsia" w:eastAsiaTheme="minorEastAsia"/>
        </w:rPr>
      </w:pPr>
      <w:r>
        <w:rPr>
          <w:rFonts w:asciiTheme="minorEastAsia" w:hAnsiTheme="minorEastAsia" w:eastAsiaTheme="minorEastAsia"/>
        </w:rPr>
        <w:t>与评审活动有关的工作人员不得收受他人的财物或者其他好处，不得向他人透露对</w:t>
      </w:r>
      <w:r>
        <w:rPr>
          <w:rFonts w:hint="eastAsia" w:asciiTheme="minorEastAsia" w:hAnsiTheme="minorEastAsia" w:eastAsiaTheme="minorEastAsia"/>
        </w:rPr>
        <w:t>响应</w:t>
      </w:r>
      <w:r>
        <w:rPr>
          <w:rFonts w:asciiTheme="minorEastAsia" w:hAnsiTheme="minorEastAsia" w:eastAsiaTheme="minorEastAsia"/>
        </w:rPr>
        <w:t>文件的评审和比较以及评</w:t>
      </w:r>
      <w:r>
        <w:rPr>
          <w:rFonts w:hint="eastAsia" w:asciiTheme="minorEastAsia" w:hAnsiTheme="minorEastAsia" w:eastAsiaTheme="minorEastAsia"/>
        </w:rPr>
        <w:t>审</w:t>
      </w:r>
      <w:r>
        <w:rPr>
          <w:rFonts w:asciiTheme="minorEastAsia" w:hAnsiTheme="minorEastAsia" w:eastAsiaTheme="minorEastAsia"/>
        </w:rPr>
        <w:t>有关的其他情况。在评审活动中，与评审活动有关的工作人员不得擅离职守，影响评审程序正常进行。</w:t>
      </w:r>
    </w:p>
    <w:p>
      <w:pPr>
        <w:pStyle w:val="25"/>
        <w:adjustRightInd w:val="0"/>
        <w:snapToGrid w:val="0"/>
        <w:spacing w:line="360" w:lineRule="auto"/>
        <w:ind w:firstLine="420" w:firstLineChars="200"/>
        <w:outlineLvl w:val="1"/>
        <w:rPr>
          <w:rFonts w:cs="宋体" w:asciiTheme="minorEastAsia" w:hAnsiTheme="minorEastAsia" w:eastAsiaTheme="minorEastAsia"/>
        </w:rPr>
      </w:pPr>
      <w:bookmarkStart w:id="19" w:name="_Toc9305"/>
      <w:r>
        <w:rPr>
          <w:rFonts w:hint="eastAsia" w:cs="宋体" w:asciiTheme="minorEastAsia" w:hAnsiTheme="minorEastAsia" w:eastAsiaTheme="minorEastAsia"/>
        </w:rPr>
        <w:t>八、</w:t>
      </w:r>
      <w:r>
        <w:rPr>
          <w:rFonts w:hint="eastAsia" w:asciiTheme="minorEastAsia" w:hAnsiTheme="minorEastAsia" w:eastAsiaTheme="minorEastAsia"/>
          <w:b/>
          <w:iCs/>
        </w:rPr>
        <w:t>其他</w:t>
      </w:r>
      <w:bookmarkEnd w:id="19"/>
    </w:p>
    <w:p>
      <w:pPr>
        <w:adjustRightInd w:val="0"/>
        <w:snapToGrid w:val="0"/>
        <w:spacing w:line="360" w:lineRule="auto"/>
        <w:ind w:firstLine="420" w:firstLineChars="200"/>
        <w:rPr>
          <w:rFonts w:asciiTheme="minorEastAsia" w:hAnsiTheme="minorEastAsia" w:eastAsiaTheme="minorEastAsia"/>
        </w:rPr>
        <w:sectPr>
          <w:pgSz w:w="12240" w:h="15840"/>
          <w:pgMar w:top="1440" w:right="1800" w:bottom="1440" w:left="1800" w:header="720" w:footer="720" w:gutter="0"/>
          <w:cols w:space="720" w:num="1"/>
          <w:titlePg/>
          <w:docGrid w:type="lines" w:linePitch="323" w:charSpace="0"/>
        </w:sectPr>
      </w:pPr>
      <w:r>
        <w:rPr>
          <w:rFonts w:hint="eastAsia" w:cs="宋体" w:asciiTheme="minorEastAsia" w:hAnsiTheme="minorEastAsia" w:eastAsiaTheme="minorEastAsia"/>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所提供的有关情况、文件、证明等资料与事实不符的行为，或在采购过程中存在其他违法违规行为的，按照不合格处理；被列为中选候选人的，取消中选候选人资格；已中选的，取消中选资格。</w:t>
      </w:r>
      <w:r>
        <w:rPr>
          <w:rFonts w:hint="eastAsia" w:asciiTheme="minorEastAsia" w:hAnsiTheme="minorEastAsia" w:eastAsiaTheme="minorEastAsia"/>
          <w:szCs w:val="21"/>
        </w:rPr>
        <w:t>同时，视其情节轻重处禁止参与长沙市轨道交通集团有限公司及下属子公司项目招标采购活动（最多三年），并依据国家有关规定进行处理。</w:t>
      </w:r>
    </w:p>
    <w:p>
      <w:pPr>
        <w:adjustRightInd w:val="0"/>
        <w:snapToGrid w:val="0"/>
        <w:spacing w:line="360" w:lineRule="auto"/>
        <w:ind w:firstLine="422" w:firstLineChars="200"/>
        <w:jc w:val="left"/>
        <w:rPr>
          <w:rFonts w:cs="宋体" w:asciiTheme="minorEastAsia" w:hAnsiTheme="minorEastAsia" w:eastAsiaTheme="minorEastAsia"/>
          <w:b/>
          <w:szCs w:val="21"/>
        </w:rPr>
      </w:pPr>
      <w:r>
        <w:rPr>
          <w:rFonts w:hint="eastAsia" w:cs="宋体" w:asciiTheme="minorEastAsia" w:hAnsiTheme="minorEastAsia" w:eastAsiaTheme="minorEastAsia"/>
          <w:b/>
          <w:szCs w:val="21"/>
        </w:rPr>
        <w:t>采购代理服务费收费标准</w:t>
      </w:r>
    </w:p>
    <w:tbl>
      <w:tblPr>
        <w:tblStyle w:val="47"/>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51"/>
        <w:gridCol w:w="232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spacing w:line="360" w:lineRule="auto"/>
              <w:ind w:firstLine="420" w:firstLineChars="200"/>
              <w:jc w:val="right"/>
              <w:rPr>
                <w:rFonts w:cs="宋体" w:asciiTheme="minorEastAsia" w:hAnsiTheme="minorEastAsia" w:eastAsiaTheme="minorEastAsia"/>
                <w:bCs/>
                <w:szCs w:val="21"/>
              </w:rPr>
            </w:pPr>
            <w:r>
              <w:rPr>
                <w:rFonts w:hint="eastAsia" w:cs="宋体" w:asciiTheme="minorEastAsia" w:hAnsiTheme="minorEastAsia" w:eastAsiaTheme="minorEastAsia"/>
                <w:bCs/>
                <w:szCs w:val="21"/>
              </w:rPr>
              <w:t>汇率</w:t>
            </w:r>
          </w:p>
          <w:p>
            <w:pPr>
              <w:adjustRightInd w:val="0"/>
              <w:snapToGrid w:val="0"/>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中选金额</w:t>
            </w:r>
          </w:p>
        </w:tc>
        <w:tc>
          <w:tcPr>
            <w:tcW w:w="2451" w:type="dxa"/>
            <w:tcBorders>
              <w:top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货物采购</w:t>
            </w:r>
          </w:p>
        </w:tc>
        <w:tc>
          <w:tcPr>
            <w:tcW w:w="2325" w:type="dxa"/>
            <w:tcBorders>
              <w:top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服务采购</w:t>
            </w:r>
          </w:p>
        </w:tc>
        <w:tc>
          <w:tcPr>
            <w:tcW w:w="2367" w:type="dxa"/>
            <w:tcBorders>
              <w:top w:val="single" w:color="auto" w:sz="12" w:space="0"/>
              <w:righ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8" w:type="dxa"/>
            <w:tcBorders>
              <w:lef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100万元以下</w:t>
            </w:r>
          </w:p>
        </w:tc>
        <w:tc>
          <w:tcPr>
            <w:tcW w:w="2451"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1.5%</w:t>
            </w:r>
          </w:p>
        </w:tc>
        <w:tc>
          <w:tcPr>
            <w:tcW w:w="2325"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1.5%</w:t>
            </w:r>
          </w:p>
        </w:tc>
        <w:tc>
          <w:tcPr>
            <w:tcW w:w="2367" w:type="dxa"/>
            <w:tcBorders>
              <w:righ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8" w:type="dxa"/>
            <w:tcBorders>
              <w:lef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100～400万元</w:t>
            </w:r>
          </w:p>
        </w:tc>
        <w:tc>
          <w:tcPr>
            <w:tcW w:w="2451"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1.1%</w:t>
            </w:r>
          </w:p>
        </w:tc>
        <w:tc>
          <w:tcPr>
            <w:tcW w:w="2325"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0.8%</w:t>
            </w:r>
          </w:p>
        </w:tc>
        <w:tc>
          <w:tcPr>
            <w:tcW w:w="2367" w:type="dxa"/>
            <w:tcBorders>
              <w:righ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备注</w:t>
            </w:r>
          </w:p>
        </w:tc>
        <w:tc>
          <w:tcPr>
            <w:tcW w:w="7143"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采购代理服务费的收费标准为：以中选价为基数，按《</w:t>
            </w:r>
            <w:r>
              <w:rPr>
                <w:rFonts w:hint="eastAsia" w:ascii="宋体" w:hAnsi="宋体"/>
                <w:szCs w:val="21"/>
              </w:rPr>
              <w:t>采购</w:t>
            </w:r>
            <w:r>
              <w:rPr>
                <w:rFonts w:ascii="宋体" w:hAnsi="宋体"/>
                <w:szCs w:val="21"/>
              </w:rPr>
              <w:t>代理服务收费汇率表</w:t>
            </w:r>
            <w:r>
              <w:rPr>
                <w:rFonts w:hint="eastAsia" w:cs="宋体" w:asciiTheme="minorEastAsia" w:hAnsiTheme="minorEastAsia" w:eastAsiaTheme="minorEastAsia"/>
                <w:bCs/>
                <w:szCs w:val="21"/>
              </w:rPr>
              <w:t>》进行计算后，向中选单位收取。服务费超过2万元的，按2万元计取，服务费低于5000元的，按5000元计取。</w:t>
            </w:r>
          </w:p>
        </w:tc>
      </w:tr>
    </w:tbl>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100万元×1.0%＝1万元</w:t>
      </w:r>
    </w:p>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（300-100）万元×0.7%＝1.4万元</w:t>
      </w:r>
    </w:p>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合计收费＝1+1.4＝2.4（万元）</w:t>
      </w:r>
    </w:p>
    <w:p>
      <w:pPr>
        <w:adjustRightInd w:val="0"/>
        <w:snapToGrid w:val="0"/>
        <w:spacing w:line="360" w:lineRule="auto"/>
        <w:ind w:firstLine="420" w:firstLineChars="200"/>
        <w:jc w:val="left"/>
        <w:rPr>
          <w:rFonts w:asciiTheme="minorEastAsia" w:hAnsiTheme="minorEastAsia" w:eastAsiaTheme="minorEastAsia"/>
          <w:bCs/>
          <w:szCs w:val="21"/>
        </w:rPr>
        <w:sectPr>
          <w:footerReference r:id="rId6" w:type="first"/>
          <w:footerReference r:id="rId5" w:type="default"/>
          <w:pgSz w:w="12240" w:h="15840"/>
          <w:pgMar w:top="1440" w:right="1800" w:bottom="1440" w:left="1800" w:header="720" w:footer="720" w:gutter="0"/>
          <w:cols w:space="720" w:num="1"/>
          <w:titlePg/>
          <w:docGrid w:type="lines" w:linePitch="323" w:charSpace="0"/>
        </w:sectPr>
      </w:pPr>
      <w:r>
        <w:rPr>
          <w:rFonts w:hint="eastAsia" w:asciiTheme="minorEastAsia" w:hAnsiTheme="minorEastAsia" w:eastAsiaTheme="minorEastAsia"/>
          <w:bCs/>
          <w:szCs w:val="21"/>
        </w:rPr>
        <w:t>本</w:t>
      </w:r>
      <w:r>
        <w:rPr>
          <w:rFonts w:asciiTheme="minorEastAsia" w:hAnsiTheme="minorEastAsia" w:eastAsiaTheme="minorEastAsia"/>
          <w:bCs/>
          <w:szCs w:val="21"/>
        </w:rPr>
        <w:t>项目采购代理服务费为</w:t>
      </w:r>
      <w:r>
        <w:rPr>
          <w:rFonts w:hint="eastAsia" w:asciiTheme="minorEastAsia" w:hAnsiTheme="minorEastAsia" w:eastAsiaTheme="minorEastAsia"/>
          <w:bCs/>
          <w:szCs w:val="21"/>
        </w:rPr>
        <w:t>2万</w:t>
      </w:r>
      <w:r>
        <w:rPr>
          <w:rFonts w:asciiTheme="minorEastAsia" w:hAnsiTheme="minorEastAsia" w:eastAsiaTheme="minorEastAsia"/>
          <w:bCs/>
          <w:szCs w:val="21"/>
        </w:rPr>
        <w:t>元</w:t>
      </w:r>
    </w:p>
    <w:p>
      <w:pPr>
        <w:pStyle w:val="3"/>
        <w:keepNext w:val="0"/>
        <w:spacing w:line="360" w:lineRule="auto"/>
        <w:ind w:firstLine="643" w:firstLineChars="200"/>
        <w:rPr>
          <w:rFonts w:cs="宋体" w:asciiTheme="minorEastAsia" w:hAnsiTheme="minorEastAsia" w:eastAsiaTheme="minorEastAsia"/>
          <w:bCs w:val="0"/>
          <w:sz w:val="32"/>
          <w:szCs w:val="32"/>
        </w:rPr>
      </w:pPr>
      <w:bookmarkStart w:id="20" w:name="_Toc10493"/>
      <w:r>
        <w:rPr>
          <w:rFonts w:hint="eastAsia" w:cs="宋体" w:asciiTheme="minorEastAsia" w:hAnsiTheme="minorEastAsia" w:eastAsiaTheme="minorEastAsia"/>
          <w:bCs w:val="0"/>
          <w:sz w:val="32"/>
          <w:szCs w:val="32"/>
        </w:rPr>
        <w:t>第三章 评审办法及标准</w:t>
      </w:r>
      <w:bookmarkEnd w:id="20"/>
    </w:p>
    <w:p>
      <w:pPr>
        <w:pStyle w:val="25"/>
        <w:adjustRightInd w:val="0"/>
        <w:snapToGrid w:val="0"/>
        <w:spacing w:line="360" w:lineRule="auto"/>
        <w:ind w:firstLine="422" w:firstLineChars="200"/>
        <w:outlineLvl w:val="1"/>
        <w:rPr>
          <w:rFonts w:cs="宋体" w:asciiTheme="minorEastAsia" w:hAnsiTheme="minorEastAsia" w:eastAsiaTheme="minorEastAsia"/>
          <w:b/>
        </w:rPr>
      </w:pPr>
      <w:bookmarkStart w:id="21" w:name="_Toc5767"/>
      <w:r>
        <w:rPr>
          <w:rFonts w:hint="eastAsia" w:cs="宋体" w:asciiTheme="minorEastAsia" w:hAnsiTheme="minorEastAsia" w:eastAsiaTheme="minorEastAsia"/>
          <w:b/>
        </w:rPr>
        <w:t>一、评审办法</w:t>
      </w:r>
      <w:bookmarkEnd w:id="21"/>
    </w:p>
    <w:p>
      <w:pPr>
        <w:adjustRightInd w:val="0"/>
        <w:snapToGrid w:val="0"/>
        <w:spacing w:line="360" w:lineRule="auto"/>
        <w:ind w:firstLine="420" w:firstLineChars="200"/>
        <w:rPr>
          <w:rFonts w:asciiTheme="minorEastAsia" w:hAnsiTheme="minorEastAsia" w:eastAsiaTheme="minorEastAsia"/>
          <w:b/>
          <w:sz w:val="24"/>
        </w:rPr>
      </w:pPr>
      <w:r>
        <w:rPr>
          <w:rFonts w:hint="eastAsia" w:asciiTheme="minorEastAsia" w:hAnsiTheme="minorEastAsia" w:eastAsiaTheme="minorEastAsia"/>
          <w:bCs/>
          <w:szCs w:val="21"/>
        </w:rPr>
        <w:t>1.本项目采用经符合性审查合格后的</w:t>
      </w:r>
      <w:r>
        <w:rPr>
          <w:rFonts w:hint="eastAsia" w:asciiTheme="minorEastAsia" w:hAnsiTheme="minorEastAsia" w:eastAsiaTheme="minorEastAsia"/>
          <w:b/>
          <w:bCs/>
          <w:szCs w:val="21"/>
          <w:u w:val="single"/>
        </w:rPr>
        <w:t>最低价法</w:t>
      </w:r>
      <w:r>
        <w:rPr>
          <w:rFonts w:hint="eastAsia" w:asciiTheme="minorEastAsia" w:hAnsiTheme="minorEastAsia" w:eastAsiaTheme="minorEastAsia"/>
          <w:b/>
          <w:bCs/>
          <w:szCs w:val="21"/>
        </w:rPr>
        <w:t>。</w:t>
      </w:r>
    </w:p>
    <w:p>
      <w:pPr>
        <w:pStyle w:val="25"/>
        <w:adjustRightInd w:val="0"/>
        <w:snapToGrid w:val="0"/>
        <w:spacing w:line="360" w:lineRule="auto"/>
        <w:ind w:firstLine="422" w:firstLineChars="200"/>
        <w:outlineLvl w:val="1"/>
        <w:rPr>
          <w:rFonts w:cs="宋体" w:asciiTheme="minorEastAsia" w:hAnsiTheme="minorEastAsia" w:eastAsiaTheme="minorEastAsia"/>
          <w:b/>
        </w:rPr>
      </w:pPr>
      <w:bookmarkStart w:id="22" w:name="_Toc13176"/>
      <w:r>
        <w:rPr>
          <w:rFonts w:hint="eastAsia" w:cs="宋体" w:asciiTheme="minorEastAsia" w:hAnsiTheme="minorEastAsia" w:eastAsiaTheme="minorEastAsia"/>
          <w:b/>
        </w:rPr>
        <w:t>二、谈判程序</w:t>
      </w:r>
      <w:bookmarkEnd w:id="22"/>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2.1采购单位在前附表内规定的谈判时间及地点组织谈判活动。谈判活动由采购单位、谈判单位代表参与。</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bCs/>
          <w:szCs w:val="21"/>
        </w:rPr>
        <w:t>2.2谈判程序分为：</w:t>
      </w:r>
      <w:r>
        <w:rPr>
          <w:rFonts w:hint="eastAsia" w:ascii="宋体" w:hAnsi="宋体" w:cs="宋体"/>
          <w:b/>
          <w:szCs w:val="21"/>
        </w:rPr>
        <w:t>谈判验证阶段及谈判评审阶段。</w:t>
      </w:r>
    </w:p>
    <w:p>
      <w:pPr>
        <w:adjustRightInd w:val="0"/>
        <w:snapToGrid w:val="0"/>
        <w:spacing w:line="360" w:lineRule="auto"/>
        <w:ind w:firstLine="422" w:firstLineChars="200"/>
        <w:outlineLvl w:val="1"/>
        <w:rPr>
          <w:rFonts w:cs="宋体" w:asciiTheme="minorEastAsia" w:hAnsiTheme="minorEastAsia" w:eastAsiaTheme="minorEastAsia"/>
          <w:b/>
          <w:szCs w:val="21"/>
        </w:rPr>
      </w:pPr>
      <w:bookmarkStart w:id="23" w:name="_Toc25638"/>
      <w:r>
        <w:rPr>
          <w:rFonts w:hint="eastAsia" w:cs="宋体" w:asciiTheme="minorEastAsia" w:hAnsiTheme="minorEastAsia" w:eastAsiaTheme="minorEastAsia"/>
          <w:b/>
          <w:szCs w:val="21"/>
        </w:rPr>
        <w:t>三、谈判验证阶段</w:t>
      </w:r>
      <w:bookmarkEnd w:id="23"/>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谈判验证阶段分为身份验证和唱价。</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3.1身份验证阶段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3.1.1采购单位按本文件前附表内规定的响应文件的谈判现场验证要求，对参与谈判的单位代表身份进行验证。</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3.1.2参与谈判的代表身份经验证不合格的，视为无效响应，</w:t>
      </w:r>
      <w:r>
        <w:rPr>
          <w:rFonts w:hint="eastAsia" w:ascii="宋体" w:hAnsi="宋体" w:cs="宋体"/>
          <w:szCs w:val="21"/>
        </w:rPr>
        <w:t>不得进入下一阶段。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3.2.唱价阶段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3.2.2谈判单位法定代表人或授权委托人、现场监审、记录人等有关人员在《谈判报价记录一览表》上签字确认，谈判单位对本阶段有异议的应当场提出，采购单位当场作出答复，并记录在案，未提出的，视为无异议。</w:t>
      </w:r>
    </w:p>
    <w:p>
      <w:pPr>
        <w:adjustRightInd w:val="0"/>
        <w:snapToGrid w:val="0"/>
        <w:spacing w:line="360" w:lineRule="auto"/>
        <w:ind w:firstLine="422" w:firstLineChars="200"/>
        <w:outlineLvl w:val="1"/>
        <w:rPr>
          <w:rFonts w:cs="宋体" w:asciiTheme="minorEastAsia" w:hAnsiTheme="minorEastAsia" w:eastAsiaTheme="minorEastAsia"/>
          <w:b/>
          <w:szCs w:val="21"/>
        </w:rPr>
      </w:pPr>
      <w:bookmarkStart w:id="24" w:name="_Toc21262"/>
      <w:r>
        <w:rPr>
          <w:rFonts w:hint="eastAsia" w:cs="宋体" w:asciiTheme="minorEastAsia" w:hAnsiTheme="minorEastAsia" w:eastAsiaTheme="minorEastAsia"/>
          <w:b/>
          <w:szCs w:val="21"/>
        </w:rPr>
        <w:t>四、谈判评审阶段</w:t>
      </w:r>
      <w:bookmarkEnd w:id="24"/>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谈判评审阶段分为符合性审查、详细评审及推荐中选单位。</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4.符合性审查阶段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符合性审查分为对谈判单位资格的符合性审查及报价的符合性审查。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4.1资格的符合性审查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w:t>
      </w:r>
      <w:r>
        <w:rPr>
          <w:rFonts w:hint="eastAsia" w:ascii="宋体" w:hAnsi="宋体" w:cs="宋体"/>
          <w:bCs/>
          <w:szCs w:val="21"/>
        </w:rPr>
        <w:t>小组</w:t>
      </w:r>
      <w:r>
        <w:rPr>
          <w:rFonts w:hint="eastAsia" w:ascii="宋体" w:hAnsi="宋体" w:cs="宋体"/>
          <w:szCs w:val="21"/>
        </w:rPr>
        <w:t>根据本谈判文件</w:t>
      </w:r>
      <w:r>
        <w:rPr>
          <w:rFonts w:hint="eastAsia" w:ascii="宋体" w:hAnsi="宋体" w:cs="宋体"/>
          <w:b/>
          <w:szCs w:val="21"/>
        </w:rPr>
        <w:t>前附表</w:t>
      </w:r>
      <w:r>
        <w:rPr>
          <w:rFonts w:hint="eastAsia" w:ascii="宋体" w:hAnsi="宋体" w:cs="宋体"/>
          <w:szCs w:val="21"/>
        </w:rPr>
        <w:t>内规定的谈判单位资格要求，对谈判单位进行符合性审查，资格审查以谈判单位递交的原件资料为准。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4.2报价的符合性审查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4.3有下列情形之一的，为符合性审查不合格，视为无效响应，不进入下一阶段：</w:t>
      </w:r>
    </w:p>
    <w:p>
      <w:pPr>
        <w:adjustRightInd w:val="0"/>
        <w:snapToGrid w:val="0"/>
        <w:spacing w:line="360" w:lineRule="auto"/>
        <w:ind w:firstLine="420" w:firstLineChars="200"/>
        <w:rPr>
          <w:rFonts w:ascii="宋体" w:hAnsi="宋体"/>
          <w:szCs w:val="21"/>
        </w:rPr>
      </w:pPr>
      <w:r>
        <w:rPr>
          <w:rFonts w:hint="eastAsia" w:ascii="宋体" w:hAnsi="宋体"/>
          <w:szCs w:val="21"/>
        </w:rPr>
        <w:t>（1）未按照谈判文件规定要求签署盖章的。</w:t>
      </w:r>
    </w:p>
    <w:p>
      <w:pPr>
        <w:adjustRightInd w:val="0"/>
        <w:snapToGrid w:val="0"/>
        <w:spacing w:line="360" w:lineRule="auto"/>
        <w:ind w:firstLine="420" w:firstLineChars="200"/>
        <w:rPr>
          <w:rFonts w:ascii="宋体" w:hAnsi="宋体"/>
          <w:szCs w:val="21"/>
        </w:rPr>
      </w:pPr>
      <w:r>
        <w:rPr>
          <w:rFonts w:hint="eastAsia" w:ascii="宋体" w:hAnsi="宋体"/>
          <w:szCs w:val="21"/>
        </w:rPr>
        <w:t>（2）响应</w:t>
      </w:r>
      <w:r>
        <w:rPr>
          <w:rFonts w:hint="eastAsia" w:ascii="宋体" w:hAnsi="宋体" w:cs="宋体"/>
          <w:kern w:val="0"/>
          <w:szCs w:val="21"/>
        </w:rPr>
        <w:t>文件有效期不满足谈判文件规定的。</w:t>
      </w:r>
    </w:p>
    <w:p>
      <w:pPr>
        <w:adjustRightInd w:val="0"/>
        <w:snapToGrid w:val="0"/>
        <w:spacing w:line="360" w:lineRule="auto"/>
        <w:ind w:firstLine="420" w:firstLineChars="200"/>
        <w:rPr>
          <w:rFonts w:ascii="宋体" w:hAnsi="宋体"/>
          <w:szCs w:val="21"/>
        </w:rPr>
      </w:pPr>
      <w:r>
        <w:rPr>
          <w:rFonts w:hint="eastAsia" w:ascii="宋体" w:hAnsi="宋体"/>
          <w:szCs w:val="21"/>
        </w:rPr>
        <w:t>（3）未带营业执照副本原件/未带加盖谈判单位公章的营业执照副本复印件的。</w:t>
      </w:r>
    </w:p>
    <w:p>
      <w:pPr>
        <w:adjustRightInd w:val="0"/>
        <w:snapToGrid w:val="0"/>
        <w:spacing w:line="360" w:lineRule="auto"/>
        <w:ind w:firstLine="420" w:firstLineChars="200"/>
        <w:rPr>
          <w:rFonts w:ascii="宋体" w:hAnsi="宋体"/>
          <w:szCs w:val="21"/>
        </w:rPr>
      </w:pPr>
      <w:r>
        <w:rPr>
          <w:rFonts w:hint="eastAsia" w:ascii="宋体" w:hAnsi="宋体"/>
          <w:szCs w:val="21"/>
        </w:rPr>
        <w:t>（4）不满足资格条件要求的。</w:t>
      </w:r>
    </w:p>
    <w:p>
      <w:pPr>
        <w:adjustRightInd w:val="0"/>
        <w:snapToGrid w:val="0"/>
        <w:spacing w:line="360" w:lineRule="auto"/>
        <w:ind w:firstLine="420" w:firstLineChars="200"/>
        <w:rPr>
          <w:rFonts w:ascii="宋体" w:hAnsi="宋体"/>
          <w:szCs w:val="21"/>
        </w:rPr>
      </w:pPr>
      <w:r>
        <w:rPr>
          <w:rFonts w:hint="eastAsia" w:ascii="宋体" w:hAnsi="宋体"/>
          <w:szCs w:val="21"/>
        </w:rPr>
        <w:t>（5）不满足用户需求书要求的。</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（6）超过</w:t>
      </w:r>
      <w:r>
        <w:rPr>
          <w:rFonts w:hint="eastAsia" w:ascii="宋体" w:hAnsi="宋体"/>
          <w:szCs w:val="21"/>
        </w:rPr>
        <w:t>最高投标限价的</w:t>
      </w:r>
      <w:r>
        <w:rPr>
          <w:rFonts w:hint="eastAsia" w:ascii="宋体" w:hAnsi="宋体" w:cs="宋体"/>
          <w:kern w:val="0"/>
          <w:szCs w:val="21"/>
        </w:rPr>
        <w:t>。</w:t>
      </w:r>
    </w:p>
    <w:p>
      <w:pPr>
        <w:adjustRightInd w:val="0"/>
        <w:snapToGrid w:val="0"/>
        <w:spacing w:line="360" w:lineRule="auto"/>
        <w:ind w:firstLine="411" w:firstLineChars="196"/>
        <w:jc w:val="left"/>
        <w:rPr>
          <w:rFonts w:ascii="宋体" w:hAnsi="宋体"/>
          <w:szCs w:val="21"/>
        </w:rPr>
      </w:pPr>
      <w:r>
        <w:rPr>
          <w:rFonts w:hint="eastAsia" w:ascii="宋体" w:hAnsi="宋体"/>
          <w:szCs w:val="21"/>
        </w:rPr>
        <w:t>（7）递交两份或多份内容不同的报价文件，或在一份报价文件中对同一项目报有两个或多个报价，且未声明哪一个有效的。</w:t>
      </w:r>
    </w:p>
    <w:p>
      <w:pPr>
        <w:adjustRightInd w:val="0"/>
        <w:snapToGrid w:val="0"/>
        <w:spacing w:line="360" w:lineRule="auto"/>
        <w:ind w:firstLine="420" w:firstLineChars="200"/>
        <w:rPr>
          <w:rFonts w:ascii="宋体" w:hAnsi="宋体" w:cs="宋体"/>
          <w:b/>
          <w:szCs w:val="21"/>
        </w:rPr>
      </w:pPr>
      <w:r>
        <w:rPr>
          <w:rFonts w:hint="eastAsia" w:ascii="宋体" w:hAnsi="宋体"/>
          <w:szCs w:val="21"/>
        </w:rPr>
        <w:t>（8）被长沙市轨道交通集团函告禁止在一定期限内参与轨道公司项目投标或谈判的单位按函告内容执行。</w:t>
      </w:r>
    </w:p>
    <w:p>
      <w:pPr>
        <w:adjustRightInd w:val="0"/>
        <w:snapToGrid w:val="0"/>
        <w:spacing w:line="360" w:lineRule="auto"/>
        <w:ind w:firstLine="422" w:firstLineChars="200"/>
        <w:rPr>
          <w:rFonts w:ascii="宋体" w:hAnsi="宋体" w:cs="宋体"/>
          <w:b/>
          <w:bCs/>
          <w:szCs w:val="21"/>
        </w:rPr>
      </w:pPr>
      <w:r>
        <w:rPr>
          <w:rFonts w:hint="eastAsia" w:ascii="宋体" w:hAnsi="宋体" w:cs="宋体"/>
          <w:b/>
          <w:szCs w:val="21"/>
        </w:rPr>
        <w:t>5.</w:t>
      </w:r>
      <w:r>
        <w:rPr>
          <w:rFonts w:hint="eastAsia" w:ascii="宋体" w:hAnsi="宋体" w:cs="宋体"/>
          <w:b/>
          <w:bCs/>
          <w:szCs w:val="21"/>
        </w:rPr>
        <w:t>详细评审阶段</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5.1谈判评审小组应按以下要求对经符合性审查合格的谈判单位进行详细评审：</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w:t>
      </w:r>
      <w:r>
        <w:rPr>
          <w:rFonts w:hint="eastAsia" w:ascii="宋体" w:hAnsi="宋体" w:cs="宋体"/>
          <w:kern w:val="0"/>
          <w:szCs w:val="21"/>
        </w:rPr>
        <w:t>以经谈判评审小组一致认定满足《竞争性谈判文件》要求且谈判总报价最低的报价为基准价，其得分为满分。</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（2）</w:t>
      </w:r>
      <w:r>
        <w:rPr>
          <w:rFonts w:hint="eastAsia" w:ascii="宋体" w:hAnsi="宋体" w:cs="宋体"/>
          <w:kern w:val="0"/>
          <w:szCs w:val="21"/>
        </w:rPr>
        <w:t>其他有效单位的得分统一按下列公式计算（保留2位小数，第3位四舍五入）：谈判单位得分=(基准价／谈判总报价)×100</w:t>
      </w:r>
    </w:p>
    <w:p>
      <w:pPr>
        <w:adjustRightInd w:val="0"/>
        <w:snapToGrid w:val="0"/>
        <w:spacing w:line="360" w:lineRule="auto"/>
        <w:ind w:firstLine="413" w:firstLineChars="196"/>
        <w:rPr>
          <w:rFonts w:ascii="宋体" w:hAnsi="宋体" w:cs="宋体"/>
          <w:b/>
          <w:bCs/>
          <w:szCs w:val="21"/>
        </w:rPr>
      </w:pPr>
      <w:r>
        <w:rPr>
          <w:rFonts w:hint="eastAsia" w:ascii="宋体" w:hAnsi="宋体" w:cs="宋体"/>
          <w:b/>
          <w:bCs/>
          <w:szCs w:val="21"/>
        </w:rPr>
        <w:t>6.推荐中选单位</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bCs/>
          <w:szCs w:val="21"/>
        </w:rPr>
        <w:t>6.1</w:t>
      </w:r>
      <w:r>
        <w:rPr>
          <w:rFonts w:hint="eastAsia" w:ascii="宋体" w:hAnsi="宋体" w:cs="宋体"/>
          <w:kern w:val="0"/>
          <w:szCs w:val="21"/>
        </w:rPr>
        <w:t>谈判评审小组应当在全部评审结束后，按照得分由高到低顺序推荐1名中选单位，并填写评审报告。</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6.2全部评审结束后，若出现报价得分相同的情形，则采用现场抽签方式确定中选单位。</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before="120" w:beforeLines="50" w:line="360" w:lineRule="auto"/>
        <w:ind w:firstLine="643" w:firstLineChars="200"/>
        <w:rPr>
          <w:rFonts w:asciiTheme="minorEastAsia" w:hAnsiTheme="minorEastAsia" w:eastAsiaTheme="minorEastAsia"/>
          <w:b/>
          <w:sz w:val="32"/>
          <w:szCs w:val="32"/>
        </w:rPr>
        <w:sectPr>
          <w:pgSz w:w="11906" w:h="16838"/>
          <w:pgMar w:top="1440" w:right="1797" w:bottom="1440" w:left="1797" w:header="851" w:footer="851" w:gutter="0"/>
          <w:cols w:space="720" w:num="1"/>
          <w:docGrid w:linePitch="312" w:charSpace="0"/>
        </w:sectPr>
      </w:pPr>
    </w:p>
    <w:p>
      <w:pPr>
        <w:pStyle w:val="3"/>
        <w:keepNext w:val="0"/>
        <w:numPr>
          <w:ilvl w:val="0"/>
          <w:numId w:val="2"/>
        </w:numPr>
        <w:spacing w:line="360" w:lineRule="auto"/>
        <w:ind w:firstLine="643" w:firstLineChars="200"/>
        <w:rPr>
          <w:rFonts w:cs="宋体" w:asciiTheme="minorEastAsia" w:hAnsiTheme="minorEastAsia" w:eastAsiaTheme="minorEastAsia"/>
          <w:bCs w:val="0"/>
          <w:sz w:val="32"/>
          <w:szCs w:val="32"/>
        </w:rPr>
      </w:pPr>
      <w:bookmarkStart w:id="25" w:name="_Toc32047"/>
      <w:r>
        <w:rPr>
          <w:rFonts w:hint="eastAsia" w:cs="宋体" w:asciiTheme="minorEastAsia" w:hAnsiTheme="minorEastAsia" w:eastAsiaTheme="minorEastAsia"/>
          <w:bCs w:val="0"/>
          <w:sz w:val="32"/>
          <w:szCs w:val="32"/>
        </w:rPr>
        <w:t>用户需求书</w:t>
      </w:r>
      <w:bookmarkStart w:id="26" w:name="_Toc8303500"/>
      <w:bookmarkStart w:id="27" w:name="_Toc4401260"/>
      <w:bookmarkStart w:id="28" w:name="_Toc5975439"/>
      <w:r>
        <w:rPr>
          <w:rFonts w:hint="eastAsia" w:cs="宋体" w:asciiTheme="minorEastAsia" w:hAnsiTheme="minorEastAsia" w:eastAsiaTheme="minorEastAsia"/>
          <w:bCs w:val="0"/>
          <w:sz w:val="32"/>
          <w:szCs w:val="32"/>
        </w:rPr>
        <w:t>（另册）</w:t>
      </w:r>
      <w:bookmarkEnd w:id="25"/>
    </w:p>
    <w:bookmarkEnd w:id="26"/>
    <w:bookmarkEnd w:id="27"/>
    <w:bookmarkEnd w:id="28"/>
    <w:p>
      <w:pPr>
        <w:pStyle w:val="3"/>
        <w:keepNext w:val="0"/>
        <w:spacing w:line="360" w:lineRule="auto"/>
        <w:ind w:firstLine="643" w:firstLineChars="200"/>
        <w:rPr>
          <w:rFonts w:cs="宋体" w:asciiTheme="minorEastAsia" w:hAnsiTheme="minorEastAsia" w:eastAsiaTheme="minorEastAsia"/>
          <w:bCs w:val="0"/>
          <w:sz w:val="32"/>
          <w:szCs w:val="32"/>
        </w:rPr>
      </w:pPr>
    </w:p>
    <w:p>
      <w:pPr>
        <w:rPr>
          <w:rFonts w:cs="宋体" w:asciiTheme="minorEastAsia" w:hAnsiTheme="minorEastAsia" w:eastAsiaTheme="minorEastAsia"/>
          <w:sz w:val="32"/>
          <w:szCs w:val="32"/>
        </w:rPr>
      </w:pPr>
    </w:p>
    <w:p>
      <w:pPr>
        <w:pStyle w:val="45"/>
        <w:ind w:firstLine="640"/>
        <w:rPr>
          <w:rFonts w:cs="宋体" w:asciiTheme="minorEastAsia" w:hAnsiTheme="minorEastAsia" w:eastAsiaTheme="minorEastAsia"/>
          <w:sz w:val="32"/>
          <w:szCs w:val="32"/>
        </w:rPr>
      </w:pPr>
    </w:p>
    <w:p>
      <w:pPr>
        <w:pStyle w:val="45"/>
        <w:ind w:firstLine="640"/>
        <w:rPr>
          <w:rFonts w:cs="宋体" w:asciiTheme="minorEastAsia" w:hAnsiTheme="minorEastAsia" w:eastAsiaTheme="minorEastAsia"/>
          <w:sz w:val="32"/>
          <w:szCs w:val="32"/>
        </w:rPr>
      </w:pPr>
    </w:p>
    <w:p>
      <w:pPr>
        <w:pStyle w:val="45"/>
        <w:ind w:firstLine="640"/>
        <w:rPr>
          <w:rFonts w:cs="宋体" w:asciiTheme="minorEastAsia" w:hAnsiTheme="minorEastAsia" w:eastAsiaTheme="minorEastAsia"/>
          <w:sz w:val="32"/>
          <w:szCs w:val="32"/>
        </w:rPr>
      </w:pPr>
    </w:p>
    <w:p>
      <w:pPr>
        <w:pStyle w:val="45"/>
        <w:ind w:firstLine="640"/>
        <w:rPr>
          <w:rFonts w:cs="宋体" w:asciiTheme="minorEastAsia" w:hAnsiTheme="minorEastAsia" w:eastAsiaTheme="minorEastAsia"/>
          <w:sz w:val="32"/>
          <w:szCs w:val="32"/>
        </w:rPr>
      </w:pPr>
    </w:p>
    <w:p>
      <w:pPr>
        <w:pStyle w:val="45"/>
        <w:ind w:firstLine="640"/>
        <w:rPr>
          <w:rFonts w:cs="宋体" w:asciiTheme="minorEastAsia" w:hAnsiTheme="minorEastAsia" w:eastAsiaTheme="minorEastAsia"/>
          <w:sz w:val="32"/>
          <w:szCs w:val="32"/>
        </w:rPr>
      </w:pPr>
    </w:p>
    <w:p>
      <w:pPr>
        <w:pStyle w:val="45"/>
        <w:ind w:firstLine="640"/>
        <w:rPr>
          <w:rFonts w:cs="宋体" w:asciiTheme="minorEastAsia" w:hAnsiTheme="minorEastAsia" w:eastAsiaTheme="minorEastAsia"/>
          <w:sz w:val="32"/>
          <w:szCs w:val="32"/>
        </w:rPr>
      </w:pPr>
    </w:p>
    <w:p>
      <w:pPr>
        <w:pStyle w:val="45"/>
        <w:ind w:firstLine="640"/>
        <w:rPr>
          <w:rFonts w:cs="宋体" w:asciiTheme="minorEastAsia" w:hAnsiTheme="minorEastAsia" w:eastAsiaTheme="minorEastAsia"/>
          <w:sz w:val="32"/>
          <w:szCs w:val="32"/>
        </w:rPr>
      </w:pPr>
    </w:p>
    <w:p>
      <w:pPr>
        <w:pStyle w:val="45"/>
        <w:ind w:firstLine="640"/>
        <w:rPr>
          <w:rFonts w:cs="宋体" w:asciiTheme="minorEastAsia" w:hAnsiTheme="minorEastAsia" w:eastAsiaTheme="minorEastAsia"/>
          <w:sz w:val="32"/>
          <w:szCs w:val="32"/>
        </w:rPr>
      </w:pPr>
    </w:p>
    <w:p>
      <w:pPr>
        <w:pStyle w:val="45"/>
        <w:ind w:firstLine="640"/>
        <w:rPr>
          <w:rFonts w:cs="宋体" w:asciiTheme="minorEastAsia" w:hAnsiTheme="minorEastAsia" w:eastAsiaTheme="minorEastAsia"/>
          <w:sz w:val="32"/>
          <w:szCs w:val="32"/>
        </w:rPr>
      </w:pPr>
    </w:p>
    <w:p>
      <w:pPr>
        <w:pStyle w:val="45"/>
        <w:ind w:firstLine="640"/>
        <w:rPr>
          <w:rFonts w:cs="宋体" w:asciiTheme="minorEastAsia" w:hAnsiTheme="minorEastAsia" w:eastAsiaTheme="minorEastAsia"/>
          <w:sz w:val="32"/>
          <w:szCs w:val="32"/>
        </w:rPr>
      </w:pPr>
    </w:p>
    <w:p>
      <w:pPr>
        <w:pStyle w:val="45"/>
        <w:ind w:firstLine="640"/>
        <w:rPr>
          <w:rFonts w:cs="宋体" w:asciiTheme="minorEastAsia" w:hAnsiTheme="minorEastAsia" w:eastAsiaTheme="minorEastAsia"/>
          <w:sz w:val="32"/>
          <w:szCs w:val="32"/>
        </w:rPr>
      </w:pPr>
    </w:p>
    <w:p>
      <w:pPr>
        <w:pStyle w:val="45"/>
        <w:ind w:firstLine="640"/>
        <w:rPr>
          <w:rFonts w:cs="宋体" w:asciiTheme="minorEastAsia" w:hAnsiTheme="minorEastAsia" w:eastAsiaTheme="minorEastAsia"/>
          <w:sz w:val="32"/>
          <w:szCs w:val="32"/>
        </w:rPr>
      </w:pPr>
    </w:p>
    <w:p>
      <w:pPr>
        <w:pStyle w:val="45"/>
        <w:ind w:firstLine="640"/>
        <w:rPr>
          <w:rFonts w:cs="宋体" w:asciiTheme="minorEastAsia" w:hAnsiTheme="minorEastAsia" w:eastAsiaTheme="minorEastAsia"/>
          <w:sz w:val="32"/>
          <w:szCs w:val="32"/>
        </w:rPr>
      </w:pPr>
    </w:p>
    <w:p>
      <w:pPr>
        <w:pStyle w:val="45"/>
        <w:ind w:firstLine="640"/>
        <w:rPr>
          <w:rFonts w:cs="宋体" w:asciiTheme="minorEastAsia" w:hAnsiTheme="minorEastAsia" w:eastAsiaTheme="minorEastAsia"/>
          <w:sz w:val="32"/>
          <w:szCs w:val="32"/>
        </w:rPr>
      </w:pPr>
    </w:p>
    <w:p>
      <w:pPr>
        <w:pStyle w:val="45"/>
        <w:ind w:firstLine="640"/>
        <w:rPr>
          <w:rFonts w:cs="宋体" w:asciiTheme="minorEastAsia" w:hAnsiTheme="minorEastAsia" w:eastAsiaTheme="minorEastAsia"/>
          <w:sz w:val="32"/>
          <w:szCs w:val="32"/>
        </w:rPr>
      </w:pPr>
    </w:p>
    <w:p>
      <w:pPr>
        <w:pStyle w:val="45"/>
        <w:ind w:firstLine="640"/>
        <w:rPr>
          <w:rFonts w:cs="宋体" w:asciiTheme="minorEastAsia" w:hAnsiTheme="minorEastAsia" w:eastAsiaTheme="minorEastAsia"/>
          <w:sz w:val="32"/>
          <w:szCs w:val="32"/>
        </w:rPr>
      </w:pPr>
    </w:p>
    <w:p>
      <w:pPr>
        <w:pStyle w:val="45"/>
        <w:ind w:firstLine="640"/>
        <w:rPr>
          <w:rFonts w:cs="宋体" w:asciiTheme="minorEastAsia" w:hAnsiTheme="minorEastAsia" w:eastAsiaTheme="minorEastAsia"/>
          <w:sz w:val="32"/>
          <w:szCs w:val="32"/>
        </w:rPr>
      </w:pPr>
    </w:p>
    <w:p>
      <w:pPr>
        <w:pStyle w:val="3"/>
        <w:keepNext w:val="0"/>
        <w:spacing w:line="360" w:lineRule="auto"/>
        <w:ind w:firstLine="482" w:firstLineChars="200"/>
        <w:rPr>
          <w:rFonts w:ascii="仿宋_GB2312" w:hAnsi="宋体" w:eastAsia="仿宋_GB2312" w:cs="仿宋_GB2312"/>
          <w:lang w:bidi="ar"/>
        </w:rPr>
      </w:pPr>
    </w:p>
    <w:p>
      <w:pPr>
        <w:pStyle w:val="3"/>
        <w:keepNext w:val="0"/>
        <w:spacing w:line="360" w:lineRule="auto"/>
        <w:ind w:left="643"/>
        <w:rPr>
          <w:rFonts w:cs="宋体" w:asciiTheme="minorEastAsia" w:hAnsiTheme="minorEastAsia" w:eastAsiaTheme="minorEastAsia"/>
          <w:bCs w:val="0"/>
          <w:sz w:val="32"/>
          <w:szCs w:val="32"/>
        </w:rPr>
      </w:pPr>
    </w:p>
    <w:p>
      <w:pPr>
        <w:pStyle w:val="3"/>
        <w:keepNext w:val="0"/>
        <w:spacing w:line="360" w:lineRule="auto"/>
        <w:ind w:left="643"/>
        <w:rPr>
          <w:rFonts w:cs="宋体" w:asciiTheme="minorEastAsia" w:hAnsiTheme="minorEastAsia" w:eastAsiaTheme="minorEastAsia"/>
          <w:bCs w:val="0"/>
          <w:sz w:val="32"/>
          <w:szCs w:val="32"/>
        </w:rPr>
      </w:pPr>
    </w:p>
    <w:p>
      <w:pPr>
        <w:pStyle w:val="3"/>
        <w:keepNext w:val="0"/>
        <w:spacing w:line="360" w:lineRule="auto"/>
        <w:ind w:left="643"/>
        <w:rPr>
          <w:rFonts w:cs="宋体" w:asciiTheme="minorEastAsia" w:hAnsiTheme="minorEastAsia" w:eastAsiaTheme="minorEastAsia"/>
          <w:bCs w:val="0"/>
          <w:sz w:val="32"/>
          <w:szCs w:val="32"/>
        </w:rPr>
      </w:pPr>
      <w:r>
        <w:rPr>
          <w:rFonts w:hint="eastAsia" w:cs="宋体" w:asciiTheme="minorEastAsia" w:hAnsiTheme="minorEastAsia" w:eastAsiaTheme="minorEastAsia"/>
          <w:bCs w:val="0"/>
          <w:sz w:val="32"/>
          <w:szCs w:val="32"/>
        </w:rPr>
        <w:t>第五章  合同格式条款</w:t>
      </w:r>
    </w:p>
    <w:p>
      <w:pPr>
        <w:spacing w:line="360" w:lineRule="auto"/>
        <w:jc w:val="right"/>
        <w:rPr>
          <w:rFonts w:ascii="仿宋_GB2312" w:hAnsi="仿宋_GB2312" w:eastAsia="仿宋_GB2312" w:cs="仿宋_GB2312"/>
          <w:b/>
          <w:sz w:val="24"/>
        </w:rPr>
      </w:pPr>
    </w:p>
    <w:p>
      <w:pPr>
        <w:spacing w:line="360" w:lineRule="auto"/>
        <w:jc w:val="right"/>
        <w:rPr>
          <w:rFonts w:ascii="仿宋_GB2312" w:hAnsi="仿宋_GB2312" w:eastAsia="仿宋_GB2312" w:cs="仿宋_GB2312"/>
          <w:b/>
          <w:sz w:val="52"/>
        </w:rPr>
      </w:pPr>
      <w:r>
        <w:rPr>
          <w:rFonts w:hint="eastAsia" w:ascii="仿宋_GB2312" w:hAnsi="仿宋_GB2312" w:eastAsia="仿宋_GB2312" w:cs="仿宋_GB2312"/>
          <w:b/>
          <w:sz w:val="24"/>
        </w:rPr>
        <w:t>合同编号：</w:t>
      </w:r>
      <w:r>
        <w:rPr>
          <w:rFonts w:hint="eastAsia" w:ascii="仿宋_GB2312" w:hAnsi="仿宋_GB2312" w:eastAsia="仿宋_GB2312" w:cs="仿宋_GB2312"/>
          <w:bCs/>
          <w:sz w:val="24"/>
        </w:rPr>
        <w:t>长轨运</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服合</w:t>
      </w:r>
      <w:r>
        <w:rPr>
          <w:rFonts w:hint="eastAsia" w:ascii="仿宋_GB2312" w:hAnsi="仿宋_GB2312" w:eastAsia="仿宋_GB2312" w:cs="仿宋_GB2312"/>
          <w:sz w:val="24"/>
        </w:rPr>
        <w:t>【20</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号</w:t>
      </w:r>
    </w:p>
    <w:p>
      <w:pPr>
        <w:tabs>
          <w:tab w:val="left" w:pos="3105"/>
        </w:tabs>
        <w:snapToGrid w:val="0"/>
        <w:spacing w:line="70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ab/>
      </w:r>
    </w:p>
    <w:p>
      <w:pPr>
        <w:spacing w:line="360" w:lineRule="auto"/>
        <w:jc w:val="center"/>
        <w:rPr>
          <w:rFonts w:ascii="仿宋_GB2312" w:hAnsi="仿宋_GB2312" w:eastAsia="仿宋_GB2312" w:cs="仿宋_GB2312"/>
          <w:b/>
          <w:spacing w:val="20"/>
          <w:sz w:val="28"/>
          <w:szCs w:val="28"/>
        </w:rPr>
      </w:pPr>
    </w:p>
    <w:p>
      <w:pPr>
        <w:pStyle w:val="2"/>
      </w:pPr>
    </w:p>
    <w:p>
      <w:pPr>
        <w:spacing w:line="360" w:lineRule="auto"/>
        <w:jc w:val="center"/>
        <w:rPr>
          <w:rFonts w:ascii="仿宋_GB2312" w:hAnsi="仿宋_GB2312" w:eastAsia="仿宋_GB2312" w:cs="仿宋_GB2312"/>
          <w:b/>
          <w:spacing w:val="20"/>
          <w:sz w:val="52"/>
          <w:szCs w:val="52"/>
        </w:rPr>
      </w:pPr>
      <w:r>
        <w:rPr>
          <w:rFonts w:hint="eastAsia" w:ascii="仿宋_GB2312" w:hAnsi="仿宋_GB2312" w:eastAsia="仿宋_GB2312" w:cs="仿宋_GB2312"/>
          <w:b/>
          <w:spacing w:val="20"/>
          <w:sz w:val="52"/>
          <w:szCs w:val="52"/>
        </w:rPr>
        <w:t>设备维修保养服务委外合同</w:t>
      </w:r>
    </w:p>
    <w:p>
      <w:pPr>
        <w:spacing w:before="240" w:beforeLines="100"/>
        <w:jc w:val="center"/>
        <w:rPr>
          <w:rFonts w:ascii="仿宋_GB2312" w:hAnsi="仿宋_GB2312" w:eastAsia="仿宋_GB2312" w:cs="仿宋_GB2312"/>
          <w:b/>
          <w:sz w:val="28"/>
          <w:szCs w:val="28"/>
        </w:rPr>
      </w:pPr>
    </w:p>
    <w:p>
      <w:pPr>
        <w:spacing w:before="240" w:beforeLines="100"/>
        <w:jc w:val="center"/>
        <w:rPr>
          <w:rFonts w:ascii="仿宋_GB2312" w:hAnsi="仿宋_GB2312" w:eastAsia="仿宋_GB2312" w:cs="仿宋_GB2312"/>
          <w:b/>
          <w:sz w:val="28"/>
          <w:szCs w:val="28"/>
        </w:rPr>
      </w:pPr>
    </w:p>
    <w:p>
      <w:pPr>
        <w:spacing w:before="240" w:beforeLines="100"/>
        <w:jc w:val="center"/>
        <w:rPr>
          <w:rFonts w:ascii="仿宋_GB2312" w:hAnsi="仿宋_GB2312" w:eastAsia="仿宋_GB2312" w:cs="仿宋_GB2312"/>
          <w:b/>
          <w:sz w:val="28"/>
          <w:szCs w:val="28"/>
        </w:rPr>
      </w:pPr>
    </w:p>
    <w:p>
      <w:pPr>
        <w:spacing w:before="240" w:beforeLines="100"/>
        <w:rPr>
          <w:rFonts w:ascii="仿宋_GB2312" w:hAnsi="仿宋_GB2312" w:eastAsia="仿宋_GB2312" w:cs="仿宋_GB2312"/>
          <w:b/>
          <w:sz w:val="28"/>
          <w:szCs w:val="28"/>
        </w:rPr>
      </w:pPr>
    </w:p>
    <w:p>
      <w:pPr>
        <w:adjustRightInd w:val="0"/>
        <w:snapToGrid w:val="0"/>
        <w:spacing w:line="360" w:lineRule="auto"/>
        <w:ind w:firstLine="835" w:firstLineChars="297"/>
        <w:rPr>
          <w:rFonts w:ascii="仿宋_GB2312" w:hAnsi="仿宋_GB2312" w:eastAsia="仿宋_GB2312" w:cs="仿宋_GB2312"/>
          <w:b/>
          <w:sz w:val="28"/>
          <w:u w:val="dotted"/>
        </w:rPr>
      </w:pPr>
      <w:r>
        <w:rPr>
          <w:rFonts w:hint="eastAsia" w:ascii="仿宋_GB2312" w:hAnsi="仿宋_GB2312" w:eastAsia="仿宋_GB2312" w:cs="仿宋_GB2312"/>
          <w:b/>
          <w:sz w:val="28"/>
        </w:rPr>
        <w:t>项目名称：</w:t>
      </w:r>
      <w:r>
        <w:rPr>
          <w:rFonts w:hint="eastAsia" w:ascii="仿宋_GB2312" w:hAnsi="仿宋_GB2312" w:eastAsia="仿宋_GB2312" w:cs="仿宋_GB2312"/>
          <w:b/>
          <w:sz w:val="28"/>
          <w:u w:val="single"/>
        </w:rPr>
        <w:t xml:space="preserve"> 《长沙市轨道交通1、2、5号线运营期2021年-2023年特种设备（起重机类）委外维修保养服务项目》   </w:t>
      </w:r>
    </w:p>
    <w:p>
      <w:pPr>
        <w:adjustRightInd w:val="0"/>
        <w:snapToGrid w:val="0"/>
        <w:spacing w:line="360" w:lineRule="auto"/>
        <w:ind w:firstLine="835" w:firstLineChars="297"/>
        <w:rPr>
          <w:rFonts w:ascii="仿宋_GB2312" w:hAnsi="仿宋_GB2312" w:eastAsia="仿宋_GB2312" w:cs="仿宋_GB2312"/>
          <w:b/>
          <w:sz w:val="28"/>
          <w:u w:val="dotted"/>
        </w:rPr>
      </w:pPr>
    </w:p>
    <w:p>
      <w:pPr>
        <w:adjustRightInd w:val="0"/>
        <w:snapToGrid w:val="0"/>
        <w:spacing w:line="360" w:lineRule="auto"/>
        <w:ind w:firstLine="835" w:firstLineChars="297"/>
        <w:rPr>
          <w:rFonts w:ascii="仿宋_GB2312" w:hAnsi="仿宋_GB2312" w:eastAsia="仿宋_GB2312" w:cs="仿宋_GB2312"/>
          <w:b/>
          <w:sz w:val="28"/>
          <w:u w:val="dotted"/>
        </w:rPr>
      </w:pPr>
      <w:r>
        <w:rPr>
          <w:rFonts w:hint="eastAsia" w:ascii="仿宋_GB2312" w:hAnsi="仿宋_GB2312" w:eastAsia="仿宋_GB2312" w:cs="仿宋_GB2312"/>
          <w:b/>
          <w:sz w:val="28"/>
        </w:rPr>
        <w:t>项目地点：</w:t>
      </w:r>
      <w:r>
        <w:rPr>
          <w:rFonts w:hint="eastAsia" w:ascii="仿宋_GB2312" w:hAnsi="仿宋_GB2312" w:eastAsia="仿宋_GB2312" w:cs="仿宋_GB2312"/>
          <w:b/>
          <w:sz w:val="28"/>
          <w:u w:val="single"/>
        </w:rPr>
        <w:t xml:space="preserve">            湖南省长沙市             </w:t>
      </w:r>
    </w:p>
    <w:p>
      <w:pPr>
        <w:adjustRightInd w:val="0"/>
        <w:snapToGrid w:val="0"/>
        <w:spacing w:line="360" w:lineRule="auto"/>
        <w:ind w:firstLine="1344" w:firstLineChars="478"/>
        <w:rPr>
          <w:rFonts w:ascii="仿宋_GB2312" w:hAnsi="仿宋_GB2312" w:eastAsia="仿宋_GB2312" w:cs="仿宋_GB2312"/>
          <w:b/>
          <w:sz w:val="28"/>
        </w:rPr>
      </w:pPr>
    </w:p>
    <w:p>
      <w:pPr>
        <w:adjustRightInd w:val="0"/>
        <w:snapToGrid w:val="0"/>
        <w:spacing w:line="360" w:lineRule="auto"/>
        <w:ind w:firstLine="835" w:firstLineChars="297"/>
        <w:rPr>
          <w:rFonts w:ascii="仿宋_GB2312" w:hAnsi="仿宋_GB2312" w:eastAsia="仿宋_GB2312" w:cs="仿宋_GB2312"/>
          <w:b/>
          <w:sz w:val="28"/>
          <w:u w:val="single"/>
        </w:rPr>
      </w:pPr>
      <w:r>
        <w:rPr>
          <w:rFonts w:hint="eastAsia" w:ascii="仿宋_GB2312" w:hAnsi="仿宋_GB2312" w:eastAsia="仿宋_GB2312" w:cs="仿宋_GB2312"/>
          <w:b/>
          <w:sz w:val="28"/>
        </w:rPr>
        <w:t>甲    方：</w:t>
      </w:r>
      <w:r>
        <w:rPr>
          <w:rFonts w:hint="eastAsia" w:ascii="仿宋_GB2312" w:hAnsi="仿宋_GB2312" w:eastAsia="仿宋_GB2312" w:cs="仿宋_GB2312"/>
          <w:b/>
          <w:sz w:val="28"/>
          <w:u w:val="single"/>
        </w:rPr>
        <w:t xml:space="preserve">                                     </w:t>
      </w:r>
    </w:p>
    <w:p>
      <w:pPr>
        <w:adjustRightInd w:val="0"/>
        <w:snapToGrid w:val="0"/>
        <w:spacing w:line="360" w:lineRule="auto"/>
        <w:ind w:firstLine="1344" w:firstLineChars="478"/>
        <w:rPr>
          <w:rFonts w:ascii="仿宋_GB2312" w:hAnsi="仿宋_GB2312" w:eastAsia="仿宋_GB2312" w:cs="仿宋_GB2312"/>
          <w:b/>
          <w:sz w:val="28"/>
        </w:rPr>
      </w:pPr>
    </w:p>
    <w:p>
      <w:pPr>
        <w:adjustRightInd w:val="0"/>
        <w:snapToGrid w:val="0"/>
        <w:spacing w:line="360" w:lineRule="auto"/>
        <w:ind w:firstLine="835" w:firstLineChars="297"/>
        <w:rPr>
          <w:rFonts w:ascii="仿宋_GB2312" w:hAnsi="仿宋_GB2312" w:eastAsia="仿宋_GB2312" w:cs="仿宋_GB2312"/>
          <w:b/>
          <w:sz w:val="28"/>
          <w:u w:val="dotted"/>
        </w:rPr>
      </w:pPr>
      <w:r>
        <w:rPr>
          <w:rFonts w:hint="eastAsia" w:ascii="仿宋_GB2312" w:hAnsi="仿宋_GB2312" w:eastAsia="仿宋_GB2312" w:cs="仿宋_GB2312"/>
          <w:b/>
          <w:sz w:val="28"/>
        </w:rPr>
        <w:t>乙    方：</w:t>
      </w:r>
      <w:r>
        <w:rPr>
          <w:rFonts w:hint="eastAsia" w:ascii="仿宋_GB2312" w:hAnsi="仿宋_GB2312" w:eastAsia="仿宋_GB2312" w:cs="仿宋_GB2312"/>
          <w:b/>
          <w:sz w:val="28"/>
          <w:u w:val="single"/>
        </w:rPr>
        <w:t xml:space="preserve">                                     </w:t>
      </w:r>
    </w:p>
    <w:p>
      <w:pPr>
        <w:jc w:val="center"/>
        <w:rPr>
          <w:rFonts w:ascii="仿宋_GB2312" w:hAnsi="仿宋_GB2312" w:eastAsia="仿宋_GB2312" w:cs="仿宋_GB2312"/>
          <w:b/>
          <w:sz w:val="36"/>
          <w:szCs w:val="36"/>
        </w:rPr>
        <w:sectPr>
          <w:footerReference r:id="rId7" w:type="even"/>
          <w:pgSz w:w="11850" w:h="16783"/>
          <w:pgMar w:top="1440" w:right="1800" w:bottom="1440" w:left="1800" w:header="851" w:footer="992" w:gutter="0"/>
          <w:cols w:space="720" w:num="1"/>
          <w:titlePg/>
          <w:docGrid w:linePitch="312" w:charSpace="0"/>
        </w:sectPr>
      </w:pPr>
      <w:bookmarkStart w:id="29" w:name="_Toc368066683"/>
    </w:p>
    <w:p>
      <w:pPr>
        <w:pStyle w:val="32"/>
        <w:tabs>
          <w:tab w:val="left" w:pos="420"/>
          <w:tab w:val="right" w:leader="dot" w:pos="8820"/>
        </w:tabs>
        <w:spacing w:line="360" w:lineRule="auto"/>
        <w:jc w:val="center"/>
        <w:outlineLvl w:val="0"/>
        <w:rPr>
          <w:rFonts w:ascii="仿宋_GB2312" w:hAnsi="仿宋_GB2312" w:eastAsia="仿宋_GB2312" w:cs="仿宋_GB2312"/>
          <w:sz w:val="32"/>
          <w:szCs w:val="32"/>
          <w:u w:val="single"/>
        </w:rPr>
      </w:pPr>
      <w:bookmarkStart w:id="30" w:name="_Toc29208"/>
      <w:bookmarkStart w:id="31" w:name="_Toc30639"/>
      <w:r>
        <w:rPr>
          <w:rFonts w:hint="eastAsia" w:ascii="仿宋_GB2312" w:hAnsi="仿宋_GB2312" w:eastAsia="仿宋_GB2312" w:cs="仿宋_GB2312"/>
          <w:sz w:val="32"/>
          <w:szCs w:val="32"/>
        </w:rPr>
        <w:t>第一部分 合同协议书</w:t>
      </w:r>
      <w:bookmarkEnd w:id="29"/>
      <w:bookmarkEnd w:id="30"/>
      <w:bookmarkEnd w:id="31"/>
    </w:p>
    <w:p>
      <w:pPr>
        <w:snapToGrid w:val="0"/>
        <w:spacing w:line="360" w:lineRule="auto"/>
        <w:rPr>
          <w:rFonts w:ascii="仿宋_GB2312" w:hAnsi="仿宋_GB2312" w:eastAsia="仿宋_GB2312" w:cs="仿宋_GB2312"/>
          <w:b/>
        </w:rPr>
      </w:pPr>
    </w:p>
    <w:p>
      <w:pPr>
        <w:pStyle w:val="13"/>
        <w:tabs>
          <w:tab w:val="left" w:pos="720"/>
        </w:tabs>
        <w:snapToGrid w:val="0"/>
        <w:spacing w:line="360" w:lineRule="auto"/>
        <w:ind w:left="205" w:hanging="205" w:hangingChars="85"/>
        <w:rPr>
          <w:rFonts w:ascii="仿宋_GB2312" w:hAnsi="仿宋_GB2312" w:eastAsia="仿宋_GB2312" w:cs="仿宋_GB2312"/>
          <w:b/>
          <w:sz w:val="24"/>
          <w:u w:val="single"/>
        </w:rPr>
      </w:pPr>
      <w:r>
        <w:rPr>
          <w:rFonts w:hint="eastAsia" w:ascii="仿宋_GB2312" w:hAnsi="仿宋_GB2312" w:eastAsia="仿宋_GB2312" w:cs="仿宋_GB2312"/>
          <w:b/>
          <w:sz w:val="24"/>
        </w:rPr>
        <w:t>甲方</w:t>
      </w:r>
      <w:r>
        <w:rPr>
          <w:rFonts w:hint="eastAsia" w:ascii="仿宋_GB2312" w:hAnsi="仿宋_GB2312" w:eastAsia="仿宋_GB2312" w:cs="仿宋_GB2312"/>
          <w:sz w:val="24"/>
        </w:rPr>
        <w:t>（全称）：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b/>
          <w:sz w:val="24"/>
          <w:u w:val="single"/>
        </w:rPr>
        <w:t xml:space="preserve">             </w:t>
      </w:r>
    </w:p>
    <w:p>
      <w:pPr>
        <w:autoSpaceDE w:val="0"/>
        <w:autoSpaceDN w:val="0"/>
        <w:snapToGrid w:val="0"/>
        <w:spacing w:line="360" w:lineRule="auto"/>
        <w:textAlignment w:val="bottom"/>
        <w:rPr>
          <w:rFonts w:ascii="仿宋_GB2312" w:hAnsi="仿宋_GB2312" w:eastAsia="仿宋_GB2312" w:cs="仿宋_GB2312"/>
          <w:sz w:val="24"/>
        </w:rPr>
      </w:pPr>
      <w:r>
        <w:rPr>
          <w:rFonts w:hint="eastAsia" w:ascii="仿宋_GB2312" w:hAnsi="仿宋_GB2312" w:eastAsia="仿宋_GB2312" w:cs="仿宋_GB2312"/>
          <w:b/>
          <w:sz w:val="24"/>
        </w:rPr>
        <w:t>乙方</w:t>
      </w:r>
      <w:r>
        <w:rPr>
          <w:rFonts w:hint="eastAsia" w:ascii="仿宋_GB2312" w:hAnsi="仿宋_GB2312" w:eastAsia="仿宋_GB2312" w:cs="仿宋_GB2312"/>
          <w:sz w:val="24"/>
        </w:rPr>
        <w:t>（全称）：</w:t>
      </w:r>
      <w:r>
        <w:rPr>
          <w:rFonts w:hint="eastAsia" w:ascii="仿宋_GB2312" w:hAnsi="仿宋_GB2312" w:eastAsia="仿宋_GB2312" w:cs="仿宋_GB2312"/>
          <w:sz w:val="24"/>
          <w:u w:val="single"/>
        </w:rPr>
        <w:t xml:space="preserve">                         </w:t>
      </w:r>
    </w:p>
    <w:p>
      <w:pPr>
        <w:autoSpaceDE w:val="0"/>
        <w:autoSpaceDN w:val="0"/>
        <w:snapToGrid w:val="0"/>
        <w:spacing w:line="360" w:lineRule="auto"/>
        <w:ind w:firstLine="480"/>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根据《中华人民共和国民法典》及其他有关法律、法规，遵循平等、自愿、公平和诚实信用的原则</w:t>
      </w:r>
      <w:r>
        <w:rPr>
          <w:rFonts w:hint="eastAsia" w:ascii="仿宋_GB2312" w:hAnsi="仿宋_GB2312" w:eastAsia="仿宋_GB2312" w:cs="仿宋_GB2312"/>
          <w:sz w:val="24"/>
        </w:rPr>
        <w:t>，</w:t>
      </w:r>
      <w:r>
        <w:rPr>
          <w:rFonts w:hint="eastAsia" w:ascii="仿宋_GB2312" w:hAnsi="仿宋_GB2312" w:eastAsia="仿宋_GB2312" w:cs="仿宋_GB2312"/>
          <w:kern w:val="0"/>
          <w:sz w:val="24"/>
        </w:rPr>
        <w:t>双方就下述项目设备维修保养及有关事项协商一致</w:t>
      </w:r>
      <w:r>
        <w:rPr>
          <w:rFonts w:hint="eastAsia" w:ascii="仿宋_GB2312" w:hAnsi="仿宋_GB2312" w:eastAsia="仿宋_GB2312" w:cs="仿宋_GB2312"/>
          <w:sz w:val="24"/>
        </w:rPr>
        <w:t>，共同签订本合同。</w:t>
      </w:r>
    </w:p>
    <w:p>
      <w:pPr>
        <w:pStyle w:val="13"/>
        <w:tabs>
          <w:tab w:val="left" w:pos="720"/>
        </w:tabs>
        <w:snapToGrid w:val="0"/>
        <w:spacing w:line="360" w:lineRule="auto"/>
        <w:ind w:firstLine="48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一、项目概况</w:t>
      </w:r>
    </w:p>
    <w:p>
      <w:pPr>
        <w:snapToGrid w:val="0"/>
        <w:spacing w:line="360" w:lineRule="auto"/>
        <w:ind w:firstLine="480" w:firstLineChars="200"/>
        <w:rPr>
          <w:rFonts w:ascii="仿宋_GB2312" w:hAnsi="仿宋_GB2312" w:eastAsia="仿宋_GB2312" w:cs="仿宋_GB2312"/>
          <w:kern w:val="0"/>
          <w:sz w:val="24"/>
          <w:u w:val="single"/>
        </w:rPr>
      </w:pPr>
      <w:r>
        <w:rPr>
          <w:rFonts w:hint="eastAsia" w:ascii="仿宋_GB2312" w:hAnsi="仿宋_GB2312" w:eastAsia="仿宋_GB2312" w:cs="仿宋_GB2312"/>
          <w:kern w:val="0"/>
          <w:sz w:val="24"/>
        </w:rPr>
        <w:t>1.项目名称：</w:t>
      </w:r>
      <w:r>
        <w:rPr>
          <w:rFonts w:hint="eastAsia" w:ascii="仿宋_GB2312" w:hAnsi="仿宋_GB2312" w:eastAsia="仿宋_GB2312" w:cs="仿宋_GB2312"/>
          <w:kern w:val="0"/>
          <w:sz w:val="24"/>
          <w:u w:val="single"/>
        </w:rPr>
        <w:t xml:space="preserve">                 </w:t>
      </w:r>
    </w:p>
    <w:p>
      <w:pPr>
        <w:snapToGrid w:val="0"/>
        <w:spacing w:line="360" w:lineRule="auto"/>
        <w:ind w:firstLine="480" w:firstLineChars="200"/>
        <w:rPr>
          <w:rFonts w:ascii="仿宋_GB2312" w:hAnsi="仿宋_GB2312" w:eastAsia="仿宋_GB2312" w:cs="仿宋_GB2312"/>
          <w:kern w:val="0"/>
          <w:sz w:val="24"/>
          <w:u w:val="single"/>
        </w:rPr>
      </w:pPr>
      <w:r>
        <w:rPr>
          <w:rFonts w:hint="eastAsia" w:ascii="仿宋_GB2312" w:hAnsi="仿宋_GB2312" w:eastAsia="仿宋_GB2312" w:cs="仿宋_GB2312"/>
          <w:kern w:val="0"/>
          <w:sz w:val="24"/>
        </w:rPr>
        <w:t>2.项目地点：</w:t>
      </w:r>
      <w:r>
        <w:rPr>
          <w:rFonts w:hint="eastAsia" w:ascii="仿宋_GB2312" w:hAnsi="仿宋_GB2312" w:eastAsia="仿宋_GB2312" w:cs="仿宋_GB2312"/>
          <w:kern w:val="0"/>
          <w:sz w:val="24"/>
          <w:u w:val="single"/>
        </w:rPr>
        <w:t xml:space="preserve"> 湖南省长沙市</w:t>
      </w:r>
    </w:p>
    <w:p>
      <w:pPr>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kern w:val="0"/>
          <w:sz w:val="24"/>
        </w:rPr>
        <w:t>.项目范围及内容</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，具体详见</w:t>
      </w:r>
      <w:r>
        <w:rPr>
          <w:rFonts w:hint="eastAsia" w:ascii="仿宋_GB2312" w:hAnsi="仿宋_GB2312" w:eastAsia="仿宋_GB2312" w:cs="仿宋_GB2312"/>
          <w:sz w:val="24"/>
          <w:u w:val="single"/>
        </w:rPr>
        <w:t>用户需求书/技术规格书</w:t>
      </w:r>
      <w:r>
        <w:rPr>
          <w:rFonts w:hint="eastAsia" w:ascii="仿宋_GB2312" w:hAnsi="仿宋_GB2312" w:eastAsia="仿宋_GB2312" w:cs="仿宋_GB2312"/>
          <w:sz w:val="24"/>
        </w:rPr>
        <w:t>。</w:t>
      </w:r>
    </w:p>
    <w:p>
      <w:pPr>
        <w:snapToGrid w:val="0"/>
        <w:spacing w:line="360" w:lineRule="auto"/>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二、服务期限</w:t>
      </w:r>
    </w:p>
    <w:p>
      <w:pPr>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，具体详见</w:t>
      </w:r>
      <w:r>
        <w:rPr>
          <w:rFonts w:hint="eastAsia" w:ascii="仿宋_GB2312" w:hAnsi="仿宋_GB2312" w:eastAsia="仿宋_GB2312" w:cs="仿宋_GB2312"/>
          <w:sz w:val="24"/>
          <w:u w:val="single"/>
        </w:rPr>
        <w:t>用户需求书/技术规格书</w:t>
      </w:r>
      <w:r>
        <w:rPr>
          <w:rFonts w:hint="eastAsia" w:ascii="仿宋_GB2312" w:hAnsi="仿宋_GB2312" w:eastAsia="仿宋_GB2312" w:cs="仿宋_GB2312"/>
          <w:sz w:val="24"/>
        </w:rPr>
        <w:t>。</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三、</w:t>
      </w:r>
      <w:r>
        <w:rPr>
          <w:rFonts w:hint="eastAsia" w:ascii="仿宋_GB2312" w:hAnsi="仿宋_GB2312" w:eastAsia="仿宋_GB2312" w:cs="仿宋_GB2312"/>
          <w:b/>
          <w:sz w:val="24"/>
        </w:rPr>
        <w:t>合同价款</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1.合同价款形式：</w:t>
      </w:r>
    </w:p>
    <w:p>
      <w:pPr>
        <w:snapToGrid w:val="0"/>
        <w:spacing w:line="360" w:lineRule="auto"/>
        <w:ind w:firstLine="465"/>
        <w:rPr>
          <w:rFonts w:ascii="仿宋_GB2312" w:hAnsi="仿宋_GB2312" w:eastAsia="仿宋_GB2312" w:cs="仿宋_GB2312"/>
          <w:sz w:val="24"/>
          <w:u w:val="single"/>
        </w:rPr>
      </w:pPr>
      <w:r>
        <w:rPr>
          <w:rFonts w:hint="eastAsia" w:ascii="仿宋_GB2312" w:hAnsi="仿宋_GB2312" w:eastAsia="仿宋_GB2312" w:cs="仿宋_GB2312"/>
          <w:sz w:val="24"/>
          <w:u w:val="single"/>
        </w:rPr>
        <w:t>□总价合同</w:t>
      </w:r>
      <w:r>
        <w:rPr>
          <w:rFonts w:hint="eastAsia" w:ascii="仿宋_GB2312" w:hAnsi="仿宋_GB2312" w:eastAsia="仿宋_GB2312" w:cs="仿宋_GB2312"/>
          <w:b/>
          <w:sz w:val="24"/>
          <w:u w:val="single"/>
        </w:rPr>
        <w:t>（</w:t>
      </w:r>
      <w:r>
        <w:rPr>
          <w:rFonts w:hint="eastAsia" w:ascii="仿宋_GB2312" w:hAnsi="仿宋_GB2312" w:eastAsia="仿宋_GB2312" w:cs="仿宋_GB2312"/>
          <w:sz w:val="24"/>
          <w:u w:val="single"/>
        </w:rPr>
        <w:t>除税率调整外，合同总价</w:t>
      </w:r>
      <w:r>
        <w:rPr>
          <w:rFonts w:hint="eastAsia" w:ascii="仿宋_GB2312" w:hAnsi="仿宋_GB2312" w:eastAsia="仿宋_GB2312" w:cs="仿宋_GB2312"/>
          <w:kern w:val="0"/>
          <w:sz w:val="24"/>
          <w:u w:val="single"/>
        </w:rPr>
        <w:t>（即中标总价/中选总价/成交总价）</w:t>
      </w:r>
      <w:r>
        <w:rPr>
          <w:rFonts w:hint="eastAsia" w:ascii="仿宋_GB2312" w:hAnsi="仿宋_GB2312" w:eastAsia="仿宋_GB2312" w:cs="仿宋_GB2312"/>
          <w:sz w:val="24"/>
          <w:u w:val="single"/>
        </w:rPr>
        <w:t>在合同执行过程中固定不变，不随政府政策（长沙市规定的最低工资标准变化等）及市场物价上涨或回落等因素调整</w:t>
      </w:r>
      <w:r>
        <w:rPr>
          <w:rFonts w:hint="eastAsia" w:ascii="仿宋_GB2312" w:hAnsi="仿宋_GB2312" w:eastAsia="仿宋_GB2312" w:cs="仿宋_GB2312"/>
          <w:b/>
          <w:sz w:val="24"/>
          <w:u w:val="single"/>
        </w:rPr>
        <w:t>）</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u w:val="single"/>
        </w:rPr>
        <w:sym w:font="Wingdings 2" w:char="0052"/>
      </w:r>
      <w:r>
        <w:rPr>
          <w:rFonts w:hint="eastAsia" w:ascii="仿宋_GB2312" w:hAnsi="仿宋_GB2312" w:eastAsia="仿宋_GB2312" w:cs="仿宋_GB2312"/>
          <w:sz w:val="24"/>
          <w:u w:val="single"/>
        </w:rPr>
        <w:t>单价合同</w:t>
      </w:r>
      <w:r>
        <w:rPr>
          <w:rFonts w:hint="eastAsia" w:ascii="仿宋_GB2312" w:hAnsi="仿宋_GB2312" w:eastAsia="仿宋_GB2312" w:cs="仿宋_GB2312"/>
          <w:b/>
          <w:sz w:val="24"/>
          <w:u w:val="single"/>
        </w:rPr>
        <w:t>（</w:t>
      </w:r>
      <w:r>
        <w:rPr>
          <w:rFonts w:hint="eastAsia" w:ascii="仿宋_GB2312" w:hAnsi="仿宋_GB2312" w:eastAsia="仿宋_GB2312" w:cs="仿宋_GB2312"/>
          <w:sz w:val="24"/>
          <w:u w:val="single"/>
        </w:rPr>
        <w:t>除税率调整外，合同单价（即中标单价/中选单价/成交单价）在合同执行过程中固定不变，不随政府政策（长沙市规定的最低工资标准变化等）及市场物价上涨或回落等因素调整</w:t>
      </w:r>
      <w:r>
        <w:rPr>
          <w:rFonts w:hint="eastAsia" w:ascii="仿宋_GB2312" w:hAnsi="仿宋_GB2312" w:eastAsia="仿宋_GB2312" w:cs="仿宋_GB2312"/>
          <w:b/>
          <w:sz w:val="24"/>
          <w:u w:val="single"/>
        </w:rPr>
        <w:t>）</w:t>
      </w:r>
    </w:p>
    <w:p>
      <w:pPr>
        <w:spacing w:line="360" w:lineRule="auto"/>
        <w:ind w:firstLine="465"/>
        <w:rPr>
          <w:rFonts w:ascii="仿宋_GB2312" w:hAnsi="仿宋_GB2312" w:eastAsia="仿宋_GB2312" w:cs="仿宋_GB2312"/>
          <w:sz w:val="24"/>
        </w:rPr>
      </w:pPr>
      <w:r>
        <w:rPr>
          <w:rFonts w:hint="eastAsia" w:ascii="仿宋_GB2312" w:hAnsi="仿宋_GB2312" w:eastAsia="仿宋_GB2312" w:cs="仿宋_GB2312"/>
          <w:sz w:val="24"/>
        </w:rPr>
        <w:t>2.签约合同价：</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签约合同价（含税）：人民币（大写）</w:t>
      </w:r>
      <w:r>
        <w:rPr>
          <w:rFonts w:hint="eastAsia" w:ascii="仿宋_GB2312" w:hAnsi="仿宋_GB2312" w:cs="仿宋_GB2312"/>
          <w:sz w:val="24"/>
          <w:u w:val="single"/>
        </w:rPr>
        <w:t xml:space="preserve">              </w:t>
      </w:r>
      <w:r>
        <w:rPr>
          <w:rFonts w:hint="eastAsia" w:ascii="仿宋_GB2312" w:hAnsi="仿宋_GB2312" w:eastAsia="仿宋_GB2312" w:cs="仿宋_GB2312"/>
          <w:sz w:val="24"/>
        </w:rPr>
        <w:t>，具体详见签约合同价清单。</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按长沙市政府或其职能部门相关规定，本项目的合同价格（即结算价格）最终以</w:t>
      </w:r>
      <w:r>
        <w:rPr>
          <w:rFonts w:hint="eastAsia" w:ascii="仿宋_GB2312" w:hAnsi="仿宋_GB2312" w:eastAsia="仿宋_GB2312" w:cs="仿宋_GB2312"/>
          <w:sz w:val="24"/>
          <w:u w:val="single"/>
        </w:rPr>
        <w:t>□长沙市政府相关职能部门或长沙市轨道交通集团有限公司授权的单位审定价款为准</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sym w:font="Wingdings 2" w:char="0052"/>
      </w:r>
      <w:r>
        <w:rPr>
          <w:rFonts w:hint="eastAsia" w:ascii="仿宋_GB2312" w:hAnsi="仿宋_GB2312" w:eastAsia="仿宋_GB2312" w:cs="仿宋_GB2312"/>
          <w:sz w:val="24"/>
          <w:u w:val="single"/>
        </w:rPr>
        <w:t>履约验收合格确定的最终价款为准</w:t>
      </w:r>
      <w:r>
        <w:rPr>
          <w:rFonts w:hint="eastAsia" w:ascii="仿宋_GB2312" w:hAnsi="仿宋_GB2312" w:eastAsia="仿宋_GB2312" w:cs="仿宋_GB2312"/>
          <w:sz w:val="24"/>
        </w:rPr>
        <w:t>。</w:t>
      </w:r>
      <w:r>
        <w:rPr>
          <w:rFonts w:hint="eastAsia" w:ascii="仿宋_GB2312" w:hAnsi="仿宋_GB2312" w:eastAsia="仿宋_GB2312" w:cs="仿宋_GB2312"/>
          <w:bCs/>
          <w:sz w:val="24"/>
        </w:rPr>
        <w:t>合同价格包括乙方履行合同且满足用户需求书/技术规格书全部要求所产生的成本、费用、税金、利润、保险、专利、风险</w:t>
      </w:r>
      <w:r>
        <w:rPr>
          <w:rFonts w:hint="eastAsia" w:ascii="仿宋_GB2312" w:hAnsi="仿宋_GB2312" w:eastAsia="仿宋_GB2312" w:cs="仿宋_GB2312"/>
          <w:sz w:val="24"/>
        </w:rPr>
        <w:t>等</w:t>
      </w:r>
      <w:r>
        <w:rPr>
          <w:rFonts w:hint="eastAsia" w:ascii="仿宋_GB2312" w:hAnsi="仿宋_GB2312" w:eastAsia="仿宋_GB2312" w:cs="仿宋_GB2312"/>
          <w:bCs/>
          <w:sz w:val="24"/>
        </w:rPr>
        <w:t>。</w:t>
      </w:r>
    </w:p>
    <w:p>
      <w:pPr>
        <w:tabs>
          <w:tab w:val="left" w:pos="1248"/>
        </w:tabs>
        <w:adjustRightInd w:val="0"/>
        <w:snapToGrid w:val="0"/>
        <w:spacing w:line="360" w:lineRule="auto"/>
        <w:ind w:firstLine="482" w:firstLineChars="200"/>
        <w:jc w:val="left"/>
        <w:outlineLvl w:val="2"/>
        <w:rPr>
          <w:rFonts w:ascii="仿宋_GB2312" w:hAnsi="仿宋_GB2312" w:eastAsia="仿宋_GB2312" w:cs="仿宋_GB2312"/>
          <w:b/>
          <w:kern w:val="0"/>
          <w:sz w:val="24"/>
        </w:rPr>
      </w:pPr>
      <w:r>
        <w:rPr>
          <w:rFonts w:hint="eastAsia" w:ascii="仿宋_GB2312" w:hAnsi="仿宋_GB2312" w:eastAsia="仿宋_GB2312" w:cs="仿宋_GB2312"/>
          <w:b/>
          <w:kern w:val="0"/>
          <w:sz w:val="24"/>
        </w:rPr>
        <w:t>四、合同文件及优先解释顺序</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kern w:val="0"/>
          <w:sz w:val="24"/>
        </w:rPr>
        <w:t>合同文件组成及优先解释顺序：</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（1）补充协议（如果有）；</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（2）合同协议书；</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（3）中标通知书/中选通知书/谈判记录表；</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（4）合同条款；</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（5）用户需求书/技术规格书；</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（6）签约合同价清单；</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（7）合同附件及乙方按合同附录格式及要求出具的文件；</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（8）招标文件/自主竞争性谈判文件/直接委托谈判文件、澄清与答疑文件及其它补充资料；</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（9）投标文件/谈判响应文件、澄清文件及其它补充资料；</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（10）批准的图纸（如果有）；</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（11）其他构成本合同的文件。</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上述各项合同文件包括合同当事人就该项合同文件所作出的补充和修改，属于同一类内容的文件，应以最新签署的为准。</w:t>
      </w:r>
    </w:p>
    <w:p>
      <w:pPr>
        <w:spacing w:line="360" w:lineRule="auto"/>
        <w:ind w:firstLine="465"/>
        <w:rPr>
          <w:rFonts w:ascii="仿宋_GB2312" w:hAnsi="仿宋_GB2312" w:eastAsia="仿宋_GB2312" w:cs="仿宋_GB2312"/>
          <w:kern w:val="0"/>
          <w:sz w:val="24"/>
        </w:rPr>
      </w:pPr>
      <w:r>
        <w:rPr>
          <w:rFonts w:hint="eastAsia" w:ascii="仿宋_GB2312" w:hAnsi="仿宋_GB2312" w:eastAsia="仿宋_GB2312" w:cs="仿宋_GB2312"/>
          <w:kern w:val="0"/>
          <w:sz w:val="24"/>
        </w:rPr>
        <w:t>在合同履行过程中形成的与合同有关的文件均构成合同文件组成部分，并根据其性质确定优先解释顺序。</w:t>
      </w:r>
    </w:p>
    <w:p>
      <w:pPr>
        <w:spacing w:line="360" w:lineRule="auto"/>
        <w:ind w:firstLine="465"/>
        <w:rPr>
          <w:rFonts w:ascii="仿宋_GB2312" w:hAnsi="仿宋_GB2312" w:eastAsia="仿宋_GB2312" w:cs="仿宋_GB2312"/>
          <w:kern w:val="0"/>
          <w:sz w:val="24"/>
        </w:rPr>
      </w:pPr>
      <w:r>
        <w:rPr>
          <w:rFonts w:hint="eastAsia" w:ascii="仿宋_GB2312" w:hAnsi="仿宋_GB2312" w:eastAsia="仿宋_GB2312" w:cs="仿宋_GB2312"/>
          <w:b/>
          <w:kern w:val="0"/>
          <w:sz w:val="24"/>
        </w:rPr>
        <w:t>五、承诺</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kern w:val="0"/>
          <w:sz w:val="24"/>
        </w:rPr>
        <w:t>.甲方承诺按照合同约定提供有关条件和相关资料，并按照合同约定的期限和方式支付合同价款。</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kern w:val="0"/>
          <w:sz w:val="24"/>
        </w:rPr>
        <w:t>.</w:t>
      </w:r>
      <w:r>
        <w:rPr>
          <w:rFonts w:hint="eastAsia" w:ascii="仿宋_GB2312" w:hAnsi="仿宋_GB2312" w:eastAsia="仿宋_GB2312" w:cs="仿宋_GB2312"/>
          <w:sz w:val="24"/>
        </w:rPr>
        <w:t>乙方承诺</w:t>
      </w:r>
      <w:r>
        <w:rPr>
          <w:rFonts w:hint="eastAsia" w:ascii="仿宋_GB2312" w:hAnsi="仿宋_GB2312" w:eastAsia="仿宋_GB2312" w:cs="仿宋_GB2312"/>
          <w:kern w:val="0"/>
          <w:sz w:val="24"/>
        </w:rPr>
        <w:t>按照法律法规和技术标准规定及合同约定</w:t>
      </w:r>
      <w:r>
        <w:rPr>
          <w:rFonts w:hint="eastAsia" w:ascii="仿宋_GB2312" w:hAnsi="仿宋_GB2312" w:eastAsia="仿宋_GB2312" w:cs="仿宋_GB2312"/>
          <w:sz w:val="24"/>
        </w:rPr>
        <w:t>提供货物和服务，并修补缺陷。</w:t>
      </w:r>
    </w:p>
    <w:p>
      <w:pPr>
        <w:spacing w:line="360" w:lineRule="auto"/>
        <w:ind w:firstLine="482" w:firstLineChars="200"/>
        <w:rPr>
          <w:rFonts w:ascii="仿宋_GB2312" w:hAnsi="仿宋_GB2312" w:eastAsia="仿宋_GB2312" w:cs="仿宋_GB2312"/>
          <w:b/>
          <w:kern w:val="0"/>
          <w:sz w:val="24"/>
        </w:rPr>
      </w:pPr>
      <w:r>
        <w:rPr>
          <w:rFonts w:hint="eastAsia" w:ascii="仿宋_GB2312" w:hAnsi="仿宋_GB2312" w:eastAsia="仿宋_GB2312" w:cs="仿宋_GB2312"/>
          <w:b/>
          <w:kern w:val="0"/>
          <w:sz w:val="24"/>
        </w:rPr>
        <w:t>六、词语定义</w:t>
      </w:r>
    </w:p>
    <w:p>
      <w:pPr>
        <w:spacing w:line="360" w:lineRule="auto"/>
        <w:ind w:firstLine="480"/>
        <w:rPr>
          <w:rFonts w:ascii="仿宋_GB2312" w:hAnsi="仿宋_GB2312" w:eastAsia="仿宋_GB2312" w:cs="仿宋_GB2312"/>
          <w:kern w:val="0"/>
          <w:sz w:val="24"/>
        </w:rPr>
      </w:pPr>
      <w:r>
        <w:rPr>
          <w:rFonts w:hint="eastAsia" w:ascii="仿宋_GB2312" w:hAnsi="仿宋_GB2312" w:eastAsia="仿宋_GB2312" w:cs="仿宋_GB2312"/>
          <w:kern w:val="0"/>
          <w:sz w:val="24"/>
        </w:rPr>
        <w:t>本合同协议书中词语含义与合同条款中的词语含义相同。</w:t>
      </w:r>
      <w:bookmarkStart w:id="32" w:name="_Toc351203489"/>
      <w:bookmarkStart w:id="33" w:name="_Toc406150418"/>
      <w:bookmarkStart w:id="34" w:name="_Toc457826147"/>
    </w:p>
    <w:p>
      <w:pPr>
        <w:spacing w:line="360" w:lineRule="auto"/>
        <w:ind w:firstLine="480"/>
        <w:rPr>
          <w:rFonts w:ascii="仿宋_GB2312" w:hAnsi="仿宋_GB2312" w:eastAsia="仿宋_GB2312" w:cs="仿宋_GB2312"/>
          <w:b/>
          <w:kern w:val="0"/>
          <w:sz w:val="24"/>
        </w:rPr>
      </w:pPr>
      <w:r>
        <w:rPr>
          <w:rFonts w:hint="eastAsia" w:ascii="仿宋_GB2312" w:hAnsi="仿宋_GB2312" w:eastAsia="仿宋_GB2312" w:cs="仿宋_GB2312"/>
          <w:b/>
          <w:kern w:val="0"/>
          <w:sz w:val="24"/>
        </w:rPr>
        <w:t>七、签订时间</w:t>
      </w:r>
      <w:bookmarkEnd w:id="32"/>
      <w:bookmarkEnd w:id="33"/>
      <w:bookmarkEnd w:id="34"/>
    </w:p>
    <w:p>
      <w:pPr>
        <w:spacing w:line="360" w:lineRule="auto"/>
        <w:ind w:firstLine="465"/>
        <w:rPr>
          <w:rFonts w:ascii="仿宋_GB2312" w:hAnsi="仿宋_GB2312" w:eastAsia="仿宋_GB2312" w:cs="仿宋_GB2312"/>
          <w:bCs/>
          <w:sz w:val="24"/>
        </w:rPr>
      </w:pPr>
      <w:r>
        <w:rPr>
          <w:rFonts w:hint="eastAsia" w:ascii="仿宋_GB2312" w:hAnsi="仿宋_GB2312" w:eastAsia="仿宋_GB2312" w:cs="仿宋_GB2312"/>
          <w:bCs/>
          <w:sz w:val="24"/>
        </w:rPr>
        <w:t>本合同于</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年</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月</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日签订。</w:t>
      </w:r>
      <w:bookmarkStart w:id="35" w:name="_Toc406150419"/>
      <w:bookmarkStart w:id="36" w:name="_Toc457826148"/>
      <w:bookmarkStart w:id="37" w:name="_Toc351203490"/>
    </w:p>
    <w:p>
      <w:pPr>
        <w:spacing w:line="360" w:lineRule="auto"/>
        <w:ind w:firstLine="465"/>
        <w:rPr>
          <w:rFonts w:ascii="仿宋_GB2312" w:hAnsi="仿宋_GB2312" w:eastAsia="仿宋_GB2312" w:cs="仿宋_GB2312"/>
          <w:b/>
          <w:kern w:val="0"/>
          <w:sz w:val="24"/>
        </w:rPr>
      </w:pPr>
      <w:r>
        <w:rPr>
          <w:rFonts w:hint="eastAsia" w:ascii="仿宋_GB2312" w:hAnsi="仿宋_GB2312" w:eastAsia="仿宋_GB2312" w:cs="仿宋_GB2312"/>
          <w:b/>
          <w:kern w:val="0"/>
          <w:sz w:val="24"/>
        </w:rPr>
        <w:t>八、签订地点</w:t>
      </w:r>
      <w:bookmarkEnd w:id="35"/>
      <w:bookmarkEnd w:id="36"/>
      <w:bookmarkEnd w:id="37"/>
    </w:p>
    <w:p>
      <w:pPr>
        <w:spacing w:line="360" w:lineRule="auto"/>
        <w:ind w:firstLine="465"/>
        <w:rPr>
          <w:rFonts w:ascii="仿宋_GB2312" w:hAnsi="仿宋_GB2312" w:eastAsia="仿宋_GB2312" w:cs="仿宋_GB2312"/>
          <w:bCs/>
          <w:sz w:val="24"/>
        </w:rPr>
      </w:pPr>
      <w:r>
        <w:rPr>
          <w:rFonts w:hint="eastAsia" w:ascii="仿宋_GB2312" w:hAnsi="仿宋_GB2312" w:eastAsia="仿宋_GB2312" w:cs="仿宋_GB2312"/>
          <w:bCs/>
          <w:sz w:val="24"/>
        </w:rPr>
        <w:t>本合同在</w:t>
      </w:r>
      <w:r>
        <w:rPr>
          <w:rFonts w:hint="eastAsia" w:ascii="仿宋_GB2312" w:hAnsi="仿宋_GB2312" w:eastAsia="仿宋_GB2312" w:cs="仿宋_GB2312"/>
          <w:bCs/>
          <w:sz w:val="24"/>
          <w:u w:val="single"/>
        </w:rPr>
        <w:t xml:space="preserve"> 湖南省长沙市雨花区 </w:t>
      </w:r>
      <w:r>
        <w:rPr>
          <w:rFonts w:hint="eastAsia" w:ascii="仿宋_GB2312" w:hAnsi="仿宋_GB2312" w:eastAsia="仿宋_GB2312" w:cs="仿宋_GB2312"/>
          <w:bCs/>
          <w:sz w:val="24"/>
        </w:rPr>
        <w:t>签订。</w:t>
      </w:r>
      <w:bookmarkStart w:id="38" w:name="_Toc351203492"/>
      <w:bookmarkStart w:id="39" w:name="_Toc457826149"/>
      <w:bookmarkStart w:id="40" w:name="_Toc406150420"/>
    </w:p>
    <w:p>
      <w:pPr>
        <w:spacing w:line="360" w:lineRule="auto"/>
        <w:ind w:firstLine="465"/>
        <w:rPr>
          <w:rFonts w:ascii="仿宋_GB2312" w:hAnsi="仿宋_GB2312" w:eastAsia="仿宋_GB2312" w:cs="仿宋_GB2312"/>
          <w:b/>
          <w:kern w:val="0"/>
          <w:sz w:val="24"/>
        </w:rPr>
      </w:pPr>
      <w:r>
        <w:rPr>
          <w:rFonts w:hint="eastAsia" w:ascii="仿宋_GB2312" w:hAnsi="仿宋_GB2312" w:eastAsia="仿宋_GB2312" w:cs="仿宋_GB2312"/>
          <w:b/>
          <w:kern w:val="0"/>
          <w:sz w:val="24"/>
        </w:rPr>
        <w:t>九、合同生效</w:t>
      </w:r>
      <w:bookmarkEnd w:id="38"/>
      <w:bookmarkEnd w:id="39"/>
      <w:bookmarkEnd w:id="40"/>
    </w:p>
    <w:p>
      <w:pPr>
        <w:spacing w:line="360" w:lineRule="auto"/>
        <w:ind w:firstLine="465"/>
        <w:rPr>
          <w:rFonts w:ascii="仿宋_GB2312" w:hAnsi="仿宋_GB2312" w:eastAsia="仿宋_GB2312" w:cs="仿宋_GB2312"/>
          <w:bCs/>
          <w:sz w:val="24"/>
        </w:rPr>
      </w:pPr>
      <w:r>
        <w:rPr>
          <w:rFonts w:hint="eastAsia" w:ascii="仿宋_GB2312" w:hAnsi="仿宋_GB2312" w:eastAsia="仿宋_GB2312" w:cs="仿宋_GB2312"/>
          <w:bCs/>
          <w:sz w:val="24"/>
        </w:rPr>
        <w:t>本合同自</w:t>
      </w:r>
      <w:r>
        <w:rPr>
          <w:rFonts w:hint="eastAsia" w:ascii="仿宋_GB2312" w:hAnsi="仿宋_GB2312" w:eastAsia="仿宋_GB2312" w:cs="仿宋_GB2312"/>
          <w:sz w:val="24"/>
          <w:u w:val="single"/>
        </w:rPr>
        <w:t>合同双方法定代表人或其授权代表签字并加盖合同专用章</w:t>
      </w:r>
      <w:r>
        <w:rPr>
          <w:rFonts w:hint="eastAsia" w:ascii="仿宋_GB2312" w:hAnsi="仿宋_GB2312" w:eastAsia="仿宋_GB2312" w:cs="仿宋_GB2312"/>
          <w:bCs/>
          <w:sz w:val="24"/>
        </w:rPr>
        <w:t>生效。</w:t>
      </w:r>
      <w:bookmarkStart w:id="41" w:name="_Toc457826150"/>
    </w:p>
    <w:p>
      <w:pPr>
        <w:spacing w:line="360" w:lineRule="auto"/>
        <w:ind w:firstLine="465"/>
        <w:rPr>
          <w:rFonts w:ascii="仿宋_GB2312" w:hAnsi="仿宋_GB2312" w:eastAsia="仿宋_GB2312" w:cs="仿宋_GB2312"/>
          <w:b/>
          <w:kern w:val="0"/>
          <w:sz w:val="24"/>
        </w:rPr>
      </w:pPr>
      <w:r>
        <w:rPr>
          <w:rFonts w:hint="eastAsia" w:ascii="仿宋_GB2312" w:hAnsi="仿宋_GB2312" w:eastAsia="仿宋_GB2312" w:cs="仿宋_GB2312"/>
          <w:b/>
          <w:kern w:val="0"/>
          <w:sz w:val="24"/>
        </w:rPr>
        <w:t>十、合同份数</w:t>
      </w:r>
      <w:bookmarkEnd w:id="41"/>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本合同一式八份（其中正本二份、副本六份），甲方执六份（一正五副）、乙方执二份（一正一副）。合同正本和副本具有同等效力，当合同副本与正本之间存有差异时，以合同正本为准。</w:t>
      </w:r>
    </w:p>
    <w:p>
      <w:pPr>
        <w:tabs>
          <w:tab w:val="left" w:pos="1248"/>
        </w:tabs>
        <w:adjustRightInd w:val="0"/>
        <w:snapToGrid w:val="0"/>
        <w:spacing w:line="360" w:lineRule="auto"/>
        <w:ind w:firstLine="480" w:firstLineChars="200"/>
        <w:rPr>
          <w:rFonts w:ascii="仿宋_GB2312" w:hAnsi="仿宋_GB2312" w:eastAsia="仿宋_GB2312" w:cs="仿宋_GB2312"/>
          <w:sz w:val="24"/>
        </w:rPr>
      </w:pPr>
    </w:p>
    <w:p>
      <w:pPr>
        <w:pageBreakBefore/>
        <w:spacing w:line="500" w:lineRule="exact"/>
        <w:rPr>
          <w:rFonts w:ascii="仿宋_GB2312" w:hAnsi="仿宋_GB2312" w:eastAsia="仿宋_GB2312" w:cs="仿宋_GB2312"/>
          <w:sz w:val="24"/>
        </w:rPr>
      </w:pPr>
      <w:r>
        <w:rPr>
          <w:rFonts w:hint="eastAsia" w:ascii="仿宋_GB2312" w:hAnsi="仿宋_GB2312" w:eastAsia="仿宋_GB2312" w:cs="仿宋_GB2312"/>
          <w:sz w:val="24"/>
        </w:rPr>
        <w:t>（本页无正文）</w:t>
      </w:r>
    </w:p>
    <w:p>
      <w:pPr>
        <w:adjustRightInd w:val="0"/>
        <w:snapToGrid w:val="0"/>
        <w:spacing w:line="360" w:lineRule="auto"/>
        <w:ind w:firstLine="480" w:firstLineChars="200"/>
        <w:rPr>
          <w:rFonts w:ascii="仿宋_GB2312" w:hAnsi="仿宋_GB2312" w:eastAsia="仿宋_GB2312" w:cs="仿宋_GB2312"/>
          <w:sz w:val="24"/>
        </w:rPr>
      </w:pPr>
    </w:p>
    <w:p>
      <w:pPr>
        <w:adjustRightInd w:val="0"/>
        <w:snapToGrid w:val="0"/>
        <w:spacing w:line="360" w:lineRule="auto"/>
        <w:ind w:firstLine="480" w:firstLineChars="200"/>
        <w:rPr>
          <w:rFonts w:ascii="仿宋_GB2312" w:hAnsi="仿宋_GB2312" w:eastAsia="仿宋_GB2312" w:cs="仿宋_GB2312"/>
          <w:sz w:val="24"/>
        </w:rPr>
      </w:pPr>
    </w:p>
    <w:p>
      <w:pPr>
        <w:adjustRightInd w:val="0"/>
        <w:snapToGrid w:val="0"/>
        <w:spacing w:line="360" w:lineRule="auto"/>
        <w:ind w:firstLine="480" w:firstLineChars="200"/>
        <w:rPr>
          <w:rFonts w:ascii="仿宋_GB2312" w:hAnsi="仿宋_GB2312" w:eastAsia="仿宋_GB2312" w:cs="仿宋_GB2312"/>
          <w:sz w:val="24"/>
        </w:rPr>
      </w:pPr>
    </w:p>
    <w:tbl>
      <w:tblPr>
        <w:tblStyle w:val="46"/>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5"/>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甲方：(盖章)</w:t>
            </w:r>
          </w:p>
          <w:p>
            <w:pPr>
              <w:pStyle w:val="25"/>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p>
        </w:tc>
        <w:tc>
          <w:tcPr>
            <w:tcW w:w="4252" w:type="dxa"/>
            <w:tcBorders>
              <w:top w:val="nil"/>
              <w:left w:val="nil"/>
              <w:bottom w:val="nil"/>
              <w:right w:val="nil"/>
            </w:tcBorders>
          </w:tcPr>
          <w:p>
            <w:pPr>
              <w:pStyle w:val="25"/>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乙方：（盖章）</w:t>
            </w:r>
          </w:p>
          <w:p>
            <w:pPr>
              <w:pStyle w:val="25"/>
              <w:snapToGrid w:val="0"/>
              <w:spacing w:line="360" w:lineRule="auto"/>
              <w:rPr>
                <w:rFonts w:ascii="仿宋_GB2312" w:hAnsi="仿宋_GB2312" w:eastAsia="仿宋_GB2312" w:cs="仿宋_GB2312"/>
                <w:sz w:val="24"/>
              </w:rPr>
            </w:pPr>
          </w:p>
        </w:tc>
      </w:tr>
      <w:tr>
        <w:tblPrEx>
          <w:tblCellMar>
            <w:top w:w="0" w:type="dxa"/>
            <w:left w:w="108" w:type="dxa"/>
            <w:bottom w:w="0" w:type="dxa"/>
            <w:right w:w="108" w:type="dxa"/>
          </w:tblCellMar>
        </w:tblPrEx>
        <w:trPr>
          <w:trHeight w:val="1524" w:hRule="atLeast"/>
          <w:jc w:val="center"/>
        </w:trPr>
        <w:tc>
          <w:tcPr>
            <w:tcW w:w="4467" w:type="dxa"/>
            <w:tcBorders>
              <w:top w:val="nil"/>
              <w:left w:val="nil"/>
              <w:bottom w:val="nil"/>
              <w:right w:val="nil"/>
            </w:tcBorders>
          </w:tcPr>
          <w:p>
            <w:pPr>
              <w:pStyle w:val="25"/>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法定代表人或其授权代表：</w:t>
            </w:r>
          </w:p>
          <w:p>
            <w:pPr>
              <w:pStyle w:val="25"/>
              <w:snapToGrid w:val="0"/>
              <w:spacing w:line="360" w:lineRule="auto"/>
              <w:ind w:left="19" w:leftChars="9"/>
              <w:rPr>
                <w:rFonts w:ascii="仿宋_GB2312" w:hAnsi="仿宋_GB2312" w:eastAsia="仿宋_GB2312" w:cs="仿宋_GB2312"/>
                <w:sz w:val="24"/>
              </w:rPr>
            </w:pPr>
          </w:p>
        </w:tc>
        <w:tc>
          <w:tcPr>
            <w:tcW w:w="4252" w:type="dxa"/>
            <w:tcBorders>
              <w:top w:val="nil"/>
              <w:left w:val="nil"/>
              <w:bottom w:val="nil"/>
              <w:right w:val="nil"/>
            </w:tcBorders>
          </w:tcPr>
          <w:p>
            <w:pPr>
              <w:pStyle w:val="25"/>
              <w:snapToGrid w:val="0"/>
              <w:spacing w:line="360" w:lineRule="auto"/>
              <w:ind w:left="34" w:leftChars="16"/>
              <w:rPr>
                <w:rFonts w:ascii="仿宋_GB2312" w:hAnsi="仿宋_GB2312" w:eastAsia="仿宋_GB2312" w:cs="仿宋_GB2312"/>
                <w:sz w:val="24"/>
              </w:rPr>
            </w:pPr>
            <w:r>
              <w:rPr>
                <w:rFonts w:hint="eastAsia" w:ascii="仿宋_GB2312" w:hAnsi="仿宋_GB2312" w:eastAsia="仿宋_GB2312" w:cs="仿宋_GB2312"/>
                <w:sz w:val="24"/>
              </w:rPr>
              <w:t>法定代表人或其授权代表：</w:t>
            </w:r>
          </w:p>
          <w:p>
            <w:pPr>
              <w:pStyle w:val="25"/>
              <w:snapToGrid w:val="0"/>
              <w:spacing w:line="360" w:lineRule="auto"/>
              <w:ind w:left="34" w:leftChars="16"/>
              <w:rPr>
                <w:rFonts w:ascii="仿宋_GB2312" w:hAnsi="仿宋_GB2312" w:eastAsia="仿宋_GB2312" w:cs="仿宋_GB2312"/>
                <w:sz w:val="24"/>
              </w:rPr>
            </w:pP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5"/>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地址：  </w:t>
            </w:r>
          </w:p>
        </w:tc>
        <w:tc>
          <w:tcPr>
            <w:tcW w:w="4252" w:type="dxa"/>
            <w:tcBorders>
              <w:top w:val="nil"/>
              <w:left w:val="nil"/>
              <w:bottom w:val="nil"/>
              <w:right w:val="nil"/>
            </w:tcBorders>
          </w:tcPr>
          <w:p>
            <w:pPr>
              <w:pStyle w:val="25"/>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地址：</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5"/>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邮编： </w:t>
            </w:r>
          </w:p>
        </w:tc>
        <w:tc>
          <w:tcPr>
            <w:tcW w:w="4252" w:type="dxa"/>
            <w:tcBorders>
              <w:top w:val="nil"/>
              <w:left w:val="nil"/>
              <w:bottom w:val="nil"/>
              <w:right w:val="nil"/>
            </w:tcBorders>
          </w:tcPr>
          <w:p>
            <w:pPr>
              <w:pStyle w:val="25"/>
              <w:snapToGrid w:val="0"/>
              <w:spacing w:line="360" w:lineRule="auto"/>
              <w:ind w:left="34" w:leftChars="16"/>
              <w:rPr>
                <w:rFonts w:ascii="仿宋_GB2312" w:hAnsi="仿宋_GB2312" w:eastAsia="仿宋_GB2312" w:cs="仿宋_GB2312"/>
                <w:sz w:val="24"/>
              </w:rPr>
            </w:pPr>
            <w:r>
              <w:rPr>
                <w:rFonts w:hint="eastAsia" w:ascii="仿宋_GB2312" w:hAnsi="仿宋_GB2312" w:eastAsia="仿宋_GB2312" w:cs="仿宋_GB2312"/>
                <w:sz w:val="24"/>
              </w:rPr>
              <w:t>邮编：</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25"/>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 xml:space="preserve">电话： </w:t>
            </w:r>
          </w:p>
        </w:tc>
        <w:tc>
          <w:tcPr>
            <w:tcW w:w="4252" w:type="dxa"/>
            <w:tcBorders>
              <w:top w:val="nil"/>
              <w:left w:val="nil"/>
              <w:bottom w:val="nil"/>
              <w:right w:val="nil"/>
            </w:tcBorders>
          </w:tcPr>
          <w:p>
            <w:pPr>
              <w:pStyle w:val="25"/>
              <w:snapToGrid w:val="0"/>
              <w:spacing w:line="360" w:lineRule="auto"/>
              <w:ind w:left="34" w:leftChars="16"/>
              <w:rPr>
                <w:rFonts w:ascii="仿宋_GB2312" w:hAnsi="仿宋_GB2312" w:eastAsia="仿宋_GB2312" w:cs="仿宋_GB2312"/>
                <w:sz w:val="24"/>
              </w:rPr>
            </w:pPr>
            <w:r>
              <w:rPr>
                <w:rFonts w:hint="eastAsia" w:ascii="仿宋_GB2312" w:hAnsi="仿宋_GB2312" w:eastAsia="仿宋_GB2312" w:cs="仿宋_GB2312"/>
                <w:sz w:val="24"/>
              </w:rPr>
              <w:t>电话：</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tcPr>
          <w:p>
            <w:pPr>
              <w:pStyle w:val="25"/>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 xml:space="preserve">传真： </w:t>
            </w:r>
          </w:p>
        </w:tc>
        <w:tc>
          <w:tcPr>
            <w:tcW w:w="4252" w:type="dxa"/>
            <w:tcBorders>
              <w:top w:val="nil"/>
              <w:left w:val="nil"/>
              <w:bottom w:val="nil"/>
              <w:right w:val="nil"/>
            </w:tcBorders>
          </w:tcPr>
          <w:p>
            <w:pPr>
              <w:pStyle w:val="25"/>
              <w:snapToGrid w:val="0"/>
              <w:spacing w:line="360" w:lineRule="auto"/>
              <w:ind w:left="34" w:leftChars="16"/>
              <w:rPr>
                <w:rFonts w:ascii="仿宋_GB2312" w:hAnsi="仿宋_GB2312" w:eastAsia="仿宋_GB2312" w:cs="仿宋_GB2312"/>
                <w:sz w:val="24"/>
              </w:rPr>
            </w:pPr>
            <w:r>
              <w:rPr>
                <w:rFonts w:hint="eastAsia" w:ascii="仿宋_GB2312" w:hAnsi="仿宋_GB2312" w:eastAsia="仿宋_GB2312" w:cs="仿宋_GB2312"/>
                <w:sz w:val="24"/>
              </w:rPr>
              <w:t>传真：</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tcPr>
          <w:p>
            <w:pPr>
              <w:pStyle w:val="25"/>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开户银行：</w:t>
            </w:r>
          </w:p>
        </w:tc>
        <w:tc>
          <w:tcPr>
            <w:tcW w:w="4252" w:type="dxa"/>
            <w:tcBorders>
              <w:top w:val="nil"/>
              <w:left w:val="nil"/>
              <w:bottom w:val="nil"/>
              <w:right w:val="nil"/>
            </w:tcBorders>
          </w:tcPr>
          <w:p>
            <w:pPr>
              <w:pStyle w:val="25"/>
              <w:snapToGrid w:val="0"/>
              <w:spacing w:line="360" w:lineRule="auto"/>
              <w:ind w:left="34" w:leftChars="16"/>
              <w:rPr>
                <w:rFonts w:ascii="仿宋_GB2312" w:hAnsi="仿宋_GB2312" w:eastAsia="仿宋_GB2312" w:cs="仿宋_GB2312"/>
                <w:sz w:val="24"/>
              </w:rPr>
            </w:pPr>
            <w:r>
              <w:rPr>
                <w:rFonts w:hint="eastAsia" w:ascii="仿宋_GB2312" w:hAnsi="仿宋_GB2312" w:eastAsia="仿宋_GB2312" w:cs="仿宋_GB2312"/>
                <w:sz w:val="24"/>
              </w:rPr>
              <w:t>开户银行：</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tcPr>
          <w:p>
            <w:pPr>
              <w:pStyle w:val="25"/>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账号：</w:t>
            </w:r>
          </w:p>
        </w:tc>
        <w:tc>
          <w:tcPr>
            <w:tcW w:w="4252" w:type="dxa"/>
            <w:tcBorders>
              <w:top w:val="nil"/>
              <w:left w:val="nil"/>
              <w:bottom w:val="nil"/>
              <w:right w:val="nil"/>
            </w:tcBorders>
          </w:tcPr>
          <w:p>
            <w:pPr>
              <w:pStyle w:val="25"/>
              <w:snapToGrid w:val="0"/>
              <w:spacing w:line="360" w:lineRule="auto"/>
              <w:ind w:left="34" w:leftChars="16"/>
              <w:rPr>
                <w:rFonts w:ascii="仿宋_GB2312" w:hAnsi="仿宋_GB2312" w:eastAsia="仿宋_GB2312" w:cs="仿宋_GB2312"/>
                <w:sz w:val="24"/>
              </w:rPr>
            </w:pPr>
            <w:r>
              <w:rPr>
                <w:rFonts w:hint="eastAsia" w:ascii="仿宋_GB2312" w:hAnsi="仿宋_GB2312" w:eastAsia="仿宋_GB2312" w:cs="仿宋_GB2312"/>
                <w:sz w:val="24"/>
              </w:rPr>
              <w:t>账号：</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tcPr>
          <w:p>
            <w:pPr>
              <w:pStyle w:val="25"/>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时间：</w:t>
            </w:r>
          </w:p>
        </w:tc>
        <w:tc>
          <w:tcPr>
            <w:tcW w:w="4252" w:type="dxa"/>
            <w:tcBorders>
              <w:top w:val="nil"/>
              <w:left w:val="nil"/>
              <w:bottom w:val="nil"/>
              <w:right w:val="nil"/>
            </w:tcBorders>
          </w:tcPr>
          <w:p>
            <w:pPr>
              <w:pStyle w:val="25"/>
              <w:snapToGrid w:val="0"/>
              <w:spacing w:line="360" w:lineRule="auto"/>
              <w:ind w:left="34" w:leftChars="16"/>
              <w:rPr>
                <w:rFonts w:ascii="仿宋_GB2312" w:hAnsi="仿宋_GB2312" w:eastAsia="仿宋_GB2312" w:cs="仿宋_GB2312"/>
                <w:sz w:val="24"/>
              </w:rPr>
            </w:pPr>
            <w:r>
              <w:rPr>
                <w:rFonts w:hint="eastAsia" w:ascii="仿宋_GB2312" w:hAnsi="仿宋_GB2312" w:eastAsia="仿宋_GB2312" w:cs="仿宋_GB2312"/>
                <w:sz w:val="24"/>
              </w:rPr>
              <w:t>时间：</w:t>
            </w:r>
          </w:p>
        </w:tc>
      </w:tr>
    </w:tbl>
    <w:p>
      <w:pPr>
        <w:spacing w:line="360" w:lineRule="auto"/>
        <w:rPr>
          <w:rFonts w:ascii="仿宋_GB2312" w:hAnsi="仿宋_GB2312" w:eastAsia="仿宋_GB2312" w:cs="仿宋_GB2312"/>
          <w:sz w:val="24"/>
        </w:rPr>
      </w:pPr>
    </w:p>
    <w:p>
      <w:pPr>
        <w:spacing w:line="360" w:lineRule="auto"/>
        <w:jc w:val="center"/>
        <w:outlineLvl w:val="0"/>
        <w:rPr>
          <w:rFonts w:ascii="仿宋_GB2312" w:hAnsi="仿宋_GB2312" w:eastAsia="仿宋_GB2312" w:cs="仿宋_GB2312"/>
          <w:b/>
          <w:sz w:val="32"/>
          <w:szCs w:val="32"/>
        </w:rPr>
      </w:pPr>
      <w:bookmarkStart w:id="42" w:name="_Toc368066684"/>
      <w:bookmarkStart w:id="43" w:name="_Toc2245"/>
      <w:r>
        <w:rPr>
          <w:rFonts w:hint="eastAsia" w:ascii="仿宋_GB2312" w:hAnsi="仿宋_GB2312" w:eastAsia="仿宋_GB2312" w:cs="仿宋_GB2312"/>
          <w:b/>
          <w:sz w:val="32"/>
          <w:szCs w:val="32"/>
        </w:rPr>
        <w:br w:type="page"/>
      </w:r>
      <w:bookmarkStart w:id="44" w:name="_Toc11675"/>
      <w:r>
        <w:rPr>
          <w:rFonts w:hint="eastAsia" w:ascii="仿宋_GB2312" w:hAnsi="仿宋_GB2312" w:eastAsia="仿宋_GB2312" w:cs="仿宋_GB2312"/>
          <w:b/>
          <w:sz w:val="32"/>
          <w:szCs w:val="32"/>
        </w:rPr>
        <w:t xml:space="preserve">第二部分 </w:t>
      </w:r>
      <w:bookmarkEnd w:id="42"/>
      <w:bookmarkEnd w:id="43"/>
      <w:bookmarkEnd w:id="44"/>
      <w:bookmarkStart w:id="45" w:name="_Toc368066685"/>
      <w:bookmarkStart w:id="46" w:name="_Toc26018"/>
      <w:bookmarkStart w:id="47" w:name="_Toc29343"/>
      <w:r>
        <w:rPr>
          <w:rFonts w:hint="eastAsia" w:ascii="仿宋_GB2312" w:hAnsi="仿宋_GB2312" w:eastAsia="仿宋_GB2312" w:cs="仿宋_GB2312"/>
          <w:b/>
          <w:sz w:val="32"/>
          <w:szCs w:val="32"/>
        </w:rPr>
        <w:t>合同条款</w:t>
      </w:r>
      <w:bookmarkEnd w:id="45"/>
      <w:bookmarkEnd w:id="46"/>
      <w:bookmarkEnd w:id="47"/>
    </w:p>
    <w:p>
      <w:pPr>
        <w:spacing w:line="360" w:lineRule="auto"/>
        <w:ind w:firstLine="472" w:firstLineChars="196"/>
        <w:outlineLvl w:val="1"/>
        <w:rPr>
          <w:rFonts w:ascii="仿宋_GB2312" w:hAnsi="仿宋_GB2312" w:eastAsia="仿宋_GB2312" w:cs="仿宋_GB2312"/>
          <w:b/>
          <w:bCs/>
          <w:sz w:val="24"/>
        </w:rPr>
      </w:pPr>
      <w:bookmarkStart w:id="48" w:name="_Toc368066686"/>
      <w:bookmarkStart w:id="49" w:name="_Toc7761"/>
      <w:bookmarkStart w:id="50" w:name="_Toc28651"/>
      <w:bookmarkStart w:id="51" w:name="_Toc192323513"/>
      <w:bookmarkStart w:id="52" w:name="_Toc357774462"/>
      <w:bookmarkStart w:id="53" w:name="_Toc240992305"/>
      <w:bookmarkStart w:id="54" w:name="_Toc136850799"/>
      <w:r>
        <w:rPr>
          <w:rFonts w:hint="eastAsia" w:ascii="仿宋_GB2312" w:hAnsi="仿宋_GB2312" w:eastAsia="仿宋_GB2312" w:cs="仿宋_GB2312"/>
          <w:b/>
          <w:bCs/>
          <w:sz w:val="24"/>
        </w:rPr>
        <w:t>1、</w:t>
      </w:r>
      <w:bookmarkEnd w:id="48"/>
      <w:r>
        <w:rPr>
          <w:rFonts w:hint="eastAsia" w:ascii="仿宋_GB2312" w:hAnsi="仿宋_GB2312" w:eastAsia="仿宋_GB2312" w:cs="仿宋_GB2312"/>
          <w:b/>
          <w:bCs/>
          <w:sz w:val="24"/>
        </w:rPr>
        <w:t>定义</w:t>
      </w:r>
      <w:bookmarkEnd w:id="49"/>
      <w:bookmarkEnd w:id="50"/>
    </w:p>
    <w:p>
      <w:pPr>
        <w:spacing w:line="360" w:lineRule="auto"/>
        <w:ind w:firstLine="470" w:firstLineChars="196"/>
        <w:rPr>
          <w:rFonts w:ascii="仿宋_GB2312" w:hAnsi="仿宋_GB2312" w:eastAsia="仿宋_GB2312" w:cs="仿宋_GB2312"/>
          <w:sz w:val="24"/>
        </w:rPr>
      </w:pPr>
      <w:r>
        <w:rPr>
          <w:rFonts w:hint="eastAsia" w:ascii="仿宋_GB2312" w:hAnsi="仿宋_GB2312" w:eastAsia="仿宋_GB2312" w:cs="仿宋_GB2312"/>
          <w:sz w:val="24"/>
        </w:rPr>
        <w:t>（1）“合同”系指甲乙双方签署的、合同格式中载明的甲乙双方所达成的协议，包括合同协议书、合同条款及合同附件、合同附录和上述文件所提到的构成合同的所有文件。</w:t>
      </w:r>
    </w:p>
    <w:p>
      <w:pPr>
        <w:spacing w:line="360" w:lineRule="auto"/>
        <w:ind w:firstLine="470" w:firstLineChars="196"/>
        <w:rPr>
          <w:rFonts w:ascii="仿宋_GB2312" w:hAnsi="仿宋_GB2312" w:eastAsia="仿宋_GB2312" w:cs="仿宋_GB2312"/>
          <w:sz w:val="24"/>
        </w:rPr>
      </w:pPr>
      <w:r>
        <w:rPr>
          <w:rFonts w:hint="eastAsia" w:ascii="仿宋_GB2312" w:hAnsi="仿宋_GB2312" w:eastAsia="仿宋_GB2312" w:cs="仿宋_GB2312"/>
          <w:sz w:val="24"/>
        </w:rPr>
        <w:t>（2）“签约合同价”系</w:t>
      </w:r>
      <w:r>
        <w:rPr>
          <w:rFonts w:hint="eastAsia" w:ascii="仿宋_GB2312" w:hAnsi="仿宋_GB2312" w:eastAsia="仿宋_GB2312" w:cs="仿宋_GB2312"/>
        </w:rPr>
        <w:t>指甲方</w:t>
      </w:r>
      <w:r>
        <w:rPr>
          <w:rFonts w:hint="eastAsia" w:ascii="仿宋_GB2312" w:hAnsi="仿宋_GB2312" w:eastAsia="仿宋_GB2312" w:cs="仿宋_GB2312"/>
          <w:sz w:val="24"/>
        </w:rPr>
        <w:t>和</w:t>
      </w:r>
      <w:r>
        <w:rPr>
          <w:rFonts w:hint="eastAsia" w:ascii="仿宋_GB2312" w:hAnsi="仿宋_GB2312" w:eastAsia="仿宋_GB2312" w:cs="仿宋_GB2312"/>
        </w:rPr>
        <w:t>乙方</w:t>
      </w:r>
      <w:r>
        <w:rPr>
          <w:rFonts w:hint="eastAsia" w:ascii="仿宋_GB2312" w:hAnsi="仿宋_GB2312" w:eastAsia="仿宋_GB2312" w:cs="仿宋_GB2312"/>
          <w:sz w:val="24"/>
        </w:rPr>
        <w:t>在合同协议书中确定的金额，即本项目的中标价格/中选价格/成交价格。</w:t>
      </w:r>
    </w:p>
    <w:p>
      <w:pPr>
        <w:spacing w:line="360" w:lineRule="auto"/>
        <w:ind w:firstLine="470" w:firstLineChars="196"/>
        <w:rPr>
          <w:rFonts w:ascii="仿宋_GB2312" w:hAnsi="仿宋_GB2312" w:eastAsia="仿宋_GB2312" w:cs="仿宋_GB2312"/>
          <w:sz w:val="24"/>
        </w:rPr>
      </w:pPr>
      <w:r>
        <w:rPr>
          <w:rFonts w:hint="eastAsia" w:ascii="仿宋_GB2312" w:hAnsi="仿宋_GB2312" w:eastAsia="仿宋_GB2312" w:cs="仿宋_GB2312"/>
          <w:sz w:val="24"/>
        </w:rPr>
        <w:t>（3）“合同价格”系指根据本合同规定乙方在正确地完全履行合同义务后，</w:t>
      </w:r>
      <w:r>
        <w:rPr>
          <w:rFonts w:hint="eastAsia" w:ascii="仿宋_GB2312" w:hAnsi="仿宋_GB2312" w:eastAsia="仿宋_GB2312" w:cs="仿宋_GB2312"/>
          <w:kern w:val="0"/>
          <w:sz w:val="24"/>
        </w:rPr>
        <w:t>按照长沙市政府或其职能部门相关规定，</w:t>
      </w:r>
      <w:r>
        <w:rPr>
          <w:rFonts w:hint="eastAsia" w:ascii="仿宋_GB2312" w:hAnsi="仿宋_GB2312" w:eastAsia="仿宋_GB2312" w:cs="仿宋_GB2312"/>
          <w:sz w:val="24"/>
          <w:u w:val="single"/>
        </w:rPr>
        <w:sym w:font="Wingdings 2" w:char="00A3"/>
      </w:r>
      <w:r>
        <w:rPr>
          <w:rFonts w:hint="eastAsia" w:ascii="仿宋_GB2312" w:hAnsi="仿宋_GB2312" w:eastAsia="仿宋_GB2312" w:cs="仿宋_GB2312"/>
          <w:sz w:val="24"/>
          <w:u w:val="single"/>
        </w:rPr>
        <w:t>经长沙市政府相关职能部门或长沙市轨道交通集团有限公司</w:t>
      </w:r>
      <w:r>
        <w:rPr>
          <w:rFonts w:hint="eastAsia" w:ascii="仿宋_GB2312" w:hAnsi="仿宋_GB2312" w:eastAsia="仿宋_GB2312" w:cs="仿宋_GB2312"/>
          <w:sz w:val="24"/>
          <w:u w:val="single"/>
          <w:shd w:val="clear" w:color="auto" w:fill="FFFFFF"/>
        </w:rPr>
        <w:t>授权的单位</w:t>
      </w:r>
      <w:r>
        <w:rPr>
          <w:rFonts w:hint="eastAsia" w:ascii="仿宋_GB2312" w:hAnsi="仿宋_GB2312" w:eastAsia="仿宋_GB2312" w:cs="仿宋_GB2312"/>
          <w:sz w:val="24"/>
          <w:u w:val="single"/>
        </w:rPr>
        <w:t>审定的结算价格</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sym w:font="Wingdings 2" w:char="0052"/>
      </w:r>
      <w:r>
        <w:rPr>
          <w:rFonts w:hint="eastAsia" w:ascii="仿宋_GB2312" w:hAnsi="仿宋_GB2312" w:eastAsia="仿宋_GB2312" w:cs="仿宋_GB2312"/>
          <w:sz w:val="24"/>
          <w:u w:val="single"/>
        </w:rPr>
        <w:t>履约验收合格确定的最终价款</w:t>
      </w:r>
      <w:r>
        <w:rPr>
          <w:rFonts w:hint="eastAsia" w:ascii="仿宋_GB2312" w:hAnsi="仿宋_GB2312" w:eastAsia="仿宋_GB2312" w:cs="仿宋_GB2312"/>
          <w:sz w:val="24"/>
        </w:rPr>
        <w:t>。</w:t>
      </w:r>
    </w:p>
    <w:p>
      <w:pPr>
        <w:spacing w:line="360" w:lineRule="auto"/>
        <w:ind w:firstLine="470" w:firstLineChars="196"/>
        <w:rPr>
          <w:rFonts w:ascii="仿宋_GB2312" w:hAnsi="仿宋_GB2312" w:eastAsia="仿宋_GB2312" w:cs="仿宋_GB2312"/>
          <w:sz w:val="24"/>
        </w:rPr>
      </w:pPr>
      <w:r>
        <w:rPr>
          <w:rFonts w:hint="eastAsia" w:ascii="仿宋_GB2312" w:hAnsi="仿宋_GB2312" w:eastAsia="仿宋_GB2312" w:cs="仿宋_GB2312"/>
          <w:sz w:val="24"/>
        </w:rPr>
        <w:t>（4）“甲方”是指承担直接投资责任和委托维修保养业务的一方以及其合法继承人，即合同协议书中所述的甲方。</w:t>
      </w:r>
    </w:p>
    <w:p>
      <w:pPr>
        <w:spacing w:line="360" w:lineRule="auto"/>
        <w:ind w:firstLine="470" w:firstLineChars="196"/>
        <w:rPr>
          <w:rFonts w:ascii="仿宋_GB2312" w:hAnsi="仿宋_GB2312" w:eastAsia="仿宋_GB2312" w:cs="仿宋_GB2312"/>
          <w:sz w:val="24"/>
        </w:rPr>
      </w:pPr>
      <w:r>
        <w:rPr>
          <w:rFonts w:hint="eastAsia" w:ascii="仿宋_GB2312" w:hAnsi="仿宋_GB2312" w:eastAsia="仿宋_GB2312" w:cs="仿宋_GB2312"/>
          <w:sz w:val="24"/>
        </w:rPr>
        <w:t>（5）“乙方”是指承担维修保养业务和维修保养责任的一方以及其合法继承人，即合同协议书中所述的乙方。</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（6）“维保机构”是指乙方派驻本工程现场实施维修保养业务的组织。</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（7）“日”是指任何一天零时至第二天零时的时间段。</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（8）“月”是指根据公历从一个月份中任何一天开始到下一个月相应日期的前一天的时间段。</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9）“管理规定”是指行政主管部门及甲方对本工程的管理制度、程序、流程、规定、文件、通知、决定、指示、同意、批准、书面文件、电报、传真等书面内容的要求。行政主管部门及甲方在工程管理过程中下发的工程管理规定作为本合同的组成部分，乙方在合同履行过程中应严格遵照执行。</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（10）“响应时间”是指在接报故障后赶赴且到达现场处理的时间。</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（11）“接报”是指甲方通知乙方的形式，包括口头、电话、电子邮件、书面等。</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（12）“现场”是指故障发生地点、区段，或报故障车站、部门等。</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（13）“不可抗力”系是指双方在订立本合同时不可预见，在合同履行过程中不可避免并不能克服的自然灾害和社会性突发事件，如地震、海啸、瘟疫、水灾、骚乱、暴动、战争等情形。</w:t>
      </w:r>
    </w:p>
    <w:p>
      <w:pPr>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（14）“履约验收”系指按照长沙市政府相关职能部门或长沙市轨道交通集团有限公司或长沙市轨道交通集团有限公司授权的单位制定的履约验收相关管理规定办理验收。</w:t>
      </w:r>
    </w:p>
    <w:p>
      <w:pPr>
        <w:spacing w:line="360" w:lineRule="auto"/>
        <w:ind w:firstLine="472" w:firstLineChars="196"/>
        <w:outlineLvl w:val="1"/>
        <w:rPr>
          <w:rFonts w:ascii="仿宋_GB2312" w:hAnsi="仿宋_GB2312" w:eastAsia="仿宋_GB2312" w:cs="仿宋_GB2312"/>
          <w:b/>
          <w:bCs/>
          <w:sz w:val="24"/>
        </w:rPr>
      </w:pPr>
      <w:bookmarkStart w:id="55" w:name="_Toc12453"/>
      <w:bookmarkStart w:id="56" w:name="_Toc20721"/>
      <w:bookmarkStart w:id="57" w:name="_Toc368066687"/>
      <w:r>
        <w:rPr>
          <w:rFonts w:hint="eastAsia" w:ascii="仿宋_GB2312" w:hAnsi="仿宋_GB2312" w:eastAsia="仿宋_GB2312" w:cs="仿宋_GB2312"/>
          <w:b/>
          <w:bCs/>
          <w:sz w:val="24"/>
        </w:rPr>
        <w:t>2、标准和规范</w:t>
      </w:r>
      <w:bookmarkEnd w:id="55"/>
      <w:bookmarkEnd w:id="56"/>
    </w:p>
    <w:p>
      <w:pPr>
        <w:tabs>
          <w:tab w:val="left" w:pos="851"/>
        </w:tabs>
        <w:adjustRightInd w:val="0"/>
        <w:snapToGrid w:val="0"/>
        <w:spacing w:line="360" w:lineRule="auto"/>
        <w:ind w:firstLine="480" w:firstLineChars="200"/>
        <w:textAlignment w:val="baseline"/>
        <w:rPr>
          <w:rFonts w:ascii="仿宋_GB2312" w:hAnsi="仿宋_GB2312" w:eastAsia="仿宋_GB2312" w:cs="仿宋_GB2312"/>
          <w:sz w:val="24"/>
        </w:rPr>
      </w:pPr>
      <w:r>
        <w:rPr>
          <w:rFonts w:hint="eastAsia" w:ascii="仿宋_GB2312" w:hAnsi="仿宋_GB2312" w:eastAsia="仿宋_GB2312" w:cs="仿宋_GB2312"/>
          <w:sz w:val="24"/>
        </w:rPr>
        <w:t>2.1 适用国家标准、行业标准、工程所在地的地方性标准，以及相应的规范、规程等。</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2.2 甲方对本项目的技术标准或功能的其他要求</w:t>
      </w:r>
      <w:r>
        <w:rPr>
          <w:rFonts w:hint="eastAsia" w:ascii="仿宋_GB2312" w:hAnsi="仿宋_GB2312" w:eastAsia="仿宋_GB2312" w:cs="仿宋_GB2312"/>
          <w:sz w:val="24"/>
          <w:u w:val="single"/>
        </w:rPr>
        <w:t>以用户需求书/技术规格书为准</w:t>
      </w:r>
      <w:r>
        <w:rPr>
          <w:rFonts w:hint="eastAsia" w:ascii="仿宋_GB2312" w:hAnsi="仿宋_GB2312" w:eastAsia="仿宋_GB2312" w:cs="仿宋_GB2312"/>
          <w:sz w:val="24"/>
        </w:rPr>
        <w:t>。</w:t>
      </w:r>
    </w:p>
    <w:p>
      <w:pPr>
        <w:pStyle w:val="45"/>
        <w:spacing w:after="0" w:line="360" w:lineRule="auto"/>
        <w:ind w:firstLine="482"/>
        <w:outlineLvl w:val="1"/>
        <w:rPr>
          <w:rFonts w:ascii="仿宋_GB2312" w:hAnsi="仿宋_GB2312" w:eastAsia="仿宋_GB2312" w:cs="仿宋_GB2312"/>
          <w:b/>
          <w:bCs/>
          <w:sz w:val="24"/>
        </w:rPr>
      </w:pPr>
      <w:bookmarkStart w:id="58" w:name="_Toc1523"/>
      <w:bookmarkStart w:id="59" w:name="_Toc10573"/>
      <w:r>
        <w:rPr>
          <w:rFonts w:hint="eastAsia" w:ascii="仿宋_GB2312" w:hAnsi="仿宋_GB2312" w:eastAsia="仿宋_GB2312" w:cs="仿宋_GB2312"/>
          <w:b/>
          <w:bCs/>
          <w:sz w:val="24"/>
        </w:rPr>
        <w:t>3、</w:t>
      </w:r>
      <w:bookmarkEnd w:id="57"/>
      <w:bookmarkEnd w:id="58"/>
      <w:bookmarkEnd w:id="59"/>
      <w:bookmarkStart w:id="60" w:name="_Toc23394"/>
      <w:bookmarkStart w:id="61" w:name="_Toc23767"/>
      <w:r>
        <w:rPr>
          <w:rFonts w:hint="eastAsia" w:ascii="仿宋_GB2312" w:hAnsi="仿宋_GB2312" w:eastAsia="仿宋_GB2312" w:cs="仿宋_GB2312"/>
          <w:b/>
          <w:bCs/>
          <w:sz w:val="24"/>
        </w:rPr>
        <w:t>价款支付</w:t>
      </w:r>
      <w:bookmarkEnd w:id="60"/>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bidi="ar"/>
        </w:rPr>
        <w:t>3.1 预付款</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bidi="ar"/>
        </w:rPr>
        <w:t>本项目无预付款。</w:t>
      </w:r>
    </w:p>
    <w:p>
      <w:pPr>
        <w:pStyle w:val="45"/>
        <w:spacing w:after="0" w:line="360" w:lineRule="auto"/>
        <w:ind w:firstLine="480"/>
        <w:rPr>
          <w:rFonts w:ascii="仿宋_GB2312" w:hAnsi="仿宋_GB2312" w:eastAsia="仿宋_GB2312" w:cs="仿宋_GB2312"/>
          <w:sz w:val="24"/>
        </w:rPr>
      </w:pPr>
      <w:bookmarkStart w:id="62" w:name="_Toc19286"/>
      <w:r>
        <w:rPr>
          <w:rFonts w:hint="eastAsia" w:ascii="仿宋_GB2312" w:hAnsi="仿宋_GB2312" w:eastAsia="仿宋_GB2312" w:cs="仿宋_GB2312"/>
          <w:sz w:val="24"/>
        </w:rPr>
        <w:t>3.2 中间付款</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付款周期为每季度支付一次。每次为按签约合同价的90%平均到每个付款周期，并依据甲方对乙方的考核结果向乙方支付上一个付款周期的价款；中间支付的累计付款金额不超过签约合同价的90%。</w:t>
      </w:r>
    </w:p>
    <w:p>
      <w:pPr>
        <w:pStyle w:val="41"/>
        <w:adjustRightInd w:val="0"/>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上述款项在甲方收到乙方的经甲方审批同意支付申请、增值税专用发票及有效期内的履约担保复印件等相关资料后28个工作日内支付。</w:t>
      </w:r>
    </w:p>
    <w:p>
      <w:pPr>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3.3 最终付款</w:t>
      </w:r>
    </w:p>
    <w:p>
      <w:pPr>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乙方按合同约定完成全部工作、项目通过最终验收，</w:t>
      </w:r>
      <w:r>
        <w:rPr>
          <w:rFonts w:hint="eastAsia" w:ascii="仿宋_GB2312" w:hAnsi="仿宋_GB2312" w:eastAsia="仿宋_GB2312" w:cs="仿宋_GB2312"/>
          <w:sz w:val="24"/>
        </w:rPr>
        <w:t>且</w:t>
      </w:r>
      <w:r>
        <w:rPr>
          <w:rFonts w:hint="eastAsia" w:ascii="仿宋_GB2312" w:hAnsi="仿宋_GB2312" w:eastAsia="仿宋_GB2312" w:cs="仿宋_GB2312"/>
          <w:sz w:val="24"/>
          <w:u w:val="single"/>
        </w:rPr>
        <w:t>□本项目的合同价格（即结算价格）经长沙市政府相关职能部门或长沙市轨道交通集团有限公司授权的单位审定</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sym w:font="Wingdings 2" w:char="0052"/>
      </w:r>
      <w:r>
        <w:rPr>
          <w:rFonts w:hint="eastAsia" w:ascii="仿宋_GB2312" w:hAnsi="仿宋_GB2312" w:eastAsia="仿宋_GB2312" w:cs="仿宋_GB2312"/>
          <w:sz w:val="24"/>
          <w:u w:val="single"/>
        </w:rPr>
        <w:t>本项目履约验收合格</w:t>
      </w:r>
      <w:r>
        <w:rPr>
          <w:rFonts w:hint="eastAsia" w:ascii="仿宋_GB2312" w:hAnsi="仿宋_GB2312" w:eastAsia="仿宋_GB2312" w:cs="仿宋_GB2312"/>
          <w:kern w:val="0"/>
          <w:sz w:val="24"/>
        </w:rPr>
        <w:t>后，在收到经甲方批复的支付申请及增值税专用发票等资料并证实完整无误后28个工作日内，支付至合同价格的100%。</w:t>
      </w:r>
    </w:p>
    <w:p>
      <w:pPr>
        <w:spacing w:line="360" w:lineRule="auto"/>
        <w:ind w:firstLine="472" w:firstLineChars="196"/>
        <w:outlineLvl w:val="1"/>
        <w:rPr>
          <w:rFonts w:ascii="仿宋_GB2312" w:hAnsi="仿宋_GB2312" w:eastAsia="仿宋_GB2312" w:cs="仿宋_GB2312"/>
          <w:b/>
          <w:bCs/>
          <w:sz w:val="24"/>
        </w:rPr>
      </w:pPr>
      <w:r>
        <w:rPr>
          <w:rFonts w:hint="eastAsia" w:ascii="仿宋_GB2312" w:hAnsi="仿宋_GB2312" w:eastAsia="仿宋_GB2312" w:cs="仿宋_GB2312"/>
          <w:b/>
          <w:bCs/>
          <w:sz w:val="24"/>
        </w:rPr>
        <w:t>4、</w:t>
      </w:r>
      <w:bookmarkEnd w:id="51"/>
      <w:bookmarkEnd w:id="52"/>
      <w:bookmarkEnd w:id="53"/>
      <w:bookmarkEnd w:id="54"/>
      <w:r>
        <w:rPr>
          <w:rFonts w:hint="eastAsia" w:ascii="仿宋_GB2312" w:hAnsi="仿宋_GB2312" w:eastAsia="仿宋_GB2312" w:cs="仿宋_GB2312"/>
          <w:b/>
          <w:bCs/>
          <w:sz w:val="24"/>
        </w:rPr>
        <w:t>履约担保</w:t>
      </w:r>
      <w:bookmarkEnd w:id="61"/>
      <w:bookmarkEnd w:id="62"/>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rPr>
      </w:pPr>
      <w:bookmarkStart w:id="63" w:name="_Toc443376818"/>
      <w:bookmarkStart w:id="64" w:name="_Toc443208225"/>
      <w:r>
        <w:rPr>
          <w:rFonts w:hint="eastAsia" w:ascii="仿宋_GB2312" w:hAnsi="仿宋_GB2312" w:eastAsia="仿宋_GB2312" w:cs="仿宋_GB2312"/>
          <w:kern w:val="0"/>
          <w:sz w:val="24"/>
        </w:rPr>
        <w:t>4.1 乙方</w:t>
      </w:r>
      <w:r>
        <w:rPr>
          <w:rFonts w:hint="eastAsia" w:ascii="仿宋_GB2312" w:hAnsi="仿宋_GB2312" w:eastAsia="仿宋_GB2312" w:cs="仿宋_GB2312"/>
          <w:kern w:val="0"/>
          <w:sz w:val="24"/>
          <w:u w:val="single"/>
        </w:rPr>
        <w:sym w:font="Wingdings 2" w:char="0052"/>
      </w:r>
      <w:r>
        <w:rPr>
          <w:rFonts w:hint="eastAsia" w:ascii="仿宋_GB2312" w:hAnsi="仿宋_GB2312" w:eastAsia="仿宋_GB2312" w:cs="仿宋_GB2312"/>
          <w:kern w:val="0"/>
          <w:sz w:val="24"/>
          <w:u w:val="single"/>
        </w:rPr>
        <w:t>需要</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u w:val="single"/>
        </w:rPr>
        <w:t>□不需要</w:t>
      </w:r>
      <w:r>
        <w:rPr>
          <w:rFonts w:hint="eastAsia" w:ascii="仿宋_GB2312" w:hAnsi="仿宋_GB2312" w:eastAsia="仿宋_GB2312" w:cs="仿宋_GB2312"/>
          <w:kern w:val="0"/>
          <w:sz w:val="24"/>
        </w:rPr>
        <w:t>提供履约担保。</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4.2 如需要乙方提供履约担保，则：</w:t>
      </w:r>
    </w:p>
    <w:p>
      <w:pPr>
        <w:autoSpaceDE w:val="0"/>
        <w:autoSpaceDN w:val="0"/>
        <w:spacing w:line="360" w:lineRule="auto"/>
        <w:ind w:firstLine="480"/>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4.2.1履约担保用于补偿甲方因乙方不能完成其合同义务而蒙受的损失，是办理投标担保（如有）退还手续及合同价款支付手续的必要条件之一。</w:t>
      </w:r>
    </w:p>
    <w:p>
      <w:pPr>
        <w:autoSpaceDE w:val="0"/>
        <w:autoSpaceDN w:val="0"/>
        <w:spacing w:line="360" w:lineRule="auto"/>
        <w:ind w:firstLine="480"/>
        <w:textAlignment w:val="bottom"/>
        <w:rPr>
          <w:rFonts w:ascii="仿宋_GB2312" w:hAnsi="仿宋_GB2312" w:eastAsia="仿宋_GB2312" w:cs="仿宋_GB2312"/>
          <w:sz w:val="24"/>
        </w:rPr>
      </w:pPr>
      <w:r>
        <w:rPr>
          <w:rFonts w:hint="eastAsia" w:ascii="仿宋_GB2312" w:hAnsi="仿宋_GB2312" w:eastAsia="仿宋_GB2312" w:cs="仿宋_GB2312"/>
          <w:sz w:val="24"/>
        </w:rPr>
        <w:t>4.2.2乙方提供履约担保的形式、金额及期限可采用以下方式之一：</w:t>
      </w:r>
    </w:p>
    <w:p>
      <w:pPr>
        <w:autoSpaceDE w:val="0"/>
        <w:autoSpaceDN w:val="0"/>
        <w:spacing w:line="360" w:lineRule="auto"/>
        <w:ind w:firstLine="480"/>
        <w:textAlignment w:val="bottom"/>
        <w:rPr>
          <w:rFonts w:ascii="仿宋_GB2312" w:hAnsi="仿宋_GB2312" w:eastAsia="仿宋_GB2312" w:cs="仿宋_GB2312"/>
          <w:sz w:val="24"/>
        </w:rPr>
      </w:pPr>
      <w:r>
        <w:rPr>
          <w:rFonts w:hint="eastAsia" w:ascii="仿宋_GB2312" w:hAnsi="仿宋_GB2312" w:eastAsia="仿宋_GB2312" w:cs="仿宋_GB2312"/>
          <w:sz w:val="24"/>
        </w:rPr>
        <w:t>（1）采用银行履约保函形式，银行履约保函的担保额度为签约合同价的10%，担保期限为自保函生效之日起，至服务期满之日止。银行履约保函应为在中国境内注册和营业的银行出具的、以甲方为受益人首次申请即作为无条件付款的保函，银行履约保函格式具体详见合同附录。</w:t>
      </w:r>
    </w:p>
    <w:p>
      <w:pPr>
        <w:autoSpaceDE w:val="0"/>
        <w:autoSpaceDN w:val="0"/>
        <w:spacing w:line="360" w:lineRule="auto"/>
        <w:ind w:firstLine="480"/>
        <w:textAlignment w:val="bottom"/>
        <w:rPr>
          <w:rFonts w:ascii="仿宋_GB2312" w:hAnsi="仿宋_GB2312" w:eastAsia="仿宋_GB2312" w:cs="仿宋_GB2312"/>
          <w:sz w:val="24"/>
        </w:rPr>
      </w:pPr>
      <w:r>
        <w:rPr>
          <w:rFonts w:hint="eastAsia" w:ascii="仿宋_GB2312" w:hAnsi="仿宋_GB2312" w:eastAsia="仿宋_GB2312" w:cs="仿宋_GB2312"/>
          <w:sz w:val="24"/>
        </w:rPr>
        <w:t>（2）采用现金形式，现金担保额度为签约合同价的10%，担保期限为履约保证金到账之日起，至服务期满之日止。履约担保以现金形式提交的，乙方应从其基本账户通过转帐或电汇至甲方指定的账户。</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4.2.3如需提供履约担保，则乙方应确保提供的银行履约保函持续有效，在银行履约保函到期前1个月内办理好续保手续，并向甲方提供新的有效的银行履约保函。</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4.2.4如需提供履约担保，合同履约未完成而履约担保到期的，乙方应在履约担保到期后的首次办理合同价款支付手续时提供有效的续保文件。</w:t>
      </w:r>
    </w:p>
    <w:p>
      <w:pPr>
        <w:autoSpaceDE w:val="0"/>
        <w:autoSpaceDN w:val="0"/>
        <w:spacing w:line="360" w:lineRule="auto"/>
        <w:ind w:firstLine="480"/>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4.2.5在乙方完成其合同义务包括任何保证义务后，甲方将把履约担保无息退还乙方。</w:t>
      </w:r>
    </w:p>
    <w:bookmarkEnd w:id="63"/>
    <w:bookmarkEnd w:id="64"/>
    <w:p>
      <w:pPr>
        <w:autoSpaceDE w:val="0"/>
        <w:autoSpaceDN w:val="0"/>
        <w:spacing w:line="360" w:lineRule="auto"/>
        <w:ind w:firstLine="472" w:firstLineChars="196"/>
        <w:textAlignment w:val="bottom"/>
        <w:outlineLvl w:val="1"/>
        <w:rPr>
          <w:rFonts w:ascii="仿宋_GB2312" w:hAnsi="仿宋_GB2312" w:eastAsia="仿宋_GB2312" w:cs="仿宋_GB2312"/>
          <w:b/>
          <w:bCs/>
          <w:sz w:val="24"/>
        </w:rPr>
      </w:pPr>
      <w:bookmarkStart w:id="65" w:name="_Toc469"/>
      <w:bookmarkStart w:id="66" w:name="_Toc21707"/>
      <w:r>
        <w:rPr>
          <w:rFonts w:hint="eastAsia" w:ascii="仿宋_GB2312" w:hAnsi="仿宋_GB2312" w:eastAsia="仿宋_GB2312" w:cs="仿宋_GB2312"/>
          <w:b/>
          <w:bCs/>
          <w:sz w:val="24"/>
        </w:rPr>
        <w:t>5、合同变更</w:t>
      </w:r>
      <w:bookmarkEnd w:id="65"/>
      <w:bookmarkEnd w:id="66"/>
    </w:p>
    <w:p>
      <w:pPr>
        <w:autoSpaceDE w:val="0"/>
        <w:autoSpaceDN w:val="0"/>
        <w:spacing w:line="360" w:lineRule="auto"/>
        <w:ind w:firstLine="470" w:firstLineChars="196"/>
        <w:textAlignment w:val="bottom"/>
        <w:rPr>
          <w:rFonts w:ascii="仿宋_GB2312" w:hAnsi="仿宋_GB2312" w:eastAsia="仿宋_GB2312" w:cs="仿宋_GB2312"/>
          <w:sz w:val="24"/>
        </w:rPr>
      </w:pPr>
      <w:r>
        <w:rPr>
          <w:rFonts w:hint="eastAsia" w:ascii="仿宋_GB2312" w:hAnsi="仿宋_GB2312" w:eastAsia="仿宋_GB2312" w:cs="仿宋_GB2312"/>
          <w:sz w:val="24"/>
        </w:rPr>
        <w:t>5.1 甲方在执行合同期间的任何时间内有权对项目作变更、修改、删除、增加或做其它改变。这些变更应被视为合同的组成部分，乙方应履行这些变更并受同样条件约束。除非甲方书面提出，乙方不得对工程进行任何变更。但是，乙方可以随时向甲方提出为改进项目质量、效率和安全性方面的变更建议。</w:t>
      </w:r>
    </w:p>
    <w:p>
      <w:pPr>
        <w:autoSpaceDE w:val="0"/>
        <w:autoSpaceDN w:val="0"/>
        <w:spacing w:line="360" w:lineRule="auto"/>
        <w:ind w:firstLine="470" w:firstLineChars="196"/>
        <w:textAlignment w:val="bottom"/>
        <w:rPr>
          <w:rFonts w:ascii="仿宋_GB2312" w:hAnsi="仿宋_GB2312" w:eastAsia="仿宋_GB2312" w:cs="仿宋_GB2312"/>
          <w:sz w:val="24"/>
        </w:rPr>
      </w:pPr>
      <w:r>
        <w:rPr>
          <w:rFonts w:hint="eastAsia" w:ascii="仿宋_GB2312" w:hAnsi="仿宋_GB2312" w:eastAsia="仿宋_GB2312" w:cs="仿宋_GB2312"/>
          <w:sz w:val="24"/>
        </w:rPr>
        <w:t>5.2 如甲方根据本合同条款要做出合同变更，甲方应将此类变更的性质和方式通知乙方。如果乙方认为，任何修改方案可能阻碍或不利于履行合同义务，则乙方应在收到该通知后，十（10）日内向甲方提交变更建议书，内容包括：</w:t>
      </w:r>
    </w:p>
    <w:p>
      <w:pPr>
        <w:autoSpaceDE w:val="0"/>
        <w:autoSpaceDN w:val="0"/>
        <w:spacing w:line="360" w:lineRule="auto"/>
        <w:ind w:firstLine="470" w:firstLineChars="196"/>
        <w:textAlignment w:val="bottom"/>
        <w:rPr>
          <w:rFonts w:ascii="仿宋_GB2312" w:hAnsi="仿宋_GB2312" w:eastAsia="仿宋_GB2312" w:cs="仿宋_GB2312"/>
          <w:sz w:val="24"/>
        </w:rPr>
      </w:pPr>
      <w:r>
        <w:rPr>
          <w:rFonts w:hint="eastAsia" w:ascii="仿宋_GB2312" w:hAnsi="仿宋_GB2312" w:eastAsia="仿宋_GB2312" w:cs="仿宋_GB2312"/>
          <w:sz w:val="24"/>
        </w:rPr>
        <w:t>（1）要实施的工作的说明（如果有的话）以及工作的实施进度计划；</w:t>
      </w:r>
    </w:p>
    <w:p>
      <w:pPr>
        <w:autoSpaceDE w:val="0"/>
        <w:autoSpaceDN w:val="0"/>
        <w:spacing w:line="360" w:lineRule="auto"/>
        <w:ind w:firstLine="470" w:firstLineChars="196"/>
        <w:textAlignment w:val="bottom"/>
        <w:rPr>
          <w:rFonts w:ascii="仿宋_GB2312" w:hAnsi="仿宋_GB2312" w:eastAsia="仿宋_GB2312" w:cs="仿宋_GB2312"/>
          <w:sz w:val="24"/>
        </w:rPr>
      </w:pPr>
      <w:r>
        <w:rPr>
          <w:rFonts w:hint="eastAsia" w:ascii="仿宋_GB2312" w:hAnsi="仿宋_GB2312" w:eastAsia="仿宋_GB2312" w:cs="仿宋_GB2312"/>
          <w:sz w:val="24"/>
        </w:rPr>
        <w:t>（2）对进度计划或本合同项下的乙方义务进行任何必要的修改的建议；</w:t>
      </w:r>
    </w:p>
    <w:p>
      <w:pPr>
        <w:autoSpaceDE w:val="0"/>
        <w:autoSpaceDN w:val="0"/>
        <w:spacing w:line="360" w:lineRule="auto"/>
        <w:ind w:firstLine="470" w:firstLineChars="196"/>
        <w:textAlignment w:val="bottom"/>
        <w:rPr>
          <w:rFonts w:ascii="仿宋_GB2312" w:hAnsi="仿宋_GB2312" w:eastAsia="仿宋_GB2312" w:cs="仿宋_GB2312"/>
          <w:sz w:val="24"/>
        </w:rPr>
      </w:pPr>
      <w:r>
        <w:rPr>
          <w:rFonts w:hint="eastAsia" w:ascii="仿宋_GB2312" w:hAnsi="仿宋_GB2312" w:eastAsia="仿宋_GB2312" w:cs="仿宋_GB2312"/>
          <w:sz w:val="24"/>
        </w:rPr>
        <w:t>（3）乙方对合同价格调整的建议。</w:t>
      </w:r>
    </w:p>
    <w:p>
      <w:pPr>
        <w:autoSpaceDE w:val="0"/>
        <w:autoSpaceDN w:val="0"/>
        <w:spacing w:line="360" w:lineRule="auto"/>
        <w:ind w:firstLine="470" w:firstLineChars="196"/>
        <w:textAlignment w:val="bottom"/>
        <w:rPr>
          <w:rFonts w:ascii="仿宋_GB2312" w:hAnsi="仿宋_GB2312" w:eastAsia="仿宋_GB2312" w:cs="仿宋_GB2312"/>
          <w:sz w:val="24"/>
        </w:rPr>
      </w:pPr>
      <w:r>
        <w:rPr>
          <w:rFonts w:hint="eastAsia" w:ascii="仿宋_GB2312" w:hAnsi="仿宋_GB2312" w:eastAsia="仿宋_GB2312" w:cs="仿宋_GB2312"/>
          <w:sz w:val="24"/>
        </w:rPr>
        <w:t>收到乙方的上述递呈，并在与乙方适当协商后，甲方应尽快决定是否进行变更。</w:t>
      </w:r>
    </w:p>
    <w:p>
      <w:pPr>
        <w:autoSpaceDE w:val="0"/>
        <w:autoSpaceDN w:val="0"/>
        <w:spacing w:line="360" w:lineRule="auto"/>
        <w:ind w:firstLine="470" w:firstLineChars="196"/>
        <w:textAlignment w:val="bottom"/>
        <w:rPr>
          <w:rFonts w:ascii="仿宋_GB2312" w:hAnsi="仿宋_GB2312" w:eastAsia="仿宋_GB2312" w:cs="仿宋_GB2312"/>
          <w:sz w:val="24"/>
        </w:rPr>
      </w:pPr>
      <w:r>
        <w:rPr>
          <w:rFonts w:hint="eastAsia" w:ascii="仿宋_GB2312" w:hAnsi="仿宋_GB2312" w:eastAsia="仿宋_GB2312" w:cs="仿宋_GB2312"/>
          <w:sz w:val="24"/>
        </w:rPr>
        <w:t>5.3 合同变更/修改时，如果甲乙双方未能对价格调整达成一致，则对合同价格的调整应按下述方式进行：</w:t>
      </w:r>
    </w:p>
    <w:p>
      <w:pPr>
        <w:autoSpaceDE w:val="0"/>
        <w:autoSpaceDN w:val="0"/>
        <w:spacing w:line="360" w:lineRule="auto"/>
        <w:ind w:firstLine="470" w:firstLineChars="196"/>
        <w:textAlignment w:val="bottom"/>
        <w:rPr>
          <w:rFonts w:ascii="仿宋_GB2312" w:hAnsi="仿宋_GB2312" w:eastAsia="仿宋_GB2312" w:cs="仿宋_GB2312"/>
          <w:sz w:val="24"/>
        </w:rPr>
      </w:pPr>
      <w:r>
        <w:rPr>
          <w:rFonts w:hint="eastAsia" w:ascii="仿宋_GB2312" w:hAnsi="仿宋_GB2312" w:eastAsia="仿宋_GB2312" w:cs="仿宋_GB2312"/>
          <w:sz w:val="24"/>
        </w:rPr>
        <w:t>（1）对合同中已明确并有定价的选项及替代方案，按合同列明的相应的金额计算；</w:t>
      </w:r>
    </w:p>
    <w:p>
      <w:pPr>
        <w:autoSpaceDE w:val="0"/>
        <w:autoSpaceDN w:val="0"/>
        <w:spacing w:line="360" w:lineRule="auto"/>
        <w:ind w:firstLine="470" w:firstLineChars="196"/>
        <w:textAlignment w:val="bottom"/>
        <w:rPr>
          <w:rFonts w:ascii="仿宋_GB2312" w:hAnsi="仿宋_GB2312" w:eastAsia="仿宋_GB2312" w:cs="仿宋_GB2312"/>
          <w:sz w:val="24"/>
        </w:rPr>
      </w:pPr>
      <w:r>
        <w:rPr>
          <w:rFonts w:hint="eastAsia" w:ascii="仿宋_GB2312" w:hAnsi="仿宋_GB2312" w:eastAsia="仿宋_GB2312" w:cs="仿宋_GB2312"/>
          <w:sz w:val="24"/>
        </w:rPr>
        <w:t>（2）对合同中尚未明确和定价的选项及替代方案，其金额须由合同双方按以下一种或多种方法协商确定：</w:t>
      </w:r>
    </w:p>
    <w:p>
      <w:pPr>
        <w:autoSpaceDE w:val="0"/>
        <w:autoSpaceDN w:val="0"/>
        <w:spacing w:line="360" w:lineRule="auto"/>
        <w:ind w:firstLine="470" w:firstLineChars="196"/>
        <w:textAlignment w:val="bottom"/>
        <w:rPr>
          <w:rFonts w:ascii="仿宋_GB2312" w:hAnsi="仿宋_GB2312" w:eastAsia="仿宋_GB2312" w:cs="仿宋_GB2312"/>
          <w:sz w:val="24"/>
        </w:rPr>
      </w:pPr>
      <w:r>
        <w:rPr>
          <w:rFonts w:hint="eastAsia" w:ascii="仿宋_GB2312" w:hAnsi="仿宋_GB2312" w:eastAsia="仿宋_GB2312" w:cs="仿宋_GB2312"/>
          <w:sz w:val="24"/>
        </w:rPr>
        <w:t>1）根据合同规定的原则计出总价；</w:t>
      </w:r>
    </w:p>
    <w:p>
      <w:pPr>
        <w:autoSpaceDE w:val="0"/>
        <w:autoSpaceDN w:val="0"/>
        <w:spacing w:line="360" w:lineRule="auto"/>
        <w:ind w:firstLine="470" w:firstLineChars="196"/>
        <w:textAlignment w:val="bottom"/>
        <w:rPr>
          <w:rFonts w:ascii="仿宋_GB2312" w:hAnsi="仿宋_GB2312" w:eastAsia="仿宋_GB2312" w:cs="仿宋_GB2312"/>
          <w:sz w:val="24"/>
        </w:rPr>
      </w:pPr>
      <w:r>
        <w:rPr>
          <w:rFonts w:hint="eastAsia" w:ascii="仿宋_GB2312" w:hAnsi="仿宋_GB2312" w:eastAsia="仿宋_GB2312" w:cs="仿宋_GB2312"/>
          <w:sz w:val="24"/>
        </w:rPr>
        <w:t>2）根据合同单价和/或单位费率计算而计出总价；</w:t>
      </w:r>
    </w:p>
    <w:p>
      <w:pPr>
        <w:autoSpaceDE w:val="0"/>
        <w:autoSpaceDN w:val="0"/>
        <w:spacing w:line="360" w:lineRule="auto"/>
        <w:ind w:firstLine="470" w:firstLineChars="196"/>
        <w:textAlignment w:val="bottom"/>
        <w:rPr>
          <w:rFonts w:ascii="仿宋_GB2312" w:hAnsi="仿宋_GB2312" w:eastAsia="仿宋_GB2312" w:cs="仿宋_GB2312"/>
          <w:sz w:val="24"/>
        </w:rPr>
      </w:pPr>
      <w:r>
        <w:rPr>
          <w:rFonts w:hint="eastAsia" w:ascii="仿宋_GB2312" w:hAnsi="仿宋_GB2312" w:eastAsia="仿宋_GB2312" w:cs="仿宋_GB2312"/>
          <w:sz w:val="24"/>
        </w:rPr>
        <w:t>3）根据合同价格类推和/或按比例计算而计出总价；</w:t>
      </w:r>
    </w:p>
    <w:p>
      <w:pPr>
        <w:autoSpaceDE w:val="0"/>
        <w:autoSpaceDN w:val="0"/>
        <w:spacing w:line="360" w:lineRule="auto"/>
        <w:ind w:firstLine="470" w:firstLineChars="196"/>
        <w:textAlignment w:val="bottom"/>
        <w:rPr>
          <w:rFonts w:ascii="仿宋_GB2312" w:hAnsi="仿宋_GB2312" w:eastAsia="仿宋_GB2312" w:cs="仿宋_GB2312"/>
          <w:sz w:val="24"/>
        </w:rPr>
      </w:pPr>
      <w:r>
        <w:rPr>
          <w:rFonts w:hint="eastAsia" w:ascii="仿宋_GB2312" w:hAnsi="仿宋_GB2312" w:eastAsia="仿宋_GB2312" w:cs="仿宋_GB2312"/>
          <w:sz w:val="24"/>
        </w:rPr>
        <w:t>4）根据合同规定的相应成本确定。</w:t>
      </w:r>
    </w:p>
    <w:p>
      <w:pPr>
        <w:autoSpaceDE w:val="0"/>
        <w:autoSpaceDN w:val="0"/>
        <w:spacing w:line="360" w:lineRule="auto"/>
        <w:ind w:firstLine="470" w:firstLineChars="196"/>
        <w:textAlignment w:val="bottom"/>
        <w:rPr>
          <w:rFonts w:ascii="仿宋_GB2312" w:hAnsi="仿宋_GB2312" w:eastAsia="仿宋_GB2312" w:cs="仿宋_GB2312"/>
          <w:sz w:val="24"/>
        </w:rPr>
      </w:pPr>
      <w:r>
        <w:rPr>
          <w:rFonts w:hint="eastAsia" w:ascii="仿宋_GB2312" w:hAnsi="仿宋_GB2312" w:eastAsia="仿宋_GB2312" w:cs="仿宋_GB2312"/>
          <w:sz w:val="24"/>
        </w:rPr>
        <w:t>5.4 如果乙方认为，甲方的指示、指令、决定、其它行为或疏漏，或与合同要求不符的行为，将会或已经对其履行合同造成负面影响，对乙方履约费用或进度计划日期的执行有影响，则乙方应在五（5）日内以书面形式按规定的格式向甲方发出变更建议书。</w:t>
      </w:r>
    </w:p>
    <w:p>
      <w:pPr>
        <w:autoSpaceDE w:val="0"/>
        <w:autoSpaceDN w:val="0"/>
        <w:spacing w:line="360" w:lineRule="auto"/>
        <w:ind w:firstLine="470" w:firstLineChars="196"/>
        <w:textAlignment w:val="bottom"/>
        <w:rPr>
          <w:rFonts w:ascii="仿宋_GB2312" w:hAnsi="仿宋_GB2312" w:eastAsia="仿宋_GB2312" w:cs="仿宋_GB2312"/>
          <w:sz w:val="24"/>
        </w:rPr>
      </w:pPr>
      <w:r>
        <w:rPr>
          <w:rFonts w:hint="eastAsia" w:ascii="仿宋_GB2312" w:hAnsi="仿宋_GB2312" w:eastAsia="仿宋_GB2312" w:cs="仿宋_GB2312"/>
          <w:sz w:val="24"/>
        </w:rPr>
        <w:t>5.5 如果上述变更使乙方履行合同义务的费用或时间增加或减少，将对合同价或交货时间或两者进行公平的调整，同时相应修改合同。乙方根据本条款进行调整的要求必须在收到甲方的变更指令后五（5）日内提出。</w:t>
      </w:r>
    </w:p>
    <w:p>
      <w:pPr>
        <w:autoSpaceDE w:val="0"/>
        <w:autoSpaceDN w:val="0"/>
        <w:spacing w:line="360" w:lineRule="auto"/>
        <w:ind w:firstLine="470" w:firstLineChars="196"/>
        <w:textAlignment w:val="bottom"/>
        <w:rPr>
          <w:rFonts w:ascii="仿宋_GB2312" w:hAnsi="仿宋_GB2312" w:eastAsia="仿宋_GB2312" w:cs="仿宋_GB2312"/>
          <w:sz w:val="24"/>
        </w:rPr>
      </w:pPr>
      <w:r>
        <w:rPr>
          <w:rFonts w:hint="eastAsia" w:ascii="仿宋_GB2312" w:hAnsi="仿宋_GB2312" w:eastAsia="仿宋_GB2312" w:cs="仿宋_GB2312"/>
          <w:sz w:val="24"/>
        </w:rPr>
        <w:t>5.6 除了上述情况外，不应对合同条款进行任何变更或修改。经甲方同意的对合同条款进行任何变更或修改，甲乙双方应签订补充协议予以明确。</w:t>
      </w:r>
    </w:p>
    <w:p>
      <w:pPr>
        <w:autoSpaceDE w:val="0"/>
        <w:autoSpaceDN w:val="0"/>
        <w:spacing w:line="360" w:lineRule="auto"/>
        <w:ind w:firstLine="472" w:firstLineChars="196"/>
        <w:textAlignment w:val="bottom"/>
        <w:outlineLvl w:val="1"/>
        <w:rPr>
          <w:rFonts w:ascii="仿宋_GB2312" w:hAnsi="仿宋_GB2312" w:eastAsia="仿宋_GB2312" w:cs="仿宋_GB2312"/>
          <w:b/>
          <w:bCs/>
          <w:sz w:val="24"/>
        </w:rPr>
      </w:pPr>
      <w:bookmarkStart w:id="67" w:name="_Toc16499"/>
      <w:bookmarkStart w:id="68" w:name="_Toc28160"/>
      <w:r>
        <w:rPr>
          <w:rFonts w:hint="eastAsia" w:ascii="仿宋_GB2312" w:hAnsi="仿宋_GB2312" w:eastAsia="仿宋_GB2312" w:cs="仿宋_GB2312"/>
          <w:b/>
          <w:bCs/>
          <w:sz w:val="24"/>
        </w:rPr>
        <w:t>6、材料设备供应</w:t>
      </w:r>
      <w:bookmarkEnd w:id="67"/>
      <w:bookmarkEnd w:id="68"/>
    </w:p>
    <w:p>
      <w:pPr>
        <w:autoSpaceDE w:val="0"/>
        <w:autoSpaceDN w:val="0"/>
        <w:spacing w:line="360" w:lineRule="auto"/>
        <w:ind w:firstLine="470" w:firstLineChars="196"/>
        <w:textAlignment w:val="bottom"/>
        <w:rPr>
          <w:rFonts w:ascii="仿宋_GB2312" w:hAnsi="仿宋_GB2312" w:eastAsia="仿宋_GB2312" w:cs="仿宋_GB2312"/>
          <w:sz w:val="24"/>
        </w:rPr>
      </w:pPr>
      <w:r>
        <w:rPr>
          <w:rFonts w:hint="eastAsia" w:ascii="仿宋_GB2312" w:hAnsi="仿宋_GB2312" w:eastAsia="仿宋_GB2312" w:cs="仿宋_GB2312"/>
          <w:sz w:val="24"/>
        </w:rPr>
        <w:t>6.1 维修保养所需的材料设备必须沿用设备原品牌或合同约定的满足技术要求的备件及材料，如确实需更换其他品牌备件及材料必须经甲方书面同意后，才能进入项目现场使用。</w:t>
      </w:r>
    </w:p>
    <w:p>
      <w:pPr>
        <w:autoSpaceDE w:val="0"/>
        <w:autoSpaceDN w:val="0"/>
        <w:spacing w:line="360" w:lineRule="auto"/>
        <w:ind w:firstLine="470" w:firstLineChars="196"/>
        <w:textAlignment w:val="bottom"/>
        <w:rPr>
          <w:rFonts w:ascii="仿宋_GB2312" w:hAnsi="仿宋_GB2312" w:eastAsia="仿宋_GB2312" w:cs="仿宋_GB2312"/>
          <w:sz w:val="24"/>
        </w:rPr>
      </w:pPr>
      <w:r>
        <w:rPr>
          <w:rFonts w:hint="eastAsia" w:ascii="仿宋_GB2312" w:hAnsi="仿宋_GB2312" w:eastAsia="仿宋_GB2312" w:cs="仿宋_GB2312"/>
          <w:sz w:val="24"/>
        </w:rPr>
        <w:t>6.2 乙方必须配备足够的用于维修保养的工器具，所使用的测试仪器必须定期进行检验，检验合格的产品才能使用。</w:t>
      </w:r>
    </w:p>
    <w:p>
      <w:pPr>
        <w:autoSpaceDE w:val="0"/>
        <w:autoSpaceDN w:val="0"/>
        <w:spacing w:line="360" w:lineRule="auto"/>
        <w:ind w:firstLine="470" w:firstLineChars="196"/>
        <w:textAlignment w:val="bottom"/>
        <w:rPr>
          <w:rFonts w:ascii="仿宋_GB2312" w:hAnsi="仿宋_GB2312" w:eastAsia="仿宋_GB2312" w:cs="仿宋_GB2312"/>
          <w:sz w:val="24"/>
        </w:rPr>
      </w:pPr>
      <w:r>
        <w:rPr>
          <w:rFonts w:hint="eastAsia" w:ascii="仿宋_GB2312" w:hAnsi="仿宋_GB2312" w:eastAsia="仿宋_GB2312" w:cs="仿宋_GB2312"/>
          <w:sz w:val="24"/>
        </w:rPr>
        <w:t>6.3 无论维修保养所需的材料设备（包括但不限于备品备件、维保辅材等）是由乙方自行供应或是由甲方指定的供应商供应（如有），均不解除乙方所负的本项目全面质量的责任，乙方应该对各种材料、器材、设备按规范进行检查，拒绝不符合要求的材料、器材、设备用于本项目。无论何种原因，出现不合格材料、器材、设备用于工程的情况，均由乙方承担相应的责任。</w:t>
      </w:r>
    </w:p>
    <w:p>
      <w:pPr>
        <w:autoSpaceDE w:val="0"/>
        <w:autoSpaceDN w:val="0"/>
        <w:spacing w:line="360" w:lineRule="auto"/>
        <w:ind w:firstLine="470" w:firstLineChars="196"/>
        <w:textAlignment w:val="bottom"/>
        <w:rPr>
          <w:rFonts w:ascii="仿宋_GB2312" w:hAnsi="仿宋_GB2312" w:eastAsia="仿宋_GB2312" w:cs="仿宋_GB2312"/>
          <w:sz w:val="24"/>
        </w:rPr>
      </w:pPr>
      <w:r>
        <w:rPr>
          <w:rFonts w:hint="eastAsia" w:ascii="仿宋_GB2312" w:hAnsi="仿宋_GB2312" w:eastAsia="仿宋_GB2312" w:cs="仿宋_GB2312"/>
          <w:sz w:val="24"/>
        </w:rPr>
        <w:t>6.4 所有维修保养更换的损坏件，应交给甲方回收报废。</w:t>
      </w:r>
    </w:p>
    <w:p>
      <w:pPr>
        <w:pStyle w:val="45"/>
        <w:spacing w:after="0" w:line="360" w:lineRule="auto"/>
        <w:ind w:firstLine="482"/>
        <w:outlineLvl w:val="1"/>
        <w:rPr>
          <w:rFonts w:ascii="仿宋_GB2312" w:hAnsi="仿宋_GB2312" w:eastAsia="仿宋_GB2312" w:cs="仿宋_GB2312"/>
          <w:b/>
          <w:bCs/>
          <w:sz w:val="24"/>
        </w:rPr>
      </w:pPr>
      <w:bookmarkStart w:id="69" w:name="_Toc9335"/>
      <w:bookmarkStart w:id="70" w:name="_Toc16050"/>
      <w:bookmarkStart w:id="71" w:name="_Toc368066694"/>
      <w:r>
        <w:rPr>
          <w:rFonts w:hint="eastAsia" w:ascii="仿宋_GB2312" w:hAnsi="仿宋_GB2312" w:eastAsia="仿宋_GB2312" w:cs="仿宋_GB2312"/>
          <w:b/>
          <w:bCs/>
          <w:sz w:val="24"/>
        </w:rPr>
        <w:t>7、双方责任</w:t>
      </w:r>
      <w:bookmarkEnd w:id="69"/>
      <w:bookmarkEnd w:id="70"/>
      <w:bookmarkEnd w:id="71"/>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7.1甲方责任</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（1）向乙方提供完成本项目的基础资料。</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（2）协调乙方执行本合同与甲方内部有关职能部门的关系，办理有关内部批准文件。乙方进场维护保养时，甲方给予配合。</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（3）甲方在本项目履行期间派一名代表协助乙方处理维修保养中存在的问题，并对乙方维修保养工作进行监督、检查。</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（4）根据本合同规定按时向乙方付款。</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（5）按合同要求组织验收。</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7.2 乙方责任</w:t>
      </w:r>
    </w:p>
    <w:p>
      <w:pPr>
        <w:pStyle w:val="45"/>
        <w:spacing w:after="0" w:line="360" w:lineRule="auto"/>
        <w:ind w:firstLine="480"/>
        <w:rPr>
          <w:rFonts w:ascii="仿宋_GB2312" w:hAnsi="仿宋_GB2312" w:eastAsia="仿宋_GB2312" w:cs="仿宋_GB2312"/>
          <w:sz w:val="24"/>
        </w:rPr>
      </w:pPr>
      <w:bookmarkStart w:id="72" w:name="_Toc368066695"/>
      <w:bookmarkStart w:id="73" w:name="_Toc240992313"/>
      <w:bookmarkStart w:id="74" w:name="_Toc357774470"/>
      <w:r>
        <w:rPr>
          <w:rFonts w:hint="eastAsia" w:ascii="仿宋_GB2312" w:hAnsi="仿宋_GB2312" w:eastAsia="仿宋_GB2312" w:cs="仿宋_GB2312"/>
          <w:sz w:val="24"/>
        </w:rPr>
        <w:t>（1）乙方应按照甲方要求制定详细的维修保养计划，经甲方审核后方能进行设备维护维修工作。</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（2）乙方应严格按照合同约定的标准、规范提供维修保养服务。</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（3）乙方维保人员应统一着装，并按有关规定配发劳保防护用品。维修保养过程中，乙方须采取严格的安全防护措施。</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（4）乙方须安排专人值班，确保通讯畅通。接到甲方通知后，按甲方要求在规定时间内响应并到达现场进行维修处理。</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（5）乙方须接受甲方对工期、质量、人员组成、设备、仪器、维护维修过程的监督。</w:t>
      </w:r>
    </w:p>
    <w:p>
      <w:pPr>
        <w:pStyle w:val="45"/>
        <w:spacing w:after="0" w:line="360" w:lineRule="auto"/>
        <w:ind w:firstLine="480"/>
        <w:rPr>
          <w:rFonts w:hint="eastAsia" w:ascii="仿宋_GB2312" w:hAnsi="仿宋_GB2312" w:eastAsia="仿宋_GB2312" w:cs="仿宋_GB2312"/>
          <w:sz w:val="24"/>
        </w:rPr>
      </w:pPr>
      <w:r>
        <w:rPr>
          <w:rFonts w:hint="eastAsia" w:ascii="仿宋_GB2312" w:hAnsi="仿宋_GB2312" w:eastAsia="仿宋_GB2312" w:cs="仿宋_GB2312"/>
          <w:sz w:val="24"/>
        </w:rPr>
        <w:t>（6）乙方须按投标承诺配置维保机构人员，如投标阶段未明确人员名单，则乙方须按甲方要求将维保机构人员资料交甲方备案。维保机构人员数量及技术能力应保持稳定，未经甲方许可不得擅自更换人员。</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（7）乙方须积极配合行业主管部门对设备的检查、检测、遗留问题整改等相关工作。</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（8）乙方应理解甲方有权根据政府要求及进度情况对工期做合理调整，工期调整后乙方不得以任何理由增加费用，乙方应充分考虑并承诺承担因工期调整所发生的相关费用。</w:t>
      </w:r>
    </w:p>
    <w:p>
      <w:pPr>
        <w:pStyle w:val="45"/>
        <w:spacing w:after="0" w:line="360" w:lineRule="auto"/>
        <w:ind w:firstLine="482"/>
        <w:rPr>
          <w:rFonts w:ascii="仿宋_GB2312" w:hAnsi="仿宋_GB2312" w:eastAsia="仿宋_GB2312" w:cs="仿宋_GB2312"/>
          <w:b/>
          <w:bCs/>
          <w:sz w:val="24"/>
        </w:rPr>
      </w:pPr>
      <w:bookmarkStart w:id="75" w:name="_Toc21185"/>
      <w:bookmarkStart w:id="76" w:name="_Toc13407"/>
      <w:r>
        <w:rPr>
          <w:rFonts w:hint="eastAsia" w:ascii="仿宋_GB2312" w:hAnsi="仿宋_GB2312" w:eastAsia="仿宋_GB2312" w:cs="仿宋_GB2312"/>
          <w:b/>
          <w:bCs/>
          <w:sz w:val="24"/>
        </w:rPr>
        <w:t>8、项目验收</w:t>
      </w:r>
      <w:bookmarkEnd w:id="72"/>
      <w:bookmarkEnd w:id="75"/>
      <w:bookmarkEnd w:id="76"/>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乙方应按甲方规定的时间以书面形式提交维护保养报告，维护保养成果及维护保养报告经甲方确认达到本合同要求的技术及质量标准，视为验收合格。具体要求以用户需求书/技术规格书为准。</w:t>
      </w:r>
    </w:p>
    <w:bookmarkEnd w:id="73"/>
    <w:bookmarkEnd w:id="74"/>
    <w:p>
      <w:pPr>
        <w:pStyle w:val="45"/>
        <w:spacing w:after="0" w:line="360" w:lineRule="auto"/>
        <w:ind w:firstLine="482"/>
        <w:outlineLvl w:val="1"/>
        <w:rPr>
          <w:rFonts w:ascii="仿宋_GB2312" w:hAnsi="仿宋_GB2312" w:eastAsia="仿宋_GB2312" w:cs="仿宋_GB2312"/>
          <w:b/>
          <w:bCs/>
          <w:sz w:val="24"/>
          <w:lang w:bidi="ar"/>
        </w:rPr>
      </w:pPr>
      <w:bookmarkStart w:id="77" w:name="_Toc368066696"/>
      <w:bookmarkStart w:id="78" w:name="_Toc26125"/>
      <w:bookmarkStart w:id="79" w:name="_Toc2817"/>
      <w:bookmarkStart w:id="80" w:name="_Toc136850808"/>
      <w:r>
        <w:rPr>
          <w:rFonts w:hint="eastAsia" w:ascii="仿宋_GB2312" w:hAnsi="仿宋_GB2312" w:eastAsia="仿宋_GB2312" w:cs="仿宋_GB2312"/>
          <w:b/>
          <w:bCs/>
          <w:sz w:val="24"/>
          <w:lang w:bidi="ar"/>
        </w:rPr>
        <w:t>9、违约责任</w:t>
      </w:r>
      <w:bookmarkEnd w:id="77"/>
      <w:bookmarkEnd w:id="78"/>
      <w:bookmarkEnd w:id="79"/>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9.1人员管理不到位的违约责任</w:t>
      </w:r>
    </w:p>
    <w:p>
      <w:pPr>
        <w:snapToGrid w:val="0"/>
        <w:spacing w:line="360" w:lineRule="auto"/>
        <w:ind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（1）</w:t>
      </w:r>
      <w:r>
        <w:rPr>
          <w:rFonts w:hint="eastAsia" w:ascii="仿宋_GB2312" w:hAnsi="仿宋_GB2312" w:eastAsia="仿宋_GB2312" w:cs="仿宋_GB2312"/>
          <w:kern w:val="0"/>
          <w:sz w:val="24"/>
        </w:rPr>
        <w:t>合同履行期间，原则上不允许更换项目负责人，确需更换且符合合同要求的，乙方应按甲方相关规定办理变更手续，且只能更换一次；经报甲方审批同意更换项目负责人的，甲方有权要求乙方交纳10000元违约金。</w:t>
      </w:r>
      <w:r>
        <w:rPr>
          <w:rFonts w:hint="eastAsia" w:ascii="仿宋_GB2312" w:hAnsi="仿宋_GB2312" w:eastAsia="仿宋_GB2312" w:cs="仿宋_GB2312"/>
          <w:sz w:val="24"/>
        </w:rPr>
        <w:t>未经甲方审批同意，乙方擅自变更项目负责人的，每查实一次，</w:t>
      </w:r>
      <w:r>
        <w:rPr>
          <w:rFonts w:hint="eastAsia" w:ascii="仿宋_GB2312" w:hAnsi="仿宋_GB2312" w:eastAsia="仿宋_GB2312" w:cs="仿宋_GB2312"/>
          <w:kern w:val="0"/>
          <w:sz w:val="24"/>
        </w:rPr>
        <w:t>甲方有权要求乙方交纳</w:t>
      </w:r>
      <w:r>
        <w:rPr>
          <w:rFonts w:hint="eastAsia" w:ascii="仿宋_GB2312" w:hAnsi="仿宋_GB2312" w:eastAsia="仿宋_GB2312" w:cs="仿宋_GB2312"/>
          <w:sz w:val="24"/>
        </w:rPr>
        <w:t>20000元违约金。</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9.2 维保工作不到位的违约责任</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维保工作不到位的违约责任在用户需求书/技术规格书中明确的，按用户需求书/技术规格书执行，无明确约定的，按下述条款执行。</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（1）未经甲方书面同意，乙方在设备维保过程中使用不符合合同要求的备件和材料的，乙方应立即按甲方要求进行整改，且甲方有权要求乙方交纳5000元/次的违约金，并赔偿由此给甲方造成的全部损失。</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（2）乙方未按合同约定及生产计划要求履行合同义务导致甲方或第三方损失的，由乙方承担全部责任及由此而产生的一切费用，并赔偿由此给甲方造成的全部损失。</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（3）乙方未按合同规定的时间对设备进行日常维护保养、特定日保障的（如有），甲方有权要求乙方交纳2000元/次的违约金，并赔偿由此给甲方造成的全部损失。</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（4）乙方接到甲方设备故障（缺陷）通知后，未按甲方要求的时间响应或到达现场进行维修处理的，甲方有权要求乙方交纳1000元/次的违约金，并赔偿由此给甲方造成的全部损失。</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（5）乙方应在甲方规定的进场日期进场并提供服务，每逾期一天，甲方有权按照5000元/天收取逾期违约金。如逾期超过</w:t>
      </w:r>
      <w:r>
        <w:rPr>
          <w:rFonts w:hint="eastAsia" w:ascii="仿宋_GB2312" w:hAnsi="仿宋_GB2312" w:eastAsia="仿宋_GB2312" w:cs="仿宋_GB2312"/>
          <w:sz w:val="24"/>
          <w:u w:val="single"/>
        </w:rPr>
        <w:t>7</w:t>
      </w:r>
      <w:r>
        <w:rPr>
          <w:rFonts w:hint="eastAsia" w:ascii="仿宋_GB2312" w:hAnsi="仿宋_GB2312" w:eastAsia="仿宋_GB2312" w:cs="仿宋_GB2312"/>
          <w:sz w:val="24"/>
        </w:rPr>
        <w:t>天，甲方有权解除本合同并追究乙方的违约责任。</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9.3因乙方提供的发票导致甲方被税务部门追究相关法律责任的，乙方应承担由此给甲方造成的损失（包括但不限于未抵扣的税费、滞纳金）。</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9.4乙方应以现金或转账方式交纳违约金，甲方根据税法相关规定开具收款收据或增值税发票。</w:t>
      </w:r>
    </w:p>
    <w:p>
      <w:pPr>
        <w:pStyle w:val="45"/>
        <w:spacing w:after="0" w:line="360" w:lineRule="auto"/>
        <w:ind w:firstLine="480"/>
        <w:rPr>
          <w:rFonts w:ascii="仿宋_GB2312" w:hAnsi="仿宋_GB2312" w:eastAsia="仿宋_GB2312" w:cs="仿宋_GB2312"/>
        </w:rPr>
      </w:pPr>
      <w:r>
        <w:rPr>
          <w:rFonts w:hint="eastAsia" w:ascii="仿宋_GB2312" w:hAnsi="仿宋_GB2312" w:eastAsia="仿宋_GB2312" w:cs="仿宋_GB2312"/>
          <w:sz w:val="24"/>
        </w:rPr>
        <w:t>9.5乙方在接到甲方的违约通知后，应按通知要求交纳违约金；否则，甲方有权暂停合同价款支付或从乙方的合同价款中扣除相应的违约金。</w:t>
      </w:r>
    </w:p>
    <w:bookmarkEnd w:id="80"/>
    <w:p>
      <w:pPr>
        <w:pStyle w:val="45"/>
        <w:spacing w:after="0" w:line="360" w:lineRule="auto"/>
        <w:ind w:firstLine="482"/>
        <w:outlineLvl w:val="1"/>
        <w:rPr>
          <w:rFonts w:ascii="仿宋_GB2312" w:hAnsi="仿宋_GB2312" w:eastAsia="仿宋_GB2312" w:cs="仿宋_GB2312"/>
          <w:b/>
          <w:bCs/>
          <w:sz w:val="24"/>
        </w:rPr>
      </w:pPr>
      <w:bookmarkStart w:id="81" w:name="_Toc12374"/>
      <w:bookmarkStart w:id="82" w:name="_Toc11534"/>
      <w:bookmarkStart w:id="83" w:name="_Toc368066697"/>
      <w:bookmarkStart w:id="84" w:name="_Toc136850810"/>
      <w:bookmarkStart w:id="85" w:name="_Toc357774473"/>
      <w:bookmarkStart w:id="86" w:name="_Toc240992316"/>
      <w:bookmarkStart w:id="87" w:name="_Toc192323538"/>
      <w:r>
        <w:rPr>
          <w:rFonts w:hint="eastAsia" w:ascii="仿宋_GB2312" w:hAnsi="仿宋_GB2312" w:eastAsia="仿宋_GB2312" w:cs="仿宋_GB2312"/>
          <w:b/>
          <w:bCs/>
          <w:sz w:val="24"/>
        </w:rPr>
        <w:t>10、不可抗力</w:t>
      </w:r>
      <w:bookmarkEnd w:id="81"/>
      <w:bookmarkEnd w:id="82"/>
      <w:bookmarkEnd w:id="83"/>
    </w:p>
    <w:p>
      <w:pPr>
        <w:widowControl/>
        <w:snapToGrid w:val="0"/>
        <w:spacing w:line="360" w:lineRule="auto"/>
        <w:ind w:firstLine="480" w:firstLineChars="200"/>
        <w:jc w:val="left"/>
        <w:rPr>
          <w:rFonts w:ascii="仿宋_GB2312" w:hAnsi="仿宋_GB2312" w:eastAsia="仿宋_GB2312" w:cs="仿宋_GB2312"/>
          <w:kern w:val="0"/>
          <w:sz w:val="24"/>
          <w:shd w:val="clear" w:color="auto" w:fill="FFFFFF"/>
        </w:rPr>
      </w:pPr>
      <w:bookmarkStart w:id="88" w:name="_Toc351203608"/>
      <w:bookmarkStart w:id="89" w:name="_Toc136850809"/>
      <w:r>
        <w:rPr>
          <w:rFonts w:hint="eastAsia" w:ascii="仿宋_GB2312" w:hAnsi="仿宋_GB2312" w:eastAsia="仿宋_GB2312" w:cs="仿宋_GB2312"/>
          <w:kern w:val="0"/>
          <w:sz w:val="24"/>
          <w:shd w:val="clear" w:color="auto" w:fill="FFFFFF"/>
        </w:rPr>
        <w:t>10.1</w:t>
      </w:r>
      <w:bookmarkEnd w:id="88"/>
      <w:r>
        <w:rPr>
          <w:rFonts w:hint="eastAsia" w:ascii="仿宋_GB2312" w:hAnsi="仿宋_GB2312" w:eastAsia="仿宋_GB2312" w:cs="仿宋_GB2312"/>
          <w:kern w:val="0"/>
          <w:sz w:val="24"/>
          <w:shd w:val="clear" w:color="auto" w:fill="FFFFFF"/>
        </w:rPr>
        <w:t>不可抗力的确认</w:t>
      </w:r>
    </w:p>
    <w:p>
      <w:pPr>
        <w:widowControl/>
        <w:snapToGrid w:val="0"/>
        <w:spacing w:line="360" w:lineRule="auto"/>
        <w:ind w:firstLine="480" w:firstLineChars="200"/>
        <w:jc w:val="left"/>
        <w:rPr>
          <w:rFonts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不可抗力发生后，合同当事人应收集证明不可抗力发生及不可抗力造成损失的证据，并及时认真统计所造成的损失。合同当事人对是否属于不可抗力或其损失发生争议时，按第13条〔争议解决〕的约定处理。</w:t>
      </w:r>
    </w:p>
    <w:p>
      <w:pPr>
        <w:widowControl/>
        <w:snapToGrid w:val="0"/>
        <w:spacing w:line="360" w:lineRule="auto"/>
        <w:ind w:firstLine="480" w:firstLineChars="200"/>
        <w:jc w:val="left"/>
        <w:rPr>
          <w:rFonts w:ascii="仿宋_GB2312" w:hAnsi="仿宋_GB2312" w:eastAsia="仿宋_GB2312" w:cs="仿宋_GB2312"/>
          <w:kern w:val="0"/>
          <w:sz w:val="24"/>
          <w:shd w:val="clear" w:color="auto" w:fill="FFFFFF"/>
        </w:rPr>
      </w:pPr>
      <w:bookmarkStart w:id="90" w:name="_Toc296503118"/>
      <w:bookmarkEnd w:id="90"/>
      <w:bookmarkStart w:id="91" w:name="_Toc296346619"/>
      <w:bookmarkEnd w:id="91"/>
      <w:bookmarkStart w:id="92" w:name="_Toc337558825"/>
      <w:bookmarkEnd w:id="92"/>
      <w:bookmarkStart w:id="93" w:name="_Toc351203609"/>
      <w:r>
        <w:rPr>
          <w:rFonts w:hint="eastAsia" w:ascii="仿宋_GB2312" w:hAnsi="仿宋_GB2312" w:eastAsia="仿宋_GB2312" w:cs="仿宋_GB2312"/>
          <w:kern w:val="0"/>
          <w:sz w:val="24"/>
          <w:shd w:val="clear" w:color="auto" w:fill="FFFFFF"/>
        </w:rPr>
        <w:t>10.2</w:t>
      </w:r>
      <w:bookmarkEnd w:id="93"/>
      <w:r>
        <w:rPr>
          <w:rFonts w:hint="eastAsia" w:ascii="仿宋_GB2312" w:hAnsi="仿宋_GB2312" w:eastAsia="仿宋_GB2312" w:cs="仿宋_GB2312"/>
          <w:kern w:val="0"/>
          <w:sz w:val="24"/>
          <w:shd w:val="clear" w:color="auto" w:fill="FFFFFF"/>
        </w:rPr>
        <w:t>不可抗力的通知</w:t>
      </w:r>
    </w:p>
    <w:p>
      <w:pPr>
        <w:widowControl/>
        <w:snapToGrid w:val="0"/>
        <w:spacing w:line="360" w:lineRule="auto"/>
        <w:ind w:firstLine="480" w:firstLineChars="200"/>
        <w:jc w:val="left"/>
        <w:rPr>
          <w:rFonts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合同一方当事人遇到不可抗力事件，使其履行合同义务受到阻碍时，应立即通知合同另一方当事人，书面说明不可抗力和受阻碍的详细情况，并在合理期限内提供必要的证明。</w:t>
      </w:r>
    </w:p>
    <w:p>
      <w:pPr>
        <w:widowControl/>
        <w:snapToGrid w:val="0"/>
        <w:spacing w:line="360" w:lineRule="auto"/>
        <w:ind w:firstLine="480" w:firstLineChars="200"/>
        <w:jc w:val="left"/>
        <w:rPr>
          <w:rFonts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pPr>
        <w:widowControl/>
        <w:snapToGrid w:val="0"/>
        <w:spacing w:line="360" w:lineRule="auto"/>
        <w:ind w:firstLine="480" w:firstLineChars="200"/>
        <w:jc w:val="left"/>
        <w:rPr>
          <w:rFonts w:ascii="仿宋_GB2312" w:hAnsi="仿宋_GB2312" w:eastAsia="仿宋_GB2312" w:cs="仿宋_GB2312"/>
          <w:kern w:val="0"/>
          <w:sz w:val="24"/>
          <w:shd w:val="clear" w:color="auto" w:fill="FFFFFF"/>
        </w:rPr>
      </w:pPr>
      <w:bookmarkStart w:id="94" w:name="_Toc337558826"/>
      <w:bookmarkEnd w:id="94"/>
      <w:bookmarkStart w:id="95" w:name="_Toc296346620"/>
      <w:bookmarkEnd w:id="95"/>
      <w:bookmarkStart w:id="96" w:name="_Toc296503119"/>
      <w:bookmarkEnd w:id="96"/>
      <w:bookmarkStart w:id="97" w:name="_Toc351203610"/>
      <w:r>
        <w:rPr>
          <w:rFonts w:hint="eastAsia" w:ascii="仿宋_GB2312" w:hAnsi="仿宋_GB2312" w:eastAsia="仿宋_GB2312" w:cs="仿宋_GB2312"/>
          <w:kern w:val="0"/>
          <w:sz w:val="24"/>
          <w:shd w:val="clear" w:color="auto" w:fill="FFFFFF"/>
        </w:rPr>
        <w:t>10.3</w:t>
      </w:r>
      <w:bookmarkEnd w:id="97"/>
      <w:r>
        <w:rPr>
          <w:rFonts w:hint="eastAsia" w:ascii="仿宋_GB2312" w:hAnsi="仿宋_GB2312" w:eastAsia="仿宋_GB2312" w:cs="仿宋_GB2312"/>
          <w:kern w:val="0"/>
          <w:sz w:val="24"/>
          <w:shd w:val="clear" w:color="auto" w:fill="FFFFFF"/>
        </w:rPr>
        <w:t>不可抗力后果的承担</w:t>
      </w:r>
    </w:p>
    <w:p>
      <w:pPr>
        <w:widowControl/>
        <w:snapToGrid w:val="0"/>
        <w:spacing w:line="360" w:lineRule="auto"/>
        <w:ind w:firstLine="480" w:firstLineChars="200"/>
        <w:jc w:val="left"/>
        <w:rPr>
          <w:rFonts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不可抗力引起的后果及造成的损失由合同当事人按照法律规定及合同约定各自承担。不可抗力发生前已完成的工作应当按照合同约定进行支付。</w:t>
      </w:r>
    </w:p>
    <w:p>
      <w:pPr>
        <w:widowControl/>
        <w:snapToGrid w:val="0"/>
        <w:spacing w:line="360" w:lineRule="auto"/>
        <w:ind w:firstLine="480" w:firstLineChars="200"/>
        <w:jc w:val="left"/>
        <w:rPr>
          <w:rFonts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不可抗力发生后，合同当事人均应采取措施尽量避免和减少损失的扩大，任何一方当事人没有采取有效措施导致损失扩大的，应对扩大的损失承担责任。</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bCs/>
          <w:sz w:val="24"/>
          <w:shd w:val="clear" w:color="auto" w:fill="FFFFFF"/>
        </w:rPr>
        <w:t>因合同一方迟延履行合同义务，在迟延履行期间遭遇不可抗力的，不免除其违约责任。</w:t>
      </w:r>
    </w:p>
    <w:bookmarkEnd w:id="89"/>
    <w:p>
      <w:pPr>
        <w:pStyle w:val="45"/>
        <w:spacing w:after="0" w:line="360" w:lineRule="auto"/>
        <w:ind w:firstLine="482"/>
        <w:outlineLvl w:val="1"/>
        <w:rPr>
          <w:rFonts w:ascii="仿宋_GB2312" w:hAnsi="仿宋_GB2312" w:eastAsia="仿宋_GB2312" w:cs="仿宋_GB2312"/>
          <w:b/>
          <w:bCs/>
          <w:sz w:val="24"/>
        </w:rPr>
      </w:pPr>
      <w:bookmarkStart w:id="98" w:name="_Toc24616"/>
      <w:bookmarkStart w:id="99" w:name="_Toc5613"/>
      <w:r>
        <w:rPr>
          <w:rFonts w:hint="eastAsia" w:ascii="仿宋_GB2312" w:hAnsi="仿宋_GB2312" w:eastAsia="仿宋_GB2312" w:cs="仿宋_GB2312"/>
          <w:b/>
          <w:bCs/>
          <w:sz w:val="24"/>
        </w:rPr>
        <w:t>11、合同解除</w:t>
      </w:r>
      <w:bookmarkEnd w:id="98"/>
      <w:bookmarkEnd w:id="99"/>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11.1 有下列情形之一的，合同当事人一方或双方可以解除合同：</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（1）乙方将本合同约定的工作全部或部分转包给他人，甲方有权解除合同；</w:t>
      </w:r>
    </w:p>
    <w:p>
      <w:pPr>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（2）乙方提供的维保服务不符合合同约定的要求，经甲方催告仍不能达到合同约定要求的，甲方有权解除合同；</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（3）因不可抗力致使合同无法履行；</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（4）因一方违约致使合同无法实际履行或实际履行已无必要；</w:t>
      </w:r>
    </w:p>
    <w:p>
      <w:pPr>
        <w:pStyle w:val="45"/>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（5）违约金总额超过合同签约价的20%，甲方有权解除合同。</w:t>
      </w:r>
    </w:p>
    <w:p>
      <w:pPr>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11.2任何一方提出解除合同的，应提前30天书面通知对方，违约方应赔偿由此给守约方造成的直接损失和间接损失。因不可抗力导致的合同解除，双方各自承担自身的损失。</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11.3因乙方原因提前终止合同的，乙方应承担由此给甲方造成的损失，甲方有权没收乙方所交履约担保（如有），同时甲方有权要求乙方按签约合同价的20%交纳违约金。解除部分合同的，甲方有权另行委托因部分解除合同而乙方未履行部分，乙方应承担甲方由此产生的费用并继续履行合同中未解除的部分。</w:t>
      </w:r>
    </w:p>
    <w:p>
      <w:pPr>
        <w:pStyle w:val="45"/>
        <w:snapToGrid w:val="0"/>
        <w:spacing w:after="0"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11.4合同解除后，本合同约定的有关结算、争议解决方式的条款仍然有效。</w:t>
      </w:r>
    </w:p>
    <w:p>
      <w:pPr>
        <w:pStyle w:val="45"/>
        <w:snapToGrid w:val="0"/>
        <w:spacing w:after="0" w:line="360" w:lineRule="auto"/>
        <w:ind w:firstLine="482"/>
        <w:outlineLvl w:val="1"/>
        <w:rPr>
          <w:rFonts w:ascii="仿宋_GB2312" w:hAnsi="仿宋_GB2312" w:eastAsia="仿宋_GB2312" w:cs="仿宋_GB2312"/>
          <w:b/>
          <w:bCs/>
          <w:sz w:val="24"/>
        </w:rPr>
      </w:pPr>
      <w:r>
        <w:rPr>
          <w:rFonts w:hint="eastAsia" w:ascii="仿宋_GB2312" w:hAnsi="仿宋_GB2312" w:eastAsia="仿宋_GB2312" w:cs="仿宋_GB2312"/>
          <w:b/>
          <w:bCs/>
          <w:sz w:val="24"/>
        </w:rPr>
        <w:t>12、合同终止</w:t>
      </w:r>
    </w:p>
    <w:p>
      <w:pPr>
        <w:pStyle w:val="45"/>
        <w:snapToGrid w:val="0"/>
        <w:spacing w:after="0" w:line="360" w:lineRule="auto"/>
        <w:ind w:firstLine="480"/>
        <w:outlineLvl w:val="1"/>
        <w:rPr>
          <w:rFonts w:ascii="仿宋_GB2312" w:hAnsi="仿宋_GB2312" w:eastAsia="仿宋_GB2312" w:cs="仿宋_GB2312"/>
          <w:bCs/>
          <w:sz w:val="24"/>
        </w:rPr>
      </w:pPr>
      <w:r>
        <w:rPr>
          <w:rFonts w:hint="eastAsia" w:ascii="仿宋_GB2312" w:hAnsi="仿宋_GB2312" w:eastAsia="仿宋_GB2312" w:cs="仿宋_GB2312"/>
          <w:bCs/>
          <w:sz w:val="24"/>
        </w:rPr>
        <w:t>12.1 甲方、乙方履行合同全部义务，合同价款支付完毕，本合同即告终止。</w:t>
      </w:r>
    </w:p>
    <w:p>
      <w:pPr>
        <w:pStyle w:val="45"/>
        <w:snapToGrid w:val="0"/>
        <w:spacing w:after="0" w:line="360" w:lineRule="auto"/>
        <w:ind w:firstLine="480"/>
        <w:outlineLvl w:val="1"/>
        <w:rPr>
          <w:rFonts w:ascii="仿宋_GB2312" w:hAnsi="仿宋_GB2312" w:eastAsia="仿宋_GB2312" w:cs="仿宋_GB2312"/>
          <w:bCs/>
          <w:sz w:val="24"/>
        </w:rPr>
      </w:pPr>
      <w:r>
        <w:rPr>
          <w:rFonts w:hint="eastAsia" w:ascii="仿宋_GB2312" w:hAnsi="仿宋_GB2312" w:eastAsia="仿宋_GB2312" w:cs="仿宋_GB2312"/>
          <w:bCs/>
          <w:sz w:val="24"/>
        </w:rPr>
        <w:t>12.2合同的权利义务终止后，合同当事人应遵循诚实信用原则，履行通知、协助和保密等义务。</w:t>
      </w:r>
    </w:p>
    <w:p>
      <w:pPr>
        <w:pStyle w:val="45"/>
        <w:snapToGrid w:val="0"/>
        <w:spacing w:after="0" w:line="360" w:lineRule="auto"/>
        <w:ind w:firstLine="482"/>
        <w:outlineLvl w:val="1"/>
        <w:rPr>
          <w:rFonts w:ascii="仿宋_GB2312" w:hAnsi="仿宋_GB2312" w:eastAsia="仿宋_GB2312" w:cs="仿宋_GB2312"/>
          <w:b/>
          <w:bCs/>
          <w:sz w:val="24"/>
        </w:rPr>
      </w:pPr>
      <w:r>
        <w:rPr>
          <w:rFonts w:hint="eastAsia" w:ascii="仿宋_GB2312" w:hAnsi="仿宋_GB2312" w:eastAsia="仿宋_GB2312" w:cs="仿宋_GB2312"/>
          <w:b/>
          <w:bCs/>
          <w:sz w:val="24"/>
        </w:rPr>
        <w:t>13、争议解决</w:t>
      </w:r>
    </w:p>
    <w:p>
      <w:pPr>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因本合同以及与本合同有关事项发生争议的，双方可以就争议自行和解，也可以就争议请求行政主管部门、行业协会或其他第三方进行调解。自行和解或双方调解达成协议的，经签字并盖章后作为合同补充文件，双方均应遵照执行。当事人不愿和解、调解或者和解、调解不成的，采取下列第</w:t>
      </w:r>
      <w:r>
        <w:rPr>
          <w:rFonts w:hint="eastAsia" w:ascii="仿宋_GB2312" w:hAnsi="仿宋_GB2312" w:eastAsia="仿宋_GB2312" w:cs="仿宋_GB2312"/>
          <w:kern w:val="0"/>
          <w:sz w:val="24"/>
          <w:u w:val="single"/>
        </w:rPr>
        <w:t>（2）</w:t>
      </w:r>
      <w:r>
        <w:rPr>
          <w:rFonts w:hint="eastAsia" w:ascii="仿宋_GB2312" w:hAnsi="仿宋_GB2312" w:eastAsia="仿宋_GB2312" w:cs="仿宋_GB2312"/>
          <w:kern w:val="0"/>
          <w:sz w:val="24"/>
        </w:rPr>
        <w:t>种方式解决：</w:t>
      </w:r>
    </w:p>
    <w:p>
      <w:pPr>
        <w:tabs>
          <w:tab w:val="left" w:pos="0"/>
        </w:tabs>
        <w:adjustRightInd w:val="0"/>
        <w:snapToGrid w:val="0"/>
        <w:spacing w:line="360" w:lineRule="auto"/>
        <w:ind w:left="7" w:firstLine="413"/>
        <w:jc w:val="left"/>
        <w:rPr>
          <w:rFonts w:ascii="仿宋_GB2312" w:hAnsi="仿宋_GB2312" w:eastAsia="仿宋_GB2312" w:cs="仿宋_GB2312"/>
          <w:sz w:val="24"/>
        </w:rPr>
      </w:pPr>
      <w:r>
        <w:rPr>
          <w:rFonts w:hint="eastAsia" w:ascii="仿宋_GB2312" w:hAnsi="仿宋_GB2312" w:eastAsia="仿宋_GB2312" w:cs="仿宋_GB2312"/>
          <w:kern w:val="0"/>
          <w:sz w:val="24"/>
        </w:rPr>
        <w:t>（1）向</w:t>
      </w:r>
      <w:r>
        <w:rPr>
          <w:rFonts w:hint="eastAsia" w:ascii="仿宋_GB2312" w:hAnsi="仿宋_GB2312" w:eastAsia="仿宋_GB2312" w:cs="仿宋_GB2312"/>
          <w:kern w:val="0"/>
          <w:sz w:val="24"/>
          <w:u w:val="single"/>
        </w:rPr>
        <w:t>长沙</w:t>
      </w:r>
      <w:r>
        <w:rPr>
          <w:rFonts w:hint="eastAsia" w:ascii="仿宋_GB2312" w:hAnsi="仿宋_GB2312" w:eastAsia="仿宋_GB2312" w:cs="仿宋_GB2312"/>
          <w:kern w:val="0"/>
          <w:sz w:val="24"/>
        </w:rPr>
        <w:t>仲裁委员会申请仲裁；</w:t>
      </w:r>
    </w:p>
    <w:p>
      <w:pPr>
        <w:tabs>
          <w:tab w:val="left" w:pos="0"/>
        </w:tabs>
        <w:adjustRightInd w:val="0"/>
        <w:snapToGrid w:val="0"/>
        <w:spacing w:line="360" w:lineRule="auto"/>
        <w:ind w:left="7" w:firstLine="413"/>
        <w:jc w:val="left"/>
        <w:rPr>
          <w:rFonts w:ascii="仿宋_GB2312" w:hAnsi="仿宋_GB2312" w:eastAsia="仿宋_GB2312" w:cs="仿宋_GB2312"/>
          <w:sz w:val="24"/>
        </w:rPr>
      </w:pPr>
      <w:r>
        <w:rPr>
          <w:rFonts w:hint="eastAsia" w:ascii="仿宋_GB2312" w:hAnsi="仿宋_GB2312" w:eastAsia="仿宋_GB2312" w:cs="仿宋_GB2312"/>
          <w:sz w:val="24"/>
        </w:rPr>
        <w:t>（2）向</w:t>
      </w:r>
      <w:r>
        <w:rPr>
          <w:rFonts w:hint="eastAsia" w:ascii="仿宋_GB2312" w:hAnsi="仿宋_GB2312" w:eastAsia="仿宋_GB2312" w:cs="仿宋_GB2312"/>
          <w:sz w:val="24"/>
          <w:u w:val="single"/>
        </w:rPr>
        <w:t>甲方所在地</w:t>
      </w:r>
      <w:r>
        <w:rPr>
          <w:rFonts w:hint="eastAsia" w:ascii="仿宋_GB2312" w:hAnsi="仿宋_GB2312" w:eastAsia="仿宋_GB2312" w:cs="仿宋_GB2312"/>
          <w:sz w:val="24"/>
        </w:rPr>
        <w:t>人民法院起诉。</w:t>
      </w:r>
    </w:p>
    <w:p>
      <w:pPr>
        <w:tabs>
          <w:tab w:val="left" w:pos="1248"/>
        </w:tabs>
        <w:adjustRightInd w:val="0"/>
        <w:snapToGrid w:val="0"/>
        <w:spacing w:line="360" w:lineRule="auto"/>
        <w:ind w:firstLine="482" w:firstLineChars="200"/>
        <w:outlineLvl w:val="1"/>
        <w:rPr>
          <w:rFonts w:ascii="仿宋_GB2312" w:hAnsi="仿宋_GB2312" w:eastAsia="仿宋_GB2312" w:cs="仿宋_GB2312"/>
          <w:b/>
          <w:sz w:val="24"/>
        </w:rPr>
      </w:pPr>
      <w:bookmarkStart w:id="100" w:name="_Toc7592"/>
      <w:bookmarkStart w:id="101" w:name="_Toc20824"/>
      <w:r>
        <w:rPr>
          <w:rFonts w:hint="eastAsia" w:ascii="仿宋_GB2312" w:hAnsi="仿宋_GB2312" w:eastAsia="仿宋_GB2312" w:cs="仿宋_GB2312"/>
          <w:b/>
          <w:sz w:val="24"/>
        </w:rPr>
        <w:t>14、法律适用</w:t>
      </w:r>
      <w:bookmarkEnd w:id="100"/>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14.1 本合同适用中华人民共和国现行法律、行政法规和规章，如合同条款与法律、行政法规和规章不一致的，按照法律、行政法规和规章修改本合同。</w:t>
      </w:r>
    </w:p>
    <w:p>
      <w:pPr>
        <w:tabs>
          <w:tab w:val="left" w:pos="1248"/>
        </w:tabs>
        <w:adjustRightInd w:val="0"/>
        <w:snapToGrid w:val="0"/>
        <w:spacing w:line="360" w:lineRule="auto"/>
        <w:ind w:firstLine="482" w:firstLineChars="200"/>
        <w:outlineLvl w:val="1"/>
        <w:rPr>
          <w:rFonts w:ascii="仿宋_GB2312" w:hAnsi="仿宋_GB2312" w:eastAsia="仿宋_GB2312" w:cs="仿宋_GB2312"/>
          <w:b/>
          <w:sz w:val="24"/>
        </w:rPr>
      </w:pPr>
      <w:bookmarkStart w:id="102" w:name="_Toc20811"/>
      <w:r>
        <w:rPr>
          <w:rFonts w:hint="eastAsia" w:ascii="仿宋_GB2312" w:hAnsi="仿宋_GB2312" w:eastAsia="仿宋_GB2312" w:cs="仿宋_GB2312"/>
          <w:b/>
          <w:sz w:val="24"/>
        </w:rPr>
        <w:t>15、通知</w:t>
      </w:r>
      <w:bookmarkEnd w:id="102"/>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15.1本合同一方给另一方的通知均应采用书面形式，传真或快递送到本合同中规定的对方的地址和办理签收手续。</w:t>
      </w:r>
    </w:p>
    <w:p>
      <w:pPr>
        <w:tabs>
          <w:tab w:val="left" w:pos="1248"/>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15.2通知以送到之日或通知书中规定的生效之日起生效，两者中以较迟之日为准。</w:t>
      </w:r>
    </w:p>
    <w:p>
      <w:pPr>
        <w:pStyle w:val="45"/>
        <w:spacing w:after="0" w:line="360" w:lineRule="auto"/>
        <w:ind w:firstLine="482"/>
        <w:outlineLvl w:val="1"/>
        <w:rPr>
          <w:rFonts w:ascii="仿宋_GB2312" w:hAnsi="仿宋_GB2312" w:eastAsia="仿宋_GB2312" w:cs="仿宋_GB2312"/>
          <w:sz w:val="24"/>
        </w:rPr>
      </w:pPr>
      <w:r>
        <w:rPr>
          <w:rFonts w:hint="eastAsia" w:ascii="仿宋_GB2312" w:hAnsi="仿宋_GB2312" w:eastAsia="仿宋_GB2312" w:cs="仿宋_GB2312"/>
          <w:b/>
          <w:bCs/>
          <w:sz w:val="24"/>
        </w:rPr>
        <w:t>16、双方约定的其他事项</w:t>
      </w:r>
      <w:bookmarkEnd w:id="101"/>
      <w:r>
        <w:rPr>
          <w:rFonts w:hint="eastAsia" w:ascii="仿宋_GB2312" w:hAnsi="仿宋_GB2312" w:eastAsia="仿宋_GB2312" w:cs="仿宋_GB2312"/>
          <w:sz w:val="24"/>
        </w:rPr>
        <w:t>（</w:t>
      </w:r>
      <w:r>
        <w:rPr>
          <w:rFonts w:hint="eastAsia" w:ascii="仿宋_GB2312" w:hAnsi="仿宋_GB2312" w:eastAsia="仿宋_GB2312" w:cs="仿宋_GB2312"/>
          <w:bCs/>
          <w:sz w:val="24"/>
        </w:rPr>
        <w:t>本条约定与合同条款中其他约定不一致时，以本条为准</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tabs>
          <w:tab w:val="left" w:pos="851"/>
          <w:tab w:val="left" w:pos="1440"/>
        </w:tabs>
        <w:adjustRightInd w:val="0"/>
        <w:snapToGrid w:val="0"/>
        <w:spacing w:before="120" w:beforeLines="50" w:after="120" w:afterLines="50" w:line="360" w:lineRule="auto"/>
        <w:jc w:val="center"/>
        <w:outlineLvl w:val="0"/>
        <w:rPr>
          <w:rFonts w:ascii="仿宋_GB2312" w:hAnsi="仿宋_GB2312" w:eastAsia="仿宋_GB2312" w:cs="仿宋_GB2312"/>
          <w:sz w:val="24"/>
        </w:rPr>
        <w:sectPr>
          <w:footerReference r:id="rId9" w:type="first"/>
          <w:footerReference r:id="rId8" w:type="default"/>
          <w:pgSz w:w="11850" w:h="16783"/>
          <w:pgMar w:top="1440" w:right="1800" w:bottom="1440" w:left="1800" w:header="851" w:footer="992" w:gutter="0"/>
          <w:pgNumType w:start="1"/>
          <w:cols w:space="720" w:num="1"/>
          <w:titlePg/>
          <w:docGrid w:linePitch="312" w:charSpace="0"/>
        </w:sectPr>
      </w:pPr>
    </w:p>
    <w:bookmarkEnd w:id="84"/>
    <w:bookmarkEnd w:id="85"/>
    <w:bookmarkEnd w:id="86"/>
    <w:bookmarkEnd w:id="87"/>
    <w:p>
      <w:pPr>
        <w:pageBreakBefore/>
        <w:tabs>
          <w:tab w:val="left" w:pos="2580"/>
          <w:tab w:val="center" w:pos="5121"/>
        </w:tabs>
        <w:snapToGrid w:val="0"/>
        <w:spacing w:line="360" w:lineRule="auto"/>
        <w:jc w:val="center"/>
        <w:outlineLvl w:val="0"/>
        <w:rPr>
          <w:rFonts w:ascii="仿宋_GB2312" w:hAnsi="仿宋_GB2312" w:eastAsia="仿宋_GB2312" w:cs="仿宋_GB2312"/>
          <w:b/>
          <w:bCs/>
          <w:kern w:val="0"/>
          <w:sz w:val="32"/>
          <w:szCs w:val="32"/>
        </w:rPr>
      </w:pPr>
      <w:bookmarkStart w:id="103" w:name="_Toc501718834"/>
      <w:bookmarkStart w:id="104" w:name="_Toc26755"/>
      <w:bookmarkStart w:id="105" w:name="_Toc25884"/>
      <w:r>
        <w:rPr>
          <w:rFonts w:hint="eastAsia" w:ascii="仿宋_GB2312" w:hAnsi="仿宋_GB2312" w:eastAsia="仿宋_GB2312" w:cs="仿宋_GB2312"/>
          <w:b/>
          <w:bCs/>
          <w:kern w:val="0"/>
          <w:sz w:val="32"/>
          <w:szCs w:val="32"/>
        </w:rPr>
        <w:t>第三部分 合同附件</w:t>
      </w:r>
      <w:bookmarkEnd w:id="103"/>
    </w:p>
    <w:p>
      <w:pPr>
        <w:adjustRightInd w:val="0"/>
        <w:snapToGrid w:val="0"/>
        <w:rPr>
          <w:rFonts w:ascii="仿宋_GB2312" w:hAnsi="仿宋_GB2312" w:eastAsia="仿宋_GB2312" w:cs="仿宋_GB2312"/>
          <w:b/>
          <w:sz w:val="24"/>
        </w:rPr>
      </w:pPr>
      <w:bookmarkStart w:id="106" w:name="_Toc501718838"/>
      <w:bookmarkStart w:id="107" w:name="_Toc501718835"/>
      <w:r>
        <w:rPr>
          <w:rFonts w:hint="eastAsia" w:ascii="仿宋_GB2312" w:hAnsi="仿宋_GB2312" w:eastAsia="仿宋_GB2312" w:cs="仿宋_GB2312"/>
          <w:b/>
          <w:sz w:val="24"/>
        </w:rPr>
        <w:t>附件1 廉政协议</w:t>
      </w:r>
    </w:p>
    <w:p>
      <w:pPr>
        <w:adjustRightInd w:val="0"/>
        <w:snapToGrid w:val="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廉政协议</w:t>
      </w:r>
    </w:p>
    <w:p>
      <w:pPr>
        <w:widowControl/>
        <w:snapToGrid w:val="0"/>
        <w:spacing w:line="360" w:lineRule="auto"/>
        <w:jc w:val="left"/>
        <w:rPr>
          <w:rFonts w:ascii="仿宋_GB2312" w:hAnsi="仿宋_GB2312" w:eastAsia="仿宋_GB2312" w:cs="仿宋_GB2312"/>
          <w:kern w:val="0"/>
          <w:sz w:val="24"/>
          <w:lang w:bidi="en-US"/>
        </w:rPr>
      </w:pPr>
    </w:p>
    <w:p>
      <w:pPr>
        <w:widowControl/>
        <w:snapToGrid w:val="0"/>
        <w:spacing w:line="440" w:lineRule="exact"/>
        <w:jc w:val="left"/>
        <w:rPr>
          <w:rFonts w:ascii="仿宋_GB2312" w:hAnsi="仿宋_GB2312" w:eastAsia="仿宋_GB2312" w:cs="仿宋_GB2312"/>
          <w:kern w:val="0"/>
          <w:sz w:val="24"/>
          <w:u w:val="single"/>
        </w:rPr>
      </w:pPr>
      <w:r>
        <w:rPr>
          <w:rFonts w:hint="eastAsia" w:ascii="仿宋_GB2312" w:hAnsi="仿宋_GB2312" w:eastAsia="仿宋_GB2312" w:cs="仿宋_GB2312"/>
          <w:kern w:val="0"/>
          <w:sz w:val="24"/>
        </w:rPr>
        <w:t>甲方：</w:t>
      </w:r>
      <w:r>
        <w:rPr>
          <w:rFonts w:hint="eastAsia" w:ascii="仿宋_GB2312" w:hAnsi="仿宋_GB2312" w:eastAsia="仿宋_GB2312" w:cs="仿宋_GB2312"/>
          <w:kern w:val="0"/>
          <w:sz w:val="24"/>
          <w:u w:val="single"/>
        </w:rPr>
        <w:t xml:space="preserve">                         </w:t>
      </w:r>
    </w:p>
    <w:p>
      <w:pPr>
        <w:widowControl/>
        <w:snapToGrid w:val="0"/>
        <w:spacing w:line="44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乙方：</w:t>
      </w:r>
      <w:r>
        <w:rPr>
          <w:rFonts w:hint="eastAsia" w:ascii="仿宋_GB2312" w:hAnsi="仿宋_GB2312" w:eastAsia="仿宋_GB2312" w:cs="仿宋_GB2312"/>
          <w:kern w:val="0"/>
          <w:sz w:val="24"/>
          <w:u w:val="single"/>
        </w:rPr>
        <w:t xml:space="preserve">                         </w:t>
      </w:r>
    </w:p>
    <w:p>
      <w:pPr>
        <w:adjustRightInd w:val="0"/>
        <w:snapToGrid w:val="0"/>
        <w:spacing w:line="440" w:lineRule="exact"/>
        <w:ind w:firstLine="480"/>
        <w:jc w:val="left"/>
        <w:rPr>
          <w:rFonts w:ascii="仿宋_GB2312" w:hAnsi="仿宋_GB2312" w:eastAsia="仿宋_GB2312" w:cs="仿宋_GB2312"/>
          <w:sz w:val="24"/>
        </w:rPr>
      </w:pPr>
      <w:r>
        <w:rPr>
          <w:rFonts w:hint="eastAsia" w:ascii="仿宋_GB2312" w:hAnsi="仿宋_GB2312" w:eastAsia="仿宋_GB2312" w:cs="仿宋_GB2312"/>
          <w:sz w:val="24"/>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ascii="仿宋_GB2312" w:hAnsi="仿宋_GB2312" w:eastAsia="仿宋_GB2312" w:cs="仿宋_GB2312"/>
          <w:b/>
          <w:sz w:val="24"/>
        </w:rPr>
      </w:pPr>
      <w:bookmarkStart w:id="108" w:name="_Toc59900969"/>
      <w:bookmarkStart w:id="109" w:name="_Toc59896701"/>
      <w:r>
        <w:rPr>
          <w:rFonts w:hint="eastAsia" w:ascii="仿宋_GB2312" w:hAnsi="仿宋_GB2312" w:eastAsia="仿宋_GB2312" w:cs="仿宋_GB2312"/>
          <w:b/>
          <w:sz w:val="24"/>
        </w:rPr>
        <w:t xml:space="preserve">第一条 </w:t>
      </w:r>
      <w:bookmarkEnd w:id="108"/>
      <w:bookmarkEnd w:id="109"/>
      <w:r>
        <w:rPr>
          <w:rFonts w:hint="eastAsia" w:ascii="仿宋_GB2312" w:hAnsi="仿宋_GB2312" w:eastAsia="仿宋_GB2312" w:cs="仿宋_GB2312"/>
          <w:b/>
          <w:sz w:val="24"/>
        </w:rPr>
        <w:t>共同责任</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（一）严格遵守党和国家有关法律法规及湖南省、长沙市的相关规定。</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（二）严格执行</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（以下称主合同）的合同文件，自觉按合同办事。</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（四）建立健全廉政制度，开展廉政教育，设立廉政告示牌，公布举报电话，监督并认真查处违纪违法行为。</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（五）发现对方在业务活动中有违反廉政规定的行为，有及时提醒对方纠正的权利和义务。</w:t>
      </w:r>
    </w:p>
    <w:p>
      <w:pPr>
        <w:adjustRightInd w:val="0"/>
        <w:snapToGrid w:val="0"/>
        <w:spacing w:line="440" w:lineRule="exact"/>
        <w:ind w:firstLine="480"/>
        <w:rPr>
          <w:rFonts w:ascii="仿宋_GB2312" w:hAnsi="仿宋_GB2312" w:eastAsia="仿宋_GB2312" w:cs="仿宋_GB2312"/>
          <w:b/>
          <w:sz w:val="24"/>
        </w:rPr>
      </w:pPr>
      <w:r>
        <w:rPr>
          <w:rFonts w:hint="eastAsia" w:ascii="仿宋_GB2312" w:hAnsi="仿宋_GB2312" w:eastAsia="仿宋_GB2312" w:cs="仿宋_GB2312"/>
          <w:b/>
          <w:sz w:val="24"/>
        </w:rPr>
        <w:t>第二条 共同权利</w:t>
      </w:r>
    </w:p>
    <w:p>
      <w:pPr>
        <w:adjustRightInd w:val="0"/>
        <w:snapToGrid w:val="0"/>
        <w:spacing w:line="440" w:lineRule="exact"/>
        <w:rPr>
          <w:rFonts w:ascii="仿宋_GB2312" w:hAnsi="仿宋_GB2312" w:eastAsia="仿宋_GB2312" w:cs="仿宋_GB2312"/>
          <w:sz w:val="24"/>
        </w:rPr>
      </w:pPr>
      <w:r>
        <w:rPr>
          <w:rFonts w:hint="eastAsia" w:ascii="仿宋_GB2312" w:hAnsi="仿宋_GB2312" w:eastAsia="仿宋_GB2312" w:cs="仿宋_GB2312"/>
          <w:sz w:val="24"/>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ascii="仿宋_GB2312" w:hAnsi="仿宋_GB2312" w:eastAsia="仿宋_GB2312" w:cs="仿宋_GB2312"/>
          <w:b/>
          <w:sz w:val="24"/>
        </w:rPr>
      </w:pPr>
      <w:bookmarkStart w:id="110" w:name="_Toc59896702"/>
      <w:bookmarkStart w:id="111" w:name="_Toc59900970"/>
      <w:r>
        <w:rPr>
          <w:rFonts w:hint="eastAsia" w:ascii="仿宋_GB2312" w:hAnsi="仿宋_GB2312" w:eastAsia="仿宋_GB2312" w:cs="仿宋_GB2312"/>
          <w:b/>
          <w:sz w:val="24"/>
        </w:rPr>
        <w:t>第三条 甲方的义务</w:t>
      </w:r>
      <w:bookmarkEnd w:id="110"/>
      <w:bookmarkEnd w:id="111"/>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（一）甲方及其工作人员不得索要或接受乙方的礼金、有价证券和贵重物品。</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（二）甲方及其工作人员不得在乙方报销任何应由甲方或个人支付的费用等。</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（三）甲方及其工作人员不得参加乙方安排的超标准宴请和娱乐活动。</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（四）甲方及其工作人员不得接受乙方提供的通讯工具、交通工具和高档办公用品等。</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（六）甲方及其工作人员不得有违反法律、法规、廉洁从业规定的其他行为。</w:t>
      </w:r>
    </w:p>
    <w:p>
      <w:pPr>
        <w:adjustRightInd w:val="0"/>
        <w:snapToGrid w:val="0"/>
        <w:spacing w:line="440" w:lineRule="exact"/>
        <w:ind w:firstLine="480"/>
        <w:rPr>
          <w:rFonts w:ascii="仿宋_GB2312" w:hAnsi="仿宋_GB2312" w:eastAsia="仿宋_GB2312" w:cs="仿宋_GB2312"/>
          <w:b/>
          <w:sz w:val="24"/>
        </w:rPr>
      </w:pPr>
      <w:bookmarkStart w:id="112" w:name="_Toc59900971"/>
      <w:bookmarkStart w:id="113" w:name="_Toc59896703"/>
      <w:r>
        <w:rPr>
          <w:rFonts w:hint="eastAsia" w:ascii="仿宋_GB2312" w:hAnsi="仿宋_GB2312" w:eastAsia="仿宋_GB2312" w:cs="仿宋_GB2312"/>
          <w:b/>
          <w:sz w:val="24"/>
        </w:rPr>
        <w:t>第四条 乙方义务</w:t>
      </w:r>
      <w:bookmarkEnd w:id="112"/>
      <w:bookmarkEnd w:id="113"/>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（一）乙方不得以任何理由向甲方及其工作人员行贿或馈赠礼金、有价证券、贵重物品。</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（二）乙方不得以任何名义为甲方及其工作人员报销应由甲方单位或个人支付的任何费用。</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（三）乙方不得以任何理由安排甲方工作人员参加超标准宴请、健身及娱乐活动。</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（四）乙方不得为甲方及其工作人员购置或提供通讯工具、交通工具和高档办公用品等。</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（五）乙方不得为甲方及其工作人员住房装修、婚丧嫁娶活动、配偶子女的工作安排以及出国出境、旅游等提供方便等。</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（六）乙方不得有违反法律、法规、廉洁从业规定的其他行为。</w:t>
      </w:r>
    </w:p>
    <w:p>
      <w:pPr>
        <w:adjustRightInd w:val="0"/>
        <w:snapToGrid w:val="0"/>
        <w:spacing w:line="440" w:lineRule="exact"/>
        <w:ind w:firstLine="480"/>
        <w:rPr>
          <w:rFonts w:ascii="仿宋_GB2312" w:hAnsi="仿宋_GB2312" w:eastAsia="仿宋_GB2312" w:cs="仿宋_GB2312"/>
          <w:b/>
          <w:sz w:val="24"/>
        </w:rPr>
      </w:pPr>
      <w:r>
        <w:rPr>
          <w:rFonts w:hint="eastAsia" w:ascii="仿宋_GB2312" w:hAnsi="仿宋_GB2312" w:eastAsia="仿宋_GB2312" w:cs="仿宋_GB2312"/>
          <w:b/>
          <w:sz w:val="24"/>
        </w:rPr>
        <w:t>第五条 违约责任</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第七条 本协议有效期为甲乙双方签署之日起至主合同完全履行完毕之日止。</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第八条 本协议作为主合同的附件，与主合同具有同等的法律效力，经合同双方签署立即生效。</w:t>
      </w:r>
    </w:p>
    <w:p>
      <w:pPr>
        <w:snapToGrid w:val="0"/>
        <w:spacing w:line="440" w:lineRule="exact"/>
        <w:rPr>
          <w:rFonts w:ascii="仿宋_GB2312" w:hAnsi="仿宋_GB2312" w:eastAsia="仿宋_GB2312" w:cs="仿宋_GB2312"/>
          <w:sz w:val="24"/>
        </w:rPr>
        <w:sectPr>
          <w:pgSz w:w="11906" w:h="16838"/>
          <w:pgMar w:top="1440" w:right="1800" w:bottom="1440" w:left="1800" w:header="851" w:footer="992" w:gutter="0"/>
          <w:cols w:space="720" w:num="1"/>
          <w:docGrid w:type="lines" w:linePitch="312" w:charSpace="0"/>
        </w:sectPr>
      </w:pPr>
    </w:p>
    <w:p>
      <w:pPr>
        <w:rPr>
          <w:rFonts w:ascii="仿宋_GB2312" w:hAnsi="仿宋_GB2312" w:eastAsia="仿宋_GB2312" w:cs="仿宋_GB2312"/>
          <w:sz w:val="24"/>
        </w:rPr>
      </w:pPr>
      <w:r>
        <w:rPr>
          <w:rFonts w:hint="eastAsia" w:ascii="仿宋_GB2312" w:hAnsi="仿宋_GB2312" w:eastAsia="仿宋_GB2312" w:cs="仿宋_GB2312"/>
          <w:sz w:val="24"/>
        </w:rPr>
        <w:t>（本页无正文）</w:t>
      </w:r>
    </w:p>
    <w:p>
      <w:pPr>
        <w:ind w:left="420" w:leftChars="200"/>
        <w:rPr>
          <w:rFonts w:ascii="仿宋_GB2312" w:hAnsi="仿宋_GB2312" w:eastAsia="仿宋_GB2312" w:cs="仿宋_GB2312"/>
        </w:rPr>
      </w:pPr>
    </w:p>
    <w:p>
      <w:pPr>
        <w:rPr>
          <w:rFonts w:ascii="仿宋_GB2312" w:hAnsi="仿宋_GB2312" w:eastAsia="仿宋_GB2312" w:cs="仿宋_GB2312"/>
        </w:rPr>
      </w:pPr>
    </w:p>
    <w:p>
      <w:pPr>
        <w:ind w:left="420" w:leftChars="200"/>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snapToGrid w:val="0"/>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甲方：</w:t>
      </w:r>
      <w:r>
        <w:rPr>
          <w:rFonts w:hint="eastAsia" w:ascii="仿宋_GB2312" w:hAnsi="仿宋_GB2312" w:eastAsia="仿宋_GB2312" w:cs="仿宋_GB2312"/>
          <w:sz w:val="24"/>
          <w:u w:val="single"/>
        </w:rPr>
        <w:t xml:space="preserve"> （盖章）            </w:t>
      </w:r>
      <w:r>
        <w:rPr>
          <w:rFonts w:hint="eastAsia" w:ascii="仿宋_GB2312" w:hAnsi="仿宋_GB2312" w:eastAsia="仿宋_GB2312" w:cs="仿宋_GB2312"/>
          <w:sz w:val="24"/>
        </w:rPr>
        <w:t xml:space="preserve">             乙方：</w:t>
      </w:r>
      <w:r>
        <w:rPr>
          <w:rFonts w:hint="eastAsia" w:ascii="仿宋_GB2312" w:hAnsi="仿宋_GB2312" w:eastAsia="仿宋_GB2312" w:cs="仿宋_GB2312"/>
          <w:sz w:val="24"/>
          <w:u w:val="single"/>
        </w:rPr>
        <w:t xml:space="preserve"> （盖章）                 </w:t>
      </w:r>
    </w:p>
    <w:p>
      <w:pPr>
        <w:snapToGrid w:val="0"/>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法定代表人：</w:t>
      </w:r>
      <w:r>
        <w:rPr>
          <w:rFonts w:hint="eastAsia" w:ascii="仿宋_GB2312" w:hAnsi="仿宋_GB2312" w:eastAsia="仿宋_GB2312" w:cs="仿宋_GB2312"/>
          <w:sz w:val="24"/>
          <w:u w:val="single"/>
        </w:rPr>
        <w:t xml:space="preserve">（签字）        </w:t>
      </w:r>
      <w:r>
        <w:rPr>
          <w:rFonts w:hint="eastAsia" w:ascii="仿宋_GB2312" w:hAnsi="仿宋_GB2312" w:eastAsia="仿宋_GB2312" w:cs="仿宋_GB2312"/>
          <w:sz w:val="24"/>
        </w:rPr>
        <w:t xml:space="preserve">             法定代表人：</w:t>
      </w:r>
      <w:r>
        <w:rPr>
          <w:rFonts w:hint="eastAsia" w:ascii="仿宋_GB2312" w:hAnsi="仿宋_GB2312" w:eastAsia="仿宋_GB2312" w:cs="仿宋_GB2312"/>
          <w:sz w:val="24"/>
          <w:u w:val="single"/>
        </w:rPr>
        <w:t xml:space="preserve"> （签字）           </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或授权代理人：</w:t>
      </w:r>
      <w:r>
        <w:rPr>
          <w:rFonts w:hint="eastAsia" w:ascii="仿宋_GB2312" w:hAnsi="仿宋_GB2312" w:eastAsia="仿宋_GB2312" w:cs="仿宋_GB2312"/>
          <w:sz w:val="24"/>
          <w:u w:val="single"/>
        </w:rPr>
        <w:t xml:space="preserve">（签字）      </w:t>
      </w:r>
      <w:r>
        <w:rPr>
          <w:rFonts w:hint="eastAsia" w:ascii="仿宋_GB2312" w:hAnsi="仿宋_GB2312" w:eastAsia="仿宋_GB2312" w:cs="仿宋_GB2312"/>
          <w:sz w:val="24"/>
        </w:rPr>
        <w:t xml:space="preserve">             或授权代理人：</w:t>
      </w:r>
      <w:r>
        <w:rPr>
          <w:rFonts w:hint="eastAsia" w:ascii="仿宋_GB2312" w:hAnsi="仿宋_GB2312" w:eastAsia="仿宋_GB2312" w:cs="仿宋_GB2312"/>
          <w:sz w:val="24"/>
          <w:u w:val="single"/>
        </w:rPr>
        <w:t xml:space="preserve">（签字）           </w:t>
      </w:r>
    </w:p>
    <w:p>
      <w:pPr>
        <w:snapToGrid w:val="0"/>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电话：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电话：</w:t>
      </w:r>
      <w:r>
        <w:rPr>
          <w:rFonts w:hint="eastAsia" w:ascii="仿宋_GB2312" w:hAnsi="仿宋_GB2312" w:eastAsia="仿宋_GB2312" w:cs="仿宋_GB2312"/>
          <w:sz w:val="24"/>
          <w:u w:val="single"/>
        </w:rPr>
        <w:t xml:space="preserve">                          </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日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widowControl/>
        <w:snapToGrid w:val="0"/>
        <w:spacing w:line="360" w:lineRule="auto"/>
        <w:jc w:val="left"/>
        <w:outlineLvl w:val="1"/>
        <w:rPr>
          <w:rFonts w:ascii="仿宋_GB2312" w:hAnsi="仿宋_GB2312" w:eastAsia="仿宋_GB2312" w:cs="仿宋_GB2312"/>
          <w:b/>
          <w:kern w:val="0"/>
          <w:sz w:val="24"/>
        </w:rPr>
      </w:pPr>
      <w:r>
        <w:rPr>
          <w:rFonts w:hint="eastAsia" w:ascii="仿宋_GB2312" w:hAnsi="仿宋_GB2312" w:eastAsia="仿宋_GB2312" w:cs="仿宋_GB2312"/>
          <w:kern w:val="0"/>
          <w:sz w:val="24"/>
        </w:rPr>
        <w:t>甲方监督单位：</w:t>
      </w:r>
      <w:r>
        <w:rPr>
          <w:rFonts w:hint="eastAsia" w:ascii="仿宋_GB2312" w:hAnsi="仿宋_GB2312" w:eastAsia="仿宋_GB2312" w:cs="仿宋_GB2312"/>
          <w:kern w:val="0"/>
          <w:sz w:val="24"/>
          <w:u w:val="single"/>
        </w:rPr>
        <w:t xml:space="preserve">（盖章）      </w:t>
      </w:r>
      <w:r>
        <w:rPr>
          <w:rFonts w:hint="eastAsia" w:ascii="仿宋_GB2312" w:hAnsi="仿宋_GB2312" w:eastAsia="仿宋_GB2312" w:cs="仿宋_GB2312"/>
          <w:kern w:val="0"/>
          <w:sz w:val="24"/>
        </w:rPr>
        <w:t xml:space="preserve">             乙方监督单位：</w:t>
      </w:r>
      <w:r>
        <w:rPr>
          <w:rFonts w:hint="eastAsia" w:ascii="仿宋_GB2312" w:hAnsi="仿宋_GB2312" w:eastAsia="仿宋_GB2312" w:cs="仿宋_GB2312"/>
          <w:kern w:val="0"/>
          <w:sz w:val="24"/>
          <w:u w:val="single"/>
        </w:rPr>
        <w:t xml:space="preserve">（盖章）        </w:t>
      </w:r>
    </w:p>
    <w:bookmarkEnd w:id="106"/>
    <w:p>
      <w:pPr>
        <w:pStyle w:val="13"/>
        <w:tabs>
          <w:tab w:val="left" w:pos="720"/>
        </w:tabs>
        <w:snapToGrid w:val="0"/>
        <w:spacing w:line="360" w:lineRule="auto"/>
        <w:outlineLvl w:val="1"/>
        <w:rPr>
          <w:rFonts w:ascii="仿宋_GB2312" w:hAnsi="仿宋_GB2312" w:eastAsia="仿宋_GB2312" w:cs="仿宋_GB2312"/>
          <w:b/>
          <w:sz w:val="24"/>
          <w:szCs w:val="24"/>
        </w:rPr>
      </w:pPr>
      <w:r>
        <w:rPr>
          <w:rFonts w:hint="eastAsia" w:ascii="仿宋_GB2312" w:hAnsi="仿宋_GB2312" w:eastAsia="仿宋_GB2312" w:cs="仿宋_GB2312"/>
          <w:b/>
          <w:sz w:val="24"/>
          <w:szCs w:val="24"/>
        </w:rPr>
        <w:br w:type="page"/>
      </w:r>
      <w:r>
        <w:rPr>
          <w:rFonts w:hint="eastAsia" w:ascii="仿宋_GB2312" w:hAnsi="仿宋_GB2312" w:eastAsia="仿宋_GB2312" w:cs="仿宋_GB2312"/>
          <w:b/>
          <w:sz w:val="24"/>
          <w:szCs w:val="24"/>
        </w:rPr>
        <w:t>附件2 保密协议</w:t>
      </w:r>
    </w:p>
    <w:p>
      <w:pPr>
        <w:widowControl/>
        <w:snapToGrid w:val="0"/>
        <w:spacing w:line="360" w:lineRule="auto"/>
        <w:jc w:val="center"/>
        <w:rPr>
          <w:rFonts w:ascii="仿宋_GB2312" w:hAnsi="仿宋_GB2312" w:eastAsia="仿宋_GB2312" w:cs="仿宋_GB2312"/>
          <w:kern w:val="0"/>
          <w:sz w:val="32"/>
          <w:szCs w:val="32"/>
          <w:lang w:bidi="en-US"/>
        </w:rPr>
      </w:pPr>
      <w:r>
        <w:rPr>
          <w:rFonts w:hint="eastAsia" w:ascii="仿宋_GB2312" w:hAnsi="仿宋_GB2312" w:eastAsia="仿宋_GB2312" w:cs="仿宋_GB2312"/>
          <w:b/>
          <w:bCs/>
          <w:smallCaps/>
          <w:kern w:val="0"/>
          <w:sz w:val="32"/>
          <w:szCs w:val="32"/>
          <w:lang w:bidi="en-US"/>
        </w:rPr>
        <w:t>保密协议</w:t>
      </w:r>
    </w:p>
    <w:p>
      <w:pPr>
        <w:widowControl/>
        <w:snapToGrid w:val="0"/>
        <w:spacing w:line="360" w:lineRule="auto"/>
        <w:jc w:val="left"/>
        <w:rPr>
          <w:rFonts w:ascii="仿宋_GB2312" w:hAnsi="仿宋_GB2312" w:eastAsia="仿宋_GB2312" w:cs="仿宋_GB2312"/>
          <w:kern w:val="0"/>
          <w:sz w:val="24"/>
          <w:lang w:bidi="en-US"/>
        </w:rPr>
      </w:pPr>
    </w:p>
    <w:p>
      <w:pPr>
        <w:widowControl/>
        <w:snapToGrid w:val="0"/>
        <w:spacing w:line="360" w:lineRule="auto"/>
        <w:jc w:val="left"/>
        <w:rPr>
          <w:rFonts w:ascii="仿宋_GB2312" w:hAnsi="仿宋_GB2312" w:eastAsia="仿宋_GB2312" w:cs="仿宋_GB2312"/>
          <w:kern w:val="0"/>
          <w:sz w:val="24"/>
          <w:u w:val="single"/>
          <w:lang w:bidi="en-US"/>
        </w:rPr>
      </w:pPr>
      <w:r>
        <w:rPr>
          <w:rFonts w:hint="eastAsia" w:ascii="仿宋_GB2312" w:hAnsi="仿宋_GB2312" w:eastAsia="仿宋_GB2312" w:cs="仿宋_GB2312"/>
          <w:kern w:val="0"/>
          <w:sz w:val="24"/>
          <w:lang w:bidi="en-US"/>
        </w:rPr>
        <w:t>甲方（全称）：</w:t>
      </w:r>
      <w:r>
        <w:rPr>
          <w:rFonts w:hint="eastAsia" w:ascii="仿宋_GB2312" w:hAnsi="仿宋_GB2312" w:eastAsia="仿宋_GB2312" w:cs="仿宋_GB2312"/>
          <w:kern w:val="0"/>
          <w:sz w:val="24"/>
          <w:u w:val="single"/>
          <w:lang w:bidi="en-US"/>
        </w:rPr>
        <w:t xml:space="preserve">                    </w:t>
      </w:r>
    </w:p>
    <w:p>
      <w:pPr>
        <w:widowControl/>
        <w:snapToGrid w:val="0"/>
        <w:spacing w:line="360" w:lineRule="auto"/>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乙方（全称）：</w:t>
      </w:r>
      <w:r>
        <w:rPr>
          <w:rFonts w:hint="eastAsia" w:ascii="仿宋_GB2312" w:hAnsi="仿宋_GB2312" w:eastAsia="仿宋_GB2312" w:cs="仿宋_GB2312"/>
          <w:kern w:val="0"/>
          <w:sz w:val="24"/>
          <w:u w:val="single"/>
          <w:lang w:bidi="en-US"/>
        </w:rPr>
        <w:t xml:space="preserve">                    </w:t>
      </w:r>
    </w:p>
    <w:p>
      <w:pPr>
        <w:widowControl/>
        <w:snapToGrid w:val="0"/>
        <w:spacing w:line="360" w:lineRule="auto"/>
        <w:ind w:firstLine="480" w:firstLineChars="200"/>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鉴于甲方和乙方签订的</w:t>
      </w:r>
      <w:r>
        <w:rPr>
          <w:rFonts w:hint="eastAsia" w:ascii="仿宋_GB2312" w:hAnsi="仿宋_GB2312" w:eastAsia="仿宋_GB2312" w:cs="仿宋_GB2312"/>
          <w:kern w:val="0"/>
          <w:sz w:val="24"/>
          <w:u w:val="single"/>
          <w:lang w:bidi="en-US"/>
        </w:rPr>
        <w:t xml:space="preserve">                </w:t>
      </w:r>
      <w:r>
        <w:rPr>
          <w:rFonts w:hint="eastAsia" w:ascii="仿宋_GB2312" w:hAnsi="仿宋_GB2312" w:eastAsia="仿宋_GB2312" w:cs="仿宋_GB2312"/>
          <w:kern w:val="0"/>
          <w:sz w:val="24"/>
          <w:lang w:bidi="en-US"/>
        </w:rPr>
        <w:t>合同（以下简称主合同）在执行过程中，甲方需要向乙方提供相关资料、披露有关信息。为进一步明确乙方的保密义务，甲、乙双方特签订以下本协议。</w:t>
      </w:r>
    </w:p>
    <w:p>
      <w:pPr>
        <w:widowControl/>
        <w:snapToGrid w:val="0"/>
        <w:spacing w:line="360" w:lineRule="auto"/>
        <w:ind w:firstLine="482"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第一条 保密内容</w:t>
      </w:r>
    </w:p>
    <w:p>
      <w:pPr>
        <w:widowControl/>
        <w:snapToGrid w:val="0"/>
        <w:spacing w:line="360" w:lineRule="auto"/>
        <w:ind w:firstLine="482"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甲、乙双方确认，乙方应承担保密义务的内容为：</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1、技术信息：包括技术方案、设计要求、工作内容、实现方法、运作流程、技术指标、软件系统、数据库、运行环境、作业平台、测试结果、图纸、样本、模型、技术文档、涉及技术秘密的业务函电等； </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2、经营信息：包括客户名称、客户地址及联系方式、需求信息、营销计划、定价政策、招投标中的标底及标书内容、项目组人员构成、费用预算、利润情况及不公开的财务资料等；</w:t>
      </w:r>
    </w:p>
    <w:p>
      <w:pPr>
        <w:widowControl/>
        <w:snapToGrid w:val="0"/>
        <w:spacing w:line="360" w:lineRule="auto"/>
        <w:ind w:firstLine="480" w:firstLineChars="200"/>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3、其他事项：甲方依照法律规定和有关协议（包括与项目对方当事人以及其他项目当事人订立协议、合同）的约定要求乙方承担保密义务的其他事项。</w:t>
      </w:r>
    </w:p>
    <w:p>
      <w:pPr>
        <w:widowControl/>
        <w:snapToGrid w:val="0"/>
        <w:spacing w:line="360" w:lineRule="auto"/>
        <w:ind w:firstLine="482"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第二条 乙方的保密义务</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1、乙方应主动采取加密措施对上述第一条所列内容进行保密，防止不承担同等保密义务的任何第三者知悉及使用。</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2、乙方不得刺探或者以其他不正当手段（包括利用计算机进行检索、浏览、复制等）获取主合同及主合同执行过程中的甲方秘密。</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3、乙方不得向不承担同等保密义务的任何第三人披露上述第一条所列内容。</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4、乙方不得允许（包括出借、赠与、出租、转让等行为）或协助不承担同等保密义务的任何第三人使用上述第一条所列内容。</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5、不论因何种原因主合同终止后，乙方都不得利用上述第一条所列内容为其他与甲方有竞争关系的第三人提供服务或进行合作。</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6、上述第一条所列内容的所有权始终全部归属甲方，乙方不得利用自身对项目不同程度的了解申请对于该项目的商业秘密所有权，在本协议签订前乙方已依法具有某些所有权者除外；</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7、乙方如发现上述第一条所列内容被泄露或者自己过失泄露秘密，应当采取有效措施防止泄密进一步扩大，并及时向甲方报告。</w:t>
      </w:r>
    </w:p>
    <w:p>
      <w:pPr>
        <w:widowControl/>
        <w:snapToGrid w:val="0"/>
        <w:spacing w:line="360" w:lineRule="auto"/>
        <w:ind w:firstLine="482"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第三条 保密期限</w:t>
      </w:r>
    </w:p>
    <w:p>
      <w:pPr>
        <w:widowControl/>
        <w:snapToGrid w:val="0"/>
        <w:spacing w:line="360" w:lineRule="auto"/>
        <w:ind w:firstLine="480"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kern w:val="0"/>
          <w:sz w:val="24"/>
          <w:lang w:bidi="en-US"/>
        </w:rPr>
        <w:t>甲、乙双方确认，乙方的保密义务自本协议签订时开始，到甲方将上述第一条所列内容公开时止。乙方是否继续履行主合同，均不影响保密义务的承担。</w:t>
      </w:r>
    </w:p>
    <w:p>
      <w:pPr>
        <w:widowControl/>
        <w:snapToGrid w:val="0"/>
        <w:spacing w:line="360" w:lineRule="auto"/>
        <w:ind w:firstLine="482"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第四条 违约责任</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1、因乙方未履行本协议第二条规定的保密义务，但尚未给甲方造成损失或严重后果的，每发生一次，甲方有权要求乙方支付</w:t>
      </w:r>
      <w:r>
        <w:rPr>
          <w:rFonts w:hint="eastAsia" w:ascii="仿宋_GB2312" w:hAnsi="仿宋_GB2312" w:eastAsia="仿宋_GB2312" w:cs="仿宋_GB2312"/>
          <w:b/>
          <w:kern w:val="0"/>
          <w:sz w:val="24"/>
          <w:lang w:bidi="en-US"/>
        </w:rPr>
        <w:t>人民币</w:t>
      </w:r>
      <w:r>
        <w:rPr>
          <w:rFonts w:hint="eastAsia" w:ascii="仿宋_GB2312" w:hAnsi="仿宋_GB2312" w:eastAsia="仿宋_GB2312" w:cs="仿宋_GB2312"/>
          <w:b/>
          <w:kern w:val="0"/>
          <w:sz w:val="24"/>
          <w:u w:val="single"/>
          <w:lang w:bidi="en-US"/>
        </w:rPr>
        <w:t>1000</w:t>
      </w:r>
      <w:r>
        <w:rPr>
          <w:rFonts w:hint="eastAsia" w:ascii="仿宋_GB2312" w:hAnsi="仿宋_GB2312" w:eastAsia="仿宋_GB2312" w:cs="仿宋_GB2312"/>
          <w:b/>
          <w:kern w:val="0"/>
          <w:sz w:val="24"/>
          <w:lang w:bidi="en-US"/>
        </w:rPr>
        <w:t>元</w:t>
      </w:r>
      <w:r>
        <w:rPr>
          <w:rFonts w:hint="eastAsia" w:ascii="仿宋_GB2312" w:hAnsi="仿宋_GB2312" w:eastAsia="仿宋_GB2312" w:cs="仿宋_GB2312"/>
          <w:kern w:val="0"/>
          <w:sz w:val="24"/>
          <w:lang w:bidi="en-US"/>
        </w:rPr>
        <w:t>的违约金。</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2、因乙方未履行本协议第二条规定的保密义务，给甲方造成损失或严重后果的，每发生一次，乙方应承担以下赔偿责任：</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（1）甲方调查乙方的违反协议行为而发生的所有费用；</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（2）因乙方的违反协议行为给甲方造成的经济损失，损失赔偿金额为</w:t>
      </w:r>
      <w:r>
        <w:rPr>
          <w:rFonts w:hint="eastAsia" w:ascii="仿宋_GB2312" w:hAnsi="仿宋_GB2312" w:eastAsia="仿宋_GB2312" w:cs="仿宋_GB2312"/>
          <w:b/>
          <w:kern w:val="0"/>
          <w:sz w:val="24"/>
          <w:lang w:bidi="en-US"/>
        </w:rPr>
        <w:t>主合同签约合同价的</w:t>
      </w:r>
      <w:r>
        <w:rPr>
          <w:rFonts w:hint="eastAsia" w:ascii="仿宋_GB2312" w:hAnsi="仿宋_GB2312" w:eastAsia="仿宋_GB2312" w:cs="仿宋_GB2312"/>
          <w:b/>
          <w:kern w:val="0"/>
          <w:sz w:val="24"/>
          <w:u w:val="single"/>
          <w:lang w:bidi="en-US"/>
        </w:rPr>
        <w:t>1</w:t>
      </w:r>
      <w:r>
        <w:rPr>
          <w:rFonts w:hint="eastAsia" w:ascii="仿宋_GB2312" w:hAnsi="仿宋_GB2312" w:eastAsia="仿宋_GB2312" w:cs="仿宋_GB2312"/>
          <w:b/>
          <w:kern w:val="0"/>
          <w:sz w:val="24"/>
          <w:lang w:bidi="en-US"/>
        </w:rPr>
        <w:t>％</w:t>
      </w:r>
      <w:r>
        <w:rPr>
          <w:rFonts w:hint="eastAsia" w:ascii="仿宋_GB2312" w:hAnsi="仿宋_GB2312" w:eastAsia="仿宋_GB2312" w:cs="仿宋_GB2312"/>
          <w:kern w:val="0"/>
          <w:sz w:val="24"/>
          <w:lang w:bidi="en-US"/>
        </w:rPr>
        <w:t>（有证据证明甲方实际损失超过这一金额的，以甲方实际损失为准）。</w:t>
      </w:r>
    </w:p>
    <w:p>
      <w:pPr>
        <w:widowControl/>
        <w:snapToGrid w:val="0"/>
        <w:spacing w:line="360" w:lineRule="auto"/>
        <w:ind w:firstLine="482"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第五条 争议的解决</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因执行本协议而发生的纠纷，可由双方协商解决；协商不成的，任何一方有权向</w:t>
      </w:r>
      <w:r>
        <w:rPr>
          <w:rFonts w:hint="eastAsia" w:ascii="仿宋_GB2312" w:hAnsi="仿宋_GB2312" w:eastAsia="仿宋_GB2312" w:cs="仿宋_GB2312"/>
          <w:kern w:val="0"/>
          <w:sz w:val="24"/>
          <w:u w:val="single"/>
          <w:lang w:bidi="en-US"/>
        </w:rPr>
        <w:t>甲方所在地人民法院</w:t>
      </w:r>
      <w:r>
        <w:rPr>
          <w:rFonts w:hint="eastAsia" w:ascii="仿宋_GB2312" w:hAnsi="仿宋_GB2312" w:eastAsia="仿宋_GB2312" w:cs="仿宋_GB2312"/>
          <w:kern w:val="0"/>
          <w:sz w:val="24"/>
          <w:lang w:bidi="en-US"/>
        </w:rPr>
        <w:t>提起诉讼。</w:t>
      </w:r>
    </w:p>
    <w:p>
      <w:pPr>
        <w:widowControl/>
        <w:snapToGrid w:val="0"/>
        <w:spacing w:line="360" w:lineRule="auto"/>
        <w:ind w:firstLine="482" w:firstLineChars="200"/>
        <w:jc w:val="left"/>
        <w:rPr>
          <w:rFonts w:ascii="仿宋_GB2312" w:hAnsi="仿宋_GB2312" w:eastAsia="仿宋_GB2312" w:cs="仿宋_GB2312"/>
          <w:b/>
          <w:kern w:val="0"/>
          <w:sz w:val="24"/>
          <w:lang w:bidi="en-US"/>
        </w:rPr>
      </w:pPr>
      <w:r>
        <w:rPr>
          <w:rFonts w:hint="eastAsia" w:ascii="仿宋_GB2312" w:hAnsi="仿宋_GB2312" w:eastAsia="仿宋_GB2312" w:cs="仿宋_GB2312"/>
          <w:b/>
          <w:kern w:val="0"/>
          <w:sz w:val="24"/>
          <w:lang w:bidi="en-US"/>
        </w:rPr>
        <w:t>第六条 协议的效力和变更</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1、本协议自双方法定代表人或其授权代表签字并加盖公章后生效。</w:t>
      </w:r>
    </w:p>
    <w:p>
      <w:pPr>
        <w:widowControl/>
        <w:snapToGrid w:val="0"/>
        <w:spacing w:line="360" w:lineRule="auto"/>
        <w:ind w:firstLine="480" w:firstLineChars="200"/>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t>2、任何对本协议所作的任何增补和修改，除非由双方合法指派的代表书面做出，否则视为无效或对双方均无约束力。</w:t>
      </w:r>
    </w:p>
    <w:p>
      <w:pPr>
        <w:widowControl/>
        <w:snapToGrid w:val="0"/>
        <w:spacing w:line="360" w:lineRule="auto"/>
        <w:ind w:firstLine="480" w:firstLineChars="200"/>
        <w:jc w:val="left"/>
        <w:rPr>
          <w:rFonts w:ascii="仿宋_GB2312" w:hAnsi="仿宋_GB2312" w:eastAsia="仿宋_GB2312" w:cs="仿宋_GB2312"/>
          <w:kern w:val="0"/>
          <w:sz w:val="24"/>
          <w:lang w:bidi="en-US"/>
        </w:rPr>
      </w:pPr>
    </w:p>
    <w:p>
      <w:pPr>
        <w:widowControl/>
        <w:snapToGrid w:val="0"/>
        <w:spacing w:line="360" w:lineRule="auto"/>
        <w:jc w:val="left"/>
        <w:rPr>
          <w:rFonts w:ascii="仿宋_GB2312" w:hAnsi="仿宋_GB2312" w:eastAsia="仿宋_GB2312" w:cs="仿宋_GB2312"/>
          <w:kern w:val="0"/>
          <w:sz w:val="24"/>
          <w:lang w:bidi="en-US"/>
        </w:rPr>
      </w:pPr>
      <w:r>
        <w:rPr>
          <w:rFonts w:hint="eastAsia" w:ascii="仿宋_GB2312" w:hAnsi="仿宋_GB2312" w:eastAsia="仿宋_GB2312" w:cs="仿宋_GB2312"/>
          <w:kern w:val="0"/>
          <w:sz w:val="24"/>
          <w:lang w:bidi="en-US"/>
        </w:rPr>
        <w:br w:type="page"/>
      </w:r>
      <w:r>
        <w:rPr>
          <w:rFonts w:hint="eastAsia" w:ascii="仿宋_GB2312" w:hAnsi="仿宋_GB2312" w:eastAsia="仿宋_GB2312" w:cs="仿宋_GB2312"/>
          <w:kern w:val="0"/>
          <w:sz w:val="24"/>
          <w:lang w:bidi="en-US"/>
        </w:rPr>
        <w:t>（本页无正文）</w:t>
      </w:r>
    </w:p>
    <w:p>
      <w:pPr>
        <w:widowControl/>
        <w:snapToGrid w:val="0"/>
        <w:spacing w:line="360" w:lineRule="auto"/>
        <w:ind w:firstLine="480" w:firstLineChars="200"/>
        <w:jc w:val="left"/>
        <w:rPr>
          <w:rFonts w:ascii="仿宋_GB2312" w:hAnsi="仿宋_GB2312" w:eastAsia="仿宋_GB2312" w:cs="仿宋_GB2312"/>
          <w:kern w:val="0"/>
          <w:sz w:val="24"/>
          <w:lang w:bidi="en-US"/>
        </w:rPr>
      </w:pPr>
    </w:p>
    <w:p>
      <w:pPr>
        <w:widowControl/>
        <w:snapToGrid w:val="0"/>
        <w:spacing w:line="360" w:lineRule="auto"/>
        <w:ind w:firstLine="480" w:firstLineChars="200"/>
        <w:jc w:val="left"/>
        <w:rPr>
          <w:rFonts w:ascii="仿宋_GB2312" w:hAnsi="仿宋_GB2312" w:eastAsia="仿宋_GB2312" w:cs="仿宋_GB2312"/>
          <w:kern w:val="0"/>
          <w:sz w:val="24"/>
          <w:lang w:bidi="en-US"/>
        </w:rPr>
      </w:pPr>
    </w:p>
    <w:p>
      <w:pPr>
        <w:widowControl/>
        <w:snapToGrid w:val="0"/>
        <w:spacing w:line="360" w:lineRule="auto"/>
        <w:ind w:firstLine="480" w:firstLineChars="200"/>
        <w:jc w:val="left"/>
        <w:rPr>
          <w:rFonts w:ascii="仿宋_GB2312" w:hAnsi="仿宋_GB2312" w:eastAsia="仿宋_GB2312" w:cs="仿宋_GB2312"/>
          <w:kern w:val="0"/>
          <w:sz w:val="24"/>
          <w:lang w:bidi="en-US"/>
        </w:rPr>
      </w:pPr>
    </w:p>
    <w:tbl>
      <w:tblPr>
        <w:tblStyle w:val="46"/>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Pr>
          <w:p>
            <w:pPr>
              <w:adjustRightInd w:val="0"/>
              <w:snapToGrid w:val="0"/>
              <w:spacing w:line="360" w:lineRule="auto"/>
              <w:textAlignment w:val="baseline"/>
              <w:rPr>
                <w:rFonts w:ascii="仿宋_GB2312" w:hAnsi="仿宋_GB2312" w:eastAsia="仿宋_GB2312" w:cs="仿宋_GB2312"/>
                <w:kern w:val="0"/>
                <w:sz w:val="24"/>
              </w:rPr>
            </w:pPr>
            <w:bookmarkStart w:id="114" w:name="3"/>
            <w:bookmarkEnd w:id="114"/>
            <w:r>
              <w:rPr>
                <w:rFonts w:hint="eastAsia" w:ascii="仿宋_GB2312" w:hAnsi="仿宋_GB2312" w:eastAsia="仿宋_GB2312" w:cs="仿宋_GB2312"/>
                <w:kern w:val="0"/>
                <w:sz w:val="24"/>
              </w:rPr>
              <w:t>甲方：(盖章)</w:t>
            </w:r>
          </w:p>
        </w:tc>
        <w:tc>
          <w:tcPr>
            <w:tcW w:w="4252" w:type="dxa"/>
          </w:tcPr>
          <w:p>
            <w:pPr>
              <w:adjustRightInd w:val="0"/>
              <w:snapToGrid w:val="0"/>
              <w:spacing w:line="360" w:lineRule="auto"/>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乙方：（盖章）</w:t>
            </w:r>
          </w:p>
        </w:tc>
      </w:tr>
      <w:tr>
        <w:tblPrEx>
          <w:tblCellMar>
            <w:top w:w="0" w:type="dxa"/>
            <w:left w:w="108" w:type="dxa"/>
            <w:bottom w:w="0" w:type="dxa"/>
            <w:right w:w="108" w:type="dxa"/>
          </w:tblCellMar>
        </w:tblPrEx>
        <w:trPr>
          <w:trHeight w:val="777" w:hRule="atLeast"/>
          <w:jc w:val="center"/>
        </w:trPr>
        <w:tc>
          <w:tcPr>
            <w:tcW w:w="4467" w:type="dxa"/>
          </w:tcPr>
          <w:p>
            <w:pPr>
              <w:adjustRightInd w:val="0"/>
              <w:snapToGrid w:val="0"/>
              <w:spacing w:line="360" w:lineRule="auto"/>
              <w:ind w:left="19" w:leftChars="9"/>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法定代表人或其授权代表：（签字）</w:t>
            </w:r>
          </w:p>
          <w:p>
            <w:pPr>
              <w:adjustRightInd w:val="0"/>
              <w:snapToGrid w:val="0"/>
              <w:spacing w:line="360" w:lineRule="auto"/>
              <w:ind w:left="19" w:leftChars="9"/>
              <w:textAlignment w:val="baseline"/>
              <w:rPr>
                <w:rFonts w:ascii="仿宋_GB2312" w:hAnsi="仿宋_GB2312" w:eastAsia="仿宋_GB2312" w:cs="仿宋_GB2312"/>
                <w:kern w:val="0"/>
                <w:sz w:val="24"/>
              </w:rPr>
            </w:pPr>
          </w:p>
        </w:tc>
        <w:tc>
          <w:tcPr>
            <w:tcW w:w="4252" w:type="dxa"/>
          </w:tcPr>
          <w:p>
            <w:pPr>
              <w:adjustRightInd w:val="0"/>
              <w:snapToGrid w:val="0"/>
              <w:spacing w:line="360" w:lineRule="auto"/>
              <w:ind w:left="34" w:leftChars="16"/>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tcPr>
          <w:p>
            <w:pPr>
              <w:adjustRightInd w:val="0"/>
              <w:snapToGrid w:val="0"/>
              <w:spacing w:line="360" w:lineRule="auto"/>
              <w:ind w:left="19" w:leftChars="9"/>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时间：</w:t>
            </w:r>
          </w:p>
        </w:tc>
        <w:tc>
          <w:tcPr>
            <w:tcW w:w="4252" w:type="dxa"/>
          </w:tcPr>
          <w:p>
            <w:pPr>
              <w:adjustRightInd w:val="0"/>
              <w:snapToGrid w:val="0"/>
              <w:spacing w:line="360" w:lineRule="auto"/>
              <w:ind w:left="34" w:leftChars="16"/>
              <w:textAlignment w:val="baseline"/>
              <w:rPr>
                <w:rFonts w:ascii="仿宋_GB2312" w:hAnsi="仿宋_GB2312" w:eastAsia="仿宋_GB2312" w:cs="仿宋_GB2312"/>
                <w:kern w:val="0"/>
                <w:sz w:val="24"/>
              </w:rPr>
            </w:pPr>
            <w:r>
              <w:rPr>
                <w:rFonts w:hint="eastAsia" w:ascii="仿宋_GB2312" w:hAnsi="仿宋_GB2312" w:eastAsia="仿宋_GB2312" w:cs="仿宋_GB2312"/>
                <w:kern w:val="0"/>
                <w:sz w:val="24"/>
              </w:rPr>
              <w:t>时间：</w:t>
            </w:r>
          </w:p>
        </w:tc>
      </w:tr>
    </w:tbl>
    <w:p>
      <w:pPr>
        <w:widowControl/>
        <w:snapToGrid w:val="0"/>
        <w:spacing w:line="360" w:lineRule="auto"/>
        <w:jc w:val="left"/>
        <w:rPr>
          <w:rFonts w:ascii="仿宋_GB2312" w:hAnsi="仿宋_GB2312" w:eastAsia="仿宋_GB2312" w:cs="仿宋_GB2312"/>
          <w:kern w:val="0"/>
          <w:sz w:val="24"/>
          <w:lang w:bidi="en-US"/>
        </w:rPr>
      </w:pPr>
    </w:p>
    <w:p>
      <w:pPr>
        <w:snapToGrid w:val="0"/>
        <w:spacing w:line="360" w:lineRule="auto"/>
        <w:ind w:firstLine="600" w:firstLineChars="200"/>
        <w:jc w:val="left"/>
        <w:rPr>
          <w:rFonts w:ascii="仿宋_GB2312" w:hAnsi="仿宋_GB2312" w:eastAsia="仿宋_GB2312" w:cs="仿宋_GB2312"/>
          <w:sz w:val="30"/>
          <w:szCs w:val="30"/>
        </w:rPr>
      </w:pPr>
    </w:p>
    <w:p>
      <w:pPr>
        <w:adjustRightInd w:val="0"/>
        <w:snapToGrid w:val="0"/>
        <w:spacing w:line="360" w:lineRule="auto"/>
        <w:jc w:val="left"/>
        <w:rPr>
          <w:rFonts w:ascii="仿宋_GB2312" w:hAnsi="仿宋_GB2312" w:eastAsia="仿宋_GB2312" w:cs="仿宋_GB2312"/>
          <w:b/>
          <w:sz w:val="24"/>
        </w:rPr>
      </w:pPr>
      <w:r>
        <w:rPr>
          <w:rFonts w:hint="eastAsia" w:ascii="仿宋_GB2312" w:hAnsi="仿宋_GB2312" w:eastAsia="仿宋_GB2312" w:cs="仿宋_GB2312"/>
          <w:sz w:val="30"/>
          <w:szCs w:val="30"/>
        </w:rPr>
        <w:br w:type="page"/>
      </w:r>
      <w:r>
        <w:rPr>
          <w:rFonts w:hint="eastAsia" w:ascii="仿宋_GB2312" w:hAnsi="仿宋_GB2312" w:eastAsia="仿宋_GB2312" w:cs="仿宋_GB2312"/>
          <w:b/>
          <w:sz w:val="24"/>
        </w:rPr>
        <w:t>附件3 中标通知书/中选通知书/谈判记录表</w:t>
      </w:r>
    </w:p>
    <w:p>
      <w:pPr>
        <w:adjustRightInd w:val="0"/>
        <w:snapToGrid w:val="0"/>
        <w:spacing w:line="360" w:lineRule="auto"/>
        <w:jc w:val="left"/>
        <w:rPr>
          <w:rFonts w:ascii="仿宋_GB2312" w:hAnsi="仿宋_GB2312" w:eastAsia="仿宋_GB2312" w:cs="仿宋_GB2312"/>
          <w:b/>
          <w:sz w:val="24"/>
        </w:rPr>
      </w:pPr>
      <w:r>
        <w:rPr>
          <w:rFonts w:hint="eastAsia" w:ascii="仿宋_GB2312" w:hAnsi="仿宋_GB2312" w:eastAsia="仿宋_GB2312" w:cs="仿宋_GB2312"/>
          <w:b/>
          <w:sz w:val="24"/>
        </w:rPr>
        <w:t>附件4 签约合同价清单</w:t>
      </w:r>
      <w:bookmarkEnd w:id="107"/>
    </w:p>
    <w:p>
      <w:pPr>
        <w:pStyle w:val="13"/>
        <w:tabs>
          <w:tab w:val="left" w:pos="720"/>
        </w:tabs>
        <w:snapToGrid w:val="0"/>
        <w:spacing w:line="360" w:lineRule="auto"/>
        <w:ind w:firstLine="0"/>
        <w:outlineLvl w:val="1"/>
        <w:rPr>
          <w:rFonts w:ascii="仿宋_GB2312" w:hAnsi="仿宋_GB2312" w:eastAsia="仿宋_GB2312" w:cs="仿宋_GB2312"/>
          <w:b/>
          <w:sz w:val="24"/>
          <w:szCs w:val="24"/>
        </w:rPr>
      </w:pPr>
      <w:bookmarkStart w:id="115" w:name="_Toc501718836"/>
      <w:r>
        <w:rPr>
          <w:rFonts w:hint="eastAsia" w:ascii="仿宋_GB2312" w:hAnsi="仿宋_GB2312" w:eastAsia="仿宋_GB2312" w:cs="仿宋_GB2312"/>
          <w:b/>
          <w:sz w:val="24"/>
          <w:szCs w:val="24"/>
        </w:rPr>
        <w:t>附件5 项目关键岗位人员表</w:t>
      </w:r>
      <w:bookmarkEnd w:id="115"/>
    </w:p>
    <w:p>
      <w:pPr>
        <w:pStyle w:val="13"/>
        <w:tabs>
          <w:tab w:val="left" w:pos="720"/>
        </w:tabs>
        <w:snapToGrid w:val="0"/>
        <w:spacing w:line="360" w:lineRule="auto"/>
        <w:ind w:firstLine="0"/>
        <w:outlineLvl w:val="1"/>
        <w:rPr>
          <w:rFonts w:ascii="仿宋_GB2312" w:hAnsi="仿宋_GB2312" w:eastAsia="仿宋_GB2312" w:cs="仿宋_GB2312"/>
          <w:b/>
          <w:sz w:val="24"/>
          <w:szCs w:val="24"/>
        </w:rPr>
      </w:pPr>
      <w:r>
        <w:rPr>
          <w:rFonts w:hint="eastAsia" w:ascii="仿宋_GB2312" w:hAnsi="仿宋_GB2312" w:eastAsia="仿宋_GB2312" w:cs="仿宋_GB2312"/>
          <w:b/>
          <w:sz w:val="24"/>
          <w:szCs w:val="24"/>
        </w:rPr>
        <w:t>附件6 澄清与答疑文件</w:t>
      </w:r>
    </w:p>
    <w:p>
      <w:pPr>
        <w:pStyle w:val="13"/>
        <w:tabs>
          <w:tab w:val="left" w:pos="720"/>
        </w:tabs>
        <w:snapToGrid w:val="0"/>
        <w:spacing w:line="360" w:lineRule="auto"/>
        <w:ind w:firstLine="0"/>
        <w:outlineLvl w:val="1"/>
        <w:rPr>
          <w:rFonts w:ascii="仿宋_GB2312" w:hAnsi="仿宋_GB2312" w:eastAsia="仿宋_GB2312" w:cs="仿宋_GB2312"/>
          <w:b/>
          <w:sz w:val="24"/>
          <w:szCs w:val="24"/>
        </w:rPr>
      </w:pPr>
      <w:r>
        <w:rPr>
          <w:rFonts w:hint="eastAsia" w:ascii="仿宋_GB2312" w:hAnsi="仿宋_GB2312" w:eastAsia="仿宋_GB2312" w:cs="仿宋_GB2312"/>
          <w:b/>
          <w:sz w:val="24"/>
          <w:szCs w:val="24"/>
        </w:rPr>
        <w:t>附件7 最高投标限价公示说明</w:t>
      </w:r>
    </w:p>
    <w:p>
      <w:pPr>
        <w:pStyle w:val="13"/>
        <w:tabs>
          <w:tab w:val="left" w:pos="720"/>
        </w:tabs>
        <w:snapToGrid w:val="0"/>
        <w:spacing w:line="360" w:lineRule="auto"/>
        <w:ind w:firstLine="0"/>
        <w:outlineLvl w:val="1"/>
        <w:rPr>
          <w:rFonts w:ascii="仿宋_GB2312" w:hAnsi="仿宋_GB2312" w:eastAsia="仿宋_GB2312" w:cs="仿宋_GB2312"/>
          <w:b/>
          <w:sz w:val="24"/>
          <w:szCs w:val="24"/>
        </w:rPr>
      </w:pPr>
      <w:bookmarkStart w:id="116" w:name="_Toc501718837"/>
      <w:r>
        <w:rPr>
          <w:rFonts w:hint="eastAsia" w:ascii="仿宋_GB2312" w:hAnsi="仿宋_GB2312" w:eastAsia="仿宋_GB2312" w:cs="仿宋_GB2312"/>
          <w:b/>
          <w:sz w:val="24"/>
          <w:szCs w:val="24"/>
        </w:rPr>
        <w:t>附件8</w:t>
      </w:r>
      <w:r>
        <w:rPr>
          <w:rFonts w:hint="eastAsia" w:ascii="仿宋_GB2312" w:hAnsi="仿宋_GB2312" w:eastAsia="仿宋_GB2312" w:cs="仿宋_GB2312"/>
          <w:b/>
          <w:sz w:val="24"/>
        </w:rPr>
        <w:t>用户需求书</w:t>
      </w:r>
      <w:bookmarkEnd w:id="116"/>
      <w:r>
        <w:rPr>
          <w:rFonts w:hint="eastAsia" w:ascii="仿宋_GB2312" w:hAnsi="仿宋_GB2312" w:eastAsia="仿宋_GB2312" w:cs="仿宋_GB2312"/>
          <w:b/>
          <w:sz w:val="24"/>
          <w:szCs w:val="24"/>
        </w:rPr>
        <w:t>/技术规格书</w:t>
      </w:r>
    </w:p>
    <w:p>
      <w:pPr>
        <w:pStyle w:val="13"/>
        <w:tabs>
          <w:tab w:val="left" w:pos="720"/>
        </w:tabs>
        <w:snapToGrid w:val="0"/>
        <w:spacing w:line="360" w:lineRule="auto"/>
        <w:ind w:firstLine="0"/>
        <w:outlineLvl w:val="1"/>
        <w:rPr>
          <w:rFonts w:ascii="仿宋_GB2312" w:hAnsi="仿宋_GB2312" w:eastAsia="仿宋_GB2312" w:cs="仿宋_GB2312"/>
          <w:b/>
          <w:sz w:val="24"/>
          <w:szCs w:val="24"/>
        </w:rPr>
      </w:pPr>
    </w:p>
    <w:p>
      <w:pPr>
        <w:pStyle w:val="13"/>
        <w:tabs>
          <w:tab w:val="left" w:pos="720"/>
        </w:tabs>
        <w:snapToGrid w:val="0"/>
        <w:spacing w:line="360" w:lineRule="auto"/>
        <w:ind w:firstLine="0"/>
        <w:outlineLvl w:val="1"/>
        <w:rPr>
          <w:rFonts w:ascii="仿宋_GB2312" w:hAnsi="仿宋_GB2312" w:eastAsia="仿宋_GB2312" w:cs="仿宋_GB2312"/>
          <w:b/>
          <w:sz w:val="24"/>
          <w:szCs w:val="24"/>
        </w:rPr>
      </w:pPr>
    </w:p>
    <w:p>
      <w:pPr>
        <w:widowControl/>
        <w:snapToGrid w:val="0"/>
        <w:spacing w:line="360" w:lineRule="auto"/>
        <w:jc w:val="center"/>
        <w:rPr>
          <w:rFonts w:ascii="仿宋_GB2312" w:hAnsi="仿宋_GB2312" w:eastAsia="仿宋_GB2312" w:cs="仿宋_GB2312"/>
          <w:b/>
          <w:bCs/>
          <w:sz w:val="32"/>
          <w:szCs w:val="32"/>
        </w:rPr>
      </w:pPr>
      <w:r>
        <w:rPr>
          <w:rFonts w:hint="eastAsia" w:ascii="仿宋_GB2312" w:hAnsi="仿宋_GB2312" w:eastAsia="仿宋_GB2312" w:cs="仿宋_GB2312"/>
          <w:b/>
          <w:sz w:val="24"/>
        </w:rPr>
        <w:br w:type="page"/>
      </w:r>
      <w:bookmarkStart w:id="117" w:name="_Toc499044865"/>
      <w:bookmarkStart w:id="118" w:name="_Toc494117897"/>
      <w:bookmarkStart w:id="119" w:name="_Toc492458579"/>
      <w:r>
        <w:rPr>
          <w:rFonts w:hint="eastAsia" w:ascii="仿宋_GB2312" w:hAnsi="仿宋_GB2312" w:eastAsia="仿宋_GB2312" w:cs="仿宋_GB2312"/>
          <w:b/>
          <w:bCs/>
          <w:kern w:val="0"/>
          <w:sz w:val="32"/>
          <w:szCs w:val="32"/>
        </w:rPr>
        <w:t xml:space="preserve">第四部分 </w:t>
      </w:r>
      <w:r>
        <w:rPr>
          <w:rFonts w:hint="eastAsia" w:ascii="仿宋_GB2312" w:hAnsi="仿宋_GB2312" w:eastAsia="仿宋_GB2312" w:cs="仿宋_GB2312"/>
          <w:b/>
          <w:bCs/>
          <w:sz w:val="32"/>
          <w:szCs w:val="32"/>
        </w:rPr>
        <w:t>合同附录</w:t>
      </w:r>
      <w:bookmarkEnd w:id="117"/>
      <w:bookmarkEnd w:id="118"/>
      <w:bookmarkEnd w:id="119"/>
    </w:p>
    <w:p>
      <w:pPr>
        <w:snapToGrid w:val="0"/>
        <w:spacing w:line="360" w:lineRule="auto"/>
        <w:rPr>
          <w:rFonts w:ascii="仿宋_GB2312" w:hAnsi="仿宋_GB2312" w:eastAsia="仿宋_GB2312" w:cs="仿宋_GB2312"/>
          <w:b/>
          <w:sz w:val="24"/>
        </w:rPr>
      </w:pPr>
      <w:bookmarkStart w:id="120" w:name="_Toc492458580"/>
      <w:bookmarkStart w:id="121" w:name="_Toc494117898"/>
      <w:bookmarkStart w:id="122" w:name="_Toc499044866"/>
      <w:r>
        <w:rPr>
          <w:rFonts w:hint="eastAsia" w:ascii="仿宋_GB2312" w:hAnsi="仿宋_GB2312" w:eastAsia="仿宋_GB2312" w:cs="仿宋_GB2312"/>
          <w:b/>
          <w:sz w:val="24"/>
        </w:rPr>
        <w:t xml:space="preserve">附录1 </w:t>
      </w:r>
      <w:bookmarkEnd w:id="120"/>
      <w:bookmarkEnd w:id="121"/>
      <w:bookmarkEnd w:id="122"/>
      <w:bookmarkStart w:id="123" w:name="_Toc499044867"/>
      <w:bookmarkStart w:id="124" w:name="_Toc494117899"/>
      <w:bookmarkStart w:id="125" w:name="_Toc492458581"/>
      <w:r>
        <w:rPr>
          <w:rFonts w:hint="eastAsia" w:ascii="仿宋_GB2312" w:hAnsi="仿宋_GB2312" w:eastAsia="仿宋_GB2312" w:cs="仿宋_GB2312"/>
          <w:b/>
          <w:sz w:val="24"/>
        </w:rPr>
        <w:t xml:space="preserve"> 履约保函（格式）</w:t>
      </w:r>
      <w:bookmarkEnd w:id="123"/>
      <w:bookmarkEnd w:id="124"/>
      <w:bookmarkEnd w:id="125"/>
    </w:p>
    <w:p>
      <w:pPr>
        <w:snapToGrid w:val="0"/>
        <w:spacing w:line="360" w:lineRule="auto"/>
        <w:jc w:val="center"/>
        <w:rPr>
          <w:rFonts w:ascii="仿宋_GB2312" w:hAnsi="仿宋_GB2312" w:eastAsia="仿宋_GB2312" w:cs="仿宋_GB2312"/>
          <w:b/>
          <w:sz w:val="24"/>
        </w:rPr>
      </w:pPr>
    </w:p>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 xml:space="preserve">                          保函编号：</w:t>
      </w:r>
    </w:p>
    <w:p>
      <w:pPr>
        <w:jc w:val="center"/>
        <w:rPr>
          <w:rFonts w:ascii="仿宋_GB2312" w:hAnsi="仿宋_GB2312" w:eastAsia="仿宋_GB2312" w:cs="仿宋_GB2312"/>
          <w:b/>
          <w:sz w:val="24"/>
        </w:rPr>
      </w:pPr>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银行履约保函</w:t>
      </w:r>
    </w:p>
    <w:p>
      <w:pPr>
        <w:jc w:val="center"/>
        <w:rPr>
          <w:rFonts w:ascii="仿宋_GB2312" w:hAnsi="仿宋_GB2312" w:eastAsia="仿宋_GB2312" w:cs="仿宋_GB2312"/>
          <w:b/>
          <w:sz w:val="24"/>
        </w:rPr>
      </w:pPr>
    </w:p>
    <w:p>
      <w:pPr>
        <w:adjustRightInd w:val="0"/>
        <w:snapToGrid w:val="0"/>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甲方（全称）：</w:t>
      </w:r>
      <w:r>
        <w:rPr>
          <w:rFonts w:hint="eastAsia" w:ascii="仿宋_GB2312" w:hAnsi="仿宋_GB2312" w:eastAsia="仿宋_GB2312" w:cs="仿宋_GB2312"/>
          <w:sz w:val="24"/>
          <w:u w:val="single"/>
        </w:rPr>
        <w:t xml:space="preserve">                  </w:t>
      </w:r>
    </w:p>
    <w:p>
      <w:pPr>
        <w:adjustRightInd w:val="0"/>
        <w:snapToGrid w:val="0"/>
        <w:spacing w:line="360" w:lineRule="auto"/>
        <w:ind w:left="15" w:leftChars="7" w:firstLine="480"/>
        <w:rPr>
          <w:rFonts w:ascii="仿宋_GB2312" w:hAnsi="仿宋_GB2312" w:eastAsia="仿宋_GB2312" w:cs="仿宋_GB2312"/>
          <w:sz w:val="24"/>
        </w:rPr>
      </w:pPr>
      <w:r>
        <w:rPr>
          <w:rFonts w:hint="eastAsia" w:ascii="仿宋_GB2312" w:hAnsi="仿宋_GB2312" w:eastAsia="仿宋_GB2312" w:cs="仿宋_GB2312"/>
          <w:sz w:val="24"/>
        </w:rPr>
        <w:t>鉴于甲方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（以下简称“你方”）与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（乙方全称，以下简称“乙方”）于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日协商一致共同签订合同编号为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ascii="仿宋_GB2312" w:hAnsi="仿宋_GB2312" w:eastAsia="仿宋_GB2312" w:cs="仿宋_GB2312"/>
          <w:sz w:val="24"/>
        </w:rPr>
      </w:pPr>
      <w:r>
        <w:rPr>
          <w:rFonts w:hint="eastAsia" w:ascii="仿宋_GB2312" w:hAnsi="仿宋_GB2312" w:eastAsia="仿宋_GB2312" w:cs="仿宋_GB2312"/>
          <w:sz w:val="24"/>
        </w:rPr>
        <w:t>1、担保金额为人民币（大写）</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元（小写：¥</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adjustRightInd w:val="0"/>
        <w:snapToGrid w:val="0"/>
        <w:spacing w:line="360" w:lineRule="auto"/>
        <w:ind w:left="15" w:leftChars="7" w:firstLine="480"/>
        <w:rPr>
          <w:rFonts w:ascii="仿宋_GB2312" w:hAnsi="仿宋_GB2312" w:eastAsia="仿宋_GB2312" w:cs="仿宋_GB2312"/>
          <w:sz w:val="24"/>
        </w:rPr>
      </w:pPr>
      <w:r>
        <w:rPr>
          <w:rFonts w:hint="eastAsia" w:ascii="仿宋_GB2312" w:hAnsi="仿宋_GB2312" w:eastAsia="仿宋_GB2312" w:cs="仿宋_GB2312"/>
          <w:sz w:val="24"/>
        </w:rPr>
        <w:t>2、担保期限为自本保函生效之日起至</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之日止。</w:t>
      </w:r>
    </w:p>
    <w:p>
      <w:pPr>
        <w:adjustRightInd w:val="0"/>
        <w:snapToGrid w:val="0"/>
        <w:spacing w:line="360" w:lineRule="auto"/>
        <w:ind w:left="15" w:leftChars="7" w:firstLine="480"/>
        <w:rPr>
          <w:rFonts w:ascii="仿宋_GB2312" w:hAnsi="仿宋_GB2312" w:eastAsia="仿宋_GB2312" w:cs="仿宋_GB2312"/>
          <w:sz w:val="24"/>
        </w:rPr>
      </w:pPr>
      <w:r>
        <w:rPr>
          <w:rFonts w:hint="eastAsia" w:ascii="仿宋_GB2312" w:hAnsi="仿宋_GB2312" w:eastAsia="仿宋_GB2312" w:cs="仿宋_GB2312"/>
          <w:sz w:val="24"/>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ascii="仿宋_GB2312" w:hAnsi="仿宋_GB2312" w:eastAsia="仿宋_GB2312" w:cs="仿宋_GB2312"/>
          <w:sz w:val="24"/>
        </w:rPr>
      </w:pPr>
      <w:r>
        <w:rPr>
          <w:rFonts w:hint="eastAsia" w:ascii="仿宋_GB2312" w:hAnsi="仿宋_GB2312" w:eastAsia="仿宋_GB2312" w:cs="仿宋_GB2312"/>
          <w:sz w:val="24"/>
        </w:rPr>
        <w:t>4、你方和乙方按合同约定变更合同时，我方承担本担保规定的义务不变。</w:t>
      </w:r>
    </w:p>
    <w:p>
      <w:pPr>
        <w:adjustRightInd w:val="0"/>
        <w:snapToGrid w:val="0"/>
        <w:spacing w:line="360" w:lineRule="auto"/>
        <w:ind w:left="15" w:leftChars="7" w:firstLine="480"/>
        <w:rPr>
          <w:rFonts w:ascii="仿宋_GB2312" w:hAnsi="仿宋_GB2312" w:eastAsia="仿宋_GB2312" w:cs="仿宋_GB2312"/>
          <w:sz w:val="24"/>
        </w:rPr>
      </w:pPr>
      <w:r>
        <w:rPr>
          <w:rFonts w:hint="eastAsia" w:ascii="仿宋_GB2312" w:hAnsi="仿宋_GB2312" w:eastAsia="仿宋_GB2312" w:cs="仿宋_GB2312"/>
          <w:sz w:val="24"/>
        </w:rPr>
        <w:t>5、因本保函发生的纠纷，可由双方协商解决，协商不成的，任何一方均可提请在你方所在地人民法院起诉。</w:t>
      </w:r>
    </w:p>
    <w:p>
      <w:pPr>
        <w:adjustRightInd w:val="0"/>
        <w:snapToGrid w:val="0"/>
        <w:spacing w:line="360" w:lineRule="auto"/>
        <w:ind w:left="15" w:leftChars="7" w:firstLine="480"/>
        <w:rPr>
          <w:rFonts w:ascii="仿宋_GB2312" w:hAnsi="仿宋_GB2312" w:eastAsia="仿宋_GB2312" w:cs="仿宋_GB2312"/>
          <w:sz w:val="24"/>
        </w:rPr>
      </w:pPr>
      <w:r>
        <w:rPr>
          <w:rFonts w:hint="eastAsia" w:ascii="仿宋_GB2312" w:hAnsi="仿宋_GB2312" w:eastAsia="仿宋_GB2312" w:cs="仿宋_GB2312"/>
          <w:sz w:val="24"/>
        </w:rPr>
        <w:t>本保函自我方加盖公章之日起生效。</w:t>
      </w:r>
    </w:p>
    <w:p>
      <w:pPr>
        <w:adjustRightInd w:val="0"/>
        <w:snapToGrid w:val="0"/>
        <w:spacing w:line="360" w:lineRule="auto"/>
        <w:ind w:left="15" w:leftChars="7" w:firstLine="403" w:firstLineChars="168"/>
        <w:rPr>
          <w:rFonts w:ascii="仿宋_GB2312" w:hAnsi="仿宋_GB2312" w:eastAsia="仿宋_GB2312" w:cs="仿宋_GB2312"/>
          <w:sz w:val="24"/>
        </w:rPr>
      </w:pPr>
      <w:r>
        <w:rPr>
          <w:rFonts w:hint="eastAsia" w:ascii="仿宋_GB2312" w:hAnsi="仿宋_GB2312" w:eastAsia="仿宋_GB2312" w:cs="仿宋_GB2312"/>
          <w:sz w:val="24"/>
        </w:rPr>
        <w:t>担保人（盖公章）：</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签字：</w:t>
      </w:r>
    </w:p>
    <w:p>
      <w:pPr>
        <w:adjustRightInd w:val="0"/>
        <w:snapToGrid w:val="0"/>
        <w:spacing w:line="360" w:lineRule="auto"/>
        <w:ind w:left="15" w:leftChars="7" w:firstLine="403" w:firstLineChars="168"/>
        <w:rPr>
          <w:rFonts w:ascii="仿宋_GB2312" w:hAnsi="仿宋_GB2312" w:eastAsia="仿宋_GB2312" w:cs="仿宋_GB2312"/>
          <w:sz w:val="24"/>
          <w:u w:val="single"/>
        </w:rPr>
      </w:pPr>
      <w:r>
        <w:rPr>
          <w:rFonts w:hint="eastAsia" w:ascii="仿宋_GB2312" w:hAnsi="仿宋_GB2312" w:eastAsia="仿宋_GB2312" w:cs="仿宋_GB2312"/>
          <w:sz w:val="24"/>
        </w:rPr>
        <w:t>地址：</w:t>
      </w:r>
    </w:p>
    <w:p>
      <w:pPr>
        <w:adjustRightInd w:val="0"/>
        <w:snapToGrid w:val="0"/>
        <w:spacing w:line="360" w:lineRule="auto"/>
        <w:ind w:left="15" w:leftChars="7" w:firstLine="403" w:firstLineChars="168"/>
        <w:rPr>
          <w:rFonts w:ascii="仿宋_GB2312" w:hAnsi="仿宋_GB2312" w:eastAsia="仿宋_GB2312" w:cs="仿宋_GB2312"/>
          <w:sz w:val="24"/>
          <w:u w:val="single"/>
        </w:rPr>
      </w:pPr>
      <w:r>
        <w:rPr>
          <w:rFonts w:hint="eastAsia" w:ascii="仿宋_GB2312" w:hAnsi="仿宋_GB2312" w:eastAsia="仿宋_GB2312" w:cs="仿宋_GB2312"/>
          <w:sz w:val="24"/>
        </w:rPr>
        <w:t>邮政编码：</w:t>
      </w:r>
    </w:p>
    <w:p>
      <w:pPr>
        <w:adjustRightInd w:val="0"/>
        <w:snapToGrid w:val="0"/>
        <w:spacing w:line="360" w:lineRule="auto"/>
        <w:ind w:left="15" w:leftChars="7" w:firstLine="403" w:firstLineChars="168"/>
        <w:rPr>
          <w:rFonts w:ascii="仿宋_GB2312" w:hAnsi="仿宋_GB2312" w:eastAsia="仿宋_GB2312" w:cs="仿宋_GB2312"/>
          <w:sz w:val="24"/>
          <w:u w:val="single"/>
        </w:rPr>
      </w:pPr>
      <w:r>
        <w:rPr>
          <w:rFonts w:hint="eastAsia" w:ascii="仿宋_GB2312" w:hAnsi="仿宋_GB2312" w:eastAsia="仿宋_GB2312" w:cs="仿宋_GB2312"/>
          <w:sz w:val="24"/>
        </w:rPr>
        <w:t>电话：</w:t>
      </w:r>
    </w:p>
    <w:p>
      <w:pPr>
        <w:adjustRightInd w:val="0"/>
        <w:snapToGrid w:val="0"/>
        <w:spacing w:line="360" w:lineRule="auto"/>
        <w:ind w:left="15" w:leftChars="7" w:firstLine="403" w:firstLineChars="168"/>
        <w:rPr>
          <w:rFonts w:ascii="仿宋_GB2312" w:hAnsi="仿宋_GB2312" w:eastAsia="仿宋_GB2312" w:cs="仿宋_GB2312"/>
          <w:sz w:val="24"/>
        </w:rPr>
      </w:pPr>
      <w:r>
        <w:rPr>
          <w:rFonts w:hint="eastAsia" w:ascii="仿宋_GB2312" w:hAnsi="仿宋_GB2312" w:eastAsia="仿宋_GB2312" w:cs="仿宋_GB2312"/>
          <w:sz w:val="24"/>
        </w:rPr>
        <w:t>传真：</w:t>
      </w:r>
    </w:p>
    <w:p>
      <w:pPr>
        <w:adjustRightInd w:val="0"/>
        <w:snapToGrid w:val="0"/>
        <w:spacing w:line="360" w:lineRule="auto"/>
        <w:ind w:left="15" w:leftChars="7" w:firstLine="403" w:firstLineChars="168"/>
        <w:rPr>
          <w:rFonts w:ascii="仿宋_GB2312" w:hAnsi="仿宋_GB2312" w:eastAsia="仿宋_GB2312" w:cs="仿宋_GB2312"/>
        </w:rPr>
      </w:pPr>
      <w:r>
        <w:rPr>
          <w:rFonts w:hint="eastAsia" w:ascii="仿宋_GB2312" w:hAnsi="仿宋_GB2312" w:eastAsia="仿宋_GB2312" w:cs="仿宋_GB2312"/>
          <w:sz w:val="24"/>
        </w:rPr>
        <w:t>时间：</w:t>
      </w:r>
    </w:p>
    <w:bookmarkEnd w:id="104"/>
    <w:bookmarkEnd w:id="105"/>
    <w:p>
      <w:pPr>
        <w:widowControl/>
        <w:snapToGrid w:val="0"/>
        <w:spacing w:line="360" w:lineRule="auto"/>
        <w:jc w:val="center"/>
        <w:outlineLvl w:val="1"/>
        <w:rPr>
          <w:rFonts w:ascii="仿宋_GB2312" w:hAnsi="仿宋_GB2312" w:eastAsia="仿宋_GB2312" w:cs="仿宋_GB2312"/>
          <w:kern w:val="0"/>
          <w:sz w:val="20"/>
        </w:rPr>
      </w:pPr>
    </w:p>
    <w:p>
      <w:pPr>
        <w:widowControl/>
        <w:snapToGrid w:val="0"/>
        <w:spacing w:line="360" w:lineRule="auto"/>
        <w:jc w:val="center"/>
        <w:outlineLvl w:val="1"/>
        <w:rPr>
          <w:rFonts w:ascii="仿宋_GB2312" w:hAnsi="仿宋_GB2312" w:eastAsia="仿宋_GB2312" w:cs="仿宋_GB2312"/>
          <w:kern w:val="0"/>
          <w:sz w:val="20"/>
        </w:rPr>
      </w:pPr>
    </w:p>
    <w:p>
      <w:pPr>
        <w:widowControl/>
        <w:snapToGrid w:val="0"/>
        <w:spacing w:line="360" w:lineRule="auto"/>
        <w:jc w:val="center"/>
        <w:outlineLvl w:val="1"/>
        <w:rPr>
          <w:rFonts w:ascii="仿宋_GB2312" w:hAnsi="仿宋_GB2312" w:eastAsia="仿宋_GB2312" w:cs="仿宋_GB2312"/>
          <w:kern w:val="0"/>
          <w:sz w:val="20"/>
        </w:rPr>
      </w:pPr>
    </w:p>
    <w:p>
      <w:pPr>
        <w:widowControl/>
        <w:snapToGrid w:val="0"/>
        <w:spacing w:line="360" w:lineRule="auto"/>
        <w:jc w:val="center"/>
        <w:outlineLvl w:val="1"/>
        <w:rPr>
          <w:rFonts w:ascii="仿宋_GB2312" w:hAnsi="仿宋_GB2312" w:eastAsia="仿宋_GB2312" w:cs="仿宋_GB2312"/>
          <w:kern w:val="0"/>
          <w:sz w:val="20"/>
        </w:rPr>
      </w:pPr>
    </w:p>
    <w:p>
      <w:pPr>
        <w:widowControl/>
        <w:snapToGrid w:val="0"/>
        <w:jc w:val="left"/>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第五部分 招标文件/自主竞争性谈判文件/直接委托谈判文件、澄清与答疑文件及其他补充资料（如有，另册）</w:t>
      </w:r>
    </w:p>
    <w:p>
      <w:pPr>
        <w:widowControl/>
        <w:snapToGrid w:val="0"/>
        <w:spacing w:line="360" w:lineRule="auto"/>
        <w:jc w:val="center"/>
        <w:outlineLvl w:val="1"/>
        <w:rPr>
          <w:rFonts w:ascii="仿宋_GB2312" w:hAnsi="仿宋_GB2312" w:eastAsia="仿宋_GB2312" w:cs="仿宋_GB2312"/>
          <w:b/>
          <w:kern w:val="0"/>
          <w:sz w:val="32"/>
          <w:szCs w:val="32"/>
        </w:rPr>
      </w:pPr>
    </w:p>
    <w:p>
      <w:pPr>
        <w:widowControl/>
        <w:snapToGrid w:val="0"/>
        <w:spacing w:line="360" w:lineRule="auto"/>
        <w:jc w:val="center"/>
        <w:outlineLvl w:val="1"/>
        <w:rPr>
          <w:rFonts w:ascii="仿宋_GB2312" w:hAnsi="仿宋_GB2312" w:eastAsia="仿宋_GB2312" w:cs="仿宋_GB2312"/>
          <w:b/>
          <w:kern w:val="0"/>
          <w:sz w:val="32"/>
          <w:szCs w:val="32"/>
        </w:rPr>
      </w:pPr>
    </w:p>
    <w:p>
      <w:pPr>
        <w:widowControl/>
        <w:snapToGrid w:val="0"/>
        <w:spacing w:line="360" w:lineRule="auto"/>
        <w:jc w:val="center"/>
        <w:outlineLvl w:val="1"/>
        <w:rPr>
          <w:rFonts w:ascii="仿宋_GB2312" w:hAnsi="仿宋_GB2312" w:eastAsia="仿宋_GB2312" w:cs="仿宋_GB2312"/>
          <w:b/>
          <w:kern w:val="0"/>
          <w:sz w:val="32"/>
          <w:szCs w:val="32"/>
        </w:rPr>
      </w:pPr>
    </w:p>
    <w:p>
      <w:pPr>
        <w:widowControl/>
        <w:snapToGrid w:val="0"/>
        <w:spacing w:line="360" w:lineRule="auto"/>
        <w:jc w:val="center"/>
        <w:outlineLvl w:val="1"/>
        <w:rPr>
          <w:rFonts w:ascii="仿宋_GB2312" w:hAnsi="仿宋_GB2312" w:eastAsia="仿宋_GB2312" w:cs="仿宋_GB2312"/>
          <w:b/>
          <w:kern w:val="0"/>
          <w:sz w:val="32"/>
          <w:szCs w:val="32"/>
        </w:rPr>
      </w:pPr>
    </w:p>
    <w:p>
      <w:pPr>
        <w:widowControl/>
        <w:snapToGrid w:val="0"/>
        <w:jc w:val="left"/>
        <w:outlineLvl w:val="1"/>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第六部分 投标文件/谈判响应文件、澄清文件及其他补充资料（如有，另册）</w:t>
      </w:r>
    </w:p>
    <w:p>
      <w:pPr>
        <w:tabs>
          <w:tab w:val="left" w:pos="1248"/>
        </w:tabs>
        <w:adjustRightInd w:val="0"/>
        <w:snapToGrid w:val="0"/>
        <w:spacing w:line="360" w:lineRule="auto"/>
        <w:rPr>
          <w:rFonts w:ascii="仿宋_GB2312" w:hAnsi="仿宋_GB2312" w:eastAsia="仿宋_GB2312" w:cs="仿宋_GB2312"/>
        </w:rPr>
      </w:pPr>
    </w:p>
    <w:p>
      <w:pPr>
        <w:pStyle w:val="3"/>
        <w:keepNext w:val="0"/>
        <w:spacing w:line="360" w:lineRule="auto"/>
        <w:ind w:firstLine="482" w:firstLineChars="200"/>
        <w:rPr>
          <w:rFonts w:cs="宋体" w:asciiTheme="minorEastAsia" w:hAnsiTheme="minorEastAsia" w:eastAsiaTheme="minorEastAsia"/>
          <w:bCs w:val="0"/>
          <w:sz w:val="32"/>
          <w:szCs w:val="32"/>
        </w:rPr>
      </w:pPr>
      <w:r>
        <w:rPr>
          <w:rFonts w:hint="eastAsia" w:ascii="仿宋_GB2312" w:hAnsi="宋体" w:eastAsia="仿宋_GB2312" w:cs="仿宋_GB2312"/>
          <w:lang w:bidi="ar"/>
        </w:rPr>
        <w:br w:type="page"/>
      </w:r>
      <w:bookmarkStart w:id="126" w:name="_Toc6432"/>
      <w:r>
        <w:rPr>
          <w:rFonts w:hint="eastAsia" w:cs="宋体" w:asciiTheme="minorEastAsia" w:hAnsiTheme="minorEastAsia" w:eastAsiaTheme="minorEastAsia"/>
          <w:bCs w:val="0"/>
          <w:sz w:val="32"/>
          <w:szCs w:val="32"/>
        </w:rPr>
        <w:t>第六章  响应文件组成</w:t>
      </w:r>
      <w:bookmarkEnd w:id="126"/>
    </w:p>
    <w:p>
      <w:pPr>
        <w:spacing w:line="360" w:lineRule="auto"/>
        <w:ind w:firstLine="422" w:firstLineChars="200"/>
        <w:jc w:val="center"/>
        <w:rPr>
          <w:rFonts w:asciiTheme="minorEastAsia" w:hAnsiTheme="minorEastAsia" w:eastAsiaTheme="minorEastAsia"/>
          <w:b/>
        </w:rPr>
      </w:pPr>
    </w:p>
    <w:p>
      <w:pPr>
        <w:spacing w:line="360" w:lineRule="auto"/>
        <w:ind w:firstLine="420" w:firstLineChars="200"/>
        <w:jc w:val="center"/>
        <w:rPr>
          <w:rFonts w:asciiTheme="minorEastAsia" w:hAnsiTheme="minorEastAsia" w:eastAsiaTheme="minorEastAsia"/>
          <w:b/>
        </w:rPr>
      </w:pPr>
      <w:r>
        <w:rPr>
          <w:rFonts w:asciiTheme="minorEastAsia" w:hAnsiTheme="minorEastAsia" w:eastAsiaTheme="minorEastAsia"/>
        </w:rPr>
        <mc:AlternateContent>
          <mc:Choice Requires="wps">
            <w:drawing>
              <wp:anchor distT="0" distB="0" distL="114300" distR="114300" simplePos="0" relativeHeight="251661312" behindDoc="0" locked="0" layoutInCell="1" allowOverlap="1">
                <wp:simplePos x="0" y="0"/>
                <wp:positionH relativeFrom="column">
                  <wp:posOffset>4229100</wp:posOffset>
                </wp:positionH>
                <wp:positionV relativeFrom="paragraph">
                  <wp:posOffset>0</wp:posOffset>
                </wp:positionV>
                <wp:extent cx="1114425" cy="419100"/>
                <wp:effectExtent l="0" t="0" r="28575" b="19050"/>
                <wp:wrapNone/>
                <wp:docPr id="17" name="Quad Arrow 2"/>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200000"/>
                        </a:ln>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Quad Arrow 2" o:spid="_x0000_s1026" o:spt="202" type="#_x0000_t202" style="position:absolute;left:0pt;margin-left:333pt;margin-top:0pt;height:33pt;width:87.75pt;z-index:251661312;mso-width-relative:page;mso-height-relative:page;" fillcolor="#FFFFFF" filled="t" stroked="t" coordsize="21600,21600" o:gfxdata="UEsDBAoAAAAAAIdO4kAAAAAAAAAAAAAAAAAEAAAAZHJzL1BLAwQUAAAACACHTuJAFAGaltcAAAAH&#10;AQAADwAAAGRycy9kb3ducmV2LnhtbE2PQU/DMAyF70j8h8hI3FjSCaKpazoJJsSJSWyDc9Z4bVnj&#10;lCbrBr8e7wQXS8/Peu9zsTj7Tow4xDaQgWyiQCBVwbVUG9hunu9mIGKy5GwXCA18Y4RFeX1V2NyF&#10;E73huE614BCKuTXQpNTnUsaqQW/jJPRI7O3D4G1iOdTSDfbE4b6TU6W09LYlbmhsj08NVof10Rt4&#10;PCy3mj7H1VdVr979y2Y5ff34Meb2JlNzEAnP6e8YLviMDiUz7cKRXBSdAa01/5IM8GR7dp89gNhd&#10;9gpkWcj//OUvUEsDBBQAAAAIAIdO4kD6kSPuMwIAAIoEAAAOAAAAZHJzL2Uyb0RvYy54bWytVFFv&#10;0zAQfkfiP1h+Z2mqlm3R0ml0GkIaDDT4Aa7jNBa2z5zdJuPXc3ayUhWQ9oAfIl/v/N3d99316nqw&#10;hu0VBg2u5uXZjDPlJDTabWv+7evdmwvOQhSuEQacqvmTCvx69frVVe8rNYcOTKOQEYgLVe9r3sXo&#10;q6IIslNWhDPwypGzBbQikonbokHRE7o1xXw2e1v0gI1HkCoE+vV2dPIJEV8CCG2rpboFubPKxREV&#10;lRGRWgqd9oGvcrVtq2R8aNugIjM1p05j/lISum/St1hdiWqLwndaTiWIl5Rw0pMV2lHSA9StiILt&#10;UP8BZbVECNDGMwm2GBvJjFAX5eyEm8dOeJV7IaqDP5Ae/h+s/LT/jEw3NAnnnDlhSfEvO9GwG0To&#10;2TwR1PtQUdyjp8g4vIOBgnOzwd+D/B6Yg3Un3FblN50SDRVYppfF0dMRJySQTf8RGkokdhEy0NCi&#10;TewRH4zQSZyngzhqiEymlGW5WMyXnEnyLcrLcpbVK0T1/NpjiO8VWJYuNUcSP6OL/X2IqRpRPYek&#10;ZAGMbu60MdnA7WZtkO0FDcpdPrmBkzDjWE+lLC/OlyMD/8SY5fM3DKsjLZDRtua0D3SmIOMmwhJH&#10;I1tx2AyTABtonog6hHGEaYHp0gH+5Kyn8a15+LETqDgzHxzRf0lkpXnPxmJ5PicDjz2bY49wkqBq&#10;Hjkbr+s47sjOo952lGkU3MENSdbqzGbSdqxqqptGNJM8rVPagWM7R/3+C1n9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QBmpbXAAAABwEAAA8AAAAAAAAAAQAgAAAAIgAAAGRycy9kb3ducmV2Lnht&#10;bFBLAQIUABQAAAAIAIdO4kD6kSPuMwIAAIoEAAAOAAAAAAAAAAEAIAAAACYBAABkcnMvZTJvRG9j&#10;LnhtbFBLBQYAAAAABgAGAFkBAADLBQAAAAA=&#10;">
                <v:fill on="t" focussize="0,0"/>
                <v:stroke weight="1.25pt" color="#000000" miterlimit="2"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p>
    <w:p>
      <w:pPr>
        <w:spacing w:line="360" w:lineRule="auto"/>
        <w:ind w:firstLine="1044" w:firstLineChars="200"/>
        <w:jc w:val="center"/>
        <w:rPr>
          <w:rFonts w:cs="Courier New" w:asciiTheme="minorEastAsia" w:hAnsiTheme="minorEastAsia" w:eastAsiaTheme="minorEastAsia"/>
          <w:b/>
          <w:bCs/>
          <w:sz w:val="52"/>
          <w:szCs w:val="52"/>
        </w:rPr>
      </w:pPr>
    </w:p>
    <w:p>
      <w:pPr>
        <w:spacing w:line="360" w:lineRule="auto"/>
        <w:jc w:val="center"/>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自主竞争性谈判</w:t>
      </w:r>
    </w:p>
    <w:p>
      <w:pPr>
        <w:spacing w:line="360" w:lineRule="auto"/>
        <w:jc w:val="center"/>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响应文件</w:t>
      </w:r>
    </w:p>
    <w:p>
      <w:pPr>
        <w:pStyle w:val="2"/>
        <w:ind w:left="0" w:leftChars="0"/>
        <w:rPr>
          <w:rFonts w:asciiTheme="minorEastAsia" w:hAnsiTheme="minorEastAsia" w:eastAsiaTheme="minorEastAsia"/>
          <w:b/>
          <w:bCs/>
          <w:sz w:val="52"/>
          <w:szCs w:val="52"/>
        </w:rPr>
      </w:pPr>
    </w:p>
    <w:p>
      <w:pPr>
        <w:rPr>
          <w:rFonts w:asciiTheme="minorEastAsia" w:hAnsiTheme="minorEastAsia" w:eastAsiaTheme="minorEastAsia"/>
        </w:rPr>
      </w:pPr>
    </w:p>
    <w:p>
      <w:pPr>
        <w:pStyle w:val="2"/>
        <w:ind w:left="0" w:leftChars="0"/>
        <w:rPr>
          <w:rFonts w:asciiTheme="minorEastAsia" w:hAnsiTheme="minorEastAsia" w:eastAsiaTheme="minorEastAsia"/>
        </w:rPr>
      </w:pPr>
    </w:p>
    <w:p>
      <w:pPr>
        <w:pStyle w:val="25"/>
        <w:adjustRightInd w:val="0"/>
        <w:snapToGrid w:val="0"/>
        <w:spacing w:line="360" w:lineRule="auto"/>
        <w:rPr>
          <w:rFonts w:hAnsi="宋体"/>
          <w:b/>
          <w:bCs/>
          <w:sz w:val="32"/>
          <w:szCs w:val="32"/>
          <w:u w:val="single"/>
        </w:rPr>
      </w:pPr>
      <w:r>
        <w:rPr>
          <w:rFonts w:hint="eastAsia" w:hAnsi="宋体"/>
          <w:b/>
          <w:bCs/>
          <w:sz w:val="32"/>
          <w:szCs w:val="32"/>
        </w:rPr>
        <w:t>谈判项目名称：</w:t>
      </w:r>
      <w:r>
        <w:rPr>
          <w:rFonts w:hint="eastAsia" w:hAnsi="宋体"/>
          <w:b/>
          <w:bCs/>
          <w:sz w:val="32"/>
          <w:szCs w:val="32"/>
          <w:u w:val="single"/>
        </w:rPr>
        <w:t xml:space="preserve">                      </w:t>
      </w: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r>
        <w:rPr>
          <w:rFonts w:hint="eastAsia" w:hAnsi="宋体"/>
          <w:b/>
          <w:bCs/>
          <w:sz w:val="32"/>
          <w:szCs w:val="32"/>
        </w:rPr>
        <w:t>谈判单位名称：</w:t>
      </w:r>
      <w:r>
        <w:rPr>
          <w:rFonts w:hint="eastAsia" w:hAnsi="宋体"/>
          <w:b/>
          <w:bCs/>
          <w:sz w:val="32"/>
          <w:szCs w:val="32"/>
          <w:u w:val="single"/>
        </w:rPr>
        <w:t xml:space="preserve">      （加盖单位公章）</w:t>
      </w:r>
    </w:p>
    <w:p>
      <w:pPr>
        <w:pStyle w:val="25"/>
        <w:adjustRightInd w:val="0"/>
        <w:snapToGrid w:val="0"/>
        <w:spacing w:line="360" w:lineRule="auto"/>
        <w:rPr>
          <w:rFonts w:hAnsi="宋体"/>
          <w:b/>
          <w:bCs/>
          <w:sz w:val="32"/>
          <w:szCs w:val="32"/>
          <w:u w:val="single"/>
        </w:rPr>
      </w:pPr>
    </w:p>
    <w:p>
      <w:pPr>
        <w:pStyle w:val="25"/>
        <w:adjustRightInd w:val="0"/>
        <w:snapToGrid w:val="0"/>
        <w:spacing w:line="360" w:lineRule="auto"/>
        <w:rPr>
          <w:rFonts w:hAnsi="宋体"/>
          <w:b/>
          <w:bCs/>
          <w:sz w:val="32"/>
          <w:szCs w:val="32"/>
          <w:u w:val="single"/>
        </w:rPr>
      </w:pPr>
      <w:r>
        <w:rPr>
          <w:rFonts w:hint="eastAsia" w:hAnsi="宋体"/>
          <w:b/>
          <w:bCs/>
          <w:sz w:val="32"/>
          <w:szCs w:val="32"/>
        </w:rPr>
        <w:t>谈判项目编号：</w:t>
      </w:r>
      <w:r>
        <w:rPr>
          <w:rFonts w:hint="eastAsia" w:hAnsi="宋体"/>
          <w:b/>
          <w:bCs/>
          <w:sz w:val="32"/>
          <w:szCs w:val="32"/>
          <w:u w:val="single"/>
        </w:rPr>
        <w:t xml:space="preserve">                      </w:t>
      </w:r>
    </w:p>
    <w:p>
      <w:pPr>
        <w:spacing w:line="360" w:lineRule="auto"/>
        <w:rPr>
          <w:rFonts w:asciiTheme="minorEastAsia" w:hAnsiTheme="minorEastAsia" w:eastAsiaTheme="minorEastAsia"/>
          <w:b/>
          <w:bCs/>
          <w:sz w:val="44"/>
          <w:szCs w:val="44"/>
        </w:rPr>
      </w:pPr>
    </w:p>
    <w:p>
      <w:pPr>
        <w:pStyle w:val="25"/>
        <w:adjustRightInd w:val="0"/>
        <w:snapToGrid w:val="0"/>
        <w:spacing w:line="360" w:lineRule="auto"/>
        <w:jc w:val="center"/>
        <w:rPr>
          <w:rFonts w:asciiTheme="minorEastAsia" w:hAnsiTheme="minorEastAsia" w:eastAsiaTheme="minorEastAsia"/>
          <w:sz w:val="32"/>
          <w:szCs w:val="32"/>
        </w:rPr>
      </w:pPr>
    </w:p>
    <w:p>
      <w:pPr>
        <w:pStyle w:val="25"/>
        <w:adjustRightInd w:val="0"/>
        <w:snapToGrid w:val="0"/>
        <w:spacing w:line="360" w:lineRule="auto"/>
        <w:rPr>
          <w:rFonts w:asciiTheme="minorEastAsia" w:hAnsiTheme="minorEastAsia" w:eastAsiaTheme="minorEastAsia"/>
          <w:sz w:val="32"/>
          <w:szCs w:val="32"/>
        </w:rPr>
      </w:pPr>
    </w:p>
    <w:p>
      <w:pPr>
        <w:pStyle w:val="25"/>
        <w:adjustRightInd w:val="0"/>
        <w:snapToGrid w:val="0"/>
        <w:spacing w:line="360" w:lineRule="auto"/>
        <w:jc w:val="center"/>
        <w:rPr>
          <w:rFonts w:asciiTheme="minorEastAsia" w:hAnsiTheme="minorEastAsia" w:eastAsiaTheme="minorEastAsia"/>
          <w:sz w:val="32"/>
          <w:szCs w:val="32"/>
        </w:rPr>
      </w:pPr>
    </w:p>
    <w:p>
      <w:pPr>
        <w:pStyle w:val="25"/>
        <w:adjustRightInd w:val="0"/>
        <w:snapToGrid w:val="0"/>
        <w:spacing w:line="360" w:lineRule="auto"/>
        <w:jc w:val="center"/>
        <w:rPr>
          <w:rFonts w:hAnsi="宋体"/>
          <w:b/>
          <w:bCs/>
          <w:sz w:val="32"/>
          <w:szCs w:val="32"/>
        </w:rPr>
      </w:pPr>
      <w:r>
        <w:rPr>
          <w:rFonts w:hint="eastAsia" w:hAnsi="宋体"/>
          <w:b/>
          <w:bCs/>
          <w:sz w:val="32"/>
          <w:szCs w:val="32"/>
        </w:rPr>
        <w:t>日  期：</w:t>
      </w:r>
      <w:r>
        <w:rPr>
          <w:rFonts w:hint="eastAsia" w:hAnsi="宋体"/>
          <w:b/>
          <w:bCs/>
          <w:sz w:val="32"/>
          <w:szCs w:val="32"/>
          <w:u w:val="single"/>
        </w:rPr>
        <w:t xml:space="preserve">   </w:t>
      </w:r>
      <w:r>
        <w:rPr>
          <w:rFonts w:hint="eastAsia" w:hAnsi="宋体"/>
          <w:b/>
          <w:bCs/>
          <w:sz w:val="32"/>
          <w:szCs w:val="32"/>
        </w:rPr>
        <w:t>年</w:t>
      </w:r>
      <w:r>
        <w:rPr>
          <w:rFonts w:hint="eastAsia" w:hAnsi="宋体"/>
          <w:b/>
          <w:bCs/>
          <w:sz w:val="32"/>
          <w:szCs w:val="32"/>
          <w:u w:val="single"/>
        </w:rPr>
        <w:t xml:space="preserve">   </w:t>
      </w:r>
      <w:r>
        <w:rPr>
          <w:rFonts w:hint="eastAsia" w:hAnsi="宋体"/>
          <w:b/>
          <w:bCs/>
          <w:sz w:val="32"/>
          <w:szCs w:val="32"/>
        </w:rPr>
        <w:t>月</w:t>
      </w:r>
      <w:r>
        <w:rPr>
          <w:rFonts w:hint="eastAsia" w:hAnsi="宋体"/>
          <w:b/>
          <w:bCs/>
          <w:sz w:val="32"/>
          <w:szCs w:val="32"/>
          <w:u w:val="single"/>
        </w:rPr>
        <w:t xml:space="preserve">   </w:t>
      </w:r>
      <w:r>
        <w:rPr>
          <w:rFonts w:hint="eastAsia" w:hAnsi="宋体"/>
          <w:b/>
          <w:bCs/>
          <w:sz w:val="32"/>
          <w:szCs w:val="32"/>
        </w:rPr>
        <w:t>日</w:t>
      </w:r>
    </w:p>
    <w:p>
      <w:pPr>
        <w:pStyle w:val="25"/>
        <w:adjustRightInd w:val="0"/>
        <w:snapToGrid w:val="0"/>
        <w:spacing w:line="360" w:lineRule="auto"/>
        <w:jc w:val="center"/>
        <w:rPr>
          <w:rFonts w:asciiTheme="minorEastAsia" w:hAnsiTheme="minorEastAsia" w:eastAsiaTheme="minorEastAsia"/>
          <w:sz w:val="32"/>
          <w:szCs w:val="32"/>
        </w:rPr>
      </w:pPr>
    </w:p>
    <w:p>
      <w:pPr>
        <w:spacing w:line="360" w:lineRule="auto"/>
        <w:ind w:firstLine="883" w:firstLineChars="200"/>
        <w:jc w:val="center"/>
        <w:rPr>
          <w:rFonts w:asciiTheme="minorEastAsia" w:hAnsiTheme="minorEastAsia" w:eastAsiaTheme="minorEastAsia"/>
          <w:b/>
          <w:sz w:val="44"/>
          <w:szCs w:val="44"/>
        </w:rPr>
        <w:sectPr>
          <w:footerReference r:id="rId12" w:type="first"/>
          <w:headerReference r:id="rId10" w:type="default"/>
          <w:footerReference r:id="rId11" w:type="default"/>
          <w:pgSz w:w="12240" w:h="15840"/>
          <w:pgMar w:top="1440" w:right="1800" w:bottom="1440" w:left="1800" w:header="720" w:footer="720" w:gutter="0"/>
          <w:cols w:space="720" w:num="1"/>
          <w:titlePg/>
          <w:docGrid w:type="lines" w:linePitch="323" w:charSpace="0"/>
        </w:sectPr>
      </w:pPr>
    </w:p>
    <w:p>
      <w:pPr>
        <w:spacing w:line="360" w:lineRule="auto"/>
        <w:ind w:firstLine="643" w:firstLineChars="200"/>
        <w:jc w:val="center"/>
        <w:rPr>
          <w:rFonts w:cs="宋体" w:asciiTheme="minorEastAsia" w:hAnsiTheme="minorEastAsia" w:eastAsiaTheme="minorEastAsia"/>
          <w:b/>
          <w:bCs/>
          <w:sz w:val="32"/>
          <w:szCs w:val="32"/>
        </w:rPr>
      </w:pPr>
      <w:r>
        <w:rPr>
          <w:rFonts w:hint="eastAsia" w:asciiTheme="minorEastAsia" w:hAnsiTheme="minorEastAsia" w:eastAsiaTheme="minorEastAsia"/>
          <w:b/>
          <w:sz w:val="32"/>
          <w:szCs w:val="32"/>
        </w:rPr>
        <w:t>目   录</w:t>
      </w: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jc w:val="left"/>
        <w:rPr>
          <w:rFonts w:ascii="宋体" w:hAnsi="宋体"/>
          <w:szCs w:val="21"/>
        </w:rPr>
      </w:pPr>
      <w:r>
        <w:rPr>
          <w:rFonts w:hint="eastAsia" w:ascii="宋体" w:hAnsi="宋体"/>
          <w:szCs w:val="21"/>
        </w:rPr>
        <w:t>一、谈判承诺书</w:t>
      </w:r>
    </w:p>
    <w:p>
      <w:pPr>
        <w:adjustRightInd w:val="0"/>
        <w:snapToGrid w:val="0"/>
        <w:spacing w:line="360" w:lineRule="auto"/>
        <w:jc w:val="left"/>
        <w:rPr>
          <w:rFonts w:ascii="宋体" w:hAnsi="宋体"/>
          <w:szCs w:val="21"/>
        </w:rPr>
      </w:pPr>
      <w:r>
        <w:rPr>
          <w:rFonts w:hint="eastAsia" w:ascii="宋体" w:hAnsi="宋体"/>
          <w:szCs w:val="21"/>
        </w:rPr>
        <w:t>二、法定代表人身份证明书</w:t>
      </w:r>
    </w:p>
    <w:p>
      <w:pPr>
        <w:adjustRightInd w:val="0"/>
        <w:snapToGrid w:val="0"/>
        <w:spacing w:line="360" w:lineRule="auto"/>
        <w:jc w:val="left"/>
        <w:rPr>
          <w:rFonts w:ascii="宋体" w:hAnsi="宋体"/>
          <w:szCs w:val="21"/>
        </w:rPr>
      </w:pPr>
      <w:r>
        <w:rPr>
          <w:rFonts w:hint="eastAsia" w:ascii="宋体" w:hAnsi="宋体"/>
          <w:szCs w:val="21"/>
        </w:rPr>
        <w:t>三、授权委托书</w:t>
      </w:r>
    </w:p>
    <w:p>
      <w:pPr>
        <w:adjustRightInd w:val="0"/>
        <w:snapToGrid w:val="0"/>
        <w:spacing w:line="360" w:lineRule="auto"/>
        <w:jc w:val="left"/>
        <w:rPr>
          <w:rFonts w:ascii="宋体" w:hAnsi="宋体"/>
          <w:szCs w:val="21"/>
        </w:rPr>
      </w:pPr>
      <w:r>
        <w:rPr>
          <w:rFonts w:hint="eastAsia" w:ascii="宋体" w:hAnsi="宋体"/>
          <w:szCs w:val="21"/>
        </w:rPr>
        <w:t>四、谈判单位资格条件证明文件</w:t>
      </w:r>
    </w:p>
    <w:p>
      <w:pPr>
        <w:adjustRightInd w:val="0"/>
        <w:snapToGrid w:val="0"/>
        <w:spacing w:line="360" w:lineRule="auto"/>
        <w:jc w:val="left"/>
        <w:rPr>
          <w:rFonts w:ascii="宋体" w:hAnsi="宋体"/>
          <w:szCs w:val="21"/>
        </w:rPr>
      </w:pPr>
      <w:r>
        <w:rPr>
          <w:rFonts w:hint="eastAsia" w:ascii="宋体" w:hAnsi="宋体"/>
          <w:szCs w:val="21"/>
        </w:rPr>
        <w:t>五、服务方案</w:t>
      </w:r>
    </w:p>
    <w:p>
      <w:pPr>
        <w:adjustRightInd w:val="0"/>
        <w:snapToGrid w:val="0"/>
        <w:spacing w:line="360" w:lineRule="auto"/>
        <w:jc w:val="left"/>
        <w:rPr>
          <w:rFonts w:ascii="宋体" w:hAnsi="宋体"/>
          <w:szCs w:val="21"/>
        </w:rPr>
      </w:pPr>
      <w:r>
        <w:rPr>
          <w:rFonts w:hint="eastAsia" w:ascii="宋体" w:hAnsi="宋体"/>
          <w:szCs w:val="21"/>
        </w:rPr>
        <w:t>六、报价一览表</w:t>
      </w:r>
    </w:p>
    <w:p>
      <w:pPr>
        <w:adjustRightInd w:val="0"/>
        <w:snapToGrid w:val="0"/>
        <w:spacing w:line="360" w:lineRule="auto"/>
        <w:jc w:val="left"/>
        <w:rPr>
          <w:rFonts w:ascii="宋体" w:hAnsi="宋体"/>
          <w:szCs w:val="21"/>
        </w:rPr>
      </w:pPr>
      <w:r>
        <w:rPr>
          <w:rFonts w:hint="eastAsia" w:ascii="宋体" w:hAnsi="宋体"/>
          <w:szCs w:val="21"/>
        </w:rPr>
        <w:t>七、其他资料（如有）</w:t>
      </w:r>
    </w:p>
    <w:p>
      <w:pPr>
        <w:spacing w:line="360" w:lineRule="auto"/>
        <w:ind w:firstLine="480" w:firstLineChars="200"/>
        <w:jc w:val="center"/>
        <w:rPr>
          <w:rFonts w:asciiTheme="minorEastAsia" w:hAnsiTheme="minorEastAsia" w:eastAsiaTheme="minorEastAsia"/>
          <w:b/>
          <w:sz w:val="32"/>
          <w:szCs w:val="32"/>
        </w:rPr>
      </w:pPr>
      <w:r>
        <w:rPr>
          <w:rFonts w:hint="eastAsia" w:asciiTheme="minorEastAsia" w:hAnsiTheme="minorEastAsia" w:eastAsiaTheme="minorEastAsia"/>
          <w:sz w:val="24"/>
        </w:rPr>
        <w:br w:type="page"/>
      </w:r>
      <w:r>
        <w:rPr>
          <w:rFonts w:hint="eastAsia" w:cs="宋体" w:asciiTheme="minorEastAsia" w:hAnsiTheme="minorEastAsia" w:eastAsiaTheme="minorEastAsia"/>
          <w:b/>
          <w:sz w:val="32"/>
          <w:szCs w:val="32"/>
        </w:rPr>
        <w:t>一、谈判承诺书</w:t>
      </w: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致(采购单位)：</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我方已仔细研究了</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项目名称)的竞争性谈判文件（谈判项目编号：）的全部内容，</w:t>
      </w:r>
      <w:r>
        <w:rPr>
          <w:rFonts w:hint="eastAsia" w:asciiTheme="minorEastAsia" w:hAnsiTheme="minorEastAsia" w:eastAsiaTheme="minorEastAsia"/>
        </w:rPr>
        <w:t>知悉参加竞争性谈判的风险，我方承诺接受谈判文件的全部条款且无任何异议。</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一、参与本项目竞争性谈判活动系本公司自愿行为。</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二、我方同意在谈判文件中规定的提交响应文件截止时间起</w:t>
      </w:r>
      <w:r>
        <w:rPr>
          <w:rFonts w:hint="eastAsia" w:asciiTheme="minorEastAsia" w:hAnsiTheme="minorEastAsia" w:eastAsiaTheme="minorEastAsia"/>
          <w:u w:val="single"/>
        </w:rPr>
        <w:t>180</w:t>
      </w:r>
      <w:r>
        <w:rPr>
          <w:rFonts w:hint="eastAsia" w:asciiTheme="minorEastAsia" w:hAnsiTheme="minorEastAsia" w:eastAsiaTheme="minorEastAsia"/>
        </w:rPr>
        <w:t>日历天(响应文件有效期)遵守本响应文件中的承诺且在此期限期满之前均具有法律约束力。</w:t>
      </w:r>
    </w:p>
    <w:p>
      <w:pPr>
        <w:pStyle w:val="25"/>
        <w:adjustRightInd w:val="0"/>
        <w:snapToGrid w:val="0"/>
        <w:spacing w:line="360" w:lineRule="auto"/>
        <w:ind w:firstLine="420" w:firstLineChars="200"/>
        <w:rPr>
          <w:rFonts w:hAnsi="宋体"/>
        </w:rPr>
      </w:pPr>
      <w:r>
        <w:rPr>
          <w:rFonts w:hint="eastAsia" w:hAnsi="宋体"/>
        </w:rPr>
        <w:t>三、我方提交的响应文件均为正本</w:t>
      </w:r>
      <w:r>
        <w:rPr>
          <w:rFonts w:hint="eastAsia" w:hAnsi="宋体"/>
          <w:u w:val="single"/>
        </w:rPr>
        <w:t xml:space="preserve">  </w:t>
      </w:r>
      <w:r>
        <w:rPr>
          <w:rFonts w:hint="eastAsia" w:hAnsi="宋体"/>
        </w:rPr>
        <w:t>份和副本</w:t>
      </w:r>
      <w:r>
        <w:rPr>
          <w:rFonts w:hint="eastAsia" w:hAnsi="宋体"/>
          <w:u w:val="single"/>
        </w:rPr>
        <w:t xml:space="preserve">  </w:t>
      </w:r>
      <w:r>
        <w:rPr>
          <w:rFonts w:hint="eastAsia" w:hAnsi="宋体"/>
        </w:rPr>
        <w:t>份，电子文件（包括响应文件全部内容）</w:t>
      </w:r>
    </w:p>
    <w:p>
      <w:pPr>
        <w:pStyle w:val="25"/>
        <w:adjustRightInd w:val="0"/>
        <w:snapToGrid w:val="0"/>
        <w:spacing w:line="360" w:lineRule="auto"/>
        <w:rPr>
          <w:rFonts w:hAnsi="宋体"/>
          <w:bCs/>
        </w:rPr>
      </w:pPr>
      <w:r>
        <w:rPr>
          <w:rFonts w:hint="eastAsia" w:hAnsi="宋体"/>
          <w:u w:val="single"/>
        </w:rPr>
        <w:t xml:space="preserve">   </w:t>
      </w:r>
      <w:r>
        <w:rPr>
          <w:rFonts w:hint="eastAsia" w:hAnsi="宋体"/>
        </w:rPr>
        <w:t>份，并保证响应文件提供的数据和材料是真实、准确的，</w:t>
      </w:r>
      <w:r>
        <w:rPr>
          <w:rFonts w:hint="eastAsia" w:hAnsi="宋体"/>
          <w:b/>
          <w:bCs/>
        </w:rPr>
        <w:t>均无复制、粘贴之情形，</w:t>
      </w:r>
      <w:r>
        <w:rPr>
          <w:rFonts w:hint="eastAsia" w:hAnsi="宋体"/>
        </w:rPr>
        <w:t>且无低于成本的恶意报价行为。否则，愿承担由此引起的一切</w:t>
      </w:r>
      <w:r>
        <w:rPr>
          <w:rFonts w:hint="eastAsia" w:hAnsi="宋体"/>
          <w:bCs/>
        </w:rPr>
        <w:t>法律责任。</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四、遵守贵司各项管理制度和谈判现场纪律，服从现场工作人员管理，自觉维护贵司谈判活动秩序。</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五、保证没有组织、参与围标、串标行为。</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六、不与采购单位或者谈判评审小组成员或采购代理机构私下联络和串通以牟取中选；不以他人名义参与谈判或者以其他方式弄虚作假骗取中选；不在谈判结束后进行虚假、恶意质疑和投诉。</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七、我方承诺，若贵方需要，我方愿意提供任何与本次谈判有关的数据、情况和技术资料。</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八、我方承诺遵守相关法律法规及贵司的有关规定，保证在获得成交资格后，按照谈判文件确定的事项签订合同，履行双方所签订的合同，并承担合同规定的责任和义务。</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九、我方承诺在参与本次竞争性谈判过程中，若出现本文件第26条规定之情形，我方无条件接受条款规定作出的处罚。</w:t>
      </w:r>
    </w:p>
    <w:p>
      <w:pPr>
        <w:pStyle w:val="25"/>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十、我方承诺完全响应本文件第四章“用户需求书”及第五章“合同格式条款”内的全部内容。</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十一、如有违反本承诺书内容的行为，愿意承担由此产生的法律责任及后果。</w:t>
      </w:r>
    </w:p>
    <w:p>
      <w:pPr>
        <w:adjustRightInd w:val="0"/>
        <w:snapToGrid w:val="0"/>
        <w:spacing w:line="360" w:lineRule="auto"/>
        <w:ind w:firstLine="420" w:firstLineChars="200"/>
        <w:rPr>
          <w:rFonts w:asciiTheme="minorEastAsia" w:hAnsiTheme="minorEastAsia" w:eastAsiaTheme="minorEastAsia"/>
          <w:bCs/>
          <w:szCs w:val="21"/>
        </w:rPr>
      </w:pPr>
    </w:p>
    <w:p>
      <w:pPr>
        <w:spacing w:line="360" w:lineRule="auto"/>
        <w:ind w:firstLine="420" w:firstLineChars="200"/>
        <w:rPr>
          <w:rFonts w:asciiTheme="minorEastAsia" w:hAnsiTheme="minorEastAsia" w:eastAsiaTheme="minorEastAsia"/>
          <w:u w:val="single"/>
        </w:rPr>
      </w:pPr>
      <w:r>
        <w:rPr>
          <w:rFonts w:hint="eastAsia" w:asciiTheme="minorEastAsia" w:hAnsiTheme="minorEastAsia" w:eastAsiaTheme="minorEastAsia"/>
        </w:rPr>
        <w:t>谈判单位名称：</w:t>
      </w:r>
      <w:r>
        <w:rPr>
          <w:rFonts w:hint="eastAsia" w:asciiTheme="minorEastAsia" w:hAnsiTheme="minorEastAsia" w:eastAsiaTheme="minorEastAsia"/>
          <w:u w:val="single"/>
        </w:rPr>
        <w:t xml:space="preserve">    （盖单位章）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法定</w:t>
      </w:r>
      <w:r>
        <w:rPr>
          <w:rFonts w:hint="eastAsia" w:asciiTheme="minorEastAsia" w:hAnsiTheme="minorEastAsia" w:eastAsiaTheme="minorEastAsia"/>
        </w:rPr>
        <w:t>代表</w:t>
      </w:r>
      <w:r>
        <w:rPr>
          <w:rFonts w:hint="eastAsia" w:asciiTheme="minorEastAsia" w:hAnsiTheme="minorEastAsia" w:eastAsiaTheme="minorEastAsia"/>
          <w:szCs w:val="21"/>
        </w:rPr>
        <w:t>人(签字或盖章)：</w:t>
      </w:r>
    </w:p>
    <w:p>
      <w:pPr>
        <w:spacing w:line="360" w:lineRule="auto"/>
        <w:ind w:firstLine="420" w:firstLineChars="200"/>
        <w:rPr>
          <w:rFonts w:ascii="宋体"/>
          <w:szCs w:val="21"/>
        </w:rPr>
      </w:pPr>
      <w:r>
        <w:rPr>
          <w:rFonts w:hint="eastAsia"/>
          <w:szCs w:val="21"/>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firstLine="643" w:firstLineChars="200"/>
        <w:jc w:val="center"/>
        <w:rPr>
          <w:rFonts w:cs="宋体" w:asciiTheme="minorEastAsia" w:hAnsiTheme="minorEastAsia" w:eastAsiaTheme="minorEastAsia"/>
          <w:b/>
          <w:sz w:val="32"/>
          <w:szCs w:val="32"/>
        </w:rPr>
        <w:sectPr>
          <w:pgSz w:w="12240" w:h="15840"/>
          <w:pgMar w:top="1440" w:right="1800" w:bottom="1440" w:left="1800" w:header="720" w:footer="720" w:gutter="0"/>
          <w:cols w:space="720" w:num="1"/>
          <w:titlePg/>
          <w:docGrid w:type="lines" w:linePitch="323" w:charSpace="0"/>
        </w:sectPr>
      </w:pPr>
    </w:p>
    <w:p>
      <w:pPr>
        <w:adjustRightInd w:val="0"/>
        <w:snapToGrid w:val="0"/>
        <w:spacing w:line="360" w:lineRule="auto"/>
        <w:ind w:firstLine="643" w:firstLineChars="200"/>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二、法定代表人身份证明书</w:t>
      </w:r>
    </w:p>
    <w:p>
      <w:pPr>
        <w:snapToGrid w:val="0"/>
        <w:spacing w:line="360" w:lineRule="auto"/>
        <w:ind w:firstLine="420" w:firstLineChars="200"/>
        <w:rPr>
          <w:rFonts w:asciiTheme="minorEastAsia" w:hAnsiTheme="minorEastAsia" w:eastAsiaTheme="minorEastAsia"/>
          <w:szCs w:val="21"/>
        </w:rPr>
      </w:pP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rPr>
      </w:pPr>
      <w:r>
        <w:rPr>
          <w:rFonts w:hint="eastAsia" w:asciiTheme="minorEastAsia" w:hAnsiTheme="minorEastAsia" w:eastAsiaTheme="minorEastAsia"/>
          <w:szCs w:val="21"/>
        </w:rPr>
        <w:t>谈判单位</w:t>
      </w:r>
      <w:r>
        <w:rPr>
          <w:rFonts w:hint="eastAsia" w:cs="宋体" w:asciiTheme="minorEastAsia" w:hAnsiTheme="minorEastAsia" w:eastAsiaTheme="minorEastAsia"/>
          <w:kern w:val="0"/>
          <w:szCs w:val="21"/>
        </w:rPr>
        <w:t>名称：</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b/>
          <w:bCs/>
          <w:kern w:val="0"/>
          <w:szCs w:val="21"/>
          <w:u w:val="single"/>
        </w:rPr>
      </w:pPr>
      <w:r>
        <w:rPr>
          <w:rFonts w:hint="eastAsia" w:cs="宋体" w:asciiTheme="minorEastAsia" w:hAnsiTheme="minorEastAsia" w:eastAsiaTheme="minorEastAsia"/>
          <w:kern w:val="0"/>
          <w:szCs w:val="21"/>
        </w:rPr>
        <w:t>注册号：</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注册地址：</w:t>
      </w:r>
    </w:p>
    <w:p>
      <w:pPr>
        <w:spacing w:line="360" w:lineRule="auto"/>
        <w:ind w:firstLine="420" w:firstLineChars="200"/>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u w:val="single"/>
        </w:rPr>
      </w:pPr>
      <w:r>
        <w:rPr>
          <w:rFonts w:hint="eastAsia" w:cs="宋体" w:asciiTheme="minorEastAsia" w:hAnsiTheme="minorEastAsia" w:eastAsiaTheme="minorEastAsia"/>
          <w:kern w:val="0"/>
          <w:szCs w:val="21"/>
        </w:rPr>
        <w:t>经营期限：</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u w:val="single"/>
        </w:rPr>
      </w:pPr>
      <w:r>
        <w:rPr>
          <w:rFonts w:hint="eastAsia" w:cs="宋体" w:asciiTheme="minorEastAsia" w:hAnsiTheme="minorEastAsia" w:eastAsiaTheme="minorEastAsia"/>
          <w:kern w:val="0"/>
          <w:szCs w:val="21"/>
        </w:rPr>
        <w:t>经营范围：</w:t>
      </w:r>
    </w:p>
    <w:p>
      <w:pPr>
        <w:autoSpaceDE w:val="0"/>
        <w:autoSpaceDN w:val="0"/>
        <w:adjustRightInd w:val="0"/>
        <w:snapToGrid w:val="0"/>
        <w:spacing w:before="120" w:beforeLines="50" w:line="360" w:lineRule="auto"/>
        <w:ind w:firstLine="420" w:firstLineChars="200"/>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特此证明。</w:t>
      </w: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mc:AlternateContent>
          <mc:Choice Requires="wps">
            <w:drawing>
              <wp:anchor distT="0" distB="0" distL="114300" distR="114300" simplePos="0" relativeHeight="251663360" behindDoc="1" locked="0" layoutInCell="1" allowOverlap="1">
                <wp:simplePos x="0" y="0"/>
                <wp:positionH relativeFrom="column">
                  <wp:posOffset>2776220</wp:posOffset>
                </wp:positionH>
                <wp:positionV relativeFrom="paragraph">
                  <wp:posOffset>138430</wp:posOffset>
                </wp:positionV>
                <wp:extent cx="2355850" cy="1221105"/>
                <wp:effectExtent l="0" t="0" r="25400" b="17145"/>
                <wp:wrapNone/>
                <wp:docPr id="16" name="Rectangle 7"/>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a:solidFill>
                            <a:srgbClr val="000000"/>
                          </a:solidFill>
                          <a:miter lim="200000"/>
                        </a:ln>
                      </wps:spPr>
                      <wps:txb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wps:txbx>
                      <wps:bodyPr rot="0" vert="horz" wrap="square" lIns="91440" tIns="45720" rIns="91440" bIns="45720" anchor="t" anchorCtr="0" upright="1">
                        <a:noAutofit/>
                      </wps:bodyPr>
                    </wps:wsp>
                  </a:graphicData>
                </a:graphic>
              </wp:anchor>
            </w:drawing>
          </mc:Choice>
          <mc:Fallback>
            <w:pict>
              <v:rect id="Rectangle 7" o:spid="_x0000_s1026" o:spt="1" style="position:absolute;left:0pt;margin-left:218.6pt;margin-top:10.9pt;height:96.15pt;width:185.5pt;z-index:-251653120;mso-width-relative:page;mso-height-relative:page;" fillcolor="#FFFFFF" filled="t" stroked="t" coordsize="21600,21600" o:gfxdata="UEsDBAoAAAAAAIdO4kAAAAAAAAAAAAAAAAAEAAAAZHJzL1BLAwQUAAAACACHTuJAvIopNdYAAAAK&#10;AQAADwAAAGRycy9kb3ducmV2LnhtbE2Py07DMBBF90j8gzVI7KjtUEEU4lQCxAZVqRpQ125sEot4&#10;bMXug79nuoLl3Dm6j3p19hM72jm5gArkQgCz2AfjcFDw+fF2VwJLWaPRU0Cr4McmWDXXV7WuTDjh&#10;1h67PDAywVRpBWPOseI89aP1Oi1CtEi/rzB7nemcB25mfSJzP/FCiAfutUNKGHW0L6Ptv7uDV7CL&#10;KOS6jbnt3ovN+nnjdq+tU+r2RoonYNme8x8Ml/pUHRrqtA8HNIlNCpb3jwWhCgpJEwgoRUnC/iIs&#10;JfCm5v8nNL9QSwMEFAAAAAgAh07iQMJugyAvAgAAfwQAAA4AAABkcnMvZTJvRG9jLnhtbK1Uy27b&#10;MBC8F+g/ELzXstQoD8FyEDhwUSBtg6b9AJqiLKIkl13SltOv74pSXCftIYfqIHC1y+HM7FKL64M1&#10;bK8waHA1z2dzzpST0Gi3rfn3b+t3l5yFKFwjDDhV80cV+PXy7ZtF7ytVQAemUcgIxIWq9zXvYvRV&#10;lgXZKSvCDLxylGwBrYgU4jZrUPSEbk1WzOfnWQ/YeASpQqCvt2OST4j4GkBoWy3VLcidVS6OqKiM&#10;iCQpdNoHvkxs21bJ+KVtg4rM1JyUxvSmQ2i9Gd7ZciGqLQrfaTlREK+h8EKTFdrRoUeoWxEF26H+&#10;C8pqiRCgjTMJNhuFJEdIRT5/4c1DJ7xKWsjq4I+mh/8HKz/v75HphibhnDMnLHX8K7km3NYodjH4&#10;0/tQUdmDv8dBYfB3IH8E5mDVUZW6QYS+U6IhVvlQnz3bMASBtrJN/wkaQhe7CMmqQ4t2ACQT2CF1&#10;5PHYEXWITNLH4n1ZXpbULEm5vCjyfF6mM0T1tN1jiB8UWDYsao5EPsGL/V2IAx1RPZUk+mB0s9bG&#10;pAC3m5VBthc0Huv0TOjhtMw41tf8qizKhPwsF04h5un5F4TVkW6N0ZY0nRYZNxk2eDR6HQ+bw2T7&#10;BppHsg5hnFu6tbToAH9x1tPM1jz83AlUnJmPjuy/ys/OhiFPwVl5UVCAp5nNaUY4SVA1j5yNy1Uc&#10;L8bOo952dFKe5Dq4oZa1Opk5tHNkNfGmuUweT3doGPzTOFX9+W8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8iik11gAAAAoBAAAPAAAAAAAAAAEAIAAAACIAAABkcnMvZG93bnJldi54bWxQSwEC&#10;FAAUAAAACACHTuJAwm6DIC8CAAB/BAAADgAAAAAAAAABACAAAAAlAQAAZHJzL2Uyb0RvYy54bWxQ&#10;SwUGAAAAAAYABgBZAQAAxgUAAAAA&#10;">
                <v:fill on="t" focussize="0,0"/>
                <v:stroke color="#000000" miterlimit="2"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mc:Fallback>
        </mc:AlternateContent>
      </w:r>
      <w:r>
        <w:rPr>
          <w:rFonts w:asciiTheme="minorEastAsia" w:hAnsiTheme="minorEastAsia" w:eastAsiaTheme="minorEastAsia"/>
          <w:szCs w:val="21"/>
        </w:rPr>
        <mc:AlternateContent>
          <mc:Choice Requires="wps">
            <w:drawing>
              <wp:anchor distT="0" distB="0" distL="114300" distR="114300" simplePos="0" relativeHeight="251659264" behindDoc="1" locked="0" layoutInCell="1" allowOverlap="1">
                <wp:simplePos x="0" y="0"/>
                <wp:positionH relativeFrom="column">
                  <wp:posOffset>-111760</wp:posOffset>
                </wp:positionH>
                <wp:positionV relativeFrom="paragraph">
                  <wp:posOffset>146050</wp:posOffset>
                </wp:positionV>
                <wp:extent cx="2355850" cy="1221105"/>
                <wp:effectExtent l="0" t="0" r="25400" b="17145"/>
                <wp:wrapNone/>
                <wp:docPr id="15" name="Rectangle 6"/>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a:solidFill>
                            <a:srgbClr val="000000"/>
                          </a:solidFill>
                          <a:miter lim="200000"/>
                        </a:ln>
                      </wps:spPr>
                      <wps:txb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8.8pt;margin-top:11.5pt;height:96.15pt;width:185.5pt;z-index:-251657216;mso-width-relative:page;mso-height-relative:page;" fillcolor="#FFFFFF" filled="t" stroked="t" coordsize="21600,21600" o:gfxdata="UEsDBAoAAAAAAIdO4kAAAAAAAAAAAAAAAAAEAAAAZHJzL1BLAwQUAAAACACHTuJApacqyNkAAAAK&#10;AQAADwAAAGRycy9kb3ducmV2LnhtbE2Py07DMBBF90j8gzVI7FrbCS1VGqcSIDaoSkVAXbuxSSzi&#10;cRS7D/6eYUWXM3N059xyc/EDO9kpuoAK5FwAs9gG47BT8PnxOlsBi0mj0UNAq+DHRthUtzelLkw4&#10;47s9NaljFIKx0Ar6lMaC89j21us4D6NFun2FyetE49RxM+kzhfuBZ0IsudcO6UOvR/vc2/a7OXoF&#10;+xGF3NZjqpu3bLd92rn9S+2Uur+TYg0s2Uv6h+FPn9ShIqdDOKKJbFAwk49LQhVkOXUiIF/kD8AO&#10;tJCLHHhV8usK1S9QSwMEFAAAAAgAh07iQNJUVVsuAgAAfwQAAA4AAABkcnMvZTJvRG9jLnhtbK1U&#10;wW7bMAy9D9g/CLovjr26a404RZEiw4BuLdbtAxRZjoVJokYpcbqvHy27Wdrt0MN8MESTenrvkfLi&#10;6mAN2ysMGlzN89mcM+UkNNpta/792/rdBWchCtcIA07V/FEFfrV8+2bR+0oV0IFpFDICcaHqfc27&#10;GH2VZUF2yoowA68cJVtAKyKFuM0aFD2hW5MV8/l51gM2HkGqEOjrzZjkEyK+BhDaVkt1A3JnlYsj&#10;KiojIkkKnfaBLxPbtlUy3rVtUJGZmpPSmN50CK03wztbLkS1ReE7LScK4jUUXmiyQjs69Ah1I6Jg&#10;O9R/QVktEQK0cSbBZqOQ5AipyOcvvHnohFdJC1kd/NH08P9g5Zf9PTLd0CSUnDlhqeNfyTXhtkax&#10;88Gf3oeKyh78PQ4Kg78F+SMwB6uOqtQ1IvSdEg2xyof67NmGIQi0lW36z9AQuthFSFYdWrQDIJnA&#10;Dqkjj8eOqENkkj4W78vyoqRmScrlRZHn8zKdIaqn7R5D/KjAsmFRcyTyCV7sb0Mc6IjqqSTRB6Ob&#10;tTYmBbjdrAyyvaDxWKdnQg+nZcaxvuaXZVEm5Ge5cAoxT8+/IKyOdGuMtqTptMi4ybDBo9HreNgc&#10;Jts30DySdQjj3NKtpUUH+Iuznma25uHnTqDizHxyZP9lfnY2DHkKzsoPBQV4mtmcZoSTBFXzyNm4&#10;XMXxYuw86m1HJ+VJroNralmrk5lDO0dWE2+ay+TxdIeGwT+NU9Wf/8b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WnKsjZAAAACgEAAA8AAAAAAAAAAQAgAAAAIgAAAGRycy9kb3ducmV2LnhtbFBL&#10;AQIUABQAAAAIAIdO4kDSVFVbLgIAAH8EAAAOAAAAAAAAAAEAIAAAACgBAABkcnMvZTJvRG9jLnht&#10;bFBLBQYAAAAABgAGAFkBAADIBQAAAAA=&#10;">
                <v:fill on="t" focussize="0,0"/>
                <v:stroke color="#000000" miterlimit="2"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p>
    <w:p>
      <w:pPr>
        <w:snapToGrid w:val="0"/>
        <w:spacing w:line="360" w:lineRule="auto"/>
        <w:ind w:firstLine="420" w:firstLineChars="200"/>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r>
        <w:rPr>
          <w:rFonts w:ascii="宋体" w:hAnsi="宋体"/>
          <w:szCs w:val="21"/>
        </w:rPr>
        <mc:AlternateContent>
          <mc:Choice Requires="wps">
            <w:drawing>
              <wp:anchor distT="0" distB="0" distL="114300" distR="114300" simplePos="0" relativeHeight="251665408" behindDoc="0" locked="0" layoutInCell="1" allowOverlap="1">
                <wp:simplePos x="0" y="0"/>
                <wp:positionH relativeFrom="column">
                  <wp:posOffset>-116205</wp:posOffset>
                </wp:positionH>
                <wp:positionV relativeFrom="paragraph">
                  <wp:posOffset>195580</wp:posOffset>
                </wp:positionV>
                <wp:extent cx="2355850" cy="1221105"/>
                <wp:effectExtent l="0" t="0" r="25400" b="17145"/>
                <wp:wrapNone/>
                <wp:docPr id="14"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9.15pt;margin-top:15.4pt;height:96.15pt;width:185.5pt;z-index:251665408;mso-width-relative:page;mso-height-relative:page;" fillcolor="#FFFFFF" filled="t" stroked="t" coordsize="21600,21600" o:gfxdata="UEsDBAoAAAAAAIdO4kAAAAAAAAAAAAAAAAAEAAAAZHJzL1BLAwQUAAAACACHTuJASA60r9gAAAAK&#10;AQAADwAAAGRycy9kb3ducmV2LnhtbE2PMU/DMBCFdyT+g3VIbK0dW0AJcTqAisTYpgvbJTZJILaj&#10;2GkDv55jouPpPr33vWK7uIGd7BT74DVkawHM+iaY3rcajtVutQEWE3qDQ/BWw7eNsC2vrwrMTTj7&#10;vT0dUssoxMccNXQpjTnnsemsw7gOo/X0+wiTw0Tn1HIz4ZnC3cClEPfcYe+pocPRPne2+TrMTkPd&#10;yyP+7KtX4R53Kr0t1ef8/qL17U0mnoAlu6R/GP70SR1KcqrD7E1kg4ZVtlGEalCCJhCg7uQDsFqD&#10;lCoDXhb8ckL5C1BLAwQUAAAACACHTuJA9bFmCkACAACHBAAADgAAAGRycy9lMm9Eb2MueG1srVTB&#10;btQwEL0j8Q+W7zSbsIE2araqWhUhFahU+ACv4yQWtseMvZstP4PErR/B5yB+g4mTlm3h0AM5RJ7M&#10;+M2bNzM5PtlZw7YKgwZX8/xgwZlyEhrtupp/+njx4pCzEIVrhAGnan6jAj9ZPX92PPhKFdCDaRQy&#10;AnGhGnzN+xh9lWVB9sqKcABeOXK2gFZEMrHLGhQDoVuTFYvFq2wAbDyCVCHQ1/PJyWdEfAogtK2W&#10;6hzkxioXJ1RURkQqKfTaB75KbNtWyfihbYOKzNScKo3pTUnovB7f2epYVB0K32s5UxBPofCoJiu0&#10;o6T3UOciCrZB/ReU1RIhQBsPJNhsKiQpQlXki0faXPfCq1QLSR38vejh/8HK99srZLqhSVhy5oSl&#10;jv/6dvvzx3e2HMUZfKgo5tpf4Vhe8JcgPwfm4KwXrlOniDD0SjREKR/jswcXRiPQVbYe3kFD0GIT&#10;Iem0a9GOgKQA26V23Ny3Q+0ik/SxeFmWhyV1SpIvL4o8X5Qph6jurnsM8Y0Cy8ZDzZH6neDF9jLE&#10;kY6o7kISfTC6udDGJAO79ZlBthU0GxfpmdHDfphxbKj5UVmURMR6Uiq4LiV5EBb20Rbp+Rea1ZG2&#10;x2hb88P9IONm7Ua5Jtnjbr2bO7CG5oZURJjml7aXDj3gV84Gml2i9GUjUHFm3jrqxFG+XI7Dnoxl&#10;+bogA/c9632PcJKgah45m45ncVqQjUfd9ZQpT+U6OKXutTrpOnZ2YjXzpvlMcs+7NC7Avp2i/vw/&#10;V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SA60r9gAAAAKAQAADwAAAAAAAAABACAAAAAiAAAA&#10;ZHJzL2Rvd25yZXYueG1sUEsBAhQAFAAAAAgAh07iQPWxZgpAAgAAhwQAAA4AAAAAAAAAAQAgAAAA&#10;JwEAAGRycy9lMm9Eb2MueG1sUEsFBgAAAAAGAAYAWQEAANk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p>
    <w:p>
      <w:pPr>
        <w:snapToGrid w:val="0"/>
        <w:spacing w:line="360" w:lineRule="auto"/>
        <w:ind w:firstLine="420" w:firstLineChars="200"/>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pStyle w:val="2"/>
        <w:ind w:left="0" w:leftChars="0"/>
        <w:rPr>
          <w:rFonts w:asciiTheme="minorEastAsia" w:hAnsiTheme="minorEastAsia" w:eastAsiaTheme="minorEastAsia"/>
          <w:szCs w:val="21"/>
        </w:rPr>
      </w:pPr>
      <w:r>
        <w:rPr>
          <w:rFonts w:hint="eastAsia" w:ascii="宋体" w:hAnsi="宋体"/>
          <w:b/>
          <w:szCs w:val="21"/>
        </w:rPr>
        <w:t>备注：上述证件复印件可另附页，另附页时，证件复印件均须加盖单位公章。</w:t>
      </w:r>
    </w:p>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谈判单位名称（盖单位章）：</w:t>
      </w:r>
      <w:r>
        <w:rPr>
          <w:rFonts w:hint="eastAsia" w:asciiTheme="minorEastAsia" w:hAnsiTheme="minorEastAsia" w:eastAsiaTheme="minorEastAsia"/>
          <w:u w:val="single"/>
        </w:rPr>
        <w:t xml:space="preserve">    （盖单位章）    </w:t>
      </w:r>
    </w:p>
    <w:p>
      <w:pPr>
        <w:spacing w:line="360" w:lineRule="auto"/>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firstLine="480" w:firstLineChars="200"/>
        <w:jc w:val="center"/>
        <w:rPr>
          <w:rFonts w:asciiTheme="minorEastAsia" w:hAnsiTheme="minorEastAsia" w:eastAsiaTheme="minorEastAsia"/>
          <w:b/>
          <w:sz w:val="32"/>
          <w:szCs w:val="32"/>
        </w:rPr>
      </w:pPr>
      <w:r>
        <w:rPr>
          <w:rFonts w:asciiTheme="minorEastAsia" w:hAnsiTheme="minorEastAsia" w:eastAsiaTheme="minorEastAsia"/>
          <w:bCs/>
          <w:sz w:val="24"/>
        </w:rPr>
        <w:br w:type="page"/>
      </w:r>
      <w:r>
        <w:rPr>
          <w:rFonts w:hint="eastAsia" w:cs="宋体" w:asciiTheme="minorEastAsia" w:hAnsiTheme="minorEastAsia" w:eastAsiaTheme="minorEastAsia"/>
          <w:b/>
          <w:sz w:val="32"/>
          <w:szCs w:val="32"/>
        </w:rPr>
        <w:t>三、授权委托书</w:t>
      </w:r>
    </w:p>
    <w:p>
      <w:pPr>
        <w:adjustRightInd w:val="0"/>
        <w:snapToGrid w:val="0"/>
        <w:spacing w:line="360" w:lineRule="auto"/>
        <w:ind w:firstLine="562" w:firstLineChars="200"/>
        <w:jc w:val="center"/>
        <w:rPr>
          <w:rFonts w:asciiTheme="minorEastAsia" w:hAnsiTheme="minorEastAsia" w:eastAsiaTheme="minorEastAsia"/>
          <w:b/>
          <w:sz w:val="28"/>
          <w:szCs w:val="28"/>
        </w:rPr>
      </w:pP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本人</w:t>
      </w:r>
      <w:r>
        <w:rPr>
          <w:rFonts w:hint="eastAsia" w:cs="宋体" w:asciiTheme="minorEastAsia" w:hAnsiTheme="minorEastAsia" w:eastAsiaTheme="minorEastAsia"/>
          <w:kern w:val="0"/>
          <w:szCs w:val="21"/>
          <w:u w:val="single"/>
        </w:rPr>
        <w:t>（姓名、职务）</w:t>
      </w:r>
      <w:r>
        <w:rPr>
          <w:rFonts w:hint="eastAsia" w:cs="宋体" w:asciiTheme="minorEastAsia" w:hAnsiTheme="minorEastAsia" w:eastAsiaTheme="minorEastAsia"/>
          <w:kern w:val="0"/>
          <w:szCs w:val="21"/>
        </w:rPr>
        <w:t>系</w:t>
      </w:r>
      <w:r>
        <w:rPr>
          <w:rFonts w:hint="eastAsia" w:cs="宋体" w:asciiTheme="minorEastAsia" w:hAnsiTheme="minorEastAsia" w:eastAsiaTheme="minorEastAsia"/>
          <w:kern w:val="0"/>
          <w:szCs w:val="21"/>
          <w:u w:val="single"/>
        </w:rPr>
        <w:t>（</w:t>
      </w:r>
      <w:r>
        <w:rPr>
          <w:rFonts w:hint="eastAsia" w:asciiTheme="minorEastAsia" w:hAnsiTheme="minorEastAsia" w:eastAsiaTheme="minorEastAsia"/>
          <w:szCs w:val="21"/>
          <w:u w:val="single"/>
        </w:rPr>
        <w:t>谈判单位</w:t>
      </w:r>
      <w:r>
        <w:rPr>
          <w:rFonts w:hint="eastAsia" w:cs="宋体" w:asciiTheme="minorEastAsia" w:hAnsiTheme="minorEastAsia" w:eastAsiaTheme="minorEastAsia"/>
          <w:kern w:val="0"/>
          <w:szCs w:val="21"/>
          <w:u w:val="single"/>
        </w:rPr>
        <w:t>名称）</w:t>
      </w:r>
      <w:r>
        <w:rPr>
          <w:rFonts w:hint="eastAsia" w:cs="宋体" w:asciiTheme="minorEastAsia" w:hAnsiTheme="minorEastAsia" w:eastAsiaTheme="minorEastAsia"/>
          <w:kern w:val="0"/>
          <w:szCs w:val="21"/>
        </w:rPr>
        <w:t>的法定代表人，现授权</w:t>
      </w:r>
      <w:r>
        <w:rPr>
          <w:rFonts w:hint="eastAsia" w:cs="宋体" w:asciiTheme="minorEastAsia" w:hAnsiTheme="minorEastAsia" w:eastAsiaTheme="minorEastAsia"/>
          <w:kern w:val="0"/>
          <w:szCs w:val="21"/>
          <w:u w:val="single"/>
        </w:rPr>
        <w:t>（姓名、职务）</w:t>
      </w:r>
      <w:r>
        <w:rPr>
          <w:rFonts w:hint="eastAsia" w:cs="宋体" w:asciiTheme="minorEastAsia" w:hAnsiTheme="minorEastAsia" w:eastAsiaTheme="minorEastAsia"/>
          <w:kern w:val="0"/>
          <w:szCs w:val="21"/>
        </w:rPr>
        <w:t>为我方代理人。代理人根据授权，以我方名义签署、澄清、补正、修改、撤回、提交</w:t>
      </w:r>
      <w:r>
        <w:rPr>
          <w:rFonts w:hint="eastAsia" w:cs="宋体" w:asciiTheme="minorEastAsia" w:hAnsiTheme="minorEastAsia" w:eastAsiaTheme="minorEastAsia"/>
          <w:kern w:val="0"/>
          <w:szCs w:val="21"/>
          <w:u w:val="single"/>
        </w:rPr>
        <w:t>（项目名称、</w:t>
      </w:r>
      <w:r>
        <w:rPr>
          <w:rFonts w:hint="eastAsia" w:asciiTheme="minorEastAsia" w:hAnsiTheme="minorEastAsia" w:eastAsiaTheme="minorEastAsia"/>
          <w:szCs w:val="21"/>
          <w:u w:val="single"/>
        </w:rPr>
        <w:t>项目</w:t>
      </w:r>
      <w:r>
        <w:rPr>
          <w:rFonts w:hint="eastAsia" w:cs="宋体" w:asciiTheme="minorEastAsia" w:hAnsiTheme="minorEastAsia" w:eastAsiaTheme="minorEastAsia"/>
          <w:kern w:val="0"/>
          <w:szCs w:val="21"/>
          <w:u w:val="single"/>
        </w:rPr>
        <w:t>编号）</w:t>
      </w:r>
      <w:r>
        <w:rPr>
          <w:rFonts w:hint="eastAsia" w:cs="宋体" w:asciiTheme="minorEastAsia" w:hAnsiTheme="minorEastAsia" w:eastAsiaTheme="minorEastAsia"/>
          <w:kern w:val="0"/>
          <w:szCs w:val="21"/>
        </w:rPr>
        <w:t>响应文件及与本谈判项目的有关事宜，其法律后果由我方承担。</w:t>
      </w:r>
    </w:p>
    <w:p>
      <w:pPr>
        <w:spacing w:line="360" w:lineRule="auto"/>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代理人无转委托权。</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本授权书于</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日签字生效，特此声明。</w:t>
      </w:r>
    </w:p>
    <w:p>
      <w:pPr>
        <w:tabs>
          <w:tab w:val="center" w:pos="4320"/>
        </w:tabs>
        <w:adjustRightInd w:val="0"/>
        <w:snapToGrid w:val="0"/>
        <w:spacing w:before="120" w:beforeLines="50" w:line="360" w:lineRule="auto"/>
        <w:ind w:firstLine="420" w:firstLineChars="200"/>
        <w:rPr>
          <w:rFonts w:asciiTheme="minorEastAsia" w:hAnsiTheme="minorEastAsia" w:eastAsiaTheme="minorEastAsia"/>
          <w:szCs w:val="21"/>
        </w:rPr>
      </w:pPr>
      <w:r>
        <w:rPr>
          <w:rFonts w:ascii="宋体" w:hAnsi="宋体"/>
          <w:szCs w:val="21"/>
        </w:rPr>
        <mc:AlternateContent>
          <mc:Choice Requires="wps">
            <w:drawing>
              <wp:anchor distT="0" distB="0" distL="114300" distR="114300" simplePos="0" relativeHeight="251666432" behindDoc="1" locked="0" layoutInCell="1" allowOverlap="1">
                <wp:simplePos x="0" y="0"/>
                <wp:positionH relativeFrom="column">
                  <wp:posOffset>-116205</wp:posOffset>
                </wp:positionH>
                <wp:positionV relativeFrom="paragraph">
                  <wp:posOffset>129540</wp:posOffset>
                </wp:positionV>
                <wp:extent cx="2355850" cy="1221105"/>
                <wp:effectExtent l="0" t="0" r="25400" b="17145"/>
                <wp:wrapNone/>
                <wp:docPr id="13" name="矩形 3"/>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wps:spPr>
                      <wps:txb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9.15pt;margin-top:10.2pt;height:96.15pt;width:185.5pt;z-index:-251650048;mso-width-relative:page;mso-height-relative:page;" fillcolor="#FFFFFF" filled="t" stroked="t" coordsize="21600,21600" o:gfxdata="UEsDBAoAAAAAAIdO4kAAAAAAAAAAAAAAAAAEAAAAZHJzL1BLAwQUAAAACACHTuJAlkxt0NgAAAAK&#10;AQAADwAAAGRycy9kb3ducmV2LnhtbE2PPU/DMBCGdyT+g3VIbK2dhI8S4nQAFYmxTRe2S2ySQHyO&#10;YqcN/HqOCbb7ePTec8V2cYM42Sn0njQkawXCUuNNT62GY7VbbUCEiGRw8GQ1fNkA2/LyosDc+DPt&#10;7ekQW8EhFHLU0MU45lKGprMOw9qPlnj37ieHkduplWbCM4e7QaZK3UmHPfGFDkf71Nnm8zA7DXWf&#10;HvF7X70o97DL4utSfcxvz1pfXyXqEUS0S/yD4Vef1aFkp9rPZIIYNKySTcaohlTdgGAgu03vQdQ8&#10;SLiQZSH/v1D+AFBLAwQUAAAACACHTuJA4j5grUACAACHBAAADgAAAGRycy9lMm9Eb2MueG1srVTB&#10;btQwEL0j8Q+W7zSbtIFt1GxVtSpCKlCp8AFex0ksbI8ZezdbfgaJGx/B5yB+g4mTlm3h0AM5RJ7M&#10;+M2bNzM5Od1Zw7YKgwZX8/xgwZlyEhrtupp//HD5YslZiMI1woBTNb9VgZ+unj87GXylCujBNAoZ&#10;gbhQDb7mfYy+yrIge2VFOACvHDlbQCsimdhlDYqB0K3JisXiZTYANh5BqhDo68Xk5DMiPgUQ2lZL&#10;dQFyY5WLEyoqIyKVFHrtA18ltm2rZHzftkFFZmpOlcb0piR0Xo/vbHUiqg6F77WcKYinUHhUkxXa&#10;UdJ7qAsRBdug/gvKaokQoI0HEmw2FZIUoSryxSNtbnrhVaqFpA7+XvTw/2Dlu+01Mt3QJBxy5oSl&#10;jv/6+v3nj2/scBRn8KGimBt/jWN5wV+B/BSYg/NeuE6dIcLQK9EQpXyMzx5cGI1AV9l6eAsNQYtN&#10;hKTTrkU7ApICbJfacXvfDrWLTNLH4rAslyV1SpIvL4o8X5Qph6jurnsM8bUCy8ZDzZH6neDF9irE&#10;kY6o7kISfTC6udTGJAO79blBthU0G5fpmdHDfphxbKj5cVmURMR6Uiq4LiV5EBb20Rbp+Rea1ZG2&#10;x2hb8+V+kHGzdqNck+xxt97NHVhDc0sqIkzzS9tLhx7wC2cDzS5R+rwRqDgzbxx14jg/OhqHPRlH&#10;5auCDNz3rPc9wkmCqnnkbDqex2lBNh5111OmPJXr4Iy61+qk69jZidXMm+YzyT3v0rgA+3aK+vP/&#10;WP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kxt0NgAAAAKAQAADwAAAAAAAAABACAAAAAiAAAA&#10;ZHJzL2Rvd25yZXYueG1sUEsBAhQAFAAAAAgAh07iQOI+YK1AAgAAhwQAAA4AAAAAAAAAAQAgAAAA&#10;JwEAAGRycy9lMm9Eb2MueG1sUEsFBgAAAAAGAAYAWQEAANk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r>
        <w:rPr>
          <w:rFonts w:hint="eastAsia" w:asciiTheme="minorEastAsia" w:hAnsiTheme="minorEastAsia" w:eastAsiaTheme="minorEastAsia"/>
          <w:szCs w:val="21"/>
        </w:rPr>
        <w:tab/>
      </w:r>
      <w:r>
        <w:rPr>
          <w:rFonts w:ascii="宋体" w:hAnsi="宋体"/>
          <w:szCs w:val="21"/>
        </w:rPr>
        <mc:AlternateContent>
          <mc:Choice Requires="wps">
            <w:drawing>
              <wp:anchor distT="0" distB="0" distL="114300" distR="114300" simplePos="0" relativeHeight="251667456" behindDoc="1" locked="0" layoutInCell="1" allowOverlap="1">
                <wp:simplePos x="0" y="0"/>
                <wp:positionH relativeFrom="column">
                  <wp:posOffset>2967355</wp:posOffset>
                </wp:positionH>
                <wp:positionV relativeFrom="paragraph">
                  <wp:posOffset>118745</wp:posOffset>
                </wp:positionV>
                <wp:extent cx="2355850" cy="1221105"/>
                <wp:effectExtent l="0" t="0" r="25400" b="17145"/>
                <wp:wrapNone/>
                <wp:docPr id="12"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wps:spPr>
                      <wps:txb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33.65pt;margin-top:9.35pt;height:96.15pt;width:185.5pt;z-index:-251649024;mso-width-relative:page;mso-height-relative:page;" fillcolor="#FFFFFF" filled="t" stroked="t" coordsize="21600,21600" o:gfxdata="UEsDBAoAAAAAAIdO4kAAAAAAAAAAAAAAAAAEAAAAZHJzL1BLAwQUAAAACACHTuJAqIo+x9gAAAAK&#10;AQAADwAAAGRycy9kb3ducmV2LnhtbE2PwU6DQBCG7ya+w2ZMvNldwLQUWXrQ1MRjSy/eFpgCys4S&#10;dmnRp3c86XHm//LPN/lusYO44OR7RxqilQKBVLump1bDqdw/pCB8MNSYwRFq+EIPu+L2JjdZ4650&#10;wMsxtIJLyGdGQxfCmEnp6w6t8Ss3InF2dpM1gceplc1krlxuBxkrtZbW9MQXOjPic4f153G2Gqo+&#10;PpnvQ/mq7HafhLel/JjfX7S+v4vUE4iAS/iD4Vef1aFgp8rN1HgxaHhcbxJGOUg3IBhIk5QXlYY4&#10;ihTIIpf/Xyh+AFBLAwQUAAAACACHTuJA4nrjPz8CAACHBAAADgAAAGRycy9lMm9Eb2MueG1srVTB&#10;btQwEL0j8Q+W7zSbsIE2araqWhUhFahU+ACv4yQWtseMvZstP4PErR/B5yB+g4mTlm3h0AM5RJ7M&#10;+M2bNzM5PtlZw7YKgwZX8/xgwZlyEhrtupp/+njx4pCzEIVrhAGnan6jAj9ZPX92PPhKFdCDaRQy&#10;AnGhGnzN+xh9lWVB9sqKcABeOXK2gFZEMrHLGhQDoVuTFYvFq2wAbDyCVCHQ1/PJyWdEfAogtK2W&#10;6hzkxioXJ1RURkQqKfTaB75KbNtWyfihbYOKzNScKo3pTUnovB7f2epYVB0K32s5UxBPofCoJiu0&#10;o6T3UOciCrZB/ReU1RIhQBsPJNhsKiQpQlXki0faXPfCq1QLSR38vejh/8HK99srZLqhSSg4c8JS&#10;x399u/354ztbjuIMPlQUc+2vcCwv+EuQnwNzcNYL16lTRBh6JRqilI/x2YMLoxHoKlsP76AhaLGJ&#10;kHTatWhHQFKA7VI7bu7boXaRSfpYvCzLw5I6JcmXF0WeL8qUQ1R31z2G+EaBZeOh5kj9TvBiexni&#10;SEdUdyGJPhjdXGhjkoHd+swg2wqajYv0zOhhP8w4NtT8qCxKImI9KRVcl5I8CAv7aIv0/AvN6kjb&#10;Y7St+eF+kHGzdqNck+xxt97NHVhDc0MqIkzzS9tLhx7wK2cDzS5R+rIRqDgzbx114ihfLsdhT8ay&#10;fF2Qgfue9b5HOElQNY+cTcezOC3IxqPuesqUp3IdnFL3Wp10HTs7sZp503wmueddGhdg305Rf/4f&#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oij7H2AAAAAoBAAAPAAAAAAAAAAEAIAAAACIAAABk&#10;cnMvZG93bnJldi54bWxQSwECFAAUAAAACACHTuJA4nrjPz8CAACHBAAADgAAAAAAAAABACAAAAAn&#10;AQAAZHJzL2Uyb0RvYy54bWxQSwUGAAAAAAYABgBZAQAA2A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mc:Fallback>
        </mc:AlternateConten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tabs>
          <w:tab w:val="center" w:pos="4320"/>
        </w:tabs>
        <w:adjustRightInd w:val="0"/>
        <w:snapToGrid w:val="0"/>
        <w:spacing w:line="360" w:lineRule="auto"/>
        <w:ind w:firstLine="420" w:firstLineChars="200"/>
        <w:rPr>
          <w:rFonts w:asciiTheme="minorEastAsia" w:hAnsiTheme="minorEastAsia" w:eastAsiaTheme="minorEastAsia"/>
          <w:szCs w:val="21"/>
        </w:rPr>
      </w:pPr>
      <w:r>
        <w:rPr>
          <w:rFonts w:ascii="宋体" w:hAnsi="宋体"/>
          <w:szCs w:val="21"/>
        </w:rPr>
        <mc:AlternateContent>
          <mc:Choice Requires="wps">
            <w:drawing>
              <wp:anchor distT="0" distB="0" distL="114300" distR="114300" simplePos="0" relativeHeight="251668480" behindDoc="0" locked="0" layoutInCell="1" allowOverlap="1">
                <wp:simplePos x="0" y="0"/>
                <wp:positionH relativeFrom="column">
                  <wp:posOffset>-118745</wp:posOffset>
                </wp:positionH>
                <wp:positionV relativeFrom="paragraph">
                  <wp:posOffset>-121285</wp:posOffset>
                </wp:positionV>
                <wp:extent cx="2355850" cy="1221105"/>
                <wp:effectExtent l="0" t="0" r="25400" b="17145"/>
                <wp:wrapNone/>
                <wp:docPr id="11"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wps:spPr>
                      <wps:txbx>
                        <w:txbxContent>
                          <w:p/>
                          <w:p>
                            <w:pPr>
                              <w:ind w:firstLine="211" w:firstLineChars="100"/>
                              <w:rPr>
                                <w:b/>
                              </w:rPr>
                            </w:pPr>
                            <w:r>
                              <w:rPr>
                                <w:rFonts w:hint="eastAsia"/>
                                <w:b/>
                              </w:rPr>
                              <w:t>附：</w:t>
                            </w:r>
                          </w:p>
                          <w:p>
                            <w:pPr>
                              <w:rPr>
                                <w:b/>
                              </w:rPr>
                            </w:pPr>
                            <w:r>
                              <w:rPr>
                                <w:rFonts w:hint="eastAsia"/>
                                <w:b/>
                              </w:rPr>
                              <w:t>委托代理人身份证（正面）复印件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9.35pt;margin-top:-9.55pt;height:96.15pt;width:185.5pt;z-index:251668480;mso-width-relative:page;mso-height-relative:page;" fillcolor="#FFFFFF" filled="t" stroked="t" coordsize="21600,21600" o:gfxdata="UEsDBAoAAAAAAIdO4kAAAAAAAAAAAAAAAAAEAAAAZHJzL1BLAwQUAAAACACHTuJAqK8FjdkAAAAL&#10;AQAADwAAAGRycy9kb3ducmV2LnhtbE2PwU6DQBCG7ya+w2ZMvLW7QGpbZOlBU5MeW3rxNsAKKDtL&#10;2KVFn97pSW8zmS//fH+2m20vLmb0nSMN0VKBMFS5uqNGw7nYLzYgfECqsXdkNHwbD7v8/i7DtHZX&#10;OprLKTSCQ8inqKENYUil9FVrLPqlGwzx7cONFgOvYyPrEa8cbnsZK/UkLXbEH1oczEtrqq/TZDWU&#10;XXzGn2Pxpux2n4TDXHxO769aPz5E6hlEMHP4g+Gmz+qQs1PpJqq96DUsos2a0duwjUAwkaziBETJ&#10;6DqJQeaZ/N8h/wVQSwMEFAAAAAgAh07iQEkcmcg/AgAAhwQAAA4AAABkcnMvZTJvRG9jLnhtbK1U&#10;wW7UMBC9I/EPlu80m7CBNmq2qloVIRWoVPgAr+MkFrbHjL2bLT+DxK0fwecgfoOJk5Zt4dADOUSe&#10;zPjNmzczOT7ZWcO2CoMGV/P8YMGZchIa7bqaf/p48eKQsxCFa4QBp2p+owI/WT1/djz4ShXQg2kU&#10;MgJxoRp8zfsYfZVlQfbKinAAXjlytoBWRDKxyxoUA6FbkxWLxatsAGw8glQh0NfzyclnRHwKILSt&#10;luoc5MYqFydUVEZEKin02ge+SmzbVsn4oW2DiszUnCqN6U1J6Lwe39nqWFQdCt9rOVMQT6HwqCYr&#10;tKOk91DnIgq2Qf0XlNUSIUAbDyTYbCokKUJV5ItH2lz3wqtUC0kd/L3o4f/ByvfbK2S6oUnIOXPC&#10;Usd/fbv9+eM7W47iDD5UFHPtr3AsL/hLkJ8Dc3DWC9epU0QYeiUaopSP8dmDC6MR6CpbD++gIWix&#10;iZB02rVoR0BSgO1SO27u26F2kUn6WLwsy8OSOiXJlxdFni/KlENUd9c9hvhGgWXjoeZI/U7wYnsZ&#10;4khHVHchiT4Y3VxoY5KB3frMINsKmo2L9MzoYT/MODbU/KgsSiJiPSkVXJeSPAgL+2iL9PwLzepI&#10;22O0rfnhfpBxs3ajXJPscbfezR1YQ3NDKiJM80vbS4ce8CtnA80uUfqyEag4M28ddeIoXy7HYU/G&#10;snxdkIH7nvW+RzhJUDWPnE3HszgtyMaj7nrKlKdyHZxS91qddB07O7GaedN8JrnnXRoXYN9OUX/+&#10;H6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qK8FjdkAAAALAQAADwAAAAAAAAABACAAAAAiAAAA&#10;ZHJzL2Rvd25yZXYueG1sUEsBAhQAFAAAAAgAh07iQEkcmcg/AgAAhwQAAA4AAAAAAAAAAQAgAAAA&#10;KAEAAGRycy9lMm9Eb2MueG1sUEsFBgAAAAAGAAYAWQEAANkFA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委托代理人身份证（正面）复印件</w:t>
                      </w:r>
                    </w:p>
                    <w:p/>
                  </w:txbxContent>
                </v:textbox>
              </v:rect>
            </w:pict>
          </mc:Fallback>
        </mc:AlternateContent>
      </w:r>
      <w:r>
        <w:rPr>
          <w:rFonts w:hint="eastAsia" w:asciiTheme="minorEastAsia" w:hAnsiTheme="minorEastAsia" w:eastAsiaTheme="minorEastAsia"/>
          <w:szCs w:val="21"/>
        </w:rPr>
        <w:tab/>
      </w:r>
      <w:r>
        <w:rPr>
          <w:rFonts w:ascii="宋体" w:hAnsi="宋体"/>
          <w:szCs w:val="21"/>
        </w:rPr>
        <mc:AlternateContent>
          <mc:Choice Requires="wps">
            <w:drawing>
              <wp:anchor distT="0" distB="0" distL="114300" distR="114300" simplePos="0" relativeHeight="251669504" behindDoc="1" locked="0" layoutInCell="1" allowOverlap="1">
                <wp:simplePos x="0" y="0"/>
                <wp:positionH relativeFrom="column">
                  <wp:posOffset>2967355</wp:posOffset>
                </wp:positionH>
                <wp:positionV relativeFrom="paragraph">
                  <wp:posOffset>-130810</wp:posOffset>
                </wp:positionV>
                <wp:extent cx="2355850" cy="1221105"/>
                <wp:effectExtent l="0" t="0" r="25400" b="17145"/>
                <wp:wrapNone/>
                <wp:docPr id="10"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wps:spPr>
                      <wps:txbx>
                        <w:txbxContent>
                          <w:p/>
                          <w:p>
                            <w:pPr>
                              <w:ind w:firstLine="211" w:firstLineChars="100"/>
                              <w:rPr>
                                <w:b/>
                              </w:rPr>
                            </w:pPr>
                            <w:r>
                              <w:rPr>
                                <w:rFonts w:hint="eastAsia"/>
                                <w:b/>
                              </w:rPr>
                              <w:t>附：</w:t>
                            </w:r>
                          </w:p>
                          <w:p>
                            <w:pPr>
                              <w:rPr>
                                <w:b/>
                              </w:rPr>
                            </w:pPr>
                            <w:r>
                              <w:rPr>
                                <w:rFonts w:hint="eastAsia"/>
                                <w:b/>
                              </w:rPr>
                              <w:t>委托代理人身份证（反面）复印件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33.65pt;margin-top:-10.3pt;height:96.15pt;width:185.5pt;z-index:-251646976;mso-width-relative:page;mso-height-relative:page;" fillcolor="#FFFFFF" filled="t" stroked="t" coordsize="21600,21600" o:gfxdata="UEsDBAoAAAAAAIdO4kAAAAAAAAAAAAAAAAAEAAAAZHJzL1BLAwQUAAAACACHTuJAVnXxO9gAAAAL&#10;AQAADwAAAGRycy9kb3ducmV2LnhtbE2PwU6EMBCG7ya+QzMm3nZbwAAiZQ+aNfG4y168FVoBpVNC&#10;yy769I4n9zgzX/75/nK32pGdzewHhxKirQBmsHV6wE7Cqd5vcmA+KNRqdGgkfBsPu+r2plSFdhc8&#10;mPMxdIxC0BdKQh/CVHDu295Y5bduMki3DzdbFWicO65ndaFwO/JYiJRbNSB96NVknnvTfh0XK6EZ&#10;4pP6OdSvwj7uk/C21p/L+4uU93eReAIWzBr+YfjTJ3WoyKlxC2rPRgkPaZYQKmETixQYEXmS06Yh&#10;NIsy4FXJrztUv1BLAwQUAAAACACHTuJA78OfLD8CAACHBAAADgAAAGRycy9lMm9Eb2MueG1srVTB&#10;btQwEL0j8Q+W7zSbsIE2araqWhUhFahU+ACv4yQWtseMvZstP4PErR/B5yB+g4mTlm3h0AM5RJ7M&#10;+M2bNzM5PtlZw7YKgwZX8/xgwZlyEhrtupp/+njx4pCzEIVrhAGnan6jAj9ZPX92PPhKFdCDaRQy&#10;AnGhGnzN+xh9lWVB9sqKcABeOXK2gFZEMrHLGhQDoVuTFYvFq2wAbDyCVCHQ1/PJyWdEfAogtK2W&#10;6hzkxioXJ1RURkQqKfTaB75KbNtWyfihbYOKzNScKo3pTUnovB7f2epYVB0K32s5UxBPofCoJiu0&#10;o6T3UOciCrZB/ReU1RIhQBsPJNhsKiQpQlXki0faXPfCq1QLSR38vejh/8HK99srZLqhSSBJnLDU&#10;8V/fbn/++M6WoziDDxXFXPsrHMsL/hLk58AcnPXCdeoUEYZeiYYo5WN89uDCaAS6ytbDO2gIWmwi&#10;JJ12LdoRkBRgu9SOm/t2qF1kkj4WL8vysCRaknx5UeT5okw5RHV33WOIbxRYNh5qjtTvBC+2lyGO&#10;dER1F5Log9HNhTYmGditzwyyraDZuEjPjB72w4xjQ82PyqIkItaTUsF1KcmDsLCPtkjPv9CsjrQ9&#10;RtuaH+4HGTdrN8o1yR53693cgTU0N6QiwjS/tL106AG/cjbQ7BKlLxuBijPz1lEnjvLlchz2ZCzL&#10;1wUZuO9Z73uEkwRV88jZdDyL04JsPOqup0x5KtfBKXWv1UnXsbMTq5k3zWeSe96lcQH27RT15/+x&#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WdfE72AAAAAsBAAAPAAAAAAAAAAEAIAAAACIAAABk&#10;cnMvZG93bnJldi54bWxQSwECFAAUAAAACACHTuJA78OfLD8CAACHBAAADgAAAAAAAAABACAAAAAn&#10;AQAAZHJzL2Uyb0RvYy54bWxQSwUGAAAAAAYABgBZAQAA2AU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委托代理人身份证（反面）复印件</w:t>
                      </w:r>
                    </w:p>
                    <w:p/>
                  </w:txbxContent>
                </v:textbox>
              </v:rect>
            </w:pict>
          </mc:Fallback>
        </mc:AlternateContent>
      </w:r>
    </w:p>
    <w:p>
      <w:pPr>
        <w:adjustRightInd w:val="0"/>
        <w:snapToGrid w:val="0"/>
        <w:spacing w:line="360" w:lineRule="auto"/>
        <w:ind w:firstLine="420" w:firstLineChars="200"/>
        <w:rPr>
          <w:rFonts w:asciiTheme="minorEastAsia" w:hAnsiTheme="minorEastAsia" w:eastAsiaTheme="minorEastAsia"/>
          <w:szCs w:val="21"/>
        </w:rPr>
      </w:pPr>
    </w:p>
    <w:p>
      <w:pPr>
        <w:pStyle w:val="2"/>
        <w:rPr>
          <w:rFonts w:asciiTheme="minorEastAsia" w:hAnsiTheme="minorEastAsia" w:eastAsiaTheme="minorEastAsia"/>
          <w:szCs w:val="21"/>
        </w:rPr>
      </w:pPr>
    </w:p>
    <w:p>
      <w:pPr>
        <w:rPr>
          <w:rFonts w:asciiTheme="minorEastAsia" w:hAnsiTheme="minorEastAsia" w:eastAsiaTheme="minorEastAsia"/>
          <w:szCs w:val="21"/>
        </w:rPr>
      </w:pPr>
    </w:p>
    <w:p>
      <w:pPr>
        <w:pStyle w:val="2"/>
        <w:rPr>
          <w:rFonts w:asciiTheme="minorEastAsia" w:hAnsiTheme="minorEastAsia" w:eastAsiaTheme="minorEastAsia"/>
          <w:szCs w:val="21"/>
        </w:rPr>
      </w:pPr>
    </w:p>
    <w:p/>
    <w:p>
      <w:pPr>
        <w:pStyle w:val="2"/>
      </w:pPr>
      <w:r>
        <w:rPr>
          <w:rFonts w:ascii="宋体" w:hAnsi="宋体"/>
          <w:szCs w:val="21"/>
        </w:rPr>
        <mc:AlternateContent>
          <mc:Choice Requires="wps">
            <w:drawing>
              <wp:anchor distT="0" distB="0" distL="114300" distR="114300" simplePos="0" relativeHeight="251670528" behindDoc="0" locked="0" layoutInCell="1" allowOverlap="1">
                <wp:simplePos x="0" y="0"/>
                <wp:positionH relativeFrom="column">
                  <wp:posOffset>-118745</wp:posOffset>
                </wp:positionH>
                <wp:positionV relativeFrom="paragraph">
                  <wp:posOffset>-50800</wp:posOffset>
                </wp:positionV>
                <wp:extent cx="2355850" cy="1221105"/>
                <wp:effectExtent l="0" t="0" r="25400" b="17145"/>
                <wp:wrapNone/>
                <wp:docPr id="9"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9.35pt;margin-top:-4pt;height:96.15pt;width:185.5pt;z-index:251670528;mso-width-relative:page;mso-height-relative:page;" fillcolor="#FFFFFF" filled="t" stroked="t" coordsize="21600,21600" o:gfxdata="UEsDBAoAAAAAAIdO4kAAAAAAAAAAAAAAAAAEAAAAZHJzL1BLAwQUAAAACACHTuJAJMT7GtgAAAAK&#10;AQAADwAAAGRycy9kb3ducmV2LnhtbE2Py07DMBBF90j8gzVI7FrnwSMNcboAFYllm27YOfE0CcTj&#10;KHbawNczrGA3ozm6c26xXewgzjj53pGCeB2BQGqc6alVcKx2qwyED5qMHhyhgi/0sC2vrwqdG3eh&#10;PZ4PoRUcQj7XCroQxlxK33RotV+7EYlvJzdZHXidWmkmfeFwO8gkih6k1T3xh06P+Nxh83mYrYK6&#10;T476e1+9RnazS8PbUn3M7y9K3d7E0ROIgEv4g+FXn9WhZKfazWS8GBSs4uyRUR4y7sRAep+kIGom&#10;s7sUZFnI/xXKH1BLAwQUAAAACACHTuJA5qcG1j4CAACGBAAADgAAAGRycy9lMm9Eb2MueG1srVTB&#10;btQwEL0j8Q+W7zSbsIE2araqWhUhFahU+ACv4yQWtseMvZstP4PErR/B5yB+g4mTlm3h0AM5WB7P&#10;+M2bN+Mcn+ysYVuFQYOreX6w4Ew5CY12Xc0/fbx4cchZiMI1woBTNb9RgZ+snj87HnylCujBNAoZ&#10;gbhQDb7mfYy+yrIge2VFOACvHDlbQCsimdhlDYqB0K3JisXiVTYANh5BqhDo9Hxy8hkRnwIIbaul&#10;Oge5scrFCRWVEZFKCr32ga8S27ZVMn5o26AiMzWnSmNaKQnt1+OarY5F1aHwvZYzBfEUCo9qskI7&#10;SnoPdS6iYBvUf0FZLRECtPFAgs2mQpIiVEW+eKTNdS+8SrWQ1MHfix7+H6x8v71CppuaH3HmhKWG&#10;//p2+/PHd7YctRl8qCjk2l/hWF3wlyA/B+bgrBeuU6eIMPRKNMQoH+OzBxdGI9BVth7eQUPQYhMh&#10;ybRr0Y6AJADbpW7c3HdD7SKTdFi8LMvDkholyZcXRZ4vypRDVHfXPYb4RoFl46bmSO1O8GJ7GeJI&#10;R1R3IYk+GN1caGOSgd36zCDbChqNi/TN6GE/zDg2kDhlURIR60mo4LqU5EFY2EdbpO9faFZHejxG&#10;25of7gcZN2s3yjXJHnfr3dyBNTQ3pCLCNL70eGnTA37lbKDRJUpfNgIVZ+ato04c5cvlOOvJWJav&#10;CzJw37Pe9wgnCarmkbNpexan97HxqLueMuWpXAen1L1WJ13Hzk6sZt40nknu+SmN879vp6g/v4/V&#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TE+xrYAAAACgEAAA8AAAAAAAAAAQAgAAAAIgAAAGRy&#10;cy9kb3ducmV2LnhtbFBLAQIUABQAAAAIAIdO4kDmpwbWPgIAAIYEAAAOAAAAAAAAAAEAIAAAACcB&#10;AABkcnMvZTJvRG9jLnhtbFBLBQYAAAAABgAGAFkBAADX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p>
    <w:p/>
    <w:p>
      <w:pPr>
        <w:pStyle w:val="2"/>
      </w:pPr>
    </w:p>
    <w:p/>
    <w:p>
      <w:pPr>
        <w:pStyle w:val="2"/>
      </w:pPr>
    </w:p>
    <w:p/>
    <w:p>
      <w:pPr>
        <w:pStyle w:val="45"/>
      </w:pPr>
    </w:p>
    <w:p>
      <w:pPr>
        <w:adjustRightInd w:val="0"/>
        <w:snapToGrid w:val="0"/>
        <w:spacing w:line="360" w:lineRule="auto"/>
        <w:ind w:firstLine="422" w:firstLineChars="200"/>
        <w:rPr>
          <w:rFonts w:asciiTheme="minorEastAsia" w:hAnsiTheme="minorEastAsia"/>
          <w:szCs w:val="21"/>
        </w:rPr>
      </w:pPr>
      <w:r>
        <w:rPr>
          <w:rFonts w:hint="eastAsia" w:ascii="宋体" w:hAnsi="宋体"/>
          <w:b/>
          <w:szCs w:val="21"/>
        </w:rPr>
        <w:t>备注：上述证件复印件可另附页，另附页时，证件复印件均须加盖单位公章</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right="420"/>
        <w:rPr>
          <w:rFonts w:ascii="宋体" w:hAnsi="宋体"/>
          <w:szCs w:val="21"/>
        </w:rPr>
      </w:pPr>
      <w:r>
        <w:rPr>
          <w:rFonts w:hint="eastAsia" w:ascii="宋体" w:hAnsi="宋体"/>
          <w:szCs w:val="21"/>
        </w:rPr>
        <w:t>谈判单位名称（盖单位章）：</w:t>
      </w:r>
      <w:r>
        <w:rPr>
          <w:rFonts w:hint="eastAsia"/>
          <w:u w:val="single"/>
        </w:rPr>
        <w:t xml:space="preserve">    （盖单位章）    </w:t>
      </w:r>
    </w:p>
    <w:p>
      <w:pPr>
        <w:adjustRightInd w:val="0"/>
        <w:snapToGrid w:val="0"/>
        <w:spacing w:line="360" w:lineRule="auto"/>
        <w:ind w:right="420"/>
        <w:rPr>
          <w:rFonts w:ascii="宋体" w:hAnsi="宋体"/>
          <w:szCs w:val="21"/>
        </w:rPr>
      </w:pPr>
      <w:r>
        <w:rPr>
          <w:rFonts w:hint="eastAsia" w:ascii="宋体" w:hAnsi="宋体"/>
          <w:szCs w:val="21"/>
        </w:rPr>
        <w:t>法定代表人（亲笔签字）：</w:t>
      </w:r>
      <w:r>
        <w:rPr>
          <w:rFonts w:hint="eastAsia" w:ascii="宋体" w:hAnsi="宋体"/>
          <w:szCs w:val="21"/>
          <w:u w:val="single"/>
        </w:rPr>
        <w:t xml:space="preserve">               </w:t>
      </w:r>
    </w:p>
    <w:p>
      <w:pPr>
        <w:adjustRightInd w:val="0"/>
        <w:snapToGrid w:val="0"/>
        <w:spacing w:line="360" w:lineRule="auto"/>
        <w:ind w:right="420"/>
        <w:rPr>
          <w:rFonts w:ascii="宋体" w:hAnsi="宋体"/>
          <w:szCs w:val="21"/>
        </w:rPr>
      </w:pPr>
      <w:r>
        <w:rPr>
          <w:rFonts w:hint="eastAsia" w:ascii="宋体" w:hAnsi="宋体"/>
          <w:szCs w:val="21"/>
        </w:rPr>
        <w:t>委托代理人（亲笔签字）：</w:t>
      </w:r>
    </w:p>
    <w:p>
      <w:pPr>
        <w:spacing w:line="360" w:lineRule="auto"/>
        <w:rPr>
          <w:rFonts w:ascii="宋体" w:hAnsi="宋体"/>
          <w:szCs w:val="21"/>
        </w:rPr>
        <w:sectPr>
          <w:pgSz w:w="11906" w:h="16838"/>
          <w:pgMar w:top="1440" w:right="1797" w:bottom="1440" w:left="1797" w:header="851" w:footer="851" w:gutter="0"/>
          <w:cols w:space="720" w:num="1"/>
          <w:docGrid w:linePitch="312" w:charSpace="0"/>
        </w:sect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ind w:firstLine="643" w:firstLineChars="200"/>
        <w:jc w:val="center"/>
        <w:rPr>
          <w:rFonts w:asciiTheme="minorEastAsia" w:hAnsiTheme="minorEastAsia" w:eastAsiaTheme="minorEastAsia"/>
          <w:sz w:val="24"/>
        </w:rPr>
      </w:pPr>
      <w:r>
        <w:rPr>
          <w:rFonts w:hint="eastAsia" w:asciiTheme="minorEastAsia" w:hAnsiTheme="minorEastAsia" w:eastAsiaTheme="minorEastAsia"/>
          <w:b/>
          <w:sz w:val="32"/>
          <w:szCs w:val="32"/>
        </w:rPr>
        <w:t>四、谈判单位资格证明文件</w:t>
      </w:r>
    </w:p>
    <w:p>
      <w:pPr>
        <w:adjustRightInd w:val="0"/>
        <w:snapToGrid w:val="0"/>
        <w:spacing w:line="360" w:lineRule="auto"/>
        <w:ind w:firstLine="420" w:firstLineChars="200"/>
        <w:rPr>
          <w:rFonts w:asciiTheme="minorEastAsia" w:hAnsiTheme="minorEastAsia" w:eastAsiaTheme="minorEastAsia"/>
          <w:bCs/>
          <w:szCs w:val="21"/>
        </w:rPr>
      </w:pP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根据本谈判文件</w:t>
      </w:r>
      <w:r>
        <w:rPr>
          <w:rFonts w:hint="eastAsia" w:asciiTheme="minorEastAsia" w:hAnsiTheme="minorEastAsia" w:eastAsiaTheme="minorEastAsia"/>
          <w:b/>
          <w:bCs/>
          <w:szCs w:val="21"/>
        </w:rPr>
        <w:t>前附表</w:t>
      </w:r>
      <w:r>
        <w:rPr>
          <w:rFonts w:hint="eastAsia" w:asciiTheme="minorEastAsia" w:hAnsiTheme="minorEastAsia" w:eastAsiaTheme="minorEastAsia"/>
          <w:bCs/>
          <w:szCs w:val="21"/>
        </w:rPr>
        <w:t>内的资格要求，</w:t>
      </w:r>
      <w:r>
        <w:rPr>
          <w:rFonts w:hint="eastAsia" w:ascii="宋体" w:hAnsi="宋体"/>
          <w:bCs/>
          <w:szCs w:val="21"/>
        </w:rPr>
        <w:t>本章节须附下列证明文件</w:t>
      </w:r>
      <w:r>
        <w:rPr>
          <w:rFonts w:hint="eastAsia" w:asciiTheme="minorEastAsia" w:hAnsiTheme="minorEastAsia" w:eastAsiaTheme="minorEastAsia"/>
          <w:bCs/>
          <w:szCs w:val="21"/>
        </w:rPr>
        <w:t>：</w:t>
      </w:r>
    </w:p>
    <w:p>
      <w:pPr>
        <w:spacing w:line="360" w:lineRule="auto"/>
        <w:ind w:firstLine="210" w:firstLineChars="100"/>
        <w:jc w:val="left"/>
        <w:rPr>
          <w:rFonts w:cs="宋体" w:asciiTheme="minorEastAsia" w:hAnsiTheme="minorEastAsia" w:eastAsiaTheme="minorEastAsia"/>
          <w:szCs w:val="21"/>
        </w:rPr>
      </w:pPr>
      <w:r>
        <w:rPr>
          <w:rFonts w:hint="eastAsia" w:cs="宋体" w:asciiTheme="minorEastAsia" w:hAnsiTheme="minorEastAsia" w:eastAsiaTheme="minorEastAsia"/>
          <w:szCs w:val="21"/>
        </w:rPr>
        <w:t>1.谈判单位须为具有独立法人资格、自主经营、独立核算的公司。须提供加盖谈判单位公章的营业执照复印件。</w:t>
      </w:r>
    </w:p>
    <w:p>
      <w:pPr>
        <w:spacing w:line="360" w:lineRule="auto"/>
        <w:ind w:firstLine="210" w:firstLineChars="100"/>
        <w:jc w:val="left"/>
        <w:rPr>
          <w:rFonts w:cs="宋体" w:asciiTheme="minorEastAsia" w:hAnsiTheme="minorEastAsia" w:eastAsiaTheme="minorEastAsia"/>
          <w:szCs w:val="21"/>
        </w:rPr>
      </w:pPr>
      <w:r>
        <w:rPr>
          <w:rFonts w:hint="eastAsia" w:cs="宋体" w:asciiTheme="minorEastAsia" w:hAnsiTheme="minorEastAsia" w:eastAsiaTheme="minorEastAsia"/>
          <w:szCs w:val="21"/>
        </w:rPr>
        <w:t>2.谈判单位须具有市场监督管理部门核发的有效期内的《特种设备生产许可证》(起重机类)或《特种设备安装改造维修许可证》(起重机类)。须提供以上资质证书原件。</w:t>
      </w:r>
    </w:p>
    <w:p>
      <w:pPr>
        <w:spacing w:line="360" w:lineRule="auto"/>
        <w:ind w:firstLine="210" w:firstLineChars="100"/>
        <w:jc w:val="left"/>
        <w:rPr>
          <w:rFonts w:cs="宋体" w:asciiTheme="minorEastAsia" w:hAnsiTheme="minorEastAsia" w:eastAsiaTheme="minorEastAsia"/>
          <w:szCs w:val="21"/>
        </w:rPr>
      </w:pPr>
      <w:r>
        <w:rPr>
          <w:rFonts w:hint="eastAsia" w:cs="宋体" w:asciiTheme="minorEastAsia" w:hAnsiTheme="minorEastAsia" w:eastAsiaTheme="minorEastAsia"/>
          <w:szCs w:val="21"/>
        </w:rPr>
        <w:t>3.谈判单位在本项目响应文件递交截止之日前36个月内须具有特种设备或轨道交通工艺检修类设备维修保养服务业绩。不接受联合体业绩、港澳台或境外业绩。</w:t>
      </w:r>
    </w:p>
    <w:p>
      <w:pPr>
        <w:spacing w:line="360" w:lineRule="auto"/>
        <w:ind w:firstLine="210" w:firstLineChars="100"/>
        <w:jc w:val="left"/>
        <w:rPr>
          <w:rFonts w:cs="宋体" w:asciiTheme="minorEastAsia" w:hAnsiTheme="minorEastAsia" w:eastAsiaTheme="minorEastAsia"/>
          <w:szCs w:val="21"/>
        </w:rPr>
      </w:pPr>
      <w:r>
        <w:rPr>
          <w:rFonts w:hint="eastAsia" w:cs="宋体" w:asciiTheme="minorEastAsia" w:hAnsiTheme="minorEastAsia" w:eastAsiaTheme="minorEastAsia"/>
          <w:szCs w:val="21"/>
        </w:rPr>
        <w:t>业绩证明材料以同时提供的合同复印件和发票（开票金额不少于合同金额的10%）复印件（均须加盖谈判单位公章）为准，业绩金额以合同中金额为准，时间以合同中甲方签字时间为准。</w:t>
      </w:r>
    </w:p>
    <w:p>
      <w:pPr>
        <w:spacing w:line="360" w:lineRule="auto"/>
        <w:ind w:firstLine="210" w:firstLineChars="10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4.人员配备要求：项目经理1人，具有中级及以上维修电工或钳工证，提供由劳动保障部门出具的投标截止时间前半年内连续三个月的社保证明文件。维保人员电工须具有中级维修电工证及具备起重机械检修经验，钳工需具有中级机械钳工证及具备起重机械检修经验。</w:t>
      </w:r>
    </w:p>
    <w:p>
      <w:pPr>
        <w:spacing w:line="360" w:lineRule="auto"/>
        <w:ind w:firstLine="210" w:firstLineChars="10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5.谈判单位认为与本项目资格条件有关的其它证明文件（如有，格式自拟）。</w:t>
      </w:r>
    </w:p>
    <w:p>
      <w:pPr>
        <w:adjustRightInd w:val="0"/>
        <w:snapToGrid w:val="0"/>
        <w:spacing w:line="360" w:lineRule="auto"/>
        <w:rPr>
          <w:rFonts w:asciiTheme="minorEastAsia" w:hAnsiTheme="minorEastAsia" w:eastAsiaTheme="minorEastAsia"/>
          <w:b/>
          <w:bCs/>
          <w:szCs w:val="21"/>
        </w:rPr>
      </w:pP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备注：</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1.上述证明文件复印件均须加盖谈判单位公章。</w:t>
      </w:r>
    </w:p>
    <w:p>
      <w:pPr>
        <w:adjustRightInd w:val="0"/>
        <w:snapToGrid w:val="0"/>
        <w:spacing w:line="360" w:lineRule="auto"/>
        <w:ind w:firstLine="422" w:firstLineChars="200"/>
        <w:rPr>
          <w:rFonts w:asciiTheme="minorEastAsia" w:hAnsiTheme="minorEastAsia" w:eastAsiaTheme="minorEastAsia"/>
          <w:b/>
          <w:bCs/>
          <w:szCs w:val="21"/>
        </w:rPr>
        <w:sectPr>
          <w:pgSz w:w="12240" w:h="15840"/>
          <w:pgMar w:top="1440" w:right="1800" w:bottom="1440" w:left="1800" w:header="720" w:footer="720" w:gutter="0"/>
          <w:cols w:space="720" w:num="1"/>
          <w:titlePg/>
          <w:docGrid w:type="lines" w:linePitch="323" w:charSpace="0"/>
        </w:sectPr>
      </w:pPr>
      <w:r>
        <w:rPr>
          <w:rFonts w:hint="eastAsia" w:asciiTheme="minorEastAsia" w:hAnsiTheme="minorEastAsia" w:eastAsiaTheme="minorEastAsia"/>
          <w:b/>
          <w:bCs/>
          <w:szCs w:val="21"/>
        </w:rPr>
        <w:t>2.上</w:t>
      </w:r>
      <w:r>
        <w:rPr>
          <w:rFonts w:hint="eastAsia" w:ascii="宋体" w:hAnsi="宋体"/>
          <w:b/>
          <w:bCs/>
          <w:szCs w:val="21"/>
        </w:rPr>
        <w:t>述证明文件如须递交原件的，应用文件袋单独包装，在响应文件递交的同时一并提交。</w:t>
      </w:r>
    </w:p>
    <w:p>
      <w:pPr>
        <w:adjustRightInd w:val="0"/>
        <w:snapToGrid w:val="0"/>
        <w:spacing w:line="360" w:lineRule="auto"/>
        <w:ind w:firstLine="643" w:firstLineChars="200"/>
        <w:jc w:val="center"/>
        <w:rPr>
          <w:rFonts w:asciiTheme="minorEastAsia" w:hAnsiTheme="minorEastAsia" w:eastAsiaTheme="minorEastAsia"/>
          <w:b/>
          <w:bCs/>
          <w:sz w:val="32"/>
          <w:szCs w:val="32"/>
        </w:rPr>
      </w:pPr>
      <w:r>
        <w:rPr>
          <w:rFonts w:hint="eastAsia" w:asciiTheme="minorEastAsia" w:hAnsiTheme="minorEastAsia" w:eastAsiaTheme="minorEastAsia"/>
          <w:b/>
          <w:sz w:val="32"/>
          <w:szCs w:val="32"/>
        </w:rPr>
        <w:t>五、</w:t>
      </w:r>
      <w:r>
        <w:rPr>
          <w:rFonts w:hint="eastAsia" w:asciiTheme="minorEastAsia" w:hAnsiTheme="minorEastAsia" w:eastAsiaTheme="minorEastAsia"/>
          <w:b/>
          <w:bCs/>
          <w:sz w:val="32"/>
          <w:szCs w:val="32"/>
        </w:rPr>
        <w:t>服务方案</w:t>
      </w:r>
    </w:p>
    <w:p>
      <w:pPr>
        <w:adjustRightInd w:val="0"/>
        <w:snapToGrid w:val="0"/>
        <w:spacing w:line="360" w:lineRule="auto"/>
        <w:rPr>
          <w:rFonts w:asciiTheme="minorEastAsia" w:hAnsiTheme="minorEastAsia" w:eastAsiaTheme="minorEastAsia"/>
          <w:b/>
          <w:bCs/>
          <w:sz w:val="28"/>
          <w:szCs w:val="28"/>
        </w:rPr>
      </w:pP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1．服务方案说明</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1.1谈判单位应根据“用户需求书”规定编写服务方案或服务大纲。</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1.2服务方案或服务大纲应包括：(1)服务目标、范围和任务；(2)服务方案；(3)服务团队组织安排计划；(4)工作流程；(5)进度计划及保证措施；(6)质量保证措施；(7)合理化建议；(8)其他。</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rPr>
          <w:rFonts w:asciiTheme="minorEastAsia" w:hAnsiTheme="minorEastAsia" w:eastAsiaTheme="minorEastAsia"/>
          <w:szCs w:val="21"/>
        </w:rPr>
      </w:pPr>
    </w:p>
    <w:p>
      <w:pPr>
        <w:pStyle w:val="27"/>
        <w:adjustRightInd w:val="0"/>
        <w:snapToGrid w:val="0"/>
        <w:spacing w:line="360" w:lineRule="auto"/>
        <w:ind w:firstLine="420" w:firstLineChars="200"/>
        <w:rPr>
          <w:rFonts w:asciiTheme="minorEastAsia" w:hAnsiTheme="minorEastAsia" w:eastAsiaTheme="minorEastAsia"/>
          <w:bCs/>
          <w:sz w:val="21"/>
          <w:szCs w:val="21"/>
        </w:rPr>
      </w:pPr>
      <w:bookmarkStart w:id="127" w:name="_Toc2524"/>
      <w:bookmarkStart w:id="128" w:name="_Toc8554"/>
      <w:bookmarkStart w:id="129" w:name="_Toc31390"/>
      <w:bookmarkStart w:id="130" w:name="_Toc29652"/>
      <w:r>
        <w:rPr>
          <w:rFonts w:hint="eastAsia" w:asciiTheme="minorEastAsia" w:hAnsiTheme="minorEastAsia" w:eastAsiaTheme="minorEastAsia"/>
          <w:sz w:val="21"/>
          <w:szCs w:val="21"/>
        </w:rPr>
        <w:t>谈判单位名称：</w:t>
      </w:r>
      <w:r>
        <w:rPr>
          <w:rFonts w:hint="eastAsia" w:asciiTheme="minorEastAsia" w:hAnsiTheme="minorEastAsia" w:eastAsiaTheme="minorEastAsia"/>
          <w:sz w:val="21"/>
          <w:szCs w:val="21"/>
          <w:u w:val="single"/>
        </w:rPr>
        <w:t xml:space="preserve">    （盖单位章）</w:t>
      </w:r>
      <w:bookmarkEnd w:id="127"/>
      <w:bookmarkEnd w:id="128"/>
      <w:bookmarkEnd w:id="129"/>
      <w:bookmarkEnd w:id="130"/>
    </w:p>
    <w:p>
      <w:pPr>
        <w:adjustRightInd w:val="0"/>
        <w:snapToGrid w:val="0"/>
        <w:spacing w:line="360" w:lineRule="auto"/>
        <w:ind w:firstLine="420" w:firstLineChars="200"/>
        <w:rPr>
          <w:rFonts w:asciiTheme="minorEastAsia" w:hAnsiTheme="minorEastAsia" w:eastAsiaTheme="minorEastAsia"/>
          <w:szCs w:val="21"/>
        </w:rPr>
      </w:pPr>
      <w:bookmarkStart w:id="131" w:name="_Toc8996"/>
      <w:bookmarkStart w:id="132" w:name="_Toc10577"/>
      <w:bookmarkStart w:id="133" w:name="_Toc6287"/>
      <w:bookmarkStart w:id="134" w:name="_Toc28808"/>
      <w:r>
        <w:rPr>
          <w:rFonts w:hint="eastAsia" w:asciiTheme="minorEastAsia" w:hAnsiTheme="minorEastAsia" w:eastAsiaTheme="minorEastAsia"/>
          <w:szCs w:val="21"/>
        </w:rPr>
        <w:t>法定代表人或其委托代理人(签字或盖章)：</w:t>
      </w:r>
      <w:bookmarkEnd w:id="131"/>
      <w:bookmarkEnd w:id="132"/>
      <w:bookmarkEnd w:id="133"/>
      <w:bookmarkEnd w:id="134"/>
    </w:p>
    <w:p>
      <w:pPr>
        <w:spacing w:line="360" w:lineRule="exact"/>
        <w:ind w:firstLine="420" w:firstLineChars="20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ind w:firstLine="480" w:firstLineChars="200"/>
        <w:jc w:val="center"/>
        <w:rPr>
          <w:rFonts w:asciiTheme="minorEastAsia" w:hAnsiTheme="minorEastAsia" w:eastAsiaTheme="minorEastAsia"/>
          <w:b/>
          <w:sz w:val="32"/>
          <w:szCs w:val="32"/>
          <w:highlight w:val="yellow"/>
        </w:rPr>
      </w:pPr>
      <w:r>
        <w:rPr>
          <w:rFonts w:asciiTheme="minorEastAsia" w:hAnsiTheme="minorEastAsia" w:eastAsiaTheme="minorEastAsia"/>
          <w:sz w:val="24"/>
        </w:rPr>
        <w:br w:type="page"/>
      </w:r>
      <w:r>
        <w:rPr>
          <w:rFonts w:hint="eastAsia" w:asciiTheme="minorEastAsia" w:hAnsiTheme="minorEastAsia" w:eastAsiaTheme="minorEastAsia"/>
          <w:b/>
          <w:bCs/>
          <w:sz w:val="32"/>
          <w:szCs w:val="32"/>
        </w:rPr>
        <w:t>六、报价一览表</w:t>
      </w:r>
    </w:p>
    <w:p>
      <w:pPr>
        <w:adjustRightInd w:val="0"/>
        <w:snapToGrid w:val="0"/>
        <w:spacing w:line="360" w:lineRule="auto"/>
        <w:ind w:firstLine="480" w:firstLineChars="200"/>
        <w:jc w:val="right"/>
        <w:rPr>
          <w:rFonts w:asciiTheme="minorEastAsia" w:hAnsiTheme="minorEastAsia" w:eastAsiaTheme="minorEastAsia"/>
          <w:sz w:val="24"/>
        </w:rPr>
      </w:pPr>
    </w:p>
    <w:tbl>
      <w:tblPr>
        <w:tblStyle w:val="46"/>
        <w:tblW w:w="98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7"/>
        <w:gridCol w:w="4017"/>
        <w:gridCol w:w="40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1807" w:type="dxa"/>
            <w:vAlign w:val="center"/>
          </w:tcPr>
          <w:p>
            <w:pPr>
              <w:tabs>
                <w:tab w:val="left" w:pos="403"/>
                <w:tab w:val="center" w:pos="3781"/>
              </w:tabs>
              <w:spacing w:line="360" w:lineRule="auto"/>
              <w:jc w:val="center"/>
              <w:rPr>
                <w:rFonts w:ascii="宋体" w:hAnsi="宋体"/>
                <w:szCs w:val="21"/>
              </w:rPr>
            </w:pPr>
            <w:r>
              <w:rPr>
                <w:rFonts w:ascii="宋体" w:hAnsi="宋体"/>
                <w:szCs w:val="21"/>
              </w:rPr>
              <w:t>项目名称</w:t>
            </w:r>
          </w:p>
        </w:tc>
        <w:tc>
          <w:tcPr>
            <w:tcW w:w="8033" w:type="dxa"/>
            <w:gridSpan w:val="2"/>
            <w:vAlign w:val="center"/>
          </w:tcPr>
          <w:p>
            <w:pPr>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807" w:type="dxa"/>
            <w:vAlign w:val="center"/>
          </w:tcPr>
          <w:p>
            <w:pPr>
              <w:tabs>
                <w:tab w:val="left" w:pos="403"/>
                <w:tab w:val="center" w:pos="3781"/>
              </w:tabs>
              <w:spacing w:line="360" w:lineRule="auto"/>
              <w:jc w:val="center"/>
              <w:rPr>
                <w:rFonts w:ascii="宋体" w:hAnsi="宋体"/>
                <w:szCs w:val="21"/>
              </w:rPr>
            </w:pPr>
            <w:r>
              <w:rPr>
                <w:rFonts w:hint="eastAsia" w:ascii="宋体" w:hAnsi="宋体"/>
                <w:szCs w:val="21"/>
              </w:rPr>
              <w:t>项目</w:t>
            </w:r>
            <w:r>
              <w:rPr>
                <w:rFonts w:ascii="宋体" w:hAnsi="宋体"/>
                <w:szCs w:val="21"/>
              </w:rPr>
              <w:t>编号</w:t>
            </w:r>
          </w:p>
        </w:tc>
        <w:tc>
          <w:tcPr>
            <w:tcW w:w="8033" w:type="dxa"/>
            <w:gridSpan w:val="2"/>
            <w:vAlign w:val="center"/>
          </w:tcPr>
          <w:p>
            <w:pPr>
              <w:spacing w:line="360" w:lineRule="auto"/>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807" w:type="dxa"/>
            <w:vAlign w:val="center"/>
          </w:tcPr>
          <w:p>
            <w:pPr>
              <w:spacing w:line="360" w:lineRule="auto"/>
              <w:jc w:val="center"/>
              <w:rPr>
                <w:rFonts w:ascii="宋体" w:hAnsi="宋体"/>
                <w:szCs w:val="21"/>
              </w:rPr>
            </w:pPr>
            <w:r>
              <w:rPr>
                <w:rFonts w:hint="eastAsia" w:ascii="宋体" w:hAnsi="宋体"/>
                <w:szCs w:val="21"/>
              </w:rPr>
              <w:t>服务期限</w:t>
            </w:r>
          </w:p>
        </w:tc>
        <w:tc>
          <w:tcPr>
            <w:tcW w:w="8033" w:type="dxa"/>
            <w:gridSpan w:val="2"/>
            <w:vAlign w:val="center"/>
          </w:tcPr>
          <w:p>
            <w:pPr>
              <w:spacing w:line="360" w:lineRule="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1807" w:type="dxa"/>
            <w:vAlign w:val="center"/>
          </w:tcPr>
          <w:p>
            <w:pPr>
              <w:spacing w:line="360" w:lineRule="auto"/>
              <w:jc w:val="center"/>
              <w:rPr>
                <w:rFonts w:ascii="宋体" w:hAnsi="宋体"/>
                <w:b/>
                <w:szCs w:val="21"/>
              </w:rPr>
            </w:pPr>
            <w:r>
              <w:rPr>
                <w:rFonts w:hint="eastAsia" w:ascii="宋体" w:hAnsi="宋体"/>
                <w:b/>
                <w:szCs w:val="21"/>
              </w:rPr>
              <w:t>谈判</w:t>
            </w:r>
            <w:r>
              <w:rPr>
                <w:rFonts w:ascii="宋体" w:hAnsi="宋体"/>
                <w:b/>
                <w:szCs w:val="21"/>
              </w:rPr>
              <w:t>总报价</w:t>
            </w:r>
            <w:r>
              <w:rPr>
                <w:rFonts w:hint="eastAsia" w:ascii="宋体" w:hAnsi="宋体"/>
                <w:b/>
                <w:szCs w:val="21"/>
              </w:rPr>
              <w:t>（①+②+③）</w:t>
            </w:r>
          </w:p>
        </w:tc>
        <w:tc>
          <w:tcPr>
            <w:tcW w:w="4017" w:type="dxa"/>
            <w:vAlign w:val="center"/>
          </w:tcPr>
          <w:p>
            <w:pPr>
              <w:spacing w:line="360" w:lineRule="auto"/>
              <w:jc w:val="center"/>
              <w:rPr>
                <w:rFonts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w:t>
            </w:r>
          </w:p>
        </w:tc>
        <w:tc>
          <w:tcPr>
            <w:tcW w:w="4016" w:type="dxa"/>
            <w:vAlign w:val="center"/>
          </w:tcPr>
          <w:p>
            <w:pPr>
              <w:spacing w:line="360" w:lineRule="auto"/>
              <w:ind w:firstLine="630" w:firstLineChars="300"/>
              <w:rPr>
                <w:rFonts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1807" w:type="dxa"/>
            <w:vAlign w:val="center"/>
          </w:tcPr>
          <w:p>
            <w:pPr>
              <w:spacing w:line="420" w:lineRule="exact"/>
              <w:jc w:val="center"/>
              <w:rPr>
                <w:rFonts w:ascii="宋体" w:hAnsi="宋体"/>
                <w:bCs/>
                <w:szCs w:val="21"/>
              </w:rPr>
            </w:pPr>
            <w:r>
              <w:rPr>
                <w:rFonts w:hint="eastAsia" w:ascii="宋体" w:hAnsi="宋体"/>
                <w:b/>
                <w:bCs/>
                <w:szCs w:val="21"/>
              </w:rPr>
              <w:t>①一号线特种设备（起重机类）维保报价</w:t>
            </w:r>
          </w:p>
        </w:tc>
        <w:tc>
          <w:tcPr>
            <w:tcW w:w="4017" w:type="dxa"/>
            <w:vAlign w:val="center"/>
          </w:tcPr>
          <w:p>
            <w:pPr>
              <w:spacing w:line="360" w:lineRule="auto"/>
              <w:jc w:val="center"/>
              <w:rPr>
                <w:rFonts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w:t>
            </w:r>
          </w:p>
        </w:tc>
        <w:tc>
          <w:tcPr>
            <w:tcW w:w="4016" w:type="dxa"/>
            <w:vAlign w:val="center"/>
          </w:tcPr>
          <w:p>
            <w:pPr>
              <w:spacing w:line="360" w:lineRule="auto"/>
              <w:ind w:firstLine="630" w:firstLineChars="300"/>
              <w:rPr>
                <w:rFonts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1807" w:type="dxa"/>
            <w:vAlign w:val="center"/>
          </w:tcPr>
          <w:p>
            <w:pPr>
              <w:spacing w:line="420" w:lineRule="exact"/>
              <w:jc w:val="center"/>
              <w:rPr>
                <w:rFonts w:ascii="宋体" w:hAnsi="宋体"/>
                <w:b/>
                <w:szCs w:val="21"/>
              </w:rPr>
            </w:pPr>
            <w:r>
              <w:rPr>
                <w:rFonts w:hint="eastAsia" w:ascii="宋体" w:hAnsi="宋体"/>
                <w:b/>
                <w:szCs w:val="21"/>
              </w:rPr>
              <w:t>②二号线</w:t>
            </w:r>
            <w:r>
              <w:rPr>
                <w:rFonts w:hint="eastAsia" w:ascii="宋体" w:hAnsi="宋体"/>
                <w:b/>
                <w:bCs/>
                <w:szCs w:val="21"/>
              </w:rPr>
              <w:t>特种设备（起重机类）维保报价</w:t>
            </w:r>
          </w:p>
        </w:tc>
        <w:tc>
          <w:tcPr>
            <w:tcW w:w="4017" w:type="dxa"/>
            <w:vAlign w:val="center"/>
          </w:tcPr>
          <w:p>
            <w:pPr>
              <w:spacing w:line="360" w:lineRule="auto"/>
              <w:jc w:val="center"/>
              <w:rPr>
                <w:rFonts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w:t>
            </w:r>
          </w:p>
        </w:tc>
        <w:tc>
          <w:tcPr>
            <w:tcW w:w="4016" w:type="dxa"/>
            <w:vAlign w:val="center"/>
          </w:tcPr>
          <w:p>
            <w:pPr>
              <w:spacing w:line="360" w:lineRule="auto"/>
              <w:ind w:firstLine="630" w:firstLineChars="300"/>
              <w:rPr>
                <w:rFonts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1807" w:type="dxa"/>
            <w:vAlign w:val="center"/>
          </w:tcPr>
          <w:p>
            <w:pPr>
              <w:spacing w:line="420" w:lineRule="exact"/>
              <w:jc w:val="center"/>
              <w:rPr>
                <w:rFonts w:ascii="宋体" w:hAnsi="宋体"/>
                <w:b/>
                <w:szCs w:val="21"/>
              </w:rPr>
            </w:pPr>
            <w:r>
              <w:rPr>
                <w:rFonts w:hint="eastAsia" w:ascii="宋体" w:hAnsi="宋体"/>
                <w:b/>
                <w:szCs w:val="21"/>
              </w:rPr>
              <w:t>③五号线</w:t>
            </w:r>
            <w:r>
              <w:rPr>
                <w:rFonts w:hint="eastAsia" w:ascii="宋体" w:hAnsi="宋体"/>
                <w:b/>
                <w:bCs/>
                <w:szCs w:val="21"/>
              </w:rPr>
              <w:t>特种设备（起重机类）维保报价</w:t>
            </w:r>
          </w:p>
        </w:tc>
        <w:tc>
          <w:tcPr>
            <w:tcW w:w="4017" w:type="dxa"/>
            <w:vAlign w:val="center"/>
          </w:tcPr>
          <w:p>
            <w:pPr>
              <w:spacing w:line="360" w:lineRule="auto"/>
              <w:jc w:val="center"/>
              <w:rPr>
                <w:rFonts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w:t>
            </w:r>
          </w:p>
        </w:tc>
        <w:tc>
          <w:tcPr>
            <w:tcW w:w="4016" w:type="dxa"/>
            <w:vAlign w:val="center"/>
          </w:tcPr>
          <w:p>
            <w:pPr>
              <w:spacing w:line="360" w:lineRule="auto"/>
              <w:ind w:firstLine="630" w:firstLineChars="300"/>
              <w:rPr>
                <w:rFonts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1" w:hRule="atLeast"/>
          <w:jc w:val="center"/>
        </w:trPr>
        <w:tc>
          <w:tcPr>
            <w:tcW w:w="1807" w:type="dxa"/>
            <w:vAlign w:val="center"/>
          </w:tcPr>
          <w:p>
            <w:pPr>
              <w:spacing w:line="360" w:lineRule="auto"/>
              <w:jc w:val="center"/>
              <w:rPr>
                <w:rFonts w:ascii="宋体" w:hAnsi="宋体"/>
                <w:szCs w:val="21"/>
              </w:rPr>
            </w:pPr>
            <w:r>
              <w:rPr>
                <w:rFonts w:ascii="宋体" w:hAnsi="宋体"/>
                <w:szCs w:val="21"/>
              </w:rPr>
              <w:t>备  注</w:t>
            </w:r>
          </w:p>
        </w:tc>
        <w:tc>
          <w:tcPr>
            <w:tcW w:w="8033" w:type="dxa"/>
            <w:gridSpan w:val="2"/>
            <w:vAlign w:val="center"/>
          </w:tcPr>
          <w:p>
            <w:pPr>
              <w:spacing w:line="360" w:lineRule="auto"/>
              <w:rPr>
                <w:rFonts w:ascii="宋体" w:hAnsi="宋体"/>
                <w:szCs w:val="21"/>
              </w:rPr>
            </w:pPr>
          </w:p>
        </w:tc>
      </w:tr>
    </w:tbl>
    <w:p>
      <w:pPr>
        <w:adjustRightInd w:val="0"/>
        <w:snapToGrid w:val="0"/>
        <w:spacing w:line="360" w:lineRule="auto"/>
        <w:ind w:firstLine="422" w:firstLineChars="200"/>
        <w:rPr>
          <w:rFonts w:asciiTheme="minorEastAsia" w:hAnsiTheme="minorEastAsia" w:eastAsiaTheme="minorEastAsia"/>
          <w:b/>
          <w:szCs w:val="21"/>
        </w:rPr>
      </w:pP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注：</w:t>
      </w: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1.所有报价保留小数点后2位，小数点后第3位“四舍五入”。</w:t>
      </w:r>
    </w:p>
    <w:p>
      <w:pPr>
        <w:adjustRightInd w:val="0"/>
        <w:snapToGrid w:val="0"/>
        <w:spacing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2.本表内“谈判总报价”是包含了所有隐含的管理费、税金和利润等其他费用的报价。</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rPr>
          <w:rFonts w:asciiTheme="minorEastAsia" w:hAnsiTheme="minorEastAsia" w:eastAsiaTheme="minorEastAsia"/>
          <w:szCs w:val="21"/>
        </w:rPr>
      </w:pPr>
    </w:p>
    <w:p>
      <w:pPr>
        <w:pStyle w:val="27"/>
        <w:adjustRightInd w:val="0"/>
        <w:snapToGrid w:val="0"/>
        <w:spacing w:line="360" w:lineRule="auto"/>
        <w:ind w:firstLine="420" w:firstLineChars="200"/>
        <w:rPr>
          <w:rFonts w:asciiTheme="minorEastAsia" w:hAnsiTheme="minorEastAsia" w:eastAsiaTheme="minorEastAsia"/>
          <w:bCs/>
          <w:sz w:val="21"/>
          <w:szCs w:val="21"/>
        </w:rPr>
      </w:pPr>
      <w:bookmarkStart w:id="135" w:name="_Toc12617"/>
      <w:bookmarkStart w:id="136" w:name="_Toc15367"/>
      <w:bookmarkStart w:id="137" w:name="_Toc22197"/>
      <w:bookmarkStart w:id="138" w:name="_Toc26371"/>
      <w:r>
        <w:rPr>
          <w:rFonts w:hint="eastAsia" w:asciiTheme="minorEastAsia" w:hAnsiTheme="minorEastAsia" w:eastAsiaTheme="minorEastAsia"/>
          <w:sz w:val="21"/>
          <w:szCs w:val="21"/>
        </w:rPr>
        <w:t>谈判单位名称：</w:t>
      </w:r>
      <w:r>
        <w:rPr>
          <w:rFonts w:hint="eastAsia" w:asciiTheme="minorEastAsia" w:hAnsiTheme="minorEastAsia" w:eastAsiaTheme="minorEastAsia"/>
          <w:sz w:val="21"/>
          <w:szCs w:val="21"/>
          <w:u w:val="single"/>
        </w:rPr>
        <w:t xml:space="preserve">    （盖单位章）</w:t>
      </w:r>
      <w:bookmarkEnd w:id="135"/>
      <w:bookmarkEnd w:id="136"/>
      <w:bookmarkEnd w:id="137"/>
      <w:bookmarkEnd w:id="138"/>
    </w:p>
    <w:p>
      <w:pPr>
        <w:adjustRightInd w:val="0"/>
        <w:snapToGrid w:val="0"/>
        <w:spacing w:line="360" w:lineRule="auto"/>
        <w:ind w:firstLine="420" w:firstLineChars="200"/>
        <w:rPr>
          <w:rFonts w:asciiTheme="minorEastAsia" w:hAnsiTheme="minorEastAsia" w:eastAsiaTheme="minorEastAsia"/>
          <w:szCs w:val="21"/>
        </w:rPr>
      </w:pPr>
      <w:bookmarkStart w:id="139" w:name="_Toc26095"/>
      <w:bookmarkStart w:id="140" w:name="_Toc23990"/>
      <w:bookmarkStart w:id="141" w:name="_Toc14381"/>
      <w:bookmarkStart w:id="142" w:name="_Toc7637"/>
      <w:r>
        <w:rPr>
          <w:rFonts w:hint="eastAsia" w:asciiTheme="minorEastAsia" w:hAnsiTheme="minorEastAsia" w:eastAsiaTheme="minorEastAsia"/>
          <w:szCs w:val="21"/>
        </w:rPr>
        <w:t>法定代表人或其委托代理人(签字或盖章)：</w:t>
      </w:r>
      <w:bookmarkEnd w:id="139"/>
      <w:bookmarkEnd w:id="140"/>
      <w:bookmarkEnd w:id="141"/>
      <w:bookmarkEnd w:id="142"/>
    </w:p>
    <w:p>
      <w:pPr>
        <w:spacing w:line="360" w:lineRule="auto"/>
        <w:ind w:firstLine="420" w:firstLineChars="200"/>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七</w:t>
      </w:r>
      <w:r>
        <w:rPr>
          <w:rFonts w:asciiTheme="minorEastAsia" w:hAnsiTheme="minorEastAsia" w:eastAsiaTheme="minorEastAsia"/>
          <w:b/>
          <w:sz w:val="32"/>
          <w:szCs w:val="32"/>
        </w:rPr>
        <w:t>、</w:t>
      </w:r>
      <w:r>
        <w:rPr>
          <w:rFonts w:hint="eastAsia" w:asciiTheme="minorEastAsia" w:hAnsiTheme="minorEastAsia" w:eastAsiaTheme="minorEastAsia"/>
          <w:b/>
          <w:sz w:val="32"/>
          <w:szCs w:val="32"/>
        </w:rPr>
        <w:t>分项</w:t>
      </w:r>
      <w:r>
        <w:rPr>
          <w:rFonts w:asciiTheme="minorEastAsia" w:hAnsiTheme="minorEastAsia" w:eastAsiaTheme="minorEastAsia"/>
          <w:b/>
          <w:sz w:val="32"/>
          <w:szCs w:val="32"/>
        </w:rPr>
        <w:t>报价表</w:t>
      </w:r>
    </w:p>
    <w:tbl>
      <w:tblPr>
        <w:tblStyle w:val="46"/>
        <w:tblW w:w="9720" w:type="dxa"/>
        <w:tblInd w:w="113" w:type="dxa"/>
        <w:tblLayout w:type="autofit"/>
        <w:tblCellMar>
          <w:top w:w="0" w:type="dxa"/>
          <w:left w:w="108" w:type="dxa"/>
          <w:bottom w:w="0" w:type="dxa"/>
          <w:right w:w="108" w:type="dxa"/>
        </w:tblCellMar>
      </w:tblPr>
      <w:tblGrid>
        <w:gridCol w:w="1120"/>
        <w:gridCol w:w="820"/>
        <w:gridCol w:w="2200"/>
        <w:gridCol w:w="2500"/>
        <w:gridCol w:w="1800"/>
        <w:gridCol w:w="1280"/>
      </w:tblGrid>
      <w:tr>
        <w:tblPrEx>
          <w:tblCellMar>
            <w:top w:w="0" w:type="dxa"/>
            <w:left w:w="108" w:type="dxa"/>
            <w:bottom w:w="0" w:type="dxa"/>
            <w:right w:w="108" w:type="dxa"/>
          </w:tblCellMar>
        </w:tblPrEx>
        <w:trPr>
          <w:trHeight w:val="859" w:hRule="atLeast"/>
        </w:trPr>
        <w:tc>
          <w:tcPr>
            <w:tcW w:w="9720" w:type="dxa"/>
            <w:gridSpan w:val="6"/>
            <w:tcBorders>
              <w:top w:val="nil"/>
              <w:left w:val="nil"/>
              <w:bottom w:val="nil"/>
              <w:right w:val="nil"/>
            </w:tcBorders>
            <w:shd w:val="clear" w:color="auto" w:fill="auto"/>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长沙市轨道交通1、2、5号线运营期2021年-2023年特种设备（起重机类）委外维修保养服务项目报价汇总表</w:t>
            </w:r>
          </w:p>
        </w:tc>
      </w:tr>
      <w:tr>
        <w:tblPrEx>
          <w:tblCellMar>
            <w:top w:w="0" w:type="dxa"/>
            <w:left w:w="108" w:type="dxa"/>
            <w:bottom w:w="0" w:type="dxa"/>
            <w:right w:w="108" w:type="dxa"/>
          </w:tblCellMar>
        </w:tblPrEx>
        <w:trPr>
          <w:trHeight w:val="780" w:hRule="atLeast"/>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线路</w:t>
            </w:r>
          </w:p>
        </w:tc>
        <w:tc>
          <w:tcPr>
            <w:tcW w:w="8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序号</w:t>
            </w:r>
          </w:p>
        </w:tc>
        <w:tc>
          <w:tcPr>
            <w:tcW w:w="22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分项</w:t>
            </w:r>
          </w:p>
        </w:tc>
        <w:tc>
          <w:tcPr>
            <w:tcW w:w="25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分项费用组成</w:t>
            </w:r>
          </w:p>
        </w:tc>
        <w:tc>
          <w:tcPr>
            <w:tcW w:w="18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合价（元）</w:t>
            </w:r>
          </w:p>
        </w:tc>
        <w:tc>
          <w:tcPr>
            <w:tcW w:w="12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备注</w:t>
            </w:r>
          </w:p>
        </w:tc>
      </w:tr>
      <w:tr>
        <w:tblPrEx>
          <w:tblCellMar>
            <w:top w:w="0" w:type="dxa"/>
            <w:left w:w="108" w:type="dxa"/>
            <w:bottom w:w="0" w:type="dxa"/>
            <w:right w:w="108" w:type="dxa"/>
          </w:tblCellMar>
        </w:tblPrEx>
        <w:trPr>
          <w:trHeight w:val="499" w:hRule="atLeast"/>
        </w:trPr>
        <w:tc>
          <w:tcPr>
            <w:tcW w:w="11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1号线</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22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（一）维保服务费</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12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cs="宋体"/>
                <w:b/>
                <w:bCs/>
                <w:kern w:val="0"/>
                <w:sz w:val="24"/>
              </w:rPr>
            </w:pPr>
          </w:p>
        </w:tc>
      </w:tr>
      <w:tr>
        <w:tblPrEx>
          <w:tblCellMar>
            <w:top w:w="0" w:type="dxa"/>
            <w:left w:w="108" w:type="dxa"/>
            <w:bottom w:w="0" w:type="dxa"/>
            <w:right w:w="108" w:type="dxa"/>
          </w:tblCellMar>
        </w:tblPrEx>
        <w:trPr>
          <w:trHeight w:val="499" w:hRule="atLeast"/>
        </w:trPr>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22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（二）年审检验费</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12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r>
      <w:tr>
        <w:tblPrEx>
          <w:tblCellMar>
            <w:top w:w="0" w:type="dxa"/>
            <w:left w:w="108" w:type="dxa"/>
            <w:bottom w:w="0" w:type="dxa"/>
            <w:right w:w="108" w:type="dxa"/>
          </w:tblCellMar>
        </w:tblPrEx>
        <w:trPr>
          <w:trHeight w:val="499" w:hRule="atLeast"/>
        </w:trPr>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302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合计</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(一)+（二）</w:t>
            </w: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0"/>
                <w:szCs w:val="20"/>
              </w:rPr>
            </w:pPr>
          </w:p>
        </w:tc>
        <w:tc>
          <w:tcPr>
            <w:tcW w:w="12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r>
      <w:tr>
        <w:tblPrEx>
          <w:tblCellMar>
            <w:top w:w="0" w:type="dxa"/>
            <w:left w:w="108" w:type="dxa"/>
            <w:bottom w:w="0" w:type="dxa"/>
            <w:right w:w="108" w:type="dxa"/>
          </w:tblCellMar>
        </w:tblPrEx>
        <w:trPr>
          <w:trHeight w:val="660" w:hRule="atLeast"/>
        </w:trPr>
        <w:tc>
          <w:tcPr>
            <w:tcW w:w="11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2号线</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22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（一）维保服务费</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12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cs="宋体"/>
                <w:b/>
                <w:bCs/>
                <w:kern w:val="0"/>
                <w:sz w:val="24"/>
              </w:rPr>
            </w:pPr>
          </w:p>
        </w:tc>
      </w:tr>
      <w:tr>
        <w:tblPrEx>
          <w:tblCellMar>
            <w:top w:w="0" w:type="dxa"/>
            <w:left w:w="108" w:type="dxa"/>
            <w:bottom w:w="0" w:type="dxa"/>
            <w:right w:w="108" w:type="dxa"/>
          </w:tblCellMar>
        </w:tblPrEx>
        <w:trPr>
          <w:trHeight w:val="540" w:hRule="atLeast"/>
        </w:trPr>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22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（二）年审检验费</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12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r>
      <w:tr>
        <w:tblPrEx>
          <w:tblCellMar>
            <w:top w:w="0" w:type="dxa"/>
            <w:left w:w="108" w:type="dxa"/>
            <w:bottom w:w="0" w:type="dxa"/>
            <w:right w:w="108" w:type="dxa"/>
          </w:tblCellMar>
        </w:tblPrEx>
        <w:trPr>
          <w:trHeight w:val="630" w:hRule="atLeast"/>
        </w:trPr>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c>
          <w:tcPr>
            <w:tcW w:w="302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合计</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(一)+（二）</w:t>
            </w: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0"/>
                <w:szCs w:val="20"/>
              </w:rPr>
            </w:pPr>
          </w:p>
        </w:tc>
        <w:tc>
          <w:tcPr>
            <w:tcW w:w="12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 w:val="24"/>
              </w:rPr>
            </w:pPr>
          </w:p>
        </w:tc>
      </w:tr>
      <w:tr>
        <w:tblPrEx>
          <w:tblCellMar>
            <w:top w:w="0" w:type="dxa"/>
            <w:left w:w="108" w:type="dxa"/>
            <w:bottom w:w="0" w:type="dxa"/>
            <w:right w:w="108" w:type="dxa"/>
          </w:tblCellMar>
        </w:tblPrEx>
        <w:trPr>
          <w:trHeight w:val="499" w:hRule="atLeast"/>
        </w:trPr>
        <w:tc>
          <w:tcPr>
            <w:tcW w:w="1120" w:type="dxa"/>
            <w:vMerge w:val="restart"/>
            <w:tcBorders>
              <w:top w:val="nil"/>
              <w:left w:val="single" w:color="auto" w:sz="4" w:space="0"/>
              <w:bottom w:val="nil"/>
              <w:right w:val="single" w:color="auto" w:sz="4" w:space="0"/>
            </w:tcBorders>
            <w:shd w:val="clear" w:color="auto" w:fill="auto"/>
            <w:vAlign w:val="center"/>
          </w:tcPr>
          <w:p>
            <w:pPr>
              <w:widowControl/>
              <w:jc w:val="center"/>
              <w:rPr>
                <w:rFonts w:hint="eastAsia" w:ascii="宋体" w:hAnsi="宋体" w:cs="宋体"/>
                <w:b/>
                <w:bCs/>
                <w:kern w:val="0"/>
                <w:sz w:val="24"/>
              </w:rPr>
            </w:pPr>
            <w:r>
              <w:rPr>
                <w:rFonts w:hint="eastAsia" w:ascii="宋体" w:hAnsi="宋体" w:cs="宋体"/>
                <w:b/>
                <w:bCs/>
                <w:kern w:val="0"/>
                <w:sz w:val="24"/>
              </w:rPr>
              <w:t>5号线</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22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（一）维保服务费</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1280" w:type="dxa"/>
            <w:vMerge w:val="restart"/>
            <w:tcBorders>
              <w:top w:val="nil"/>
              <w:left w:val="single" w:color="auto" w:sz="4" w:space="0"/>
              <w:bottom w:val="nil"/>
              <w:right w:val="single" w:color="auto" w:sz="4" w:space="0"/>
            </w:tcBorders>
            <w:shd w:val="clear" w:color="auto" w:fill="auto"/>
            <w:vAlign w:val="center"/>
          </w:tcPr>
          <w:p>
            <w:pPr>
              <w:widowControl/>
              <w:jc w:val="center"/>
              <w:rPr>
                <w:rFonts w:hint="eastAsia" w:ascii="宋体" w:hAnsi="宋体" w:cs="宋体"/>
                <w:b/>
                <w:bCs/>
                <w:kern w:val="0"/>
                <w:sz w:val="24"/>
              </w:rPr>
            </w:pPr>
          </w:p>
        </w:tc>
      </w:tr>
      <w:tr>
        <w:tblPrEx>
          <w:tblCellMar>
            <w:top w:w="0" w:type="dxa"/>
            <w:left w:w="108" w:type="dxa"/>
            <w:bottom w:w="0" w:type="dxa"/>
            <w:right w:w="108" w:type="dxa"/>
          </w:tblCellMar>
        </w:tblPrEx>
        <w:trPr>
          <w:trHeight w:val="499" w:hRule="atLeast"/>
        </w:trPr>
        <w:tc>
          <w:tcPr>
            <w:tcW w:w="1120"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2</w:t>
            </w:r>
          </w:p>
        </w:tc>
        <w:tc>
          <w:tcPr>
            <w:tcW w:w="22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（二）年审检验费</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1280"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r>
      <w:tr>
        <w:tblPrEx>
          <w:tblCellMar>
            <w:top w:w="0" w:type="dxa"/>
            <w:left w:w="108" w:type="dxa"/>
            <w:bottom w:w="0" w:type="dxa"/>
            <w:right w:w="108" w:type="dxa"/>
          </w:tblCellMar>
        </w:tblPrEx>
        <w:trPr>
          <w:trHeight w:val="499" w:hRule="atLeast"/>
        </w:trPr>
        <w:tc>
          <w:tcPr>
            <w:tcW w:w="1120"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c>
          <w:tcPr>
            <w:tcW w:w="302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合计</w:t>
            </w:r>
          </w:p>
        </w:tc>
        <w:tc>
          <w:tcPr>
            <w:tcW w:w="25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(一)+（二）</w:t>
            </w: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kern w:val="0"/>
                <w:sz w:val="20"/>
                <w:szCs w:val="20"/>
              </w:rPr>
            </w:pPr>
          </w:p>
        </w:tc>
        <w:tc>
          <w:tcPr>
            <w:tcW w:w="1280"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kern w:val="0"/>
                <w:sz w:val="24"/>
              </w:rPr>
            </w:pPr>
          </w:p>
        </w:tc>
      </w:tr>
      <w:tr>
        <w:tblPrEx>
          <w:tblCellMar>
            <w:top w:w="0" w:type="dxa"/>
            <w:left w:w="108" w:type="dxa"/>
            <w:bottom w:w="0" w:type="dxa"/>
            <w:right w:w="108" w:type="dxa"/>
          </w:tblCellMar>
        </w:tblPrEx>
        <w:trPr>
          <w:trHeight w:val="582" w:hRule="atLeast"/>
        </w:trPr>
        <w:tc>
          <w:tcPr>
            <w:tcW w:w="4140"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hint="eastAsia" w:ascii="宋体" w:hAnsi="宋体" w:cs="宋体"/>
                <w:b/>
                <w:bCs/>
                <w:kern w:val="0"/>
                <w:sz w:val="22"/>
                <w:szCs w:val="22"/>
              </w:rPr>
            </w:pPr>
            <w:r>
              <w:rPr>
                <w:rFonts w:hint="eastAsia" w:ascii="宋体" w:hAnsi="宋体" w:cs="宋体"/>
                <w:b/>
                <w:bCs/>
                <w:kern w:val="0"/>
                <w:sz w:val="22"/>
                <w:szCs w:val="22"/>
              </w:rPr>
              <w:t>总  计</w:t>
            </w:r>
          </w:p>
        </w:tc>
        <w:tc>
          <w:tcPr>
            <w:tcW w:w="250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b/>
                <w:bCs/>
                <w:kern w:val="0"/>
                <w:sz w:val="22"/>
                <w:szCs w:val="22"/>
              </w:rPr>
            </w:pPr>
          </w:p>
        </w:tc>
        <w:tc>
          <w:tcPr>
            <w:tcW w:w="18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b/>
                <w:bCs/>
                <w:kern w:val="0"/>
                <w:sz w:val="22"/>
                <w:szCs w:val="22"/>
              </w:rPr>
            </w:pPr>
          </w:p>
        </w:tc>
        <w:tc>
          <w:tcPr>
            <w:tcW w:w="12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b/>
                <w:bCs/>
                <w:kern w:val="0"/>
                <w:sz w:val="24"/>
              </w:rPr>
            </w:pPr>
          </w:p>
        </w:tc>
      </w:tr>
    </w:tbl>
    <w:p>
      <w:pPr>
        <w:widowControl/>
        <w:jc w:val="center"/>
        <w:rPr>
          <w:rFonts w:asciiTheme="minorEastAsia" w:hAnsiTheme="minorEastAsia" w:eastAsiaTheme="minorEastAsia"/>
          <w:b/>
          <w:sz w:val="32"/>
          <w:szCs w:val="32"/>
        </w:rPr>
      </w:pPr>
      <w:r>
        <w:rPr>
          <w:rFonts w:asciiTheme="minorEastAsia" w:hAnsiTheme="minorEastAsia" w:eastAsiaTheme="minorEastAsia"/>
          <w:b/>
          <w:sz w:val="32"/>
          <w:szCs w:val="32"/>
        </w:rPr>
        <w:br w:type="page"/>
      </w:r>
    </w:p>
    <w:p>
      <w:pPr>
        <w:widowControl/>
        <w:jc w:val="left"/>
        <w:rPr>
          <w:rFonts w:asciiTheme="minorEastAsia" w:hAnsiTheme="minorEastAsia" w:eastAsiaTheme="minorEastAsia"/>
          <w:b/>
          <w:sz w:val="32"/>
          <w:szCs w:val="32"/>
        </w:rPr>
        <w:sectPr>
          <w:pgSz w:w="12240" w:h="15840"/>
          <w:pgMar w:top="1440" w:right="1800" w:bottom="1440" w:left="1800" w:header="720" w:footer="720" w:gutter="0"/>
          <w:cols w:space="720" w:num="1"/>
          <w:titlePg/>
          <w:docGrid w:type="lines" w:linePitch="323" w:charSpace="0"/>
        </w:sectPr>
      </w:pPr>
    </w:p>
    <w:tbl>
      <w:tblPr>
        <w:tblStyle w:val="46"/>
        <w:tblW w:w="14320" w:type="dxa"/>
        <w:jc w:val="center"/>
        <w:tblLayout w:type="autofit"/>
        <w:tblCellMar>
          <w:top w:w="0" w:type="dxa"/>
          <w:left w:w="108" w:type="dxa"/>
          <w:bottom w:w="0" w:type="dxa"/>
          <w:right w:w="108" w:type="dxa"/>
        </w:tblCellMar>
      </w:tblPr>
      <w:tblGrid>
        <w:gridCol w:w="880"/>
        <w:gridCol w:w="578"/>
        <w:gridCol w:w="1898"/>
        <w:gridCol w:w="2646"/>
        <w:gridCol w:w="2940"/>
        <w:gridCol w:w="816"/>
        <w:gridCol w:w="990"/>
        <w:gridCol w:w="738"/>
        <w:gridCol w:w="1054"/>
        <w:gridCol w:w="756"/>
        <w:gridCol w:w="1024"/>
      </w:tblGrid>
      <w:tr>
        <w:tblPrEx>
          <w:tblCellMar>
            <w:top w:w="0" w:type="dxa"/>
            <w:left w:w="108" w:type="dxa"/>
            <w:bottom w:w="0" w:type="dxa"/>
            <w:right w:w="108" w:type="dxa"/>
          </w:tblCellMar>
        </w:tblPrEx>
        <w:trPr>
          <w:trHeight w:val="1422" w:hRule="atLeast"/>
          <w:jc w:val="center"/>
        </w:trPr>
        <w:tc>
          <w:tcPr>
            <w:tcW w:w="880" w:type="dxa"/>
            <w:tcBorders>
              <w:top w:val="nil"/>
              <w:left w:val="nil"/>
              <w:bottom w:val="nil"/>
              <w:right w:val="nil"/>
            </w:tcBorders>
            <w:shd w:val="clear" w:color="auto" w:fill="auto"/>
            <w:vAlign w:val="center"/>
          </w:tcPr>
          <w:p>
            <w:pPr>
              <w:widowControl/>
              <w:jc w:val="left"/>
              <w:rPr>
                <w:rFonts w:ascii="宋体" w:hAnsi="宋体" w:cs="宋体"/>
                <w:kern w:val="0"/>
                <w:sz w:val="20"/>
                <w:szCs w:val="20"/>
              </w:rPr>
            </w:pPr>
          </w:p>
        </w:tc>
        <w:tc>
          <w:tcPr>
            <w:tcW w:w="13440" w:type="dxa"/>
            <w:gridSpan w:val="10"/>
            <w:tcBorders>
              <w:top w:val="nil"/>
              <w:left w:val="nil"/>
              <w:bottom w:val="nil"/>
              <w:right w:val="nil"/>
            </w:tcBorders>
            <w:shd w:val="clear" w:color="auto" w:fill="auto"/>
            <w:vAlign w:val="center"/>
          </w:tcPr>
          <w:p>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附表</w:t>
            </w:r>
            <w:r>
              <w:rPr>
                <w:rFonts w:ascii="宋体" w:hAnsi="宋体" w:cs="宋体"/>
                <w:b/>
                <w:bCs/>
                <w:color w:val="000000"/>
                <w:kern w:val="0"/>
                <w:sz w:val="32"/>
                <w:szCs w:val="32"/>
              </w:rPr>
              <w:t>一：</w:t>
            </w:r>
            <w:r>
              <w:rPr>
                <w:rFonts w:hint="eastAsia" w:ascii="宋体" w:hAnsi="宋体" w:cs="宋体"/>
                <w:b/>
                <w:bCs/>
                <w:color w:val="000000"/>
                <w:kern w:val="0"/>
                <w:sz w:val="32"/>
                <w:szCs w:val="32"/>
              </w:rPr>
              <w:t>长沙市轨道交通1、2、5号线运营期2021年-2023年特种设备（起重机类）委外维修保养服务项目维保服务费报价表</w:t>
            </w:r>
          </w:p>
        </w:tc>
      </w:tr>
      <w:tr>
        <w:tblPrEx>
          <w:tblCellMar>
            <w:top w:w="0" w:type="dxa"/>
            <w:left w:w="108" w:type="dxa"/>
            <w:bottom w:w="0" w:type="dxa"/>
            <w:right w:w="108" w:type="dxa"/>
          </w:tblCellMar>
        </w:tblPrEx>
        <w:trPr>
          <w:trHeight w:val="900" w:hRule="atLeast"/>
          <w:jc w:val="center"/>
        </w:trPr>
        <w:tc>
          <w:tcPr>
            <w:tcW w:w="880" w:type="dxa"/>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线路</w:t>
            </w:r>
          </w:p>
        </w:tc>
        <w:tc>
          <w:tcPr>
            <w:tcW w:w="5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序号</w:t>
            </w:r>
          </w:p>
        </w:tc>
        <w:tc>
          <w:tcPr>
            <w:tcW w:w="18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设备名称</w:t>
            </w:r>
          </w:p>
        </w:tc>
        <w:tc>
          <w:tcPr>
            <w:tcW w:w="26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品牌</w:t>
            </w:r>
          </w:p>
        </w:tc>
        <w:tc>
          <w:tcPr>
            <w:tcW w:w="29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规格型号</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数量（台）</w:t>
            </w:r>
          </w:p>
        </w:tc>
        <w:tc>
          <w:tcPr>
            <w:tcW w:w="99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月检单价    （元/台次）</w:t>
            </w:r>
          </w:p>
        </w:tc>
        <w:tc>
          <w:tcPr>
            <w:tcW w:w="7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月检次数</w:t>
            </w:r>
          </w:p>
        </w:tc>
        <w:tc>
          <w:tcPr>
            <w:tcW w:w="105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年检单价   （元/台次）</w:t>
            </w:r>
          </w:p>
        </w:tc>
        <w:tc>
          <w:tcPr>
            <w:tcW w:w="7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年检次数</w:t>
            </w:r>
          </w:p>
        </w:tc>
        <w:tc>
          <w:tcPr>
            <w:tcW w:w="102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总价</w:t>
            </w:r>
          </w:p>
        </w:tc>
      </w:tr>
      <w:tr>
        <w:trPr>
          <w:trHeight w:val="420" w:hRule="atLeast"/>
          <w:jc w:val="center"/>
        </w:trPr>
        <w:tc>
          <w:tcPr>
            <w:tcW w:w="88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1号线</w:t>
            </w: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电动单梁起重机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广州泰克力起重机有限公司</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CXTS2-10.5 A5 H=9m</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105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电动单梁桥式起重机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广州泰克力起重机有限公司</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CXTS5-19.5 A5 H=9m</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105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电动葫芦桥式起重机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广州泰克力起重机有限公司</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CXTDTC10-16.5 A5 H=9m</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105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电动单梁起重机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广州泰克力起重机有限公司</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CXTS3-19.5 A5 H=9m</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105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电动单梁桥式起重机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广州泰克力起重机有限公司</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CXTS5-7.5 A5 H=9m</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105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6</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电动单梁起重机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广州泰克力起重机有限公司</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CXTS3-12 A5 H=9m</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105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247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合计</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7</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05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restart"/>
            <w:tcBorders>
              <w:top w:val="nil"/>
              <w:left w:val="single" w:color="auto" w:sz="4" w:space="0"/>
              <w:bottom w:val="nil"/>
              <w:right w:val="single" w:color="auto" w:sz="4" w:space="0"/>
            </w:tcBorders>
            <w:shd w:val="clear" w:color="auto" w:fill="auto"/>
            <w:noWrap/>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2号线</w:t>
            </w: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电动葫芦桥式起重机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广州泰克力起重机有限公司</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QD型，Gn=5t，S=18.7m A5级</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105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kern w:val="0"/>
                <w:sz w:val="20"/>
                <w:szCs w:val="20"/>
              </w:rPr>
            </w:pP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电动葫芦桥式起重机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广州泰克力起重机有限公司</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QD型，Gn=5t，S=25.5m A5级</w:t>
            </w:r>
          </w:p>
        </w:tc>
        <w:tc>
          <w:tcPr>
            <w:tcW w:w="816" w:type="dxa"/>
            <w:tcBorders>
              <w:top w:val="nil"/>
              <w:left w:val="nil"/>
              <w:bottom w:val="nil"/>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105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kern w:val="0"/>
                <w:sz w:val="20"/>
                <w:szCs w:val="20"/>
              </w:rPr>
            </w:pP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电动葫芦桥式起重机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广州泰克力起重机有限公司</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QD型，Gn=10t，S=18.7m A5级</w:t>
            </w:r>
          </w:p>
        </w:tc>
        <w:tc>
          <w:tcPr>
            <w:tcW w:w="8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99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105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kern w:val="0"/>
                <w:sz w:val="20"/>
                <w:szCs w:val="20"/>
              </w:rPr>
            </w:pP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电动葫芦桥式起重机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广州泰克力起重机有限公司</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xml:space="preserve">QD型，Gn=10t，S=15.9m A5级 </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99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105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kern w:val="0"/>
                <w:sz w:val="20"/>
                <w:szCs w:val="20"/>
              </w:rPr>
            </w:pP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电动单梁起重机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广州泰克力起重机有限公司</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LD型，Gn=5t，S=16.5m A5级</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99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105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kern w:val="0"/>
                <w:sz w:val="20"/>
                <w:szCs w:val="20"/>
              </w:rPr>
            </w:pP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6</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电动单梁起重机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广州泰克力起重机有限公司</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LD型，Gn=3t，S=15.9m A5级</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99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105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kern w:val="0"/>
                <w:sz w:val="20"/>
                <w:szCs w:val="20"/>
              </w:rPr>
            </w:pP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7</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电动单梁起重机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广州泰克力起重机有限公司</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LD型，Gn=2t，S=18.0m A5级</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99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105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679" w:hRule="atLeast"/>
          <w:jc w:val="center"/>
        </w:trPr>
        <w:tc>
          <w:tcPr>
            <w:tcW w:w="88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2号线</w:t>
            </w: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电动单梁起重机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广州泰克力起重机有限公司</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xml:space="preserve">LD型，Gn=2t，S=15.9m A5级 </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99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105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9</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电动单梁起重机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广州泰克力起重机有限公司</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LD型，Gn=2t，S=18.7m A5级</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99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105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电动单梁起重机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广州泰克力起重机有限公司</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xml:space="preserve">LD型，Gn=2t，S=13.5m A5级 </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99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105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11</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电动单梁起重机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广州泰克力起重机有限公司</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LD型，Gn=2t，S=10.1m A5级</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99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105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12</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电动单梁起重机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广州泰克力起重机有限公司</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xml:space="preserve">LD型，Gn=2t，S=7.5m A5级 </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99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105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13</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固定式空压机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上海申行健压缩机有限公司</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SE55A-8</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99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105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14</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移动式空压机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上海申行健压缩机有限公司</w:t>
            </w:r>
          </w:p>
        </w:tc>
        <w:tc>
          <w:tcPr>
            <w:tcW w:w="29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SEC5A-12</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99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105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15</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移动式空压机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上海申行健压缩机有限公司</w:t>
            </w:r>
          </w:p>
        </w:tc>
        <w:tc>
          <w:tcPr>
            <w:tcW w:w="29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SEC5A-8</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99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24</w:t>
            </w:r>
          </w:p>
        </w:tc>
        <w:tc>
          <w:tcPr>
            <w:tcW w:w="105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247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合计</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26</w:t>
            </w:r>
          </w:p>
        </w:tc>
        <w:tc>
          <w:tcPr>
            <w:tcW w:w="9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05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5号线</w:t>
            </w: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电动葫芦桥式起重机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武汉金地球</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xml:space="preserve"> Gn=10t，S=16.5m A5级</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99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21</w:t>
            </w:r>
          </w:p>
        </w:tc>
        <w:tc>
          <w:tcPr>
            <w:tcW w:w="105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电动单梁起重机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武汉金地球</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xml:space="preserve"> Gn=2t， S=10.5m A5级</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99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21</w:t>
            </w:r>
          </w:p>
        </w:tc>
        <w:tc>
          <w:tcPr>
            <w:tcW w:w="105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电动葫芦桥式起重机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武汉金地球</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xml:space="preserve">  Gn=5t，S=19.5m A5级</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99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21</w:t>
            </w:r>
          </w:p>
        </w:tc>
        <w:tc>
          <w:tcPr>
            <w:tcW w:w="105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电动单梁起重机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武汉金地球</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xml:space="preserve">   Gn=10t，=19.5m A5级</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99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21</w:t>
            </w:r>
          </w:p>
        </w:tc>
        <w:tc>
          <w:tcPr>
            <w:tcW w:w="105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57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189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电动单梁起重机</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武汉金地球</w:t>
            </w: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xml:space="preserve">   Gn=5t，S=7.5m A5级</w:t>
            </w: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99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21</w:t>
            </w:r>
          </w:p>
        </w:tc>
        <w:tc>
          <w:tcPr>
            <w:tcW w:w="105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jc w:val="center"/>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0"/>
                <w:szCs w:val="20"/>
              </w:rPr>
            </w:pPr>
          </w:p>
        </w:tc>
        <w:tc>
          <w:tcPr>
            <w:tcW w:w="247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合计</w:t>
            </w:r>
          </w:p>
        </w:tc>
        <w:tc>
          <w:tcPr>
            <w:tcW w:w="2646"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29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81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9</w:t>
            </w:r>
          </w:p>
        </w:tc>
        <w:tc>
          <w:tcPr>
            <w:tcW w:w="99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3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c>
          <w:tcPr>
            <w:tcW w:w="1054"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0"/>
                <w:szCs w:val="20"/>
              </w:rPr>
            </w:pPr>
          </w:p>
        </w:tc>
        <w:tc>
          <w:tcPr>
            <w:tcW w:w="75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c>
          <w:tcPr>
            <w:tcW w:w="102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bl>
    <w:p>
      <w:pPr>
        <w:widowControl/>
        <w:jc w:val="left"/>
        <w:rPr>
          <w:rFonts w:asciiTheme="minorEastAsia" w:hAnsiTheme="minorEastAsia" w:eastAsiaTheme="minorEastAsia"/>
          <w:b/>
          <w:sz w:val="32"/>
          <w:szCs w:val="32"/>
        </w:rPr>
      </w:pPr>
    </w:p>
    <w:p>
      <w:pPr>
        <w:widowControl/>
        <w:jc w:val="left"/>
        <w:rPr>
          <w:rFonts w:asciiTheme="minorEastAsia" w:hAnsiTheme="minorEastAsia" w:eastAsiaTheme="minorEastAsia"/>
          <w:b/>
          <w:sz w:val="32"/>
          <w:szCs w:val="32"/>
        </w:rPr>
      </w:pPr>
      <w:r>
        <w:rPr>
          <w:rFonts w:asciiTheme="minorEastAsia" w:hAnsiTheme="minorEastAsia" w:eastAsiaTheme="minorEastAsia"/>
          <w:b/>
          <w:sz w:val="32"/>
          <w:szCs w:val="32"/>
        </w:rPr>
        <w:br w:type="page"/>
      </w:r>
    </w:p>
    <w:tbl>
      <w:tblPr>
        <w:tblStyle w:val="46"/>
        <w:tblW w:w="13400" w:type="dxa"/>
        <w:tblInd w:w="113" w:type="dxa"/>
        <w:tblLayout w:type="autofit"/>
        <w:tblCellMar>
          <w:top w:w="0" w:type="dxa"/>
          <w:left w:w="108" w:type="dxa"/>
          <w:bottom w:w="0" w:type="dxa"/>
          <w:right w:w="108" w:type="dxa"/>
        </w:tblCellMar>
      </w:tblPr>
      <w:tblGrid>
        <w:gridCol w:w="920"/>
        <w:gridCol w:w="480"/>
        <w:gridCol w:w="2180"/>
        <w:gridCol w:w="2460"/>
        <w:gridCol w:w="3160"/>
        <w:gridCol w:w="820"/>
        <w:gridCol w:w="1000"/>
        <w:gridCol w:w="1260"/>
        <w:gridCol w:w="1120"/>
      </w:tblGrid>
      <w:tr>
        <w:tblPrEx>
          <w:tblCellMar>
            <w:top w:w="0" w:type="dxa"/>
            <w:left w:w="108" w:type="dxa"/>
            <w:bottom w:w="0" w:type="dxa"/>
            <w:right w:w="108" w:type="dxa"/>
          </w:tblCellMar>
        </w:tblPrEx>
        <w:trPr>
          <w:trHeight w:val="822" w:hRule="atLeast"/>
        </w:trPr>
        <w:tc>
          <w:tcPr>
            <w:tcW w:w="920" w:type="dxa"/>
            <w:tcBorders>
              <w:top w:val="nil"/>
              <w:left w:val="nil"/>
              <w:bottom w:val="nil"/>
              <w:right w:val="nil"/>
            </w:tcBorders>
            <w:shd w:val="clear" w:color="auto" w:fill="auto"/>
            <w:noWrap/>
            <w:vAlign w:val="center"/>
          </w:tcPr>
          <w:p>
            <w:pPr>
              <w:widowControl/>
              <w:jc w:val="left"/>
              <w:rPr>
                <w:rFonts w:ascii="宋体" w:hAnsi="宋体" w:cs="宋体"/>
                <w:kern w:val="0"/>
                <w:sz w:val="20"/>
                <w:szCs w:val="20"/>
              </w:rPr>
            </w:pPr>
          </w:p>
        </w:tc>
        <w:tc>
          <w:tcPr>
            <w:tcW w:w="12480" w:type="dxa"/>
            <w:gridSpan w:val="8"/>
            <w:tcBorders>
              <w:top w:val="nil"/>
              <w:left w:val="nil"/>
              <w:bottom w:val="nil"/>
              <w:right w:val="nil"/>
            </w:tcBorders>
            <w:shd w:val="clear" w:color="auto" w:fill="auto"/>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附表</w:t>
            </w:r>
            <w:r>
              <w:rPr>
                <w:rFonts w:ascii="宋体" w:hAnsi="宋体" w:cs="宋体"/>
                <w:b/>
                <w:bCs/>
                <w:kern w:val="0"/>
                <w:sz w:val="32"/>
                <w:szCs w:val="32"/>
              </w:rPr>
              <w:t>二：</w:t>
            </w:r>
            <w:r>
              <w:rPr>
                <w:rFonts w:hint="eastAsia" w:ascii="宋体" w:hAnsi="宋体" w:cs="宋体"/>
                <w:b/>
                <w:bCs/>
                <w:kern w:val="0"/>
                <w:sz w:val="32"/>
                <w:szCs w:val="32"/>
              </w:rPr>
              <w:t>长沙市轨道交通1、2、5号线运营期2021年-2023年特种设备（起重机类）委外维修保养服务项目年审检验费报价表</w:t>
            </w:r>
          </w:p>
        </w:tc>
      </w:tr>
      <w:tr>
        <w:tblPrEx>
          <w:tblCellMar>
            <w:top w:w="0" w:type="dxa"/>
            <w:left w:w="108" w:type="dxa"/>
            <w:bottom w:w="0" w:type="dxa"/>
            <w:right w:w="108" w:type="dxa"/>
          </w:tblCellMar>
        </w:tblPrEx>
        <w:trPr>
          <w:trHeight w:val="540" w:hRule="atLeast"/>
        </w:trPr>
        <w:tc>
          <w:tcPr>
            <w:tcW w:w="920" w:type="dxa"/>
            <w:tcBorders>
              <w:top w:val="single" w:color="auto" w:sz="4" w:space="0"/>
              <w:left w:val="single" w:color="auto" w:sz="4" w:space="0"/>
              <w:bottom w:val="nil"/>
              <w:right w:val="single" w:color="auto" w:sz="4" w:space="0"/>
            </w:tcBorders>
            <w:shd w:val="clear" w:color="auto" w:fill="auto"/>
            <w:noWrap/>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线路</w:t>
            </w:r>
          </w:p>
        </w:tc>
        <w:tc>
          <w:tcPr>
            <w:tcW w:w="4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21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设备名称</w:t>
            </w:r>
          </w:p>
        </w:tc>
        <w:tc>
          <w:tcPr>
            <w:tcW w:w="2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品牌</w:t>
            </w:r>
          </w:p>
        </w:tc>
        <w:tc>
          <w:tcPr>
            <w:tcW w:w="31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规格型号</w:t>
            </w:r>
          </w:p>
        </w:tc>
        <w:tc>
          <w:tcPr>
            <w:tcW w:w="8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数量（台）</w:t>
            </w:r>
          </w:p>
        </w:tc>
        <w:tc>
          <w:tcPr>
            <w:tcW w:w="10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 xml:space="preserve">次数 </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（年/次）</w:t>
            </w: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检验费单价（元/台次）</w:t>
            </w:r>
          </w:p>
        </w:tc>
        <w:tc>
          <w:tcPr>
            <w:tcW w:w="11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总价（元）</w:t>
            </w:r>
          </w:p>
        </w:tc>
      </w:tr>
      <w:tr>
        <w:tblPrEx>
          <w:tblCellMar>
            <w:top w:w="0" w:type="dxa"/>
            <w:left w:w="108" w:type="dxa"/>
            <w:bottom w:w="0" w:type="dxa"/>
            <w:right w:w="108" w:type="dxa"/>
          </w:tblCellMar>
        </w:tblPrEx>
        <w:trPr>
          <w:trHeight w:val="360" w:hRule="atLeast"/>
        </w:trPr>
        <w:tc>
          <w:tcPr>
            <w:tcW w:w="92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1号线</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2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电动单梁起重机</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广州泰克力</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CXTS5-19.5 A5 H=9m</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9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2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电动单梁起重机</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广州泰克力</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CXTDTC10-16.5 A5 H=9m</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9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2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电动单梁起重机</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广州泰克力</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CXTS3-19.5 A5 H=9m</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9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2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电动单梁起重机</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广州泰克力</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CXTS5-7.5 A5 H=9m</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9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2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电动单梁起重机</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广州泰克力</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CXTS3-12 A5 H=9m</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9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26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合计</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6</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92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2号线</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2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电动葫芦桥式起重机</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广州泰克力起重机有限公司</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QD型，Gn=5t，S=18.7m A5级</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2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电动葫芦桥式起重机</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广州泰克力起重机有限公司</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QD型，Gn=5t，S=25.5m A5级</w:t>
            </w:r>
          </w:p>
        </w:tc>
        <w:tc>
          <w:tcPr>
            <w:tcW w:w="820" w:type="dxa"/>
            <w:tcBorders>
              <w:top w:val="nil"/>
              <w:left w:val="nil"/>
              <w:bottom w:val="nil"/>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2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电动葫芦桥式起重机</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广州泰克力起重机有限公司</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QD型，Gn=10t，S=18.7m A5级</w:t>
            </w:r>
          </w:p>
        </w:tc>
        <w:tc>
          <w:tcPr>
            <w:tcW w:w="8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2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电动葫芦桥式起重机</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广州泰克力起重机有限公司</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xml:space="preserve">QD型，Gn=10t，S=15.9m A5级 </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2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电动单梁起重机</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广州泰克力起重机有限公司</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LD型，Gn=5t，S=16.5m A5级</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6</w:t>
            </w:r>
          </w:p>
        </w:tc>
        <w:tc>
          <w:tcPr>
            <w:tcW w:w="2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电动单梁起重机</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广州泰克力起重机有限公司</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LD型，Gn=3t，S=15.9m A5级</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7</w:t>
            </w:r>
          </w:p>
        </w:tc>
        <w:tc>
          <w:tcPr>
            <w:tcW w:w="2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空压机储气罐</w:t>
            </w:r>
          </w:p>
        </w:tc>
        <w:tc>
          <w:tcPr>
            <w:tcW w:w="24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w:t>
            </w:r>
          </w:p>
        </w:tc>
        <w:tc>
          <w:tcPr>
            <w:tcW w:w="31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8</w:t>
            </w:r>
          </w:p>
        </w:tc>
        <w:tc>
          <w:tcPr>
            <w:tcW w:w="2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空压机储罐</w:t>
            </w:r>
          </w:p>
        </w:tc>
        <w:tc>
          <w:tcPr>
            <w:tcW w:w="24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w:t>
            </w:r>
          </w:p>
        </w:tc>
        <w:tc>
          <w:tcPr>
            <w:tcW w:w="31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9</w:t>
            </w:r>
          </w:p>
        </w:tc>
        <w:tc>
          <w:tcPr>
            <w:tcW w:w="2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油气筒</w:t>
            </w:r>
          </w:p>
        </w:tc>
        <w:tc>
          <w:tcPr>
            <w:tcW w:w="24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w:t>
            </w:r>
          </w:p>
        </w:tc>
        <w:tc>
          <w:tcPr>
            <w:tcW w:w="31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10</w:t>
            </w:r>
          </w:p>
        </w:tc>
        <w:tc>
          <w:tcPr>
            <w:tcW w:w="2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空气分配器</w:t>
            </w:r>
          </w:p>
        </w:tc>
        <w:tc>
          <w:tcPr>
            <w:tcW w:w="24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w:t>
            </w:r>
          </w:p>
        </w:tc>
        <w:tc>
          <w:tcPr>
            <w:tcW w:w="31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11</w:t>
            </w:r>
          </w:p>
        </w:tc>
        <w:tc>
          <w:tcPr>
            <w:tcW w:w="2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吸附筒</w:t>
            </w:r>
          </w:p>
        </w:tc>
        <w:tc>
          <w:tcPr>
            <w:tcW w:w="24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w:t>
            </w:r>
          </w:p>
        </w:tc>
        <w:tc>
          <w:tcPr>
            <w:tcW w:w="316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w:t>
            </w:r>
          </w:p>
        </w:tc>
        <w:tc>
          <w:tcPr>
            <w:tcW w:w="8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26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合计</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20</w:t>
            </w: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92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5号线</w:t>
            </w: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2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电动葫芦桥式起重机</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武汉金地球</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Gn=10t，S=16.5m A5级</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2</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3</w:t>
            </w:r>
          </w:p>
        </w:tc>
        <w:tc>
          <w:tcPr>
            <w:tcW w:w="2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电动葫芦桥式起重机</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武汉金地球</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xml:space="preserve">Gn=5t，S=19.5m </w:t>
            </w:r>
            <w:r>
              <w:rPr>
                <w:rFonts w:hint="eastAsia" w:ascii="宋体" w:hAnsi="宋体" w:cs="宋体"/>
                <w:kern w:val="0"/>
                <w:sz w:val="20"/>
                <w:szCs w:val="20"/>
              </w:rPr>
              <w:br w:type="textWrapping"/>
            </w:r>
            <w:r>
              <w:rPr>
                <w:rFonts w:hint="eastAsia" w:ascii="宋体" w:hAnsi="宋体" w:cs="宋体"/>
                <w:kern w:val="0"/>
                <w:sz w:val="20"/>
                <w:szCs w:val="20"/>
              </w:rPr>
              <w:t>A5级</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4</w:t>
            </w:r>
          </w:p>
        </w:tc>
        <w:tc>
          <w:tcPr>
            <w:tcW w:w="2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电动单梁起重机</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武汉金地球</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Gn=10t，S=19.5m A5级</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4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21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电动单梁起重机</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武汉金地球</w:t>
            </w: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r>
              <w:rPr>
                <w:rFonts w:hint="eastAsia" w:ascii="宋体" w:hAnsi="宋体" w:cs="宋体"/>
                <w:kern w:val="0"/>
                <w:sz w:val="20"/>
                <w:szCs w:val="20"/>
              </w:rPr>
              <w:t xml:space="preserve">Gn=5t，S=7.5m </w:t>
            </w:r>
            <w:r>
              <w:rPr>
                <w:rFonts w:hint="eastAsia" w:ascii="宋体" w:hAnsi="宋体" w:cs="宋体"/>
                <w:kern w:val="0"/>
                <w:sz w:val="20"/>
                <w:szCs w:val="20"/>
              </w:rPr>
              <w:br w:type="textWrapping"/>
            </w:r>
            <w:r>
              <w:rPr>
                <w:rFonts w:hint="eastAsia" w:ascii="宋体" w:hAnsi="宋体" w:cs="宋体"/>
                <w:kern w:val="0"/>
                <w:sz w:val="20"/>
                <w:szCs w:val="20"/>
              </w:rPr>
              <w:t>A5级</w:t>
            </w: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1</w:t>
            </w: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420" w:hRule="atLeast"/>
        </w:trPr>
        <w:tc>
          <w:tcPr>
            <w:tcW w:w="9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0"/>
                <w:szCs w:val="20"/>
              </w:rPr>
            </w:pPr>
          </w:p>
        </w:tc>
        <w:tc>
          <w:tcPr>
            <w:tcW w:w="26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合计</w:t>
            </w:r>
          </w:p>
        </w:tc>
        <w:tc>
          <w:tcPr>
            <w:tcW w:w="24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18"/>
                <w:szCs w:val="18"/>
              </w:rPr>
            </w:pPr>
          </w:p>
        </w:tc>
        <w:tc>
          <w:tcPr>
            <w:tcW w:w="31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82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5</w:t>
            </w:r>
          </w:p>
        </w:tc>
        <w:tc>
          <w:tcPr>
            <w:tcW w:w="100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c>
          <w:tcPr>
            <w:tcW w:w="12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p>
        </w:tc>
        <w:tc>
          <w:tcPr>
            <w:tcW w:w="112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p>
        </w:tc>
      </w:tr>
    </w:tbl>
    <w:p>
      <w:pPr>
        <w:widowControl/>
        <w:jc w:val="left"/>
        <w:rPr>
          <w:rFonts w:asciiTheme="minorEastAsia" w:hAnsiTheme="minorEastAsia" w:eastAsiaTheme="minorEastAsia"/>
          <w:b/>
          <w:sz w:val="32"/>
          <w:szCs w:val="32"/>
        </w:rPr>
      </w:pPr>
    </w:p>
    <w:p>
      <w:pPr>
        <w:widowControl/>
        <w:jc w:val="left"/>
        <w:rPr>
          <w:rFonts w:asciiTheme="minorEastAsia" w:hAnsiTheme="minorEastAsia" w:eastAsiaTheme="minorEastAsia"/>
          <w:b/>
          <w:sz w:val="32"/>
          <w:szCs w:val="32"/>
        </w:rPr>
      </w:pPr>
      <w:r>
        <w:rPr>
          <w:rFonts w:asciiTheme="minorEastAsia" w:hAnsiTheme="minorEastAsia" w:eastAsiaTheme="minorEastAsia"/>
          <w:b/>
          <w:sz w:val="32"/>
          <w:szCs w:val="32"/>
        </w:rPr>
        <w:br w:type="page"/>
      </w:r>
    </w:p>
    <w:p>
      <w:pPr>
        <w:pStyle w:val="45"/>
        <w:ind w:firstLine="643"/>
        <w:rPr>
          <w:rFonts w:asciiTheme="minorEastAsia" w:hAnsiTheme="minorEastAsia" w:eastAsiaTheme="minorEastAsia"/>
          <w:b/>
          <w:sz w:val="32"/>
          <w:szCs w:val="32"/>
        </w:rPr>
        <w:sectPr>
          <w:pgSz w:w="15840" w:h="12240" w:orient="landscape"/>
          <w:pgMar w:top="1797" w:right="1440" w:bottom="1797" w:left="1440" w:header="720" w:footer="720" w:gutter="0"/>
          <w:cols w:space="720" w:num="1"/>
          <w:titlePg/>
          <w:docGrid w:type="linesAndChars" w:linePitch="323" w:charSpace="0"/>
        </w:sectPr>
      </w:pPr>
    </w:p>
    <w:p>
      <w:pPr>
        <w:pStyle w:val="45"/>
        <w:ind w:firstLine="643"/>
        <w:rPr>
          <w:rFonts w:asciiTheme="minorEastAsia" w:hAnsiTheme="minorEastAsia" w:eastAsiaTheme="minorEastAsia"/>
          <w:b/>
          <w:sz w:val="32"/>
          <w:szCs w:val="32"/>
        </w:rPr>
      </w:pPr>
    </w:p>
    <w:p>
      <w:pPr>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八、其他资料(如有)</w:t>
      </w:r>
    </w:p>
    <w:p>
      <w:pPr>
        <w:adjustRightInd w:val="0"/>
        <w:snapToGrid w:val="0"/>
        <w:spacing w:before="161" w:beforeLines="50" w:line="360" w:lineRule="auto"/>
        <w:ind w:firstLine="560" w:firstLineChars="200"/>
        <w:jc w:val="center"/>
        <w:rPr>
          <w:rFonts w:asciiTheme="minorEastAsia" w:hAnsiTheme="minorEastAsia" w:eastAsiaTheme="minorEastAsia"/>
          <w:sz w:val="28"/>
          <w:szCs w:val="28"/>
        </w:rPr>
      </w:pPr>
    </w:p>
    <w:p>
      <w:pPr>
        <w:adjustRightInd w:val="0"/>
        <w:snapToGrid w:val="0"/>
        <w:spacing w:before="161" w:beforeLines="50" w:line="360" w:lineRule="auto"/>
        <w:ind w:firstLine="420" w:firstLineChars="200"/>
        <w:jc w:val="center"/>
        <w:rPr>
          <w:rFonts w:asciiTheme="minorEastAsia" w:hAnsiTheme="minorEastAsia" w:eastAsiaTheme="minorEastAsia"/>
          <w:szCs w:val="21"/>
        </w:rPr>
      </w:pPr>
      <w:bookmarkStart w:id="143" w:name="_Toc14618"/>
      <w:bookmarkStart w:id="144" w:name="_Toc15601"/>
      <w:bookmarkStart w:id="145" w:name="_Toc3706"/>
      <w:r>
        <w:rPr>
          <w:rFonts w:hint="eastAsia" w:asciiTheme="minorEastAsia" w:hAnsiTheme="minorEastAsia" w:eastAsiaTheme="minorEastAsia"/>
          <w:szCs w:val="21"/>
        </w:rPr>
        <w:t>谈判单位认为需要提供的其他报价资料，格式自拟。</w:t>
      </w:r>
      <w:bookmarkEnd w:id="143"/>
      <w:bookmarkEnd w:id="144"/>
      <w:bookmarkEnd w:id="145"/>
    </w:p>
    <w:sectPr>
      <w:pgSz w:w="12240" w:h="15840"/>
      <w:pgMar w:top="1440" w:right="1800" w:bottom="1440" w:left="1800" w:header="720" w:footer="720" w:gutter="0"/>
      <w:cols w:space="720" w:num="1"/>
      <w:titlePg/>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1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8CF3C52" w:usb2="00000016" w:usb3="00000000" w:csb0="0004001F"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84480"/>
              <wp:effectExtent l="0" t="0" r="18415" b="1270"/>
              <wp:wrapNone/>
              <wp:docPr id="8" name="Quad Arrow 4"/>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wps:spPr>
                    <wps:txbx>
                      <w:txbxContent>
                        <w:p>
                          <w:pPr>
                            <w:pStyle w:val="30"/>
                            <w:jc w:val="center"/>
                          </w:pPr>
                          <w:r>
                            <w:fldChar w:fldCharType="begin"/>
                          </w:r>
                          <w:r>
                            <w:instrText xml:space="preserve">PAGE   \* MERGEFORMAT</w:instrText>
                          </w:r>
                          <w:r>
                            <w:fldChar w:fldCharType="separate"/>
                          </w:r>
                          <w:r>
                            <w:rPr>
                              <w:lang w:val="zh-CN"/>
                            </w:rPr>
                            <w:t>12</w:t>
                          </w:r>
                          <w:r>
                            <w:rPr>
                              <w:lang w:val="zh-CN"/>
                            </w:rPr>
                            <w:fldChar w:fldCharType="end"/>
                          </w:r>
                        </w:p>
                        <w:p/>
                      </w:txbxContent>
                    </wps:txbx>
                    <wps:bodyPr rot="0" vert="horz" wrap="none" lIns="0" tIns="0" rIns="0" bIns="0" anchor="t" anchorCtr="0" upright="1">
                      <a:spAutoFit/>
                    </wps:bodyPr>
                  </wps:wsp>
                </a:graphicData>
              </a:graphic>
            </wp:anchor>
          </w:drawing>
        </mc:Choice>
        <mc:Fallback>
          <w:pict>
            <v:shape id="Quad Arrow 4" o:spid="_x0000_s1026" o:spt="202" type="#_x0000_t202" style="position:absolute;left:0pt;margin-top:0pt;height:22.4pt;width:9.05pt;mso-position-horizontal:center;mso-position-horizontal-relative:margin;mso-wrap-style:none;z-index:251660288;mso-width-relative:page;mso-height-relative:page;" filled="f" stroked="f" coordsize="21600,21600" o:gfxdata="UEsDBAoAAAAAAIdO4kAAAAAAAAAAAAAAAAAEAAAAZHJzL1BLAwQUAAAACACHTuJAEp0xst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vK5BtI/+z&#10;tz9QSwMEFAAAAAgAh07iQC40zmD7AQAAAwQAAA4AAABkcnMvZTJvRG9jLnhtbK1TTY/TMBC9I/Ef&#10;LN9p2lJQiZqulq2KkJYvLfyAqeM0FonHGrtNyq9n7CRlWS574BJN7Jk3770Zb276thFnTd6gLeRi&#10;NpdCW4WlscdC/vi+f7WWwgewJTRodSEv2sub7csXm87leok1NqUmwSDW550rZB2Cy7PMq1q34Gfo&#10;tOXLCqmFwL90zEqCjtHbJlvO52+zDql0hEp7z6e74VKOiPQcQKwqo/QO1anVNgyopBsILMnXxnm5&#10;TWyrSqvwpaq8DqIpJCsN6ctNOD7Eb7bdQH4kcLVRIwV4DoUnmlowlpteoXYQQJzI/APVGkXosQoz&#10;hW02CEmOsIrF/Ik3DzU4nbSw1d5dTff/D1Z9Pn8lYcpC8tgttDzwbycoxS0RdmIV/emczzntwXFi&#10;6N9jz1uTtHp3j+qnFxbvarBHnWpqDSXzW8TK7FHpgOMjyKH7hCU3glPABNRX1Ebz2A7B6Dyby3U2&#10;ug9CxZaL1bvXb6RQfLVcr1brNLsM8qnYkQ8fNLYiBoUkHn0Ch/O9D5EM5FNK7GVxb5omjb+xfx1w&#10;YjxJ5CPfgXnoD/1oxgHLC8sgHLaJ3xIHNdIvKTrepEJafjhSNB8tGxGXbgpoCg5TAFZxYSGDFEN4&#10;F4blPDkyx5pxJ6tv2ay9SUKiqwOHkSXvRtI37nFcvsf/KevP293+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KdMbLQAAAAAwEAAA8AAAAAAAAAAQAgAAAAIgAAAGRycy9kb3ducmV2LnhtbFBLAQIU&#10;ABQAAAAIAIdO4kAuNM5g+wEAAAMEAAAOAAAAAAAAAAEAIAAAAB8BAABkcnMvZTJvRG9jLnhtbFBL&#10;BQYAAAAABgAGAFkBAACMBQAAAAA=&#10;">
              <v:fill on="f" focussize="0,0"/>
              <v:stroke on="f"/>
              <v:imagedata o:title=""/>
              <o:lock v:ext="edit" aspectratio="f"/>
              <v:textbox inset="0mm,0mm,0mm,0mm" style="mso-fit-shape-to-text:t;">
                <w:txbxContent>
                  <w:p>
                    <w:pPr>
                      <w:pStyle w:val="30"/>
                      <w:jc w:val="center"/>
                    </w:pPr>
                    <w:r>
                      <w:fldChar w:fldCharType="begin"/>
                    </w:r>
                    <w:r>
                      <w:instrText xml:space="preserve">PAGE   \* MERGEFORMAT</w:instrText>
                    </w:r>
                    <w:r>
                      <w:fldChar w:fldCharType="separate"/>
                    </w:r>
                    <w:r>
                      <w:rPr>
                        <w:lang w:val="zh-CN"/>
                      </w:rPr>
                      <w:t>12</w:t>
                    </w:r>
                    <w:r>
                      <w:rPr>
                        <w:lang w:val="zh-CN"/>
                      </w:rPr>
                      <w:fldChar w:fldCharType="end"/>
                    </w:r>
                  </w:p>
                  <w:p/>
                </w:txbxContent>
              </v:textbox>
            </v:shape>
          </w:pict>
        </mc:Fallback>
      </mc:AlternateContent>
    </w:r>
  </w:p>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57785" cy="131445"/>
              <wp:effectExtent l="0" t="0" r="18415" b="1905"/>
              <wp:wrapNone/>
              <wp:docPr id="7" name="Quad Arrow 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0"/>
                          </w:pPr>
                          <w:r>
                            <w:fldChar w:fldCharType="begin"/>
                          </w:r>
                          <w:r>
                            <w:instrText xml:space="preserve"> PAGE  \* MERGEFORMAT </w:instrText>
                          </w:r>
                          <w:r>
                            <w:fldChar w:fldCharType="separate"/>
                          </w:r>
                          <w:r>
                            <w:t>7</w:t>
                          </w:r>
                          <w:r>
                            <w:fldChar w:fldCharType="end"/>
                          </w:r>
                        </w:p>
                      </w:txbxContent>
                    </wps:txbx>
                    <wps:bodyPr rot="0" vert="horz" wrap="none" lIns="0" tIns="0" rIns="0" bIns="0" anchor="t" anchorCtr="0" upright="1">
                      <a:spAutoFit/>
                    </wps:bodyPr>
                  </wps:wsp>
                </a:graphicData>
              </a:graphic>
            </wp:anchor>
          </w:drawing>
        </mc:Choice>
        <mc:Fallback>
          <w:pict>
            <v:shape id="Quad Arrow 8" o:spid="_x0000_s1026" o:spt="202" type="#_x0000_t202" style="position:absolute;left:0pt;margin-top:0pt;height:10.35pt;width:4.55pt;mso-position-horizontal:center;mso-position-horizontal-relative:margin;mso-wrap-style:none;z-index:25166438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Jqj1jj7AQAAAgQAAA4AAABkcnMvZTJvRG9jLnhtbK1TTW/bMAy9D9h/&#10;EHRfnHTNEhhxiq5BhgHdF9r9AEaWY2G2KFBK7OzXj5LjrGsvPexi0BL5+N4jtbrp20YcNXmDtpCz&#10;yVQKbRWWxu4L+fNx+24phQ9gS2jQ6kKetJc367dvVp3L9RXW2JSaBINYn3eukHUILs8yr2rdgp+g&#10;05YvK6QWAv/SPisJOkZvm+xqOv2QdUilI1Taez7dDJfyjEivAcSqMkpvUB1abcOASrqBwJJ8bZyX&#10;68S2qrQK36rK6yCaQrLSkL7chONd/GbrFeR7AlcbdaYAr6HwTFMLxnLTC9QGAogDmRdQrVGEHqsw&#10;Udhmg5DkCKuYTZ9581CD00kLW+3dxXT//2DV1+N3EqYs5EIKCy0P/McBSnFLhJ1YRn8653NOe3Cc&#10;GPqP2PPWJK3e3aP65YXFuxrsXqeaWkPJ/GaxMntSOuD4CLLrvmDJjeAQMAH1FbXRPLZDMDrP5nSZ&#10;je6DUHw4XyyWcykU38zez66v56kB5GOtIx8+aWxFDApJPPmEDcd7HyIXyMeU2Mri1jRNmn5j/zng&#10;xHiSuEe6A/HQ7/qzFzssT6yCcFgmfkoc1Ei/peh4kQpp+d1I0Xy27EPcuTGgMdiNAVjFhYUMUgzh&#10;XRh28+DI7GvGHZ2+Za+2JgmJpg4czix5NZK+8xrH3Xv6n7L+Pt31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L3UTQAAAAAgEAAA8AAAAAAAAAAQAgAAAAIgAAAGRycy9kb3ducmV2LnhtbFBLAQIU&#10;ABQAAAAIAIdO4kCao9Y4+wEAAAIEAAAOAAAAAAAAAAEAIAAAAB8BAABkcnMvZTJvRG9jLnhtbFBL&#10;BQYAAAAABgAGAFkBAACMBQAA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18415" b="1905"/>
              <wp:wrapNone/>
              <wp:docPr id="6" name="Quad Arrow 1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30"/>
                          </w:pPr>
                          <w:r>
                            <w:fldChar w:fldCharType="begin"/>
                          </w:r>
                          <w:r>
                            <w:instrText xml:space="preserve"> PAGE  \* MERGEFORMAT </w:instrText>
                          </w:r>
                          <w:r>
                            <w:fldChar w:fldCharType="separate"/>
                          </w:r>
                          <w:r>
                            <w:t>17</w:t>
                          </w:r>
                          <w:r>
                            <w:fldChar w:fldCharType="end"/>
                          </w:r>
                        </w:p>
                      </w:txbxContent>
                    </wps:txbx>
                    <wps:bodyPr rot="0" vert="horz" wrap="none" lIns="0" tIns="0" rIns="0" bIns="0" anchor="t" anchorCtr="0" upright="1">
                      <a:spAutoFit/>
                    </wps:bodyPr>
                  </wps:wsp>
                </a:graphicData>
              </a:graphic>
            </wp:anchor>
          </w:drawing>
        </mc:Choice>
        <mc:Fallback>
          <w:pict>
            <v:shape id="Quad Arrow 14"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yuD0n8AQAABAQAAA4AAABkcnMvZTJvRG9jLnhtbK1TTW/bMAy9D9h/&#10;EHRfHLdpsRlxiq5BhgHdF7r+AEaWY2G2KFBK7OzXj5LjrGsvPexi0BL5+N4jtbwZulYcNHmDtpT5&#10;bC6FtgorY3elfPy5efdeCh/AVtCi1aU8ai9vVm/fLHtX6AtssK00CQaxvuhdKZsQXJFlXjW6Az9D&#10;py1f1kgdBP6lXVYR9IzetdnFfH6d9UiVI1Taez5dj5fyhEivAcS6NkqvUe07bcOISrqFwJJ8Y5yX&#10;q8S2rrUK3+ra6yDaUrLSkL7chONt/GarJRQ7AtcYdaIAr6HwTFMHxnLTM9QaAog9mRdQnVGEHusw&#10;U9hlo5DkCKvI58+8eWjA6aSFrfbubLr/f7Dq6+E7CVOV8loKCx0P/MceKnFLhL3IF9Gg3vmC8x4c&#10;Z4bhIw68Nkmsd/eofnlh8a4Bu9OpqNFQMcE8VmZPSkccH0G2/ResuBPsAyagoaYuusd+CEbn4RzP&#10;w9FDECq2zBcfLq+kUHyVX+aLxVXqAMVU7MiHTxo7EYNSEs8+gcPh3odIBoopJfayuDFtm+bf2n8O&#10;ODGeJPKR78g8DNvhZMYWqyPLIBzXiR8TBw3Sbyl6XqVSWn45UrSfLRsRt24KaAq2UwBWcWEpgxRj&#10;eBfG7dw7MruGcSerb9msjUlCoqsjhxNLXo6k77TIcfue/qesv4939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fK4PSfwBAAAEBAAADgAAAAAAAAABACAAAAAfAQAAZHJzL2Uyb0RvYy54bWxQ&#10;SwUGAAAAAAYABgBZAQAAjQUAA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17</w:t>
                    </w:r>
                    <w:r>
                      <w:fldChar w:fldCharType="end"/>
                    </w:r>
                  </w:p>
                </w:txbxContent>
              </v:textbox>
            </v:shape>
          </w:pict>
        </mc:Fallback>
      </mc:AlternateConten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18415" b="1905"/>
              <wp:wrapNone/>
              <wp:docPr id="5" name="Quad Arrow 1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30"/>
                          </w:pPr>
                          <w:r>
                            <w:fldChar w:fldCharType="begin"/>
                          </w:r>
                          <w:r>
                            <w:instrText xml:space="preserve"> PAGE  \* MERGEFORMAT </w:instrText>
                          </w:r>
                          <w:r>
                            <w:fldChar w:fldCharType="separate"/>
                          </w:r>
                          <w:r>
                            <w:t>16</w:t>
                          </w:r>
                          <w:r>
                            <w:fldChar w:fldCharType="end"/>
                          </w:r>
                        </w:p>
                      </w:txbxContent>
                    </wps:txbx>
                    <wps:bodyPr rot="0" vert="horz" wrap="none" lIns="0" tIns="0" rIns="0" bIns="0" anchor="t" anchorCtr="0" upright="1">
                      <a:spAutoFit/>
                    </wps:bodyPr>
                  </wps:wsp>
                </a:graphicData>
              </a:graphic>
            </wp:anchor>
          </w:drawing>
        </mc:Choice>
        <mc:Fallback>
          <w:pict>
            <v:shape id="Quad Arrow 15"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IPfGD7AQAABAQAAA4AAABkcnMvZTJvRG9jLnhtbK1TwW7bMAy9D9g/&#10;CLovjtt02Iw4Rdcgw4Bu3dDuAxhZjoXZokApsbOvHyXHWddeetjFoCXy8b1Hank9dK04aPIGbSnz&#10;2VwKbRVWxu5K+fNx8+6DFD6AraBFq0t51F5er96+Wfau0BfYYFtpEgxifdG7UjYhuCLLvGp0B36G&#10;Tlu+rJE6CPxLu6wi6Bm9a7OL+fx91iNVjlBp7/l0PV7KEyK9BhDr2ii9RrXvtA0jKukWAkvyjXFe&#10;rhLbutYq3Ne110G0pWSlIX25Ccfb+M1WSyh2BK4x6kQBXkPhmaYOjOWmZ6g1BBB7Mi+gOqMIPdZh&#10;prDLRiHJEVaRz59589CA00kLW+3d2XT//2DVt8N3EqYq5ZUUFjoe+I89VOKGCHuRX0WDeucLzntw&#10;nBmGTzjw2iSx3t2h+uWFxdsG7E6nokZDxQTzWJk9KR1xfATZ9l+x4k6wD5iAhpq66B77IRidh3M8&#10;D0cPQajYMl98vGSSiq/yy3yxSNwyKKZiRz581tiJGJSSePYJHA53PkQyUEwpsZfFjWnbNP/W/nPA&#10;ifEkkY98R+Zh2A4nM7ZYHVkG4bhO/Jg4aJB+S9HzKpXS8suRov1i2Yi4dVNAU7CdArCKC0sZpBjD&#10;2zBu596R2TWMO1l9w2ZtTBISXR05nFjyciR9p0WO2/f0P2X9fby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PlfknQAAAAAwEAAA8AAAAAAAAAAQAgAAAAIgAAAGRycy9kb3ducmV2LnhtbFBLAQIU&#10;ABQAAAAIAIdO4kBiD3xg+wEAAAQEAAAOAAAAAAAAAAEAIAAAAB8BAABkcnMvZTJvRG9jLnhtbFBL&#10;BQYAAAAABgAGAFkBAACMBQAA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0"/>
      </w:rPr>
    </w:pPr>
    <w:r>
      <w:fldChar w:fldCharType="begin"/>
    </w:r>
    <w:r>
      <w:rPr>
        <w:rStyle w:val="50"/>
      </w:rPr>
      <w:instrText xml:space="preserve">PAGE  </w:instrText>
    </w:r>
    <w:r>
      <w:fldChar w:fldCharType="end"/>
    </w:r>
  </w:p>
  <w:p>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57785" cy="131445"/>
              <wp:effectExtent l="0" t="0" r="3175" b="5715"/>
              <wp:wrapNone/>
              <wp:docPr id="4"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0.35pt;width:4.55pt;mso-position-horizontal:center;mso-position-horizontal-relative:margin;mso-wrap-style:none;z-index:251671552;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BAC+bXzgEAAJQDAAAOAAAAZHJzL2Uyb0RvYy54bWytU82O0zAQ&#10;viPxDpbvNM3S0CpqugJVi5AQIC08gOvYjSX/yeM26QvAG3Diwp3n6nPs2Em7aLnsgYsznhl/M983&#10;k/XtYDQ5igDK2YaWszklwnLXKrtv6Levd69WlEBktmXaWdHQkwB6u3n5Yt37Wty4zulWBIIgFure&#10;N7SL0ddFAbwThsHMeWExKF0wLOI17Is2sB7RjS5u5vM3Re9C64PjAgC92zFIJ8TwHEAnpeJi6/jB&#10;CBtH1CA0i0gJOuWBbnK3UgoeP0sJIhLdUGQa84lF0N6ls9isWb0PzHeKTy2w57TwhJNhymLRK9SW&#10;RUYOQf0DZRQPDpyMM+5MMRLJiiCLcv5Em/uOeZG5oNTgr6LD/4Pln45fAlFtQxeUWGZw4OefP86/&#10;/px/fydlkqf3UGPWvce8OLxzAy7NxQ/oTKwHGUz6Ih+CcRT3dBVXDJFwdFbL5aqihGOkfF0uFlUC&#10;KR7f+gDxvXCGJKOhAUeXFWXHjxDH1EtKKmXdndI6j09b0iNotVpW+cU1hOjaYpFEYWw1WXHYDROv&#10;nWtPSKvH+TfU4rpToj9YlDetysUIF2M3Gak8+LeHiC3kzhLqCDUVw2FlbtNipW34+56zHn+mz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8DhTx1AAAAAIBAAAPAAAAAAAAAAEAIAAAACIAAABkcnMv&#10;ZG93bnJldi54bWxQSwECFAAUAAAACACHTuJAQAvm184BAACUAwAADgAAAAAAAAABACAAAAAjAQAA&#10;ZHJzL2Uyb0RvYy54bWxQSwUGAAAAAAYABgBZAQAAYw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57785" cy="131445"/>
              <wp:effectExtent l="0" t="0" r="3175" b="5715"/>
              <wp:wrapNone/>
              <wp:docPr id="3"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72576;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CBUHUvzwEAAJQDAAAOAAAAZHJzL2Uyb0RvYy54bWytU0tu2zAQ&#10;3RfoHQjua9lOVBuC5SCBkSBA0RZIewCaIi0C/IFDW/IF2ht01U33PZfP0SElO0W6yaIbajgzfDPv&#10;zWh10xtNDiKAcrams8mUEmG5a5Td1fTrl/t3S0ogMtsw7ayo6VEAvVm/fbPqfCXmrnW6EYEgiIWq&#10;8zVtY/RVUQBvhWEwcV5YDEoXDIt4DbuiCaxDdKOL+XT6vuhcaHxwXACgdzME6YgYXgPopFRcbBzf&#10;G2HjgBqEZhEpQas80HXuVkrB4ycpQUSia4pMYz6xCNrbdBbrFat2gflW8bEF9poWXnAyTFkseoHa&#10;sMjIPqh/oIziwYGTccKdKQYiWRFkMZu+0OapZV5kLig1+Ivo8P9g+cfD50BUU9MrSiwzOPDTj++n&#10;n79Pv76ReZKn81Bh1pPHvNjfuR6X5uwHdCbWvQwmfZEPwTiKe7yIK/pIODrLxWJZUsIxMruaXV+X&#10;CaR4fusDxAfhDElGTQOOLivKDh8gDqnnlFTKunuldR6ftqRD0HK5KPOLSwjRtcUiicLQarJiv+1H&#10;XlvXHJFWh/OvqcV1p0Q/WpQ3rcrZCGdjOxqpPPjbfcQWcmcJdYAai+GwMrdxsdI2/H3PWc8/0/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A4U8dQAAAACAQAADwAAAAAAAAABACAAAAAiAAAAZHJz&#10;L2Rvd25yZXYueG1sUEsBAhQAFAAAAAgAh07iQIFQdS/PAQAAlAMAAA4AAAAAAAAAAQAgAAAAIwEA&#10;AGRycy9lMm9Eb2MueG1sUEsFBgAAAAAGAAYAWQEAAGQFA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8415" b="1905"/>
              <wp:wrapNone/>
              <wp:docPr id="2"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30"/>
                          </w:pPr>
                          <w:r>
                            <w:fldChar w:fldCharType="begin"/>
                          </w:r>
                          <w:r>
                            <w:instrText xml:space="preserve"> PAGE  \* MERGEFORMAT </w:instrText>
                          </w:r>
                          <w:r>
                            <w:fldChar w:fldCharType="separate"/>
                          </w:r>
                          <w:r>
                            <w:t>35</w:t>
                          </w:r>
                          <w:r>
                            <w:fldChar w:fldCharType="end"/>
                          </w:r>
                        </w:p>
                      </w:txbxContent>
                    </wps:txbx>
                    <wps:bodyPr rot="0" vert="horz" wrap="none" lIns="0" tIns="0" rIns="0" bIns="0" anchor="t" anchorCtr="0" upright="1">
                      <a:spAutoFit/>
                    </wps:bodyPr>
                  </wps:wsp>
                </a:graphicData>
              </a:graphic>
            </wp:anchor>
          </w:drawing>
        </mc:Choice>
        <mc:Fallback>
          <w:pict>
            <v:shape id="文本框 13"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LrUL+oLAgAAAw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fyCMysMNfz4/dvxx6/j&#10;z68sn0V/OucLSrtzlBj6V9DT1CSt3t2C/OyZhZtG2K26RoSuUaIifnl8md17OuD4CLLp3kJFhcQu&#10;QALqazTRPLKDETr15nDujeoDk7FkPn85u+RM0lU+y+fzy1RBFONjhz68VmBYDEqO1PoELva3PkQy&#10;ohhTYi0La922qf2t/euAEuNJIh/5DsxDv+lPZmygOpAMhGGa6C9R0AB+4ayjSSq5pY/DWfvGkhFx&#10;6MYAx2AzBsJKeljywNkQ3oRhOHcO9bYh3NHqazJrrZOQ6OrA4cSSZiPpO81xHL77+5T15+8u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utQv6gsCAAADBAAADgAAAAAAAAABACAAAAAfAQAA&#10;ZHJzL2Uyb0RvYy54bWxQSwUGAAAAAAYABgBZAQAAnAUAA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18415" b="1905"/>
              <wp:wrapNone/>
              <wp:docPr id="1" name="Quad Arrow 1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30"/>
                          </w:pPr>
                          <w:r>
                            <w:fldChar w:fldCharType="begin"/>
                          </w:r>
                          <w:r>
                            <w:instrText xml:space="preserve"> PAGE  \* MERGEFORMAT </w:instrText>
                          </w:r>
                          <w:r>
                            <w:fldChar w:fldCharType="separate"/>
                          </w:r>
                          <w:r>
                            <w:t>36</w:t>
                          </w:r>
                          <w:r>
                            <w:fldChar w:fldCharType="end"/>
                          </w:r>
                        </w:p>
                      </w:txbxContent>
                    </wps:txbx>
                    <wps:bodyPr rot="0" vert="horz" wrap="none" lIns="0" tIns="0" rIns="0" bIns="0" anchor="t" anchorCtr="0" upright="1">
                      <a:spAutoFit/>
                    </wps:bodyPr>
                  </wps:wsp>
                </a:graphicData>
              </a:graphic>
            </wp:anchor>
          </w:drawing>
        </mc:Choice>
        <mc:Fallback>
          <w:pict>
            <v:shape id="Quad Arrow 11"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dsWWP6AQAABAQAAA4AAABkcnMvZTJvRG9jLnhtbK1TwW7bMAy9D9g/&#10;CLovjtt02Iw4Rdcgw4Bu3dDuA2RZtoVZokApsbOvHyXHWddeetjFoCXy8b1Han09mp4dFHoNtuT5&#10;YsmZshJqbduS/3zcvfvAmQ/C1qIHq0p+VJ5fb96+WQ+uUBfQQV8rZARifTG4knchuCLLvOyUEX4B&#10;Tlm6bACNCPSLbVajGAjd9NnFcvk+GwBrhyCV93S6nS75CRFfAwhNo6XagtwbZcOEiqoXgST5TjvP&#10;N4lt0ygZ7pvGq8D6kpPSkL7UhOIqfrPNWhQtCtdpeaIgXkPhmSYjtKWmZ6itCILtUb+AMloieGjC&#10;QoLJJiHJEVKRL59589AJp5IWstq7s+n+/8HKb4fvyHRNm8CZFYYG/mMvanaDCAPL82jQ4HxBeQ+O&#10;MsP4CcaYHMV6dwfyl2cWbjthW5WKOiVqIpgqsyelE46PINXwFWrqJPYBEtDYoImA5AcjdBrO8Twc&#10;NQYmY8t89fHyijNJV/llvlpdRW6ZKOZihz58VmBYDEqONPsELg53Pkypc0rsZWGn+z7Nv7f/HBBm&#10;PEnkI9+JeRir8WRGBfWRZCBM60SPiYIO8DdnA61SyS29HM76L5aMiFs3BzgH1RwIK6mw5IGzKbwN&#10;03buHeq2I9zZ6hsya6eTkOjqxOHEkpYjWXFa5Lh9T/9T1t/Hu/k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GdsWWP6AQAABAQAAA4AAAAAAAAAAQAgAAAAHwEAAGRycy9lMm9Eb2MueG1sUEsF&#10;BgAAAAAGAAYAWQEAAIsFAAA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pStyle w:val="127"/>
      <w:lvlText w:val="%1"/>
      <w:lvlJc w:val="left"/>
      <w:pPr>
        <w:tabs>
          <w:tab w:val="left" w:pos="2238"/>
        </w:tabs>
        <w:ind w:left="2238" w:hanging="432"/>
      </w:pPr>
      <w:rPr>
        <w:rFonts w:hint="default"/>
        <w:u w:val="none"/>
      </w:rPr>
    </w:lvl>
    <w:lvl w:ilvl="1" w:tentative="0">
      <w:start w:val="1"/>
      <w:numFmt w:val="decimal"/>
      <w:pStyle w:val="184"/>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1">
    <w:nsid w:val="491E8A5F"/>
    <w:multiLevelType w:val="singleLevel"/>
    <w:tmpl w:val="491E8A5F"/>
    <w:lvl w:ilvl="0" w:tentative="0">
      <w:start w:val="4"/>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0"/>
  <w:bordersDoNotSurroundFooter w:val="0"/>
  <w:documentProtection w:enforcement="0"/>
  <w:defaultTabStop w:val="420"/>
  <w:drawingGridHorizontalSpacing w:val="210"/>
  <w:drawingGridVerticalSpacing w:val="162"/>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84A"/>
    <w:rsid w:val="00005EC9"/>
    <w:rsid w:val="00006D21"/>
    <w:rsid w:val="00016902"/>
    <w:rsid w:val="00017E9F"/>
    <w:rsid w:val="000274C6"/>
    <w:rsid w:val="00044EE8"/>
    <w:rsid w:val="00052640"/>
    <w:rsid w:val="00063D15"/>
    <w:rsid w:val="00063EB1"/>
    <w:rsid w:val="00074928"/>
    <w:rsid w:val="0008272C"/>
    <w:rsid w:val="00091C9D"/>
    <w:rsid w:val="000A6276"/>
    <w:rsid w:val="000C106E"/>
    <w:rsid w:val="000D6E00"/>
    <w:rsid w:val="00115FE6"/>
    <w:rsid w:val="0012448B"/>
    <w:rsid w:val="00142674"/>
    <w:rsid w:val="001453A1"/>
    <w:rsid w:val="00154E3E"/>
    <w:rsid w:val="00162D59"/>
    <w:rsid w:val="00186162"/>
    <w:rsid w:val="00190F50"/>
    <w:rsid w:val="00194925"/>
    <w:rsid w:val="00195655"/>
    <w:rsid w:val="001C23BF"/>
    <w:rsid w:val="001E6BE2"/>
    <w:rsid w:val="002069C8"/>
    <w:rsid w:val="002139EB"/>
    <w:rsid w:val="0022188F"/>
    <w:rsid w:val="00222DFA"/>
    <w:rsid w:val="00224DF9"/>
    <w:rsid w:val="00230A1A"/>
    <w:rsid w:val="002314A3"/>
    <w:rsid w:val="002523FD"/>
    <w:rsid w:val="00255546"/>
    <w:rsid w:val="00286014"/>
    <w:rsid w:val="002B1D56"/>
    <w:rsid w:val="003102A2"/>
    <w:rsid w:val="00321CD1"/>
    <w:rsid w:val="00331810"/>
    <w:rsid w:val="00361F60"/>
    <w:rsid w:val="00363DA4"/>
    <w:rsid w:val="00380064"/>
    <w:rsid w:val="00381105"/>
    <w:rsid w:val="003830A1"/>
    <w:rsid w:val="003958B2"/>
    <w:rsid w:val="0039632C"/>
    <w:rsid w:val="003B1109"/>
    <w:rsid w:val="003B2E2C"/>
    <w:rsid w:val="003D080C"/>
    <w:rsid w:val="003F46A7"/>
    <w:rsid w:val="004014FD"/>
    <w:rsid w:val="00423B85"/>
    <w:rsid w:val="00453EE9"/>
    <w:rsid w:val="004610D7"/>
    <w:rsid w:val="00472D9A"/>
    <w:rsid w:val="00473865"/>
    <w:rsid w:val="004776FC"/>
    <w:rsid w:val="00477F22"/>
    <w:rsid w:val="0048093D"/>
    <w:rsid w:val="0049176C"/>
    <w:rsid w:val="00495DBC"/>
    <w:rsid w:val="00495F57"/>
    <w:rsid w:val="00503B5A"/>
    <w:rsid w:val="00504DED"/>
    <w:rsid w:val="00520872"/>
    <w:rsid w:val="00524466"/>
    <w:rsid w:val="00526589"/>
    <w:rsid w:val="00531225"/>
    <w:rsid w:val="00545140"/>
    <w:rsid w:val="00547C99"/>
    <w:rsid w:val="0055214F"/>
    <w:rsid w:val="005556A5"/>
    <w:rsid w:val="0056143E"/>
    <w:rsid w:val="0058754B"/>
    <w:rsid w:val="005C688B"/>
    <w:rsid w:val="005E6BBB"/>
    <w:rsid w:val="00641E72"/>
    <w:rsid w:val="00652A2F"/>
    <w:rsid w:val="0068504A"/>
    <w:rsid w:val="0068515F"/>
    <w:rsid w:val="00687C87"/>
    <w:rsid w:val="00694E8B"/>
    <w:rsid w:val="006B6300"/>
    <w:rsid w:val="006D0A13"/>
    <w:rsid w:val="006E025D"/>
    <w:rsid w:val="006E2B34"/>
    <w:rsid w:val="006F5FAC"/>
    <w:rsid w:val="00703EDA"/>
    <w:rsid w:val="0070784A"/>
    <w:rsid w:val="007151F5"/>
    <w:rsid w:val="00721272"/>
    <w:rsid w:val="00730CC6"/>
    <w:rsid w:val="00740D0D"/>
    <w:rsid w:val="00774657"/>
    <w:rsid w:val="007800CD"/>
    <w:rsid w:val="007906F7"/>
    <w:rsid w:val="00793ABB"/>
    <w:rsid w:val="0079742A"/>
    <w:rsid w:val="0079784E"/>
    <w:rsid w:val="007B28AE"/>
    <w:rsid w:val="007D0446"/>
    <w:rsid w:val="007D24FB"/>
    <w:rsid w:val="007E099E"/>
    <w:rsid w:val="007F3811"/>
    <w:rsid w:val="00802770"/>
    <w:rsid w:val="0081382B"/>
    <w:rsid w:val="00850F1D"/>
    <w:rsid w:val="008511F3"/>
    <w:rsid w:val="00880436"/>
    <w:rsid w:val="008B6242"/>
    <w:rsid w:val="008C7C9F"/>
    <w:rsid w:val="008D2215"/>
    <w:rsid w:val="008E2C61"/>
    <w:rsid w:val="008F1CE4"/>
    <w:rsid w:val="00915948"/>
    <w:rsid w:val="00923E97"/>
    <w:rsid w:val="00934D5E"/>
    <w:rsid w:val="00976388"/>
    <w:rsid w:val="009A5642"/>
    <w:rsid w:val="009B1169"/>
    <w:rsid w:val="009B5270"/>
    <w:rsid w:val="009C10AF"/>
    <w:rsid w:val="009C30A2"/>
    <w:rsid w:val="009D41D7"/>
    <w:rsid w:val="009D53EB"/>
    <w:rsid w:val="009D7D4A"/>
    <w:rsid w:val="009E03FD"/>
    <w:rsid w:val="009E2639"/>
    <w:rsid w:val="00A26ADD"/>
    <w:rsid w:val="00A34DC1"/>
    <w:rsid w:val="00A41E73"/>
    <w:rsid w:val="00A461A7"/>
    <w:rsid w:val="00A618F2"/>
    <w:rsid w:val="00A61CCE"/>
    <w:rsid w:val="00A80D2D"/>
    <w:rsid w:val="00A91CFF"/>
    <w:rsid w:val="00A92B7C"/>
    <w:rsid w:val="00AA1709"/>
    <w:rsid w:val="00AA7B99"/>
    <w:rsid w:val="00AB013C"/>
    <w:rsid w:val="00AD758B"/>
    <w:rsid w:val="00AE40A3"/>
    <w:rsid w:val="00AF11ED"/>
    <w:rsid w:val="00B01BA0"/>
    <w:rsid w:val="00B21493"/>
    <w:rsid w:val="00B5015C"/>
    <w:rsid w:val="00B51FCB"/>
    <w:rsid w:val="00B74689"/>
    <w:rsid w:val="00B82298"/>
    <w:rsid w:val="00B91D57"/>
    <w:rsid w:val="00BD25B6"/>
    <w:rsid w:val="00BD5980"/>
    <w:rsid w:val="00C0069B"/>
    <w:rsid w:val="00C20479"/>
    <w:rsid w:val="00C532E5"/>
    <w:rsid w:val="00C57914"/>
    <w:rsid w:val="00C6008B"/>
    <w:rsid w:val="00C758E3"/>
    <w:rsid w:val="00C876DA"/>
    <w:rsid w:val="00CB534B"/>
    <w:rsid w:val="00CD66F3"/>
    <w:rsid w:val="00CE51F2"/>
    <w:rsid w:val="00CE631C"/>
    <w:rsid w:val="00CE703D"/>
    <w:rsid w:val="00CE712F"/>
    <w:rsid w:val="00CF0192"/>
    <w:rsid w:val="00D164FE"/>
    <w:rsid w:val="00D2568F"/>
    <w:rsid w:val="00D31733"/>
    <w:rsid w:val="00D43330"/>
    <w:rsid w:val="00D84A7F"/>
    <w:rsid w:val="00DA51BD"/>
    <w:rsid w:val="00DE66B9"/>
    <w:rsid w:val="00DF363F"/>
    <w:rsid w:val="00E13782"/>
    <w:rsid w:val="00E14D9D"/>
    <w:rsid w:val="00E32EEF"/>
    <w:rsid w:val="00E77817"/>
    <w:rsid w:val="00E944EE"/>
    <w:rsid w:val="00EA3ECF"/>
    <w:rsid w:val="00EF6911"/>
    <w:rsid w:val="00F00E9C"/>
    <w:rsid w:val="00F37996"/>
    <w:rsid w:val="00F410E0"/>
    <w:rsid w:val="00F42B84"/>
    <w:rsid w:val="00F4788D"/>
    <w:rsid w:val="00F579E9"/>
    <w:rsid w:val="00F66731"/>
    <w:rsid w:val="00FA6734"/>
    <w:rsid w:val="00FB44A8"/>
    <w:rsid w:val="00FE3699"/>
    <w:rsid w:val="00FF60B0"/>
    <w:rsid w:val="016E73A8"/>
    <w:rsid w:val="01DE6B70"/>
    <w:rsid w:val="02016232"/>
    <w:rsid w:val="021E3BBE"/>
    <w:rsid w:val="024754CE"/>
    <w:rsid w:val="02574D6F"/>
    <w:rsid w:val="025D2CE7"/>
    <w:rsid w:val="028D51BD"/>
    <w:rsid w:val="03086A4B"/>
    <w:rsid w:val="03105694"/>
    <w:rsid w:val="033466BE"/>
    <w:rsid w:val="035225A6"/>
    <w:rsid w:val="03AC4756"/>
    <w:rsid w:val="03B46D8E"/>
    <w:rsid w:val="03D609D8"/>
    <w:rsid w:val="03ED3E80"/>
    <w:rsid w:val="040617AE"/>
    <w:rsid w:val="04072F21"/>
    <w:rsid w:val="04266FF5"/>
    <w:rsid w:val="04AA348C"/>
    <w:rsid w:val="04D54031"/>
    <w:rsid w:val="0523243F"/>
    <w:rsid w:val="05894214"/>
    <w:rsid w:val="05E97ECF"/>
    <w:rsid w:val="0615210C"/>
    <w:rsid w:val="06A37E29"/>
    <w:rsid w:val="06C32324"/>
    <w:rsid w:val="070C59FF"/>
    <w:rsid w:val="073C0D51"/>
    <w:rsid w:val="073C2982"/>
    <w:rsid w:val="076456E2"/>
    <w:rsid w:val="07BA4F73"/>
    <w:rsid w:val="08023E55"/>
    <w:rsid w:val="084B2BFB"/>
    <w:rsid w:val="08787227"/>
    <w:rsid w:val="08C565F2"/>
    <w:rsid w:val="08E85BDE"/>
    <w:rsid w:val="08FB2D1E"/>
    <w:rsid w:val="09664C98"/>
    <w:rsid w:val="097C063F"/>
    <w:rsid w:val="097D1C20"/>
    <w:rsid w:val="097F42B9"/>
    <w:rsid w:val="09AD0AEE"/>
    <w:rsid w:val="09CE7845"/>
    <w:rsid w:val="09D61CB2"/>
    <w:rsid w:val="0A6750A4"/>
    <w:rsid w:val="0A8E7841"/>
    <w:rsid w:val="0A9A0228"/>
    <w:rsid w:val="0AFC3A34"/>
    <w:rsid w:val="0B3A5F03"/>
    <w:rsid w:val="0BE37A43"/>
    <w:rsid w:val="0C164A2F"/>
    <w:rsid w:val="0C665E0B"/>
    <w:rsid w:val="0D421BF6"/>
    <w:rsid w:val="0D66668B"/>
    <w:rsid w:val="0DA65124"/>
    <w:rsid w:val="0DDB6291"/>
    <w:rsid w:val="0E616540"/>
    <w:rsid w:val="0EE35C4D"/>
    <w:rsid w:val="0FDC253F"/>
    <w:rsid w:val="0FEE6040"/>
    <w:rsid w:val="10396637"/>
    <w:rsid w:val="10703D88"/>
    <w:rsid w:val="10B963C5"/>
    <w:rsid w:val="10EC3B06"/>
    <w:rsid w:val="110C2C29"/>
    <w:rsid w:val="111F6D05"/>
    <w:rsid w:val="11AB1128"/>
    <w:rsid w:val="11FB259E"/>
    <w:rsid w:val="121E041A"/>
    <w:rsid w:val="12281DA5"/>
    <w:rsid w:val="124C2DD4"/>
    <w:rsid w:val="125407C8"/>
    <w:rsid w:val="12F77001"/>
    <w:rsid w:val="136544CD"/>
    <w:rsid w:val="138B6D9B"/>
    <w:rsid w:val="1411188B"/>
    <w:rsid w:val="142F09C8"/>
    <w:rsid w:val="144D4CC0"/>
    <w:rsid w:val="14506D47"/>
    <w:rsid w:val="14AB387C"/>
    <w:rsid w:val="15886F53"/>
    <w:rsid w:val="15B1368D"/>
    <w:rsid w:val="15C505E4"/>
    <w:rsid w:val="15D00CD9"/>
    <w:rsid w:val="15DD7FEE"/>
    <w:rsid w:val="15ED6A1A"/>
    <w:rsid w:val="16A82777"/>
    <w:rsid w:val="170054FC"/>
    <w:rsid w:val="177063A4"/>
    <w:rsid w:val="17D22C18"/>
    <w:rsid w:val="18120B9A"/>
    <w:rsid w:val="184738E0"/>
    <w:rsid w:val="1893797B"/>
    <w:rsid w:val="18D13CF0"/>
    <w:rsid w:val="18EB4CFD"/>
    <w:rsid w:val="19035318"/>
    <w:rsid w:val="19630DF4"/>
    <w:rsid w:val="1A430FD1"/>
    <w:rsid w:val="1A80468D"/>
    <w:rsid w:val="1A9C1831"/>
    <w:rsid w:val="1B324E6A"/>
    <w:rsid w:val="1C3228C1"/>
    <w:rsid w:val="1C3E793F"/>
    <w:rsid w:val="1D001DC6"/>
    <w:rsid w:val="1D5C448C"/>
    <w:rsid w:val="1E4D41B9"/>
    <w:rsid w:val="1E6646CC"/>
    <w:rsid w:val="1E981D4A"/>
    <w:rsid w:val="1EA54A7E"/>
    <w:rsid w:val="1EE6655A"/>
    <w:rsid w:val="1EFC3574"/>
    <w:rsid w:val="1F875FC9"/>
    <w:rsid w:val="1FD401CA"/>
    <w:rsid w:val="202020E0"/>
    <w:rsid w:val="20512691"/>
    <w:rsid w:val="20811D27"/>
    <w:rsid w:val="20B54772"/>
    <w:rsid w:val="219C6F36"/>
    <w:rsid w:val="21EA0F73"/>
    <w:rsid w:val="21FC0149"/>
    <w:rsid w:val="22001CA7"/>
    <w:rsid w:val="23217DAC"/>
    <w:rsid w:val="233E41F0"/>
    <w:rsid w:val="23540F1C"/>
    <w:rsid w:val="23F8119B"/>
    <w:rsid w:val="24421CA9"/>
    <w:rsid w:val="24967E12"/>
    <w:rsid w:val="24B252EC"/>
    <w:rsid w:val="24BC37AA"/>
    <w:rsid w:val="24DD7A74"/>
    <w:rsid w:val="25092129"/>
    <w:rsid w:val="2588569F"/>
    <w:rsid w:val="2658296F"/>
    <w:rsid w:val="26662701"/>
    <w:rsid w:val="267F0FB7"/>
    <w:rsid w:val="26B0428E"/>
    <w:rsid w:val="26D60619"/>
    <w:rsid w:val="26E4674D"/>
    <w:rsid w:val="27350900"/>
    <w:rsid w:val="273B23BD"/>
    <w:rsid w:val="27405291"/>
    <w:rsid w:val="2797453C"/>
    <w:rsid w:val="27C64702"/>
    <w:rsid w:val="2888133C"/>
    <w:rsid w:val="28FF5D1E"/>
    <w:rsid w:val="29210A38"/>
    <w:rsid w:val="29290B62"/>
    <w:rsid w:val="2951072C"/>
    <w:rsid w:val="29C26535"/>
    <w:rsid w:val="29F6050F"/>
    <w:rsid w:val="29FE6640"/>
    <w:rsid w:val="2A800F2F"/>
    <w:rsid w:val="2AC97A0D"/>
    <w:rsid w:val="2B80536B"/>
    <w:rsid w:val="2C074F20"/>
    <w:rsid w:val="2C162F55"/>
    <w:rsid w:val="2C3C6E9F"/>
    <w:rsid w:val="2C5D4AA0"/>
    <w:rsid w:val="2C7627E2"/>
    <w:rsid w:val="2C866530"/>
    <w:rsid w:val="2C9B7BF5"/>
    <w:rsid w:val="2CF96CFB"/>
    <w:rsid w:val="2D8D261C"/>
    <w:rsid w:val="2D917A28"/>
    <w:rsid w:val="2DDB7325"/>
    <w:rsid w:val="2DE56563"/>
    <w:rsid w:val="2E8E7239"/>
    <w:rsid w:val="2EA33208"/>
    <w:rsid w:val="2EC50125"/>
    <w:rsid w:val="2EF25909"/>
    <w:rsid w:val="2F127912"/>
    <w:rsid w:val="2F2A1A38"/>
    <w:rsid w:val="2F634563"/>
    <w:rsid w:val="2FF4780A"/>
    <w:rsid w:val="30CC793C"/>
    <w:rsid w:val="30F76A65"/>
    <w:rsid w:val="30F77CED"/>
    <w:rsid w:val="31657D22"/>
    <w:rsid w:val="31AC2400"/>
    <w:rsid w:val="31B61A82"/>
    <w:rsid w:val="32B27CA8"/>
    <w:rsid w:val="32F7027C"/>
    <w:rsid w:val="3304077D"/>
    <w:rsid w:val="3326112B"/>
    <w:rsid w:val="33493A6B"/>
    <w:rsid w:val="33AB69E0"/>
    <w:rsid w:val="33BD1A5D"/>
    <w:rsid w:val="33F309CF"/>
    <w:rsid w:val="342E4543"/>
    <w:rsid w:val="343B7C3F"/>
    <w:rsid w:val="349537D0"/>
    <w:rsid w:val="34BE09CD"/>
    <w:rsid w:val="3506708D"/>
    <w:rsid w:val="3527735C"/>
    <w:rsid w:val="359D78EF"/>
    <w:rsid w:val="35C66E26"/>
    <w:rsid w:val="35F3787B"/>
    <w:rsid w:val="36586AB4"/>
    <w:rsid w:val="36630339"/>
    <w:rsid w:val="36B77340"/>
    <w:rsid w:val="36D5672B"/>
    <w:rsid w:val="36E403EC"/>
    <w:rsid w:val="37067C78"/>
    <w:rsid w:val="373D2A39"/>
    <w:rsid w:val="378B54B8"/>
    <w:rsid w:val="379E002C"/>
    <w:rsid w:val="38333850"/>
    <w:rsid w:val="38907664"/>
    <w:rsid w:val="38DE4586"/>
    <w:rsid w:val="38F9177D"/>
    <w:rsid w:val="392705C8"/>
    <w:rsid w:val="392B2144"/>
    <w:rsid w:val="393442DF"/>
    <w:rsid w:val="39E27939"/>
    <w:rsid w:val="3A0A29D0"/>
    <w:rsid w:val="3A59316D"/>
    <w:rsid w:val="3AF1674B"/>
    <w:rsid w:val="3B235613"/>
    <w:rsid w:val="3BC74370"/>
    <w:rsid w:val="3C263F3D"/>
    <w:rsid w:val="3C4545B9"/>
    <w:rsid w:val="3C7D1CA0"/>
    <w:rsid w:val="3CB459C9"/>
    <w:rsid w:val="3CEB3F0E"/>
    <w:rsid w:val="3D350E98"/>
    <w:rsid w:val="3DA606C7"/>
    <w:rsid w:val="3ECD75DF"/>
    <w:rsid w:val="3F1C763B"/>
    <w:rsid w:val="3FB211CB"/>
    <w:rsid w:val="3FC73801"/>
    <w:rsid w:val="3FED00A7"/>
    <w:rsid w:val="401F311B"/>
    <w:rsid w:val="403854CE"/>
    <w:rsid w:val="40BE1148"/>
    <w:rsid w:val="40F267D8"/>
    <w:rsid w:val="40F50849"/>
    <w:rsid w:val="411A3A24"/>
    <w:rsid w:val="41365969"/>
    <w:rsid w:val="414015A3"/>
    <w:rsid w:val="425B2511"/>
    <w:rsid w:val="42A637B4"/>
    <w:rsid w:val="42B113B1"/>
    <w:rsid w:val="42FD678B"/>
    <w:rsid w:val="434660D0"/>
    <w:rsid w:val="434B6200"/>
    <w:rsid w:val="43574AFD"/>
    <w:rsid w:val="435D4E9D"/>
    <w:rsid w:val="438C7A2F"/>
    <w:rsid w:val="43EB0F20"/>
    <w:rsid w:val="44051EC9"/>
    <w:rsid w:val="4431133A"/>
    <w:rsid w:val="446837DD"/>
    <w:rsid w:val="4575004E"/>
    <w:rsid w:val="457B4715"/>
    <w:rsid w:val="458D53A3"/>
    <w:rsid w:val="45BA1D04"/>
    <w:rsid w:val="45BD7EF6"/>
    <w:rsid w:val="45F966B5"/>
    <w:rsid w:val="462F7A20"/>
    <w:rsid w:val="469965DF"/>
    <w:rsid w:val="46E17929"/>
    <w:rsid w:val="4774262F"/>
    <w:rsid w:val="47F26806"/>
    <w:rsid w:val="48521B3A"/>
    <w:rsid w:val="48605FB4"/>
    <w:rsid w:val="4A164FC6"/>
    <w:rsid w:val="4AA87A18"/>
    <w:rsid w:val="4AC5638E"/>
    <w:rsid w:val="4AEC3FDD"/>
    <w:rsid w:val="4B05124C"/>
    <w:rsid w:val="4C68124D"/>
    <w:rsid w:val="4C7C4298"/>
    <w:rsid w:val="4CF400BB"/>
    <w:rsid w:val="4D40298C"/>
    <w:rsid w:val="4D6E4698"/>
    <w:rsid w:val="4DB24FC1"/>
    <w:rsid w:val="4E8548FC"/>
    <w:rsid w:val="4E9D3323"/>
    <w:rsid w:val="4EBC2354"/>
    <w:rsid w:val="4EC90D3E"/>
    <w:rsid w:val="4EDE7DC9"/>
    <w:rsid w:val="4EEF295D"/>
    <w:rsid w:val="4F242CF1"/>
    <w:rsid w:val="4F792F65"/>
    <w:rsid w:val="4FDD0550"/>
    <w:rsid w:val="5006254F"/>
    <w:rsid w:val="509F17C1"/>
    <w:rsid w:val="50D84424"/>
    <w:rsid w:val="51322546"/>
    <w:rsid w:val="513C44F8"/>
    <w:rsid w:val="51482C9B"/>
    <w:rsid w:val="51CD5EEE"/>
    <w:rsid w:val="51D7189A"/>
    <w:rsid w:val="51EC0037"/>
    <w:rsid w:val="51F135B6"/>
    <w:rsid w:val="522D2330"/>
    <w:rsid w:val="52F421A7"/>
    <w:rsid w:val="5322696F"/>
    <w:rsid w:val="539147A7"/>
    <w:rsid w:val="53BD08B1"/>
    <w:rsid w:val="53E457E1"/>
    <w:rsid w:val="53FA1417"/>
    <w:rsid w:val="543D7759"/>
    <w:rsid w:val="5444354A"/>
    <w:rsid w:val="548A000A"/>
    <w:rsid w:val="550C1056"/>
    <w:rsid w:val="55FE7363"/>
    <w:rsid w:val="56096771"/>
    <w:rsid w:val="56427277"/>
    <w:rsid w:val="56C20F2D"/>
    <w:rsid w:val="57477B2B"/>
    <w:rsid w:val="5760098D"/>
    <w:rsid w:val="577466A4"/>
    <w:rsid w:val="57C86EED"/>
    <w:rsid w:val="582D324F"/>
    <w:rsid w:val="583D5903"/>
    <w:rsid w:val="58814608"/>
    <w:rsid w:val="58F11BFD"/>
    <w:rsid w:val="590A7119"/>
    <w:rsid w:val="596D221D"/>
    <w:rsid w:val="598409DC"/>
    <w:rsid w:val="59BC25A2"/>
    <w:rsid w:val="59D37CF1"/>
    <w:rsid w:val="5AD95640"/>
    <w:rsid w:val="5ADF6442"/>
    <w:rsid w:val="5B1146F6"/>
    <w:rsid w:val="5B1D7FDB"/>
    <w:rsid w:val="5B95287A"/>
    <w:rsid w:val="5BB8572C"/>
    <w:rsid w:val="5BC36EDC"/>
    <w:rsid w:val="5C151288"/>
    <w:rsid w:val="5C247228"/>
    <w:rsid w:val="5C524815"/>
    <w:rsid w:val="5CDA0CDF"/>
    <w:rsid w:val="5D396783"/>
    <w:rsid w:val="5D3E7167"/>
    <w:rsid w:val="5D481133"/>
    <w:rsid w:val="5D4C0115"/>
    <w:rsid w:val="5D4F4FA5"/>
    <w:rsid w:val="5DA1750E"/>
    <w:rsid w:val="5E9D6655"/>
    <w:rsid w:val="5EB1616D"/>
    <w:rsid w:val="5F3757E7"/>
    <w:rsid w:val="601B4236"/>
    <w:rsid w:val="6071183C"/>
    <w:rsid w:val="60B633D4"/>
    <w:rsid w:val="60F765D6"/>
    <w:rsid w:val="613318D2"/>
    <w:rsid w:val="61BD5058"/>
    <w:rsid w:val="623945A2"/>
    <w:rsid w:val="624A6D8F"/>
    <w:rsid w:val="625C1A96"/>
    <w:rsid w:val="62A85CDD"/>
    <w:rsid w:val="62B50AF2"/>
    <w:rsid w:val="62BA7EC8"/>
    <w:rsid w:val="62C96256"/>
    <w:rsid w:val="62CC2A90"/>
    <w:rsid w:val="62E35C5C"/>
    <w:rsid w:val="62E63623"/>
    <w:rsid w:val="632A666E"/>
    <w:rsid w:val="6336440C"/>
    <w:rsid w:val="63B42FBE"/>
    <w:rsid w:val="642E1744"/>
    <w:rsid w:val="643A1B9E"/>
    <w:rsid w:val="64546A26"/>
    <w:rsid w:val="64C26052"/>
    <w:rsid w:val="64D12B30"/>
    <w:rsid w:val="652B48A4"/>
    <w:rsid w:val="65820123"/>
    <w:rsid w:val="65913AED"/>
    <w:rsid w:val="65E83D26"/>
    <w:rsid w:val="65FC519A"/>
    <w:rsid w:val="66585984"/>
    <w:rsid w:val="66D10CCC"/>
    <w:rsid w:val="66E96BAE"/>
    <w:rsid w:val="670D79CE"/>
    <w:rsid w:val="67392F67"/>
    <w:rsid w:val="673B1F5E"/>
    <w:rsid w:val="676A4EFC"/>
    <w:rsid w:val="677F4A59"/>
    <w:rsid w:val="685925FD"/>
    <w:rsid w:val="686016E0"/>
    <w:rsid w:val="69562F7B"/>
    <w:rsid w:val="69C05706"/>
    <w:rsid w:val="69CE2E46"/>
    <w:rsid w:val="69EF1903"/>
    <w:rsid w:val="6A636C96"/>
    <w:rsid w:val="6A7A5845"/>
    <w:rsid w:val="6ABE21AD"/>
    <w:rsid w:val="6B61607C"/>
    <w:rsid w:val="6B776B5F"/>
    <w:rsid w:val="6B781B95"/>
    <w:rsid w:val="6B96184C"/>
    <w:rsid w:val="6B9A5005"/>
    <w:rsid w:val="6C4224C8"/>
    <w:rsid w:val="6C74273D"/>
    <w:rsid w:val="6C94160D"/>
    <w:rsid w:val="6CBA2C30"/>
    <w:rsid w:val="6CF25E26"/>
    <w:rsid w:val="6CF32683"/>
    <w:rsid w:val="6DBF6989"/>
    <w:rsid w:val="6E953493"/>
    <w:rsid w:val="6EEB1E65"/>
    <w:rsid w:val="6F7B734F"/>
    <w:rsid w:val="6F850583"/>
    <w:rsid w:val="6FA2326B"/>
    <w:rsid w:val="6FBC3B21"/>
    <w:rsid w:val="6FC04798"/>
    <w:rsid w:val="6FEE25CE"/>
    <w:rsid w:val="6FF33E1A"/>
    <w:rsid w:val="70227688"/>
    <w:rsid w:val="702E36F8"/>
    <w:rsid w:val="702F5C21"/>
    <w:rsid w:val="708231F8"/>
    <w:rsid w:val="7095454D"/>
    <w:rsid w:val="70A37E0E"/>
    <w:rsid w:val="710E6F5D"/>
    <w:rsid w:val="71252D0C"/>
    <w:rsid w:val="715A0B9D"/>
    <w:rsid w:val="715E60D0"/>
    <w:rsid w:val="72E548CC"/>
    <w:rsid w:val="730A11F0"/>
    <w:rsid w:val="738F320C"/>
    <w:rsid w:val="73952AC6"/>
    <w:rsid w:val="74096B75"/>
    <w:rsid w:val="74410A18"/>
    <w:rsid w:val="74FB6BE5"/>
    <w:rsid w:val="7535292A"/>
    <w:rsid w:val="753B7D13"/>
    <w:rsid w:val="756B79EC"/>
    <w:rsid w:val="75933503"/>
    <w:rsid w:val="760667A9"/>
    <w:rsid w:val="76621715"/>
    <w:rsid w:val="76BA6269"/>
    <w:rsid w:val="76CD42B6"/>
    <w:rsid w:val="770C4A8E"/>
    <w:rsid w:val="77684BEC"/>
    <w:rsid w:val="77B417B8"/>
    <w:rsid w:val="77D949F2"/>
    <w:rsid w:val="781264F1"/>
    <w:rsid w:val="78610926"/>
    <w:rsid w:val="78647A3B"/>
    <w:rsid w:val="791D1490"/>
    <w:rsid w:val="79547B6C"/>
    <w:rsid w:val="79552F8E"/>
    <w:rsid w:val="79D24D33"/>
    <w:rsid w:val="79EE69A0"/>
    <w:rsid w:val="7A375F45"/>
    <w:rsid w:val="7A545A20"/>
    <w:rsid w:val="7A8377CB"/>
    <w:rsid w:val="7A851190"/>
    <w:rsid w:val="7AB13A8F"/>
    <w:rsid w:val="7AB93CAD"/>
    <w:rsid w:val="7AD51802"/>
    <w:rsid w:val="7AE40889"/>
    <w:rsid w:val="7B044D87"/>
    <w:rsid w:val="7B625890"/>
    <w:rsid w:val="7C644BB6"/>
    <w:rsid w:val="7C8200BE"/>
    <w:rsid w:val="7C996C5E"/>
    <w:rsid w:val="7D3149F1"/>
    <w:rsid w:val="7DAE2B75"/>
    <w:rsid w:val="7DDC42F1"/>
    <w:rsid w:val="7DF00C43"/>
    <w:rsid w:val="7E5343A3"/>
    <w:rsid w:val="7E5366E5"/>
    <w:rsid w:val="7F461D37"/>
    <w:rsid w:val="7FAF6940"/>
    <w:rsid w:val="7FDB466C"/>
    <w:rsid w:val="7FED5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8"/>
    <w:qFormat/>
    <w:uiPriority w:val="0"/>
    <w:pPr>
      <w:keepNext/>
      <w:jc w:val="center"/>
      <w:outlineLvl w:val="0"/>
    </w:pPr>
    <w:rPr>
      <w:b/>
      <w:bCs/>
      <w:kern w:val="0"/>
      <w:sz w:val="24"/>
      <w:szCs w:val="20"/>
    </w:rPr>
  </w:style>
  <w:style w:type="paragraph" w:styleId="4">
    <w:name w:val="heading 2"/>
    <w:basedOn w:val="1"/>
    <w:next w:val="1"/>
    <w:link w:val="219"/>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220"/>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221"/>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222"/>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223"/>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224"/>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225"/>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226"/>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335"/>
    <w:qFormat/>
    <w:uiPriority w:val="0"/>
    <w:pPr>
      <w:widowControl/>
      <w:ind w:firstLine="420"/>
      <w:jc w:val="left"/>
    </w:pPr>
    <w:rPr>
      <w:kern w:val="0"/>
      <w:sz w:val="20"/>
      <w:szCs w:val="20"/>
    </w:rPr>
  </w:style>
  <w:style w:type="paragraph" w:styleId="14">
    <w:name w:val="Document Map"/>
    <w:basedOn w:val="1"/>
    <w:link w:val="281"/>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263"/>
    <w:unhideWhenUsed/>
    <w:qFormat/>
    <w:uiPriority w:val="99"/>
    <w:pPr>
      <w:jc w:val="left"/>
    </w:pPr>
  </w:style>
  <w:style w:type="paragraph" w:styleId="17">
    <w:name w:val="Salutation"/>
    <w:basedOn w:val="1"/>
    <w:next w:val="1"/>
    <w:link w:val="268"/>
    <w:qFormat/>
    <w:uiPriority w:val="0"/>
    <w:rPr>
      <w:rFonts w:ascii="仿宋_GB2312" w:eastAsia="仿宋_GB2312"/>
      <w:sz w:val="24"/>
    </w:rPr>
  </w:style>
  <w:style w:type="paragraph" w:styleId="18">
    <w:name w:val="Body Text 3"/>
    <w:basedOn w:val="1"/>
    <w:link w:val="302"/>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271"/>
    <w:qFormat/>
    <w:uiPriority w:val="99"/>
    <w:pPr>
      <w:spacing w:after="120"/>
    </w:pPr>
  </w:style>
  <w:style w:type="paragraph" w:styleId="20">
    <w:name w:val="Body Text Indent"/>
    <w:basedOn w:val="1"/>
    <w:link w:val="251"/>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260"/>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293"/>
    <w:qFormat/>
    <w:uiPriority w:val="0"/>
    <w:rPr>
      <w:rFonts w:ascii="Calibri" w:hAnsi="Calibri" w:cs="黑体"/>
      <w:sz w:val="24"/>
      <w:szCs w:val="22"/>
    </w:rPr>
  </w:style>
  <w:style w:type="paragraph" w:styleId="28">
    <w:name w:val="Body Text Indent 2"/>
    <w:basedOn w:val="1"/>
    <w:link w:val="255"/>
    <w:qFormat/>
    <w:uiPriority w:val="0"/>
    <w:pPr>
      <w:spacing w:after="120" w:line="480" w:lineRule="auto"/>
      <w:ind w:left="420" w:leftChars="200"/>
    </w:pPr>
  </w:style>
  <w:style w:type="paragraph" w:styleId="29">
    <w:name w:val="Balloon Text"/>
    <w:basedOn w:val="1"/>
    <w:link w:val="250"/>
    <w:qFormat/>
    <w:uiPriority w:val="0"/>
    <w:rPr>
      <w:rFonts w:ascii="Calibri" w:hAnsi="Calibri" w:cs="黑体"/>
      <w:sz w:val="18"/>
      <w:szCs w:val="18"/>
    </w:rPr>
  </w:style>
  <w:style w:type="paragraph" w:styleId="30">
    <w:name w:val="footer"/>
    <w:basedOn w:val="1"/>
    <w:link w:val="217"/>
    <w:unhideWhenUsed/>
    <w:qFormat/>
    <w:uiPriority w:val="99"/>
    <w:pPr>
      <w:tabs>
        <w:tab w:val="center" w:pos="4153"/>
        <w:tab w:val="right" w:pos="8306"/>
      </w:tabs>
      <w:snapToGrid w:val="0"/>
      <w:jc w:val="left"/>
    </w:pPr>
    <w:rPr>
      <w:sz w:val="18"/>
      <w:szCs w:val="18"/>
    </w:rPr>
  </w:style>
  <w:style w:type="paragraph" w:styleId="31">
    <w:name w:val="header"/>
    <w:basedOn w:val="1"/>
    <w:link w:val="216"/>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5"/>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279"/>
    <w:qFormat/>
    <w:uiPriority w:val="0"/>
    <w:pPr>
      <w:spacing w:before="240" w:after="60" w:line="312" w:lineRule="auto"/>
      <w:jc w:val="center"/>
      <w:outlineLvl w:val="1"/>
    </w:pPr>
    <w:rPr>
      <w:rFonts w:ascii="等线" w:hAnsi="等线" w:eastAsia="等线" w:cs="黑体"/>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278"/>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227"/>
    <w:qFormat/>
    <w:uiPriority w:val="0"/>
    <w:pPr>
      <w:spacing w:after="120" w:line="480" w:lineRule="auto"/>
    </w:pPr>
  </w:style>
  <w:style w:type="paragraph" w:styleId="40">
    <w:name w:val="HTML Preformatted"/>
    <w:basedOn w:val="1"/>
    <w:link w:val="2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254"/>
    <w:qFormat/>
    <w:uiPriority w:val="0"/>
    <w:pPr>
      <w:spacing w:before="240" w:after="60"/>
      <w:jc w:val="center"/>
      <w:outlineLvl w:val="0"/>
    </w:pPr>
    <w:rPr>
      <w:rFonts w:ascii="Cambria" w:hAnsi="Cambria"/>
      <w:b/>
      <w:sz w:val="32"/>
    </w:rPr>
  </w:style>
  <w:style w:type="paragraph" w:styleId="44">
    <w:name w:val="annotation subject"/>
    <w:basedOn w:val="16"/>
    <w:next w:val="16"/>
    <w:link w:val="241"/>
    <w:qFormat/>
    <w:uiPriority w:val="0"/>
    <w:rPr>
      <w:rFonts w:ascii="Calibri" w:hAnsi="Calibri" w:cs="黑体"/>
      <w:b/>
      <w:bCs/>
    </w:rPr>
  </w:style>
  <w:style w:type="paragraph" w:styleId="45">
    <w:name w:val="Body Text First Indent"/>
    <w:basedOn w:val="19"/>
    <w:link w:val="329"/>
    <w:unhideWhenUsed/>
    <w:qFormat/>
    <w:uiPriority w:val="0"/>
    <w:pPr>
      <w:spacing w:line="500" w:lineRule="exact"/>
      <w:ind w:firstLine="420" w:firstLineChars="200"/>
    </w:p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99"/>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basedOn w:val="48"/>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99"/>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paragraph" w:customStyle="1" w:styleId="61">
    <w:name w:val="p0"/>
    <w:basedOn w:val="1"/>
    <w:link w:val="242"/>
    <w:qFormat/>
    <w:uiPriority w:val="0"/>
    <w:pPr>
      <w:widowControl/>
    </w:pPr>
    <w:rPr>
      <w:rFonts w:ascii="Calibri" w:hAnsi="Calibri" w:cs="黑体"/>
      <w:szCs w:val="21"/>
    </w:rPr>
  </w:style>
  <w:style w:type="paragraph" w:customStyle="1" w:styleId="6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63">
    <w:name w:val="Char Char Char"/>
    <w:basedOn w:val="1"/>
    <w:qFormat/>
    <w:uiPriority w:val="0"/>
    <w:rPr>
      <w:rFonts w:ascii="宋体" w:hAnsi="宋体"/>
      <w:b/>
      <w:sz w:val="28"/>
      <w:szCs w:val="28"/>
    </w:rPr>
  </w:style>
  <w:style w:type="paragraph" w:customStyle="1" w:styleId="64">
    <w:name w:val="Style29"/>
    <w:basedOn w:val="1"/>
    <w:unhideWhenUsed/>
    <w:qFormat/>
    <w:uiPriority w:val="0"/>
    <w:pPr>
      <w:spacing w:line="547" w:lineRule="exact"/>
      <w:ind w:firstLine="547"/>
    </w:pPr>
  </w:style>
  <w:style w:type="paragraph" w:customStyle="1" w:styleId="6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66">
    <w:name w:val="Style13"/>
    <w:basedOn w:val="1"/>
    <w:unhideWhenUsed/>
    <w:qFormat/>
    <w:uiPriority w:val="0"/>
  </w:style>
  <w:style w:type="paragraph" w:customStyle="1" w:styleId="6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68">
    <w:name w:val="正文缩进2"/>
    <w:basedOn w:val="1"/>
    <w:qFormat/>
    <w:uiPriority w:val="0"/>
    <w:pPr>
      <w:tabs>
        <w:tab w:val="left" w:pos="720"/>
      </w:tabs>
      <w:ind w:left="624" w:hanging="624"/>
      <w:textAlignment w:val="baseline"/>
    </w:pPr>
    <w:rPr>
      <w:rFonts w:hint="eastAsia" w:ascii="宋体"/>
    </w:rPr>
  </w:style>
  <w:style w:type="paragraph" w:customStyle="1" w:styleId="69">
    <w:name w:val="Style23"/>
    <w:basedOn w:val="1"/>
    <w:unhideWhenUsed/>
    <w:qFormat/>
    <w:uiPriority w:val="0"/>
  </w:style>
  <w:style w:type="paragraph" w:customStyle="1" w:styleId="70">
    <w:name w:val="Style81"/>
    <w:basedOn w:val="1"/>
    <w:unhideWhenUsed/>
    <w:qFormat/>
    <w:uiPriority w:val="0"/>
    <w:pPr>
      <w:spacing w:line="547" w:lineRule="exact"/>
    </w:pPr>
  </w:style>
  <w:style w:type="paragraph" w:customStyle="1" w:styleId="71">
    <w:name w:val="Style73"/>
    <w:basedOn w:val="1"/>
    <w:unhideWhenUsed/>
    <w:qFormat/>
    <w:uiPriority w:val="0"/>
    <w:pPr>
      <w:spacing w:line="538" w:lineRule="exact"/>
      <w:ind w:firstLine="533"/>
    </w:pPr>
  </w:style>
  <w:style w:type="paragraph" w:customStyle="1" w:styleId="72">
    <w:name w:val="Style47"/>
    <w:basedOn w:val="1"/>
    <w:unhideWhenUsed/>
    <w:qFormat/>
    <w:uiPriority w:val="0"/>
  </w:style>
  <w:style w:type="paragraph" w:customStyle="1" w:styleId="7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74">
    <w:name w:val="Style77"/>
    <w:basedOn w:val="1"/>
    <w:unhideWhenUsed/>
    <w:qFormat/>
    <w:uiPriority w:val="0"/>
  </w:style>
  <w:style w:type="paragraph" w:customStyle="1" w:styleId="75">
    <w:name w:val="Style8"/>
    <w:basedOn w:val="1"/>
    <w:unhideWhenUsed/>
    <w:qFormat/>
    <w:uiPriority w:val="0"/>
    <w:pPr>
      <w:spacing w:line="566" w:lineRule="exact"/>
      <w:jc w:val="center"/>
    </w:pPr>
  </w:style>
  <w:style w:type="paragraph" w:customStyle="1" w:styleId="76">
    <w:name w:val="纯文本1"/>
    <w:qFormat/>
    <w:uiPriority w:val="99"/>
    <w:pPr>
      <w:widowControl w:val="0"/>
      <w:jc w:val="both"/>
    </w:pPr>
    <w:rPr>
      <w:rFonts w:ascii="宋体" w:hAnsi="宋体" w:eastAsia="宋体" w:cs="宋体"/>
      <w:color w:val="000000"/>
      <w:kern w:val="2"/>
      <w:sz w:val="21"/>
      <w:szCs w:val="21"/>
      <w:u w:color="000000"/>
      <w:lang w:val="en-US" w:eastAsia="zh-CN" w:bidi="ar-SA"/>
    </w:rPr>
  </w:style>
  <w:style w:type="paragraph" w:customStyle="1" w:styleId="77">
    <w:name w:val="Char1 Char Char Char Char Char Char Char Char Char"/>
    <w:basedOn w:val="1"/>
    <w:qFormat/>
    <w:uiPriority w:val="0"/>
    <w:rPr>
      <w:szCs w:val="20"/>
    </w:rPr>
  </w:style>
  <w:style w:type="paragraph" w:customStyle="1" w:styleId="78">
    <w:name w:val="_Style 1"/>
    <w:basedOn w:val="1"/>
    <w:qFormat/>
    <w:uiPriority w:val="34"/>
    <w:pPr>
      <w:ind w:firstLine="420" w:firstLineChars="200"/>
    </w:pPr>
    <w:rPr>
      <w:rFonts w:ascii="Calibri" w:hAnsi="Calibri" w:cs="黑体"/>
    </w:rPr>
  </w:style>
  <w:style w:type="paragraph" w:customStyle="1" w:styleId="79">
    <w:name w:val="_Style 39"/>
    <w:basedOn w:val="80"/>
    <w:qFormat/>
    <w:uiPriority w:val="0"/>
  </w:style>
  <w:style w:type="paragraph" w:customStyle="1" w:styleId="8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Style24"/>
    <w:basedOn w:val="1"/>
    <w:unhideWhenUsed/>
    <w:qFormat/>
    <w:uiPriority w:val="0"/>
  </w:style>
  <w:style w:type="paragraph" w:customStyle="1" w:styleId="82">
    <w:name w:val="Style34"/>
    <w:basedOn w:val="1"/>
    <w:unhideWhenUsed/>
    <w:qFormat/>
    <w:uiPriority w:val="0"/>
    <w:pPr>
      <w:spacing w:line="375" w:lineRule="exact"/>
    </w:pPr>
  </w:style>
  <w:style w:type="paragraph" w:customStyle="1" w:styleId="8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84">
    <w:name w:val="Style69"/>
    <w:basedOn w:val="1"/>
    <w:unhideWhenUsed/>
    <w:qFormat/>
    <w:uiPriority w:val="0"/>
    <w:pPr>
      <w:spacing w:line="557" w:lineRule="exact"/>
      <w:ind w:firstLine="1666"/>
    </w:pPr>
  </w:style>
  <w:style w:type="paragraph" w:customStyle="1" w:styleId="8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86">
    <w:name w:val="表格内容"/>
    <w:basedOn w:val="19"/>
    <w:qFormat/>
    <w:uiPriority w:val="0"/>
    <w:pPr>
      <w:suppressLineNumbers/>
      <w:suppressAutoHyphens/>
      <w:jc w:val="left"/>
    </w:pPr>
    <w:rPr>
      <w:rFonts w:cs="Tahoma"/>
      <w:kern w:val="0"/>
      <w:sz w:val="24"/>
    </w:rPr>
  </w:style>
  <w:style w:type="paragraph" w:customStyle="1" w:styleId="87">
    <w:name w:val="Style54"/>
    <w:basedOn w:val="1"/>
    <w:unhideWhenUsed/>
    <w:qFormat/>
    <w:uiPriority w:val="0"/>
  </w:style>
  <w:style w:type="paragraph" w:customStyle="1" w:styleId="88">
    <w:name w:val="标题 31"/>
    <w:basedOn w:val="1"/>
    <w:next w:val="89"/>
    <w:qFormat/>
    <w:uiPriority w:val="0"/>
    <w:pPr>
      <w:spacing w:before="60" w:line="300" w:lineRule="auto"/>
      <w:outlineLvl w:val="2"/>
    </w:pPr>
    <w:rPr>
      <w:rFonts w:ascii="宋体" w:hAnsi="宋体"/>
      <w:snapToGrid w:val="0"/>
      <w:kern w:val="0"/>
      <w:sz w:val="24"/>
    </w:rPr>
  </w:style>
  <w:style w:type="paragraph" w:customStyle="1" w:styleId="89">
    <w:name w:val="正文缩进3"/>
    <w:basedOn w:val="1"/>
    <w:qFormat/>
    <w:uiPriority w:val="0"/>
    <w:pPr>
      <w:tabs>
        <w:tab w:val="left" w:pos="720"/>
      </w:tabs>
      <w:ind w:left="624" w:hanging="624"/>
      <w:textAlignment w:val="baseline"/>
    </w:pPr>
    <w:rPr>
      <w:rFonts w:hint="eastAsia" w:ascii="宋体"/>
    </w:rPr>
  </w:style>
  <w:style w:type="paragraph" w:customStyle="1" w:styleId="9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91">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92">
    <w:name w:val="Style21"/>
    <w:basedOn w:val="1"/>
    <w:unhideWhenUsed/>
    <w:qFormat/>
    <w:uiPriority w:val="0"/>
    <w:pPr>
      <w:spacing w:line="566" w:lineRule="exact"/>
      <w:ind w:firstLine="682"/>
    </w:pPr>
  </w:style>
  <w:style w:type="paragraph" w:customStyle="1" w:styleId="9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94">
    <w:name w:val="Style12"/>
    <w:basedOn w:val="1"/>
    <w:unhideWhenUsed/>
    <w:qFormat/>
    <w:uiPriority w:val="0"/>
    <w:pPr>
      <w:spacing w:line="564" w:lineRule="exact"/>
      <w:ind w:hanging="115"/>
    </w:pPr>
  </w:style>
  <w:style w:type="paragraph" w:customStyle="1" w:styleId="95">
    <w:name w:val="Style58"/>
    <w:basedOn w:val="1"/>
    <w:unhideWhenUsed/>
    <w:qFormat/>
    <w:uiPriority w:val="0"/>
    <w:pPr>
      <w:spacing w:line="413" w:lineRule="exact"/>
    </w:pPr>
  </w:style>
  <w:style w:type="paragraph" w:customStyle="1" w:styleId="9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97">
    <w:name w:val="默认段落字体 Para Char Char Char Char Char Char Char Char Char Char Char Char Char Char Char Char Char Char Char"/>
    <w:basedOn w:val="1"/>
    <w:qFormat/>
    <w:uiPriority w:val="0"/>
  </w:style>
  <w:style w:type="paragraph" w:customStyle="1" w:styleId="98">
    <w:name w:val="p16"/>
    <w:basedOn w:val="1"/>
    <w:qFormat/>
    <w:uiPriority w:val="0"/>
    <w:pPr>
      <w:widowControl/>
      <w:jc w:val="left"/>
    </w:pPr>
    <w:rPr>
      <w:kern w:val="0"/>
      <w:szCs w:val="21"/>
    </w:rPr>
  </w:style>
  <w:style w:type="paragraph" w:customStyle="1" w:styleId="99">
    <w:name w:val="Char Char1 Char Char Char"/>
    <w:basedOn w:val="1"/>
    <w:qFormat/>
    <w:uiPriority w:val="0"/>
    <w:rPr>
      <w:kern w:val="0"/>
      <w:sz w:val="20"/>
      <w:szCs w:val="20"/>
    </w:rPr>
  </w:style>
  <w:style w:type="paragraph" w:customStyle="1" w:styleId="100">
    <w:name w:val="Style42"/>
    <w:basedOn w:val="1"/>
    <w:unhideWhenUsed/>
    <w:qFormat/>
    <w:uiPriority w:val="0"/>
    <w:pPr>
      <w:spacing w:line="542" w:lineRule="exact"/>
      <w:ind w:firstLine="547"/>
    </w:pPr>
  </w:style>
  <w:style w:type="paragraph" w:customStyle="1" w:styleId="101">
    <w:name w:val="Style11"/>
    <w:basedOn w:val="1"/>
    <w:unhideWhenUsed/>
    <w:qFormat/>
    <w:uiPriority w:val="0"/>
    <w:pPr>
      <w:spacing w:line="559" w:lineRule="exact"/>
      <w:ind w:firstLine="590"/>
    </w:pPr>
  </w:style>
  <w:style w:type="paragraph" w:customStyle="1" w:styleId="102">
    <w:name w:val="Style27"/>
    <w:basedOn w:val="1"/>
    <w:unhideWhenUsed/>
    <w:qFormat/>
    <w:uiPriority w:val="0"/>
  </w:style>
  <w:style w:type="paragraph" w:customStyle="1" w:styleId="103">
    <w:name w:val="1"/>
    <w:basedOn w:val="1"/>
    <w:qFormat/>
    <w:uiPriority w:val="0"/>
    <w:pPr>
      <w:spacing w:afterLines="50" w:line="360" w:lineRule="auto"/>
    </w:pPr>
    <w:rPr>
      <w:rFonts w:ascii="宋体" w:hAnsi="宋体"/>
      <w:b/>
      <w:sz w:val="30"/>
      <w:szCs w:val="21"/>
    </w:rPr>
  </w:style>
  <w:style w:type="paragraph" w:customStyle="1" w:styleId="104">
    <w:name w:val="标题 311"/>
    <w:basedOn w:val="1"/>
    <w:next w:val="105"/>
    <w:qFormat/>
    <w:uiPriority w:val="0"/>
    <w:pPr>
      <w:spacing w:line="300" w:lineRule="auto"/>
      <w:outlineLvl w:val="2"/>
    </w:pPr>
    <w:rPr>
      <w:rFonts w:hint="eastAsia" w:ascii="宋体" w:hAnsi="宋体"/>
      <w:snapToGrid w:val="0"/>
      <w:kern w:val="0"/>
      <w:sz w:val="24"/>
      <w:szCs w:val="22"/>
    </w:rPr>
  </w:style>
  <w:style w:type="paragraph" w:customStyle="1" w:styleId="10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10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07">
    <w:name w:val="Style68"/>
    <w:basedOn w:val="1"/>
    <w:unhideWhenUsed/>
    <w:qFormat/>
    <w:uiPriority w:val="0"/>
    <w:pPr>
      <w:spacing w:line="547" w:lineRule="exact"/>
    </w:pPr>
  </w:style>
  <w:style w:type="paragraph" w:customStyle="1" w:styleId="108">
    <w:name w:val="Char1 Char Char Char"/>
    <w:basedOn w:val="1"/>
    <w:qFormat/>
    <w:uiPriority w:val="0"/>
    <w:pPr>
      <w:widowControl/>
      <w:spacing w:after="160" w:line="240" w:lineRule="exact"/>
      <w:jc w:val="left"/>
    </w:pPr>
    <w:rPr>
      <w:kern w:val="0"/>
      <w:sz w:val="24"/>
      <w:szCs w:val="20"/>
    </w:rPr>
  </w:style>
  <w:style w:type="paragraph" w:customStyle="1" w:styleId="109">
    <w:name w:val="Style46"/>
    <w:basedOn w:val="1"/>
    <w:unhideWhenUsed/>
    <w:qFormat/>
    <w:uiPriority w:val="0"/>
    <w:pPr>
      <w:spacing w:line="672" w:lineRule="exact"/>
    </w:pPr>
  </w:style>
  <w:style w:type="paragraph" w:customStyle="1" w:styleId="110">
    <w:name w:val="Style67"/>
    <w:basedOn w:val="1"/>
    <w:unhideWhenUsed/>
    <w:qFormat/>
    <w:uiPriority w:val="0"/>
    <w:pPr>
      <w:spacing w:line="566" w:lineRule="exact"/>
      <w:ind w:firstLine="552"/>
    </w:pPr>
  </w:style>
  <w:style w:type="paragraph" w:customStyle="1" w:styleId="111">
    <w:name w:val="Char1 Char Char Char 字元 Char Char 字元 Char 字元 Char1 Char Char Char"/>
    <w:basedOn w:val="1"/>
    <w:qFormat/>
    <w:uiPriority w:val="0"/>
    <w:rPr>
      <w:szCs w:val="20"/>
    </w:rPr>
  </w:style>
  <w:style w:type="paragraph" w:customStyle="1" w:styleId="112">
    <w:name w:val="Style50"/>
    <w:basedOn w:val="1"/>
    <w:unhideWhenUsed/>
    <w:qFormat/>
    <w:uiPriority w:val="0"/>
  </w:style>
  <w:style w:type="paragraph" w:customStyle="1" w:styleId="113">
    <w:name w:val="Style41"/>
    <w:basedOn w:val="1"/>
    <w:unhideWhenUsed/>
    <w:qFormat/>
    <w:uiPriority w:val="0"/>
    <w:pPr>
      <w:spacing w:line="542" w:lineRule="exact"/>
      <w:ind w:firstLine="125"/>
    </w:pPr>
  </w:style>
  <w:style w:type="paragraph" w:customStyle="1" w:styleId="114">
    <w:name w:val="Style62"/>
    <w:basedOn w:val="1"/>
    <w:unhideWhenUsed/>
    <w:qFormat/>
    <w:uiPriority w:val="0"/>
  </w:style>
  <w:style w:type="paragraph" w:customStyle="1" w:styleId="11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16">
    <w:name w:val="Style5"/>
    <w:basedOn w:val="1"/>
    <w:unhideWhenUsed/>
    <w:qFormat/>
    <w:uiPriority w:val="0"/>
  </w:style>
  <w:style w:type="paragraph" w:customStyle="1" w:styleId="11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8">
    <w:name w:val="Style15"/>
    <w:basedOn w:val="1"/>
    <w:unhideWhenUsed/>
    <w:qFormat/>
    <w:uiPriority w:val="0"/>
    <w:pPr>
      <w:spacing w:line="557" w:lineRule="exact"/>
      <w:ind w:firstLine="672"/>
    </w:pPr>
  </w:style>
  <w:style w:type="paragraph" w:customStyle="1" w:styleId="11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120">
    <w:name w:val="列出段落1"/>
    <w:basedOn w:val="1"/>
    <w:qFormat/>
    <w:uiPriority w:val="0"/>
    <w:pPr>
      <w:ind w:firstLine="420" w:firstLineChars="200"/>
    </w:pPr>
    <w:rPr>
      <w:rFonts w:ascii="Calibri" w:hAnsi="Calibri" w:cs="Calibri"/>
      <w:szCs w:val="21"/>
    </w:rPr>
  </w:style>
  <w:style w:type="paragraph" w:customStyle="1" w:styleId="1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22">
    <w:name w:val="Style44"/>
    <w:basedOn w:val="1"/>
    <w:unhideWhenUsed/>
    <w:qFormat/>
    <w:uiPriority w:val="0"/>
  </w:style>
  <w:style w:type="paragraph" w:customStyle="1" w:styleId="123">
    <w:name w:val="Char Char1 Char Char Char Char Char1 Char Char Char Char"/>
    <w:basedOn w:val="14"/>
    <w:qFormat/>
    <w:uiPriority w:val="0"/>
    <w:rPr>
      <w:rFonts w:ascii="Tahoma" w:hAnsi="Tahoma"/>
    </w:rPr>
  </w:style>
  <w:style w:type="paragraph" w:customStyle="1" w:styleId="12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125">
    <w:name w:val="标题2"/>
    <w:basedOn w:val="43"/>
    <w:qFormat/>
    <w:uiPriority w:val="0"/>
    <w:pPr>
      <w:spacing w:after="240"/>
      <w:jc w:val="left"/>
    </w:pPr>
    <w:rPr>
      <w:sz w:val="30"/>
    </w:rPr>
  </w:style>
  <w:style w:type="paragraph" w:customStyle="1" w:styleId="126">
    <w:name w:val="Style52"/>
    <w:basedOn w:val="1"/>
    <w:unhideWhenUsed/>
    <w:qFormat/>
    <w:uiPriority w:val="0"/>
    <w:pPr>
      <w:spacing w:line="682" w:lineRule="exact"/>
      <w:ind w:firstLine="557"/>
    </w:pPr>
  </w:style>
  <w:style w:type="paragraph" w:customStyle="1" w:styleId="12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128">
    <w:name w:val="Style53"/>
    <w:basedOn w:val="1"/>
    <w:unhideWhenUsed/>
    <w:qFormat/>
    <w:uiPriority w:val="0"/>
    <w:pPr>
      <w:spacing w:line="533" w:lineRule="exact"/>
      <w:ind w:firstLine="581"/>
    </w:pPr>
  </w:style>
  <w:style w:type="paragraph" w:customStyle="1" w:styleId="129">
    <w:name w:val="Style56"/>
    <w:basedOn w:val="1"/>
    <w:unhideWhenUsed/>
    <w:qFormat/>
    <w:uiPriority w:val="0"/>
  </w:style>
  <w:style w:type="paragraph" w:customStyle="1" w:styleId="130">
    <w:name w:val="Style9"/>
    <w:basedOn w:val="1"/>
    <w:unhideWhenUsed/>
    <w:qFormat/>
    <w:uiPriority w:val="0"/>
  </w:style>
  <w:style w:type="paragraph" w:customStyle="1" w:styleId="131">
    <w:name w:val="列出段落2"/>
    <w:basedOn w:val="1"/>
    <w:qFormat/>
    <w:uiPriority w:val="0"/>
    <w:pPr>
      <w:ind w:firstLine="420" w:firstLineChars="200"/>
    </w:pPr>
    <w:rPr>
      <w:rFonts w:ascii="Calibri" w:hAnsi="Calibri"/>
      <w:szCs w:val="22"/>
    </w:rPr>
  </w:style>
  <w:style w:type="paragraph" w:customStyle="1" w:styleId="132">
    <w:name w:val="1 Char Char Char Char"/>
    <w:basedOn w:val="1"/>
    <w:qFormat/>
    <w:uiPriority w:val="0"/>
  </w:style>
  <w:style w:type="paragraph" w:customStyle="1" w:styleId="133">
    <w:name w:val="标题 1 +"/>
    <w:basedOn w:val="3"/>
    <w:next w:val="1"/>
    <w:qFormat/>
    <w:uiPriority w:val="0"/>
    <w:pPr>
      <w:keepLines/>
      <w:spacing w:line="600" w:lineRule="auto"/>
    </w:pPr>
    <w:rPr>
      <w:rFonts w:eastAsia="黑体"/>
      <w:sz w:val="32"/>
      <w:szCs w:val="32"/>
    </w:rPr>
  </w:style>
  <w:style w:type="paragraph" w:customStyle="1" w:styleId="134">
    <w:name w:val="Style59"/>
    <w:basedOn w:val="1"/>
    <w:unhideWhenUsed/>
    <w:qFormat/>
    <w:uiPriority w:val="0"/>
  </w:style>
  <w:style w:type="paragraph" w:customStyle="1" w:styleId="135">
    <w:name w:val="标题 41"/>
    <w:basedOn w:val="1"/>
    <w:next w:val="105"/>
    <w:qFormat/>
    <w:uiPriority w:val="0"/>
    <w:pPr>
      <w:tabs>
        <w:tab w:val="left" w:pos="1021"/>
        <w:tab w:val="left" w:pos="1175"/>
      </w:tabs>
      <w:ind w:left="2" w:firstLine="2"/>
      <w:outlineLvl w:val="3"/>
    </w:pPr>
    <w:rPr>
      <w:snapToGrid w:val="0"/>
      <w:color w:val="000000"/>
      <w:kern w:val="0"/>
      <w:sz w:val="24"/>
      <w:szCs w:val="22"/>
    </w:rPr>
  </w:style>
  <w:style w:type="paragraph" w:customStyle="1" w:styleId="136">
    <w:name w:val="Style16"/>
    <w:basedOn w:val="1"/>
    <w:unhideWhenUsed/>
    <w:qFormat/>
    <w:uiPriority w:val="0"/>
    <w:pPr>
      <w:jc w:val="right"/>
    </w:pPr>
  </w:style>
  <w:style w:type="paragraph" w:customStyle="1" w:styleId="137">
    <w:name w:val="Style4"/>
    <w:basedOn w:val="1"/>
    <w:unhideWhenUsed/>
    <w:qFormat/>
    <w:uiPriority w:val="0"/>
  </w:style>
  <w:style w:type="paragraph" w:customStyle="1" w:styleId="138">
    <w:name w:val="Style63"/>
    <w:basedOn w:val="1"/>
    <w:unhideWhenUsed/>
    <w:qFormat/>
    <w:uiPriority w:val="0"/>
    <w:pPr>
      <w:spacing w:line="564" w:lineRule="exact"/>
      <w:ind w:firstLine="682"/>
    </w:pPr>
  </w:style>
  <w:style w:type="paragraph" w:customStyle="1" w:styleId="139">
    <w:name w:val="标题3"/>
    <w:basedOn w:val="3"/>
    <w:qFormat/>
    <w:uiPriority w:val="0"/>
    <w:pPr>
      <w:spacing w:beforeLines="50" w:afterLines="50" w:line="400" w:lineRule="exact"/>
      <w:jc w:val="both"/>
    </w:pPr>
    <w:rPr>
      <w:rFonts w:ascii="宋体" w:hAnsi="宋体"/>
      <w:kern w:val="32"/>
      <w:szCs w:val="32"/>
    </w:rPr>
  </w:style>
  <w:style w:type="paragraph" w:customStyle="1" w:styleId="140">
    <w:name w:val="Style26"/>
    <w:basedOn w:val="1"/>
    <w:unhideWhenUsed/>
    <w:qFormat/>
    <w:uiPriority w:val="0"/>
  </w:style>
  <w:style w:type="paragraph" w:customStyle="1" w:styleId="141">
    <w:name w:val="Style64"/>
    <w:basedOn w:val="1"/>
    <w:unhideWhenUsed/>
    <w:qFormat/>
    <w:uiPriority w:val="0"/>
  </w:style>
  <w:style w:type="paragraph" w:customStyle="1" w:styleId="142">
    <w:name w:val="Style48"/>
    <w:basedOn w:val="1"/>
    <w:unhideWhenUsed/>
    <w:qFormat/>
    <w:uiPriority w:val="0"/>
    <w:pPr>
      <w:spacing w:line="542" w:lineRule="exact"/>
      <w:jc w:val="right"/>
    </w:pPr>
  </w:style>
  <w:style w:type="paragraph" w:customStyle="1" w:styleId="143">
    <w:name w:val="Style70"/>
    <w:basedOn w:val="1"/>
    <w:unhideWhenUsed/>
    <w:qFormat/>
    <w:uiPriority w:val="0"/>
    <w:pPr>
      <w:spacing w:line="549" w:lineRule="exact"/>
      <w:ind w:firstLine="686"/>
    </w:pPr>
  </w:style>
  <w:style w:type="paragraph" w:customStyle="1" w:styleId="144">
    <w:name w:val="Style78"/>
    <w:basedOn w:val="1"/>
    <w:unhideWhenUsed/>
    <w:qFormat/>
    <w:uiPriority w:val="0"/>
  </w:style>
  <w:style w:type="paragraph" w:customStyle="1" w:styleId="145">
    <w:name w:val="Style60"/>
    <w:basedOn w:val="1"/>
    <w:unhideWhenUsed/>
    <w:qFormat/>
    <w:uiPriority w:val="0"/>
    <w:pPr>
      <w:spacing w:line="566" w:lineRule="exact"/>
    </w:pPr>
  </w:style>
  <w:style w:type="paragraph" w:customStyle="1" w:styleId="146">
    <w:name w:val="NO3"/>
    <w:basedOn w:val="1"/>
    <w:qFormat/>
    <w:uiPriority w:val="0"/>
    <w:pPr>
      <w:tabs>
        <w:tab w:val="left" w:pos="907"/>
      </w:tabs>
      <w:spacing w:line="360" w:lineRule="auto"/>
    </w:pPr>
    <w:rPr>
      <w:rFonts w:ascii="宋体" w:hAnsi="宋体"/>
      <w:sz w:val="24"/>
    </w:rPr>
  </w:style>
  <w:style w:type="paragraph" w:customStyle="1" w:styleId="147">
    <w:name w:val="Char"/>
    <w:basedOn w:val="1"/>
    <w:qFormat/>
    <w:uiPriority w:val="0"/>
    <w:pPr>
      <w:tabs>
        <w:tab w:val="left" w:pos="360"/>
      </w:tabs>
      <w:ind w:left="360" w:hanging="360" w:hangingChars="200"/>
    </w:pPr>
    <w:rPr>
      <w:sz w:val="24"/>
    </w:rPr>
  </w:style>
  <w:style w:type="paragraph" w:customStyle="1" w:styleId="148">
    <w:name w:val="附录标识"/>
    <w:basedOn w:val="90"/>
    <w:qFormat/>
    <w:uiPriority w:val="0"/>
    <w:pPr>
      <w:tabs>
        <w:tab w:val="left" w:pos="6405"/>
        <w:tab w:val="clear" w:pos="360"/>
        <w:tab w:val="clear" w:pos="720"/>
      </w:tabs>
      <w:spacing w:after="200"/>
    </w:pPr>
    <w:rPr>
      <w:sz w:val="21"/>
    </w:rPr>
  </w:style>
  <w:style w:type="paragraph" w:customStyle="1" w:styleId="149">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50">
    <w:name w:val="Style74"/>
    <w:basedOn w:val="1"/>
    <w:unhideWhenUsed/>
    <w:qFormat/>
    <w:uiPriority w:val="0"/>
    <w:pPr>
      <w:spacing w:line="437" w:lineRule="exact"/>
    </w:pPr>
  </w:style>
  <w:style w:type="paragraph" w:customStyle="1" w:styleId="151">
    <w:name w:val="Style36"/>
    <w:basedOn w:val="1"/>
    <w:unhideWhenUsed/>
    <w:qFormat/>
    <w:uiPriority w:val="0"/>
  </w:style>
  <w:style w:type="paragraph" w:customStyle="1" w:styleId="152">
    <w:name w:val="Style61"/>
    <w:basedOn w:val="1"/>
    <w:unhideWhenUsed/>
    <w:qFormat/>
    <w:uiPriority w:val="0"/>
  </w:style>
  <w:style w:type="paragraph" w:customStyle="1" w:styleId="153">
    <w:name w:val="标题 21"/>
    <w:basedOn w:val="1"/>
    <w:next w:val="105"/>
    <w:qFormat/>
    <w:uiPriority w:val="0"/>
    <w:pPr>
      <w:spacing w:line="300" w:lineRule="auto"/>
      <w:outlineLvl w:val="1"/>
    </w:pPr>
    <w:rPr>
      <w:rFonts w:hint="eastAsia" w:ascii="宋体" w:hAnsi="宋体"/>
      <w:b/>
      <w:snapToGrid w:val="0"/>
      <w:kern w:val="0"/>
      <w:sz w:val="28"/>
      <w:szCs w:val="22"/>
    </w:rPr>
  </w:style>
  <w:style w:type="paragraph" w:customStyle="1" w:styleId="154">
    <w:name w:val="Style76"/>
    <w:basedOn w:val="1"/>
    <w:unhideWhenUsed/>
    <w:qFormat/>
    <w:uiPriority w:val="0"/>
  </w:style>
  <w:style w:type="paragraph" w:customStyle="1" w:styleId="155">
    <w:name w:val="列表段落1"/>
    <w:basedOn w:val="1"/>
    <w:qFormat/>
    <w:uiPriority w:val="0"/>
    <w:pPr>
      <w:ind w:firstLine="420" w:firstLineChars="200"/>
    </w:pPr>
  </w:style>
  <w:style w:type="paragraph" w:customStyle="1" w:styleId="156">
    <w:name w:val="修订1"/>
    <w:qFormat/>
    <w:uiPriority w:val="0"/>
    <w:rPr>
      <w:rFonts w:ascii="Times New Roman" w:hAnsi="Times New Roman" w:eastAsia="宋体" w:cs="Times New Roman"/>
      <w:kern w:val="2"/>
      <w:sz w:val="21"/>
      <w:szCs w:val="24"/>
      <w:lang w:val="en-US" w:eastAsia="zh-CN" w:bidi="ar-SA"/>
    </w:rPr>
  </w:style>
  <w:style w:type="paragraph" w:customStyle="1" w:styleId="15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_Style 7"/>
    <w:basedOn w:val="1"/>
    <w:qFormat/>
    <w:uiPriority w:val="0"/>
    <w:pPr>
      <w:ind w:firstLine="420" w:firstLineChars="200"/>
    </w:pPr>
    <w:rPr>
      <w:rFonts w:ascii="Calibri" w:hAnsi="Calibri" w:cs="黑体"/>
    </w:rPr>
  </w:style>
  <w:style w:type="paragraph" w:customStyle="1" w:styleId="159">
    <w:name w:val="Char Char1 Char Char Char Char Char Char Char"/>
    <w:basedOn w:val="1"/>
    <w:qFormat/>
    <w:uiPriority w:val="0"/>
    <w:pPr>
      <w:widowControl/>
      <w:spacing w:after="160" w:line="240" w:lineRule="exact"/>
      <w:jc w:val="left"/>
    </w:pPr>
  </w:style>
  <w:style w:type="paragraph" w:customStyle="1" w:styleId="16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Style10"/>
    <w:basedOn w:val="1"/>
    <w:unhideWhenUsed/>
    <w:qFormat/>
    <w:uiPriority w:val="0"/>
    <w:pPr>
      <w:spacing w:line="538" w:lineRule="exact"/>
    </w:pPr>
  </w:style>
  <w:style w:type="paragraph" w:customStyle="1" w:styleId="16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164">
    <w:name w:val="Style72"/>
    <w:basedOn w:val="1"/>
    <w:unhideWhenUsed/>
    <w:qFormat/>
    <w:uiPriority w:val="0"/>
  </w:style>
  <w:style w:type="paragraph" w:customStyle="1" w:styleId="165">
    <w:name w:val="Style45"/>
    <w:basedOn w:val="1"/>
    <w:unhideWhenUsed/>
    <w:qFormat/>
    <w:uiPriority w:val="0"/>
  </w:style>
  <w:style w:type="paragraph" w:customStyle="1" w:styleId="16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Style80"/>
    <w:basedOn w:val="1"/>
    <w:unhideWhenUsed/>
    <w:qFormat/>
    <w:uiPriority w:val="0"/>
  </w:style>
  <w:style w:type="paragraph" w:customStyle="1" w:styleId="168">
    <w:name w:val="Style71"/>
    <w:basedOn w:val="1"/>
    <w:unhideWhenUsed/>
    <w:qFormat/>
    <w:uiPriority w:val="0"/>
    <w:pPr>
      <w:spacing w:line="538" w:lineRule="exact"/>
      <w:ind w:firstLine="101"/>
    </w:pPr>
  </w:style>
  <w:style w:type="paragraph" w:customStyle="1" w:styleId="169">
    <w:name w:val="Style65"/>
    <w:basedOn w:val="1"/>
    <w:unhideWhenUsed/>
    <w:qFormat/>
    <w:uiPriority w:val="0"/>
  </w:style>
  <w:style w:type="paragraph" w:customStyle="1" w:styleId="170">
    <w:name w:val="Style28"/>
    <w:basedOn w:val="1"/>
    <w:unhideWhenUsed/>
    <w:qFormat/>
    <w:uiPriority w:val="0"/>
    <w:pPr>
      <w:spacing w:line="552" w:lineRule="exact"/>
      <w:ind w:firstLine="547"/>
    </w:pPr>
  </w:style>
  <w:style w:type="paragraph" w:customStyle="1" w:styleId="171">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172">
    <w:name w:val="标题 32"/>
    <w:basedOn w:val="1"/>
    <w:next w:val="68"/>
    <w:qFormat/>
    <w:uiPriority w:val="0"/>
    <w:pPr>
      <w:spacing w:before="60" w:line="300" w:lineRule="auto"/>
      <w:outlineLvl w:val="2"/>
    </w:pPr>
    <w:rPr>
      <w:rFonts w:hint="eastAsia" w:ascii="宋体" w:hAnsi="宋体" w:cs="黑体"/>
      <w:snapToGrid w:val="0"/>
      <w:kern w:val="0"/>
      <w:sz w:val="24"/>
      <w:szCs w:val="20"/>
    </w:rPr>
  </w:style>
  <w:style w:type="paragraph" w:customStyle="1" w:styleId="17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4">
    <w:name w:val="公文正文"/>
    <w:link w:val="336"/>
    <w:qFormat/>
    <w:uiPriority w:val="0"/>
    <w:pPr>
      <w:widowControl w:val="0"/>
      <w:spacing w:line="360" w:lineRule="auto"/>
      <w:ind w:firstLine="629"/>
      <w:jc w:val="both"/>
    </w:pPr>
    <w:rPr>
      <w:rFonts w:ascii="仿宋_GB2312" w:hAnsi="Calisto MT" w:eastAsia="仿宋_GB2312" w:cs="黑体"/>
      <w:color w:val="000000"/>
      <w:sz w:val="32"/>
      <w:lang w:val="en-US" w:eastAsia="zh-CN" w:bidi="ar-SA"/>
    </w:rPr>
  </w:style>
  <w:style w:type="paragraph" w:customStyle="1" w:styleId="175">
    <w:name w:val="无间隔1"/>
    <w:link w:val="339"/>
    <w:qFormat/>
    <w:uiPriority w:val="1"/>
    <w:rPr>
      <w:rFonts w:ascii="Calibri" w:hAnsi="Calibri" w:eastAsia="等线" w:cs="黑体"/>
      <w:sz w:val="22"/>
      <w:szCs w:val="22"/>
      <w:lang w:val="en-US" w:eastAsia="zh-CN" w:bidi="ar-SA"/>
    </w:rPr>
  </w:style>
  <w:style w:type="paragraph" w:customStyle="1" w:styleId="176">
    <w:name w:val="样式 样式 样式 标题 2标题 1.1第一层条第二层论文标题 1Para2Title1H2h22l2list + ch...1 ..."/>
    <w:basedOn w:val="177"/>
    <w:link w:val="340"/>
    <w:qFormat/>
    <w:uiPriority w:val="0"/>
    <w:pPr>
      <w:tabs>
        <w:tab w:val="left" w:pos="567"/>
        <w:tab w:val="left" w:pos="840"/>
        <w:tab w:val="left" w:pos="965"/>
      </w:tabs>
      <w:spacing w:beforeLines="0" w:afterLines="0"/>
      <w:ind w:left="965" w:right="105" w:hanging="425"/>
    </w:pPr>
    <w:rPr>
      <w:sz w:val="28"/>
      <w:szCs w:val="28"/>
    </w:rPr>
  </w:style>
  <w:style w:type="paragraph" w:customStyle="1" w:styleId="177">
    <w:name w:val="样式 样式 标题 2标题 1.1第一层条第二层论文标题 1Para2Title1H2h22l2list + ch...1 + 右...1"/>
    <w:basedOn w:val="178"/>
    <w:link w:val="348"/>
    <w:qFormat/>
    <w:uiPriority w:val="0"/>
    <w:pPr>
      <w:tabs>
        <w:tab w:val="left" w:pos="567"/>
        <w:tab w:val="left" w:pos="840"/>
      </w:tabs>
      <w:spacing w:beforeLines="50" w:afterLines="50"/>
      <w:ind w:left="576"/>
    </w:pPr>
  </w:style>
  <w:style w:type="paragraph" w:customStyle="1" w:styleId="178">
    <w:name w:val="样式 标题 2标题 1.1第一层条第二层论文标题 1Para2Title1H2h22l2list + ch...1"/>
    <w:basedOn w:val="4"/>
    <w:link w:val="349"/>
    <w:qFormat/>
    <w:uiPriority w:val="0"/>
    <w:pPr>
      <w:tabs>
        <w:tab w:val="left" w:pos="840"/>
      </w:tabs>
      <w:adjustRightInd w:val="0"/>
      <w:ind w:right="50" w:rightChars="50"/>
      <w:textAlignment w:val="baseline"/>
    </w:pPr>
    <w:rPr>
      <w:rFonts w:eastAsia="等线" w:cs="宋体"/>
      <w:bCs w:val="0"/>
      <w:color w:val="000000"/>
      <w:szCs w:val="24"/>
    </w:rPr>
  </w:style>
  <w:style w:type="paragraph" w:customStyle="1" w:styleId="179">
    <w:name w:val="列表框1"/>
    <w:basedOn w:val="180"/>
    <w:next w:val="180"/>
    <w:link w:val="341"/>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180">
    <w:name w:val="应答文本"/>
    <w:basedOn w:val="1"/>
    <w:link w:val="353"/>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paragraph" w:customStyle="1" w:styleId="181">
    <w:name w:val="样式 标题 1标题 1 111121314151111211311611212213217113..."/>
    <w:basedOn w:val="3"/>
    <w:link w:val="343"/>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黑体"/>
      <w:b w:val="0"/>
      <w:kern w:val="44"/>
      <w:sz w:val="48"/>
      <w:szCs w:val="32"/>
    </w:rPr>
  </w:style>
  <w:style w:type="paragraph" w:customStyle="1" w:styleId="182">
    <w:name w:val="样式 标题 4Para4CDR_Lev 4Title3h44 dashddash + (符号) 宋体 加粗"/>
    <w:basedOn w:val="6"/>
    <w:link w:val="345"/>
    <w:qFormat/>
    <w:uiPriority w:val="0"/>
    <w:pPr>
      <w:tabs>
        <w:tab w:val="left" w:pos="907"/>
      </w:tabs>
      <w:autoSpaceDE w:val="0"/>
      <w:autoSpaceDN w:val="0"/>
      <w:adjustRightInd w:val="0"/>
      <w:snapToGrid w:val="0"/>
      <w:spacing w:before="0" w:after="0" w:line="360" w:lineRule="auto"/>
      <w:ind w:left="1644" w:hanging="1644"/>
      <w:textAlignment w:val="baseline"/>
    </w:pPr>
    <w:rPr>
      <w:rFonts w:cs="黑体"/>
      <w:b w:val="0"/>
      <w:bCs w:val="0"/>
      <w:snapToGrid w:val="0"/>
      <w:szCs w:val="24"/>
    </w:rPr>
  </w:style>
  <w:style w:type="paragraph" w:customStyle="1" w:styleId="183">
    <w:name w:val="样式 样式 样式 样式 标题 2标题 1.1第一层条第二层论文标题 1Para2Title1H2h22l2list + ch....."/>
    <w:basedOn w:val="176"/>
    <w:link w:val="352"/>
    <w:qFormat/>
    <w:uiPriority w:val="0"/>
    <w:pPr>
      <w:spacing w:before="50" w:after="50"/>
      <w:ind w:left="1134" w:right="50" w:hanging="1134"/>
    </w:pPr>
    <w:rPr>
      <w:rFonts w:ascii="宋体" w:hAnsi="宋体"/>
      <w:sz w:val="20"/>
    </w:rPr>
  </w:style>
  <w:style w:type="paragraph" w:customStyle="1" w:styleId="184">
    <w:name w:val="章标题"/>
    <w:next w:val="185"/>
    <w:qFormat/>
    <w:uiPriority w:val="0"/>
    <w:pPr>
      <w:numPr>
        <w:ilvl w:val="1"/>
        <w:numId w:val="1"/>
      </w:numPr>
      <w:tabs>
        <w:tab w:val="left" w:pos="2238"/>
      </w:tabs>
      <w:spacing w:beforeLines="50" w:afterLines="50"/>
      <w:jc w:val="both"/>
      <w:outlineLvl w:val="1"/>
    </w:pPr>
    <w:rPr>
      <w:rFonts w:ascii="黑体" w:hAnsi="Times New Roman" w:eastAsia="黑体" w:cs="Times New Roman"/>
      <w:sz w:val="21"/>
      <w:lang w:val="en-US" w:eastAsia="zh-CN" w:bidi="ar-SA"/>
    </w:rPr>
  </w:style>
  <w:style w:type="paragraph" w:customStyle="1" w:styleId="18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6">
    <w:name w:val="表格"/>
    <w:basedOn w:val="1"/>
    <w:qFormat/>
    <w:uiPriority w:val="0"/>
    <w:pPr>
      <w:jc w:val="center"/>
    </w:pPr>
    <w:rPr>
      <w:rFonts w:ascii="华文细黑" w:hAnsi="华文细黑"/>
      <w:kern w:val="0"/>
      <w:szCs w:val="20"/>
    </w:rPr>
  </w:style>
  <w:style w:type="paragraph" w:customStyle="1" w:styleId="187">
    <w:name w:val="_Style 11"/>
    <w:basedOn w:val="14"/>
    <w:qFormat/>
    <w:uiPriority w:val="0"/>
  </w:style>
  <w:style w:type="paragraph" w:customStyle="1" w:styleId="188">
    <w:name w:val="Char2"/>
    <w:basedOn w:val="1"/>
    <w:qFormat/>
    <w:uiPriority w:val="0"/>
    <w:rPr>
      <w:sz w:val="24"/>
    </w:rPr>
  </w:style>
  <w:style w:type="paragraph" w:customStyle="1" w:styleId="189">
    <w:name w:val="正文文本缩进1"/>
    <w:basedOn w:val="1"/>
    <w:qFormat/>
    <w:uiPriority w:val="0"/>
    <w:pPr>
      <w:ind w:firstLine="420" w:firstLineChars="200"/>
    </w:pPr>
  </w:style>
  <w:style w:type="paragraph" w:customStyle="1" w:styleId="190">
    <w:name w:val="正文缩进11"/>
    <w:basedOn w:val="1"/>
    <w:qFormat/>
    <w:uiPriority w:val="0"/>
    <w:pPr>
      <w:tabs>
        <w:tab w:val="left" w:pos="720"/>
      </w:tabs>
      <w:ind w:left="624" w:hanging="624"/>
      <w:textAlignment w:val="baseline"/>
    </w:pPr>
    <w:rPr>
      <w:rFonts w:hint="eastAsia" w:ascii="宋体"/>
      <w:szCs w:val="22"/>
    </w:rPr>
  </w:style>
  <w:style w:type="paragraph" w:customStyle="1" w:styleId="191">
    <w:name w:val="样式 行距: 1.5 倍行距"/>
    <w:basedOn w:val="1"/>
    <w:qFormat/>
    <w:uiPriority w:val="0"/>
    <w:pPr>
      <w:spacing w:line="360" w:lineRule="auto"/>
    </w:pPr>
    <w:rPr>
      <w:rFonts w:cs="宋体"/>
      <w:szCs w:val="20"/>
    </w:rPr>
  </w:style>
  <w:style w:type="paragraph" w:customStyle="1" w:styleId="192">
    <w:name w:val="Char Char1 Char Char Char Char Char Char Char Char Char Char"/>
    <w:basedOn w:val="1"/>
    <w:qFormat/>
    <w:uiPriority w:val="0"/>
    <w:rPr>
      <w:sz w:val="24"/>
    </w:rPr>
  </w:style>
  <w:style w:type="paragraph" w:customStyle="1" w:styleId="193">
    <w:name w:val="Char Char17 Char Char"/>
    <w:basedOn w:val="14"/>
    <w:qFormat/>
    <w:uiPriority w:val="0"/>
    <w:pPr>
      <w:widowControl/>
      <w:jc w:val="left"/>
    </w:pPr>
  </w:style>
  <w:style w:type="paragraph" w:customStyle="1" w:styleId="194">
    <w:name w:val="目录文字"/>
    <w:basedOn w:val="1"/>
    <w:qFormat/>
    <w:uiPriority w:val="0"/>
    <w:pPr>
      <w:widowControl/>
      <w:spacing w:line="480" w:lineRule="auto"/>
      <w:jc w:val="left"/>
    </w:pPr>
    <w:rPr>
      <w:rFonts w:ascii="宋体" w:hAnsi="宋体"/>
      <w:kern w:val="0"/>
      <w:sz w:val="24"/>
      <w:szCs w:val="20"/>
    </w:rPr>
  </w:style>
  <w:style w:type="paragraph" w:customStyle="1" w:styleId="195">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196">
    <w:name w:val="Char Char Char Char Char Char Char Char Char Char Char Char Char Char Char Char"/>
    <w:basedOn w:val="1"/>
    <w:qFormat/>
    <w:uiPriority w:val="0"/>
    <w:rPr>
      <w:szCs w:val="20"/>
    </w:rPr>
  </w:style>
  <w:style w:type="paragraph" w:customStyle="1" w:styleId="197">
    <w:name w:val="列出段落3"/>
    <w:basedOn w:val="1"/>
    <w:qFormat/>
    <w:uiPriority w:val="0"/>
    <w:pPr>
      <w:ind w:firstLine="420" w:firstLineChars="200"/>
    </w:pPr>
  </w:style>
  <w:style w:type="paragraph" w:customStyle="1" w:styleId="198">
    <w:name w:val="日期1"/>
    <w:basedOn w:val="1"/>
    <w:next w:val="1"/>
    <w:qFormat/>
    <w:uiPriority w:val="0"/>
    <w:pPr>
      <w:ind w:left="100" w:leftChars="2500"/>
    </w:pPr>
  </w:style>
  <w:style w:type="paragraph" w:customStyle="1" w:styleId="199">
    <w:name w:val="普通(网站)1"/>
    <w:basedOn w:val="1"/>
    <w:qFormat/>
    <w:uiPriority w:val="0"/>
    <w:pPr>
      <w:widowControl/>
      <w:jc w:val="left"/>
    </w:pPr>
    <w:rPr>
      <w:rFonts w:hint="eastAsia" w:ascii="宋体" w:hAnsi="宋体"/>
      <w:sz w:val="24"/>
    </w:rPr>
  </w:style>
  <w:style w:type="paragraph" w:customStyle="1" w:styleId="200">
    <w:name w:val="文档结构图1"/>
    <w:basedOn w:val="1"/>
    <w:qFormat/>
    <w:uiPriority w:val="0"/>
    <w:pPr>
      <w:shd w:val="clear" w:color="auto" w:fill="000080"/>
    </w:pPr>
  </w:style>
  <w:style w:type="paragraph" w:customStyle="1" w:styleId="201">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202">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03">
    <w:name w:val="正文文本 22"/>
    <w:basedOn w:val="1"/>
    <w:qFormat/>
    <w:uiPriority w:val="0"/>
    <w:pPr>
      <w:spacing w:after="120" w:line="480" w:lineRule="auto"/>
    </w:pPr>
  </w:style>
  <w:style w:type="paragraph" w:customStyle="1" w:styleId="204">
    <w:name w:val="Char Char Char Char"/>
    <w:basedOn w:val="1"/>
    <w:qFormat/>
    <w:uiPriority w:val="0"/>
  </w:style>
  <w:style w:type="paragraph" w:customStyle="1" w:styleId="205">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206">
    <w:name w:val="右侧正文"/>
    <w:basedOn w:val="1"/>
    <w:qFormat/>
    <w:uiPriority w:val="0"/>
    <w:pPr>
      <w:spacing w:line="360" w:lineRule="auto"/>
    </w:pPr>
    <w:rPr>
      <w:rFonts w:ascii="宋体" w:hAnsi="宋体"/>
      <w:sz w:val="24"/>
      <w:szCs w:val="28"/>
    </w:rPr>
  </w:style>
  <w:style w:type="paragraph" w:customStyle="1" w:styleId="207">
    <w:name w:val="WPSOffice手动目录 1"/>
    <w:qFormat/>
    <w:uiPriority w:val="0"/>
    <w:rPr>
      <w:rFonts w:ascii="Times New Roman" w:hAnsi="Times New Roman" w:eastAsia="宋体" w:cs="Times New Roman"/>
      <w:lang w:val="en-US" w:eastAsia="zh-CN" w:bidi="ar-SA"/>
    </w:rPr>
  </w:style>
  <w:style w:type="paragraph" w:customStyle="1" w:styleId="20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09">
    <w:name w:val="普通(网站)2"/>
    <w:basedOn w:val="1"/>
    <w:qFormat/>
    <w:uiPriority w:val="0"/>
    <w:pPr>
      <w:widowControl/>
      <w:jc w:val="left"/>
    </w:pPr>
    <w:rPr>
      <w:rFonts w:hint="eastAsia" w:ascii="宋体" w:hAnsi="宋体"/>
      <w:sz w:val="24"/>
    </w:rPr>
  </w:style>
  <w:style w:type="paragraph" w:customStyle="1" w:styleId="210">
    <w:name w:val="正文文本 23"/>
    <w:basedOn w:val="1"/>
    <w:qFormat/>
    <w:uiPriority w:val="0"/>
    <w:pPr>
      <w:spacing w:after="120" w:line="480" w:lineRule="auto"/>
    </w:pPr>
  </w:style>
  <w:style w:type="paragraph" w:customStyle="1" w:styleId="211">
    <w:name w:val="文档结构图2"/>
    <w:basedOn w:val="1"/>
    <w:qFormat/>
    <w:uiPriority w:val="0"/>
    <w:pPr>
      <w:shd w:val="clear" w:color="auto" w:fill="000080"/>
    </w:pPr>
  </w:style>
  <w:style w:type="paragraph" w:customStyle="1" w:styleId="21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13">
    <w:name w:val="正文文本缩进2"/>
    <w:basedOn w:val="1"/>
    <w:qFormat/>
    <w:uiPriority w:val="0"/>
    <w:pPr>
      <w:ind w:firstLine="420" w:firstLineChars="200"/>
    </w:pPr>
  </w:style>
  <w:style w:type="paragraph" w:customStyle="1" w:styleId="214">
    <w:name w:val="日期2"/>
    <w:basedOn w:val="1"/>
    <w:next w:val="1"/>
    <w:qFormat/>
    <w:uiPriority w:val="0"/>
    <w:pPr>
      <w:ind w:left="100" w:leftChars="2500"/>
    </w:pPr>
  </w:style>
  <w:style w:type="paragraph" w:customStyle="1" w:styleId="215">
    <w:name w:val="样式3"/>
    <w:basedOn w:val="1"/>
    <w:qFormat/>
    <w:uiPriority w:val="0"/>
    <w:pPr>
      <w:spacing w:line="360" w:lineRule="auto"/>
      <w:ind w:firstLine="480"/>
      <w:jc w:val="left"/>
    </w:pPr>
    <w:rPr>
      <w:rFonts w:ascii="宋体"/>
      <w:sz w:val="24"/>
      <w:szCs w:val="22"/>
    </w:rPr>
  </w:style>
  <w:style w:type="character" w:customStyle="1" w:styleId="216">
    <w:name w:val="页眉 Char"/>
    <w:basedOn w:val="48"/>
    <w:link w:val="31"/>
    <w:qFormat/>
    <w:uiPriority w:val="0"/>
    <w:rPr>
      <w:sz w:val="18"/>
      <w:szCs w:val="18"/>
    </w:rPr>
  </w:style>
  <w:style w:type="character" w:customStyle="1" w:styleId="217">
    <w:name w:val="页脚 Char"/>
    <w:basedOn w:val="48"/>
    <w:link w:val="30"/>
    <w:qFormat/>
    <w:uiPriority w:val="99"/>
    <w:rPr>
      <w:sz w:val="18"/>
      <w:szCs w:val="18"/>
    </w:rPr>
  </w:style>
  <w:style w:type="character" w:customStyle="1" w:styleId="218">
    <w:name w:val="标题 1 Char1"/>
    <w:basedOn w:val="48"/>
    <w:link w:val="3"/>
    <w:qFormat/>
    <w:uiPriority w:val="0"/>
    <w:rPr>
      <w:rFonts w:ascii="Times New Roman" w:hAnsi="Times New Roman" w:eastAsia="宋体" w:cs="Times New Roman"/>
      <w:b/>
      <w:bCs/>
      <w:kern w:val="0"/>
      <w:sz w:val="24"/>
      <w:szCs w:val="20"/>
    </w:rPr>
  </w:style>
  <w:style w:type="character" w:customStyle="1" w:styleId="219">
    <w:name w:val="标题 2 Char1"/>
    <w:basedOn w:val="48"/>
    <w:link w:val="4"/>
    <w:qFormat/>
    <w:uiPriority w:val="0"/>
    <w:rPr>
      <w:rFonts w:ascii="Arial" w:hAnsi="Arial" w:eastAsia="宋体" w:cs="Times New Roman"/>
      <w:b/>
      <w:bCs/>
      <w:kern w:val="0"/>
      <w:sz w:val="24"/>
      <w:szCs w:val="32"/>
    </w:rPr>
  </w:style>
  <w:style w:type="character" w:customStyle="1" w:styleId="220">
    <w:name w:val="标题 3 Char1"/>
    <w:basedOn w:val="48"/>
    <w:link w:val="5"/>
    <w:qFormat/>
    <w:uiPriority w:val="0"/>
    <w:rPr>
      <w:rFonts w:ascii="Times New Roman" w:hAnsi="Times New Roman" w:eastAsia="宋体" w:cs="Times New Roman"/>
      <w:b/>
      <w:bCs/>
      <w:kern w:val="0"/>
      <w:sz w:val="32"/>
      <w:szCs w:val="32"/>
    </w:rPr>
  </w:style>
  <w:style w:type="character" w:customStyle="1" w:styleId="221">
    <w:name w:val="标题 4 Char1"/>
    <w:basedOn w:val="48"/>
    <w:link w:val="6"/>
    <w:qFormat/>
    <w:uiPriority w:val="0"/>
    <w:rPr>
      <w:rFonts w:ascii="Arial" w:hAnsi="Arial" w:eastAsia="黑体" w:cs="Times New Roman"/>
      <w:b/>
      <w:bCs/>
      <w:kern w:val="0"/>
      <w:sz w:val="28"/>
      <w:szCs w:val="28"/>
    </w:rPr>
  </w:style>
  <w:style w:type="character" w:customStyle="1" w:styleId="222">
    <w:name w:val="标题 5 Char1"/>
    <w:basedOn w:val="48"/>
    <w:link w:val="7"/>
    <w:qFormat/>
    <w:uiPriority w:val="0"/>
    <w:rPr>
      <w:rFonts w:ascii="Times New Roman" w:hAnsi="Times New Roman" w:eastAsia="宋体" w:cs="Times New Roman"/>
      <w:b/>
      <w:bCs/>
      <w:kern w:val="0"/>
      <w:sz w:val="28"/>
      <w:szCs w:val="28"/>
    </w:rPr>
  </w:style>
  <w:style w:type="character" w:customStyle="1" w:styleId="223">
    <w:name w:val="标题 6 Char1"/>
    <w:basedOn w:val="48"/>
    <w:link w:val="8"/>
    <w:qFormat/>
    <w:uiPriority w:val="0"/>
    <w:rPr>
      <w:rFonts w:ascii="Arial" w:hAnsi="Arial" w:eastAsia="黑体" w:cs="Times New Roman"/>
      <w:b/>
      <w:bCs/>
      <w:kern w:val="0"/>
      <w:sz w:val="24"/>
      <w:szCs w:val="24"/>
    </w:rPr>
  </w:style>
  <w:style w:type="character" w:customStyle="1" w:styleId="224">
    <w:name w:val="标题 7 Char1"/>
    <w:basedOn w:val="48"/>
    <w:link w:val="9"/>
    <w:qFormat/>
    <w:uiPriority w:val="0"/>
    <w:rPr>
      <w:rFonts w:ascii="Times New Roman" w:hAnsi="Times New Roman" w:eastAsia="宋体" w:cs="Times New Roman"/>
      <w:b/>
      <w:bCs/>
      <w:kern w:val="0"/>
      <w:sz w:val="24"/>
      <w:szCs w:val="24"/>
    </w:rPr>
  </w:style>
  <w:style w:type="character" w:customStyle="1" w:styleId="225">
    <w:name w:val="标题 8 Char1"/>
    <w:basedOn w:val="48"/>
    <w:link w:val="10"/>
    <w:qFormat/>
    <w:uiPriority w:val="0"/>
    <w:rPr>
      <w:rFonts w:ascii="Arial" w:hAnsi="Arial" w:eastAsia="黑体" w:cs="Times New Roman"/>
      <w:kern w:val="0"/>
      <w:sz w:val="24"/>
      <w:szCs w:val="24"/>
    </w:rPr>
  </w:style>
  <w:style w:type="character" w:customStyle="1" w:styleId="226">
    <w:name w:val="标题 9 Char1"/>
    <w:basedOn w:val="48"/>
    <w:link w:val="11"/>
    <w:qFormat/>
    <w:uiPriority w:val="0"/>
    <w:rPr>
      <w:rFonts w:ascii="Arial" w:hAnsi="Arial" w:eastAsia="黑体" w:cs="Times New Roman"/>
      <w:kern w:val="0"/>
      <w:sz w:val="20"/>
      <w:szCs w:val="21"/>
    </w:rPr>
  </w:style>
  <w:style w:type="character" w:customStyle="1" w:styleId="227">
    <w:name w:val="正文文本 2 Char"/>
    <w:basedOn w:val="48"/>
    <w:link w:val="39"/>
    <w:qFormat/>
    <w:uiPriority w:val="0"/>
    <w:rPr>
      <w:rFonts w:ascii="Times New Roman" w:hAnsi="Times New Roman" w:eastAsia="宋体" w:cs="Times New Roman"/>
      <w:szCs w:val="24"/>
    </w:rPr>
  </w:style>
  <w:style w:type="character" w:customStyle="1" w:styleId="228">
    <w:name w:val="Font Style104"/>
    <w:unhideWhenUsed/>
    <w:qFormat/>
    <w:uiPriority w:val="0"/>
    <w:rPr>
      <w:rFonts w:hint="eastAsia" w:ascii="宋体" w:hAnsi="宋体" w:eastAsia="宋体"/>
      <w:spacing w:val="30"/>
      <w:sz w:val="18"/>
    </w:rPr>
  </w:style>
  <w:style w:type="character" w:customStyle="1" w:styleId="229">
    <w:name w:val="Font Style128"/>
    <w:unhideWhenUsed/>
    <w:qFormat/>
    <w:uiPriority w:val="0"/>
    <w:rPr>
      <w:rFonts w:hint="eastAsia" w:ascii="Times New Roman" w:hAnsi="Times New Roman" w:eastAsia="Times New Roman"/>
      <w:sz w:val="16"/>
    </w:rPr>
  </w:style>
  <w:style w:type="character" w:customStyle="1" w:styleId="230">
    <w:name w:val="页脚 Char1"/>
    <w:qFormat/>
    <w:uiPriority w:val="99"/>
    <w:rPr>
      <w:rFonts w:eastAsia="宋体"/>
      <w:kern w:val="2"/>
      <w:sz w:val="18"/>
      <w:szCs w:val="18"/>
      <w:lang w:val="en-US" w:eastAsia="zh-CN" w:bidi="ar-SA"/>
    </w:rPr>
  </w:style>
  <w:style w:type="character" w:customStyle="1" w:styleId="231">
    <w:name w:val="标题 4 Char"/>
    <w:basedOn w:val="48"/>
    <w:qFormat/>
    <w:uiPriority w:val="0"/>
    <w:rPr>
      <w:rFonts w:ascii="Cambria" w:hAnsi="Cambria" w:eastAsia="宋体" w:cs="Times New Roman"/>
      <w:b/>
      <w:bCs/>
      <w:sz w:val="28"/>
      <w:szCs w:val="28"/>
    </w:rPr>
  </w:style>
  <w:style w:type="character" w:customStyle="1" w:styleId="232">
    <w:name w:val="日期 Char"/>
    <w:basedOn w:val="48"/>
    <w:qFormat/>
    <w:uiPriority w:val="0"/>
    <w:rPr>
      <w:rFonts w:ascii="Times New Roman" w:hAnsi="Times New Roman" w:eastAsia="宋体" w:cs="Times New Roman"/>
      <w:szCs w:val="24"/>
    </w:rPr>
  </w:style>
  <w:style w:type="character" w:customStyle="1" w:styleId="233">
    <w:name w:val="Font Style123"/>
    <w:unhideWhenUsed/>
    <w:qFormat/>
    <w:uiPriority w:val="0"/>
    <w:rPr>
      <w:rFonts w:hint="eastAsia" w:ascii="宋体" w:hAnsi="宋体" w:eastAsia="宋体"/>
      <w:b/>
      <w:sz w:val="32"/>
    </w:rPr>
  </w:style>
  <w:style w:type="character" w:customStyle="1" w:styleId="234">
    <w:name w:val="bds_nopic2"/>
    <w:qFormat/>
    <w:uiPriority w:val="0"/>
    <w:rPr>
      <w:rFonts w:ascii="Times New Roman" w:hAnsi="Times New Roman" w:eastAsia="宋体"/>
    </w:rPr>
  </w:style>
  <w:style w:type="character" w:customStyle="1" w:styleId="235">
    <w:name w:val="lemmatitleh12"/>
    <w:qFormat/>
    <w:uiPriority w:val="0"/>
    <w:rPr>
      <w:rFonts w:ascii="Times New Roman" w:hAnsi="Times New Roman" w:eastAsia="宋体"/>
    </w:rPr>
  </w:style>
  <w:style w:type="character" w:customStyle="1" w:styleId="236">
    <w:name w:val="Char Char13"/>
    <w:qFormat/>
    <w:uiPriority w:val="0"/>
    <w:rPr>
      <w:rFonts w:eastAsia="宋体"/>
      <w:b/>
      <w:bCs/>
      <w:kern w:val="2"/>
      <w:sz w:val="24"/>
      <w:lang w:val="en-US" w:eastAsia="zh-CN" w:bidi="ar-SA"/>
    </w:rPr>
  </w:style>
  <w:style w:type="character" w:customStyle="1" w:styleId="237">
    <w:name w:val="Font Style94"/>
    <w:unhideWhenUsed/>
    <w:qFormat/>
    <w:uiPriority w:val="0"/>
    <w:rPr>
      <w:rFonts w:hint="eastAsia" w:ascii="Times New Roman" w:hAnsi="Times New Roman" w:eastAsia="Times New Roman"/>
      <w:sz w:val="28"/>
    </w:rPr>
  </w:style>
  <w:style w:type="character" w:customStyle="1" w:styleId="238">
    <w:name w:val="Font Style125"/>
    <w:unhideWhenUsed/>
    <w:qFormat/>
    <w:uiPriority w:val="0"/>
    <w:rPr>
      <w:rFonts w:hint="eastAsia" w:ascii="宋体" w:hAnsi="宋体" w:eastAsia="宋体"/>
      <w:b/>
      <w:sz w:val="26"/>
    </w:rPr>
  </w:style>
  <w:style w:type="character" w:customStyle="1" w:styleId="239">
    <w:name w:val="Font Style133"/>
    <w:unhideWhenUsed/>
    <w:qFormat/>
    <w:uiPriority w:val="0"/>
    <w:rPr>
      <w:rFonts w:hint="eastAsia" w:ascii="宋体" w:hAnsi="宋体" w:eastAsia="宋体"/>
      <w:spacing w:val="30"/>
      <w:sz w:val="24"/>
    </w:rPr>
  </w:style>
  <w:style w:type="character" w:customStyle="1" w:styleId="240">
    <w:name w:val="polysemyred"/>
    <w:qFormat/>
    <w:uiPriority w:val="0"/>
    <w:rPr>
      <w:rFonts w:ascii="Times New Roman" w:hAnsi="Times New Roman" w:eastAsia="宋体"/>
      <w:color w:val="FF6666"/>
      <w:sz w:val="18"/>
      <w:szCs w:val="18"/>
    </w:rPr>
  </w:style>
  <w:style w:type="character" w:customStyle="1" w:styleId="241">
    <w:name w:val="批注主题 Char1"/>
    <w:link w:val="44"/>
    <w:qFormat/>
    <w:uiPriority w:val="0"/>
    <w:rPr>
      <w:rFonts w:ascii="Calibri" w:hAnsi="Calibri" w:eastAsia="宋体" w:cs="黑体"/>
      <w:b/>
      <w:bCs/>
      <w:szCs w:val="24"/>
    </w:rPr>
  </w:style>
  <w:style w:type="character" w:customStyle="1" w:styleId="242">
    <w:name w:val="p0 Char"/>
    <w:link w:val="61"/>
    <w:qFormat/>
    <w:uiPriority w:val="0"/>
    <w:rPr>
      <w:rFonts w:ascii="Calibri" w:hAnsi="Calibri" w:eastAsia="宋体" w:cs="黑体"/>
      <w:szCs w:val="21"/>
    </w:rPr>
  </w:style>
  <w:style w:type="character" w:customStyle="1" w:styleId="243">
    <w:name w:val="Char Char12"/>
    <w:qFormat/>
    <w:uiPriority w:val="0"/>
    <w:rPr>
      <w:rFonts w:ascii="Arial" w:hAnsi="Arial" w:eastAsia="黑体"/>
      <w:b/>
      <w:bCs/>
      <w:kern w:val="2"/>
      <w:sz w:val="28"/>
      <w:szCs w:val="28"/>
      <w:lang w:val="en-US" w:eastAsia="zh-CN" w:bidi="ar-SA"/>
    </w:rPr>
  </w:style>
  <w:style w:type="character" w:customStyle="1" w:styleId="244">
    <w:name w:val="标题 4 Char Char"/>
    <w:qFormat/>
    <w:uiPriority w:val="0"/>
    <w:rPr>
      <w:rFonts w:ascii="Arial" w:hAnsi="Arial" w:eastAsia="宋体"/>
      <w:b/>
      <w:bCs/>
      <w:kern w:val="2"/>
      <w:sz w:val="21"/>
      <w:szCs w:val="28"/>
      <w:lang w:val="en-US" w:eastAsia="zh-CN" w:bidi="ar-SA"/>
    </w:rPr>
  </w:style>
  <w:style w:type="character" w:customStyle="1" w:styleId="245">
    <w:name w:val="font11"/>
    <w:basedOn w:val="48"/>
    <w:qFormat/>
    <w:uiPriority w:val="0"/>
    <w:rPr>
      <w:rFonts w:hint="eastAsia" w:ascii="宋体" w:hAnsi="宋体" w:eastAsia="宋体" w:cs="宋体"/>
      <w:color w:val="000000"/>
      <w:sz w:val="18"/>
      <w:szCs w:val="18"/>
      <w:u w:val="none"/>
    </w:rPr>
  </w:style>
  <w:style w:type="character" w:customStyle="1" w:styleId="246">
    <w:name w:val="font01"/>
    <w:basedOn w:val="48"/>
    <w:qFormat/>
    <w:uiPriority w:val="0"/>
    <w:rPr>
      <w:rFonts w:hint="eastAsia" w:ascii="宋体" w:hAnsi="宋体" w:eastAsia="宋体" w:cs="宋体"/>
      <w:color w:val="000000"/>
      <w:sz w:val="22"/>
      <w:szCs w:val="22"/>
      <w:u w:val="single"/>
    </w:rPr>
  </w:style>
  <w:style w:type="character" w:customStyle="1" w:styleId="247">
    <w:name w:val="sidecatalog-dot1"/>
    <w:qFormat/>
    <w:uiPriority w:val="0"/>
    <w:rPr>
      <w:rFonts w:ascii="Times New Roman" w:hAnsi="Times New Roman" w:eastAsia="宋体"/>
    </w:rPr>
  </w:style>
  <w:style w:type="character" w:customStyle="1" w:styleId="248">
    <w:name w:val="Font Style124"/>
    <w:unhideWhenUsed/>
    <w:qFormat/>
    <w:uiPriority w:val="0"/>
    <w:rPr>
      <w:rFonts w:hint="eastAsia" w:ascii="宋体" w:hAnsi="宋体" w:eastAsia="宋体"/>
      <w:spacing w:val="30"/>
      <w:sz w:val="24"/>
    </w:rPr>
  </w:style>
  <w:style w:type="character" w:customStyle="1" w:styleId="249">
    <w:name w:val="批注框文本 Char"/>
    <w:basedOn w:val="48"/>
    <w:qFormat/>
    <w:uiPriority w:val="0"/>
    <w:rPr>
      <w:rFonts w:ascii="Times New Roman" w:hAnsi="Times New Roman" w:eastAsia="宋体" w:cs="Times New Roman"/>
      <w:sz w:val="18"/>
      <w:szCs w:val="18"/>
    </w:rPr>
  </w:style>
  <w:style w:type="character" w:customStyle="1" w:styleId="250">
    <w:name w:val="批注框文本 Char1"/>
    <w:link w:val="29"/>
    <w:qFormat/>
    <w:locked/>
    <w:uiPriority w:val="0"/>
    <w:rPr>
      <w:rFonts w:ascii="Calibri" w:hAnsi="Calibri" w:eastAsia="宋体" w:cs="黑体"/>
      <w:sz w:val="18"/>
      <w:szCs w:val="18"/>
    </w:rPr>
  </w:style>
  <w:style w:type="character" w:customStyle="1" w:styleId="251">
    <w:name w:val="正文文本缩进 Char"/>
    <w:basedOn w:val="48"/>
    <w:link w:val="20"/>
    <w:qFormat/>
    <w:uiPriority w:val="0"/>
    <w:rPr>
      <w:rFonts w:ascii="Calibri" w:hAnsi="Calibri" w:eastAsia="宋体" w:cs="黑体"/>
      <w:szCs w:val="24"/>
    </w:rPr>
  </w:style>
  <w:style w:type="character" w:customStyle="1" w:styleId="252">
    <w:name w:val="bds_more9"/>
    <w:qFormat/>
    <w:uiPriority w:val="0"/>
    <w:rPr>
      <w:rFonts w:ascii="Times New Roman" w:hAnsi="Times New Roman" w:eastAsia="宋体"/>
    </w:rPr>
  </w:style>
  <w:style w:type="character" w:customStyle="1" w:styleId="253">
    <w:name w:val="Char Char17"/>
    <w:qFormat/>
    <w:uiPriority w:val="0"/>
    <w:rPr>
      <w:rFonts w:ascii="宋体" w:hAnsi="Times New Roman" w:eastAsia="宋体"/>
      <w:b/>
      <w:sz w:val="28"/>
      <w:lang w:val="en-US" w:eastAsia="zh-CN" w:bidi="ar-SA"/>
    </w:rPr>
  </w:style>
  <w:style w:type="character" w:customStyle="1" w:styleId="254">
    <w:name w:val="标题 Char2"/>
    <w:basedOn w:val="48"/>
    <w:link w:val="43"/>
    <w:qFormat/>
    <w:uiPriority w:val="0"/>
    <w:rPr>
      <w:rFonts w:ascii="Cambria" w:hAnsi="Cambria" w:eastAsia="宋体" w:cs="Times New Roman"/>
      <w:b/>
      <w:sz w:val="32"/>
      <w:szCs w:val="24"/>
    </w:rPr>
  </w:style>
  <w:style w:type="character" w:customStyle="1" w:styleId="255">
    <w:name w:val="正文文本缩进 2 Char"/>
    <w:basedOn w:val="48"/>
    <w:link w:val="28"/>
    <w:qFormat/>
    <w:uiPriority w:val="0"/>
    <w:rPr>
      <w:rFonts w:ascii="Times New Roman" w:hAnsi="Times New Roman" w:eastAsia="宋体" w:cs="Times New Roman"/>
      <w:szCs w:val="24"/>
    </w:rPr>
  </w:style>
  <w:style w:type="character" w:customStyle="1" w:styleId="256">
    <w:name w:val="Font Style105"/>
    <w:unhideWhenUsed/>
    <w:qFormat/>
    <w:uiPriority w:val="0"/>
    <w:rPr>
      <w:rFonts w:hint="eastAsia" w:ascii="Times New Roman" w:hAnsi="Times New Roman" w:eastAsia="Times New Roman"/>
      <w:w w:val="60"/>
      <w:sz w:val="26"/>
    </w:rPr>
  </w:style>
  <w:style w:type="character" w:customStyle="1" w:styleId="257">
    <w:name w:val="标题 6 Char"/>
    <w:basedOn w:val="48"/>
    <w:qFormat/>
    <w:uiPriority w:val="0"/>
    <w:rPr>
      <w:rFonts w:ascii="Cambria" w:hAnsi="Cambria" w:eastAsia="宋体" w:cs="Times New Roman"/>
      <w:b/>
      <w:bCs/>
      <w:sz w:val="24"/>
      <w:szCs w:val="24"/>
    </w:rPr>
  </w:style>
  <w:style w:type="character" w:customStyle="1" w:styleId="258">
    <w:name w:val="morelink-item"/>
    <w:qFormat/>
    <w:uiPriority w:val="0"/>
    <w:rPr>
      <w:rFonts w:ascii="Times New Roman" w:hAnsi="Times New Roman" w:eastAsia="宋体"/>
    </w:rPr>
  </w:style>
  <w:style w:type="character" w:customStyle="1" w:styleId="259">
    <w:name w:val="bds_more7"/>
    <w:qFormat/>
    <w:uiPriority w:val="0"/>
    <w:rPr>
      <w:rFonts w:ascii="Times New Roman" w:hAnsi="Times New Roman" w:eastAsia="宋体"/>
    </w:rPr>
  </w:style>
  <w:style w:type="character" w:customStyle="1" w:styleId="260">
    <w:name w:val="纯文本 Char2"/>
    <w:basedOn w:val="48"/>
    <w:link w:val="25"/>
    <w:qFormat/>
    <w:uiPriority w:val="0"/>
    <w:rPr>
      <w:rFonts w:ascii="宋体" w:hAnsi="Courier New" w:eastAsia="宋体" w:cs="Courier New"/>
      <w:szCs w:val="21"/>
    </w:rPr>
  </w:style>
  <w:style w:type="character" w:customStyle="1" w:styleId="261">
    <w:name w:val="Char Char16"/>
    <w:qFormat/>
    <w:uiPriority w:val="0"/>
    <w:rPr>
      <w:rFonts w:ascii="宋体" w:hAnsi="Times New Roman" w:eastAsia="宋体"/>
      <w:b/>
      <w:sz w:val="24"/>
      <w:lang w:val="en-US" w:eastAsia="zh-CN" w:bidi="ar-SA"/>
    </w:rPr>
  </w:style>
  <w:style w:type="character" w:customStyle="1" w:styleId="262">
    <w:name w:val="批注主题 Char"/>
    <w:basedOn w:val="263"/>
    <w:qFormat/>
    <w:uiPriority w:val="0"/>
    <w:rPr>
      <w:rFonts w:ascii="Times New Roman" w:hAnsi="Times New Roman" w:eastAsia="宋体" w:cs="Times New Roman"/>
      <w:b/>
      <w:bCs/>
      <w:szCs w:val="24"/>
    </w:rPr>
  </w:style>
  <w:style w:type="character" w:customStyle="1" w:styleId="263">
    <w:name w:val="批注文字 Char"/>
    <w:basedOn w:val="48"/>
    <w:link w:val="16"/>
    <w:qFormat/>
    <w:uiPriority w:val="99"/>
    <w:rPr>
      <w:rFonts w:ascii="Times New Roman" w:hAnsi="Times New Roman" w:eastAsia="宋体" w:cs="Times New Roman"/>
      <w:szCs w:val="24"/>
    </w:rPr>
  </w:style>
  <w:style w:type="character" w:customStyle="1" w:styleId="264">
    <w:name w:val="Font Style126"/>
    <w:unhideWhenUsed/>
    <w:qFormat/>
    <w:uiPriority w:val="0"/>
    <w:rPr>
      <w:rFonts w:hint="eastAsia" w:ascii="宋体" w:hAnsi="宋体" w:eastAsia="宋体"/>
      <w:b/>
      <w:spacing w:val="-30"/>
      <w:sz w:val="28"/>
    </w:rPr>
  </w:style>
  <w:style w:type="character" w:customStyle="1" w:styleId="265">
    <w:name w:val="标题 Char1"/>
    <w:qFormat/>
    <w:uiPriority w:val="0"/>
    <w:rPr>
      <w:rFonts w:ascii="Cambria" w:hAnsi="Cambria" w:eastAsia="宋体" w:cs="Times New Roman"/>
      <w:b/>
      <w:bCs/>
      <w:sz w:val="32"/>
      <w:szCs w:val="32"/>
    </w:rPr>
  </w:style>
  <w:style w:type="character" w:customStyle="1" w:styleId="266">
    <w:name w:val="plus"/>
    <w:qFormat/>
    <w:uiPriority w:val="0"/>
    <w:rPr>
      <w:rFonts w:ascii="Times New Roman" w:hAnsi="Times New Roman" w:eastAsia="宋体"/>
      <w:b/>
      <w:vanish/>
      <w:color w:val="1F8DEF"/>
      <w:sz w:val="24"/>
      <w:szCs w:val="24"/>
    </w:rPr>
  </w:style>
  <w:style w:type="character" w:customStyle="1" w:styleId="267">
    <w:name w:val="HTML 预设格式 Char"/>
    <w:basedOn w:val="48"/>
    <w:link w:val="40"/>
    <w:qFormat/>
    <w:uiPriority w:val="0"/>
    <w:rPr>
      <w:rFonts w:ascii="Arial" w:hAnsi="Arial" w:eastAsia="宋体" w:cs="Arial"/>
      <w:kern w:val="0"/>
      <w:sz w:val="24"/>
      <w:szCs w:val="24"/>
    </w:rPr>
  </w:style>
  <w:style w:type="character" w:customStyle="1" w:styleId="268">
    <w:name w:val="称呼 Char"/>
    <w:basedOn w:val="48"/>
    <w:link w:val="17"/>
    <w:qFormat/>
    <w:uiPriority w:val="0"/>
    <w:rPr>
      <w:rFonts w:ascii="仿宋_GB2312" w:hAnsi="Times New Roman" w:eastAsia="仿宋_GB2312" w:cs="Times New Roman"/>
      <w:sz w:val="24"/>
      <w:szCs w:val="24"/>
    </w:rPr>
  </w:style>
  <w:style w:type="character" w:customStyle="1" w:styleId="269">
    <w:name w:val="批注文字 Char Char"/>
    <w:qFormat/>
    <w:uiPriority w:val="0"/>
    <w:rPr>
      <w:kern w:val="2"/>
      <w:sz w:val="21"/>
      <w:szCs w:val="24"/>
      <w:lang w:bidi="ar-SA"/>
    </w:rPr>
  </w:style>
  <w:style w:type="character" w:customStyle="1" w:styleId="270">
    <w:name w:val="p0 Char Char"/>
    <w:qFormat/>
    <w:uiPriority w:val="0"/>
    <w:rPr>
      <w:rFonts w:eastAsia="宋体"/>
      <w:kern w:val="2"/>
      <w:sz w:val="21"/>
      <w:szCs w:val="21"/>
      <w:lang w:val="en-US" w:eastAsia="zh-CN" w:bidi="ar-SA"/>
    </w:rPr>
  </w:style>
  <w:style w:type="character" w:customStyle="1" w:styleId="271">
    <w:name w:val="正文文本 Char"/>
    <w:basedOn w:val="48"/>
    <w:link w:val="19"/>
    <w:qFormat/>
    <w:uiPriority w:val="99"/>
    <w:rPr>
      <w:rFonts w:ascii="Times New Roman" w:hAnsi="Times New Roman" w:eastAsia="宋体" w:cs="Times New Roman"/>
      <w:szCs w:val="24"/>
    </w:rPr>
  </w:style>
  <w:style w:type="character" w:customStyle="1" w:styleId="272">
    <w:name w:val="批注文字 Char1"/>
    <w:qFormat/>
    <w:uiPriority w:val="0"/>
    <w:rPr>
      <w:rFonts w:eastAsia="宋体"/>
      <w:kern w:val="2"/>
      <w:sz w:val="21"/>
      <w:szCs w:val="24"/>
      <w:lang w:val="en-US" w:eastAsia="zh-CN" w:bidi="ar-SA"/>
    </w:rPr>
  </w:style>
  <w:style w:type="character" w:customStyle="1" w:styleId="273">
    <w:name w:val="Font Style131"/>
    <w:unhideWhenUsed/>
    <w:qFormat/>
    <w:uiPriority w:val="0"/>
    <w:rPr>
      <w:rFonts w:hint="eastAsia" w:ascii="Times New Roman" w:hAnsi="Times New Roman" w:eastAsia="Times New Roman"/>
      <w:sz w:val="18"/>
    </w:rPr>
  </w:style>
  <w:style w:type="character" w:customStyle="1" w:styleId="274">
    <w:name w:val="Font Style127"/>
    <w:unhideWhenUsed/>
    <w:qFormat/>
    <w:uiPriority w:val="0"/>
    <w:rPr>
      <w:rFonts w:hint="eastAsia" w:ascii="Times New Roman" w:hAnsi="Times New Roman" w:eastAsia="Times New Roman"/>
      <w:sz w:val="20"/>
    </w:rPr>
  </w:style>
  <w:style w:type="character" w:customStyle="1" w:styleId="275">
    <w:name w:val="Font Style122"/>
    <w:unhideWhenUsed/>
    <w:qFormat/>
    <w:uiPriority w:val="0"/>
    <w:rPr>
      <w:rFonts w:hint="eastAsia" w:ascii="宋体" w:hAnsi="宋体" w:eastAsia="宋体"/>
      <w:spacing w:val="20"/>
      <w:sz w:val="24"/>
    </w:rPr>
  </w:style>
  <w:style w:type="character" w:customStyle="1" w:styleId="276">
    <w:name w:val="标题 3 Char"/>
    <w:basedOn w:val="48"/>
    <w:qFormat/>
    <w:uiPriority w:val="0"/>
    <w:rPr>
      <w:rFonts w:ascii="Times New Roman" w:hAnsi="Times New Roman" w:eastAsia="宋体" w:cs="Times New Roman"/>
      <w:b/>
      <w:bCs/>
      <w:sz w:val="32"/>
      <w:szCs w:val="32"/>
    </w:rPr>
  </w:style>
  <w:style w:type="character" w:customStyle="1" w:styleId="277">
    <w:name w:val="sidecatalog-dot"/>
    <w:qFormat/>
    <w:uiPriority w:val="0"/>
    <w:rPr>
      <w:rFonts w:ascii="Times New Roman" w:hAnsi="Times New Roman" w:eastAsia="宋体"/>
    </w:rPr>
  </w:style>
  <w:style w:type="character" w:customStyle="1" w:styleId="278">
    <w:name w:val="正文文本缩进 3 Char1"/>
    <w:link w:val="36"/>
    <w:qFormat/>
    <w:uiPriority w:val="0"/>
    <w:rPr>
      <w:rFonts w:ascii="Calibri" w:hAnsi="Calibri" w:eastAsia="宋体" w:cs="黑体"/>
      <w:sz w:val="16"/>
      <w:szCs w:val="16"/>
    </w:rPr>
  </w:style>
  <w:style w:type="character" w:customStyle="1" w:styleId="279">
    <w:name w:val="副标题 Char"/>
    <w:basedOn w:val="48"/>
    <w:link w:val="34"/>
    <w:qFormat/>
    <w:uiPriority w:val="0"/>
    <w:rPr>
      <w:sz w:val="18"/>
      <w:szCs w:val="18"/>
    </w:rPr>
  </w:style>
  <w:style w:type="character" w:customStyle="1" w:styleId="280">
    <w:name w:val="页码1"/>
    <w:qFormat/>
    <w:uiPriority w:val="0"/>
    <w:rPr>
      <w:lang w:val="zh-TW" w:eastAsia="zh-TW"/>
    </w:rPr>
  </w:style>
  <w:style w:type="character" w:customStyle="1" w:styleId="281">
    <w:name w:val="文档结构图 Char"/>
    <w:basedOn w:val="48"/>
    <w:link w:val="14"/>
    <w:qFormat/>
    <w:uiPriority w:val="0"/>
    <w:rPr>
      <w:rFonts w:ascii="Times New Roman" w:hAnsi="Times New Roman" w:eastAsia="宋体" w:cs="Times New Roman"/>
      <w:szCs w:val="24"/>
      <w:shd w:val="clear" w:color="auto" w:fill="000080"/>
    </w:rPr>
  </w:style>
  <w:style w:type="character" w:customStyle="1" w:styleId="282">
    <w:name w:val="标题 1 Char"/>
    <w:basedOn w:val="48"/>
    <w:qFormat/>
    <w:uiPriority w:val="0"/>
    <w:rPr>
      <w:rFonts w:ascii="Times New Roman" w:hAnsi="Times New Roman" w:eastAsia="宋体" w:cs="Times New Roman"/>
      <w:b/>
      <w:bCs/>
      <w:kern w:val="44"/>
      <w:sz w:val="44"/>
      <w:szCs w:val="44"/>
    </w:rPr>
  </w:style>
  <w:style w:type="character" w:customStyle="1" w:styleId="283">
    <w:name w:val="bds_nopic"/>
    <w:qFormat/>
    <w:uiPriority w:val="0"/>
    <w:rPr>
      <w:rFonts w:ascii="Times New Roman" w:hAnsi="Times New Roman" w:eastAsia="宋体"/>
    </w:rPr>
  </w:style>
  <w:style w:type="character" w:customStyle="1" w:styleId="284">
    <w:name w:val="Font Style116"/>
    <w:unhideWhenUsed/>
    <w:qFormat/>
    <w:uiPriority w:val="0"/>
    <w:rPr>
      <w:rFonts w:hint="eastAsia" w:ascii="宋体" w:hAnsi="宋体" w:eastAsia="宋体"/>
      <w:spacing w:val="-20"/>
      <w:sz w:val="24"/>
    </w:rPr>
  </w:style>
  <w:style w:type="character" w:customStyle="1" w:styleId="285">
    <w:name w:val="标题 2 Char"/>
    <w:basedOn w:val="48"/>
    <w:qFormat/>
    <w:uiPriority w:val="0"/>
    <w:rPr>
      <w:rFonts w:ascii="Cambria" w:hAnsi="Cambria" w:eastAsia="宋体" w:cs="Times New Roman"/>
      <w:b/>
      <w:bCs/>
      <w:sz w:val="32"/>
      <w:szCs w:val="32"/>
    </w:rPr>
  </w:style>
  <w:style w:type="character" w:customStyle="1" w:styleId="286">
    <w:name w:val="纯文本 Char1"/>
    <w:basedOn w:val="48"/>
    <w:qFormat/>
    <w:uiPriority w:val="0"/>
    <w:rPr>
      <w:rFonts w:ascii="宋体" w:hAnsi="Courier New" w:eastAsia="宋体" w:cs="Courier New"/>
      <w:kern w:val="2"/>
      <w:sz w:val="21"/>
      <w:szCs w:val="21"/>
    </w:rPr>
  </w:style>
  <w:style w:type="character" w:customStyle="1" w:styleId="287">
    <w:name w:val="Font Style117"/>
    <w:unhideWhenUsed/>
    <w:qFormat/>
    <w:uiPriority w:val="0"/>
    <w:rPr>
      <w:rFonts w:hint="eastAsia" w:ascii="宋体" w:hAnsi="宋体" w:eastAsia="宋体"/>
      <w:spacing w:val="20"/>
      <w:sz w:val="24"/>
    </w:rPr>
  </w:style>
  <w:style w:type="character" w:customStyle="1" w:styleId="288">
    <w:name w:val="正文文本缩进 3 Char"/>
    <w:basedOn w:val="48"/>
    <w:qFormat/>
    <w:uiPriority w:val="0"/>
    <w:rPr>
      <w:rFonts w:ascii="Times New Roman" w:hAnsi="Times New Roman" w:eastAsia="宋体" w:cs="Times New Roman"/>
      <w:sz w:val="16"/>
      <w:szCs w:val="16"/>
    </w:rPr>
  </w:style>
  <w:style w:type="character" w:customStyle="1" w:styleId="289">
    <w:name w:val="Font Style90"/>
    <w:unhideWhenUsed/>
    <w:qFormat/>
    <w:uiPriority w:val="0"/>
    <w:rPr>
      <w:rFonts w:hint="eastAsia" w:ascii="宋体" w:hAnsi="宋体" w:eastAsia="宋体"/>
      <w:b/>
      <w:spacing w:val="-20"/>
      <w:sz w:val="40"/>
    </w:rPr>
  </w:style>
  <w:style w:type="character" w:customStyle="1" w:styleId="290">
    <w:name w:val="sidecatalog-index2"/>
    <w:qFormat/>
    <w:uiPriority w:val="0"/>
    <w:rPr>
      <w:rFonts w:ascii="Arail" w:hAnsi="Arail" w:eastAsia="Arail" w:cs="Arail"/>
      <w:color w:val="999999"/>
      <w:sz w:val="21"/>
      <w:szCs w:val="21"/>
    </w:rPr>
  </w:style>
  <w:style w:type="character" w:customStyle="1" w:styleId="291">
    <w:name w:val="标题 Char"/>
    <w:basedOn w:val="48"/>
    <w:qFormat/>
    <w:uiPriority w:val="0"/>
    <w:rPr>
      <w:rFonts w:ascii="Cambria" w:hAnsi="Cambria" w:eastAsia="宋体" w:cs="Times New Roman"/>
      <w:b/>
      <w:bCs/>
      <w:sz w:val="32"/>
      <w:szCs w:val="32"/>
    </w:rPr>
  </w:style>
  <w:style w:type="character" w:customStyle="1" w:styleId="292">
    <w:name w:val="font41"/>
    <w:basedOn w:val="48"/>
    <w:qFormat/>
    <w:uiPriority w:val="0"/>
    <w:rPr>
      <w:rFonts w:hint="eastAsia" w:ascii="宋体" w:hAnsi="宋体" w:eastAsia="宋体" w:cs="宋体"/>
      <w:color w:val="000000"/>
      <w:sz w:val="22"/>
      <w:szCs w:val="22"/>
      <w:u w:val="single"/>
    </w:rPr>
  </w:style>
  <w:style w:type="character" w:customStyle="1" w:styleId="293">
    <w:name w:val="日期 Char1"/>
    <w:link w:val="27"/>
    <w:qFormat/>
    <w:uiPriority w:val="0"/>
    <w:rPr>
      <w:rFonts w:ascii="Calibri" w:hAnsi="Calibri" w:eastAsia="宋体" w:cs="黑体"/>
      <w:sz w:val="24"/>
    </w:rPr>
  </w:style>
  <w:style w:type="character" w:customStyle="1" w:styleId="294">
    <w:name w:val="Font Style86"/>
    <w:unhideWhenUsed/>
    <w:qFormat/>
    <w:uiPriority w:val="0"/>
    <w:rPr>
      <w:rFonts w:hint="eastAsia" w:ascii="黑体" w:hAnsi="黑体" w:eastAsia="黑体"/>
      <w:spacing w:val="10"/>
      <w:sz w:val="30"/>
    </w:rPr>
  </w:style>
  <w:style w:type="character" w:customStyle="1" w:styleId="295">
    <w:name w:val="Font Style121"/>
    <w:unhideWhenUsed/>
    <w:qFormat/>
    <w:uiPriority w:val="0"/>
    <w:rPr>
      <w:rFonts w:hint="eastAsia" w:ascii="宋体" w:hAnsi="宋体" w:eastAsia="宋体"/>
      <w:spacing w:val="-10"/>
      <w:sz w:val="30"/>
    </w:rPr>
  </w:style>
  <w:style w:type="character" w:customStyle="1" w:styleId="296">
    <w:name w:val="Font Style134"/>
    <w:unhideWhenUsed/>
    <w:qFormat/>
    <w:uiPriority w:val="0"/>
    <w:rPr>
      <w:rFonts w:hint="eastAsia" w:ascii="宋体" w:hAnsi="宋体" w:eastAsia="宋体"/>
      <w:spacing w:val="20"/>
      <w:sz w:val="22"/>
    </w:rPr>
  </w:style>
  <w:style w:type="character" w:customStyle="1" w:styleId="297">
    <w:name w:val="页眉 Char1"/>
    <w:qFormat/>
    <w:uiPriority w:val="0"/>
    <w:rPr>
      <w:rFonts w:eastAsia="宋体"/>
      <w:kern w:val="2"/>
      <w:sz w:val="18"/>
      <w:szCs w:val="18"/>
      <w:lang w:val="en-US" w:eastAsia="zh-CN" w:bidi="ar-SA"/>
    </w:rPr>
  </w:style>
  <w:style w:type="character" w:customStyle="1" w:styleId="298">
    <w:name w:val="sort"/>
    <w:qFormat/>
    <w:uiPriority w:val="0"/>
    <w:rPr>
      <w:rFonts w:ascii="Times New Roman" w:hAnsi="Times New Roman" w:eastAsia="宋体"/>
      <w:color w:val="FFFFFF"/>
      <w:bdr w:val="single" w:color="auto" w:sz="24" w:space="0"/>
    </w:rPr>
  </w:style>
  <w:style w:type="character" w:customStyle="1" w:styleId="299">
    <w:name w:val="Font Style115"/>
    <w:unhideWhenUsed/>
    <w:qFormat/>
    <w:uiPriority w:val="0"/>
    <w:rPr>
      <w:rFonts w:hint="eastAsia" w:ascii="Times New Roman" w:hAnsi="Times New Roman" w:eastAsia="Times New Roman"/>
      <w:sz w:val="16"/>
    </w:rPr>
  </w:style>
  <w:style w:type="character" w:customStyle="1" w:styleId="300">
    <w:name w:val="bds_more6"/>
    <w:qFormat/>
    <w:uiPriority w:val="0"/>
    <w:rPr>
      <w:rFonts w:hint="eastAsia" w:ascii="宋体" w:hAnsi="宋体" w:eastAsia="宋体" w:cs="宋体"/>
    </w:rPr>
  </w:style>
  <w:style w:type="character" w:customStyle="1" w:styleId="301">
    <w:name w:val="标题 8 Char"/>
    <w:basedOn w:val="48"/>
    <w:qFormat/>
    <w:uiPriority w:val="0"/>
    <w:rPr>
      <w:rFonts w:ascii="Cambria" w:hAnsi="Cambria" w:eastAsia="宋体" w:cs="Times New Roman"/>
      <w:sz w:val="24"/>
      <w:szCs w:val="24"/>
    </w:rPr>
  </w:style>
  <w:style w:type="character" w:customStyle="1" w:styleId="302">
    <w:name w:val="正文文本 3 Char"/>
    <w:basedOn w:val="48"/>
    <w:link w:val="18"/>
    <w:qFormat/>
    <w:uiPriority w:val="0"/>
    <w:rPr>
      <w:rFonts w:ascii="宋体" w:hAnsi="Times New Roman" w:eastAsia="宋体" w:cs="Times New Roman"/>
      <w:color w:val="000000"/>
      <w:kern w:val="0"/>
      <w:sz w:val="24"/>
      <w:szCs w:val="20"/>
    </w:rPr>
  </w:style>
  <w:style w:type="character" w:customStyle="1" w:styleId="303">
    <w:name w:val="font71"/>
    <w:basedOn w:val="48"/>
    <w:qFormat/>
    <w:uiPriority w:val="0"/>
    <w:rPr>
      <w:rFonts w:hint="eastAsia" w:ascii="宋体" w:hAnsi="宋体" w:eastAsia="宋体" w:cs="宋体"/>
      <w:b/>
      <w:color w:val="000000"/>
      <w:sz w:val="22"/>
      <w:szCs w:val="22"/>
      <w:u w:val="none"/>
    </w:rPr>
  </w:style>
  <w:style w:type="character" w:customStyle="1" w:styleId="304">
    <w:name w:val="font21"/>
    <w:basedOn w:val="48"/>
    <w:qFormat/>
    <w:uiPriority w:val="0"/>
    <w:rPr>
      <w:rFonts w:hint="eastAsia" w:ascii="宋体" w:hAnsi="宋体" w:eastAsia="宋体" w:cs="宋体"/>
      <w:color w:val="000000"/>
      <w:sz w:val="18"/>
      <w:szCs w:val="18"/>
      <w:u w:val="none"/>
    </w:rPr>
  </w:style>
  <w:style w:type="character" w:customStyle="1" w:styleId="305">
    <w:name w:val="标题 9 Char"/>
    <w:basedOn w:val="48"/>
    <w:qFormat/>
    <w:uiPriority w:val="0"/>
    <w:rPr>
      <w:rFonts w:ascii="Cambria" w:hAnsi="Cambria" w:eastAsia="宋体" w:cs="Times New Roman"/>
      <w:szCs w:val="21"/>
    </w:rPr>
  </w:style>
  <w:style w:type="character" w:customStyle="1" w:styleId="306">
    <w:name w:val="Char Char14"/>
    <w:qFormat/>
    <w:uiPriority w:val="0"/>
    <w:rPr>
      <w:rFonts w:ascii="Arial" w:hAnsi="Arial" w:eastAsia="黑体"/>
      <w:b/>
      <w:bCs/>
      <w:sz w:val="28"/>
      <w:szCs w:val="28"/>
      <w:lang w:val="en-US" w:eastAsia="zh-CN" w:bidi="ar-SA"/>
    </w:rPr>
  </w:style>
  <w:style w:type="character" w:customStyle="1" w:styleId="307">
    <w:name w:val="Font Style119"/>
    <w:unhideWhenUsed/>
    <w:qFormat/>
    <w:uiPriority w:val="0"/>
    <w:rPr>
      <w:rFonts w:hint="eastAsia" w:ascii="宋体" w:hAnsi="宋体" w:eastAsia="宋体"/>
      <w:sz w:val="24"/>
    </w:rPr>
  </w:style>
  <w:style w:type="character" w:customStyle="1" w:styleId="308">
    <w:name w:val="标题 5 Char"/>
    <w:basedOn w:val="48"/>
    <w:qFormat/>
    <w:uiPriority w:val="0"/>
    <w:rPr>
      <w:rFonts w:ascii="Times New Roman" w:hAnsi="Times New Roman" w:eastAsia="宋体" w:cs="Times New Roman"/>
      <w:b/>
      <w:bCs/>
      <w:sz w:val="28"/>
      <w:szCs w:val="28"/>
    </w:rPr>
  </w:style>
  <w:style w:type="character" w:customStyle="1" w:styleId="309">
    <w:name w:val="Char Char15"/>
    <w:qFormat/>
    <w:uiPriority w:val="0"/>
    <w:rPr>
      <w:b/>
      <w:bCs/>
      <w:sz w:val="24"/>
      <w:szCs w:val="24"/>
    </w:rPr>
  </w:style>
  <w:style w:type="character" w:customStyle="1" w:styleId="310">
    <w:name w:val="polysemyexp"/>
    <w:qFormat/>
    <w:uiPriority w:val="0"/>
    <w:rPr>
      <w:rFonts w:ascii="Times New Roman" w:hAnsi="Times New Roman" w:eastAsia="宋体"/>
      <w:color w:val="AAAAAA"/>
      <w:sz w:val="18"/>
      <w:szCs w:val="18"/>
    </w:rPr>
  </w:style>
  <w:style w:type="character" w:customStyle="1" w:styleId="311">
    <w:name w:val="bds_nopic1"/>
    <w:qFormat/>
    <w:uiPriority w:val="0"/>
    <w:rPr>
      <w:rFonts w:ascii="Times New Roman" w:hAnsi="Times New Roman" w:eastAsia="宋体"/>
    </w:rPr>
  </w:style>
  <w:style w:type="character" w:customStyle="1" w:styleId="312">
    <w:name w:val="bds_more8"/>
    <w:qFormat/>
    <w:uiPriority w:val="0"/>
    <w:rPr>
      <w:rFonts w:ascii="Times New Roman" w:hAnsi="Times New Roman" w:eastAsia="宋体"/>
    </w:rPr>
  </w:style>
  <w:style w:type="character" w:customStyle="1" w:styleId="313">
    <w:name w:val="sort1"/>
    <w:qFormat/>
    <w:uiPriority w:val="0"/>
    <w:rPr>
      <w:rFonts w:ascii="Times New Roman" w:hAnsi="Times New Roman" w:eastAsia="宋体"/>
    </w:rPr>
  </w:style>
  <w:style w:type="character" w:customStyle="1" w:styleId="314">
    <w:name w:val="bds_more10"/>
    <w:qFormat/>
    <w:uiPriority w:val="0"/>
    <w:rPr>
      <w:rFonts w:ascii="Times New Roman" w:hAnsi="Times New Roman" w:eastAsia="宋体"/>
    </w:rPr>
  </w:style>
  <w:style w:type="character" w:customStyle="1" w:styleId="315">
    <w:name w:val="sidecatalog-index1"/>
    <w:qFormat/>
    <w:uiPriority w:val="0"/>
    <w:rPr>
      <w:rFonts w:ascii="Arial" w:hAnsi="Arial" w:eastAsia="宋体" w:cs="Arial"/>
      <w:b/>
      <w:color w:val="999999"/>
      <w:sz w:val="21"/>
      <w:szCs w:val="21"/>
    </w:rPr>
  </w:style>
  <w:style w:type="character" w:customStyle="1" w:styleId="316">
    <w:name w:val="标题 7 Char"/>
    <w:basedOn w:val="48"/>
    <w:qFormat/>
    <w:uiPriority w:val="0"/>
    <w:rPr>
      <w:rFonts w:ascii="Times New Roman" w:hAnsi="Times New Roman" w:eastAsia="宋体" w:cs="Times New Roman"/>
      <w:b/>
      <w:bCs/>
      <w:sz w:val="24"/>
      <w:szCs w:val="24"/>
    </w:rPr>
  </w:style>
  <w:style w:type="character" w:customStyle="1" w:styleId="317">
    <w:name w:val="desc"/>
    <w:qFormat/>
    <w:uiPriority w:val="0"/>
    <w:rPr>
      <w:rFonts w:ascii="Times New Roman" w:hAnsi="Times New Roman" w:eastAsia="宋体"/>
      <w:color w:val="000000"/>
      <w:sz w:val="18"/>
      <w:szCs w:val="18"/>
    </w:rPr>
  </w:style>
  <w:style w:type="character" w:customStyle="1" w:styleId="318">
    <w:name w:val="正文文本缩进 2 字符1"/>
    <w:basedOn w:val="48"/>
    <w:semiHidden/>
    <w:qFormat/>
    <w:uiPriority w:val="99"/>
    <w:rPr>
      <w:rFonts w:ascii="Times New Roman" w:hAnsi="Times New Roman" w:eastAsia="宋体" w:cs="Times New Roman"/>
      <w:szCs w:val="24"/>
    </w:rPr>
  </w:style>
  <w:style w:type="character" w:customStyle="1" w:styleId="319">
    <w:name w:val="正文文本缩进 字符1"/>
    <w:basedOn w:val="48"/>
    <w:semiHidden/>
    <w:qFormat/>
    <w:uiPriority w:val="99"/>
    <w:rPr>
      <w:rFonts w:ascii="Times New Roman" w:hAnsi="Times New Roman" w:eastAsia="宋体" w:cs="Times New Roman"/>
      <w:szCs w:val="24"/>
    </w:rPr>
  </w:style>
  <w:style w:type="character" w:customStyle="1" w:styleId="320">
    <w:name w:val="正文文本 3 字符1"/>
    <w:basedOn w:val="48"/>
    <w:semiHidden/>
    <w:qFormat/>
    <w:uiPriority w:val="99"/>
    <w:rPr>
      <w:rFonts w:ascii="Times New Roman" w:hAnsi="Times New Roman" w:eastAsia="宋体" w:cs="Times New Roman"/>
      <w:sz w:val="16"/>
      <w:szCs w:val="16"/>
    </w:rPr>
  </w:style>
  <w:style w:type="character" w:customStyle="1" w:styleId="321">
    <w:name w:val="称呼 字符1"/>
    <w:basedOn w:val="48"/>
    <w:semiHidden/>
    <w:qFormat/>
    <w:uiPriority w:val="99"/>
    <w:rPr>
      <w:rFonts w:ascii="Times New Roman" w:hAnsi="Times New Roman" w:eastAsia="宋体" w:cs="Times New Roman"/>
      <w:szCs w:val="24"/>
    </w:rPr>
  </w:style>
  <w:style w:type="character" w:customStyle="1" w:styleId="322">
    <w:name w:val="批注框文本 字符1"/>
    <w:basedOn w:val="48"/>
    <w:semiHidden/>
    <w:qFormat/>
    <w:uiPriority w:val="99"/>
    <w:rPr>
      <w:rFonts w:ascii="Times New Roman" w:hAnsi="Times New Roman" w:eastAsia="宋体" w:cs="Times New Roman"/>
      <w:sz w:val="18"/>
      <w:szCs w:val="18"/>
    </w:rPr>
  </w:style>
  <w:style w:type="character" w:customStyle="1" w:styleId="323">
    <w:name w:val="正文文本缩进 3 字符1"/>
    <w:basedOn w:val="48"/>
    <w:semiHidden/>
    <w:qFormat/>
    <w:uiPriority w:val="99"/>
    <w:rPr>
      <w:rFonts w:ascii="Times New Roman" w:hAnsi="Times New Roman" w:eastAsia="宋体" w:cs="Times New Roman"/>
      <w:sz w:val="16"/>
      <w:szCs w:val="16"/>
    </w:rPr>
  </w:style>
  <w:style w:type="character" w:customStyle="1" w:styleId="324">
    <w:name w:val="文档结构图 字符1"/>
    <w:basedOn w:val="48"/>
    <w:semiHidden/>
    <w:qFormat/>
    <w:uiPriority w:val="99"/>
    <w:rPr>
      <w:rFonts w:ascii="Microsoft YaHei UI" w:hAnsi="Times New Roman" w:eastAsia="Microsoft YaHei UI" w:cs="Times New Roman"/>
      <w:sz w:val="18"/>
      <w:szCs w:val="18"/>
    </w:rPr>
  </w:style>
  <w:style w:type="character" w:customStyle="1" w:styleId="325">
    <w:name w:val="日期 字符1"/>
    <w:basedOn w:val="48"/>
    <w:semiHidden/>
    <w:qFormat/>
    <w:uiPriority w:val="99"/>
    <w:rPr>
      <w:rFonts w:ascii="Times New Roman" w:hAnsi="Times New Roman" w:eastAsia="宋体" w:cs="Times New Roman"/>
      <w:szCs w:val="24"/>
    </w:rPr>
  </w:style>
  <w:style w:type="character" w:customStyle="1" w:styleId="326">
    <w:name w:val="正文文本 字符1"/>
    <w:basedOn w:val="48"/>
    <w:semiHidden/>
    <w:qFormat/>
    <w:uiPriority w:val="99"/>
    <w:rPr>
      <w:rFonts w:ascii="Times New Roman" w:hAnsi="Times New Roman" w:eastAsia="宋体" w:cs="Times New Roman"/>
      <w:szCs w:val="24"/>
    </w:rPr>
  </w:style>
  <w:style w:type="character" w:customStyle="1" w:styleId="327">
    <w:name w:val="批注文字 字符1"/>
    <w:basedOn w:val="48"/>
    <w:semiHidden/>
    <w:qFormat/>
    <w:uiPriority w:val="99"/>
    <w:rPr>
      <w:rFonts w:ascii="Times New Roman" w:hAnsi="Times New Roman" w:eastAsia="宋体" w:cs="Times New Roman"/>
      <w:szCs w:val="24"/>
    </w:rPr>
  </w:style>
  <w:style w:type="character" w:customStyle="1" w:styleId="328">
    <w:name w:val="HTML 预设格式 字符1"/>
    <w:basedOn w:val="48"/>
    <w:semiHidden/>
    <w:qFormat/>
    <w:uiPriority w:val="99"/>
    <w:rPr>
      <w:rFonts w:ascii="Courier New" w:hAnsi="Courier New" w:eastAsia="宋体" w:cs="Courier New"/>
      <w:sz w:val="20"/>
      <w:szCs w:val="20"/>
    </w:rPr>
  </w:style>
  <w:style w:type="character" w:customStyle="1" w:styleId="329">
    <w:name w:val="正文首行缩进 Char"/>
    <w:basedOn w:val="326"/>
    <w:link w:val="45"/>
    <w:qFormat/>
    <w:uiPriority w:val="0"/>
    <w:rPr>
      <w:rFonts w:ascii="Times New Roman" w:hAnsi="Times New Roman" w:eastAsia="宋体" w:cs="Times New Roman"/>
      <w:szCs w:val="24"/>
    </w:rPr>
  </w:style>
  <w:style w:type="character" w:customStyle="1" w:styleId="330">
    <w:name w:val="正文文本 2 字符1"/>
    <w:basedOn w:val="48"/>
    <w:semiHidden/>
    <w:qFormat/>
    <w:uiPriority w:val="99"/>
    <w:rPr>
      <w:rFonts w:ascii="Times New Roman" w:hAnsi="Times New Roman" w:eastAsia="宋体" w:cs="Times New Roman"/>
      <w:szCs w:val="24"/>
    </w:rPr>
  </w:style>
  <w:style w:type="character" w:customStyle="1" w:styleId="331">
    <w:name w:val="副标题 字符1"/>
    <w:basedOn w:val="48"/>
    <w:qFormat/>
    <w:uiPriority w:val="11"/>
    <w:rPr>
      <w:b/>
      <w:bCs/>
      <w:kern w:val="28"/>
      <w:sz w:val="32"/>
      <w:szCs w:val="32"/>
    </w:rPr>
  </w:style>
  <w:style w:type="character" w:customStyle="1" w:styleId="332">
    <w:name w:val="批注主题 字符1"/>
    <w:basedOn w:val="327"/>
    <w:semiHidden/>
    <w:qFormat/>
    <w:uiPriority w:val="99"/>
    <w:rPr>
      <w:rFonts w:ascii="Times New Roman" w:hAnsi="Times New Roman" w:eastAsia="宋体" w:cs="Times New Roman"/>
      <w:b/>
      <w:bCs/>
      <w:szCs w:val="24"/>
    </w:rPr>
  </w:style>
  <w:style w:type="character" w:customStyle="1" w:styleId="333">
    <w:name w:val="标题 字符1"/>
    <w:basedOn w:val="48"/>
    <w:qFormat/>
    <w:uiPriority w:val="10"/>
    <w:rPr>
      <w:rFonts w:ascii="等线 Light" w:hAnsi="等线 Light" w:eastAsia="等线 Light" w:cs="黑体"/>
      <w:b/>
      <w:bCs/>
      <w:sz w:val="32"/>
      <w:szCs w:val="32"/>
    </w:rPr>
  </w:style>
  <w:style w:type="character" w:customStyle="1" w:styleId="334">
    <w:name w:val="纯文本 字符1"/>
    <w:basedOn w:val="48"/>
    <w:semiHidden/>
    <w:qFormat/>
    <w:uiPriority w:val="99"/>
    <w:rPr>
      <w:rFonts w:ascii="等线" w:hAnsi="Courier New" w:cs="Courier New"/>
      <w:szCs w:val="24"/>
    </w:rPr>
  </w:style>
  <w:style w:type="character" w:customStyle="1" w:styleId="335">
    <w:name w:val="正文缩进 Char"/>
    <w:link w:val="13"/>
    <w:qFormat/>
    <w:uiPriority w:val="0"/>
    <w:rPr>
      <w:rFonts w:ascii="Times New Roman" w:hAnsi="Times New Roman" w:eastAsia="宋体" w:cs="Times New Roman"/>
      <w:kern w:val="0"/>
      <w:sz w:val="20"/>
      <w:szCs w:val="20"/>
    </w:rPr>
  </w:style>
  <w:style w:type="character" w:customStyle="1" w:styleId="336">
    <w:name w:val="公文正文 Char Char"/>
    <w:link w:val="174"/>
    <w:qFormat/>
    <w:uiPriority w:val="0"/>
    <w:rPr>
      <w:rFonts w:ascii="仿宋_GB2312" w:hAnsi="Calisto MT" w:eastAsia="仿宋_GB2312"/>
      <w:color w:val="000000"/>
      <w:sz w:val="32"/>
    </w:rPr>
  </w:style>
  <w:style w:type="character" w:customStyle="1" w:styleId="337">
    <w:name w:val="普通文字 Char Char"/>
    <w:qFormat/>
    <w:uiPriority w:val="0"/>
    <w:rPr>
      <w:rFonts w:ascii="宋体" w:hAnsi="Courier New" w:eastAsia="宋体"/>
      <w:kern w:val="2"/>
      <w:sz w:val="21"/>
      <w:lang w:val="en-US" w:eastAsia="zh-CN" w:bidi="ar-SA"/>
    </w:rPr>
  </w:style>
  <w:style w:type="character" w:customStyle="1" w:styleId="338">
    <w:name w:val="副标题 Char1"/>
    <w:qFormat/>
    <w:uiPriority w:val="0"/>
    <w:rPr>
      <w:rFonts w:ascii="Cambria" w:hAnsi="Cambria" w:cs="Times New Roman"/>
      <w:b/>
      <w:bCs/>
      <w:kern w:val="28"/>
      <w:sz w:val="32"/>
      <w:szCs w:val="32"/>
    </w:rPr>
  </w:style>
  <w:style w:type="character" w:customStyle="1" w:styleId="339">
    <w:name w:val="无间隔 Char"/>
    <w:link w:val="175"/>
    <w:qFormat/>
    <w:uiPriority w:val="1"/>
    <w:rPr>
      <w:rFonts w:ascii="Calibri" w:hAnsi="Calibri"/>
      <w:sz w:val="22"/>
      <w:szCs w:val="22"/>
    </w:rPr>
  </w:style>
  <w:style w:type="character" w:customStyle="1" w:styleId="340">
    <w:name w:val="样式 样式 样式 标题 2标题 1.1第一层条第二层论文标题 1Para2Title1H2h22l2list + ch...1 ... Char Char"/>
    <w:link w:val="176"/>
    <w:qFormat/>
    <w:uiPriority w:val="0"/>
    <w:rPr>
      <w:rFonts w:ascii="Arial" w:hAnsi="Arial" w:cs="宋体"/>
      <w:b/>
      <w:color w:val="000000"/>
      <w:sz w:val="28"/>
      <w:szCs w:val="28"/>
    </w:rPr>
  </w:style>
  <w:style w:type="character" w:customStyle="1" w:styleId="341">
    <w:name w:val="列表框1 Char Char"/>
    <w:link w:val="179"/>
    <w:qFormat/>
    <w:uiPriority w:val="0"/>
    <w:rPr>
      <w:rFonts w:ascii="Arial" w:hAnsi="Arial" w:eastAsia="楷体_GB2312" w:cs="Arial"/>
      <w:spacing w:val="10"/>
      <w:szCs w:val="24"/>
    </w:rPr>
  </w:style>
  <w:style w:type="character" w:customStyle="1" w:styleId="342">
    <w:name w:val="普通文字 Char2"/>
    <w:qFormat/>
    <w:uiPriority w:val="0"/>
    <w:rPr>
      <w:rFonts w:ascii="宋体" w:hAnsi="Courier New" w:eastAsia="宋体"/>
      <w:kern w:val="2"/>
      <w:sz w:val="21"/>
      <w:lang w:val="en-US" w:eastAsia="zh-CN" w:bidi="ar-SA"/>
    </w:rPr>
  </w:style>
  <w:style w:type="character" w:customStyle="1" w:styleId="343">
    <w:name w:val="样式 标题 1标题 1 111121314151111211311611212213217113... Char Char"/>
    <w:link w:val="181"/>
    <w:qFormat/>
    <w:uiPriority w:val="0"/>
    <w:rPr>
      <w:rFonts w:ascii="宋体" w:hAnsi="宋体" w:eastAsia="黑体"/>
      <w:bCs/>
      <w:kern w:val="44"/>
      <w:sz w:val="48"/>
      <w:szCs w:val="32"/>
    </w:rPr>
  </w:style>
  <w:style w:type="character" w:customStyle="1" w:styleId="344">
    <w:name w:val="even Char Char"/>
    <w:qFormat/>
    <w:uiPriority w:val="0"/>
    <w:rPr>
      <w:rFonts w:eastAsia="宋体"/>
      <w:kern w:val="2"/>
      <w:sz w:val="18"/>
      <w:szCs w:val="24"/>
      <w:lang w:val="en-US" w:eastAsia="zh-CN" w:bidi="ar-SA"/>
    </w:rPr>
  </w:style>
  <w:style w:type="character" w:customStyle="1" w:styleId="345">
    <w:name w:val="样式 标题 4Para4CDR_Lev 4Title3h44 dashddash + (符号) 宋体 加粗 Char Char"/>
    <w:link w:val="182"/>
    <w:qFormat/>
    <w:uiPriority w:val="0"/>
    <w:rPr>
      <w:rFonts w:ascii="Arial" w:hAnsi="Arial" w:eastAsia="黑体"/>
      <w:snapToGrid w:val="0"/>
      <w:sz w:val="28"/>
      <w:szCs w:val="24"/>
    </w:rPr>
  </w:style>
  <w:style w:type="character" w:customStyle="1" w:styleId="346">
    <w:name w:val="纯文本 Char"/>
    <w:qFormat/>
    <w:uiPriority w:val="0"/>
    <w:rPr>
      <w:rFonts w:ascii="宋体" w:hAnsi="Courier New" w:cs="Courier New"/>
      <w:kern w:val="2"/>
      <w:sz w:val="21"/>
      <w:szCs w:val="21"/>
    </w:rPr>
  </w:style>
  <w:style w:type="character" w:customStyle="1" w:styleId="347">
    <w:name w:val="style131"/>
    <w:qFormat/>
    <w:uiPriority w:val="0"/>
    <w:rPr>
      <w:rFonts w:eastAsia="宋体"/>
      <w:kern w:val="2"/>
      <w:sz w:val="24"/>
      <w:szCs w:val="24"/>
      <w:lang w:val="en-US" w:eastAsia="zh-CN" w:bidi="ar-SA"/>
    </w:rPr>
  </w:style>
  <w:style w:type="character" w:customStyle="1" w:styleId="348">
    <w:name w:val="样式 样式 标题 2标题 1.1第一层条第二层论文标题 1Para2Title1H2h22l2list + ch...1 + 右...1 Char Char"/>
    <w:basedOn w:val="349"/>
    <w:link w:val="177"/>
    <w:qFormat/>
    <w:uiPriority w:val="0"/>
    <w:rPr>
      <w:rFonts w:ascii="Arial" w:hAnsi="Arial" w:cs="宋体"/>
      <w:color w:val="000000"/>
      <w:sz w:val="24"/>
      <w:szCs w:val="24"/>
    </w:rPr>
  </w:style>
  <w:style w:type="character" w:customStyle="1" w:styleId="349">
    <w:name w:val="样式 标题 2标题 1.1第一层条第二层论文标题 1Para2Title1H2h22l2list + ch...1 Char Char"/>
    <w:link w:val="178"/>
    <w:qFormat/>
    <w:uiPriority w:val="0"/>
    <w:rPr>
      <w:rFonts w:ascii="Arial" w:hAnsi="Arial" w:cs="宋体"/>
      <w:b/>
      <w:color w:val="000000"/>
      <w:sz w:val="24"/>
      <w:szCs w:val="24"/>
    </w:rPr>
  </w:style>
  <w:style w:type="character" w:customStyle="1" w:styleId="350">
    <w:name w:val="Char Char Char Char Char Char"/>
    <w:qFormat/>
    <w:uiPriority w:val="0"/>
    <w:rPr>
      <w:rFonts w:ascii="宋体" w:hAnsi="Courier New" w:eastAsia="宋体"/>
      <w:kern w:val="2"/>
      <w:sz w:val="21"/>
      <w:lang w:val="en-US" w:eastAsia="zh-CN" w:bidi="ar-SA"/>
    </w:rPr>
  </w:style>
  <w:style w:type="character" w:customStyle="1" w:styleId="351">
    <w:name w:val="页码2"/>
    <w:basedOn w:val="48"/>
    <w:qFormat/>
    <w:uiPriority w:val="0"/>
  </w:style>
  <w:style w:type="character" w:customStyle="1" w:styleId="352">
    <w:name w:val="样式 样式 样式 样式 标题 2标题 1.1第一层条第二层论文标题 1Para2Title1H2h22l2list + ch..... Char Char"/>
    <w:link w:val="183"/>
    <w:qFormat/>
    <w:uiPriority w:val="0"/>
    <w:rPr>
      <w:rFonts w:ascii="宋体" w:hAnsi="宋体" w:cs="宋体"/>
      <w:b/>
      <w:color w:val="000000"/>
      <w:szCs w:val="28"/>
    </w:rPr>
  </w:style>
  <w:style w:type="character" w:customStyle="1" w:styleId="353">
    <w:name w:val="应答文本 Char Char"/>
    <w:link w:val="180"/>
    <w:qFormat/>
    <w:uiPriority w:val="0"/>
    <w:rPr>
      <w:rFonts w:ascii="Arial" w:hAnsi="Arial" w:eastAsia="楷体_GB2312" w:cs="宋体"/>
      <w:spacing w:val="10"/>
      <w:szCs w:val="24"/>
    </w:rPr>
  </w:style>
  <w:style w:type="character" w:customStyle="1" w:styleId="354">
    <w:name w:val="页码3"/>
    <w:basedOn w:val="48"/>
    <w:qFormat/>
    <w:uiPriority w:val="0"/>
  </w:style>
  <w:style w:type="character" w:customStyle="1" w:styleId="355">
    <w:name w:val="页脚 字符1"/>
    <w:basedOn w:val="48"/>
    <w:semiHidden/>
    <w:qFormat/>
    <w:uiPriority w:val="99"/>
    <w:rPr>
      <w:kern w:val="2"/>
      <w:sz w:val="18"/>
      <w:szCs w:val="18"/>
    </w:rPr>
  </w:style>
  <w:style w:type="character" w:customStyle="1" w:styleId="356">
    <w:name w:val="页眉 字符1"/>
    <w:basedOn w:val="48"/>
    <w:semiHidden/>
    <w:qFormat/>
    <w:uiPriority w:val="99"/>
    <w:rPr>
      <w:kern w:val="2"/>
      <w:sz w:val="18"/>
      <w:szCs w:val="18"/>
    </w:rPr>
  </w:style>
  <w:style w:type="paragraph" w:customStyle="1" w:styleId="357">
    <w:name w:val="列出段落11"/>
    <w:basedOn w:val="1"/>
    <w:qFormat/>
    <w:uiPriority w:val="0"/>
    <w:pPr>
      <w:ind w:firstLine="420" w:firstLineChars="200"/>
    </w:pPr>
    <w:rPr>
      <w:bCs/>
      <w:iCs/>
      <w:szCs w:val="21"/>
    </w:rPr>
  </w:style>
  <w:style w:type="paragraph" w:customStyle="1" w:styleId="358">
    <w:name w:val="TOC 标题3"/>
    <w:basedOn w:val="3"/>
    <w:next w:val="1"/>
    <w:qFormat/>
    <w:uiPriority w:val="39"/>
    <w:pPr>
      <w:keepLines/>
      <w:widowControl/>
      <w:spacing w:before="240" w:line="259" w:lineRule="auto"/>
      <w:jc w:val="left"/>
      <w:outlineLvl w:val="9"/>
    </w:pPr>
    <w:rPr>
      <w:rFonts w:ascii="等线 Light" w:hAnsi="等线 Light" w:eastAsia="等线 Light"/>
      <w:b w:val="0"/>
      <w:iCs/>
      <w:color w:val="2F5496"/>
      <w:sz w:val="32"/>
      <w:szCs w:val="32"/>
    </w:rPr>
  </w:style>
  <w:style w:type="paragraph" w:customStyle="1" w:styleId="359">
    <w:name w:val="用户需求书1"/>
    <w:qFormat/>
    <w:uiPriority w:val="0"/>
    <w:pPr>
      <w:widowControl w:val="0"/>
      <w:jc w:val="both"/>
    </w:pPr>
    <w:rPr>
      <w:rFonts w:ascii="等线" w:hAnsi="等线" w:eastAsia="等线" w:cs="Times New Roman"/>
      <w:kern w:val="2"/>
      <w:sz w:val="3276"/>
      <w:szCs w:val="3276"/>
      <w:lang w:val="en-US" w:eastAsia="zh-CN" w:bidi="ar-SA"/>
    </w:rPr>
  </w:style>
  <w:style w:type="table" w:customStyle="1" w:styleId="360">
    <w:name w:val="网格型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1">
    <w:name w:val="List Paragraph"/>
    <w:basedOn w:val="1"/>
    <w:unhideWhenUsed/>
    <w:qFormat/>
    <w:uiPriority w:val="99"/>
    <w:pPr>
      <w:ind w:firstLine="420" w:firstLineChars="200"/>
    </w:pPr>
  </w:style>
  <w:style w:type="paragraph" w:customStyle="1" w:styleId="362">
    <w:name w:val="网格表 31"/>
    <w:basedOn w:val="3"/>
    <w:next w:val="1"/>
    <w:qFormat/>
    <w:uiPriority w:val="39"/>
    <w:pPr>
      <w:keepLines/>
      <w:widowControl/>
      <w:spacing w:before="240" w:line="256" w:lineRule="auto"/>
      <w:jc w:val="left"/>
      <w:outlineLvl w:val="9"/>
    </w:pPr>
    <w:rPr>
      <w:rFonts w:ascii="等线 Light" w:hAnsi="等线 Light" w:eastAsia="等线 Light"/>
      <w:b w:val="0"/>
      <w:iCs/>
      <w:color w:val="2F5496"/>
      <w:sz w:val="32"/>
      <w:szCs w:val="32"/>
    </w:rPr>
  </w:style>
  <w:style w:type="character" w:customStyle="1" w:styleId="363">
    <w:name w:val="fontstyle01"/>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5310D5-19BD-4648-9B0B-665D4206EBA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55</Pages>
  <Words>4335</Words>
  <Characters>24716</Characters>
  <Lines>205</Lines>
  <Paragraphs>57</Paragraphs>
  <TotalTime>66</TotalTime>
  <ScaleCrop>false</ScaleCrop>
  <LinksUpToDate>false</LinksUpToDate>
  <CharactersWithSpaces>28994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2021-04-26T07:17:00Z</dcterms:created>
  <dc:creator>李 毅</dc:creator>
  <cp:lastModifiedBy>Administrator</cp:lastModifiedBy>
  <cp:lastPrinted>2020-07-01T00:45:00Z</cp:lastPrinted>
  <dcterms:modified xsi:type="dcterms:W3CDTF">2021-05-25T07:02:52Z</dcterms:modified>
  <dc:title>长沙市轨道交通运营有限公司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06C086EB29D1425488F6016595A1047F</vt:lpwstr>
  </property>
</Properties>
</file>