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jc w:val="center"/>
        <w:rPr>
          <w:rFonts w:hAnsi="宋体" w:cs="宋体"/>
          <w:b/>
          <w:sz w:val="52"/>
          <w:szCs w:val="52"/>
        </w:rPr>
      </w:pPr>
    </w:p>
    <w:p>
      <w:pPr>
        <w:pStyle w:val="25"/>
        <w:jc w:val="center"/>
        <w:rPr>
          <w:rFonts w:hAnsi="宋体" w:cs="宋体"/>
          <w:b/>
          <w:bCs/>
          <w:sz w:val="52"/>
          <w:szCs w:val="52"/>
        </w:rPr>
      </w:pPr>
      <w:r>
        <w:rPr>
          <w:rFonts w:hint="eastAsia" w:hAnsi="宋体" w:cs="宋体"/>
          <w:b/>
          <w:sz w:val="52"/>
          <w:szCs w:val="52"/>
        </w:rPr>
        <w:t>长沙市轨道交通运营有限公司</w:t>
      </w:r>
    </w:p>
    <w:p>
      <w:pPr>
        <w:pStyle w:val="25"/>
        <w:adjustRightInd w:val="0"/>
        <w:snapToGrid w:val="0"/>
        <w:spacing w:line="360" w:lineRule="auto"/>
        <w:jc w:val="center"/>
        <w:rPr>
          <w:rFonts w:hAnsi="宋体" w:cs="宋体"/>
          <w:b/>
          <w:sz w:val="52"/>
          <w:szCs w:val="52"/>
        </w:rPr>
      </w:pPr>
      <w:r>
        <w:rPr>
          <w:rFonts w:hint="eastAsia" w:hAnsi="宋体" w:cs="宋体"/>
          <w:b/>
          <w:sz w:val="52"/>
          <w:szCs w:val="52"/>
        </w:rPr>
        <w:t>自主竞争性谈判文件</w:t>
      </w:r>
    </w:p>
    <w:p>
      <w:pPr>
        <w:pStyle w:val="25"/>
        <w:adjustRightInd w:val="0"/>
        <w:snapToGrid w:val="0"/>
        <w:spacing w:before="120" w:beforeLines="50" w:line="360" w:lineRule="auto"/>
        <w:rPr>
          <w:rFonts w:hAnsi="宋体" w:cs="宋体"/>
          <w:b/>
          <w:sz w:val="32"/>
          <w:szCs w:val="32"/>
        </w:rPr>
      </w:pPr>
    </w:p>
    <w:p>
      <w:pPr>
        <w:pStyle w:val="25"/>
        <w:adjustRightInd w:val="0"/>
        <w:snapToGrid w:val="0"/>
        <w:spacing w:line="360" w:lineRule="auto"/>
        <w:rPr>
          <w:rFonts w:hAnsi="宋体" w:cs="宋体"/>
          <w:sz w:val="32"/>
          <w:szCs w:val="32"/>
        </w:rPr>
      </w:pPr>
    </w:p>
    <w:p>
      <w:pPr>
        <w:spacing w:line="360" w:lineRule="auto"/>
        <w:ind w:left="2891" w:hanging="2891" w:hangingChars="900"/>
        <w:jc w:val="left"/>
        <w:rPr>
          <w:rFonts w:hint="eastAsia" w:ascii="宋体" w:hAnsi="宋体" w:eastAsia="宋体" w:cs="宋体"/>
          <w:b/>
          <w:sz w:val="32"/>
          <w:szCs w:val="21"/>
          <w:lang w:eastAsia="zh-CN"/>
        </w:rPr>
      </w:pPr>
      <w:r>
        <w:rPr>
          <w:rFonts w:hint="eastAsia" w:ascii="宋体" w:hAnsi="宋体" w:cs="宋体"/>
          <w:b/>
          <w:sz w:val="32"/>
          <w:szCs w:val="21"/>
        </w:rPr>
        <w:t xml:space="preserve"> </w:t>
      </w:r>
      <w:r>
        <w:rPr>
          <w:rFonts w:ascii="宋体" w:hAnsi="宋体" w:cs="宋体"/>
          <w:b/>
          <w:sz w:val="32"/>
          <w:szCs w:val="21"/>
        </w:rPr>
        <w:t xml:space="preserve">   </w:t>
      </w:r>
      <w:r>
        <w:rPr>
          <w:rFonts w:hint="eastAsia" w:ascii="宋体" w:hAnsi="宋体" w:cs="宋体"/>
          <w:b/>
          <w:sz w:val="32"/>
          <w:szCs w:val="21"/>
        </w:rPr>
        <w:t>谈判项目名称：</w:t>
      </w:r>
      <w:r>
        <w:rPr>
          <w:rFonts w:hint="eastAsia" w:ascii="宋体" w:hAnsi="宋体" w:cs="宋体"/>
          <w:b/>
          <w:sz w:val="32"/>
          <w:szCs w:val="21"/>
          <w:u w:val="single"/>
          <w:lang w:eastAsia="zh-CN"/>
        </w:rPr>
        <w:t>长沙市轨道交通1、2号线运营期车站自动检票机改造工程项目（第二次）</w:t>
      </w:r>
    </w:p>
    <w:p>
      <w:pPr>
        <w:pStyle w:val="25"/>
        <w:adjustRightInd w:val="0"/>
        <w:snapToGrid w:val="0"/>
        <w:spacing w:line="360" w:lineRule="auto"/>
        <w:ind w:firstLine="643" w:firstLineChars="200"/>
        <w:rPr>
          <w:rFonts w:hAnsi="宋体" w:cs="宋体"/>
          <w:b/>
          <w:sz w:val="32"/>
        </w:rPr>
      </w:pPr>
    </w:p>
    <w:p>
      <w:pPr>
        <w:pStyle w:val="25"/>
        <w:adjustRightInd w:val="0"/>
        <w:snapToGrid w:val="0"/>
        <w:spacing w:line="360" w:lineRule="auto"/>
        <w:ind w:firstLine="643" w:firstLineChars="200"/>
        <w:rPr>
          <w:rFonts w:hAnsi="宋体" w:cs="宋体"/>
          <w:b/>
          <w:sz w:val="32"/>
          <w:u w:val="single"/>
        </w:rPr>
      </w:pPr>
      <w:r>
        <w:rPr>
          <w:rFonts w:hint="eastAsia" w:hAnsi="宋体" w:cs="宋体"/>
          <w:b/>
          <w:sz w:val="32"/>
        </w:rPr>
        <w:t>采购单位名称：</w:t>
      </w:r>
      <w:r>
        <w:rPr>
          <w:rFonts w:hint="eastAsia" w:hAnsi="宋体" w:cs="宋体"/>
          <w:b/>
          <w:sz w:val="32"/>
          <w:u w:val="single"/>
        </w:rPr>
        <w:t>长沙市轨道交通运营有限公司</w:t>
      </w:r>
    </w:p>
    <w:p>
      <w:pPr>
        <w:pStyle w:val="25"/>
        <w:adjustRightInd w:val="0"/>
        <w:snapToGrid w:val="0"/>
        <w:spacing w:line="360" w:lineRule="auto"/>
        <w:ind w:firstLine="2891" w:firstLineChars="900"/>
        <w:rPr>
          <w:rFonts w:hAnsi="宋体" w:cs="宋体"/>
          <w:b/>
          <w:sz w:val="32"/>
        </w:rPr>
      </w:pPr>
      <w:r>
        <w:rPr>
          <w:rFonts w:hint="eastAsia" w:hAnsi="宋体" w:cs="宋体"/>
          <w:b/>
          <w:sz w:val="32"/>
          <w:u w:val="single"/>
        </w:rPr>
        <w:t>长沙市轨道交通</w:t>
      </w:r>
      <w:r>
        <w:rPr>
          <w:rFonts w:hint="eastAsia" w:hAnsi="宋体" w:cs="宋体"/>
          <w:b/>
          <w:sz w:val="32"/>
          <w:u w:val="single"/>
          <w:lang w:eastAsia="zh-CN"/>
        </w:rPr>
        <w:t>一</w:t>
      </w:r>
      <w:r>
        <w:rPr>
          <w:rFonts w:hint="eastAsia" w:hAnsi="宋体" w:cs="宋体"/>
          <w:b/>
          <w:sz w:val="32"/>
          <w:u w:val="single"/>
        </w:rPr>
        <w:t>号线建设发展有限公司</w:t>
      </w:r>
    </w:p>
    <w:p>
      <w:pPr>
        <w:pStyle w:val="25"/>
        <w:adjustRightInd w:val="0"/>
        <w:snapToGrid w:val="0"/>
        <w:spacing w:line="360" w:lineRule="auto"/>
        <w:ind w:firstLine="643" w:firstLineChars="200"/>
        <w:rPr>
          <w:rFonts w:hAnsi="宋体" w:cs="宋体"/>
          <w:b/>
          <w:sz w:val="32"/>
        </w:rPr>
      </w:pPr>
    </w:p>
    <w:p>
      <w:pPr>
        <w:pStyle w:val="25"/>
        <w:adjustRightInd w:val="0"/>
        <w:snapToGrid w:val="0"/>
        <w:spacing w:line="360" w:lineRule="auto"/>
        <w:ind w:firstLine="643" w:firstLineChars="200"/>
        <w:rPr>
          <w:rFonts w:hAnsi="宋体" w:cs="宋体"/>
          <w:b/>
          <w:sz w:val="32"/>
          <w:u w:val="single"/>
        </w:rPr>
      </w:pPr>
      <w:r>
        <w:rPr>
          <w:rFonts w:hint="eastAsia" w:hAnsi="宋体" w:cs="宋体"/>
          <w:b/>
          <w:sz w:val="32"/>
        </w:rPr>
        <w:t>谈判项目编号：</w:t>
      </w:r>
      <w:r>
        <w:rPr>
          <w:rFonts w:hint="eastAsia" w:hAnsi="宋体" w:cs="宋体"/>
          <w:b/>
          <w:sz w:val="32"/>
          <w:u w:val="single"/>
        </w:rPr>
        <w:t>长轨运工采【20</w:t>
      </w:r>
      <w:r>
        <w:rPr>
          <w:rFonts w:hAnsi="宋体" w:cs="宋体"/>
          <w:b/>
          <w:sz w:val="32"/>
          <w:u w:val="single"/>
        </w:rPr>
        <w:t>21</w:t>
      </w:r>
      <w:r>
        <w:rPr>
          <w:rFonts w:hint="eastAsia" w:hAnsi="宋体" w:cs="宋体"/>
          <w:b/>
          <w:sz w:val="32"/>
          <w:u w:val="single"/>
        </w:rPr>
        <w:t>】</w:t>
      </w:r>
      <w:r>
        <w:rPr>
          <w:rFonts w:hint="eastAsia" w:hAnsi="宋体" w:cs="宋体"/>
          <w:b/>
          <w:sz w:val="32"/>
          <w:u w:val="single"/>
          <w:lang w:val="en-US" w:eastAsia="zh-CN"/>
        </w:rPr>
        <w:t>002</w:t>
      </w:r>
      <w:r>
        <w:rPr>
          <w:rFonts w:hint="eastAsia" w:hAnsi="宋体" w:cs="宋体"/>
          <w:b/>
          <w:sz w:val="32"/>
          <w:u w:val="single"/>
        </w:rPr>
        <w:t>号</w:t>
      </w:r>
    </w:p>
    <w:p>
      <w:pPr>
        <w:pStyle w:val="25"/>
        <w:adjustRightInd w:val="0"/>
        <w:snapToGrid w:val="0"/>
        <w:spacing w:before="120" w:beforeLines="50" w:line="360" w:lineRule="auto"/>
        <w:rPr>
          <w:rFonts w:hAnsi="宋体" w:cs="宋体"/>
          <w:b/>
          <w:sz w:val="32"/>
          <w:szCs w:val="32"/>
        </w:rPr>
      </w:pPr>
    </w:p>
    <w:p>
      <w:pPr>
        <w:pStyle w:val="25"/>
        <w:adjustRightInd w:val="0"/>
        <w:snapToGrid w:val="0"/>
        <w:spacing w:before="120" w:beforeLines="50" w:line="360" w:lineRule="auto"/>
        <w:rPr>
          <w:rFonts w:hAnsi="宋体" w:cs="宋体"/>
          <w:b/>
          <w:sz w:val="32"/>
          <w:szCs w:val="32"/>
        </w:rPr>
      </w:pPr>
    </w:p>
    <w:p>
      <w:pPr>
        <w:pStyle w:val="25"/>
        <w:adjustRightInd w:val="0"/>
        <w:snapToGrid w:val="0"/>
        <w:spacing w:line="360" w:lineRule="auto"/>
        <w:rPr>
          <w:rFonts w:hAnsi="宋体" w:cs="宋体"/>
          <w:b/>
          <w:sz w:val="32"/>
        </w:rPr>
      </w:pPr>
    </w:p>
    <w:p>
      <w:pPr>
        <w:pStyle w:val="25"/>
        <w:adjustRightInd w:val="0"/>
        <w:snapToGrid w:val="0"/>
        <w:spacing w:line="360" w:lineRule="auto"/>
        <w:rPr>
          <w:rFonts w:hAnsi="宋体" w:cs="宋体"/>
          <w:b/>
          <w:sz w:val="32"/>
        </w:rPr>
      </w:pPr>
    </w:p>
    <w:p>
      <w:pPr>
        <w:pStyle w:val="25"/>
        <w:adjustRightInd w:val="0"/>
        <w:snapToGrid w:val="0"/>
        <w:spacing w:line="360" w:lineRule="auto"/>
        <w:rPr>
          <w:rFonts w:hAnsi="宋体" w:cs="宋体"/>
          <w:b/>
          <w:sz w:val="32"/>
        </w:rPr>
      </w:pPr>
    </w:p>
    <w:p>
      <w:pPr>
        <w:pStyle w:val="25"/>
        <w:adjustRightInd w:val="0"/>
        <w:snapToGrid w:val="0"/>
        <w:spacing w:line="360" w:lineRule="auto"/>
        <w:rPr>
          <w:rFonts w:hAnsi="宋体" w:cs="宋体"/>
          <w:bCs/>
          <w:sz w:val="32"/>
        </w:rPr>
      </w:pPr>
    </w:p>
    <w:p>
      <w:pPr>
        <w:pStyle w:val="25"/>
        <w:adjustRightInd w:val="0"/>
        <w:snapToGrid w:val="0"/>
        <w:spacing w:line="360" w:lineRule="auto"/>
        <w:rPr>
          <w:rFonts w:hAnsi="宋体" w:cs="宋体"/>
          <w:bCs/>
          <w:sz w:val="32"/>
        </w:rPr>
      </w:pPr>
    </w:p>
    <w:p>
      <w:pPr>
        <w:pStyle w:val="25"/>
        <w:adjustRightInd w:val="0"/>
        <w:snapToGrid w:val="0"/>
        <w:spacing w:line="360" w:lineRule="auto"/>
        <w:rPr>
          <w:rFonts w:hAnsi="宋体" w:cs="宋体"/>
          <w:bCs/>
          <w:sz w:val="32"/>
        </w:rPr>
      </w:pPr>
    </w:p>
    <w:p>
      <w:pPr>
        <w:pStyle w:val="25"/>
        <w:adjustRightInd w:val="0"/>
        <w:snapToGrid w:val="0"/>
        <w:spacing w:line="360" w:lineRule="auto"/>
        <w:jc w:val="center"/>
        <w:rPr>
          <w:rFonts w:hAnsi="宋体" w:cs="宋体"/>
          <w:bCs/>
          <w:sz w:val="32"/>
          <w:highlight w:val="none"/>
        </w:rPr>
      </w:pPr>
      <w:r>
        <w:rPr>
          <w:rFonts w:hint="eastAsia" w:hAnsi="宋体" w:cs="宋体"/>
          <w:b/>
          <w:sz w:val="32"/>
          <w:highlight w:val="none"/>
        </w:rPr>
        <w:t>二〇二一年</w:t>
      </w:r>
      <w:r>
        <w:rPr>
          <w:rFonts w:hint="eastAsia" w:hAnsi="宋体" w:cs="宋体"/>
          <w:b/>
          <w:sz w:val="32"/>
          <w:highlight w:val="none"/>
          <w:lang w:eastAsia="zh-CN"/>
        </w:rPr>
        <w:t>四</w:t>
      </w:r>
      <w:r>
        <w:rPr>
          <w:rFonts w:hint="eastAsia" w:hAnsi="宋体" w:cs="宋体"/>
          <w:b/>
          <w:sz w:val="32"/>
          <w:highlight w:val="none"/>
        </w:rPr>
        <w:t>月</w:t>
      </w:r>
    </w:p>
    <w:p>
      <w:pPr>
        <w:pStyle w:val="25"/>
        <w:adjustRightInd w:val="0"/>
        <w:snapToGrid w:val="0"/>
        <w:spacing w:line="360" w:lineRule="auto"/>
        <w:jc w:val="center"/>
        <w:rPr>
          <w:rFonts w:hAnsi="宋体" w:cs="宋体"/>
          <w:b/>
          <w:sz w:val="32"/>
        </w:rPr>
      </w:pPr>
    </w:p>
    <w:p>
      <w:pPr>
        <w:pStyle w:val="25"/>
        <w:adjustRightInd w:val="0"/>
        <w:snapToGrid w:val="0"/>
        <w:spacing w:line="360" w:lineRule="auto"/>
        <w:jc w:val="center"/>
        <w:rPr>
          <w:rFonts w:hAnsi="宋体" w:cs="宋体"/>
          <w:b/>
          <w:sz w:val="32"/>
        </w:rPr>
        <w:sectPr>
          <w:footerReference r:id="rId3" w:type="default"/>
          <w:pgSz w:w="11906" w:h="16838"/>
          <w:pgMar w:top="1191" w:right="1417" w:bottom="1191" w:left="1191" w:header="851" w:footer="851" w:gutter="0"/>
          <w:pgNumType w:start="0"/>
          <w:cols w:space="720" w:num="1"/>
          <w:docGrid w:linePitch="312" w:charSpace="0"/>
        </w:sectPr>
      </w:pPr>
    </w:p>
    <w:p>
      <w:pPr>
        <w:jc w:val="center"/>
        <w:rPr>
          <w:rFonts w:ascii="宋体" w:hAnsi="宋体" w:cs="宋体"/>
          <w:b/>
          <w:bCs/>
          <w:sz w:val="32"/>
          <w:szCs w:val="32"/>
        </w:rPr>
      </w:pPr>
      <w:bookmarkStart w:id="0" w:name="_Toc14891064"/>
      <w:r>
        <w:rPr>
          <w:rFonts w:hint="eastAsia" w:ascii="宋体" w:hAnsi="宋体" w:cs="宋体"/>
          <w:b/>
          <w:bCs/>
          <w:sz w:val="32"/>
          <w:szCs w:val="32"/>
        </w:rPr>
        <w:t>目   录</w:t>
      </w:r>
    </w:p>
    <w:p>
      <w:pPr>
        <w:spacing w:line="360" w:lineRule="auto"/>
        <w:jc w:val="center"/>
        <w:rPr>
          <w:rFonts w:ascii="宋体" w:hAnsi="宋体" w:cs="宋体"/>
          <w:b/>
          <w:bCs/>
          <w:szCs w:val="21"/>
        </w:rPr>
      </w:pPr>
    </w:p>
    <w:p>
      <w:pPr>
        <w:pStyle w:val="32"/>
        <w:tabs>
          <w:tab w:val="right" w:leader="dot" w:pos="8312"/>
        </w:tabs>
        <w:spacing w:line="360" w:lineRule="auto"/>
        <w:rPr>
          <w:rFonts w:ascii="宋体" w:hAnsi="宋体" w:cs="宋体"/>
        </w:rPr>
      </w:pPr>
      <w:r>
        <w:rPr>
          <w:rFonts w:hint="eastAsia" w:ascii="宋体" w:hAnsi="宋体" w:cs="宋体"/>
        </w:rPr>
        <w:fldChar w:fldCharType="begin"/>
      </w:r>
      <w:r>
        <w:rPr>
          <w:rFonts w:hint="eastAsia" w:ascii="宋体" w:hAnsi="宋体" w:cs="宋体"/>
        </w:rPr>
        <w:instrText xml:space="preserve">TOC \o "1-2" \h \u </w:instrText>
      </w:r>
      <w:r>
        <w:rPr>
          <w:rFonts w:hint="eastAsia" w:ascii="宋体" w:hAnsi="宋体" w:cs="宋体"/>
        </w:rPr>
        <w:fldChar w:fldCharType="separate"/>
      </w:r>
      <w:r>
        <w:fldChar w:fldCharType="begin"/>
      </w:r>
      <w:r>
        <w:instrText xml:space="preserve"> HYPERLINK \l "_Toc13254" </w:instrText>
      </w:r>
      <w:r>
        <w:fldChar w:fldCharType="separate"/>
      </w:r>
      <w:r>
        <w:rPr>
          <w:rFonts w:hint="eastAsia" w:ascii="宋体" w:hAnsi="宋体" w:cs="宋体"/>
          <w:szCs w:val="32"/>
        </w:rPr>
        <w:t>第一章  谈判邀请公告</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_Toc13254 </w:instrText>
      </w:r>
      <w:r>
        <w:rPr>
          <w:rFonts w:hint="eastAsia" w:ascii="宋体" w:hAnsi="宋体" w:cs="宋体"/>
        </w:rPr>
        <w:fldChar w:fldCharType="separate"/>
      </w:r>
      <w:r>
        <w:rPr>
          <w:rFonts w:hint="eastAsia" w:ascii="宋体" w:hAnsi="宋体" w:cs="宋体"/>
        </w:rPr>
        <w:t>1</w:t>
      </w:r>
      <w:r>
        <w:rPr>
          <w:rFonts w:hint="eastAsia" w:ascii="宋体" w:hAnsi="宋体" w:cs="宋体"/>
        </w:rPr>
        <w:fldChar w:fldCharType="end"/>
      </w:r>
      <w:r>
        <w:rPr>
          <w:rFonts w:hint="eastAsia" w:ascii="宋体" w:hAnsi="宋体" w:cs="宋体"/>
        </w:rPr>
        <w:fldChar w:fldCharType="end"/>
      </w:r>
    </w:p>
    <w:p>
      <w:pPr>
        <w:pStyle w:val="32"/>
        <w:tabs>
          <w:tab w:val="right" w:leader="dot" w:pos="8312"/>
        </w:tabs>
        <w:spacing w:line="360" w:lineRule="auto"/>
        <w:rPr>
          <w:rFonts w:ascii="宋体" w:hAnsi="宋体" w:cs="宋体"/>
        </w:rPr>
      </w:pPr>
      <w:r>
        <w:fldChar w:fldCharType="begin"/>
      </w:r>
      <w:r>
        <w:instrText xml:space="preserve"> HYPERLINK \l "_Toc26282" </w:instrText>
      </w:r>
      <w:r>
        <w:fldChar w:fldCharType="separate"/>
      </w:r>
      <w:r>
        <w:rPr>
          <w:rFonts w:hint="eastAsia" w:ascii="宋体" w:hAnsi="宋体" w:cs="宋体"/>
          <w:szCs w:val="32"/>
        </w:rPr>
        <w:t>第二章  谈判须知</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_Toc26282 </w:instrText>
      </w:r>
      <w:r>
        <w:rPr>
          <w:rFonts w:hint="eastAsia" w:ascii="宋体" w:hAnsi="宋体" w:cs="宋体"/>
        </w:rPr>
        <w:fldChar w:fldCharType="separate"/>
      </w:r>
      <w:r>
        <w:rPr>
          <w:rFonts w:hint="eastAsia" w:ascii="宋体" w:hAnsi="宋体" w:cs="宋体"/>
        </w:rPr>
        <w:t>4</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"_Toc17682" </w:instrText>
      </w:r>
      <w:r>
        <w:fldChar w:fldCharType="separate"/>
      </w:r>
      <w:r>
        <w:rPr>
          <w:rFonts w:hint="eastAsia" w:ascii="宋体" w:hAnsi="宋体" w:cs="宋体"/>
          <w:szCs w:val="32"/>
        </w:rPr>
        <w:t>谈判须知前附表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_Toc17682 </w:instrText>
      </w:r>
      <w:r>
        <w:rPr>
          <w:rFonts w:hint="eastAsia" w:ascii="宋体" w:hAnsi="宋体" w:cs="宋体"/>
        </w:rPr>
        <w:fldChar w:fldCharType="separate"/>
      </w:r>
      <w:r>
        <w:rPr>
          <w:rFonts w:hint="eastAsia" w:ascii="宋体" w:hAnsi="宋体" w:cs="宋体"/>
        </w:rPr>
        <w:t>4</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"_Toc11980" </w:instrText>
      </w:r>
      <w:r>
        <w:fldChar w:fldCharType="separate"/>
      </w:r>
      <w:r>
        <w:rPr>
          <w:rFonts w:hint="eastAsia" w:ascii="宋体" w:hAnsi="宋体" w:cs="宋体"/>
          <w:bCs/>
          <w:szCs w:val="32"/>
        </w:rPr>
        <w:t>谈判须知正文</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_Toc11980 </w:instrText>
      </w:r>
      <w:r>
        <w:rPr>
          <w:rFonts w:hint="eastAsia" w:ascii="宋体" w:hAnsi="宋体" w:cs="宋体"/>
        </w:rPr>
        <w:fldChar w:fldCharType="separate"/>
      </w:r>
      <w:r>
        <w:rPr>
          <w:rFonts w:hint="eastAsia" w:ascii="宋体" w:hAnsi="宋体" w:cs="宋体"/>
        </w:rPr>
        <w:t>7</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"_Toc25658" </w:instrText>
      </w:r>
      <w:r>
        <w:fldChar w:fldCharType="separate"/>
      </w:r>
      <w:r>
        <w:rPr>
          <w:rFonts w:hint="eastAsia" w:ascii="宋体" w:hAnsi="宋体" w:cs="宋体"/>
          <w:szCs w:val="21"/>
        </w:rPr>
        <w:t>一、说明</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_Toc25658 </w:instrText>
      </w:r>
      <w:r>
        <w:rPr>
          <w:rFonts w:hint="eastAsia" w:ascii="宋体" w:hAnsi="宋体" w:cs="宋体"/>
        </w:rPr>
        <w:fldChar w:fldCharType="separate"/>
      </w:r>
      <w:r>
        <w:rPr>
          <w:rFonts w:hint="eastAsia" w:ascii="宋体" w:hAnsi="宋体" w:cs="宋体"/>
        </w:rPr>
        <w:t>7</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"_Toc10190" </w:instrText>
      </w:r>
      <w:r>
        <w:fldChar w:fldCharType="separate"/>
      </w:r>
      <w:r>
        <w:rPr>
          <w:rFonts w:hint="eastAsia" w:ascii="宋体" w:hAnsi="宋体" w:cs="宋体"/>
          <w:szCs w:val="21"/>
        </w:rPr>
        <w:t>二、谈判文件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_Toc10190 </w:instrText>
      </w:r>
      <w:r>
        <w:rPr>
          <w:rFonts w:hint="eastAsia" w:ascii="宋体" w:hAnsi="宋体" w:cs="宋体"/>
        </w:rPr>
        <w:fldChar w:fldCharType="separate"/>
      </w:r>
      <w:r>
        <w:rPr>
          <w:rFonts w:hint="eastAsia" w:ascii="宋体" w:hAnsi="宋体" w:cs="宋体"/>
        </w:rPr>
        <w:t>7</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"_Toc15974" </w:instrText>
      </w:r>
      <w:r>
        <w:fldChar w:fldCharType="separate"/>
      </w:r>
      <w:r>
        <w:rPr>
          <w:rFonts w:hint="eastAsia" w:ascii="宋体" w:hAnsi="宋体" w:cs="宋体"/>
          <w:szCs w:val="21"/>
        </w:rPr>
        <w:t>三、响应文件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_Toc15974 </w:instrText>
      </w:r>
      <w:r>
        <w:rPr>
          <w:rFonts w:hint="eastAsia" w:ascii="宋体" w:hAnsi="宋体" w:cs="宋体"/>
        </w:rPr>
        <w:fldChar w:fldCharType="separate"/>
      </w:r>
      <w:r>
        <w:rPr>
          <w:rFonts w:hint="eastAsia" w:ascii="宋体" w:hAnsi="宋体" w:cs="宋体"/>
        </w:rPr>
        <w:t>8</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"_Toc28626" </w:instrText>
      </w:r>
      <w:r>
        <w:fldChar w:fldCharType="separate"/>
      </w:r>
      <w:r>
        <w:rPr>
          <w:rFonts w:hint="eastAsia" w:ascii="宋体" w:hAnsi="宋体" w:cs="宋体"/>
          <w:szCs w:val="21"/>
        </w:rPr>
        <w:t>四、响应文件的递交</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_Toc28626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"_Toc28776" </w:instrText>
      </w:r>
      <w:r>
        <w:fldChar w:fldCharType="separate"/>
      </w:r>
      <w:r>
        <w:rPr>
          <w:rFonts w:hint="eastAsia" w:ascii="宋体" w:hAnsi="宋体" w:cs="宋体"/>
          <w:szCs w:val="21"/>
        </w:rPr>
        <w:t>五、响应文件的评审</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_Toc28776 </w:instrText>
      </w:r>
      <w:r>
        <w:rPr>
          <w:rFonts w:hint="eastAsia" w:ascii="宋体" w:hAnsi="宋体" w:cs="宋体"/>
        </w:rPr>
        <w:fldChar w:fldCharType="separate"/>
      </w:r>
      <w:r>
        <w:rPr>
          <w:rFonts w:hint="eastAsia" w:ascii="宋体" w:hAnsi="宋体" w:cs="宋体"/>
        </w:rPr>
        <w:t>11</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"_Toc4811" </w:instrText>
      </w:r>
      <w:r>
        <w:fldChar w:fldCharType="separate"/>
      </w:r>
      <w:r>
        <w:rPr>
          <w:rFonts w:hint="eastAsia" w:ascii="宋体" w:hAnsi="宋体" w:cs="宋体"/>
          <w:szCs w:val="21"/>
        </w:rPr>
        <w:t>六、响应文件的澄清、说明及补正</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_Toc4811 </w:instrText>
      </w:r>
      <w:r>
        <w:rPr>
          <w:rFonts w:hint="eastAsia" w:ascii="宋体" w:hAnsi="宋体" w:cs="宋体"/>
        </w:rPr>
        <w:fldChar w:fldCharType="separate"/>
      </w:r>
      <w:r>
        <w:rPr>
          <w:rFonts w:hint="eastAsia" w:ascii="宋体" w:hAnsi="宋体" w:cs="宋体"/>
        </w:rPr>
        <w:t>11</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"_Toc22305" </w:instrText>
      </w:r>
      <w:r>
        <w:fldChar w:fldCharType="separate"/>
      </w:r>
      <w:r>
        <w:rPr>
          <w:rFonts w:hint="eastAsia" w:ascii="宋体" w:hAnsi="宋体" w:cs="宋体"/>
          <w:szCs w:val="21"/>
        </w:rPr>
        <w:t>七、中选结果与授予合同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_Toc22305 </w:instrText>
      </w:r>
      <w:r>
        <w:rPr>
          <w:rFonts w:hint="eastAsia" w:ascii="宋体" w:hAnsi="宋体" w:cs="宋体"/>
        </w:rPr>
        <w:fldChar w:fldCharType="separate"/>
      </w:r>
      <w:r>
        <w:rPr>
          <w:rFonts w:hint="eastAsia" w:ascii="宋体" w:hAnsi="宋体" w:cs="宋体"/>
        </w:rPr>
        <w:t>11</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"_Toc32718" </w:instrText>
      </w:r>
      <w:r>
        <w:fldChar w:fldCharType="separate"/>
      </w:r>
      <w:r>
        <w:rPr>
          <w:rFonts w:hint="eastAsia" w:ascii="宋体" w:hAnsi="宋体" w:cs="宋体"/>
          <w:szCs w:val="21"/>
        </w:rPr>
        <w:t>八、其他</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_Toc32718 </w:instrText>
      </w:r>
      <w:r>
        <w:rPr>
          <w:rFonts w:hint="eastAsia" w:ascii="宋体" w:hAnsi="宋体" w:cs="宋体"/>
        </w:rPr>
        <w:fldChar w:fldCharType="separate"/>
      </w:r>
      <w:r>
        <w:rPr>
          <w:rFonts w:hint="eastAsia" w:ascii="宋体" w:hAnsi="宋体" w:cs="宋体"/>
        </w:rPr>
        <w:t>12</w:t>
      </w:r>
      <w:r>
        <w:rPr>
          <w:rFonts w:hint="eastAsia" w:ascii="宋体" w:hAnsi="宋体" w:cs="宋体"/>
        </w:rPr>
        <w:fldChar w:fldCharType="end"/>
      </w:r>
      <w:r>
        <w:rPr>
          <w:rFonts w:hint="eastAsia" w:ascii="宋体" w:hAnsi="宋体" w:cs="宋体"/>
        </w:rPr>
        <w:fldChar w:fldCharType="end"/>
      </w:r>
    </w:p>
    <w:p>
      <w:pPr>
        <w:pStyle w:val="32"/>
        <w:tabs>
          <w:tab w:val="right" w:leader="dot" w:pos="8312"/>
        </w:tabs>
        <w:spacing w:line="360" w:lineRule="auto"/>
        <w:rPr>
          <w:rFonts w:ascii="宋体" w:hAnsi="宋体" w:cs="宋体"/>
        </w:rPr>
      </w:pPr>
      <w:r>
        <w:fldChar w:fldCharType="begin"/>
      </w:r>
      <w:r>
        <w:instrText xml:space="preserve"> HYPERLINK \l "_Toc31786" </w:instrText>
      </w:r>
      <w:r>
        <w:fldChar w:fldCharType="separate"/>
      </w:r>
      <w:r>
        <w:rPr>
          <w:rFonts w:hint="eastAsia" w:ascii="宋体" w:hAnsi="宋体" w:cs="宋体"/>
          <w:szCs w:val="32"/>
        </w:rPr>
        <w:t>第三章  评审办法及标准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_Toc31786 </w:instrText>
      </w:r>
      <w:r>
        <w:rPr>
          <w:rFonts w:hint="eastAsia" w:ascii="宋体" w:hAnsi="宋体" w:cs="宋体"/>
        </w:rPr>
        <w:fldChar w:fldCharType="separate"/>
      </w:r>
      <w:r>
        <w:rPr>
          <w:rFonts w:hint="eastAsia" w:ascii="宋体" w:hAnsi="宋体" w:cs="宋体"/>
        </w:rPr>
        <w:t>14</w:t>
      </w:r>
      <w:r>
        <w:rPr>
          <w:rFonts w:hint="eastAsia" w:ascii="宋体" w:hAnsi="宋体" w:cs="宋体"/>
        </w:rPr>
        <w:fldChar w:fldCharType="end"/>
      </w:r>
      <w:r>
        <w:rPr>
          <w:rFonts w:hint="eastAsia" w:ascii="宋体" w:hAnsi="宋体" w:cs="宋体"/>
        </w:rPr>
        <w:fldChar w:fldCharType="end"/>
      </w:r>
    </w:p>
    <w:p>
      <w:pPr>
        <w:pStyle w:val="32"/>
        <w:tabs>
          <w:tab w:val="right" w:leader="dot" w:pos="8312"/>
        </w:tabs>
        <w:spacing w:line="360" w:lineRule="auto"/>
        <w:rPr>
          <w:rFonts w:ascii="宋体" w:hAnsi="宋体" w:cs="宋体"/>
        </w:rPr>
      </w:pPr>
      <w:r>
        <w:fldChar w:fldCharType="begin"/>
      </w:r>
      <w:r>
        <w:instrText xml:space="preserve"> HYPERLINK \l "_Toc23967" </w:instrText>
      </w:r>
      <w:r>
        <w:fldChar w:fldCharType="separate"/>
      </w:r>
      <w:r>
        <w:rPr>
          <w:rFonts w:hint="eastAsia" w:ascii="宋体" w:hAnsi="宋体" w:cs="宋体"/>
          <w:szCs w:val="32"/>
        </w:rPr>
        <w:t>第四章  用户需求书（另册）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_Toc23967 </w:instrText>
      </w:r>
      <w:r>
        <w:rPr>
          <w:rFonts w:hint="eastAsia" w:ascii="宋体" w:hAnsi="宋体" w:cs="宋体"/>
        </w:rPr>
        <w:fldChar w:fldCharType="separate"/>
      </w:r>
      <w:r>
        <w:rPr>
          <w:rFonts w:hint="eastAsia" w:ascii="宋体" w:hAnsi="宋体" w:cs="宋体"/>
        </w:rPr>
        <w:t>16</w:t>
      </w:r>
      <w:r>
        <w:rPr>
          <w:rFonts w:hint="eastAsia" w:ascii="宋体" w:hAnsi="宋体" w:cs="宋体"/>
        </w:rPr>
        <w:fldChar w:fldCharType="end"/>
      </w:r>
      <w:r>
        <w:rPr>
          <w:rFonts w:hint="eastAsia" w:ascii="宋体" w:hAnsi="宋体" w:cs="宋体"/>
        </w:rPr>
        <w:fldChar w:fldCharType="end"/>
      </w:r>
    </w:p>
    <w:p>
      <w:pPr>
        <w:pStyle w:val="32"/>
        <w:tabs>
          <w:tab w:val="right" w:leader="dot" w:pos="8312"/>
        </w:tabs>
        <w:spacing w:line="360" w:lineRule="auto"/>
        <w:rPr>
          <w:rFonts w:ascii="宋体" w:hAnsi="宋体" w:cs="宋体"/>
        </w:rPr>
      </w:pPr>
      <w:r>
        <w:fldChar w:fldCharType="begin"/>
      </w:r>
      <w:r>
        <w:instrText xml:space="preserve"> HYPERLINK \l "_Toc16008" </w:instrText>
      </w:r>
      <w:r>
        <w:fldChar w:fldCharType="separate"/>
      </w:r>
      <w:r>
        <w:rPr>
          <w:rFonts w:hint="eastAsia" w:ascii="宋体" w:hAnsi="宋体" w:cs="宋体"/>
          <w:szCs w:val="32"/>
        </w:rPr>
        <w:t xml:space="preserve">第五章  </w:t>
      </w:r>
      <w:r>
        <w:rPr>
          <w:rFonts w:hint="eastAsia" w:ascii="宋体" w:hAnsi="宋体" w:cs="宋体"/>
          <w:bCs/>
          <w:szCs w:val="32"/>
        </w:rPr>
        <w:t>最高限价</w:t>
      </w:r>
      <w:r>
        <w:rPr>
          <w:rFonts w:hint="eastAsia" w:ascii="宋体" w:hAnsi="宋体" w:cs="宋体"/>
        </w:rPr>
        <w:tab/>
      </w:r>
      <w:r>
        <w:rPr>
          <w:rFonts w:ascii="宋体" w:hAnsi="宋体" w:cs="宋体"/>
        </w:rPr>
        <w:t>17</w:t>
      </w:r>
      <w:r>
        <w:rPr>
          <w:rFonts w:ascii="宋体" w:hAnsi="宋体" w:cs="宋体"/>
        </w:rPr>
        <w:fldChar w:fldCharType="end"/>
      </w:r>
    </w:p>
    <w:p>
      <w:pPr>
        <w:pStyle w:val="32"/>
        <w:tabs>
          <w:tab w:val="right" w:leader="dot" w:pos="8312"/>
        </w:tabs>
        <w:spacing w:line="360" w:lineRule="auto"/>
        <w:rPr>
          <w:rFonts w:ascii="宋体" w:hAnsi="宋体" w:cs="宋体"/>
        </w:rPr>
      </w:pPr>
      <w:r>
        <w:fldChar w:fldCharType="begin"/>
      </w:r>
      <w:r>
        <w:instrText xml:space="preserve"> HYPERLINK \l "_Toc26126" </w:instrText>
      </w:r>
      <w:r>
        <w:fldChar w:fldCharType="separate"/>
      </w:r>
      <w:r>
        <w:rPr>
          <w:rFonts w:hint="eastAsia" w:ascii="宋体" w:hAnsi="宋体" w:cs="宋体"/>
          <w:szCs w:val="32"/>
        </w:rPr>
        <w:t>第六章  合同格式条款</w:t>
      </w:r>
      <w:r>
        <w:rPr>
          <w:rFonts w:hint="eastAsia" w:ascii="宋体" w:hAnsi="宋体" w:cs="宋体"/>
        </w:rPr>
        <w:tab/>
      </w:r>
      <w:r>
        <w:rPr>
          <w:rFonts w:ascii="宋体" w:hAnsi="宋体" w:cs="宋体"/>
        </w:rPr>
        <w:t>27</w:t>
      </w:r>
      <w:r>
        <w:rPr>
          <w:rFonts w:ascii="宋体" w:hAnsi="宋体" w:cs="宋体"/>
        </w:rPr>
        <w:fldChar w:fldCharType="end"/>
      </w:r>
    </w:p>
    <w:p>
      <w:pPr>
        <w:pStyle w:val="32"/>
        <w:tabs>
          <w:tab w:val="right" w:leader="dot" w:pos="8312"/>
        </w:tabs>
        <w:spacing w:line="360" w:lineRule="auto"/>
        <w:rPr>
          <w:rFonts w:ascii="宋体" w:hAnsi="宋体" w:cs="宋体"/>
        </w:rPr>
      </w:pPr>
      <w:r>
        <w:fldChar w:fldCharType="begin"/>
      </w:r>
      <w:r>
        <w:instrText xml:space="preserve"> HYPERLINK \l "_Toc12762" </w:instrText>
      </w:r>
      <w:r>
        <w:fldChar w:fldCharType="separate"/>
      </w:r>
      <w:r>
        <w:rPr>
          <w:rFonts w:hint="eastAsia" w:ascii="宋体" w:hAnsi="宋体" w:cs="宋体"/>
          <w:szCs w:val="32"/>
        </w:rPr>
        <w:t xml:space="preserve">第七章  </w:t>
      </w:r>
      <w:r>
        <w:rPr>
          <w:rFonts w:hint="eastAsia" w:ascii="宋体" w:hAnsi="宋体" w:cs="宋体"/>
          <w:bCs/>
          <w:szCs w:val="32"/>
        </w:rPr>
        <w:t>响应文件组成</w:t>
      </w:r>
      <w:r>
        <w:rPr>
          <w:rFonts w:hint="eastAsia" w:ascii="宋体" w:hAnsi="宋体" w:cs="宋体"/>
        </w:rPr>
        <w:tab/>
      </w:r>
      <w:r>
        <w:rPr>
          <w:rFonts w:ascii="宋体" w:hAnsi="宋体" w:cs="宋体"/>
        </w:rPr>
        <w:t>38</w:t>
      </w:r>
      <w:r>
        <w:rPr>
          <w:rFonts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"_Toc2508" </w:instrText>
      </w:r>
      <w:r>
        <w:fldChar w:fldCharType="separate"/>
      </w:r>
      <w:r>
        <w:rPr>
          <w:rFonts w:hint="eastAsia" w:ascii="宋体" w:hAnsi="宋体" w:cs="宋体"/>
          <w:szCs w:val="32"/>
        </w:rPr>
        <w:t>一、谈判承诺书</w:t>
      </w:r>
      <w:r>
        <w:rPr>
          <w:rFonts w:hint="eastAsia" w:ascii="宋体" w:hAnsi="宋体" w:cs="宋体"/>
        </w:rPr>
        <w:tab/>
      </w:r>
      <w:r>
        <w:rPr>
          <w:rFonts w:ascii="宋体" w:hAnsi="宋体" w:cs="宋体"/>
        </w:rPr>
        <w:t>40</w:t>
      </w:r>
      <w:r>
        <w:rPr>
          <w:rFonts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"_Toc2211" </w:instrText>
      </w:r>
      <w:r>
        <w:fldChar w:fldCharType="separate"/>
      </w:r>
      <w:r>
        <w:rPr>
          <w:rFonts w:hint="eastAsia" w:ascii="宋体" w:hAnsi="宋体" w:cs="宋体"/>
          <w:szCs w:val="32"/>
        </w:rPr>
        <w:t>二、法定代表人身份证明书</w:t>
      </w:r>
      <w:r>
        <w:rPr>
          <w:rFonts w:hint="eastAsia" w:ascii="宋体" w:hAnsi="宋体" w:cs="宋体"/>
        </w:rPr>
        <w:tab/>
      </w:r>
      <w:r>
        <w:rPr>
          <w:rFonts w:ascii="宋体" w:hAnsi="宋体" w:cs="宋体"/>
        </w:rPr>
        <w:t>41</w:t>
      </w:r>
      <w:r>
        <w:rPr>
          <w:rFonts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"_Toc3592" </w:instrText>
      </w:r>
      <w:r>
        <w:fldChar w:fldCharType="separate"/>
      </w:r>
      <w:r>
        <w:rPr>
          <w:rFonts w:hint="eastAsia" w:ascii="宋体" w:hAnsi="宋体" w:cs="宋体"/>
          <w:szCs w:val="32"/>
        </w:rPr>
        <w:t>三、授权委托书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_Toc3592 </w:instrText>
      </w:r>
      <w:r>
        <w:rPr>
          <w:rFonts w:hint="eastAsia" w:ascii="宋体" w:hAnsi="宋体" w:cs="宋体"/>
        </w:rPr>
        <w:fldChar w:fldCharType="separate"/>
      </w:r>
      <w:r>
        <w:rPr>
          <w:rFonts w:hint="eastAsia" w:ascii="宋体" w:hAnsi="宋体" w:cs="宋体"/>
        </w:rPr>
        <w:t>45</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"_Toc30284" </w:instrText>
      </w:r>
      <w:r>
        <w:fldChar w:fldCharType="separate"/>
      </w:r>
      <w:r>
        <w:rPr>
          <w:rFonts w:hint="eastAsia" w:ascii="宋体" w:hAnsi="宋体" w:cs="宋体"/>
          <w:szCs w:val="32"/>
        </w:rPr>
        <w:t>四、谈判单位资格证明文件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_Toc30284 </w:instrText>
      </w:r>
      <w:r>
        <w:rPr>
          <w:rFonts w:hint="eastAsia" w:ascii="宋体" w:hAnsi="宋体" w:cs="宋体"/>
        </w:rPr>
        <w:fldChar w:fldCharType="separate"/>
      </w:r>
      <w:r>
        <w:rPr>
          <w:rFonts w:hint="eastAsia" w:ascii="宋体" w:hAnsi="宋体" w:cs="宋体"/>
        </w:rPr>
        <w:t>46</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"_Toc6552" </w:instrText>
      </w:r>
      <w:r>
        <w:fldChar w:fldCharType="separate"/>
      </w:r>
      <w:r>
        <w:rPr>
          <w:rFonts w:hint="eastAsia" w:ascii="宋体" w:hAnsi="宋体" w:cs="宋体"/>
          <w:szCs w:val="32"/>
        </w:rPr>
        <w:t>五、不拖欠农民工工资承诺书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_Toc6552 </w:instrText>
      </w:r>
      <w:r>
        <w:rPr>
          <w:rFonts w:hint="eastAsia" w:ascii="宋体" w:hAnsi="宋体" w:cs="宋体"/>
        </w:rPr>
        <w:fldChar w:fldCharType="separate"/>
      </w:r>
      <w:r>
        <w:rPr>
          <w:rFonts w:hint="eastAsia" w:ascii="宋体" w:hAnsi="宋体" w:cs="宋体"/>
        </w:rPr>
        <w:t>47</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"_Toc2843" </w:instrText>
      </w:r>
      <w:r>
        <w:fldChar w:fldCharType="separate"/>
      </w:r>
      <w:r>
        <w:rPr>
          <w:rFonts w:hint="eastAsia" w:ascii="宋体" w:hAnsi="宋体" w:cs="宋体"/>
          <w:szCs w:val="32"/>
        </w:rPr>
        <w:t>六、报价一览表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_Toc2843 </w:instrText>
      </w:r>
      <w:r>
        <w:rPr>
          <w:rFonts w:hint="eastAsia" w:ascii="宋体" w:hAnsi="宋体" w:cs="宋体"/>
        </w:rPr>
        <w:fldChar w:fldCharType="separate"/>
      </w:r>
      <w:r>
        <w:rPr>
          <w:rFonts w:hint="eastAsia" w:ascii="宋体" w:hAnsi="宋体" w:cs="宋体"/>
        </w:rPr>
        <w:t>48</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"_Toc5453" </w:instrText>
      </w:r>
      <w:r>
        <w:fldChar w:fldCharType="separate"/>
      </w:r>
      <w:r>
        <w:rPr>
          <w:rFonts w:hint="eastAsia" w:ascii="宋体" w:hAnsi="宋体" w:cs="宋体"/>
          <w:szCs w:val="32"/>
        </w:rPr>
        <w:t>七、报价汇总表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_Toc5453 </w:instrText>
      </w:r>
      <w:r>
        <w:rPr>
          <w:rFonts w:hint="eastAsia" w:ascii="宋体" w:hAnsi="宋体" w:cs="宋体"/>
        </w:rPr>
        <w:fldChar w:fldCharType="separate"/>
      </w:r>
      <w:r>
        <w:rPr>
          <w:rFonts w:hint="eastAsia" w:ascii="宋体" w:hAnsi="宋体" w:cs="宋体"/>
        </w:rPr>
        <w:t>49</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"_Toc18361" </w:instrText>
      </w:r>
      <w:r>
        <w:fldChar w:fldCharType="separate"/>
      </w:r>
      <w:r>
        <w:rPr>
          <w:rFonts w:hint="eastAsia" w:ascii="宋体" w:hAnsi="宋体" w:cs="宋体"/>
          <w:szCs w:val="32"/>
        </w:rPr>
        <w:t>八、投标报价表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_Toc18361 </w:instrText>
      </w:r>
      <w:r>
        <w:rPr>
          <w:rFonts w:hint="eastAsia" w:ascii="宋体" w:hAnsi="宋体" w:cs="宋体"/>
        </w:rPr>
        <w:fldChar w:fldCharType="separate"/>
      </w:r>
      <w:r>
        <w:rPr>
          <w:rFonts w:hint="eastAsia" w:ascii="宋体" w:hAnsi="宋体" w:cs="宋体"/>
        </w:rPr>
        <w:t>50</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"_Toc13786" </w:instrText>
      </w:r>
      <w:r>
        <w:fldChar w:fldCharType="separate"/>
      </w:r>
      <w:r>
        <w:rPr>
          <w:rFonts w:hint="eastAsia" w:ascii="宋体" w:hAnsi="宋体" w:cs="宋体"/>
          <w:szCs w:val="32"/>
        </w:rPr>
        <w:t>九、其他资料（如有）</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_Toc13786 </w:instrText>
      </w:r>
      <w:r>
        <w:rPr>
          <w:rFonts w:hint="eastAsia" w:ascii="宋体" w:hAnsi="宋体" w:cs="宋体"/>
        </w:rPr>
        <w:fldChar w:fldCharType="separate"/>
      </w:r>
      <w:r>
        <w:rPr>
          <w:rFonts w:hint="eastAsia" w:ascii="宋体" w:hAnsi="宋体" w:cs="宋体"/>
        </w:rPr>
        <w:t>51</w:t>
      </w:r>
      <w:r>
        <w:rPr>
          <w:rFonts w:hint="eastAsia" w:ascii="宋体" w:hAnsi="宋体" w:cs="宋体"/>
        </w:rPr>
        <w:fldChar w:fldCharType="end"/>
      </w:r>
      <w:r>
        <w:rPr>
          <w:rFonts w:hint="eastAsia" w:ascii="宋体" w:hAnsi="宋体" w:cs="宋体"/>
        </w:rPr>
        <w:fldChar w:fldCharType="end"/>
      </w:r>
    </w:p>
    <w:p>
      <w:pPr>
        <w:spacing w:line="360" w:lineRule="auto"/>
        <w:rPr>
          <w:rFonts w:ascii="宋体" w:hAnsi="宋体" w:cs="宋体"/>
        </w:rPr>
      </w:pPr>
      <w:r>
        <w:rPr>
          <w:rFonts w:hint="eastAsia" w:ascii="宋体" w:hAnsi="宋体" w:cs="宋体"/>
        </w:rPr>
        <w:fldChar w:fldCharType="end"/>
      </w:r>
    </w:p>
    <w:p>
      <w:pPr>
        <w:pStyle w:val="3"/>
        <w:keepNext w:val="0"/>
        <w:rPr>
          <w:rFonts w:ascii="宋体" w:hAnsi="宋体" w:cs="宋体"/>
          <w:sz w:val="32"/>
          <w:szCs w:val="32"/>
        </w:rPr>
        <w:sectPr>
          <w:footerReference r:id="rId4" w:type="default"/>
          <w:pgSz w:w="11906" w:h="16838"/>
          <w:pgMar w:top="1191" w:right="1417" w:bottom="1191" w:left="1191" w:header="851" w:footer="851" w:gutter="0"/>
          <w:pgNumType w:start="1"/>
          <w:cols w:space="720" w:num="1"/>
          <w:docGrid w:linePitch="312" w:charSpace="0"/>
        </w:sectPr>
      </w:pPr>
      <w:bookmarkStart w:id="1" w:name="_Toc5016"/>
      <w:bookmarkStart w:id="2" w:name="_Toc29614"/>
    </w:p>
    <w:p>
      <w:pPr>
        <w:pStyle w:val="3"/>
        <w:keepNext w:val="0"/>
        <w:spacing w:line="360" w:lineRule="auto"/>
        <w:rPr>
          <w:rFonts w:ascii="宋体" w:hAnsi="宋体" w:cs="宋体"/>
          <w:sz w:val="32"/>
          <w:szCs w:val="32"/>
        </w:rPr>
      </w:pPr>
      <w:bookmarkStart w:id="3" w:name="_Toc13254"/>
      <w:bookmarkStart w:id="4" w:name="_Toc13376"/>
      <w:r>
        <w:rPr>
          <w:rFonts w:hint="eastAsia" w:ascii="宋体" w:hAnsi="宋体" w:cs="宋体"/>
          <w:sz w:val="32"/>
          <w:szCs w:val="32"/>
        </w:rPr>
        <w:t>第一章  谈判邀请公告</w:t>
      </w:r>
      <w:bookmarkEnd w:id="0"/>
      <w:bookmarkEnd w:id="1"/>
      <w:bookmarkEnd w:id="2"/>
      <w:bookmarkEnd w:id="3"/>
      <w:bookmarkEnd w:id="4"/>
    </w:p>
    <w:p>
      <w:pPr>
        <w:pStyle w:val="25"/>
        <w:adjustRightInd w:val="0"/>
        <w:snapToGrid w:val="0"/>
        <w:spacing w:line="360" w:lineRule="auto"/>
        <w:rPr>
          <w:rFonts w:hAnsi="宋体" w:cs="宋体"/>
          <w:iCs/>
          <w:u w:val="single"/>
        </w:rPr>
      </w:pPr>
    </w:p>
    <w:p>
      <w:pPr>
        <w:spacing w:line="360" w:lineRule="auto"/>
        <w:ind w:firstLine="420" w:firstLineChars="200"/>
        <w:jc w:val="left"/>
        <w:rPr>
          <w:rFonts w:ascii="宋体" w:hAnsi="宋体" w:cs="宋体"/>
          <w:iCs/>
          <w:szCs w:val="21"/>
        </w:rPr>
      </w:pPr>
      <w:bookmarkStart w:id="5" w:name="_Hlk61507838"/>
      <w:r>
        <w:rPr>
          <w:rFonts w:hint="eastAsia" w:ascii="宋体" w:hAnsi="宋体" w:cs="宋体"/>
          <w:iCs/>
          <w:szCs w:val="21"/>
          <w:lang w:eastAsia="zh-CN"/>
        </w:rPr>
        <w:t>华春建设工程项目管理有限责任公司</w:t>
      </w:r>
      <w:r>
        <w:rPr>
          <w:rFonts w:hint="eastAsia" w:ascii="宋体" w:hAnsi="宋体" w:cs="宋体"/>
          <w:iCs/>
          <w:szCs w:val="21"/>
        </w:rPr>
        <w:t>受长沙市轨道交通运营有限公司、</w:t>
      </w:r>
      <w:r>
        <w:rPr>
          <w:rFonts w:hint="eastAsia" w:ascii="宋体" w:hAnsi="宋体" w:cs="宋体"/>
          <w:iCs/>
          <w:szCs w:val="21"/>
          <w:lang w:eastAsia="zh-CN"/>
        </w:rPr>
        <w:t>长沙市轨道交通一号线建设发展有限公司</w:t>
      </w:r>
      <w:r>
        <w:rPr>
          <w:rFonts w:hint="eastAsia" w:ascii="宋体" w:hAnsi="宋体" w:cs="宋体"/>
          <w:iCs/>
          <w:szCs w:val="21"/>
        </w:rPr>
        <w:t>的委托，对</w:t>
      </w:r>
      <w:r>
        <w:rPr>
          <w:rFonts w:hint="eastAsia" w:ascii="宋体" w:hAnsi="宋体" w:cs="宋体"/>
          <w:iCs/>
          <w:szCs w:val="21"/>
          <w:lang w:eastAsia="zh-CN"/>
        </w:rPr>
        <w:t>长沙市轨道交通1、2号线运营期车站自动检票机改造工程项目（第二次）</w:t>
      </w:r>
      <w:r>
        <w:rPr>
          <w:rFonts w:hint="eastAsia" w:ascii="宋体" w:hAnsi="宋体" w:cs="宋体"/>
          <w:iCs/>
          <w:szCs w:val="21"/>
        </w:rPr>
        <w:t>进行自主竞争性谈判采购，现发布公告，邀请符合条件的单位参与谈判采购活动。</w:t>
      </w:r>
    </w:p>
    <w:p>
      <w:pPr>
        <w:pStyle w:val="25"/>
        <w:adjustRightInd w:val="0"/>
        <w:snapToGrid w:val="0"/>
        <w:spacing w:line="360" w:lineRule="auto"/>
        <w:ind w:firstLine="422" w:firstLineChars="200"/>
        <w:rPr>
          <w:rFonts w:hAnsi="宋体" w:cs="宋体"/>
          <w:b/>
          <w:iCs/>
        </w:rPr>
      </w:pPr>
      <w:r>
        <w:rPr>
          <w:rFonts w:hint="eastAsia" w:hAnsi="宋体" w:cs="宋体"/>
          <w:b/>
          <w:iCs/>
        </w:rPr>
        <w:t>一、项目概况</w:t>
      </w:r>
    </w:p>
    <w:p>
      <w:pPr>
        <w:pStyle w:val="25"/>
        <w:adjustRightInd w:val="0"/>
        <w:snapToGrid w:val="0"/>
        <w:spacing w:line="360" w:lineRule="auto"/>
        <w:ind w:firstLine="420" w:firstLineChars="200"/>
        <w:rPr>
          <w:rFonts w:hint="eastAsia" w:hAnsi="宋体" w:eastAsia="宋体" w:cs="宋体"/>
          <w:b/>
          <w:iCs/>
          <w:lang w:eastAsia="zh-CN"/>
        </w:rPr>
      </w:pPr>
      <w:r>
        <w:rPr>
          <w:rFonts w:hint="eastAsia" w:hAnsi="宋体" w:cs="宋体"/>
          <w:iCs/>
        </w:rPr>
        <w:t>1.项目名称:</w:t>
      </w:r>
      <w:r>
        <w:rPr>
          <w:rFonts w:hint="eastAsia" w:hAnsi="宋体" w:cs="宋体"/>
        </w:rPr>
        <w:t xml:space="preserve"> </w:t>
      </w:r>
      <w:r>
        <w:rPr>
          <w:rFonts w:hint="eastAsia" w:hAnsi="宋体" w:cs="宋体"/>
          <w:lang w:eastAsia="zh-CN"/>
        </w:rPr>
        <w:t>长沙市轨道交通1、2号线运营期车站自动检票机改造工程项目（第二次）</w:t>
      </w:r>
    </w:p>
    <w:p>
      <w:pPr>
        <w:pStyle w:val="25"/>
        <w:adjustRightInd w:val="0"/>
        <w:snapToGrid w:val="0"/>
        <w:spacing w:line="360" w:lineRule="auto"/>
        <w:ind w:firstLine="420" w:firstLineChars="200"/>
        <w:rPr>
          <w:rFonts w:hAnsi="宋体" w:cs="宋体"/>
        </w:rPr>
      </w:pPr>
      <w:r>
        <w:rPr>
          <w:rFonts w:hint="eastAsia" w:hAnsi="宋体" w:cs="宋体"/>
        </w:rPr>
        <w:t>2.</w:t>
      </w:r>
      <w:r>
        <w:rPr>
          <w:rFonts w:hint="eastAsia" w:hAnsi="宋体" w:cs="宋体"/>
          <w:lang w:eastAsia="zh-CN"/>
        </w:rPr>
        <w:t>最高限价:</w:t>
      </w:r>
      <w:r>
        <w:rPr>
          <w:rFonts w:hint="eastAsia" w:hAnsi="宋体" w:cs="宋体"/>
          <w:highlight w:val="none"/>
          <w:lang w:eastAsia="zh-CN"/>
        </w:rPr>
        <w:t>288003.67 元</w:t>
      </w:r>
    </w:p>
    <w:p>
      <w:pPr>
        <w:snapToGrid w:val="0"/>
        <w:spacing w:line="360" w:lineRule="auto"/>
        <w:ind w:firstLine="420" w:firstLineChars="200"/>
        <w:rPr>
          <w:rFonts w:ascii="宋体" w:hAnsi="宋体" w:cs="宋体"/>
          <w:iCs/>
          <w:szCs w:val="21"/>
        </w:rPr>
      </w:pPr>
      <w:r>
        <w:rPr>
          <w:rFonts w:hint="eastAsia" w:ascii="宋体" w:hAnsi="宋体" w:cs="宋体"/>
          <w:iCs/>
          <w:szCs w:val="21"/>
        </w:rPr>
        <w:t>3.标段划分:</w:t>
      </w:r>
      <w:r>
        <w:rPr>
          <w:rFonts w:hint="eastAsia" w:ascii="宋体" w:hAnsi="宋体" w:cs="宋体"/>
          <w:bCs/>
          <w:szCs w:val="21"/>
        </w:rPr>
        <w:t>共划分</w:t>
      </w:r>
      <w:r>
        <w:rPr>
          <w:rFonts w:ascii="宋体" w:hAnsi="宋体" w:cs="宋体"/>
          <w:bCs/>
          <w:szCs w:val="21"/>
        </w:rPr>
        <w:t>1</w:t>
      </w:r>
      <w:r>
        <w:rPr>
          <w:rFonts w:hint="eastAsia" w:ascii="宋体" w:hAnsi="宋体" w:cs="宋体"/>
          <w:szCs w:val="21"/>
        </w:rPr>
        <w:t>个标段。</w:t>
      </w:r>
    </w:p>
    <w:p>
      <w:pPr>
        <w:snapToGrid w:val="0"/>
        <w:spacing w:line="360" w:lineRule="auto"/>
        <w:ind w:firstLine="420" w:firstLineChars="200"/>
        <w:rPr>
          <w:rFonts w:ascii="宋体" w:hAnsi="宋体" w:cs="宋体"/>
          <w:iCs/>
          <w:szCs w:val="21"/>
        </w:rPr>
      </w:pPr>
      <w:r>
        <w:rPr>
          <w:rFonts w:hint="eastAsia" w:ascii="宋体" w:hAnsi="宋体" w:cs="宋体"/>
          <w:iCs/>
          <w:szCs w:val="21"/>
        </w:rPr>
        <w:t>4.质保期：</w:t>
      </w:r>
      <w:r>
        <w:rPr>
          <w:rFonts w:hint="eastAsia" w:ascii="宋体" w:hAnsi="宋体" w:eastAsia="宋体" w:cs="宋体"/>
          <w:i w:val="0"/>
          <w:iCs w:val="0"/>
          <w:color w:val="auto"/>
          <w:sz w:val="21"/>
          <w:szCs w:val="21"/>
          <w:highlight w:val="none"/>
          <w:u w:val="none"/>
          <w:lang w:val="en-US" w:eastAsia="zh-CN"/>
        </w:rPr>
        <w:t>项目通过竣工验收并交付使用，视作进入质保期，质保期为</w:t>
      </w:r>
      <w:r>
        <w:rPr>
          <w:rFonts w:hint="eastAsia" w:ascii="宋体" w:hAnsi="宋体" w:cs="宋体"/>
          <w:i w:val="0"/>
          <w:iCs w:val="0"/>
          <w:color w:val="auto"/>
          <w:sz w:val="21"/>
          <w:szCs w:val="21"/>
          <w:highlight w:val="none"/>
          <w:u w:val="none"/>
          <w:lang w:val="en-US" w:eastAsia="zh-CN"/>
        </w:rPr>
        <w:t>24</w:t>
      </w:r>
      <w:r>
        <w:rPr>
          <w:rFonts w:hint="eastAsia" w:ascii="宋体" w:hAnsi="宋体" w:eastAsia="宋体" w:cs="宋体"/>
          <w:i w:val="0"/>
          <w:iCs w:val="0"/>
          <w:color w:val="auto"/>
          <w:sz w:val="21"/>
          <w:szCs w:val="21"/>
          <w:highlight w:val="none"/>
          <w:u w:val="none"/>
          <w:lang w:val="en-US" w:eastAsia="zh-CN"/>
        </w:rPr>
        <w:t>个月。如质保期内出现重大质量缺陷，质保期从该质量缺陷修复后起重新计算。重大质量缺陷的认定依照国家、省、市相关规定执行。（具体详见用户需求书）</w:t>
      </w:r>
    </w:p>
    <w:p>
      <w:pPr>
        <w:snapToGrid w:val="0"/>
        <w:spacing w:line="360" w:lineRule="auto"/>
        <w:ind w:firstLine="420" w:firstLineChars="200"/>
        <w:rPr>
          <w:rFonts w:ascii="宋体" w:hAnsi="宋体" w:cs="宋体"/>
          <w:iCs/>
          <w:szCs w:val="21"/>
        </w:rPr>
      </w:pPr>
      <w:r>
        <w:rPr>
          <w:rFonts w:hint="eastAsia" w:ascii="宋体" w:hAnsi="宋体" w:cs="宋体"/>
          <w:iCs/>
          <w:szCs w:val="21"/>
        </w:rPr>
        <w:t>5.施工工期：</w:t>
      </w:r>
      <w:r>
        <w:rPr>
          <w:rFonts w:hint="eastAsia" w:ascii="宋体" w:hAnsi="宋体" w:cs="宋体"/>
        </w:rPr>
        <w:t>本项目施工工期为自采购</w:t>
      </w:r>
      <w:r>
        <w:rPr>
          <w:rFonts w:hint="eastAsia" w:ascii="宋体" w:hAnsi="宋体" w:cs="宋体"/>
          <w:lang w:eastAsia="zh-CN"/>
        </w:rPr>
        <w:t>方</w:t>
      </w:r>
      <w:r>
        <w:rPr>
          <w:rFonts w:hint="eastAsia" w:ascii="宋体" w:hAnsi="宋体" w:cs="宋体"/>
        </w:rPr>
        <w:t>发出开工通知后</w:t>
      </w:r>
      <w:r>
        <w:rPr>
          <w:rFonts w:hint="eastAsia" w:ascii="宋体" w:hAnsi="宋体" w:cs="宋体"/>
          <w:highlight w:val="none"/>
        </w:rPr>
        <w:t>35个自然日</w:t>
      </w:r>
      <w:r>
        <w:rPr>
          <w:rFonts w:hint="eastAsia" w:ascii="宋体" w:hAnsi="宋体" w:cs="宋体"/>
        </w:rPr>
        <w:t>内完成此项目所有施工及调试，具备验收条件</w:t>
      </w:r>
      <w:r>
        <w:rPr>
          <w:rFonts w:hint="eastAsia" w:ascii="宋体" w:hAnsi="宋体" w:eastAsia="宋体" w:cs="宋体"/>
          <w:i w:val="0"/>
          <w:iCs w:val="0"/>
          <w:color w:val="000000"/>
          <w:sz w:val="21"/>
          <w:szCs w:val="21"/>
          <w:highlight w:val="none"/>
          <w:u w:val="none"/>
          <w:lang w:val="en-US" w:eastAsia="zh-CN"/>
        </w:rPr>
        <w:t>。</w:t>
      </w:r>
      <w:r>
        <w:rPr>
          <w:rFonts w:hint="eastAsia" w:ascii="宋体" w:hAnsi="宋体" w:eastAsia="宋体" w:cs="宋体"/>
          <w:i w:val="0"/>
          <w:iCs w:val="0"/>
          <w:color w:val="auto"/>
          <w:sz w:val="21"/>
          <w:szCs w:val="21"/>
          <w:highlight w:val="none"/>
          <w:u w:val="none"/>
          <w:lang w:val="en-US" w:eastAsia="zh-CN"/>
        </w:rPr>
        <w:t>（具体详见用户需求书）</w:t>
      </w:r>
    </w:p>
    <w:p>
      <w:pPr>
        <w:snapToGrid w:val="0"/>
        <w:spacing w:line="360" w:lineRule="auto"/>
        <w:ind w:firstLine="420" w:firstLineChars="200"/>
        <w:rPr>
          <w:rFonts w:ascii="宋体" w:hAnsi="宋体" w:cs="宋体"/>
          <w:bCs/>
          <w:szCs w:val="21"/>
        </w:rPr>
      </w:pPr>
      <w:r>
        <w:rPr>
          <w:rFonts w:hint="eastAsia" w:ascii="宋体" w:hAnsi="宋体" w:cs="宋体"/>
          <w:bCs/>
          <w:szCs w:val="21"/>
        </w:rPr>
        <w:t>6.</w:t>
      </w:r>
      <w:r>
        <w:rPr>
          <w:rFonts w:hint="eastAsia" w:ascii="宋体" w:hAnsi="宋体" w:cs="宋体"/>
          <w:iCs/>
          <w:szCs w:val="21"/>
        </w:rPr>
        <w:t>采购范围：</w:t>
      </w:r>
      <w:r>
        <w:rPr>
          <w:rFonts w:hint="eastAsia" w:ascii="宋体" w:hAnsi="宋体" w:eastAsia="宋体" w:cs="宋体"/>
          <w:color w:val="auto"/>
          <w:sz w:val="21"/>
          <w:szCs w:val="21"/>
          <w:highlight w:val="none"/>
          <w:lang w:val="en-US" w:eastAsia="zh-CN"/>
        </w:rPr>
        <w:t>本项目拟对侯家塘站、马厂站、黄土岭站、芙蓉广场站、湘江中路站、万家丽广场站及沙湾公园站自动检票机进行改造，根据自动检票机的改造位置调整、增设摄像头，拆除、安装地面、栏杆、盲道、地面疏散标识等相关设备设施。（具体详见用户需求书）</w:t>
      </w:r>
    </w:p>
    <w:p>
      <w:pPr>
        <w:pStyle w:val="25"/>
        <w:adjustRightInd w:val="0"/>
        <w:snapToGrid w:val="0"/>
        <w:spacing w:line="360" w:lineRule="auto"/>
        <w:ind w:firstLine="422" w:firstLineChars="200"/>
        <w:rPr>
          <w:rFonts w:hAnsi="宋体" w:cs="宋体"/>
          <w:b/>
          <w:iCs/>
        </w:rPr>
      </w:pPr>
      <w:r>
        <w:rPr>
          <w:rFonts w:hint="eastAsia" w:hAnsi="宋体" w:cs="宋体"/>
          <w:b/>
          <w:iCs/>
        </w:rPr>
        <w:t>二、资格要求</w:t>
      </w:r>
    </w:p>
    <w:p>
      <w:pPr>
        <w:spacing w:line="360" w:lineRule="auto"/>
        <w:ind w:firstLine="420" w:firstLineChars="200"/>
        <w:rPr>
          <w:rFonts w:hint="eastAsia" w:ascii="宋体" w:hAnsi="宋体" w:cs="宋体"/>
          <w:lang w:eastAsia="zh-CN"/>
        </w:rPr>
      </w:pPr>
      <w:r>
        <w:rPr>
          <w:rFonts w:hint="eastAsia" w:ascii="宋体" w:hAnsi="宋体" w:cs="宋体"/>
        </w:rPr>
        <w:t>1.谈判单位须为具有独立法人资格、自主经营、独立核算的公司</w:t>
      </w:r>
      <w:r>
        <w:rPr>
          <w:rFonts w:hint="eastAsia" w:ascii="宋体" w:hAnsi="宋体" w:cs="宋体"/>
          <w:lang w:eastAsia="zh-CN"/>
        </w:rPr>
        <w:t>。</w:t>
      </w:r>
    </w:p>
    <w:p>
      <w:pPr>
        <w:spacing w:line="360" w:lineRule="auto"/>
        <w:ind w:firstLine="420" w:firstLineChars="200"/>
        <w:rPr>
          <w:rFonts w:hint="eastAsia" w:ascii="宋体" w:hAnsi="宋体" w:cs="宋体"/>
        </w:rPr>
      </w:pPr>
      <w:r>
        <w:rPr>
          <w:rFonts w:hint="eastAsia" w:ascii="宋体" w:hAnsi="宋体" w:cs="宋体"/>
        </w:rPr>
        <w:t>2.谈判单位须具有电子与智能化工程专业承包二级及以上或建筑机电安装工程专业承包三级及以上或通信工程施工总承包三级及以上或机电工程施工总承包三级及以上资质，须具有有效的施工企业《安全生产许可证》。</w:t>
      </w:r>
    </w:p>
    <w:p>
      <w:pPr>
        <w:spacing w:line="360" w:lineRule="auto"/>
        <w:ind w:firstLine="420" w:firstLineChars="200"/>
        <w:rPr>
          <w:rFonts w:hint="eastAsia" w:ascii="宋体" w:hAnsi="宋体" w:cs="宋体"/>
          <w:lang w:val="en-US" w:eastAsia="zh-CN"/>
        </w:rPr>
      </w:pPr>
      <w:r>
        <w:rPr>
          <w:rFonts w:hint="eastAsia" w:ascii="宋体" w:hAnsi="宋体" w:cs="宋体"/>
          <w:lang w:val="en-US" w:eastAsia="zh-CN"/>
        </w:rPr>
        <w:t>3.</w:t>
      </w:r>
      <w:r>
        <w:rPr>
          <w:rFonts w:hint="eastAsia" w:ascii="宋体" w:hAnsi="宋体" w:cs="宋体"/>
        </w:rPr>
        <w:t>本项目现场施工部关键岗位人员最低配备按《湖南省建设工程施工项目部和现场监理部关键岗位人员配备管理办法》湘建建〔2015〕57号文执行</w:t>
      </w:r>
      <w:r>
        <w:rPr>
          <w:rFonts w:hint="eastAsia" w:ascii="宋体" w:hAnsi="宋体" w:cs="宋体"/>
          <w:lang w:eastAsia="zh-CN"/>
        </w:rPr>
        <w:t>。</w:t>
      </w:r>
    </w:p>
    <w:p>
      <w:pPr>
        <w:spacing w:line="360" w:lineRule="auto"/>
        <w:ind w:firstLine="420" w:firstLineChars="200"/>
        <w:rPr>
          <w:rFonts w:hint="eastAsia" w:ascii="宋体" w:hAnsi="宋体" w:cs="宋体"/>
          <w:lang w:eastAsia="zh-CN"/>
        </w:rPr>
      </w:pPr>
      <w:r>
        <w:rPr>
          <w:rFonts w:hint="eastAsia" w:ascii="宋体" w:hAnsi="宋体" w:cs="宋体"/>
          <w:lang w:val="en-US" w:eastAsia="zh-CN"/>
        </w:rPr>
        <w:t>4.</w:t>
      </w:r>
      <w:r>
        <w:rPr>
          <w:rFonts w:hint="eastAsia" w:ascii="宋体" w:hAnsi="宋体" w:cs="宋体"/>
        </w:rPr>
        <w:t>湖南省外企业须按照湘建建【2015】190号文件要求办理省外入湘企业基本情况登记（以“湖南省住房和城乡建设网”查询为准）或具有入湘施工登记证（处于有效期内）。</w:t>
      </w:r>
    </w:p>
    <w:p>
      <w:pPr>
        <w:spacing w:line="360" w:lineRule="auto"/>
        <w:ind w:firstLine="420" w:firstLineChars="200"/>
        <w:rPr>
          <w:rFonts w:hint="eastAsia" w:ascii="宋体" w:hAnsi="宋体" w:cs="宋体"/>
        </w:rPr>
      </w:pPr>
      <w:r>
        <w:rPr>
          <w:rFonts w:hint="eastAsia" w:ascii="宋体" w:hAnsi="宋体" w:cs="宋体"/>
          <w:lang w:val="en-US" w:eastAsia="zh-CN"/>
        </w:rPr>
        <w:t>5.</w:t>
      </w:r>
      <w:r>
        <w:rPr>
          <w:rFonts w:hint="eastAsia" w:ascii="宋体" w:hAnsi="宋体" w:cs="宋体"/>
        </w:rPr>
        <w:t>本</w:t>
      </w:r>
      <w:r>
        <w:rPr>
          <w:rFonts w:hint="eastAsia" w:ascii="宋体" w:hAnsi="宋体" w:cs="宋体"/>
          <w:lang w:eastAsia="zh-CN"/>
        </w:rPr>
        <w:t>项目谈判</w:t>
      </w:r>
      <w:r>
        <w:rPr>
          <w:rFonts w:hint="eastAsia" w:ascii="宋体" w:hAnsi="宋体" w:cs="宋体"/>
        </w:rPr>
        <w:t>不接受联合体</w:t>
      </w:r>
      <w:r>
        <w:rPr>
          <w:rFonts w:hint="eastAsia" w:ascii="宋体" w:hAnsi="宋体" w:cs="宋体"/>
          <w:lang w:eastAsia="zh-CN"/>
        </w:rPr>
        <w:t>形式参与</w:t>
      </w:r>
      <w:r>
        <w:rPr>
          <w:rFonts w:hint="eastAsia" w:ascii="宋体" w:hAnsi="宋体" w:cs="宋体"/>
          <w:lang w:val="en-US" w:eastAsia="zh-CN"/>
        </w:rPr>
        <w:t>谈判</w:t>
      </w:r>
      <w:r>
        <w:rPr>
          <w:rFonts w:hint="eastAsia" w:ascii="宋体" w:hAnsi="宋体" w:cs="宋体"/>
        </w:rPr>
        <w:t>。</w:t>
      </w:r>
    </w:p>
    <w:p>
      <w:pPr>
        <w:spacing w:line="360" w:lineRule="auto"/>
        <w:ind w:firstLine="420" w:firstLineChars="200"/>
        <w:rPr>
          <w:rFonts w:hint="eastAsia" w:ascii="宋体" w:hAnsi="宋体" w:cs="宋体"/>
        </w:rPr>
      </w:pPr>
      <w:r>
        <w:rPr>
          <w:rFonts w:hint="eastAsia" w:ascii="宋体" w:hAnsi="宋体" w:cs="宋体"/>
          <w:lang w:val="en-US" w:eastAsia="zh-CN"/>
        </w:rPr>
        <w:t>6</w:t>
      </w:r>
      <w:r>
        <w:rPr>
          <w:rFonts w:hint="eastAsia" w:ascii="宋体" w:hAnsi="宋体" w:cs="宋体"/>
        </w:rPr>
        <w:t>.被长沙市轨道交通集团函告禁止在一定期限内参与轨道公司项目投标的单位按函告内容执行。</w:t>
      </w:r>
    </w:p>
    <w:p>
      <w:pPr>
        <w:spacing w:line="360" w:lineRule="auto"/>
        <w:ind w:firstLine="422" w:firstLineChars="200"/>
        <w:rPr>
          <w:rFonts w:ascii="宋体" w:hAnsi="宋体" w:cs="宋体"/>
          <w:b/>
          <w:bCs/>
          <w:iCs/>
          <w:szCs w:val="21"/>
        </w:rPr>
      </w:pPr>
      <w:r>
        <w:rPr>
          <w:rFonts w:hint="eastAsia" w:ascii="宋体" w:hAnsi="宋体" w:cs="宋体"/>
          <w:b/>
          <w:bCs/>
          <w:szCs w:val="21"/>
        </w:rPr>
        <w:t>三、</w:t>
      </w:r>
      <w:r>
        <w:rPr>
          <w:rFonts w:hint="eastAsia" w:ascii="宋体" w:hAnsi="宋体" w:cs="宋体"/>
          <w:b/>
          <w:bCs/>
          <w:iCs/>
          <w:szCs w:val="21"/>
        </w:rPr>
        <w:t>评审办法</w:t>
      </w:r>
    </w:p>
    <w:p>
      <w:pPr>
        <w:adjustRightInd w:val="0"/>
        <w:snapToGrid w:val="0"/>
        <w:spacing w:line="360" w:lineRule="auto"/>
        <w:ind w:firstLine="420" w:firstLineChars="200"/>
        <w:rPr>
          <w:rFonts w:ascii="宋体" w:hAnsi="宋体" w:cs="宋体"/>
          <w:szCs w:val="21"/>
        </w:rPr>
      </w:pPr>
      <w:r>
        <w:rPr>
          <w:rFonts w:hint="eastAsia" w:ascii="宋体" w:hAnsi="宋体" w:cs="宋体"/>
          <w:iCs/>
          <w:szCs w:val="21"/>
        </w:rPr>
        <w:t>本项目评审办法采用</w:t>
      </w:r>
      <w:r>
        <w:rPr>
          <w:rFonts w:hint="eastAsia" w:ascii="宋体" w:hAnsi="宋体" w:cs="宋体"/>
          <w:bCs/>
        </w:rPr>
        <w:t>经符合性审查合格后的</w:t>
      </w:r>
      <w:r>
        <w:rPr>
          <w:rFonts w:hint="eastAsia" w:ascii="宋体" w:hAnsi="宋体" w:cs="宋体"/>
        </w:rPr>
        <w:t>最低价法。</w:t>
      </w:r>
    </w:p>
    <w:p>
      <w:pPr>
        <w:tabs>
          <w:tab w:val="left" w:pos="1629"/>
        </w:tabs>
        <w:spacing w:line="360" w:lineRule="auto"/>
        <w:ind w:firstLine="422" w:firstLineChars="200"/>
        <w:rPr>
          <w:rFonts w:ascii="宋体" w:hAnsi="宋体" w:cs="宋体"/>
          <w:b/>
          <w:bCs/>
          <w:szCs w:val="21"/>
        </w:rPr>
      </w:pPr>
      <w:r>
        <w:rPr>
          <w:rFonts w:hint="eastAsia" w:ascii="宋体" w:hAnsi="宋体" w:cs="宋体"/>
          <w:b/>
          <w:bCs/>
          <w:szCs w:val="21"/>
        </w:rPr>
        <w:t>四、自主竞争性谈判文件的获取</w:t>
      </w:r>
    </w:p>
    <w:p>
      <w:pPr>
        <w:spacing w:line="360" w:lineRule="auto"/>
        <w:ind w:firstLine="420" w:firstLineChars="200"/>
        <w:rPr>
          <w:rFonts w:ascii="宋体" w:hAnsi="宋体" w:cs="宋体"/>
          <w:szCs w:val="21"/>
        </w:rPr>
      </w:pPr>
      <w:r>
        <w:rPr>
          <w:rFonts w:hint="eastAsia" w:ascii="宋体" w:hAnsi="宋体" w:cs="宋体"/>
          <w:szCs w:val="21"/>
        </w:rPr>
        <w:t>凡有意参加谈判的单位，请于本公告发布之日起登录长沙市轨道交通集团有限公司官方网站</w:t>
      </w:r>
      <w:r>
        <w:rPr>
          <w:rFonts w:hint="eastAsia" w:ascii="宋体" w:hAnsi="宋体" w:cs="宋体"/>
          <w:kern w:val="0"/>
          <w:szCs w:val="21"/>
        </w:rPr>
        <w:t>（http://www.hncsmtr.com/）</w:t>
      </w:r>
      <w:r>
        <w:rPr>
          <w:rFonts w:hint="eastAsia" w:ascii="宋体" w:hAnsi="宋体" w:cs="宋体"/>
          <w:szCs w:val="21"/>
        </w:rPr>
        <w:t>获取自主竞争性谈判文件。</w:t>
      </w:r>
    </w:p>
    <w:p>
      <w:pPr>
        <w:spacing w:line="360" w:lineRule="auto"/>
        <w:ind w:firstLine="422" w:firstLineChars="200"/>
        <w:rPr>
          <w:rFonts w:ascii="宋体" w:hAnsi="宋体" w:cs="宋体"/>
          <w:b/>
          <w:bCs/>
          <w:szCs w:val="21"/>
        </w:rPr>
      </w:pPr>
      <w:r>
        <w:rPr>
          <w:rFonts w:hint="eastAsia" w:ascii="宋体" w:hAnsi="宋体" w:cs="宋体"/>
          <w:b/>
          <w:bCs/>
          <w:szCs w:val="21"/>
        </w:rPr>
        <w:t>五、</w:t>
      </w:r>
      <w:r>
        <w:rPr>
          <w:rFonts w:hint="eastAsia" w:ascii="宋体" w:hAnsi="宋体" w:cs="宋体"/>
          <w:b/>
          <w:bCs/>
          <w:iCs/>
          <w:szCs w:val="21"/>
        </w:rPr>
        <w:t>谈判文件的</w:t>
      </w:r>
      <w:r>
        <w:rPr>
          <w:rFonts w:hint="eastAsia" w:ascii="宋体" w:hAnsi="宋体" w:cs="宋体"/>
          <w:b/>
          <w:bCs/>
          <w:szCs w:val="21"/>
        </w:rPr>
        <w:t>澄清与答疑</w:t>
      </w:r>
    </w:p>
    <w:p>
      <w:pPr>
        <w:spacing w:line="360" w:lineRule="auto"/>
        <w:ind w:firstLine="420" w:firstLineChars="200"/>
        <w:rPr>
          <w:rFonts w:ascii="宋体" w:hAnsi="宋体" w:cs="宋体"/>
          <w:iCs/>
          <w:szCs w:val="21"/>
        </w:rPr>
      </w:pPr>
      <w:r>
        <w:rPr>
          <w:rFonts w:hint="eastAsia" w:ascii="宋体" w:hAnsi="宋体" w:cs="宋体"/>
          <w:szCs w:val="21"/>
        </w:rPr>
        <w:t>1.</w:t>
      </w:r>
      <w:r>
        <w:rPr>
          <w:rFonts w:hint="eastAsia" w:ascii="宋体" w:hAnsi="宋体" w:cs="宋体"/>
          <w:iCs/>
          <w:szCs w:val="21"/>
        </w:rPr>
        <w:t>本项目不组织答疑会和现场踏勘。</w:t>
      </w:r>
    </w:p>
    <w:p>
      <w:pPr>
        <w:spacing w:line="360" w:lineRule="auto"/>
        <w:ind w:firstLine="420" w:firstLineChars="200"/>
        <w:rPr>
          <w:rFonts w:ascii="宋体" w:hAnsi="宋体" w:cs="宋体"/>
          <w:iCs/>
          <w:szCs w:val="21"/>
        </w:rPr>
      </w:pPr>
      <w:r>
        <w:rPr>
          <w:rFonts w:hint="eastAsia" w:ascii="宋体" w:hAnsi="宋体" w:cs="宋体"/>
          <w:iCs/>
          <w:szCs w:val="21"/>
        </w:rPr>
        <w:t>2.谈判单位若对谈判文件有任何疑问，</w:t>
      </w:r>
      <w:r>
        <w:rPr>
          <w:rFonts w:hint="eastAsia" w:ascii="宋体" w:hAnsi="宋体" w:cs="宋体"/>
          <w:szCs w:val="21"/>
        </w:rPr>
        <w:t>应于</w:t>
      </w:r>
      <w:r>
        <w:rPr>
          <w:rFonts w:hint="eastAsia" w:ascii="宋体" w:hAnsi="宋体" w:cs="宋体"/>
          <w:szCs w:val="21"/>
          <w:highlight w:val="none"/>
          <w:u w:val="single"/>
        </w:rPr>
        <w:t>20</w:t>
      </w:r>
      <w:r>
        <w:rPr>
          <w:rFonts w:ascii="宋体" w:hAnsi="宋体" w:cs="宋体"/>
          <w:szCs w:val="21"/>
          <w:highlight w:val="none"/>
          <w:u w:val="single"/>
        </w:rPr>
        <w:t>21</w:t>
      </w:r>
      <w:r>
        <w:rPr>
          <w:rFonts w:hint="eastAsia" w:ascii="宋体" w:hAnsi="宋体" w:cs="宋体"/>
          <w:szCs w:val="21"/>
          <w:highlight w:val="none"/>
        </w:rPr>
        <w:t>年</w:t>
      </w:r>
      <w:r>
        <w:rPr>
          <w:rFonts w:hint="eastAsia" w:ascii="宋体" w:hAnsi="宋体" w:cs="宋体"/>
          <w:szCs w:val="21"/>
          <w:highlight w:val="none"/>
          <w:u w:val="single"/>
          <w:lang w:val="en-US" w:eastAsia="zh-CN"/>
        </w:rPr>
        <w:t>04</w:t>
      </w:r>
      <w:r>
        <w:rPr>
          <w:rFonts w:hint="eastAsia" w:ascii="宋体" w:hAnsi="宋体" w:cs="宋体"/>
          <w:szCs w:val="21"/>
          <w:highlight w:val="none"/>
        </w:rPr>
        <w:t>月</w:t>
      </w:r>
      <w:r>
        <w:rPr>
          <w:rFonts w:hint="eastAsia" w:ascii="宋体" w:hAnsi="宋体" w:cs="宋体"/>
          <w:szCs w:val="21"/>
          <w:highlight w:val="none"/>
          <w:u w:val="single"/>
          <w:lang w:val="en-US" w:eastAsia="zh-CN"/>
        </w:rPr>
        <w:t>16</w:t>
      </w:r>
      <w:r>
        <w:rPr>
          <w:rFonts w:hint="eastAsia" w:ascii="宋体" w:hAnsi="宋体" w:cs="宋体"/>
          <w:szCs w:val="21"/>
          <w:highlight w:val="none"/>
        </w:rPr>
        <w:t>日</w:t>
      </w:r>
      <w:r>
        <w:rPr>
          <w:rFonts w:hint="eastAsia" w:ascii="宋体" w:hAnsi="宋体" w:cs="宋体"/>
          <w:iCs/>
          <w:szCs w:val="21"/>
          <w:highlight w:val="none"/>
        </w:rPr>
        <w:t>1</w:t>
      </w:r>
      <w:r>
        <w:rPr>
          <w:rFonts w:hint="eastAsia" w:ascii="宋体" w:hAnsi="宋体" w:cs="宋体"/>
          <w:iCs/>
          <w:szCs w:val="21"/>
        </w:rPr>
        <w:t>7：00时（含）前（节假日除外）以书面形式（经法定代表人签字或盖章，并加盖单位公章）递交至采购代理机构。</w:t>
      </w:r>
    </w:p>
    <w:p>
      <w:pPr>
        <w:spacing w:line="360" w:lineRule="auto"/>
        <w:ind w:firstLine="420" w:firstLineChars="200"/>
        <w:rPr>
          <w:rFonts w:ascii="宋体" w:hAnsi="宋体" w:cs="宋体"/>
          <w:iCs/>
          <w:szCs w:val="21"/>
        </w:rPr>
      </w:pPr>
      <w:r>
        <w:rPr>
          <w:rFonts w:hint="eastAsia" w:ascii="宋体" w:hAnsi="宋体" w:cs="宋体"/>
          <w:iCs/>
          <w:szCs w:val="21"/>
        </w:rPr>
        <w:t>3.在谈判截止时间前，采购单位或采购代理机构可主动地或在解答谈判单位提出的问题时对谈判文件进行澄清或修改。</w:t>
      </w:r>
    </w:p>
    <w:p>
      <w:pPr>
        <w:spacing w:line="360" w:lineRule="auto"/>
        <w:ind w:firstLine="420" w:firstLineChars="200"/>
        <w:rPr>
          <w:rFonts w:ascii="宋体" w:hAnsi="宋体" w:cs="宋体"/>
          <w:kern w:val="0"/>
          <w:szCs w:val="21"/>
        </w:rPr>
      </w:pPr>
      <w:r>
        <w:rPr>
          <w:rFonts w:hint="eastAsia" w:ascii="宋体" w:hAnsi="宋体" w:cs="宋体"/>
          <w:iCs/>
          <w:szCs w:val="21"/>
        </w:rPr>
        <w:t>4.</w:t>
      </w:r>
      <w:r>
        <w:rPr>
          <w:rFonts w:hint="eastAsia" w:ascii="宋体" w:hAnsi="宋体" w:cs="宋体"/>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代理机构不负任何责任。</w:t>
      </w:r>
    </w:p>
    <w:p>
      <w:pPr>
        <w:spacing w:line="360" w:lineRule="auto"/>
        <w:ind w:firstLine="422" w:firstLineChars="200"/>
        <w:rPr>
          <w:rFonts w:ascii="宋体" w:hAnsi="宋体" w:cs="宋体"/>
          <w:b/>
          <w:bCs/>
          <w:iCs/>
          <w:szCs w:val="21"/>
        </w:rPr>
      </w:pPr>
      <w:r>
        <w:rPr>
          <w:rFonts w:hint="eastAsia" w:ascii="宋体" w:hAnsi="宋体" w:cs="宋体"/>
          <w:b/>
          <w:bCs/>
          <w:kern w:val="0"/>
          <w:szCs w:val="21"/>
        </w:rPr>
        <w:t>六、</w:t>
      </w:r>
      <w:r>
        <w:rPr>
          <w:rFonts w:hint="eastAsia" w:ascii="宋体" w:hAnsi="宋体" w:cs="宋体"/>
          <w:b/>
          <w:bCs/>
          <w:iCs/>
          <w:szCs w:val="21"/>
        </w:rPr>
        <w:t>响应文件的递交</w:t>
      </w:r>
    </w:p>
    <w:p>
      <w:pPr>
        <w:spacing w:line="360" w:lineRule="auto"/>
        <w:ind w:firstLine="420" w:firstLineChars="200"/>
        <w:rPr>
          <w:rFonts w:ascii="宋体" w:hAnsi="宋体" w:cs="宋体"/>
          <w:bCs/>
          <w:szCs w:val="21"/>
        </w:rPr>
      </w:pPr>
      <w:r>
        <w:rPr>
          <w:rFonts w:hint="eastAsia" w:ascii="宋体" w:hAnsi="宋体" w:cs="宋体"/>
          <w:bCs/>
          <w:szCs w:val="21"/>
        </w:rPr>
        <w:t>1.响应文件递交的截止时间及谈判时间为</w:t>
      </w:r>
      <w:r>
        <w:rPr>
          <w:rFonts w:hint="eastAsia" w:ascii="宋体" w:hAnsi="宋体" w:cs="宋体"/>
          <w:bCs/>
          <w:szCs w:val="21"/>
          <w:highlight w:val="none"/>
          <w:u w:val="single"/>
        </w:rPr>
        <w:t>20</w:t>
      </w:r>
      <w:r>
        <w:rPr>
          <w:rFonts w:ascii="宋体" w:hAnsi="宋体" w:cs="宋体"/>
          <w:bCs/>
          <w:szCs w:val="21"/>
          <w:highlight w:val="none"/>
          <w:u w:val="single"/>
        </w:rPr>
        <w:t>21</w:t>
      </w:r>
      <w:r>
        <w:rPr>
          <w:rFonts w:hint="eastAsia" w:ascii="宋体" w:hAnsi="宋体" w:cs="宋体"/>
          <w:bCs/>
          <w:szCs w:val="21"/>
          <w:highlight w:val="none"/>
        </w:rPr>
        <w:t>年</w:t>
      </w:r>
      <w:r>
        <w:rPr>
          <w:rFonts w:hint="eastAsia" w:ascii="宋体" w:hAnsi="宋体" w:cs="宋体"/>
          <w:bCs/>
          <w:szCs w:val="21"/>
          <w:highlight w:val="none"/>
          <w:u w:val="single"/>
          <w:lang w:val="en-US" w:eastAsia="zh-CN"/>
        </w:rPr>
        <w:t>04</w:t>
      </w:r>
      <w:r>
        <w:rPr>
          <w:rFonts w:hint="eastAsia" w:ascii="宋体" w:hAnsi="宋体" w:cs="宋体"/>
          <w:bCs/>
          <w:szCs w:val="21"/>
          <w:highlight w:val="none"/>
        </w:rPr>
        <w:t>月</w:t>
      </w:r>
      <w:r>
        <w:rPr>
          <w:rFonts w:hint="eastAsia" w:ascii="宋体" w:hAnsi="宋体" w:cs="宋体"/>
          <w:bCs/>
          <w:szCs w:val="21"/>
          <w:highlight w:val="none"/>
          <w:u w:val="single"/>
          <w:lang w:val="en-US" w:eastAsia="zh-CN"/>
        </w:rPr>
        <w:t>20</w:t>
      </w:r>
      <w:r>
        <w:rPr>
          <w:rFonts w:hint="eastAsia" w:ascii="宋体" w:hAnsi="宋体" w:cs="宋体"/>
          <w:bCs/>
          <w:szCs w:val="21"/>
          <w:highlight w:val="none"/>
        </w:rPr>
        <w:t>日</w:t>
      </w:r>
      <w:r>
        <w:rPr>
          <w:rFonts w:hint="eastAsia" w:ascii="宋体" w:hAnsi="宋体" w:cs="宋体"/>
          <w:bCs/>
          <w:szCs w:val="21"/>
        </w:rPr>
        <w:t>14 时 30 分，地点为</w:t>
      </w:r>
      <w:r>
        <w:rPr>
          <w:rFonts w:hint="eastAsia" w:ascii="宋体" w:hAnsi="宋体" w:cs="宋体"/>
          <w:szCs w:val="21"/>
        </w:rPr>
        <w:t>长沙市劳动东路二段48号长沙市轨道交通运营有限公司综合楼910室。</w:t>
      </w:r>
    </w:p>
    <w:p>
      <w:pPr>
        <w:spacing w:line="360" w:lineRule="auto"/>
        <w:ind w:firstLine="420" w:firstLineChars="200"/>
        <w:rPr>
          <w:rFonts w:ascii="宋体" w:hAnsi="宋体" w:cs="宋体"/>
          <w:szCs w:val="21"/>
        </w:rPr>
      </w:pPr>
      <w:r>
        <w:rPr>
          <w:rFonts w:hint="eastAsia" w:ascii="宋体" w:hAnsi="宋体" w:cs="宋体"/>
          <w:szCs w:val="21"/>
        </w:rPr>
        <w:t>2.逾期送达的或者未送达指定地点的或者未密封的响应文件，采购单位或采购代理机构将予以</w:t>
      </w:r>
      <w:r>
        <w:rPr>
          <w:rFonts w:hint="eastAsia" w:ascii="宋体" w:hAnsi="宋体" w:cs="宋体"/>
          <w:b/>
          <w:bCs/>
          <w:szCs w:val="21"/>
        </w:rPr>
        <w:t>拒收</w:t>
      </w:r>
      <w:r>
        <w:rPr>
          <w:rFonts w:hint="eastAsia" w:ascii="宋体" w:hAnsi="宋体" w:cs="宋体"/>
          <w:szCs w:val="21"/>
        </w:rPr>
        <w:t>。</w:t>
      </w:r>
    </w:p>
    <w:p>
      <w:pPr>
        <w:spacing w:line="360" w:lineRule="auto"/>
        <w:ind w:firstLine="422" w:firstLineChars="200"/>
        <w:rPr>
          <w:rFonts w:ascii="宋体" w:hAnsi="宋体" w:cs="宋体"/>
          <w:b/>
          <w:szCs w:val="21"/>
        </w:rPr>
      </w:pPr>
      <w:r>
        <w:rPr>
          <w:rFonts w:hint="eastAsia" w:ascii="宋体" w:hAnsi="宋体" w:cs="宋体"/>
          <w:b/>
          <w:iCs/>
          <w:szCs w:val="21"/>
        </w:rPr>
        <w:t>七、采购单位及其委托的采购代理机构的名称、地址和联系方法</w:t>
      </w:r>
    </w:p>
    <w:p>
      <w:pPr>
        <w:adjustRightInd w:val="0"/>
        <w:snapToGrid w:val="0"/>
        <w:spacing w:line="360" w:lineRule="auto"/>
        <w:ind w:firstLine="413" w:firstLineChars="196"/>
        <w:rPr>
          <w:rFonts w:hint="eastAsia" w:ascii="宋体" w:hAnsi="宋体" w:eastAsia="宋体" w:cs="宋体"/>
          <w:iCs/>
          <w:szCs w:val="21"/>
          <w:lang w:eastAsia="zh-CN"/>
        </w:rPr>
      </w:pPr>
      <w:r>
        <w:rPr>
          <w:rFonts w:hint="eastAsia" w:ascii="宋体" w:hAnsi="宋体" w:cs="宋体"/>
          <w:b/>
          <w:bCs/>
          <w:szCs w:val="21"/>
        </w:rPr>
        <w:t>采购单位：</w:t>
      </w:r>
      <w:r>
        <w:rPr>
          <w:rFonts w:hint="eastAsia" w:ascii="宋体" w:hAnsi="宋体" w:cs="宋体"/>
          <w:iCs/>
          <w:szCs w:val="21"/>
        </w:rPr>
        <w:t>长沙市轨道交通运营有限公司、</w:t>
      </w:r>
      <w:r>
        <w:rPr>
          <w:rFonts w:hint="eastAsia" w:ascii="宋体" w:hAnsi="宋体" w:cs="宋体"/>
          <w:iCs/>
          <w:szCs w:val="21"/>
          <w:lang w:eastAsia="zh-CN"/>
        </w:rPr>
        <w:t>长沙市轨道交通一号线建设发展有限公司</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地  址：长沙市劳动东路二段48号长沙市轨道交通运营有限公司</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联系人：</w:t>
      </w:r>
      <w:r>
        <w:rPr>
          <w:rFonts w:hint="eastAsia" w:ascii="宋体" w:hAnsi="宋体" w:cs="宋体"/>
          <w:bCs/>
          <w:szCs w:val="21"/>
          <w:lang w:eastAsia="zh-CN"/>
        </w:rPr>
        <w:t>杨</w:t>
      </w:r>
      <w:r>
        <w:rPr>
          <w:rFonts w:hint="eastAsia" w:ascii="宋体" w:hAnsi="宋体" w:cs="宋体"/>
          <w:bCs/>
          <w:szCs w:val="21"/>
        </w:rPr>
        <w:t>工</w:t>
      </w:r>
    </w:p>
    <w:p>
      <w:pPr>
        <w:adjustRightInd w:val="0"/>
        <w:snapToGrid w:val="0"/>
        <w:spacing w:line="360" w:lineRule="auto"/>
        <w:ind w:firstLine="420" w:firstLineChars="200"/>
        <w:rPr>
          <w:rFonts w:hint="default" w:ascii="宋体" w:hAnsi="宋体" w:eastAsia="宋体" w:cs="宋体"/>
          <w:bCs/>
          <w:szCs w:val="21"/>
          <w:lang w:val="en-US" w:eastAsia="zh-CN"/>
        </w:rPr>
      </w:pPr>
      <w:r>
        <w:rPr>
          <w:rFonts w:hint="eastAsia" w:ascii="宋体" w:hAnsi="宋体" w:cs="宋体"/>
          <w:bCs/>
          <w:szCs w:val="21"/>
        </w:rPr>
        <w:t>电  话：</w:t>
      </w:r>
      <w:r>
        <w:rPr>
          <w:rFonts w:hint="eastAsia" w:ascii="宋体" w:hAnsi="宋体" w:cs="宋体"/>
          <w:szCs w:val="21"/>
        </w:rPr>
        <w:t>0731-</w:t>
      </w:r>
      <w:r>
        <w:rPr>
          <w:rFonts w:hint="eastAsia" w:ascii="宋体" w:hAnsi="宋体" w:cs="宋体"/>
          <w:bCs/>
          <w:szCs w:val="21"/>
        </w:rPr>
        <w:t>8685</w:t>
      </w:r>
      <w:r>
        <w:rPr>
          <w:rFonts w:ascii="宋体" w:hAnsi="宋体" w:cs="宋体"/>
          <w:bCs/>
          <w:szCs w:val="21"/>
        </w:rPr>
        <w:t>23</w:t>
      </w:r>
      <w:r>
        <w:rPr>
          <w:rFonts w:hint="eastAsia" w:ascii="宋体" w:hAnsi="宋体" w:cs="宋体"/>
          <w:bCs/>
          <w:szCs w:val="21"/>
          <w:lang w:val="en-US" w:eastAsia="zh-CN"/>
        </w:rPr>
        <w:t>47</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监督举报电话：</w:t>
      </w:r>
      <w:r>
        <w:rPr>
          <w:rFonts w:hint="eastAsia" w:ascii="宋体" w:hAnsi="宋体" w:cs="宋体"/>
          <w:szCs w:val="21"/>
        </w:rPr>
        <w:t>0731-86852247</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联系人：文工</w:t>
      </w:r>
    </w:p>
    <w:p>
      <w:pPr>
        <w:spacing w:line="360" w:lineRule="auto"/>
        <w:ind w:firstLine="422" w:firstLineChars="200"/>
        <w:rPr>
          <w:rFonts w:hint="eastAsia" w:ascii="宋体" w:hAnsi="宋体" w:eastAsia="宋体" w:cs="宋体"/>
          <w:szCs w:val="21"/>
          <w:lang w:eastAsia="zh-CN"/>
        </w:rPr>
      </w:pPr>
      <w:r>
        <w:rPr>
          <w:rFonts w:hint="eastAsia" w:ascii="宋体" w:hAnsi="宋体" w:cs="宋体"/>
          <w:b/>
          <w:bCs/>
          <w:szCs w:val="21"/>
        </w:rPr>
        <w:t>采购代理机构：</w:t>
      </w:r>
      <w:r>
        <w:rPr>
          <w:rFonts w:hint="eastAsia" w:ascii="宋体" w:hAnsi="宋体" w:cs="宋体"/>
          <w:iCs/>
          <w:szCs w:val="21"/>
          <w:lang w:eastAsia="zh-CN"/>
        </w:rPr>
        <w:t>华春建设工程项目管理有限责任公司</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联系电话：</w:t>
      </w:r>
      <w:r>
        <w:rPr>
          <w:rFonts w:hint="eastAsia" w:ascii="宋体" w:hAnsi="宋体" w:cs="宋体"/>
          <w:szCs w:val="21"/>
          <w:lang w:val="en-US" w:eastAsia="zh-CN"/>
        </w:rPr>
        <w:t>18229845682</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联系人：</w:t>
      </w:r>
      <w:r>
        <w:rPr>
          <w:rFonts w:hint="eastAsia" w:ascii="宋体" w:hAnsi="宋体" w:cs="宋体"/>
          <w:szCs w:val="21"/>
          <w:lang w:eastAsia="zh-CN"/>
        </w:rPr>
        <w:t>程林</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 xml:space="preserve">地 </w:t>
      </w:r>
      <w:r>
        <w:rPr>
          <w:rFonts w:ascii="宋体" w:hAnsi="宋体" w:cs="宋体"/>
          <w:szCs w:val="21"/>
        </w:rPr>
        <w:t xml:space="preserve"> </w:t>
      </w:r>
      <w:r>
        <w:rPr>
          <w:rFonts w:hint="eastAsia" w:ascii="宋体" w:hAnsi="宋体" w:cs="宋体"/>
          <w:szCs w:val="21"/>
        </w:rPr>
        <w:t>址：</w:t>
      </w:r>
      <w:r>
        <w:rPr>
          <w:rFonts w:hint="eastAsia" w:ascii="宋体" w:hAnsi="宋体" w:cs="宋体"/>
          <w:szCs w:val="21"/>
          <w:lang w:eastAsia="zh-CN"/>
        </w:rPr>
        <w:t>长沙市芙蓉中路二段</w:t>
      </w:r>
      <w:r>
        <w:rPr>
          <w:rFonts w:hint="eastAsia" w:ascii="宋体" w:hAnsi="宋体" w:cs="宋体"/>
          <w:szCs w:val="21"/>
          <w:lang w:val="en-US" w:eastAsia="zh-CN"/>
        </w:rPr>
        <w:t>200号新世纪花苑红龙居1505室</w:t>
      </w:r>
    </w:p>
    <w:bookmarkEnd w:id="5"/>
    <w:p>
      <w:pPr>
        <w:pStyle w:val="2"/>
        <w:rPr>
          <w:rFonts w:ascii="宋体" w:hAnsi="宋体" w:cs="宋体"/>
          <w:highlight w:val="yellow"/>
        </w:rPr>
      </w:pPr>
    </w:p>
    <w:p>
      <w:pPr>
        <w:rPr>
          <w:rFonts w:ascii="宋体" w:hAnsi="宋体" w:cs="宋体"/>
          <w:highlight w:val="yellow"/>
        </w:rPr>
      </w:pPr>
    </w:p>
    <w:p>
      <w:pPr>
        <w:pStyle w:val="2"/>
        <w:ind w:firstLine="210"/>
        <w:jc w:val="right"/>
        <w:rPr>
          <w:rFonts w:ascii="宋体" w:hAnsi="宋体" w:cs="宋体"/>
          <w:highlight w:val="none"/>
          <w:u w:val="none"/>
        </w:rPr>
      </w:pPr>
      <w:r>
        <w:rPr>
          <w:rFonts w:hint="eastAsia" w:ascii="宋体" w:hAnsi="宋体" w:cs="宋体"/>
          <w:szCs w:val="21"/>
          <w:highlight w:val="none"/>
          <w:u w:val="none"/>
        </w:rPr>
        <w:t>20</w:t>
      </w:r>
      <w:r>
        <w:rPr>
          <w:rFonts w:ascii="宋体" w:hAnsi="宋体" w:cs="宋体"/>
          <w:szCs w:val="21"/>
          <w:highlight w:val="none"/>
          <w:u w:val="none"/>
        </w:rPr>
        <w:t>21</w:t>
      </w:r>
      <w:r>
        <w:rPr>
          <w:rFonts w:hint="eastAsia" w:ascii="宋体" w:hAnsi="宋体" w:cs="宋体"/>
          <w:szCs w:val="21"/>
          <w:highlight w:val="none"/>
          <w:u w:val="none"/>
        </w:rPr>
        <w:t>年</w:t>
      </w:r>
      <w:r>
        <w:rPr>
          <w:rFonts w:hint="eastAsia" w:ascii="宋体" w:hAnsi="宋体" w:cs="宋体"/>
          <w:szCs w:val="21"/>
          <w:highlight w:val="none"/>
          <w:u w:val="none"/>
          <w:lang w:val="en-US" w:eastAsia="zh-CN"/>
        </w:rPr>
        <w:t>04</w:t>
      </w:r>
      <w:r>
        <w:rPr>
          <w:rFonts w:hint="eastAsia" w:ascii="宋体" w:hAnsi="宋体" w:cs="宋体"/>
          <w:szCs w:val="21"/>
          <w:highlight w:val="none"/>
          <w:u w:val="none"/>
        </w:rPr>
        <w:t>月</w:t>
      </w:r>
      <w:r>
        <w:rPr>
          <w:rFonts w:hint="eastAsia" w:ascii="宋体" w:hAnsi="宋体" w:cs="宋体"/>
          <w:szCs w:val="21"/>
          <w:highlight w:val="none"/>
          <w:u w:val="none"/>
          <w:lang w:val="en-US" w:eastAsia="zh-CN"/>
        </w:rPr>
        <w:t>08</w:t>
      </w:r>
      <w:r>
        <w:rPr>
          <w:rFonts w:hint="eastAsia" w:ascii="宋体" w:hAnsi="宋体" w:cs="宋体"/>
          <w:szCs w:val="21"/>
          <w:highlight w:val="none"/>
          <w:u w:val="none"/>
        </w:rPr>
        <w:t>日</w:t>
      </w:r>
    </w:p>
    <w:p>
      <w:pPr>
        <w:rPr>
          <w:rFonts w:ascii="宋体" w:hAnsi="宋体" w:cs="宋体"/>
        </w:rPr>
        <w:sectPr>
          <w:footerReference r:id="rId5" w:type="default"/>
          <w:pgSz w:w="11906" w:h="16838"/>
          <w:pgMar w:top="1191" w:right="1417" w:bottom="1191" w:left="1191" w:header="851" w:footer="851" w:gutter="0"/>
          <w:pgNumType w:start="1"/>
          <w:cols w:space="720" w:num="1"/>
          <w:docGrid w:linePitch="312" w:charSpace="0"/>
        </w:sectPr>
      </w:pPr>
    </w:p>
    <w:p>
      <w:pPr>
        <w:rPr>
          <w:rFonts w:ascii="宋体" w:hAnsi="宋体" w:cs="宋体"/>
        </w:rPr>
      </w:pPr>
      <w:r>
        <w:rPr>
          <w:rFonts w:hint="eastAsia" w:ascii="宋体" w:hAnsi="宋体" w:cs="宋体"/>
        </w:rPr>
        <w:t>附表：</w:t>
      </w:r>
    </w:p>
    <w:p>
      <w:pPr>
        <w:pStyle w:val="41"/>
        <w:spacing w:line="450" w:lineRule="atLeast"/>
        <w:jc w:val="center"/>
        <w:rPr>
          <w:b/>
          <w:bCs/>
          <w:color w:val="FF0000"/>
        </w:rPr>
      </w:pPr>
      <w:r>
        <w:rPr>
          <w:rFonts w:hint="eastAsia"/>
          <w:b/>
          <w:bCs/>
        </w:rPr>
        <w:t>关键岗位人员最低配备要求表</w:t>
      </w:r>
    </w:p>
    <w:tbl>
      <w:tblPr>
        <w:tblStyle w:val="46"/>
        <w:tblW w:w="936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14"/>
        <w:gridCol w:w="63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689" w:hRule="atLeast"/>
          <w:jc w:val="center"/>
        </w:trPr>
        <w:tc>
          <w:tcPr>
            <w:tcW w:w="3014" w:type="dxa"/>
            <w:vAlign w:val="center"/>
          </w:tcPr>
          <w:p>
            <w:pPr>
              <w:pStyle w:val="41"/>
              <w:spacing w:before="0" w:beforeAutospacing="0" w:after="0" w:afterAutospacing="0" w:line="400" w:lineRule="exact"/>
              <w:jc w:val="center"/>
              <w:rPr>
                <w:sz w:val="21"/>
                <w:szCs w:val="21"/>
              </w:rPr>
            </w:pPr>
            <w:r>
              <w:rPr>
                <w:rFonts w:hint="eastAsia"/>
                <w:sz w:val="21"/>
                <w:szCs w:val="21"/>
              </w:rPr>
              <w:t>关键岗位人员最低配备要求</w:t>
            </w:r>
          </w:p>
        </w:tc>
        <w:tc>
          <w:tcPr>
            <w:tcW w:w="6346" w:type="dxa"/>
            <w:vAlign w:val="center"/>
          </w:tcPr>
          <w:p>
            <w:pPr>
              <w:pStyle w:val="41"/>
              <w:spacing w:before="0" w:beforeAutospacing="0" w:after="0" w:afterAutospacing="0" w:line="400" w:lineRule="exact"/>
              <w:jc w:val="center"/>
              <w:rPr>
                <w:sz w:val="21"/>
                <w:szCs w:val="21"/>
              </w:rPr>
            </w:pPr>
            <w:r>
              <w:rPr>
                <w:rFonts w:hint="eastAsia"/>
                <w:sz w:val="21"/>
                <w:szCs w:val="21"/>
              </w:rPr>
              <w:t>其他要求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7" w:hRule="atLeast"/>
          <w:jc w:val="center"/>
        </w:trPr>
        <w:tc>
          <w:tcPr>
            <w:tcW w:w="3014" w:type="dxa"/>
            <w:vAlign w:val="center"/>
          </w:tcPr>
          <w:p>
            <w:pPr>
              <w:spacing w:line="360" w:lineRule="auto"/>
              <w:ind w:firstLine="420" w:firstLineChars="200"/>
              <w:jc w:val="left"/>
              <w:rPr>
                <w:rFonts w:ascii="宋体" w:hAnsi="宋体" w:cs="宋体"/>
                <w:szCs w:val="21"/>
              </w:rPr>
            </w:pPr>
            <w:r>
              <w:rPr>
                <w:rFonts w:hint="eastAsia" w:ascii="宋体" w:hAnsi="宋体" w:cs="宋体"/>
                <w:szCs w:val="21"/>
              </w:rPr>
              <w:t>现场施工部关键岗位人员按湘建建【2015】57号文最低配备如下：</w:t>
            </w:r>
          </w:p>
          <w:p>
            <w:pPr>
              <w:spacing w:line="360" w:lineRule="auto"/>
              <w:jc w:val="left"/>
              <w:rPr>
                <w:rFonts w:ascii="宋体" w:hAnsi="宋体" w:cs="宋体"/>
                <w:szCs w:val="21"/>
              </w:rPr>
            </w:pPr>
            <w:r>
              <w:rPr>
                <w:rFonts w:hint="eastAsia" w:ascii="宋体" w:hAnsi="宋体" w:cs="宋体"/>
                <w:szCs w:val="21"/>
              </w:rPr>
              <w:t>项目负责人1人、</w:t>
            </w:r>
            <w:r>
              <w:rPr>
                <w:rFonts w:hint="eastAsia"/>
                <w:szCs w:val="21"/>
              </w:rPr>
              <w:t>施工员1人、安全员1人</w:t>
            </w:r>
          </w:p>
        </w:tc>
        <w:tc>
          <w:tcPr>
            <w:tcW w:w="6346" w:type="dxa"/>
            <w:vAlign w:val="center"/>
          </w:tcPr>
          <w:p>
            <w:pPr>
              <w:widowControl/>
              <w:spacing w:line="360" w:lineRule="auto"/>
              <w:ind w:firstLine="420" w:firstLineChars="200"/>
              <w:rPr>
                <w:rFonts w:ascii="宋体" w:hAnsi="宋体" w:cs="宋体"/>
                <w:kern w:val="0"/>
                <w:szCs w:val="21"/>
              </w:rPr>
            </w:pPr>
            <w:r>
              <w:rPr>
                <w:rFonts w:hint="eastAsia" w:ascii="宋体" w:hAnsi="宋体" w:cs="宋体"/>
                <w:kern w:val="0"/>
                <w:szCs w:val="21"/>
              </w:rPr>
              <w:t>拟任项目负责人应附注册建造师证（机电工程或通信工程专业二级及以上注册建造师）、B类安全生产考核合格证；</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安全员应附</w:t>
            </w:r>
            <w:bookmarkStart w:id="6" w:name="OLE_LINK25"/>
            <w:r>
              <w:rPr>
                <w:rFonts w:hint="eastAsia" w:ascii="宋体" w:hAnsi="宋体" w:cs="宋体"/>
                <w:kern w:val="0"/>
                <w:szCs w:val="21"/>
              </w:rPr>
              <w:t>C类安全生产考核合格</w:t>
            </w:r>
            <w:bookmarkEnd w:id="6"/>
            <w:r>
              <w:rPr>
                <w:rFonts w:hint="eastAsia" w:ascii="宋体" w:hAnsi="宋体" w:cs="宋体"/>
                <w:kern w:val="0"/>
                <w:szCs w:val="21"/>
              </w:rPr>
              <w:t>证；</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施工员应附身份证、执业资质证或上岗证书。</w:t>
            </w:r>
          </w:p>
          <w:p>
            <w:pPr>
              <w:pStyle w:val="41"/>
              <w:spacing w:before="0" w:beforeAutospacing="0" w:after="0" w:afterAutospacing="0" w:line="360" w:lineRule="auto"/>
              <w:ind w:firstLine="420" w:firstLineChars="200"/>
              <w:rPr>
                <w:sz w:val="21"/>
                <w:szCs w:val="21"/>
              </w:rPr>
            </w:pPr>
            <w:r>
              <w:rPr>
                <w:rFonts w:hint="eastAsia"/>
                <w:sz w:val="21"/>
                <w:szCs w:val="21"/>
              </w:rPr>
              <w:t>岗位资格证书注明了单位名称的，应与本人执业单位一致。</w:t>
            </w:r>
          </w:p>
        </w:tc>
      </w:tr>
    </w:tbl>
    <w:p>
      <w:pPr>
        <w:widowControl/>
        <w:spacing w:line="357" w:lineRule="atLeast"/>
        <w:ind w:firstLine="420" w:firstLineChars="200"/>
        <w:jc w:val="left"/>
        <w:rPr>
          <w:rFonts w:ascii="宋体" w:hAnsi="宋体" w:cs="宋体"/>
          <w:szCs w:val="21"/>
        </w:rPr>
      </w:pPr>
      <w:r>
        <w:rPr>
          <w:rFonts w:hint="eastAsia" w:ascii="宋体" w:hAnsi="宋体" w:cs="宋体"/>
          <w:szCs w:val="21"/>
        </w:rPr>
        <w:t>注：</w:t>
      </w:r>
      <w:r>
        <w:rPr>
          <w:rFonts w:hAnsi="宋体" w:cs="宋体"/>
          <w:szCs w:val="21"/>
        </w:rPr>
        <w:t>在项目实施过程中，施工项目部关键岗位人员配备应按</w:t>
      </w:r>
      <w:r>
        <w:rPr>
          <w:rFonts w:hAnsi="宋体" w:cs="宋体"/>
          <w:bCs/>
          <w:szCs w:val="21"/>
        </w:rPr>
        <w:t>《湖南省建设工程施工项目部和现场监理部关键岗位人员配备管理办法》（湘建建【2015】57号文）</w:t>
      </w:r>
      <w:r>
        <w:rPr>
          <w:rFonts w:hAnsi="宋体" w:cs="宋体"/>
          <w:szCs w:val="21"/>
        </w:rPr>
        <w:t>的规定执行</w:t>
      </w:r>
      <w:r>
        <w:rPr>
          <w:rFonts w:hint="eastAsia" w:ascii="宋体" w:hAnsi="宋体" w:cs="宋体"/>
          <w:szCs w:val="21"/>
        </w:rPr>
        <w:t>。</w:t>
      </w:r>
    </w:p>
    <w:p>
      <w:pPr>
        <w:pStyle w:val="3"/>
        <w:keepNext w:val="0"/>
        <w:spacing w:after="240"/>
        <w:rPr>
          <w:rFonts w:ascii="宋体" w:hAnsi="宋体" w:cs="宋体"/>
          <w:b w:val="0"/>
          <w:bCs w:val="0"/>
          <w:sz w:val="32"/>
          <w:szCs w:val="32"/>
        </w:rPr>
      </w:pPr>
    </w:p>
    <w:p/>
    <w:p/>
    <w:p/>
    <w:p/>
    <w:p/>
    <w:p/>
    <w:p/>
    <w:p/>
    <w:p/>
    <w:p/>
    <w:p/>
    <w:p/>
    <w:p/>
    <w:p/>
    <w:p/>
    <w:p/>
    <w:p/>
    <w:p/>
    <w:p/>
    <w:p/>
    <w:p/>
    <w:p/>
    <w:p/>
    <w:p/>
    <w:p/>
    <w:p/>
    <w:p/>
    <w:p/>
    <w:p/>
    <w:p/>
    <w:p/>
    <w:p/>
    <w:p>
      <w:pPr>
        <w:jc w:val="center"/>
        <w:rPr>
          <w:rFonts w:ascii="宋体" w:hAnsi="宋体" w:cs="宋体"/>
          <w:kern w:val="0"/>
          <w:sz w:val="32"/>
          <w:szCs w:val="32"/>
        </w:rPr>
      </w:pPr>
    </w:p>
    <w:p/>
    <w:p>
      <w:pPr>
        <w:pStyle w:val="3"/>
        <w:keepNext w:val="0"/>
        <w:spacing w:after="240"/>
        <w:rPr>
          <w:rFonts w:ascii="宋体" w:hAnsi="宋体" w:cs="宋体"/>
          <w:bCs w:val="0"/>
          <w:sz w:val="32"/>
          <w:szCs w:val="32"/>
        </w:rPr>
      </w:pPr>
      <w:bookmarkStart w:id="7" w:name="_Toc8914"/>
      <w:bookmarkStart w:id="8" w:name="_Toc5145"/>
      <w:bookmarkStart w:id="9" w:name="_Toc6753"/>
      <w:bookmarkStart w:id="10" w:name="_Toc14891065"/>
      <w:bookmarkStart w:id="11" w:name="_Toc26282"/>
      <w:r>
        <w:rPr>
          <w:rFonts w:hint="eastAsia" w:ascii="宋体" w:hAnsi="宋体" w:cs="宋体"/>
          <w:bCs w:val="0"/>
          <w:sz w:val="32"/>
          <w:szCs w:val="32"/>
        </w:rPr>
        <w:t>第二章  谈判须知</w:t>
      </w:r>
      <w:bookmarkEnd w:id="7"/>
      <w:bookmarkEnd w:id="8"/>
      <w:bookmarkEnd w:id="9"/>
      <w:bookmarkEnd w:id="10"/>
      <w:bookmarkEnd w:id="11"/>
    </w:p>
    <w:p>
      <w:pPr>
        <w:pStyle w:val="4"/>
        <w:keepNext w:val="0"/>
        <w:keepLines w:val="0"/>
        <w:jc w:val="center"/>
        <w:rPr>
          <w:rFonts w:ascii="宋体" w:hAnsi="宋体" w:cs="宋体"/>
          <w:sz w:val="21"/>
          <w:szCs w:val="21"/>
        </w:rPr>
      </w:pPr>
      <w:bookmarkStart w:id="12" w:name="_Toc14891066"/>
      <w:bookmarkStart w:id="13" w:name="_Toc9591"/>
      <w:bookmarkStart w:id="14" w:name="_Toc6617"/>
      <w:bookmarkStart w:id="15" w:name="_Toc17682"/>
      <w:bookmarkStart w:id="16" w:name="_Toc5430"/>
      <w:r>
        <w:rPr>
          <w:rFonts w:hint="eastAsia" w:ascii="宋体" w:hAnsi="宋体" w:cs="宋体"/>
          <w:sz w:val="32"/>
        </w:rPr>
        <w:t>谈判须知前附表</w:t>
      </w:r>
      <w:bookmarkEnd w:id="12"/>
      <w:bookmarkEnd w:id="13"/>
      <w:bookmarkEnd w:id="14"/>
      <w:bookmarkEnd w:id="15"/>
      <w:bookmarkEnd w:id="16"/>
    </w:p>
    <w:tbl>
      <w:tblPr>
        <w:tblStyle w:val="46"/>
        <w:tblW w:w="96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64"/>
        <w:gridCol w:w="77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名  称</w:t>
            </w:r>
          </w:p>
        </w:tc>
        <w:tc>
          <w:tcPr>
            <w:tcW w:w="7788"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采购项目</w:t>
            </w:r>
          </w:p>
        </w:tc>
        <w:tc>
          <w:tcPr>
            <w:tcW w:w="7788" w:type="dxa"/>
            <w:vAlign w:val="center"/>
          </w:tcPr>
          <w:p>
            <w:pPr>
              <w:adjustRightInd w:val="0"/>
              <w:snapToGrid w:val="0"/>
              <w:spacing w:line="360" w:lineRule="auto"/>
              <w:jc w:val="left"/>
              <w:rPr>
                <w:rFonts w:hint="eastAsia" w:ascii="宋体" w:hAnsi="宋体" w:eastAsia="宋体" w:cs="宋体"/>
                <w:szCs w:val="21"/>
                <w:lang w:eastAsia="zh-CN"/>
              </w:rPr>
            </w:pPr>
            <w:r>
              <w:rPr>
                <w:rFonts w:hint="eastAsia" w:ascii="宋体" w:hAnsi="宋体" w:cs="宋体"/>
                <w:szCs w:val="21"/>
                <w:lang w:eastAsia="zh-CN"/>
              </w:rPr>
              <w:t>长沙市轨道交通1、2号线运营期车站自动检票机改造工程项目（第二次）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采购单位</w:t>
            </w:r>
          </w:p>
        </w:tc>
        <w:tc>
          <w:tcPr>
            <w:tcW w:w="7788" w:type="dxa"/>
            <w:vAlign w:val="center"/>
          </w:tcPr>
          <w:p>
            <w:pPr>
              <w:adjustRightInd w:val="0"/>
              <w:snapToGrid w:val="0"/>
              <w:spacing w:line="360" w:lineRule="auto"/>
              <w:jc w:val="left"/>
              <w:rPr>
                <w:rFonts w:hint="eastAsia" w:ascii="宋体" w:hAnsi="宋体" w:eastAsia="宋体" w:cs="宋体"/>
                <w:iCs/>
                <w:szCs w:val="21"/>
                <w:lang w:eastAsia="zh-CN"/>
              </w:rPr>
            </w:pPr>
            <w:r>
              <w:rPr>
                <w:rFonts w:hint="eastAsia" w:ascii="宋体" w:hAnsi="宋体" w:cs="宋体"/>
                <w:iCs/>
                <w:szCs w:val="21"/>
              </w:rPr>
              <w:t>长沙市轨道交通运营有限公司、</w:t>
            </w:r>
            <w:r>
              <w:rPr>
                <w:rFonts w:hint="eastAsia" w:ascii="宋体" w:hAnsi="宋体" w:cs="宋体"/>
                <w:iCs/>
                <w:szCs w:val="21"/>
                <w:lang w:eastAsia="zh-CN"/>
              </w:rPr>
              <w:t>长沙市轨道交通一号线建设发展有限公司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采购代理机构</w:t>
            </w:r>
          </w:p>
        </w:tc>
        <w:tc>
          <w:tcPr>
            <w:tcW w:w="7788" w:type="dxa"/>
            <w:vAlign w:val="center"/>
          </w:tcPr>
          <w:p>
            <w:pPr>
              <w:adjustRightInd w:val="0"/>
              <w:snapToGrid w:val="0"/>
              <w:spacing w:line="360" w:lineRule="auto"/>
              <w:jc w:val="left"/>
              <w:rPr>
                <w:rFonts w:hint="eastAsia" w:ascii="宋体" w:hAnsi="宋体" w:eastAsia="宋体" w:cs="宋体"/>
                <w:iCs/>
                <w:szCs w:val="21"/>
                <w:lang w:eastAsia="zh-CN"/>
              </w:rPr>
            </w:pPr>
            <w:r>
              <w:rPr>
                <w:rFonts w:hint="eastAsia" w:ascii="宋体" w:hAnsi="宋体" w:cs="宋体"/>
                <w:iCs/>
                <w:szCs w:val="21"/>
                <w:lang w:eastAsia="zh-CN"/>
              </w:rPr>
              <w:t>华春建设工程项目管理有限责任公司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最高限价</w:t>
            </w:r>
          </w:p>
        </w:tc>
        <w:tc>
          <w:tcPr>
            <w:tcW w:w="7788" w:type="dxa"/>
            <w:vAlign w:val="center"/>
          </w:tcPr>
          <w:p>
            <w:pPr>
              <w:adjustRightInd w:val="0"/>
              <w:snapToGrid w:val="0"/>
              <w:spacing w:line="360" w:lineRule="auto"/>
              <w:jc w:val="left"/>
              <w:rPr>
                <w:rFonts w:ascii="宋体" w:hAnsi="宋体" w:cs="宋体"/>
                <w:iCs/>
                <w:szCs w:val="21"/>
                <w:highlight w:val="yellow"/>
              </w:rPr>
            </w:pPr>
            <w:r>
              <w:rPr>
                <w:rFonts w:hint="eastAsia" w:hAnsi="宋体" w:cs="宋体"/>
                <w:highlight w:val="none"/>
                <w:lang w:eastAsia="zh-CN"/>
              </w:rPr>
              <w:t>288003.67</w:t>
            </w:r>
            <w:r>
              <w:rPr>
                <w:rFonts w:hint="eastAsia" w:ascii="宋体" w:hAnsi="宋体" w:cs="宋体"/>
                <w:iCs/>
                <w:szCs w:val="21"/>
                <w:highlight w:val="none"/>
              </w:rPr>
              <w:t>元，不</w:t>
            </w:r>
            <w:r>
              <w:rPr>
                <w:rFonts w:hint="eastAsia" w:ascii="宋体" w:hAnsi="宋体" w:cs="宋体"/>
                <w:iCs/>
                <w:szCs w:val="21"/>
              </w:rPr>
              <w:t>超过谈判最高限价的谈判报价为有效报价。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评审办法</w:t>
            </w:r>
          </w:p>
        </w:tc>
        <w:tc>
          <w:tcPr>
            <w:tcW w:w="7788" w:type="dxa"/>
            <w:vAlign w:val="center"/>
          </w:tcPr>
          <w:p>
            <w:pPr>
              <w:adjustRightInd w:val="0"/>
              <w:snapToGrid w:val="0"/>
              <w:spacing w:line="360" w:lineRule="auto"/>
              <w:jc w:val="left"/>
              <w:rPr>
                <w:rFonts w:ascii="宋体" w:hAnsi="宋体" w:cs="宋体"/>
                <w:iCs/>
                <w:szCs w:val="21"/>
              </w:rPr>
            </w:pPr>
            <w:r>
              <w:rPr>
                <w:rFonts w:hint="eastAsia" w:ascii="宋体" w:hAnsi="宋体" w:cs="宋体"/>
                <w:bCs/>
              </w:rPr>
              <w:t>经符合性审查合格后的</w:t>
            </w:r>
            <w:r>
              <w:rPr>
                <w:rFonts w:hint="eastAsia" w:ascii="宋体" w:hAnsi="宋体" w:cs="宋体"/>
              </w:rPr>
              <w:t>最低价法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资格要求</w:t>
            </w:r>
          </w:p>
        </w:tc>
        <w:tc>
          <w:tcPr>
            <w:tcW w:w="7788"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1.谈判单位须为具有独立法人资格、自主经营、独立核算的公司</w:t>
            </w:r>
            <w:r>
              <w:rPr>
                <w:rFonts w:hint="eastAsia" w:ascii="宋体" w:hAnsi="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rPr>
            </w:pPr>
            <w:r>
              <w:rPr>
                <w:rFonts w:hint="eastAsia" w:ascii="宋体" w:hAnsi="宋体" w:eastAsia="宋体" w:cs="宋体"/>
                <w:color w:val="auto"/>
                <w:sz w:val="21"/>
                <w:szCs w:val="21"/>
                <w:highlight w:val="none"/>
              </w:rPr>
              <w:t>2.</w:t>
            </w:r>
            <w:r>
              <w:rPr>
                <w:rFonts w:hint="eastAsia" w:ascii="宋体" w:hAnsi="宋体" w:cs="宋体"/>
                <w:highlight w:val="none"/>
              </w:rPr>
              <w:t>谈判单</w:t>
            </w:r>
            <w:r>
              <w:rPr>
                <w:rFonts w:hint="eastAsia" w:ascii="宋体" w:hAnsi="宋体" w:cs="宋体"/>
              </w:rPr>
              <w:t>位须具有电子与智能化工程专业承包二级及以上或建筑机电安装工程专业承包三级及以上或通信工程施工总承包三级及以上或机电工程施工总承包三级及以上资质，须具有有效的施工企业《安全生产许可证》。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本项目现场施工部关键岗位人员最低配备按《湖南省建设工程施工项目部和现场监理部关键岗位人员配备管理办法》湘建建〔2015〕57号文执行</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FF0000"/>
                <w:sz w:val="21"/>
                <w:szCs w:val="21"/>
                <w:highlight w:val="none"/>
                <w:lang w:eastAsia="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highlight w:val="none"/>
              </w:rPr>
              <w:t>湖南省外企业须按照湘建建【2015】190号文件要求办理省外入湘企业基本情况登记（以“湖南省住房和城乡建设网”查询为准）或具有入湘施工登记证（处于有效期内）。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eastAsia="zh-CN"/>
              </w:rPr>
              <w:t>项目谈判</w:t>
            </w:r>
            <w:r>
              <w:rPr>
                <w:rFonts w:hint="eastAsia" w:ascii="宋体" w:hAnsi="宋体" w:eastAsia="宋体" w:cs="宋体"/>
                <w:color w:val="auto"/>
                <w:sz w:val="21"/>
                <w:szCs w:val="21"/>
                <w:highlight w:val="none"/>
              </w:rPr>
              <w:t>不接受联合体</w:t>
            </w:r>
            <w:r>
              <w:rPr>
                <w:rFonts w:hint="eastAsia" w:ascii="宋体" w:hAnsi="宋体" w:eastAsia="宋体" w:cs="宋体"/>
                <w:color w:val="auto"/>
                <w:sz w:val="21"/>
                <w:szCs w:val="21"/>
                <w:highlight w:val="none"/>
                <w:lang w:eastAsia="zh-CN"/>
              </w:rPr>
              <w:t>形式参与</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.被长沙市轨道交通集团函告禁止在一定期限内参与轨道公司项目投标的单位按函告内容执行。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谈判答疑文件递交截止时间</w:t>
            </w:r>
          </w:p>
        </w:tc>
        <w:tc>
          <w:tcPr>
            <w:tcW w:w="7788" w:type="dxa"/>
            <w:vAlign w:val="center"/>
          </w:tcPr>
          <w:p>
            <w:pPr>
              <w:pStyle w:val="25"/>
              <w:adjustRightInd w:val="0"/>
              <w:snapToGrid w:val="0"/>
              <w:spacing w:line="360" w:lineRule="auto"/>
              <w:rPr>
                <w:rFonts w:hAnsi="宋体" w:cs="宋体"/>
              </w:rPr>
            </w:pPr>
            <w:r>
              <w:rPr>
                <w:rFonts w:hint="eastAsia" w:hAnsi="宋体" w:cs="宋体"/>
                <w:u w:val="single"/>
              </w:rPr>
              <w:t>20</w:t>
            </w:r>
            <w:r>
              <w:rPr>
                <w:rFonts w:hAnsi="宋体" w:cs="宋体"/>
                <w:u w:val="single"/>
              </w:rPr>
              <w:t>21</w:t>
            </w:r>
            <w:r>
              <w:rPr>
                <w:rFonts w:hint="eastAsia" w:hAnsi="宋体" w:cs="宋体"/>
              </w:rPr>
              <w:t>年</w:t>
            </w:r>
            <w:r>
              <w:rPr>
                <w:rFonts w:hint="eastAsia" w:hAnsi="宋体" w:cs="宋体"/>
                <w:u w:val="single"/>
                <w:lang w:val="en-US" w:eastAsia="zh-CN"/>
              </w:rPr>
              <w:t>04</w:t>
            </w:r>
            <w:r>
              <w:rPr>
                <w:rFonts w:hint="eastAsia" w:hAnsi="宋体" w:cs="宋体"/>
              </w:rPr>
              <w:t>月</w:t>
            </w:r>
            <w:r>
              <w:rPr>
                <w:rFonts w:hint="eastAsia" w:hAnsi="宋体" w:cs="宋体"/>
                <w:u w:val="single"/>
                <w:lang w:val="en-US" w:eastAsia="zh-CN"/>
              </w:rPr>
              <w:t>16</w:t>
            </w:r>
            <w:r>
              <w:rPr>
                <w:rFonts w:hint="eastAsia" w:hAnsi="宋体" w:cs="宋体"/>
              </w:rPr>
              <w:t>日17 时 00 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谈判答疑文件递交方式及地点</w:t>
            </w:r>
          </w:p>
        </w:tc>
        <w:tc>
          <w:tcPr>
            <w:tcW w:w="7788" w:type="dxa"/>
            <w:vAlign w:val="center"/>
          </w:tcPr>
          <w:p>
            <w:pPr>
              <w:pStyle w:val="25"/>
              <w:adjustRightInd w:val="0"/>
              <w:snapToGrid w:val="0"/>
              <w:spacing w:line="360" w:lineRule="auto"/>
              <w:ind w:firstLine="420" w:firstLineChars="200"/>
              <w:rPr>
                <w:rFonts w:hAnsi="宋体" w:cs="宋体"/>
                <w:iCs/>
              </w:rPr>
            </w:pPr>
            <w:r>
              <w:rPr>
                <w:rFonts w:hint="eastAsia" w:hAnsi="宋体" w:cs="宋体"/>
              </w:rPr>
              <w:t>谈判答疑文件应以书面形式递交至</w:t>
            </w:r>
            <w:r>
              <w:rPr>
                <w:rFonts w:hint="eastAsia" w:hAnsi="宋体" w:cs="宋体"/>
                <w:iCs/>
                <w:lang w:eastAsia="zh-CN"/>
              </w:rPr>
              <w:t>华春建设工程项目管理有限责任公司</w:t>
            </w:r>
            <w:r>
              <w:rPr>
                <w:rFonts w:hint="eastAsia" w:hAnsi="宋体" w:cs="宋体"/>
                <w:iCs/>
              </w:rPr>
              <w:t>（地址：</w:t>
            </w:r>
            <w:r>
              <w:rPr>
                <w:rFonts w:hint="eastAsia" w:hAnsi="宋体" w:cs="宋体"/>
                <w:lang w:eastAsia="zh-CN"/>
              </w:rPr>
              <w:t>长沙市芙蓉中路二段200号新世纪花苑红龙居1505室</w:t>
            </w:r>
            <w:r>
              <w:rPr>
                <w:rFonts w:hint="eastAsia" w:hAnsi="宋体" w:cs="宋体"/>
                <w:iCs/>
              </w:rPr>
              <w:t>）</w:t>
            </w:r>
            <w:r>
              <w:rPr>
                <w:rFonts w:hint="eastAsia" w:hAnsi="宋体"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响应文件的递交截止及谈判时间</w:t>
            </w:r>
          </w:p>
        </w:tc>
        <w:tc>
          <w:tcPr>
            <w:tcW w:w="7788" w:type="dxa"/>
            <w:vAlign w:val="center"/>
          </w:tcPr>
          <w:p>
            <w:pPr>
              <w:adjustRightInd w:val="0"/>
              <w:snapToGrid w:val="0"/>
              <w:spacing w:line="360" w:lineRule="auto"/>
              <w:jc w:val="left"/>
              <w:rPr>
                <w:rFonts w:ascii="宋体" w:hAnsi="宋体" w:cs="宋体"/>
                <w:szCs w:val="21"/>
              </w:rPr>
            </w:pPr>
            <w:r>
              <w:rPr>
                <w:rFonts w:hint="eastAsia" w:ascii="宋体" w:hAnsi="宋体" w:cs="宋体"/>
                <w:bCs/>
                <w:szCs w:val="21"/>
                <w:u w:val="single"/>
              </w:rPr>
              <w:t>20</w:t>
            </w:r>
            <w:r>
              <w:rPr>
                <w:rFonts w:ascii="宋体" w:hAnsi="宋体" w:cs="宋体"/>
                <w:bCs/>
                <w:szCs w:val="21"/>
                <w:u w:val="single"/>
              </w:rPr>
              <w:t>21</w:t>
            </w:r>
            <w:r>
              <w:rPr>
                <w:rFonts w:hint="eastAsia" w:ascii="宋体" w:hAnsi="宋体" w:cs="宋体"/>
                <w:bCs/>
                <w:szCs w:val="21"/>
              </w:rPr>
              <w:t>年</w:t>
            </w:r>
            <w:r>
              <w:rPr>
                <w:rFonts w:hint="eastAsia" w:ascii="宋体" w:hAnsi="宋体" w:cs="宋体"/>
                <w:bCs/>
                <w:szCs w:val="21"/>
                <w:u w:val="single"/>
                <w:lang w:val="en-US" w:eastAsia="zh-CN"/>
              </w:rPr>
              <w:t>04</w:t>
            </w:r>
            <w:r>
              <w:rPr>
                <w:rFonts w:hint="eastAsia" w:ascii="宋体" w:hAnsi="宋体" w:cs="宋体"/>
                <w:bCs/>
                <w:szCs w:val="21"/>
              </w:rPr>
              <w:t>月</w:t>
            </w:r>
            <w:r>
              <w:rPr>
                <w:rFonts w:hint="eastAsia" w:ascii="宋体" w:hAnsi="宋体" w:cs="宋体"/>
                <w:bCs/>
                <w:szCs w:val="21"/>
                <w:u w:val="single"/>
                <w:lang w:val="en-US" w:eastAsia="zh-CN"/>
              </w:rPr>
              <w:t>20</w:t>
            </w:r>
            <w:bookmarkStart w:id="121" w:name="_GoBack"/>
            <w:bookmarkEnd w:id="121"/>
            <w:r>
              <w:rPr>
                <w:rFonts w:hint="eastAsia" w:ascii="宋体" w:hAnsi="宋体" w:cs="宋体"/>
                <w:bCs/>
                <w:szCs w:val="21"/>
              </w:rPr>
              <w:t>日</w:t>
            </w:r>
            <w:r>
              <w:rPr>
                <w:rFonts w:hint="eastAsia" w:ascii="宋体" w:hAnsi="宋体" w:cs="宋体"/>
                <w:szCs w:val="21"/>
              </w:rPr>
              <w:t>14 时 30 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响应文件的递交及谈判地点</w:t>
            </w:r>
          </w:p>
        </w:tc>
        <w:tc>
          <w:tcPr>
            <w:tcW w:w="7788" w:type="dxa"/>
            <w:vAlign w:val="center"/>
          </w:tcPr>
          <w:p>
            <w:pPr>
              <w:adjustRightInd w:val="0"/>
              <w:snapToGrid w:val="0"/>
              <w:spacing w:line="360" w:lineRule="auto"/>
              <w:jc w:val="left"/>
              <w:rPr>
                <w:rFonts w:ascii="宋体" w:hAnsi="宋体" w:cs="宋体"/>
                <w:szCs w:val="21"/>
              </w:rPr>
            </w:pPr>
            <w:r>
              <w:rPr>
                <w:rFonts w:hint="eastAsia" w:ascii="宋体" w:hAnsi="宋体" w:cs="宋体"/>
                <w:bCs/>
                <w:szCs w:val="21"/>
              </w:rPr>
              <w:t>长沙市</w:t>
            </w:r>
            <w:r>
              <w:rPr>
                <w:rFonts w:hint="eastAsia" w:ascii="宋体" w:hAnsi="宋体" w:cs="宋体"/>
                <w:iCs/>
                <w:szCs w:val="21"/>
              </w:rPr>
              <w:t>劳动东路二段48号</w:t>
            </w:r>
            <w:r>
              <w:rPr>
                <w:rFonts w:hint="eastAsia" w:ascii="宋体" w:hAnsi="宋体" w:cs="宋体"/>
                <w:szCs w:val="21"/>
              </w:rPr>
              <w:t>长沙市轨道交通运营有限公司</w:t>
            </w:r>
            <w:r>
              <w:rPr>
                <w:rFonts w:hint="eastAsia" w:ascii="宋体" w:hAnsi="宋体" w:cs="宋体"/>
                <w:iCs/>
                <w:szCs w:val="21"/>
              </w:rPr>
              <w:t>段综合楼910室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谈判现场验证须提交的资料</w:t>
            </w:r>
          </w:p>
        </w:tc>
        <w:tc>
          <w:tcPr>
            <w:tcW w:w="7788" w:type="dxa"/>
            <w:vAlign w:val="center"/>
          </w:tcPr>
          <w:p>
            <w:pPr>
              <w:adjustRightInd w:val="0"/>
              <w:snapToGrid w:val="0"/>
              <w:spacing w:line="360" w:lineRule="auto"/>
              <w:ind w:firstLine="420" w:firstLineChars="200"/>
              <w:jc w:val="left"/>
              <w:rPr>
                <w:rFonts w:ascii="宋体" w:hAnsi="宋体" w:cs="宋体"/>
                <w:color w:val="FF0000"/>
                <w:szCs w:val="21"/>
              </w:rPr>
            </w:pPr>
            <w:r>
              <w:rPr>
                <w:rFonts w:hint="eastAsia" w:ascii="宋体" w:hAnsi="宋体" w:cs="宋体"/>
                <w:iCs/>
                <w:szCs w:val="21"/>
              </w:rPr>
              <w:t>1.谈判单位代表是谈判单位法定代表人参加的，法定代表人须提供法定代表人身份证明书原件</w:t>
            </w:r>
            <w:r>
              <w:rPr>
                <w:rFonts w:hint="eastAsia" w:ascii="宋体" w:hAnsi="宋体" w:cs="宋体"/>
                <w:b/>
                <w:bCs/>
                <w:iCs/>
                <w:szCs w:val="21"/>
              </w:rPr>
              <w:t>（格式详见本文件第七章）</w:t>
            </w:r>
            <w:r>
              <w:rPr>
                <w:rFonts w:hint="eastAsia" w:ascii="宋体" w:hAnsi="宋体" w:cs="宋体"/>
                <w:szCs w:val="21"/>
              </w:rPr>
              <w:t>及本人身份证原件。</w:t>
            </w:r>
          </w:p>
          <w:p>
            <w:pPr>
              <w:adjustRightInd w:val="0"/>
              <w:snapToGrid w:val="0"/>
              <w:spacing w:line="360" w:lineRule="auto"/>
              <w:ind w:firstLine="420" w:firstLineChars="200"/>
              <w:jc w:val="left"/>
              <w:rPr>
                <w:rFonts w:ascii="宋体" w:hAnsi="宋体" w:cs="宋体"/>
                <w:iCs/>
                <w:szCs w:val="21"/>
              </w:rPr>
            </w:pPr>
            <w:r>
              <w:rPr>
                <w:rFonts w:hint="eastAsia" w:ascii="宋体" w:hAnsi="宋体" w:cs="宋体"/>
                <w:szCs w:val="21"/>
              </w:rPr>
              <w:t>2.谈判单位代表是由谈判单位法定代表人授权的委托代理人参加的，其授权委托代理人须提供授权委托书原件</w:t>
            </w:r>
            <w:r>
              <w:rPr>
                <w:rFonts w:hint="eastAsia" w:ascii="宋体" w:hAnsi="宋体" w:cs="宋体"/>
                <w:b/>
                <w:szCs w:val="21"/>
              </w:rPr>
              <w:t>（格式详见本文件</w:t>
            </w:r>
            <w:r>
              <w:rPr>
                <w:rFonts w:hint="eastAsia" w:ascii="宋体" w:hAnsi="宋体" w:cs="宋体"/>
                <w:b/>
                <w:bCs/>
                <w:iCs/>
                <w:szCs w:val="21"/>
              </w:rPr>
              <w:t>第七章</w:t>
            </w:r>
            <w:r>
              <w:rPr>
                <w:rFonts w:hint="eastAsia" w:ascii="宋体" w:hAnsi="宋体" w:cs="宋体"/>
                <w:b/>
                <w:szCs w:val="21"/>
              </w:rPr>
              <w:t>）</w:t>
            </w:r>
            <w:r>
              <w:rPr>
                <w:rFonts w:hint="eastAsia" w:ascii="宋体" w:hAnsi="宋体" w:cs="宋体"/>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响应文件有效期</w:t>
            </w:r>
          </w:p>
        </w:tc>
        <w:tc>
          <w:tcPr>
            <w:tcW w:w="7788" w:type="dxa"/>
            <w:vAlign w:val="center"/>
          </w:tcPr>
          <w:p>
            <w:pPr>
              <w:adjustRightInd w:val="0"/>
              <w:snapToGrid w:val="0"/>
              <w:spacing w:line="360" w:lineRule="auto"/>
              <w:jc w:val="left"/>
              <w:rPr>
                <w:rFonts w:ascii="宋体" w:hAnsi="宋体" w:cs="宋体"/>
                <w:szCs w:val="21"/>
              </w:rPr>
            </w:pPr>
            <w:r>
              <w:rPr>
                <w:rFonts w:hint="eastAsia" w:ascii="宋体" w:hAnsi="宋体" w:cs="宋体"/>
                <w:szCs w:val="21"/>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响应文件份数</w:t>
            </w:r>
          </w:p>
        </w:tc>
        <w:tc>
          <w:tcPr>
            <w:tcW w:w="7788" w:type="dxa"/>
            <w:vAlign w:val="center"/>
          </w:tcPr>
          <w:p>
            <w:pPr>
              <w:adjustRightInd w:val="0"/>
              <w:snapToGrid w:val="0"/>
              <w:spacing w:line="360" w:lineRule="auto"/>
              <w:rPr>
                <w:rFonts w:ascii="宋体" w:hAnsi="宋体" w:cs="宋体"/>
                <w:szCs w:val="21"/>
                <w:u w:val="single"/>
              </w:rPr>
            </w:pPr>
            <w:r>
              <w:rPr>
                <w:rFonts w:hint="eastAsia" w:ascii="宋体" w:hAnsi="宋体" w:cs="宋体"/>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价格承包内容</w:t>
            </w:r>
          </w:p>
        </w:tc>
        <w:tc>
          <w:tcPr>
            <w:tcW w:w="7788" w:type="dxa"/>
            <w:vAlign w:val="center"/>
          </w:tcPr>
          <w:p>
            <w:pPr>
              <w:adjustRightInd w:val="0"/>
              <w:snapToGrid w:val="0"/>
              <w:spacing w:line="360" w:lineRule="auto"/>
              <w:ind w:firstLine="448"/>
              <w:rPr>
                <w:rFonts w:ascii="宋体" w:hAnsi="宋体" w:cs="宋体"/>
                <w:szCs w:val="21"/>
              </w:rPr>
            </w:pPr>
            <w:r>
              <w:rPr>
                <w:rFonts w:hint="eastAsia" w:ascii="宋体" w:hAnsi="宋体" w:eastAsia="宋体" w:cs="宋体"/>
                <w:bCs/>
                <w:sz w:val="21"/>
                <w:szCs w:val="21"/>
                <w:lang w:eastAsia="zh-CN"/>
              </w:rPr>
              <w:t>单价</w:t>
            </w:r>
            <w:r>
              <w:rPr>
                <w:rFonts w:hint="eastAsia" w:ascii="宋体" w:hAnsi="宋体" w:eastAsia="宋体" w:cs="宋体"/>
                <w:bCs/>
                <w:sz w:val="21"/>
                <w:szCs w:val="21"/>
              </w:rPr>
              <w:t>合同</w:t>
            </w:r>
            <w:r>
              <w:rPr>
                <w:rFonts w:hint="eastAsia" w:ascii="宋体" w:hAnsi="宋体" w:eastAsia="宋体" w:cs="宋体"/>
                <w:bCs/>
                <w:sz w:val="21"/>
                <w:szCs w:val="21"/>
                <w:lang w:eastAsia="zh-CN"/>
              </w:rPr>
              <w:t>，合同单</w:t>
            </w:r>
            <w:r>
              <w:rPr>
                <w:rFonts w:hint="eastAsia" w:ascii="宋体" w:hAnsi="宋体" w:eastAsia="宋体" w:cs="宋体"/>
                <w:bCs/>
                <w:sz w:val="21"/>
                <w:szCs w:val="21"/>
              </w:rPr>
              <w:t>价均包括但不限于工程材料费、人工费、运输费、各类规费、保险费及税金、施工过程设备及材料损坏损失、施工事故损失、施工垃圾清理、与本施工有关的运输过程中涉及所有人身、设备安全等与工程有关的一切费用</w:t>
            </w:r>
            <w:r>
              <w:rPr>
                <w:rFonts w:hint="eastAsia" w:ascii="宋体" w:hAnsi="宋体" w:eastAsia="宋体" w:cs="宋体"/>
                <w:bCs/>
                <w:sz w:val="21"/>
                <w:szCs w:val="21"/>
                <w:lang w:val="en-US" w:eastAsia="zh-CN"/>
              </w:rPr>
              <w:t>(水电费除外）</w:t>
            </w:r>
            <w:r>
              <w:rPr>
                <w:rFonts w:hint="eastAsia" w:ascii="宋体" w:hAnsi="宋体" w:eastAsia="宋体" w:cs="宋体"/>
                <w:bCs/>
                <w:sz w:val="21"/>
                <w:szCs w:val="21"/>
              </w:rPr>
              <w:t>。乙方根据工程数量与价格表资料以及相应的经乙方和甲方共同签字确认原始测量验收资料和工程数量计算资料作为结算依据。</w:t>
            </w:r>
            <w:r>
              <w:rPr>
                <w:rFonts w:hint="eastAsia" w:ascii="宋体" w:hAnsi="宋体" w:eastAsia="宋体" w:cs="宋体"/>
                <w:bCs/>
                <w:sz w:val="21"/>
                <w:szCs w:val="21"/>
                <w:lang w:eastAsia="zh-CN"/>
              </w:rPr>
              <w:t>最终结算价格不得超过签约合同价。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项目支付方式</w:t>
            </w:r>
          </w:p>
        </w:tc>
        <w:tc>
          <w:tcPr>
            <w:tcW w:w="7788" w:type="dxa"/>
            <w:vAlign w:val="center"/>
          </w:tcPr>
          <w:p>
            <w:pPr>
              <w:adjustRightInd w:val="0"/>
              <w:snapToGrid w:val="0"/>
              <w:spacing w:line="360" w:lineRule="auto"/>
              <w:ind w:firstLine="448"/>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1、</w:t>
            </w:r>
            <w:r>
              <w:rPr>
                <w:rFonts w:hint="eastAsia" w:ascii="宋体" w:hAnsi="宋体" w:eastAsia="宋体" w:cs="宋体"/>
                <w:bCs/>
                <w:sz w:val="21"/>
                <w:szCs w:val="21"/>
                <w:lang w:eastAsia="zh-CN"/>
              </w:rPr>
              <w:t>本工程无预付款，在工程竣工验收合格移交竣工资料后，支付至实际竣工计量金额的70%，但支付金额不得超过签约合同价的</w:t>
            </w:r>
            <w:r>
              <w:rPr>
                <w:rFonts w:hint="eastAsia" w:ascii="宋体" w:hAnsi="宋体" w:eastAsia="宋体" w:cs="宋体"/>
                <w:bCs/>
                <w:sz w:val="21"/>
                <w:szCs w:val="21"/>
                <w:lang w:val="en-US" w:eastAsia="zh-CN"/>
              </w:rPr>
              <w:t>70%</w:t>
            </w:r>
            <w:r>
              <w:rPr>
                <w:rFonts w:hint="eastAsia" w:ascii="宋体" w:hAnsi="宋体" w:eastAsia="宋体" w:cs="宋体"/>
                <w:bCs/>
                <w:sz w:val="21"/>
                <w:szCs w:val="21"/>
                <w:lang w:eastAsia="zh-CN"/>
              </w:rPr>
              <w:t>；</w:t>
            </w:r>
          </w:p>
          <w:p>
            <w:pPr>
              <w:adjustRightInd w:val="0"/>
              <w:snapToGrid w:val="0"/>
              <w:spacing w:line="360" w:lineRule="auto"/>
              <w:ind w:firstLine="448"/>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2、</w:t>
            </w:r>
            <w:r>
              <w:rPr>
                <w:rFonts w:hint="eastAsia" w:ascii="宋体" w:hAnsi="宋体" w:eastAsia="宋体" w:cs="宋体"/>
                <w:bCs/>
                <w:sz w:val="21"/>
                <w:szCs w:val="21"/>
                <w:lang w:eastAsia="zh-CN"/>
              </w:rPr>
              <w:t>工程竣工结算</w:t>
            </w:r>
            <w:r>
              <w:rPr>
                <w:rFonts w:hint="eastAsia" w:ascii="宋体" w:hAnsi="宋体" w:eastAsia="宋体" w:cs="宋体"/>
                <w:bCs/>
                <w:sz w:val="21"/>
                <w:szCs w:val="21"/>
                <w:lang w:val="en-US" w:eastAsia="zh-CN"/>
              </w:rPr>
              <w:t>经甲方审定后，支付至合同价格的</w:t>
            </w:r>
            <w:r>
              <w:rPr>
                <w:rFonts w:hint="eastAsia" w:ascii="宋体" w:hAnsi="宋体" w:eastAsia="宋体" w:cs="宋体"/>
                <w:bCs/>
                <w:sz w:val="21"/>
                <w:szCs w:val="21"/>
                <w:lang w:eastAsia="zh-CN"/>
              </w:rPr>
              <w:t>9</w:t>
            </w:r>
            <w:r>
              <w:rPr>
                <w:rFonts w:hint="eastAsia" w:ascii="宋体" w:hAnsi="宋体" w:eastAsia="宋体" w:cs="宋体"/>
                <w:bCs/>
                <w:sz w:val="21"/>
                <w:szCs w:val="21"/>
                <w:lang w:val="en-US" w:eastAsia="zh-CN"/>
              </w:rPr>
              <w:t>7</w:t>
            </w:r>
            <w:r>
              <w:rPr>
                <w:rFonts w:hint="eastAsia" w:ascii="宋体" w:hAnsi="宋体" w:eastAsia="宋体" w:cs="宋体"/>
                <w:bCs/>
                <w:sz w:val="21"/>
                <w:szCs w:val="21"/>
                <w:lang w:eastAsia="zh-CN"/>
              </w:rPr>
              <w:t>%（开具合同价格100%、合法有效的增值税专用发票原件），剩下的</w:t>
            </w:r>
            <w:r>
              <w:rPr>
                <w:rFonts w:hint="eastAsia" w:ascii="宋体" w:hAnsi="宋体" w:eastAsia="宋体" w:cs="宋体"/>
                <w:bCs/>
                <w:sz w:val="21"/>
                <w:szCs w:val="21"/>
                <w:lang w:val="en-US" w:eastAsia="zh-CN"/>
              </w:rPr>
              <w:t>3</w:t>
            </w:r>
            <w:r>
              <w:rPr>
                <w:rFonts w:hint="eastAsia" w:ascii="宋体" w:hAnsi="宋体" w:eastAsia="宋体" w:cs="宋体"/>
                <w:bCs/>
                <w:sz w:val="21"/>
                <w:szCs w:val="21"/>
                <w:lang w:eastAsia="zh-CN"/>
              </w:rPr>
              <w:t>%作为工程质量保证金，在已办理结算的前提下，保修期满后如无任何质量问题甲方一次性无息付清；</w:t>
            </w:r>
          </w:p>
          <w:p>
            <w:pPr>
              <w:adjustRightInd w:val="0"/>
              <w:snapToGrid w:val="0"/>
              <w:spacing w:line="360" w:lineRule="auto"/>
              <w:ind w:firstLine="448"/>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3、本合同以人民币结算，并采用银行转账方式支付</w:t>
            </w:r>
            <w:r>
              <w:rPr>
                <w:rFonts w:hint="eastAsia" w:ascii="宋体" w:hAnsi="宋体" w:eastAsia="宋体" w:cs="宋体"/>
                <w:bCs/>
                <w:sz w:val="21"/>
                <w:szCs w:val="21"/>
                <w:lang w:eastAsia="zh-CN"/>
              </w:rPr>
              <w:t>。</w:t>
            </w:r>
          </w:p>
          <w:p>
            <w:pPr>
              <w:adjustRightInd w:val="0"/>
              <w:snapToGrid w:val="0"/>
              <w:spacing w:line="360" w:lineRule="auto"/>
              <w:ind w:firstLine="448"/>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4、</w:t>
            </w:r>
            <w:r>
              <w:rPr>
                <w:rFonts w:hint="eastAsia" w:ascii="宋体" w:hAnsi="宋体" w:eastAsia="宋体" w:cs="宋体"/>
                <w:bCs/>
                <w:sz w:val="21"/>
                <w:szCs w:val="21"/>
                <w:lang w:eastAsia="zh-CN"/>
              </w:rPr>
              <w:t>所有支付均在收到乙方提供的以下资料后支付：</w:t>
            </w:r>
          </w:p>
          <w:p>
            <w:pPr>
              <w:adjustRightInd w:val="0"/>
              <w:snapToGrid w:val="0"/>
              <w:spacing w:line="360" w:lineRule="auto"/>
              <w:ind w:firstLine="448"/>
              <w:rPr>
                <w:rFonts w:hint="eastAsia" w:ascii="宋体" w:hAnsi="宋体" w:eastAsia="宋体" w:cs="宋体"/>
                <w:bCs/>
                <w:sz w:val="21"/>
                <w:szCs w:val="21"/>
                <w:lang w:eastAsia="zh-CN"/>
              </w:rPr>
            </w:pP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1</w:t>
            </w:r>
            <w:r>
              <w:rPr>
                <w:rFonts w:hint="eastAsia" w:ascii="宋体" w:hAnsi="宋体" w:eastAsia="宋体" w:cs="宋体"/>
                <w:bCs/>
                <w:sz w:val="21"/>
                <w:szCs w:val="21"/>
                <w:lang w:eastAsia="zh-CN"/>
              </w:rPr>
              <w:t>）经甲方审批同意的支付申请和相关资料；</w:t>
            </w:r>
          </w:p>
          <w:p>
            <w:pPr>
              <w:adjustRightInd w:val="0"/>
              <w:snapToGrid w:val="0"/>
              <w:spacing w:line="360" w:lineRule="auto"/>
              <w:ind w:firstLine="448"/>
              <w:rPr>
                <w:rFonts w:hint="eastAsia" w:ascii="宋体" w:hAnsi="宋体" w:eastAsia="宋体" w:cs="宋体"/>
                <w:bCs/>
                <w:sz w:val="21"/>
                <w:szCs w:val="21"/>
                <w:lang w:eastAsia="zh-CN"/>
              </w:rPr>
            </w:pP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2</w:t>
            </w:r>
            <w:r>
              <w:rPr>
                <w:rFonts w:hint="eastAsia" w:ascii="宋体" w:hAnsi="宋体" w:eastAsia="宋体" w:cs="宋体"/>
                <w:bCs/>
                <w:sz w:val="21"/>
                <w:szCs w:val="21"/>
                <w:lang w:eastAsia="zh-CN"/>
              </w:rPr>
              <w:t>）相应的税务发票原件；</w:t>
            </w:r>
          </w:p>
          <w:p>
            <w:pPr>
              <w:adjustRightInd w:val="0"/>
              <w:snapToGrid w:val="0"/>
              <w:spacing w:line="360" w:lineRule="auto"/>
              <w:ind w:firstLine="448"/>
              <w:rPr>
                <w:rFonts w:hint="eastAsia" w:ascii="宋体" w:hAnsi="宋体" w:eastAsia="宋体" w:cs="宋体"/>
                <w:bCs/>
                <w:sz w:val="21"/>
                <w:szCs w:val="21"/>
                <w:lang w:eastAsia="zh-CN"/>
              </w:rPr>
            </w:pP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3</w:t>
            </w:r>
            <w:r>
              <w:rPr>
                <w:rFonts w:hint="eastAsia" w:ascii="宋体" w:hAnsi="宋体" w:eastAsia="宋体" w:cs="宋体"/>
                <w:bCs/>
                <w:sz w:val="21"/>
                <w:szCs w:val="21"/>
                <w:lang w:eastAsia="zh-CN"/>
              </w:rPr>
              <w:t>）本合同约定的其他结算资料。</w:t>
            </w:r>
          </w:p>
          <w:p>
            <w:pPr>
              <w:adjustRightInd w:val="0"/>
              <w:snapToGrid w:val="0"/>
              <w:spacing w:line="360" w:lineRule="auto"/>
              <w:ind w:firstLine="448"/>
              <w:rPr>
                <w:rFonts w:hint="eastAsia" w:ascii="宋体" w:hAnsi="宋体" w:eastAsia="宋体" w:cs="宋体"/>
                <w:bCs/>
                <w:sz w:val="21"/>
                <w:szCs w:val="21"/>
                <w:lang w:eastAsia="zh-CN"/>
              </w:rPr>
            </w:pPr>
            <w:r>
              <w:rPr>
                <w:rFonts w:hint="eastAsia" w:ascii="宋体" w:hAnsi="宋体" w:eastAsia="宋体" w:cs="宋体"/>
                <w:bCs/>
                <w:sz w:val="21"/>
                <w:szCs w:val="21"/>
                <w:lang w:eastAsia="zh-CN"/>
              </w:rPr>
              <w:t>乙方未按约定提供上述材料的，甲方有权不予支付本合同约定价款，且不构成违约。</w:t>
            </w:r>
          </w:p>
          <w:p>
            <w:pPr>
              <w:adjustRightInd w:val="0"/>
              <w:snapToGrid w:val="0"/>
              <w:spacing w:line="360" w:lineRule="auto"/>
              <w:ind w:firstLine="448"/>
              <w:rPr>
                <w:rFonts w:ascii="宋体" w:hAnsi="宋体" w:cs="宋体"/>
                <w:bCs/>
                <w:szCs w:val="21"/>
              </w:rPr>
            </w:pPr>
            <w:r>
              <w:rPr>
                <w:rFonts w:hint="eastAsia" w:ascii="宋体" w:hAnsi="宋体" w:eastAsia="宋体" w:cs="宋体"/>
                <w:bCs/>
                <w:sz w:val="21"/>
                <w:szCs w:val="21"/>
                <w:lang w:eastAsia="zh-CN"/>
              </w:rPr>
              <w:t>由于乙方提供的发票不符合税务部门的要求，从而给甲方造成的经济损失，由乙方承担全部赔偿责任。乙方开具的发票在送达甲方后如发生丢失、灭失、或被盗等，乙方有义务配合甲方按规定、要求在税法规定期限内办理有关的进项税额的认证抵扣手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信息发布</w:t>
            </w:r>
          </w:p>
          <w:p>
            <w:pPr>
              <w:adjustRightInd w:val="0"/>
              <w:snapToGrid w:val="0"/>
              <w:spacing w:line="360" w:lineRule="auto"/>
              <w:jc w:val="center"/>
              <w:rPr>
                <w:rFonts w:ascii="宋体" w:hAnsi="宋体" w:cs="宋体"/>
                <w:b/>
                <w:szCs w:val="21"/>
              </w:rPr>
            </w:pPr>
            <w:r>
              <w:rPr>
                <w:rFonts w:hint="eastAsia" w:ascii="宋体" w:hAnsi="宋体" w:cs="宋体"/>
                <w:b/>
                <w:szCs w:val="21"/>
              </w:rPr>
              <w:t>指定媒体</w:t>
            </w:r>
          </w:p>
        </w:tc>
        <w:tc>
          <w:tcPr>
            <w:tcW w:w="7788" w:type="dxa"/>
            <w:vAlign w:val="center"/>
          </w:tcPr>
          <w:p>
            <w:pPr>
              <w:adjustRightInd w:val="0"/>
              <w:snapToGrid w:val="0"/>
              <w:spacing w:line="360" w:lineRule="auto"/>
              <w:rPr>
                <w:rFonts w:ascii="宋体" w:hAnsi="宋体" w:cs="宋体"/>
                <w:szCs w:val="21"/>
              </w:rPr>
            </w:pPr>
            <w:r>
              <w:rPr>
                <w:rFonts w:hint="eastAsia" w:ascii="宋体" w:hAnsi="宋体" w:cs="宋体"/>
                <w:szCs w:val="21"/>
              </w:rPr>
              <w:t>长沙市轨道交通集团有限公司</w:t>
            </w:r>
            <w:r>
              <w:fldChar w:fldCharType="begin"/>
            </w:r>
            <w:r>
              <w:instrText xml:space="preserve"> HYPERLINK "http://www.hncsmtr.com/" </w:instrText>
            </w:r>
            <w:r>
              <w:fldChar w:fldCharType="separate"/>
            </w:r>
            <w:r>
              <w:rPr>
                <w:rStyle w:val="55"/>
                <w:rFonts w:hint="eastAsia" w:ascii="宋体" w:hAnsi="宋体" w:cs="宋体"/>
                <w:color w:val="auto"/>
                <w:szCs w:val="21"/>
                <w:u w:val="none"/>
              </w:rPr>
              <w:t>http://www.hncsmtr.com/</w:t>
            </w:r>
            <w:r>
              <w:rPr>
                <w:rStyle w:val="55"/>
                <w:rFonts w:hint="eastAsia" w:ascii="宋体" w:hAnsi="宋体" w:cs="宋体"/>
                <w:color w:val="auto"/>
                <w:szCs w:val="21"/>
                <w:u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采购代理服务费</w:t>
            </w:r>
          </w:p>
        </w:tc>
        <w:tc>
          <w:tcPr>
            <w:tcW w:w="7788" w:type="dxa"/>
            <w:vAlign w:val="center"/>
          </w:tcPr>
          <w:p>
            <w:pPr>
              <w:adjustRightInd w:val="0"/>
              <w:snapToGrid w:val="0"/>
              <w:spacing w:line="360" w:lineRule="auto"/>
              <w:rPr>
                <w:rFonts w:ascii="宋体" w:hAnsi="宋体" w:cs="宋体"/>
                <w:szCs w:val="21"/>
              </w:rPr>
            </w:pPr>
            <w:r>
              <w:rPr>
                <w:rFonts w:hint="eastAsia" w:ascii="宋体" w:hAnsi="宋体" w:cs="宋体"/>
                <w:szCs w:val="21"/>
              </w:rPr>
              <w:t>本项目采购代理服务费以中选价为基数，按《招标代理服务收费汇率表》(附件)计算，服务费超过2万元的，按2万元计取，服务费低于5000元的，按5000元计取。由中选单位全额支付，中选单位应在本项目完成中选通知书备案、资料归档等手续，且接到采购人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ascii="宋体" w:hAnsi="宋体" w:cs="宋体"/>
                <w:b/>
                <w:szCs w:val="21"/>
              </w:rPr>
            </w:pPr>
            <w:r>
              <w:rPr>
                <w:rFonts w:hint="eastAsia" w:ascii="宋体" w:hAnsi="宋体" w:cs="宋体"/>
                <w:b/>
                <w:szCs w:val="21"/>
              </w:rPr>
              <w:t>其他规定</w:t>
            </w:r>
          </w:p>
        </w:tc>
        <w:tc>
          <w:tcPr>
            <w:tcW w:w="7788" w:type="dxa"/>
            <w:vAlign w:val="center"/>
          </w:tcPr>
          <w:p>
            <w:pPr>
              <w:adjustRightInd w:val="0"/>
              <w:snapToGrid w:val="0"/>
              <w:spacing w:line="360" w:lineRule="auto"/>
              <w:rPr>
                <w:rFonts w:ascii="宋体" w:hAnsi="宋体" w:cs="宋体"/>
              </w:rPr>
            </w:pPr>
            <w:r>
              <w:rPr>
                <w:rFonts w:hint="eastAsia" w:ascii="宋体" w:hAnsi="宋体" w:cs="宋体"/>
                <w:szCs w:val="21"/>
              </w:rPr>
              <w:t>无。</w:t>
            </w:r>
          </w:p>
        </w:tc>
      </w:tr>
    </w:tbl>
    <w:p>
      <w:pPr>
        <w:jc w:val="center"/>
        <w:rPr>
          <w:rFonts w:ascii="宋体" w:hAnsi="宋体" w:cs="宋体"/>
          <w:sz w:val="30"/>
          <w:szCs w:val="30"/>
        </w:rPr>
      </w:pPr>
      <w:bookmarkStart w:id="17" w:name="_Toc14891067"/>
    </w:p>
    <w:p>
      <w:pPr>
        <w:widowControl/>
        <w:jc w:val="left"/>
        <w:rPr>
          <w:rFonts w:ascii="宋体" w:hAnsi="宋体" w:cs="宋体"/>
        </w:rPr>
        <w:sectPr>
          <w:pgSz w:w="11906" w:h="16838"/>
          <w:pgMar w:top="1191" w:right="1417" w:bottom="1191" w:left="1191" w:header="851" w:footer="851" w:gutter="0"/>
          <w:pgNumType w:start="3"/>
          <w:cols w:space="720" w:num="1"/>
          <w:docGrid w:linePitch="312" w:charSpace="0"/>
        </w:sectPr>
      </w:pPr>
    </w:p>
    <w:p>
      <w:pPr>
        <w:pStyle w:val="2"/>
        <w:rPr>
          <w:rFonts w:ascii="宋体" w:hAnsi="宋体" w:cs="宋体"/>
        </w:rPr>
      </w:pPr>
    </w:p>
    <w:p>
      <w:pPr>
        <w:pStyle w:val="4"/>
        <w:keepNext w:val="0"/>
        <w:keepLines w:val="0"/>
        <w:jc w:val="center"/>
        <w:rPr>
          <w:rFonts w:ascii="宋体" w:hAnsi="宋体" w:cs="宋体"/>
          <w:sz w:val="32"/>
        </w:rPr>
      </w:pPr>
      <w:bookmarkStart w:id="18" w:name="_Toc11980"/>
      <w:bookmarkStart w:id="19" w:name="_Toc30640"/>
      <w:bookmarkStart w:id="20" w:name="_Toc16939"/>
      <w:bookmarkStart w:id="21" w:name="_Toc26157"/>
      <w:r>
        <w:rPr>
          <w:rFonts w:hint="eastAsia" w:ascii="宋体" w:hAnsi="宋体" w:cs="宋体"/>
          <w:sz w:val="32"/>
        </w:rPr>
        <w:t>谈判须知正文</w:t>
      </w:r>
      <w:bookmarkEnd w:id="17"/>
      <w:bookmarkEnd w:id="18"/>
      <w:bookmarkEnd w:id="19"/>
      <w:bookmarkEnd w:id="20"/>
      <w:bookmarkEnd w:id="21"/>
    </w:p>
    <w:p>
      <w:pPr>
        <w:pStyle w:val="4"/>
        <w:keepNext w:val="0"/>
        <w:keepLines w:val="0"/>
        <w:rPr>
          <w:rFonts w:ascii="宋体" w:hAnsi="宋体" w:cs="宋体"/>
          <w:sz w:val="21"/>
          <w:szCs w:val="21"/>
        </w:rPr>
      </w:pPr>
      <w:bookmarkStart w:id="22" w:name="_Toc14891068"/>
      <w:bookmarkStart w:id="23" w:name="_Toc25658"/>
      <w:r>
        <w:rPr>
          <w:rFonts w:hint="eastAsia" w:ascii="宋体" w:hAnsi="宋体" w:cs="宋体"/>
          <w:sz w:val="21"/>
          <w:szCs w:val="21"/>
        </w:rPr>
        <w:t>一、说明</w:t>
      </w:r>
      <w:bookmarkEnd w:id="22"/>
      <w:bookmarkEnd w:id="23"/>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1.</w:t>
      </w:r>
      <w:r>
        <w:rPr>
          <w:rFonts w:hint="eastAsia" w:ascii="宋体" w:hAnsi="宋体" w:cs="宋体"/>
          <w:b/>
          <w:szCs w:val="21"/>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2.本谈判文件的解释权属于长沙市轨道交通运营有限公司。</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3.定义</w:t>
      </w:r>
    </w:p>
    <w:p>
      <w:pPr>
        <w:adjustRightInd w:val="0"/>
        <w:snapToGrid w:val="0"/>
        <w:spacing w:line="360" w:lineRule="auto"/>
        <w:ind w:firstLine="420" w:firstLineChars="200"/>
        <w:rPr>
          <w:rFonts w:ascii="宋体" w:hAnsi="宋体" w:cs="宋体"/>
          <w:b/>
          <w:szCs w:val="21"/>
        </w:rPr>
      </w:pPr>
      <w:r>
        <w:rPr>
          <w:rFonts w:hint="eastAsia" w:ascii="宋体" w:hAnsi="宋体" w:cs="宋体"/>
          <w:szCs w:val="21"/>
        </w:rPr>
        <w:t>3.1“采购单位”是指依法进行采购的法人组织。本项目的采购单位名称见</w:t>
      </w:r>
      <w:r>
        <w:rPr>
          <w:rFonts w:hint="eastAsia" w:ascii="宋体" w:hAnsi="宋体" w:cs="宋体"/>
          <w:b/>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3.2“谈判单位”是指响应本谈判文件要求、参加谈判的法人组织。</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3.3“采购代理机构”是指接受采购人委托，代理采购项目的机构。本采购项目的采购代理机构名称见</w:t>
      </w:r>
      <w:r>
        <w:rPr>
          <w:rFonts w:hint="eastAsia" w:ascii="宋体" w:hAnsi="宋体" w:cs="宋体"/>
          <w:b/>
          <w:bCs/>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3.4“谈判</w:t>
      </w:r>
      <w:r>
        <w:rPr>
          <w:rFonts w:hint="eastAsia" w:ascii="宋体" w:hAnsi="宋体" w:cs="宋体"/>
          <w:b/>
          <w:bCs/>
          <w:szCs w:val="21"/>
        </w:rPr>
        <w:t>评审</w:t>
      </w:r>
      <w:r>
        <w:rPr>
          <w:rFonts w:hint="eastAsia" w:ascii="宋体" w:hAnsi="宋体" w:cs="宋体"/>
          <w:szCs w:val="21"/>
        </w:rPr>
        <w:t>小组”是指采购单位按其规定组建，依法依规履行其职责和义务的机构。</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4.谈判单位资格要求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4.1参与谈判的单位应当符合</w:t>
      </w:r>
      <w:r>
        <w:rPr>
          <w:rFonts w:hint="eastAsia" w:ascii="宋体" w:hAnsi="宋体" w:cs="宋体"/>
          <w:b/>
          <w:szCs w:val="21"/>
        </w:rPr>
        <w:t>前附表</w:t>
      </w:r>
      <w:r>
        <w:rPr>
          <w:rFonts w:hint="eastAsia" w:ascii="宋体" w:hAnsi="宋体" w:cs="宋体"/>
          <w:szCs w:val="21"/>
        </w:rPr>
        <w:t>中规定的资格要求；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4.2参与谈判的单位存在下列情形之一的，其</w:t>
      </w:r>
      <w:r>
        <w:rPr>
          <w:rFonts w:hint="eastAsia" w:ascii="宋体" w:hAnsi="宋体" w:cs="宋体"/>
          <w:bCs/>
          <w:szCs w:val="21"/>
        </w:rPr>
        <w:t>谈判</w:t>
      </w:r>
      <w:r>
        <w:rPr>
          <w:rFonts w:hint="eastAsia" w:ascii="宋体" w:hAnsi="宋体" w:cs="宋体"/>
          <w:szCs w:val="21"/>
        </w:rPr>
        <w:t>将被</w:t>
      </w:r>
      <w:r>
        <w:rPr>
          <w:rFonts w:hint="eastAsia" w:ascii="宋体" w:hAnsi="宋体" w:cs="宋体"/>
          <w:b/>
          <w:bCs/>
          <w:szCs w:val="21"/>
        </w:rPr>
        <w:t>否决</w:t>
      </w:r>
      <w:r>
        <w:rPr>
          <w:rFonts w:hint="eastAsia" w:ascii="宋体" w:hAnsi="宋体" w:cs="宋体"/>
          <w:szCs w:val="21"/>
        </w:rPr>
        <w:t>：</w:t>
      </w:r>
    </w:p>
    <w:p>
      <w:pPr>
        <w:pStyle w:val="356"/>
        <w:ind w:firstLine="420" w:firstLineChars="200"/>
        <w:jc w:val="both"/>
        <w:rPr>
          <w:rFonts w:hAnsi="宋体" w:cs="宋体"/>
          <w:sz w:val="21"/>
          <w:szCs w:val="21"/>
        </w:rPr>
      </w:pPr>
      <w:r>
        <w:rPr>
          <w:rFonts w:hint="eastAsia" w:hAnsi="宋体" w:cs="宋体"/>
          <w:sz w:val="21"/>
          <w:szCs w:val="21"/>
        </w:rPr>
        <w:t>（1）与采购单位（或本项目采购代理机构）存在利害关系且可能影响采购公正性；</w:t>
      </w:r>
    </w:p>
    <w:p>
      <w:pPr>
        <w:pStyle w:val="356"/>
        <w:ind w:firstLine="420" w:firstLineChars="200"/>
        <w:jc w:val="both"/>
        <w:rPr>
          <w:rFonts w:hAnsi="宋体" w:cs="宋体"/>
          <w:sz w:val="21"/>
          <w:szCs w:val="21"/>
        </w:rPr>
      </w:pPr>
      <w:r>
        <w:rPr>
          <w:rFonts w:hint="eastAsia" w:hAnsi="宋体" w:cs="宋体"/>
          <w:sz w:val="21"/>
          <w:szCs w:val="21"/>
        </w:rPr>
        <w:t>（2）谈判单位法定代表人或负责人与其他谈判单位法定代表人或负责人为同一人；</w:t>
      </w:r>
    </w:p>
    <w:p>
      <w:pPr>
        <w:pStyle w:val="356"/>
        <w:ind w:firstLine="420" w:firstLineChars="200"/>
        <w:jc w:val="both"/>
        <w:rPr>
          <w:rFonts w:hAnsi="宋体" w:cs="宋体"/>
          <w:sz w:val="21"/>
          <w:szCs w:val="21"/>
        </w:rPr>
      </w:pPr>
      <w:r>
        <w:rPr>
          <w:rFonts w:hint="eastAsia" w:hAnsi="宋体" w:cs="宋体"/>
          <w:sz w:val="21"/>
          <w:szCs w:val="21"/>
        </w:rPr>
        <w:t>（3）与本采购项目的其他谈判单位存在控股、管理关系；</w:t>
      </w:r>
    </w:p>
    <w:p>
      <w:pPr>
        <w:pStyle w:val="356"/>
        <w:ind w:firstLine="420" w:firstLineChars="200"/>
        <w:jc w:val="both"/>
        <w:rPr>
          <w:rFonts w:hAnsi="宋体" w:cs="宋体"/>
          <w:sz w:val="21"/>
          <w:szCs w:val="21"/>
        </w:rPr>
      </w:pPr>
      <w:r>
        <w:rPr>
          <w:rFonts w:hint="eastAsia" w:hAnsi="宋体" w:cs="宋体"/>
          <w:sz w:val="21"/>
          <w:szCs w:val="21"/>
        </w:rPr>
        <w:t>（4）被责令停产停业、暂扣或者吊销许可证、暂扣或者吊销执照；</w:t>
      </w:r>
    </w:p>
    <w:p>
      <w:pPr>
        <w:pStyle w:val="356"/>
        <w:ind w:firstLine="420" w:firstLineChars="200"/>
        <w:jc w:val="both"/>
        <w:rPr>
          <w:rFonts w:hAnsi="宋体" w:cs="宋体"/>
          <w:sz w:val="21"/>
          <w:szCs w:val="21"/>
        </w:rPr>
      </w:pPr>
      <w:r>
        <w:rPr>
          <w:rFonts w:hint="eastAsia" w:hAnsi="宋体" w:cs="宋体"/>
          <w:sz w:val="21"/>
          <w:szCs w:val="21"/>
        </w:rPr>
        <w:t>（5）进入破产、清算、注销程序，或存在其他可能丧失履约能力的情形；</w:t>
      </w:r>
    </w:p>
    <w:p>
      <w:pPr>
        <w:pStyle w:val="356"/>
        <w:ind w:firstLine="420" w:firstLineChars="200"/>
        <w:jc w:val="both"/>
        <w:rPr>
          <w:rFonts w:hAnsi="宋体" w:cs="宋体"/>
          <w:sz w:val="21"/>
          <w:szCs w:val="21"/>
        </w:rPr>
      </w:pPr>
      <w:r>
        <w:rPr>
          <w:rFonts w:hint="eastAsia" w:hAnsi="宋体" w:cs="宋体"/>
          <w:sz w:val="21"/>
          <w:szCs w:val="21"/>
        </w:rPr>
        <w:t>（6）在国家企业信用信息公示系统中显示已被列入严重违法失信企业名单；</w:t>
      </w:r>
    </w:p>
    <w:p>
      <w:pPr>
        <w:adjustRightInd w:val="0"/>
        <w:snapToGrid w:val="0"/>
        <w:spacing w:line="360" w:lineRule="auto"/>
        <w:ind w:firstLine="420" w:firstLineChars="200"/>
        <w:rPr>
          <w:rFonts w:ascii="宋体" w:hAnsi="宋体" w:cs="宋体"/>
          <w:strike/>
          <w:szCs w:val="21"/>
        </w:rPr>
      </w:pPr>
      <w:r>
        <w:rPr>
          <w:rFonts w:hint="eastAsia" w:ascii="宋体" w:hAnsi="宋体" w:cs="宋体"/>
          <w:szCs w:val="21"/>
        </w:rPr>
        <w:t>（7）在“信用中国”网站（www.creditchina.gov.cn）或“信用湖南”网站（www.credithunan.gov.cn）中显示已被列入失信被执行人名单。</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5.参与谈判的费用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5.1无论谈判的结果如何，谈判单位应自行承担所有与本次竞争性谈判活动有关的全部费用。</w:t>
      </w:r>
    </w:p>
    <w:p>
      <w:pPr>
        <w:tabs>
          <w:tab w:val="left" w:pos="420"/>
          <w:tab w:val="left" w:pos="7560"/>
          <w:tab w:val="left" w:pos="7740"/>
          <w:tab w:val="left" w:pos="7920"/>
        </w:tabs>
        <w:adjustRightInd w:val="0"/>
        <w:snapToGrid w:val="0"/>
        <w:spacing w:line="360" w:lineRule="auto"/>
        <w:ind w:firstLine="420" w:firstLineChars="200"/>
        <w:rPr>
          <w:rFonts w:ascii="宋体" w:hAnsi="宋体" w:cs="宋体"/>
          <w:szCs w:val="21"/>
        </w:rPr>
      </w:pPr>
      <w:r>
        <w:rPr>
          <w:rFonts w:hint="eastAsia" w:ascii="宋体" w:hAnsi="宋体" w:cs="宋体"/>
          <w:szCs w:val="21"/>
        </w:rPr>
        <w:t>5.2采购代理服务费由中选单位全额承担。本项目采购代理服务费以中选价为基数，按谈判须知</w:t>
      </w:r>
      <w:r>
        <w:rPr>
          <w:rFonts w:hint="eastAsia" w:ascii="宋体" w:hAnsi="宋体" w:cs="宋体"/>
          <w:b/>
          <w:bCs/>
          <w:szCs w:val="21"/>
        </w:rPr>
        <w:t>《采购代理服务费收费标准》（详见本须知附件）</w:t>
      </w:r>
      <w:r>
        <w:rPr>
          <w:rFonts w:hint="eastAsia" w:ascii="宋体" w:hAnsi="宋体" w:cs="宋体"/>
          <w:szCs w:val="21"/>
        </w:rPr>
        <w:t>向中选单位收取。</w:t>
      </w:r>
    </w:p>
    <w:p>
      <w:pPr>
        <w:pStyle w:val="25"/>
        <w:adjustRightInd w:val="0"/>
        <w:snapToGrid w:val="0"/>
        <w:spacing w:line="360" w:lineRule="auto"/>
        <w:ind w:firstLine="422" w:firstLineChars="200"/>
        <w:rPr>
          <w:rFonts w:hAnsi="宋体" w:cs="宋体"/>
          <w:b/>
          <w:bCs/>
        </w:rPr>
      </w:pPr>
      <w:r>
        <w:rPr>
          <w:rFonts w:hint="eastAsia" w:hAnsi="宋体" w:cs="宋体"/>
          <w:b/>
        </w:rPr>
        <w:t>6．</w:t>
      </w:r>
      <w:r>
        <w:rPr>
          <w:rFonts w:hint="eastAsia" w:hAnsi="宋体" w:cs="宋体"/>
          <w:b/>
          <w:bCs/>
        </w:rPr>
        <w:t>谈判单位代表</w:t>
      </w:r>
    </w:p>
    <w:p>
      <w:pPr>
        <w:pStyle w:val="25"/>
        <w:adjustRightInd w:val="0"/>
        <w:snapToGrid w:val="0"/>
        <w:spacing w:line="360" w:lineRule="auto"/>
        <w:ind w:firstLine="420" w:firstLineChars="200"/>
        <w:rPr>
          <w:rFonts w:hAnsi="宋体" w:cs="宋体"/>
        </w:rPr>
      </w:pPr>
      <w:r>
        <w:rPr>
          <w:rFonts w:hint="eastAsia" w:hAnsi="宋体" w:cs="宋体"/>
        </w:rPr>
        <w:t>6.1谈判单位代表为谈判单位法定代表人的：应提供法定代表人身份证明书</w:t>
      </w:r>
      <w:r>
        <w:rPr>
          <w:rFonts w:hint="eastAsia" w:hAnsi="宋体" w:cs="宋体"/>
          <w:b/>
          <w:bCs/>
        </w:rPr>
        <w:t>（见</w:t>
      </w:r>
      <w:r>
        <w:rPr>
          <w:rFonts w:hint="eastAsia" w:hAnsi="宋体" w:cs="宋体"/>
          <w:b/>
          <w:bCs/>
          <w:iCs/>
        </w:rPr>
        <w:t>第七章</w:t>
      </w:r>
      <w:r>
        <w:rPr>
          <w:rFonts w:hint="eastAsia" w:hAnsi="宋体" w:cs="宋体"/>
          <w:b/>
          <w:bCs/>
        </w:rPr>
        <w:t>响应文件格式）</w:t>
      </w:r>
      <w:r>
        <w:rPr>
          <w:rFonts w:hint="eastAsia" w:hAnsi="宋体" w:cs="宋体"/>
        </w:rPr>
        <w:t>原件及本人身份证原件。</w:t>
      </w:r>
    </w:p>
    <w:p>
      <w:pPr>
        <w:pStyle w:val="25"/>
        <w:adjustRightInd w:val="0"/>
        <w:snapToGrid w:val="0"/>
        <w:spacing w:line="360" w:lineRule="auto"/>
        <w:ind w:firstLine="420" w:firstLineChars="200"/>
        <w:rPr>
          <w:rFonts w:hAnsi="宋体" w:cs="宋体"/>
          <w:b/>
          <w:strike/>
        </w:rPr>
      </w:pPr>
      <w:r>
        <w:rPr>
          <w:rFonts w:hint="eastAsia" w:hAnsi="宋体" w:cs="宋体"/>
        </w:rPr>
        <w:t>6.2谈判单位代表不是谈判单位法定代表人的：应提供授权委托书</w:t>
      </w:r>
      <w:r>
        <w:rPr>
          <w:rFonts w:hint="eastAsia" w:hAnsi="宋体" w:cs="宋体"/>
          <w:b/>
          <w:bCs/>
        </w:rPr>
        <w:t>（见</w:t>
      </w:r>
      <w:r>
        <w:rPr>
          <w:rFonts w:hint="eastAsia" w:hAnsi="宋体" w:cs="宋体"/>
          <w:b/>
          <w:bCs/>
          <w:iCs/>
        </w:rPr>
        <w:t>第七章</w:t>
      </w:r>
      <w:r>
        <w:rPr>
          <w:rFonts w:hint="eastAsia" w:hAnsi="宋体" w:cs="宋体"/>
          <w:b/>
          <w:bCs/>
        </w:rPr>
        <w:t>响应文件格式）</w:t>
      </w:r>
      <w:r>
        <w:rPr>
          <w:rFonts w:hint="eastAsia" w:hAnsi="宋体" w:cs="宋体"/>
        </w:rPr>
        <w:t>原件及本人身份证原件。</w:t>
      </w:r>
    </w:p>
    <w:p>
      <w:pPr>
        <w:pStyle w:val="4"/>
        <w:keepNext w:val="0"/>
        <w:keepLines w:val="0"/>
        <w:rPr>
          <w:rFonts w:ascii="宋体" w:hAnsi="宋体" w:cs="宋体"/>
          <w:sz w:val="21"/>
          <w:szCs w:val="21"/>
        </w:rPr>
      </w:pPr>
      <w:bookmarkStart w:id="24" w:name="_Toc14891069"/>
      <w:bookmarkStart w:id="25" w:name="_Toc10190"/>
      <w:r>
        <w:rPr>
          <w:rFonts w:hint="eastAsia" w:ascii="宋体" w:hAnsi="宋体" w:cs="宋体"/>
          <w:sz w:val="21"/>
          <w:szCs w:val="21"/>
        </w:rPr>
        <w:t>二、谈判文件</w:t>
      </w:r>
      <w:bookmarkEnd w:id="24"/>
      <w:bookmarkEnd w:id="25"/>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7．谈判文件的组成</w:t>
      </w:r>
    </w:p>
    <w:p>
      <w:pPr>
        <w:pStyle w:val="25"/>
        <w:adjustRightInd w:val="0"/>
        <w:snapToGrid w:val="0"/>
        <w:spacing w:line="360" w:lineRule="auto"/>
        <w:ind w:firstLine="420" w:firstLineChars="200"/>
        <w:rPr>
          <w:rFonts w:hAnsi="宋体" w:cs="宋体"/>
        </w:rPr>
      </w:pPr>
      <w:r>
        <w:rPr>
          <w:rFonts w:hint="eastAsia" w:hAnsi="宋体" w:cs="宋体"/>
        </w:rPr>
        <w:t>7.1谈判文件由下列文件组成：</w:t>
      </w:r>
    </w:p>
    <w:p>
      <w:pPr>
        <w:pStyle w:val="25"/>
        <w:adjustRightInd w:val="0"/>
        <w:snapToGrid w:val="0"/>
        <w:spacing w:line="360" w:lineRule="auto"/>
        <w:ind w:firstLine="420" w:firstLineChars="200"/>
        <w:rPr>
          <w:rFonts w:hAnsi="宋体" w:cs="宋体"/>
        </w:rPr>
      </w:pPr>
      <w:r>
        <w:rPr>
          <w:rFonts w:hint="eastAsia" w:hAnsi="宋体" w:cs="宋体"/>
        </w:rPr>
        <w:t>第一章 谈判邀请公告</w:t>
      </w:r>
    </w:p>
    <w:p>
      <w:pPr>
        <w:pStyle w:val="25"/>
        <w:adjustRightInd w:val="0"/>
        <w:snapToGrid w:val="0"/>
        <w:spacing w:line="360" w:lineRule="auto"/>
        <w:ind w:firstLine="420" w:firstLineChars="200"/>
        <w:rPr>
          <w:rFonts w:hAnsi="宋体" w:cs="宋体"/>
        </w:rPr>
      </w:pPr>
      <w:r>
        <w:rPr>
          <w:rFonts w:hint="eastAsia" w:hAnsi="宋体" w:cs="宋体"/>
        </w:rPr>
        <w:t>第二章 谈判须知</w:t>
      </w:r>
    </w:p>
    <w:p>
      <w:pPr>
        <w:pStyle w:val="25"/>
        <w:adjustRightInd w:val="0"/>
        <w:snapToGrid w:val="0"/>
        <w:spacing w:line="360" w:lineRule="auto"/>
        <w:ind w:firstLine="420" w:firstLineChars="200"/>
        <w:rPr>
          <w:rFonts w:hAnsi="宋体" w:cs="宋体"/>
        </w:rPr>
      </w:pPr>
      <w:r>
        <w:rPr>
          <w:rFonts w:hint="eastAsia" w:hAnsi="宋体" w:cs="宋体"/>
        </w:rPr>
        <w:t>第三章 评审办法及标准</w:t>
      </w:r>
    </w:p>
    <w:p>
      <w:pPr>
        <w:pStyle w:val="25"/>
        <w:adjustRightInd w:val="0"/>
        <w:snapToGrid w:val="0"/>
        <w:spacing w:line="360" w:lineRule="auto"/>
        <w:ind w:firstLine="420" w:firstLineChars="200"/>
        <w:rPr>
          <w:rFonts w:hAnsi="宋体" w:cs="宋体"/>
        </w:rPr>
      </w:pPr>
      <w:r>
        <w:rPr>
          <w:rFonts w:hint="eastAsia" w:hAnsi="宋体" w:cs="宋体"/>
        </w:rPr>
        <w:t>第四章 用户需求书</w:t>
      </w:r>
    </w:p>
    <w:p>
      <w:pPr>
        <w:pStyle w:val="25"/>
        <w:adjustRightInd w:val="0"/>
        <w:snapToGrid w:val="0"/>
        <w:spacing w:line="360" w:lineRule="auto"/>
        <w:ind w:firstLine="420" w:firstLineChars="200"/>
        <w:rPr>
          <w:rFonts w:hAnsi="宋体" w:cs="宋体"/>
        </w:rPr>
      </w:pPr>
      <w:r>
        <w:rPr>
          <w:rFonts w:hint="eastAsia" w:hAnsi="宋体" w:cs="宋体"/>
        </w:rPr>
        <w:t>第五章 最高限价</w:t>
      </w:r>
    </w:p>
    <w:p>
      <w:pPr>
        <w:pStyle w:val="25"/>
        <w:adjustRightInd w:val="0"/>
        <w:snapToGrid w:val="0"/>
        <w:spacing w:line="360" w:lineRule="auto"/>
        <w:ind w:firstLine="420" w:firstLineChars="200"/>
        <w:rPr>
          <w:rFonts w:hAnsi="宋体" w:cs="宋体"/>
        </w:rPr>
      </w:pPr>
      <w:r>
        <w:rPr>
          <w:rFonts w:hint="eastAsia" w:hAnsi="宋体" w:cs="宋体"/>
        </w:rPr>
        <w:t>第六章 合同格式条款</w:t>
      </w:r>
    </w:p>
    <w:p>
      <w:pPr>
        <w:pStyle w:val="25"/>
        <w:adjustRightInd w:val="0"/>
        <w:snapToGrid w:val="0"/>
        <w:spacing w:line="360" w:lineRule="auto"/>
        <w:ind w:firstLine="420" w:firstLineChars="200"/>
        <w:rPr>
          <w:rFonts w:hAnsi="宋体" w:cs="宋体"/>
        </w:rPr>
      </w:pPr>
      <w:r>
        <w:rPr>
          <w:rFonts w:hint="eastAsia" w:hAnsi="宋体" w:cs="宋体"/>
        </w:rPr>
        <w:t>第七章 响应文件组成</w:t>
      </w:r>
    </w:p>
    <w:p>
      <w:pPr>
        <w:pStyle w:val="25"/>
        <w:adjustRightInd w:val="0"/>
        <w:snapToGrid w:val="0"/>
        <w:spacing w:line="360" w:lineRule="auto"/>
        <w:ind w:firstLine="420" w:firstLineChars="200"/>
        <w:rPr>
          <w:rFonts w:hAnsi="宋体" w:cs="宋体"/>
        </w:rPr>
      </w:pPr>
      <w:r>
        <w:rPr>
          <w:rFonts w:hint="eastAsia" w:hAnsi="宋体" w:cs="宋体"/>
        </w:rPr>
        <w:t>7.2</w:t>
      </w:r>
      <w:r>
        <w:rPr>
          <w:rFonts w:hint="eastAsia" w:hAnsi="宋体" w:cs="宋体"/>
          <w:kern w:val="0"/>
        </w:rPr>
        <w:t>响应文件递交截止时间前对谈判文件澄清或者修改内容，均为谈判文件的组成部分。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7.3谈判单位应仔细阅读</w:t>
      </w:r>
      <w:r>
        <w:rPr>
          <w:rFonts w:hint="eastAsia" w:ascii="宋体" w:hAnsi="宋体" w:cs="宋体"/>
          <w:bCs/>
          <w:szCs w:val="21"/>
        </w:rPr>
        <w:t>谈判</w:t>
      </w:r>
      <w:r>
        <w:rPr>
          <w:rFonts w:hint="eastAsia" w:ascii="宋体" w:hAnsi="宋体" w:cs="宋体"/>
          <w:szCs w:val="21"/>
        </w:rPr>
        <w:t>文件的全部内容，按照</w:t>
      </w:r>
      <w:r>
        <w:rPr>
          <w:rFonts w:hint="eastAsia" w:ascii="宋体" w:hAnsi="宋体" w:cs="宋体"/>
          <w:bCs/>
          <w:szCs w:val="21"/>
        </w:rPr>
        <w:t>谈判</w:t>
      </w:r>
      <w:r>
        <w:rPr>
          <w:rFonts w:hint="eastAsia" w:ascii="宋体" w:hAnsi="宋体" w:cs="宋体"/>
          <w:szCs w:val="21"/>
        </w:rPr>
        <w:t>文件要求编制响应文件。任何对</w:t>
      </w:r>
      <w:r>
        <w:rPr>
          <w:rFonts w:hint="eastAsia" w:ascii="宋体" w:hAnsi="宋体" w:cs="宋体"/>
          <w:bCs/>
          <w:szCs w:val="21"/>
        </w:rPr>
        <w:t>谈判</w:t>
      </w:r>
      <w:r>
        <w:rPr>
          <w:rFonts w:hint="eastAsia" w:ascii="宋体" w:hAnsi="宋体" w:cs="宋体"/>
          <w:szCs w:val="21"/>
        </w:rPr>
        <w:t>文件的忽略或误解不能作为响应文件存在缺陷或瑕疵的理由，其风险由谈判单位承担。</w:t>
      </w:r>
    </w:p>
    <w:p>
      <w:pPr>
        <w:adjustRightInd w:val="0"/>
        <w:snapToGrid w:val="0"/>
        <w:spacing w:line="360" w:lineRule="auto"/>
        <w:ind w:firstLine="422" w:firstLineChars="200"/>
        <w:rPr>
          <w:rFonts w:ascii="宋体" w:hAnsi="宋体" w:cs="宋体"/>
          <w:b/>
          <w:kern w:val="0"/>
          <w:szCs w:val="21"/>
        </w:rPr>
      </w:pPr>
      <w:r>
        <w:rPr>
          <w:rFonts w:hint="eastAsia" w:ascii="宋体" w:hAnsi="宋体" w:cs="宋体"/>
          <w:b/>
          <w:bCs/>
          <w:szCs w:val="21"/>
        </w:rPr>
        <w:t>8.</w:t>
      </w:r>
      <w:r>
        <w:rPr>
          <w:rFonts w:hint="eastAsia" w:ascii="宋体" w:hAnsi="宋体" w:cs="宋体"/>
          <w:b/>
          <w:kern w:val="0"/>
          <w:szCs w:val="21"/>
        </w:rPr>
        <w:t>谈判文件的澄清及答疑</w:t>
      </w:r>
    </w:p>
    <w:p>
      <w:pPr>
        <w:spacing w:line="360" w:lineRule="auto"/>
        <w:ind w:firstLine="420" w:firstLineChars="200"/>
        <w:rPr>
          <w:rFonts w:ascii="宋体" w:hAnsi="宋体" w:cs="宋体"/>
          <w:iCs/>
          <w:szCs w:val="21"/>
        </w:rPr>
      </w:pPr>
      <w:r>
        <w:rPr>
          <w:rFonts w:hint="eastAsia" w:ascii="宋体" w:hAnsi="宋体" w:cs="宋体"/>
          <w:iCs/>
          <w:szCs w:val="21"/>
        </w:rPr>
        <w:t>8.1谈判单位应仔细阅读和检查谈判文件的全部内容，如有疑问，</w:t>
      </w:r>
      <w:r>
        <w:rPr>
          <w:rFonts w:hint="eastAsia" w:ascii="宋体" w:hAnsi="宋体" w:cs="宋体"/>
          <w:szCs w:val="21"/>
        </w:rPr>
        <w:t>应按</w:t>
      </w:r>
      <w:r>
        <w:rPr>
          <w:rFonts w:hint="eastAsia" w:ascii="宋体" w:hAnsi="宋体" w:cs="宋体"/>
          <w:b/>
          <w:bCs/>
          <w:szCs w:val="21"/>
        </w:rPr>
        <w:t>前附表</w:t>
      </w:r>
      <w:r>
        <w:rPr>
          <w:rFonts w:hint="eastAsia" w:ascii="宋体" w:hAnsi="宋体" w:cs="宋体"/>
          <w:szCs w:val="21"/>
        </w:rPr>
        <w:t>规定的时间、方式及地点</w:t>
      </w:r>
      <w:r>
        <w:rPr>
          <w:rFonts w:hint="eastAsia" w:ascii="宋体" w:hAnsi="宋体" w:cs="宋体"/>
          <w:iCs/>
          <w:szCs w:val="21"/>
        </w:rPr>
        <w:t>向采购代理机构提出，</w:t>
      </w:r>
      <w:r>
        <w:rPr>
          <w:rFonts w:hint="eastAsia" w:ascii="宋体" w:hAnsi="宋体" w:cs="宋体"/>
          <w:szCs w:val="21"/>
        </w:rPr>
        <w:t>否则，由此引起的损失由谈判单位自己承担。</w:t>
      </w:r>
    </w:p>
    <w:p>
      <w:pPr>
        <w:spacing w:line="360" w:lineRule="auto"/>
        <w:ind w:firstLine="420" w:firstLineChars="200"/>
        <w:rPr>
          <w:rFonts w:ascii="宋体" w:hAnsi="宋体" w:cs="宋体"/>
          <w:iCs/>
          <w:szCs w:val="21"/>
        </w:rPr>
      </w:pPr>
      <w:r>
        <w:rPr>
          <w:rFonts w:hint="eastAsia" w:ascii="宋体" w:hAnsi="宋体" w:cs="宋体"/>
          <w:iCs/>
          <w:szCs w:val="21"/>
        </w:rPr>
        <w:t>8.2在谈判截止时间前，采购单位或采购代理机构可主动地或在解答谈判单位提出的问题时对谈判文件进行澄清或修改。</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8.3</w:t>
      </w:r>
      <w:r>
        <w:rPr>
          <w:rFonts w:hint="eastAsia" w:ascii="宋体" w:hAnsi="宋体" w:cs="宋体"/>
          <w:kern w:val="0"/>
          <w:szCs w:val="21"/>
        </w:rPr>
        <w:t>澄清或者修改的内容可能影响响应文件编制的，采购单位或采购代理机构应当在提交响应文件截止之日3个工作日前，在长沙市轨道交通集团有限公司官网（http://www.hncsmtr.com/）发布澄清或答疑文件及顺延谈判时间，敬请获得谈判文件的所有谈判单位关注，恕不另行通知，如有遗漏采购单位或代理机构不负任何责任。</w:t>
      </w:r>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9.</w:t>
      </w:r>
      <w:r>
        <w:rPr>
          <w:rFonts w:hint="eastAsia" w:ascii="宋体" w:hAnsi="宋体" w:cs="宋体"/>
          <w:b/>
          <w:kern w:val="0"/>
          <w:szCs w:val="21"/>
        </w:rPr>
        <w:t>响应文件递交截止时间、谈判会议时间及地点</w:t>
      </w:r>
    </w:p>
    <w:p>
      <w:pPr>
        <w:pStyle w:val="25"/>
        <w:adjustRightInd w:val="0"/>
        <w:snapToGrid w:val="0"/>
        <w:spacing w:line="360" w:lineRule="auto"/>
        <w:ind w:firstLine="420" w:firstLineChars="200"/>
        <w:rPr>
          <w:rFonts w:hAnsi="宋体" w:cs="宋体"/>
        </w:rPr>
      </w:pPr>
      <w:r>
        <w:rPr>
          <w:rFonts w:hint="eastAsia" w:hAnsi="宋体" w:cs="宋体"/>
        </w:rPr>
        <w:t>9.1</w:t>
      </w:r>
      <w:r>
        <w:rPr>
          <w:rFonts w:hint="eastAsia" w:hAnsi="宋体" w:cs="宋体"/>
          <w:kern w:val="0"/>
        </w:rPr>
        <w:t>谈判单位递交响应文件截止时间、谈判会议</w:t>
      </w:r>
      <w:r>
        <w:rPr>
          <w:rFonts w:hint="eastAsia" w:hAnsi="宋体" w:cs="宋体"/>
        </w:rPr>
        <w:t>时间及地点见</w:t>
      </w:r>
      <w:r>
        <w:rPr>
          <w:rFonts w:hint="eastAsia" w:hAnsi="宋体" w:cs="宋体"/>
          <w:b/>
        </w:rPr>
        <w:t>前附表</w:t>
      </w:r>
      <w:r>
        <w:rPr>
          <w:rFonts w:hint="eastAsia" w:hAnsi="宋体" w:cs="宋体"/>
        </w:rPr>
        <w:t>。</w:t>
      </w:r>
    </w:p>
    <w:p>
      <w:pPr>
        <w:pStyle w:val="4"/>
        <w:keepNext w:val="0"/>
        <w:keepLines w:val="0"/>
        <w:rPr>
          <w:rFonts w:ascii="宋体" w:hAnsi="宋体" w:cs="宋体"/>
          <w:sz w:val="21"/>
          <w:szCs w:val="21"/>
        </w:rPr>
      </w:pPr>
      <w:bookmarkStart w:id="26" w:name="_Toc14891070"/>
      <w:bookmarkStart w:id="27" w:name="_Toc15974"/>
      <w:r>
        <w:rPr>
          <w:rFonts w:hint="eastAsia" w:ascii="宋体" w:hAnsi="宋体" w:cs="宋体"/>
          <w:sz w:val="21"/>
          <w:szCs w:val="21"/>
        </w:rPr>
        <w:t>三、响应文件</w:t>
      </w:r>
      <w:bookmarkEnd w:id="26"/>
      <w:bookmarkEnd w:id="27"/>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10.一般要求</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10.1谈判单位应仔细阅读谈判文件的所有内容，按谈判文件的要求编制响应文件，并保证所提供的全部资料的真实性。</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10.2</w:t>
      </w:r>
      <w:r>
        <w:rPr>
          <w:rFonts w:hint="eastAsia" w:ascii="宋体" w:hAnsi="宋体" w:cs="宋体"/>
          <w:szCs w:val="21"/>
        </w:rPr>
        <w:t>谈判单位提交的响应文件、谈判单位与采购单位及采购代理机构的所有来往函电均使用中文。</w:t>
      </w:r>
    </w:p>
    <w:p>
      <w:pPr>
        <w:pStyle w:val="25"/>
        <w:adjustRightInd w:val="0"/>
        <w:snapToGrid w:val="0"/>
        <w:spacing w:line="360" w:lineRule="auto"/>
        <w:ind w:firstLine="420" w:firstLineChars="200"/>
        <w:rPr>
          <w:rFonts w:hAnsi="宋体" w:cs="宋体"/>
        </w:rPr>
      </w:pPr>
      <w:r>
        <w:rPr>
          <w:rFonts w:hint="eastAsia" w:hAnsi="宋体" w:cs="宋体"/>
          <w:bCs/>
        </w:rPr>
        <w:t>10.3</w:t>
      </w:r>
      <w:r>
        <w:rPr>
          <w:rFonts w:hint="eastAsia" w:hAnsi="宋体" w:cs="宋体"/>
        </w:rPr>
        <w:t>计量单位应使用我国法定计量单位，未列明时应默认为我国法定计量单位。</w:t>
      </w:r>
    </w:p>
    <w:p>
      <w:pPr>
        <w:pStyle w:val="25"/>
        <w:adjustRightInd w:val="0"/>
        <w:snapToGrid w:val="0"/>
        <w:spacing w:line="360" w:lineRule="auto"/>
        <w:ind w:firstLine="420" w:firstLineChars="200"/>
        <w:rPr>
          <w:rFonts w:hAnsi="宋体" w:cs="宋体"/>
        </w:rPr>
      </w:pPr>
      <w:r>
        <w:rPr>
          <w:rFonts w:hint="eastAsia" w:hAnsi="宋体" w:cs="宋体"/>
        </w:rPr>
        <w:t>10.4响应文件应采用书面形式，电报、传真、电子邮件形式的响应文件概不接受。</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10.5谈判单位提交的响应文件应按谈判文件中提供的响应文件格式编制。</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11.</w:t>
      </w:r>
      <w:r>
        <w:rPr>
          <w:rFonts w:hint="eastAsia" w:ascii="宋体" w:hAnsi="宋体" w:cs="宋体"/>
          <w:b/>
          <w:szCs w:val="21"/>
        </w:rPr>
        <w:t>响应文件</w:t>
      </w:r>
      <w:r>
        <w:rPr>
          <w:rFonts w:hint="eastAsia" w:ascii="宋体" w:hAnsi="宋体" w:cs="宋体"/>
          <w:b/>
          <w:bCs/>
          <w:szCs w:val="21"/>
        </w:rPr>
        <w:t>的组成</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11.1响应文件应包括下列内容：</w:t>
      </w:r>
    </w:p>
    <w:p>
      <w:pPr>
        <w:pStyle w:val="25"/>
        <w:adjustRightInd w:val="0"/>
        <w:snapToGrid w:val="0"/>
        <w:spacing w:line="360" w:lineRule="auto"/>
        <w:ind w:firstLine="420" w:firstLineChars="200"/>
        <w:rPr>
          <w:rFonts w:hAnsi="宋体" w:cs="宋体"/>
        </w:rPr>
      </w:pPr>
      <w:r>
        <w:rPr>
          <w:rFonts w:hint="eastAsia" w:hAnsi="宋体" w:cs="宋体"/>
        </w:rPr>
        <w:t>（1）谈判承诺书</w:t>
      </w:r>
    </w:p>
    <w:p>
      <w:pPr>
        <w:pStyle w:val="25"/>
        <w:adjustRightInd w:val="0"/>
        <w:snapToGrid w:val="0"/>
        <w:spacing w:line="360" w:lineRule="auto"/>
        <w:ind w:firstLine="420" w:firstLineChars="200"/>
        <w:rPr>
          <w:rFonts w:hAnsi="宋体" w:cs="宋体"/>
        </w:rPr>
      </w:pPr>
      <w:r>
        <w:rPr>
          <w:rFonts w:hint="eastAsia" w:hAnsi="宋体" w:cs="宋体"/>
        </w:rPr>
        <w:t>（2）法定代表人身份证明书</w:t>
      </w:r>
    </w:p>
    <w:p>
      <w:pPr>
        <w:pStyle w:val="25"/>
        <w:adjustRightInd w:val="0"/>
        <w:snapToGrid w:val="0"/>
        <w:spacing w:line="360" w:lineRule="auto"/>
        <w:ind w:firstLine="420" w:firstLineChars="200"/>
        <w:rPr>
          <w:rFonts w:hAnsi="宋体" w:cs="宋体"/>
        </w:rPr>
      </w:pPr>
      <w:r>
        <w:rPr>
          <w:rFonts w:hint="eastAsia" w:hAnsi="宋体" w:cs="宋体"/>
        </w:rPr>
        <w:t>（3）授权委托书</w:t>
      </w:r>
    </w:p>
    <w:p>
      <w:pPr>
        <w:pStyle w:val="25"/>
        <w:adjustRightInd w:val="0"/>
        <w:snapToGrid w:val="0"/>
        <w:spacing w:line="360" w:lineRule="auto"/>
        <w:ind w:firstLine="420" w:firstLineChars="200"/>
        <w:rPr>
          <w:rFonts w:hAnsi="宋体" w:cs="宋体"/>
        </w:rPr>
      </w:pPr>
      <w:r>
        <w:rPr>
          <w:rFonts w:hint="eastAsia" w:hAnsi="宋体" w:cs="宋体"/>
        </w:rPr>
        <w:t>（4）谈判单位资格条件证明文件</w:t>
      </w:r>
    </w:p>
    <w:p>
      <w:pPr>
        <w:pStyle w:val="25"/>
        <w:adjustRightInd w:val="0"/>
        <w:snapToGrid w:val="0"/>
        <w:spacing w:line="360" w:lineRule="auto"/>
        <w:ind w:firstLine="420" w:firstLineChars="200"/>
        <w:rPr>
          <w:rFonts w:hAnsi="宋体" w:cs="宋体"/>
        </w:rPr>
      </w:pPr>
      <w:r>
        <w:rPr>
          <w:rFonts w:hint="eastAsia" w:hAnsi="宋体" w:cs="宋体"/>
        </w:rPr>
        <w:t>（5）不拖欠农民工工资承诺书</w:t>
      </w:r>
    </w:p>
    <w:p>
      <w:pPr>
        <w:pStyle w:val="25"/>
        <w:adjustRightInd w:val="0"/>
        <w:snapToGrid w:val="0"/>
        <w:spacing w:line="360" w:lineRule="auto"/>
        <w:ind w:firstLine="420" w:firstLineChars="200"/>
        <w:rPr>
          <w:rFonts w:hAnsi="宋体" w:cs="宋体"/>
        </w:rPr>
      </w:pPr>
      <w:r>
        <w:rPr>
          <w:rFonts w:hint="eastAsia" w:hAnsi="宋体" w:cs="宋体"/>
        </w:rPr>
        <w:t>（6）报价一览表</w:t>
      </w:r>
    </w:p>
    <w:p>
      <w:pPr>
        <w:pStyle w:val="25"/>
        <w:adjustRightInd w:val="0"/>
        <w:snapToGrid w:val="0"/>
        <w:spacing w:line="360" w:lineRule="auto"/>
        <w:ind w:firstLine="420" w:firstLineChars="200"/>
        <w:rPr>
          <w:rFonts w:hAnsi="宋体" w:cs="宋体"/>
        </w:rPr>
      </w:pPr>
      <w:r>
        <w:rPr>
          <w:rFonts w:hint="eastAsia" w:hAnsi="宋体" w:cs="宋体"/>
        </w:rPr>
        <w:t>（7）报价汇总表</w:t>
      </w:r>
    </w:p>
    <w:p>
      <w:pPr>
        <w:pStyle w:val="25"/>
        <w:adjustRightInd w:val="0"/>
        <w:snapToGrid w:val="0"/>
        <w:spacing w:line="360" w:lineRule="auto"/>
        <w:ind w:firstLine="420" w:firstLineChars="200"/>
        <w:rPr>
          <w:rFonts w:hAnsi="宋体" w:cs="宋体"/>
        </w:rPr>
      </w:pPr>
      <w:r>
        <w:rPr>
          <w:rFonts w:hint="eastAsia" w:hAnsi="宋体" w:cs="宋体"/>
        </w:rPr>
        <w:t>（8）投标报价表</w:t>
      </w:r>
    </w:p>
    <w:p>
      <w:pPr>
        <w:pStyle w:val="25"/>
        <w:adjustRightInd w:val="0"/>
        <w:snapToGrid w:val="0"/>
        <w:spacing w:line="360" w:lineRule="auto"/>
        <w:ind w:firstLine="420" w:firstLineChars="200"/>
        <w:rPr>
          <w:rFonts w:hAnsi="宋体" w:cs="宋体"/>
        </w:rPr>
      </w:pPr>
      <w:r>
        <w:rPr>
          <w:rFonts w:hint="eastAsia" w:hAnsi="宋体" w:cs="宋体"/>
        </w:rPr>
        <w:t>（9）其他资料（如有）</w:t>
      </w:r>
    </w:p>
    <w:p>
      <w:pPr>
        <w:pStyle w:val="25"/>
        <w:adjustRightInd w:val="0"/>
        <w:snapToGrid w:val="0"/>
        <w:spacing w:line="360" w:lineRule="auto"/>
        <w:ind w:firstLine="420" w:firstLineChars="200"/>
        <w:rPr>
          <w:rFonts w:hAnsi="宋体" w:cs="宋体"/>
        </w:rPr>
      </w:pPr>
      <w:r>
        <w:rPr>
          <w:rFonts w:hint="eastAsia" w:hAnsi="宋体" w:cs="宋体"/>
        </w:rPr>
        <w:t>11.2在谈判过程中，谈判单位根据</w:t>
      </w:r>
      <w:r>
        <w:rPr>
          <w:rFonts w:hint="eastAsia" w:hAnsi="宋体" w:cs="宋体"/>
          <w:kern w:val="0"/>
        </w:rPr>
        <w:t>谈判评审小组</w:t>
      </w:r>
      <w:r>
        <w:rPr>
          <w:rFonts w:hint="eastAsia" w:hAnsi="宋体" w:cs="宋体"/>
          <w:bCs/>
        </w:rPr>
        <w:t>要求</w:t>
      </w:r>
      <w:r>
        <w:rPr>
          <w:rFonts w:hint="eastAsia" w:hAnsi="宋体" w:cs="宋体"/>
          <w:kern w:val="0"/>
        </w:rPr>
        <w:t>提交的</w:t>
      </w:r>
      <w:r>
        <w:rPr>
          <w:rFonts w:hint="eastAsia" w:hAnsi="宋体" w:cs="宋体"/>
        </w:rPr>
        <w:t>书面承诺或其他文件是响应文件的有效组成部分。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11.3谈判单位无论成交与否，其递交的响应文件均不予退还。</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12.报价要求</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12.1 谈判单位的报价，应是完成谈判文件及合同条款上所列的全部谈判内容及工期，不得以任何理由予以重复，作为谈判单位计算单价或总价的依据。</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12.2 报价方式：除非采购单位对谈判文件予以修改，谈判单位应按采购单位提供的工程量清单中列出的工程项目和工程量填报单价和合价。每一项目只允许有一个报价。任何有选择的报价将不予接受。</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12.3 谈判单位应填写工程量清单中所述的所有项目的综合单价和合价，谈判单位没有填入综合单价或合价的项目，采购单位将不予支付，并认为此项目费用已包含在工程量清单的其它综合单价或合价之中。</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12.4 计价方式：谈判单位应遵守湘建价﹝2014﹞113号、湘建价﹝2016﹞72号、湘建价〔2016〕160号文件的有关规定，定额执行2014年湖南省消耗量标准，取费相应执行湘建价﹝2014﹞113号、湘建价建函﹝2014﹞38号、湘建价﹝2016﹞134号文等有关规定，在保证质量、工期的前提下，根据工程实际情况报出自己的报价，但报价不能低于其企业成本价。</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12.5 人工工资单价按湘建价湘建价﹝2019﹞130号文执行。人工工资单价在施工期间若发生政策性调整，按相应文件的人工工资单价（综合工资单价）进行调差，人工调差执行投标报价优惠率并计税金。</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12.6 工程安全文明施工措施费用按湘建价﹝2014﹞113号、湘建建﹝2017﹞145号、长住建发﹝2018﹞104号等文件的要求，谈判单位应在投标文件对安全文明费单独列项，单独报价，不得低于文件规定的费率标准。</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12.7 规费、税金必须严格按标准执行，不得折扣、优惠；</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12.8 材料价格调整问题:见合同条款。</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12.9 工程量的变更调整：见合同条款。</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12.10 本项目设置最高限价，谈判单位所报总价不能超过最高限价，不超过最高限价的报价为有效报价。本项目最高限价</w:t>
      </w:r>
      <w:r>
        <w:rPr>
          <w:rFonts w:hint="eastAsia" w:ascii="宋体" w:hAnsi="宋体" w:cs="宋体"/>
        </w:rPr>
        <w:t>见</w:t>
      </w:r>
      <w:r>
        <w:rPr>
          <w:rFonts w:hint="eastAsia" w:ascii="宋体" w:hAnsi="宋体" w:cs="宋体"/>
          <w:b/>
        </w:rPr>
        <w:t>前附表</w:t>
      </w:r>
      <w:r>
        <w:rPr>
          <w:rFonts w:hint="eastAsia" w:ascii="宋体" w:hAnsi="宋体" w:cs="宋体"/>
        </w:rPr>
        <w:t>。</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12.11 不可计量措施项目，合同履行期间包干使用，谈判单位对不可计量措施项目可逐项自主报价，但各“项”报价总和不能超过采购单位公示的相对应的总价。谈判单位认为不发生费用的措施项目清单报价必须填“0”，且谈判单位不得对公示的措施项目清单进行任何修改。</w:t>
      </w:r>
    </w:p>
    <w:p>
      <w:pPr>
        <w:adjustRightInd w:val="0"/>
        <w:snapToGrid w:val="0"/>
        <w:spacing w:line="360" w:lineRule="auto"/>
        <w:ind w:firstLine="411" w:firstLineChars="196"/>
        <w:rPr>
          <w:rFonts w:ascii="宋体" w:hAnsi="宋体" w:cs="宋体"/>
          <w:b/>
          <w:bCs/>
          <w:szCs w:val="21"/>
        </w:rPr>
      </w:pPr>
      <w:r>
        <w:rPr>
          <w:rFonts w:hint="eastAsia" w:ascii="宋体" w:hAnsi="宋体" w:cs="宋体"/>
          <w:szCs w:val="21"/>
        </w:rPr>
        <w:t>12.12 谈判单位投标前请进行必要的现场踏勘，了解项目实际情况，产生的费用自行承担。</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12.13 谈判单位应按谈判文件规定的要求、责任范围和合同条件，以</w:t>
      </w:r>
      <w:r>
        <w:rPr>
          <w:rFonts w:hint="eastAsia" w:ascii="宋体" w:hAnsi="宋体" w:cs="宋体"/>
          <w:bCs/>
          <w:szCs w:val="21"/>
        </w:rPr>
        <w:t>人民币</w:t>
      </w:r>
      <w:r>
        <w:rPr>
          <w:rFonts w:hint="eastAsia" w:ascii="宋体" w:hAnsi="宋体" w:cs="宋体"/>
          <w:szCs w:val="21"/>
        </w:rPr>
        <w:t>报价，以元为单位，保留小数点后两位。</w:t>
      </w:r>
    </w:p>
    <w:p>
      <w:pPr>
        <w:pStyle w:val="25"/>
        <w:adjustRightInd w:val="0"/>
        <w:snapToGrid w:val="0"/>
        <w:spacing w:line="360" w:lineRule="auto"/>
        <w:ind w:firstLine="420" w:firstLineChars="200"/>
        <w:rPr>
          <w:rFonts w:hAnsi="宋体" w:cs="宋体"/>
        </w:rPr>
      </w:pPr>
      <w:r>
        <w:rPr>
          <w:rFonts w:hint="eastAsia" w:hAnsi="宋体" w:cs="宋体"/>
        </w:rPr>
        <w:t>12.14 除合同另有约定外，谈判报价作为中选价及合同价在合同履行期间是固定不变的，不受政策、法规变化以及汇率浮动、物价指数浮动等因素的影响。中选人不得以任何理由予以变更。以可变动价格提交的报价将被认为是非实质响应而被拒绝。</w:t>
      </w:r>
    </w:p>
    <w:p>
      <w:pPr>
        <w:pStyle w:val="25"/>
        <w:adjustRightInd w:val="0"/>
        <w:snapToGrid w:val="0"/>
        <w:spacing w:line="360" w:lineRule="auto"/>
        <w:ind w:firstLine="420" w:firstLineChars="200"/>
        <w:rPr>
          <w:rFonts w:hAnsi="宋体" w:cs="宋体"/>
        </w:rPr>
      </w:pPr>
      <w:r>
        <w:rPr>
          <w:rFonts w:hint="eastAsia" w:hAnsi="宋体" w:cs="宋体"/>
        </w:rPr>
        <w:t>12.15 谈判单位递交两份或多份内容不同的报价文件，或在一份报价文件中对同一项目报有两个或多个报价，且未声明哪一个有效的，将被认为是非实质响应而被拒绝。</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12.16 最低报价不能作为中选的保证。</w:t>
      </w:r>
    </w:p>
    <w:p>
      <w:pPr>
        <w:adjustRightInd w:val="0"/>
        <w:snapToGrid w:val="0"/>
        <w:spacing w:line="360" w:lineRule="auto"/>
        <w:ind w:firstLine="448"/>
        <w:rPr>
          <w:rFonts w:ascii="宋体" w:hAnsi="宋体" w:cs="宋体"/>
          <w:szCs w:val="21"/>
        </w:rPr>
      </w:pPr>
      <w:r>
        <w:rPr>
          <w:rFonts w:hint="eastAsia" w:ascii="宋体" w:hAnsi="宋体" w:cs="宋体"/>
          <w:szCs w:val="21"/>
        </w:rPr>
        <w:t>12.17单价合同，合同单价均包括但不限于工程材料费、人工费、运输费、各类规费、保险费及税金、施工过程设备及材料损坏损失、施工事故损失、施工垃圾清理、与本施工有关的运输过程中涉及所有人身、设备安全等与工程有关的一切费用（水电费除外）。乙方根据工程数量与价格表资料以及相应的经乙方和甲方共同签字确认原始测量验收资料和工程数量计算资料作为结算依据。最终结算价格不得超过签约合同价。</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13.响应文件有效期</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13.1响应文件有效期见</w:t>
      </w:r>
      <w:r>
        <w:rPr>
          <w:rFonts w:hint="eastAsia" w:ascii="宋体" w:hAnsi="宋体" w:cs="宋体"/>
          <w:b/>
          <w:szCs w:val="21"/>
        </w:rPr>
        <w:t>前附表</w:t>
      </w:r>
      <w:r>
        <w:rPr>
          <w:rFonts w:hint="eastAsia" w:ascii="宋体" w:hAnsi="宋体" w:cs="宋体"/>
          <w:szCs w:val="21"/>
        </w:rPr>
        <w:t>，在此期间响应文件对谈判单位具有法律约束力，从</w:t>
      </w:r>
      <w:r>
        <w:rPr>
          <w:rFonts w:hint="eastAsia" w:ascii="宋体" w:hAnsi="宋体" w:cs="宋体"/>
          <w:b/>
          <w:szCs w:val="21"/>
        </w:rPr>
        <w:t>前附表</w:t>
      </w:r>
      <w:r>
        <w:rPr>
          <w:rFonts w:hint="eastAsia" w:ascii="宋体" w:hAnsi="宋体" w:cs="宋体"/>
          <w:szCs w:val="21"/>
        </w:rPr>
        <w:t>规定的</w:t>
      </w:r>
      <w:r>
        <w:rPr>
          <w:rFonts w:hint="eastAsia" w:ascii="宋体" w:hAnsi="宋体" w:cs="宋体"/>
          <w:kern w:val="0"/>
          <w:szCs w:val="21"/>
        </w:rPr>
        <w:t>响应文件递交截止时间</w:t>
      </w:r>
      <w:r>
        <w:rPr>
          <w:rFonts w:hint="eastAsia" w:ascii="宋体" w:hAnsi="宋体" w:cs="宋体"/>
          <w:szCs w:val="21"/>
        </w:rPr>
        <w:t>之日起计算。响应文件有效期不足的将被视为无效响应。</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14.响应文件的编制</w:t>
      </w:r>
    </w:p>
    <w:p>
      <w:pPr>
        <w:pStyle w:val="356"/>
        <w:ind w:firstLine="420" w:firstLineChars="200"/>
        <w:jc w:val="both"/>
        <w:rPr>
          <w:rFonts w:hAnsi="宋体" w:cs="宋体"/>
          <w:sz w:val="21"/>
          <w:szCs w:val="21"/>
        </w:rPr>
      </w:pPr>
      <w:r>
        <w:rPr>
          <w:rFonts w:hint="eastAsia" w:hAnsi="宋体" w:cs="宋体"/>
          <w:sz w:val="21"/>
          <w:szCs w:val="21"/>
        </w:rPr>
        <w:t>14.1响应文件应按</w:t>
      </w:r>
      <w:r>
        <w:rPr>
          <w:rFonts w:hint="eastAsia" w:hAnsi="宋体" w:cs="宋体"/>
          <w:b/>
          <w:bCs/>
          <w:sz w:val="21"/>
          <w:szCs w:val="21"/>
        </w:rPr>
        <w:t>第七章</w:t>
      </w:r>
      <w:r>
        <w:rPr>
          <w:rFonts w:hint="eastAsia" w:hAnsi="宋体" w:cs="宋体"/>
          <w:sz w:val="21"/>
          <w:szCs w:val="21"/>
        </w:rPr>
        <w:t>“响应文件格式”进行编写，如有必要，可以增加附页，作为响应文件的组成部分。</w:t>
      </w:r>
    </w:p>
    <w:p>
      <w:pPr>
        <w:pStyle w:val="25"/>
        <w:adjustRightInd w:val="0"/>
        <w:snapToGrid w:val="0"/>
        <w:spacing w:line="360" w:lineRule="auto"/>
        <w:ind w:firstLine="420" w:firstLineChars="200"/>
        <w:rPr>
          <w:rFonts w:hAnsi="宋体" w:cs="宋体"/>
        </w:rPr>
      </w:pPr>
      <w:r>
        <w:rPr>
          <w:rFonts w:hint="eastAsia" w:hAnsi="宋体" w:cs="宋体"/>
        </w:rPr>
        <w:t>14.2响应文件应用不褪色的材料书写或打印（建议双面打印），并按</w:t>
      </w:r>
      <w:r>
        <w:rPr>
          <w:rFonts w:hint="eastAsia" w:hAnsi="宋体" w:cs="宋体"/>
          <w:b/>
          <w:bCs/>
        </w:rPr>
        <w:t>第七章</w:t>
      </w:r>
      <w:r>
        <w:rPr>
          <w:rFonts w:hint="eastAsia" w:hAnsi="宋体" w:cs="宋体"/>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hAnsi="宋体" w:cs="宋体"/>
          <w:b/>
          <w:bCs/>
        </w:rPr>
        <w:t>第七章</w:t>
      </w:r>
      <w:r>
        <w:rPr>
          <w:rFonts w:hint="eastAsia" w:hAnsi="宋体" w:cs="宋体"/>
        </w:rPr>
        <w:t>“响应文件格式”的要求。</w:t>
      </w:r>
    </w:p>
    <w:p>
      <w:pPr>
        <w:pStyle w:val="25"/>
        <w:adjustRightInd w:val="0"/>
        <w:snapToGrid w:val="0"/>
        <w:spacing w:line="360" w:lineRule="auto"/>
        <w:ind w:firstLine="420" w:firstLineChars="200"/>
        <w:rPr>
          <w:rFonts w:hAnsi="宋体" w:cs="宋体"/>
        </w:rPr>
      </w:pPr>
      <w:r>
        <w:rPr>
          <w:rFonts w:hint="eastAsia" w:hAnsi="宋体" w:cs="宋体"/>
        </w:rPr>
        <w:t>14.3响应文件应尽量避免涂改、行间插字或删除。如果出现上述情况，改动之处应由谈判单位的法定代表人或其授权的代理人签字或盖单位公章。</w:t>
      </w:r>
    </w:p>
    <w:p>
      <w:pPr>
        <w:pStyle w:val="25"/>
        <w:adjustRightInd w:val="0"/>
        <w:snapToGrid w:val="0"/>
        <w:spacing w:line="360" w:lineRule="auto"/>
        <w:ind w:firstLine="420" w:firstLineChars="200"/>
        <w:rPr>
          <w:rFonts w:hAnsi="宋体" w:cs="宋体"/>
        </w:rPr>
      </w:pPr>
      <w:r>
        <w:rPr>
          <w:rFonts w:hint="eastAsia" w:hAnsi="宋体" w:cs="宋体"/>
        </w:rPr>
        <w:t>14.4响应文件为一式三份，其中正本一份，副本两份，均须胶装成册；电子文件一份（U盘或光盘，应包含响应文件的所有内容，并标注谈判单位名称）。响应文件正本和副本的封面上应清楚地标记</w:t>
      </w:r>
      <w:r>
        <w:rPr>
          <w:rFonts w:hint="eastAsia" w:hAnsi="宋体" w:cs="宋体"/>
          <w:b/>
          <w:bCs/>
        </w:rPr>
        <w:t>“正本”</w:t>
      </w:r>
      <w:r>
        <w:rPr>
          <w:rFonts w:hint="eastAsia" w:hAnsi="宋体" w:cs="宋体"/>
        </w:rPr>
        <w:t>或</w:t>
      </w:r>
      <w:r>
        <w:rPr>
          <w:rFonts w:hint="eastAsia" w:hAnsi="宋体" w:cs="宋体"/>
          <w:b/>
          <w:bCs/>
        </w:rPr>
        <w:t>“副本”</w:t>
      </w:r>
      <w:r>
        <w:rPr>
          <w:rFonts w:hint="eastAsia" w:hAnsi="宋体" w:cs="宋体"/>
        </w:rPr>
        <w:t>的字样，若响应文件副本为正本的复印件，还需在谈判文件要求盖章处加盖单位公章。当正本和副本有差异时，以正本为准。</w:t>
      </w:r>
    </w:p>
    <w:p>
      <w:pPr>
        <w:pStyle w:val="4"/>
        <w:keepNext w:val="0"/>
        <w:keepLines w:val="0"/>
        <w:rPr>
          <w:rFonts w:ascii="宋体" w:hAnsi="宋体" w:cs="宋体"/>
          <w:sz w:val="21"/>
          <w:szCs w:val="21"/>
        </w:rPr>
      </w:pPr>
      <w:bookmarkStart w:id="28" w:name="_Toc28626"/>
      <w:bookmarkStart w:id="29" w:name="_Toc14891071"/>
      <w:r>
        <w:rPr>
          <w:rFonts w:hint="eastAsia" w:ascii="宋体" w:hAnsi="宋体" w:cs="宋体"/>
          <w:sz w:val="21"/>
          <w:szCs w:val="21"/>
        </w:rPr>
        <w:t>四、响应文件的递交</w:t>
      </w:r>
      <w:bookmarkEnd w:id="28"/>
      <w:bookmarkEnd w:id="29"/>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15.</w:t>
      </w:r>
      <w:r>
        <w:rPr>
          <w:rFonts w:hint="eastAsia" w:ascii="宋体" w:hAnsi="宋体" w:cs="宋体"/>
          <w:b/>
          <w:szCs w:val="21"/>
        </w:rPr>
        <w:t>响应文件</w:t>
      </w:r>
      <w:r>
        <w:rPr>
          <w:rFonts w:hint="eastAsia" w:ascii="宋体" w:hAnsi="宋体" w:cs="宋体"/>
          <w:b/>
          <w:bCs/>
          <w:szCs w:val="21"/>
        </w:rPr>
        <w:t>的密封</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15.1谈判单位须将响应文件一正两副与电子文件一起密封包装。</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16.响应文件的标记</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16.1</w:t>
      </w:r>
      <w:r>
        <w:rPr>
          <w:rFonts w:hint="eastAsia" w:ascii="宋体" w:hAnsi="宋体" w:cs="宋体"/>
          <w:bCs/>
          <w:szCs w:val="21"/>
        </w:rPr>
        <w:t>响应文件的密封封套上须写明如下内容</w:t>
      </w:r>
      <w:r>
        <w:rPr>
          <w:rFonts w:hint="eastAsia" w:ascii="宋体" w:hAnsi="宋体" w:cs="宋体"/>
          <w:szCs w:val="21"/>
        </w:rPr>
        <w:t>。</w:t>
      </w:r>
    </w:p>
    <w:tbl>
      <w:tblPr>
        <w:tblStyle w:val="46"/>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938" w:type="dxa"/>
          </w:tcPr>
          <w:p>
            <w:pPr>
              <w:spacing w:line="360" w:lineRule="auto"/>
              <w:rPr>
                <w:rFonts w:ascii="宋体" w:hAnsi="宋体" w:cs="宋体"/>
                <w:szCs w:val="21"/>
                <w:u w:val="single"/>
              </w:rPr>
            </w:pPr>
            <w:r>
              <w:rPr>
                <w:rFonts w:hint="eastAsia" w:ascii="宋体" w:hAnsi="宋体" w:cs="宋体"/>
                <w:szCs w:val="21"/>
              </w:rPr>
              <w:t>采购单位：</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项目名称：</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谈判单位：</w:t>
            </w:r>
            <w:r>
              <w:rPr>
                <w:rFonts w:hint="eastAsia" w:ascii="宋体" w:hAnsi="宋体" w:cs="宋体"/>
                <w:szCs w:val="21"/>
                <w:u w:val="single"/>
              </w:rPr>
              <w:t>（填写单位名称并加盖单位公章）</w:t>
            </w:r>
          </w:p>
          <w:p>
            <w:pPr>
              <w:spacing w:line="360" w:lineRule="auto"/>
              <w:ind w:firstLine="840" w:firstLineChars="400"/>
              <w:rPr>
                <w:rFonts w:ascii="宋体" w:hAnsi="宋体" w:cs="宋体"/>
                <w:szCs w:val="21"/>
              </w:rPr>
            </w:pPr>
            <w:r>
              <w:rPr>
                <w:rFonts w:hint="eastAsia" w:ascii="宋体" w:hAnsi="宋体" w:cs="宋体"/>
                <w:bCs/>
                <w:szCs w:val="21"/>
              </w:rPr>
              <w:t>年  月  日</w:t>
            </w:r>
          </w:p>
        </w:tc>
      </w:tr>
    </w:tbl>
    <w:p>
      <w:pPr>
        <w:adjustRightInd w:val="0"/>
        <w:snapToGrid w:val="0"/>
        <w:spacing w:line="360" w:lineRule="auto"/>
        <w:ind w:firstLine="413" w:firstLineChars="196"/>
        <w:rPr>
          <w:rFonts w:ascii="宋体" w:hAnsi="宋体" w:cs="宋体"/>
          <w:b/>
          <w:bCs/>
          <w:szCs w:val="21"/>
        </w:rPr>
      </w:pP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17.响应文件的递交</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17.1谈判单位应按要求在</w:t>
      </w:r>
      <w:r>
        <w:rPr>
          <w:rFonts w:hint="eastAsia" w:ascii="宋体" w:hAnsi="宋体" w:cs="宋体"/>
          <w:kern w:val="0"/>
          <w:szCs w:val="21"/>
        </w:rPr>
        <w:t>响应文件递交截止时间</w:t>
      </w:r>
      <w:r>
        <w:rPr>
          <w:rFonts w:hint="eastAsia" w:ascii="宋体" w:hAnsi="宋体" w:cs="宋体"/>
          <w:szCs w:val="21"/>
        </w:rPr>
        <w:t>前，将响应文件送达指定地点，响应文件递交截止时间、地点及要求见</w:t>
      </w:r>
      <w:r>
        <w:rPr>
          <w:rFonts w:hint="eastAsia" w:ascii="宋体" w:hAnsi="宋体" w:cs="宋体"/>
          <w:b/>
          <w:szCs w:val="21"/>
        </w:rPr>
        <w:t>前附表</w:t>
      </w:r>
      <w:r>
        <w:rPr>
          <w:rFonts w:hint="eastAsia" w:ascii="宋体" w:hAnsi="宋体" w:cs="宋体"/>
          <w:szCs w:val="21"/>
        </w:rPr>
        <w:t>。</w:t>
      </w:r>
      <w:r>
        <w:rPr>
          <w:rFonts w:hint="eastAsia" w:ascii="宋体" w:hAnsi="宋体" w:cs="宋体"/>
          <w:kern w:val="0"/>
          <w:szCs w:val="21"/>
        </w:rPr>
        <w:t>在截止时间后送达的响应文件，采购单位应当拒收。</w:t>
      </w:r>
    </w:p>
    <w:p>
      <w:pPr>
        <w:adjustRightInd w:val="0"/>
        <w:snapToGrid w:val="0"/>
        <w:spacing w:line="360" w:lineRule="auto"/>
        <w:ind w:firstLine="420" w:firstLineChars="200"/>
        <w:rPr>
          <w:rFonts w:ascii="宋体" w:hAnsi="宋体" w:cs="宋体"/>
          <w:b/>
          <w:szCs w:val="21"/>
        </w:rPr>
      </w:pPr>
      <w:r>
        <w:rPr>
          <w:rFonts w:hint="eastAsia" w:ascii="宋体" w:hAnsi="宋体" w:cs="宋体"/>
          <w:bCs/>
          <w:szCs w:val="21"/>
        </w:rPr>
        <w:t>17.2采购单位在</w:t>
      </w:r>
      <w:r>
        <w:rPr>
          <w:rFonts w:hint="eastAsia" w:ascii="宋体" w:hAnsi="宋体" w:cs="宋体"/>
          <w:b/>
          <w:bCs/>
          <w:szCs w:val="21"/>
        </w:rPr>
        <w:t>前附表</w:t>
      </w:r>
      <w:r>
        <w:rPr>
          <w:rFonts w:hint="eastAsia" w:ascii="宋体" w:hAnsi="宋体" w:cs="宋体"/>
          <w:bCs/>
          <w:szCs w:val="21"/>
        </w:rPr>
        <w:t>规定的谈判时间和地点，组织谈判单位签到并接收谈判文件。</w:t>
      </w:r>
    </w:p>
    <w:p>
      <w:pPr>
        <w:pStyle w:val="4"/>
        <w:keepNext w:val="0"/>
        <w:keepLines w:val="0"/>
        <w:rPr>
          <w:rFonts w:ascii="宋体" w:hAnsi="宋体" w:cs="宋体"/>
          <w:sz w:val="21"/>
          <w:szCs w:val="21"/>
        </w:rPr>
      </w:pPr>
      <w:bookmarkStart w:id="30" w:name="_Toc28776"/>
      <w:bookmarkStart w:id="31" w:name="_Toc14891072"/>
      <w:r>
        <w:rPr>
          <w:rFonts w:hint="eastAsia" w:ascii="宋体" w:hAnsi="宋体" w:cs="宋体"/>
          <w:sz w:val="21"/>
          <w:szCs w:val="21"/>
        </w:rPr>
        <w:t>五、响应文件的评审</w:t>
      </w:r>
      <w:bookmarkEnd w:id="30"/>
      <w:bookmarkEnd w:id="31"/>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18.</w:t>
      </w:r>
      <w:r>
        <w:rPr>
          <w:rFonts w:hint="eastAsia" w:ascii="宋体" w:hAnsi="宋体" w:cs="宋体"/>
          <w:bCs/>
          <w:szCs w:val="21"/>
        </w:rPr>
        <w:t>评审由谈判评审小组负责，谈判评审小组应按照本谈判文件第三章“评审办法及标准”的内容和程序对响应文件进行评审。</w:t>
      </w:r>
    </w:p>
    <w:p>
      <w:pPr>
        <w:pStyle w:val="4"/>
        <w:keepNext w:val="0"/>
        <w:keepLines w:val="0"/>
        <w:rPr>
          <w:rFonts w:ascii="宋体" w:hAnsi="宋体" w:cs="宋体"/>
          <w:sz w:val="21"/>
          <w:szCs w:val="21"/>
        </w:rPr>
      </w:pPr>
      <w:bookmarkStart w:id="32" w:name="_Toc4811"/>
      <w:bookmarkStart w:id="33" w:name="_Toc14891073"/>
      <w:r>
        <w:rPr>
          <w:rFonts w:hint="eastAsia" w:ascii="宋体" w:hAnsi="宋体" w:cs="宋体"/>
          <w:sz w:val="21"/>
          <w:szCs w:val="21"/>
        </w:rPr>
        <w:t>六、响应文件的澄清、说明及补正</w:t>
      </w:r>
      <w:bookmarkEnd w:id="32"/>
      <w:bookmarkEnd w:id="33"/>
    </w:p>
    <w:p>
      <w:pPr>
        <w:widowControl/>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19.澄清</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19.1谈判评审小组可就响应文件中含糊之处要求谈判单位进行解释或澄清要求，谈判单位必须按照要求派法定代表人或授权委托人进行答疑和澄清。</w:t>
      </w:r>
    </w:p>
    <w:p>
      <w:pPr>
        <w:widowControl/>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20.说明及补正</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20.1必要时谈判评审小组可要求谈判单位就澄清的问题作书面回答或承诺，该书面回答或承诺应有谈判单位法定代表人或委托代理人的签字或盖章，并将作为响应文件的一部分。</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20.2谈判单位对响应文件的澄清不得改变谈判报价及实质内容。</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kern w:val="0"/>
          <w:szCs w:val="21"/>
        </w:rPr>
        <w:t>20.3与谈判文件有重大偏离的响应文件将被拒绝。重大偏离指谈判总报价、谈判有效期、施工工期明显不能满足谈判文件的要求。这些偏离不允许在响应文件递交截止时间之后修正。</w:t>
      </w:r>
    </w:p>
    <w:p>
      <w:pPr>
        <w:pStyle w:val="4"/>
        <w:keepNext w:val="0"/>
        <w:keepLines w:val="0"/>
        <w:rPr>
          <w:rFonts w:ascii="宋体" w:hAnsi="宋体" w:cs="宋体"/>
          <w:sz w:val="21"/>
          <w:szCs w:val="21"/>
        </w:rPr>
      </w:pPr>
      <w:bookmarkStart w:id="34" w:name="_Toc22305"/>
      <w:bookmarkStart w:id="35" w:name="_Toc14891074"/>
      <w:r>
        <w:rPr>
          <w:rFonts w:hint="eastAsia" w:ascii="宋体" w:hAnsi="宋体" w:cs="宋体"/>
          <w:sz w:val="21"/>
          <w:szCs w:val="21"/>
        </w:rPr>
        <w:t>七、中选结果与授予合同</w:t>
      </w:r>
      <w:bookmarkEnd w:id="34"/>
      <w:bookmarkEnd w:id="35"/>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21.中选信息的公布</w:t>
      </w:r>
    </w:p>
    <w:p>
      <w:pPr>
        <w:pStyle w:val="25"/>
        <w:adjustRightInd w:val="0"/>
        <w:snapToGrid w:val="0"/>
        <w:spacing w:line="360" w:lineRule="auto"/>
        <w:ind w:firstLine="420" w:firstLineChars="200"/>
        <w:rPr>
          <w:rFonts w:hAnsi="宋体" w:cs="宋体"/>
        </w:rPr>
      </w:pPr>
      <w:r>
        <w:rPr>
          <w:rFonts w:hint="eastAsia" w:hAnsi="宋体" w:cs="宋体"/>
        </w:rPr>
        <w:t>21.1中选单位确定后，采购单位应将结果信息在</w:t>
      </w:r>
      <w:r>
        <w:rPr>
          <w:rFonts w:hint="eastAsia" w:hAnsi="宋体" w:cs="宋体"/>
          <w:b/>
        </w:rPr>
        <w:t>前附表</w:t>
      </w:r>
      <w:r>
        <w:rPr>
          <w:rFonts w:hint="eastAsia" w:hAnsi="宋体" w:cs="宋体"/>
        </w:rPr>
        <w:t>指定的媒体上公布，</w:t>
      </w:r>
      <w:r>
        <w:rPr>
          <w:rFonts w:hint="eastAsia" w:hAnsi="宋体" w:cs="宋体"/>
          <w:b/>
          <w:bCs/>
        </w:rPr>
        <w:t>公示期限为3个工作日</w:t>
      </w:r>
      <w:r>
        <w:rPr>
          <w:rFonts w:hint="eastAsia" w:hAnsi="宋体" w:cs="宋体"/>
        </w:rPr>
        <w:t>。</w:t>
      </w:r>
    </w:p>
    <w:p>
      <w:pPr>
        <w:pStyle w:val="25"/>
        <w:adjustRightInd w:val="0"/>
        <w:snapToGrid w:val="0"/>
        <w:spacing w:line="360" w:lineRule="auto"/>
        <w:ind w:firstLine="422" w:firstLineChars="200"/>
        <w:rPr>
          <w:rFonts w:hAnsi="宋体" w:cs="宋体"/>
          <w:b/>
          <w:bCs/>
        </w:rPr>
      </w:pPr>
      <w:r>
        <w:rPr>
          <w:rFonts w:hint="eastAsia" w:hAnsi="宋体" w:cs="宋体"/>
          <w:b/>
          <w:bCs/>
        </w:rPr>
        <w:t>22.评审结果异议</w:t>
      </w:r>
    </w:p>
    <w:p>
      <w:pPr>
        <w:pStyle w:val="25"/>
        <w:adjustRightInd w:val="0"/>
        <w:snapToGrid w:val="0"/>
        <w:spacing w:line="360" w:lineRule="auto"/>
        <w:ind w:firstLine="420" w:firstLineChars="200"/>
        <w:rPr>
          <w:rFonts w:hAnsi="宋体" w:cs="宋体"/>
          <w:b/>
        </w:rPr>
      </w:pPr>
      <w:r>
        <w:rPr>
          <w:rFonts w:hint="eastAsia" w:hAnsi="宋体" w:cs="宋体"/>
          <w:kern w:val="0"/>
        </w:rPr>
        <w:t>22.1谈判单位对评审结果有异议的，应当在结果公示期间提出。</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23.中选通知</w:t>
      </w:r>
    </w:p>
    <w:p>
      <w:pPr>
        <w:pStyle w:val="25"/>
        <w:adjustRightInd w:val="0"/>
        <w:snapToGrid w:val="0"/>
        <w:spacing w:line="360" w:lineRule="auto"/>
        <w:ind w:firstLine="420" w:firstLineChars="200"/>
        <w:rPr>
          <w:rFonts w:hAnsi="宋体" w:cs="宋体"/>
        </w:rPr>
      </w:pPr>
      <w:r>
        <w:rPr>
          <w:rFonts w:hint="eastAsia" w:hAnsi="宋体" w:cs="宋体"/>
        </w:rPr>
        <w:t>23.1中选单位确定后，采购单位将以书面形式向中选单位发出中选通知书。中选通知书对采购单位和中选单位具有同等法律效力。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24.签订合同</w:t>
      </w:r>
    </w:p>
    <w:p>
      <w:pPr>
        <w:pStyle w:val="25"/>
        <w:adjustRightInd w:val="0"/>
        <w:snapToGrid w:val="0"/>
        <w:spacing w:line="360" w:lineRule="auto"/>
        <w:ind w:firstLine="420" w:firstLineChars="200"/>
        <w:rPr>
          <w:rFonts w:hAnsi="宋体" w:cs="宋体"/>
        </w:rPr>
      </w:pPr>
      <w:r>
        <w:rPr>
          <w:rFonts w:hint="eastAsia" w:hAnsi="宋体" w:cs="宋体"/>
        </w:rPr>
        <w:t>24.1谈判文件、中选单位的响应文件及其补充的文件等均为签订合同的依据。</w:t>
      </w:r>
    </w:p>
    <w:p>
      <w:pPr>
        <w:pStyle w:val="25"/>
        <w:adjustRightInd w:val="0"/>
        <w:snapToGrid w:val="0"/>
        <w:spacing w:line="360" w:lineRule="auto"/>
        <w:ind w:firstLine="420" w:firstLineChars="200"/>
        <w:rPr>
          <w:rFonts w:hAnsi="宋体" w:cs="宋体"/>
        </w:rPr>
      </w:pPr>
      <w:r>
        <w:rPr>
          <w:rFonts w:hint="eastAsia" w:hAnsi="宋体" w:cs="宋体"/>
        </w:rPr>
        <w:t>24.2中选单位应当在中选通知书发出后及时与采购单位签订合同。</w:t>
      </w:r>
    </w:p>
    <w:p>
      <w:pPr>
        <w:pStyle w:val="25"/>
        <w:adjustRightInd w:val="0"/>
        <w:snapToGrid w:val="0"/>
        <w:spacing w:line="360" w:lineRule="auto"/>
        <w:ind w:firstLine="420" w:firstLineChars="200"/>
        <w:rPr>
          <w:rFonts w:hAnsi="宋体" w:cs="宋体"/>
        </w:rPr>
      </w:pPr>
      <w:r>
        <w:rPr>
          <w:rFonts w:hint="eastAsia" w:hAnsi="宋体" w:cs="宋体"/>
        </w:rPr>
        <w:t>24.3中选单位应当按照合同约定履行义务。</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25.纪律和监督</w:t>
      </w:r>
    </w:p>
    <w:p>
      <w:pPr>
        <w:spacing w:line="360" w:lineRule="auto"/>
        <w:ind w:firstLine="422" w:firstLineChars="200"/>
        <w:rPr>
          <w:rFonts w:ascii="宋体" w:hAnsi="宋体" w:cs="宋体"/>
          <w:b/>
          <w:bCs/>
          <w:szCs w:val="21"/>
        </w:rPr>
      </w:pPr>
      <w:r>
        <w:rPr>
          <w:rFonts w:hint="eastAsia" w:ascii="宋体" w:hAnsi="宋体" w:cs="宋体"/>
          <w:b/>
          <w:bCs/>
          <w:szCs w:val="21"/>
        </w:rPr>
        <w:t>25.1对采购单位的纪律要求</w:t>
      </w:r>
    </w:p>
    <w:p>
      <w:pPr>
        <w:pStyle w:val="356"/>
        <w:ind w:firstLine="420" w:firstLineChars="200"/>
        <w:jc w:val="both"/>
        <w:rPr>
          <w:rFonts w:hAnsi="宋体" w:cs="宋体"/>
          <w:sz w:val="21"/>
          <w:szCs w:val="21"/>
        </w:rPr>
      </w:pPr>
      <w:r>
        <w:rPr>
          <w:rFonts w:hint="eastAsia" w:hAnsi="宋体" w:cs="宋体"/>
          <w:sz w:val="21"/>
          <w:szCs w:val="21"/>
        </w:rPr>
        <w:t>采购单位不得泄露谈判活动中应当保密的情况和资料，不得与谈判单位串通损害国家利益、社会公共利益或者他人合法权益。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25.2对谈判单位的纪律要求</w:t>
      </w:r>
    </w:p>
    <w:p>
      <w:pPr>
        <w:pStyle w:val="356"/>
        <w:ind w:firstLine="420" w:firstLineChars="200"/>
        <w:jc w:val="both"/>
        <w:rPr>
          <w:rFonts w:hAnsi="宋体" w:cs="宋体"/>
          <w:sz w:val="21"/>
          <w:szCs w:val="21"/>
        </w:rPr>
      </w:pPr>
      <w:r>
        <w:rPr>
          <w:rFonts w:hint="eastAsia" w:hAnsi="宋体" w:cs="宋体"/>
          <w:sz w:val="21"/>
          <w:szCs w:val="21"/>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25.3对</w:t>
      </w:r>
      <w:r>
        <w:rPr>
          <w:rFonts w:hint="eastAsia" w:ascii="宋体" w:hAnsi="宋体" w:cs="宋体"/>
          <w:b/>
          <w:szCs w:val="21"/>
        </w:rPr>
        <w:t>谈判评审小组</w:t>
      </w:r>
      <w:r>
        <w:rPr>
          <w:rFonts w:hint="eastAsia" w:ascii="宋体" w:hAnsi="宋体" w:cs="宋体"/>
          <w:b/>
          <w:bCs/>
          <w:szCs w:val="21"/>
        </w:rPr>
        <w:t>成员的纪律要求</w:t>
      </w:r>
    </w:p>
    <w:p>
      <w:pPr>
        <w:pStyle w:val="356"/>
        <w:ind w:firstLine="420" w:firstLineChars="200"/>
        <w:jc w:val="both"/>
        <w:rPr>
          <w:rFonts w:hAnsi="宋体" w:cs="宋体"/>
          <w:sz w:val="21"/>
          <w:szCs w:val="21"/>
        </w:rPr>
      </w:pPr>
      <w:r>
        <w:rPr>
          <w:rFonts w:hint="eastAsia" w:hAnsi="宋体" w:cs="宋体"/>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36" w:name="page32"/>
      <w:bookmarkEnd w:id="36"/>
      <w:r>
        <w:rPr>
          <w:rFonts w:hint="eastAsia" w:hAnsi="宋体" w:cs="宋体"/>
          <w:sz w:val="21"/>
          <w:szCs w:val="21"/>
        </w:rPr>
        <w:t>三章“评审办法”没有规定的评审因素和标准进行评审。</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25.4对与评审活动有关的工作人员的纪律要求</w:t>
      </w:r>
    </w:p>
    <w:p>
      <w:pPr>
        <w:pStyle w:val="25"/>
        <w:adjustRightInd w:val="0"/>
        <w:snapToGrid w:val="0"/>
        <w:spacing w:line="360" w:lineRule="auto"/>
        <w:ind w:firstLine="420" w:firstLineChars="200"/>
        <w:rPr>
          <w:rFonts w:hAnsi="宋体" w:cs="宋体"/>
        </w:rPr>
      </w:pPr>
      <w:r>
        <w:rPr>
          <w:rFonts w:hint="eastAsia" w:hAnsi="宋体" w:cs="宋体"/>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4"/>
        <w:keepNext w:val="0"/>
        <w:keepLines w:val="0"/>
        <w:rPr>
          <w:rFonts w:ascii="宋体" w:hAnsi="宋体" w:cs="宋体"/>
          <w:sz w:val="21"/>
          <w:szCs w:val="21"/>
        </w:rPr>
      </w:pPr>
      <w:bookmarkStart w:id="37" w:name="_Toc14891075"/>
      <w:bookmarkStart w:id="38" w:name="_Toc32718"/>
      <w:r>
        <w:rPr>
          <w:rFonts w:hint="eastAsia" w:ascii="宋体" w:hAnsi="宋体" w:cs="宋体"/>
          <w:sz w:val="21"/>
          <w:szCs w:val="21"/>
        </w:rPr>
        <w:t>八、其他</w:t>
      </w:r>
      <w:bookmarkEnd w:id="37"/>
      <w:bookmarkEnd w:id="38"/>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候选人的，取消中选候选人资格；已中选的，取消中选资格。同时，视其情节轻重处禁止参与长沙市轨道交通集团有限公司及下属子公司项目招标采购活动（最多三年），并依据国家有关规定进行处理。</w:t>
      </w:r>
    </w:p>
    <w:p>
      <w:pPr>
        <w:adjustRightInd w:val="0"/>
        <w:snapToGrid w:val="0"/>
        <w:spacing w:line="360" w:lineRule="auto"/>
        <w:ind w:left="964" w:hanging="964" w:hangingChars="300"/>
        <w:jc w:val="center"/>
        <w:rPr>
          <w:rFonts w:ascii="宋体" w:hAnsi="宋体" w:cs="宋体"/>
          <w:b/>
          <w:sz w:val="32"/>
          <w:szCs w:val="32"/>
        </w:rPr>
        <w:sectPr>
          <w:pgSz w:w="11906" w:h="16838"/>
          <w:pgMar w:top="1191" w:right="1417" w:bottom="1191" w:left="1191" w:header="851" w:footer="851" w:gutter="0"/>
          <w:cols w:space="720" w:num="1"/>
          <w:docGrid w:linePitch="312" w:charSpace="0"/>
        </w:sectPr>
      </w:pPr>
    </w:p>
    <w:p>
      <w:pPr>
        <w:adjustRightInd w:val="0"/>
        <w:snapToGrid w:val="0"/>
        <w:spacing w:line="360" w:lineRule="auto"/>
        <w:rPr>
          <w:rFonts w:ascii="宋体" w:hAnsi="宋体" w:cs="宋体"/>
          <w:b/>
          <w:bCs/>
          <w:szCs w:val="21"/>
        </w:rPr>
      </w:pPr>
      <w:r>
        <w:rPr>
          <w:rFonts w:hint="eastAsia" w:ascii="宋体" w:hAnsi="宋体" w:cs="宋体"/>
          <w:b/>
          <w:bCs/>
          <w:szCs w:val="21"/>
        </w:rPr>
        <w:t>附件：采购代理服务费收费标准</w:t>
      </w:r>
    </w:p>
    <w:p>
      <w:pPr>
        <w:adjustRightInd w:val="0"/>
        <w:snapToGrid w:val="0"/>
        <w:spacing w:line="360" w:lineRule="auto"/>
        <w:jc w:val="center"/>
        <w:rPr>
          <w:rFonts w:ascii="宋体" w:hAnsi="宋体" w:cs="宋体"/>
          <w:b/>
          <w:szCs w:val="21"/>
        </w:rPr>
      </w:pPr>
      <w:r>
        <w:rPr>
          <w:rFonts w:hint="eastAsia" w:ascii="宋体" w:hAnsi="宋体" w:cs="宋体"/>
          <w:b/>
          <w:szCs w:val="21"/>
        </w:rPr>
        <w:t>采购代理服务收费参照汇率表</w:t>
      </w:r>
    </w:p>
    <w:tbl>
      <w:tblPr>
        <w:tblStyle w:val="47"/>
        <w:tblpPr w:leftFromText="180" w:rightFromText="180" w:vertAnchor="text" w:horzAnchor="page" w:tblpXSpec="center" w:tblpY="236"/>
        <w:tblOverlap w:val="never"/>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1957"/>
        <w:gridCol w:w="2325"/>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jc w:val="right"/>
              <w:rPr>
                <w:rFonts w:ascii="宋体" w:hAnsi="宋体" w:cs="宋体"/>
                <w:szCs w:val="21"/>
              </w:rPr>
            </w:pPr>
            <w:r>
              <w:rPr>
                <w:rFonts w:hint="eastAsia" w:ascii="宋体" w:hAnsi="宋体" w:cs="宋体"/>
                <w:szCs w:val="21"/>
              </w:rPr>
              <w:t>汇率</w:t>
            </w:r>
          </w:p>
          <w:p>
            <w:pPr>
              <w:adjustRightInd w:val="0"/>
              <w:snapToGrid w:val="0"/>
              <w:rPr>
                <w:rFonts w:ascii="宋体" w:hAnsi="宋体" w:cs="宋体"/>
                <w:szCs w:val="21"/>
              </w:rPr>
            </w:pPr>
            <w:r>
              <w:rPr>
                <w:rFonts w:hint="eastAsia" w:ascii="宋体" w:hAnsi="宋体" w:cs="宋体"/>
                <w:szCs w:val="21"/>
              </w:rPr>
              <w:t>中选金额</w:t>
            </w:r>
          </w:p>
        </w:tc>
        <w:tc>
          <w:tcPr>
            <w:tcW w:w="1957" w:type="dxa"/>
            <w:tcBorders>
              <w:top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货物采购</w:t>
            </w:r>
          </w:p>
        </w:tc>
        <w:tc>
          <w:tcPr>
            <w:tcW w:w="2325" w:type="dxa"/>
            <w:tcBorders>
              <w:top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服务采购</w:t>
            </w:r>
          </w:p>
        </w:tc>
        <w:tc>
          <w:tcPr>
            <w:tcW w:w="2100" w:type="dxa"/>
            <w:tcBorders>
              <w:top w:val="single" w:color="auto" w:sz="12" w:space="0"/>
              <w:right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228" w:type="dxa"/>
            <w:tcBorders>
              <w:left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100万元以下</w:t>
            </w:r>
          </w:p>
        </w:tc>
        <w:tc>
          <w:tcPr>
            <w:tcW w:w="1957" w:type="dxa"/>
            <w:vAlign w:val="center"/>
          </w:tcPr>
          <w:p>
            <w:pPr>
              <w:adjustRightInd w:val="0"/>
              <w:snapToGrid w:val="0"/>
              <w:jc w:val="center"/>
              <w:rPr>
                <w:rFonts w:ascii="宋体" w:hAnsi="宋体" w:cs="宋体"/>
                <w:szCs w:val="21"/>
              </w:rPr>
            </w:pPr>
            <w:r>
              <w:rPr>
                <w:rFonts w:hint="eastAsia" w:ascii="宋体" w:hAnsi="宋体" w:cs="宋体"/>
                <w:szCs w:val="21"/>
              </w:rPr>
              <w:t>1.5%</w:t>
            </w:r>
          </w:p>
        </w:tc>
        <w:tc>
          <w:tcPr>
            <w:tcW w:w="2325" w:type="dxa"/>
            <w:vAlign w:val="center"/>
          </w:tcPr>
          <w:p>
            <w:pPr>
              <w:adjustRightInd w:val="0"/>
              <w:snapToGrid w:val="0"/>
              <w:jc w:val="center"/>
              <w:rPr>
                <w:rFonts w:ascii="宋体" w:hAnsi="宋体" w:cs="宋体"/>
                <w:szCs w:val="21"/>
              </w:rPr>
            </w:pPr>
            <w:r>
              <w:rPr>
                <w:rFonts w:hint="eastAsia" w:ascii="宋体" w:hAnsi="宋体" w:cs="宋体"/>
                <w:szCs w:val="21"/>
              </w:rPr>
              <w:t>1.5%</w:t>
            </w:r>
          </w:p>
        </w:tc>
        <w:tc>
          <w:tcPr>
            <w:tcW w:w="2100" w:type="dxa"/>
            <w:tcBorders>
              <w:right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228" w:type="dxa"/>
            <w:tcBorders>
              <w:left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100～400万元</w:t>
            </w:r>
          </w:p>
        </w:tc>
        <w:tc>
          <w:tcPr>
            <w:tcW w:w="1957" w:type="dxa"/>
            <w:vAlign w:val="center"/>
          </w:tcPr>
          <w:p>
            <w:pPr>
              <w:adjustRightInd w:val="0"/>
              <w:snapToGrid w:val="0"/>
              <w:jc w:val="center"/>
              <w:rPr>
                <w:rFonts w:ascii="宋体" w:hAnsi="宋体" w:cs="宋体"/>
                <w:szCs w:val="21"/>
              </w:rPr>
            </w:pPr>
            <w:r>
              <w:rPr>
                <w:rFonts w:hint="eastAsia" w:ascii="宋体" w:hAnsi="宋体" w:cs="宋体"/>
                <w:szCs w:val="21"/>
              </w:rPr>
              <w:t>1.1%</w:t>
            </w:r>
          </w:p>
        </w:tc>
        <w:tc>
          <w:tcPr>
            <w:tcW w:w="2325" w:type="dxa"/>
            <w:vAlign w:val="center"/>
          </w:tcPr>
          <w:p>
            <w:pPr>
              <w:adjustRightInd w:val="0"/>
              <w:snapToGrid w:val="0"/>
              <w:jc w:val="center"/>
              <w:rPr>
                <w:rFonts w:ascii="宋体" w:hAnsi="宋体" w:cs="宋体"/>
                <w:szCs w:val="21"/>
              </w:rPr>
            </w:pPr>
            <w:r>
              <w:rPr>
                <w:rFonts w:hint="eastAsia" w:ascii="宋体" w:hAnsi="宋体" w:cs="宋体"/>
                <w:szCs w:val="21"/>
              </w:rPr>
              <w:t>0.8%</w:t>
            </w:r>
          </w:p>
        </w:tc>
        <w:tc>
          <w:tcPr>
            <w:tcW w:w="2100" w:type="dxa"/>
            <w:tcBorders>
              <w:right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jc w:val="center"/>
              <w:rPr>
                <w:rFonts w:ascii="宋体" w:hAnsi="宋体" w:cs="宋体"/>
                <w:szCs w:val="21"/>
              </w:rPr>
            </w:pPr>
            <w:r>
              <w:rPr>
                <w:rFonts w:hint="eastAsia" w:ascii="宋体" w:hAnsi="宋体" w:cs="宋体"/>
                <w:szCs w:val="21"/>
              </w:rPr>
              <w:t>备注</w:t>
            </w:r>
          </w:p>
        </w:tc>
        <w:tc>
          <w:tcPr>
            <w:tcW w:w="6382"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jc w:val="left"/>
              <w:rPr>
                <w:rFonts w:ascii="宋体" w:hAnsi="宋体" w:cs="宋体"/>
                <w:szCs w:val="21"/>
              </w:rPr>
            </w:pPr>
            <w:r>
              <w:rPr>
                <w:rFonts w:hint="eastAsia" w:ascii="宋体" w:hAnsi="宋体" w:cs="宋体"/>
                <w:szCs w:val="21"/>
              </w:rPr>
              <w:t>采购代理服务费的收费标准为：以中选价为基数，按《采购代理服务收费参照汇率表》进行计算后，向中选单位收取。服务费超过2万元的，按2万元计取，服务费低于5000元的，按5000元计取。</w:t>
            </w:r>
          </w:p>
        </w:tc>
      </w:tr>
    </w:tbl>
    <w:p>
      <w:pPr>
        <w:adjustRightInd w:val="0"/>
        <w:snapToGrid w:val="0"/>
        <w:spacing w:line="360" w:lineRule="auto"/>
        <w:rPr>
          <w:rFonts w:ascii="宋体" w:hAnsi="宋体" w:cs="宋体"/>
          <w:szCs w:val="21"/>
        </w:rPr>
      </w:pPr>
      <w:r>
        <w:rPr>
          <w:rFonts w:hint="eastAsia" w:ascii="宋体" w:hAnsi="宋体" w:cs="宋体"/>
          <w:szCs w:val="21"/>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100万元×1.0%＝1万元</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（300-100）万元×0.7%＝1.4万元</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合计收费＝1+1.4＝2.4（万元）</w:t>
      </w:r>
    </w:p>
    <w:p>
      <w:pPr>
        <w:adjustRightInd w:val="0"/>
        <w:snapToGrid w:val="0"/>
        <w:spacing w:line="360" w:lineRule="auto"/>
        <w:ind w:firstLine="420" w:firstLineChars="200"/>
        <w:jc w:val="left"/>
        <w:rPr>
          <w:rFonts w:ascii="宋体" w:hAnsi="宋体" w:cs="宋体"/>
          <w:b/>
          <w:szCs w:val="21"/>
        </w:rPr>
        <w:sectPr>
          <w:footerReference r:id="rId6" w:type="default"/>
          <w:pgSz w:w="11906" w:h="16838"/>
          <w:pgMar w:top="1191" w:right="1417" w:bottom="1191" w:left="1191" w:header="851" w:footer="851" w:gutter="0"/>
          <w:cols w:space="720" w:num="1"/>
          <w:docGrid w:linePitch="312" w:charSpace="0"/>
        </w:sectPr>
      </w:pPr>
      <w:r>
        <w:rPr>
          <w:rFonts w:hint="eastAsia" w:ascii="宋体" w:hAnsi="宋体" w:cs="宋体"/>
          <w:szCs w:val="21"/>
        </w:rPr>
        <w:t>本项目采购代理服务费为2万元</w:t>
      </w:r>
    </w:p>
    <w:p>
      <w:pPr>
        <w:pStyle w:val="3"/>
        <w:keepNext w:val="0"/>
        <w:spacing w:line="360" w:lineRule="auto"/>
        <w:rPr>
          <w:rFonts w:ascii="宋体" w:hAnsi="宋体" w:cs="宋体"/>
          <w:bCs w:val="0"/>
          <w:sz w:val="32"/>
          <w:szCs w:val="32"/>
        </w:rPr>
      </w:pPr>
      <w:bookmarkStart w:id="39" w:name="_Toc4275"/>
      <w:bookmarkStart w:id="40" w:name="_Toc28427"/>
      <w:bookmarkStart w:id="41" w:name="_Toc5567"/>
      <w:bookmarkStart w:id="42" w:name="_Toc31786"/>
      <w:r>
        <w:rPr>
          <w:rFonts w:hint="eastAsia" w:ascii="宋体" w:hAnsi="宋体" w:cs="宋体"/>
          <w:bCs w:val="0"/>
          <w:sz w:val="32"/>
          <w:szCs w:val="32"/>
        </w:rPr>
        <w:t>第三章  评审办法及标准</w:t>
      </w:r>
      <w:bookmarkEnd w:id="39"/>
      <w:bookmarkEnd w:id="40"/>
      <w:bookmarkEnd w:id="41"/>
      <w:bookmarkEnd w:id="42"/>
    </w:p>
    <w:p>
      <w:pPr>
        <w:adjustRightInd w:val="0"/>
        <w:snapToGrid w:val="0"/>
        <w:spacing w:line="360" w:lineRule="auto"/>
        <w:ind w:left="632" w:hanging="632" w:hangingChars="300"/>
        <w:rPr>
          <w:rFonts w:ascii="宋体" w:hAnsi="宋体" w:cs="宋体"/>
          <w:b/>
          <w:szCs w:val="21"/>
        </w:rPr>
      </w:pPr>
    </w:p>
    <w:p>
      <w:pPr>
        <w:adjustRightInd w:val="0"/>
        <w:snapToGrid w:val="0"/>
        <w:spacing w:line="360" w:lineRule="auto"/>
        <w:rPr>
          <w:rFonts w:ascii="宋体" w:hAnsi="宋体" w:cs="宋体"/>
          <w:b/>
          <w:szCs w:val="21"/>
        </w:rPr>
      </w:pPr>
      <w:r>
        <w:rPr>
          <w:rFonts w:hint="eastAsia" w:ascii="宋体" w:hAnsi="宋体" w:cs="宋体"/>
          <w:b/>
          <w:szCs w:val="21"/>
        </w:rPr>
        <w:t>一、评审办法</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bCs/>
          <w:szCs w:val="21"/>
        </w:rPr>
        <w:t>1.本项目采用经符合性审查合格后的</w:t>
      </w:r>
      <w:r>
        <w:rPr>
          <w:rFonts w:hint="eastAsia" w:ascii="宋体" w:hAnsi="宋体" w:cs="宋体"/>
          <w:b/>
          <w:bCs/>
          <w:szCs w:val="21"/>
          <w:u w:val="single"/>
        </w:rPr>
        <w:t>最低价法</w:t>
      </w:r>
      <w:r>
        <w:rPr>
          <w:rFonts w:hint="eastAsia" w:ascii="宋体" w:hAnsi="宋体" w:cs="宋体"/>
          <w:szCs w:val="21"/>
        </w:rPr>
        <w:t>。</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二、谈判程序</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2.采购单位在前附表内规定的谈判时间及地点组织谈判活动。谈判活动由采购单位、谈判单位代表参与。</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bCs/>
          <w:szCs w:val="21"/>
        </w:rPr>
        <w:t>3．谈判程序分为：</w:t>
      </w:r>
      <w:r>
        <w:rPr>
          <w:rFonts w:hint="eastAsia" w:ascii="宋体" w:hAnsi="宋体" w:cs="宋体"/>
          <w:b/>
          <w:szCs w:val="21"/>
        </w:rPr>
        <w:t>谈判验证阶段及谈判评审阶段。</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三、谈判验证阶段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谈判验证阶段分为身份验证和唱价。</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4.身份验证阶段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4.1采购单位按本文件前附表内规定的响应文件的谈判现场验证要求，对参与谈判的单位代表身份进行验证。</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4.2参与谈判的代表身份经验证不合格的，视为无效响应，</w:t>
      </w:r>
      <w:r>
        <w:rPr>
          <w:rFonts w:hint="eastAsia" w:ascii="宋体" w:hAnsi="宋体" w:cs="宋体"/>
          <w:szCs w:val="21"/>
        </w:rPr>
        <w:t>不得进入下一阶段。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5.唱价阶段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5.1身份验证结束后，由采购单位当众拆封经身份验证合格的谈判单位的谈判响应文件，宣读响应文件中《报价一览表》内容，并记录在案。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5.2谈判单位法定代表人或授权委托人、现场监审、记录人等有关人员在唱价记录表上签字确认，谈判单位对本阶段有异议的应当场提出，采购人当场作出答复，并记录在案，未提出的，视为无异议。</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四、谈判评审阶段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谈判评审阶段分为符合性审查、详细评审及推荐中选单位。</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6.符合性审查阶段</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符合性审查分为对谈判单位资格的符合性审查及报价的符合性审查。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6.1资格的符合性审查</w:t>
      </w:r>
    </w:p>
    <w:p>
      <w:pPr>
        <w:adjustRightInd w:val="0"/>
        <w:snapToGrid w:val="0"/>
        <w:spacing w:line="360" w:lineRule="auto"/>
        <w:ind w:firstLine="420" w:firstLineChars="200"/>
        <w:rPr>
          <w:rFonts w:ascii="宋体" w:hAnsi="宋体" w:cs="宋体"/>
          <w:szCs w:val="21"/>
          <w:highlight w:val="yellow"/>
        </w:rPr>
      </w:pPr>
      <w:r>
        <w:rPr>
          <w:rFonts w:hint="eastAsia" w:ascii="宋体" w:hAnsi="宋体" w:cs="宋体"/>
          <w:szCs w:val="21"/>
        </w:rPr>
        <w:t>谈判评审</w:t>
      </w:r>
      <w:r>
        <w:rPr>
          <w:rFonts w:hint="eastAsia" w:ascii="宋体" w:hAnsi="宋体" w:cs="宋体"/>
          <w:bCs/>
          <w:szCs w:val="21"/>
        </w:rPr>
        <w:t>小组</w:t>
      </w:r>
      <w:r>
        <w:rPr>
          <w:rFonts w:hint="eastAsia" w:ascii="宋体" w:hAnsi="宋体" w:cs="宋体"/>
          <w:szCs w:val="21"/>
        </w:rPr>
        <w:t>根据本谈判文件</w:t>
      </w:r>
      <w:r>
        <w:rPr>
          <w:rFonts w:hint="eastAsia" w:ascii="宋体" w:hAnsi="宋体" w:cs="宋体"/>
          <w:b/>
          <w:szCs w:val="21"/>
        </w:rPr>
        <w:t>前附表</w:t>
      </w:r>
      <w:r>
        <w:rPr>
          <w:rFonts w:hint="eastAsia" w:ascii="宋体" w:hAnsi="宋体" w:cs="宋体"/>
          <w:szCs w:val="21"/>
        </w:rPr>
        <w:t>内规定的谈判单位资格要求，对谈判单位进行符合性审查。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6.2报价的符合性审查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谈判评审小组根据谈判文件的规定，对报价文件的有效性、完整性等进行符合性审查。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6.3有下列情形之一的，为符合性审查不合格，视为无效响应，不进入下一阶段：</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（1）未按照谈判文件规定要求签署盖章的；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（2）响应</w:t>
      </w:r>
      <w:r>
        <w:rPr>
          <w:rFonts w:hint="eastAsia" w:ascii="宋体" w:hAnsi="宋体" w:cs="宋体"/>
          <w:kern w:val="0"/>
          <w:szCs w:val="21"/>
        </w:rPr>
        <w:t>文件有效期不满足谈判文件规定的；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（3）不满足资格条件要求的；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（4）不满足用户需求书要求书的；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（5）超过最高限价的；</w:t>
      </w:r>
    </w:p>
    <w:p>
      <w:pPr>
        <w:adjustRightInd w:val="0"/>
        <w:snapToGrid w:val="0"/>
        <w:spacing w:line="360" w:lineRule="auto"/>
        <w:ind w:firstLine="420" w:firstLineChars="200"/>
        <w:rPr>
          <w:rFonts w:ascii="宋体" w:hAnsi="宋体" w:cs="宋体"/>
          <w:b/>
          <w:szCs w:val="21"/>
        </w:rPr>
      </w:pPr>
      <w:r>
        <w:rPr>
          <w:rFonts w:hint="eastAsia" w:ascii="宋体" w:hAnsi="宋体" w:cs="宋体"/>
          <w:szCs w:val="21"/>
        </w:rPr>
        <w:t>（6）递交两份或多份内容不同的报价文件，或在一份报价文件中对同一项目报有两个或多个报价，且未声明哪一个有效的。</w:t>
      </w:r>
    </w:p>
    <w:p>
      <w:pPr>
        <w:adjustRightInd w:val="0"/>
        <w:snapToGrid w:val="0"/>
        <w:spacing w:line="360" w:lineRule="auto"/>
        <w:ind w:firstLine="422" w:firstLineChars="200"/>
        <w:rPr>
          <w:rFonts w:ascii="宋体" w:hAnsi="宋体" w:cs="宋体"/>
          <w:b/>
          <w:bCs/>
          <w:szCs w:val="21"/>
        </w:rPr>
      </w:pPr>
      <w:r>
        <w:rPr>
          <w:rFonts w:hint="eastAsia" w:ascii="宋体" w:hAnsi="宋体" w:cs="宋体"/>
          <w:b/>
          <w:szCs w:val="21"/>
        </w:rPr>
        <w:t>7.</w:t>
      </w:r>
      <w:r>
        <w:rPr>
          <w:rFonts w:hint="eastAsia" w:ascii="宋体" w:hAnsi="宋体" w:cs="宋体"/>
          <w:b/>
          <w:bCs/>
          <w:szCs w:val="21"/>
        </w:rPr>
        <w:t>详细评审阶段</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7.1谈判评审小组应按以下要求对经符合性审查合格的谈判单位进行详细评审：</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（1）</w:t>
      </w:r>
      <w:r>
        <w:rPr>
          <w:rFonts w:hint="eastAsia" w:ascii="宋体" w:hAnsi="宋体" w:cs="宋体"/>
          <w:kern w:val="0"/>
          <w:szCs w:val="21"/>
        </w:rPr>
        <w:t>以经谈判评审小组一致认定满足《竞争性谈判文件》要求且谈判总报价最低的报价为基准价，其得分为满分。</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（2）</w:t>
      </w:r>
      <w:r>
        <w:rPr>
          <w:rFonts w:hint="eastAsia" w:ascii="宋体" w:hAnsi="宋体" w:cs="宋体"/>
          <w:kern w:val="0"/>
          <w:szCs w:val="21"/>
        </w:rPr>
        <w:t>其他有效单位的得分统一按下列公式计算（保留2位小数，第3位四舍五入）：谈判单位得分=(基准价／谈判总报价)×100</w:t>
      </w:r>
    </w:p>
    <w:p>
      <w:pPr>
        <w:adjustRightInd w:val="0"/>
        <w:snapToGrid w:val="0"/>
        <w:spacing w:line="360" w:lineRule="auto"/>
        <w:ind w:firstLine="413" w:firstLineChars="196"/>
        <w:rPr>
          <w:rFonts w:ascii="宋体" w:hAnsi="宋体" w:cs="宋体"/>
          <w:b/>
          <w:bCs/>
          <w:szCs w:val="21"/>
        </w:rPr>
      </w:pPr>
      <w:r>
        <w:rPr>
          <w:rFonts w:hint="eastAsia" w:ascii="宋体" w:hAnsi="宋体" w:cs="宋体"/>
          <w:b/>
          <w:bCs/>
          <w:szCs w:val="21"/>
        </w:rPr>
        <w:t>8.推荐中选单位</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bCs/>
          <w:szCs w:val="21"/>
        </w:rPr>
        <w:t>8.1</w:t>
      </w:r>
      <w:r>
        <w:rPr>
          <w:rFonts w:hint="eastAsia" w:ascii="宋体" w:hAnsi="宋体" w:cs="宋体"/>
          <w:kern w:val="0"/>
          <w:szCs w:val="21"/>
        </w:rPr>
        <w:t>谈判评审小组应当在全部评审结束后，按照得分由高到低顺序推荐1名中选单位，并填写评审报告。</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8.2全部评审结束后，若出现报价得分相同的情形，则采用现场抽签方式确定中选单位。</w:t>
      </w:r>
    </w:p>
    <w:p>
      <w:pPr>
        <w:rPr>
          <w:rFonts w:ascii="宋体" w:hAnsi="宋体" w:cs="宋体"/>
          <w:bCs/>
          <w:szCs w:val="21"/>
        </w:rPr>
        <w:sectPr>
          <w:pgSz w:w="11906" w:h="16838"/>
          <w:pgMar w:top="1191" w:right="1417" w:bottom="1191" w:left="1191" w:header="851" w:footer="851" w:gutter="0"/>
          <w:cols w:space="720" w:num="1"/>
          <w:docGrid w:linePitch="312" w:charSpace="0"/>
        </w:sectPr>
      </w:pPr>
      <w:r>
        <w:rPr>
          <w:rFonts w:hint="eastAsia" w:ascii="宋体" w:hAnsi="宋体" w:cs="宋体"/>
          <w:kern w:val="0"/>
          <w:szCs w:val="21"/>
        </w:rPr>
        <w:br w:type="page"/>
      </w:r>
    </w:p>
    <w:p>
      <w:pPr>
        <w:pStyle w:val="3"/>
        <w:keepNext w:val="0"/>
        <w:rPr>
          <w:rFonts w:ascii="宋体" w:hAnsi="宋体" w:cs="宋体"/>
          <w:bCs w:val="0"/>
          <w:sz w:val="32"/>
          <w:szCs w:val="32"/>
        </w:rPr>
      </w:pPr>
      <w:bookmarkStart w:id="43" w:name="_Toc23967"/>
      <w:bookmarkStart w:id="44" w:name="_Toc17997"/>
      <w:bookmarkStart w:id="45" w:name="_Toc23442"/>
      <w:bookmarkStart w:id="46" w:name="_Toc14891077"/>
      <w:bookmarkStart w:id="47" w:name="_Toc17562"/>
      <w:r>
        <w:rPr>
          <w:rFonts w:hint="eastAsia" w:ascii="宋体" w:hAnsi="宋体" w:cs="宋体"/>
          <w:bCs w:val="0"/>
          <w:sz w:val="32"/>
          <w:szCs w:val="32"/>
        </w:rPr>
        <w:t>第四章  用户需求书</w:t>
      </w:r>
      <w:bookmarkEnd w:id="43"/>
      <w:bookmarkEnd w:id="44"/>
      <w:bookmarkEnd w:id="45"/>
      <w:bookmarkEnd w:id="46"/>
      <w:bookmarkEnd w:id="47"/>
    </w:p>
    <w:p>
      <w:pPr>
        <w:jc w:val="center"/>
        <w:rPr>
          <w:sz w:val="30"/>
          <w:szCs w:val="30"/>
        </w:rPr>
      </w:pPr>
    </w:p>
    <w:p>
      <w:pPr>
        <w:jc w:val="center"/>
        <w:rPr>
          <w:sz w:val="36"/>
          <w:szCs w:val="36"/>
        </w:rPr>
      </w:pPr>
      <w:r>
        <w:rPr>
          <w:rFonts w:hint="eastAsia"/>
          <w:sz w:val="36"/>
          <w:szCs w:val="36"/>
        </w:rPr>
        <w:t>（另册）</w:t>
      </w:r>
    </w:p>
    <w:p>
      <w:pPr>
        <w:rPr>
          <w:rFonts w:ascii="宋体" w:hAnsi="宋体" w:cs="宋体"/>
        </w:rPr>
      </w:pPr>
    </w:p>
    <w:p>
      <w:pPr>
        <w:spacing w:line="360" w:lineRule="auto"/>
        <w:ind w:firstLine="420" w:firstLineChars="200"/>
        <w:rPr>
          <w:rFonts w:ascii="宋体" w:hAnsi="宋体" w:cs="宋体"/>
        </w:rPr>
        <w:sectPr>
          <w:headerReference r:id="rId7" w:type="default"/>
          <w:footerReference r:id="rId8" w:type="default"/>
          <w:pgSz w:w="11906" w:h="16838"/>
          <w:pgMar w:top="1191" w:right="1417" w:bottom="1191" w:left="1191" w:header="851" w:footer="851" w:gutter="0"/>
          <w:cols w:space="720" w:num="1"/>
          <w:docGrid w:linePitch="312" w:charSpace="0"/>
        </w:sectPr>
      </w:pPr>
    </w:p>
    <w:p>
      <w:pPr>
        <w:pStyle w:val="3"/>
        <w:keepNext w:val="0"/>
        <w:rPr>
          <w:rFonts w:ascii="宋体" w:hAnsi="宋体" w:cs="宋体"/>
          <w:bCs w:val="0"/>
          <w:sz w:val="32"/>
          <w:szCs w:val="32"/>
        </w:rPr>
      </w:pPr>
      <w:bookmarkStart w:id="48" w:name="_Toc16008"/>
      <w:r>
        <w:rPr>
          <w:rFonts w:hint="eastAsia" w:ascii="宋体" w:hAnsi="宋体" w:cs="宋体"/>
          <w:bCs w:val="0"/>
          <w:sz w:val="32"/>
          <w:szCs w:val="32"/>
        </w:rPr>
        <w:t xml:space="preserve">第五章  </w:t>
      </w:r>
      <w:bookmarkEnd w:id="48"/>
      <w:r>
        <w:rPr>
          <w:rFonts w:hint="eastAsia" w:ascii="宋体" w:hAnsi="宋体" w:cs="宋体"/>
          <w:bCs w:val="0"/>
          <w:sz w:val="32"/>
          <w:szCs w:val="32"/>
        </w:rPr>
        <w:t>谈判</w:t>
      </w:r>
      <w:r>
        <w:rPr>
          <w:rFonts w:hint="eastAsia" w:ascii="宋体" w:hAnsi="宋体" w:cs="宋体"/>
          <w:sz w:val="32"/>
          <w:szCs w:val="32"/>
        </w:rPr>
        <w:t>最高限价</w:t>
      </w:r>
    </w:p>
    <w:tbl>
      <w:tblPr>
        <w:tblStyle w:val="46"/>
        <w:tblW w:w="10170" w:type="dxa"/>
        <w:tblInd w:w="0" w:type="dxa"/>
        <w:shd w:val="clear" w:color="auto" w:fill="auto"/>
        <w:tblLayout w:type="autofit"/>
        <w:tblCellMar>
          <w:top w:w="0" w:type="dxa"/>
          <w:left w:w="0" w:type="dxa"/>
          <w:bottom w:w="0" w:type="dxa"/>
          <w:right w:w="0" w:type="dxa"/>
        </w:tblCellMar>
      </w:tblPr>
      <w:tblGrid>
        <w:gridCol w:w="1845"/>
        <w:gridCol w:w="2010"/>
        <w:gridCol w:w="36"/>
        <w:gridCol w:w="2214"/>
        <w:gridCol w:w="2190"/>
        <w:gridCol w:w="1875"/>
      </w:tblGrid>
      <w:tr>
        <w:tblPrEx>
          <w:shd w:val="clear" w:color="auto" w:fill="auto"/>
          <w:tblCellMar>
            <w:top w:w="0" w:type="dxa"/>
            <w:left w:w="0" w:type="dxa"/>
            <w:bottom w:w="0" w:type="dxa"/>
            <w:right w:w="0" w:type="dxa"/>
          </w:tblCellMar>
        </w:tblPrEx>
        <w:trPr>
          <w:trHeight w:val="1170" w:hRule="atLeast"/>
        </w:trPr>
        <w:tc>
          <w:tcPr>
            <w:tcW w:w="1845"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bookmarkStart w:id="49" w:name="_Toc26126"/>
            <w:bookmarkStart w:id="50" w:name="_Toc14891078"/>
            <w:bookmarkStart w:id="51" w:name="_Toc22262"/>
            <w:bookmarkStart w:id="52" w:name="_Toc13521"/>
            <w:bookmarkStart w:id="53" w:name="_Toc17441"/>
          </w:p>
        </w:tc>
        <w:tc>
          <w:tcPr>
            <w:tcW w:w="6450" w:type="dxa"/>
            <w:gridSpan w:val="4"/>
            <w:tcBorders>
              <w:top w:val="nil"/>
              <w:left w:val="nil"/>
              <w:bottom w:val="single" w:color="000000" w:sz="4" w:space="0"/>
              <w:right w:val="nil"/>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长沙市轨道交通1、2号线运营期车站自动检票机改造工程项目</w:t>
            </w:r>
          </w:p>
        </w:tc>
        <w:tc>
          <w:tcPr>
            <w:tcW w:w="1875"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8"/>
                <w:szCs w:val="48"/>
                <w:u w:val="none"/>
              </w:rPr>
            </w:pPr>
            <w:r>
              <w:rPr>
                <w:rFonts w:hint="eastAsia" w:ascii="宋体" w:hAnsi="宋体" w:eastAsia="宋体" w:cs="宋体"/>
                <w:b/>
                <w:i w:val="0"/>
                <w:color w:val="000000"/>
                <w:kern w:val="0"/>
                <w:sz w:val="48"/>
                <w:szCs w:val="48"/>
                <w:u w:val="none"/>
                <w:lang w:val="en-US" w:eastAsia="zh-CN" w:bidi="ar"/>
              </w:rPr>
              <w:t>工程</w:t>
            </w:r>
          </w:p>
        </w:tc>
      </w:tr>
      <w:tr>
        <w:tblPrEx>
          <w:tblCellMar>
            <w:top w:w="0" w:type="dxa"/>
            <w:left w:w="0" w:type="dxa"/>
            <w:bottom w:w="0" w:type="dxa"/>
            <w:right w:w="0" w:type="dxa"/>
          </w:tblCellMar>
        </w:tblPrEx>
        <w:trPr>
          <w:trHeight w:val="1410" w:hRule="atLeast"/>
        </w:trPr>
        <w:tc>
          <w:tcPr>
            <w:tcW w:w="0" w:type="auto"/>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8"/>
                <w:szCs w:val="48"/>
                <w:u w:val="none"/>
              </w:rPr>
            </w:pPr>
            <w:r>
              <w:rPr>
                <w:rFonts w:hint="eastAsia" w:ascii="宋体" w:hAnsi="宋体" w:eastAsia="宋体" w:cs="宋体"/>
                <w:b/>
                <w:i w:val="0"/>
                <w:color w:val="000000"/>
                <w:kern w:val="0"/>
                <w:sz w:val="48"/>
                <w:szCs w:val="48"/>
                <w:u w:val="none"/>
                <w:lang w:val="en-US" w:eastAsia="zh-CN" w:bidi="ar"/>
              </w:rPr>
              <w:t xml:space="preserve">   招 标 控 制 价</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15" w:hRule="atLeast"/>
        </w:trPr>
        <w:tc>
          <w:tcPr>
            <w:tcW w:w="0" w:type="auto"/>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招标控制价（小写）：</w:t>
            </w:r>
          </w:p>
        </w:tc>
        <w:tc>
          <w:tcPr>
            <w:tcW w:w="0" w:type="auto"/>
            <w:gridSpan w:val="3"/>
            <w:tcBorders>
              <w:top w:val="nil"/>
              <w:left w:val="nil"/>
              <w:bottom w:val="single" w:color="000000" w:sz="4" w:space="0"/>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288003.67</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90" w:hRule="atLeast"/>
        </w:trPr>
        <w:tc>
          <w:tcPr>
            <w:tcW w:w="0" w:type="auto"/>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（大写）：</w:t>
            </w:r>
          </w:p>
        </w:tc>
        <w:tc>
          <w:tcPr>
            <w:tcW w:w="6960" w:type="dxa"/>
            <w:gridSpan w:val="3"/>
            <w:tcBorders>
              <w:top w:val="single" w:color="000000" w:sz="4" w:space="0"/>
              <w:left w:val="nil"/>
              <w:bottom w:val="single" w:color="000000" w:sz="4" w:space="0"/>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贰拾捌万捌仟零叁元陆角柒分</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680" w:hRule="atLeast"/>
        </w:trPr>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招  标  人：</w:t>
            </w:r>
          </w:p>
        </w:tc>
        <w:tc>
          <w:tcPr>
            <w:tcW w:w="0" w:type="auto"/>
            <w:tcBorders>
              <w:top w:val="nil"/>
              <w:left w:val="nil"/>
              <w:bottom w:val="single" w:color="000000" w:sz="4" w:space="0"/>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造价咨询人：</w:t>
            </w:r>
          </w:p>
        </w:tc>
        <w:tc>
          <w:tcPr>
            <w:tcW w:w="0" w:type="auto"/>
            <w:tcBorders>
              <w:top w:val="single" w:color="000000" w:sz="4" w:space="0"/>
              <w:left w:val="nil"/>
              <w:bottom w:val="single" w:color="000000" w:sz="4" w:space="0"/>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90" w:hRule="atLeast"/>
        </w:trPr>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(单位盖章)</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(单位资质专用章)</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470" w:hRule="atLeast"/>
        </w:trPr>
        <w:tc>
          <w:tcPr>
            <w:tcW w:w="1845"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法定代表人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或其授权人：</w:t>
            </w:r>
          </w:p>
        </w:tc>
        <w:tc>
          <w:tcPr>
            <w:tcW w:w="0" w:type="auto"/>
            <w:tcBorders>
              <w:top w:val="nil"/>
              <w:left w:val="nil"/>
              <w:bottom w:val="single" w:color="000000" w:sz="4" w:space="0"/>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1845"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法定代表人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或其授权人 ：</w:t>
            </w:r>
          </w:p>
        </w:tc>
        <w:tc>
          <w:tcPr>
            <w:tcW w:w="0" w:type="auto"/>
            <w:tcBorders>
              <w:top w:val="nil"/>
              <w:left w:val="nil"/>
              <w:bottom w:val="single" w:color="000000" w:sz="4" w:space="0"/>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90" w:hRule="atLeast"/>
        </w:trPr>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(签字或盖章)</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(签字或盖章)</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00" w:hRule="atLeast"/>
        </w:trPr>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编  制  人：</w:t>
            </w:r>
          </w:p>
        </w:tc>
        <w:tc>
          <w:tcPr>
            <w:tcW w:w="0" w:type="auto"/>
            <w:tcBorders>
              <w:top w:val="nil"/>
              <w:left w:val="nil"/>
              <w:bottom w:val="single" w:color="000000" w:sz="4" w:space="0"/>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  核  人 ：</w:t>
            </w:r>
          </w:p>
        </w:tc>
        <w:tc>
          <w:tcPr>
            <w:tcW w:w="0" w:type="auto"/>
            <w:tcBorders>
              <w:top w:val="nil"/>
              <w:left w:val="nil"/>
              <w:bottom w:val="single" w:color="000000" w:sz="4" w:space="0"/>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90" w:hRule="atLeast"/>
        </w:trPr>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(造价人员签字盖专用章)</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single" w:color="000000" w:sz="4" w:space="0"/>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(造价工程师签字盖专用章)</w:t>
            </w: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830" w:hRule="atLeast"/>
        </w:trPr>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编 制 时 间：</w:t>
            </w:r>
          </w:p>
        </w:tc>
        <w:tc>
          <w:tcPr>
            <w:tcW w:w="0" w:type="auto"/>
            <w:tcBorders>
              <w:top w:val="nil"/>
              <w:left w:val="nil"/>
              <w:bottom w:val="nil"/>
              <w:right w:val="nil"/>
            </w:tcBorders>
            <w:shd w:val="clear" w:color="auto" w:fill="auto"/>
            <w:noWrap/>
            <w:tcMar>
              <w:top w:w="15" w:type="dxa"/>
              <w:left w:w="15" w:type="dxa"/>
              <w:right w:w="15" w:type="dxa"/>
            </w:tcMar>
            <w:vAlign w:val="bottom"/>
          </w:tcPr>
          <w:p>
            <w:pPr>
              <w:jc w:val="lef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 核 时 间：</w:t>
            </w:r>
          </w:p>
        </w:tc>
        <w:tc>
          <w:tcPr>
            <w:tcW w:w="0" w:type="auto"/>
            <w:tcBorders>
              <w:top w:val="nil"/>
              <w:left w:val="nil"/>
              <w:bottom w:val="nil"/>
              <w:right w:val="nil"/>
            </w:tcBorders>
            <w:shd w:val="clear" w:color="auto" w:fill="auto"/>
            <w:noWrap/>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0" w:type="auto"/>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bl>
    <w:p>
      <w:pPr>
        <w:sectPr>
          <w:headerReference r:id="rId9" w:type="default"/>
          <w:footerReference r:id="rId10" w:type="default"/>
          <w:endnotePr>
            <w:numFmt w:val="decimal"/>
          </w:endnotePr>
          <w:pgSz w:w="11906" w:h="16838"/>
          <w:pgMar w:top="1191" w:right="1417" w:bottom="1191" w:left="1191" w:header="851" w:footer="851" w:gutter="0"/>
          <w:cols w:space="720" w:num="1"/>
          <w:docGrid w:type="lines" w:linePitch="312" w:charSpace="0"/>
        </w:sectPr>
      </w:pPr>
    </w:p>
    <w:tbl>
      <w:tblPr>
        <w:tblStyle w:val="46"/>
        <w:tblW w:w="14480" w:type="dxa"/>
        <w:tblInd w:w="0" w:type="dxa"/>
        <w:shd w:val="clear" w:color="auto" w:fill="auto"/>
        <w:tblLayout w:type="autofit"/>
        <w:tblCellMar>
          <w:top w:w="0" w:type="dxa"/>
          <w:left w:w="0" w:type="dxa"/>
          <w:bottom w:w="0" w:type="dxa"/>
          <w:right w:w="0" w:type="dxa"/>
        </w:tblCellMar>
      </w:tblPr>
      <w:tblGrid>
        <w:gridCol w:w="629"/>
        <w:gridCol w:w="2077"/>
        <w:gridCol w:w="1069"/>
        <w:gridCol w:w="1069"/>
        <w:gridCol w:w="1069"/>
        <w:gridCol w:w="1069"/>
        <w:gridCol w:w="1069"/>
        <w:gridCol w:w="1069"/>
        <w:gridCol w:w="1069"/>
        <w:gridCol w:w="1079"/>
        <w:gridCol w:w="1069"/>
        <w:gridCol w:w="1069"/>
        <w:gridCol w:w="1074"/>
      </w:tblGrid>
      <w:tr>
        <w:tblPrEx>
          <w:shd w:val="clear" w:color="auto" w:fill="auto"/>
          <w:tblCellMar>
            <w:top w:w="0" w:type="dxa"/>
            <w:left w:w="0" w:type="dxa"/>
            <w:bottom w:w="0" w:type="dxa"/>
            <w:right w:w="0" w:type="dxa"/>
          </w:tblCellMar>
        </w:tblPrEx>
        <w:trPr>
          <w:trHeight w:val="751" w:hRule="atLeast"/>
        </w:trPr>
        <w:tc>
          <w:tcPr>
            <w:tcW w:w="14480" w:type="dxa"/>
            <w:gridSpan w:val="1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b/>
                <w:i w:val="0"/>
                <w:color w:val="000000"/>
                <w:kern w:val="0"/>
                <w:sz w:val="40"/>
                <w:szCs w:val="40"/>
                <w:u w:val="none"/>
                <w:lang w:val="en-US" w:eastAsia="zh-CN" w:bidi="ar"/>
              </w:rPr>
              <w:t>D.1 建设项目(单项工程)工程造价汇总表</w:t>
            </w:r>
            <w:r>
              <w:rPr>
                <w:rFonts w:hint="eastAsia" w:ascii="宋体" w:hAnsi="宋体" w:eastAsia="宋体" w:cs="宋体"/>
                <w:i w:val="0"/>
                <w:color w:val="000000"/>
                <w:kern w:val="0"/>
                <w:sz w:val="24"/>
                <w:szCs w:val="24"/>
                <w:u w:val="none"/>
                <w:lang w:val="en-US" w:eastAsia="zh-CN" w:bidi="ar"/>
              </w:rPr>
              <w:t>(招标控制价)</w:t>
            </w:r>
          </w:p>
        </w:tc>
      </w:tr>
      <w:tr>
        <w:tblPrEx>
          <w:tblCellMar>
            <w:top w:w="0" w:type="dxa"/>
            <w:left w:w="0" w:type="dxa"/>
            <w:bottom w:w="0" w:type="dxa"/>
            <w:right w:w="0" w:type="dxa"/>
          </w:tblCellMar>
        </w:tblPrEx>
        <w:trPr>
          <w:trHeight w:val="391" w:hRule="atLeast"/>
        </w:trPr>
        <w:tc>
          <w:tcPr>
            <w:tcW w:w="14480" w:type="dxa"/>
            <w:gridSpan w:val="1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391" w:hRule="atLeast"/>
        </w:trPr>
        <w:tc>
          <w:tcPr>
            <w:tcW w:w="11268" w:type="dxa"/>
            <w:gridSpan w:val="10"/>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工程名称:长沙市轨道交通1、2号线运营期车站自动检票机改造工程项目</w:t>
            </w:r>
          </w:p>
        </w:tc>
        <w:tc>
          <w:tcPr>
            <w:tcW w:w="1069"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标段：</w:t>
            </w:r>
          </w:p>
        </w:tc>
        <w:tc>
          <w:tcPr>
            <w:tcW w:w="2143"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第1页 共1页</w:t>
            </w:r>
          </w:p>
        </w:tc>
      </w:tr>
      <w:tr>
        <w:tblPrEx>
          <w:tblCellMar>
            <w:top w:w="0" w:type="dxa"/>
            <w:left w:w="0" w:type="dxa"/>
            <w:bottom w:w="0" w:type="dxa"/>
            <w:right w:w="0" w:type="dxa"/>
          </w:tblCellMar>
        </w:tblPrEx>
        <w:trPr>
          <w:trHeight w:val="435"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20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单项工程名称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(单位工程名称) </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建安工程造价(元)</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直接费用(元)</w:t>
            </w:r>
          </w:p>
        </w:tc>
        <w:tc>
          <w:tcPr>
            <w:tcW w:w="642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费用和利润(元)</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附加税费</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其他项目</w:t>
            </w:r>
          </w:p>
        </w:tc>
      </w:tr>
      <w:tr>
        <w:tblPrEx>
          <w:tblCellMar>
            <w:top w:w="0" w:type="dxa"/>
            <w:left w:w="0" w:type="dxa"/>
            <w:bottom w:w="0" w:type="dxa"/>
            <w:right w:w="0" w:type="dxa"/>
          </w:tblCellMar>
        </w:tblPrEx>
        <w:trPr>
          <w:trHeight w:val="772"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管理费</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利润</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总价措施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项目费</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其中：安全文明施工费</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规费</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其中：社会保险费</w:t>
            </w: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13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长沙市轨道交通1、2号线运营期车站自动检票机改造工程项目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288003.67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199600.96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16074.96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17521.97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11104.43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6526.03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18973.46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6938.18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23694.81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1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1号线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161547.85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110911.78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9421.40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10269.52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6118.13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3806.53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10956.58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3882.87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13290.96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579.48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1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自动检票机改造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96965.42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63621.34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7035.34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7669.11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2911.16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2785.84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7403.05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2307.13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7977.60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347.82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1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监控门禁设备改造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29326.57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22204.46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1181.73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1288.18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515.87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476.39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1618.36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715.40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2412.77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1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1.1.3</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工建设施改造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31995.82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25034.90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965.40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479.59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436.31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1716.89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2632.38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1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零星包干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3260.04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238.93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260.34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268.21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1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2号线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126455.82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88689.18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6653.56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7252.45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4986.30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2719.50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8016.88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3055.31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10403.85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1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自动检票机改造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57844.77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37735.91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4254.84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4638.13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1815.05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1740.44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4434.31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1375.81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4759.04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1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监控设备改造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41491.71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32120.57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1603.71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616.18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559.87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2117.58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3413.63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148.83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1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工建设施改造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23781.40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18716.90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687.42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749.01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342.93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1243.27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1956.56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1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零星包干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3337.94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274.62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13"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35" w:hRule="atLeast"/>
        </w:trPr>
        <w:tc>
          <w:tcPr>
            <w:tcW w:w="27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合           计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288003.67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199600.96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16074.96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17521.97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11104.43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6526.03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18973.46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6938.18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23694.81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1033.08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18"/>
                <w:szCs w:val="18"/>
                <w:u w:val="none"/>
              </w:rPr>
            </w:pPr>
          </w:p>
        </w:tc>
      </w:tr>
    </w:tbl>
    <w:p>
      <w:pPr>
        <w:pStyle w:val="2"/>
        <w:sectPr>
          <w:endnotePr>
            <w:numFmt w:val="decimal"/>
          </w:endnotePr>
          <w:pgSz w:w="16838" w:h="11906" w:orient="landscape"/>
          <w:pgMar w:top="1191" w:right="1191" w:bottom="1417" w:left="1191" w:header="851" w:footer="851" w:gutter="0"/>
          <w:cols w:space="720" w:num="1"/>
          <w:docGrid w:type="lines" w:linePitch="312" w:charSpace="0"/>
        </w:sectPr>
      </w:pPr>
    </w:p>
    <w:tbl>
      <w:tblPr>
        <w:tblStyle w:val="46"/>
        <w:tblW w:w="9735" w:type="dxa"/>
        <w:tblInd w:w="0" w:type="dxa"/>
        <w:shd w:val="clear" w:color="auto" w:fill="auto"/>
        <w:tblLayout w:type="autofit"/>
        <w:tblCellMar>
          <w:top w:w="0" w:type="dxa"/>
          <w:left w:w="0" w:type="dxa"/>
          <w:bottom w:w="0" w:type="dxa"/>
          <w:right w:w="0" w:type="dxa"/>
        </w:tblCellMar>
      </w:tblPr>
      <w:tblGrid>
        <w:gridCol w:w="885"/>
        <w:gridCol w:w="2055"/>
        <w:gridCol w:w="3570"/>
        <w:gridCol w:w="1185"/>
        <w:gridCol w:w="1350"/>
        <w:gridCol w:w="690"/>
      </w:tblGrid>
      <w:tr>
        <w:tblPrEx>
          <w:shd w:val="clear" w:color="auto" w:fill="auto"/>
          <w:tblCellMar>
            <w:top w:w="0" w:type="dxa"/>
            <w:left w:w="0" w:type="dxa"/>
            <w:bottom w:w="0" w:type="dxa"/>
            <w:right w:w="0" w:type="dxa"/>
          </w:tblCellMar>
        </w:tblPrEx>
        <w:trPr>
          <w:trHeight w:val="615" w:hRule="atLeast"/>
        </w:trPr>
        <w:tc>
          <w:tcPr>
            <w:tcW w:w="7695"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D.3 单位工程费用计算表</w:t>
            </w:r>
          </w:p>
        </w:tc>
        <w:tc>
          <w:tcPr>
            <w:tcW w:w="2040"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(招标控制价)</w:t>
            </w:r>
          </w:p>
        </w:tc>
      </w:tr>
      <w:tr>
        <w:tblPrEx>
          <w:tblCellMar>
            <w:top w:w="0" w:type="dxa"/>
            <w:left w:w="0" w:type="dxa"/>
            <w:bottom w:w="0" w:type="dxa"/>
            <w:right w:w="0" w:type="dxa"/>
          </w:tblCellMar>
        </w:tblPrEx>
        <w:trPr>
          <w:trHeight w:val="315" w:hRule="atLeast"/>
        </w:trPr>
        <w:tc>
          <w:tcPr>
            <w:tcW w:w="0" w:type="auto"/>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420" w:hRule="atLeast"/>
        </w:trPr>
        <w:tc>
          <w:tcPr>
            <w:tcW w:w="6510" w:type="dxa"/>
            <w:gridSpan w:val="3"/>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工程名称:长沙市轨道交通1、2号线运营期车站自动检票机改造工程项目</w:t>
            </w:r>
          </w:p>
        </w:tc>
        <w:tc>
          <w:tcPr>
            <w:tcW w:w="1185"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标段：</w:t>
            </w:r>
          </w:p>
        </w:tc>
        <w:tc>
          <w:tcPr>
            <w:tcW w:w="2040"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第1页 共1页</w:t>
            </w:r>
          </w:p>
        </w:tc>
      </w:tr>
      <w:tr>
        <w:tblPrEx>
          <w:tblCellMar>
            <w:top w:w="0" w:type="dxa"/>
            <w:left w:w="0" w:type="dxa"/>
            <w:bottom w:w="0" w:type="dxa"/>
            <w:right w:w="0" w:type="dxa"/>
          </w:tblCellMar>
        </w:tblPrEx>
        <w:trPr>
          <w:trHeight w:val="31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工程内容</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计费基础说明</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费率（%）</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w:t>
            </w:r>
          </w:p>
        </w:tc>
      </w:tr>
      <w:tr>
        <w:tblPrEx>
          <w:tblCellMar>
            <w:top w:w="0" w:type="dxa"/>
            <w:left w:w="0" w:type="dxa"/>
            <w:bottom w:w="0" w:type="dxa"/>
            <w:right w:w="0"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直接费用</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1.1+1.2+1.3+1.4</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199600.96</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人工费</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人工费</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108596.48</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取费人工费</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取费人工费</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57873.54</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材料费</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材料费</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87781.92</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机械费</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机械费</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3222.56</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1.3.1</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取费机械费</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取费机械费</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4019.77</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其它费</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其它费</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各项费用和利润</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2.1+2.2+2.3+2.4</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63674.82</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管理费</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1.1.1+1.3.1</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16074.96</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利润</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1.1.1+1.3.1</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17521.97</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总价措施项目费</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总价措施项目费</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11104.43</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2.3.1</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安全文明施工措施费</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1.1.1+1.3.1</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6526.03</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规费</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2.4.1+2.4.2+2.4.3+2.4.4+2.4.5</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18973.46</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2.4.1</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工程排污费</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1+2.1+2.2+2.3</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977.23</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2.4.2</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职工教育和工会经费</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3894.00</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2.4.3</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住房公积金</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6675.46</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2.4.4</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安全生产责任险</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1+2.1+2.2+2.3</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488.59</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2.4.5</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社会保险费</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1+2.1+2.2+2.3</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6938.18</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263275.78</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建安费用*税率</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23694.81</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附加税费</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（3+4）*税率</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1033.08</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其他项目费合计</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∑其他项目费</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优惠</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建安费用+销项税额+附加税额</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建安工程造价</w:t>
            </w:r>
          </w:p>
        </w:tc>
        <w:tc>
          <w:tcPr>
            <w:tcW w:w="3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3+4+5+6+7</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288003.67</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1455" w:hRule="atLeast"/>
        </w:trPr>
        <w:tc>
          <w:tcPr>
            <w:tcW w:w="9735" w:type="dxa"/>
            <w:gridSpan w:val="6"/>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注：1.采用一般计税法时，材料、机械台班单价均执行除税单价。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2.建安费用=直接费用+费用和利润。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3.附录F其他项目计价表列项计算汇总本项 (详F.1)。其中，材料（工程设备暂估价进入直接费用与综合单价，此处不重复汇总。</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 社会保险费包括养老保险费、失业保险费、医疗保险费、生育保险费和工伤保险费。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取费模版名称:[2016]160一般计税(全费用)</w:t>
            </w:r>
          </w:p>
        </w:tc>
      </w:tr>
    </w:tbl>
    <w:p/>
    <w:p>
      <w:pPr>
        <w:pStyle w:val="2"/>
      </w:pPr>
    </w:p>
    <w:p>
      <w:pPr>
        <w:pStyle w:val="2"/>
        <w:sectPr>
          <w:endnotePr>
            <w:numFmt w:val="decimal"/>
          </w:endnotePr>
          <w:pgSz w:w="11906" w:h="16838"/>
          <w:pgMar w:top="1191" w:right="1417" w:bottom="1191" w:left="1191" w:header="851" w:footer="851" w:gutter="0"/>
          <w:cols w:space="720" w:num="1"/>
          <w:docGrid w:type="lines" w:linePitch="312" w:charSpace="0"/>
        </w:sectPr>
      </w:pPr>
    </w:p>
    <w:tbl>
      <w:tblPr>
        <w:tblStyle w:val="46"/>
        <w:tblW w:w="14579" w:type="dxa"/>
        <w:tblInd w:w="0" w:type="dxa"/>
        <w:shd w:val="clear" w:color="auto" w:fill="auto"/>
        <w:tblLayout w:type="fixed"/>
        <w:tblCellMar>
          <w:top w:w="0" w:type="dxa"/>
          <w:left w:w="0" w:type="dxa"/>
          <w:bottom w:w="0" w:type="dxa"/>
          <w:right w:w="0" w:type="dxa"/>
        </w:tblCellMar>
      </w:tblPr>
      <w:tblGrid>
        <w:gridCol w:w="387"/>
        <w:gridCol w:w="3"/>
        <w:gridCol w:w="1312"/>
        <w:gridCol w:w="8"/>
        <w:gridCol w:w="1"/>
        <w:gridCol w:w="2594"/>
        <w:gridCol w:w="15"/>
        <w:gridCol w:w="3"/>
        <w:gridCol w:w="3439"/>
        <w:gridCol w:w="29"/>
        <w:gridCol w:w="390"/>
        <w:gridCol w:w="192"/>
        <w:gridCol w:w="33"/>
        <w:gridCol w:w="555"/>
        <w:gridCol w:w="145"/>
        <w:gridCol w:w="35"/>
        <w:gridCol w:w="615"/>
        <w:gridCol w:w="366"/>
        <w:gridCol w:w="28"/>
        <w:gridCol w:w="506"/>
        <w:gridCol w:w="695"/>
        <w:gridCol w:w="30"/>
        <w:gridCol w:w="220"/>
        <w:gridCol w:w="931"/>
        <w:gridCol w:w="23"/>
        <w:gridCol w:w="12"/>
        <w:gridCol w:w="1012"/>
        <w:gridCol w:w="26"/>
        <w:gridCol w:w="13"/>
        <w:gridCol w:w="921"/>
        <w:gridCol w:w="26"/>
        <w:gridCol w:w="14"/>
      </w:tblGrid>
      <w:tr>
        <w:tblPrEx>
          <w:shd w:val="clear" w:color="auto" w:fill="auto"/>
          <w:tblCellMar>
            <w:top w:w="0" w:type="dxa"/>
            <w:left w:w="0" w:type="dxa"/>
            <w:bottom w:w="0" w:type="dxa"/>
            <w:right w:w="0" w:type="dxa"/>
          </w:tblCellMar>
        </w:tblPrEx>
        <w:trPr>
          <w:gridAfter w:val="2"/>
          <w:wAfter w:w="40" w:type="dxa"/>
          <w:trHeight w:val="90" w:hRule="atLeast"/>
        </w:trPr>
        <w:tc>
          <w:tcPr>
            <w:tcW w:w="10122" w:type="dxa"/>
            <w:gridSpan w:val="1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E.1 单位工程工程量清单与造价表</w:t>
            </w:r>
          </w:p>
        </w:tc>
        <w:tc>
          <w:tcPr>
            <w:tcW w:w="4417" w:type="dxa"/>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(招标控制价)</w:t>
            </w:r>
          </w:p>
        </w:tc>
      </w:tr>
      <w:tr>
        <w:tblPrEx>
          <w:tblCellMar>
            <w:top w:w="0" w:type="dxa"/>
            <w:left w:w="0" w:type="dxa"/>
            <w:bottom w:w="0" w:type="dxa"/>
            <w:right w:w="0" w:type="dxa"/>
          </w:tblCellMar>
        </w:tblPrEx>
        <w:trPr>
          <w:gridAfter w:val="2"/>
          <w:wAfter w:w="40" w:type="dxa"/>
          <w:trHeight w:val="90" w:hRule="atLeast"/>
        </w:trPr>
        <w:tc>
          <w:tcPr>
            <w:tcW w:w="14539" w:type="dxa"/>
            <w:gridSpan w:val="3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gridAfter w:val="2"/>
          <w:wAfter w:w="40" w:type="dxa"/>
          <w:trHeight w:val="90" w:hRule="atLeast"/>
        </w:trPr>
        <w:tc>
          <w:tcPr>
            <w:tcW w:w="11351" w:type="dxa"/>
            <w:gridSpan w:val="21"/>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工程名称:长沙市轨道交通1、2号线运营期车站自动检票机改造工程项目</w:t>
            </w:r>
          </w:p>
        </w:tc>
        <w:tc>
          <w:tcPr>
            <w:tcW w:w="1181" w:type="dxa"/>
            <w:gridSpan w:val="3"/>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007" w:type="dxa"/>
            <w:gridSpan w:val="6"/>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第1页 共7页</w:t>
            </w:r>
          </w:p>
        </w:tc>
      </w:tr>
      <w:tr>
        <w:tblPrEx>
          <w:tblCellMar>
            <w:top w:w="0" w:type="dxa"/>
            <w:left w:w="0" w:type="dxa"/>
            <w:bottom w:w="0" w:type="dxa"/>
            <w:right w:w="0" w:type="dxa"/>
          </w:tblCellMar>
        </w:tblPrEx>
        <w:trPr>
          <w:gridAfter w:val="2"/>
          <w:wAfter w:w="40" w:type="dxa"/>
          <w:trHeight w:val="90" w:hRule="atLeast"/>
        </w:trPr>
        <w:tc>
          <w:tcPr>
            <w:tcW w:w="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260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45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61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计量单位</w:t>
            </w:r>
          </w:p>
        </w:tc>
        <w:tc>
          <w:tcPr>
            <w:tcW w:w="73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5433"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gridAfter w:val="2"/>
          <w:wAfter w:w="40" w:type="dxa"/>
          <w:trHeight w:val="90" w:hRule="atLeast"/>
        </w:trPr>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6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综合单价</w:t>
            </w:r>
          </w:p>
        </w:tc>
        <w:tc>
          <w:tcPr>
            <w:tcW w:w="122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18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gridAfter w:val="2"/>
          <w:wAfter w:w="40" w:type="dxa"/>
          <w:trHeight w:val="90" w:hRule="atLeast"/>
        </w:trPr>
        <w:tc>
          <w:tcPr>
            <w:tcW w:w="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6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2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附加税费</w:t>
            </w:r>
          </w:p>
        </w:tc>
      </w:tr>
      <w:tr>
        <w:tblPrEx>
          <w:tblCellMar>
            <w:top w:w="0" w:type="dxa"/>
            <w:left w:w="0" w:type="dxa"/>
            <w:bottom w:w="0" w:type="dxa"/>
            <w:right w:w="0" w:type="dxa"/>
          </w:tblCellMar>
        </w:tblPrEx>
        <w:trPr>
          <w:gridAfter w:val="2"/>
          <w:wAfter w:w="40" w:type="dxa"/>
          <w:trHeight w:val="90"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w:t>
            </w:r>
          </w:p>
        </w:tc>
        <w:tc>
          <w:tcPr>
            <w:tcW w:w="26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长沙市轨道交通1、2号线运营期车站自动检票机改造工程项目</w:t>
            </w:r>
          </w:p>
        </w:tc>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color w:val="000000"/>
                <w:sz w:val="18"/>
                <w:szCs w:val="18"/>
                <w:u w:val="none"/>
              </w:rPr>
            </w:pPr>
          </w:p>
        </w:tc>
        <w:tc>
          <w:tcPr>
            <w:tcW w:w="6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7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18"/>
                <w:szCs w:val="18"/>
                <w:u w:val="none"/>
              </w:rPr>
            </w:pP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18"/>
                <w:szCs w:val="18"/>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288003.67</w:t>
            </w: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263275.78</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23694.81</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1033.08</w:t>
            </w:r>
          </w:p>
        </w:tc>
      </w:tr>
      <w:tr>
        <w:tblPrEx>
          <w:tblCellMar>
            <w:top w:w="0" w:type="dxa"/>
            <w:left w:w="0" w:type="dxa"/>
            <w:bottom w:w="0" w:type="dxa"/>
            <w:right w:w="0" w:type="dxa"/>
          </w:tblCellMar>
        </w:tblPrEx>
        <w:trPr>
          <w:gridAfter w:val="2"/>
          <w:wAfter w:w="40" w:type="dxa"/>
          <w:trHeight w:val="90"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26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1号线</w:t>
            </w:r>
          </w:p>
        </w:tc>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color w:val="000000"/>
                <w:sz w:val="18"/>
                <w:szCs w:val="18"/>
                <w:u w:val="none"/>
              </w:rPr>
            </w:pPr>
          </w:p>
        </w:tc>
        <w:tc>
          <w:tcPr>
            <w:tcW w:w="6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7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18"/>
                <w:szCs w:val="18"/>
                <w:u w:val="none"/>
              </w:rPr>
            </w:pP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18"/>
                <w:szCs w:val="18"/>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161547.85</w:t>
            </w: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147677.41</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13290.96</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579.48</w:t>
            </w:r>
          </w:p>
        </w:tc>
      </w:tr>
      <w:tr>
        <w:tblPrEx>
          <w:tblCellMar>
            <w:top w:w="0" w:type="dxa"/>
            <w:left w:w="0" w:type="dxa"/>
            <w:bottom w:w="0" w:type="dxa"/>
            <w:right w:w="0" w:type="dxa"/>
          </w:tblCellMar>
        </w:tblPrEx>
        <w:trPr>
          <w:gridAfter w:val="2"/>
          <w:wAfter w:w="40" w:type="dxa"/>
          <w:trHeight w:val="90"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w:t>
            </w:r>
          </w:p>
        </w:tc>
        <w:tc>
          <w:tcPr>
            <w:tcW w:w="26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自动检票机改造</w:t>
            </w:r>
          </w:p>
        </w:tc>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color w:val="000000"/>
                <w:sz w:val="18"/>
                <w:szCs w:val="18"/>
                <w:u w:val="none"/>
              </w:rPr>
            </w:pPr>
          </w:p>
        </w:tc>
        <w:tc>
          <w:tcPr>
            <w:tcW w:w="6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7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18"/>
                <w:szCs w:val="18"/>
                <w:u w:val="none"/>
              </w:rPr>
            </w:pP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18"/>
                <w:szCs w:val="18"/>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96965.42</w:t>
            </w: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88640.00</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7977.60</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347.82</w:t>
            </w:r>
          </w:p>
        </w:tc>
      </w:tr>
      <w:tr>
        <w:tblPrEx>
          <w:tblCellMar>
            <w:top w:w="0" w:type="dxa"/>
            <w:left w:w="0" w:type="dxa"/>
            <w:bottom w:w="0" w:type="dxa"/>
            <w:right w:w="0" w:type="dxa"/>
          </w:tblCellMar>
        </w:tblPrEx>
        <w:trPr>
          <w:gridAfter w:val="2"/>
          <w:wAfter w:w="40" w:type="dxa"/>
          <w:trHeight w:val="90"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080907005002</w:t>
            </w:r>
          </w:p>
        </w:tc>
        <w:tc>
          <w:tcPr>
            <w:tcW w:w="26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自动检票机拆卸、搬运（含自动检票机导向）</w:t>
            </w:r>
          </w:p>
        </w:tc>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color w:val="000000"/>
                <w:sz w:val="18"/>
                <w:szCs w:val="18"/>
                <w:u w:val="none"/>
              </w:rPr>
            </w:pPr>
          </w:p>
        </w:tc>
        <w:tc>
          <w:tcPr>
            <w:tcW w:w="6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7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221.71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7759.85</w:t>
            </w: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7093.45</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638.40</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28.00</w:t>
            </w:r>
          </w:p>
        </w:tc>
      </w:tr>
      <w:tr>
        <w:tblPrEx>
          <w:tblCellMar>
            <w:top w:w="0" w:type="dxa"/>
            <w:left w:w="0" w:type="dxa"/>
            <w:bottom w:w="0" w:type="dxa"/>
            <w:right w:w="0" w:type="dxa"/>
          </w:tblCellMar>
        </w:tblPrEx>
        <w:trPr>
          <w:gridAfter w:val="2"/>
          <w:wAfter w:w="40" w:type="dxa"/>
          <w:trHeight w:val="90"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080907005003</w:t>
            </w:r>
          </w:p>
        </w:tc>
        <w:tc>
          <w:tcPr>
            <w:tcW w:w="26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自动检票机安装（不含调试）</w:t>
            </w:r>
          </w:p>
        </w:tc>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color w:val="000000"/>
                <w:sz w:val="18"/>
                <w:szCs w:val="18"/>
                <w:u w:val="none"/>
              </w:rPr>
            </w:pPr>
          </w:p>
        </w:tc>
        <w:tc>
          <w:tcPr>
            <w:tcW w:w="6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7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1279.69</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53746.98</w:t>
            </w: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49132.44</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4421.76</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192.78</w:t>
            </w:r>
          </w:p>
        </w:tc>
      </w:tr>
      <w:tr>
        <w:tblPrEx>
          <w:tblCellMar>
            <w:top w:w="0" w:type="dxa"/>
            <w:left w:w="0" w:type="dxa"/>
            <w:bottom w:w="0" w:type="dxa"/>
            <w:right w:w="0" w:type="dxa"/>
          </w:tblCellMar>
        </w:tblPrEx>
        <w:trPr>
          <w:gridAfter w:val="2"/>
          <w:wAfter w:w="40" w:type="dxa"/>
          <w:trHeight w:val="90"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030404019003</w:t>
            </w:r>
          </w:p>
        </w:tc>
        <w:tc>
          <w:tcPr>
            <w:tcW w:w="26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采购、安装带漏电保护断路器</w:t>
            </w:r>
          </w:p>
        </w:tc>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1.名称:安装新购带漏电保护断路器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2.规格型号:2P 16A</w:t>
            </w:r>
          </w:p>
        </w:tc>
        <w:tc>
          <w:tcPr>
            <w:tcW w:w="6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75.22</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451.32</w:t>
            </w: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412.56</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37.14</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1.62</w:t>
            </w:r>
          </w:p>
        </w:tc>
      </w:tr>
      <w:tr>
        <w:tblPrEx>
          <w:tblCellMar>
            <w:top w:w="0" w:type="dxa"/>
            <w:left w:w="0" w:type="dxa"/>
            <w:bottom w:w="0" w:type="dxa"/>
            <w:right w:w="0" w:type="dxa"/>
          </w:tblCellMar>
        </w:tblPrEx>
        <w:trPr>
          <w:gridAfter w:val="2"/>
          <w:wAfter w:w="40" w:type="dxa"/>
          <w:trHeight w:val="90"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030411002001</w:t>
            </w:r>
          </w:p>
        </w:tc>
        <w:tc>
          <w:tcPr>
            <w:tcW w:w="26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敷设AFC设备不锈钢线槽</w:t>
            </w:r>
          </w:p>
        </w:tc>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1.规格:300mm*60mm、材质厚度3mm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2.含地面开槽、出线口开孔、检修口开孔及盖板、垃圾清运</w:t>
            </w:r>
          </w:p>
        </w:tc>
        <w:tc>
          <w:tcPr>
            <w:tcW w:w="6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52.85</w:t>
            </w: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218.26</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11535.04</w:t>
            </w: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10544.63</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949.19</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41.22</w:t>
            </w:r>
          </w:p>
        </w:tc>
      </w:tr>
      <w:tr>
        <w:tblPrEx>
          <w:tblCellMar>
            <w:top w:w="0" w:type="dxa"/>
            <w:left w:w="0" w:type="dxa"/>
            <w:bottom w:w="0" w:type="dxa"/>
            <w:right w:w="0" w:type="dxa"/>
          </w:tblCellMar>
        </w:tblPrEx>
        <w:trPr>
          <w:gridAfter w:val="2"/>
          <w:wAfter w:w="40" w:type="dxa"/>
          <w:trHeight w:val="90"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080807001001</w:t>
            </w:r>
          </w:p>
        </w:tc>
        <w:tc>
          <w:tcPr>
            <w:tcW w:w="26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敷设AFC设备主电源线 </w:t>
            </w:r>
          </w:p>
        </w:tc>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1.规格:无卤、低烟、阻燃（B级）、耐火 YJY5*10mm²</w:t>
            </w:r>
          </w:p>
        </w:tc>
        <w:tc>
          <w:tcPr>
            <w:tcW w:w="6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w:t>
            </w: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74.41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6176.03</w:t>
            </w: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5645.66</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507.96</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22.41</w:t>
            </w:r>
          </w:p>
        </w:tc>
      </w:tr>
      <w:tr>
        <w:tblPrEx>
          <w:tblCellMar>
            <w:top w:w="0" w:type="dxa"/>
            <w:left w:w="0" w:type="dxa"/>
            <w:bottom w:w="0" w:type="dxa"/>
            <w:right w:w="0" w:type="dxa"/>
          </w:tblCellMar>
        </w:tblPrEx>
        <w:trPr>
          <w:gridAfter w:val="2"/>
          <w:wAfter w:w="40" w:type="dxa"/>
          <w:trHeight w:val="90"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080807001002</w:t>
            </w:r>
          </w:p>
        </w:tc>
        <w:tc>
          <w:tcPr>
            <w:tcW w:w="26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敷设AFC设备电源线</w:t>
            </w:r>
          </w:p>
        </w:tc>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1.规格:无卤、低烟、阻燃（B级）、耐火 YJY3*4mm²</w:t>
            </w:r>
          </w:p>
        </w:tc>
        <w:tc>
          <w:tcPr>
            <w:tcW w:w="6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248.3</w:t>
            </w: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34.96</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8680.57</w:t>
            </w: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7933.19</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715.10</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32.28</w:t>
            </w:r>
          </w:p>
        </w:tc>
      </w:tr>
      <w:tr>
        <w:tblPrEx>
          <w:tblCellMar>
            <w:top w:w="0" w:type="dxa"/>
            <w:left w:w="0" w:type="dxa"/>
            <w:bottom w:w="0" w:type="dxa"/>
            <w:right w:w="0" w:type="dxa"/>
          </w:tblCellMar>
        </w:tblPrEx>
        <w:trPr>
          <w:gridAfter w:val="2"/>
          <w:wAfter w:w="40" w:type="dxa"/>
          <w:trHeight w:val="90"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080807001003</w:t>
            </w:r>
          </w:p>
        </w:tc>
        <w:tc>
          <w:tcPr>
            <w:tcW w:w="26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敷设AFC设备接地线</w:t>
            </w:r>
          </w:p>
        </w:tc>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1.规格:无卤、低烟、阻燃（B级）、耐火 YJY1*16mm²</w:t>
            </w:r>
          </w:p>
        </w:tc>
        <w:tc>
          <w:tcPr>
            <w:tcW w:w="6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98.51</w:t>
            </w: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14.95</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1472.72</w:t>
            </w: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1346.63</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121.17</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4.93</w:t>
            </w:r>
          </w:p>
        </w:tc>
      </w:tr>
      <w:tr>
        <w:tblPrEx>
          <w:tblCellMar>
            <w:top w:w="0" w:type="dxa"/>
            <w:left w:w="0" w:type="dxa"/>
            <w:bottom w:w="0" w:type="dxa"/>
            <w:right w:w="0" w:type="dxa"/>
          </w:tblCellMar>
        </w:tblPrEx>
        <w:trPr>
          <w:gridAfter w:val="2"/>
          <w:wAfter w:w="40" w:type="dxa"/>
          <w:trHeight w:val="90"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080807002001</w:t>
            </w:r>
          </w:p>
        </w:tc>
        <w:tc>
          <w:tcPr>
            <w:tcW w:w="26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敷设AFC设备紧急控制线</w:t>
            </w:r>
          </w:p>
        </w:tc>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1.规格:无卤、低烟、阻燃（B级） 4*0.75mm2</w:t>
            </w:r>
          </w:p>
        </w:tc>
        <w:tc>
          <w:tcPr>
            <w:tcW w:w="6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37.9</w:t>
            </w: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14.74</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558.65</w:t>
            </w: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510.89</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45.86</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w:t>
            </w:r>
          </w:p>
        </w:tc>
      </w:tr>
      <w:tr>
        <w:tblPrEx>
          <w:tblCellMar>
            <w:top w:w="0" w:type="dxa"/>
            <w:left w:w="0" w:type="dxa"/>
            <w:bottom w:w="0" w:type="dxa"/>
            <w:right w:w="0" w:type="dxa"/>
          </w:tblCellMar>
        </w:tblPrEx>
        <w:trPr>
          <w:gridAfter w:val="2"/>
          <w:wAfter w:w="40" w:type="dxa"/>
          <w:trHeight w:val="90"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080901008001</w:t>
            </w:r>
          </w:p>
        </w:tc>
        <w:tc>
          <w:tcPr>
            <w:tcW w:w="26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采购、安装光纤终端盒</w:t>
            </w:r>
          </w:p>
        </w:tc>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1.规格:多模、12口</w:t>
            </w:r>
          </w:p>
        </w:tc>
        <w:tc>
          <w:tcPr>
            <w:tcW w:w="6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7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321.04</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1284.16</w:t>
            </w: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1173.92</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105.64</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4.60</w:t>
            </w:r>
          </w:p>
        </w:tc>
      </w:tr>
      <w:tr>
        <w:tblPrEx>
          <w:tblCellMar>
            <w:top w:w="0" w:type="dxa"/>
            <w:left w:w="0" w:type="dxa"/>
            <w:bottom w:w="0" w:type="dxa"/>
            <w:right w:w="0" w:type="dxa"/>
          </w:tblCellMar>
        </w:tblPrEx>
        <w:trPr>
          <w:gridAfter w:val="2"/>
          <w:wAfter w:w="40" w:type="dxa"/>
          <w:trHeight w:val="90"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080601015001</w:t>
            </w:r>
          </w:p>
        </w:tc>
        <w:tc>
          <w:tcPr>
            <w:tcW w:w="26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敷设AFC设备光缆</w:t>
            </w:r>
          </w:p>
        </w:tc>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1.规格:无卤、低烟、阻燃多模 6芯</w:t>
            </w:r>
          </w:p>
        </w:tc>
        <w:tc>
          <w:tcPr>
            <w:tcW w:w="6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131.6</w:t>
            </w: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6.18</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813.29</w:t>
            </w: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743.54</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67.12</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2.63</w:t>
            </w:r>
          </w:p>
        </w:tc>
      </w:tr>
      <w:tr>
        <w:tblPrEx>
          <w:tblCellMar>
            <w:top w:w="0" w:type="dxa"/>
            <w:left w:w="0" w:type="dxa"/>
            <w:bottom w:w="0" w:type="dxa"/>
            <w:right w:w="0" w:type="dxa"/>
          </w:tblCellMar>
        </w:tblPrEx>
        <w:trPr>
          <w:gridAfter w:val="2"/>
          <w:wAfter w:w="40" w:type="dxa"/>
          <w:trHeight w:val="90"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3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080601015002</w:t>
            </w:r>
          </w:p>
        </w:tc>
        <w:tc>
          <w:tcPr>
            <w:tcW w:w="26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敷设AFC设备网线</w:t>
            </w:r>
          </w:p>
        </w:tc>
        <w:tc>
          <w:tcPr>
            <w:tcW w:w="345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1.规格:无卤、低烟、阻燃 超五类、屏蔽</w:t>
            </w:r>
          </w:p>
        </w:tc>
        <w:tc>
          <w:tcPr>
            <w:tcW w:w="6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144</w:t>
            </w:r>
          </w:p>
        </w:tc>
        <w:tc>
          <w:tcPr>
            <w:tcW w:w="101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4.49</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646.56</w:t>
            </w:r>
          </w:p>
        </w:tc>
        <w:tc>
          <w:tcPr>
            <w:tcW w:w="11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590.40</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53.28</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2.88</w:t>
            </w:r>
          </w:p>
        </w:tc>
      </w:tr>
      <w:tr>
        <w:tblPrEx>
          <w:tblCellMar>
            <w:top w:w="0" w:type="dxa"/>
            <w:left w:w="0" w:type="dxa"/>
            <w:bottom w:w="0" w:type="dxa"/>
            <w:right w:w="0" w:type="dxa"/>
          </w:tblCellMar>
        </w:tblPrEx>
        <w:trPr>
          <w:gridAfter w:val="1"/>
          <w:wAfter w:w="14" w:type="dxa"/>
          <w:trHeight w:val="615" w:hRule="atLeast"/>
        </w:trPr>
        <w:tc>
          <w:tcPr>
            <w:tcW w:w="10656" w:type="dxa"/>
            <w:gridSpan w:val="2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E.1 单位工程工程量清单与造价表</w:t>
            </w:r>
          </w:p>
        </w:tc>
        <w:tc>
          <w:tcPr>
            <w:tcW w:w="3909" w:type="dxa"/>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(招标控制价)</w:t>
            </w:r>
          </w:p>
        </w:tc>
      </w:tr>
      <w:tr>
        <w:tblPrEx>
          <w:tblCellMar>
            <w:top w:w="0" w:type="dxa"/>
            <w:left w:w="0" w:type="dxa"/>
            <w:bottom w:w="0" w:type="dxa"/>
            <w:right w:w="0" w:type="dxa"/>
          </w:tblCellMar>
        </w:tblPrEx>
        <w:trPr>
          <w:gridAfter w:val="1"/>
          <w:wAfter w:w="14" w:type="dxa"/>
          <w:trHeight w:val="225" w:hRule="atLeast"/>
        </w:trPr>
        <w:tc>
          <w:tcPr>
            <w:tcW w:w="14565" w:type="dxa"/>
            <w:gridSpan w:val="3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gridAfter w:val="1"/>
          <w:wAfter w:w="14" w:type="dxa"/>
          <w:trHeight w:val="330" w:hRule="atLeast"/>
        </w:trPr>
        <w:tc>
          <w:tcPr>
            <w:tcW w:w="11601" w:type="dxa"/>
            <w:gridSpan w:val="23"/>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工程名称:长沙市轨道交通1、2号线运营期车站自动检票机改造工程项目</w:t>
            </w:r>
          </w:p>
        </w:tc>
        <w:tc>
          <w:tcPr>
            <w:tcW w:w="954"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010" w:type="dxa"/>
            <w:gridSpan w:val="6"/>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第2页 共7页</w:t>
            </w:r>
          </w:p>
        </w:tc>
      </w:tr>
      <w:tr>
        <w:tblPrEx>
          <w:tblCellMar>
            <w:top w:w="0" w:type="dxa"/>
            <w:left w:w="0" w:type="dxa"/>
            <w:bottom w:w="0" w:type="dxa"/>
            <w:right w:w="0" w:type="dxa"/>
          </w:tblCellMar>
        </w:tblPrEx>
        <w:trPr>
          <w:gridAfter w:val="1"/>
          <w:wAfter w:w="14" w:type="dxa"/>
          <w:trHeight w:val="255" w:hRule="atLeast"/>
        </w:trPr>
        <w:tc>
          <w:tcPr>
            <w:tcW w:w="3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261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86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7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计量单位</w:t>
            </w:r>
          </w:p>
        </w:tc>
        <w:tc>
          <w:tcPr>
            <w:tcW w:w="79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480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gridAfter w:val="1"/>
          <w:wAfter w:w="14" w:type="dxa"/>
          <w:trHeight w:val="255" w:hRule="atLeast"/>
        </w:trPr>
        <w:tc>
          <w:tcPr>
            <w:tcW w:w="3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6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86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0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综合单价</w:t>
            </w:r>
          </w:p>
        </w:tc>
        <w:tc>
          <w:tcPr>
            <w:tcW w:w="94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296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gridAfter w:val="1"/>
          <w:wAfter w:w="14" w:type="dxa"/>
          <w:trHeight w:val="255" w:hRule="atLeast"/>
        </w:trPr>
        <w:tc>
          <w:tcPr>
            <w:tcW w:w="3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6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86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0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附加税费</w:t>
            </w:r>
          </w:p>
        </w:tc>
      </w:tr>
      <w:tr>
        <w:tblPrEx>
          <w:tblCellMar>
            <w:top w:w="0" w:type="dxa"/>
            <w:left w:w="0" w:type="dxa"/>
            <w:bottom w:w="0" w:type="dxa"/>
            <w:right w:w="0" w:type="dxa"/>
          </w:tblCellMar>
        </w:tblPrEx>
        <w:trPr>
          <w:gridAfter w:val="1"/>
          <w:wAfter w:w="14" w:type="dxa"/>
          <w:trHeight w:val="355"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080601020001</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尾纤</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color w:val="000000"/>
                <w:sz w:val="18"/>
                <w:szCs w:val="18"/>
                <w:u w:val="none"/>
              </w:rPr>
            </w:pP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59.57</w:t>
            </w: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238.28</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217.84</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19.60</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0.84</w:t>
            </w:r>
          </w:p>
        </w:tc>
      </w:tr>
      <w:tr>
        <w:tblPrEx>
          <w:tblCellMar>
            <w:top w:w="0" w:type="dxa"/>
            <w:left w:w="0" w:type="dxa"/>
            <w:bottom w:w="0" w:type="dxa"/>
            <w:right w:w="0" w:type="dxa"/>
          </w:tblCellMar>
        </w:tblPrEx>
        <w:trPr>
          <w:gridAfter w:val="1"/>
          <w:wAfter w:w="14" w:type="dxa"/>
          <w:trHeight w:val="102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080907001001</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迁移客服中心（含电脑桌拆装、静电地板拆装、照明灯具线及缆拆装等客服中心内部设备设施移位，尺寸：3.8m*2.8m*2.29m）</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color w:val="000000"/>
                <w:sz w:val="18"/>
                <w:szCs w:val="18"/>
                <w:u w:val="none"/>
              </w:rPr>
            </w:pP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2216.90</w:t>
            </w: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4433.80</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4053.12</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364.78</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15.90</w:t>
            </w:r>
          </w:p>
        </w:tc>
      </w:tr>
      <w:tr>
        <w:tblPrEx>
          <w:tblCellMar>
            <w:top w:w="0" w:type="dxa"/>
            <w:left w:w="0" w:type="dxa"/>
            <w:bottom w:w="0" w:type="dxa"/>
            <w:right w:w="0" w:type="dxa"/>
          </w:tblCellMar>
        </w:tblPrEx>
        <w:trPr>
          <w:gridAfter w:val="1"/>
          <w:wAfter w:w="14" w:type="dxa"/>
          <w:trHeight w:val="335"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监控门禁设备改造</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color w:val="000000"/>
                <w:sz w:val="18"/>
                <w:szCs w:val="18"/>
                <w:u w:val="none"/>
              </w:rPr>
            </w:pP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18"/>
                <w:szCs w:val="18"/>
                <w:u w:val="none"/>
              </w:rPr>
            </w:pP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18"/>
                <w:szCs w:val="18"/>
                <w:u w:val="none"/>
              </w:rPr>
            </w:pP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29326.57</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26808.60</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2412.77</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105.20</w:t>
            </w:r>
          </w:p>
        </w:tc>
      </w:tr>
      <w:tr>
        <w:tblPrEx>
          <w:tblCellMar>
            <w:top w:w="0" w:type="dxa"/>
            <w:left w:w="0" w:type="dxa"/>
            <w:bottom w:w="0" w:type="dxa"/>
            <w:right w:w="0" w:type="dxa"/>
          </w:tblCellMar>
        </w:tblPrEx>
        <w:trPr>
          <w:gridAfter w:val="1"/>
          <w:wAfter w:w="14" w:type="dxa"/>
          <w:trHeight w:val="54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030507008001</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采购、安装枪型网络摄像机</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1.型号：C1220-10-Fb</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2.含电源适配器,防护罩、定制吊杆</w:t>
            </w: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3675.90</w:t>
            </w: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7351.80</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6720.56</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604.86</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26.38</w:t>
            </w:r>
          </w:p>
        </w:tc>
      </w:tr>
      <w:tr>
        <w:tblPrEx>
          <w:tblCellMar>
            <w:top w:w="0" w:type="dxa"/>
            <w:left w:w="0" w:type="dxa"/>
            <w:bottom w:w="0" w:type="dxa"/>
            <w:right w:w="0" w:type="dxa"/>
          </w:tblCellMar>
        </w:tblPrEx>
        <w:trPr>
          <w:gridAfter w:val="1"/>
          <w:wAfter w:w="14" w:type="dxa"/>
          <w:trHeight w:val="54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030507008002</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采购、安装300万像素固定摄像机镜头</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1.华为配套、富士能</w:t>
            </w: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530.14</w:t>
            </w: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1060.28</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969.24</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87.24</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3.80</w:t>
            </w:r>
          </w:p>
        </w:tc>
      </w:tr>
      <w:tr>
        <w:tblPrEx>
          <w:tblCellMar>
            <w:top w:w="0" w:type="dxa"/>
            <w:left w:w="0" w:type="dxa"/>
            <w:bottom w:w="0" w:type="dxa"/>
            <w:right w:w="0" w:type="dxa"/>
          </w:tblCellMar>
        </w:tblPrEx>
        <w:trPr>
          <w:gridAfter w:val="1"/>
          <w:wAfter w:w="14" w:type="dxa"/>
          <w:trHeight w:val="395"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030507008003</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监控摄像设备移位拆装</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color w:val="000000"/>
                <w:sz w:val="18"/>
                <w:szCs w:val="18"/>
                <w:u w:val="none"/>
              </w:rPr>
            </w:pP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667.80</w:t>
            </w: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1335.60</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1220.92</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109.88</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4.80</w:t>
            </w:r>
          </w:p>
        </w:tc>
      </w:tr>
      <w:tr>
        <w:tblPrEx>
          <w:tblCellMar>
            <w:top w:w="0" w:type="dxa"/>
            <w:left w:w="0" w:type="dxa"/>
            <w:bottom w:w="0" w:type="dxa"/>
            <w:right w:w="0" w:type="dxa"/>
          </w:tblCellMar>
        </w:tblPrEx>
        <w:trPr>
          <w:gridAfter w:val="1"/>
          <w:wAfter w:w="14" w:type="dxa"/>
          <w:trHeight w:val="60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030507009002</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采购、安装拾音器（含电源线、音频线）</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规格、型号：JYD -DP200</w:t>
            </w: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475.00</w:t>
            </w: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950.00</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868.44</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78.16</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3.40</w:t>
            </w:r>
          </w:p>
        </w:tc>
      </w:tr>
      <w:tr>
        <w:tblPrEx>
          <w:tblCellMar>
            <w:top w:w="0" w:type="dxa"/>
            <w:left w:w="0" w:type="dxa"/>
            <w:bottom w:w="0" w:type="dxa"/>
            <w:right w:w="0" w:type="dxa"/>
          </w:tblCellMar>
        </w:tblPrEx>
        <w:trPr>
          <w:gridAfter w:val="1"/>
          <w:wAfter w:w="14" w:type="dxa"/>
          <w:trHeight w:val="35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031101010001</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敷设摄像机电源线</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1.型号:低烟、无卤、阻燃3*2.5</w:t>
            </w: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11.54</w:t>
            </w: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1731.00</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1582.50</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142.50</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w:t>
            </w:r>
          </w:p>
        </w:tc>
      </w:tr>
      <w:tr>
        <w:tblPrEx>
          <w:tblCellMar>
            <w:top w:w="0" w:type="dxa"/>
            <w:left w:w="0" w:type="dxa"/>
            <w:bottom w:w="0" w:type="dxa"/>
            <w:right w:w="0" w:type="dxa"/>
          </w:tblCellMar>
        </w:tblPrEx>
        <w:trPr>
          <w:gridAfter w:val="1"/>
          <w:wAfter w:w="14" w:type="dxa"/>
          <w:trHeight w:val="305"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030502005002</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敷设摄像机网线</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1.规格:超五类</w:t>
            </w: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4.77</w:t>
            </w: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715.50</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654.00</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58.50</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r>
      <w:tr>
        <w:tblPrEx>
          <w:tblCellMar>
            <w:top w:w="0" w:type="dxa"/>
            <w:left w:w="0" w:type="dxa"/>
            <w:bottom w:w="0" w:type="dxa"/>
            <w:right w:w="0" w:type="dxa"/>
          </w:tblCellMar>
        </w:tblPrEx>
        <w:trPr>
          <w:gridAfter w:val="1"/>
          <w:wAfter w:w="14" w:type="dxa"/>
          <w:trHeight w:val="485"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030411001001</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敷设摄像机线缆保护管</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1.材质:波纹管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2.规格:DN20mm</w:t>
            </w: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22.87</w:t>
            </w: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1143.50</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1045.50</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94.00</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r>
      <w:tr>
        <w:tblPrEx>
          <w:tblCellMar>
            <w:top w:w="0" w:type="dxa"/>
            <w:left w:w="0" w:type="dxa"/>
            <w:bottom w:w="0" w:type="dxa"/>
            <w:right w:w="0" w:type="dxa"/>
          </w:tblCellMar>
        </w:tblPrEx>
        <w:trPr>
          <w:gridAfter w:val="1"/>
          <w:wAfter w:w="14" w:type="dxa"/>
          <w:trHeight w:val="425"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FD0311009001</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敷设客服中心电话线（2芯）</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color w:val="000000"/>
                <w:sz w:val="18"/>
                <w:szCs w:val="18"/>
                <w:u w:val="none"/>
              </w:rPr>
            </w:pP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1.67</w:t>
            </w: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50.10</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45.60</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4.20</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w:t>
            </w:r>
          </w:p>
        </w:tc>
      </w:tr>
      <w:tr>
        <w:tblPrEx>
          <w:tblCellMar>
            <w:top w:w="0" w:type="dxa"/>
            <w:left w:w="0" w:type="dxa"/>
            <w:bottom w:w="0" w:type="dxa"/>
            <w:right w:w="0" w:type="dxa"/>
          </w:tblCellMar>
        </w:tblPrEx>
        <w:trPr>
          <w:gridAfter w:val="1"/>
          <w:wAfter w:w="14" w:type="dxa"/>
          <w:trHeight w:val="42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031101010002</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敷设控制器电源线</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 规格：WDZBN-BYJ3*2.5mm²</w:t>
            </w: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5.90</w:t>
            </w: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767.00</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700.70</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63.70</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2.60</w:t>
            </w:r>
          </w:p>
        </w:tc>
      </w:tr>
      <w:tr>
        <w:tblPrEx>
          <w:tblCellMar>
            <w:top w:w="0" w:type="dxa"/>
            <w:left w:w="0" w:type="dxa"/>
            <w:bottom w:w="0" w:type="dxa"/>
            <w:right w:w="0" w:type="dxa"/>
          </w:tblCellMar>
        </w:tblPrEx>
        <w:trPr>
          <w:gridAfter w:val="1"/>
          <w:wAfter w:w="14" w:type="dxa"/>
          <w:trHeight w:val="42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080807002003</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敷设门禁控制线</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1.规格:WDZBN-RYYSP6*0.5mm²</w:t>
            </w: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15.95</w:t>
            </w: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2073.50</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1895.40</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170.30</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7.80</w:t>
            </w:r>
          </w:p>
        </w:tc>
      </w:tr>
      <w:tr>
        <w:tblPrEx>
          <w:tblCellMar>
            <w:top w:w="0" w:type="dxa"/>
            <w:left w:w="0" w:type="dxa"/>
            <w:bottom w:w="0" w:type="dxa"/>
            <w:right w:w="0" w:type="dxa"/>
          </w:tblCellMar>
        </w:tblPrEx>
        <w:trPr>
          <w:gridAfter w:val="1"/>
          <w:wAfter w:w="14" w:type="dxa"/>
          <w:trHeight w:val="615" w:hRule="atLeast"/>
        </w:trPr>
        <w:tc>
          <w:tcPr>
            <w:tcW w:w="10656" w:type="dxa"/>
            <w:gridSpan w:val="2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E.1 单位工程工程量清单与造价表</w:t>
            </w:r>
          </w:p>
        </w:tc>
        <w:tc>
          <w:tcPr>
            <w:tcW w:w="3909" w:type="dxa"/>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(招标控制价)</w:t>
            </w:r>
          </w:p>
        </w:tc>
      </w:tr>
      <w:tr>
        <w:tblPrEx>
          <w:tblCellMar>
            <w:top w:w="0" w:type="dxa"/>
            <w:left w:w="0" w:type="dxa"/>
            <w:bottom w:w="0" w:type="dxa"/>
            <w:right w:w="0" w:type="dxa"/>
          </w:tblCellMar>
        </w:tblPrEx>
        <w:trPr>
          <w:gridAfter w:val="1"/>
          <w:wAfter w:w="14" w:type="dxa"/>
          <w:trHeight w:val="225" w:hRule="atLeast"/>
        </w:trPr>
        <w:tc>
          <w:tcPr>
            <w:tcW w:w="14565" w:type="dxa"/>
            <w:gridSpan w:val="3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gridAfter w:val="1"/>
          <w:wAfter w:w="14" w:type="dxa"/>
          <w:trHeight w:val="330" w:hRule="atLeast"/>
        </w:trPr>
        <w:tc>
          <w:tcPr>
            <w:tcW w:w="11601" w:type="dxa"/>
            <w:gridSpan w:val="23"/>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工程名称:长沙市轨道交通1、2号线运营期车站自动检票机改造工程项目</w:t>
            </w:r>
          </w:p>
        </w:tc>
        <w:tc>
          <w:tcPr>
            <w:tcW w:w="954"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010" w:type="dxa"/>
            <w:gridSpan w:val="6"/>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第3页 共7页</w:t>
            </w:r>
          </w:p>
        </w:tc>
      </w:tr>
      <w:tr>
        <w:tblPrEx>
          <w:tblCellMar>
            <w:top w:w="0" w:type="dxa"/>
            <w:left w:w="0" w:type="dxa"/>
            <w:bottom w:w="0" w:type="dxa"/>
            <w:right w:w="0" w:type="dxa"/>
          </w:tblCellMar>
        </w:tblPrEx>
        <w:trPr>
          <w:gridAfter w:val="1"/>
          <w:wAfter w:w="14" w:type="dxa"/>
          <w:trHeight w:val="255" w:hRule="atLeast"/>
        </w:trPr>
        <w:tc>
          <w:tcPr>
            <w:tcW w:w="3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261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86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7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计量单位</w:t>
            </w:r>
          </w:p>
        </w:tc>
        <w:tc>
          <w:tcPr>
            <w:tcW w:w="79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4809"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gridAfter w:val="1"/>
          <w:wAfter w:w="14" w:type="dxa"/>
          <w:trHeight w:val="255" w:hRule="atLeast"/>
        </w:trPr>
        <w:tc>
          <w:tcPr>
            <w:tcW w:w="3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26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386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7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7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90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综合单价</w:t>
            </w:r>
          </w:p>
        </w:tc>
        <w:tc>
          <w:tcPr>
            <w:tcW w:w="94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296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gridAfter w:val="1"/>
          <w:wAfter w:w="14" w:type="dxa"/>
          <w:trHeight w:val="255" w:hRule="atLeast"/>
        </w:trPr>
        <w:tc>
          <w:tcPr>
            <w:tcW w:w="3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26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386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7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7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90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9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附加税费</w:t>
            </w:r>
          </w:p>
        </w:tc>
      </w:tr>
      <w:tr>
        <w:tblPrEx>
          <w:tblCellMar>
            <w:top w:w="0" w:type="dxa"/>
            <w:left w:w="0" w:type="dxa"/>
            <w:bottom w:w="0" w:type="dxa"/>
            <w:right w:w="0" w:type="dxa"/>
          </w:tblCellMar>
        </w:tblPrEx>
        <w:trPr>
          <w:gridAfter w:val="1"/>
          <w:wAfter w:w="14" w:type="dxa"/>
          <w:trHeight w:val="36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080807002004</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敷设磁力锁控制线</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1.规格:WDZBN-RYY  2*1.5mm²</w:t>
            </w: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14.83</w:t>
            </w: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1927.90</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1762.80</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158.60</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w:t>
            </w:r>
          </w:p>
        </w:tc>
      </w:tr>
      <w:tr>
        <w:tblPrEx>
          <w:tblCellMar>
            <w:top w:w="0" w:type="dxa"/>
            <w:left w:w="0" w:type="dxa"/>
            <w:bottom w:w="0" w:type="dxa"/>
            <w:right w:w="0" w:type="dxa"/>
          </w:tblCellMar>
        </w:tblPrEx>
        <w:trPr>
          <w:gridAfter w:val="1"/>
          <w:wAfter w:w="14" w:type="dxa"/>
          <w:trHeight w:val="36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080807002005</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敷设门禁卡信号线</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1.规格:WDZBN-RYY2*0.5mm²</w:t>
            </w: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14.11</w:t>
            </w: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1834.30</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1677.00</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150.80</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w:t>
            </w:r>
          </w:p>
        </w:tc>
      </w:tr>
      <w:tr>
        <w:tblPrEx>
          <w:tblCellMar>
            <w:top w:w="0" w:type="dxa"/>
            <w:left w:w="0" w:type="dxa"/>
            <w:bottom w:w="0" w:type="dxa"/>
            <w:right w:w="0" w:type="dxa"/>
          </w:tblCellMar>
        </w:tblPrEx>
        <w:trPr>
          <w:gridAfter w:val="1"/>
          <w:wAfter w:w="14" w:type="dxa"/>
          <w:trHeight w:val="36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080807002002</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敷设门磁信号线</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1.规格:WDZBN-RYY2*0.5mm²</w:t>
            </w: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14.11</w:t>
            </w: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1834.30</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1677.00</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150.80</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6.50</w:t>
            </w:r>
          </w:p>
        </w:tc>
      </w:tr>
      <w:tr>
        <w:tblPrEx>
          <w:tblCellMar>
            <w:top w:w="0" w:type="dxa"/>
            <w:left w:w="0" w:type="dxa"/>
            <w:bottom w:w="0" w:type="dxa"/>
            <w:right w:w="0" w:type="dxa"/>
          </w:tblCellMar>
        </w:tblPrEx>
        <w:trPr>
          <w:gridAfter w:val="1"/>
          <w:wAfter w:w="14" w:type="dxa"/>
          <w:trHeight w:val="36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080807011001</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敷设门禁系统线缆保护镀锌钢管</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1.规格:DN25</w:t>
            </w: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28.98</w:t>
            </w: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3187.80</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2915.00</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261.80</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11.00</w:t>
            </w:r>
          </w:p>
        </w:tc>
      </w:tr>
      <w:tr>
        <w:tblPrEx>
          <w:tblCellMar>
            <w:top w:w="0" w:type="dxa"/>
            <w:left w:w="0" w:type="dxa"/>
            <w:bottom w:w="0" w:type="dxa"/>
            <w:right w:w="0" w:type="dxa"/>
          </w:tblCellMar>
        </w:tblPrEx>
        <w:trPr>
          <w:gridAfter w:val="1"/>
          <w:wAfter w:w="14" w:type="dxa"/>
          <w:trHeight w:val="36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080807011002</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敷设门禁系统线缆保护镀锌钢管</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1.规格:DN20</w:t>
            </w: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22.61</w:t>
            </w: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2487.10</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2273.70</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204.60</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8.80</w:t>
            </w:r>
          </w:p>
        </w:tc>
      </w:tr>
      <w:tr>
        <w:tblPrEx>
          <w:tblCellMar>
            <w:top w:w="0" w:type="dxa"/>
            <w:left w:w="0" w:type="dxa"/>
            <w:bottom w:w="0" w:type="dxa"/>
            <w:right w:w="0" w:type="dxa"/>
          </w:tblCellMar>
        </w:tblPrEx>
        <w:trPr>
          <w:gridAfter w:val="1"/>
          <w:wAfter w:w="14" w:type="dxa"/>
          <w:trHeight w:val="36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080807011003</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敷设门禁系统线缆保护金属软管</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1.规格:DN20</w:t>
            </w: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102.07</w:t>
            </w: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1020.70</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933.00</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84.00</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3.70</w:t>
            </w:r>
          </w:p>
        </w:tc>
      </w:tr>
      <w:tr>
        <w:tblPrEx>
          <w:tblCellMar>
            <w:top w:w="0" w:type="dxa"/>
            <w:left w:w="0" w:type="dxa"/>
            <w:bottom w:w="0" w:type="dxa"/>
            <w:right w:w="0" w:type="dxa"/>
          </w:tblCellMar>
        </w:tblPrEx>
        <w:trPr>
          <w:gridAfter w:val="1"/>
          <w:wAfter w:w="14" w:type="dxa"/>
          <w:trHeight w:val="36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1.1.3</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工建设施改造</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color w:val="000000"/>
                <w:sz w:val="18"/>
                <w:szCs w:val="18"/>
                <w:u w:val="none"/>
              </w:rPr>
            </w:pP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18"/>
                <w:szCs w:val="18"/>
                <w:u w:val="none"/>
              </w:rPr>
            </w:pP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18"/>
                <w:szCs w:val="18"/>
                <w:u w:val="none"/>
              </w:rPr>
            </w:pP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31995.82</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29248.67</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2632.38</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114.77</w:t>
            </w:r>
          </w:p>
        </w:tc>
      </w:tr>
      <w:tr>
        <w:tblPrEx>
          <w:tblCellMar>
            <w:top w:w="0" w:type="dxa"/>
            <w:left w:w="0" w:type="dxa"/>
            <w:bottom w:w="0" w:type="dxa"/>
            <w:right w:w="0" w:type="dxa"/>
          </w:tblCellMar>
        </w:tblPrEx>
        <w:trPr>
          <w:gridAfter w:val="1"/>
          <w:wAfter w:w="14" w:type="dxa"/>
          <w:trHeight w:val="118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011605001001</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拆除花岗岩、盲道地面（含疏散标识拆除、垃圾清运，花岗岩、盲道及水泥垫层的垃圾清运考虑松散系数）</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拆除原有面层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2.垃圾运出楼面集中堆放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3.人工降效及夜间施工降效</w:t>
            </w: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80.88</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49.56</w:t>
            </w: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4008.41</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3663.86</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329.99</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14.56</w:t>
            </w:r>
          </w:p>
        </w:tc>
      </w:tr>
      <w:tr>
        <w:tblPrEx>
          <w:tblCellMar>
            <w:top w:w="0" w:type="dxa"/>
            <w:left w:w="0" w:type="dxa"/>
            <w:bottom w:w="0" w:type="dxa"/>
            <w:right w:w="0" w:type="dxa"/>
          </w:tblCellMar>
        </w:tblPrEx>
        <w:trPr>
          <w:gridAfter w:val="1"/>
          <w:wAfter w:w="14" w:type="dxa"/>
          <w:trHeight w:val="1695"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011102001001</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铺贴花岗岩地面</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1.30mm厚1:3干硬性水泥砂浆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2.800*800*20mm厚中花白青花岗岩,水泥浆擦缝</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3.石材通体保护液</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4.人工降效及夜间施工降效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5.材料二次搬运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6.垃圾运出楼面集中堆放</w:t>
            </w: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71.52</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223.91</w:t>
            </w: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16014.04</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14639.43</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1317.40</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57.22</w:t>
            </w:r>
          </w:p>
        </w:tc>
      </w:tr>
      <w:tr>
        <w:tblPrEx>
          <w:tblCellMar>
            <w:top w:w="0" w:type="dxa"/>
            <w:left w:w="0" w:type="dxa"/>
            <w:bottom w:w="0" w:type="dxa"/>
            <w:right w:w="0" w:type="dxa"/>
          </w:tblCellMar>
        </w:tblPrEx>
        <w:trPr>
          <w:gridAfter w:val="1"/>
          <w:wAfter w:w="14" w:type="dxa"/>
          <w:trHeight w:val="54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011102001003</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铺贴盲道砖</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1.30mm厚1:3干硬性水泥砂浆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2.300*400*24mm 瓷质肓道砖,水泥浆擦缝</w:t>
            </w: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9.36</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269.14</w:t>
            </w: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2519.15</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2302.84</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207.23</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9.08</w:t>
            </w:r>
          </w:p>
        </w:tc>
      </w:tr>
      <w:tr>
        <w:tblPrEx>
          <w:tblCellMar>
            <w:top w:w="0" w:type="dxa"/>
            <w:left w:w="0" w:type="dxa"/>
            <w:bottom w:w="0" w:type="dxa"/>
            <w:right w:w="0" w:type="dxa"/>
          </w:tblCellMar>
        </w:tblPrEx>
        <w:trPr>
          <w:gridAfter w:val="1"/>
          <w:wAfter w:w="14" w:type="dxa"/>
          <w:trHeight w:val="51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011609001001</w:t>
            </w:r>
          </w:p>
        </w:tc>
        <w:tc>
          <w:tcPr>
            <w:tcW w:w="26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拆除分区栏杆</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color w:val="000000"/>
                <w:sz w:val="18"/>
                <w:szCs w:val="18"/>
                <w:u w:val="none"/>
              </w:rPr>
            </w:pP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10.06</w:t>
            </w:r>
          </w:p>
        </w:tc>
        <w:tc>
          <w:tcPr>
            <w:tcW w:w="9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63.67</w:t>
            </w:r>
          </w:p>
        </w:tc>
        <w:tc>
          <w:tcPr>
            <w:tcW w:w="94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640.52</w:t>
            </w:r>
          </w:p>
        </w:tc>
        <w:tc>
          <w:tcPr>
            <w:tcW w:w="95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585.49</w:t>
            </w:r>
          </w:p>
        </w:tc>
        <w:tc>
          <w:tcPr>
            <w:tcW w:w="10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52.71</w:t>
            </w:r>
          </w:p>
        </w:tc>
        <w:tc>
          <w:tcPr>
            <w:tcW w:w="9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2.31</w:t>
            </w:r>
          </w:p>
        </w:tc>
      </w:tr>
      <w:tr>
        <w:tblPrEx>
          <w:tblCellMar>
            <w:top w:w="0" w:type="dxa"/>
            <w:left w:w="0" w:type="dxa"/>
            <w:bottom w:w="0" w:type="dxa"/>
            <w:right w:w="0" w:type="dxa"/>
          </w:tblCellMar>
        </w:tblPrEx>
        <w:trPr>
          <w:trHeight w:val="90" w:hRule="atLeast"/>
        </w:trPr>
        <w:tc>
          <w:tcPr>
            <w:tcW w:w="10150" w:type="dxa"/>
            <w:gridSpan w:val="1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E.1 单位工程工程量清单与造价表</w:t>
            </w:r>
          </w:p>
        </w:tc>
        <w:tc>
          <w:tcPr>
            <w:tcW w:w="4429" w:type="dxa"/>
            <w:gridSpan w:val="1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(招标控制价)</w:t>
            </w:r>
          </w:p>
        </w:tc>
      </w:tr>
      <w:tr>
        <w:tblPrEx>
          <w:tblCellMar>
            <w:top w:w="0" w:type="dxa"/>
            <w:left w:w="0" w:type="dxa"/>
            <w:bottom w:w="0" w:type="dxa"/>
            <w:right w:w="0" w:type="dxa"/>
          </w:tblCellMar>
        </w:tblPrEx>
        <w:trPr>
          <w:trHeight w:val="90" w:hRule="atLeast"/>
        </w:trPr>
        <w:tc>
          <w:tcPr>
            <w:tcW w:w="14579" w:type="dxa"/>
            <w:gridSpan w:val="3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90" w:hRule="atLeast"/>
        </w:trPr>
        <w:tc>
          <w:tcPr>
            <w:tcW w:w="11381" w:type="dxa"/>
            <w:gridSpan w:val="2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工程名称:长沙市轨道交通1、2号线运营期车站自动检票机改造工程项目</w:t>
            </w:r>
          </w:p>
        </w:tc>
        <w:tc>
          <w:tcPr>
            <w:tcW w:w="1186" w:type="dxa"/>
            <w:gridSpan w:val="4"/>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012" w:type="dxa"/>
            <w:gridSpan w:val="6"/>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第4页 共7页</w:t>
            </w:r>
          </w:p>
        </w:tc>
      </w:tr>
      <w:tr>
        <w:tblPrEx>
          <w:tblCellMar>
            <w:top w:w="0" w:type="dxa"/>
            <w:left w:w="0" w:type="dxa"/>
            <w:bottom w:w="0" w:type="dxa"/>
            <w:right w:w="0" w:type="dxa"/>
          </w:tblCellMar>
        </w:tblPrEx>
        <w:trPr>
          <w:trHeight w:val="90" w:hRule="atLeast"/>
        </w:trPr>
        <w:tc>
          <w:tcPr>
            <w:tcW w:w="3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2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261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4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61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计量单位</w:t>
            </w:r>
          </w:p>
        </w:tc>
        <w:tc>
          <w:tcPr>
            <w:tcW w:w="73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5438"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trHeight w:val="90" w:hRule="atLeast"/>
        </w:trPr>
        <w:tc>
          <w:tcPr>
            <w:tcW w:w="3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6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综合单价</w:t>
            </w:r>
          </w:p>
        </w:tc>
        <w:tc>
          <w:tcPr>
            <w:tcW w:w="123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19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trHeight w:val="90" w:hRule="atLeast"/>
        </w:trPr>
        <w:tc>
          <w:tcPr>
            <w:tcW w:w="3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6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附加税费</w:t>
            </w:r>
          </w:p>
        </w:tc>
      </w:tr>
      <w:tr>
        <w:tblPrEx>
          <w:tblCellMar>
            <w:top w:w="0" w:type="dxa"/>
            <w:left w:w="0" w:type="dxa"/>
            <w:bottom w:w="0" w:type="dxa"/>
            <w:right w:w="0" w:type="dxa"/>
          </w:tblCellMar>
        </w:tblPrEx>
        <w:trPr>
          <w:trHeight w:val="117"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011503001001</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采购、安装分区栏杆（含组件及1樘边门移装）</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1、900*60*15mm不锈钢立柱，栏杆高约1100mm，6+0.76+6双钢化夹胶玻璃。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2、φ60*2.0mm拉丝不锈钢扶手面管。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3、底板，膨胀螺栓固定。</w:t>
            </w: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535.15</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7492.10</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6848.80</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616.42</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26.88</w:t>
            </w:r>
          </w:p>
        </w:tc>
      </w:tr>
      <w:tr>
        <w:tblPrEx>
          <w:tblCellMar>
            <w:top w:w="0" w:type="dxa"/>
            <w:left w:w="0" w:type="dxa"/>
            <w:bottom w:w="0" w:type="dxa"/>
            <w:right w:w="0" w:type="dxa"/>
          </w:tblCellMar>
        </w:tblPrEx>
        <w:trPr>
          <w:trHeight w:val="9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030412004002</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采购、安装地面疏散标识</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1.直径150mm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2.夜光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3.圆形</w:t>
            </w: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79.35</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1269.60</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1160.64</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104.48</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4.48</w:t>
            </w:r>
          </w:p>
        </w:tc>
      </w:tr>
      <w:tr>
        <w:tblPrEx>
          <w:tblCellMar>
            <w:top w:w="0" w:type="dxa"/>
            <w:left w:w="0" w:type="dxa"/>
            <w:bottom w:w="0" w:type="dxa"/>
            <w:right w:w="0" w:type="dxa"/>
          </w:tblCellMar>
        </w:tblPrEx>
        <w:trPr>
          <w:trHeight w:val="9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011614003001</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拆除出入口指向牌</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color w:val="000000"/>
                <w:sz w:val="18"/>
                <w:szCs w:val="18"/>
                <w:u w:val="none"/>
              </w:rPr>
            </w:pP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块</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25.62</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51.24</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46.84</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4.22</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0.18</w:t>
            </w:r>
          </w:p>
        </w:tc>
      </w:tr>
      <w:tr>
        <w:tblPrEx>
          <w:tblCellMar>
            <w:top w:w="0" w:type="dxa"/>
            <w:left w:w="0" w:type="dxa"/>
            <w:bottom w:w="0" w:type="dxa"/>
            <w:right w:w="0" w:type="dxa"/>
          </w:tblCellMar>
        </w:tblPrEx>
        <w:trPr>
          <w:trHeight w:val="9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零星包干</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color w:val="000000"/>
                <w:sz w:val="18"/>
                <w:szCs w:val="18"/>
                <w:u w:val="none"/>
              </w:rPr>
            </w:pP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18"/>
                <w:szCs w:val="18"/>
                <w:u w:val="none"/>
              </w:rPr>
            </w:pP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18"/>
                <w:szCs w:val="18"/>
                <w:u w:val="none"/>
              </w:rPr>
            </w:pP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3260.04</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2980.14</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268.21</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11.69</w:t>
            </w:r>
          </w:p>
        </w:tc>
      </w:tr>
      <w:tr>
        <w:tblPrEx>
          <w:tblCellMar>
            <w:top w:w="0" w:type="dxa"/>
            <w:left w:w="0" w:type="dxa"/>
            <w:bottom w:w="0" w:type="dxa"/>
            <w:right w:w="0" w:type="dxa"/>
          </w:tblCellMar>
        </w:tblPrEx>
        <w:trPr>
          <w:trHeight w:val="9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010605001001</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配电箱改造及出线口封口（包干）</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color w:val="000000"/>
                <w:sz w:val="18"/>
                <w:szCs w:val="18"/>
                <w:u w:val="none"/>
              </w:rPr>
            </w:pP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61.60</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61.60</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56.31</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5.07</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0.22</w:t>
            </w:r>
          </w:p>
        </w:tc>
      </w:tr>
      <w:tr>
        <w:tblPrEx>
          <w:tblCellMar>
            <w:top w:w="0" w:type="dxa"/>
            <w:left w:w="0" w:type="dxa"/>
            <w:bottom w:w="0" w:type="dxa"/>
            <w:right w:w="0" w:type="dxa"/>
          </w:tblCellMar>
        </w:tblPrEx>
        <w:trPr>
          <w:trHeight w:val="9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011707001002</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施工围挡(包干）</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color w:val="000000"/>
                <w:sz w:val="18"/>
                <w:szCs w:val="18"/>
                <w:u w:val="none"/>
              </w:rPr>
            </w:pP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2503.88</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2503.88</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2288.90</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206.00</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8.98</w:t>
            </w:r>
          </w:p>
        </w:tc>
      </w:tr>
      <w:tr>
        <w:tblPrEx>
          <w:tblCellMar>
            <w:top w:w="0" w:type="dxa"/>
            <w:left w:w="0" w:type="dxa"/>
            <w:bottom w:w="0" w:type="dxa"/>
            <w:right w:w="0" w:type="dxa"/>
          </w:tblCellMar>
        </w:tblPrEx>
        <w:trPr>
          <w:trHeight w:val="9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011707007002</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成品保护（包干）</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color w:val="000000"/>
                <w:sz w:val="18"/>
                <w:szCs w:val="18"/>
                <w:u w:val="none"/>
              </w:rPr>
            </w:pP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725.11</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725.11</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662.85</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59.66</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2.60</w:t>
            </w:r>
          </w:p>
        </w:tc>
      </w:tr>
      <w:tr>
        <w:tblPrEx>
          <w:tblCellMar>
            <w:top w:w="0" w:type="dxa"/>
            <w:left w:w="0" w:type="dxa"/>
            <w:bottom w:w="0" w:type="dxa"/>
            <w:right w:w="0" w:type="dxa"/>
          </w:tblCellMar>
        </w:tblPrEx>
        <w:trPr>
          <w:trHeight w:val="9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2号线</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color w:val="000000"/>
                <w:sz w:val="18"/>
                <w:szCs w:val="18"/>
                <w:u w:val="none"/>
              </w:rPr>
            </w:pP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18"/>
                <w:szCs w:val="18"/>
                <w:u w:val="none"/>
              </w:rPr>
            </w:pP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18"/>
                <w:szCs w:val="18"/>
                <w:u w:val="none"/>
              </w:rPr>
            </w:pP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126455.82</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115598.37</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10403.85</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453.60</w:t>
            </w:r>
          </w:p>
        </w:tc>
      </w:tr>
      <w:tr>
        <w:tblPrEx>
          <w:tblCellMar>
            <w:top w:w="0" w:type="dxa"/>
            <w:left w:w="0" w:type="dxa"/>
            <w:bottom w:w="0" w:type="dxa"/>
            <w:right w:w="0" w:type="dxa"/>
          </w:tblCellMar>
        </w:tblPrEx>
        <w:trPr>
          <w:trHeight w:val="9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自动检票机改造</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color w:val="000000"/>
                <w:sz w:val="18"/>
                <w:szCs w:val="18"/>
                <w:u w:val="none"/>
              </w:rPr>
            </w:pP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18"/>
                <w:szCs w:val="18"/>
                <w:u w:val="none"/>
              </w:rPr>
            </w:pP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18"/>
                <w:szCs w:val="18"/>
                <w:u w:val="none"/>
              </w:rPr>
            </w:pP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color w:val="000000"/>
                <w:sz w:val="18"/>
                <w:szCs w:val="18"/>
                <w:u w:val="none"/>
              </w:rPr>
            </w:pP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57844.77</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52878.24</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4759.04</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207.49</w:t>
            </w:r>
          </w:p>
        </w:tc>
      </w:tr>
      <w:tr>
        <w:tblPrEx>
          <w:tblCellMar>
            <w:top w:w="0" w:type="dxa"/>
            <w:left w:w="0" w:type="dxa"/>
            <w:bottom w:w="0" w:type="dxa"/>
            <w:right w:w="0" w:type="dxa"/>
          </w:tblCellMar>
        </w:tblPrEx>
        <w:trPr>
          <w:trHeight w:val="9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080907005001</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自动检票机拆卸、搬运（含自动检票机导向）</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color w:val="000000"/>
                <w:sz w:val="18"/>
                <w:szCs w:val="18"/>
                <w:u w:val="none"/>
              </w:rPr>
            </w:pP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221.71</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5764.46</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5269.42</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474.24</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w:t>
            </w:r>
          </w:p>
        </w:tc>
      </w:tr>
      <w:tr>
        <w:tblPrEx>
          <w:tblCellMar>
            <w:top w:w="0" w:type="dxa"/>
            <w:left w:w="0" w:type="dxa"/>
            <w:bottom w:w="0" w:type="dxa"/>
            <w:right w:w="0" w:type="dxa"/>
          </w:tblCellMar>
        </w:tblPrEx>
        <w:trPr>
          <w:trHeight w:val="9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080907005004</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自动检票机安装</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1、含自动检票机导向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2、不含调试</w:t>
            </w: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1279.69</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33271.94</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30415.32</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2737.28</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119.34</w:t>
            </w:r>
          </w:p>
        </w:tc>
      </w:tr>
      <w:tr>
        <w:tblPrEx>
          <w:tblCellMar>
            <w:top w:w="0" w:type="dxa"/>
            <w:left w:w="0" w:type="dxa"/>
            <w:bottom w:w="0" w:type="dxa"/>
            <w:right w:w="0" w:type="dxa"/>
          </w:tblCellMar>
        </w:tblPrEx>
        <w:trPr>
          <w:trHeight w:val="9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030404019004</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采购、安装带漏电保护断路器</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1.名称:安装新购带漏电保护断路器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2.规格型号:2P 16A</w:t>
            </w: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75.22</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601.76</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550.08</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49.52</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2.16</w:t>
            </w:r>
          </w:p>
        </w:tc>
      </w:tr>
      <w:tr>
        <w:tblPrEx>
          <w:tblCellMar>
            <w:top w:w="0" w:type="dxa"/>
            <w:left w:w="0" w:type="dxa"/>
            <w:bottom w:w="0" w:type="dxa"/>
            <w:right w:w="0" w:type="dxa"/>
          </w:tblCellMar>
        </w:tblPrEx>
        <w:trPr>
          <w:trHeight w:val="9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080807001006</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敷设AFC设备电源线</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1.型号:无卤、低烟、阻燃（B级）、耐火 YJY3*4mm²</w:t>
            </w: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w:t>
            </w: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34.96</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10732.72</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9808.65</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884.16</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39.91</w:t>
            </w:r>
          </w:p>
        </w:tc>
      </w:tr>
      <w:tr>
        <w:tblPrEx>
          <w:tblCellMar>
            <w:top w:w="0" w:type="dxa"/>
            <w:left w:w="0" w:type="dxa"/>
            <w:bottom w:w="0" w:type="dxa"/>
            <w:right w:w="0" w:type="dxa"/>
          </w:tblCellMar>
        </w:tblPrEx>
        <w:trPr>
          <w:trHeight w:val="246" w:hRule="atLeast"/>
        </w:trPr>
        <w:tc>
          <w:tcPr>
            <w:tcW w:w="10150" w:type="dxa"/>
            <w:gridSpan w:val="1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E.1 单位工程工程量清单与造价表</w:t>
            </w:r>
          </w:p>
        </w:tc>
        <w:tc>
          <w:tcPr>
            <w:tcW w:w="4429" w:type="dxa"/>
            <w:gridSpan w:val="1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(招标控制价)</w:t>
            </w:r>
          </w:p>
        </w:tc>
      </w:tr>
      <w:tr>
        <w:tblPrEx>
          <w:tblCellMar>
            <w:top w:w="0" w:type="dxa"/>
            <w:left w:w="0" w:type="dxa"/>
            <w:bottom w:w="0" w:type="dxa"/>
            <w:right w:w="0" w:type="dxa"/>
          </w:tblCellMar>
        </w:tblPrEx>
        <w:trPr>
          <w:trHeight w:val="126" w:hRule="atLeast"/>
        </w:trPr>
        <w:tc>
          <w:tcPr>
            <w:tcW w:w="14579" w:type="dxa"/>
            <w:gridSpan w:val="3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133" w:hRule="atLeast"/>
        </w:trPr>
        <w:tc>
          <w:tcPr>
            <w:tcW w:w="11381" w:type="dxa"/>
            <w:gridSpan w:val="2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工程名称:长沙市轨道交通1、2号线运营期车站自动检票机改造工程项目</w:t>
            </w:r>
          </w:p>
        </w:tc>
        <w:tc>
          <w:tcPr>
            <w:tcW w:w="1186" w:type="dxa"/>
            <w:gridSpan w:val="4"/>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012" w:type="dxa"/>
            <w:gridSpan w:val="6"/>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第5页 共7页</w:t>
            </w:r>
          </w:p>
        </w:tc>
      </w:tr>
      <w:tr>
        <w:tblPrEx>
          <w:tblCellMar>
            <w:top w:w="0" w:type="dxa"/>
            <w:left w:w="0" w:type="dxa"/>
            <w:bottom w:w="0" w:type="dxa"/>
            <w:right w:w="0" w:type="dxa"/>
          </w:tblCellMar>
        </w:tblPrEx>
        <w:trPr>
          <w:trHeight w:val="134" w:hRule="atLeast"/>
        </w:trPr>
        <w:tc>
          <w:tcPr>
            <w:tcW w:w="3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2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261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4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61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计量单位</w:t>
            </w:r>
          </w:p>
        </w:tc>
        <w:tc>
          <w:tcPr>
            <w:tcW w:w="73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5438"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trHeight w:val="130" w:hRule="atLeast"/>
        </w:trPr>
        <w:tc>
          <w:tcPr>
            <w:tcW w:w="3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6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综合单价</w:t>
            </w:r>
          </w:p>
        </w:tc>
        <w:tc>
          <w:tcPr>
            <w:tcW w:w="123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198"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trHeight w:val="130" w:hRule="atLeast"/>
        </w:trPr>
        <w:tc>
          <w:tcPr>
            <w:tcW w:w="3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6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附加税费</w:t>
            </w:r>
          </w:p>
        </w:tc>
      </w:tr>
      <w:tr>
        <w:tblPrEx>
          <w:tblCellMar>
            <w:top w:w="0" w:type="dxa"/>
            <w:left w:w="0" w:type="dxa"/>
            <w:bottom w:w="0" w:type="dxa"/>
            <w:right w:w="0" w:type="dxa"/>
          </w:tblCellMar>
        </w:tblPrEx>
        <w:trPr>
          <w:trHeight w:val="25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080807001007</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敷设AFC设备接地线</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1.规格:无卤、低烟、阻燃（B级）、耐火 YJY1*16mm²</w:t>
            </w: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22.2</w:t>
            </w: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14.95</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331.89</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303.47</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27.31</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w:t>
            </w:r>
          </w:p>
        </w:tc>
      </w:tr>
      <w:tr>
        <w:tblPrEx>
          <w:tblCellMar>
            <w:top w:w="0" w:type="dxa"/>
            <w:left w:w="0" w:type="dxa"/>
            <w:bottom w:w="0" w:type="dxa"/>
            <w:right w:w="0" w:type="dxa"/>
          </w:tblCellMar>
        </w:tblPrEx>
        <w:trPr>
          <w:trHeight w:val="25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080807002006</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敷设AFC设备紧急控制线</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1.规格:无卤、低烟、阻燃（B级） 4*0.75mm²</w:t>
            </w: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14.74</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294.80</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269.60</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24.20</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tblPrEx>
          <w:tblCellMar>
            <w:top w:w="0" w:type="dxa"/>
            <w:left w:w="0" w:type="dxa"/>
            <w:bottom w:w="0" w:type="dxa"/>
            <w:right w:w="0" w:type="dxa"/>
          </w:tblCellMar>
        </w:tblPrEx>
        <w:trPr>
          <w:trHeight w:val="164"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080901008003</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采购、安装光纤终端盒</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1.规格:多模、12口</w:t>
            </w: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321.04</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1284.16</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1173.92</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105.64</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4.60</w:t>
            </w:r>
          </w:p>
        </w:tc>
      </w:tr>
      <w:tr>
        <w:tblPrEx>
          <w:tblCellMar>
            <w:top w:w="0" w:type="dxa"/>
            <w:left w:w="0" w:type="dxa"/>
            <w:bottom w:w="0" w:type="dxa"/>
            <w:right w:w="0" w:type="dxa"/>
          </w:tblCellMar>
        </w:tblPrEx>
        <w:trPr>
          <w:trHeight w:val="164"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080601015005</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敷设AFC设备光缆</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1.规格:无卤、低烟、阻燃  多模 6芯</w:t>
            </w: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w:t>
            </w: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6.18</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1279.26</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1169.55</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105.57</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4.14</w:t>
            </w:r>
          </w:p>
        </w:tc>
      </w:tr>
      <w:tr>
        <w:tblPrEx>
          <w:tblCellMar>
            <w:top w:w="0" w:type="dxa"/>
            <w:left w:w="0" w:type="dxa"/>
            <w:bottom w:w="0" w:type="dxa"/>
            <w:right w:w="0" w:type="dxa"/>
          </w:tblCellMar>
        </w:tblPrEx>
        <w:trPr>
          <w:trHeight w:val="164"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080601015006</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敷设AFC设备网线</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1.规格:无卤、低烟、阻燃 超五类、屏蔽</w:t>
            </w: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292</w:t>
            </w: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4.49</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1311.08</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1197.20</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108.04</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5.84</w:t>
            </w:r>
          </w:p>
        </w:tc>
      </w:tr>
      <w:tr>
        <w:tblPrEx>
          <w:tblCellMar>
            <w:top w:w="0" w:type="dxa"/>
            <w:left w:w="0" w:type="dxa"/>
            <w:bottom w:w="0" w:type="dxa"/>
            <w:right w:w="0" w:type="dxa"/>
          </w:tblCellMar>
        </w:tblPrEx>
        <w:trPr>
          <w:trHeight w:val="164"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080601020003</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尾纤</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8"/>
                <w:szCs w:val="18"/>
                <w:u w:val="none"/>
              </w:rPr>
            </w:pP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59.57</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2501.94</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2287.32</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205.80</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8.82</w:t>
            </w:r>
          </w:p>
        </w:tc>
      </w:tr>
      <w:tr>
        <w:tblPrEx>
          <w:tblCellMar>
            <w:top w:w="0" w:type="dxa"/>
            <w:left w:w="0" w:type="dxa"/>
            <w:bottom w:w="0" w:type="dxa"/>
            <w:right w:w="0" w:type="dxa"/>
          </w:tblCellMar>
        </w:tblPrEx>
        <w:trPr>
          <w:trHeight w:val="25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080807011005</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敷设AFC设备线缆保护管</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1.材质:镀锌钢管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2.规格:DN32</w:t>
            </w: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33.23</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398.76</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364.56</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32.76</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1.44</w:t>
            </w:r>
          </w:p>
        </w:tc>
      </w:tr>
      <w:tr>
        <w:tblPrEx>
          <w:tblCellMar>
            <w:top w:w="0" w:type="dxa"/>
            <w:left w:w="0" w:type="dxa"/>
            <w:bottom w:w="0" w:type="dxa"/>
            <w:right w:w="0" w:type="dxa"/>
          </w:tblCellMar>
        </w:tblPrEx>
        <w:trPr>
          <w:trHeight w:val="25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030502003001</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交换机存放盒</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1、定制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2、长500*宽500*高500mm</w:t>
            </w: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518.55</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518.55</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474.03</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42.66</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1.86</w:t>
            </w:r>
          </w:p>
        </w:tc>
      </w:tr>
      <w:tr>
        <w:tblPrEx>
          <w:tblCellMar>
            <w:top w:w="0" w:type="dxa"/>
            <w:left w:w="0" w:type="dxa"/>
            <w:bottom w:w="0" w:type="dxa"/>
            <w:right w:w="0" w:type="dxa"/>
          </w:tblCellMar>
        </w:tblPrEx>
        <w:trPr>
          <w:trHeight w:val="164"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监控设备改造</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8"/>
                <w:szCs w:val="18"/>
                <w:u w:val="none"/>
              </w:rPr>
            </w:pP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color w:val="000000"/>
                <w:sz w:val="18"/>
                <w:szCs w:val="18"/>
                <w:u w:val="none"/>
              </w:rPr>
            </w:pP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color w:val="000000"/>
                <w:sz w:val="18"/>
                <w:szCs w:val="18"/>
                <w:u w:val="none"/>
              </w:rPr>
            </w:pP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right"/>
              <w:rPr>
                <w:rFonts w:hint="eastAsia" w:ascii="宋体" w:hAnsi="宋体" w:eastAsia="宋体" w:cs="宋体"/>
                <w:i w:val="0"/>
                <w:color w:val="000000"/>
                <w:sz w:val="18"/>
                <w:szCs w:val="18"/>
                <w:u w:val="none"/>
              </w:rPr>
            </w:pP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41491.71</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37929.25</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3413.63</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148.83</w:t>
            </w:r>
          </w:p>
        </w:tc>
      </w:tr>
      <w:tr>
        <w:tblPrEx>
          <w:tblCellMar>
            <w:top w:w="0" w:type="dxa"/>
            <w:left w:w="0" w:type="dxa"/>
            <w:bottom w:w="0" w:type="dxa"/>
            <w:right w:w="0" w:type="dxa"/>
          </w:tblCellMar>
        </w:tblPrEx>
        <w:trPr>
          <w:trHeight w:val="25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030507008004</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采购、安装枪型网络摄像机</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1.型号：C1220-10-Fb</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2.含电源适配器,防护罩、定制吊杆</w:t>
            </w: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3674.08</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11022.24</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10075.86</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906.84</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39.54</w:t>
            </w:r>
          </w:p>
        </w:tc>
      </w:tr>
      <w:tr>
        <w:tblPrEx>
          <w:tblCellMar>
            <w:top w:w="0" w:type="dxa"/>
            <w:left w:w="0" w:type="dxa"/>
            <w:bottom w:w="0" w:type="dxa"/>
            <w:right w:w="0" w:type="dxa"/>
          </w:tblCellMar>
        </w:tblPrEx>
        <w:trPr>
          <w:trHeight w:val="25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w:t>
            </w: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030507008005</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采购、安装300万像素固定摄像机镜头</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1.华为配套、富士能</w:t>
            </w: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529.41</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1588.23</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1451.85</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130.68</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5.70</w:t>
            </w:r>
          </w:p>
        </w:tc>
      </w:tr>
      <w:tr>
        <w:tblPrEx>
          <w:tblCellMar>
            <w:top w:w="0" w:type="dxa"/>
            <w:left w:w="0" w:type="dxa"/>
            <w:bottom w:w="0" w:type="dxa"/>
            <w:right w:w="0" w:type="dxa"/>
          </w:tblCellMar>
        </w:tblPrEx>
        <w:trPr>
          <w:trHeight w:val="164"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030507008006</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监控摄像设备移位拆装</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color w:val="000000"/>
                <w:sz w:val="18"/>
                <w:szCs w:val="18"/>
                <w:u w:val="none"/>
              </w:rPr>
            </w:pP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666.98</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2000.94</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1829.16</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164.61</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7.17</w:t>
            </w:r>
          </w:p>
        </w:tc>
      </w:tr>
      <w:tr>
        <w:tblPrEx>
          <w:tblCellMar>
            <w:top w:w="0" w:type="dxa"/>
            <w:left w:w="0" w:type="dxa"/>
            <w:bottom w:w="0" w:type="dxa"/>
            <w:right w:w="0" w:type="dxa"/>
          </w:tblCellMar>
        </w:tblPrEx>
        <w:trPr>
          <w:trHeight w:val="164"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030507009001</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采购、安装光纤收发器</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1.规格型号:DMC-515SC</w:t>
            </w: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434.20</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1302.60</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1190.76</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107.16</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4.68</w:t>
            </w:r>
          </w:p>
        </w:tc>
      </w:tr>
      <w:tr>
        <w:tblPrEx>
          <w:tblCellMar>
            <w:top w:w="0" w:type="dxa"/>
            <w:left w:w="0" w:type="dxa"/>
            <w:bottom w:w="0" w:type="dxa"/>
            <w:right w:w="0" w:type="dxa"/>
          </w:tblCellMar>
        </w:tblPrEx>
        <w:trPr>
          <w:trHeight w:val="250"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030507009003</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采购、安装拾音器（含电源线、音频线）</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规格、型号：JYD-DP200</w:t>
            </w: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475.12</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1425.36</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1302.99</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117.27</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5.10</w:t>
            </w:r>
          </w:p>
        </w:tc>
      </w:tr>
      <w:tr>
        <w:tblPrEx>
          <w:tblCellMar>
            <w:top w:w="0" w:type="dxa"/>
            <w:left w:w="0" w:type="dxa"/>
            <w:bottom w:w="0" w:type="dxa"/>
            <w:right w:w="0" w:type="dxa"/>
          </w:tblCellMar>
        </w:tblPrEx>
        <w:trPr>
          <w:trHeight w:val="167" w:hRule="atLeast"/>
        </w:trPr>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w:t>
            </w:r>
          </w:p>
        </w:tc>
        <w:tc>
          <w:tcPr>
            <w:tcW w:w="13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031101010003</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敷设摄像机电源线</w:t>
            </w:r>
          </w:p>
        </w:tc>
        <w:tc>
          <w:tcPr>
            <w:tcW w:w="34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1.规格:低烟、无卤、阻燃3*2.5mm²</w:t>
            </w:r>
          </w:p>
        </w:tc>
        <w:tc>
          <w:tcPr>
            <w:tcW w:w="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11.54</w:t>
            </w:r>
          </w:p>
        </w:tc>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11540.00</w:t>
            </w:r>
          </w:p>
        </w:tc>
        <w:tc>
          <w:tcPr>
            <w:tcW w:w="118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10550.00</w:t>
            </w:r>
          </w:p>
        </w:tc>
        <w:tc>
          <w:tcPr>
            <w:tcW w:w="105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950.00</w:t>
            </w:r>
          </w:p>
        </w:tc>
        <w:tc>
          <w:tcPr>
            <w:tcW w:w="96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40.00</w:t>
            </w:r>
          </w:p>
        </w:tc>
      </w:tr>
    </w:tbl>
    <w:p/>
    <w:tbl>
      <w:tblPr>
        <w:tblStyle w:val="46"/>
        <w:tblW w:w="14559" w:type="dxa"/>
        <w:tblInd w:w="0" w:type="dxa"/>
        <w:shd w:val="clear" w:color="auto" w:fill="auto"/>
        <w:tblLayout w:type="autofit"/>
        <w:tblCellMar>
          <w:top w:w="0" w:type="dxa"/>
          <w:left w:w="0" w:type="dxa"/>
          <w:bottom w:w="0" w:type="dxa"/>
          <w:right w:w="0" w:type="dxa"/>
        </w:tblCellMar>
      </w:tblPr>
      <w:tblGrid>
        <w:gridCol w:w="388"/>
        <w:gridCol w:w="1318"/>
        <w:gridCol w:w="2608"/>
        <w:gridCol w:w="3462"/>
        <w:gridCol w:w="613"/>
        <w:gridCol w:w="734"/>
        <w:gridCol w:w="1013"/>
        <w:gridCol w:w="1230"/>
        <w:gridCol w:w="1183"/>
        <w:gridCol w:w="1049"/>
        <w:gridCol w:w="961"/>
      </w:tblGrid>
      <w:tr>
        <w:tblPrEx>
          <w:shd w:val="clear" w:color="auto" w:fill="auto"/>
          <w:tblCellMar>
            <w:top w:w="0" w:type="dxa"/>
            <w:left w:w="0" w:type="dxa"/>
            <w:bottom w:w="0" w:type="dxa"/>
            <w:right w:w="0" w:type="dxa"/>
          </w:tblCellMar>
        </w:tblPrEx>
        <w:trPr>
          <w:trHeight w:val="122" w:hRule="atLeast"/>
        </w:trPr>
        <w:tc>
          <w:tcPr>
            <w:tcW w:w="10136"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E.1 单位工程工程量清单与造价表</w:t>
            </w:r>
          </w:p>
        </w:tc>
        <w:tc>
          <w:tcPr>
            <w:tcW w:w="4423"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(招标控制价)</w:t>
            </w:r>
          </w:p>
        </w:tc>
      </w:tr>
      <w:tr>
        <w:tblPrEx>
          <w:tblCellMar>
            <w:top w:w="0" w:type="dxa"/>
            <w:left w:w="0" w:type="dxa"/>
            <w:bottom w:w="0" w:type="dxa"/>
            <w:right w:w="0" w:type="dxa"/>
          </w:tblCellMar>
        </w:tblPrEx>
        <w:trPr>
          <w:trHeight w:val="90" w:hRule="atLeast"/>
        </w:trPr>
        <w:tc>
          <w:tcPr>
            <w:tcW w:w="0" w:type="auto"/>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90" w:hRule="atLeast"/>
        </w:trPr>
        <w:tc>
          <w:tcPr>
            <w:tcW w:w="11366" w:type="dxa"/>
            <w:gridSpan w:val="8"/>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工程名称:长沙市轨道交通1、2号线运营期车站自动检票机改造工程项目</w:t>
            </w:r>
          </w:p>
        </w:tc>
        <w:tc>
          <w:tcPr>
            <w:tcW w:w="1183"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010"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第6页 共7页</w:t>
            </w:r>
          </w:p>
        </w:tc>
      </w:tr>
      <w:tr>
        <w:tblPrEx>
          <w:tblCellMar>
            <w:top w:w="0" w:type="dxa"/>
            <w:left w:w="0" w:type="dxa"/>
            <w:bottom w:w="0" w:type="dxa"/>
            <w:right w:w="0" w:type="dxa"/>
          </w:tblCellMar>
        </w:tblPrEx>
        <w:trPr>
          <w:trHeight w:val="90" w:hRule="atLeast"/>
        </w:trPr>
        <w:tc>
          <w:tcPr>
            <w:tcW w:w="3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26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4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计量单位</w:t>
            </w:r>
          </w:p>
        </w:tc>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543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trHeight w:val="90" w:hRule="atLeast"/>
        </w:trPr>
        <w:tc>
          <w:tcPr>
            <w:tcW w:w="3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2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34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综合单价</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19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trHeight w:val="90" w:hRule="atLeast"/>
        </w:trPr>
        <w:tc>
          <w:tcPr>
            <w:tcW w:w="3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26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34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附加税费</w:t>
            </w:r>
          </w:p>
        </w:tc>
      </w:tr>
      <w:tr>
        <w:tblPrEx>
          <w:tblCellMar>
            <w:top w:w="0" w:type="dxa"/>
            <w:left w:w="0" w:type="dxa"/>
            <w:bottom w:w="0" w:type="dxa"/>
            <w:right w:w="0" w:type="dxa"/>
          </w:tblCellMar>
        </w:tblPrEx>
        <w:trPr>
          <w:trHeight w:val="112" w:hRule="atLeast"/>
        </w:trPr>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031101024001</w:t>
            </w:r>
          </w:p>
        </w:tc>
        <w:tc>
          <w:tcPr>
            <w:tcW w:w="2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敷设摄像机光缆</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1.规格:光缆:单模、4芯；熔纤盒、熔纤盘:8口</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r>
      <w:tr>
        <w:tblPrEx>
          <w:tblCellMar>
            <w:top w:w="0" w:type="dxa"/>
            <w:left w:w="0" w:type="dxa"/>
            <w:bottom w:w="0" w:type="dxa"/>
            <w:right w:w="0" w:type="dxa"/>
          </w:tblCellMar>
        </w:tblPrEx>
        <w:trPr>
          <w:trHeight w:val="90" w:hRule="atLeast"/>
        </w:trPr>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030502005001</w:t>
            </w:r>
          </w:p>
        </w:tc>
        <w:tc>
          <w:tcPr>
            <w:tcW w:w="2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敷设摄像机网线</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1.规格:超五类</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1431.00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w:t>
            </w:r>
          </w:p>
        </w:tc>
      </w:tr>
      <w:tr>
        <w:tblPrEx>
          <w:tblCellMar>
            <w:top w:w="0" w:type="dxa"/>
            <w:left w:w="0" w:type="dxa"/>
            <w:bottom w:w="0" w:type="dxa"/>
            <w:right w:w="0" w:type="dxa"/>
          </w:tblCellMar>
        </w:tblPrEx>
        <w:trPr>
          <w:trHeight w:val="112" w:hRule="atLeast"/>
        </w:trPr>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080807011004</w:t>
            </w:r>
          </w:p>
        </w:tc>
        <w:tc>
          <w:tcPr>
            <w:tcW w:w="2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敷设摄像机线缆保护管</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1.规格:DN20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2.名称:阻燃波纹管</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5529.00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5052.00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21.00</w:t>
            </w:r>
          </w:p>
        </w:tc>
      </w:tr>
      <w:tr>
        <w:tblPrEx>
          <w:tblCellMar>
            <w:top w:w="0" w:type="dxa"/>
            <w:left w:w="0" w:type="dxa"/>
            <w:bottom w:w="0" w:type="dxa"/>
            <w:right w:w="0" w:type="dxa"/>
          </w:tblCellMar>
        </w:tblPrEx>
        <w:trPr>
          <w:trHeight w:val="112" w:hRule="atLeast"/>
        </w:trPr>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030404019002</w:t>
            </w:r>
          </w:p>
        </w:tc>
        <w:tc>
          <w:tcPr>
            <w:tcW w:w="2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采购、安装摄像机带漏电保护断路器</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1.规格型号:2P 16A</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225.81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0.81</w:t>
            </w:r>
          </w:p>
        </w:tc>
      </w:tr>
      <w:tr>
        <w:tblPrEx>
          <w:tblCellMar>
            <w:top w:w="0" w:type="dxa"/>
            <w:left w:w="0" w:type="dxa"/>
            <w:bottom w:w="0" w:type="dxa"/>
            <w:right w:w="0" w:type="dxa"/>
          </w:tblCellMar>
        </w:tblPrEx>
        <w:trPr>
          <w:trHeight w:val="90" w:hRule="atLeast"/>
        </w:trPr>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080601020002</w:t>
            </w:r>
          </w:p>
        </w:tc>
        <w:tc>
          <w:tcPr>
            <w:tcW w:w="2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尾纤</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宋体" w:cs="宋体"/>
                <w:i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459.18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w:t>
            </w:r>
          </w:p>
        </w:tc>
      </w:tr>
      <w:tr>
        <w:tblPrEx>
          <w:tblCellMar>
            <w:top w:w="0" w:type="dxa"/>
            <w:left w:w="0" w:type="dxa"/>
            <w:bottom w:w="0" w:type="dxa"/>
            <w:right w:w="0" w:type="dxa"/>
          </w:tblCellMar>
        </w:tblPrEx>
        <w:trPr>
          <w:trHeight w:val="90" w:hRule="atLeast"/>
        </w:trPr>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w:t>
            </w:r>
          </w:p>
        </w:tc>
        <w:tc>
          <w:tcPr>
            <w:tcW w:w="2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工建设施改造</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宋体" w:cs="宋体"/>
                <w:i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23781.40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21739.53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1956.56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85.31</w:t>
            </w:r>
          </w:p>
        </w:tc>
      </w:tr>
      <w:tr>
        <w:tblPrEx>
          <w:tblCellMar>
            <w:top w:w="0" w:type="dxa"/>
            <w:left w:w="0" w:type="dxa"/>
            <w:bottom w:w="0" w:type="dxa"/>
            <w:right w:w="0" w:type="dxa"/>
          </w:tblCellMar>
        </w:tblPrEx>
        <w:trPr>
          <w:trHeight w:val="165" w:hRule="atLeast"/>
        </w:trPr>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011605001002</w:t>
            </w:r>
          </w:p>
        </w:tc>
        <w:tc>
          <w:tcPr>
            <w:tcW w:w="2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拆除花岗岩地面（含疏散标识拆除、垃圾清运，花岗岩、水泥垫层的垃圾清运考虑松散系数）</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1.拆除原有面层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2.垃圾运出楼面集中堆放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3.人工降效及夜间施工降效</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2789.43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229.52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9.91</w:t>
            </w:r>
          </w:p>
        </w:tc>
      </w:tr>
      <w:tr>
        <w:tblPrEx>
          <w:tblCellMar>
            <w:top w:w="0" w:type="dxa"/>
            <w:left w:w="0" w:type="dxa"/>
            <w:bottom w:w="0" w:type="dxa"/>
            <w:right w:w="0" w:type="dxa"/>
          </w:tblCellMar>
        </w:tblPrEx>
        <w:trPr>
          <w:trHeight w:val="379" w:hRule="atLeast"/>
        </w:trPr>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011102001002</w:t>
            </w:r>
          </w:p>
        </w:tc>
        <w:tc>
          <w:tcPr>
            <w:tcW w:w="2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铺贴花岗岩地面</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1.30mm厚1:3干硬性水泥砂浆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2.800*800*20mm厚中花白青花岗岩,水泥浆擦缝</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3.石材通体保护液</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4.人工降效及夜间施工降效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5.材料二次搬运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6.垃圾运出楼面集中堆放</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223.90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12323.46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11265.59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44.03</w:t>
            </w:r>
          </w:p>
        </w:tc>
      </w:tr>
      <w:tr>
        <w:tblPrEx>
          <w:tblCellMar>
            <w:top w:w="0" w:type="dxa"/>
            <w:left w:w="0" w:type="dxa"/>
            <w:bottom w:w="0" w:type="dxa"/>
            <w:right w:w="0" w:type="dxa"/>
          </w:tblCellMar>
        </w:tblPrEx>
        <w:trPr>
          <w:trHeight w:val="90" w:hRule="atLeast"/>
        </w:trPr>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011609001002</w:t>
            </w:r>
          </w:p>
        </w:tc>
        <w:tc>
          <w:tcPr>
            <w:tcW w:w="2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拆除分区栏杆</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宋体" w:cs="宋体"/>
                <w:i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640.62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585.54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2.34</w:t>
            </w:r>
          </w:p>
        </w:tc>
      </w:tr>
      <w:tr>
        <w:tblPrEx>
          <w:tblCellMar>
            <w:top w:w="0" w:type="dxa"/>
            <w:left w:w="0" w:type="dxa"/>
            <w:bottom w:w="0" w:type="dxa"/>
            <w:right w:w="0" w:type="dxa"/>
          </w:tblCellMar>
        </w:tblPrEx>
        <w:trPr>
          <w:trHeight w:val="219" w:hRule="atLeast"/>
        </w:trPr>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011503001002</w:t>
            </w:r>
          </w:p>
        </w:tc>
        <w:tc>
          <w:tcPr>
            <w:tcW w:w="2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采购、安装分区栏杆</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1、304拉丝不锈钢管Φ60*2.0扶手。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2、6+0.76+6双钢化夹胶玻璃，不锈钢立柱，栏杆高约1100mm。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3、底板，膨胀螺栓固定。</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535.15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8027.25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28.80</w:t>
            </w:r>
          </w:p>
        </w:tc>
      </w:tr>
      <w:tr>
        <w:tblPrEx>
          <w:tblCellMar>
            <w:top w:w="0" w:type="dxa"/>
            <w:left w:w="0" w:type="dxa"/>
            <w:bottom w:w="0" w:type="dxa"/>
            <w:right w:w="0" w:type="dxa"/>
          </w:tblCellMar>
        </w:tblPrEx>
        <w:trPr>
          <w:trHeight w:val="90" w:hRule="atLeast"/>
        </w:trPr>
        <w:tc>
          <w:tcPr>
            <w:tcW w:w="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w:t>
            </w:r>
          </w:p>
        </w:tc>
        <w:tc>
          <w:tcPr>
            <w:tcW w:w="2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零星包干</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宋体" w:cs="宋体"/>
                <w:i w:val="0"/>
                <w:color w:val="000000"/>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3337.94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3051.35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274.62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11.97</w:t>
            </w:r>
          </w:p>
        </w:tc>
      </w:tr>
    </w:tbl>
    <w:p/>
    <w:p>
      <w:pPr>
        <w:pStyle w:val="2"/>
      </w:pPr>
    </w:p>
    <w:tbl>
      <w:tblPr>
        <w:tblStyle w:val="46"/>
        <w:tblW w:w="14565" w:type="dxa"/>
        <w:tblInd w:w="0" w:type="dxa"/>
        <w:shd w:val="clear" w:color="auto" w:fill="auto"/>
        <w:tblLayout w:type="autofit"/>
        <w:tblCellMar>
          <w:top w:w="0" w:type="dxa"/>
          <w:left w:w="0" w:type="dxa"/>
          <w:bottom w:w="0" w:type="dxa"/>
          <w:right w:w="0" w:type="dxa"/>
        </w:tblCellMar>
      </w:tblPr>
      <w:tblGrid>
        <w:gridCol w:w="390"/>
        <w:gridCol w:w="1320"/>
        <w:gridCol w:w="2610"/>
        <w:gridCol w:w="3465"/>
        <w:gridCol w:w="615"/>
        <w:gridCol w:w="735"/>
        <w:gridCol w:w="1005"/>
        <w:gridCol w:w="1230"/>
        <w:gridCol w:w="1185"/>
        <w:gridCol w:w="1050"/>
        <w:gridCol w:w="960"/>
      </w:tblGrid>
      <w:tr>
        <w:tblPrEx>
          <w:shd w:val="clear" w:color="auto" w:fill="auto"/>
          <w:tblCellMar>
            <w:top w:w="0" w:type="dxa"/>
            <w:left w:w="0" w:type="dxa"/>
            <w:bottom w:w="0" w:type="dxa"/>
            <w:right w:w="0" w:type="dxa"/>
          </w:tblCellMar>
        </w:tblPrEx>
        <w:trPr>
          <w:trHeight w:val="615" w:hRule="atLeast"/>
        </w:trPr>
        <w:tc>
          <w:tcPr>
            <w:tcW w:w="10140"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E.1 单位工程工程量清单与造价表</w:t>
            </w:r>
          </w:p>
        </w:tc>
        <w:tc>
          <w:tcPr>
            <w:tcW w:w="4425"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(招标控制价)</w:t>
            </w:r>
          </w:p>
        </w:tc>
      </w:tr>
      <w:tr>
        <w:tblPrEx>
          <w:tblCellMar>
            <w:top w:w="0" w:type="dxa"/>
            <w:left w:w="0" w:type="dxa"/>
            <w:bottom w:w="0" w:type="dxa"/>
            <w:right w:w="0" w:type="dxa"/>
          </w:tblCellMar>
        </w:tblPrEx>
        <w:trPr>
          <w:trHeight w:val="225" w:hRule="atLeast"/>
        </w:trPr>
        <w:tc>
          <w:tcPr>
            <w:tcW w:w="0" w:type="auto"/>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330" w:hRule="atLeast"/>
        </w:trPr>
        <w:tc>
          <w:tcPr>
            <w:tcW w:w="11370" w:type="dxa"/>
            <w:gridSpan w:val="8"/>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工程名称:长沙市轨道交通1、2号线运营期车站自动检票机改造工程项目</w:t>
            </w:r>
          </w:p>
        </w:tc>
        <w:tc>
          <w:tcPr>
            <w:tcW w:w="1185"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010"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第7页 共7页</w:t>
            </w:r>
          </w:p>
        </w:tc>
      </w:tr>
      <w:tr>
        <w:tblPrEx>
          <w:tblCellMar>
            <w:top w:w="0" w:type="dxa"/>
            <w:left w:w="0" w:type="dxa"/>
            <w:bottom w:w="0" w:type="dxa"/>
            <w:right w:w="0" w:type="dxa"/>
          </w:tblCellMar>
        </w:tblPrEx>
        <w:trPr>
          <w:trHeight w:val="255" w:hRule="atLeast"/>
        </w:trPr>
        <w:tc>
          <w:tcPr>
            <w:tcW w:w="3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26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4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计量单位</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543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trHeight w:val="255" w:hRule="atLeast"/>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综合单价</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1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trHeight w:val="255" w:hRule="atLeast"/>
        </w:trPr>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附加税费</w:t>
            </w:r>
          </w:p>
        </w:tc>
      </w:tr>
      <w:tr>
        <w:tblPrEx>
          <w:tblCellMar>
            <w:top w:w="0" w:type="dxa"/>
            <w:left w:w="0" w:type="dxa"/>
            <w:bottom w:w="0" w:type="dxa"/>
            <w:right w:w="0" w:type="dxa"/>
          </w:tblCellMar>
        </w:tblPrEx>
        <w:trPr>
          <w:trHeight w:val="540"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010605001002</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配电箱改造及出线口封口（包干）</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139.65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139.65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127.66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0.50</w:t>
            </w:r>
          </w:p>
        </w:tc>
      </w:tr>
      <w:tr>
        <w:tblPrEx>
          <w:tblCellMar>
            <w:top w:w="0" w:type="dxa"/>
            <w:left w:w="0" w:type="dxa"/>
            <w:bottom w:w="0" w:type="dxa"/>
            <w:right w:w="0" w:type="dxa"/>
          </w:tblCellMar>
        </w:tblPrEx>
        <w:trPr>
          <w:trHeight w:val="510"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011707001003</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施工围挡(包干）</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2503.88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2503.88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2288.90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8.98</w:t>
            </w:r>
          </w:p>
        </w:tc>
      </w:tr>
      <w:tr>
        <w:tblPrEx>
          <w:tblCellMar>
            <w:top w:w="0" w:type="dxa"/>
            <w:left w:w="0" w:type="dxa"/>
            <w:bottom w:w="0" w:type="dxa"/>
            <w:right w:w="0" w:type="dxa"/>
          </w:tblCellMar>
        </w:tblPrEx>
        <w:trPr>
          <w:trHeight w:val="510"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011707007001</w:t>
            </w:r>
          </w:p>
        </w:tc>
        <w:tc>
          <w:tcPr>
            <w:tcW w:w="2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成品保护（包干）</w:t>
            </w:r>
          </w:p>
        </w:tc>
        <w:tc>
          <w:tcPr>
            <w:tcW w:w="3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725.11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725.11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662.85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2.60</w:t>
            </w:r>
          </w:p>
        </w:tc>
      </w:tr>
      <w:tr>
        <w:tblPrEx>
          <w:tblCellMar>
            <w:top w:w="0" w:type="dxa"/>
            <w:left w:w="0" w:type="dxa"/>
            <w:bottom w:w="0" w:type="dxa"/>
            <w:right w:w="0" w:type="dxa"/>
          </w:tblCellMar>
        </w:tblPrEx>
        <w:trPr>
          <w:trHeight w:val="315"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288003.67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263275.78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23694.81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1033.08</w:t>
            </w:r>
          </w:p>
        </w:tc>
      </w:tr>
    </w:tbl>
    <w:p>
      <w:pPr>
        <w:sectPr>
          <w:endnotePr>
            <w:numFmt w:val="decimal"/>
          </w:endnotePr>
          <w:pgSz w:w="16838" w:h="11906" w:orient="landscape"/>
          <w:pgMar w:top="1191" w:right="1191" w:bottom="1417" w:left="1191" w:header="851" w:footer="851" w:gutter="0"/>
          <w:cols w:space="720" w:num="1"/>
          <w:docGrid w:type="lines" w:linePitch="312" w:charSpace="0"/>
        </w:sectPr>
      </w:pPr>
    </w:p>
    <w:tbl>
      <w:tblPr>
        <w:tblStyle w:val="46"/>
        <w:tblW w:w="9855" w:type="dxa"/>
        <w:tblInd w:w="0" w:type="dxa"/>
        <w:shd w:val="clear" w:color="auto" w:fill="auto"/>
        <w:tblLayout w:type="autofit"/>
        <w:tblCellMar>
          <w:top w:w="0" w:type="dxa"/>
          <w:left w:w="0" w:type="dxa"/>
          <w:bottom w:w="0" w:type="dxa"/>
          <w:right w:w="0" w:type="dxa"/>
        </w:tblCellMar>
      </w:tblPr>
      <w:tblGrid>
        <w:gridCol w:w="780"/>
        <w:gridCol w:w="1470"/>
        <w:gridCol w:w="3165"/>
        <w:gridCol w:w="1590"/>
        <w:gridCol w:w="1035"/>
        <w:gridCol w:w="1320"/>
        <w:gridCol w:w="495"/>
      </w:tblGrid>
      <w:tr>
        <w:tblPrEx>
          <w:shd w:val="clear" w:color="auto" w:fill="auto"/>
          <w:tblCellMar>
            <w:top w:w="0" w:type="dxa"/>
            <w:left w:w="0" w:type="dxa"/>
            <w:bottom w:w="0" w:type="dxa"/>
            <w:right w:w="0" w:type="dxa"/>
          </w:tblCellMar>
        </w:tblPrEx>
        <w:trPr>
          <w:trHeight w:val="1185" w:hRule="atLeast"/>
        </w:trPr>
        <w:tc>
          <w:tcPr>
            <w:tcW w:w="9855"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E.7  总价措施项目清单计费表</w:t>
            </w:r>
          </w:p>
        </w:tc>
      </w:tr>
      <w:tr>
        <w:tblPrEx>
          <w:tblCellMar>
            <w:top w:w="0" w:type="dxa"/>
            <w:left w:w="0" w:type="dxa"/>
            <w:bottom w:w="0" w:type="dxa"/>
            <w:right w:w="0" w:type="dxa"/>
          </w:tblCellMar>
        </w:tblPrEx>
        <w:trPr>
          <w:trHeight w:val="405" w:hRule="atLeast"/>
        </w:trPr>
        <w:tc>
          <w:tcPr>
            <w:tcW w:w="7005" w:type="dxa"/>
            <w:gridSpan w:val="4"/>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工程名称：长沙市轨道交通1、2号线运营期车站自动检票机改造工程项目</w:t>
            </w:r>
          </w:p>
        </w:tc>
        <w:tc>
          <w:tcPr>
            <w:tcW w:w="1035"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815"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第1页 共1页</w:t>
            </w:r>
          </w:p>
        </w:tc>
      </w:tr>
      <w:tr>
        <w:tblPrEx>
          <w:tblCellMar>
            <w:top w:w="0" w:type="dxa"/>
            <w:left w:w="0" w:type="dxa"/>
            <w:bottom w:w="0" w:type="dxa"/>
            <w:right w:w="0" w:type="dxa"/>
          </w:tblCellMar>
        </w:tblPrEx>
        <w:trPr>
          <w:trHeight w:val="85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计算基础</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费率(%)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w:t>
            </w:r>
          </w:p>
        </w:tc>
      </w:tr>
      <w:tr>
        <w:tblPrEx>
          <w:tblCellMar>
            <w:top w:w="0" w:type="dxa"/>
            <w:left w:w="0" w:type="dxa"/>
            <w:bottom w:w="0" w:type="dxa"/>
            <w:right w:w="0" w:type="dxa"/>
          </w:tblCellMar>
        </w:tblPrEx>
        <w:trPr>
          <w:trHeight w:val="40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2.3.1</w:t>
            </w:r>
          </w:p>
        </w:tc>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安全文明施工措施费</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6526.03</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9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冬雨季施工增加费</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15"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提前竣工（赶工)费</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w:t>
            </w:r>
          </w:p>
        </w:tc>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长沙市轨道交通1、2号线运营期车站自动检票机改造工程项目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6457.98</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1号线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3228.99</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w:t>
            </w:r>
          </w:p>
        </w:tc>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零星包干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3228.99</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011707001002</w:t>
            </w:r>
          </w:p>
        </w:tc>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施工围挡(包干）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2503.88</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011707007002</w:t>
            </w:r>
          </w:p>
        </w:tc>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成品保护（包干）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725.11</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2号线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3228.99</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w:t>
            </w:r>
          </w:p>
        </w:tc>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零星包干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3228.99</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011707001003</w:t>
            </w:r>
          </w:p>
        </w:tc>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施工围挡(包干）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2503.88</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011707007001</w:t>
            </w:r>
          </w:p>
        </w:tc>
        <w:tc>
          <w:tcPr>
            <w:tcW w:w="3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成品保护（包干）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725.11</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315" w:hRule="atLeast"/>
        </w:trPr>
        <w:tc>
          <w:tcPr>
            <w:tcW w:w="2250" w:type="dxa"/>
            <w:gridSpan w:val="2"/>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0" w:type="auto"/>
            <w:tcBorders>
              <w:top w:val="single" w:color="000000" w:sz="8" w:space="0"/>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2625" w:type="dxa"/>
            <w:gridSpan w:val="2"/>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c>
          <w:tcPr>
            <w:tcW w:w="0" w:type="auto"/>
            <w:gridSpan w:val="2"/>
            <w:tcBorders>
              <w:top w:val="single" w:color="000000" w:sz="8" w:space="0"/>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525" w:hRule="atLeast"/>
        </w:trPr>
        <w:tc>
          <w:tcPr>
            <w:tcW w:w="9855"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注：施工方案计算的措施费，若无“计算基础”和“费率”的数值，也可只填“金额”数值，但应在备注栏说明施工方案出处或计算方法。</w:t>
            </w:r>
          </w:p>
        </w:tc>
      </w:tr>
    </w:tbl>
    <w:p>
      <w:pPr>
        <w:pStyle w:val="2"/>
        <w:sectPr>
          <w:endnotePr>
            <w:numFmt w:val="decimal"/>
          </w:endnotePr>
          <w:pgSz w:w="11906" w:h="16838"/>
          <w:pgMar w:top="1191" w:right="1417" w:bottom="1191" w:left="1191" w:header="851" w:footer="851" w:gutter="0"/>
          <w:cols w:space="720" w:num="1"/>
          <w:docGrid w:type="lines" w:linePitch="312" w:charSpace="0"/>
        </w:sectPr>
      </w:pPr>
    </w:p>
    <w:p>
      <w:pPr>
        <w:pStyle w:val="3"/>
        <w:keepNext w:val="0"/>
        <w:rPr>
          <w:rFonts w:ascii="宋体" w:hAnsi="宋体" w:cs="宋体"/>
          <w:bCs w:val="0"/>
          <w:sz w:val="32"/>
          <w:szCs w:val="32"/>
        </w:rPr>
      </w:pPr>
      <w:r>
        <w:rPr>
          <w:rFonts w:hint="eastAsia" w:ascii="宋体" w:hAnsi="宋体" w:cs="宋体"/>
          <w:bCs w:val="0"/>
          <w:sz w:val="32"/>
          <w:szCs w:val="32"/>
        </w:rPr>
        <w:t>第六章  合同格式条款</w:t>
      </w:r>
      <w:bookmarkEnd w:id="49"/>
      <w:bookmarkEnd w:id="50"/>
      <w:bookmarkEnd w:id="51"/>
      <w:bookmarkEnd w:id="52"/>
      <w:bookmarkEnd w:id="53"/>
    </w:p>
    <w:p>
      <w:pPr>
        <w:pStyle w:val="2"/>
      </w:pPr>
      <w:bookmarkStart w:id="54" w:name="_Toc12762"/>
      <w:bookmarkStart w:id="55" w:name="_Toc29654"/>
      <w:bookmarkStart w:id="56" w:name="_Toc5097"/>
      <w:bookmarkStart w:id="57" w:name="_Toc20891"/>
    </w:p>
    <w:p>
      <w:pPr>
        <w:adjustRightInd w:val="0"/>
        <w:snapToGrid w:val="0"/>
        <w:spacing w:line="360" w:lineRule="auto"/>
        <w:ind w:firstLine="2880" w:firstLineChars="1200"/>
        <w:jc w:val="right"/>
        <w:rPr>
          <w:rFonts w:hint="eastAsia" w:ascii="仿宋" w:hAnsi="仿宋" w:eastAsia="仿宋" w:cs="仿宋"/>
          <w:sz w:val="22"/>
          <w:szCs w:val="18"/>
        </w:rPr>
      </w:pPr>
      <w:r>
        <w:rPr>
          <w:rFonts w:hint="eastAsia" w:ascii="仿宋" w:hAnsi="仿宋" w:eastAsia="仿宋" w:cs="仿宋"/>
          <w:sz w:val="24"/>
        </w:rPr>
        <w:t>合同编号:长轨运</w:t>
      </w:r>
      <w:r>
        <w:rPr>
          <w:rFonts w:hint="eastAsia" w:ascii="仿宋" w:hAnsi="仿宋" w:eastAsia="仿宋" w:cs="仿宋"/>
          <w:sz w:val="24"/>
          <w:u w:val="none"/>
        </w:rPr>
        <w:t xml:space="preserve"> </w:t>
      </w:r>
      <w:r>
        <w:rPr>
          <w:rFonts w:hint="eastAsia" w:ascii="仿宋" w:hAnsi="仿宋" w:eastAsia="仿宋" w:cs="仿宋"/>
          <w:sz w:val="24"/>
          <w:u w:val="none"/>
          <w:lang w:val="en-US" w:eastAsia="zh-CN"/>
        </w:rPr>
        <w:t xml:space="preserve"> </w:t>
      </w:r>
      <w:r>
        <w:rPr>
          <w:rFonts w:hint="eastAsia" w:ascii="仿宋" w:hAnsi="仿宋" w:eastAsia="仿宋" w:cs="仿宋"/>
          <w:sz w:val="24"/>
        </w:rPr>
        <w:t>工合[20</w:t>
      </w:r>
      <w:r>
        <w:rPr>
          <w:rFonts w:hint="eastAsia" w:ascii="仿宋" w:hAnsi="仿宋" w:eastAsia="仿宋" w:cs="仿宋"/>
          <w:sz w:val="24"/>
          <w:lang w:val="en-US" w:eastAsia="zh-CN"/>
        </w:rPr>
        <w:t xml:space="preserve">  </w:t>
      </w:r>
      <w:r>
        <w:rPr>
          <w:rFonts w:hint="eastAsia" w:ascii="仿宋" w:hAnsi="仿宋" w:eastAsia="仿宋" w:cs="仿宋"/>
          <w:sz w:val="24"/>
        </w:rPr>
        <w:t>]</w:t>
      </w:r>
      <w:r>
        <w:rPr>
          <w:rFonts w:hint="eastAsia" w:ascii="仿宋" w:hAnsi="仿宋" w:eastAsia="仿宋" w:cs="仿宋"/>
          <w:sz w:val="24"/>
          <w:u w:val="none"/>
        </w:rPr>
        <w:t xml:space="preserve"> </w:t>
      </w:r>
      <w:r>
        <w:rPr>
          <w:rFonts w:hint="eastAsia" w:ascii="仿宋" w:hAnsi="仿宋" w:eastAsia="仿宋" w:cs="仿宋"/>
          <w:sz w:val="24"/>
          <w:u w:val="none"/>
          <w:lang w:val="en-US" w:eastAsia="zh-CN"/>
        </w:rPr>
        <w:t xml:space="preserve"> </w:t>
      </w:r>
      <w:r>
        <w:rPr>
          <w:rFonts w:hint="eastAsia" w:ascii="仿宋" w:hAnsi="仿宋" w:eastAsia="仿宋" w:cs="仿宋"/>
          <w:sz w:val="24"/>
        </w:rPr>
        <w:t>号</w:t>
      </w: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jc w:val="center"/>
        <w:rPr>
          <w:rFonts w:hint="eastAsia" w:ascii="仿宋" w:hAnsi="仿宋" w:eastAsia="仿宋" w:cs="仿宋"/>
          <w:b/>
          <w:sz w:val="48"/>
          <w:szCs w:val="48"/>
        </w:rPr>
      </w:pPr>
      <w:r>
        <w:rPr>
          <w:rFonts w:hint="eastAsia" w:ascii="仿宋" w:hAnsi="仿宋" w:eastAsia="仿宋" w:cs="仿宋"/>
          <w:b/>
          <w:spacing w:val="20"/>
          <w:sz w:val="52"/>
          <w:szCs w:val="52"/>
        </w:rPr>
        <w:t>工程项目合同</w:t>
      </w:r>
      <w:r>
        <w:rPr>
          <w:rFonts w:hint="eastAsia" w:ascii="仿宋" w:hAnsi="仿宋" w:eastAsia="仿宋" w:cs="仿宋"/>
          <w:b/>
          <w:spacing w:val="20"/>
          <w:sz w:val="48"/>
          <w:szCs w:val="48"/>
        </w:rPr>
        <w:t xml:space="preserve"> </w:t>
      </w:r>
    </w:p>
    <w:p>
      <w:pPr>
        <w:adjustRightInd w:val="0"/>
        <w:snapToGrid w:val="0"/>
        <w:spacing w:line="360" w:lineRule="auto"/>
        <w:ind w:left="0" w:leftChars="0" w:firstLine="421" w:firstLineChars="233"/>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18"/>
          <w:szCs w:val="18"/>
        </w:rPr>
      </w:pPr>
    </w:p>
    <w:p>
      <w:pPr>
        <w:adjustRightInd w:val="0"/>
        <w:snapToGrid w:val="0"/>
        <w:spacing w:line="360" w:lineRule="auto"/>
        <w:ind w:left="0" w:leftChars="0" w:firstLine="421" w:firstLineChars="233"/>
        <w:rPr>
          <w:rFonts w:hint="eastAsia" w:ascii="仿宋" w:hAnsi="仿宋" w:eastAsia="仿宋" w:cs="仿宋"/>
          <w:b/>
          <w:sz w:val="18"/>
          <w:szCs w:val="18"/>
        </w:rPr>
      </w:pPr>
    </w:p>
    <w:p>
      <w:pPr>
        <w:adjustRightInd w:val="0"/>
        <w:snapToGrid w:val="0"/>
        <w:spacing w:line="360" w:lineRule="auto"/>
        <w:ind w:left="0" w:leftChars="0" w:firstLine="421" w:firstLineChars="233"/>
        <w:rPr>
          <w:rFonts w:hint="eastAsia" w:ascii="仿宋" w:hAnsi="仿宋" w:eastAsia="仿宋" w:cs="仿宋"/>
          <w:b/>
          <w:sz w:val="18"/>
          <w:szCs w:val="18"/>
        </w:rPr>
      </w:pPr>
    </w:p>
    <w:p>
      <w:pPr>
        <w:adjustRightInd w:val="0"/>
        <w:snapToGrid w:val="0"/>
        <w:spacing w:line="360" w:lineRule="auto"/>
        <w:ind w:left="0" w:leftChars="0" w:firstLine="655" w:firstLineChars="233"/>
        <w:jc w:val="left"/>
        <w:rPr>
          <w:rFonts w:hint="eastAsia" w:ascii="仿宋" w:hAnsi="仿宋" w:eastAsia="仿宋" w:cs="仿宋"/>
          <w:b/>
          <w:sz w:val="28"/>
          <w:szCs w:val="28"/>
          <w:u w:val="dotted"/>
        </w:rPr>
      </w:pPr>
      <w:r>
        <w:rPr>
          <w:rFonts w:hint="eastAsia" w:ascii="仿宋" w:hAnsi="仿宋" w:eastAsia="仿宋" w:cs="仿宋"/>
          <w:b/>
          <w:sz w:val="28"/>
          <w:szCs w:val="28"/>
        </w:rPr>
        <w:t>项目名称：</w:t>
      </w:r>
      <w:r>
        <w:rPr>
          <w:rFonts w:hint="eastAsia" w:ascii="仿宋" w:hAnsi="仿宋" w:eastAsia="仿宋" w:cs="仿宋"/>
          <w:b/>
          <w:sz w:val="28"/>
          <w:szCs w:val="28"/>
          <w:u w:val="dotted"/>
        </w:rPr>
        <w:t>长沙市轨道交通1、2号线运营期车站自动检票机改造工程项目</w:t>
      </w:r>
    </w:p>
    <w:p>
      <w:pPr>
        <w:adjustRightInd w:val="0"/>
        <w:snapToGrid w:val="0"/>
        <w:spacing w:line="360" w:lineRule="auto"/>
        <w:ind w:left="0" w:leftChars="0" w:firstLine="655" w:firstLineChars="233"/>
        <w:jc w:val="left"/>
        <w:rPr>
          <w:rFonts w:hint="eastAsia" w:ascii="仿宋" w:hAnsi="仿宋" w:eastAsia="仿宋" w:cs="仿宋"/>
          <w:b/>
          <w:sz w:val="28"/>
          <w:szCs w:val="28"/>
        </w:rPr>
      </w:pPr>
    </w:p>
    <w:p>
      <w:pPr>
        <w:adjustRightInd w:val="0"/>
        <w:snapToGrid w:val="0"/>
        <w:spacing w:line="360" w:lineRule="auto"/>
        <w:ind w:left="0" w:leftChars="0" w:firstLine="655" w:firstLineChars="233"/>
        <w:jc w:val="left"/>
        <w:rPr>
          <w:rFonts w:hint="eastAsia" w:ascii="仿宋" w:hAnsi="仿宋" w:eastAsia="仿宋" w:cs="仿宋"/>
          <w:b/>
          <w:sz w:val="28"/>
          <w:szCs w:val="28"/>
        </w:rPr>
      </w:pPr>
    </w:p>
    <w:p>
      <w:pPr>
        <w:pStyle w:val="2"/>
        <w:rPr>
          <w:rFonts w:hint="eastAsia"/>
        </w:rPr>
      </w:pPr>
    </w:p>
    <w:p>
      <w:pPr>
        <w:adjustRightInd w:val="0"/>
        <w:snapToGrid w:val="0"/>
        <w:spacing w:line="360" w:lineRule="auto"/>
        <w:ind w:left="0" w:leftChars="0" w:firstLine="655" w:firstLineChars="233"/>
        <w:jc w:val="left"/>
        <w:rPr>
          <w:rFonts w:hint="eastAsia" w:ascii="仿宋" w:hAnsi="仿宋" w:eastAsia="仿宋" w:cs="仿宋"/>
          <w:b/>
          <w:sz w:val="28"/>
          <w:szCs w:val="28"/>
        </w:rPr>
      </w:pPr>
      <w:r>
        <w:rPr>
          <w:rFonts w:hint="eastAsia" w:ascii="仿宋" w:hAnsi="仿宋" w:eastAsia="仿宋" w:cs="仿宋"/>
          <w:b/>
          <w:sz w:val="28"/>
          <w:szCs w:val="28"/>
        </w:rPr>
        <w:t>工程地点：</w:t>
      </w:r>
      <w:r>
        <w:rPr>
          <w:rFonts w:hint="eastAsia" w:ascii="仿宋" w:hAnsi="仿宋" w:eastAsia="仿宋" w:cs="仿宋"/>
          <w:b/>
          <w:sz w:val="28"/>
          <w:szCs w:val="28"/>
          <w:u w:val="dotted"/>
        </w:rPr>
        <w:t>湖南省长沙市</w:t>
      </w:r>
      <w:r>
        <w:rPr>
          <w:rFonts w:hint="eastAsia" w:ascii="仿宋" w:hAnsi="仿宋" w:eastAsia="仿宋" w:cs="仿宋"/>
          <w:b/>
          <w:sz w:val="28"/>
          <w:szCs w:val="28"/>
        </w:rPr>
        <w:t xml:space="preserve">    </w:t>
      </w:r>
    </w:p>
    <w:p>
      <w:pPr>
        <w:adjustRightInd w:val="0"/>
        <w:snapToGrid w:val="0"/>
        <w:spacing w:line="360" w:lineRule="auto"/>
        <w:ind w:left="0" w:leftChars="0" w:firstLine="655" w:firstLineChars="233"/>
        <w:jc w:val="left"/>
        <w:rPr>
          <w:rFonts w:hint="eastAsia" w:ascii="仿宋" w:hAnsi="仿宋" w:eastAsia="仿宋" w:cs="仿宋"/>
          <w:b/>
          <w:sz w:val="28"/>
          <w:szCs w:val="28"/>
        </w:rPr>
      </w:pPr>
    </w:p>
    <w:p>
      <w:pPr>
        <w:adjustRightInd w:val="0"/>
        <w:snapToGrid w:val="0"/>
        <w:spacing w:line="360" w:lineRule="auto"/>
        <w:jc w:val="left"/>
        <w:rPr>
          <w:rFonts w:hint="eastAsia" w:ascii="仿宋" w:hAnsi="仿宋" w:eastAsia="仿宋" w:cs="仿宋"/>
          <w:b/>
          <w:sz w:val="28"/>
          <w:szCs w:val="28"/>
        </w:rPr>
      </w:pPr>
    </w:p>
    <w:p>
      <w:pPr>
        <w:adjustRightInd w:val="0"/>
        <w:snapToGrid w:val="0"/>
        <w:spacing w:line="360" w:lineRule="auto"/>
        <w:ind w:left="0" w:leftChars="0" w:firstLine="655" w:firstLineChars="233"/>
        <w:jc w:val="left"/>
        <w:rPr>
          <w:rFonts w:hint="eastAsia" w:ascii="仿宋" w:hAnsi="仿宋" w:eastAsia="仿宋" w:cs="仿宋"/>
          <w:b/>
          <w:sz w:val="28"/>
          <w:szCs w:val="28"/>
        </w:rPr>
      </w:pPr>
    </w:p>
    <w:p>
      <w:pPr>
        <w:adjustRightInd w:val="0"/>
        <w:snapToGrid w:val="0"/>
        <w:spacing w:line="360" w:lineRule="auto"/>
        <w:ind w:left="0" w:leftChars="0" w:firstLine="655" w:firstLineChars="233"/>
        <w:jc w:val="left"/>
        <w:rPr>
          <w:rFonts w:hint="eastAsia" w:ascii="仿宋" w:hAnsi="仿宋" w:eastAsia="仿宋" w:cs="仿宋"/>
          <w:b/>
          <w:sz w:val="28"/>
          <w:szCs w:val="28"/>
        </w:rPr>
      </w:pPr>
      <w:r>
        <w:rPr>
          <w:rFonts w:hint="eastAsia" w:ascii="仿宋" w:hAnsi="仿宋" w:eastAsia="仿宋" w:cs="仿宋"/>
          <w:b/>
          <w:sz w:val="28"/>
          <w:szCs w:val="28"/>
        </w:rPr>
        <w:t>甲方：</w:t>
      </w:r>
      <w:r>
        <w:rPr>
          <w:rFonts w:hint="eastAsia" w:ascii="仿宋" w:hAnsi="仿宋" w:eastAsia="仿宋" w:cs="仿宋"/>
          <w:b/>
          <w:sz w:val="28"/>
          <w:szCs w:val="28"/>
          <w:u w:val="dotted"/>
        </w:rPr>
        <w:t xml:space="preserve"> </w:t>
      </w:r>
      <w:r>
        <w:rPr>
          <w:rFonts w:hint="eastAsia" w:ascii="仿宋" w:hAnsi="仿宋" w:eastAsia="仿宋" w:cs="仿宋"/>
          <w:b/>
          <w:sz w:val="28"/>
          <w:szCs w:val="28"/>
          <w:u w:val="dotted"/>
          <w:lang w:val="en-US" w:eastAsia="zh-CN"/>
        </w:rPr>
        <w:t xml:space="preserve">                          </w:t>
      </w:r>
      <w:r>
        <w:rPr>
          <w:rFonts w:hint="eastAsia" w:ascii="仿宋" w:hAnsi="仿宋" w:eastAsia="仿宋" w:cs="仿宋"/>
          <w:b/>
          <w:sz w:val="28"/>
          <w:szCs w:val="28"/>
          <w:u w:val="dotted"/>
        </w:rPr>
        <w:t xml:space="preserve">       </w:t>
      </w:r>
      <w:r>
        <w:rPr>
          <w:rFonts w:hint="eastAsia" w:ascii="仿宋" w:hAnsi="仿宋" w:eastAsia="仿宋" w:cs="仿宋"/>
          <w:b/>
          <w:sz w:val="28"/>
          <w:szCs w:val="28"/>
        </w:rPr>
        <w:t xml:space="preserve">    </w:t>
      </w:r>
    </w:p>
    <w:p>
      <w:pPr>
        <w:adjustRightInd w:val="0"/>
        <w:snapToGrid w:val="0"/>
        <w:spacing w:line="360" w:lineRule="auto"/>
        <w:ind w:left="0" w:leftChars="0" w:firstLine="655" w:firstLineChars="233"/>
        <w:jc w:val="left"/>
        <w:rPr>
          <w:rFonts w:hint="eastAsia" w:ascii="仿宋" w:hAnsi="仿宋" w:eastAsia="仿宋" w:cs="仿宋"/>
          <w:b/>
          <w:sz w:val="28"/>
          <w:szCs w:val="28"/>
        </w:rPr>
      </w:pPr>
      <w:r>
        <w:rPr>
          <w:rFonts w:hint="eastAsia" w:ascii="仿宋" w:hAnsi="仿宋" w:eastAsia="仿宋" w:cs="仿宋"/>
          <w:b/>
          <w:sz w:val="28"/>
          <w:szCs w:val="28"/>
        </w:rPr>
        <w:t xml:space="preserve">  </w:t>
      </w:r>
    </w:p>
    <w:p>
      <w:pPr>
        <w:adjustRightInd w:val="0"/>
        <w:snapToGrid w:val="0"/>
        <w:spacing w:line="360" w:lineRule="auto"/>
        <w:jc w:val="left"/>
        <w:rPr>
          <w:rFonts w:hint="eastAsia" w:ascii="仿宋" w:hAnsi="仿宋" w:eastAsia="仿宋" w:cs="仿宋"/>
          <w:b/>
          <w:sz w:val="28"/>
          <w:szCs w:val="28"/>
        </w:rPr>
      </w:pPr>
    </w:p>
    <w:p>
      <w:pPr>
        <w:adjustRightInd w:val="0"/>
        <w:snapToGrid w:val="0"/>
        <w:spacing w:line="360" w:lineRule="auto"/>
        <w:ind w:left="0" w:leftChars="0" w:firstLine="655" w:firstLineChars="233"/>
        <w:jc w:val="left"/>
        <w:rPr>
          <w:rFonts w:hint="eastAsia" w:ascii="仿宋" w:hAnsi="仿宋" w:eastAsia="仿宋" w:cs="仿宋"/>
          <w:b/>
          <w:sz w:val="28"/>
          <w:szCs w:val="28"/>
        </w:rPr>
      </w:pPr>
      <w:r>
        <w:rPr>
          <w:rFonts w:hint="eastAsia" w:ascii="仿宋" w:hAnsi="仿宋" w:eastAsia="仿宋" w:cs="仿宋"/>
          <w:b/>
          <w:sz w:val="28"/>
          <w:szCs w:val="28"/>
        </w:rPr>
        <w:t xml:space="preserve">     </w:t>
      </w:r>
    </w:p>
    <w:p>
      <w:pPr>
        <w:adjustRightInd w:val="0"/>
        <w:snapToGrid w:val="0"/>
        <w:spacing w:line="360" w:lineRule="auto"/>
        <w:ind w:left="0" w:leftChars="0" w:firstLine="655" w:firstLineChars="233"/>
        <w:jc w:val="left"/>
        <w:rPr>
          <w:rFonts w:hint="eastAsia" w:ascii="仿宋" w:hAnsi="仿宋" w:eastAsia="仿宋" w:cs="仿宋"/>
          <w:b/>
          <w:sz w:val="28"/>
          <w:szCs w:val="28"/>
        </w:rPr>
      </w:pPr>
      <w:r>
        <w:rPr>
          <w:rFonts w:hint="eastAsia" w:ascii="仿宋" w:hAnsi="仿宋" w:eastAsia="仿宋" w:cs="仿宋"/>
          <w:b/>
          <w:sz w:val="28"/>
          <w:szCs w:val="28"/>
        </w:rPr>
        <w:t>乙方：</w:t>
      </w:r>
      <w:r>
        <w:rPr>
          <w:rFonts w:hint="eastAsia" w:ascii="仿宋" w:hAnsi="仿宋" w:eastAsia="仿宋" w:cs="仿宋"/>
          <w:b/>
          <w:sz w:val="28"/>
          <w:szCs w:val="28"/>
          <w:u w:val="dotted"/>
        </w:rPr>
        <w:t xml:space="preserve"> </w:t>
      </w:r>
      <w:r>
        <w:rPr>
          <w:rFonts w:hint="eastAsia" w:ascii="仿宋" w:hAnsi="仿宋" w:eastAsia="仿宋" w:cs="仿宋"/>
          <w:b/>
          <w:sz w:val="28"/>
          <w:szCs w:val="28"/>
          <w:u w:val="dotted"/>
          <w:lang w:val="en-US" w:eastAsia="zh-CN"/>
        </w:rPr>
        <w:t xml:space="preserve">                        </w:t>
      </w:r>
      <w:r>
        <w:rPr>
          <w:rFonts w:hint="eastAsia" w:ascii="仿宋" w:hAnsi="仿宋" w:eastAsia="仿宋" w:cs="仿宋"/>
          <w:b/>
          <w:sz w:val="28"/>
          <w:szCs w:val="28"/>
          <w:u w:val="dotted"/>
        </w:rPr>
        <w:t xml:space="preserve">     </w:t>
      </w:r>
      <w:r>
        <w:rPr>
          <w:rFonts w:hint="eastAsia" w:ascii="仿宋" w:hAnsi="仿宋" w:eastAsia="仿宋" w:cs="仿宋"/>
          <w:b/>
          <w:sz w:val="28"/>
          <w:szCs w:val="28"/>
          <w:u w:val="dotted"/>
          <w:lang w:val="en-US" w:eastAsia="zh-CN"/>
        </w:rPr>
        <w:t xml:space="preserve"> </w:t>
      </w:r>
      <w:r>
        <w:rPr>
          <w:rFonts w:hint="eastAsia" w:ascii="仿宋" w:hAnsi="仿宋" w:eastAsia="仿宋" w:cs="仿宋"/>
          <w:b/>
          <w:sz w:val="28"/>
          <w:szCs w:val="28"/>
          <w:u w:val="dotted"/>
        </w:rPr>
        <w:t xml:space="preserve">   </w:t>
      </w:r>
      <w:r>
        <w:rPr>
          <w:rFonts w:hint="eastAsia" w:ascii="仿宋" w:hAnsi="仿宋" w:eastAsia="仿宋" w:cs="仿宋"/>
          <w:b/>
          <w:sz w:val="28"/>
          <w:szCs w:val="28"/>
        </w:rPr>
        <w:t xml:space="preserve">    </w:t>
      </w:r>
    </w:p>
    <w:p>
      <w:pPr>
        <w:adjustRightInd w:val="0"/>
        <w:snapToGrid w:val="0"/>
        <w:spacing w:line="360" w:lineRule="auto"/>
        <w:ind w:left="0" w:leftChars="0" w:firstLine="655" w:firstLineChars="233"/>
        <w:jc w:val="left"/>
        <w:rPr>
          <w:rFonts w:hint="eastAsia" w:ascii="仿宋" w:hAnsi="仿宋" w:eastAsia="仿宋" w:cs="仿宋"/>
          <w:b/>
          <w:sz w:val="28"/>
          <w:szCs w:val="28"/>
        </w:rPr>
      </w:pPr>
    </w:p>
    <w:p>
      <w:pPr>
        <w:adjustRightInd w:val="0"/>
        <w:snapToGrid w:val="0"/>
        <w:spacing w:line="360" w:lineRule="auto"/>
        <w:ind w:left="0" w:leftChars="0" w:firstLine="421" w:firstLineChars="233"/>
        <w:rPr>
          <w:rFonts w:hint="eastAsia" w:ascii="仿宋" w:hAnsi="仿宋" w:eastAsia="仿宋" w:cs="仿宋"/>
          <w:b/>
          <w:sz w:val="18"/>
          <w:szCs w:val="18"/>
        </w:rPr>
      </w:pPr>
    </w:p>
    <w:p>
      <w:pPr>
        <w:adjustRightInd w:val="0"/>
        <w:snapToGrid w:val="0"/>
        <w:spacing w:line="360" w:lineRule="auto"/>
        <w:rPr>
          <w:rFonts w:hint="eastAsia" w:ascii="仿宋" w:hAnsi="仿宋" w:eastAsia="仿宋" w:cs="仿宋"/>
          <w:b/>
          <w:sz w:val="24"/>
          <w:szCs w:val="24"/>
        </w:rPr>
        <w:sectPr>
          <w:headerReference r:id="rId11" w:type="default"/>
          <w:footerReference r:id="rId12" w:type="default"/>
          <w:endnotePr>
            <w:numFmt w:val="decimal"/>
          </w:endnotePr>
          <w:pgSz w:w="11906" w:h="16838"/>
          <w:pgMar w:top="1440" w:right="1440" w:bottom="1440" w:left="1440" w:header="851" w:footer="851" w:gutter="0"/>
          <w:pgNumType w:fmt="decimal"/>
          <w:cols w:space="720" w:num="1"/>
          <w:docGrid w:type="lines" w:linePitch="312" w:charSpace="0"/>
        </w:sectPr>
      </w:pPr>
    </w:p>
    <w:p>
      <w:pPr>
        <w:keepNext w:val="0"/>
        <w:keepLines w:val="0"/>
        <w:pageBreakBefore w:val="0"/>
        <w:widowControl w:val="0"/>
        <w:numPr>
          <w:ilvl w:val="0"/>
          <w:numId w:val="0"/>
        </w:numPr>
        <w:tabs>
          <w:tab w:val="left" w:pos="2799"/>
        </w:tabs>
        <w:kinsoku/>
        <w:wordWrap/>
        <w:overflowPunct/>
        <w:topLinePunct w:val="0"/>
        <w:autoSpaceDE/>
        <w:autoSpaceDN/>
        <w:bidi w:val="0"/>
        <w:adjustRightInd w:val="0"/>
        <w:snapToGrid w:val="0"/>
        <w:spacing w:line="360" w:lineRule="auto"/>
        <w:ind w:leftChars="0" w:right="0" w:rightChars="0"/>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第一部分 合同协议书</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sz w:val="24"/>
          <w:szCs w:val="24"/>
          <w:u w:val="dotted"/>
        </w:rPr>
      </w:pPr>
      <w:r>
        <w:rPr>
          <w:rFonts w:hint="eastAsia" w:ascii="仿宋_GB2312" w:hAnsi="仿宋_GB2312" w:eastAsia="仿宋_GB2312" w:cs="仿宋_GB2312"/>
          <w:b/>
          <w:sz w:val="24"/>
          <w:szCs w:val="24"/>
          <w:lang w:eastAsia="zh-CN"/>
        </w:rPr>
        <w:t>甲方</w:t>
      </w:r>
      <w:r>
        <w:rPr>
          <w:rFonts w:hint="eastAsia" w:ascii="仿宋_GB2312" w:hAnsi="仿宋_GB2312" w:eastAsia="仿宋_GB2312" w:cs="仿宋_GB2312"/>
          <w:b/>
          <w:sz w:val="24"/>
          <w:szCs w:val="24"/>
        </w:rPr>
        <w:t>（全称）:</w:t>
      </w:r>
      <w:r>
        <w:rPr>
          <w:rFonts w:hint="eastAsia" w:ascii="仿宋_GB2312" w:hAnsi="仿宋_GB2312" w:eastAsia="仿宋_GB2312" w:cs="仿宋_GB2312"/>
          <w:bCs/>
          <w:snapToGrid w:val="0"/>
          <w:kern w:val="0"/>
          <w:sz w:val="24"/>
          <w:szCs w:val="24"/>
          <w:u w:val="single"/>
        </w:rPr>
        <w:t xml:space="preserve"> </w:t>
      </w:r>
      <w:r>
        <w:rPr>
          <w:rFonts w:hint="eastAsia" w:ascii="仿宋_GB2312" w:hAnsi="仿宋_GB2312" w:eastAsia="仿宋_GB2312" w:cs="仿宋_GB2312"/>
          <w:bCs/>
          <w:snapToGrid w:val="0"/>
          <w:kern w:val="0"/>
          <w:sz w:val="24"/>
          <w:szCs w:val="24"/>
          <w:u w:val="single"/>
          <w:lang w:val="en-US" w:eastAsia="zh-CN"/>
        </w:rPr>
        <w:t xml:space="preserve">                    </w:t>
      </w:r>
      <w:r>
        <w:rPr>
          <w:rFonts w:hint="eastAsia" w:ascii="仿宋_GB2312" w:hAnsi="仿宋_GB2312" w:eastAsia="仿宋_GB2312" w:cs="仿宋_GB2312"/>
          <w:bCs/>
          <w:snapToGrid w:val="0"/>
          <w:kern w:val="0"/>
          <w:sz w:val="24"/>
          <w:szCs w:val="24"/>
          <w:u w:val="single"/>
        </w:rPr>
        <w:t xml:space="preserve">  </w:t>
      </w:r>
      <w:r>
        <w:rPr>
          <w:rFonts w:hint="eastAsia" w:ascii="仿宋_GB2312" w:hAnsi="仿宋_GB2312" w:eastAsia="仿宋_GB2312" w:cs="仿宋_GB2312"/>
          <w:bCs/>
          <w:snapToGrid w:val="0"/>
          <w:kern w:val="0"/>
          <w:sz w:val="24"/>
          <w:szCs w:val="24"/>
          <w:u w:val="none"/>
          <w:lang w:eastAsia="zh-CN"/>
        </w:rPr>
        <w:t>（以下简称甲方）</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sz w:val="24"/>
          <w:szCs w:val="24"/>
          <w:u w:val="dotted"/>
        </w:rPr>
      </w:pPr>
      <w:r>
        <w:rPr>
          <w:rFonts w:hint="eastAsia" w:ascii="仿宋_GB2312" w:hAnsi="仿宋_GB2312" w:eastAsia="仿宋_GB2312" w:cs="仿宋_GB2312"/>
          <w:b/>
          <w:sz w:val="24"/>
          <w:szCs w:val="24"/>
          <w:lang w:eastAsia="zh-CN"/>
        </w:rPr>
        <w:t>乙方</w:t>
      </w:r>
      <w:r>
        <w:rPr>
          <w:rFonts w:hint="eastAsia" w:ascii="仿宋_GB2312" w:hAnsi="仿宋_GB2312" w:eastAsia="仿宋_GB2312" w:cs="仿宋_GB2312"/>
          <w:b/>
          <w:sz w:val="24"/>
          <w:szCs w:val="24"/>
        </w:rPr>
        <w:t>（全称）</w:t>
      </w:r>
      <w:r>
        <w:rPr>
          <w:rFonts w:hint="eastAsia" w:ascii="仿宋_GB2312" w:hAnsi="仿宋_GB2312" w:eastAsia="仿宋_GB2312" w:cs="仿宋_GB2312"/>
          <w:bCs/>
          <w:snapToGrid w:val="0"/>
          <w:kern w:val="0"/>
          <w:sz w:val="24"/>
          <w:szCs w:val="24"/>
        </w:rPr>
        <w:t>:</w:t>
      </w:r>
      <w:r>
        <w:rPr>
          <w:rFonts w:hint="eastAsia" w:ascii="仿宋_GB2312" w:hAnsi="仿宋_GB2312" w:eastAsia="仿宋_GB2312" w:cs="仿宋_GB2312"/>
          <w:bCs/>
          <w:snapToGrid w:val="0"/>
          <w:kern w:val="0"/>
          <w:sz w:val="24"/>
          <w:szCs w:val="24"/>
          <w:u w:val="single"/>
        </w:rPr>
        <w:t xml:space="preserve"> </w:t>
      </w:r>
      <w:r>
        <w:rPr>
          <w:rFonts w:hint="eastAsia" w:ascii="仿宋_GB2312" w:hAnsi="仿宋_GB2312" w:eastAsia="仿宋_GB2312" w:cs="仿宋_GB2312"/>
          <w:bCs/>
          <w:snapToGrid w:val="0"/>
          <w:kern w:val="0"/>
          <w:sz w:val="24"/>
          <w:szCs w:val="24"/>
          <w:u w:val="single"/>
          <w:lang w:val="en-US" w:eastAsia="zh-CN"/>
        </w:rPr>
        <w:t xml:space="preserve">                     </w:t>
      </w:r>
      <w:r>
        <w:rPr>
          <w:rFonts w:hint="eastAsia" w:ascii="仿宋_GB2312" w:hAnsi="仿宋_GB2312" w:eastAsia="仿宋_GB2312" w:cs="仿宋_GB2312"/>
          <w:bCs/>
          <w:snapToGrid w:val="0"/>
          <w:kern w:val="0"/>
          <w:sz w:val="24"/>
          <w:szCs w:val="24"/>
          <w:u w:val="single"/>
        </w:rPr>
        <w:t xml:space="preserve"> </w:t>
      </w:r>
      <w:r>
        <w:rPr>
          <w:rFonts w:hint="eastAsia" w:ascii="仿宋_GB2312" w:hAnsi="仿宋_GB2312" w:eastAsia="仿宋_GB2312" w:cs="仿宋_GB2312"/>
          <w:bCs/>
          <w:snapToGrid w:val="0"/>
          <w:kern w:val="0"/>
          <w:sz w:val="24"/>
          <w:szCs w:val="24"/>
          <w:u w:val="none"/>
          <w:lang w:eastAsia="zh-CN"/>
        </w:rPr>
        <w:t>（以下简称乙方）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w:t>
      </w:r>
      <w:r>
        <w:rPr>
          <w:rFonts w:hint="eastAsia" w:ascii="仿宋_GB2312" w:hAnsi="仿宋_GB2312" w:eastAsia="仿宋_GB2312" w:cs="仿宋_GB2312"/>
          <w:sz w:val="24"/>
          <w:szCs w:val="24"/>
          <w:lang w:eastAsia="zh-CN"/>
        </w:rPr>
        <w:t>民</w:t>
      </w:r>
      <w:r>
        <w:rPr>
          <w:rFonts w:hint="eastAsia" w:ascii="仿宋_GB2312" w:hAnsi="仿宋_GB2312" w:eastAsia="仿宋_GB2312" w:cs="仿宋_GB2312"/>
          <w:sz w:val="24"/>
          <w:szCs w:val="24"/>
        </w:rPr>
        <w:t>法</w:t>
      </w:r>
      <w:r>
        <w:rPr>
          <w:rFonts w:hint="eastAsia" w:ascii="仿宋_GB2312" w:hAnsi="仿宋_GB2312" w:eastAsia="仿宋_GB2312" w:cs="仿宋_GB2312"/>
          <w:sz w:val="24"/>
          <w:szCs w:val="24"/>
          <w:lang w:eastAsia="zh-CN"/>
        </w:rPr>
        <w:t>典</w:t>
      </w:r>
      <w:r>
        <w:rPr>
          <w:rFonts w:hint="eastAsia" w:ascii="仿宋_GB2312" w:hAnsi="仿宋_GB2312" w:eastAsia="仿宋_GB2312" w:cs="仿宋_GB2312"/>
          <w:sz w:val="24"/>
          <w:szCs w:val="24"/>
        </w:rPr>
        <w:t>》、《中华人民共和国建筑法》、《中华人民共和国招标投标法》等相关法律法规的规定，遵循平等、自愿、公平和诚实信用的原则，双方就项目工程建设及有关事项协商一致，共同签订本合同。</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1、工程概况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1.1工程名称：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1.2工程地点：</w:t>
      </w:r>
      <w:r>
        <w:rPr>
          <w:rFonts w:hint="eastAsia" w:ascii="仿宋_GB2312" w:hAnsi="仿宋_GB2312" w:eastAsia="仿宋_GB2312" w:cs="仿宋_GB2312"/>
          <w:sz w:val="24"/>
          <w:szCs w:val="24"/>
          <w:u w:val="single"/>
        </w:rPr>
        <w:t>详见用户需求书/技术规格书</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1.3工程内容：</w:t>
      </w:r>
      <w:r>
        <w:rPr>
          <w:rFonts w:hint="eastAsia" w:ascii="仿宋_GB2312" w:hAnsi="仿宋_GB2312" w:eastAsia="仿宋_GB2312" w:cs="仿宋_GB2312"/>
          <w:sz w:val="24"/>
          <w:szCs w:val="24"/>
          <w:u w:val="single"/>
        </w:rPr>
        <w:t xml:space="preserve"> 详见用户需求书/技术规格书</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具体工程内容以施工图纸和工程量清单为准。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1.4工程承包范围：</w:t>
      </w:r>
      <w:bookmarkStart w:id="58" w:name="_Toc414154001"/>
      <w:r>
        <w:rPr>
          <w:rFonts w:hint="eastAsia" w:ascii="仿宋_GB2312" w:hAnsi="仿宋_GB2312" w:eastAsia="仿宋_GB2312" w:cs="仿宋_GB2312"/>
          <w:sz w:val="24"/>
          <w:szCs w:val="24"/>
          <w:u w:val="single"/>
        </w:rPr>
        <w:t>详见用户需求书/技术规格书</w:t>
      </w:r>
      <w:r>
        <w:rPr>
          <w:rFonts w:hint="eastAsia" w:ascii="仿宋_GB2312" w:hAnsi="仿宋_GB2312" w:eastAsia="仿宋_GB2312" w:cs="仿宋_GB2312"/>
          <w:sz w:val="24"/>
          <w:szCs w:val="24"/>
        </w:rPr>
        <w:t>。</w:t>
      </w:r>
    </w:p>
    <w:bookmarkEnd w:id="58"/>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sz w:val="24"/>
          <w:szCs w:val="24"/>
        </w:rPr>
      </w:pPr>
      <w:bookmarkStart w:id="59" w:name="_Toc414154003"/>
      <w:r>
        <w:rPr>
          <w:rFonts w:hint="eastAsia" w:ascii="仿宋_GB2312" w:hAnsi="仿宋_GB2312" w:eastAsia="仿宋_GB2312" w:cs="仿宋_GB2312"/>
          <w:b/>
          <w:bCs/>
          <w:sz w:val="24"/>
          <w:szCs w:val="24"/>
        </w:rPr>
        <w:t>2、合同工期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详见用户需求书/技术规格书</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3、签约合同价与合同形式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3.1签约合同价为：人民币（大写）</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元</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3.2合同</w:t>
      </w:r>
      <w:r>
        <w:rPr>
          <w:rFonts w:hint="eastAsia" w:ascii="仿宋_GB2312" w:hAnsi="仿宋_GB2312" w:eastAsia="仿宋_GB2312" w:cs="仿宋_GB2312"/>
          <w:sz w:val="24"/>
          <w:szCs w:val="24"/>
          <w:lang w:eastAsia="zh-CN"/>
        </w:rPr>
        <w:t>价格方式</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sz w:val="24"/>
          <w:u w:val="none"/>
          <w:lang w:eastAsia="zh-CN"/>
        </w:rPr>
      </w:pPr>
      <w:r>
        <w:rPr>
          <w:rFonts w:hint="eastAsia" w:ascii="仿宋_GB2312" w:hAnsi="仿宋_GB2312" w:eastAsia="仿宋_GB2312" w:cs="仿宋_GB2312"/>
          <w:sz w:val="24"/>
          <w:szCs w:val="24"/>
          <w:u w:val="none"/>
          <w:lang w:eastAsia="zh-CN"/>
        </w:rPr>
        <w:sym w:font="Wingdings" w:char="00FE"/>
      </w:r>
      <w:r>
        <w:rPr>
          <w:rFonts w:hint="eastAsia" w:ascii="仿宋_GB2312" w:hAnsi="仿宋_GB2312" w:eastAsia="仿宋_GB2312" w:cs="仿宋_GB2312"/>
          <w:sz w:val="24"/>
          <w:u w:val="none"/>
          <w:lang w:eastAsia="zh-CN"/>
        </w:rPr>
        <w:t>单价</w:t>
      </w:r>
      <w:r>
        <w:rPr>
          <w:rFonts w:hint="eastAsia" w:ascii="仿宋_GB2312" w:hAnsi="仿宋_GB2312" w:eastAsia="仿宋_GB2312" w:cs="仿宋_GB2312"/>
          <w:sz w:val="24"/>
          <w:u w:val="none"/>
        </w:rPr>
        <w:t>合同</w:t>
      </w:r>
      <w:r>
        <w:rPr>
          <w:rFonts w:hint="eastAsia" w:ascii="仿宋_GB2312" w:hAnsi="仿宋_GB2312" w:eastAsia="仿宋_GB2312" w:cs="仿宋_GB2312"/>
          <w:sz w:val="24"/>
          <w:u w:val="none"/>
          <w:lang w:eastAsia="zh-CN"/>
        </w:rPr>
        <w:t>，合同单</w:t>
      </w:r>
      <w:r>
        <w:rPr>
          <w:rFonts w:hint="eastAsia" w:ascii="仿宋_GB2312" w:hAnsi="仿宋_GB2312" w:eastAsia="仿宋_GB2312" w:cs="仿宋_GB2312"/>
          <w:sz w:val="24"/>
          <w:u w:val="none"/>
        </w:rPr>
        <w:t>价均包括但不限于工程材料费、人工费、运输费、各类规费、保险费及税金、施工过程设备及材料损坏损失、施工事故损失、施工垃圾清理、与本施工有关的运输过程中涉及所有人身、设备安全等与工程有关的一切费用</w:t>
      </w:r>
      <w:r>
        <w:rPr>
          <w:rFonts w:hint="eastAsia" w:ascii="仿宋_GB2312" w:hAnsi="仿宋_GB2312" w:eastAsia="仿宋_GB2312" w:cs="仿宋_GB2312"/>
          <w:sz w:val="24"/>
          <w:u w:val="none"/>
          <w:lang w:val="en-US" w:eastAsia="zh-CN"/>
        </w:rPr>
        <w:t>(水电费除外）</w:t>
      </w:r>
      <w:r>
        <w:rPr>
          <w:rFonts w:hint="eastAsia" w:ascii="仿宋_GB2312" w:hAnsi="仿宋_GB2312" w:eastAsia="仿宋_GB2312" w:cs="仿宋_GB2312"/>
          <w:sz w:val="24"/>
          <w:u w:val="none"/>
        </w:rPr>
        <w:t>。乙方根据工程数量与价格表资料以及相应的经乙方和甲方共同签字确认原始测量验收资料和工程数量计算资料作为结算依据。</w:t>
      </w:r>
      <w:r>
        <w:rPr>
          <w:rFonts w:hint="eastAsia" w:ascii="仿宋_GB2312" w:hAnsi="仿宋_GB2312" w:eastAsia="仿宋_GB2312" w:cs="仿宋_GB2312"/>
          <w:sz w:val="24"/>
          <w:u w:val="none"/>
          <w:lang w:eastAsia="zh-CN"/>
        </w:rPr>
        <w:t>最终结算价格不得超过签约合同价。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u w:val="none"/>
          <w:lang w:eastAsia="zh-CN"/>
        </w:rPr>
        <w:sym w:font="Wingdings" w:char="00A8"/>
      </w:r>
      <w:r>
        <w:rPr>
          <w:rFonts w:hint="eastAsia" w:ascii="仿宋_GB2312" w:hAnsi="仿宋_GB2312" w:eastAsia="仿宋_GB2312" w:cs="仿宋_GB2312"/>
          <w:sz w:val="24"/>
          <w:szCs w:val="24"/>
          <w:u w:val="none"/>
          <w:lang w:eastAsia="zh-CN"/>
        </w:rPr>
        <w:t>总</w:t>
      </w:r>
      <w:r>
        <w:rPr>
          <w:rFonts w:hint="eastAsia" w:ascii="仿宋_GB2312" w:hAnsi="仿宋_GB2312" w:eastAsia="仿宋_GB2312" w:cs="仿宋_GB2312"/>
          <w:sz w:val="24"/>
          <w:u w:val="none"/>
          <w:lang w:eastAsia="zh-CN"/>
        </w:rPr>
        <w:t>价</w:t>
      </w:r>
      <w:r>
        <w:rPr>
          <w:rFonts w:hint="eastAsia" w:ascii="仿宋_GB2312" w:hAnsi="仿宋_GB2312" w:eastAsia="仿宋_GB2312" w:cs="仿宋_GB2312"/>
          <w:sz w:val="24"/>
          <w:u w:val="none"/>
        </w:rPr>
        <w:t>合同</w:t>
      </w:r>
      <w:r>
        <w:rPr>
          <w:rFonts w:hint="eastAsia" w:ascii="仿宋_GB2312" w:hAnsi="仿宋_GB2312" w:eastAsia="仿宋_GB2312" w:cs="仿宋_GB2312"/>
          <w:sz w:val="24"/>
          <w:u w:val="none"/>
          <w:lang w:eastAsia="zh-CN"/>
        </w:rPr>
        <w:t>，合同</w:t>
      </w:r>
      <w:r>
        <w:rPr>
          <w:rFonts w:hint="eastAsia" w:ascii="仿宋_GB2312" w:hAnsi="仿宋_GB2312" w:eastAsia="仿宋_GB2312" w:cs="仿宋_GB2312"/>
          <w:sz w:val="24"/>
          <w:u w:val="none"/>
        </w:rPr>
        <w:t>总价均包括但不限于工程材料费、人工费、运输费、各类规费、保险费及税金、施工过程设备及材料损坏损失、施工事故损失、施工垃圾清理、与本施工有关的运输过程中涉及所有人身、设备安全等与工程有关的一切费用。乙方根据工程数量与价格表资料以及相应的经乙方和甲方共同签字确认原始测量验收资料和工程数量计算资料作为结算依据。</w:t>
      </w:r>
      <w:r>
        <w:rPr>
          <w:rFonts w:hint="eastAsia" w:ascii="仿宋_GB2312" w:hAnsi="仿宋_GB2312" w:eastAsia="仿宋_GB2312" w:cs="仿宋_GB2312"/>
          <w:sz w:val="24"/>
          <w:u w:val="none"/>
          <w:lang w:eastAsia="zh-CN"/>
        </w:rPr>
        <w:t>最终结算价格不得超过签约合同价</w:t>
      </w:r>
      <w:r>
        <w:rPr>
          <w:rFonts w:hint="eastAsia" w:ascii="仿宋_GB2312" w:hAnsi="仿宋_GB2312" w:eastAsia="仿宋_GB2312" w:cs="仿宋_GB2312"/>
          <w:sz w:val="24"/>
          <w:szCs w:val="24"/>
          <w:u w:val="none"/>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4、合同文件</w:t>
      </w:r>
      <w:r>
        <w:rPr>
          <w:rFonts w:hint="eastAsia" w:ascii="仿宋_GB2312" w:hAnsi="仿宋_GB2312" w:eastAsia="仿宋_GB2312" w:cs="仿宋_GB2312"/>
          <w:b/>
          <w:bCs/>
          <w:sz w:val="24"/>
          <w:szCs w:val="24"/>
          <w:lang w:eastAsia="zh-CN"/>
        </w:rPr>
        <w:t>构</w:t>
      </w:r>
      <w:r>
        <w:rPr>
          <w:rFonts w:hint="eastAsia" w:ascii="仿宋_GB2312" w:hAnsi="仿宋_GB2312" w:eastAsia="仿宋_GB2312" w:cs="仿宋_GB2312"/>
          <w:b/>
          <w:bCs/>
          <w:sz w:val="24"/>
          <w:szCs w:val="24"/>
        </w:rPr>
        <w:t>成</w:t>
      </w:r>
    </w:p>
    <w:p>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组成本合同的文件包括：</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（1）补充协议（如果有）；</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（2）合同协议书；</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（3）中选通知书/谈判记录表；</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（4）用户需求书/技术规格书；</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（5）图纸；</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（6）技术标准及要求;</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（7）签约合同价清单；</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（8）合同附件及承包人按合同附录格式及要求出具的文件；</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（9）自主竞争性谈判文件/直接委托谈判文件、澄清与答疑文件及其它补充资料；</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（10）谈判响应文件、澄清文件及其它补充资料；</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（11）其他构成本合同的文件。</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上述各项合同文件包括合同当事人就该项合同文件所作出的补充和修改，属于同一类内容的文件，应以最新签署的为准。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在合同履行过程中形成的与合同有关的文件均构成合同文件组成部分，并根据其性质确定优先解释顺序。</w:t>
      </w:r>
    </w:p>
    <w:p>
      <w:pPr>
        <w:pStyle w:val="34"/>
        <w:keepNext w:val="0"/>
        <w:keepLines w:val="0"/>
        <w:pageBreakBefore w:val="0"/>
        <w:widowControl w:val="0"/>
        <w:kinsoku/>
        <w:wordWrap/>
        <w:overflowPunct/>
        <w:topLinePunct w:val="0"/>
        <w:autoSpaceDE/>
        <w:autoSpaceDN/>
        <w:bidi w:val="0"/>
        <w:adjustRightInd w:val="0"/>
        <w:snapToGrid w:val="0"/>
        <w:spacing w:before="0" w:after="0" w:line="360" w:lineRule="auto"/>
        <w:jc w:val="both"/>
        <w:textAlignment w:val="auto"/>
        <w:rPr>
          <w:rFonts w:hint="eastAsia" w:ascii="仿宋_GB2312" w:hAnsi="仿宋_GB2312" w:eastAsia="仿宋_GB2312" w:cs="仿宋_GB2312"/>
          <w:b w:val="0"/>
          <w:bCs w:val="0"/>
          <w:sz w:val="24"/>
          <w:szCs w:val="24"/>
        </w:rPr>
      </w:pPr>
      <w:bookmarkStart w:id="60" w:name="_Toc414154011"/>
      <w:r>
        <w:rPr>
          <w:rFonts w:hint="eastAsia" w:ascii="仿宋_GB2312" w:hAnsi="仿宋_GB2312" w:eastAsia="仿宋_GB2312" w:cs="仿宋_GB2312"/>
          <w:bCs w:val="0"/>
          <w:kern w:val="2"/>
          <w:sz w:val="24"/>
          <w:szCs w:val="24"/>
          <w:lang w:eastAsia="zh-CN"/>
        </w:rPr>
        <w:t>5</w:t>
      </w:r>
      <w:r>
        <w:rPr>
          <w:rFonts w:hint="eastAsia" w:ascii="仿宋_GB2312" w:hAnsi="仿宋_GB2312" w:eastAsia="仿宋_GB2312" w:cs="仿宋_GB2312"/>
          <w:bCs w:val="0"/>
          <w:kern w:val="2"/>
          <w:sz w:val="24"/>
          <w:szCs w:val="24"/>
        </w:rPr>
        <w:t>、缺陷责任期和</w:t>
      </w:r>
      <w:r>
        <w:rPr>
          <w:rFonts w:hint="eastAsia" w:ascii="仿宋_GB2312" w:hAnsi="仿宋_GB2312" w:eastAsia="仿宋_GB2312" w:cs="仿宋_GB2312"/>
          <w:bCs w:val="0"/>
          <w:kern w:val="2"/>
          <w:sz w:val="24"/>
          <w:szCs w:val="24"/>
          <w:lang w:eastAsia="zh-CN"/>
        </w:rPr>
        <w:t>工程</w:t>
      </w:r>
      <w:r>
        <w:rPr>
          <w:rFonts w:hint="eastAsia" w:ascii="仿宋_GB2312" w:hAnsi="仿宋_GB2312" w:eastAsia="仿宋_GB2312" w:cs="仿宋_GB2312"/>
          <w:bCs w:val="0"/>
          <w:kern w:val="2"/>
          <w:sz w:val="24"/>
          <w:szCs w:val="24"/>
        </w:rPr>
        <w:t>保修</w:t>
      </w:r>
      <w:r>
        <w:rPr>
          <w:rFonts w:hint="eastAsia" w:ascii="仿宋_GB2312" w:hAnsi="仿宋_GB2312" w:eastAsia="仿宋_GB2312" w:cs="仿宋_GB2312"/>
          <w:bCs w:val="0"/>
          <w:kern w:val="2"/>
          <w:sz w:val="24"/>
          <w:szCs w:val="24"/>
          <w:lang w:eastAsia="zh-CN"/>
        </w:rPr>
        <w:t>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kern w:val="2"/>
          <w:sz w:val="24"/>
          <w:szCs w:val="24"/>
          <w:lang w:eastAsia="zh-CN"/>
        </w:rPr>
        <w:t>5.1</w:t>
      </w:r>
      <w:r>
        <w:rPr>
          <w:rFonts w:hint="eastAsia" w:ascii="仿宋_GB2312" w:hAnsi="仿宋_GB2312" w:eastAsia="仿宋_GB2312" w:cs="仿宋_GB2312"/>
          <w:b w:val="0"/>
          <w:bCs w:val="0"/>
          <w:sz w:val="24"/>
          <w:szCs w:val="24"/>
        </w:rPr>
        <w:t>缺陷责任期</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u w:val="single"/>
          <w:lang w:eastAsia="zh-CN"/>
        </w:rPr>
        <w:t>详见用户需求书/技术规格书</w:t>
      </w:r>
      <w:r>
        <w:rPr>
          <w:rFonts w:hint="eastAsia" w:ascii="仿宋_GB2312" w:hAnsi="仿宋_GB2312" w:eastAsia="仿宋_GB2312" w:cs="仿宋_GB2312"/>
          <w:b w:val="0"/>
          <w:bCs w:val="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5.2</w:t>
      </w:r>
      <w:r>
        <w:rPr>
          <w:rFonts w:hint="eastAsia" w:ascii="仿宋_GB2312" w:hAnsi="仿宋_GB2312" w:eastAsia="仿宋_GB2312" w:cs="仿宋_GB2312"/>
          <w:b w:val="0"/>
          <w:bCs w:val="0"/>
          <w:sz w:val="24"/>
          <w:szCs w:val="24"/>
        </w:rPr>
        <w:t>工程保修期</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u w:val="single"/>
          <w:lang w:val="en-US" w:eastAsia="zh-CN"/>
        </w:rPr>
        <w:t>详见用户需求书/技术规格书</w:t>
      </w:r>
      <w:r>
        <w:rPr>
          <w:rFonts w:hint="eastAsia" w:ascii="仿宋_GB2312" w:hAnsi="仿宋_GB2312" w:eastAsia="仿宋_GB2312" w:cs="仿宋_GB2312"/>
          <w:b w:val="0"/>
          <w:bCs w:val="0"/>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5.3在工程移交甲方后，因乙方原因产生的质量缺陷，乙方应承担质量缺陷责任和保修义务。缺陷责任期届满，乙方仍应按合同约定的工程各部位保修年限承担保修义务。</w:t>
      </w:r>
    </w:p>
    <w:bookmarkEnd w:id="60"/>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6、工程质量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6.1 本工程质量标准必须符合现行国家有关工程施工质量验收规范和标准的要求。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应向</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提交工程质量保证体系及措施文件，建立完善的质量检查制度，并提交相应的工程质量文件。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6.3因</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原因造成工程质量未达到合同约定标准的，</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有权要求</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返工直至工程质量达到合同约定的标准为止，并由</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承担由此增加的费用和（或）延误的工期。</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7、材料和工程设备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7.1</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负责采购的材料、工程设备须符合设计和有关标准要求，</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应提供产品合格证明及出厂证明，对材料、工程设备质量负责，并负责妥善保管。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7.2法律规定材料和工程设备使用前必须进行检验或试验的，属于</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自检性质的，</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应单独进行检验和试验；属于</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的抽检性质的，应按配合受委托的检测机构进行检验或试验。检验和试验不合格的不得使用。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8、验收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8.1 </w:t>
      </w:r>
      <w:r>
        <w:rPr>
          <w:rFonts w:hint="eastAsia" w:ascii="仿宋_GB2312" w:hAnsi="仿宋_GB2312" w:eastAsia="仿宋_GB2312" w:cs="仿宋_GB2312"/>
          <w:sz w:val="24"/>
          <w:szCs w:val="24"/>
        </w:rPr>
        <w:t>乙方应确保所完成施工的质量，应符合本合同约定的质量标准。乙方施工完毕，应7天内向甲方提交完工报告，通知甲方验收。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8.2 </w:t>
      </w:r>
      <w:r>
        <w:rPr>
          <w:rFonts w:hint="eastAsia" w:ascii="仿宋_GB2312" w:hAnsi="仿宋_GB2312" w:eastAsia="仿宋_GB2312" w:cs="仿宋_GB2312"/>
          <w:sz w:val="24"/>
          <w:szCs w:val="24"/>
        </w:rPr>
        <w:t>乙方在工程完毕交付验收前提供相关技术资料（包括但不限于系统原理图、安装图纸、产品使用说明书、维护保养手册、竣工图，以甲方实际要求为准）4份，以上技术资料同时提交电子版。竣工资料乙方应根据甲方相关规章制度准备齐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8.3 </w:t>
      </w:r>
      <w:r>
        <w:rPr>
          <w:rFonts w:hint="eastAsia" w:ascii="仿宋_GB2312" w:hAnsi="仿宋_GB2312" w:eastAsia="仿宋_GB2312" w:cs="仿宋_GB2312"/>
          <w:sz w:val="24"/>
          <w:szCs w:val="24"/>
        </w:rPr>
        <w:t>乙方应配合甲方对其工程进行竣工验收，验收时双方现场签认工程量，因乙方原因导致工程验收不合格的，乙方应缴纳按合同总价款5%/次所计的违约金，造成工期延误的，还应按本合同约定承担相应的违约责任。</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sz w:val="24"/>
          <w:szCs w:val="24"/>
        </w:rPr>
        <w:t>9、</w:t>
      </w:r>
      <w:bookmarkStart w:id="61" w:name="_Toc414154013"/>
      <w:r>
        <w:rPr>
          <w:rFonts w:hint="eastAsia" w:ascii="仿宋_GB2312" w:hAnsi="仿宋_GB2312" w:eastAsia="仿宋_GB2312" w:cs="仿宋_GB2312"/>
          <w:b/>
          <w:sz w:val="24"/>
          <w:szCs w:val="24"/>
        </w:rPr>
        <w:t>安全生产与文明施工</w:t>
      </w:r>
      <w:bookmarkEnd w:id="61"/>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9.1</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应按法律规定和合同约定，制定安全生产文明施工管理制度，采取有效的环境保护措施，做好开工前的安全技术交底，办理工伤保险，确保工程及人员、材料、设备和设施的安全。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9.2</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应按有关规定，采取严格的安全防护措施搞好安全施工，并承担安全事故的全部责任及由此而发生的一切费用。发生</w:t>
      </w:r>
      <w:r>
        <w:rPr>
          <w:rFonts w:hint="eastAsia" w:ascii="仿宋_GB2312" w:hAnsi="仿宋_GB2312" w:eastAsia="仿宋_GB2312" w:cs="仿宋_GB2312"/>
          <w:sz w:val="24"/>
          <w:szCs w:val="24"/>
          <w:u w:val="none"/>
          <w:lang w:eastAsia="zh-CN"/>
        </w:rPr>
        <w:t>包括人员伤亡在内的安全</w:t>
      </w:r>
      <w:r>
        <w:rPr>
          <w:rFonts w:hint="eastAsia" w:ascii="仿宋_GB2312" w:hAnsi="仿宋_GB2312" w:eastAsia="仿宋_GB2312" w:cs="仿宋_GB2312"/>
          <w:sz w:val="24"/>
          <w:szCs w:val="24"/>
          <w:lang w:eastAsia="zh-CN"/>
        </w:rPr>
        <w:t>事故</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应按有关规定立即上报有关部门并书面通知</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，同时按政府有关要求处理，发生的费用由</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全部承担。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9.3在施工期间，</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加强治安、保卫工作，项目负责人必须亲自负责治安保卫工作，项目部设立一名专职保卫人员，组建一支素质好、责任心强的内部保卫队伍，负责内部保卫、治安工作、严格做好防火、防盗、防突发性事件、防自然灾害性事故的“四防”工作，加强暂住人口的管理，加强民工队伍的管理，协调好内部纠纷，防止赌博、斗殴，建立民工档案，协助疏导交通，对本施工期间内的案件、重大事故、事件及时制止，并报告</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或当地公安部门。</w:t>
      </w:r>
    </w:p>
    <w:p>
      <w:pPr>
        <w:pStyle w:val="34"/>
        <w:keepNext w:val="0"/>
        <w:keepLines w:val="0"/>
        <w:pageBreakBefore w:val="0"/>
        <w:widowControl w:val="0"/>
        <w:kinsoku/>
        <w:wordWrap/>
        <w:overflowPunct/>
        <w:topLinePunct w:val="0"/>
        <w:autoSpaceDE/>
        <w:autoSpaceDN/>
        <w:bidi w:val="0"/>
        <w:adjustRightInd w:val="0"/>
        <w:snapToGrid w:val="0"/>
        <w:spacing w:before="0" w:after="0" w:line="360" w:lineRule="auto"/>
        <w:jc w:val="both"/>
        <w:textAlignment w:val="auto"/>
        <w:rPr>
          <w:rFonts w:hint="eastAsia" w:ascii="仿宋_GB2312" w:hAnsi="仿宋_GB2312" w:eastAsia="仿宋_GB2312" w:cs="仿宋_GB2312"/>
          <w:bCs w:val="0"/>
          <w:kern w:val="2"/>
          <w:sz w:val="24"/>
          <w:szCs w:val="24"/>
        </w:rPr>
      </w:pPr>
      <w:bookmarkStart w:id="62" w:name="_Toc414154014"/>
      <w:r>
        <w:rPr>
          <w:rFonts w:hint="eastAsia" w:ascii="仿宋_GB2312" w:hAnsi="仿宋_GB2312" w:eastAsia="仿宋_GB2312" w:cs="仿宋_GB2312"/>
          <w:bCs w:val="0"/>
          <w:kern w:val="2"/>
          <w:sz w:val="24"/>
          <w:szCs w:val="24"/>
          <w:lang w:eastAsia="zh-CN"/>
        </w:rPr>
        <w:t>10</w:t>
      </w:r>
      <w:r>
        <w:rPr>
          <w:rFonts w:hint="eastAsia" w:ascii="仿宋_GB2312" w:hAnsi="仿宋_GB2312" w:eastAsia="仿宋_GB2312" w:cs="仿宋_GB2312"/>
          <w:bCs w:val="0"/>
          <w:kern w:val="2"/>
          <w:sz w:val="24"/>
          <w:szCs w:val="24"/>
        </w:rPr>
        <w:t>、</w:t>
      </w:r>
      <w:bookmarkEnd w:id="62"/>
      <w:r>
        <w:rPr>
          <w:rFonts w:hint="eastAsia" w:ascii="仿宋_GB2312" w:hAnsi="仿宋_GB2312" w:eastAsia="仿宋_GB2312" w:cs="仿宋_GB2312"/>
          <w:bCs w:val="0"/>
          <w:kern w:val="2"/>
          <w:sz w:val="24"/>
          <w:szCs w:val="24"/>
        </w:rPr>
        <w:t>变更估价</w:t>
      </w:r>
      <w:r>
        <w:rPr>
          <w:rFonts w:hint="eastAsia" w:ascii="仿宋_GB2312" w:hAnsi="仿宋_GB2312" w:eastAsia="仿宋_GB2312" w:cs="仿宋_GB2312"/>
          <w:bCs w:val="0"/>
          <w:kern w:val="2"/>
          <w:sz w:val="24"/>
          <w:szCs w:val="24"/>
          <w:lang w:eastAsia="zh-CN"/>
        </w:rPr>
        <w:t>与</w:t>
      </w:r>
      <w:r>
        <w:rPr>
          <w:rFonts w:hint="eastAsia" w:ascii="仿宋_GB2312" w:hAnsi="仿宋_GB2312" w:eastAsia="仿宋_GB2312" w:cs="仿宋_GB2312"/>
          <w:bCs w:val="0"/>
          <w:kern w:val="2"/>
          <w:sz w:val="24"/>
          <w:szCs w:val="24"/>
        </w:rPr>
        <w:t>材料调差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rPr>
        <w:t>10.1</w:t>
      </w:r>
      <w:r>
        <w:rPr>
          <w:rFonts w:hint="eastAsia" w:ascii="仿宋_GB2312" w:hAnsi="仿宋_GB2312" w:eastAsia="仿宋_GB2312" w:cs="仿宋_GB2312"/>
          <w:sz w:val="24"/>
          <w:szCs w:val="24"/>
          <w:u w:val="none"/>
        </w:rPr>
        <w:t>变更估价：合同中有相同单价的，采用合同单价；合同中有类似单价的，则参照类似合同单价；合同中无相同或类似单价的，则在变更计价时执行</w:t>
      </w:r>
      <w:r>
        <w:rPr>
          <w:rFonts w:hint="eastAsia" w:ascii="仿宋_GB2312" w:hAnsi="仿宋_GB2312" w:eastAsia="仿宋_GB2312" w:cs="仿宋_GB2312"/>
          <w:sz w:val="24"/>
          <w:szCs w:val="24"/>
          <w:u w:val="none"/>
          <w:lang w:eastAsia="zh-CN"/>
        </w:rPr>
        <w:t>招标控制价采用的</w:t>
      </w:r>
      <w:r>
        <w:rPr>
          <w:rFonts w:hint="eastAsia" w:ascii="仿宋_GB2312" w:hAnsi="仿宋_GB2312" w:eastAsia="仿宋_GB2312" w:cs="仿宋_GB2312"/>
          <w:sz w:val="24"/>
          <w:szCs w:val="24"/>
          <w:u w:val="none"/>
        </w:rPr>
        <w:t>消耗量标准，缺项部分借用其他定额，取费相应执行</w:t>
      </w:r>
      <w:r>
        <w:rPr>
          <w:rFonts w:hint="eastAsia" w:ascii="仿宋_GB2312" w:hAnsi="仿宋_GB2312" w:eastAsia="仿宋_GB2312" w:cs="仿宋_GB2312"/>
          <w:sz w:val="24"/>
          <w:szCs w:val="24"/>
          <w:u w:val="none"/>
          <w:lang w:eastAsia="zh-CN"/>
        </w:rPr>
        <w:t>招标控制价采用</w:t>
      </w:r>
      <w:r>
        <w:rPr>
          <w:rFonts w:hint="eastAsia" w:ascii="仿宋_GB2312" w:hAnsi="仿宋_GB2312" w:eastAsia="仿宋_GB2312" w:cs="仿宋_GB2312"/>
          <w:sz w:val="24"/>
          <w:szCs w:val="24"/>
          <w:u w:val="none"/>
        </w:rPr>
        <w:t xml:space="preserve">的有关规定，并执行合同优惠率 </w:t>
      </w:r>
      <w:r>
        <w:rPr>
          <w:rFonts w:hint="eastAsia" w:ascii="仿宋_GB2312" w:hAnsi="仿宋_GB2312" w:eastAsia="仿宋_GB2312" w:cs="仿宋_GB2312"/>
          <w:sz w:val="24"/>
          <w:szCs w:val="24"/>
          <w:u w:val="none"/>
          <w:lang w:val="en-US" w:eastAsia="zh-CN"/>
        </w:rPr>
        <w:t>(招标控制价-中标总价）/招标控制价×</w:t>
      </w:r>
      <w:r>
        <w:rPr>
          <w:rFonts w:hint="eastAsia" w:ascii="仿宋_GB2312" w:hAnsi="仿宋_GB2312" w:eastAsia="仿宋_GB2312" w:cs="仿宋_GB2312"/>
          <w:sz w:val="24"/>
          <w:szCs w:val="24"/>
          <w:u w:val="none"/>
        </w:rPr>
        <w:t xml:space="preserve"> </w:t>
      </w:r>
      <w:r>
        <w:rPr>
          <w:rFonts w:hint="eastAsia" w:ascii="仿宋_GB2312" w:hAnsi="仿宋_GB2312" w:eastAsia="仿宋_GB2312" w:cs="仿宋_GB2312"/>
          <w:sz w:val="24"/>
          <w:szCs w:val="24"/>
          <w:u w:val="none"/>
          <w:lang w:eastAsia="zh-CN"/>
        </w:rPr>
        <w:t>百分之百</w:t>
      </w:r>
      <w:r>
        <w:rPr>
          <w:rFonts w:hint="eastAsia" w:ascii="仿宋_GB2312" w:hAnsi="仿宋_GB2312" w:eastAsia="仿宋_GB2312" w:cs="仿宋_GB2312"/>
          <w:sz w:val="24"/>
          <w:szCs w:val="24"/>
          <w:u w:val="none"/>
        </w:rPr>
        <w:t xml:space="preserve">，人工工日单价按 </w:t>
      </w:r>
      <w:r>
        <w:rPr>
          <w:rFonts w:hint="eastAsia" w:ascii="仿宋_GB2312" w:hAnsi="仿宋_GB2312" w:eastAsia="仿宋_GB2312" w:cs="仿宋_GB2312"/>
          <w:sz w:val="24"/>
          <w:szCs w:val="24"/>
          <w:u w:val="none"/>
          <w:lang w:eastAsia="zh-CN"/>
        </w:rPr>
        <w:t>招标控制价审定时</w:t>
      </w:r>
      <w:r>
        <w:rPr>
          <w:rFonts w:hint="eastAsia" w:ascii="仿宋_GB2312" w:hAnsi="仿宋_GB2312" w:eastAsia="仿宋_GB2312" w:cs="仿宋_GB2312"/>
          <w:sz w:val="24"/>
          <w:szCs w:val="24"/>
          <w:u w:val="none"/>
        </w:rPr>
        <w:t>的综合人工工资单价计取。</w:t>
      </w:r>
    </w:p>
    <w:p>
      <w:pPr>
        <w:keepNext w:val="0"/>
        <w:keepLines w:val="0"/>
        <w:pageBreakBefore w:val="0"/>
        <w:widowControl w:val="0"/>
        <w:numPr>
          <w:ins w:id="0" w:author="Administrator" w:date="2018-11-30T15:39:00Z"/>
        </w:numPr>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10.2材料调差：已标价工程量清单或预算书中载明的材料、工程设备单价，在合同履行期间无论涨、跌，均不做任何调整。</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11、价款支付</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rPr>
      </w:pPr>
      <w:bookmarkStart w:id="63" w:name="_Toc479247487"/>
      <w:r>
        <w:rPr>
          <w:rFonts w:hint="eastAsia" w:ascii="仿宋_GB2312" w:hAnsi="仿宋_GB2312" w:eastAsia="仿宋_GB2312" w:cs="仿宋_GB2312"/>
          <w:kern w:val="28"/>
          <w:sz w:val="24"/>
          <w:lang w:val="en-US" w:eastAsia="zh-CN"/>
        </w:rPr>
        <w:t>11.1</w:t>
      </w:r>
      <w:r>
        <w:rPr>
          <w:rFonts w:hint="eastAsia" w:ascii="仿宋_GB2312" w:hAnsi="仿宋_GB2312" w:eastAsia="仿宋_GB2312" w:cs="仿宋_GB2312"/>
          <w:kern w:val="28"/>
          <w:sz w:val="24"/>
        </w:rPr>
        <w:t>本</w:t>
      </w:r>
      <w:r>
        <w:rPr>
          <w:rFonts w:hint="eastAsia" w:ascii="仿宋_GB2312" w:hAnsi="仿宋_GB2312" w:eastAsia="仿宋_GB2312" w:cs="仿宋_GB2312"/>
          <w:kern w:val="28"/>
          <w:sz w:val="24"/>
          <w:lang w:eastAsia="zh-CN"/>
        </w:rPr>
        <w:t>工程</w:t>
      </w:r>
      <w:r>
        <w:rPr>
          <w:rFonts w:hint="eastAsia" w:ascii="仿宋_GB2312" w:hAnsi="仿宋_GB2312" w:eastAsia="仿宋_GB2312" w:cs="仿宋_GB2312"/>
          <w:kern w:val="28"/>
          <w:sz w:val="24"/>
        </w:rPr>
        <w:t>无预付款</w:t>
      </w:r>
      <w:bookmarkEnd w:id="63"/>
      <w:bookmarkStart w:id="64" w:name="_Toc479247488"/>
      <w:r>
        <w:rPr>
          <w:rFonts w:hint="eastAsia" w:ascii="仿宋_GB2312" w:hAnsi="仿宋_GB2312" w:eastAsia="仿宋_GB2312" w:cs="仿宋_GB2312"/>
          <w:kern w:val="28"/>
          <w:sz w:val="24"/>
          <w:lang w:eastAsia="zh-CN"/>
        </w:rPr>
        <w:t>，在</w:t>
      </w:r>
      <w:r>
        <w:rPr>
          <w:rFonts w:hint="eastAsia" w:ascii="仿宋_GB2312" w:hAnsi="仿宋_GB2312" w:eastAsia="仿宋_GB2312" w:cs="仿宋_GB2312"/>
          <w:kern w:val="28"/>
          <w:sz w:val="24"/>
        </w:rPr>
        <w:t>工程竣工验收合格移交竣工资料后，支付至</w:t>
      </w:r>
      <w:r>
        <w:rPr>
          <w:rFonts w:hint="eastAsia" w:ascii="仿宋_GB2312" w:hAnsi="仿宋_GB2312" w:eastAsia="仿宋_GB2312" w:cs="仿宋_GB2312"/>
          <w:kern w:val="28"/>
          <w:sz w:val="24"/>
          <w:lang w:eastAsia="zh-CN"/>
        </w:rPr>
        <w:t>实际竣工计量金额</w:t>
      </w:r>
      <w:r>
        <w:rPr>
          <w:rFonts w:hint="eastAsia" w:ascii="仿宋_GB2312" w:hAnsi="仿宋_GB2312" w:eastAsia="仿宋_GB2312" w:cs="仿宋_GB2312"/>
          <w:kern w:val="28"/>
          <w:sz w:val="24"/>
        </w:rPr>
        <w:t>的70%</w:t>
      </w:r>
      <w:r>
        <w:rPr>
          <w:rFonts w:hint="eastAsia" w:ascii="仿宋_GB2312" w:hAnsi="仿宋_GB2312" w:eastAsia="仿宋_GB2312" w:cs="仿宋_GB2312"/>
          <w:kern w:val="28"/>
          <w:sz w:val="24"/>
          <w:lang w:eastAsia="zh-CN"/>
        </w:rPr>
        <w:t>，但支付金额不得超过签约合同价的</w:t>
      </w:r>
      <w:r>
        <w:rPr>
          <w:rFonts w:hint="eastAsia" w:ascii="仿宋_GB2312" w:hAnsi="仿宋_GB2312" w:eastAsia="仿宋_GB2312" w:cs="仿宋_GB2312"/>
          <w:kern w:val="28"/>
          <w:sz w:val="24"/>
          <w:lang w:val="en-US" w:eastAsia="zh-CN"/>
        </w:rPr>
        <w:t>70%</w:t>
      </w:r>
      <w:r>
        <w:rPr>
          <w:rFonts w:hint="eastAsia" w:ascii="仿宋_GB2312" w:hAnsi="仿宋_GB2312" w:eastAsia="仿宋_GB2312" w:cs="仿宋_GB2312"/>
          <w:kern w:val="28"/>
          <w:sz w:val="24"/>
        </w:rPr>
        <w:t>；</w:t>
      </w:r>
      <w:bookmarkEnd w:id="64"/>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rPr>
      </w:pPr>
      <w:bookmarkStart w:id="65" w:name="_Toc479247489"/>
      <w:r>
        <w:rPr>
          <w:rFonts w:hint="eastAsia" w:ascii="仿宋_GB2312" w:hAnsi="仿宋_GB2312" w:eastAsia="仿宋_GB2312" w:cs="仿宋_GB2312"/>
          <w:kern w:val="28"/>
          <w:sz w:val="24"/>
          <w:lang w:val="en-US" w:eastAsia="zh-CN"/>
        </w:rPr>
        <w:t>11.2</w:t>
      </w:r>
      <w:r>
        <w:rPr>
          <w:rFonts w:hint="eastAsia" w:ascii="仿宋_GB2312" w:hAnsi="仿宋_GB2312" w:eastAsia="仿宋_GB2312" w:cs="仿宋_GB2312"/>
          <w:kern w:val="28"/>
          <w:sz w:val="24"/>
          <w:lang w:eastAsia="zh-CN"/>
        </w:rPr>
        <w:t>工程竣工结算</w:t>
      </w:r>
      <w:r>
        <w:rPr>
          <w:rFonts w:hint="eastAsia" w:ascii="仿宋_GB2312" w:hAnsi="仿宋_GB2312" w:eastAsia="仿宋_GB2312" w:cs="仿宋_GB2312"/>
          <w:kern w:val="28"/>
          <w:sz w:val="24"/>
          <w:lang w:val="en-US" w:eastAsia="zh-CN"/>
        </w:rPr>
        <w:t>经甲方审定后，支付至合同价格的</w:t>
      </w:r>
      <w:r>
        <w:rPr>
          <w:rFonts w:hint="eastAsia" w:ascii="仿宋_GB2312" w:hAnsi="仿宋_GB2312" w:eastAsia="仿宋_GB2312" w:cs="仿宋_GB2312"/>
          <w:kern w:val="28"/>
          <w:sz w:val="24"/>
        </w:rPr>
        <w:t>9</w:t>
      </w:r>
      <w:r>
        <w:rPr>
          <w:rFonts w:hint="eastAsia" w:ascii="仿宋_GB2312" w:hAnsi="仿宋_GB2312" w:eastAsia="仿宋_GB2312" w:cs="仿宋_GB2312"/>
          <w:kern w:val="28"/>
          <w:sz w:val="24"/>
          <w:lang w:val="en-US" w:eastAsia="zh-CN"/>
        </w:rPr>
        <w:t>7</w:t>
      </w:r>
      <w:r>
        <w:rPr>
          <w:rFonts w:hint="eastAsia" w:ascii="仿宋_GB2312" w:hAnsi="仿宋_GB2312" w:eastAsia="仿宋_GB2312" w:cs="仿宋_GB2312"/>
          <w:kern w:val="28"/>
          <w:sz w:val="24"/>
        </w:rPr>
        <w:t>%（开具</w:t>
      </w:r>
      <w:r>
        <w:rPr>
          <w:rFonts w:hint="eastAsia" w:ascii="仿宋_GB2312" w:hAnsi="仿宋_GB2312" w:eastAsia="仿宋_GB2312" w:cs="仿宋_GB2312"/>
          <w:kern w:val="28"/>
          <w:sz w:val="24"/>
          <w:lang w:eastAsia="zh-CN"/>
        </w:rPr>
        <w:t>合同价格</w:t>
      </w:r>
      <w:r>
        <w:rPr>
          <w:rFonts w:hint="eastAsia" w:ascii="仿宋_GB2312" w:hAnsi="仿宋_GB2312" w:eastAsia="仿宋_GB2312" w:cs="仿宋_GB2312"/>
          <w:kern w:val="28"/>
          <w:sz w:val="24"/>
        </w:rPr>
        <w:t>100%、合法有效的增值税专用发票原件）</w:t>
      </w:r>
      <w:r>
        <w:rPr>
          <w:rFonts w:hint="eastAsia" w:ascii="仿宋_GB2312" w:hAnsi="仿宋_GB2312" w:eastAsia="仿宋_GB2312" w:cs="仿宋_GB2312"/>
          <w:kern w:val="28"/>
          <w:sz w:val="24"/>
          <w:lang w:eastAsia="zh-CN"/>
        </w:rPr>
        <w:t>，</w:t>
      </w:r>
      <w:r>
        <w:rPr>
          <w:rFonts w:hint="eastAsia" w:ascii="仿宋_GB2312" w:hAnsi="仿宋_GB2312" w:eastAsia="仿宋_GB2312" w:cs="仿宋_GB2312"/>
          <w:kern w:val="28"/>
          <w:sz w:val="24"/>
        </w:rPr>
        <w:t>剩下的</w:t>
      </w:r>
      <w:r>
        <w:rPr>
          <w:rFonts w:hint="eastAsia" w:ascii="仿宋_GB2312" w:hAnsi="仿宋_GB2312" w:eastAsia="仿宋_GB2312" w:cs="仿宋_GB2312"/>
          <w:kern w:val="28"/>
          <w:sz w:val="24"/>
          <w:lang w:val="en-US" w:eastAsia="zh-CN"/>
        </w:rPr>
        <w:t>3</w:t>
      </w:r>
      <w:r>
        <w:rPr>
          <w:rFonts w:hint="eastAsia" w:ascii="仿宋_GB2312" w:hAnsi="仿宋_GB2312" w:eastAsia="仿宋_GB2312" w:cs="仿宋_GB2312"/>
          <w:kern w:val="28"/>
          <w:sz w:val="24"/>
        </w:rPr>
        <w:t>%作为工程质量保证金，在已办理结算的前提下，保修期满后如无任何质量问题</w:t>
      </w:r>
      <w:r>
        <w:rPr>
          <w:rFonts w:hint="eastAsia" w:ascii="仿宋_GB2312" w:hAnsi="仿宋_GB2312" w:eastAsia="仿宋_GB2312" w:cs="仿宋_GB2312"/>
          <w:kern w:val="28"/>
          <w:sz w:val="24"/>
          <w:lang w:eastAsia="zh-CN"/>
        </w:rPr>
        <w:t>甲方</w:t>
      </w:r>
      <w:r>
        <w:rPr>
          <w:rFonts w:hint="eastAsia" w:ascii="仿宋_GB2312" w:hAnsi="仿宋_GB2312" w:eastAsia="仿宋_GB2312" w:cs="仿宋_GB2312"/>
          <w:kern w:val="28"/>
          <w:sz w:val="24"/>
        </w:rPr>
        <w:t>一次性无息付清；</w:t>
      </w:r>
      <w:bookmarkEnd w:id="65"/>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rPr>
      </w:pPr>
      <w:bookmarkStart w:id="66" w:name="_Toc479247490"/>
      <w:r>
        <w:rPr>
          <w:rFonts w:hint="eastAsia" w:ascii="仿宋_GB2312" w:hAnsi="仿宋_GB2312" w:eastAsia="仿宋_GB2312" w:cs="仿宋_GB2312"/>
          <w:kern w:val="28"/>
          <w:sz w:val="24"/>
          <w:lang w:val="en-US" w:eastAsia="zh-CN"/>
        </w:rPr>
        <w:t>11.3本合同以人民币结算，并采用银行转账方式支付</w:t>
      </w:r>
      <w:r>
        <w:rPr>
          <w:rFonts w:hint="eastAsia" w:ascii="仿宋_GB2312" w:hAnsi="仿宋_GB2312" w:eastAsia="仿宋_GB2312" w:cs="仿宋_GB2312"/>
          <w:kern w:val="28"/>
          <w:sz w:val="24"/>
        </w:rPr>
        <w:t>。</w:t>
      </w:r>
      <w:bookmarkEnd w:id="66"/>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rPr>
      </w:pPr>
      <w:bookmarkStart w:id="67" w:name="_Toc479247491"/>
      <w:r>
        <w:rPr>
          <w:rFonts w:hint="eastAsia" w:ascii="仿宋_GB2312" w:hAnsi="仿宋_GB2312" w:eastAsia="仿宋_GB2312" w:cs="仿宋_GB2312"/>
          <w:kern w:val="28"/>
          <w:sz w:val="24"/>
          <w:lang w:val="en-US" w:eastAsia="zh-CN"/>
        </w:rPr>
        <w:t>11.4</w:t>
      </w:r>
      <w:r>
        <w:rPr>
          <w:rFonts w:hint="eastAsia" w:ascii="仿宋_GB2312" w:hAnsi="仿宋_GB2312" w:eastAsia="仿宋_GB2312" w:cs="仿宋_GB2312"/>
          <w:kern w:val="28"/>
          <w:sz w:val="24"/>
        </w:rPr>
        <w:t>所有支付均在收到乙方提供的以下资料后支付：</w:t>
      </w:r>
      <w:bookmarkEnd w:id="67"/>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rPr>
      </w:pPr>
      <w:bookmarkStart w:id="68" w:name="_Toc479247492"/>
      <w:r>
        <w:rPr>
          <w:rFonts w:hint="eastAsia" w:ascii="仿宋_GB2312" w:hAnsi="仿宋_GB2312" w:eastAsia="仿宋_GB2312" w:cs="仿宋_GB2312"/>
          <w:kern w:val="28"/>
          <w:sz w:val="24"/>
          <w:lang w:eastAsia="zh-CN"/>
        </w:rPr>
        <w:t>（</w:t>
      </w:r>
      <w:r>
        <w:rPr>
          <w:rFonts w:hint="eastAsia" w:ascii="仿宋_GB2312" w:hAnsi="仿宋_GB2312" w:eastAsia="仿宋_GB2312" w:cs="仿宋_GB2312"/>
          <w:kern w:val="28"/>
          <w:sz w:val="24"/>
          <w:lang w:val="en-US" w:eastAsia="zh-CN"/>
        </w:rPr>
        <w:t>1</w:t>
      </w:r>
      <w:r>
        <w:rPr>
          <w:rFonts w:hint="eastAsia" w:ascii="仿宋_GB2312" w:hAnsi="仿宋_GB2312" w:eastAsia="仿宋_GB2312" w:cs="仿宋_GB2312"/>
          <w:kern w:val="28"/>
          <w:sz w:val="24"/>
          <w:lang w:eastAsia="zh-CN"/>
        </w:rPr>
        <w:t>）</w:t>
      </w:r>
      <w:r>
        <w:rPr>
          <w:rFonts w:hint="eastAsia" w:ascii="仿宋_GB2312" w:hAnsi="仿宋_GB2312" w:eastAsia="仿宋_GB2312" w:cs="仿宋_GB2312"/>
          <w:kern w:val="28"/>
          <w:sz w:val="24"/>
        </w:rPr>
        <w:t>经甲方审批同意的支付申请和相关资料；</w:t>
      </w:r>
      <w:bookmarkEnd w:id="68"/>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rPr>
      </w:pPr>
      <w:bookmarkStart w:id="69" w:name="_Toc479247493"/>
      <w:r>
        <w:rPr>
          <w:rFonts w:hint="eastAsia" w:ascii="仿宋_GB2312" w:hAnsi="仿宋_GB2312" w:eastAsia="仿宋_GB2312" w:cs="仿宋_GB2312"/>
          <w:kern w:val="28"/>
          <w:sz w:val="24"/>
          <w:lang w:eastAsia="zh-CN"/>
        </w:rPr>
        <w:t>（</w:t>
      </w:r>
      <w:r>
        <w:rPr>
          <w:rFonts w:hint="eastAsia" w:ascii="仿宋_GB2312" w:hAnsi="仿宋_GB2312" w:eastAsia="仿宋_GB2312" w:cs="仿宋_GB2312"/>
          <w:kern w:val="28"/>
          <w:sz w:val="24"/>
          <w:lang w:val="en-US" w:eastAsia="zh-CN"/>
        </w:rPr>
        <w:t>2</w:t>
      </w:r>
      <w:r>
        <w:rPr>
          <w:rFonts w:hint="eastAsia" w:ascii="仿宋_GB2312" w:hAnsi="仿宋_GB2312" w:eastAsia="仿宋_GB2312" w:cs="仿宋_GB2312"/>
          <w:kern w:val="28"/>
          <w:sz w:val="24"/>
          <w:lang w:eastAsia="zh-CN"/>
        </w:rPr>
        <w:t>）</w:t>
      </w:r>
      <w:r>
        <w:rPr>
          <w:rFonts w:hint="eastAsia" w:ascii="仿宋_GB2312" w:hAnsi="仿宋_GB2312" w:eastAsia="仿宋_GB2312" w:cs="仿宋_GB2312"/>
          <w:kern w:val="28"/>
          <w:sz w:val="24"/>
        </w:rPr>
        <w:t>相应的税务发票原件；</w:t>
      </w:r>
      <w:bookmarkEnd w:id="69"/>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rPr>
      </w:pPr>
      <w:bookmarkStart w:id="70" w:name="_Toc479247494"/>
      <w:r>
        <w:rPr>
          <w:rFonts w:hint="eastAsia" w:ascii="仿宋_GB2312" w:hAnsi="仿宋_GB2312" w:eastAsia="仿宋_GB2312" w:cs="仿宋_GB2312"/>
          <w:kern w:val="28"/>
          <w:sz w:val="24"/>
          <w:lang w:eastAsia="zh-CN"/>
        </w:rPr>
        <w:t>（</w:t>
      </w:r>
      <w:r>
        <w:rPr>
          <w:rFonts w:hint="eastAsia" w:ascii="仿宋_GB2312" w:hAnsi="仿宋_GB2312" w:eastAsia="仿宋_GB2312" w:cs="仿宋_GB2312"/>
          <w:kern w:val="28"/>
          <w:sz w:val="24"/>
          <w:lang w:val="en-US" w:eastAsia="zh-CN"/>
        </w:rPr>
        <w:t>3</w:t>
      </w:r>
      <w:r>
        <w:rPr>
          <w:rFonts w:hint="eastAsia" w:ascii="仿宋_GB2312" w:hAnsi="仿宋_GB2312" w:eastAsia="仿宋_GB2312" w:cs="仿宋_GB2312"/>
          <w:kern w:val="28"/>
          <w:sz w:val="24"/>
          <w:lang w:eastAsia="zh-CN"/>
        </w:rPr>
        <w:t>）</w:t>
      </w:r>
      <w:r>
        <w:rPr>
          <w:rFonts w:hint="eastAsia" w:ascii="仿宋_GB2312" w:hAnsi="仿宋_GB2312" w:eastAsia="仿宋_GB2312" w:cs="仿宋_GB2312"/>
          <w:kern w:val="28"/>
          <w:sz w:val="24"/>
        </w:rPr>
        <w:t>本合同约定的其他结算资料。</w:t>
      </w:r>
      <w:bookmarkEnd w:id="70"/>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rPr>
      </w:pPr>
      <w:r>
        <w:rPr>
          <w:rFonts w:hint="eastAsia" w:ascii="仿宋_GB2312" w:hAnsi="仿宋_GB2312" w:eastAsia="仿宋_GB2312" w:cs="仿宋_GB2312"/>
          <w:kern w:val="28"/>
          <w:sz w:val="24"/>
        </w:rPr>
        <w:t>乙方未按约定提供上述材料的，甲方有权不予支付本合同约定价款，且不构成违约。</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rPr>
      </w:pPr>
      <w:r>
        <w:rPr>
          <w:rFonts w:hint="eastAsia" w:ascii="仿宋_GB2312" w:hAnsi="仿宋_GB2312" w:eastAsia="仿宋_GB2312" w:cs="仿宋_GB2312"/>
          <w:kern w:val="28"/>
          <w:sz w:val="24"/>
        </w:rPr>
        <w:t>由于乙方提供的发票不符合税务部门的要求，从而给甲方造成的经济损失，由乙方承担全部赔偿责任。乙方开具的发票在送达甲方后如发生丢失、灭失、或被盗等，乙方有义务配合甲方按规定、要求在税法规定期限内办理有关的进项税额的认证抵扣手续。</w:t>
      </w:r>
    </w:p>
    <w:p>
      <w:pPr>
        <w:pStyle w:val="34"/>
        <w:keepNext w:val="0"/>
        <w:keepLines w:val="0"/>
        <w:pageBreakBefore w:val="0"/>
        <w:widowControl w:val="0"/>
        <w:kinsoku/>
        <w:wordWrap/>
        <w:overflowPunct/>
        <w:topLinePunct w:val="0"/>
        <w:autoSpaceDE/>
        <w:autoSpaceDN/>
        <w:bidi w:val="0"/>
        <w:adjustRightInd w:val="0"/>
        <w:snapToGrid w:val="0"/>
        <w:spacing w:before="0" w:after="0" w:line="360" w:lineRule="auto"/>
        <w:jc w:val="both"/>
        <w:textAlignment w:val="auto"/>
        <w:rPr>
          <w:rFonts w:hint="eastAsia" w:ascii="仿宋_GB2312" w:hAnsi="仿宋_GB2312" w:eastAsia="仿宋_GB2312" w:cs="仿宋_GB2312"/>
          <w:sz w:val="24"/>
          <w:szCs w:val="24"/>
        </w:rPr>
      </w:pPr>
      <w:bookmarkStart w:id="71" w:name="_Toc414154016"/>
      <w:r>
        <w:rPr>
          <w:rFonts w:hint="eastAsia" w:ascii="仿宋_GB2312" w:hAnsi="仿宋_GB2312" w:eastAsia="仿宋_GB2312" w:cs="仿宋_GB2312"/>
          <w:bCs w:val="0"/>
          <w:kern w:val="2"/>
          <w:sz w:val="24"/>
          <w:szCs w:val="24"/>
          <w:lang w:eastAsia="zh-CN"/>
        </w:rPr>
        <w:t>12</w:t>
      </w:r>
      <w:r>
        <w:rPr>
          <w:rFonts w:hint="eastAsia" w:ascii="仿宋_GB2312" w:hAnsi="仿宋_GB2312" w:eastAsia="仿宋_GB2312" w:cs="仿宋_GB2312"/>
          <w:bCs w:val="0"/>
          <w:kern w:val="2"/>
          <w:sz w:val="24"/>
          <w:szCs w:val="24"/>
        </w:rPr>
        <w:t>、违约</w:t>
      </w:r>
      <w:bookmarkEnd w:id="71"/>
      <w:r>
        <w:rPr>
          <w:rFonts w:hint="eastAsia" w:ascii="仿宋_GB2312" w:hAnsi="仿宋_GB2312" w:eastAsia="仿宋_GB2312" w:cs="仿宋_GB2312"/>
          <w:bCs w:val="0"/>
          <w:kern w:val="2"/>
          <w:sz w:val="24"/>
          <w:szCs w:val="24"/>
        </w:rPr>
        <w:t>责任</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olor w:val="auto"/>
          <w:sz w:val="24"/>
          <w:highlight w:val="none"/>
        </w:rPr>
      </w:pPr>
      <w:r>
        <w:rPr>
          <w:rFonts w:hint="eastAsia" w:ascii="仿宋_GB2312" w:hAnsi="仿宋_GB2312" w:eastAsia="仿宋_GB2312" w:cs="仿宋_GB2312"/>
          <w:sz w:val="24"/>
          <w:szCs w:val="24"/>
        </w:rPr>
        <w:t>12.1</w:t>
      </w:r>
      <w:r>
        <w:rPr>
          <w:rFonts w:hint="eastAsia" w:ascii="仿宋_GB2312" w:hAnsi="仿宋_GB2312" w:eastAsia="仿宋_GB2312"/>
          <w:color w:val="auto"/>
          <w:sz w:val="24"/>
          <w:highlight w:val="none"/>
          <w:lang w:eastAsia="zh-CN"/>
        </w:rPr>
        <w:t>乙方</w:t>
      </w:r>
      <w:r>
        <w:rPr>
          <w:rFonts w:hint="eastAsia" w:ascii="仿宋_GB2312" w:hAnsi="仿宋_GB2312" w:eastAsia="仿宋_GB2312"/>
          <w:strike w:val="0"/>
          <w:dstrike w:val="0"/>
          <w:color w:val="auto"/>
          <w:sz w:val="24"/>
          <w:highlight w:val="none"/>
        </w:rPr>
        <w:t>因自身</w:t>
      </w:r>
      <w:r>
        <w:rPr>
          <w:rFonts w:hint="eastAsia" w:ascii="仿宋_GB2312" w:hAnsi="仿宋_GB2312" w:eastAsia="仿宋_GB2312" w:cs="仿宋_GB2312"/>
          <w:kern w:val="28"/>
          <w:sz w:val="24"/>
          <w:lang w:val="en-US" w:eastAsia="zh-CN"/>
        </w:rPr>
        <w:t>原因</w:t>
      </w:r>
      <w:r>
        <w:rPr>
          <w:rFonts w:hint="eastAsia" w:ascii="仿宋_GB2312" w:hAnsi="仿宋_GB2312" w:eastAsia="仿宋_GB2312"/>
          <w:color w:val="auto"/>
          <w:sz w:val="24"/>
          <w:highlight w:val="none"/>
        </w:rPr>
        <w:t>未能按合同要求完成工程施工的，每延误一天应向</w:t>
      </w:r>
      <w:r>
        <w:rPr>
          <w:rFonts w:hint="eastAsia" w:ascii="仿宋_GB2312" w:hAnsi="仿宋_GB2312" w:eastAsia="仿宋_GB2312"/>
          <w:color w:val="auto"/>
          <w:sz w:val="24"/>
          <w:highlight w:val="none"/>
          <w:lang w:eastAsia="zh-CN"/>
        </w:rPr>
        <w:t>甲方</w:t>
      </w:r>
      <w:r>
        <w:rPr>
          <w:rFonts w:hint="eastAsia" w:ascii="仿宋_GB2312" w:hAnsi="仿宋_GB2312" w:eastAsia="仿宋_GB2312"/>
          <w:color w:val="auto"/>
          <w:sz w:val="24"/>
          <w:highlight w:val="none"/>
        </w:rPr>
        <w:t>交纳500元的违约金。</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lang w:val="en-US" w:eastAsia="zh-CN"/>
        </w:rPr>
        <w:t>12.2</w:t>
      </w:r>
      <w:r>
        <w:rPr>
          <w:rFonts w:hint="eastAsia" w:ascii="仿宋_GB2312" w:hAnsi="仿宋_GB2312" w:eastAsia="仿宋_GB2312"/>
          <w:color w:val="auto"/>
          <w:sz w:val="24"/>
          <w:highlight w:val="none"/>
          <w:lang w:eastAsia="zh-CN"/>
        </w:rPr>
        <w:t>乙方</w:t>
      </w:r>
      <w:r>
        <w:rPr>
          <w:rFonts w:hint="eastAsia" w:ascii="仿宋_GB2312" w:hAnsi="仿宋_GB2312" w:eastAsia="仿宋_GB2312"/>
          <w:color w:val="auto"/>
          <w:sz w:val="24"/>
          <w:highlight w:val="none"/>
        </w:rPr>
        <w:t>违反合同约定采购和使用不合格的材料和工程设备，每查实一次应按2000元/次向</w:t>
      </w:r>
      <w:r>
        <w:rPr>
          <w:rFonts w:hint="eastAsia" w:ascii="仿宋_GB2312" w:hAnsi="仿宋_GB2312" w:eastAsia="仿宋_GB2312"/>
          <w:color w:val="auto"/>
          <w:sz w:val="24"/>
          <w:highlight w:val="none"/>
          <w:lang w:eastAsia="zh-CN"/>
        </w:rPr>
        <w:t>甲方</w:t>
      </w:r>
      <w:r>
        <w:rPr>
          <w:rFonts w:hint="eastAsia" w:ascii="仿宋_GB2312" w:hAnsi="仿宋_GB2312" w:eastAsia="仿宋_GB2312"/>
          <w:color w:val="auto"/>
          <w:sz w:val="24"/>
          <w:highlight w:val="none"/>
        </w:rPr>
        <w:t>交纳违约金，并负责更换合格的材料和工程设备直至</w:t>
      </w:r>
      <w:r>
        <w:rPr>
          <w:rFonts w:hint="eastAsia" w:ascii="仿宋_GB2312" w:hAnsi="仿宋_GB2312" w:eastAsia="仿宋_GB2312"/>
          <w:color w:val="auto"/>
          <w:sz w:val="24"/>
          <w:highlight w:val="none"/>
          <w:lang w:eastAsia="zh-CN"/>
        </w:rPr>
        <w:t>甲方</w:t>
      </w:r>
      <w:r>
        <w:rPr>
          <w:rFonts w:hint="eastAsia" w:ascii="仿宋_GB2312" w:hAnsi="仿宋_GB2312" w:eastAsia="仿宋_GB2312"/>
          <w:color w:val="auto"/>
          <w:sz w:val="24"/>
          <w:highlight w:val="none"/>
        </w:rPr>
        <w:t>满意为止，由此产生的相关费</w:t>
      </w:r>
      <w:r>
        <w:rPr>
          <w:rFonts w:hint="eastAsia" w:ascii="仿宋_GB2312" w:hAnsi="仿宋_GB2312" w:eastAsia="仿宋_GB2312"/>
          <w:color w:val="auto"/>
          <w:sz w:val="24"/>
          <w:highlight w:val="none"/>
          <w:u w:val="none"/>
        </w:rPr>
        <w:t>用</w:t>
      </w:r>
      <w:r>
        <w:rPr>
          <w:rFonts w:hint="eastAsia" w:ascii="仿宋_GB2312" w:hAnsi="仿宋_GB2312" w:eastAsia="仿宋_GB2312"/>
          <w:color w:val="auto"/>
          <w:sz w:val="24"/>
          <w:highlight w:val="none"/>
          <w:u w:val="none"/>
          <w:lang w:eastAsia="zh-CN"/>
        </w:rPr>
        <w:t>和造成的工程延误责任</w:t>
      </w:r>
      <w:r>
        <w:rPr>
          <w:rFonts w:hint="eastAsia" w:ascii="仿宋_GB2312" w:hAnsi="仿宋_GB2312" w:eastAsia="仿宋_GB2312"/>
          <w:color w:val="auto"/>
          <w:sz w:val="24"/>
          <w:highlight w:val="none"/>
          <w:u w:val="none"/>
        </w:rPr>
        <w:t>由</w:t>
      </w:r>
      <w:r>
        <w:rPr>
          <w:rFonts w:hint="eastAsia" w:ascii="仿宋_GB2312" w:hAnsi="仿宋_GB2312" w:eastAsia="仿宋_GB2312"/>
          <w:color w:val="auto"/>
          <w:sz w:val="24"/>
          <w:highlight w:val="none"/>
          <w:u w:val="none"/>
          <w:lang w:eastAsia="zh-CN"/>
        </w:rPr>
        <w:t>乙方</w:t>
      </w:r>
      <w:r>
        <w:rPr>
          <w:rFonts w:hint="eastAsia" w:ascii="仿宋_GB2312" w:hAnsi="仿宋_GB2312" w:eastAsia="仿宋_GB2312"/>
          <w:color w:val="auto"/>
          <w:sz w:val="24"/>
          <w:highlight w:val="none"/>
          <w:u w:val="none"/>
        </w:rPr>
        <w:t>承</w:t>
      </w:r>
      <w:r>
        <w:rPr>
          <w:rFonts w:hint="eastAsia" w:ascii="仿宋_GB2312" w:hAnsi="仿宋_GB2312" w:eastAsia="仿宋_GB2312"/>
          <w:color w:val="auto"/>
          <w:sz w:val="24"/>
          <w:highlight w:val="none"/>
        </w:rPr>
        <w:t>担。</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lang w:val="en-US" w:eastAsia="zh-CN"/>
        </w:rPr>
        <w:t>12.3</w:t>
      </w:r>
      <w:r>
        <w:rPr>
          <w:rFonts w:hint="eastAsia" w:ascii="仿宋_GB2312" w:hAnsi="仿宋_GB2312" w:eastAsia="仿宋_GB2312"/>
          <w:color w:val="auto"/>
          <w:sz w:val="24"/>
          <w:highlight w:val="none"/>
        </w:rPr>
        <w:t>在施工过程中，</w:t>
      </w:r>
      <w:r>
        <w:rPr>
          <w:rFonts w:hint="eastAsia" w:ascii="仿宋_GB2312" w:hAnsi="仿宋_GB2312" w:eastAsia="仿宋_GB2312" w:cs="仿宋_GB2312"/>
          <w:kern w:val="28"/>
          <w:sz w:val="24"/>
          <w:lang w:val="en-US" w:eastAsia="zh-CN"/>
        </w:rPr>
        <w:t>乙方</w:t>
      </w:r>
      <w:r>
        <w:rPr>
          <w:rFonts w:hint="eastAsia" w:ascii="仿宋_GB2312" w:hAnsi="仿宋_GB2312" w:eastAsia="仿宋_GB2312"/>
          <w:color w:val="auto"/>
          <w:sz w:val="24"/>
          <w:highlight w:val="none"/>
        </w:rPr>
        <w:t>存在质量安全隐患及不文明行为情况，且未根据相关部门要求及时整改的，</w:t>
      </w:r>
      <w:r>
        <w:rPr>
          <w:rFonts w:hint="eastAsia" w:ascii="仿宋_GB2312" w:hAnsi="仿宋_GB2312" w:eastAsia="仿宋_GB2312"/>
          <w:color w:val="auto"/>
          <w:sz w:val="24"/>
          <w:highlight w:val="none"/>
          <w:lang w:eastAsia="zh-CN"/>
        </w:rPr>
        <w:t>乙方</w:t>
      </w:r>
      <w:r>
        <w:rPr>
          <w:rFonts w:hint="eastAsia" w:ascii="仿宋_GB2312" w:hAnsi="仿宋_GB2312" w:eastAsia="仿宋_GB2312"/>
          <w:color w:val="auto"/>
          <w:sz w:val="24"/>
          <w:highlight w:val="none"/>
        </w:rPr>
        <w:t>应向</w:t>
      </w:r>
      <w:r>
        <w:rPr>
          <w:rFonts w:hint="eastAsia" w:ascii="仿宋_GB2312" w:hAnsi="仿宋_GB2312" w:eastAsia="仿宋_GB2312"/>
          <w:color w:val="auto"/>
          <w:sz w:val="24"/>
          <w:highlight w:val="none"/>
          <w:lang w:eastAsia="zh-CN"/>
        </w:rPr>
        <w:t>甲方</w:t>
      </w:r>
      <w:r>
        <w:rPr>
          <w:rFonts w:hint="eastAsia" w:ascii="仿宋_GB2312" w:hAnsi="仿宋_GB2312" w:eastAsia="仿宋_GB2312"/>
          <w:color w:val="auto"/>
          <w:sz w:val="24"/>
          <w:highlight w:val="none"/>
        </w:rPr>
        <w:t>交纳2000元/次·处的违约金，</w:t>
      </w:r>
      <w:r>
        <w:rPr>
          <w:rFonts w:hint="eastAsia" w:ascii="仿宋_GB2312" w:hAnsi="仿宋_GB2312" w:eastAsia="仿宋_GB2312"/>
          <w:color w:val="auto"/>
          <w:sz w:val="24"/>
          <w:highlight w:val="none"/>
          <w:lang w:eastAsia="zh-CN"/>
        </w:rPr>
        <w:t>且甲方有权对乙方予以</w:t>
      </w:r>
      <w:r>
        <w:rPr>
          <w:rFonts w:hint="eastAsia" w:ascii="仿宋_GB2312" w:hAnsi="仿宋_GB2312" w:eastAsia="仿宋_GB2312"/>
          <w:color w:val="auto"/>
          <w:sz w:val="24"/>
          <w:highlight w:val="none"/>
        </w:rPr>
        <w:t>通报批评。</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default" w:eastAsia="仿宋_GB2312"/>
          <w:lang w:val="en-US" w:eastAsia="zh-CN"/>
        </w:rPr>
      </w:pPr>
      <w:r>
        <w:rPr>
          <w:rFonts w:hint="eastAsia" w:ascii="仿宋_GB2312" w:hAnsi="仿宋_GB2312" w:eastAsia="仿宋_GB2312"/>
          <w:color w:val="auto"/>
          <w:sz w:val="24"/>
          <w:highlight w:val="none"/>
          <w:lang w:val="en-US" w:eastAsia="zh-CN"/>
        </w:rPr>
        <w:t>12.4乙方</w:t>
      </w:r>
      <w:r>
        <w:rPr>
          <w:rFonts w:hint="eastAsia" w:ascii="仿宋_GB2312" w:hAnsi="仿宋_GB2312" w:eastAsia="仿宋_GB2312"/>
          <w:color w:val="auto"/>
          <w:sz w:val="24"/>
          <w:highlight w:val="none"/>
        </w:rPr>
        <w:t>在施工过程中，发生一般等级及以上质量安全责任事故的，按照国家相关规定调查处理，由</w:t>
      </w:r>
      <w:r>
        <w:rPr>
          <w:rFonts w:hint="eastAsia" w:ascii="仿宋_GB2312" w:hAnsi="仿宋_GB2312" w:eastAsia="仿宋_GB2312"/>
          <w:color w:val="auto"/>
          <w:sz w:val="24"/>
          <w:highlight w:val="none"/>
          <w:lang w:eastAsia="zh-CN"/>
        </w:rPr>
        <w:t>乙方</w:t>
      </w:r>
      <w:r>
        <w:rPr>
          <w:rFonts w:hint="eastAsia" w:ascii="仿宋_GB2312" w:hAnsi="仿宋_GB2312" w:eastAsia="仿宋_GB2312"/>
          <w:color w:val="auto"/>
          <w:sz w:val="24"/>
          <w:highlight w:val="none"/>
        </w:rPr>
        <w:t>承担相应的责任和损失，</w:t>
      </w:r>
      <w:r>
        <w:rPr>
          <w:rFonts w:hint="eastAsia" w:ascii="仿宋_GB2312" w:hAnsi="仿宋_GB2312" w:eastAsia="仿宋_GB2312"/>
          <w:color w:val="auto"/>
          <w:sz w:val="24"/>
          <w:highlight w:val="none"/>
          <w:lang w:eastAsia="zh-CN"/>
        </w:rPr>
        <w:t>乙方</w:t>
      </w:r>
      <w:r>
        <w:rPr>
          <w:rFonts w:hint="eastAsia" w:ascii="仿宋_GB2312" w:hAnsi="仿宋_GB2312" w:eastAsia="仿宋_GB2312"/>
          <w:color w:val="auto"/>
          <w:sz w:val="24"/>
          <w:highlight w:val="none"/>
        </w:rPr>
        <w:t>应向</w:t>
      </w:r>
      <w:r>
        <w:rPr>
          <w:rFonts w:hint="eastAsia" w:ascii="仿宋_GB2312" w:hAnsi="仿宋_GB2312" w:eastAsia="仿宋_GB2312"/>
          <w:color w:val="auto"/>
          <w:sz w:val="24"/>
          <w:highlight w:val="none"/>
          <w:lang w:eastAsia="zh-CN"/>
        </w:rPr>
        <w:t>甲方</w:t>
      </w:r>
      <w:r>
        <w:rPr>
          <w:rFonts w:hint="eastAsia" w:ascii="仿宋_GB2312" w:hAnsi="仿宋_GB2312" w:eastAsia="仿宋_GB2312"/>
          <w:color w:val="auto"/>
          <w:sz w:val="24"/>
          <w:highlight w:val="none"/>
        </w:rPr>
        <w:t>交纳1万元</w:t>
      </w:r>
      <w:r>
        <w:rPr>
          <w:rFonts w:hint="eastAsia" w:ascii="仿宋_GB2312" w:hAnsi="仿宋_GB2312" w:eastAsia="仿宋_GB2312"/>
          <w:color w:val="auto"/>
          <w:sz w:val="24"/>
          <w:highlight w:val="none"/>
          <w:lang w:val="en-US" w:eastAsia="zh-CN"/>
        </w:rPr>
        <w:t>/次</w:t>
      </w:r>
      <w:r>
        <w:rPr>
          <w:rFonts w:hint="eastAsia" w:ascii="仿宋_GB2312" w:hAnsi="仿宋_GB2312" w:eastAsia="仿宋_GB2312"/>
          <w:color w:val="auto"/>
          <w:sz w:val="24"/>
          <w:highlight w:val="none"/>
        </w:rPr>
        <w:t>的违约金。</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13、</w:t>
      </w:r>
      <w:r>
        <w:rPr>
          <w:rFonts w:hint="eastAsia" w:ascii="仿宋_GB2312" w:hAnsi="仿宋_GB2312" w:eastAsia="仿宋_GB2312" w:cs="仿宋_GB2312"/>
          <w:b/>
          <w:bCs/>
          <w:sz w:val="24"/>
          <w:szCs w:val="24"/>
          <w:lang w:eastAsia="zh-CN"/>
        </w:rPr>
        <w:t>甲方</w:t>
      </w:r>
      <w:r>
        <w:rPr>
          <w:rFonts w:hint="eastAsia" w:ascii="仿宋_GB2312" w:hAnsi="仿宋_GB2312" w:eastAsia="仿宋_GB2312" w:cs="仿宋_GB2312"/>
          <w:b/>
          <w:bCs/>
          <w:sz w:val="24"/>
          <w:szCs w:val="24"/>
        </w:rPr>
        <w:t>的权利义务</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13.1</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应遵守法律，并办理法律规定由</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办理的许可、批准或备案，并协助</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办理法律规定的应由</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办理的有关施工证件和批件。</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应书面通知</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其派驻施工现场的</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代表的姓名、职务、联系方式及授权范围等事项。</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代表在</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的授权范围内，负责处理合同履行过程中与</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有关的具体事宜。</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应最迟于开工日期 7 天前向</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移交施工现场。</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应在移交施工现场前向</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应按合同约定向</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及时支付合同价款，并组织竣工验收。</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为保证工程质量、安全、进度和为规范市场行为、资金支付等下发的工程管理规定作为本合同的组成部分，</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承诺在合同履约期间严格遵守；否则，</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有权采取经济措施、勒令撤换人员、调整工程内容等以确保相关要求的落实。因</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不遵照</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下发的工程管理规定给</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造成的损失，由</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承担。</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合同履约过程中，</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出现以下违约行为的，</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有权单方解除合同：</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进行转包或违法分包的。</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的违约行为产生的违约金累计达到签约合同价的10%的。</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14、</w:t>
      </w:r>
      <w:r>
        <w:rPr>
          <w:rFonts w:hint="eastAsia" w:ascii="仿宋_GB2312" w:hAnsi="仿宋_GB2312" w:eastAsia="仿宋_GB2312" w:cs="仿宋_GB2312"/>
          <w:b/>
          <w:bCs/>
          <w:sz w:val="24"/>
          <w:szCs w:val="24"/>
          <w:lang w:eastAsia="zh-CN"/>
        </w:rPr>
        <w:t>乙方</w:t>
      </w:r>
      <w:r>
        <w:rPr>
          <w:rFonts w:hint="eastAsia" w:ascii="仿宋_GB2312" w:hAnsi="仿宋_GB2312" w:eastAsia="仿宋_GB2312" w:cs="仿宋_GB2312"/>
          <w:b/>
          <w:bCs/>
          <w:sz w:val="24"/>
          <w:szCs w:val="24"/>
        </w:rPr>
        <w:t>的权利义务</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14.1</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应按照法律规定及合同约定组织完成工程施工，确保工程质量和安全，不进行转包及违法分包。</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14.2</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应办理法律规定由</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办理的许可和批准，并将办理结果书面报送</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留存。</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14.3</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应按合同约定的工作内容和施工进度要求，编制施工组织设计和施工措施计划，并对所有施工作业和施工方法的完备性和安全可靠性负责。</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14.4</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应将</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按合同约定支付的各项价款专用于合同工程，且应及时支付其雇用人员工资，确保民工工资及时足额发放，并及时向分包人支付合同价款。</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14.5</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在进行合同约定的各项工作时，不得侵害</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与他人使用公用道路、水源、市政管网等公共设施的权利，避免对邻近的公共设施产生干扰。</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占用或使用他人的施工场地，影响他人作业或生活的，应承担相应责任。</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14.6</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应按照法律规定和合同约定编制竣工资料，完成竣工资料立卷及归档，并向</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提交用于存档的不少于</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套竣工资料，相关费用已含在签约合同价中。</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14.7</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应自行解决施工所需的通讯、场内道路以及施工、办公、生活所需的临时房屋、办公设备、施工设备等设施、设备，相关费用已含在签约合同价中。</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14.8</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应当预计到施工期间对外界可能产生的必需的不可能避免的干扰，应当积极主动与外界进行协调。</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有责任维护</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在市民中的企业形象，若因工程原因发生骚乱等对</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有影响的重大事件，</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要负全责，造成</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被第三方索赔，</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保留向</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索赔的权利。</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14.9</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指派</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为本工程的项目负责人，具体处理本工程施工过程中的各项事务。</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14.10因政策变化、不可抗力及合同当事人之外的原因导致合同暂停，</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应妥善做好已完工程、已购材料和工程设备的保护。</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w:t>
      </w:r>
      <w:r>
        <w:rPr>
          <w:rFonts w:hint="eastAsia" w:ascii="仿宋_GB2312" w:hAnsi="仿宋_GB2312" w:eastAsia="仿宋_GB2312" w:cs="仿宋_GB2312"/>
          <w:b/>
          <w:sz w:val="24"/>
          <w:szCs w:val="24"/>
          <w:lang w:val="en-US" w:eastAsia="zh-CN"/>
        </w:rPr>
        <w:t>5</w:t>
      </w:r>
      <w:r>
        <w:rPr>
          <w:rFonts w:hint="eastAsia" w:ascii="仿宋_GB2312" w:hAnsi="仿宋_GB2312" w:eastAsia="仿宋_GB2312" w:cs="仿宋_GB2312"/>
          <w:b/>
          <w:sz w:val="24"/>
          <w:szCs w:val="24"/>
        </w:rPr>
        <w:t>、其他</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.1合同当事人应在颁发工程接收证书后 7 天内完成工程的移交。工程移交前，</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应负责工程照管、成品保护、保管等，并承担与之</w:t>
      </w:r>
      <w:r>
        <w:rPr>
          <w:rFonts w:hint="eastAsia" w:ascii="仿宋_GB2312" w:hAnsi="仿宋_GB2312" w:eastAsia="仿宋_GB2312" w:cs="仿宋_GB2312"/>
          <w:color w:val="auto"/>
          <w:sz w:val="24"/>
          <w:szCs w:val="24"/>
          <w:highlight w:val="none"/>
        </w:rPr>
        <w:t>有关的各项费用。</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.2因合同及合同有关事项产生的争议，合同当事人可以向有</w:t>
      </w:r>
      <w:r>
        <w:rPr>
          <w:rFonts w:hint="eastAsia" w:ascii="仿宋_GB2312" w:hAnsi="仿宋_GB2312" w:eastAsia="仿宋_GB2312" w:cs="仿宋_GB2312"/>
          <w:color w:val="auto"/>
          <w:sz w:val="24"/>
          <w:szCs w:val="24"/>
          <w:highlight w:val="none"/>
          <w:u w:val="single"/>
        </w:rPr>
        <w:t>本合同签订地</w:t>
      </w:r>
      <w:r>
        <w:rPr>
          <w:rFonts w:hint="eastAsia" w:ascii="仿宋_GB2312" w:hAnsi="仿宋_GB2312" w:eastAsia="仿宋_GB2312" w:cs="仿宋_GB2312"/>
          <w:color w:val="auto"/>
          <w:sz w:val="24"/>
          <w:szCs w:val="24"/>
          <w:highlight w:val="none"/>
          <w:u w:val="single"/>
          <w:lang w:eastAsia="zh-CN"/>
        </w:rPr>
        <w:t>（长沙市雨花区）</w:t>
      </w:r>
      <w:r>
        <w:rPr>
          <w:rFonts w:hint="eastAsia" w:ascii="仿宋_GB2312" w:hAnsi="仿宋_GB2312" w:eastAsia="仿宋_GB2312" w:cs="仿宋_GB2312"/>
          <w:color w:val="auto"/>
          <w:sz w:val="24"/>
          <w:szCs w:val="24"/>
          <w:highlight w:val="none"/>
          <w:u w:val="single"/>
        </w:rPr>
        <w:t>的人民法院</w:t>
      </w:r>
      <w:r>
        <w:rPr>
          <w:rFonts w:hint="eastAsia" w:ascii="仿宋_GB2312" w:hAnsi="仿宋_GB2312" w:eastAsia="仿宋_GB2312" w:cs="仿宋_GB2312"/>
          <w:color w:val="auto"/>
          <w:sz w:val="24"/>
          <w:szCs w:val="24"/>
          <w:highlight w:val="none"/>
        </w:rPr>
        <w:t>起诉。</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.3合同未尽事宜，合同当事人另行签订补充协议，补充协议是合同的组成部分。</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.4本合同自</w:t>
      </w:r>
      <w:r>
        <w:rPr>
          <w:rFonts w:hint="eastAsia" w:ascii="仿宋_GB2312" w:hAnsi="仿宋_GB2312" w:eastAsia="仿宋_GB2312" w:cs="仿宋_GB2312"/>
          <w:sz w:val="24"/>
          <w:szCs w:val="24"/>
          <w:u w:val="none"/>
        </w:rPr>
        <w:t xml:space="preserve"> 双方法定代表人或授权</w:t>
      </w:r>
      <w:r>
        <w:rPr>
          <w:rFonts w:hint="eastAsia" w:ascii="仿宋_GB2312" w:hAnsi="仿宋_GB2312" w:eastAsia="仿宋_GB2312" w:cs="仿宋_GB2312"/>
          <w:sz w:val="24"/>
          <w:szCs w:val="24"/>
          <w:u w:val="none"/>
          <w:lang w:eastAsia="zh-CN"/>
        </w:rPr>
        <w:t>代表</w:t>
      </w:r>
      <w:r>
        <w:rPr>
          <w:rFonts w:hint="eastAsia" w:ascii="仿宋_GB2312" w:hAnsi="仿宋_GB2312" w:eastAsia="仿宋_GB2312" w:cs="仿宋_GB2312"/>
          <w:sz w:val="24"/>
          <w:szCs w:val="24"/>
          <w:u w:val="none"/>
        </w:rPr>
        <w:t>签字，加盖</w:t>
      </w:r>
      <w:r>
        <w:rPr>
          <w:rFonts w:hint="eastAsia" w:ascii="仿宋_GB2312" w:hAnsi="仿宋_GB2312" w:eastAsia="仿宋_GB2312" w:cs="仿宋_GB2312"/>
          <w:sz w:val="24"/>
          <w:szCs w:val="24"/>
          <w:u w:val="none"/>
          <w:lang w:eastAsia="zh-CN"/>
        </w:rPr>
        <w:t>公章或</w:t>
      </w:r>
      <w:r>
        <w:rPr>
          <w:rFonts w:hint="eastAsia" w:ascii="仿宋_GB2312" w:hAnsi="仿宋_GB2312" w:eastAsia="仿宋_GB2312" w:cs="仿宋_GB2312"/>
          <w:sz w:val="24"/>
          <w:szCs w:val="24"/>
          <w:u w:val="none"/>
        </w:rPr>
        <w:t>合同专用章后</w:t>
      </w:r>
      <w:r>
        <w:rPr>
          <w:rFonts w:hint="eastAsia" w:ascii="仿宋_GB2312" w:hAnsi="仿宋_GB2312" w:eastAsia="仿宋_GB2312" w:cs="仿宋_GB2312"/>
          <w:sz w:val="24"/>
          <w:szCs w:val="24"/>
        </w:rPr>
        <w:t>生效。</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15.5</w:t>
      </w:r>
      <w:r>
        <w:rPr>
          <w:rFonts w:hint="eastAsia" w:ascii="仿宋_GB2312" w:hAnsi="仿宋_GB2312" w:eastAsia="仿宋_GB2312" w:cs="仿宋_GB2312"/>
          <w:sz w:val="24"/>
          <w:szCs w:val="24"/>
        </w:rPr>
        <w:t>合同签订时间</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本合同于</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日签订。</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15.6合同签订地点</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本合同在</w:t>
      </w:r>
      <w:r>
        <w:rPr>
          <w:rFonts w:hint="eastAsia" w:ascii="仿宋_GB2312" w:hAnsi="仿宋_GB2312" w:eastAsia="仿宋_GB2312" w:cs="仿宋_GB2312"/>
          <w:sz w:val="24"/>
          <w:szCs w:val="24"/>
          <w:u w:val="single"/>
          <w:lang w:val="en-US" w:eastAsia="zh-CN"/>
        </w:rPr>
        <w:t xml:space="preserve"> 湖南省长沙市雨花区 </w:t>
      </w:r>
      <w:r>
        <w:rPr>
          <w:rFonts w:hint="eastAsia" w:ascii="仿宋_GB2312" w:hAnsi="仿宋_GB2312" w:eastAsia="仿宋_GB2312" w:cs="仿宋_GB2312"/>
          <w:sz w:val="24"/>
          <w:szCs w:val="24"/>
          <w:lang w:val="en-US" w:eastAsia="zh-CN"/>
        </w:rPr>
        <w:t>签订。</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u w:val="none"/>
        </w:rPr>
        <w:t>本合同一式</w:t>
      </w:r>
      <w:r>
        <w:rPr>
          <w:rFonts w:hint="eastAsia" w:ascii="仿宋_GB2312" w:hAnsi="仿宋_GB2312" w:eastAsia="仿宋_GB2312" w:cs="仿宋_GB2312"/>
          <w:sz w:val="24"/>
          <w:szCs w:val="24"/>
          <w:u w:val="none"/>
          <w:lang w:eastAsia="zh-CN"/>
        </w:rPr>
        <w:t>八</w:t>
      </w:r>
      <w:r>
        <w:rPr>
          <w:rFonts w:hint="eastAsia" w:ascii="仿宋_GB2312" w:hAnsi="仿宋_GB2312" w:eastAsia="仿宋_GB2312" w:cs="仿宋_GB2312"/>
          <w:sz w:val="24"/>
          <w:szCs w:val="24"/>
          <w:u w:val="none"/>
        </w:rPr>
        <w:t>份（二正</w:t>
      </w:r>
      <w:r>
        <w:rPr>
          <w:rFonts w:hint="eastAsia" w:ascii="仿宋_GB2312" w:hAnsi="仿宋_GB2312" w:eastAsia="仿宋_GB2312" w:cs="仿宋_GB2312"/>
          <w:sz w:val="24"/>
          <w:szCs w:val="24"/>
          <w:u w:val="none"/>
          <w:lang w:eastAsia="zh-CN"/>
        </w:rPr>
        <w:t>六</w:t>
      </w:r>
      <w:r>
        <w:rPr>
          <w:rFonts w:hint="eastAsia" w:ascii="仿宋_GB2312" w:hAnsi="仿宋_GB2312" w:eastAsia="仿宋_GB2312" w:cs="仿宋_GB2312"/>
          <w:sz w:val="24"/>
          <w:szCs w:val="24"/>
          <w:u w:val="none"/>
        </w:rPr>
        <w:t>副），</w:t>
      </w:r>
      <w:r>
        <w:rPr>
          <w:rFonts w:hint="eastAsia" w:ascii="仿宋_GB2312" w:hAnsi="仿宋_GB2312" w:eastAsia="仿宋_GB2312" w:cs="仿宋_GB2312"/>
          <w:sz w:val="24"/>
          <w:szCs w:val="24"/>
          <w:u w:val="none"/>
          <w:lang w:eastAsia="zh-CN"/>
        </w:rPr>
        <w:t>甲方</w:t>
      </w:r>
      <w:r>
        <w:rPr>
          <w:rFonts w:hint="eastAsia" w:ascii="仿宋_GB2312" w:hAnsi="仿宋_GB2312" w:eastAsia="仿宋_GB2312" w:cs="仿宋_GB2312"/>
          <w:sz w:val="24"/>
          <w:szCs w:val="24"/>
          <w:u w:val="none"/>
        </w:rPr>
        <w:t>执</w:t>
      </w:r>
      <w:r>
        <w:rPr>
          <w:rFonts w:hint="eastAsia" w:ascii="仿宋_GB2312" w:hAnsi="仿宋_GB2312" w:eastAsia="仿宋_GB2312" w:cs="仿宋_GB2312"/>
          <w:sz w:val="24"/>
          <w:szCs w:val="24"/>
          <w:u w:val="none"/>
          <w:lang w:eastAsia="zh-CN"/>
        </w:rPr>
        <w:t>六</w:t>
      </w:r>
      <w:r>
        <w:rPr>
          <w:rFonts w:hint="eastAsia" w:ascii="仿宋_GB2312" w:hAnsi="仿宋_GB2312" w:eastAsia="仿宋_GB2312" w:cs="仿宋_GB2312"/>
          <w:sz w:val="24"/>
          <w:szCs w:val="24"/>
          <w:u w:val="none"/>
        </w:rPr>
        <w:t>份（一正</w:t>
      </w:r>
      <w:r>
        <w:rPr>
          <w:rFonts w:hint="eastAsia" w:ascii="仿宋_GB2312" w:hAnsi="仿宋_GB2312" w:eastAsia="仿宋_GB2312" w:cs="仿宋_GB2312"/>
          <w:sz w:val="24"/>
          <w:szCs w:val="24"/>
          <w:u w:val="none"/>
          <w:lang w:eastAsia="zh-CN"/>
        </w:rPr>
        <w:t>五</w:t>
      </w:r>
      <w:r>
        <w:rPr>
          <w:rFonts w:hint="eastAsia" w:ascii="仿宋_GB2312" w:hAnsi="仿宋_GB2312" w:eastAsia="仿宋_GB2312" w:cs="仿宋_GB2312"/>
          <w:sz w:val="24"/>
          <w:szCs w:val="24"/>
          <w:u w:val="none"/>
        </w:rPr>
        <w:t>副），</w:t>
      </w:r>
      <w:r>
        <w:rPr>
          <w:rFonts w:hint="eastAsia" w:ascii="仿宋_GB2312" w:hAnsi="仿宋_GB2312" w:eastAsia="仿宋_GB2312" w:cs="仿宋_GB2312"/>
          <w:sz w:val="24"/>
          <w:szCs w:val="24"/>
          <w:u w:val="none"/>
          <w:lang w:eastAsia="zh-CN"/>
        </w:rPr>
        <w:t>乙方</w:t>
      </w:r>
      <w:r>
        <w:rPr>
          <w:rFonts w:hint="eastAsia" w:ascii="仿宋_GB2312" w:hAnsi="仿宋_GB2312" w:eastAsia="仿宋_GB2312" w:cs="仿宋_GB2312"/>
          <w:sz w:val="24"/>
          <w:szCs w:val="24"/>
          <w:u w:val="none"/>
        </w:rPr>
        <w:t>执</w:t>
      </w:r>
      <w:r>
        <w:rPr>
          <w:rFonts w:hint="eastAsia" w:ascii="仿宋_GB2312" w:hAnsi="仿宋_GB2312" w:eastAsia="仿宋_GB2312" w:cs="仿宋_GB2312"/>
          <w:sz w:val="24"/>
          <w:szCs w:val="24"/>
          <w:u w:val="none"/>
          <w:lang w:eastAsia="zh-CN"/>
        </w:rPr>
        <w:t>二</w:t>
      </w:r>
      <w:r>
        <w:rPr>
          <w:rFonts w:hint="eastAsia" w:ascii="仿宋_GB2312" w:hAnsi="仿宋_GB2312" w:eastAsia="仿宋_GB2312" w:cs="仿宋_GB2312"/>
          <w:sz w:val="24"/>
          <w:szCs w:val="24"/>
          <w:u w:val="none"/>
        </w:rPr>
        <w:t>份（一正</w:t>
      </w:r>
      <w:r>
        <w:rPr>
          <w:rFonts w:hint="eastAsia" w:ascii="仿宋_GB2312" w:hAnsi="仿宋_GB2312" w:eastAsia="仿宋_GB2312" w:cs="仿宋_GB2312"/>
          <w:sz w:val="24"/>
          <w:szCs w:val="24"/>
          <w:u w:val="none"/>
          <w:lang w:eastAsia="zh-CN"/>
        </w:rPr>
        <w:t>一</w:t>
      </w:r>
      <w:r>
        <w:rPr>
          <w:rFonts w:hint="eastAsia" w:ascii="仿宋_GB2312" w:hAnsi="仿宋_GB2312" w:eastAsia="仿宋_GB2312" w:cs="仿宋_GB2312"/>
          <w:sz w:val="24"/>
          <w:szCs w:val="24"/>
          <w:u w:val="none"/>
        </w:rPr>
        <w:t>副）。合同正本和副本均具有同等法律效力，当合同副本与正本存有差异时，以合同正本为准。</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15.8</w:t>
      </w:r>
      <w:r>
        <w:rPr>
          <w:rFonts w:hint="eastAsia" w:ascii="仿宋_GB2312" w:hAnsi="仿宋_GB2312" w:eastAsia="仿宋_GB2312" w:cs="仿宋_GB2312"/>
          <w:sz w:val="24"/>
          <w:szCs w:val="24"/>
        </w:rPr>
        <w:t>“合同价格”系指</w:t>
      </w:r>
      <w:r>
        <w:rPr>
          <w:rFonts w:hint="eastAsia" w:ascii="仿宋_GB2312" w:hAnsi="仿宋_GB2312" w:eastAsia="仿宋_GB2312" w:cs="仿宋_GB2312"/>
          <w:sz w:val="24"/>
          <w:szCs w:val="24"/>
          <w:lang w:eastAsia="zh-CN"/>
        </w:rPr>
        <w:t>甲方</w:t>
      </w:r>
      <w:r>
        <w:rPr>
          <w:rFonts w:hint="eastAsia" w:ascii="仿宋_GB2312" w:hAnsi="仿宋_GB2312" w:eastAsia="仿宋_GB2312" w:cs="仿宋_GB2312"/>
          <w:sz w:val="24"/>
          <w:szCs w:val="24"/>
        </w:rPr>
        <w:t>用于支付</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rPr>
        <w:t>按照合同约定完成承包范围内全部工作的金额，包括合同履行过程中按合同约定发生的价格变化，即按照长沙市政府或其职能部门相关规定，经长沙市政府相关职能部门或长沙市轨道交通集团有限公司授权的单位审定的结算价格</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15.9双方约定的其他事项（本条约定与合同条款中其他约定不一致时，以本条为准）：</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w:t>
      </w:r>
    </w:p>
    <w:p>
      <w:pPr>
        <w:pStyle w:val="2"/>
        <w:rPr>
          <w:rFonts w:hint="eastAsia"/>
          <w:lang w:eastAsia="zh-CN"/>
        </w:rPr>
      </w:pPr>
    </w:p>
    <w:p>
      <w:pPr>
        <w:pStyle w:val="2"/>
        <w:rPr>
          <w:rFonts w:hint="eastAsia"/>
        </w:rPr>
      </w:pPr>
    </w:p>
    <w:p>
      <w:pPr>
        <w:adjustRightInd w:val="0"/>
        <w:snapToGrid w:val="0"/>
        <w:spacing w:line="360" w:lineRule="auto"/>
        <w:ind w:firstLine="63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（以下无正文条款）</w:t>
      </w:r>
    </w:p>
    <w:p>
      <w:pPr>
        <w:adjustRightInd w:val="0"/>
        <w:snapToGrid w:val="0"/>
        <w:spacing w:line="360" w:lineRule="auto"/>
        <w:ind w:firstLine="630"/>
        <w:rPr>
          <w:rFonts w:hint="eastAsia" w:ascii="仿宋" w:hAnsi="仿宋" w:eastAsia="仿宋" w:cs="仿宋"/>
          <w:sz w:val="24"/>
          <w:szCs w:val="24"/>
        </w:rPr>
      </w:pPr>
    </w:p>
    <w:bookmarkEnd w:id="59"/>
    <w:tbl>
      <w:tblPr>
        <w:tblStyle w:val="46"/>
        <w:tblW w:w="8600" w:type="dxa"/>
        <w:jc w:val="center"/>
        <w:tblLayout w:type="fixed"/>
        <w:tblCellMar>
          <w:top w:w="0" w:type="dxa"/>
          <w:left w:w="108" w:type="dxa"/>
          <w:bottom w:w="0" w:type="dxa"/>
          <w:right w:w="108" w:type="dxa"/>
        </w:tblCellMar>
      </w:tblPr>
      <w:tblGrid>
        <w:gridCol w:w="4406"/>
        <w:gridCol w:w="4194"/>
      </w:tblGrid>
      <w:tr>
        <w:tblPrEx>
          <w:tblCellMar>
            <w:top w:w="0" w:type="dxa"/>
            <w:left w:w="108" w:type="dxa"/>
            <w:bottom w:w="0" w:type="dxa"/>
            <w:right w:w="108" w:type="dxa"/>
          </w:tblCellMar>
        </w:tblPrEx>
        <w:trPr>
          <w:trHeight w:val="661" w:hRule="atLeast"/>
          <w:jc w:val="center"/>
        </w:trPr>
        <w:tc>
          <w:tcPr>
            <w:tcW w:w="4406" w:type="dxa"/>
            <w:tcBorders>
              <w:top w:val="nil"/>
              <w:left w:val="nil"/>
              <w:bottom w:val="nil"/>
              <w:right w:val="nil"/>
            </w:tcBorders>
            <w:noWrap w:val="0"/>
            <w:vAlign w:val="top"/>
          </w:tcPr>
          <w:p>
            <w:pPr>
              <w:pStyle w:val="25"/>
              <w:snapToGrid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甲方：(盖章)</w:t>
            </w:r>
          </w:p>
          <w:p>
            <w:pPr>
              <w:pStyle w:val="25"/>
              <w:snapToGrid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tc>
        <w:tc>
          <w:tcPr>
            <w:tcW w:w="4194" w:type="dxa"/>
            <w:tcBorders>
              <w:top w:val="nil"/>
              <w:left w:val="nil"/>
              <w:bottom w:val="nil"/>
              <w:right w:val="nil"/>
            </w:tcBorders>
            <w:noWrap w:val="0"/>
            <w:vAlign w:val="top"/>
          </w:tcPr>
          <w:p>
            <w:pPr>
              <w:pStyle w:val="25"/>
              <w:snapToGrid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乙方：（盖章）</w:t>
            </w:r>
          </w:p>
          <w:p>
            <w:pPr>
              <w:pStyle w:val="25"/>
              <w:snapToGrid w:val="0"/>
              <w:spacing w:line="360" w:lineRule="auto"/>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769"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法定代表人或其授权代表：</w:t>
            </w:r>
          </w:p>
        </w:tc>
        <w:tc>
          <w:tcPr>
            <w:tcW w:w="4194" w:type="dxa"/>
            <w:tcBorders>
              <w:top w:val="nil"/>
              <w:left w:val="nil"/>
              <w:bottom w:val="nil"/>
              <w:right w:val="nil"/>
            </w:tcBorders>
            <w:noWrap w:val="0"/>
            <w:vAlign w:val="top"/>
          </w:tcPr>
          <w:p>
            <w:pPr>
              <w:pStyle w:val="25"/>
              <w:snapToGrid w:val="0"/>
              <w:spacing w:line="360" w:lineRule="auto"/>
              <w:ind w:left="34" w:leftChars="1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法定代表人或其授权代表：</w:t>
            </w:r>
          </w:p>
        </w:tc>
      </w:tr>
      <w:tr>
        <w:tblPrEx>
          <w:tblCellMar>
            <w:top w:w="0" w:type="dxa"/>
            <w:left w:w="108" w:type="dxa"/>
            <w:bottom w:w="0" w:type="dxa"/>
            <w:right w:w="108" w:type="dxa"/>
          </w:tblCellMar>
        </w:tblPrEx>
        <w:trPr>
          <w:trHeight w:val="462" w:hRule="atLeast"/>
          <w:jc w:val="center"/>
        </w:trPr>
        <w:tc>
          <w:tcPr>
            <w:tcW w:w="4406" w:type="dxa"/>
            <w:tcBorders>
              <w:top w:val="nil"/>
              <w:left w:val="nil"/>
              <w:bottom w:val="nil"/>
              <w:right w:val="nil"/>
            </w:tcBorders>
            <w:noWrap w:val="0"/>
            <w:vAlign w:val="top"/>
          </w:tcPr>
          <w:p>
            <w:pPr>
              <w:pStyle w:val="25"/>
              <w:snapToGrid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址：  </w:t>
            </w:r>
          </w:p>
        </w:tc>
        <w:tc>
          <w:tcPr>
            <w:tcW w:w="4194" w:type="dxa"/>
            <w:tcBorders>
              <w:top w:val="nil"/>
              <w:left w:val="nil"/>
              <w:bottom w:val="nil"/>
              <w:right w:val="nil"/>
            </w:tcBorders>
            <w:noWrap w:val="0"/>
            <w:vAlign w:val="top"/>
          </w:tcPr>
          <w:p>
            <w:pPr>
              <w:pStyle w:val="25"/>
              <w:snapToGrid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址：  </w:t>
            </w:r>
          </w:p>
        </w:tc>
      </w:tr>
      <w:tr>
        <w:tblPrEx>
          <w:tblCellMar>
            <w:top w:w="0" w:type="dxa"/>
            <w:left w:w="108" w:type="dxa"/>
            <w:bottom w:w="0" w:type="dxa"/>
            <w:right w:w="108" w:type="dxa"/>
          </w:tblCellMar>
        </w:tblPrEx>
        <w:trPr>
          <w:trHeight w:val="489" w:hRule="atLeast"/>
          <w:jc w:val="center"/>
        </w:trPr>
        <w:tc>
          <w:tcPr>
            <w:tcW w:w="4406" w:type="dxa"/>
            <w:tcBorders>
              <w:top w:val="nil"/>
              <w:left w:val="nil"/>
              <w:bottom w:val="nil"/>
              <w:right w:val="nil"/>
            </w:tcBorders>
            <w:noWrap w:val="0"/>
            <w:vAlign w:val="top"/>
          </w:tcPr>
          <w:p>
            <w:pPr>
              <w:pStyle w:val="25"/>
              <w:snapToGrid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编： </w:t>
            </w:r>
          </w:p>
        </w:tc>
        <w:tc>
          <w:tcPr>
            <w:tcW w:w="4194" w:type="dxa"/>
            <w:tcBorders>
              <w:top w:val="nil"/>
              <w:left w:val="nil"/>
              <w:bottom w:val="nil"/>
              <w:right w:val="nil"/>
            </w:tcBorders>
            <w:noWrap w:val="0"/>
            <w:vAlign w:val="top"/>
          </w:tcPr>
          <w:p>
            <w:pPr>
              <w:pStyle w:val="25"/>
              <w:snapToGrid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编： </w:t>
            </w:r>
          </w:p>
        </w:tc>
      </w:tr>
      <w:tr>
        <w:tblPrEx>
          <w:tblCellMar>
            <w:top w:w="0" w:type="dxa"/>
            <w:left w:w="108" w:type="dxa"/>
            <w:bottom w:w="0" w:type="dxa"/>
            <w:right w:w="108" w:type="dxa"/>
          </w:tblCellMar>
        </w:tblPrEx>
        <w:trPr>
          <w:trHeight w:val="90"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话： </w:t>
            </w:r>
          </w:p>
        </w:tc>
        <w:tc>
          <w:tcPr>
            <w:tcW w:w="4194" w:type="dxa"/>
            <w:tcBorders>
              <w:top w:val="nil"/>
              <w:left w:val="nil"/>
              <w:bottom w:val="nil"/>
              <w:right w:val="nil"/>
            </w:tcBorders>
            <w:noWrap w:val="0"/>
            <w:vAlign w:val="top"/>
          </w:tcPr>
          <w:p>
            <w:pPr>
              <w:pStyle w:val="25"/>
              <w:snapToGrid w:val="0"/>
              <w:spacing w:line="360" w:lineRule="auto"/>
              <w:ind w:left="19" w:leftChars="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话： </w:t>
            </w:r>
          </w:p>
        </w:tc>
      </w:tr>
      <w:tr>
        <w:tblPrEx>
          <w:tblCellMar>
            <w:top w:w="0" w:type="dxa"/>
            <w:left w:w="108" w:type="dxa"/>
            <w:bottom w:w="0" w:type="dxa"/>
            <w:right w:w="108" w:type="dxa"/>
          </w:tblCellMar>
        </w:tblPrEx>
        <w:trPr>
          <w:trHeight w:val="561"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真： </w:t>
            </w:r>
          </w:p>
        </w:tc>
        <w:tc>
          <w:tcPr>
            <w:tcW w:w="4194" w:type="dxa"/>
            <w:tcBorders>
              <w:top w:val="nil"/>
              <w:left w:val="nil"/>
              <w:bottom w:val="nil"/>
              <w:right w:val="nil"/>
            </w:tcBorders>
            <w:noWrap w:val="0"/>
            <w:vAlign w:val="top"/>
          </w:tcPr>
          <w:p>
            <w:pPr>
              <w:pStyle w:val="25"/>
              <w:snapToGrid w:val="0"/>
              <w:spacing w:line="360" w:lineRule="auto"/>
              <w:ind w:left="19" w:leftChars="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真： </w:t>
            </w:r>
          </w:p>
        </w:tc>
      </w:tr>
      <w:tr>
        <w:tblPrEx>
          <w:tblCellMar>
            <w:top w:w="0" w:type="dxa"/>
            <w:left w:w="108" w:type="dxa"/>
            <w:bottom w:w="0" w:type="dxa"/>
            <w:right w:w="108" w:type="dxa"/>
          </w:tblCellMar>
        </w:tblPrEx>
        <w:trPr>
          <w:trHeight w:val="397"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4194" w:type="dxa"/>
            <w:tcBorders>
              <w:top w:val="nil"/>
              <w:left w:val="nil"/>
              <w:bottom w:val="nil"/>
              <w:right w:val="nil"/>
            </w:tcBorders>
            <w:noWrap w:val="0"/>
            <w:vAlign w:val="top"/>
          </w:tcPr>
          <w:p>
            <w:pPr>
              <w:pStyle w:val="25"/>
              <w:snapToGrid w:val="0"/>
              <w:spacing w:line="360" w:lineRule="auto"/>
              <w:ind w:left="19" w:leftChars="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r>
      <w:tr>
        <w:tblPrEx>
          <w:tblCellMar>
            <w:top w:w="0" w:type="dxa"/>
            <w:left w:w="108" w:type="dxa"/>
            <w:bottom w:w="0" w:type="dxa"/>
            <w:right w:w="108" w:type="dxa"/>
          </w:tblCellMar>
        </w:tblPrEx>
        <w:trPr>
          <w:trHeight w:val="506"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账</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号：</w:t>
            </w:r>
          </w:p>
        </w:tc>
        <w:tc>
          <w:tcPr>
            <w:tcW w:w="4194" w:type="dxa"/>
            <w:tcBorders>
              <w:top w:val="nil"/>
              <w:left w:val="nil"/>
              <w:bottom w:val="nil"/>
              <w:right w:val="nil"/>
            </w:tcBorders>
            <w:noWrap w:val="0"/>
            <w:vAlign w:val="top"/>
          </w:tcPr>
          <w:p>
            <w:pPr>
              <w:pStyle w:val="25"/>
              <w:snapToGrid w:val="0"/>
              <w:spacing w:line="360" w:lineRule="auto"/>
              <w:ind w:left="19" w:leftChars="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账</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号：</w:t>
            </w:r>
          </w:p>
        </w:tc>
      </w:tr>
      <w:tr>
        <w:tblPrEx>
          <w:tblCellMar>
            <w:top w:w="0" w:type="dxa"/>
            <w:left w:w="108" w:type="dxa"/>
            <w:bottom w:w="0" w:type="dxa"/>
            <w:right w:w="108" w:type="dxa"/>
          </w:tblCellMar>
        </w:tblPrEx>
        <w:trPr>
          <w:trHeight w:val="247"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税</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号：</w:t>
            </w:r>
          </w:p>
        </w:tc>
        <w:tc>
          <w:tcPr>
            <w:tcW w:w="4194" w:type="dxa"/>
            <w:tcBorders>
              <w:top w:val="nil"/>
              <w:left w:val="nil"/>
              <w:bottom w:val="nil"/>
              <w:right w:val="nil"/>
            </w:tcBorders>
            <w:noWrap w:val="0"/>
            <w:vAlign w:val="top"/>
          </w:tcPr>
          <w:p>
            <w:pPr>
              <w:pStyle w:val="25"/>
              <w:snapToGrid w:val="0"/>
              <w:spacing w:line="360" w:lineRule="auto"/>
              <w:ind w:left="19" w:leftChars="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税</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号：</w:t>
            </w:r>
          </w:p>
        </w:tc>
      </w:tr>
    </w:tbl>
    <w:p>
      <w:pPr>
        <w:adjustRightInd w:val="0"/>
        <w:snapToGrid w:val="0"/>
        <w:spacing w:line="800" w:lineRule="exact"/>
        <w:rPr>
          <w:rFonts w:hint="eastAsia" w:ascii="仿宋" w:hAnsi="仿宋" w:eastAsia="仿宋" w:cs="仿宋"/>
          <w:sz w:val="32"/>
          <w:szCs w:val="32"/>
        </w:rPr>
        <w:sectPr>
          <w:headerReference r:id="rId13" w:type="default"/>
          <w:footerReference r:id="rId14" w:type="default"/>
          <w:pgSz w:w="11906" w:h="16838"/>
          <w:pgMar w:top="1418" w:right="1418" w:bottom="1418" w:left="1588" w:header="851" w:footer="992" w:gutter="0"/>
          <w:pgNumType w:fmt="decimal"/>
          <w:cols w:space="720" w:num="1"/>
          <w:docGrid w:type="lines" w:linePitch="312" w:charSpace="0"/>
        </w:sectPr>
      </w:pPr>
      <w:r>
        <w:rPr>
          <w:rFonts w:hint="eastAsia" w:ascii="仿宋" w:hAnsi="仿宋" w:eastAsia="仿宋" w:cs="仿宋"/>
          <w:sz w:val="32"/>
          <w:szCs w:val="32"/>
        </w:rPr>
        <w:t xml:space="preserve"> </w:t>
      </w:r>
    </w:p>
    <w:p>
      <w:pPr>
        <w:pageBreakBefore w:val="0"/>
        <w:numPr>
          <w:ilvl w:val="0"/>
          <w:numId w:val="0"/>
        </w:numPr>
        <w:tabs>
          <w:tab w:val="left" w:pos="2799"/>
        </w:tabs>
        <w:kinsoku/>
        <w:overflowPunct/>
        <w:bidi w:val="0"/>
        <w:spacing w:line="400" w:lineRule="exact"/>
        <w:ind w:leftChars="0" w:right="0" w:rightChars="0"/>
        <w:jc w:val="center"/>
        <w:rPr>
          <w:rFonts w:hint="eastAsia" w:ascii="仿宋" w:hAnsi="仿宋" w:eastAsia="仿宋" w:cs="仿宋"/>
          <w:b/>
          <w:bCs/>
          <w:sz w:val="32"/>
          <w:szCs w:val="32"/>
          <w:lang w:val="en-US" w:eastAsia="zh-CN"/>
        </w:rPr>
      </w:pPr>
      <w:bookmarkStart w:id="72" w:name="_Toc10030"/>
      <w:r>
        <w:rPr>
          <w:rFonts w:hint="eastAsia" w:ascii="仿宋" w:hAnsi="仿宋" w:eastAsia="仿宋" w:cs="仿宋"/>
          <w:b/>
          <w:bCs/>
          <w:sz w:val="32"/>
          <w:szCs w:val="32"/>
          <w:lang w:val="en-US" w:eastAsia="zh-CN"/>
        </w:rPr>
        <w:t>第二部分 中选通知书</w:t>
      </w:r>
      <w:r>
        <w:rPr>
          <w:rFonts w:hint="eastAsia" w:ascii="仿宋" w:hAnsi="仿宋" w:eastAsia="仿宋" w:cs="仿宋"/>
          <w:sz w:val="32"/>
          <w:szCs w:val="32"/>
        </w:rPr>
        <w:br w:type="page"/>
      </w:r>
      <w:r>
        <w:rPr>
          <w:rFonts w:hint="eastAsia" w:ascii="仿宋" w:hAnsi="仿宋" w:eastAsia="仿宋" w:cs="仿宋"/>
          <w:b/>
          <w:bCs/>
          <w:sz w:val="32"/>
          <w:szCs w:val="32"/>
          <w:lang w:val="en-US" w:eastAsia="zh-CN"/>
        </w:rPr>
        <w:t>第三部分 合同附件</w:t>
      </w:r>
    </w:p>
    <w:bookmarkEnd w:id="72"/>
    <w:p>
      <w:pPr>
        <w:adjustRightInd w:val="0"/>
        <w:snapToGrid w:val="0"/>
        <w:outlineLvl w:val="1"/>
        <w:rPr>
          <w:rFonts w:hint="eastAsia" w:ascii="仿宋_GB2312" w:hAnsi="仿宋_GB2312" w:eastAsia="仿宋_GB2312" w:cs="仿宋_GB2312"/>
          <w:b/>
          <w:sz w:val="32"/>
          <w:szCs w:val="32"/>
          <w:highlight w:val="none"/>
        </w:rPr>
      </w:pPr>
      <w:r>
        <w:rPr>
          <w:rFonts w:hint="eastAsia" w:ascii="仿宋_GB2312" w:hAnsi="仿宋_GB2312" w:eastAsia="仿宋_GB2312" w:cs="仿宋_GB2312"/>
          <w:b/>
          <w:bCs/>
          <w:sz w:val="24"/>
          <w:highlight w:val="none"/>
        </w:rPr>
        <w:t>附件1 廉政协议</w:t>
      </w:r>
    </w:p>
    <w:p>
      <w:pPr>
        <w:adjustRightInd w:val="0"/>
        <w:snapToGrid w:val="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廉政协议</w:t>
      </w:r>
    </w:p>
    <w:p>
      <w:pPr>
        <w:widowControl/>
        <w:snapToGrid w:val="0"/>
        <w:spacing w:line="360" w:lineRule="auto"/>
        <w:jc w:val="left"/>
        <w:rPr>
          <w:rFonts w:hint="eastAsia" w:ascii="仿宋_GB2312" w:hAnsi="仿宋_GB2312" w:eastAsia="仿宋_GB2312" w:cs="仿宋_GB2312"/>
          <w:sz w:val="24"/>
          <w:highlight w:val="none"/>
          <w:lang w:bidi="en-US"/>
        </w:rPr>
      </w:pPr>
    </w:p>
    <w:p>
      <w:pPr>
        <w:pStyle w:val="13"/>
        <w:snapToGrid w:val="0"/>
        <w:spacing w:line="440" w:lineRule="exact"/>
        <w:ind w:firstLine="0"/>
        <w:jc w:val="left"/>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lang w:val="en-US" w:eastAsia="zh-CN"/>
        </w:rPr>
        <w:t>甲方</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u w:val="single"/>
        </w:rPr>
        <w:t xml:space="preserve">                        </w:t>
      </w:r>
    </w:p>
    <w:p>
      <w:pPr>
        <w:pStyle w:val="13"/>
        <w:snapToGrid w:val="0"/>
        <w:spacing w:line="440" w:lineRule="exact"/>
        <w:ind w:firstLine="0"/>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w:t>
      </w:r>
      <w:r>
        <w:rPr>
          <w:rFonts w:hint="eastAsia" w:ascii="仿宋_GB2312" w:hAnsi="仿宋_GB2312" w:eastAsia="仿宋_GB2312" w:cs="仿宋_GB2312"/>
          <w:sz w:val="24"/>
          <w:highlight w:val="none"/>
          <w:u w:val="single"/>
        </w:rPr>
        <w:t xml:space="preserve">                        </w:t>
      </w:r>
    </w:p>
    <w:p>
      <w:pPr>
        <w:adjustRightInd w:val="0"/>
        <w:snapToGrid w:val="0"/>
        <w:spacing w:line="440" w:lineRule="exact"/>
        <w:ind w:firstLine="480"/>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hint="eastAsia" w:ascii="仿宋_GB2312" w:hAnsi="仿宋_GB2312" w:eastAsia="仿宋_GB2312" w:cs="仿宋_GB2312"/>
          <w:sz w:val="24"/>
          <w:highlight w:val="none"/>
        </w:rPr>
      </w:pPr>
      <w:bookmarkStart w:id="73" w:name="_Toc59896701"/>
      <w:bookmarkStart w:id="74" w:name="_Toc59900969"/>
      <w:r>
        <w:rPr>
          <w:rFonts w:hint="eastAsia" w:ascii="仿宋_GB2312" w:hAnsi="仿宋_GB2312" w:eastAsia="仿宋_GB2312" w:cs="仿宋_GB2312"/>
          <w:sz w:val="24"/>
          <w:highlight w:val="none"/>
        </w:rPr>
        <w:t xml:space="preserve">第一条 </w:t>
      </w:r>
      <w:bookmarkEnd w:id="73"/>
      <w:bookmarkEnd w:id="74"/>
      <w:r>
        <w:rPr>
          <w:rFonts w:hint="eastAsia" w:ascii="仿宋_GB2312" w:hAnsi="仿宋_GB2312" w:eastAsia="仿宋_GB2312" w:cs="仿宋_GB2312"/>
          <w:sz w:val="24"/>
          <w:highlight w:val="none"/>
        </w:rPr>
        <w:t>共同责任</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（一）严格遵守党和国家有关法律法规及湖南省、长沙市的相关规定。</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（二）严格执行</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（以下称主合同）的合同文件，自觉按合同办事。</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（四）建立健全廉政制度，开展廉政教育，设立廉政告示牌，公布举报电话，监督并认真查处违纪违法行为。</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（五）发现对方在业务活动中有违反廉政规定的行为，有及时提醒对方纠正的权利和义务。</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第二条 共同权利</w:t>
      </w:r>
    </w:p>
    <w:p>
      <w:pPr>
        <w:adjustRightInd w:val="0"/>
        <w:snapToGrid w:val="0"/>
        <w:spacing w:line="44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hint="eastAsia" w:ascii="仿宋_GB2312" w:hAnsi="仿宋_GB2312" w:eastAsia="仿宋_GB2312" w:cs="仿宋_GB2312"/>
          <w:sz w:val="24"/>
          <w:highlight w:val="none"/>
        </w:rPr>
      </w:pPr>
      <w:bookmarkStart w:id="75" w:name="_Toc59896702"/>
      <w:bookmarkStart w:id="76" w:name="_Toc59900970"/>
      <w:r>
        <w:rPr>
          <w:rFonts w:hint="eastAsia" w:ascii="仿宋_GB2312" w:hAnsi="仿宋_GB2312" w:eastAsia="仿宋_GB2312" w:cs="仿宋_GB2312"/>
          <w:sz w:val="24"/>
          <w:highlight w:val="none"/>
        </w:rPr>
        <w:t>第三条 甲方的义务</w:t>
      </w:r>
      <w:bookmarkEnd w:id="75"/>
      <w:bookmarkEnd w:id="76"/>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（一）甲方及其工作人员不得索要或接受乙方的礼金、有价证券和贵重物品。</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（二）甲方及其工作人员不得在乙方报销任何应由甲方或个人支付的费用等。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（三）甲方及其工作人员不得参加乙方安排的超标准宴请和娱乐活动。</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（四）甲方及其工作人员不得接受乙方提供的通讯工具、交通工具和高档办公用品等。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（六）甲方及其工作人员不得有违反法律、法规、廉洁从业规定的其他行为。</w:t>
      </w:r>
    </w:p>
    <w:p>
      <w:pPr>
        <w:adjustRightInd w:val="0"/>
        <w:snapToGrid w:val="0"/>
        <w:spacing w:line="440" w:lineRule="exact"/>
        <w:ind w:firstLine="480"/>
        <w:rPr>
          <w:rFonts w:hint="eastAsia" w:ascii="仿宋_GB2312" w:hAnsi="仿宋_GB2312" w:eastAsia="仿宋_GB2312" w:cs="仿宋_GB2312"/>
          <w:sz w:val="24"/>
          <w:highlight w:val="none"/>
        </w:rPr>
      </w:pPr>
      <w:bookmarkStart w:id="77" w:name="_Toc59900971"/>
      <w:bookmarkStart w:id="78" w:name="_Toc59896703"/>
      <w:r>
        <w:rPr>
          <w:rFonts w:hint="eastAsia" w:ascii="仿宋_GB2312" w:hAnsi="仿宋_GB2312" w:eastAsia="仿宋_GB2312" w:cs="仿宋_GB2312"/>
          <w:sz w:val="24"/>
          <w:highlight w:val="none"/>
        </w:rPr>
        <w:t>第四条 乙方义务</w:t>
      </w:r>
      <w:bookmarkEnd w:id="77"/>
      <w:bookmarkEnd w:id="78"/>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（一）乙方不得以任何理由向甲方及其工作人员行贿或馈赠礼金、有价证券、贵重物品。</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（二）乙方不得以任何名义为甲方及其工作人员报销应由甲方单位或个人支付的任何费用。</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（三）乙方不得以任何理由安排甲方工作人员参加超标准宴请、健身及娱乐活动。</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（四）乙方不得为甲方及其工作人员购置或提供通讯工具、交通工具和高档办公用品等。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（五）乙方不得为甲方及其工作人员住房装修、婚丧嫁娶活动、配偶子女的工作安排以及出国出境、旅游等提供方便等。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（六）乙方不得有违反法律、法规、廉洁从业规定的其他行为。</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第五条 违约责任</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第七条 本协议有效期为甲乙双方签署之日起至主合同完全履行完毕之日止。</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第八条 本协议作为主合同的附件，与主合同具有同等的法律效力，经合同双方签署立即生效。</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val="en-US" w:eastAsia="zh-CN"/>
        </w:rPr>
        <w:t>第九条</w:t>
      </w:r>
      <w:r>
        <w:rPr>
          <w:rFonts w:hint="eastAsia" w:ascii="仿宋_GB2312" w:hAnsi="仿宋_GB2312" w:eastAsia="仿宋_GB2312" w:cs="仿宋_GB2312"/>
          <w:sz w:val="24"/>
          <w:highlight w:val="none"/>
        </w:rPr>
        <w:t xml:space="preserve"> 发现有违反相关要求的，可通过以下途径举报：</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（1）监督举报电话（限短信方式）：15367896</w:t>
      </w:r>
      <w:r>
        <w:rPr>
          <w:rFonts w:hint="eastAsia" w:ascii="仿宋_GB2312" w:hAnsi="仿宋_GB2312" w:eastAsia="仿宋_GB2312" w:cs="仿宋_GB2312"/>
          <w:sz w:val="24"/>
          <w:highlight w:val="none"/>
          <w:lang w:val="en-US" w:eastAsia="zh-CN"/>
        </w:rPr>
        <w:t>029</w:t>
      </w:r>
      <w:r>
        <w:rPr>
          <w:rFonts w:hint="eastAsia" w:ascii="仿宋_GB2312" w:hAnsi="仿宋_GB2312" w:eastAsia="仿宋_GB2312" w:cs="仿宋_GB2312"/>
          <w:sz w:val="24"/>
          <w:highlight w:val="none"/>
        </w:rPr>
        <w:t>，15874975219。</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（2）举报邮箱：yygsjbyx2015@163.com。</w:t>
      </w:r>
    </w:p>
    <w:p>
      <w:pPr>
        <w:pStyle w:val="2"/>
        <w:rPr>
          <w:rFonts w:hint="eastAsia" w:eastAsia="宋体"/>
          <w:lang w:val="en-US" w:eastAsia="zh-CN"/>
        </w:rPr>
      </w:pPr>
    </w:p>
    <w:p>
      <w:pPr>
        <w:snapToGrid w:val="0"/>
        <w:spacing w:line="440" w:lineRule="exact"/>
        <w:rPr>
          <w:rFonts w:hint="eastAsia" w:ascii="仿宋_GB2312" w:hAnsi="仿宋_GB2312" w:eastAsia="仿宋_GB2312" w:cs="仿宋_GB2312"/>
          <w:sz w:val="24"/>
          <w:highlight w:val="none"/>
        </w:rPr>
        <w:sectPr>
          <w:footerReference r:id="rId15" w:type="default"/>
          <w:pgSz w:w="11906" w:h="16838"/>
          <w:pgMar w:top="1440" w:right="1800" w:bottom="1440" w:left="1800" w:header="851" w:footer="992" w:gutter="0"/>
          <w:pgNumType w:fmt="decimal"/>
          <w:cols w:space="720" w:num="1"/>
          <w:docGrid w:type="lines" w:linePitch="312" w:charSpace="0"/>
        </w:sectPr>
      </w:pPr>
    </w:p>
    <w:p>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（本页无正文）</w:t>
      </w: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w:t>
      </w:r>
      <w:r>
        <w:rPr>
          <w:rFonts w:hint="eastAsia" w:ascii="仿宋_GB2312" w:hAnsi="仿宋_GB2312" w:eastAsia="仿宋_GB2312" w:cs="仿宋_GB2312"/>
          <w:sz w:val="24"/>
          <w:highlight w:val="none"/>
          <w:u w:val="single"/>
        </w:rPr>
        <w:t xml:space="preserve"> （盖章）            </w:t>
      </w:r>
      <w:r>
        <w:rPr>
          <w:rFonts w:hint="eastAsia" w:ascii="仿宋_GB2312" w:hAnsi="仿宋_GB2312" w:eastAsia="仿宋_GB2312" w:cs="仿宋_GB2312"/>
          <w:sz w:val="24"/>
          <w:highlight w:val="none"/>
        </w:rPr>
        <w:t xml:space="preserve">             乙方：</w:t>
      </w:r>
      <w:r>
        <w:rPr>
          <w:rFonts w:hint="eastAsia" w:ascii="仿宋_GB2312" w:hAnsi="仿宋_GB2312" w:eastAsia="仿宋_GB2312" w:cs="仿宋_GB2312"/>
          <w:sz w:val="24"/>
          <w:highlight w:val="none"/>
          <w:u w:val="single"/>
        </w:rPr>
        <w:t xml:space="preserve"> （盖章）                 </w:t>
      </w:r>
    </w:p>
    <w:p>
      <w:pPr>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法定代表人：</w:t>
      </w:r>
      <w:r>
        <w:rPr>
          <w:rFonts w:hint="eastAsia" w:ascii="仿宋_GB2312" w:hAnsi="仿宋_GB2312" w:eastAsia="仿宋_GB2312" w:cs="仿宋_GB2312"/>
          <w:sz w:val="24"/>
          <w:highlight w:val="none"/>
          <w:u w:val="single"/>
        </w:rPr>
        <w:t xml:space="preserve">（签字）        </w:t>
      </w:r>
      <w:r>
        <w:rPr>
          <w:rFonts w:hint="eastAsia" w:ascii="仿宋_GB2312" w:hAnsi="仿宋_GB2312" w:eastAsia="仿宋_GB2312" w:cs="仿宋_GB2312"/>
          <w:sz w:val="24"/>
          <w:highlight w:val="none"/>
        </w:rPr>
        <w:t xml:space="preserve">             法定代表人：</w:t>
      </w:r>
      <w:r>
        <w:rPr>
          <w:rFonts w:hint="eastAsia" w:ascii="仿宋_GB2312" w:hAnsi="仿宋_GB2312" w:eastAsia="仿宋_GB2312" w:cs="仿宋_GB2312"/>
          <w:sz w:val="24"/>
          <w:highlight w:val="none"/>
          <w:u w:val="single"/>
        </w:rPr>
        <w:t xml:space="preserve"> （签字）           </w:t>
      </w:r>
    </w:p>
    <w:p>
      <w:pPr>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或授权代理人：</w:t>
      </w:r>
      <w:r>
        <w:rPr>
          <w:rFonts w:hint="eastAsia" w:ascii="仿宋_GB2312" w:hAnsi="仿宋_GB2312" w:eastAsia="仿宋_GB2312" w:cs="仿宋_GB2312"/>
          <w:sz w:val="24"/>
          <w:highlight w:val="none"/>
          <w:u w:val="single"/>
        </w:rPr>
        <w:t xml:space="preserve">（签字）      </w:t>
      </w:r>
      <w:r>
        <w:rPr>
          <w:rFonts w:hint="eastAsia" w:ascii="仿宋_GB2312" w:hAnsi="仿宋_GB2312" w:eastAsia="仿宋_GB2312" w:cs="仿宋_GB2312"/>
          <w:sz w:val="24"/>
          <w:highlight w:val="none"/>
        </w:rPr>
        <w:t xml:space="preserve">             或授权代理人：</w:t>
      </w:r>
      <w:r>
        <w:rPr>
          <w:rFonts w:hint="eastAsia" w:ascii="仿宋_GB2312" w:hAnsi="仿宋_GB2312" w:eastAsia="仿宋_GB2312" w:cs="仿宋_GB2312"/>
          <w:sz w:val="24"/>
          <w:highlight w:val="none"/>
          <w:u w:val="single"/>
        </w:rPr>
        <w:t xml:space="preserve">（签字）           </w:t>
      </w:r>
    </w:p>
    <w:p>
      <w:pPr>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电话：</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             电话：</w:t>
      </w:r>
      <w:r>
        <w:rPr>
          <w:rFonts w:hint="eastAsia" w:ascii="仿宋_GB2312" w:hAnsi="仿宋_GB2312" w:eastAsia="仿宋_GB2312" w:cs="仿宋_GB2312"/>
          <w:sz w:val="24"/>
          <w:highlight w:val="none"/>
          <w:u w:val="single"/>
        </w:rPr>
        <w:t xml:space="preserve">                          </w:t>
      </w:r>
    </w:p>
    <w:p>
      <w:pPr>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日             </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w:t>
      </w:r>
    </w:p>
    <w:p>
      <w:pPr>
        <w:snapToGrid w:val="0"/>
        <w:spacing w:line="360" w:lineRule="auto"/>
        <w:rPr>
          <w:rFonts w:hint="eastAsia" w:ascii="仿宋_GB2312" w:hAnsi="仿宋_GB2312" w:eastAsia="仿宋_GB2312" w:cs="仿宋_GB2312"/>
          <w:b/>
          <w:sz w:val="24"/>
          <w:highlight w:val="none"/>
        </w:rPr>
      </w:pPr>
      <w:r>
        <w:rPr>
          <w:rFonts w:hint="eastAsia" w:ascii="仿宋_GB2312" w:hAnsi="仿宋_GB2312" w:eastAsia="仿宋_GB2312" w:cs="仿宋_GB2312"/>
          <w:sz w:val="24"/>
          <w:highlight w:val="none"/>
        </w:rPr>
        <w:t>甲方监督单位：</w:t>
      </w:r>
      <w:r>
        <w:rPr>
          <w:rFonts w:hint="eastAsia" w:ascii="仿宋_GB2312" w:hAnsi="仿宋_GB2312" w:eastAsia="仿宋_GB2312" w:cs="仿宋_GB2312"/>
          <w:sz w:val="24"/>
          <w:highlight w:val="none"/>
          <w:u w:val="single"/>
        </w:rPr>
        <w:t xml:space="preserve">（盖章）       </w:t>
      </w:r>
      <w:r>
        <w:rPr>
          <w:rFonts w:hint="eastAsia" w:ascii="仿宋_GB2312" w:hAnsi="仿宋_GB2312" w:eastAsia="仿宋_GB2312" w:cs="仿宋_GB2312"/>
          <w:sz w:val="24"/>
          <w:highlight w:val="none"/>
        </w:rPr>
        <w:t xml:space="preserve">            乙方监督单位：</w:t>
      </w:r>
      <w:r>
        <w:rPr>
          <w:rFonts w:hint="eastAsia" w:ascii="仿宋_GB2312" w:hAnsi="仿宋_GB2312" w:eastAsia="仿宋_GB2312" w:cs="仿宋_GB2312"/>
          <w:sz w:val="24"/>
          <w:highlight w:val="none"/>
          <w:u w:val="single"/>
        </w:rPr>
        <w:t xml:space="preserve">（盖章）        </w:t>
      </w:r>
    </w:p>
    <w:p>
      <w:pPr>
        <w:pageBreakBefore w:val="0"/>
        <w:tabs>
          <w:tab w:val="left" w:pos="2799"/>
        </w:tabs>
        <w:kinsoku/>
        <w:overflowPunct/>
        <w:bidi w:val="0"/>
        <w:spacing w:line="400" w:lineRule="exact"/>
        <w:ind w:left="0" w:leftChars="0" w:right="0" w:rightChars="0" w:firstLine="0" w:firstLineChars="0"/>
        <w:jc w:val="left"/>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0"/>
        <w:rPr>
          <w:rFonts w:hint="eastAsia" w:ascii="仿宋_GB2312" w:hAnsi="仿宋_GB2312" w:eastAsia="仿宋_GB2312" w:cs="仿宋_GB2312"/>
          <w:bCs/>
          <w:sz w:val="24"/>
          <w:szCs w:val="24"/>
          <w:u w:val="single"/>
        </w:rPr>
      </w:pPr>
      <w:r>
        <w:rPr>
          <w:rFonts w:hint="eastAsia" w:ascii="仿宋" w:hAnsi="仿宋" w:eastAsia="仿宋" w:cs="仿宋"/>
        </w:rPr>
        <w:br w:type="page"/>
      </w:r>
      <w:r>
        <w:rPr>
          <w:rFonts w:hint="eastAsia" w:ascii="仿宋_GB2312" w:hAnsi="仿宋_GB2312" w:eastAsia="仿宋_GB2312" w:cs="仿宋_GB2312"/>
          <w:sz w:val="24"/>
          <w:szCs w:val="24"/>
        </w:rPr>
        <w:t>附件</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：签约合同价格清单（已标价工程量清单或预算书）</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0"/>
        <w:rPr>
          <w:rFonts w:hint="eastAsia" w:ascii="仿宋_GB2312" w:hAnsi="仿宋_GB2312" w:eastAsia="仿宋_GB2312" w:cs="仿宋_GB2312"/>
          <w:sz w:val="24"/>
          <w:szCs w:val="24"/>
          <w:lang w:val="en-US" w:eastAsia="zh-CN"/>
        </w:rPr>
      </w:pPr>
      <w:bookmarkStart w:id="79" w:name="_Toc7255"/>
      <w:r>
        <w:rPr>
          <w:rFonts w:hint="eastAsia" w:ascii="仿宋_GB2312" w:hAnsi="仿宋_GB2312" w:eastAsia="仿宋_GB2312" w:cs="仿宋_GB2312"/>
          <w:sz w:val="24"/>
          <w:szCs w:val="24"/>
          <w:lang w:eastAsia="zh-CN"/>
        </w:rPr>
        <w:t>附件</w:t>
      </w:r>
      <w:r>
        <w:rPr>
          <w:rFonts w:hint="eastAsia" w:ascii="仿宋_GB2312" w:hAnsi="仿宋_GB2312" w:eastAsia="仿宋_GB2312" w:cs="仿宋_GB2312"/>
          <w:sz w:val="24"/>
          <w:szCs w:val="24"/>
          <w:lang w:val="en-US" w:eastAsia="zh-CN"/>
        </w:rPr>
        <w:t>3：用户需求书/技术规格书</w:t>
      </w:r>
    </w:p>
    <w:p>
      <w:pPr>
        <w:adjustRightInd w:val="0"/>
        <w:snapToGrid w:val="0"/>
        <w:spacing w:line="400" w:lineRule="exact"/>
        <w:jc w:val="center"/>
        <w:outlineLvl w:val="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eastAsia="zh-CN"/>
        </w:rPr>
        <w:t>第四部分</w:t>
      </w:r>
      <w:r>
        <w:rPr>
          <w:rFonts w:hint="eastAsia" w:ascii="仿宋_GB2312" w:hAnsi="仿宋_GB2312" w:eastAsia="仿宋_GB2312" w:cs="仿宋_GB2312"/>
          <w:b/>
          <w:bCs w:val="0"/>
          <w:sz w:val="32"/>
          <w:szCs w:val="32"/>
          <w:lang w:val="en-US" w:eastAsia="zh-CN"/>
        </w:rPr>
        <w:t xml:space="preserve"> </w:t>
      </w:r>
      <w:r>
        <w:rPr>
          <w:rFonts w:hint="eastAsia" w:ascii="仿宋_GB2312" w:hAnsi="仿宋_GB2312" w:eastAsia="仿宋_GB2312" w:cs="仿宋_GB2312"/>
          <w:b/>
          <w:bCs w:val="0"/>
          <w:sz w:val="32"/>
          <w:szCs w:val="32"/>
        </w:rPr>
        <w:t>合同附录</w:t>
      </w:r>
      <w:bookmarkEnd w:id="79"/>
      <w:bookmarkStart w:id="80" w:name="_Toc451247264"/>
      <w:bookmarkStart w:id="81" w:name="_Toc411417807"/>
      <w:bookmarkStart w:id="82" w:name="_Toc460309156"/>
      <w:bookmarkStart w:id="83" w:name="_Toc437444976"/>
    </w:p>
    <w:bookmarkEnd w:id="80"/>
    <w:bookmarkEnd w:id="81"/>
    <w:bookmarkEnd w:id="82"/>
    <w:bookmarkEnd w:id="83"/>
    <w:p>
      <w:pPr>
        <w:pStyle w:val="13"/>
        <w:snapToGrid w:val="0"/>
        <w:spacing w:before="156" w:line="360" w:lineRule="auto"/>
        <w:ind w:firstLine="0"/>
        <w:outlineLvl w:val="1"/>
        <w:rPr>
          <w:rFonts w:hint="eastAsia" w:ascii="仿宋_GB2312" w:hAnsi="仿宋_GB2312" w:eastAsia="仿宋_GB2312" w:cs="仿宋_GB2312"/>
          <w:b/>
          <w:sz w:val="24"/>
          <w:highlight w:val="none"/>
        </w:rPr>
      </w:pPr>
      <w:bookmarkStart w:id="84" w:name="_Toc6333"/>
      <w:r>
        <w:rPr>
          <w:rFonts w:hint="eastAsia" w:ascii="仿宋_GB2312" w:hAnsi="仿宋_GB2312" w:eastAsia="仿宋_GB2312" w:cs="仿宋_GB2312"/>
          <w:b/>
          <w:sz w:val="24"/>
          <w:highlight w:val="none"/>
        </w:rPr>
        <w:t>附录1  履约保函（格式</w:t>
      </w:r>
      <w:bookmarkEnd w:id="84"/>
      <w:r>
        <w:rPr>
          <w:rFonts w:hint="eastAsia" w:ascii="仿宋_GB2312" w:hAnsi="仿宋_GB2312" w:eastAsia="仿宋_GB2312" w:cs="仿宋_GB2312"/>
          <w:b/>
          <w:sz w:val="24"/>
          <w:highlight w:val="none"/>
        </w:rPr>
        <w:t>）</w:t>
      </w:r>
    </w:p>
    <w:p>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 xml:space="preserve">                              保函编号：</w:t>
      </w:r>
    </w:p>
    <w:p>
      <w:pPr>
        <w:jc w:val="center"/>
        <w:rPr>
          <w:rFonts w:hint="eastAsia" w:ascii="仿宋_GB2312" w:hAnsi="仿宋_GB2312" w:eastAsia="仿宋_GB2312" w:cs="仿宋_GB2312"/>
          <w:b/>
          <w:sz w:val="24"/>
          <w:highlight w:val="none"/>
        </w:rPr>
      </w:pPr>
    </w:p>
    <w:p>
      <w:pPr>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银行履约保函</w:t>
      </w:r>
    </w:p>
    <w:p>
      <w:pPr>
        <w:jc w:val="center"/>
        <w:rPr>
          <w:rFonts w:hint="eastAsia" w:ascii="仿宋_GB2312" w:hAnsi="仿宋_GB2312" w:eastAsia="仿宋_GB2312" w:cs="仿宋_GB2312"/>
          <w:b/>
          <w:sz w:val="24"/>
          <w:highlight w:val="none"/>
        </w:rPr>
      </w:pPr>
    </w:p>
    <w:p>
      <w:pPr>
        <w:adjustRightInd w:val="0"/>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甲方（全称）：</w:t>
      </w:r>
      <w:r>
        <w:rPr>
          <w:rFonts w:hint="eastAsia" w:ascii="仿宋_GB2312" w:hAnsi="仿宋_GB2312" w:eastAsia="仿宋_GB2312" w:cs="仿宋_GB2312"/>
          <w:sz w:val="24"/>
          <w:highlight w:val="none"/>
          <w:u w:val="single"/>
        </w:rPr>
        <w:t xml:space="preserve">                  </w:t>
      </w:r>
    </w:p>
    <w:p>
      <w:pPr>
        <w:adjustRightInd w:val="0"/>
        <w:snapToGrid w:val="0"/>
        <w:spacing w:line="360" w:lineRule="auto"/>
        <w:ind w:left="15" w:leftChars="7"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鉴于甲方</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（以下简称“你方”）与</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（乙方全称，以下简称“乙方”）于</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日协商一致共同签订合同编号为</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的《</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合同》（以下简称“合同”）。 我方愿意无条件地、不可撤销地就乙方履行与你方签订的合同，向你方提供以下见索即付担保：</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1、担保金额为人民币（大写）</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元（小写：¥</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2、担保期限为自本保函生效之日起至</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之日止。</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4、你方和乙方按合同约定变更合同时，我方承担本担保规定的义务不变。</w:t>
      </w:r>
    </w:p>
    <w:p>
      <w:pPr>
        <w:adjustRightInd w:val="0"/>
        <w:snapToGrid w:val="0"/>
        <w:spacing w:line="360" w:lineRule="auto"/>
        <w:ind w:left="15" w:leftChars="7"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5、因本保函发生的纠纷，可由双方协商解决，协商不成的，任何一方均可提请在你方所在地人民法院起诉。</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本保函自我方加盖公章之日起生效。</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rPr>
      </w:pP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担保人（盖公章）：</w:t>
      </w:r>
    </w:p>
    <w:p>
      <w:pPr>
        <w:adjustRightInd w:val="0"/>
        <w:snapToGrid w:val="0"/>
        <w:spacing w:line="360" w:lineRule="auto"/>
        <w:ind w:firstLine="480" w:firstLineChars="20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签字：</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地址：</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邮政编码：</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电话：</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传真：</w:t>
      </w:r>
    </w:p>
    <w:p>
      <w:pPr>
        <w:adjustRightInd w:val="0"/>
        <w:snapToGrid w:val="0"/>
        <w:spacing w:line="360" w:lineRule="auto"/>
        <w:ind w:left="15" w:leftChars="7" w:firstLine="403" w:firstLineChars="168"/>
        <w:rPr>
          <w:rFonts w:hint="eastAsia" w:ascii="仿宋" w:hAnsi="仿宋" w:eastAsia="仿宋" w:cs="仿宋"/>
          <w:sz w:val="24"/>
        </w:rPr>
      </w:pPr>
      <w:r>
        <w:rPr>
          <w:rFonts w:hint="eastAsia" w:ascii="仿宋_GB2312" w:hAnsi="仿宋_GB2312" w:eastAsia="仿宋_GB2312" w:cs="仿宋_GB2312"/>
          <w:sz w:val="24"/>
          <w:szCs w:val="20"/>
          <w:highlight w:val="none"/>
        </w:rPr>
        <w:t>时间：</w:t>
      </w:r>
    </w:p>
    <w:p>
      <w:pPr>
        <w:pStyle w:val="45"/>
      </w:pPr>
    </w:p>
    <w:p>
      <w:pPr>
        <w:pStyle w:val="45"/>
        <w:sectPr>
          <w:headerReference r:id="rId16" w:type="default"/>
          <w:footerReference r:id="rId17" w:type="default"/>
          <w:pgSz w:w="11906" w:h="16838"/>
          <w:pgMar w:top="1440" w:right="849" w:bottom="1440" w:left="992" w:header="851" w:footer="851" w:gutter="0"/>
          <w:pgNumType w:fmt="decimal"/>
          <w:cols w:space="720" w:num="1"/>
          <w:docGrid w:linePitch="312" w:charSpace="0"/>
        </w:sectPr>
      </w:pPr>
    </w:p>
    <w:p>
      <w:pPr>
        <w:snapToGrid w:val="0"/>
        <w:spacing w:line="360" w:lineRule="auto"/>
        <w:jc w:val="center"/>
        <w:outlineLvl w:val="0"/>
        <w:rPr>
          <w:rFonts w:ascii="宋体" w:hAnsi="宋体" w:cs="宋体"/>
          <w:bCs/>
          <w:sz w:val="32"/>
          <w:szCs w:val="32"/>
        </w:rPr>
      </w:pPr>
      <w:r>
        <w:rPr>
          <w:rFonts w:hint="eastAsia" w:ascii="宋体" w:hAnsi="宋体" w:cs="宋体"/>
        </w:rPr>
        <mc:AlternateContent>
          <mc:Choice Requires="wps">
            <w:drawing>
              <wp:anchor distT="0" distB="0" distL="114300" distR="114300" simplePos="0" relativeHeight="251659264" behindDoc="0" locked="0" layoutInCell="1" allowOverlap="1">
                <wp:simplePos x="0" y="0"/>
                <wp:positionH relativeFrom="column">
                  <wp:posOffset>4905375</wp:posOffset>
                </wp:positionH>
                <wp:positionV relativeFrom="paragraph">
                  <wp:posOffset>403860</wp:posOffset>
                </wp:positionV>
                <wp:extent cx="1114425" cy="419100"/>
                <wp:effectExtent l="7620" t="8255" r="20955" b="107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86.25pt;margin-top:31.8pt;height:33pt;width:87.75pt;z-index:251659264;mso-width-relative:page;mso-height-relative:page;" fillcolor="#FFFFFF" filled="t" stroked="t" coordsize="21600,21600" o:gfxdata="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JQiBmbZAAAACgEAAA8AAAAAAAAA&#10;AQAgAAAAIgAAAGRycy9kb3ducmV2LnhtbFBLAQIUABQAAAAIAIdO4kD7PvVsSQIAAJYEAAAOAAAA&#10;AAAAAAEAIAAAACgBAABkcnMvZTJvRG9jLnhtbFBLBQYAAAAABgAGAFkBAADjBQAAAAA=&#10;">
                <v:fill on="t" focussize="0,0"/>
                <v:stroke weight="1.25pt" color="#000000" miterlimit="8"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r>
        <w:rPr>
          <w:rFonts w:hint="eastAsia" w:ascii="宋体" w:hAnsi="宋体" w:cs="宋体"/>
          <w:b/>
          <w:sz w:val="32"/>
          <w:szCs w:val="32"/>
        </w:rPr>
        <w:t>第七章</w:t>
      </w:r>
      <w:bookmarkStart w:id="85" w:name="_Toc14891079"/>
      <w:r>
        <w:rPr>
          <w:rFonts w:hint="eastAsia" w:ascii="宋体" w:hAnsi="宋体" w:cs="宋体"/>
          <w:b/>
          <w:sz w:val="32"/>
          <w:szCs w:val="32"/>
        </w:rPr>
        <w:t xml:space="preserve">  </w:t>
      </w:r>
      <w:r>
        <w:rPr>
          <w:rFonts w:hint="eastAsia" w:ascii="宋体" w:hAnsi="宋体" w:cs="宋体"/>
          <w:b/>
          <w:bCs/>
          <w:sz w:val="32"/>
          <w:szCs w:val="32"/>
        </w:rPr>
        <w:t>响应文件组成</w:t>
      </w:r>
      <w:bookmarkEnd w:id="54"/>
      <w:bookmarkEnd w:id="55"/>
      <w:bookmarkEnd w:id="56"/>
      <w:bookmarkEnd w:id="57"/>
      <w:bookmarkEnd w:id="85"/>
    </w:p>
    <w:p>
      <w:pPr>
        <w:spacing w:line="360" w:lineRule="auto"/>
        <w:ind w:firstLine="282" w:firstLineChars="54"/>
        <w:rPr>
          <w:rFonts w:ascii="宋体" w:hAnsi="宋体" w:cs="宋体"/>
          <w:b/>
          <w:bCs/>
          <w:sz w:val="52"/>
          <w:szCs w:val="52"/>
        </w:rPr>
      </w:pPr>
      <w:r>
        <w:rPr>
          <w:rFonts w:hint="eastAsia" w:ascii="宋体" w:hAnsi="宋体" w:cs="宋体"/>
          <w:b/>
          <w:bCs/>
          <w:sz w:val="52"/>
          <w:szCs w:val="52"/>
        </w:rPr>
        <w:t xml:space="preserve"> </w:t>
      </w:r>
    </w:p>
    <w:p>
      <w:pPr>
        <w:pStyle w:val="2"/>
        <w:spacing w:line="360" w:lineRule="auto"/>
        <w:rPr>
          <w:rFonts w:ascii="宋体" w:hAnsi="宋体" w:cs="宋体"/>
        </w:rPr>
      </w:pPr>
    </w:p>
    <w:p>
      <w:pPr>
        <w:spacing w:line="360" w:lineRule="auto"/>
        <w:jc w:val="center"/>
        <w:rPr>
          <w:rFonts w:ascii="宋体" w:hAnsi="宋体" w:cs="宋体"/>
          <w:b/>
          <w:bCs/>
          <w:sz w:val="52"/>
          <w:szCs w:val="52"/>
        </w:rPr>
      </w:pPr>
      <w:r>
        <w:rPr>
          <w:rFonts w:hint="eastAsia" w:ascii="宋体" w:hAnsi="宋体" w:cs="宋体"/>
          <w:b/>
          <w:bCs/>
          <w:sz w:val="52"/>
          <w:szCs w:val="52"/>
        </w:rPr>
        <w:t>自主竞争性谈判</w:t>
      </w:r>
    </w:p>
    <w:p>
      <w:pPr>
        <w:adjustRightInd w:val="0"/>
        <w:snapToGrid w:val="0"/>
        <w:spacing w:line="360" w:lineRule="auto"/>
        <w:jc w:val="center"/>
        <w:rPr>
          <w:rFonts w:ascii="宋体" w:hAnsi="宋体" w:cs="宋体"/>
          <w:b/>
          <w:bCs/>
          <w:sz w:val="52"/>
          <w:szCs w:val="52"/>
        </w:rPr>
      </w:pPr>
      <w:r>
        <w:rPr>
          <w:rFonts w:hint="eastAsia" w:ascii="宋体" w:hAnsi="宋体" w:cs="宋体"/>
          <w:b/>
          <w:bCs/>
          <w:sz w:val="52"/>
          <w:szCs w:val="52"/>
        </w:rPr>
        <w:t>响应文件</w:t>
      </w:r>
    </w:p>
    <w:p>
      <w:pPr>
        <w:spacing w:line="360" w:lineRule="auto"/>
        <w:rPr>
          <w:rFonts w:ascii="宋体" w:hAnsi="宋体" w:cs="宋体"/>
          <w:sz w:val="28"/>
          <w:szCs w:val="28"/>
        </w:rPr>
      </w:pPr>
    </w:p>
    <w:p>
      <w:pPr>
        <w:pStyle w:val="25"/>
        <w:rPr>
          <w:rFonts w:hAnsi="宋体" w:cs="宋体"/>
          <w:b/>
          <w:sz w:val="32"/>
          <w:szCs w:val="32"/>
        </w:rPr>
      </w:pPr>
    </w:p>
    <w:p>
      <w:pPr>
        <w:pStyle w:val="25"/>
        <w:adjustRightInd w:val="0"/>
        <w:snapToGrid w:val="0"/>
        <w:spacing w:line="360" w:lineRule="auto"/>
        <w:ind w:firstLine="1285" w:firstLineChars="400"/>
        <w:rPr>
          <w:rFonts w:hAnsi="宋体" w:cs="宋体"/>
          <w:b/>
          <w:bCs/>
          <w:sz w:val="32"/>
          <w:szCs w:val="32"/>
          <w:u w:val="single"/>
        </w:rPr>
      </w:pPr>
      <w:r>
        <w:rPr>
          <w:rFonts w:hint="eastAsia" w:hAnsi="宋体" w:cs="宋体"/>
          <w:b/>
          <w:bCs/>
          <w:sz w:val="32"/>
          <w:szCs w:val="32"/>
        </w:rPr>
        <w:t>谈判项目名称：</w:t>
      </w:r>
      <w:r>
        <w:rPr>
          <w:rFonts w:hint="eastAsia" w:hAnsi="宋体" w:cs="宋体"/>
          <w:b/>
          <w:bCs/>
          <w:sz w:val="32"/>
          <w:szCs w:val="32"/>
          <w:u w:val="single"/>
        </w:rPr>
        <w:t xml:space="preserve">                      </w:t>
      </w:r>
    </w:p>
    <w:p>
      <w:pPr>
        <w:pStyle w:val="25"/>
        <w:adjustRightInd w:val="0"/>
        <w:snapToGrid w:val="0"/>
        <w:spacing w:line="360" w:lineRule="auto"/>
        <w:ind w:left="846" w:leftChars="403" w:firstLine="157" w:firstLineChars="49"/>
        <w:rPr>
          <w:rFonts w:hAnsi="宋体" w:cs="宋体"/>
          <w:b/>
          <w:bCs/>
          <w:sz w:val="32"/>
          <w:szCs w:val="32"/>
          <w:u w:val="single"/>
        </w:rPr>
      </w:pPr>
    </w:p>
    <w:p>
      <w:pPr>
        <w:pStyle w:val="25"/>
        <w:adjustRightInd w:val="0"/>
        <w:snapToGrid w:val="0"/>
        <w:spacing w:line="360" w:lineRule="auto"/>
        <w:ind w:firstLine="1285" w:firstLineChars="400"/>
        <w:rPr>
          <w:rFonts w:hAnsi="宋体" w:cs="宋体"/>
          <w:b/>
          <w:bCs/>
          <w:sz w:val="32"/>
          <w:szCs w:val="32"/>
          <w:u w:val="single"/>
        </w:rPr>
      </w:pPr>
      <w:r>
        <w:rPr>
          <w:rFonts w:hint="eastAsia" w:hAnsi="宋体" w:cs="宋体"/>
          <w:b/>
          <w:bCs/>
          <w:sz w:val="32"/>
          <w:szCs w:val="32"/>
        </w:rPr>
        <w:t>谈判单位名称：</w:t>
      </w:r>
      <w:r>
        <w:rPr>
          <w:rFonts w:hint="eastAsia" w:hAnsi="宋体" w:cs="宋体"/>
          <w:b/>
          <w:bCs/>
          <w:sz w:val="32"/>
          <w:szCs w:val="32"/>
          <w:u w:val="single"/>
        </w:rPr>
        <w:t xml:space="preserve">      （加盖单位公章）</w:t>
      </w:r>
    </w:p>
    <w:p>
      <w:pPr>
        <w:pStyle w:val="25"/>
        <w:adjustRightInd w:val="0"/>
        <w:snapToGrid w:val="0"/>
        <w:spacing w:line="360" w:lineRule="auto"/>
        <w:ind w:left="846" w:leftChars="403" w:firstLine="157" w:firstLineChars="49"/>
        <w:rPr>
          <w:rFonts w:hAnsi="宋体" w:cs="宋体"/>
          <w:b/>
          <w:bCs/>
          <w:sz w:val="32"/>
          <w:szCs w:val="32"/>
          <w:u w:val="single"/>
        </w:rPr>
      </w:pPr>
    </w:p>
    <w:p>
      <w:pPr>
        <w:pStyle w:val="25"/>
        <w:adjustRightInd w:val="0"/>
        <w:snapToGrid w:val="0"/>
        <w:spacing w:line="360" w:lineRule="auto"/>
        <w:ind w:firstLine="1285" w:firstLineChars="400"/>
        <w:rPr>
          <w:rFonts w:hAnsi="宋体" w:cs="宋体"/>
          <w:b/>
          <w:bCs/>
          <w:sz w:val="32"/>
          <w:szCs w:val="32"/>
          <w:u w:val="single"/>
        </w:rPr>
      </w:pPr>
      <w:r>
        <w:rPr>
          <w:rFonts w:hint="eastAsia" w:hAnsi="宋体" w:cs="宋体"/>
          <w:b/>
          <w:bCs/>
          <w:sz w:val="32"/>
          <w:szCs w:val="32"/>
        </w:rPr>
        <w:t>谈判项目编号：</w:t>
      </w:r>
      <w:r>
        <w:rPr>
          <w:rFonts w:hint="eastAsia" w:hAnsi="宋体" w:cs="宋体"/>
          <w:b/>
          <w:bCs/>
          <w:sz w:val="32"/>
          <w:szCs w:val="32"/>
          <w:u w:val="single"/>
        </w:rPr>
        <w:t xml:space="preserve">                      </w:t>
      </w:r>
    </w:p>
    <w:p>
      <w:pPr>
        <w:pStyle w:val="25"/>
        <w:adjustRightInd w:val="0"/>
        <w:snapToGrid w:val="0"/>
        <w:spacing w:line="360" w:lineRule="auto"/>
        <w:ind w:left="846" w:leftChars="403" w:firstLine="157" w:firstLineChars="49"/>
        <w:rPr>
          <w:rFonts w:hAnsi="宋体" w:cs="宋体"/>
          <w:b/>
          <w:bCs/>
          <w:sz w:val="32"/>
          <w:szCs w:val="32"/>
          <w:u w:val="single"/>
        </w:rPr>
      </w:pPr>
    </w:p>
    <w:p>
      <w:pPr>
        <w:pStyle w:val="25"/>
        <w:adjustRightInd w:val="0"/>
        <w:snapToGrid w:val="0"/>
        <w:spacing w:line="360" w:lineRule="auto"/>
        <w:ind w:left="846" w:leftChars="403" w:firstLine="157" w:firstLineChars="49"/>
        <w:rPr>
          <w:rFonts w:hAnsi="宋体" w:cs="宋体"/>
          <w:b/>
          <w:bCs/>
          <w:sz w:val="32"/>
          <w:szCs w:val="32"/>
          <w:u w:val="single"/>
        </w:rPr>
      </w:pPr>
    </w:p>
    <w:p>
      <w:pPr>
        <w:pStyle w:val="25"/>
        <w:adjustRightInd w:val="0"/>
        <w:snapToGrid w:val="0"/>
        <w:spacing w:line="360" w:lineRule="auto"/>
        <w:ind w:left="846" w:leftChars="403" w:firstLine="157" w:firstLineChars="49"/>
        <w:rPr>
          <w:rFonts w:hAnsi="宋体" w:cs="宋体"/>
          <w:b/>
          <w:bCs/>
          <w:sz w:val="32"/>
          <w:szCs w:val="32"/>
          <w:u w:val="single"/>
        </w:rPr>
      </w:pPr>
    </w:p>
    <w:p>
      <w:pPr>
        <w:pStyle w:val="25"/>
        <w:adjustRightInd w:val="0"/>
        <w:snapToGrid w:val="0"/>
        <w:spacing w:line="360" w:lineRule="auto"/>
        <w:ind w:left="846" w:leftChars="403" w:firstLine="157" w:firstLineChars="49"/>
        <w:rPr>
          <w:rFonts w:hAnsi="宋体" w:cs="宋体"/>
          <w:b/>
          <w:bCs/>
          <w:sz w:val="32"/>
          <w:szCs w:val="32"/>
          <w:u w:val="single"/>
        </w:rPr>
      </w:pPr>
    </w:p>
    <w:p>
      <w:pPr>
        <w:pStyle w:val="25"/>
        <w:adjustRightInd w:val="0"/>
        <w:snapToGrid w:val="0"/>
        <w:spacing w:line="360" w:lineRule="auto"/>
        <w:ind w:left="846" w:leftChars="403" w:firstLine="157" w:firstLineChars="49"/>
        <w:rPr>
          <w:rFonts w:hAnsi="宋体" w:cs="宋体"/>
          <w:b/>
          <w:bCs/>
          <w:sz w:val="32"/>
          <w:szCs w:val="32"/>
          <w:u w:val="single"/>
        </w:rPr>
      </w:pPr>
    </w:p>
    <w:p>
      <w:pPr>
        <w:pStyle w:val="25"/>
        <w:adjustRightInd w:val="0"/>
        <w:snapToGrid w:val="0"/>
        <w:spacing w:line="360" w:lineRule="auto"/>
        <w:rPr>
          <w:rFonts w:hAnsi="宋体" w:cs="宋体"/>
          <w:b/>
          <w:bCs/>
          <w:sz w:val="32"/>
          <w:szCs w:val="32"/>
          <w:u w:val="single"/>
        </w:rPr>
      </w:pPr>
    </w:p>
    <w:p>
      <w:pPr>
        <w:pStyle w:val="25"/>
        <w:adjustRightInd w:val="0"/>
        <w:snapToGrid w:val="0"/>
        <w:spacing w:line="360" w:lineRule="auto"/>
        <w:ind w:left="846" w:leftChars="403" w:firstLine="157" w:firstLineChars="49"/>
        <w:rPr>
          <w:rFonts w:hAnsi="宋体" w:cs="宋体"/>
          <w:b/>
          <w:bCs/>
          <w:sz w:val="32"/>
          <w:szCs w:val="32"/>
          <w:u w:val="single"/>
        </w:rPr>
      </w:pPr>
    </w:p>
    <w:p>
      <w:pPr>
        <w:pStyle w:val="25"/>
        <w:adjustRightInd w:val="0"/>
        <w:snapToGrid w:val="0"/>
        <w:spacing w:line="360" w:lineRule="auto"/>
        <w:jc w:val="center"/>
        <w:rPr>
          <w:rFonts w:hAnsi="宋体" w:cs="宋体"/>
        </w:rPr>
      </w:pPr>
      <w:r>
        <w:rPr>
          <w:rFonts w:hint="eastAsia" w:hAnsi="宋体" w:cs="宋体"/>
          <w:b/>
          <w:bCs/>
          <w:sz w:val="32"/>
          <w:szCs w:val="32"/>
        </w:rPr>
        <w:t>日  期：</w:t>
      </w:r>
      <w:r>
        <w:rPr>
          <w:rFonts w:hint="eastAsia" w:hAnsi="宋体" w:cs="宋体"/>
          <w:b/>
          <w:bCs/>
          <w:sz w:val="32"/>
          <w:szCs w:val="32"/>
          <w:u w:val="single"/>
        </w:rPr>
        <w:t xml:space="preserve">   </w:t>
      </w:r>
      <w:r>
        <w:rPr>
          <w:rFonts w:hint="eastAsia" w:hAnsi="宋体" w:cs="宋体"/>
          <w:b/>
          <w:bCs/>
          <w:sz w:val="32"/>
          <w:szCs w:val="32"/>
        </w:rPr>
        <w:t>年</w:t>
      </w:r>
      <w:r>
        <w:rPr>
          <w:rFonts w:hint="eastAsia" w:hAnsi="宋体" w:cs="宋体"/>
          <w:b/>
          <w:bCs/>
          <w:sz w:val="32"/>
          <w:szCs w:val="32"/>
          <w:u w:val="single"/>
        </w:rPr>
        <w:t xml:space="preserve">  </w:t>
      </w:r>
      <w:r>
        <w:rPr>
          <w:rFonts w:hint="eastAsia" w:hAnsi="宋体" w:cs="宋体"/>
          <w:b/>
          <w:bCs/>
          <w:sz w:val="32"/>
          <w:szCs w:val="32"/>
        </w:rPr>
        <w:t>月</w:t>
      </w:r>
      <w:r>
        <w:rPr>
          <w:rFonts w:hint="eastAsia" w:hAnsi="宋体" w:cs="宋体"/>
          <w:b/>
          <w:bCs/>
          <w:sz w:val="32"/>
          <w:szCs w:val="32"/>
          <w:u w:val="single"/>
        </w:rPr>
        <w:t xml:space="preserve">  </w:t>
      </w:r>
      <w:r>
        <w:rPr>
          <w:rFonts w:hint="eastAsia" w:hAnsi="宋体" w:cs="宋体"/>
          <w:b/>
          <w:bCs/>
          <w:sz w:val="32"/>
          <w:szCs w:val="32"/>
        </w:rPr>
        <w:t>日</w:t>
      </w:r>
    </w:p>
    <w:p>
      <w:pPr>
        <w:spacing w:line="360" w:lineRule="exact"/>
        <w:rPr>
          <w:rFonts w:ascii="宋体" w:hAnsi="宋体" w:cs="宋体"/>
          <w:b/>
        </w:rPr>
      </w:pPr>
    </w:p>
    <w:p>
      <w:pPr>
        <w:adjustRightInd w:val="0"/>
        <w:snapToGrid w:val="0"/>
        <w:spacing w:line="360" w:lineRule="auto"/>
        <w:jc w:val="center"/>
        <w:outlineLvl w:val="0"/>
        <w:rPr>
          <w:rFonts w:ascii="宋体" w:hAnsi="宋体" w:cs="宋体"/>
          <w:b/>
          <w:sz w:val="32"/>
          <w:szCs w:val="32"/>
        </w:rPr>
        <w:sectPr>
          <w:pgSz w:w="11906" w:h="16838"/>
          <w:pgMar w:top="1440" w:right="849" w:bottom="1440" w:left="992" w:header="851" w:footer="851" w:gutter="0"/>
          <w:pgNumType w:fmt="decimal"/>
          <w:cols w:space="720" w:num="1"/>
          <w:docGrid w:linePitch="312" w:charSpace="0"/>
        </w:sectPr>
      </w:pPr>
    </w:p>
    <w:p>
      <w:pPr>
        <w:widowControl/>
        <w:spacing w:line="360" w:lineRule="auto"/>
        <w:jc w:val="center"/>
        <w:rPr>
          <w:rFonts w:ascii="宋体" w:hAnsi="宋体" w:cs="宋体"/>
          <w:b/>
          <w:bCs/>
          <w:sz w:val="32"/>
          <w:szCs w:val="32"/>
        </w:rPr>
      </w:pPr>
      <w:r>
        <w:rPr>
          <w:rFonts w:hint="eastAsia" w:ascii="宋体" w:hAnsi="宋体" w:cs="宋体"/>
          <w:b/>
          <w:sz w:val="32"/>
          <w:szCs w:val="32"/>
        </w:rPr>
        <w:t>目   录</w:t>
      </w:r>
    </w:p>
    <w:p>
      <w:pPr>
        <w:adjustRightInd w:val="0"/>
        <w:snapToGrid w:val="0"/>
        <w:spacing w:line="360" w:lineRule="auto"/>
        <w:ind w:firstLine="480" w:firstLineChars="200"/>
        <w:rPr>
          <w:rFonts w:ascii="宋体" w:hAnsi="宋体" w:cs="宋体"/>
          <w:sz w:val="24"/>
        </w:rPr>
      </w:pPr>
    </w:p>
    <w:p>
      <w:pPr>
        <w:adjustRightInd w:val="0"/>
        <w:snapToGrid w:val="0"/>
        <w:spacing w:line="360" w:lineRule="auto"/>
        <w:ind w:firstLine="420" w:firstLineChars="200"/>
        <w:rPr>
          <w:rFonts w:ascii="宋体" w:hAnsi="宋体" w:cs="宋体"/>
          <w:szCs w:val="21"/>
        </w:rPr>
      </w:pPr>
      <w:bookmarkStart w:id="86" w:name="_Hlk61511731"/>
      <w:r>
        <w:rPr>
          <w:rFonts w:hint="eastAsia" w:ascii="宋体" w:hAnsi="宋体" w:cs="宋体"/>
          <w:szCs w:val="21"/>
        </w:rPr>
        <w:t>一、谈判承诺书</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二、法定代表人身份证明书</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三、授权委托书</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四、谈判单位资格条件证明文件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五、不拖欠农民工工资承诺书</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六、报价一览表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七、报价汇总表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八、投标报价表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九、其他资料（如有）</w:t>
      </w:r>
    </w:p>
    <w:bookmarkEnd w:id="86"/>
    <w:p>
      <w:pPr>
        <w:ind w:firstLine="480" w:firstLineChars="200"/>
        <w:jc w:val="center"/>
        <w:outlineLvl w:val="1"/>
        <w:rPr>
          <w:rFonts w:ascii="宋体" w:hAnsi="宋体" w:cs="宋体"/>
          <w:b/>
          <w:sz w:val="32"/>
          <w:szCs w:val="32"/>
        </w:rPr>
      </w:pPr>
      <w:r>
        <w:rPr>
          <w:rFonts w:hint="eastAsia" w:ascii="宋体" w:hAnsi="宋体" w:cs="宋体"/>
          <w:sz w:val="24"/>
        </w:rPr>
        <w:br w:type="page"/>
      </w:r>
      <w:bookmarkStart w:id="87" w:name="_Toc32569"/>
      <w:bookmarkStart w:id="88" w:name="_Toc32600"/>
      <w:bookmarkStart w:id="89" w:name="_Toc2508"/>
      <w:bookmarkStart w:id="90" w:name="_Toc14530"/>
      <w:r>
        <w:rPr>
          <w:rFonts w:hint="eastAsia" w:ascii="宋体" w:hAnsi="宋体" w:cs="宋体"/>
          <w:b/>
          <w:sz w:val="32"/>
          <w:szCs w:val="32"/>
        </w:rPr>
        <w:t>一、谈判承诺书</w:t>
      </w:r>
      <w:bookmarkEnd w:id="87"/>
      <w:bookmarkEnd w:id="88"/>
      <w:bookmarkEnd w:id="89"/>
      <w:bookmarkEnd w:id="90"/>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w:t>
      </w:r>
      <w:r>
        <w:rPr>
          <w:rFonts w:hint="eastAsia" w:ascii="宋体" w:hAnsi="宋体" w:cs="宋体"/>
          <w:szCs w:val="21"/>
        </w:rPr>
        <w:t>(采购单位)：</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我方已仔细研究了</w:t>
      </w:r>
      <w:r>
        <w:rPr>
          <w:rFonts w:hint="eastAsia" w:ascii="宋体" w:hAnsi="宋体" w:cs="宋体"/>
          <w:szCs w:val="21"/>
          <w:u w:val="single"/>
        </w:rPr>
        <w:t xml:space="preserve">                         (</w:t>
      </w:r>
      <w:r>
        <w:rPr>
          <w:rFonts w:hint="eastAsia" w:ascii="宋体" w:hAnsi="宋体" w:cs="宋体"/>
          <w:szCs w:val="21"/>
        </w:rPr>
        <w:t xml:space="preserve">项目名称)的竞争性谈判文件（谈判项目编号： </w:t>
      </w:r>
      <w:r>
        <w:rPr>
          <w:rFonts w:hint="eastAsia" w:ascii="宋体" w:hAnsi="宋体" w:cs="宋体"/>
          <w:szCs w:val="21"/>
          <w:u w:val="single"/>
        </w:rPr>
        <w:t xml:space="preserve">       </w:t>
      </w:r>
      <w:r>
        <w:rPr>
          <w:rFonts w:hint="eastAsia" w:ascii="宋体" w:hAnsi="宋体" w:cs="宋体"/>
          <w:szCs w:val="21"/>
        </w:rPr>
        <w:t xml:space="preserve"> ）的全部内容，知悉参加竞争性谈判的风险，我方承诺接受谈判文件的全部条款且无任何异议。</w:t>
      </w:r>
    </w:p>
    <w:p>
      <w:pPr>
        <w:pStyle w:val="25"/>
        <w:adjustRightInd w:val="0"/>
        <w:snapToGrid w:val="0"/>
        <w:spacing w:line="360" w:lineRule="auto"/>
        <w:ind w:firstLine="420" w:firstLineChars="200"/>
        <w:rPr>
          <w:rFonts w:hAnsi="宋体" w:cs="宋体"/>
        </w:rPr>
      </w:pPr>
      <w:r>
        <w:rPr>
          <w:rFonts w:hint="eastAsia" w:hAnsi="宋体" w:cs="宋体"/>
        </w:rPr>
        <w:t>一、参与本项目竞争性谈判活动系本公司自愿行为。</w:t>
      </w:r>
    </w:p>
    <w:p>
      <w:pPr>
        <w:pStyle w:val="25"/>
        <w:adjustRightInd w:val="0"/>
        <w:snapToGrid w:val="0"/>
        <w:spacing w:line="360" w:lineRule="auto"/>
        <w:ind w:firstLine="420" w:firstLineChars="200"/>
        <w:rPr>
          <w:rFonts w:hAnsi="宋体" w:cs="宋体"/>
        </w:rPr>
      </w:pPr>
      <w:r>
        <w:rPr>
          <w:rFonts w:hint="eastAsia" w:hAnsi="宋体" w:cs="宋体"/>
        </w:rPr>
        <w:t>二、我方同意在谈判文件中规定的提交响应文件截止时间起</w:t>
      </w:r>
      <w:r>
        <w:rPr>
          <w:rFonts w:hint="eastAsia" w:hAnsi="宋体" w:cs="宋体"/>
          <w:u w:val="single"/>
        </w:rPr>
        <w:t>180</w:t>
      </w:r>
      <w:r>
        <w:rPr>
          <w:rFonts w:hint="eastAsia" w:hAnsi="宋体" w:cs="宋体"/>
        </w:rPr>
        <w:t>日历天内(响应文件有效期)遵守本响应文件中的承诺且在此期限期满之前均具有法律约束力。</w:t>
      </w:r>
    </w:p>
    <w:p>
      <w:pPr>
        <w:pStyle w:val="25"/>
        <w:adjustRightInd w:val="0"/>
        <w:snapToGrid w:val="0"/>
        <w:spacing w:line="360" w:lineRule="auto"/>
        <w:ind w:firstLine="420" w:firstLineChars="200"/>
        <w:rPr>
          <w:rFonts w:hAnsi="宋体"/>
          <w:bCs/>
        </w:rPr>
      </w:pPr>
      <w:r>
        <w:rPr>
          <w:rFonts w:hint="eastAsia" w:hAnsi="宋体"/>
        </w:rPr>
        <w:t>三、我方提交的响应文件均为正本</w:t>
      </w:r>
      <w:r>
        <w:rPr>
          <w:rFonts w:hint="eastAsia" w:hAnsi="宋体"/>
          <w:u w:val="single"/>
        </w:rPr>
        <w:t xml:space="preserve">   </w:t>
      </w:r>
      <w:r>
        <w:rPr>
          <w:rFonts w:hint="eastAsia" w:hAnsi="宋体"/>
        </w:rPr>
        <w:t>份和副本</w:t>
      </w:r>
      <w:r>
        <w:rPr>
          <w:rFonts w:hint="eastAsia" w:hAnsi="宋体"/>
          <w:u w:val="single"/>
        </w:rPr>
        <w:t xml:space="preserve">   </w:t>
      </w:r>
      <w:r>
        <w:rPr>
          <w:rFonts w:hint="eastAsia" w:hAnsi="宋体"/>
        </w:rPr>
        <w:t>份，电子文件（包括响应文件全部内容）</w:t>
      </w:r>
      <w:r>
        <w:rPr>
          <w:rFonts w:hint="eastAsia" w:hAnsi="宋体"/>
          <w:u w:val="single"/>
        </w:rPr>
        <w:t xml:space="preserve">   </w:t>
      </w:r>
      <w:r>
        <w:rPr>
          <w:rFonts w:hint="eastAsia" w:hAnsi="宋体"/>
        </w:rPr>
        <w:t>份，并保证响应文件提供的数据和材料是真实、准确的，</w:t>
      </w:r>
      <w:r>
        <w:rPr>
          <w:rFonts w:hint="eastAsia" w:hAnsi="宋体"/>
          <w:b/>
          <w:bCs/>
        </w:rPr>
        <w:t>均无复制、粘贴之情形，</w:t>
      </w:r>
      <w:r>
        <w:rPr>
          <w:rFonts w:hint="eastAsia" w:hAnsi="宋体"/>
        </w:rPr>
        <w:t>且无低于成本的恶意报价行为。否则，愿承担由此引起的一切</w:t>
      </w:r>
      <w:r>
        <w:rPr>
          <w:rFonts w:hint="eastAsia" w:hAnsi="宋体"/>
          <w:bCs/>
        </w:rPr>
        <w:t>法律责任。</w:t>
      </w:r>
    </w:p>
    <w:p>
      <w:pPr>
        <w:pStyle w:val="25"/>
        <w:adjustRightInd w:val="0"/>
        <w:snapToGrid w:val="0"/>
        <w:spacing w:line="360" w:lineRule="auto"/>
        <w:ind w:firstLine="420" w:firstLineChars="200"/>
        <w:rPr>
          <w:rFonts w:hAnsi="宋体" w:cs="宋体"/>
        </w:rPr>
      </w:pPr>
      <w:r>
        <w:rPr>
          <w:rFonts w:hint="eastAsia" w:hAnsi="宋体" w:cs="宋体"/>
        </w:rPr>
        <w:t>四、遵守贵司各项管理制度和谈判现场纪律，服从现场工作人员管理，自觉维护贵司谈判活动秩序。</w:t>
      </w:r>
    </w:p>
    <w:p>
      <w:pPr>
        <w:pStyle w:val="25"/>
        <w:adjustRightInd w:val="0"/>
        <w:snapToGrid w:val="0"/>
        <w:spacing w:line="360" w:lineRule="auto"/>
        <w:ind w:firstLine="420" w:firstLineChars="200"/>
        <w:rPr>
          <w:rFonts w:hAnsi="宋体" w:cs="宋体"/>
        </w:rPr>
      </w:pPr>
      <w:r>
        <w:rPr>
          <w:rFonts w:hint="eastAsia" w:hAnsi="宋体" w:cs="宋体"/>
        </w:rPr>
        <w:t>五、保证没有组织、参与围标、串标行为。</w:t>
      </w:r>
    </w:p>
    <w:p>
      <w:pPr>
        <w:pStyle w:val="25"/>
        <w:adjustRightInd w:val="0"/>
        <w:snapToGrid w:val="0"/>
        <w:spacing w:line="360" w:lineRule="auto"/>
        <w:ind w:firstLine="420" w:firstLineChars="200"/>
        <w:rPr>
          <w:rFonts w:hAnsi="宋体" w:cs="宋体"/>
        </w:rPr>
      </w:pPr>
      <w:r>
        <w:rPr>
          <w:rFonts w:hint="eastAsia" w:hAnsi="宋体" w:cs="宋体"/>
        </w:rPr>
        <w:t>六、不与采购单位或者谈判评审小组成员私下联络和串通以牟取中选；不以他人名义参与谈判或者以其他方式弄虚作假骗取中选；不在谈判结束后进行虚假、恶意质疑和投诉。</w:t>
      </w:r>
    </w:p>
    <w:p>
      <w:pPr>
        <w:pStyle w:val="25"/>
        <w:adjustRightInd w:val="0"/>
        <w:snapToGrid w:val="0"/>
        <w:spacing w:line="360" w:lineRule="auto"/>
        <w:ind w:firstLine="420" w:firstLineChars="200"/>
        <w:rPr>
          <w:rFonts w:hAnsi="宋体" w:cs="宋体"/>
        </w:rPr>
      </w:pPr>
      <w:r>
        <w:rPr>
          <w:rFonts w:hint="eastAsia" w:hAnsi="宋体" w:cs="宋体"/>
        </w:rPr>
        <w:t>七、我方承诺，若贵方需要，我方愿意提供任何与本次谈判有关的数据、情况和技术资料。</w:t>
      </w:r>
    </w:p>
    <w:p>
      <w:pPr>
        <w:pStyle w:val="25"/>
        <w:adjustRightInd w:val="0"/>
        <w:snapToGrid w:val="0"/>
        <w:spacing w:line="360" w:lineRule="auto"/>
        <w:ind w:firstLine="420" w:firstLineChars="200"/>
        <w:rPr>
          <w:rFonts w:hAnsi="宋体" w:cs="宋体"/>
        </w:rPr>
      </w:pPr>
      <w:r>
        <w:rPr>
          <w:rFonts w:hint="eastAsia" w:hAnsi="宋体" w:cs="宋体"/>
        </w:rPr>
        <w:t>八、我方承诺遵守相关法律法规及贵司的有关规定，保证在获得成交资格后，按照谈判文件确定的事项签订合同，履行双方所签订的合同，并承担合同规定的责任和义务。</w:t>
      </w:r>
    </w:p>
    <w:p>
      <w:pPr>
        <w:pStyle w:val="25"/>
        <w:adjustRightInd w:val="0"/>
        <w:snapToGrid w:val="0"/>
        <w:spacing w:line="360" w:lineRule="auto"/>
        <w:ind w:firstLine="420" w:firstLineChars="200"/>
        <w:rPr>
          <w:rFonts w:hAnsi="宋体" w:cs="宋体"/>
        </w:rPr>
      </w:pPr>
      <w:r>
        <w:rPr>
          <w:rFonts w:hint="eastAsia" w:hAnsi="宋体" w:cs="宋体"/>
        </w:rPr>
        <w:t>九、我方承诺在参与本次竞争性谈判过程中，若出现本文件第26条规定之情形，我方无条件接受条款规定作出的处罚。</w:t>
      </w:r>
    </w:p>
    <w:p>
      <w:pPr>
        <w:pStyle w:val="25"/>
        <w:adjustRightInd w:val="0"/>
        <w:snapToGrid w:val="0"/>
        <w:spacing w:line="360" w:lineRule="auto"/>
        <w:ind w:firstLine="420" w:firstLineChars="200"/>
        <w:rPr>
          <w:rFonts w:hAnsi="宋体" w:cs="宋体"/>
        </w:rPr>
      </w:pPr>
      <w:r>
        <w:rPr>
          <w:rFonts w:hint="eastAsia" w:hAnsi="宋体" w:cs="宋体"/>
        </w:rPr>
        <w:t>十、我方承诺完全响应本文件第四章“用户需求书”及第六章“合同格式条款”内的全部内容。</w:t>
      </w:r>
    </w:p>
    <w:p>
      <w:pPr>
        <w:ind w:firstLine="420" w:firstLineChars="200"/>
        <w:rPr>
          <w:rFonts w:ascii="宋体" w:hAnsi="宋体" w:cs="宋体"/>
          <w:szCs w:val="21"/>
        </w:rPr>
      </w:pPr>
      <w:r>
        <w:rPr>
          <w:rFonts w:hint="eastAsia" w:ascii="宋体" w:hAnsi="宋体" w:cs="宋体"/>
          <w:szCs w:val="21"/>
        </w:rPr>
        <w:t>十一、如有违反本承诺书内容的行为，愿意承担由此产生的法律责任及后果。</w:t>
      </w:r>
    </w:p>
    <w:p>
      <w:pPr>
        <w:adjustRightInd w:val="0"/>
        <w:snapToGrid w:val="0"/>
        <w:spacing w:line="360" w:lineRule="auto"/>
        <w:ind w:right="24"/>
        <w:rPr>
          <w:rFonts w:ascii="宋体" w:hAnsi="宋体" w:cs="宋体"/>
          <w:bCs/>
          <w:szCs w:val="21"/>
        </w:rPr>
      </w:pPr>
    </w:p>
    <w:p>
      <w:pPr>
        <w:pStyle w:val="25"/>
        <w:adjustRightInd w:val="0"/>
        <w:snapToGrid w:val="0"/>
        <w:spacing w:line="360" w:lineRule="auto"/>
        <w:rPr>
          <w:rFonts w:hAnsi="宋体" w:cs="宋体"/>
        </w:rPr>
      </w:pPr>
    </w:p>
    <w:p>
      <w:pPr>
        <w:pStyle w:val="25"/>
        <w:adjustRightInd w:val="0"/>
        <w:snapToGrid w:val="0"/>
        <w:spacing w:line="360" w:lineRule="auto"/>
        <w:rPr>
          <w:rFonts w:hAnsi="宋体" w:cs="宋体"/>
        </w:rPr>
      </w:pPr>
    </w:p>
    <w:p>
      <w:pPr>
        <w:spacing w:line="360" w:lineRule="auto"/>
        <w:rPr>
          <w:rFonts w:ascii="宋体" w:hAnsi="宋体" w:cs="宋体"/>
          <w:szCs w:val="21"/>
          <w:u w:val="single"/>
        </w:rPr>
      </w:pPr>
      <w:r>
        <w:rPr>
          <w:rFonts w:hint="eastAsia" w:ascii="宋体" w:hAnsi="宋体" w:cs="宋体"/>
          <w:szCs w:val="21"/>
        </w:rPr>
        <w:t>谈判单位名称：</w:t>
      </w:r>
      <w:r>
        <w:rPr>
          <w:rFonts w:hint="eastAsia" w:ascii="宋体" w:hAnsi="宋体" w:cs="宋体"/>
          <w:szCs w:val="21"/>
          <w:u w:val="single"/>
        </w:rPr>
        <w:t xml:space="preserve">    （盖单位章）         </w:t>
      </w:r>
    </w:p>
    <w:p>
      <w:pPr>
        <w:spacing w:line="360" w:lineRule="auto"/>
        <w:rPr>
          <w:rFonts w:ascii="宋体" w:hAnsi="宋体" w:cs="宋体"/>
          <w:szCs w:val="21"/>
        </w:rPr>
      </w:pPr>
      <w:r>
        <w:rPr>
          <w:rFonts w:hint="eastAsia" w:ascii="宋体" w:hAnsi="宋体" w:cs="宋体"/>
          <w:szCs w:val="21"/>
        </w:rPr>
        <w:t>法定代表人(签字或盖章)：</w:t>
      </w:r>
      <w:r>
        <w:rPr>
          <w:rFonts w:hint="eastAsia"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line="360" w:lineRule="auto"/>
        <w:ind w:right="24"/>
        <w:rPr>
          <w:rFonts w:ascii="宋体" w:hAnsi="宋体" w:cs="宋体"/>
          <w:bCs/>
          <w:szCs w:val="21"/>
        </w:rPr>
      </w:pPr>
    </w:p>
    <w:p>
      <w:pPr>
        <w:adjustRightInd w:val="0"/>
        <w:snapToGrid w:val="0"/>
        <w:spacing w:line="360" w:lineRule="auto"/>
        <w:ind w:right="24"/>
        <w:rPr>
          <w:rFonts w:ascii="宋体" w:hAnsi="宋体" w:cs="宋体"/>
          <w:bCs/>
          <w:sz w:val="28"/>
          <w:szCs w:val="28"/>
        </w:rPr>
      </w:pPr>
    </w:p>
    <w:p>
      <w:pPr>
        <w:pStyle w:val="2"/>
        <w:rPr>
          <w:rFonts w:ascii="宋体" w:hAnsi="宋体" w:cs="宋体"/>
          <w:bCs/>
          <w:sz w:val="28"/>
          <w:szCs w:val="28"/>
        </w:rPr>
      </w:pPr>
    </w:p>
    <w:p>
      <w:pPr>
        <w:rPr>
          <w:rFonts w:ascii="宋体" w:hAnsi="宋体" w:cs="宋体"/>
          <w:bCs/>
          <w:sz w:val="28"/>
          <w:szCs w:val="28"/>
        </w:rPr>
      </w:pPr>
    </w:p>
    <w:p>
      <w:pPr>
        <w:pStyle w:val="2"/>
        <w:rPr>
          <w:rFonts w:ascii="宋体" w:hAnsi="宋体" w:cs="宋体"/>
        </w:rPr>
      </w:pPr>
    </w:p>
    <w:p/>
    <w:p>
      <w:pPr>
        <w:adjustRightInd w:val="0"/>
        <w:snapToGrid w:val="0"/>
        <w:spacing w:line="360" w:lineRule="auto"/>
        <w:ind w:right="24"/>
        <w:jc w:val="center"/>
        <w:outlineLvl w:val="1"/>
        <w:rPr>
          <w:rFonts w:ascii="宋体" w:hAnsi="宋体" w:cs="宋体"/>
          <w:b/>
          <w:sz w:val="32"/>
          <w:szCs w:val="32"/>
        </w:rPr>
      </w:pPr>
      <w:bookmarkStart w:id="91" w:name="_Toc2211"/>
      <w:bookmarkStart w:id="92" w:name="_Toc31277"/>
      <w:bookmarkStart w:id="93" w:name="_Toc3026"/>
      <w:bookmarkStart w:id="94" w:name="_Toc1313"/>
    </w:p>
    <w:p>
      <w:pPr>
        <w:adjustRightInd w:val="0"/>
        <w:snapToGrid w:val="0"/>
        <w:spacing w:line="360" w:lineRule="auto"/>
        <w:ind w:right="24"/>
        <w:jc w:val="center"/>
        <w:outlineLvl w:val="1"/>
        <w:rPr>
          <w:rFonts w:ascii="宋体" w:hAnsi="宋体" w:cs="宋体"/>
          <w:b/>
          <w:sz w:val="32"/>
          <w:szCs w:val="32"/>
        </w:rPr>
      </w:pPr>
      <w:r>
        <w:rPr>
          <w:rFonts w:hint="eastAsia" w:ascii="宋体" w:hAnsi="宋体" w:cs="宋体"/>
          <w:b/>
          <w:sz w:val="32"/>
          <w:szCs w:val="32"/>
        </w:rPr>
        <w:t>二、法定代表人身份证明书</w:t>
      </w:r>
      <w:bookmarkEnd w:id="91"/>
      <w:bookmarkEnd w:id="92"/>
      <w:bookmarkEnd w:id="93"/>
      <w:bookmarkEnd w:id="94"/>
    </w:p>
    <w:p>
      <w:pPr>
        <w:snapToGrid w:val="0"/>
        <w:spacing w:line="480" w:lineRule="auto"/>
        <w:rPr>
          <w:rFonts w:ascii="宋体" w:hAnsi="宋体" w:cs="宋体"/>
          <w:szCs w:val="21"/>
        </w:rPr>
      </w:pP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szCs w:val="21"/>
        </w:rPr>
        <w:t>谈判单位</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b/>
          <w:bCs/>
          <w:kern w:val="0"/>
          <w:szCs w:val="21"/>
          <w:u w:val="single"/>
        </w:rPr>
      </w:pPr>
      <w:r>
        <w:rPr>
          <w:rFonts w:hint="eastAsia" w:ascii="宋体" w:hAnsi="宋体" w:cs="宋体"/>
          <w:kern w:val="0"/>
          <w:szCs w:val="21"/>
        </w:rPr>
        <w:t>注册号：</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spacing w:line="360" w:lineRule="auto"/>
        <w:rPr>
          <w:rFonts w:ascii="宋体" w:hAnsi="宋体" w:cs="宋体"/>
          <w:kern w:val="0"/>
          <w:szCs w:val="21"/>
        </w:rPr>
      </w:pPr>
      <w:r>
        <w:rPr>
          <w:rFonts w:hint="eastAsia" w:ascii="宋体" w:hAnsi="宋体" w:cs="宋体"/>
          <w:kern w:val="0"/>
          <w:szCs w:val="21"/>
        </w:rPr>
        <w:t>成立日期：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utoSpaceDE w:val="0"/>
        <w:autoSpaceDN w:val="0"/>
        <w:adjustRightInd w:val="0"/>
        <w:snapToGrid w:val="0"/>
        <w:spacing w:before="120" w:beforeLines="50" w:line="36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szCs w:val="21"/>
        </w:rPr>
        <w:t>谈判单位</w:t>
      </w:r>
      <w:r>
        <w:rPr>
          <w:rFonts w:hint="eastAsia" w:ascii="宋体" w:hAnsi="宋体" w:cs="宋体"/>
          <w:kern w:val="0"/>
          <w:szCs w:val="21"/>
        </w:rPr>
        <w:t>名称）的法定代表人。</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line="360" w:lineRule="auto"/>
        <w:jc w:val="left"/>
        <w:rPr>
          <w:rFonts w:ascii="宋体" w:hAnsi="宋体" w:cs="宋体"/>
          <w:szCs w:val="21"/>
        </w:rPr>
      </w:pPr>
      <w:r>
        <w:rPr>
          <w:rFonts w:hint="eastAsia" w:ascii="宋体" w:hAnsi="宋体" w:cs="宋体"/>
          <w:szCs w:val="21"/>
        </w:rPr>
        <mc:AlternateContent>
          <mc:Choice Requires="wps">
            <w:drawing>
              <wp:anchor distT="0" distB="0" distL="114300" distR="114300" simplePos="0" relativeHeight="251661312" behindDoc="1" locked="0" layoutInCell="1" allowOverlap="1">
                <wp:simplePos x="0" y="0"/>
                <wp:positionH relativeFrom="column">
                  <wp:posOffset>2820670</wp:posOffset>
                </wp:positionH>
                <wp:positionV relativeFrom="paragraph">
                  <wp:posOffset>146050</wp:posOffset>
                </wp:positionV>
                <wp:extent cx="2355850" cy="1221105"/>
                <wp:effectExtent l="4445" t="4445" r="20955" b="1270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r>
                              <w:rPr>
                                <w:rFonts w:hint="eastAsia"/>
                                <w:b/>
                              </w:rPr>
                              <w:t>法定代表人身份证（反面）复印件</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2.1pt;margin-top:11.5pt;height:96.15pt;width:185.5pt;z-index:-251655168;mso-width-relative:page;mso-height-relative:page;" fillcolor="#FFFFFF" filled="t" stroked="t"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5L9aJdcAAAAKAQAADwAAAAAAAAABACAAAAAi&#10;AAAAZHJzL2Rvd25yZXYueG1sUEsBAhQAFAAAAAgAh07iQHOVD4xEAgAAlAQAAA4AAAAAAAAAAQAg&#10;AAAAJg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r>
                        <w:rPr>
                          <w:rFonts w:hint="eastAsia"/>
                          <w:b/>
                        </w:rPr>
                        <w:t>法定代表人身份证（反面）复印件</w:t>
                      </w:r>
                    </w:p>
                  </w:txbxContent>
                </v:textbox>
              </v:rect>
            </w:pict>
          </mc:Fallback>
        </mc:AlternateContent>
      </w:r>
      <w:r>
        <w:rPr>
          <w:rFonts w:hint="eastAsia" w:ascii="宋体" w:hAnsi="宋体" w:cs="宋体"/>
          <w:szCs w:val="21"/>
        </w:rPr>
        <mc:AlternateContent>
          <mc:Choice Requires="wps">
            <w:drawing>
              <wp:anchor distT="0" distB="0" distL="114300" distR="114300" simplePos="0" relativeHeight="251660288"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5.5pt;z-index:-251656192;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h+N022QAAAAoBAAAPAAAAAAAAAAEAIAAA&#10;ACIAAABkcnMvZG93bnJldi54bWxQSwECFAAUAAAACACHTuJA1vkRP0QCAACUBAAADgAAAAAAAAAB&#10;ACAAAAAoAQAAZHJzL2Uyb0RvYy54bWxQSwUGAAAAAAYABgBZAQAA3g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mc:Fallback>
        </mc:AlternateContent>
      </w:r>
    </w:p>
    <w:p>
      <w:pPr>
        <w:snapToGrid w:val="0"/>
        <w:rPr>
          <w:rFonts w:ascii="宋体" w:hAnsi="宋体" w:cs="宋体"/>
          <w:szCs w:val="21"/>
        </w:rPr>
      </w:pPr>
    </w:p>
    <w:p>
      <w:pPr>
        <w:autoSpaceDE w:val="0"/>
        <w:autoSpaceDN w:val="0"/>
        <w:adjustRightInd w:val="0"/>
        <w:snapToGrid w:val="0"/>
        <w:spacing w:line="360" w:lineRule="auto"/>
        <w:jc w:val="left"/>
        <w:rPr>
          <w:rFonts w:ascii="宋体" w:hAnsi="宋体" w:cs="宋体"/>
          <w:szCs w:val="21"/>
        </w:rPr>
      </w:pPr>
    </w:p>
    <w:p>
      <w:pPr>
        <w:autoSpaceDE w:val="0"/>
        <w:autoSpaceDN w:val="0"/>
        <w:adjustRightInd w:val="0"/>
        <w:snapToGrid w:val="0"/>
        <w:spacing w:line="360" w:lineRule="auto"/>
        <w:jc w:val="left"/>
        <w:rPr>
          <w:rFonts w:ascii="宋体" w:hAnsi="宋体" w:cs="宋体"/>
          <w:szCs w:val="21"/>
        </w:rPr>
      </w:pPr>
    </w:p>
    <w:p>
      <w:pPr>
        <w:autoSpaceDE w:val="0"/>
        <w:autoSpaceDN w:val="0"/>
        <w:adjustRightInd w:val="0"/>
        <w:snapToGrid w:val="0"/>
        <w:spacing w:line="360" w:lineRule="auto"/>
        <w:jc w:val="left"/>
        <w:rPr>
          <w:rFonts w:ascii="宋体" w:hAnsi="宋体" w:cs="宋体"/>
          <w:szCs w:val="21"/>
        </w:rPr>
      </w:pPr>
    </w:p>
    <w:p>
      <w:pPr>
        <w:autoSpaceDE w:val="0"/>
        <w:autoSpaceDN w:val="0"/>
        <w:adjustRightInd w:val="0"/>
        <w:snapToGrid w:val="0"/>
        <w:spacing w:line="360" w:lineRule="auto"/>
        <w:jc w:val="left"/>
        <w:rPr>
          <w:rFonts w:ascii="宋体" w:hAnsi="宋体" w:cs="宋体"/>
          <w:szCs w:val="21"/>
        </w:rPr>
      </w:pPr>
    </w:p>
    <w:p>
      <w:pPr>
        <w:autoSpaceDE w:val="0"/>
        <w:autoSpaceDN w:val="0"/>
        <w:adjustRightInd w:val="0"/>
        <w:snapToGrid w:val="0"/>
        <w:spacing w:line="360" w:lineRule="auto"/>
        <w:jc w:val="left"/>
        <w:rPr>
          <w:rFonts w:ascii="宋体" w:hAnsi="宋体" w:cs="宋体"/>
          <w:b/>
          <w:szCs w:val="21"/>
        </w:rPr>
      </w:pPr>
      <w:r>
        <w:rPr>
          <w:rFonts w:hint="eastAsia" w:ascii="宋体" w:hAnsi="宋体" w:cs="宋体"/>
          <w:szCs w:val="21"/>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133350</wp:posOffset>
                </wp:positionV>
                <wp:extent cx="2355850" cy="1221105"/>
                <wp:effectExtent l="4445" t="4445" r="20955" b="1270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843" w:firstLineChars="400"/>
                              <w:rPr>
                                <w:b/>
                              </w:rPr>
                            </w:pPr>
                            <w:r>
                              <w:rPr>
                                <w:rFonts w:hint="eastAsia"/>
                                <w:b/>
                              </w:rPr>
                              <w:t>营业执照复印件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10.5pt;height:96.15pt;width:185.5pt;z-index:251668480;mso-width-relative:page;mso-height-relative:page;" fillcolor="#FFFFFF" filled="t" stroked="t" coordsize="21600,21600" o:gfxdata="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jYV859cAAAAKAQAADwAAAAAAAAABACAAAAAi&#10;AAAAZHJzL2Rvd25yZXYueG1sUEsBAhQAFAAAAAgAh07iQIE2FQJEAgAAlAQAAA4AAAAAAAAAAQAg&#10;AAAAJg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843" w:firstLineChars="400"/>
                        <w:rPr>
                          <w:b/>
                        </w:rPr>
                      </w:pPr>
                      <w:r>
                        <w:rPr>
                          <w:rFonts w:hint="eastAsia"/>
                          <w:b/>
                        </w:rPr>
                        <w:t>营业执照复印件</w:t>
                      </w:r>
                    </w:p>
                    <w:p/>
                  </w:txbxContent>
                </v:textbox>
              </v:rect>
            </w:pict>
          </mc:Fallback>
        </mc:AlternateContent>
      </w:r>
    </w:p>
    <w:p>
      <w:pPr>
        <w:autoSpaceDE w:val="0"/>
        <w:autoSpaceDN w:val="0"/>
        <w:adjustRightInd w:val="0"/>
        <w:snapToGrid w:val="0"/>
        <w:spacing w:line="360" w:lineRule="auto"/>
        <w:jc w:val="left"/>
        <w:rPr>
          <w:rFonts w:ascii="宋体" w:hAnsi="宋体" w:cs="宋体"/>
          <w:b/>
          <w:szCs w:val="21"/>
        </w:rPr>
      </w:pPr>
    </w:p>
    <w:p>
      <w:pPr>
        <w:autoSpaceDE w:val="0"/>
        <w:autoSpaceDN w:val="0"/>
        <w:adjustRightInd w:val="0"/>
        <w:snapToGrid w:val="0"/>
        <w:spacing w:line="360" w:lineRule="auto"/>
        <w:jc w:val="left"/>
        <w:rPr>
          <w:rFonts w:ascii="宋体" w:hAnsi="宋体" w:cs="宋体"/>
          <w:b/>
          <w:szCs w:val="21"/>
        </w:rPr>
      </w:pPr>
    </w:p>
    <w:p>
      <w:pPr>
        <w:autoSpaceDE w:val="0"/>
        <w:autoSpaceDN w:val="0"/>
        <w:adjustRightInd w:val="0"/>
        <w:snapToGrid w:val="0"/>
        <w:spacing w:line="360" w:lineRule="auto"/>
        <w:jc w:val="left"/>
        <w:rPr>
          <w:rFonts w:ascii="宋体" w:hAnsi="宋体" w:cs="宋体"/>
          <w:b/>
          <w:szCs w:val="21"/>
        </w:rPr>
      </w:pPr>
    </w:p>
    <w:p>
      <w:pPr>
        <w:autoSpaceDE w:val="0"/>
        <w:autoSpaceDN w:val="0"/>
        <w:adjustRightInd w:val="0"/>
        <w:snapToGrid w:val="0"/>
        <w:spacing w:line="360" w:lineRule="auto"/>
        <w:jc w:val="left"/>
        <w:rPr>
          <w:rFonts w:ascii="宋体" w:hAnsi="宋体" w:cs="宋体"/>
          <w:b/>
          <w:szCs w:val="21"/>
        </w:rPr>
      </w:pPr>
    </w:p>
    <w:p>
      <w:pPr>
        <w:autoSpaceDE w:val="0"/>
        <w:autoSpaceDN w:val="0"/>
        <w:adjustRightInd w:val="0"/>
        <w:snapToGrid w:val="0"/>
        <w:spacing w:line="360" w:lineRule="auto"/>
        <w:jc w:val="left"/>
        <w:rPr>
          <w:rFonts w:ascii="宋体" w:hAnsi="宋体" w:cs="宋体"/>
          <w:b/>
          <w:szCs w:val="21"/>
        </w:rPr>
      </w:pPr>
    </w:p>
    <w:p>
      <w:pPr>
        <w:autoSpaceDE w:val="0"/>
        <w:autoSpaceDN w:val="0"/>
        <w:adjustRightInd w:val="0"/>
        <w:snapToGrid w:val="0"/>
        <w:spacing w:line="360" w:lineRule="auto"/>
        <w:jc w:val="left"/>
        <w:rPr>
          <w:rFonts w:ascii="宋体" w:hAnsi="宋体" w:cs="宋体"/>
          <w:szCs w:val="21"/>
        </w:rPr>
      </w:pPr>
      <w:r>
        <w:rPr>
          <w:rFonts w:hint="eastAsia" w:ascii="宋体" w:hAnsi="宋体" w:cs="宋体"/>
          <w:b/>
          <w:szCs w:val="21"/>
        </w:rPr>
        <w:t>备注：上述证件复印件可另附页，另附页时，证件复印件均须加盖单位公章。</w:t>
      </w:r>
    </w:p>
    <w:p>
      <w:pPr>
        <w:snapToGrid w:val="0"/>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ind w:right="420"/>
        <w:rPr>
          <w:rFonts w:ascii="宋体" w:hAnsi="宋体" w:cs="宋体"/>
          <w:szCs w:val="21"/>
        </w:rPr>
      </w:pPr>
      <w:r>
        <w:rPr>
          <w:rFonts w:hint="eastAsia" w:ascii="宋体" w:hAnsi="宋体" w:cs="宋体"/>
          <w:szCs w:val="21"/>
        </w:rPr>
        <w:t>谈判单位名称（盖单位章）：</w:t>
      </w:r>
      <w:r>
        <w:rPr>
          <w:rFonts w:hint="eastAsia" w:ascii="宋体" w:hAnsi="宋体" w:cs="宋体"/>
          <w:u w:val="single"/>
        </w:rPr>
        <w:t xml:space="preserve">    （盖单位章）    </w:t>
      </w:r>
    </w:p>
    <w:p>
      <w:pPr>
        <w:spacing w:line="360" w:lineRule="auto"/>
        <w:rPr>
          <w:rFonts w:ascii="宋体" w:hAnsi="宋体" w:cs="宋体"/>
        </w:rPr>
      </w:pPr>
      <w:r>
        <w:rPr>
          <w:rFonts w:hint="eastAsia" w:ascii="宋体" w:hAnsi="宋体" w:cs="宋体"/>
        </w:rPr>
        <w:t>日期</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line="360" w:lineRule="auto"/>
        <w:ind w:right="24"/>
        <w:jc w:val="center"/>
        <w:outlineLvl w:val="1"/>
        <w:rPr>
          <w:rFonts w:ascii="宋体" w:hAnsi="宋体" w:cs="宋体"/>
          <w:b/>
          <w:sz w:val="32"/>
          <w:szCs w:val="32"/>
        </w:rPr>
      </w:pPr>
      <w:r>
        <w:rPr>
          <w:rFonts w:hint="eastAsia" w:ascii="宋体" w:hAnsi="宋体" w:cs="宋体"/>
          <w:bCs/>
          <w:sz w:val="24"/>
        </w:rPr>
        <w:br w:type="page"/>
      </w:r>
      <w:bookmarkStart w:id="95" w:name="_Toc21066"/>
      <w:bookmarkStart w:id="96" w:name="_Toc14170"/>
      <w:bookmarkStart w:id="97" w:name="_Toc761"/>
      <w:bookmarkStart w:id="98" w:name="_Toc3592"/>
      <w:r>
        <w:rPr>
          <w:rFonts w:hint="eastAsia" w:ascii="宋体" w:hAnsi="宋体" w:cs="宋体"/>
          <w:b/>
          <w:sz w:val="32"/>
          <w:szCs w:val="32"/>
        </w:rPr>
        <w:t>三、授权委托书</w:t>
      </w:r>
      <w:bookmarkEnd w:id="95"/>
      <w:bookmarkEnd w:id="96"/>
      <w:bookmarkEnd w:id="97"/>
      <w:bookmarkEnd w:id="98"/>
    </w:p>
    <w:p>
      <w:pPr>
        <w:adjustRightInd w:val="0"/>
        <w:snapToGrid w:val="0"/>
        <w:spacing w:line="360" w:lineRule="auto"/>
        <w:jc w:val="center"/>
        <w:rPr>
          <w:rFonts w:ascii="宋体" w:hAnsi="宋体" w:cs="宋体"/>
          <w:b/>
          <w:sz w:val="28"/>
          <w:szCs w:val="28"/>
        </w:rPr>
      </w:pPr>
    </w:p>
    <w:p>
      <w:pPr>
        <w:autoSpaceDE w:val="0"/>
        <w:autoSpaceDN w:val="0"/>
        <w:adjustRightInd w:val="0"/>
        <w:snapToGrid w:val="0"/>
        <w:spacing w:before="120" w:beforeLines="50" w:line="360" w:lineRule="auto"/>
        <w:ind w:firstLine="420" w:firstLineChars="200"/>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（姓名、职务）</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cs="宋体"/>
          <w:szCs w:val="21"/>
          <w:u w:val="single"/>
        </w:rPr>
        <w:t>谈判单位</w:t>
      </w:r>
      <w:r>
        <w:rPr>
          <w:rFonts w:hint="eastAsia" w:ascii="宋体" w:hAnsi="宋体" w:cs="宋体"/>
          <w:kern w:val="0"/>
          <w:szCs w:val="21"/>
          <w:u w:val="single"/>
        </w:rPr>
        <w:t>名称）</w:t>
      </w:r>
      <w:r>
        <w:rPr>
          <w:rFonts w:hint="eastAsia" w:ascii="宋体" w:hAnsi="宋体" w:cs="宋体"/>
          <w:kern w:val="0"/>
          <w:szCs w:val="21"/>
        </w:rPr>
        <w:t>的法定代表人，现授权</w:t>
      </w:r>
      <w:r>
        <w:rPr>
          <w:rFonts w:hint="eastAsia" w:ascii="宋体" w:hAnsi="宋体" w:cs="宋体"/>
          <w:kern w:val="0"/>
          <w:szCs w:val="21"/>
          <w:u w:val="single"/>
        </w:rPr>
        <w:t>（姓名、职务）</w:t>
      </w:r>
      <w:r>
        <w:rPr>
          <w:rFonts w:hint="eastAsia" w:ascii="宋体" w:hAnsi="宋体" w:cs="宋体"/>
          <w:kern w:val="0"/>
          <w:szCs w:val="21"/>
        </w:rPr>
        <w:t>为我方代理人。代理人根据授权，以我方名义签署、澄清、补正、修改、撤回、提交</w:t>
      </w:r>
      <w:r>
        <w:rPr>
          <w:rFonts w:hint="eastAsia" w:ascii="宋体" w:hAnsi="宋体" w:cs="宋体"/>
          <w:kern w:val="0"/>
          <w:szCs w:val="21"/>
          <w:u w:val="single"/>
        </w:rPr>
        <w:t>（项目名称、</w:t>
      </w:r>
      <w:r>
        <w:rPr>
          <w:rFonts w:hint="eastAsia" w:ascii="宋体" w:hAnsi="宋体" w:cs="宋体"/>
          <w:szCs w:val="21"/>
          <w:u w:val="single"/>
        </w:rPr>
        <w:t>项目</w:t>
      </w:r>
      <w:r>
        <w:rPr>
          <w:rFonts w:hint="eastAsia" w:ascii="宋体" w:hAnsi="宋体" w:cs="宋体"/>
          <w:kern w:val="0"/>
          <w:szCs w:val="21"/>
          <w:u w:val="single"/>
        </w:rPr>
        <w:t>编号）</w:t>
      </w:r>
      <w:r>
        <w:rPr>
          <w:rFonts w:hint="eastAsia" w:ascii="宋体" w:hAnsi="宋体" w:cs="宋体"/>
          <w:kern w:val="0"/>
          <w:szCs w:val="21"/>
        </w:rPr>
        <w:t>响应文件及与本谈判项目的有关事宜，其法律后果由我方承担。</w:t>
      </w:r>
    </w:p>
    <w:p>
      <w:pPr>
        <w:spacing w:line="360" w:lineRule="auto"/>
        <w:ind w:firstLine="435"/>
        <w:rPr>
          <w:rFonts w:ascii="宋体" w:hAnsi="宋体" w:cs="宋体"/>
          <w:kern w:val="0"/>
          <w:szCs w:val="21"/>
        </w:rPr>
      </w:pPr>
    </w:p>
    <w:p>
      <w:pPr>
        <w:spacing w:line="360" w:lineRule="auto"/>
        <w:ind w:firstLine="435"/>
        <w:rPr>
          <w:rFonts w:ascii="宋体" w:hAnsi="宋体" w:cs="宋体"/>
          <w:kern w:val="0"/>
          <w:szCs w:val="21"/>
        </w:rPr>
      </w:pPr>
    </w:p>
    <w:p>
      <w:pPr>
        <w:spacing w:line="360" w:lineRule="auto"/>
        <w:ind w:firstLine="435"/>
        <w:rPr>
          <w:rFonts w:ascii="宋体" w:hAnsi="宋体" w:cs="宋体"/>
          <w:kern w:val="0"/>
          <w:szCs w:val="21"/>
        </w:rPr>
      </w:pPr>
    </w:p>
    <w:p>
      <w:pPr>
        <w:spacing w:line="360" w:lineRule="auto"/>
        <w:ind w:firstLine="435"/>
        <w:rPr>
          <w:rFonts w:ascii="宋体" w:hAnsi="宋体" w:cs="宋体"/>
          <w:kern w:val="0"/>
          <w:szCs w:val="21"/>
        </w:rPr>
      </w:pPr>
      <w:r>
        <w:rPr>
          <w:rFonts w:hint="eastAsia" w:ascii="宋体" w:hAnsi="宋体" w:cs="宋体"/>
          <w:kern w:val="0"/>
          <w:szCs w:val="21"/>
        </w:rPr>
        <w:t>代理人无转委托权。</w:t>
      </w:r>
    </w:p>
    <w:p>
      <w:pPr>
        <w:spacing w:line="360" w:lineRule="auto"/>
        <w:ind w:firstLine="435"/>
        <w:rPr>
          <w:rFonts w:ascii="宋体" w:hAnsi="宋体" w:cs="宋体"/>
          <w:szCs w:val="21"/>
        </w:rPr>
      </w:pPr>
      <w:r>
        <w:rPr>
          <w:rFonts w:hint="eastAsia" w:ascii="宋体" w:hAnsi="宋体" w:cs="宋体"/>
          <w:szCs w:val="21"/>
        </w:rPr>
        <w:t>本授权书于    年   月   日签字生效，特此声明。</w:t>
      </w:r>
    </w:p>
    <w:p>
      <w:pPr>
        <w:adjustRightInd w:val="0"/>
        <w:snapToGrid w:val="0"/>
        <w:spacing w:before="120" w:beforeLines="50" w:line="360" w:lineRule="auto"/>
        <w:ind w:firstLine="420" w:firstLineChars="200"/>
        <w:rPr>
          <w:rFonts w:ascii="宋体" w:hAnsi="宋体" w:cs="宋体"/>
          <w:szCs w:val="21"/>
        </w:rPr>
      </w:pPr>
      <w:r>
        <w:rPr>
          <w:rFonts w:hint="eastAsia" w:ascii="宋体" w:hAnsi="宋体" w:cs="宋体"/>
          <w:szCs w:val="21"/>
        </w:rPr>
        <mc:AlternateContent>
          <mc:Choice Requires="wps">
            <w:drawing>
              <wp:anchor distT="0" distB="0" distL="114300" distR="114300" simplePos="0" relativeHeight="251664384" behindDoc="1" locked="0" layoutInCell="1" allowOverlap="1">
                <wp:simplePos x="0" y="0"/>
                <wp:positionH relativeFrom="column">
                  <wp:posOffset>-114300</wp:posOffset>
                </wp:positionH>
                <wp:positionV relativeFrom="paragraph">
                  <wp:posOffset>18415</wp:posOffset>
                </wp:positionV>
                <wp:extent cx="1410970" cy="1299845"/>
                <wp:effectExtent l="4445" t="4445" r="13335" b="10160"/>
                <wp:wrapNone/>
                <wp:docPr id="6" name="矩形 6"/>
                <wp:cNvGraphicFramePr/>
                <a:graphic xmlns:a="http://schemas.openxmlformats.org/drawingml/2006/main">
                  <a:graphicData uri="http://schemas.microsoft.com/office/word/2010/wordprocessingShape">
                    <wps:wsp>
                      <wps:cNvSpPr/>
                      <wps:spPr>
                        <a:xfrm>
                          <a:off x="0" y="0"/>
                          <a:ext cx="1410970" cy="12998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rPr>
                                <w:b/>
                              </w:rPr>
                            </w:pPr>
                            <w:r>
                              <w:rPr>
                                <w:rFonts w:hint="eastAsia"/>
                                <w:b/>
                              </w:rPr>
                              <w:t>委托代理人身份证（双面）复印件</w:t>
                            </w:r>
                          </w:p>
                          <w:p/>
                        </w:txbxContent>
                      </wps:txbx>
                      <wps:bodyPr upright="1"/>
                    </wps:wsp>
                  </a:graphicData>
                </a:graphic>
              </wp:anchor>
            </w:drawing>
          </mc:Choice>
          <mc:Fallback>
            <w:pict>
              <v:rect id="_x0000_s1026" o:spid="_x0000_s1026" o:spt="1" style="position:absolute;left:0pt;margin-left:-9pt;margin-top:1.45pt;height:102.35pt;width:111.1pt;z-index:-251652096;mso-width-relative:page;mso-height-relative:page;" fillcolor="#FFFFFF" filled="t" stroked="t" coordsize="21600,21600" o:gfxdata="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&#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5YK+A2AAAAAkBAAAPAAAAAAAAAAEAIAAAACIAAABk&#10;cnMvZG93bnJldi54bWxQSwECFAAUAAAACACHTuJAHK6nngYCAAA4BAAADgAAAAAAAAABACAAAAAn&#10;AQAAZHJzL2Uyb0RvYy54bWxQSwUGAAAAAAYABgBZAQAAnwUAAAAA&#10;">
                <v:fill on="t" focussize="0,0"/>
                <v:stroke color="#000000"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mc:Fallback>
        </mc:AlternateContent>
      </w:r>
      <w:r>
        <w:rPr>
          <w:rFonts w:hint="eastAsia" w:ascii="宋体" w:hAnsi="宋体" w:cs="宋体"/>
          <w:szCs w:val="21"/>
        </w:rPr>
        <mc:AlternateContent>
          <mc:Choice Requires="wps">
            <w:drawing>
              <wp:anchor distT="0" distB="0" distL="114300" distR="114300" simplePos="0" relativeHeight="251667456" behindDoc="1" locked="0" layoutInCell="1" allowOverlap="1">
                <wp:simplePos x="0" y="0"/>
                <wp:positionH relativeFrom="column">
                  <wp:posOffset>3455670</wp:posOffset>
                </wp:positionH>
                <wp:positionV relativeFrom="paragraph">
                  <wp:posOffset>3810</wp:posOffset>
                </wp:positionV>
                <wp:extent cx="1555750" cy="1271270"/>
                <wp:effectExtent l="4445" t="5080" r="20955" b="19050"/>
                <wp:wrapNone/>
                <wp:docPr id="7" name="矩形 7"/>
                <wp:cNvGraphicFramePr/>
                <a:graphic xmlns:a="http://schemas.openxmlformats.org/drawingml/2006/main">
                  <a:graphicData uri="http://schemas.microsoft.com/office/word/2010/wordprocessingShape">
                    <wps:wsp>
                      <wps:cNvSpPr/>
                      <wps:spPr>
                        <a:xfrm>
                          <a:off x="0" y="0"/>
                          <a:ext cx="1555750" cy="12712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ind w:firstLine="422" w:firstLineChars="200"/>
                              <w:rPr>
                                <w:b/>
                              </w:rPr>
                            </w:pPr>
                            <w:r>
                              <w:rPr>
                                <w:rFonts w:hint="eastAsia"/>
                                <w:b/>
                              </w:rPr>
                              <w:t>营业执照复印件</w:t>
                            </w:r>
                          </w:p>
                          <w:p>
                            <w:pPr>
                              <w:rPr>
                                <w:highlight w:val="yellow"/>
                              </w:rPr>
                            </w:pPr>
                          </w:p>
                        </w:txbxContent>
                      </wps:txbx>
                      <wps:bodyPr upright="1"/>
                    </wps:wsp>
                  </a:graphicData>
                </a:graphic>
              </wp:anchor>
            </w:drawing>
          </mc:Choice>
          <mc:Fallback>
            <w:pict>
              <v:rect id="_x0000_s1026" o:spid="_x0000_s1026" o:spt="1" style="position:absolute;left:0pt;margin-left:272.1pt;margin-top:0.3pt;height:100.1pt;width:122.5pt;z-index:-251649024;mso-width-relative:page;mso-height-relative:page;" fillcolor="#FFFFFF" filled="t" stroked="t" coordsize="21600,21600" o:gfxdata="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8tU7fWAAAACAEAAA8AAAAAAAAAAQAgAAAAIgAAAGRy&#10;cy9kb3ducmV2LnhtbFBLAQIUABQAAAAIAIdO4kDOAfzaBwIAADgEAAAOAAAAAAAAAAEAIAAAACUB&#10;AABkcnMvZTJvRG9jLnhtbFBLBQYAAAAABgAGAFkBAACeBQAAAAA=&#10;">
                <v:fill on="t" focussize="0,0"/>
                <v:stroke color="#000000" joinstyle="miter"/>
                <v:imagedata o:title=""/>
                <o:lock v:ext="edit" aspectratio="f"/>
                <v:textbox>
                  <w:txbxContent>
                    <w:p/>
                    <w:p>
                      <w:pPr>
                        <w:ind w:firstLine="211" w:firstLineChars="100"/>
                        <w:rPr>
                          <w:b/>
                        </w:rPr>
                      </w:pPr>
                      <w:r>
                        <w:rPr>
                          <w:rFonts w:hint="eastAsia"/>
                          <w:b/>
                        </w:rPr>
                        <w:t>附：</w:t>
                      </w:r>
                    </w:p>
                    <w:p>
                      <w:pPr>
                        <w:ind w:firstLine="422" w:firstLineChars="200"/>
                        <w:rPr>
                          <w:b/>
                        </w:rPr>
                      </w:pPr>
                      <w:r>
                        <w:rPr>
                          <w:rFonts w:hint="eastAsia"/>
                          <w:b/>
                        </w:rPr>
                        <w:t>营业执照复印件</w:t>
                      </w:r>
                    </w:p>
                    <w:p>
                      <w:pPr>
                        <w:rPr>
                          <w:highlight w:val="yellow"/>
                        </w:rPr>
                      </w:pPr>
                    </w:p>
                  </w:txbxContent>
                </v:textbox>
              </v:rect>
            </w:pict>
          </mc:Fallback>
        </mc:AlternateContent>
      </w:r>
      <w:r>
        <w:rPr>
          <w:rFonts w:hint="eastAsia" w:ascii="宋体" w:hAnsi="宋体" w:cs="宋体"/>
          <w:szCs w:val="21"/>
        </w:rPr>
        <mc:AlternateContent>
          <mc:Choice Requires="wps">
            <w:drawing>
              <wp:anchor distT="0" distB="0" distL="114300" distR="114300" simplePos="0" relativeHeight="251666432" behindDoc="1" locked="0" layoutInCell="1" allowOverlap="1">
                <wp:simplePos x="0" y="0"/>
                <wp:positionH relativeFrom="column">
                  <wp:posOffset>1694815</wp:posOffset>
                </wp:positionH>
                <wp:positionV relativeFrom="paragraph">
                  <wp:posOffset>17145</wp:posOffset>
                </wp:positionV>
                <wp:extent cx="1433195" cy="1278255"/>
                <wp:effectExtent l="4445" t="5080" r="10160" b="12065"/>
                <wp:wrapNone/>
                <wp:docPr id="5" name="矩形 5"/>
                <wp:cNvGraphicFramePr/>
                <a:graphic xmlns:a="http://schemas.openxmlformats.org/drawingml/2006/main">
                  <a:graphicData uri="http://schemas.microsoft.com/office/word/2010/wordprocessingShape">
                    <wps:wsp>
                      <wps:cNvSpPr/>
                      <wps:spPr>
                        <a:xfrm flipH="1">
                          <a:off x="0" y="0"/>
                          <a:ext cx="1433195" cy="12782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rPr>
                                <w:b/>
                              </w:rPr>
                            </w:pPr>
                            <w:r>
                              <w:rPr>
                                <w:rFonts w:hint="eastAsia"/>
                                <w:b/>
                              </w:rPr>
                              <w:t>法定代表人身份证（双面）复印件</w:t>
                            </w:r>
                          </w:p>
                          <w:p/>
                        </w:txbxContent>
                      </wps:txbx>
                      <wps:bodyPr upright="1"/>
                    </wps:wsp>
                  </a:graphicData>
                </a:graphic>
              </wp:anchor>
            </w:drawing>
          </mc:Choice>
          <mc:Fallback>
            <w:pict>
              <v:rect id="_x0000_s1026" o:spid="_x0000_s1026" o:spt="1" style="position:absolute;left:0pt;flip:x;margin-left:133.45pt;margin-top:1.35pt;height:100.65pt;width:112.85pt;z-index:-251650048;mso-width-relative:page;mso-height-relative:page;" fillcolor="#FFFFFF" filled="t" stroked="t" coordsize="21600,21600" o:gfxdata="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FLOK9YAAAAJAQAADwAAAAAAAAABACAA&#10;AAAiAAAAZHJzL2Rvd25yZXYueG1sUEsBAhQAFAAAAAgAh07iQNyJRy4PAgAAQgQAAA4AAAAAAAAA&#10;AQAgAAAAJQEAAGRycy9lMm9Eb2MueG1sUEsFBgAAAAAGAAYAWQEAAKYFAAAAAA==&#10;">
                <v:fill on="t" focussize="0,0"/>
                <v:stroke color="#000000" joinstyle="miter"/>
                <v:imagedata o:title=""/>
                <o:lock v:ext="edit" aspectratio="f"/>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mc:Fallback>
        </mc:AlternateContent>
      </w: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utoSpaceDE w:val="0"/>
        <w:autoSpaceDN w:val="0"/>
        <w:adjustRightInd w:val="0"/>
        <w:snapToGrid w:val="0"/>
        <w:spacing w:line="360" w:lineRule="auto"/>
        <w:jc w:val="left"/>
        <w:rPr>
          <w:rFonts w:ascii="宋体" w:hAnsi="宋体" w:cs="宋体"/>
          <w:szCs w:val="21"/>
        </w:rPr>
      </w:pPr>
      <w:r>
        <w:rPr>
          <w:rFonts w:hint="eastAsia" w:ascii="宋体" w:hAnsi="宋体" w:cs="宋体"/>
          <w:b/>
          <w:szCs w:val="21"/>
        </w:rPr>
        <w:t xml:space="preserve">备注：上述证件复印件可另附页，另附页时，证件复印件均须加盖单位公章。 </w:t>
      </w: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r>
        <w:rPr>
          <w:rFonts w:hint="eastAsia" w:ascii="宋体" w:hAnsi="宋体" w:cs="宋体"/>
          <w:szCs w:val="21"/>
        </w:rPr>
        <w:t>谈判单位名称（盖单位章）：</w:t>
      </w:r>
      <w:r>
        <w:rPr>
          <w:rFonts w:hint="eastAsia" w:ascii="宋体" w:hAnsi="宋体" w:cs="宋体"/>
          <w:u w:val="single"/>
        </w:rPr>
        <w:t xml:space="preserve">    （盖单位章）    </w:t>
      </w:r>
    </w:p>
    <w:p>
      <w:pPr>
        <w:adjustRightInd w:val="0"/>
        <w:snapToGrid w:val="0"/>
        <w:spacing w:line="360" w:lineRule="auto"/>
        <w:ind w:right="420"/>
        <w:rPr>
          <w:rFonts w:ascii="宋体" w:hAnsi="宋体" w:cs="宋体"/>
          <w:szCs w:val="21"/>
        </w:rPr>
      </w:pPr>
      <w:r>
        <w:rPr>
          <w:rFonts w:hint="eastAsia" w:ascii="宋体" w:hAnsi="宋体" w:cs="宋体"/>
          <w:szCs w:val="21"/>
        </w:rPr>
        <w:t>法定代表人（亲笔签字）：</w:t>
      </w:r>
      <w:r>
        <w:rPr>
          <w:rFonts w:hint="eastAsia" w:ascii="宋体" w:hAnsi="宋体" w:cs="宋体"/>
          <w:szCs w:val="21"/>
          <w:u w:val="single"/>
        </w:rPr>
        <w:t xml:space="preserve">                      </w:t>
      </w:r>
    </w:p>
    <w:p>
      <w:pPr>
        <w:adjustRightInd w:val="0"/>
        <w:snapToGrid w:val="0"/>
        <w:spacing w:line="360" w:lineRule="auto"/>
        <w:ind w:right="420"/>
        <w:rPr>
          <w:rFonts w:ascii="宋体" w:hAnsi="宋体" w:cs="宋体"/>
          <w:szCs w:val="21"/>
        </w:rPr>
      </w:pPr>
      <w:r>
        <w:rPr>
          <w:rFonts w:hint="eastAsia" w:ascii="宋体" w:hAnsi="宋体" w:cs="宋体"/>
          <w:szCs w:val="21"/>
        </w:rPr>
        <w:t>委托代理人（亲笔签字）：</w:t>
      </w:r>
      <w:r>
        <w:rPr>
          <w:rFonts w:hint="eastAsia" w:ascii="宋体" w:hAnsi="宋体" w:cs="宋体"/>
          <w:szCs w:val="21"/>
          <w:u w:val="single"/>
        </w:rPr>
        <w:t xml:space="preserve">                      </w:t>
      </w:r>
    </w:p>
    <w:p>
      <w:pPr>
        <w:spacing w:line="360" w:lineRule="auto"/>
        <w:rPr>
          <w:rFonts w:ascii="宋体" w:hAnsi="宋体" w:cs="宋体"/>
          <w:szCs w:val="21"/>
        </w:rPr>
        <w:sectPr>
          <w:pgSz w:w="11906" w:h="16838"/>
          <w:pgMar w:top="1440" w:right="849" w:bottom="1440" w:left="992" w:header="851" w:footer="851" w:gutter="0"/>
          <w:pgNumType w:fmt="decimal"/>
          <w:cols w:space="720" w:num="1"/>
          <w:docGrid w:linePitch="312" w:charSpace="0"/>
        </w:sectPr>
      </w:pPr>
      <w:r>
        <w:rPr>
          <w:rFonts w:hint="eastAsia" w:ascii="宋体" w:hAnsi="宋体" w:cs="宋体"/>
        </w:rPr>
        <w:t>日期</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line="360" w:lineRule="auto"/>
        <w:ind w:right="24"/>
        <w:jc w:val="center"/>
        <w:outlineLvl w:val="1"/>
        <w:rPr>
          <w:rFonts w:ascii="宋体" w:hAnsi="宋体" w:cs="宋体"/>
          <w:b/>
          <w:sz w:val="32"/>
          <w:szCs w:val="32"/>
        </w:rPr>
      </w:pPr>
      <w:bookmarkStart w:id="99" w:name="_Toc30284"/>
      <w:bookmarkStart w:id="100" w:name="_Toc11357"/>
      <w:bookmarkStart w:id="101" w:name="_Toc2295"/>
      <w:bookmarkStart w:id="102" w:name="_Toc18944"/>
      <w:r>
        <w:rPr>
          <w:rFonts w:hint="eastAsia" w:ascii="宋体" w:hAnsi="宋体" w:cs="宋体"/>
          <w:b/>
          <w:sz w:val="32"/>
          <w:szCs w:val="32"/>
        </w:rPr>
        <w:t>四、谈判单位资格证明文件</w:t>
      </w:r>
      <w:bookmarkEnd w:id="99"/>
      <w:bookmarkEnd w:id="100"/>
      <w:bookmarkEnd w:id="101"/>
      <w:bookmarkEnd w:id="102"/>
    </w:p>
    <w:p>
      <w:pPr>
        <w:adjustRightInd w:val="0"/>
        <w:snapToGrid w:val="0"/>
        <w:spacing w:line="360" w:lineRule="auto"/>
        <w:rPr>
          <w:rFonts w:ascii="宋体" w:hAnsi="宋体" w:cs="宋体"/>
          <w:bCs/>
          <w:szCs w:val="21"/>
        </w:rPr>
      </w:pPr>
    </w:p>
    <w:p>
      <w:pPr>
        <w:adjustRightInd w:val="0"/>
        <w:snapToGrid w:val="0"/>
        <w:spacing w:line="360" w:lineRule="auto"/>
        <w:ind w:firstLine="420" w:firstLineChars="200"/>
        <w:rPr>
          <w:rFonts w:ascii="宋体" w:hAnsi="宋体"/>
          <w:bCs/>
          <w:szCs w:val="21"/>
        </w:rPr>
      </w:pPr>
      <w:r>
        <w:rPr>
          <w:rFonts w:hint="eastAsia" w:ascii="宋体" w:hAnsi="宋体"/>
          <w:bCs/>
          <w:szCs w:val="21"/>
        </w:rPr>
        <w:t>根据本谈判文件</w:t>
      </w:r>
      <w:r>
        <w:rPr>
          <w:rFonts w:hint="eastAsia" w:ascii="宋体" w:hAnsi="宋体"/>
          <w:b/>
          <w:bCs/>
          <w:szCs w:val="21"/>
        </w:rPr>
        <w:t>前附表</w:t>
      </w:r>
      <w:r>
        <w:rPr>
          <w:rFonts w:hint="eastAsia" w:ascii="宋体" w:hAnsi="宋体"/>
          <w:bCs/>
          <w:szCs w:val="21"/>
        </w:rPr>
        <w:t>内的资格要求，本章节须附下列证明文件复印件：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w:t>
      </w:r>
      <w:r>
        <w:rPr>
          <w:rFonts w:hint="eastAsia" w:ascii="宋体" w:hAnsi="宋体" w:cs="宋体"/>
        </w:rPr>
        <w:t>电子与智能化工程专业承包二级及以上或建筑机电安装工程专业承包三级及以上或通信工程施工总承包三级及以上或机电工程施工总承包三级及以上</w:t>
      </w:r>
      <w:r>
        <w:rPr>
          <w:rFonts w:hint="eastAsia" w:ascii="宋体" w:hAnsi="宋体" w:cs="宋体"/>
          <w:szCs w:val="21"/>
        </w:rPr>
        <w:t>资质证书。</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2.有效的施工企业《安全生产许可证》。</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3.拟任项目负责人应附注册建造师证、B类安全生产考核合格证</w:t>
      </w:r>
      <w:r>
        <w:rPr>
          <w:rFonts w:hint="eastAsia" w:ascii="宋体" w:hAnsi="宋体" w:cs="宋体"/>
          <w:bCs/>
          <w:szCs w:val="21"/>
        </w:rPr>
        <w:t>。</w:t>
      </w:r>
    </w:p>
    <w:p>
      <w:pPr>
        <w:adjustRightInd w:val="0"/>
        <w:snapToGrid w:val="0"/>
        <w:spacing w:line="360" w:lineRule="auto"/>
        <w:ind w:firstLine="420" w:firstLineChars="200"/>
        <w:jc w:val="left"/>
        <w:rPr>
          <w:rFonts w:ascii="宋体" w:hAnsi="宋体" w:cs="宋体"/>
          <w:bCs/>
          <w:szCs w:val="21"/>
        </w:rPr>
      </w:pPr>
      <w:r>
        <w:rPr>
          <w:rFonts w:hint="eastAsia" w:ascii="宋体" w:hAnsi="宋体" w:cs="宋体"/>
          <w:bCs/>
          <w:szCs w:val="21"/>
        </w:rPr>
        <w:t>4.</w:t>
      </w:r>
      <w:r>
        <w:rPr>
          <w:rFonts w:hint="eastAsia" w:ascii="宋体" w:hAnsi="宋体" w:cs="宋体"/>
          <w:szCs w:val="21"/>
        </w:rPr>
        <w:t>安全员应附C类安全生产考核合格证</w:t>
      </w:r>
      <w:r>
        <w:rPr>
          <w:rFonts w:hint="eastAsia" w:ascii="宋体" w:hAnsi="宋体" w:cs="宋体"/>
          <w:bCs/>
          <w:szCs w:val="21"/>
        </w:rPr>
        <w:t>。</w:t>
      </w:r>
    </w:p>
    <w:p>
      <w:pPr>
        <w:spacing w:line="360" w:lineRule="auto"/>
        <w:ind w:firstLine="420" w:firstLineChars="200"/>
        <w:jc w:val="left"/>
        <w:rPr>
          <w:rFonts w:ascii="宋体" w:hAnsi="宋体" w:cs="宋体"/>
          <w:szCs w:val="21"/>
        </w:rPr>
      </w:pPr>
      <w:r>
        <w:rPr>
          <w:rFonts w:hint="eastAsia" w:ascii="宋体" w:hAnsi="宋体" w:cs="宋体"/>
          <w:bCs/>
          <w:szCs w:val="21"/>
        </w:rPr>
        <w:t>5.</w:t>
      </w:r>
      <w:r>
        <w:rPr>
          <w:rFonts w:hint="eastAsia" w:ascii="宋体" w:hAnsi="宋体" w:cs="宋体"/>
          <w:szCs w:val="21"/>
        </w:rPr>
        <w:t>施工员应附身份证、执业资质证或上岗证书。</w:t>
      </w:r>
    </w:p>
    <w:p>
      <w:pPr>
        <w:adjustRightInd w:val="0"/>
        <w:snapToGrid w:val="0"/>
        <w:spacing w:line="360" w:lineRule="auto"/>
        <w:ind w:firstLine="420" w:firstLineChars="200"/>
        <w:jc w:val="left"/>
        <w:rPr>
          <w:rFonts w:ascii="宋体" w:hAnsi="宋体" w:cs="宋体"/>
          <w:bCs/>
          <w:szCs w:val="21"/>
        </w:rPr>
      </w:pPr>
      <w:r>
        <w:rPr>
          <w:rFonts w:hint="eastAsia" w:ascii="宋体" w:hAnsi="宋体" w:cs="宋体"/>
          <w:bCs/>
          <w:szCs w:val="21"/>
        </w:rPr>
        <w:t>6.</w:t>
      </w:r>
      <w:r>
        <w:rPr>
          <w:rFonts w:hint="eastAsia" w:ascii="宋体" w:hAnsi="宋体" w:cs="宋体"/>
          <w:szCs w:val="21"/>
        </w:rPr>
        <w:t>湖南省外企业须按照湘建建【2015】190号文件要求办理省外入湘企业基本情况登记（以“湖南省住房和城乡建设网”查询为准）或具有入湘施工登记证（处于有效期内）。</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7.</w:t>
      </w:r>
      <w:r>
        <w:rPr>
          <w:rFonts w:hint="eastAsia" w:ascii="宋体" w:hAnsi="宋体" w:cs="宋体"/>
          <w:kern w:val="0"/>
          <w:szCs w:val="21"/>
        </w:rPr>
        <w:t>谈判单位认为与本项目资格条件有关的其它证明文件（如有，格式自拟）。</w:t>
      </w:r>
    </w:p>
    <w:p>
      <w:pPr>
        <w:adjustRightInd w:val="0"/>
        <w:snapToGrid w:val="0"/>
        <w:spacing w:line="360" w:lineRule="auto"/>
        <w:ind w:firstLine="422" w:firstLineChars="200"/>
        <w:rPr>
          <w:rFonts w:ascii="宋体" w:hAnsi="宋体" w:cs="宋体"/>
          <w:b/>
          <w:bCs/>
          <w:szCs w:val="21"/>
        </w:rPr>
      </w:pP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备注：</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1、上述证明文件复印件均须加盖谈判单位公章。</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w:t>
      </w:r>
      <w:r>
        <w:rPr>
          <w:rFonts w:hint="eastAsia" w:ascii="宋体" w:hAnsi="宋体"/>
          <w:b/>
          <w:bCs/>
          <w:szCs w:val="21"/>
        </w:rPr>
        <w:t>上述证明文件如须递交原件的，应用文件袋单独包装，在响应文件递交的同时一并提交</w:t>
      </w:r>
      <w:r>
        <w:rPr>
          <w:rFonts w:hint="eastAsia" w:ascii="宋体" w:hAnsi="宋体" w:cs="宋体"/>
          <w:b/>
          <w:bCs/>
          <w:szCs w:val="21"/>
        </w:rPr>
        <w:t>。</w:t>
      </w:r>
    </w:p>
    <w:p>
      <w:pPr>
        <w:pStyle w:val="2"/>
        <w:rPr>
          <w:rFonts w:ascii="宋体" w:hAnsi="宋体" w:cs="宋体"/>
        </w:rPr>
      </w:pPr>
    </w:p>
    <w:p>
      <w:pPr>
        <w:pStyle w:val="2"/>
        <w:rPr>
          <w:rFonts w:ascii="宋体" w:hAnsi="宋体" w:cs="宋体"/>
        </w:rPr>
        <w:sectPr>
          <w:pgSz w:w="11906" w:h="16838"/>
          <w:pgMar w:top="1440" w:right="849" w:bottom="1440" w:left="992" w:header="851" w:footer="851" w:gutter="0"/>
          <w:pgNumType w:fmt="decimal"/>
          <w:cols w:space="720" w:num="1"/>
        </w:sectPr>
      </w:pPr>
    </w:p>
    <w:p>
      <w:pPr>
        <w:adjustRightInd w:val="0"/>
        <w:snapToGrid w:val="0"/>
        <w:spacing w:line="360" w:lineRule="auto"/>
        <w:ind w:right="24"/>
        <w:jc w:val="center"/>
        <w:outlineLvl w:val="1"/>
        <w:rPr>
          <w:rFonts w:ascii="宋体" w:hAnsi="宋体" w:cs="宋体"/>
          <w:b/>
          <w:sz w:val="32"/>
          <w:szCs w:val="32"/>
        </w:rPr>
      </w:pPr>
      <w:bookmarkStart w:id="103" w:name="_Toc9230"/>
      <w:bookmarkStart w:id="104" w:name="_Toc30403"/>
      <w:bookmarkStart w:id="105" w:name="_Toc7528"/>
      <w:bookmarkStart w:id="106" w:name="_Toc6552"/>
      <w:r>
        <w:rPr>
          <w:rFonts w:hint="eastAsia" w:ascii="宋体" w:hAnsi="宋体" w:cs="宋体"/>
          <w:b/>
          <w:sz w:val="32"/>
          <w:szCs w:val="32"/>
        </w:rPr>
        <w:t>五、</w:t>
      </w:r>
      <w:bookmarkEnd w:id="103"/>
      <w:bookmarkEnd w:id="104"/>
      <w:bookmarkEnd w:id="105"/>
      <w:r>
        <w:rPr>
          <w:rFonts w:hint="eastAsia" w:ascii="宋体" w:hAnsi="宋体" w:cs="宋体"/>
          <w:b/>
          <w:sz w:val="32"/>
          <w:szCs w:val="32"/>
        </w:rPr>
        <w:t>不拖欠农民工工资承诺书</w:t>
      </w:r>
      <w:bookmarkEnd w:id="106"/>
    </w:p>
    <w:p>
      <w:pPr>
        <w:adjustRightInd w:val="0"/>
        <w:snapToGrid w:val="0"/>
        <w:ind w:left="-88" w:leftChars="-42" w:firstLine="211" w:firstLineChars="100"/>
        <w:jc w:val="center"/>
        <w:rPr>
          <w:rFonts w:ascii="宋体" w:hAnsi="宋体" w:cs="宋体"/>
          <w:b/>
          <w:bCs/>
          <w:szCs w:val="21"/>
        </w:rPr>
      </w:pPr>
    </w:p>
    <w:p>
      <w:pPr>
        <w:ind w:firstLine="105" w:firstLineChars="50"/>
        <w:rPr>
          <w:rFonts w:ascii="宋体" w:hAnsi="宋体" w:cs="宋体"/>
          <w:u w:val="single"/>
        </w:rPr>
      </w:pPr>
      <w:r>
        <w:rPr>
          <w:rFonts w:hint="eastAsia" w:ascii="宋体" w:hAnsi="宋体" w:cs="宋体"/>
        </w:rPr>
        <w:t>致：</w:t>
      </w:r>
      <w:r>
        <w:rPr>
          <w:rFonts w:hint="eastAsia" w:ascii="宋体" w:hAnsi="宋体" w:cs="宋体"/>
          <w:u w:val="single"/>
        </w:rPr>
        <w:t xml:space="preserve">         （采购单位）        </w:t>
      </w:r>
    </w:p>
    <w:p>
      <w:pPr>
        <w:rPr>
          <w:rFonts w:ascii="宋体" w:hAnsi="宋体" w:cs="宋体"/>
        </w:rPr>
      </w:pPr>
    </w:p>
    <w:p>
      <w:pPr>
        <w:spacing w:line="360" w:lineRule="auto"/>
        <w:ind w:firstLine="420" w:firstLineChars="200"/>
        <w:rPr>
          <w:rFonts w:ascii="宋体" w:hAnsi="宋体" w:cs="宋体"/>
        </w:rPr>
      </w:pPr>
      <w:r>
        <w:rPr>
          <w:rFonts w:hint="eastAsia" w:ascii="宋体" w:hAnsi="宋体" w:cs="宋体"/>
        </w:rPr>
        <w:t>根据贵方的</w:t>
      </w:r>
      <w:r>
        <w:rPr>
          <w:rFonts w:hint="eastAsia" w:ascii="宋体" w:hAnsi="宋体" w:cs="宋体"/>
          <w:u w:val="single"/>
        </w:rPr>
        <w:t xml:space="preserve">                      </w:t>
      </w:r>
      <w:r>
        <w:rPr>
          <w:rFonts w:hint="eastAsia" w:ascii="宋体" w:hAnsi="宋体" w:cs="宋体"/>
        </w:rPr>
        <w:t>项目谈判文件，一旦我方中选，我方保证按长建发【2004】54号（关于印发《防止发生拖欠工程款行为联动实施办法》）文件精神执行，及时足额支付民工工资。</w:t>
      </w:r>
    </w:p>
    <w:p>
      <w:pPr>
        <w:spacing w:line="360" w:lineRule="auto"/>
        <w:rPr>
          <w:rFonts w:ascii="宋体" w:hAnsi="宋体" w:cs="宋体"/>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u w:val="single"/>
        </w:rPr>
      </w:pPr>
      <w:r>
        <w:rPr>
          <w:rFonts w:hint="eastAsia" w:ascii="宋体" w:hAnsi="宋体" w:cs="宋体"/>
          <w:szCs w:val="21"/>
        </w:rPr>
        <w:t>地址：</w:t>
      </w:r>
      <w:r>
        <w:rPr>
          <w:rFonts w:hint="eastAsia" w:ascii="宋体" w:hAnsi="宋体" w:cs="宋体"/>
          <w:szCs w:val="21"/>
          <w:u w:val="single"/>
        </w:rPr>
        <w:t xml:space="preserve">                             </w:t>
      </w:r>
      <w:r>
        <w:rPr>
          <w:rFonts w:hint="eastAsia" w:ascii="宋体" w:hAnsi="宋体" w:cs="宋体"/>
          <w:szCs w:val="21"/>
        </w:rPr>
        <w:t xml:space="preserve">               邮编：</w:t>
      </w:r>
      <w:r>
        <w:rPr>
          <w:rFonts w:hint="eastAsia" w:ascii="宋体" w:hAnsi="宋体" w:cs="宋体"/>
          <w:szCs w:val="21"/>
          <w:u w:val="single"/>
        </w:rPr>
        <w:t xml:space="preserve">                          </w:t>
      </w: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r>
        <w:rPr>
          <w:rFonts w:hint="eastAsia" w:ascii="宋体" w:hAnsi="宋体" w:cs="宋体"/>
          <w:szCs w:val="21"/>
        </w:rPr>
        <w:t>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pStyle w:val="27"/>
        <w:adjustRightInd w:val="0"/>
        <w:snapToGrid w:val="0"/>
        <w:spacing w:line="360" w:lineRule="auto"/>
        <w:rPr>
          <w:rFonts w:ascii="宋体" w:hAnsi="宋体" w:cs="宋体"/>
          <w:bCs/>
          <w:sz w:val="21"/>
          <w:szCs w:val="21"/>
        </w:rPr>
      </w:pPr>
      <w:r>
        <w:rPr>
          <w:rFonts w:hint="eastAsia" w:ascii="宋体" w:hAnsi="宋体" w:cs="宋体"/>
          <w:sz w:val="21"/>
          <w:szCs w:val="21"/>
        </w:rPr>
        <w:t>谈判单位名称：</w:t>
      </w:r>
      <w:r>
        <w:rPr>
          <w:rFonts w:hint="eastAsia" w:ascii="宋体" w:hAnsi="宋体" w:cs="宋体"/>
          <w:sz w:val="21"/>
          <w:szCs w:val="21"/>
          <w:u w:val="single"/>
        </w:rPr>
        <w:t xml:space="preserve">    （盖单位章）    </w:t>
      </w:r>
    </w:p>
    <w:p>
      <w:pPr>
        <w:adjustRightInd w:val="0"/>
        <w:snapToGrid w:val="0"/>
        <w:spacing w:line="360" w:lineRule="auto"/>
        <w:rPr>
          <w:rFonts w:ascii="宋体" w:hAnsi="宋体" w:cs="宋体"/>
          <w:szCs w:val="21"/>
        </w:rPr>
      </w:pPr>
      <w:r>
        <w:rPr>
          <w:rFonts w:hint="eastAsia" w:ascii="宋体" w:hAnsi="宋体" w:cs="宋体"/>
          <w:szCs w:val="21"/>
        </w:rPr>
        <w:t>法定代表人或其委托代理人(签字或盖章)：</w:t>
      </w:r>
      <w:r>
        <w:rPr>
          <w:rFonts w:hint="eastAsia" w:ascii="宋体" w:hAnsi="宋体" w:cs="宋体"/>
          <w:szCs w:val="21"/>
          <w:u w:val="single"/>
        </w:rPr>
        <w:t xml:space="preserve">               </w:t>
      </w:r>
    </w:p>
    <w:p>
      <w:pPr>
        <w:spacing w:line="360" w:lineRule="exact"/>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line="360" w:lineRule="auto"/>
        <w:ind w:right="24"/>
        <w:jc w:val="center"/>
        <w:outlineLvl w:val="1"/>
        <w:rPr>
          <w:rFonts w:ascii="宋体" w:hAnsi="宋体" w:cs="宋体"/>
          <w:b/>
          <w:sz w:val="28"/>
          <w:szCs w:val="28"/>
        </w:rPr>
      </w:pPr>
      <w:r>
        <w:rPr>
          <w:rFonts w:hint="eastAsia" w:ascii="宋体" w:hAnsi="宋体" w:cs="宋体"/>
          <w:sz w:val="24"/>
        </w:rPr>
        <w:br w:type="page"/>
      </w:r>
      <w:bookmarkStart w:id="107" w:name="_Toc25553"/>
      <w:bookmarkStart w:id="108" w:name="_Toc15835"/>
      <w:bookmarkStart w:id="109" w:name="_Toc2843"/>
      <w:bookmarkStart w:id="110" w:name="_Toc5387"/>
      <w:r>
        <w:rPr>
          <w:rFonts w:hint="eastAsia" w:ascii="宋体" w:hAnsi="宋体" w:cs="宋体"/>
          <w:b/>
          <w:sz w:val="32"/>
          <w:szCs w:val="32"/>
        </w:rPr>
        <w:t>六、报价一览表</w:t>
      </w:r>
      <w:bookmarkEnd w:id="107"/>
      <w:bookmarkEnd w:id="108"/>
      <w:bookmarkEnd w:id="109"/>
      <w:bookmarkEnd w:id="110"/>
    </w:p>
    <w:p>
      <w:pPr>
        <w:adjustRightInd w:val="0"/>
        <w:snapToGrid w:val="0"/>
        <w:jc w:val="right"/>
        <w:rPr>
          <w:rFonts w:ascii="宋体" w:hAnsi="宋体" w:cs="宋体"/>
          <w:sz w:val="24"/>
        </w:rPr>
      </w:pPr>
    </w:p>
    <w:tbl>
      <w:tblPr>
        <w:tblStyle w:val="46"/>
        <w:tblW w:w="85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96"/>
        <w:gridCol w:w="2855"/>
        <w:gridCol w:w="2170"/>
        <w:gridCol w:w="13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7" w:hRule="atLeast"/>
          <w:jc w:val="center"/>
        </w:trPr>
        <w:tc>
          <w:tcPr>
            <w:tcW w:w="2096" w:type="dxa"/>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项目名称</w:t>
            </w:r>
          </w:p>
        </w:tc>
        <w:tc>
          <w:tcPr>
            <w:tcW w:w="6424" w:type="dxa"/>
            <w:gridSpan w:val="3"/>
            <w:vAlign w:val="center"/>
          </w:tcPr>
          <w:p>
            <w:pPr>
              <w:tabs>
                <w:tab w:val="left" w:pos="403"/>
                <w:tab w:val="center" w:pos="3781"/>
              </w:tabs>
              <w:spacing w:line="420" w:lineRule="exact"/>
              <w:ind w:right="-5206" w:rightChars="-2479" w:firstLine="315" w:firstLineChars="15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jc w:val="center"/>
        </w:trPr>
        <w:tc>
          <w:tcPr>
            <w:tcW w:w="2096" w:type="dxa"/>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项目编号</w:t>
            </w:r>
          </w:p>
        </w:tc>
        <w:tc>
          <w:tcPr>
            <w:tcW w:w="6424" w:type="dxa"/>
            <w:gridSpan w:val="3"/>
            <w:vAlign w:val="center"/>
          </w:tcPr>
          <w:p>
            <w:pPr>
              <w:tabs>
                <w:tab w:val="left" w:pos="403"/>
                <w:tab w:val="center" w:pos="3781"/>
              </w:tabs>
              <w:spacing w:line="420" w:lineRule="exact"/>
              <w:ind w:right="-5206" w:rightChars="-2479" w:firstLine="315" w:firstLineChars="15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2" w:hRule="atLeast"/>
          <w:jc w:val="center"/>
        </w:trPr>
        <w:tc>
          <w:tcPr>
            <w:tcW w:w="2096" w:type="dxa"/>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工期承诺</w:t>
            </w:r>
          </w:p>
        </w:tc>
        <w:tc>
          <w:tcPr>
            <w:tcW w:w="6424" w:type="dxa"/>
            <w:gridSpan w:val="3"/>
            <w:vAlign w:val="center"/>
          </w:tcPr>
          <w:p>
            <w:pPr>
              <w:tabs>
                <w:tab w:val="left" w:pos="403"/>
                <w:tab w:val="center" w:pos="3781"/>
              </w:tabs>
              <w:spacing w:line="420" w:lineRule="exact"/>
              <w:ind w:right="-5206" w:rightChars="-2479" w:firstLine="315" w:firstLineChars="15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2096" w:type="dxa"/>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保修承诺</w:t>
            </w:r>
          </w:p>
        </w:tc>
        <w:tc>
          <w:tcPr>
            <w:tcW w:w="6424" w:type="dxa"/>
            <w:gridSpan w:val="3"/>
            <w:vAlign w:val="center"/>
          </w:tcPr>
          <w:p>
            <w:pPr>
              <w:tabs>
                <w:tab w:val="left" w:pos="403"/>
                <w:tab w:val="center" w:pos="3781"/>
              </w:tabs>
              <w:spacing w:line="420" w:lineRule="exact"/>
              <w:ind w:right="-5206" w:rightChars="-2479" w:firstLine="315" w:firstLineChars="15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9" w:hRule="atLeast"/>
          <w:jc w:val="center"/>
        </w:trPr>
        <w:tc>
          <w:tcPr>
            <w:tcW w:w="2096" w:type="dxa"/>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质量等级</w:t>
            </w:r>
          </w:p>
        </w:tc>
        <w:tc>
          <w:tcPr>
            <w:tcW w:w="6424" w:type="dxa"/>
            <w:gridSpan w:val="3"/>
            <w:vAlign w:val="center"/>
          </w:tcPr>
          <w:p>
            <w:pPr>
              <w:tabs>
                <w:tab w:val="left" w:pos="403"/>
                <w:tab w:val="center" w:pos="3781"/>
              </w:tabs>
              <w:spacing w:line="420" w:lineRule="exact"/>
              <w:ind w:right="-5206" w:rightChars="-2479" w:firstLine="315" w:firstLineChars="15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7" w:hRule="atLeast"/>
          <w:jc w:val="center"/>
        </w:trPr>
        <w:tc>
          <w:tcPr>
            <w:tcW w:w="2096" w:type="dxa"/>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拟任项目负责人</w:t>
            </w:r>
          </w:p>
        </w:tc>
        <w:tc>
          <w:tcPr>
            <w:tcW w:w="2855" w:type="dxa"/>
            <w:vAlign w:val="center"/>
          </w:tcPr>
          <w:p>
            <w:pPr>
              <w:tabs>
                <w:tab w:val="left" w:pos="403"/>
                <w:tab w:val="center" w:pos="3781"/>
              </w:tabs>
              <w:spacing w:line="420" w:lineRule="exact"/>
              <w:ind w:right="-5206" w:rightChars="-2479" w:firstLine="315" w:firstLineChars="150"/>
              <w:rPr>
                <w:rFonts w:ascii="宋体" w:hAnsi="宋体" w:cs="宋体"/>
                <w:szCs w:val="21"/>
              </w:rPr>
            </w:pPr>
          </w:p>
        </w:tc>
        <w:tc>
          <w:tcPr>
            <w:tcW w:w="2170" w:type="dxa"/>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注册专业及等级</w:t>
            </w:r>
          </w:p>
        </w:tc>
        <w:tc>
          <w:tcPr>
            <w:tcW w:w="1399" w:type="dxa"/>
            <w:vAlign w:val="center"/>
          </w:tcPr>
          <w:p>
            <w:pPr>
              <w:tabs>
                <w:tab w:val="left" w:pos="403"/>
                <w:tab w:val="center" w:pos="3781"/>
              </w:tabs>
              <w:spacing w:line="420" w:lineRule="exact"/>
              <w:ind w:right="-5206" w:rightChars="-2479" w:firstLine="315" w:firstLineChars="15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7" w:hRule="atLeast"/>
          <w:jc w:val="center"/>
        </w:trPr>
        <w:tc>
          <w:tcPr>
            <w:tcW w:w="2096" w:type="dxa"/>
            <w:vAlign w:val="center"/>
          </w:tcPr>
          <w:p>
            <w:pPr>
              <w:jc w:val="center"/>
              <w:rPr>
                <w:rFonts w:hint="eastAsia" w:ascii="宋体" w:hAnsi="宋体" w:eastAsia="宋体" w:cs="Times New Roman"/>
                <w:kern w:val="2"/>
                <w:sz w:val="21"/>
                <w:szCs w:val="21"/>
                <w:highlight w:val="none"/>
                <w:lang w:val="en-US" w:eastAsia="zh-CN" w:bidi="ar-SA"/>
              </w:rPr>
            </w:pPr>
            <w:r>
              <w:rPr>
                <w:rFonts w:hint="eastAsia" w:ascii="宋体" w:hAnsi="宋体" w:cs="宋体"/>
                <w:color w:val="000000"/>
                <w:szCs w:val="21"/>
                <w:highlight w:val="none"/>
                <w:lang w:eastAsia="zh-CN"/>
              </w:rPr>
              <w:t>①</w:t>
            </w:r>
            <w:r>
              <w:rPr>
                <w:rFonts w:hint="eastAsia" w:ascii="宋体" w:hAnsi="宋体" w:cs="宋体"/>
                <w:color w:val="000000"/>
                <w:szCs w:val="21"/>
                <w:highlight w:val="none"/>
              </w:rPr>
              <w:t>1号线报价</w:t>
            </w:r>
          </w:p>
        </w:tc>
        <w:tc>
          <w:tcPr>
            <w:tcW w:w="2855" w:type="dxa"/>
            <w:vAlign w:val="center"/>
          </w:tcPr>
          <w:p>
            <w:pPr>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大写：</w:t>
            </w:r>
            <w:r>
              <w:rPr>
                <w:rFonts w:hint="eastAsia" w:ascii="宋体" w:hAnsi="宋体"/>
                <w:szCs w:val="21"/>
                <w:highlight w:val="none"/>
                <w:u w:val="single"/>
                <w:lang w:val="en-US" w:eastAsia="zh-CN"/>
              </w:rPr>
              <w:t xml:space="preserve">              </w:t>
            </w:r>
            <w:r>
              <w:rPr>
                <w:rFonts w:hint="eastAsia" w:ascii="宋体" w:hAnsi="宋体"/>
                <w:szCs w:val="21"/>
                <w:highlight w:val="none"/>
              </w:rPr>
              <w:t>元</w:t>
            </w:r>
          </w:p>
        </w:tc>
        <w:tc>
          <w:tcPr>
            <w:tcW w:w="3569" w:type="dxa"/>
            <w:gridSpan w:val="2"/>
            <w:vAlign w:val="center"/>
          </w:tcPr>
          <w:p>
            <w:pPr>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小写：</w:t>
            </w:r>
            <w:r>
              <w:rPr>
                <w:rFonts w:hint="eastAsia" w:ascii="宋体" w:hAnsi="宋体"/>
                <w:szCs w:val="21"/>
                <w:highlight w:val="none"/>
                <w:u w:val="single"/>
                <w:lang w:val="en-US" w:eastAsia="zh-CN"/>
              </w:rPr>
              <w:t xml:space="preserve">               </w:t>
            </w:r>
            <w:r>
              <w:rPr>
                <w:rFonts w:hint="eastAsia" w:ascii="宋体" w:hAnsi="宋体"/>
                <w:szCs w:val="21"/>
                <w:highlight w:val="none"/>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7" w:hRule="atLeast"/>
          <w:jc w:val="center"/>
        </w:trPr>
        <w:tc>
          <w:tcPr>
            <w:tcW w:w="2096" w:type="dxa"/>
            <w:vAlign w:val="center"/>
          </w:tcPr>
          <w:p>
            <w:pPr>
              <w:widowControl/>
              <w:jc w:val="center"/>
              <w:rPr>
                <w:rFonts w:hint="eastAsia" w:ascii="宋体" w:hAnsi="宋体" w:eastAsia="宋体" w:cs="Times New Roman"/>
                <w:kern w:val="2"/>
                <w:sz w:val="21"/>
                <w:szCs w:val="21"/>
                <w:highlight w:val="none"/>
                <w:lang w:val="en-US" w:eastAsia="zh-CN" w:bidi="ar-SA"/>
              </w:rPr>
            </w:pPr>
            <w:r>
              <w:rPr>
                <w:rFonts w:hint="eastAsia" w:ascii="宋体" w:hAnsi="宋体" w:cs="宋体"/>
                <w:color w:val="000000"/>
                <w:szCs w:val="21"/>
                <w:highlight w:val="none"/>
                <w:lang w:eastAsia="zh-CN"/>
              </w:rPr>
              <w:t>②</w:t>
            </w:r>
            <w:r>
              <w:rPr>
                <w:rFonts w:hint="eastAsia" w:ascii="宋体" w:hAnsi="宋体" w:cs="宋体"/>
                <w:color w:val="000000"/>
                <w:szCs w:val="21"/>
                <w:highlight w:val="none"/>
              </w:rPr>
              <w:t>2号线报价</w:t>
            </w:r>
          </w:p>
        </w:tc>
        <w:tc>
          <w:tcPr>
            <w:tcW w:w="2855" w:type="dxa"/>
            <w:vAlign w:val="center"/>
          </w:tcPr>
          <w:p>
            <w:pPr>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大写：</w:t>
            </w:r>
            <w:r>
              <w:rPr>
                <w:rFonts w:hint="eastAsia" w:ascii="宋体" w:hAnsi="宋体"/>
                <w:szCs w:val="21"/>
                <w:highlight w:val="none"/>
                <w:u w:val="single"/>
                <w:lang w:val="en-US" w:eastAsia="zh-CN"/>
              </w:rPr>
              <w:t xml:space="preserve">              </w:t>
            </w:r>
            <w:r>
              <w:rPr>
                <w:rFonts w:hint="eastAsia" w:ascii="宋体" w:hAnsi="宋体"/>
                <w:szCs w:val="21"/>
                <w:highlight w:val="none"/>
              </w:rPr>
              <w:t>元</w:t>
            </w:r>
          </w:p>
        </w:tc>
        <w:tc>
          <w:tcPr>
            <w:tcW w:w="3569" w:type="dxa"/>
            <w:gridSpan w:val="2"/>
            <w:vAlign w:val="center"/>
          </w:tcPr>
          <w:p>
            <w:pPr>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小写：</w:t>
            </w:r>
            <w:r>
              <w:rPr>
                <w:rFonts w:hint="eastAsia" w:ascii="宋体" w:hAnsi="宋体"/>
                <w:szCs w:val="21"/>
                <w:highlight w:val="none"/>
                <w:u w:val="single"/>
                <w:lang w:val="en-US" w:eastAsia="zh-CN"/>
              </w:rPr>
              <w:t xml:space="preserve">               </w:t>
            </w:r>
            <w:r>
              <w:rPr>
                <w:rFonts w:hint="eastAsia" w:ascii="宋体" w:hAnsi="宋体"/>
                <w:szCs w:val="21"/>
                <w:highlight w:val="none"/>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7" w:hRule="atLeast"/>
          <w:jc w:val="center"/>
        </w:trPr>
        <w:tc>
          <w:tcPr>
            <w:tcW w:w="2096" w:type="dxa"/>
            <w:vAlign w:val="center"/>
          </w:tcPr>
          <w:p>
            <w:pPr>
              <w:tabs>
                <w:tab w:val="left" w:pos="403"/>
                <w:tab w:val="center" w:pos="3781"/>
              </w:tabs>
              <w:spacing w:line="420" w:lineRule="exact"/>
              <w:jc w:val="center"/>
              <w:rPr>
                <w:rFonts w:ascii="宋体" w:hAnsi="宋体" w:cs="宋体"/>
                <w:b/>
                <w:szCs w:val="21"/>
              </w:rPr>
            </w:pPr>
            <w:r>
              <w:rPr>
                <w:rFonts w:hint="eastAsia" w:ascii="宋体" w:hAnsi="宋体" w:cs="宋体"/>
                <w:b/>
                <w:szCs w:val="21"/>
              </w:rPr>
              <w:t>谈判总报价</w:t>
            </w:r>
            <w:r>
              <w:rPr>
                <w:rFonts w:hint="eastAsia" w:ascii="宋体" w:hAnsi="宋体" w:cs="宋体"/>
                <w:color w:val="000000"/>
                <w:szCs w:val="21"/>
                <w:highlight w:val="none"/>
                <w:lang w:eastAsia="zh-CN"/>
              </w:rPr>
              <w:t>①</w:t>
            </w:r>
            <w:r>
              <w:rPr>
                <w:rFonts w:hint="eastAsia" w:ascii="宋体" w:hAnsi="宋体" w:cs="宋体"/>
                <w:color w:val="000000"/>
                <w:szCs w:val="21"/>
                <w:highlight w:val="none"/>
                <w:lang w:val="en-US" w:eastAsia="zh-CN"/>
              </w:rPr>
              <w:t>+②</w:t>
            </w:r>
          </w:p>
        </w:tc>
        <w:tc>
          <w:tcPr>
            <w:tcW w:w="2855" w:type="dxa"/>
            <w:vAlign w:val="center"/>
          </w:tcPr>
          <w:p>
            <w:pPr>
              <w:jc w:val="center"/>
              <w:rPr>
                <w:rFonts w:ascii="宋体" w:hAnsi="宋体" w:cs="宋体"/>
                <w:szCs w:val="21"/>
              </w:rPr>
            </w:pPr>
            <w:r>
              <w:rPr>
                <w:rFonts w:hint="eastAsia" w:ascii="宋体" w:hAnsi="宋体" w:cs="宋体"/>
                <w:szCs w:val="21"/>
              </w:rPr>
              <w:t>大写：</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元</w:t>
            </w:r>
          </w:p>
        </w:tc>
        <w:tc>
          <w:tcPr>
            <w:tcW w:w="3569" w:type="dxa"/>
            <w:gridSpan w:val="2"/>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小写：</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2" w:hRule="atLeast"/>
          <w:jc w:val="center"/>
        </w:trPr>
        <w:tc>
          <w:tcPr>
            <w:tcW w:w="2096" w:type="dxa"/>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备  注</w:t>
            </w:r>
          </w:p>
        </w:tc>
        <w:tc>
          <w:tcPr>
            <w:tcW w:w="6424" w:type="dxa"/>
            <w:gridSpan w:val="3"/>
            <w:vAlign w:val="center"/>
          </w:tcPr>
          <w:p>
            <w:pPr>
              <w:tabs>
                <w:tab w:val="left" w:pos="403"/>
                <w:tab w:val="center" w:pos="3781"/>
              </w:tabs>
              <w:spacing w:line="420" w:lineRule="exact"/>
              <w:ind w:right="-5206" w:rightChars="-2479" w:firstLine="315" w:firstLineChars="150"/>
              <w:rPr>
                <w:rFonts w:ascii="宋体" w:hAnsi="宋体" w:cs="宋体"/>
                <w:szCs w:val="21"/>
              </w:rPr>
            </w:pPr>
          </w:p>
        </w:tc>
      </w:tr>
    </w:tbl>
    <w:p>
      <w:pPr>
        <w:adjustRightInd w:val="0"/>
        <w:snapToGrid w:val="0"/>
        <w:spacing w:line="360" w:lineRule="auto"/>
        <w:rPr>
          <w:rFonts w:ascii="宋体" w:hAnsi="宋体" w:cs="宋体"/>
          <w:b/>
          <w:szCs w:val="21"/>
        </w:rPr>
      </w:pPr>
      <w:r>
        <w:rPr>
          <w:rFonts w:hint="eastAsia" w:ascii="宋体" w:hAnsi="宋体" w:cs="宋体"/>
          <w:b/>
          <w:szCs w:val="21"/>
        </w:rPr>
        <w:t>注：1.所有报价保留小数点后两位，小数点后第三位“四舍五入”。</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2.本表内“谈判总报价”是包含了所有隐含的管理费、税金和利润等其他费用的报价。</w:t>
      </w:r>
    </w:p>
    <w:p>
      <w:pPr>
        <w:pStyle w:val="2"/>
        <w:ind w:left="0" w:leftChars="0" w:firstLine="422" w:firstLineChars="200"/>
        <w:rPr>
          <w:rFonts w:ascii="宋体" w:hAnsi="宋体" w:cs="宋体"/>
        </w:rPr>
      </w:pPr>
      <w:r>
        <w:rPr>
          <w:rFonts w:hint="eastAsia" w:ascii="宋体" w:hAnsi="宋体" w:cs="宋体"/>
          <w:b/>
          <w:szCs w:val="21"/>
        </w:rPr>
        <w:t>3.本项目设置最高限价，谈判单位所报总价不能超过最高限价，不超过最高限价的报价为有效报价。</w:t>
      </w:r>
    </w:p>
    <w:p>
      <w:pPr>
        <w:adjustRightInd w:val="0"/>
        <w:snapToGrid w:val="0"/>
        <w:spacing w:line="360" w:lineRule="auto"/>
        <w:ind w:left="-88" w:leftChars="-42"/>
        <w:rPr>
          <w:rFonts w:ascii="宋体" w:hAnsi="宋体" w:cs="宋体"/>
          <w:szCs w:val="21"/>
        </w:rPr>
      </w:pPr>
    </w:p>
    <w:p>
      <w:pPr>
        <w:adjustRightInd w:val="0"/>
        <w:snapToGrid w:val="0"/>
        <w:spacing w:line="360" w:lineRule="auto"/>
        <w:ind w:left="-88" w:leftChars="-42"/>
        <w:rPr>
          <w:rFonts w:ascii="宋体" w:hAnsi="宋体" w:cs="宋体"/>
          <w:szCs w:val="21"/>
        </w:rPr>
      </w:pPr>
    </w:p>
    <w:p>
      <w:pPr>
        <w:adjustRightInd w:val="0"/>
        <w:snapToGrid w:val="0"/>
        <w:spacing w:line="360" w:lineRule="auto"/>
        <w:ind w:left="-88" w:leftChars="-42"/>
        <w:rPr>
          <w:rFonts w:ascii="宋体" w:hAnsi="宋体" w:cs="宋体"/>
          <w:szCs w:val="21"/>
        </w:rPr>
      </w:pPr>
    </w:p>
    <w:p>
      <w:pPr>
        <w:pStyle w:val="27"/>
        <w:adjustRightInd w:val="0"/>
        <w:snapToGrid w:val="0"/>
        <w:spacing w:line="360" w:lineRule="auto"/>
        <w:rPr>
          <w:rFonts w:ascii="宋体" w:hAnsi="宋体" w:cs="宋体"/>
          <w:bCs/>
          <w:sz w:val="21"/>
          <w:szCs w:val="21"/>
        </w:rPr>
      </w:pPr>
      <w:bookmarkStart w:id="111" w:name="_Toc5231"/>
      <w:r>
        <w:rPr>
          <w:rFonts w:hint="eastAsia" w:ascii="宋体" w:hAnsi="宋体" w:cs="宋体"/>
          <w:sz w:val="21"/>
          <w:szCs w:val="21"/>
        </w:rPr>
        <w:t>谈判单位名称：</w:t>
      </w:r>
      <w:r>
        <w:rPr>
          <w:rFonts w:hint="eastAsia" w:ascii="宋体" w:hAnsi="宋体" w:cs="宋体"/>
          <w:sz w:val="21"/>
          <w:szCs w:val="21"/>
          <w:u w:val="single"/>
        </w:rPr>
        <w:t xml:space="preserve">    （盖单位章）</w:t>
      </w:r>
      <w:bookmarkEnd w:id="111"/>
      <w:r>
        <w:rPr>
          <w:rFonts w:hint="eastAsia" w:ascii="宋体" w:hAnsi="宋体" w:cs="宋体"/>
          <w:sz w:val="21"/>
          <w:szCs w:val="21"/>
          <w:u w:val="single"/>
        </w:rPr>
        <w:t xml:space="preserve">    </w:t>
      </w:r>
    </w:p>
    <w:p>
      <w:pPr>
        <w:adjustRightInd w:val="0"/>
        <w:snapToGrid w:val="0"/>
        <w:spacing w:line="360" w:lineRule="auto"/>
        <w:rPr>
          <w:rFonts w:ascii="宋体" w:hAnsi="宋体" w:cs="宋体"/>
          <w:szCs w:val="21"/>
        </w:rPr>
      </w:pPr>
      <w:bookmarkStart w:id="112" w:name="_Toc28605"/>
      <w:r>
        <w:rPr>
          <w:rFonts w:hint="eastAsia" w:ascii="宋体" w:hAnsi="宋体" w:cs="宋体"/>
          <w:szCs w:val="21"/>
        </w:rPr>
        <w:t>法定代表人或其委托代理人(签字或盖章)：</w:t>
      </w:r>
      <w:bookmarkEnd w:id="112"/>
      <w:r>
        <w:rPr>
          <w:rFonts w:hint="eastAsia" w:ascii="宋体" w:hAnsi="宋体" w:cs="宋体"/>
          <w:szCs w:val="21"/>
          <w:u w:val="single"/>
        </w:rPr>
        <w:t xml:space="preserve">               </w:t>
      </w:r>
    </w:p>
    <w:p>
      <w:pPr>
        <w:spacing w:line="360" w:lineRule="auto"/>
        <w:rPr>
          <w:rFonts w:ascii="宋体" w:hAnsi="宋体" w:cs="宋体"/>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jc w:val="center"/>
        <w:rPr>
          <w:rFonts w:ascii="宋体" w:hAnsi="宋体" w:cs="宋体"/>
          <w:b/>
          <w:bCs/>
          <w:sz w:val="32"/>
          <w:szCs w:val="32"/>
        </w:rPr>
      </w:pPr>
    </w:p>
    <w:p>
      <w:pPr>
        <w:adjustRightInd w:val="0"/>
        <w:snapToGrid w:val="0"/>
        <w:jc w:val="center"/>
        <w:rPr>
          <w:rFonts w:ascii="宋体" w:hAnsi="宋体" w:cs="宋体"/>
          <w:b/>
          <w:bCs/>
          <w:sz w:val="32"/>
          <w:szCs w:val="32"/>
        </w:rPr>
      </w:pPr>
    </w:p>
    <w:p>
      <w:pPr>
        <w:adjustRightInd w:val="0"/>
        <w:snapToGrid w:val="0"/>
        <w:jc w:val="center"/>
        <w:rPr>
          <w:rFonts w:ascii="宋体" w:hAnsi="宋体" w:cs="宋体"/>
          <w:b/>
          <w:bCs/>
          <w:sz w:val="32"/>
          <w:szCs w:val="32"/>
        </w:rPr>
        <w:sectPr>
          <w:pgSz w:w="11906" w:h="16838"/>
          <w:pgMar w:top="1440" w:right="849" w:bottom="1440" w:left="992" w:header="851" w:footer="992" w:gutter="0"/>
          <w:pgNumType w:fmt="decimal"/>
          <w:cols w:space="720" w:num="1"/>
          <w:docGrid w:linePitch="312" w:charSpace="0"/>
        </w:sectPr>
      </w:pPr>
    </w:p>
    <w:p>
      <w:pPr>
        <w:adjustRightInd w:val="0"/>
        <w:snapToGrid w:val="0"/>
        <w:spacing w:line="360" w:lineRule="auto"/>
        <w:ind w:right="24"/>
        <w:jc w:val="center"/>
        <w:outlineLvl w:val="1"/>
        <w:rPr>
          <w:rFonts w:ascii="宋体" w:hAnsi="宋体" w:cs="宋体"/>
          <w:b/>
          <w:sz w:val="32"/>
          <w:szCs w:val="32"/>
        </w:rPr>
      </w:pPr>
      <w:bookmarkStart w:id="113" w:name="_Toc26804"/>
      <w:bookmarkStart w:id="114" w:name="_Toc28059"/>
      <w:bookmarkStart w:id="115" w:name="_Toc5453"/>
      <w:r>
        <w:rPr>
          <w:rFonts w:hint="eastAsia" w:ascii="宋体" w:hAnsi="宋体" w:cs="宋体"/>
          <w:b/>
          <w:sz w:val="32"/>
          <w:szCs w:val="32"/>
        </w:rPr>
        <w:t>七、</w:t>
      </w:r>
      <w:bookmarkEnd w:id="113"/>
      <w:bookmarkEnd w:id="114"/>
      <w:r>
        <w:rPr>
          <w:rFonts w:hint="eastAsia" w:ascii="宋体" w:hAnsi="宋体" w:cs="宋体"/>
          <w:b/>
          <w:sz w:val="32"/>
          <w:szCs w:val="32"/>
        </w:rPr>
        <w:t>报价汇总表</w:t>
      </w:r>
      <w:bookmarkEnd w:id="115"/>
    </w:p>
    <w:p>
      <w:pPr>
        <w:spacing w:line="360" w:lineRule="exact"/>
        <w:rPr>
          <w:rFonts w:ascii="宋体" w:hAnsi="宋体" w:cs="宋体"/>
          <w:b/>
        </w:rPr>
      </w:pPr>
    </w:p>
    <w:p>
      <w:pPr>
        <w:spacing w:line="360" w:lineRule="exact"/>
        <w:ind w:firstLine="630" w:firstLineChars="300"/>
        <w:jc w:val="left"/>
        <w:rPr>
          <w:rFonts w:ascii="宋体" w:hAnsi="宋体" w:cs="宋体"/>
        </w:rPr>
      </w:pPr>
      <w:r>
        <w:rPr>
          <w:rFonts w:hint="eastAsia" w:ascii="宋体" w:hAnsi="宋体" w:cs="宋体"/>
          <w:bCs/>
        </w:rPr>
        <w:t>项目</w:t>
      </w:r>
      <w:r>
        <w:rPr>
          <w:rFonts w:hint="eastAsia" w:ascii="宋体" w:hAnsi="宋体" w:cs="宋体"/>
        </w:rPr>
        <w:t>名称：                                                        金额单位：元</w:t>
      </w:r>
    </w:p>
    <w:tbl>
      <w:tblPr>
        <w:tblStyle w:val="46"/>
        <w:tblW w:w="83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650"/>
        <w:gridCol w:w="3173"/>
        <w:gridCol w:w="45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810" w:hRule="atLeast"/>
          <w:jc w:val="center"/>
        </w:trPr>
        <w:tc>
          <w:tcPr>
            <w:tcW w:w="650" w:type="dxa"/>
            <w:vAlign w:val="center"/>
          </w:tcPr>
          <w:p>
            <w:pPr>
              <w:tabs>
                <w:tab w:val="left" w:pos="403"/>
                <w:tab w:val="center" w:pos="3781"/>
              </w:tabs>
              <w:spacing w:line="420" w:lineRule="exact"/>
              <w:ind w:right="-5206" w:rightChars="-2479" w:firstLine="105" w:firstLineChars="50"/>
              <w:rPr>
                <w:rFonts w:ascii="宋体" w:hAnsi="宋体" w:cs="宋体"/>
                <w:b/>
                <w:szCs w:val="21"/>
              </w:rPr>
            </w:pPr>
            <w:r>
              <w:rPr>
                <w:rFonts w:hint="eastAsia" w:ascii="宋体" w:hAnsi="宋体" w:cs="宋体"/>
                <w:b/>
                <w:szCs w:val="21"/>
              </w:rPr>
              <w:t>序号</w:t>
            </w:r>
          </w:p>
        </w:tc>
        <w:tc>
          <w:tcPr>
            <w:tcW w:w="3173" w:type="dxa"/>
            <w:vAlign w:val="center"/>
          </w:tcPr>
          <w:p>
            <w:pPr>
              <w:tabs>
                <w:tab w:val="left" w:pos="403"/>
                <w:tab w:val="center" w:pos="3781"/>
              </w:tabs>
              <w:spacing w:line="420" w:lineRule="exact"/>
              <w:ind w:right="-5206" w:rightChars="-2479" w:firstLine="1054" w:firstLineChars="500"/>
              <w:rPr>
                <w:rFonts w:ascii="宋体" w:hAnsi="宋体" w:cs="宋体"/>
                <w:b/>
                <w:bCs/>
                <w:szCs w:val="21"/>
              </w:rPr>
            </w:pPr>
            <w:r>
              <w:rPr>
                <w:rFonts w:hint="eastAsia" w:ascii="宋体" w:hAnsi="宋体" w:cs="宋体"/>
                <w:b/>
                <w:bCs/>
                <w:szCs w:val="21"/>
              </w:rPr>
              <w:t>费用名称</w:t>
            </w:r>
          </w:p>
        </w:tc>
        <w:tc>
          <w:tcPr>
            <w:tcW w:w="4516" w:type="dxa"/>
            <w:vAlign w:val="center"/>
          </w:tcPr>
          <w:p>
            <w:pPr>
              <w:tabs>
                <w:tab w:val="left" w:pos="403"/>
                <w:tab w:val="center" w:pos="3781"/>
              </w:tabs>
              <w:spacing w:line="420" w:lineRule="exact"/>
              <w:ind w:firstLine="316" w:firstLineChars="150"/>
              <w:jc w:val="center"/>
              <w:rPr>
                <w:rFonts w:ascii="宋体" w:hAnsi="宋体" w:cs="宋体"/>
                <w:b/>
                <w:bCs/>
                <w:szCs w:val="21"/>
              </w:rPr>
            </w:pPr>
            <w:r>
              <w:rPr>
                <w:rFonts w:hint="eastAsia" w:ascii="宋体" w:hAnsi="宋体" w:cs="宋体"/>
                <w:b/>
                <w:bCs/>
                <w:szCs w:val="21"/>
              </w:rPr>
              <w:t>金额（元）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84" w:hRule="atLeast"/>
          <w:jc w:val="center"/>
        </w:trPr>
        <w:tc>
          <w:tcPr>
            <w:tcW w:w="650" w:type="dxa"/>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1</w:t>
            </w:r>
          </w:p>
        </w:tc>
        <w:tc>
          <w:tcPr>
            <w:tcW w:w="3173" w:type="dxa"/>
            <w:vAlign w:val="center"/>
          </w:tcPr>
          <w:p>
            <w:pPr>
              <w:tabs>
                <w:tab w:val="left" w:pos="403"/>
                <w:tab w:val="center" w:pos="3781"/>
              </w:tabs>
              <w:spacing w:line="420" w:lineRule="exact"/>
              <w:ind w:right="-5206" w:rightChars="-2479"/>
              <w:rPr>
                <w:rFonts w:ascii="宋体" w:hAnsi="宋体" w:cs="宋体"/>
                <w:szCs w:val="21"/>
              </w:rPr>
            </w:pPr>
            <w:r>
              <w:rPr>
                <w:rFonts w:hint="eastAsia" w:ascii="宋体" w:hAnsi="宋体" w:cs="宋体"/>
                <w:szCs w:val="21"/>
              </w:rPr>
              <w:t>直接费</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84" w:hRule="atLeast"/>
          <w:jc w:val="center"/>
        </w:trPr>
        <w:tc>
          <w:tcPr>
            <w:tcW w:w="650" w:type="dxa"/>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2</w:t>
            </w:r>
          </w:p>
        </w:tc>
        <w:tc>
          <w:tcPr>
            <w:tcW w:w="3173" w:type="dxa"/>
            <w:vAlign w:val="center"/>
          </w:tcPr>
          <w:p>
            <w:pPr>
              <w:tabs>
                <w:tab w:val="left" w:pos="403"/>
                <w:tab w:val="center" w:pos="3781"/>
              </w:tabs>
              <w:spacing w:line="420" w:lineRule="exact"/>
              <w:ind w:right="-5206" w:rightChars="-2479"/>
              <w:rPr>
                <w:rFonts w:ascii="宋体" w:hAnsi="宋体" w:cs="宋体"/>
                <w:szCs w:val="21"/>
              </w:rPr>
            </w:pPr>
            <w:r>
              <w:rPr>
                <w:rFonts w:hint="eastAsia" w:ascii="宋体" w:hAnsi="宋体" w:cs="宋体"/>
                <w:szCs w:val="21"/>
              </w:rPr>
              <w:t>各项费用和利润</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17" w:hRule="atLeast"/>
          <w:jc w:val="center"/>
        </w:trPr>
        <w:tc>
          <w:tcPr>
            <w:tcW w:w="650" w:type="dxa"/>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2.1</w:t>
            </w:r>
          </w:p>
        </w:tc>
        <w:tc>
          <w:tcPr>
            <w:tcW w:w="3173" w:type="dxa"/>
            <w:vAlign w:val="center"/>
          </w:tcPr>
          <w:p>
            <w:pPr>
              <w:tabs>
                <w:tab w:val="left" w:pos="403"/>
                <w:tab w:val="center" w:pos="3781"/>
              </w:tabs>
              <w:spacing w:line="420" w:lineRule="exact"/>
              <w:ind w:right="-5206" w:rightChars="-2479"/>
              <w:rPr>
                <w:rFonts w:ascii="宋体" w:hAnsi="宋体" w:cs="宋体"/>
                <w:szCs w:val="21"/>
              </w:rPr>
            </w:pPr>
            <w:r>
              <w:rPr>
                <w:rFonts w:hint="eastAsia" w:ascii="宋体" w:hAnsi="宋体" w:cs="宋体"/>
                <w:szCs w:val="21"/>
              </w:rPr>
              <w:t>其中：安全防护文明施工措施费</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84" w:hRule="atLeast"/>
          <w:jc w:val="center"/>
        </w:trPr>
        <w:tc>
          <w:tcPr>
            <w:tcW w:w="650" w:type="dxa"/>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3</w:t>
            </w:r>
          </w:p>
        </w:tc>
        <w:tc>
          <w:tcPr>
            <w:tcW w:w="3173" w:type="dxa"/>
            <w:vAlign w:val="center"/>
          </w:tcPr>
          <w:p>
            <w:pPr>
              <w:tabs>
                <w:tab w:val="left" w:pos="403"/>
                <w:tab w:val="center" w:pos="3781"/>
              </w:tabs>
              <w:spacing w:line="420" w:lineRule="exact"/>
              <w:ind w:right="-5206" w:rightChars="-2479"/>
              <w:rPr>
                <w:rFonts w:ascii="宋体" w:hAnsi="宋体" w:cs="宋体"/>
                <w:szCs w:val="21"/>
              </w:rPr>
            </w:pPr>
            <w:r>
              <w:rPr>
                <w:rFonts w:hint="eastAsia" w:ascii="宋体" w:hAnsi="宋体" w:cs="宋体"/>
                <w:szCs w:val="21"/>
              </w:rPr>
              <w:t>建安造价</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84" w:hRule="atLeast"/>
          <w:jc w:val="center"/>
        </w:trPr>
        <w:tc>
          <w:tcPr>
            <w:tcW w:w="650" w:type="dxa"/>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4</w:t>
            </w:r>
          </w:p>
        </w:tc>
        <w:tc>
          <w:tcPr>
            <w:tcW w:w="3173" w:type="dxa"/>
            <w:vAlign w:val="center"/>
          </w:tcPr>
          <w:p>
            <w:pPr>
              <w:tabs>
                <w:tab w:val="left" w:pos="403"/>
                <w:tab w:val="center" w:pos="3781"/>
              </w:tabs>
              <w:spacing w:line="420" w:lineRule="exact"/>
              <w:ind w:right="-5206" w:rightChars="-2479"/>
              <w:rPr>
                <w:rFonts w:ascii="宋体" w:hAnsi="宋体" w:cs="宋体"/>
                <w:szCs w:val="21"/>
              </w:rPr>
            </w:pPr>
            <w:r>
              <w:rPr>
                <w:rFonts w:hint="eastAsia" w:ascii="宋体" w:hAnsi="宋体" w:cs="宋体"/>
                <w:szCs w:val="21"/>
              </w:rPr>
              <w:t>销项税额</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84" w:hRule="atLeast"/>
          <w:jc w:val="center"/>
        </w:trPr>
        <w:tc>
          <w:tcPr>
            <w:tcW w:w="650" w:type="dxa"/>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5</w:t>
            </w:r>
          </w:p>
        </w:tc>
        <w:tc>
          <w:tcPr>
            <w:tcW w:w="3173" w:type="dxa"/>
            <w:vAlign w:val="center"/>
          </w:tcPr>
          <w:p>
            <w:pPr>
              <w:tabs>
                <w:tab w:val="left" w:pos="403"/>
                <w:tab w:val="center" w:pos="3781"/>
              </w:tabs>
              <w:spacing w:line="420" w:lineRule="exact"/>
              <w:ind w:right="-5206" w:rightChars="-2479"/>
              <w:rPr>
                <w:rFonts w:ascii="宋体" w:hAnsi="宋体" w:cs="宋体"/>
                <w:szCs w:val="21"/>
              </w:rPr>
            </w:pPr>
            <w:r>
              <w:rPr>
                <w:rFonts w:hint="eastAsia" w:ascii="宋体" w:hAnsi="宋体" w:cs="宋体"/>
                <w:szCs w:val="21"/>
              </w:rPr>
              <w:t>附加税额</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84" w:hRule="atLeast"/>
          <w:jc w:val="center"/>
        </w:trPr>
        <w:tc>
          <w:tcPr>
            <w:tcW w:w="650" w:type="dxa"/>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6</w:t>
            </w:r>
          </w:p>
        </w:tc>
        <w:tc>
          <w:tcPr>
            <w:tcW w:w="3173" w:type="dxa"/>
            <w:vAlign w:val="center"/>
          </w:tcPr>
          <w:p>
            <w:pPr>
              <w:tabs>
                <w:tab w:val="left" w:pos="403"/>
                <w:tab w:val="center" w:pos="3781"/>
              </w:tabs>
              <w:spacing w:line="420" w:lineRule="exact"/>
              <w:ind w:right="-5206" w:rightChars="-2479"/>
              <w:rPr>
                <w:rFonts w:ascii="宋体" w:hAnsi="宋体" w:cs="宋体"/>
                <w:szCs w:val="21"/>
              </w:rPr>
            </w:pPr>
            <w:r>
              <w:rPr>
                <w:rFonts w:hint="eastAsia" w:ascii="宋体" w:hAnsi="宋体" w:cs="宋体"/>
                <w:szCs w:val="21"/>
              </w:rPr>
              <w:t>其他项目费</w:t>
            </w:r>
          </w:p>
          <w:p>
            <w:pPr>
              <w:tabs>
                <w:tab w:val="left" w:pos="403"/>
                <w:tab w:val="center" w:pos="3781"/>
              </w:tabs>
              <w:spacing w:line="420" w:lineRule="exact"/>
              <w:ind w:right="-5206" w:rightChars="-2479"/>
              <w:rPr>
                <w:rFonts w:ascii="宋体" w:hAnsi="宋体" w:cs="宋体"/>
                <w:szCs w:val="21"/>
              </w:rPr>
            </w:pPr>
            <w:r>
              <w:rPr>
                <w:rFonts w:hint="eastAsia" w:ascii="宋体" w:hAnsi="宋体" w:cs="宋体"/>
                <w:szCs w:val="21"/>
              </w:rPr>
              <w:t>（含暂列金额和暂估价）</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03" w:hRule="atLeast"/>
          <w:jc w:val="center"/>
        </w:trPr>
        <w:tc>
          <w:tcPr>
            <w:tcW w:w="3823" w:type="dxa"/>
            <w:gridSpan w:val="2"/>
            <w:vMerge w:val="restart"/>
            <w:vAlign w:val="center"/>
          </w:tcPr>
          <w:p>
            <w:pPr>
              <w:tabs>
                <w:tab w:val="left" w:pos="403"/>
                <w:tab w:val="center" w:pos="3781"/>
              </w:tabs>
              <w:spacing w:line="420" w:lineRule="exact"/>
              <w:ind w:right="-5206" w:rightChars="-2479" w:firstLine="735" w:firstLineChars="350"/>
              <w:rPr>
                <w:rFonts w:ascii="宋体" w:hAnsi="宋体" w:cs="宋体"/>
                <w:szCs w:val="21"/>
              </w:rPr>
            </w:pPr>
            <w:r>
              <w:rPr>
                <w:rFonts w:hint="eastAsia" w:ascii="宋体" w:hAnsi="宋体" w:cs="宋体"/>
                <w:szCs w:val="21"/>
              </w:rPr>
              <w:t>总  报  价</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（大写）：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03" w:hRule="atLeast"/>
          <w:jc w:val="center"/>
        </w:trPr>
        <w:tc>
          <w:tcPr>
            <w:tcW w:w="3823" w:type="dxa"/>
            <w:gridSpan w:val="2"/>
            <w:vMerge w:val="continue"/>
            <w:vAlign w:val="center"/>
          </w:tcPr>
          <w:p>
            <w:pPr>
              <w:tabs>
                <w:tab w:val="left" w:pos="403"/>
                <w:tab w:val="center" w:pos="3781"/>
              </w:tabs>
              <w:spacing w:line="420" w:lineRule="exact"/>
              <w:ind w:right="-5206" w:rightChars="-2479" w:firstLine="315" w:firstLineChars="150"/>
              <w:rPr>
                <w:rFonts w:ascii="宋体" w:hAnsi="宋体" w:cs="宋体"/>
                <w:szCs w:val="21"/>
              </w:rPr>
            </w:pP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（小写）：</w:t>
            </w:r>
          </w:p>
        </w:tc>
      </w:tr>
    </w:tbl>
    <w:p>
      <w:pPr>
        <w:adjustRightInd w:val="0"/>
        <w:snapToGrid w:val="0"/>
        <w:spacing w:line="360" w:lineRule="auto"/>
        <w:ind w:left="-88" w:leftChars="-42"/>
        <w:rPr>
          <w:rFonts w:ascii="宋体" w:hAnsi="宋体" w:cs="宋体"/>
          <w:b/>
          <w:szCs w:val="21"/>
        </w:rPr>
      </w:pPr>
      <w:r>
        <w:rPr>
          <w:rFonts w:hint="eastAsia" w:ascii="宋体" w:hAnsi="宋体" w:cs="宋体"/>
          <w:b/>
          <w:szCs w:val="21"/>
        </w:rPr>
        <w:t>注：本表后附注册造价工程师注册证书影印件。如谈判单位委托工程造价咨询机构编制报价文件的，还应附委托合同。</w:t>
      </w:r>
    </w:p>
    <w:p>
      <w:pPr>
        <w:adjustRightInd w:val="0"/>
        <w:snapToGrid w:val="0"/>
        <w:spacing w:line="360" w:lineRule="auto"/>
        <w:ind w:left="-88" w:leftChars="-42"/>
        <w:rPr>
          <w:rFonts w:ascii="宋体" w:hAnsi="宋体" w:cs="宋体"/>
          <w:b/>
          <w:szCs w:val="21"/>
        </w:rPr>
      </w:pPr>
    </w:p>
    <w:p>
      <w:pPr>
        <w:pStyle w:val="27"/>
        <w:adjustRightInd w:val="0"/>
        <w:snapToGrid w:val="0"/>
        <w:spacing w:line="360" w:lineRule="auto"/>
        <w:rPr>
          <w:rFonts w:ascii="宋体" w:hAnsi="宋体" w:cs="宋体"/>
          <w:sz w:val="21"/>
          <w:szCs w:val="21"/>
        </w:rPr>
      </w:pPr>
    </w:p>
    <w:p>
      <w:pPr>
        <w:pStyle w:val="27"/>
        <w:adjustRightInd w:val="0"/>
        <w:snapToGrid w:val="0"/>
        <w:spacing w:line="360" w:lineRule="auto"/>
        <w:rPr>
          <w:rFonts w:ascii="宋体" w:hAnsi="宋体" w:cs="宋体"/>
          <w:sz w:val="21"/>
          <w:szCs w:val="21"/>
        </w:rPr>
      </w:pPr>
    </w:p>
    <w:p>
      <w:pPr>
        <w:pStyle w:val="27"/>
        <w:adjustRightInd w:val="0"/>
        <w:snapToGrid w:val="0"/>
        <w:spacing w:line="360" w:lineRule="auto"/>
        <w:rPr>
          <w:rFonts w:ascii="宋体" w:hAnsi="宋体" w:cs="宋体"/>
          <w:bCs/>
          <w:sz w:val="21"/>
          <w:szCs w:val="21"/>
        </w:rPr>
      </w:pPr>
      <w:r>
        <w:rPr>
          <w:rFonts w:hint="eastAsia" w:ascii="宋体" w:hAnsi="宋体" w:cs="宋体"/>
          <w:sz w:val="21"/>
          <w:szCs w:val="21"/>
        </w:rPr>
        <w:t>谈判单位名称：</w:t>
      </w:r>
      <w:r>
        <w:rPr>
          <w:rFonts w:hint="eastAsia" w:ascii="宋体" w:hAnsi="宋体" w:cs="宋体"/>
          <w:sz w:val="21"/>
          <w:szCs w:val="21"/>
          <w:u w:val="single"/>
        </w:rPr>
        <w:t xml:space="preserve">    （盖单位章）    </w:t>
      </w:r>
    </w:p>
    <w:p>
      <w:pPr>
        <w:adjustRightInd w:val="0"/>
        <w:snapToGrid w:val="0"/>
        <w:spacing w:line="360" w:lineRule="auto"/>
        <w:rPr>
          <w:rFonts w:ascii="宋体" w:hAnsi="宋体" w:cs="宋体"/>
          <w:szCs w:val="21"/>
          <w:u w:val="single"/>
        </w:rPr>
      </w:pPr>
      <w:r>
        <w:rPr>
          <w:rFonts w:hint="eastAsia" w:ascii="宋体" w:hAnsi="宋体" w:cs="宋体"/>
          <w:szCs w:val="21"/>
        </w:rPr>
        <w:t>法定代表人或其委托代理人(签字或盖章)：</w:t>
      </w:r>
      <w:r>
        <w:rPr>
          <w:rFonts w:hint="eastAsia" w:ascii="宋体" w:hAnsi="宋体" w:cs="宋体"/>
          <w:szCs w:val="21"/>
          <w:u w:val="single"/>
        </w:rPr>
        <w:t xml:space="preserve">               </w:t>
      </w:r>
    </w:p>
    <w:p>
      <w:pPr>
        <w:adjustRightInd w:val="0"/>
        <w:snapToGrid w:val="0"/>
        <w:spacing w:line="360" w:lineRule="auto"/>
        <w:rPr>
          <w:rFonts w:ascii="宋体" w:hAnsi="宋体" w:cs="宋体"/>
          <w:szCs w:val="21"/>
        </w:rPr>
      </w:pPr>
      <w:r>
        <w:rPr>
          <w:rFonts w:hint="eastAsia" w:ascii="宋体" w:hAnsi="宋体" w:cs="宋体"/>
          <w:szCs w:val="21"/>
        </w:rPr>
        <w:t>注册造价工程师：(签字并加盖注册造价师执业专用章。如谈判单位委托他人编制报价文件的，由被委托人的注册造价工程师签字并加盖注册造价师执业专用章。)</w:t>
      </w:r>
    </w:p>
    <w:p>
      <w:pPr>
        <w:spacing w:line="360" w:lineRule="auto"/>
        <w:rPr>
          <w:rFonts w:ascii="宋体" w:hAnsi="宋体" w:cs="宋体"/>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line="360" w:lineRule="auto"/>
        <w:ind w:left="-88" w:leftChars="-42" w:firstLine="211" w:firstLineChars="100"/>
        <w:rPr>
          <w:rFonts w:ascii="宋体" w:hAnsi="宋体" w:cs="宋体"/>
          <w:b/>
          <w:szCs w:val="21"/>
        </w:rPr>
      </w:pPr>
    </w:p>
    <w:p>
      <w:pPr>
        <w:adjustRightInd w:val="0"/>
        <w:snapToGrid w:val="0"/>
        <w:jc w:val="center"/>
        <w:rPr>
          <w:rFonts w:ascii="宋体" w:hAnsi="宋体" w:cs="宋体"/>
          <w:b/>
          <w:sz w:val="32"/>
          <w:szCs w:val="32"/>
        </w:rPr>
        <w:sectPr>
          <w:pgSz w:w="11906" w:h="16838"/>
          <w:pgMar w:top="1440" w:right="849" w:bottom="1440" w:left="992" w:header="851" w:footer="992" w:gutter="0"/>
          <w:pgNumType w:fmt="decimal"/>
          <w:cols w:space="720" w:num="1"/>
          <w:docGrid w:linePitch="312" w:charSpace="0"/>
        </w:sectPr>
      </w:pPr>
    </w:p>
    <w:p>
      <w:pPr>
        <w:adjustRightInd w:val="0"/>
        <w:snapToGrid w:val="0"/>
        <w:spacing w:line="360" w:lineRule="auto"/>
        <w:ind w:right="24"/>
        <w:jc w:val="center"/>
        <w:outlineLvl w:val="1"/>
        <w:rPr>
          <w:rFonts w:ascii="宋体" w:hAnsi="宋体" w:cs="宋体"/>
          <w:b/>
          <w:sz w:val="32"/>
          <w:szCs w:val="32"/>
        </w:rPr>
      </w:pPr>
      <w:bookmarkStart w:id="116" w:name="_Toc9077"/>
      <w:bookmarkStart w:id="117" w:name="_Toc22739"/>
      <w:bookmarkStart w:id="118" w:name="_Toc27585"/>
      <w:bookmarkStart w:id="119" w:name="_Toc18361"/>
      <w:r>
        <w:rPr>
          <w:rFonts w:hint="eastAsia" w:ascii="宋体" w:hAnsi="宋体" w:cs="宋体"/>
          <w:b/>
          <w:sz w:val="32"/>
          <w:szCs w:val="32"/>
        </w:rPr>
        <w:t>八、</w:t>
      </w:r>
      <w:bookmarkEnd w:id="116"/>
      <w:bookmarkEnd w:id="117"/>
      <w:bookmarkEnd w:id="118"/>
      <w:r>
        <w:rPr>
          <w:rFonts w:hint="eastAsia" w:ascii="宋体" w:hAnsi="宋体" w:cs="宋体"/>
          <w:b/>
          <w:sz w:val="32"/>
          <w:szCs w:val="32"/>
        </w:rPr>
        <w:t>投标报价表</w:t>
      </w:r>
      <w:bookmarkEnd w:id="119"/>
    </w:p>
    <w:p>
      <w:pPr>
        <w:adjustRightInd w:val="0"/>
        <w:snapToGrid w:val="0"/>
        <w:spacing w:before="120" w:beforeLines="50" w:line="360" w:lineRule="auto"/>
        <w:ind w:firstLine="420" w:firstLineChars="200"/>
        <w:jc w:val="left"/>
        <w:rPr>
          <w:rFonts w:ascii="宋体" w:hAnsi="宋体" w:cs="宋体"/>
          <w:szCs w:val="21"/>
        </w:rPr>
      </w:pPr>
      <w:r>
        <w:rPr>
          <w:rFonts w:hint="eastAsia" w:ascii="宋体" w:hAnsi="宋体" w:cs="宋体"/>
          <w:szCs w:val="21"/>
        </w:rPr>
        <w:t>采用</w:t>
      </w:r>
      <w:r>
        <w:rPr>
          <w:rFonts w:ascii="宋体" w:hAnsi="宋体" w:cs="宋体"/>
          <w:szCs w:val="21"/>
        </w:rPr>
        <w:t>cspk</w:t>
      </w:r>
      <w:r>
        <w:rPr>
          <w:rFonts w:hint="eastAsia" w:ascii="宋体" w:hAnsi="宋体" w:cs="宋体"/>
          <w:szCs w:val="21"/>
        </w:rPr>
        <w:t>计价软件、2016年湖南营改增湘建价【2016】160号文规定的投标报价格式。具体投标报价表格：</w:t>
      </w:r>
    </w:p>
    <w:p>
      <w:pPr>
        <w:adjustRightInd w:val="0"/>
        <w:snapToGrid w:val="0"/>
        <w:spacing w:before="120" w:beforeLines="50" w:line="360" w:lineRule="auto"/>
        <w:ind w:firstLine="420" w:firstLineChars="200"/>
        <w:jc w:val="left"/>
        <w:rPr>
          <w:rFonts w:ascii="宋体" w:hAnsi="宋体" w:cs="宋体"/>
          <w:szCs w:val="21"/>
        </w:rPr>
      </w:pPr>
      <w:r>
        <w:rPr>
          <w:rFonts w:hint="eastAsia" w:ascii="宋体" w:hAnsi="宋体" w:cs="宋体"/>
          <w:szCs w:val="21"/>
        </w:rPr>
        <w:t>1、A.3 投标总价封面</w:t>
      </w:r>
    </w:p>
    <w:p>
      <w:pPr>
        <w:adjustRightInd w:val="0"/>
        <w:snapToGrid w:val="0"/>
        <w:spacing w:before="120" w:beforeLines="50" w:line="360" w:lineRule="auto"/>
        <w:ind w:firstLine="420" w:firstLineChars="200"/>
        <w:jc w:val="left"/>
        <w:rPr>
          <w:rFonts w:ascii="宋体" w:hAnsi="宋体" w:cs="宋体"/>
          <w:szCs w:val="21"/>
        </w:rPr>
      </w:pPr>
      <w:r>
        <w:rPr>
          <w:rFonts w:hint="eastAsia" w:ascii="宋体" w:hAnsi="宋体" w:cs="宋体"/>
          <w:szCs w:val="21"/>
        </w:rPr>
        <w:t>2、B.3 投标总价扉页</w:t>
      </w:r>
    </w:p>
    <w:p>
      <w:pPr>
        <w:adjustRightInd w:val="0"/>
        <w:snapToGrid w:val="0"/>
        <w:spacing w:before="120" w:beforeLines="50" w:line="360" w:lineRule="auto"/>
        <w:ind w:firstLine="420" w:firstLineChars="200"/>
        <w:jc w:val="left"/>
        <w:rPr>
          <w:rFonts w:ascii="宋体" w:hAnsi="宋体" w:cs="宋体"/>
          <w:szCs w:val="21"/>
        </w:rPr>
      </w:pPr>
      <w:r>
        <w:rPr>
          <w:rFonts w:hint="eastAsia" w:ascii="宋体" w:hAnsi="宋体" w:cs="宋体"/>
          <w:szCs w:val="21"/>
        </w:rPr>
        <w:t>3、D.1 建设项目（单项工程）工程造价汇总表</w:t>
      </w:r>
    </w:p>
    <w:p>
      <w:pPr>
        <w:adjustRightInd w:val="0"/>
        <w:snapToGrid w:val="0"/>
        <w:spacing w:before="120" w:beforeLines="50" w:line="360" w:lineRule="auto"/>
        <w:ind w:firstLine="420" w:firstLineChars="200"/>
        <w:jc w:val="left"/>
        <w:rPr>
          <w:rFonts w:ascii="宋体" w:hAnsi="宋体" w:cs="宋体"/>
          <w:szCs w:val="21"/>
        </w:rPr>
      </w:pPr>
      <w:r>
        <w:rPr>
          <w:rFonts w:hint="eastAsia" w:ascii="宋体" w:hAnsi="宋体" w:cs="宋体"/>
          <w:szCs w:val="21"/>
        </w:rPr>
        <w:t>4、D.3 单位工程费用计算表</w:t>
      </w:r>
    </w:p>
    <w:p>
      <w:pPr>
        <w:adjustRightInd w:val="0"/>
        <w:snapToGrid w:val="0"/>
        <w:spacing w:before="120" w:beforeLines="50" w:line="360" w:lineRule="auto"/>
        <w:ind w:firstLine="420" w:firstLineChars="200"/>
        <w:jc w:val="left"/>
        <w:rPr>
          <w:rFonts w:ascii="宋体" w:hAnsi="宋体" w:cs="宋体"/>
          <w:szCs w:val="21"/>
        </w:rPr>
      </w:pPr>
      <w:r>
        <w:rPr>
          <w:rFonts w:ascii="宋体" w:hAnsi="宋体" w:cs="宋体"/>
          <w:szCs w:val="21"/>
        </w:rPr>
        <w:t>5</w:t>
      </w:r>
      <w:r>
        <w:rPr>
          <w:rFonts w:hint="eastAsia" w:ascii="宋体" w:hAnsi="宋体" w:cs="宋体"/>
          <w:szCs w:val="21"/>
        </w:rPr>
        <w:t>、E.1投标报价表（清单+措施+其他,带子目）</w:t>
      </w:r>
    </w:p>
    <w:p>
      <w:pPr>
        <w:adjustRightInd w:val="0"/>
        <w:snapToGrid w:val="0"/>
        <w:spacing w:before="120" w:beforeLines="50" w:line="360" w:lineRule="auto"/>
        <w:ind w:firstLine="420" w:firstLineChars="200"/>
        <w:jc w:val="left"/>
        <w:rPr>
          <w:rFonts w:ascii="宋体" w:hAnsi="宋体" w:cs="宋体"/>
          <w:szCs w:val="21"/>
        </w:rPr>
      </w:pPr>
      <w:r>
        <w:rPr>
          <w:rFonts w:ascii="宋体" w:hAnsi="宋体" w:cs="宋体"/>
          <w:szCs w:val="21"/>
        </w:rPr>
        <w:t>6</w:t>
      </w:r>
      <w:r>
        <w:rPr>
          <w:rFonts w:hint="eastAsia" w:ascii="宋体" w:hAnsi="宋体" w:cs="宋体"/>
          <w:szCs w:val="21"/>
        </w:rPr>
        <w:t>、E.7总价措施项目清单计费表</w:t>
      </w:r>
      <w:r>
        <w:rPr>
          <w:rFonts w:hint="eastAsia" w:ascii="宋体" w:hAnsi="宋体" w:cs="宋体"/>
          <w:szCs w:val="21"/>
        </w:rPr>
        <w:tab/>
      </w:r>
    </w:p>
    <w:p>
      <w:pPr>
        <w:adjustRightInd w:val="0"/>
        <w:snapToGrid w:val="0"/>
        <w:spacing w:before="120" w:beforeLines="50" w:line="360" w:lineRule="auto"/>
        <w:ind w:firstLine="420" w:firstLineChars="200"/>
        <w:jc w:val="left"/>
        <w:rPr>
          <w:rFonts w:ascii="宋体" w:hAnsi="宋体" w:cs="宋体"/>
          <w:szCs w:val="21"/>
        </w:rPr>
      </w:pPr>
      <w:r>
        <w:rPr>
          <w:rFonts w:ascii="宋体" w:hAnsi="宋体" w:cs="宋体"/>
          <w:szCs w:val="21"/>
        </w:rPr>
        <w:t>7</w:t>
      </w:r>
      <w:r>
        <w:rPr>
          <w:rFonts w:hint="eastAsia" w:ascii="宋体" w:hAnsi="宋体" w:cs="宋体"/>
          <w:szCs w:val="21"/>
        </w:rPr>
        <w:t>、人材机（工程设备）用量汇总与单价表</w:t>
      </w:r>
    </w:p>
    <w:p>
      <w:pPr>
        <w:adjustRightInd w:val="0"/>
        <w:snapToGrid w:val="0"/>
        <w:spacing w:before="120" w:beforeLines="50" w:line="360" w:lineRule="auto"/>
        <w:ind w:firstLine="420" w:firstLineChars="200"/>
        <w:jc w:val="left"/>
        <w:rPr>
          <w:rFonts w:ascii="宋体" w:hAnsi="宋体" w:cs="宋体"/>
          <w:szCs w:val="21"/>
        </w:rPr>
      </w:pPr>
      <w:r>
        <w:rPr>
          <w:rFonts w:ascii="宋体" w:hAnsi="宋体" w:cs="宋体"/>
          <w:szCs w:val="21"/>
        </w:rPr>
        <w:t>8</w:t>
      </w:r>
      <w:r>
        <w:rPr>
          <w:rFonts w:hint="eastAsia" w:ascii="宋体" w:hAnsi="宋体" w:cs="宋体"/>
          <w:szCs w:val="21"/>
        </w:rPr>
        <w:t>、不可竞争费(2016,160</w:t>
      </w:r>
      <w:r>
        <w:rPr>
          <w:rFonts w:hint="eastAsia" w:ascii="宋体" w:hAnsi="宋体" w:cs="宋体"/>
          <w:szCs w:val="21"/>
          <w:lang w:eastAsia="zh-CN"/>
        </w:rPr>
        <w:t>号</w:t>
      </w:r>
      <w:r>
        <w:rPr>
          <w:rFonts w:hint="eastAsia" w:ascii="宋体" w:hAnsi="宋体" w:cs="宋体"/>
          <w:szCs w:val="21"/>
        </w:rPr>
        <w:t>文)</w:t>
      </w:r>
    </w:p>
    <w:p>
      <w:pPr>
        <w:adjustRightInd w:val="0"/>
        <w:snapToGrid w:val="0"/>
        <w:spacing w:before="120" w:beforeLines="50" w:line="360" w:lineRule="auto"/>
        <w:ind w:firstLine="420" w:firstLineChars="200"/>
        <w:jc w:val="left"/>
        <w:rPr>
          <w:rFonts w:ascii="宋体" w:hAnsi="宋体" w:cs="宋体"/>
          <w:szCs w:val="21"/>
        </w:rPr>
      </w:pPr>
      <w:r>
        <w:rPr>
          <w:rFonts w:ascii="宋体" w:hAnsi="宋体" w:cs="宋体"/>
          <w:szCs w:val="21"/>
        </w:rPr>
        <w:t>9</w:t>
      </w:r>
      <w:r>
        <w:rPr>
          <w:rFonts w:hint="eastAsia" w:ascii="宋体" w:hAnsi="宋体" w:cs="宋体"/>
          <w:szCs w:val="21"/>
        </w:rPr>
        <w:t>、规费、税金项目计价表(2016,160</w:t>
      </w:r>
      <w:r>
        <w:rPr>
          <w:rFonts w:hint="eastAsia" w:ascii="宋体" w:hAnsi="宋体" w:cs="宋体"/>
          <w:szCs w:val="21"/>
          <w:lang w:eastAsia="zh-CN"/>
        </w:rPr>
        <w:t>号</w:t>
      </w:r>
      <w:r>
        <w:rPr>
          <w:rFonts w:hint="eastAsia" w:ascii="宋体" w:hAnsi="宋体" w:cs="宋体"/>
          <w:szCs w:val="21"/>
        </w:rPr>
        <w:t>文)</w:t>
      </w:r>
    </w:p>
    <w:p>
      <w:pPr>
        <w:rPr>
          <w:rFonts w:ascii="宋体" w:hAnsi="宋体" w:cs="宋体"/>
          <w:szCs w:val="21"/>
        </w:rPr>
      </w:pPr>
      <w:r>
        <w:rPr>
          <w:rFonts w:hint="eastAsia" w:ascii="宋体" w:hAnsi="宋体" w:cs="宋体"/>
          <w:szCs w:val="21"/>
        </w:rPr>
        <w:br w:type="page"/>
      </w:r>
    </w:p>
    <w:p>
      <w:pPr>
        <w:adjustRightInd w:val="0"/>
        <w:snapToGrid w:val="0"/>
        <w:spacing w:line="360" w:lineRule="auto"/>
        <w:ind w:right="24"/>
        <w:jc w:val="center"/>
        <w:outlineLvl w:val="1"/>
        <w:rPr>
          <w:rFonts w:ascii="宋体" w:hAnsi="宋体" w:cs="宋体"/>
          <w:b/>
          <w:sz w:val="32"/>
          <w:szCs w:val="32"/>
        </w:rPr>
      </w:pPr>
      <w:bookmarkStart w:id="120" w:name="_Toc13786"/>
      <w:r>
        <w:rPr>
          <w:rFonts w:hint="eastAsia" w:ascii="宋体" w:hAnsi="宋体" w:cs="宋体"/>
          <w:b/>
          <w:sz w:val="32"/>
          <w:szCs w:val="32"/>
        </w:rPr>
        <w:t>九、其他资料（如有）</w:t>
      </w:r>
      <w:bookmarkEnd w:id="120"/>
    </w:p>
    <w:p>
      <w:pPr>
        <w:adjustRightInd w:val="0"/>
        <w:snapToGrid w:val="0"/>
        <w:spacing w:before="120" w:beforeLines="50" w:line="360" w:lineRule="auto"/>
        <w:ind w:firstLine="420" w:firstLineChars="200"/>
        <w:jc w:val="left"/>
        <w:rPr>
          <w:rFonts w:ascii="宋体" w:hAnsi="宋体" w:cs="宋体"/>
          <w:szCs w:val="21"/>
        </w:rPr>
      </w:pPr>
      <w:r>
        <w:rPr>
          <w:rFonts w:hint="eastAsia" w:ascii="宋体" w:hAnsi="宋体" w:cs="宋体"/>
          <w:szCs w:val="21"/>
        </w:rPr>
        <w:t>谈判单位认为需要提供的其他报价资料，格式自拟。</w:t>
      </w:r>
    </w:p>
    <w:p>
      <w:pPr>
        <w:pStyle w:val="2"/>
        <w:rPr>
          <w:rFonts w:ascii="宋体" w:hAnsi="宋体" w:cs="宋体"/>
        </w:rPr>
      </w:pPr>
    </w:p>
    <w:sectPr>
      <w:pgSz w:w="11906" w:h="16838"/>
      <w:pgMar w:top="1440" w:right="991" w:bottom="1440" w:left="992"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8CF3C52" w:usb2="00000016" w:usb3="00000000" w:csb0="0004001F"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10006FF" w:usb1="4000205B" w:usb2="00000010" w:usb3="00000000" w:csb0="2000019F"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5722736"/>
      <w:docPartObj>
        <w:docPartGallery w:val="autotext"/>
      </w:docPartObj>
    </w:sdtPr>
    <w:sdtContent>
      <w:p>
        <w:pPr>
          <w:pStyle w:val="30"/>
          <w:jc w:val="center"/>
        </w:pPr>
        <w:r>
          <w:fldChar w:fldCharType="begin"/>
        </w:r>
        <w:r>
          <w:instrText xml:space="preserve">PAGE   \* MERGEFORMAT</w:instrText>
        </w:r>
        <w:r>
          <w:fldChar w:fldCharType="separate"/>
        </w:r>
        <w:r>
          <w:rPr>
            <w:lang w:val="zh-CN"/>
          </w:rPr>
          <w:t>2</w:t>
        </w:r>
        <w:r>
          <w:fldChar w:fldCharType="end"/>
        </w:r>
      </w:p>
    </w:sdtContent>
  </w:sdt>
  <w:p>
    <w:pPr>
      <w:pStyle w:val="3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41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41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4972825"/>
      <w:docPartObj>
        <w:docPartGallery w:val="autotext"/>
      </w:docPartObj>
    </w:sdtPr>
    <w:sdtContent>
      <w:p>
        <w:pPr>
          <w:pStyle w:val="30"/>
          <w:jc w:val="center"/>
        </w:pPr>
        <w:r>
          <w:fldChar w:fldCharType="begin"/>
        </w:r>
        <w:r>
          <w:instrText xml:space="preserve">PAGE   \* MERGEFORMAT</w:instrText>
        </w:r>
        <w:r>
          <w:fldChar w:fldCharType="separate"/>
        </w:r>
        <w:r>
          <w:rPr>
            <w:lang w:val="zh-CN"/>
          </w:rPr>
          <w:t>2</w:t>
        </w:r>
        <w:r>
          <w:fldChar w:fldCharType="end"/>
        </w:r>
      </w:p>
    </w:sdtContent>
  </w:sdt>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p>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p>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hpgkvTAAAABQEAAA8AAAAA&#10;AAAAAQAgAAAAIgAAAGRycy9kb3ducmV2LnhtbFBLAQIUABQAAAAIAIdO4kB826W34AEAALoDAAAO&#10;AAAAAAAAAAEAIAAAACIBAABkcnMvZTJvRG9jLnhtbFBLBQYAAAAABgAGAFkBAAB0BQAAAAA=&#10;">
              <v:fill on="f" focussize="0,0"/>
              <v:stroke on="f" weight="1.25pt"/>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vert="horz" wrap="none" lIns="0" tIns="0" rIns="0" bIns="0" anchor="t"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m3NADucB&#10;AADIAwAADgAAAAAAAAABACAAAAAiAQAAZHJzL2Uyb0RvYy54bWxQSwUGAAAAAAYABgBZAQAAewUA&#10;AAAA&#10;">
              <v:fill on="f" focussize="0,0"/>
              <v:stroke on="f" weight="1.25pt"/>
              <v:imagedata o:title=""/>
              <o:lock v:ext="edit" aspectratio="f"/>
              <v:textbox inset="0mm,0mm,0mm,0mm" style="mso-fit-shape-to-text:t;">
                <w:txbxContent>
                  <w:p>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single" w:color="FFFFFF" w:sz="6"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single" w:color="FFFFFF" w:sz="6"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293A88"/>
    <w:multiLevelType w:val="singleLevel"/>
    <w:tmpl w:val="FE293A88"/>
    <w:lvl w:ilvl="0" w:tentative="0">
      <w:start w:val="3"/>
      <w:numFmt w:val="chineseCounting"/>
      <w:pStyle w:val="358"/>
      <w:suff w:val="nothing"/>
      <w:lvlText w:val="%1、"/>
      <w:lvlJc w:val="left"/>
      <w:rPr>
        <w:rFonts w:hint="eastAsia"/>
      </w:rPr>
    </w:lvl>
  </w:abstractNum>
  <w:abstractNum w:abstractNumId="1">
    <w:nsid w:val="00000006"/>
    <w:multiLevelType w:val="multilevel"/>
    <w:tmpl w:val="00000006"/>
    <w:lvl w:ilvl="0" w:tentative="0">
      <w:start w:val="1"/>
      <w:numFmt w:val="decimal"/>
      <w:pStyle w:val="246"/>
      <w:lvlText w:val="%1"/>
      <w:lvlJc w:val="left"/>
      <w:pPr>
        <w:tabs>
          <w:tab w:val="left" w:pos="2238"/>
        </w:tabs>
        <w:ind w:left="2238" w:hanging="432"/>
      </w:pPr>
      <w:rPr>
        <w:rFonts w:hint="default"/>
        <w:u w:val="none"/>
      </w:rPr>
    </w:lvl>
    <w:lvl w:ilvl="1" w:tentative="0">
      <w:start w:val="1"/>
      <w:numFmt w:val="decimal"/>
      <w:pStyle w:val="322"/>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2">
    <w:nsid w:val="0D1516BE"/>
    <w:multiLevelType w:val="multilevel"/>
    <w:tmpl w:val="0D1516BE"/>
    <w:lvl w:ilvl="0" w:tentative="0">
      <w:start w:val="1"/>
      <w:numFmt w:val="chineseCountingThousand"/>
      <w:pStyle w:val="362"/>
      <w:suff w:val="space"/>
      <w:lvlText w:val="(%1)"/>
      <w:lvlJc w:val="left"/>
      <w:pPr>
        <w:ind w:left="640" w:firstLine="0"/>
      </w:pPr>
      <w:rPr>
        <w:rFonts w:hint="eastAsia" w:ascii="楷体_GB2312" w:eastAsia="楷体_GB2312"/>
        <w:sz w:val="32"/>
        <w:szCs w:val="32"/>
      </w:rPr>
    </w:lvl>
    <w:lvl w:ilvl="1" w:tentative="0">
      <w:start w:val="1"/>
      <w:numFmt w:val="lowerLetter"/>
      <w:pStyle w:val="357"/>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16516015"/>
    <w:multiLevelType w:val="multilevel"/>
    <w:tmpl w:val="16516015"/>
    <w:lvl w:ilvl="0" w:tentative="0">
      <w:start w:val="1"/>
      <w:numFmt w:val="chineseCountingThousand"/>
      <w:pStyle w:val="360"/>
      <w:suff w:val="space"/>
      <w:lvlText w:val="(%1)"/>
      <w:lvlJc w:val="left"/>
      <w:pPr>
        <w:ind w:left="0" w:firstLine="0"/>
      </w:pPr>
      <w:rPr>
        <w:rFonts w:hint="eastAsia" w:ascii="楷体_GB2312" w:eastAsia="楷体_GB2312"/>
        <w:sz w:val="32"/>
        <w:szCs w:val="32"/>
      </w:rPr>
    </w:lvl>
    <w:lvl w:ilvl="1" w:tentative="0">
      <w:start w:val="1"/>
      <w:numFmt w:val="lowerLetter"/>
      <w:pStyle w:val="359"/>
      <w:lvlText w:val="%2)"/>
      <w:lvlJc w:val="left"/>
      <w:pPr>
        <w:ind w:left="840" w:hanging="420"/>
      </w:pPr>
    </w:lvl>
    <w:lvl w:ilvl="2" w:tentative="0">
      <w:start w:val="1"/>
      <w:numFmt w:val="lowerRoman"/>
      <w:pStyle w:val="361"/>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3"/>
      <w:suff w:val="nothing"/>
      <w:lvlText w:val="%1.%2　"/>
      <w:lvlJc w:val="left"/>
      <w:pPr>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abstractNum w:abstractNumId="5">
    <w:nsid w:val="7E8E069C"/>
    <w:multiLevelType w:val="singleLevel"/>
    <w:tmpl w:val="7E8E069C"/>
    <w:lvl w:ilvl="0" w:tentative="0">
      <w:start w:val="1"/>
      <w:numFmt w:val="decimal"/>
      <w:lvlText w:val="%1."/>
      <w:lvlJc w:val="left"/>
      <w:pPr>
        <w:tabs>
          <w:tab w:val="left" w:pos="312"/>
        </w:tabs>
      </w:p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84A"/>
    <w:rsid w:val="00005EC9"/>
    <w:rsid w:val="00006D21"/>
    <w:rsid w:val="00016902"/>
    <w:rsid w:val="000274C6"/>
    <w:rsid w:val="000277B3"/>
    <w:rsid w:val="00052640"/>
    <w:rsid w:val="00063D15"/>
    <w:rsid w:val="00073311"/>
    <w:rsid w:val="00074928"/>
    <w:rsid w:val="00080D1F"/>
    <w:rsid w:val="00081934"/>
    <w:rsid w:val="00091C9D"/>
    <w:rsid w:val="000B4A87"/>
    <w:rsid w:val="000C106E"/>
    <w:rsid w:val="000C7E11"/>
    <w:rsid w:val="000D0106"/>
    <w:rsid w:val="000D4C1F"/>
    <w:rsid w:val="000E7968"/>
    <w:rsid w:val="000F3E56"/>
    <w:rsid w:val="00100347"/>
    <w:rsid w:val="00115FE6"/>
    <w:rsid w:val="00116BAE"/>
    <w:rsid w:val="001453A1"/>
    <w:rsid w:val="00162D59"/>
    <w:rsid w:val="00186162"/>
    <w:rsid w:val="001C23BF"/>
    <w:rsid w:val="001D6D72"/>
    <w:rsid w:val="001F5DA8"/>
    <w:rsid w:val="002069C8"/>
    <w:rsid w:val="002139EB"/>
    <w:rsid w:val="0022188F"/>
    <w:rsid w:val="00222DFA"/>
    <w:rsid w:val="0022793C"/>
    <w:rsid w:val="00230A1A"/>
    <w:rsid w:val="002314A3"/>
    <w:rsid w:val="002504FF"/>
    <w:rsid w:val="002523FD"/>
    <w:rsid w:val="0025312F"/>
    <w:rsid w:val="00255546"/>
    <w:rsid w:val="00286014"/>
    <w:rsid w:val="00291BB0"/>
    <w:rsid w:val="002967D1"/>
    <w:rsid w:val="002B1D56"/>
    <w:rsid w:val="002C70CC"/>
    <w:rsid w:val="002F262C"/>
    <w:rsid w:val="00310029"/>
    <w:rsid w:val="003102A2"/>
    <w:rsid w:val="00331810"/>
    <w:rsid w:val="003647FF"/>
    <w:rsid w:val="00371E6F"/>
    <w:rsid w:val="00380064"/>
    <w:rsid w:val="00381105"/>
    <w:rsid w:val="00381BB4"/>
    <w:rsid w:val="00391F23"/>
    <w:rsid w:val="003958B2"/>
    <w:rsid w:val="0039632C"/>
    <w:rsid w:val="003A1437"/>
    <w:rsid w:val="003A5795"/>
    <w:rsid w:val="003B1109"/>
    <w:rsid w:val="003D080C"/>
    <w:rsid w:val="003D6204"/>
    <w:rsid w:val="003F46A7"/>
    <w:rsid w:val="004014FD"/>
    <w:rsid w:val="00423B85"/>
    <w:rsid w:val="004263EB"/>
    <w:rsid w:val="004444BD"/>
    <w:rsid w:val="00446697"/>
    <w:rsid w:val="00453EE9"/>
    <w:rsid w:val="00470EFF"/>
    <w:rsid w:val="00472410"/>
    <w:rsid w:val="00473865"/>
    <w:rsid w:val="00474931"/>
    <w:rsid w:val="0048093D"/>
    <w:rsid w:val="00482DB0"/>
    <w:rsid w:val="004929D5"/>
    <w:rsid w:val="00495DBC"/>
    <w:rsid w:val="00495F57"/>
    <w:rsid w:val="004978CA"/>
    <w:rsid w:val="004B3D80"/>
    <w:rsid w:val="004B41B1"/>
    <w:rsid w:val="00504DED"/>
    <w:rsid w:val="00526589"/>
    <w:rsid w:val="0052670C"/>
    <w:rsid w:val="00545140"/>
    <w:rsid w:val="0055214F"/>
    <w:rsid w:val="005556A5"/>
    <w:rsid w:val="0056117D"/>
    <w:rsid w:val="0056143E"/>
    <w:rsid w:val="0058754B"/>
    <w:rsid w:val="005C688B"/>
    <w:rsid w:val="005E6BBB"/>
    <w:rsid w:val="005E7BC5"/>
    <w:rsid w:val="006111E5"/>
    <w:rsid w:val="00641E72"/>
    <w:rsid w:val="0068504A"/>
    <w:rsid w:val="0068515F"/>
    <w:rsid w:val="006868A6"/>
    <w:rsid w:val="00687C87"/>
    <w:rsid w:val="006B6300"/>
    <w:rsid w:val="006D0A13"/>
    <w:rsid w:val="006D31DA"/>
    <w:rsid w:val="006E025D"/>
    <w:rsid w:val="006F5FAC"/>
    <w:rsid w:val="0070784A"/>
    <w:rsid w:val="007126A6"/>
    <w:rsid w:val="00730CC6"/>
    <w:rsid w:val="00740D0D"/>
    <w:rsid w:val="00743BFC"/>
    <w:rsid w:val="0076517D"/>
    <w:rsid w:val="00793ABB"/>
    <w:rsid w:val="0079784E"/>
    <w:rsid w:val="007D0446"/>
    <w:rsid w:val="007E693F"/>
    <w:rsid w:val="007E6D77"/>
    <w:rsid w:val="007F3811"/>
    <w:rsid w:val="00802770"/>
    <w:rsid w:val="0081382B"/>
    <w:rsid w:val="00842E06"/>
    <w:rsid w:val="008511F3"/>
    <w:rsid w:val="008B6242"/>
    <w:rsid w:val="008C7C9F"/>
    <w:rsid w:val="00915334"/>
    <w:rsid w:val="00915948"/>
    <w:rsid w:val="00923E97"/>
    <w:rsid w:val="00985031"/>
    <w:rsid w:val="009A5642"/>
    <w:rsid w:val="009A740E"/>
    <w:rsid w:val="009B5270"/>
    <w:rsid w:val="009C10AF"/>
    <w:rsid w:val="009D41D7"/>
    <w:rsid w:val="009D7D4A"/>
    <w:rsid w:val="009E03FD"/>
    <w:rsid w:val="009E2384"/>
    <w:rsid w:val="009E5B95"/>
    <w:rsid w:val="00A34DC1"/>
    <w:rsid w:val="00A41E73"/>
    <w:rsid w:val="00A46E68"/>
    <w:rsid w:val="00A618F2"/>
    <w:rsid w:val="00A61CCE"/>
    <w:rsid w:val="00A92B7C"/>
    <w:rsid w:val="00A96F05"/>
    <w:rsid w:val="00AA1709"/>
    <w:rsid w:val="00AA4595"/>
    <w:rsid w:val="00AB013C"/>
    <w:rsid w:val="00AD758B"/>
    <w:rsid w:val="00AF107D"/>
    <w:rsid w:val="00AF11ED"/>
    <w:rsid w:val="00B01BA0"/>
    <w:rsid w:val="00B3433E"/>
    <w:rsid w:val="00B56AC5"/>
    <w:rsid w:val="00B74689"/>
    <w:rsid w:val="00B82298"/>
    <w:rsid w:val="00B832A9"/>
    <w:rsid w:val="00B92FA2"/>
    <w:rsid w:val="00BE15B5"/>
    <w:rsid w:val="00C0069B"/>
    <w:rsid w:val="00C17306"/>
    <w:rsid w:val="00C20479"/>
    <w:rsid w:val="00C21D69"/>
    <w:rsid w:val="00C36EE1"/>
    <w:rsid w:val="00C455CC"/>
    <w:rsid w:val="00C532E5"/>
    <w:rsid w:val="00C57914"/>
    <w:rsid w:val="00C6008B"/>
    <w:rsid w:val="00C65937"/>
    <w:rsid w:val="00C758E3"/>
    <w:rsid w:val="00CB534B"/>
    <w:rsid w:val="00CC2BA9"/>
    <w:rsid w:val="00CE51F2"/>
    <w:rsid w:val="00CE631C"/>
    <w:rsid w:val="00CE703D"/>
    <w:rsid w:val="00CF0192"/>
    <w:rsid w:val="00CF040C"/>
    <w:rsid w:val="00D03AD9"/>
    <w:rsid w:val="00D164FE"/>
    <w:rsid w:val="00D231D4"/>
    <w:rsid w:val="00D3004B"/>
    <w:rsid w:val="00D31733"/>
    <w:rsid w:val="00D43330"/>
    <w:rsid w:val="00D45708"/>
    <w:rsid w:val="00D6362F"/>
    <w:rsid w:val="00D84A7F"/>
    <w:rsid w:val="00D850C9"/>
    <w:rsid w:val="00DA51BD"/>
    <w:rsid w:val="00DC0504"/>
    <w:rsid w:val="00DF363F"/>
    <w:rsid w:val="00DF5199"/>
    <w:rsid w:val="00E16D9C"/>
    <w:rsid w:val="00E2243D"/>
    <w:rsid w:val="00E32EEF"/>
    <w:rsid w:val="00E40012"/>
    <w:rsid w:val="00E74692"/>
    <w:rsid w:val="00E77817"/>
    <w:rsid w:val="00E944EE"/>
    <w:rsid w:val="00EC43A4"/>
    <w:rsid w:val="00EF6911"/>
    <w:rsid w:val="00F02CB6"/>
    <w:rsid w:val="00F12610"/>
    <w:rsid w:val="00F1527C"/>
    <w:rsid w:val="00F37996"/>
    <w:rsid w:val="00F410E0"/>
    <w:rsid w:val="00F579E9"/>
    <w:rsid w:val="00FA6734"/>
    <w:rsid w:val="00FE3699"/>
    <w:rsid w:val="01403F6F"/>
    <w:rsid w:val="014D6F55"/>
    <w:rsid w:val="01553A81"/>
    <w:rsid w:val="01932790"/>
    <w:rsid w:val="01CF51F6"/>
    <w:rsid w:val="01E055E1"/>
    <w:rsid w:val="01EA6EEC"/>
    <w:rsid w:val="01F95304"/>
    <w:rsid w:val="021B19D1"/>
    <w:rsid w:val="02263AD9"/>
    <w:rsid w:val="024C0DC0"/>
    <w:rsid w:val="02615857"/>
    <w:rsid w:val="02787973"/>
    <w:rsid w:val="02787D91"/>
    <w:rsid w:val="02823A35"/>
    <w:rsid w:val="029A1968"/>
    <w:rsid w:val="02AB7973"/>
    <w:rsid w:val="02BF5617"/>
    <w:rsid w:val="02FB4FEB"/>
    <w:rsid w:val="030A4D81"/>
    <w:rsid w:val="03727DAF"/>
    <w:rsid w:val="03D41287"/>
    <w:rsid w:val="03F31A5E"/>
    <w:rsid w:val="03FC0CEA"/>
    <w:rsid w:val="04240981"/>
    <w:rsid w:val="042B3AFB"/>
    <w:rsid w:val="0445397B"/>
    <w:rsid w:val="0471407F"/>
    <w:rsid w:val="04CA33E5"/>
    <w:rsid w:val="04E70891"/>
    <w:rsid w:val="04EE0D07"/>
    <w:rsid w:val="054E6891"/>
    <w:rsid w:val="05882D92"/>
    <w:rsid w:val="05990F81"/>
    <w:rsid w:val="05D62C3D"/>
    <w:rsid w:val="05EB6762"/>
    <w:rsid w:val="05F777CC"/>
    <w:rsid w:val="061842D1"/>
    <w:rsid w:val="067428EB"/>
    <w:rsid w:val="06C11238"/>
    <w:rsid w:val="06D605B3"/>
    <w:rsid w:val="070C68F7"/>
    <w:rsid w:val="072B22BC"/>
    <w:rsid w:val="074C43F1"/>
    <w:rsid w:val="07650D5D"/>
    <w:rsid w:val="07A76048"/>
    <w:rsid w:val="07B16F85"/>
    <w:rsid w:val="082211DD"/>
    <w:rsid w:val="08232382"/>
    <w:rsid w:val="082F5114"/>
    <w:rsid w:val="083D23B2"/>
    <w:rsid w:val="086136BB"/>
    <w:rsid w:val="08786792"/>
    <w:rsid w:val="08807627"/>
    <w:rsid w:val="089F6734"/>
    <w:rsid w:val="08D94C54"/>
    <w:rsid w:val="093252EE"/>
    <w:rsid w:val="09422E59"/>
    <w:rsid w:val="094A4EE7"/>
    <w:rsid w:val="095417B5"/>
    <w:rsid w:val="0959407C"/>
    <w:rsid w:val="097D1C20"/>
    <w:rsid w:val="098A3350"/>
    <w:rsid w:val="09A23D38"/>
    <w:rsid w:val="09AB154E"/>
    <w:rsid w:val="0A0B173F"/>
    <w:rsid w:val="0A2948BE"/>
    <w:rsid w:val="0A451CA7"/>
    <w:rsid w:val="0AE24958"/>
    <w:rsid w:val="0B0459F0"/>
    <w:rsid w:val="0B4410E2"/>
    <w:rsid w:val="0B4432D5"/>
    <w:rsid w:val="0B590F4A"/>
    <w:rsid w:val="0B756C1C"/>
    <w:rsid w:val="0B8511E8"/>
    <w:rsid w:val="0BAA700E"/>
    <w:rsid w:val="0BC61F4B"/>
    <w:rsid w:val="0BEB10E2"/>
    <w:rsid w:val="0C156CFF"/>
    <w:rsid w:val="0C1A66D1"/>
    <w:rsid w:val="0C361670"/>
    <w:rsid w:val="0C411CD0"/>
    <w:rsid w:val="0C5B1FA9"/>
    <w:rsid w:val="0C8E4136"/>
    <w:rsid w:val="0CA062F8"/>
    <w:rsid w:val="0CED2457"/>
    <w:rsid w:val="0D2C1377"/>
    <w:rsid w:val="0D5C5AB2"/>
    <w:rsid w:val="0D614F04"/>
    <w:rsid w:val="0D6A4C3D"/>
    <w:rsid w:val="0DCC335E"/>
    <w:rsid w:val="0DF87606"/>
    <w:rsid w:val="0E04554D"/>
    <w:rsid w:val="0E0C0187"/>
    <w:rsid w:val="0E413AE2"/>
    <w:rsid w:val="0E94477A"/>
    <w:rsid w:val="0EBC2000"/>
    <w:rsid w:val="0F143C2E"/>
    <w:rsid w:val="0F340DCE"/>
    <w:rsid w:val="0F3918CC"/>
    <w:rsid w:val="0F397095"/>
    <w:rsid w:val="0FD663C6"/>
    <w:rsid w:val="10190CBD"/>
    <w:rsid w:val="102D14D1"/>
    <w:rsid w:val="104E0318"/>
    <w:rsid w:val="10A750E5"/>
    <w:rsid w:val="11342822"/>
    <w:rsid w:val="115D2B41"/>
    <w:rsid w:val="1183006F"/>
    <w:rsid w:val="118640B3"/>
    <w:rsid w:val="12321665"/>
    <w:rsid w:val="126C7EC0"/>
    <w:rsid w:val="1277417D"/>
    <w:rsid w:val="12A242AB"/>
    <w:rsid w:val="12BE7F96"/>
    <w:rsid w:val="12DA4361"/>
    <w:rsid w:val="12E70400"/>
    <w:rsid w:val="12F745E0"/>
    <w:rsid w:val="12F96D8F"/>
    <w:rsid w:val="1342515B"/>
    <w:rsid w:val="1356443E"/>
    <w:rsid w:val="1360694E"/>
    <w:rsid w:val="136253A7"/>
    <w:rsid w:val="136544CD"/>
    <w:rsid w:val="136B6B81"/>
    <w:rsid w:val="13A934D3"/>
    <w:rsid w:val="13B923AB"/>
    <w:rsid w:val="13C0328F"/>
    <w:rsid w:val="13C5215F"/>
    <w:rsid w:val="13C719E1"/>
    <w:rsid w:val="13DC2553"/>
    <w:rsid w:val="142D4C56"/>
    <w:rsid w:val="1444419D"/>
    <w:rsid w:val="145C45D5"/>
    <w:rsid w:val="149B2B25"/>
    <w:rsid w:val="14B6139F"/>
    <w:rsid w:val="15340E77"/>
    <w:rsid w:val="157939BE"/>
    <w:rsid w:val="15832312"/>
    <w:rsid w:val="15C01930"/>
    <w:rsid w:val="15FB4C84"/>
    <w:rsid w:val="161C194F"/>
    <w:rsid w:val="162E1686"/>
    <w:rsid w:val="16387566"/>
    <w:rsid w:val="165E1B64"/>
    <w:rsid w:val="167D6633"/>
    <w:rsid w:val="16C7330C"/>
    <w:rsid w:val="16CE41FA"/>
    <w:rsid w:val="16E77616"/>
    <w:rsid w:val="16F862E2"/>
    <w:rsid w:val="17253717"/>
    <w:rsid w:val="173A56D7"/>
    <w:rsid w:val="173F2277"/>
    <w:rsid w:val="176159C8"/>
    <w:rsid w:val="17740B65"/>
    <w:rsid w:val="17974A77"/>
    <w:rsid w:val="17C50F2C"/>
    <w:rsid w:val="17D42E02"/>
    <w:rsid w:val="18613676"/>
    <w:rsid w:val="1871686D"/>
    <w:rsid w:val="18735165"/>
    <w:rsid w:val="188542AB"/>
    <w:rsid w:val="1888103C"/>
    <w:rsid w:val="18940F06"/>
    <w:rsid w:val="189E1726"/>
    <w:rsid w:val="18AE213F"/>
    <w:rsid w:val="18EF3A7F"/>
    <w:rsid w:val="191C7D65"/>
    <w:rsid w:val="19266EAE"/>
    <w:rsid w:val="193E61A9"/>
    <w:rsid w:val="19B175FE"/>
    <w:rsid w:val="19BA2DA6"/>
    <w:rsid w:val="19E17184"/>
    <w:rsid w:val="19FB2C3C"/>
    <w:rsid w:val="1A1B5EE6"/>
    <w:rsid w:val="1A351A94"/>
    <w:rsid w:val="1A3B188F"/>
    <w:rsid w:val="1A4F4961"/>
    <w:rsid w:val="1A527E86"/>
    <w:rsid w:val="1A6B0EEF"/>
    <w:rsid w:val="1A864FC7"/>
    <w:rsid w:val="1A967D50"/>
    <w:rsid w:val="1A970FB3"/>
    <w:rsid w:val="1AAB45F6"/>
    <w:rsid w:val="1AF205C1"/>
    <w:rsid w:val="1B106349"/>
    <w:rsid w:val="1B133EBD"/>
    <w:rsid w:val="1B791B76"/>
    <w:rsid w:val="1B9E744F"/>
    <w:rsid w:val="1BBD3D34"/>
    <w:rsid w:val="1BBE13E9"/>
    <w:rsid w:val="1BC54211"/>
    <w:rsid w:val="1BCC07FF"/>
    <w:rsid w:val="1BD21A8E"/>
    <w:rsid w:val="1BED31A7"/>
    <w:rsid w:val="1BF6640F"/>
    <w:rsid w:val="1C2D03AA"/>
    <w:rsid w:val="1C2F51F0"/>
    <w:rsid w:val="1C4B2F98"/>
    <w:rsid w:val="1CD83B22"/>
    <w:rsid w:val="1CE400B3"/>
    <w:rsid w:val="1D2119DA"/>
    <w:rsid w:val="1D481945"/>
    <w:rsid w:val="1D961B49"/>
    <w:rsid w:val="1D9F6122"/>
    <w:rsid w:val="1E055B38"/>
    <w:rsid w:val="1E2B1E83"/>
    <w:rsid w:val="1E453774"/>
    <w:rsid w:val="1E5E5C12"/>
    <w:rsid w:val="1E6749FD"/>
    <w:rsid w:val="1E7277E4"/>
    <w:rsid w:val="1EB05FC3"/>
    <w:rsid w:val="1EB57C64"/>
    <w:rsid w:val="1EE456C8"/>
    <w:rsid w:val="1EEF0AE0"/>
    <w:rsid w:val="1EFA23B0"/>
    <w:rsid w:val="1F2809C8"/>
    <w:rsid w:val="1F2F00D5"/>
    <w:rsid w:val="1F375C0D"/>
    <w:rsid w:val="1F3D0CE1"/>
    <w:rsid w:val="1F541C2F"/>
    <w:rsid w:val="1F8F3CFA"/>
    <w:rsid w:val="1FA7260B"/>
    <w:rsid w:val="1FEE3736"/>
    <w:rsid w:val="1FF45180"/>
    <w:rsid w:val="1FF81FB9"/>
    <w:rsid w:val="2034266D"/>
    <w:rsid w:val="20441BF7"/>
    <w:rsid w:val="20567811"/>
    <w:rsid w:val="207B20B8"/>
    <w:rsid w:val="20C87EE6"/>
    <w:rsid w:val="20D4307C"/>
    <w:rsid w:val="20DF6696"/>
    <w:rsid w:val="21156537"/>
    <w:rsid w:val="215026B3"/>
    <w:rsid w:val="218469C1"/>
    <w:rsid w:val="21FB5F50"/>
    <w:rsid w:val="21FB6487"/>
    <w:rsid w:val="22611A5A"/>
    <w:rsid w:val="22620C72"/>
    <w:rsid w:val="22622A21"/>
    <w:rsid w:val="22AE5F02"/>
    <w:rsid w:val="22E54FD6"/>
    <w:rsid w:val="234B4A31"/>
    <w:rsid w:val="23E2019C"/>
    <w:rsid w:val="24552B00"/>
    <w:rsid w:val="24582CE4"/>
    <w:rsid w:val="246C3202"/>
    <w:rsid w:val="24F5659A"/>
    <w:rsid w:val="25006968"/>
    <w:rsid w:val="250462EA"/>
    <w:rsid w:val="252D7657"/>
    <w:rsid w:val="25355DF2"/>
    <w:rsid w:val="25390605"/>
    <w:rsid w:val="253A3746"/>
    <w:rsid w:val="256C29A0"/>
    <w:rsid w:val="25752417"/>
    <w:rsid w:val="25933BDB"/>
    <w:rsid w:val="25B66BA8"/>
    <w:rsid w:val="25E70ABF"/>
    <w:rsid w:val="2661226B"/>
    <w:rsid w:val="26636987"/>
    <w:rsid w:val="26CF4594"/>
    <w:rsid w:val="271E4DAB"/>
    <w:rsid w:val="272A5BFE"/>
    <w:rsid w:val="27320D1C"/>
    <w:rsid w:val="274759C4"/>
    <w:rsid w:val="274B7559"/>
    <w:rsid w:val="28166B73"/>
    <w:rsid w:val="282442D9"/>
    <w:rsid w:val="284367B5"/>
    <w:rsid w:val="284C2446"/>
    <w:rsid w:val="285718A5"/>
    <w:rsid w:val="28F865CB"/>
    <w:rsid w:val="29053276"/>
    <w:rsid w:val="29212087"/>
    <w:rsid w:val="29250E1B"/>
    <w:rsid w:val="293E4CC1"/>
    <w:rsid w:val="29443F92"/>
    <w:rsid w:val="2951346C"/>
    <w:rsid w:val="295A53EB"/>
    <w:rsid w:val="29803AA3"/>
    <w:rsid w:val="29884B07"/>
    <w:rsid w:val="298957C4"/>
    <w:rsid w:val="29DF4E52"/>
    <w:rsid w:val="2A1D6A45"/>
    <w:rsid w:val="2A4E2CE7"/>
    <w:rsid w:val="2A6F6EBA"/>
    <w:rsid w:val="2A830C79"/>
    <w:rsid w:val="2AD11736"/>
    <w:rsid w:val="2B1029CF"/>
    <w:rsid w:val="2B3D0710"/>
    <w:rsid w:val="2B424E87"/>
    <w:rsid w:val="2B5F0E77"/>
    <w:rsid w:val="2B7F64C1"/>
    <w:rsid w:val="2BA3212D"/>
    <w:rsid w:val="2BE7007A"/>
    <w:rsid w:val="2BEF05F1"/>
    <w:rsid w:val="2BFE408A"/>
    <w:rsid w:val="2C1D78F3"/>
    <w:rsid w:val="2C234403"/>
    <w:rsid w:val="2C393680"/>
    <w:rsid w:val="2CDF0482"/>
    <w:rsid w:val="2D22640D"/>
    <w:rsid w:val="2D464D5F"/>
    <w:rsid w:val="2D4E5097"/>
    <w:rsid w:val="2D592D22"/>
    <w:rsid w:val="2DEB1F6F"/>
    <w:rsid w:val="2DFB00B5"/>
    <w:rsid w:val="2E414663"/>
    <w:rsid w:val="2E697CA3"/>
    <w:rsid w:val="2E6D23B0"/>
    <w:rsid w:val="2E6D4E98"/>
    <w:rsid w:val="2E7931EC"/>
    <w:rsid w:val="2E944745"/>
    <w:rsid w:val="2E9705D3"/>
    <w:rsid w:val="2E9C3022"/>
    <w:rsid w:val="2EBE0475"/>
    <w:rsid w:val="2EC1790D"/>
    <w:rsid w:val="2EE23871"/>
    <w:rsid w:val="2F1D1D68"/>
    <w:rsid w:val="2F1F4CCA"/>
    <w:rsid w:val="2F2A65B2"/>
    <w:rsid w:val="2F6C2DFA"/>
    <w:rsid w:val="300C3711"/>
    <w:rsid w:val="3022617D"/>
    <w:rsid w:val="30464B56"/>
    <w:rsid w:val="306B39B6"/>
    <w:rsid w:val="307C2C0D"/>
    <w:rsid w:val="30967620"/>
    <w:rsid w:val="309F2085"/>
    <w:rsid w:val="30BD1FE5"/>
    <w:rsid w:val="30E74D92"/>
    <w:rsid w:val="30F36C74"/>
    <w:rsid w:val="30F9318B"/>
    <w:rsid w:val="31272F44"/>
    <w:rsid w:val="31936105"/>
    <w:rsid w:val="31B658D4"/>
    <w:rsid w:val="31E67461"/>
    <w:rsid w:val="32316E69"/>
    <w:rsid w:val="325B404D"/>
    <w:rsid w:val="32887E5F"/>
    <w:rsid w:val="32922EE0"/>
    <w:rsid w:val="329E5AD1"/>
    <w:rsid w:val="32CC51E5"/>
    <w:rsid w:val="32E6051A"/>
    <w:rsid w:val="32F33B15"/>
    <w:rsid w:val="3342483F"/>
    <w:rsid w:val="33A718ED"/>
    <w:rsid w:val="33AA3E3F"/>
    <w:rsid w:val="34086FF6"/>
    <w:rsid w:val="34AC6BE3"/>
    <w:rsid w:val="34EB329F"/>
    <w:rsid w:val="34FE1F7D"/>
    <w:rsid w:val="35270865"/>
    <w:rsid w:val="35C42A65"/>
    <w:rsid w:val="3609516B"/>
    <w:rsid w:val="36116C06"/>
    <w:rsid w:val="361B7BDC"/>
    <w:rsid w:val="364221AD"/>
    <w:rsid w:val="36627D01"/>
    <w:rsid w:val="369B1BA6"/>
    <w:rsid w:val="36AC6FD2"/>
    <w:rsid w:val="36AE45FE"/>
    <w:rsid w:val="36D4159F"/>
    <w:rsid w:val="36DB78F6"/>
    <w:rsid w:val="36E67798"/>
    <w:rsid w:val="36FF0DB1"/>
    <w:rsid w:val="37067020"/>
    <w:rsid w:val="372649E2"/>
    <w:rsid w:val="372C59AA"/>
    <w:rsid w:val="373000B7"/>
    <w:rsid w:val="3789705A"/>
    <w:rsid w:val="37963F54"/>
    <w:rsid w:val="379A6B89"/>
    <w:rsid w:val="379B6A7D"/>
    <w:rsid w:val="37BF2E3D"/>
    <w:rsid w:val="37C67DE8"/>
    <w:rsid w:val="37D107AA"/>
    <w:rsid w:val="37F43335"/>
    <w:rsid w:val="38926D93"/>
    <w:rsid w:val="38B04B0E"/>
    <w:rsid w:val="38FD54AF"/>
    <w:rsid w:val="390741E5"/>
    <w:rsid w:val="391F264A"/>
    <w:rsid w:val="39243472"/>
    <w:rsid w:val="392B2144"/>
    <w:rsid w:val="394205BC"/>
    <w:rsid w:val="39494385"/>
    <w:rsid w:val="394E6CCA"/>
    <w:rsid w:val="3997588E"/>
    <w:rsid w:val="39B46D56"/>
    <w:rsid w:val="39C828E7"/>
    <w:rsid w:val="39DD557C"/>
    <w:rsid w:val="39FC4298"/>
    <w:rsid w:val="3A0740EE"/>
    <w:rsid w:val="3A4536A9"/>
    <w:rsid w:val="3A552184"/>
    <w:rsid w:val="3A800711"/>
    <w:rsid w:val="3A810CA0"/>
    <w:rsid w:val="3A96496C"/>
    <w:rsid w:val="3A9F3479"/>
    <w:rsid w:val="3ABC7EEE"/>
    <w:rsid w:val="3AE331DB"/>
    <w:rsid w:val="3AED2009"/>
    <w:rsid w:val="3B1939D0"/>
    <w:rsid w:val="3B474570"/>
    <w:rsid w:val="3B581890"/>
    <w:rsid w:val="3BAB26D3"/>
    <w:rsid w:val="3BD009CC"/>
    <w:rsid w:val="3BF45BDB"/>
    <w:rsid w:val="3C2B1FE6"/>
    <w:rsid w:val="3C2F7C35"/>
    <w:rsid w:val="3C8779B9"/>
    <w:rsid w:val="3C8B2C2B"/>
    <w:rsid w:val="3C940215"/>
    <w:rsid w:val="3C9F058C"/>
    <w:rsid w:val="3CC97C4F"/>
    <w:rsid w:val="3CCA29EB"/>
    <w:rsid w:val="3CCC5DBF"/>
    <w:rsid w:val="3CF75C7B"/>
    <w:rsid w:val="3D497E6A"/>
    <w:rsid w:val="3D634958"/>
    <w:rsid w:val="3D6C6B53"/>
    <w:rsid w:val="3D8C6BB2"/>
    <w:rsid w:val="3D987150"/>
    <w:rsid w:val="3D9E333B"/>
    <w:rsid w:val="3DBC00BF"/>
    <w:rsid w:val="3DCB1A6B"/>
    <w:rsid w:val="3DED30AA"/>
    <w:rsid w:val="3E2D5980"/>
    <w:rsid w:val="3E3102BB"/>
    <w:rsid w:val="3E604692"/>
    <w:rsid w:val="3E614AA5"/>
    <w:rsid w:val="3EB02545"/>
    <w:rsid w:val="3EB21D54"/>
    <w:rsid w:val="3F18661A"/>
    <w:rsid w:val="3F7512EA"/>
    <w:rsid w:val="3F9730B9"/>
    <w:rsid w:val="3FC55901"/>
    <w:rsid w:val="3FC9458D"/>
    <w:rsid w:val="3FD033AD"/>
    <w:rsid w:val="3FE71A20"/>
    <w:rsid w:val="401F021A"/>
    <w:rsid w:val="404148A6"/>
    <w:rsid w:val="40572AB6"/>
    <w:rsid w:val="405D3459"/>
    <w:rsid w:val="4068264C"/>
    <w:rsid w:val="407728FD"/>
    <w:rsid w:val="40CA0DB3"/>
    <w:rsid w:val="410603FC"/>
    <w:rsid w:val="410D06B8"/>
    <w:rsid w:val="418842A8"/>
    <w:rsid w:val="41A274B6"/>
    <w:rsid w:val="41C034AF"/>
    <w:rsid w:val="41C70A28"/>
    <w:rsid w:val="42311D52"/>
    <w:rsid w:val="424A712C"/>
    <w:rsid w:val="4263268C"/>
    <w:rsid w:val="429F7E60"/>
    <w:rsid w:val="42CB2D35"/>
    <w:rsid w:val="42F759C4"/>
    <w:rsid w:val="43023463"/>
    <w:rsid w:val="430420F8"/>
    <w:rsid w:val="434660D0"/>
    <w:rsid w:val="43554BAC"/>
    <w:rsid w:val="435D3A52"/>
    <w:rsid w:val="436D6609"/>
    <w:rsid w:val="4392054D"/>
    <w:rsid w:val="439E1B7D"/>
    <w:rsid w:val="43A027A3"/>
    <w:rsid w:val="43A05E1A"/>
    <w:rsid w:val="43AA1E91"/>
    <w:rsid w:val="43AF27CC"/>
    <w:rsid w:val="43BA343C"/>
    <w:rsid w:val="43F8127E"/>
    <w:rsid w:val="44107E1A"/>
    <w:rsid w:val="4428525F"/>
    <w:rsid w:val="444A0170"/>
    <w:rsid w:val="4458707E"/>
    <w:rsid w:val="44667276"/>
    <w:rsid w:val="44A37922"/>
    <w:rsid w:val="44B63420"/>
    <w:rsid w:val="44B71DE6"/>
    <w:rsid w:val="44BE70AA"/>
    <w:rsid w:val="44DB6B8D"/>
    <w:rsid w:val="45160574"/>
    <w:rsid w:val="45420D01"/>
    <w:rsid w:val="45D9171A"/>
    <w:rsid w:val="45F8252B"/>
    <w:rsid w:val="46153B79"/>
    <w:rsid w:val="46362CFF"/>
    <w:rsid w:val="4655670F"/>
    <w:rsid w:val="465E48A1"/>
    <w:rsid w:val="46CD6A3D"/>
    <w:rsid w:val="46D23AA8"/>
    <w:rsid w:val="46D446A7"/>
    <w:rsid w:val="46DD6BE8"/>
    <w:rsid w:val="47165D61"/>
    <w:rsid w:val="475D1752"/>
    <w:rsid w:val="47767BD4"/>
    <w:rsid w:val="477D0471"/>
    <w:rsid w:val="478F59C9"/>
    <w:rsid w:val="47B22736"/>
    <w:rsid w:val="47EA68ED"/>
    <w:rsid w:val="47FB44E3"/>
    <w:rsid w:val="488A747A"/>
    <w:rsid w:val="488C68A7"/>
    <w:rsid w:val="489640A7"/>
    <w:rsid w:val="489E300A"/>
    <w:rsid w:val="48A8092A"/>
    <w:rsid w:val="48B925C7"/>
    <w:rsid w:val="4955748F"/>
    <w:rsid w:val="49694B92"/>
    <w:rsid w:val="49737357"/>
    <w:rsid w:val="49E51E3A"/>
    <w:rsid w:val="4A0366CF"/>
    <w:rsid w:val="4A256483"/>
    <w:rsid w:val="4A38641F"/>
    <w:rsid w:val="4A66688A"/>
    <w:rsid w:val="4A800E57"/>
    <w:rsid w:val="4A8D4A10"/>
    <w:rsid w:val="4A9F5D83"/>
    <w:rsid w:val="4AB52052"/>
    <w:rsid w:val="4AF859CC"/>
    <w:rsid w:val="4B1D6746"/>
    <w:rsid w:val="4B657DEC"/>
    <w:rsid w:val="4B8152D3"/>
    <w:rsid w:val="4B835116"/>
    <w:rsid w:val="4B965649"/>
    <w:rsid w:val="4B9A084B"/>
    <w:rsid w:val="4BBA0F4B"/>
    <w:rsid w:val="4BC03621"/>
    <w:rsid w:val="4BC22F72"/>
    <w:rsid w:val="4BEC1DA9"/>
    <w:rsid w:val="4C0A4905"/>
    <w:rsid w:val="4C113092"/>
    <w:rsid w:val="4C454D9D"/>
    <w:rsid w:val="4C6D4FD8"/>
    <w:rsid w:val="4C956109"/>
    <w:rsid w:val="4CBC2827"/>
    <w:rsid w:val="4CDD2221"/>
    <w:rsid w:val="4CEC7C13"/>
    <w:rsid w:val="4D1737DC"/>
    <w:rsid w:val="4D2E5116"/>
    <w:rsid w:val="4D4946C3"/>
    <w:rsid w:val="4D6215E1"/>
    <w:rsid w:val="4D667D39"/>
    <w:rsid w:val="4D6A6CFA"/>
    <w:rsid w:val="4D8C427F"/>
    <w:rsid w:val="4DB579D1"/>
    <w:rsid w:val="4DBD70EB"/>
    <w:rsid w:val="4E44138D"/>
    <w:rsid w:val="4E6E459C"/>
    <w:rsid w:val="4E98618A"/>
    <w:rsid w:val="4E9D352C"/>
    <w:rsid w:val="4EB95E17"/>
    <w:rsid w:val="4ED45410"/>
    <w:rsid w:val="4F6B02B8"/>
    <w:rsid w:val="4F72409C"/>
    <w:rsid w:val="4F765628"/>
    <w:rsid w:val="4FA33859"/>
    <w:rsid w:val="4FA43165"/>
    <w:rsid w:val="4FB6214D"/>
    <w:rsid w:val="4FFA2095"/>
    <w:rsid w:val="50645753"/>
    <w:rsid w:val="50A93BA8"/>
    <w:rsid w:val="50E40335"/>
    <w:rsid w:val="50E65CE2"/>
    <w:rsid w:val="511E0033"/>
    <w:rsid w:val="51202751"/>
    <w:rsid w:val="51366F1E"/>
    <w:rsid w:val="5143280B"/>
    <w:rsid w:val="51546F21"/>
    <w:rsid w:val="518A1586"/>
    <w:rsid w:val="51A86476"/>
    <w:rsid w:val="51DD620D"/>
    <w:rsid w:val="51F83F85"/>
    <w:rsid w:val="52051862"/>
    <w:rsid w:val="52245275"/>
    <w:rsid w:val="522A5D40"/>
    <w:rsid w:val="52535651"/>
    <w:rsid w:val="52FF4EAD"/>
    <w:rsid w:val="53163533"/>
    <w:rsid w:val="544111E8"/>
    <w:rsid w:val="5444354A"/>
    <w:rsid w:val="547A6B2A"/>
    <w:rsid w:val="549277AF"/>
    <w:rsid w:val="54B458B3"/>
    <w:rsid w:val="550431D5"/>
    <w:rsid w:val="551D6AF9"/>
    <w:rsid w:val="55313DB7"/>
    <w:rsid w:val="55A60ADC"/>
    <w:rsid w:val="55B32567"/>
    <w:rsid w:val="55D857C5"/>
    <w:rsid w:val="56253A26"/>
    <w:rsid w:val="5638334C"/>
    <w:rsid w:val="56780FF9"/>
    <w:rsid w:val="56870578"/>
    <w:rsid w:val="569241C0"/>
    <w:rsid w:val="56944288"/>
    <w:rsid w:val="56A33B67"/>
    <w:rsid w:val="56A40E03"/>
    <w:rsid w:val="56E20A0E"/>
    <w:rsid w:val="57053D37"/>
    <w:rsid w:val="5712602C"/>
    <w:rsid w:val="5737516A"/>
    <w:rsid w:val="57431AE0"/>
    <w:rsid w:val="57730A91"/>
    <w:rsid w:val="5780384C"/>
    <w:rsid w:val="57A27BD5"/>
    <w:rsid w:val="57A91214"/>
    <w:rsid w:val="57C762A2"/>
    <w:rsid w:val="57E71A09"/>
    <w:rsid w:val="5812512F"/>
    <w:rsid w:val="58451B93"/>
    <w:rsid w:val="587179A2"/>
    <w:rsid w:val="587249A9"/>
    <w:rsid w:val="587747DC"/>
    <w:rsid w:val="58876FB5"/>
    <w:rsid w:val="588C140C"/>
    <w:rsid w:val="58B21650"/>
    <w:rsid w:val="58C00F3E"/>
    <w:rsid w:val="59103E6F"/>
    <w:rsid w:val="59373C72"/>
    <w:rsid w:val="5945207E"/>
    <w:rsid w:val="595B4F2E"/>
    <w:rsid w:val="596D221D"/>
    <w:rsid w:val="59A237B5"/>
    <w:rsid w:val="59A77712"/>
    <w:rsid w:val="59CB276C"/>
    <w:rsid w:val="5A72604D"/>
    <w:rsid w:val="5A7F77CE"/>
    <w:rsid w:val="5AA20C09"/>
    <w:rsid w:val="5ABC5F71"/>
    <w:rsid w:val="5AD20F31"/>
    <w:rsid w:val="5AF81EC0"/>
    <w:rsid w:val="5B0E4DAE"/>
    <w:rsid w:val="5B0E6862"/>
    <w:rsid w:val="5B4D14FF"/>
    <w:rsid w:val="5B4F70BE"/>
    <w:rsid w:val="5B58464F"/>
    <w:rsid w:val="5B8509D1"/>
    <w:rsid w:val="5B90297B"/>
    <w:rsid w:val="5C11606C"/>
    <w:rsid w:val="5C11763B"/>
    <w:rsid w:val="5C4B3D62"/>
    <w:rsid w:val="5C4E0A2D"/>
    <w:rsid w:val="5C524815"/>
    <w:rsid w:val="5C64452B"/>
    <w:rsid w:val="5C7719CE"/>
    <w:rsid w:val="5C8E79BD"/>
    <w:rsid w:val="5CA6604A"/>
    <w:rsid w:val="5D2719C9"/>
    <w:rsid w:val="5D285026"/>
    <w:rsid w:val="5D5C0E3F"/>
    <w:rsid w:val="5D5E619D"/>
    <w:rsid w:val="5D697358"/>
    <w:rsid w:val="5D747A99"/>
    <w:rsid w:val="5D9249ED"/>
    <w:rsid w:val="5DA1646B"/>
    <w:rsid w:val="5DD7329D"/>
    <w:rsid w:val="5DDC5DDB"/>
    <w:rsid w:val="5DF04FFA"/>
    <w:rsid w:val="5E063C72"/>
    <w:rsid w:val="5E0C15D4"/>
    <w:rsid w:val="5E19167C"/>
    <w:rsid w:val="5E3C01D4"/>
    <w:rsid w:val="5E6F443D"/>
    <w:rsid w:val="5E70354F"/>
    <w:rsid w:val="5E8C7523"/>
    <w:rsid w:val="5E94632E"/>
    <w:rsid w:val="5E9C2B92"/>
    <w:rsid w:val="5EB82786"/>
    <w:rsid w:val="5EB94C72"/>
    <w:rsid w:val="5F111534"/>
    <w:rsid w:val="5F2541B1"/>
    <w:rsid w:val="5F804106"/>
    <w:rsid w:val="5F8E0C9A"/>
    <w:rsid w:val="5F9A4C50"/>
    <w:rsid w:val="5FBC6FFC"/>
    <w:rsid w:val="5FD2151E"/>
    <w:rsid w:val="5FD91B32"/>
    <w:rsid w:val="5FDE3D1C"/>
    <w:rsid w:val="5FEB36B0"/>
    <w:rsid w:val="5FEE5C03"/>
    <w:rsid w:val="60070235"/>
    <w:rsid w:val="60247960"/>
    <w:rsid w:val="60337FBD"/>
    <w:rsid w:val="60557909"/>
    <w:rsid w:val="608B596D"/>
    <w:rsid w:val="60B20DDE"/>
    <w:rsid w:val="60CF6017"/>
    <w:rsid w:val="60EC58A1"/>
    <w:rsid w:val="60F42108"/>
    <w:rsid w:val="60F765D6"/>
    <w:rsid w:val="619B0A4D"/>
    <w:rsid w:val="61BC5698"/>
    <w:rsid w:val="61C05E29"/>
    <w:rsid w:val="61E220CA"/>
    <w:rsid w:val="621F3A28"/>
    <w:rsid w:val="622919DE"/>
    <w:rsid w:val="623817CD"/>
    <w:rsid w:val="623C244B"/>
    <w:rsid w:val="625671C6"/>
    <w:rsid w:val="626D5F1F"/>
    <w:rsid w:val="628D5A05"/>
    <w:rsid w:val="629635F2"/>
    <w:rsid w:val="62B26831"/>
    <w:rsid w:val="62DB156F"/>
    <w:rsid w:val="62E35C5C"/>
    <w:rsid w:val="6308602C"/>
    <w:rsid w:val="63655BF1"/>
    <w:rsid w:val="6381414F"/>
    <w:rsid w:val="63901C9C"/>
    <w:rsid w:val="63A6496D"/>
    <w:rsid w:val="63A83FEC"/>
    <w:rsid w:val="63D92053"/>
    <w:rsid w:val="63E37B79"/>
    <w:rsid w:val="63FC1B88"/>
    <w:rsid w:val="64035403"/>
    <w:rsid w:val="643A4E6C"/>
    <w:rsid w:val="644D4301"/>
    <w:rsid w:val="6477289B"/>
    <w:rsid w:val="648578B4"/>
    <w:rsid w:val="649176C0"/>
    <w:rsid w:val="64987293"/>
    <w:rsid w:val="649E57C1"/>
    <w:rsid w:val="64A11F98"/>
    <w:rsid w:val="64B9138C"/>
    <w:rsid w:val="64D442AC"/>
    <w:rsid w:val="64E504A3"/>
    <w:rsid w:val="650401CF"/>
    <w:rsid w:val="65205814"/>
    <w:rsid w:val="653D52DC"/>
    <w:rsid w:val="655373D5"/>
    <w:rsid w:val="659D4F4E"/>
    <w:rsid w:val="65A300A1"/>
    <w:rsid w:val="65DB5C3D"/>
    <w:rsid w:val="65DC330D"/>
    <w:rsid w:val="65E935AE"/>
    <w:rsid w:val="666631F7"/>
    <w:rsid w:val="66780DEE"/>
    <w:rsid w:val="668E1E21"/>
    <w:rsid w:val="66926F8C"/>
    <w:rsid w:val="66966882"/>
    <w:rsid w:val="66AB117E"/>
    <w:rsid w:val="66D269D6"/>
    <w:rsid w:val="66F269C9"/>
    <w:rsid w:val="67285BDC"/>
    <w:rsid w:val="67C1521F"/>
    <w:rsid w:val="67FB2FC2"/>
    <w:rsid w:val="6838125F"/>
    <w:rsid w:val="684E7153"/>
    <w:rsid w:val="687E7F3B"/>
    <w:rsid w:val="68942469"/>
    <w:rsid w:val="689A4745"/>
    <w:rsid w:val="68A270B1"/>
    <w:rsid w:val="69522C18"/>
    <w:rsid w:val="69560D87"/>
    <w:rsid w:val="69624B7D"/>
    <w:rsid w:val="69A06D69"/>
    <w:rsid w:val="69A85914"/>
    <w:rsid w:val="69B54893"/>
    <w:rsid w:val="69F0666F"/>
    <w:rsid w:val="69FA018D"/>
    <w:rsid w:val="6A25465E"/>
    <w:rsid w:val="6A3133B9"/>
    <w:rsid w:val="6A572716"/>
    <w:rsid w:val="6A87076D"/>
    <w:rsid w:val="6A9454E3"/>
    <w:rsid w:val="6ACE133C"/>
    <w:rsid w:val="6ACF2D0F"/>
    <w:rsid w:val="6AFC0247"/>
    <w:rsid w:val="6AFC23BD"/>
    <w:rsid w:val="6B287CCA"/>
    <w:rsid w:val="6B37191E"/>
    <w:rsid w:val="6BA33D44"/>
    <w:rsid w:val="6C4068D5"/>
    <w:rsid w:val="6C8568B5"/>
    <w:rsid w:val="6C966E13"/>
    <w:rsid w:val="6CB00C5D"/>
    <w:rsid w:val="6CF84967"/>
    <w:rsid w:val="6D0441AB"/>
    <w:rsid w:val="6D4150D0"/>
    <w:rsid w:val="6D481945"/>
    <w:rsid w:val="6D6650F6"/>
    <w:rsid w:val="6D6D32A5"/>
    <w:rsid w:val="6D7B403E"/>
    <w:rsid w:val="6D9317CF"/>
    <w:rsid w:val="6D96704E"/>
    <w:rsid w:val="6DEC7B87"/>
    <w:rsid w:val="6EF06A3A"/>
    <w:rsid w:val="6F231086"/>
    <w:rsid w:val="6F2C1077"/>
    <w:rsid w:val="6F4412DE"/>
    <w:rsid w:val="6F4A3EE7"/>
    <w:rsid w:val="6FB01FF6"/>
    <w:rsid w:val="6FE27E45"/>
    <w:rsid w:val="702D3037"/>
    <w:rsid w:val="70854008"/>
    <w:rsid w:val="70EE0B58"/>
    <w:rsid w:val="71662747"/>
    <w:rsid w:val="71F327E9"/>
    <w:rsid w:val="72525910"/>
    <w:rsid w:val="7272141E"/>
    <w:rsid w:val="729A51BF"/>
    <w:rsid w:val="72B463D3"/>
    <w:rsid w:val="72C31F67"/>
    <w:rsid w:val="730F2443"/>
    <w:rsid w:val="738A19B2"/>
    <w:rsid w:val="74460C31"/>
    <w:rsid w:val="745948C9"/>
    <w:rsid w:val="747814E9"/>
    <w:rsid w:val="74782083"/>
    <w:rsid w:val="74864594"/>
    <w:rsid w:val="7499444F"/>
    <w:rsid w:val="74F00783"/>
    <w:rsid w:val="74F21A8E"/>
    <w:rsid w:val="75092D2E"/>
    <w:rsid w:val="751F35C6"/>
    <w:rsid w:val="752673FA"/>
    <w:rsid w:val="75445278"/>
    <w:rsid w:val="755743E2"/>
    <w:rsid w:val="755A18B2"/>
    <w:rsid w:val="756D2420"/>
    <w:rsid w:val="75AD468E"/>
    <w:rsid w:val="75C114FE"/>
    <w:rsid w:val="75C3529A"/>
    <w:rsid w:val="75D33B60"/>
    <w:rsid w:val="75EB0030"/>
    <w:rsid w:val="767A1884"/>
    <w:rsid w:val="7681376B"/>
    <w:rsid w:val="76A86A13"/>
    <w:rsid w:val="77092393"/>
    <w:rsid w:val="771405C6"/>
    <w:rsid w:val="77186802"/>
    <w:rsid w:val="77244002"/>
    <w:rsid w:val="773D560B"/>
    <w:rsid w:val="7759121E"/>
    <w:rsid w:val="778C19C1"/>
    <w:rsid w:val="77DE7388"/>
    <w:rsid w:val="78123276"/>
    <w:rsid w:val="781B6350"/>
    <w:rsid w:val="783F252C"/>
    <w:rsid w:val="78661D77"/>
    <w:rsid w:val="787542C9"/>
    <w:rsid w:val="787C4A52"/>
    <w:rsid w:val="787C6D8C"/>
    <w:rsid w:val="787D1A38"/>
    <w:rsid w:val="78833D88"/>
    <w:rsid w:val="78C70562"/>
    <w:rsid w:val="78F24020"/>
    <w:rsid w:val="792279DB"/>
    <w:rsid w:val="79683233"/>
    <w:rsid w:val="79793885"/>
    <w:rsid w:val="797C1AA1"/>
    <w:rsid w:val="79F10CBA"/>
    <w:rsid w:val="7A934CC7"/>
    <w:rsid w:val="7AB93CAD"/>
    <w:rsid w:val="7ADD5745"/>
    <w:rsid w:val="7AFB7263"/>
    <w:rsid w:val="7B062FF2"/>
    <w:rsid w:val="7B06618E"/>
    <w:rsid w:val="7B1E69AF"/>
    <w:rsid w:val="7B4771D3"/>
    <w:rsid w:val="7B4969DA"/>
    <w:rsid w:val="7B4B57FE"/>
    <w:rsid w:val="7B8A7BFE"/>
    <w:rsid w:val="7BBA7BC4"/>
    <w:rsid w:val="7BF444AB"/>
    <w:rsid w:val="7BFE0356"/>
    <w:rsid w:val="7C050FEE"/>
    <w:rsid w:val="7C1F696C"/>
    <w:rsid w:val="7C241FA4"/>
    <w:rsid w:val="7C2F7F24"/>
    <w:rsid w:val="7C4F6127"/>
    <w:rsid w:val="7C557027"/>
    <w:rsid w:val="7C774202"/>
    <w:rsid w:val="7CB763AB"/>
    <w:rsid w:val="7CF32D47"/>
    <w:rsid w:val="7CF47DC4"/>
    <w:rsid w:val="7D2D7E4F"/>
    <w:rsid w:val="7D3D1C6F"/>
    <w:rsid w:val="7D703C18"/>
    <w:rsid w:val="7D70416C"/>
    <w:rsid w:val="7D7D2444"/>
    <w:rsid w:val="7DB53173"/>
    <w:rsid w:val="7DBD0485"/>
    <w:rsid w:val="7DC17AA5"/>
    <w:rsid w:val="7DF00948"/>
    <w:rsid w:val="7DF35877"/>
    <w:rsid w:val="7E3760A4"/>
    <w:rsid w:val="7E3F400C"/>
    <w:rsid w:val="7E3F5C67"/>
    <w:rsid w:val="7E485A8B"/>
    <w:rsid w:val="7E710432"/>
    <w:rsid w:val="7E784FFE"/>
    <w:rsid w:val="7E835EDA"/>
    <w:rsid w:val="7F0D36A8"/>
    <w:rsid w:val="7F0D6F9B"/>
    <w:rsid w:val="7F267E5E"/>
    <w:rsid w:val="7F511034"/>
    <w:rsid w:val="7FB12B06"/>
    <w:rsid w:val="7FC963AF"/>
    <w:rsid w:val="7FED16D1"/>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0"/>
    <w:pPr>
      <w:keepNext/>
      <w:jc w:val="center"/>
      <w:outlineLvl w:val="0"/>
    </w:pPr>
    <w:rPr>
      <w:b/>
      <w:bCs/>
      <w:kern w:val="0"/>
      <w:sz w:val="24"/>
      <w:szCs w:val="20"/>
    </w:rPr>
  </w:style>
  <w:style w:type="paragraph" w:styleId="4">
    <w:name w:val="heading 2"/>
    <w:basedOn w:val="1"/>
    <w:next w:val="1"/>
    <w:link w:val="64"/>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65"/>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66"/>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67"/>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68"/>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69"/>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70"/>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1"/>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293"/>
    <w:qFormat/>
    <w:uiPriority w:val="99"/>
    <w:pPr>
      <w:widowControl/>
      <w:ind w:firstLine="420"/>
      <w:jc w:val="left"/>
    </w:pPr>
    <w:rPr>
      <w:kern w:val="0"/>
      <w:sz w:val="20"/>
      <w:szCs w:val="20"/>
    </w:rPr>
  </w:style>
  <w:style w:type="paragraph" w:styleId="14">
    <w:name w:val="Document Map"/>
    <w:basedOn w:val="1"/>
    <w:link w:val="127"/>
    <w:qFormat/>
    <w:uiPriority w:val="0"/>
    <w:pPr>
      <w:shd w:val="clear" w:color="auto" w:fill="000080"/>
    </w:pPr>
  </w:style>
  <w:style w:type="paragraph" w:styleId="15">
    <w:name w:val="toa heading"/>
    <w:basedOn w:val="1"/>
    <w:next w:val="1"/>
    <w:unhideWhenUsed/>
    <w:qFormat/>
    <w:uiPriority w:val="0"/>
    <w:pPr>
      <w:spacing w:before="120"/>
    </w:pPr>
    <w:rPr>
      <w:rFonts w:hint="eastAsia" w:ascii="Arial" w:hAnsi="Arial"/>
    </w:rPr>
  </w:style>
  <w:style w:type="paragraph" w:styleId="16">
    <w:name w:val="annotation text"/>
    <w:basedOn w:val="1"/>
    <w:link w:val="109"/>
    <w:unhideWhenUsed/>
    <w:qFormat/>
    <w:uiPriority w:val="99"/>
    <w:pPr>
      <w:jc w:val="left"/>
    </w:pPr>
  </w:style>
  <w:style w:type="paragraph" w:styleId="17">
    <w:name w:val="Salutation"/>
    <w:basedOn w:val="1"/>
    <w:next w:val="1"/>
    <w:link w:val="114"/>
    <w:qFormat/>
    <w:uiPriority w:val="0"/>
    <w:rPr>
      <w:rFonts w:ascii="仿宋_GB2312" w:eastAsia="仿宋_GB2312"/>
      <w:sz w:val="24"/>
    </w:rPr>
  </w:style>
  <w:style w:type="paragraph" w:styleId="18">
    <w:name w:val="Body Text 3"/>
    <w:basedOn w:val="1"/>
    <w:link w:val="148"/>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link w:val="117"/>
    <w:qFormat/>
    <w:uiPriority w:val="99"/>
    <w:pPr>
      <w:spacing w:after="120"/>
    </w:pPr>
  </w:style>
  <w:style w:type="paragraph" w:styleId="20">
    <w:name w:val="Body Text Indent"/>
    <w:basedOn w:val="1"/>
    <w:link w:val="97"/>
    <w:qFormat/>
    <w:uiPriority w:val="0"/>
    <w:pPr>
      <w:spacing w:after="120"/>
      <w:ind w:left="420" w:leftChars="200"/>
    </w:pPr>
    <w:rPr>
      <w:rFonts w:ascii="Calibri" w:hAnsi="Calibri" w:cs="黑体"/>
    </w:rPr>
  </w:style>
  <w:style w:type="paragraph" w:styleId="21">
    <w:name w:val="List 2"/>
    <w:qFormat/>
    <w:uiPriority w:val="0"/>
    <w:pPr>
      <w:spacing w:line="400" w:lineRule="exact"/>
      <w:jc w:val="center"/>
    </w:pPr>
    <w:rPr>
      <w:rFonts w:ascii="Arial" w:hAnsi="Arial" w:eastAsia="宋体" w:cs="Times New Roman"/>
      <w:sz w:val="24"/>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106"/>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139"/>
    <w:qFormat/>
    <w:uiPriority w:val="0"/>
    <w:rPr>
      <w:rFonts w:ascii="Calibri" w:hAnsi="Calibri" w:cs="黑体"/>
      <w:sz w:val="24"/>
      <w:szCs w:val="22"/>
    </w:rPr>
  </w:style>
  <w:style w:type="paragraph" w:styleId="28">
    <w:name w:val="Body Text Indent 2"/>
    <w:basedOn w:val="1"/>
    <w:link w:val="101"/>
    <w:qFormat/>
    <w:uiPriority w:val="0"/>
    <w:pPr>
      <w:spacing w:after="120" w:line="480" w:lineRule="auto"/>
      <w:ind w:left="420" w:leftChars="200"/>
    </w:pPr>
  </w:style>
  <w:style w:type="paragraph" w:styleId="29">
    <w:name w:val="Balloon Text"/>
    <w:basedOn w:val="1"/>
    <w:link w:val="96"/>
    <w:qFormat/>
    <w:uiPriority w:val="0"/>
    <w:rPr>
      <w:rFonts w:ascii="Calibri" w:hAnsi="Calibri" w:cs="黑体"/>
      <w:sz w:val="18"/>
      <w:szCs w:val="18"/>
    </w:rPr>
  </w:style>
  <w:style w:type="paragraph" w:styleId="30">
    <w:name w:val="footer"/>
    <w:basedOn w:val="1"/>
    <w:link w:val="62"/>
    <w:unhideWhenUsed/>
    <w:qFormat/>
    <w:uiPriority w:val="99"/>
    <w:pPr>
      <w:tabs>
        <w:tab w:val="center" w:pos="4153"/>
        <w:tab w:val="right" w:pos="8306"/>
      </w:tabs>
      <w:snapToGrid w:val="0"/>
      <w:jc w:val="left"/>
    </w:pPr>
    <w:rPr>
      <w:sz w:val="18"/>
      <w:szCs w:val="18"/>
    </w:rPr>
  </w:style>
  <w:style w:type="paragraph" w:styleId="31">
    <w:name w:val="header"/>
    <w:basedOn w:val="1"/>
    <w:link w:val="61"/>
    <w:unhideWhenUsed/>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5"/>
    <w:unhideWhenUsed/>
    <w:qFormat/>
    <w:uiPriority w:val="39"/>
  </w:style>
  <w:style w:type="paragraph" w:styleId="33">
    <w:name w:val="toc 4"/>
    <w:basedOn w:val="1"/>
    <w:next w:val="1"/>
    <w:qFormat/>
    <w:uiPriority w:val="0"/>
    <w:pPr>
      <w:ind w:left="1260" w:leftChars="600"/>
    </w:pPr>
  </w:style>
  <w:style w:type="paragraph" w:styleId="34">
    <w:name w:val="Subtitle"/>
    <w:basedOn w:val="1"/>
    <w:next w:val="1"/>
    <w:link w:val="125"/>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124"/>
    <w:qFormat/>
    <w:uiPriority w:val="0"/>
    <w:pPr>
      <w:spacing w:after="120"/>
      <w:ind w:left="420" w:leftChars="200"/>
    </w:pPr>
    <w:rPr>
      <w:rFonts w:ascii="Calibri" w:hAnsi="Calibri" w:cs="黑体"/>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72"/>
    <w:qFormat/>
    <w:uiPriority w:val="0"/>
    <w:pPr>
      <w:spacing w:after="120" w:line="480" w:lineRule="auto"/>
    </w:pPr>
  </w:style>
  <w:style w:type="paragraph" w:styleId="40">
    <w:name w:val="HTML Preformatted"/>
    <w:basedOn w:val="1"/>
    <w:link w:val="11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100"/>
    <w:qFormat/>
    <w:uiPriority w:val="0"/>
    <w:pPr>
      <w:spacing w:before="240" w:after="60"/>
      <w:jc w:val="center"/>
      <w:outlineLvl w:val="0"/>
    </w:pPr>
    <w:rPr>
      <w:rFonts w:ascii="Cambria" w:hAnsi="Cambria"/>
      <w:b/>
      <w:sz w:val="32"/>
    </w:rPr>
  </w:style>
  <w:style w:type="paragraph" w:styleId="44">
    <w:name w:val="annotation subject"/>
    <w:basedOn w:val="16"/>
    <w:next w:val="16"/>
    <w:link w:val="86"/>
    <w:qFormat/>
    <w:uiPriority w:val="0"/>
    <w:rPr>
      <w:rFonts w:ascii="Calibri" w:hAnsi="Calibri" w:cs="黑体"/>
      <w:b/>
      <w:bCs/>
    </w:rPr>
  </w:style>
  <w:style w:type="paragraph" w:styleId="45">
    <w:name w:val="Body Text First Indent"/>
    <w:basedOn w:val="19"/>
    <w:link w:val="175"/>
    <w:unhideWhenUsed/>
    <w:qFormat/>
    <w:uiPriority w:val="0"/>
    <w:pPr>
      <w:spacing w:line="500" w:lineRule="exact"/>
      <w:ind w:firstLine="420" w:firstLineChars="200"/>
    </w:p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character" w:customStyle="1" w:styleId="61">
    <w:name w:val="页眉 字符"/>
    <w:basedOn w:val="48"/>
    <w:link w:val="31"/>
    <w:qFormat/>
    <w:uiPriority w:val="99"/>
    <w:rPr>
      <w:sz w:val="18"/>
      <w:szCs w:val="18"/>
    </w:rPr>
  </w:style>
  <w:style w:type="character" w:customStyle="1" w:styleId="62">
    <w:name w:val="页脚 字符"/>
    <w:basedOn w:val="48"/>
    <w:link w:val="30"/>
    <w:qFormat/>
    <w:uiPriority w:val="99"/>
    <w:rPr>
      <w:sz w:val="18"/>
      <w:szCs w:val="18"/>
    </w:rPr>
  </w:style>
  <w:style w:type="character" w:customStyle="1" w:styleId="63">
    <w:name w:val="标题 1 字符"/>
    <w:basedOn w:val="48"/>
    <w:link w:val="3"/>
    <w:qFormat/>
    <w:uiPriority w:val="0"/>
    <w:rPr>
      <w:rFonts w:ascii="Times New Roman" w:hAnsi="Times New Roman" w:eastAsia="宋体" w:cs="Times New Roman"/>
      <w:b/>
      <w:bCs/>
      <w:kern w:val="0"/>
      <w:sz w:val="24"/>
      <w:szCs w:val="20"/>
    </w:rPr>
  </w:style>
  <w:style w:type="character" w:customStyle="1" w:styleId="64">
    <w:name w:val="标题 2 字符"/>
    <w:basedOn w:val="48"/>
    <w:link w:val="4"/>
    <w:qFormat/>
    <w:uiPriority w:val="0"/>
    <w:rPr>
      <w:rFonts w:ascii="Arial" w:hAnsi="Arial" w:eastAsia="宋体" w:cs="Times New Roman"/>
      <w:b/>
      <w:bCs/>
      <w:kern w:val="0"/>
      <w:sz w:val="24"/>
      <w:szCs w:val="32"/>
    </w:rPr>
  </w:style>
  <w:style w:type="character" w:customStyle="1" w:styleId="65">
    <w:name w:val="标题 3 字符"/>
    <w:basedOn w:val="48"/>
    <w:link w:val="5"/>
    <w:qFormat/>
    <w:uiPriority w:val="0"/>
    <w:rPr>
      <w:rFonts w:ascii="Times New Roman" w:hAnsi="Times New Roman" w:eastAsia="宋体" w:cs="Times New Roman"/>
      <w:b/>
      <w:bCs/>
      <w:kern w:val="0"/>
      <w:sz w:val="32"/>
      <w:szCs w:val="32"/>
    </w:rPr>
  </w:style>
  <w:style w:type="character" w:customStyle="1" w:styleId="66">
    <w:name w:val="标题 4 字符"/>
    <w:basedOn w:val="48"/>
    <w:link w:val="6"/>
    <w:qFormat/>
    <w:uiPriority w:val="0"/>
    <w:rPr>
      <w:rFonts w:ascii="Arial" w:hAnsi="Arial" w:eastAsia="黑体" w:cs="Times New Roman"/>
      <w:b/>
      <w:bCs/>
      <w:kern w:val="0"/>
      <w:sz w:val="28"/>
      <w:szCs w:val="28"/>
    </w:rPr>
  </w:style>
  <w:style w:type="character" w:customStyle="1" w:styleId="67">
    <w:name w:val="标题 5 字符"/>
    <w:basedOn w:val="48"/>
    <w:link w:val="7"/>
    <w:qFormat/>
    <w:uiPriority w:val="0"/>
    <w:rPr>
      <w:rFonts w:ascii="Times New Roman" w:hAnsi="Times New Roman" w:eastAsia="宋体" w:cs="Times New Roman"/>
      <w:b/>
      <w:bCs/>
      <w:kern w:val="0"/>
      <w:sz w:val="28"/>
      <w:szCs w:val="28"/>
    </w:rPr>
  </w:style>
  <w:style w:type="character" w:customStyle="1" w:styleId="68">
    <w:name w:val="标题 6 字符"/>
    <w:basedOn w:val="48"/>
    <w:link w:val="8"/>
    <w:qFormat/>
    <w:uiPriority w:val="0"/>
    <w:rPr>
      <w:rFonts w:ascii="Arial" w:hAnsi="Arial" w:eastAsia="黑体" w:cs="Times New Roman"/>
      <w:b/>
      <w:bCs/>
      <w:kern w:val="0"/>
      <w:sz w:val="24"/>
      <w:szCs w:val="24"/>
    </w:rPr>
  </w:style>
  <w:style w:type="character" w:customStyle="1" w:styleId="69">
    <w:name w:val="标题 7 字符"/>
    <w:basedOn w:val="48"/>
    <w:link w:val="9"/>
    <w:qFormat/>
    <w:uiPriority w:val="0"/>
    <w:rPr>
      <w:rFonts w:ascii="Times New Roman" w:hAnsi="Times New Roman" w:eastAsia="宋体" w:cs="Times New Roman"/>
      <w:b/>
      <w:bCs/>
      <w:kern w:val="0"/>
      <w:sz w:val="24"/>
      <w:szCs w:val="24"/>
    </w:rPr>
  </w:style>
  <w:style w:type="character" w:customStyle="1" w:styleId="70">
    <w:name w:val="标题 8 字符"/>
    <w:basedOn w:val="48"/>
    <w:link w:val="10"/>
    <w:qFormat/>
    <w:uiPriority w:val="0"/>
    <w:rPr>
      <w:rFonts w:ascii="Arial" w:hAnsi="Arial" w:eastAsia="黑体" w:cs="Times New Roman"/>
      <w:kern w:val="0"/>
      <w:sz w:val="24"/>
      <w:szCs w:val="24"/>
    </w:rPr>
  </w:style>
  <w:style w:type="character" w:customStyle="1" w:styleId="71">
    <w:name w:val="标题 9 字符"/>
    <w:basedOn w:val="48"/>
    <w:link w:val="11"/>
    <w:qFormat/>
    <w:uiPriority w:val="0"/>
    <w:rPr>
      <w:rFonts w:ascii="Arial" w:hAnsi="Arial" w:eastAsia="黑体" w:cs="Times New Roman"/>
      <w:kern w:val="0"/>
      <w:sz w:val="20"/>
      <w:szCs w:val="21"/>
    </w:rPr>
  </w:style>
  <w:style w:type="character" w:customStyle="1" w:styleId="72">
    <w:name w:val="正文文本 2 字符"/>
    <w:basedOn w:val="48"/>
    <w:link w:val="39"/>
    <w:qFormat/>
    <w:uiPriority w:val="0"/>
    <w:rPr>
      <w:rFonts w:ascii="Times New Roman" w:hAnsi="Times New Roman" w:eastAsia="宋体" w:cs="Times New Roman"/>
      <w:szCs w:val="24"/>
    </w:rPr>
  </w:style>
  <w:style w:type="character" w:customStyle="1" w:styleId="73">
    <w:name w:val="Font Style104"/>
    <w:unhideWhenUsed/>
    <w:qFormat/>
    <w:uiPriority w:val="0"/>
    <w:rPr>
      <w:rFonts w:hint="eastAsia" w:ascii="宋体" w:hAnsi="宋体" w:eastAsia="宋体"/>
      <w:spacing w:val="30"/>
      <w:sz w:val="18"/>
    </w:rPr>
  </w:style>
  <w:style w:type="character" w:customStyle="1" w:styleId="74">
    <w:name w:val="Font Style128"/>
    <w:unhideWhenUsed/>
    <w:qFormat/>
    <w:uiPriority w:val="0"/>
    <w:rPr>
      <w:rFonts w:hint="eastAsia" w:ascii="Times New Roman" w:hAnsi="Times New Roman" w:eastAsia="Times New Roman"/>
      <w:sz w:val="16"/>
    </w:rPr>
  </w:style>
  <w:style w:type="character" w:customStyle="1" w:styleId="75">
    <w:name w:val="页脚 Char1"/>
    <w:qFormat/>
    <w:uiPriority w:val="0"/>
    <w:rPr>
      <w:rFonts w:eastAsia="宋体"/>
      <w:kern w:val="2"/>
      <w:sz w:val="18"/>
      <w:szCs w:val="18"/>
      <w:lang w:val="en-US" w:eastAsia="zh-CN" w:bidi="ar-SA"/>
    </w:rPr>
  </w:style>
  <w:style w:type="character" w:customStyle="1" w:styleId="76">
    <w:name w:val="标题 4 Char"/>
    <w:basedOn w:val="48"/>
    <w:qFormat/>
    <w:uiPriority w:val="0"/>
    <w:rPr>
      <w:rFonts w:ascii="Cambria" w:hAnsi="Cambria" w:eastAsia="宋体" w:cs="Times New Roman"/>
      <w:b/>
      <w:bCs/>
      <w:sz w:val="28"/>
      <w:szCs w:val="28"/>
    </w:rPr>
  </w:style>
  <w:style w:type="character" w:customStyle="1" w:styleId="77">
    <w:name w:val="日期 Char"/>
    <w:basedOn w:val="48"/>
    <w:qFormat/>
    <w:uiPriority w:val="0"/>
    <w:rPr>
      <w:rFonts w:ascii="Times New Roman" w:hAnsi="Times New Roman" w:eastAsia="宋体" w:cs="Times New Roman"/>
      <w:szCs w:val="24"/>
    </w:rPr>
  </w:style>
  <w:style w:type="character" w:customStyle="1" w:styleId="78">
    <w:name w:val="Font Style123"/>
    <w:unhideWhenUsed/>
    <w:qFormat/>
    <w:uiPriority w:val="0"/>
    <w:rPr>
      <w:rFonts w:hint="eastAsia" w:ascii="宋体" w:hAnsi="宋体" w:eastAsia="宋体"/>
      <w:b/>
      <w:sz w:val="32"/>
    </w:rPr>
  </w:style>
  <w:style w:type="character" w:customStyle="1" w:styleId="79">
    <w:name w:val="bds_nopic2"/>
    <w:qFormat/>
    <w:uiPriority w:val="0"/>
    <w:rPr>
      <w:rFonts w:ascii="Times New Roman" w:hAnsi="Times New Roman" w:eastAsia="宋体"/>
    </w:rPr>
  </w:style>
  <w:style w:type="character" w:customStyle="1" w:styleId="80">
    <w:name w:val="lemmatitleh12"/>
    <w:qFormat/>
    <w:uiPriority w:val="0"/>
    <w:rPr>
      <w:rFonts w:ascii="Times New Roman" w:hAnsi="Times New Roman" w:eastAsia="宋体"/>
    </w:rPr>
  </w:style>
  <w:style w:type="character" w:customStyle="1" w:styleId="81">
    <w:name w:val="Char Char13"/>
    <w:qFormat/>
    <w:uiPriority w:val="0"/>
    <w:rPr>
      <w:rFonts w:eastAsia="宋体"/>
      <w:b/>
      <w:bCs/>
      <w:kern w:val="2"/>
      <w:sz w:val="24"/>
      <w:lang w:val="en-US" w:eastAsia="zh-CN" w:bidi="ar-SA"/>
    </w:rPr>
  </w:style>
  <w:style w:type="character" w:customStyle="1" w:styleId="82">
    <w:name w:val="Font Style94"/>
    <w:unhideWhenUsed/>
    <w:qFormat/>
    <w:uiPriority w:val="0"/>
    <w:rPr>
      <w:rFonts w:hint="eastAsia" w:ascii="Times New Roman" w:hAnsi="Times New Roman" w:eastAsia="Times New Roman"/>
      <w:sz w:val="28"/>
    </w:rPr>
  </w:style>
  <w:style w:type="character" w:customStyle="1" w:styleId="83">
    <w:name w:val="Font Style125"/>
    <w:unhideWhenUsed/>
    <w:qFormat/>
    <w:uiPriority w:val="0"/>
    <w:rPr>
      <w:rFonts w:hint="eastAsia" w:ascii="宋体" w:hAnsi="宋体" w:eastAsia="宋体"/>
      <w:b/>
      <w:sz w:val="26"/>
    </w:rPr>
  </w:style>
  <w:style w:type="character" w:customStyle="1" w:styleId="84">
    <w:name w:val="Font Style133"/>
    <w:unhideWhenUsed/>
    <w:qFormat/>
    <w:uiPriority w:val="0"/>
    <w:rPr>
      <w:rFonts w:hint="eastAsia" w:ascii="宋体" w:hAnsi="宋体" w:eastAsia="宋体"/>
      <w:spacing w:val="30"/>
      <w:sz w:val="24"/>
    </w:rPr>
  </w:style>
  <w:style w:type="character" w:customStyle="1" w:styleId="85">
    <w:name w:val="polysemyred"/>
    <w:qFormat/>
    <w:uiPriority w:val="0"/>
    <w:rPr>
      <w:rFonts w:ascii="Times New Roman" w:hAnsi="Times New Roman" w:eastAsia="宋体"/>
      <w:color w:val="FF6666"/>
      <w:sz w:val="18"/>
      <w:szCs w:val="18"/>
    </w:rPr>
  </w:style>
  <w:style w:type="character" w:customStyle="1" w:styleId="86">
    <w:name w:val="批注主题 字符"/>
    <w:link w:val="44"/>
    <w:qFormat/>
    <w:uiPriority w:val="0"/>
    <w:rPr>
      <w:rFonts w:ascii="Calibri" w:hAnsi="Calibri" w:eastAsia="宋体" w:cs="黑体"/>
      <w:b/>
      <w:bCs/>
      <w:szCs w:val="24"/>
    </w:rPr>
  </w:style>
  <w:style w:type="character" w:customStyle="1" w:styleId="87">
    <w:name w:val="p0 Char"/>
    <w:link w:val="88"/>
    <w:qFormat/>
    <w:uiPriority w:val="0"/>
    <w:rPr>
      <w:rFonts w:ascii="Calibri" w:hAnsi="Calibri" w:eastAsia="宋体" w:cs="黑体"/>
      <w:szCs w:val="21"/>
    </w:rPr>
  </w:style>
  <w:style w:type="paragraph" w:customStyle="1" w:styleId="88">
    <w:name w:val="p0"/>
    <w:basedOn w:val="1"/>
    <w:link w:val="87"/>
    <w:qFormat/>
    <w:uiPriority w:val="0"/>
    <w:pPr>
      <w:widowControl/>
    </w:pPr>
    <w:rPr>
      <w:rFonts w:ascii="Calibri" w:hAnsi="Calibri" w:cs="黑体"/>
      <w:szCs w:val="21"/>
    </w:rPr>
  </w:style>
  <w:style w:type="character" w:customStyle="1" w:styleId="89">
    <w:name w:val="Char Char12"/>
    <w:qFormat/>
    <w:uiPriority w:val="0"/>
    <w:rPr>
      <w:rFonts w:ascii="Arial" w:hAnsi="Arial" w:eastAsia="黑体"/>
      <w:b/>
      <w:bCs/>
      <w:kern w:val="2"/>
      <w:sz w:val="28"/>
      <w:szCs w:val="28"/>
      <w:lang w:val="en-US" w:eastAsia="zh-CN" w:bidi="ar-SA"/>
    </w:rPr>
  </w:style>
  <w:style w:type="character" w:customStyle="1" w:styleId="90">
    <w:name w:val="标题 4 Char Char"/>
    <w:qFormat/>
    <w:uiPriority w:val="0"/>
    <w:rPr>
      <w:rFonts w:ascii="Arial" w:hAnsi="Arial" w:eastAsia="宋体"/>
      <w:b/>
      <w:bCs/>
      <w:kern w:val="2"/>
      <w:sz w:val="21"/>
      <w:szCs w:val="28"/>
      <w:lang w:val="en-US" w:eastAsia="zh-CN" w:bidi="ar-SA"/>
    </w:rPr>
  </w:style>
  <w:style w:type="character" w:customStyle="1" w:styleId="91">
    <w:name w:val="font11"/>
    <w:basedOn w:val="48"/>
    <w:qFormat/>
    <w:uiPriority w:val="0"/>
    <w:rPr>
      <w:rFonts w:hint="eastAsia" w:ascii="宋体" w:hAnsi="宋体" w:eastAsia="宋体" w:cs="宋体"/>
      <w:color w:val="000000"/>
      <w:sz w:val="18"/>
      <w:szCs w:val="18"/>
      <w:u w:val="none"/>
    </w:rPr>
  </w:style>
  <w:style w:type="character" w:customStyle="1" w:styleId="92">
    <w:name w:val="font01"/>
    <w:basedOn w:val="48"/>
    <w:qFormat/>
    <w:uiPriority w:val="0"/>
    <w:rPr>
      <w:rFonts w:hint="eastAsia" w:ascii="宋体" w:hAnsi="宋体" w:eastAsia="宋体" w:cs="宋体"/>
      <w:color w:val="000000"/>
      <w:sz w:val="22"/>
      <w:szCs w:val="22"/>
      <w:u w:val="single"/>
    </w:rPr>
  </w:style>
  <w:style w:type="character" w:customStyle="1" w:styleId="93">
    <w:name w:val="sidecatalog-dot1"/>
    <w:qFormat/>
    <w:uiPriority w:val="0"/>
    <w:rPr>
      <w:rFonts w:ascii="Times New Roman" w:hAnsi="Times New Roman" w:eastAsia="宋体"/>
    </w:rPr>
  </w:style>
  <w:style w:type="character" w:customStyle="1" w:styleId="94">
    <w:name w:val="Font Style124"/>
    <w:unhideWhenUsed/>
    <w:qFormat/>
    <w:uiPriority w:val="0"/>
    <w:rPr>
      <w:rFonts w:hint="eastAsia" w:ascii="宋体" w:hAnsi="宋体" w:eastAsia="宋体"/>
      <w:spacing w:val="30"/>
      <w:sz w:val="24"/>
    </w:rPr>
  </w:style>
  <w:style w:type="character" w:customStyle="1" w:styleId="95">
    <w:name w:val="批注框文本 Char"/>
    <w:basedOn w:val="48"/>
    <w:qFormat/>
    <w:uiPriority w:val="0"/>
    <w:rPr>
      <w:rFonts w:ascii="Times New Roman" w:hAnsi="Times New Roman" w:eastAsia="宋体" w:cs="Times New Roman"/>
      <w:sz w:val="18"/>
      <w:szCs w:val="18"/>
    </w:rPr>
  </w:style>
  <w:style w:type="character" w:customStyle="1" w:styleId="96">
    <w:name w:val="批注框文本 字符"/>
    <w:link w:val="29"/>
    <w:qFormat/>
    <w:locked/>
    <w:uiPriority w:val="0"/>
    <w:rPr>
      <w:rFonts w:ascii="Calibri" w:hAnsi="Calibri" w:eastAsia="宋体" w:cs="黑体"/>
      <w:sz w:val="18"/>
      <w:szCs w:val="18"/>
    </w:rPr>
  </w:style>
  <w:style w:type="character" w:customStyle="1" w:styleId="97">
    <w:name w:val="正文文本缩进 字符"/>
    <w:basedOn w:val="48"/>
    <w:link w:val="20"/>
    <w:qFormat/>
    <w:uiPriority w:val="0"/>
    <w:rPr>
      <w:rFonts w:ascii="Calibri" w:hAnsi="Calibri" w:eastAsia="宋体" w:cs="黑体"/>
      <w:szCs w:val="24"/>
    </w:rPr>
  </w:style>
  <w:style w:type="character" w:customStyle="1" w:styleId="98">
    <w:name w:val="bds_more9"/>
    <w:qFormat/>
    <w:uiPriority w:val="0"/>
    <w:rPr>
      <w:rFonts w:ascii="Times New Roman" w:hAnsi="Times New Roman" w:eastAsia="宋体"/>
    </w:rPr>
  </w:style>
  <w:style w:type="character" w:customStyle="1" w:styleId="99">
    <w:name w:val="Char Char17"/>
    <w:qFormat/>
    <w:uiPriority w:val="0"/>
    <w:rPr>
      <w:rFonts w:ascii="宋体" w:hAnsi="Times New Roman" w:eastAsia="宋体"/>
      <w:b/>
      <w:sz w:val="28"/>
      <w:lang w:val="en-US" w:eastAsia="zh-CN" w:bidi="ar-SA"/>
    </w:rPr>
  </w:style>
  <w:style w:type="character" w:customStyle="1" w:styleId="100">
    <w:name w:val="标题 字符"/>
    <w:basedOn w:val="48"/>
    <w:link w:val="43"/>
    <w:qFormat/>
    <w:uiPriority w:val="0"/>
    <w:rPr>
      <w:rFonts w:ascii="Cambria" w:hAnsi="Cambria" w:eastAsia="宋体" w:cs="Times New Roman"/>
      <w:b/>
      <w:sz w:val="32"/>
      <w:szCs w:val="24"/>
    </w:rPr>
  </w:style>
  <w:style w:type="character" w:customStyle="1" w:styleId="101">
    <w:name w:val="正文文本缩进 2 字符"/>
    <w:basedOn w:val="48"/>
    <w:link w:val="28"/>
    <w:qFormat/>
    <w:uiPriority w:val="0"/>
    <w:rPr>
      <w:rFonts w:ascii="Times New Roman" w:hAnsi="Times New Roman" w:eastAsia="宋体" w:cs="Times New Roman"/>
      <w:szCs w:val="24"/>
    </w:rPr>
  </w:style>
  <w:style w:type="character" w:customStyle="1" w:styleId="102">
    <w:name w:val="Font Style105"/>
    <w:unhideWhenUsed/>
    <w:qFormat/>
    <w:uiPriority w:val="0"/>
    <w:rPr>
      <w:rFonts w:hint="eastAsia" w:ascii="Times New Roman" w:hAnsi="Times New Roman" w:eastAsia="Times New Roman"/>
      <w:w w:val="60"/>
      <w:sz w:val="26"/>
    </w:rPr>
  </w:style>
  <w:style w:type="character" w:customStyle="1" w:styleId="103">
    <w:name w:val="标题 6 Char"/>
    <w:basedOn w:val="48"/>
    <w:qFormat/>
    <w:uiPriority w:val="0"/>
    <w:rPr>
      <w:rFonts w:ascii="Cambria" w:hAnsi="Cambria" w:eastAsia="宋体" w:cs="Times New Roman"/>
      <w:b/>
      <w:bCs/>
      <w:sz w:val="24"/>
      <w:szCs w:val="24"/>
    </w:rPr>
  </w:style>
  <w:style w:type="character" w:customStyle="1" w:styleId="104">
    <w:name w:val="morelink-item"/>
    <w:qFormat/>
    <w:uiPriority w:val="0"/>
    <w:rPr>
      <w:rFonts w:ascii="Times New Roman" w:hAnsi="Times New Roman" w:eastAsia="宋体"/>
    </w:rPr>
  </w:style>
  <w:style w:type="character" w:customStyle="1" w:styleId="105">
    <w:name w:val="bds_more7"/>
    <w:qFormat/>
    <w:uiPriority w:val="0"/>
    <w:rPr>
      <w:rFonts w:ascii="Times New Roman" w:hAnsi="Times New Roman" w:eastAsia="宋体"/>
    </w:rPr>
  </w:style>
  <w:style w:type="character" w:customStyle="1" w:styleId="106">
    <w:name w:val="纯文本 字符"/>
    <w:basedOn w:val="48"/>
    <w:link w:val="25"/>
    <w:qFormat/>
    <w:uiPriority w:val="0"/>
    <w:rPr>
      <w:rFonts w:ascii="宋体" w:hAnsi="Courier New" w:eastAsia="宋体" w:cs="Courier New"/>
      <w:szCs w:val="21"/>
    </w:rPr>
  </w:style>
  <w:style w:type="character" w:customStyle="1" w:styleId="107">
    <w:name w:val="Char Char16"/>
    <w:qFormat/>
    <w:uiPriority w:val="0"/>
    <w:rPr>
      <w:rFonts w:ascii="宋体" w:hAnsi="Times New Roman" w:eastAsia="宋体"/>
      <w:b/>
      <w:sz w:val="24"/>
      <w:lang w:val="en-US" w:eastAsia="zh-CN" w:bidi="ar-SA"/>
    </w:rPr>
  </w:style>
  <w:style w:type="character" w:customStyle="1" w:styleId="108">
    <w:name w:val="批注主题 Char"/>
    <w:basedOn w:val="109"/>
    <w:qFormat/>
    <w:uiPriority w:val="0"/>
    <w:rPr>
      <w:rFonts w:ascii="Times New Roman" w:hAnsi="Times New Roman" w:eastAsia="宋体" w:cs="Times New Roman"/>
      <w:b/>
      <w:bCs/>
      <w:szCs w:val="24"/>
    </w:rPr>
  </w:style>
  <w:style w:type="character" w:customStyle="1" w:styleId="109">
    <w:name w:val="批注文字 字符"/>
    <w:basedOn w:val="48"/>
    <w:link w:val="16"/>
    <w:qFormat/>
    <w:uiPriority w:val="99"/>
    <w:rPr>
      <w:rFonts w:ascii="Times New Roman" w:hAnsi="Times New Roman" w:eastAsia="宋体" w:cs="Times New Roman"/>
      <w:szCs w:val="24"/>
    </w:rPr>
  </w:style>
  <w:style w:type="character" w:customStyle="1" w:styleId="110">
    <w:name w:val="Font Style126"/>
    <w:unhideWhenUsed/>
    <w:qFormat/>
    <w:uiPriority w:val="0"/>
    <w:rPr>
      <w:rFonts w:hint="eastAsia" w:ascii="宋体" w:hAnsi="宋体" w:eastAsia="宋体"/>
      <w:b/>
      <w:spacing w:val="-30"/>
      <w:sz w:val="28"/>
    </w:rPr>
  </w:style>
  <w:style w:type="character" w:customStyle="1" w:styleId="111">
    <w:name w:val="标题 Char1"/>
    <w:qFormat/>
    <w:uiPriority w:val="0"/>
    <w:rPr>
      <w:rFonts w:ascii="Cambria" w:hAnsi="Cambria" w:eastAsia="宋体" w:cs="Times New Roman"/>
      <w:b/>
      <w:bCs/>
      <w:sz w:val="32"/>
      <w:szCs w:val="32"/>
    </w:rPr>
  </w:style>
  <w:style w:type="character" w:customStyle="1" w:styleId="112">
    <w:name w:val="plus"/>
    <w:qFormat/>
    <w:uiPriority w:val="0"/>
    <w:rPr>
      <w:rFonts w:ascii="Times New Roman" w:hAnsi="Times New Roman" w:eastAsia="宋体"/>
      <w:b/>
      <w:vanish/>
      <w:color w:val="1F8DEF"/>
      <w:sz w:val="24"/>
      <w:szCs w:val="24"/>
    </w:rPr>
  </w:style>
  <w:style w:type="character" w:customStyle="1" w:styleId="113">
    <w:name w:val="HTML 预设格式 字符"/>
    <w:basedOn w:val="48"/>
    <w:link w:val="40"/>
    <w:qFormat/>
    <w:uiPriority w:val="0"/>
    <w:rPr>
      <w:rFonts w:ascii="Arial" w:hAnsi="Arial" w:eastAsia="宋体" w:cs="Arial"/>
      <w:kern w:val="0"/>
      <w:sz w:val="24"/>
      <w:szCs w:val="24"/>
    </w:rPr>
  </w:style>
  <w:style w:type="character" w:customStyle="1" w:styleId="114">
    <w:name w:val="称呼 字符"/>
    <w:basedOn w:val="48"/>
    <w:link w:val="17"/>
    <w:qFormat/>
    <w:uiPriority w:val="0"/>
    <w:rPr>
      <w:rFonts w:ascii="仿宋_GB2312" w:hAnsi="Times New Roman" w:eastAsia="仿宋_GB2312" w:cs="Times New Roman"/>
      <w:sz w:val="24"/>
      <w:szCs w:val="24"/>
    </w:rPr>
  </w:style>
  <w:style w:type="character" w:customStyle="1" w:styleId="115">
    <w:name w:val="批注文字 Char Char"/>
    <w:qFormat/>
    <w:uiPriority w:val="0"/>
    <w:rPr>
      <w:kern w:val="2"/>
      <w:sz w:val="21"/>
      <w:szCs w:val="24"/>
      <w:lang w:bidi="ar-SA"/>
    </w:rPr>
  </w:style>
  <w:style w:type="character" w:customStyle="1" w:styleId="116">
    <w:name w:val="p0 Char Char"/>
    <w:qFormat/>
    <w:uiPriority w:val="0"/>
    <w:rPr>
      <w:rFonts w:eastAsia="宋体"/>
      <w:kern w:val="2"/>
      <w:sz w:val="21"/>
      <w:szCs w:val="21"/>
      <w:lang w:val="en-US" w:eastAsia="zh-CN" w:bidi="ar-SA"/>
    </w:rPr>
  </w:style>
  <w:style w:type="character" w:customStyle="1" w:styleId="117">
    <w:name w:val="正文文本 字符"/>
    <w:basedOn w:val="48"/>
    <w:link w:val="19"/>
    <w:qFormat/>
    <w:uiPriority w:val="99"/>
    <w:rPr>
      <w:rFonts w:ascii="Times New Roman" w:hAnsi="Times New Roman" w:eastAsia="宋体" w:cs="Times New Roman"/>
      <w:szCs w:val="24"/>
    </w:rPr>
  </w:style>
  <w:style w:type="character" w:customStyle="1" w:styleId="118">
    <w:name w:val="批注文字 Char1"/>
    <w:qFormat/>
    <w:uiPriority w:val="0"/>
    <w:rPr>
      <w:rFonts w:eastAsia="宋体"/>
      <w:kern w:val="2"/>
      <w:sz w:val="21"/>
      <w:szCs w:val="24"/>
      <w:lang w:val="en-US" w:eastAsia="zh-CN" w:bidi="ar-SA"/>
    </w:rPr>
  </w:style>
  <w:style w:type="character" w:customStyle="1" w:styleId="119">
    <w:name w:val="Font Style131"/>
    <w:unhideWhenUsed/>
    <w:qFormat/>
    <w:uiPriority w:val="0"/>
    <w:rPr>
      <w:rFonts w:hint="eastAsia" w:ascii="Times New Roman" w:hAnsi="Times New Roman" w:eastAsia="Times New Roman"/>
      <w:sz w:val="18"/>
    </w:rPr>
  </w:style>
  <w:style w:type="character" w:customStyle="1" w:styleId="120">
    <w:name w:val="Font Style127"/>
    <w:unhideWhenUsed/>
    <w:qFormat/>
    <w:uiPriority w:val="0"/>
    <w:rPr>
      <w:rFonts w:hint="eastAsia" w:ascii="Times New Roman" w:hAnsi="Times New Roman" w:eastAsia="Times New Roman"/>
      <w:sz w:val="20"/>
    </w:rPr>
  </w:style>
  <w:style w:type="character" w:customStyle="1" w:styleId="121">
    <w:name w:val="Font Style122"/>
    <w:unhideWhenUsed/>
    <w:qFormat/>
    <w:uiPriority w:val="0"/>
    <w:rPr>
      <w:rFonts w:hint="eastAsia" w:ascii="宋体" w:hAnsi="宋体" w:eastAsia="宋体"/>
      <w:spacing w:val="20"/>
      <w:sz w:val="24"/>
    </w:rPr>
  </w:style>
  <w:style w:type="character" w:customStyle="1" w:styleId="122">
    <w:name w:val="标题 3 Char"/>
    <w:basedOn w:val="48"/>
    <w:qFormat/>
    <w:uiPriority w:val="0"/>
    <w:rPr>
      <w:rFonts w:ascii="Times New Roman" w:hAnsi="Times New Roman" w:eastAsia="宋体" w:cs="Times New Roman"/>
      <w:b/>
      <w:bCs/>
      <w:sz w:val="32"/>
      <w:szCs w:val="32"/>
    </w:rPr>
  </w:style>
  <w:style w:type="character" w:customStyle="1" w:styleId="123">
    <w:name w:val="sidecatalog-dot"/>
    <w:qFormat/>
    <w:uiPriority w:val="0"/>
    <w:rPr>
      <w:rFonts w:ascii="Times New Roman" w:hAnsi="Times New Roman" w:eastAsia="宋体"/>
    </w:rPr>
  </w:style>
  <w:style w:type="character" w:customStyle="1" w:styleId="124">
    <w:name w:val="正文文本缩进 3 字符"/>
    <w:link w:val="36"/>
    <w:qFormat/>
    <w:uiPriority w:val="0"/>
    <w:rPr>
      <w:rFonts w:ascii="Calibri" w:hAnsi="Calibri" w:eastAsia="宋体" w:cs="黑体"/>
      <w:sz w:val="16"/>
      <w:szCs w:val="16"/>
    </w:rPr>
  </w:style>
  <w:style w:type="character" w:customStyle="1" w:styleId="125">
    <w:name w:val="副标题 字符"/>
    <w:basedOn w:val="48"/>
    <w:link w:val="34"/>
    <w:qFormat/>
    <w:uiPriority w:val="99"/>
    <w:rPr>
      <w:sz w:val="18"/>
      <w:szCs w:val="18"/>
    </w:rPr>
  </w:style>
  <w:style w:type="character" w:customStyle="1" w:styleId="126">
    <w:name w:val="页码1"/>
    <w:qFormat/>
    <w:uiPriority w:val="0"/>
    <w:rPr>
      <w:lang w:val="zh-TW" w:eastAsia="zh-TW"/>
    </w:rPr>
  </w:style>
  <w:style w:type="character" w:customStyle="1" w:styleId="127">
    <w:name w:val="文档结构图 字符"/>
    <w:basedOn w:val="48"/>
    <w:link w:val="14"/>
    <w:qFormat/>
    <w:uiPriority w:val="0"/>
    <w:rPr>
      <w:rFonts w:ascii="Times New Roman" w:hAnsi="Times New Roman" w:eastAsia="宋体" w:cs="Times New Roman"/>
      <w:szCs w:val="24"/>
      <w:shd w:val="clear" w:color="auto" w:fill="000080"/>
    </w:rPr>
  </w:style>
  <w:style w:type="character" w:customStyle="1" w:styleId="128">
    <w:name w:val="标题 1 Char"/>
    <w:basedOn w:val="48"/>
    <w:qFormat/>
    <w:uiPriority w:val="0"/>
    <w:rPr>
      <w:rFonts w:ascii="Times New Roman" w:hAnsi="Times New Roman" w:eastAsia="宋体" w:cs="Times New Roman"/>
      <w:b/>
      <w:bCs/>
      <w:kern w:val="44"/>
      <w:sz w:val="44"/>
      <w:szCs w:val="44"/>
    </w:rPr>
  </w:style>
  <w:style w:type="character" w:customStyle="1" w:styleId="129">
    <w:name w:val="bds_nopic"/>
    <w:qFormat/>
    <w:uiPriority w:val="0"/>
    <w:rPr>
      <w:rFonts w:ascii="Times New Roman" w:hAnsi="Times New Roman" w:eastAsia="宋体"/>
    </w:rPr>
  </w:style>
  <w:style w:type="character" w:customStyle="1" w:styleId="130">
    <w:name w:val="Font Style116"/>
    <w:unhideWhenUsed/>
    <w:qFormat/>
    <w:uiPriority w:val="0"/>
    <w:rPr>
      <w:rFonts w:hint="eastAsia" w:ascii="宋体" w:hAnsi="宋体" w:eastAsia="宋体"/>
      <w:spacing w:val="-20"/>
      <w:sz w:val="24"/>
    </w:rPr>
  </w:style>
  <w:style w:type="character" w:customStyle="1" w:styleId="131">
    <w:name w:val="标题 2 Char"/>
    <w:basedOn w:val="48"/>
    <w:qFormat/>
    <w:uiPriority w:val="0"/>
    <w:rPr>
      <w:rFonts w:ascii="Cambria" w:hAnsi="Cambria" w:eastAsia="宋体" w:cs="Times New Roman"/>
      <w:b/>
      <w:bCs/>
      <w:sz w:val="32"/>
      <w:szCs w:val="32"/>
    </w:rPr>
  </w:style>
  <w:style w:type="character" w:customStyle="1" w:styleId="132">
    <w:name w:val="纯文本 Char1"/>
    <w:basedOn w:val="48"/>
    <w:qFormat/>
    <w:uiPriority w:val="0"/>
    <w:rPr>
      <w:rFonts w:ascii="宋体" w:hAnsi="Courier New" w:eastAsia="宋体" w:cs="Courier New"/>
      <w:kern w:val="2"/>
      <w:sz w:val="21"/>
      <w:szCs w:val="21"/>
    </w:rPr>
  </w:style>
  <w:style w:type="character" w:customStyle="1" w:styleId="133">
    <w:name w:val="Font Style117"/>
    <w:unhideWhenUsed/>
    <w:qFormat/>
    <w:uiPriority w:val="0"/>
    <w:rPr>
      <w:rFonts w:hint="eastAsia" w:ascii="宋体" w:hAnsi="宋体" w:eastAsia="宋体"/>
      <w:spacing w:val="20"/>
      <w:sz w:val="24"/>
    </w:rPr>
  </w:style>
  <w:style w:type="character" w:customStyle="1" w:styleId="134">
    <w:name w:val="正文文本缩进 3 Char"/>
    <w:basedOn w:val="48"/>
    <w:qFormat/>
    <w:uiPriority w:val="0"/>
    <w:rPr>
      <w:rFonts w:ascii="Times New Roman" w:hAnsi="Times New Roman" w:eastAsia="宋体" w:cs="Times New Roman"/>
      <w:sz w:val="16"/>
      <w:szCs w:val="16"/>
    </w:rPr>
  </w:style>
  <w:style w:type="character" w:customStyle="1" w:styleId="135">
    <w:name w:val="Font Style90"/>
    <w:unhideWhenUsed/>
    <w:qFormat/>
    <w:uiPriority w:val="0"/>
    <w:rPr>
      <w:rFonts w:hint="eastAsia" w:ascii="宋体" w:hAnsi="宋体" w:eastAsia="宋体"/>
      <w:b/>
      <w:spacing w:val="-20"/>
      <w:sz w:val="40"/>
    </w:rPr>
  </w:style>
  <w:style w:type="character" w:customStyle="1" w:styleId="136">
    <w:name w:val="sidecatalog-index2"/>
    <w:qFormat/>
    <w:uiPriority w:val="0"/>
    <w:rPr>
      <w:rFonts w:ascii="Arail" w:hAnsi="Arail" w:eastAsia="Arail" w:cs="Arail"/>
      <w:color w:val="999999"/>
      <w:sz w:val="21"/>
      <w:szCs w:val="21"/>
    </w:rPr>
  </w:style>
  <w:style w:type="character" w:customStyle="1" w:styleId="137">
    <w:name w:val="标题 Char"/>
    <w:basedOn w:val="48"/>
    <w:qFormat/>
    <w:uiPriority w:val="0"/>
    <w:rPr>
      <w:rFonts w:ascii="Cambria" w:hAnsi="Cambria" w:eastAsia="宋体" w:cs="Times New Roman"/>
      <w:b/>
      <w:bCs/>
      <w:sz w:val="32"/>
      <w:szCs w:val="32"/>
    </w:rPr>
  </w:style>
  <w:style w:type="character" w:customStyle="1" w:styleId="138">
    <w:name w:val="font41"/>
    <w:basedOn w:val="48"/>
    <w:qFormat/>
    <w:uiPriority w:val="0"/>
    <w:rPr>
      <w:rFonts w:hint="eastAsia" w:ascii="宋体" w:hAnsi="宋体" w:eastAsia="宋体" w:cs="宋体"/>
      <w:color w:val="000000"/>
      <w:sz w:val="22"/>
      <w:szCs w:val="22"/>
      <w:u w:val="single"/>
    </w:rPr>
  </w:style>
  <w:style w:type="character" w:customStyle="1" w:styleId="139">
    <w:name w:val="日期 字符"/>
    <w:link w:val="27"/>
    <w:qFormat/>
    <w:uiPriority w:val="0"/>
    <w:rPr>
      <w:rFonts w:ascii="Calibri" w:hAnsi="Calibri" w:eastAsia="宋体" w:cs="黑体"/>
      <w:sz w:val="24"/>
    </w:rPr>
  </w:style>
  <w:style w:type="character" w:customStyle="1" w:styleId="140">
    <w:name w:val="Font Style86"/>
    <w:unhideWhenUsed/>
    <w:qFormat/>
    <w:uiPriority w:val="0"/>
    <w:rPr>
      <w:rFonts w:hint="eastAsia" w:ascii="黑体" w:hAnsi="黑体" w:eastAsia="黑体"/>
      <w:spacing w:val="10"/>
      <w:sz w:val="30"/>
    </w:rPr>
  </w:style>
  <w:style w:type="character" w:customStyle="1" w:styleId="141">
    <w:name w:val="Font Style121"/>
    <w:unhideWhenUsed/>
    <w:qFormat/>
    <w:uiPriority w:val="0"/>
    <w:rPr>
      <w:rFonts w:hint="eastAsia" w:ascii="宋体" w:hAnsi="宋体" w:eastAsia="宋体"/>
      <w:spacing w:val="-10"/>
      <w:sz w:val="30"/>
    </w:rPr>
  </w:style>
  <w:style w:type="character" w:customStyle="1" w:styleId="142">
    <w:name w:val="Font Style134"/>
    <w:unhideWhenUsed/>
    <w:qFormat/>
    <w:uiPriority w:val="0"/>
    <w:rPr>
      <w:rFonts w:hint="eastAsia" w:ascii="宋体" w:hAnsi="宋体" w:eastAsia="宋体"/>
      <w:spacing w:val="20"/>
      <w:sz w:val="22"/>
    </w:rPr>
  </w:style>
  <w:style w:type="character" w:customStyle="1" w:styleId="143">
    <w:name w:val="页眉 Char1"/>
    <w:qFormat/>
    <w:uiPriority w:val="0"/>
    <w:rPr>
      <w:rFonts w:eastAsia="宋体"/>
      <w:kern w:val="2"/>
      <w:sz w:val="18"/>
      <w:szCs w:val="18"/>
      <w:lang w:val="en-US" w:eastAsia="zh-CN" w:bidi="ar-SA"/>
    </w:rPr>
  </w:style>
  <w:style w:type="character" w:customStyle="1" w:styleId="144">
    <w:name w:val="sort"/>
    <w:qFormat/>
    <w:uiPriority w:val="0"/>
    <w:rPr>
      <w:rFonts w:ascii="Times New Roman" w:hAnsi="Times New Roman" w:eastAsia="宋体"/>
      <w:color w:val="FFFFFF"/>
      <w:bdr w:val="single" w:color="auto" w:sz="24" w:space="0"/>
    </w:rPr>
  </w:style>
  <w:style w:type="character" w:customStyle="1" w:styleId="145">
    <w:name w:val="Font Style115"/>
    <w:unhideWhenUsed/>
    <w:qFormat/>
    <w:uiPriority w:val="0"/>
    <w:rPr>
      <w:rFonts w:hint="eastAsia" w:ascii="Times New Roman" w:hAnsi="Times New Roman" w:eastAsia="Times New Roman"/>
      <w:sz w:val="16"/>
    </w:rPr>
  </w:style>
  <w:style w:type="character" w:customStyle="1" w:styleId="146">
    <w:name w:val="bds_more6"/>
    <w:qFormat/>
    <w:uiPriority w:val="0"/>
    <w:rPr>
      <w:rFonts w:hint="eastAsia" w:ascii="宋体" w:hAnsi="宋体" w:eastAsia="宋体" w:cs="宋体"/>
    </w:rPr>
  </w:style>
  <w:style w:type="character" w:customStyle="1" w:styleId="147">
    <w:name w:val="标题 8 Char"/>
    <w:basedOn w:val="48"/>
    <w:qFormat/>
    <w:uiPriority w:val="0"/>
    <w:rPr>
      <w:rFonts w:ascii="Cambria" w:hAnsi="Cambria" w:eastAsia="宋体" w:cs="Times New Roman"/>
      <w:sz w:val="24"/>
      <w:szCs w:val="24"/>
    </w:rPr>
  </w:style>
  <w:style w:type="character" w:customStyle="1" w:styleId="148">
    <w:name w:val="正文文本 3 字符"/>
    <w:basedOn w:val="48"/>
    <w:link w:val="18"/>
    <w:qFormat/>
    <w:uiPriority w:val="0"/>
    <w:rPr>
      <w:rFonts w:ascii="宋体" w:hAnsi="Times New Roman" w:eastAsia="宋体" w:cs="Times New Roman"/>
      <w:color w:val="000000"/>
      <w:kern w:val="0"/>
      <w:sz w:val="24"/>
      <w:szCs w:val="20"/>
    </w:rPr>
  </w:style>
  <w:style w:type="character" w:customStyle="1" w:styleId="149">
    <w:name w:val="font71"/>
    <w:basedOn w:val="48"/>
    <w:qFormat/>
    <w:uiPriority w:val="0"/>
    <w:rPr>
      <w:rFonts w:hint="eastAsia" w:ascii="宋体" w:hAnsi="宋体" w:eastAsia="宋体" w:cs="宋体"/>
      <w:b/>
      <w:color w:val="000000"/>
      <w:sz w:val="22"/>
      <w:szCs w:val="22"/>
      <w:u w:val="none"/>
    </w:rPr>
  </w:style>
  <w:style w:type="character" w:customStyle="1" w:styleId="150">
    <w:name w:val="font21"/>
    <w:basedOn w:val="48"/>
    <w:qFormat/>
    <w:uiPriority w:val="0"/>
    <w:rPr>
      <w:rFonts w:hint="eastAsia" w:ascii="宋体" w:hAnsi="宋体" w:eastAsia="宋体" w:cs="宋体"/>
      <w:color w:val="000000"/>
      <w:sz w:val="18"/>
      <w:szCs w:val="18"/>
      <w:u w:val="none"/>
    </w:rPr>
  </w:style>
  <w:style w:type="character" w:customStyle="1" w:styleId="151">
    <w:name w:val="标题 9 Char"/>
    <w:basedOn w:val="48"/>
    <w:qFormat/>
    <w:uiPriority w:val="0"/>
    <w:rPr>
      <w:rFonts w:ascii="Cambria" w:hAnsi="Cambria" w:eastAsia="宋体" w:cs="Times New Roman"/>
      <w:szCs w:val="21"/>
    </w:rPr>
  </w:style>
  <w:style w:type="character" w:customStyle="1" w:styleId="152">
    <w:name w:val="Char Char14"/>
    <w:qFormat/>
    <w:uiPriority w:val="0"/>
    <w:rPr>
      <w:rFonts w:ascii="Arial" w:hAnsi="Arial" w:eastAsia="黑体"/>
      <w:b/>
      <w:bCs/>
      <w:sz w:val="28"/>
      <w:szCs w:val="28"/>
      <w:lang w:val="en-US" w:eastAsia="zh-CN" w:bidi="ar-SA"/>
    </w:rPr>
  </w:style>
  <w:style w:type="character" w:customStyle="1" w:styleId="153">
    <w:name w:val="Font Style119"/>
    <w:unhideWhenUsed/>
    <w:qFormat/>
    <w:uiPriority w:val="0"/>
    <w:rPr>
      <w:rFonts w:hint="eastAsia" w:ascii="宋体" w:hAnsi="宋体" w:eastAsia="宋体"/>
      <w:sz w:val="24"/>
    </w:rPr>
  </w:style>
  <w:style w:type="character" w:customStyle="1" w:styleId="154">
    <w:name w:val="标题 5 Char"/>
    <w:basedOn w:val="48"/>
    <w:qFormat/>
    <w:uiPriority w:val="0"/>
    <w:rPr>
      <w:rFonts w:ascii="Times New Roman" w:hAnsi="Times New Roman" w:eastAsia="宋体" w:cs="Times New Roman"/>
      <w:b/>
      <w:bCs/>
      <w:sz w:val="28"/>
      <w:szCs w:val="28"/>
    </w:rPr>
  </w:style>
  <w:style w:type="character" w:customStyle="1" w:styleId="155">
    <w:name w:val="Char Char15"/>
    <w:qFormat/>
    <w:uiPriority w:val="0"/>
    <w:rPr>
      <w:b/>
      <w:bCs/>
      <w:sz w:val="24"/>
      <w:szCs w:val="24"/>
    </w:rPr>
  </w:style>
  <w:style w:type="character" w:customStyle="1" w:styleId="156">
    <w:name w:val="polysemyexp"/>
    <w:qFormat/>
    <w:uiPriority w:val="0"/>
    <w:rPr>
      <w:rFonts w:ascii="Times New Roman" w:hAnsi="Times New Roman" w:eastAsia="宋体"/>
      <w:color w:val="AAAAAA"/>
      <w:sz w:val="18"/>
      <w:szCs w:val="18"/>
    </w:rPr>
  </w:style>
  <w:style w:type="character" w:customStyle="1" w:styleId="157">
    <w:name w:val="bds_nopic1"/>
    <w:qFormat/>
    <w:uiPriority w:val="0"/>
    <w:rPr>
      <w:rFonts w:ascii="Times New Roman" w:hAnsi="Times New Roman" w:eastAsia="宋体"/>
    </w:rPr>
  </w:style>
  <w:style w:type="character" w:customStyle="1" w:styleId="158">
    <w:name w:val="bds_more8"/>
    <w:qFormat/>
    <w:uiPriority w:val="0"/>
    <w:rPr>
      <w:rFonts w:ascii="Times New Roman" w:hAnsi="Times New Roman" w:eastAsia="宋体"/>
    </w:rPr>
  </w:style>
  <w:style w:type="character" w:customStyle="1" w:styleId="159">
    <w:name w:val="sort1"/>
    <w:qFormat/>
    <w:uiPriority w:val="0"/>
    <w:rPr>
      <w:rFonts w:ascii="Times New Roman" w:hAnsi="Times New Roman" w:eastAsia="宋体"/>
    </w:rPr>
  </w:style>
  <w:style w:type="character" w:customStyle="1" w:styleId="160">
    <w:name w:val="bds_more10"/>
    <w:qFormat/>
    <w:uiPriority w:val="0"/>
    <w:rPr>
      <w:rFonts w:ascii="Times New Roman" w:hAnsi="Times New Roman" w:eastAsia="宋体"/>
    </w:rPr>
  </w:style>
  <w:style w:type="character" w:customStyle="1" w:styleId="161">
    <w:name w:val="sidecatalog-index1"/>
    <w:qFormat/>
    <w:uiPriority w:val="0"/>
    <w:rPr>
      <w:rFonts w:ascii="Arial" w:hAnsi="Arial" w:eastAsia="宋体" w:cs="Arial"/>
      <w:b/>
      <w:color w:val="999999"/>
      <w:sz w:val="21"/>
      <w:szCs w:val="21"/>
    </w:rPr>
  </w:style>
  <w:style w:type="character" w:customStyle="1" w:styleId="162">
    <w:name w:val="标题 7 Char"/>
    <w:basedOn w:val="48"/>
    <w:qFormat/>
    <w:uiPriority w:val="0"/>
    <w:rPr>
      <w:rFonts w:ascii="Times New Roman" w:hAnsi="Times New Roman" w:eastAsia="宋体" w:cs="Times New Roman"/>
      <w:b/>
      <w:bCs/>
      <w:sz w:val="24"/>
      <w:szCs w:val="24"/>
    </w:rPr>
  </w:style>
  <w:style w:type="character" w:customStyle="1" w:styleId="163">
    <w:name w:val="desc"/>
    <w:qFormat/>
    <w:uiPriority w:val="0"/>
    <w:rPr>
      <w:rFonts w:ascii="Times New Roman" w:hAnsi="Times New Roman" w:eastAsia="宋体"/>
      <w:color w:val="000000"/>
      <w:sz w:val="18"/>
      <w:szCs w:val="18"/>
    </w:rPr>
  </w:style>
  <w:style w:type="character" w:customStyle="1" w:styleId="164">
    <w:name w:val="正文文本缩进 2 字符1"/>
    <w:basedOn w:val="48"/>
    <w:semiHidden/>
    <w:qFormat/>
    <w:uiPriority w:val="99"/>
    <w:rPr>
      <w:rFonts w:ascii="Times New Roman" w:hAnsi="Times New Roman" w:eastAsia="宋体" w:cs="Times New Roman"/>
      <w:szCs w:val="24"/>
    </w:rPr>
  </w:style>
  <w:style w:type="character" w:customStyle="1" w:styleId="165">
    <w:name w:val="正文文本缩进 字符1"/>
    <w:basedOn w:val="48"/>
    <w:semiHidden/>
    <w:qFormat/>
    <w:uiPriority w:val="99"/>
    <w:rPr>
      <w:rFonts w:ascii="Times New Roman" w:hAnsi="Times New Roman" w:eastAsia="宋体" w:cs="Times New Roman"/>
      <w:szCs w:val="24"/>
    </w:rPr>
  </w:style>
  <w:style w:type="character" w:customStyle="1" w:styleId="166">
    <w:name w:val="正文文本 3 字符1"/>
    <w:basedOn w:val="48"/>
    <w:semiHidden/>
    <w:qFormat/>
    <w:uiPriority w:val="99"/>
    <w:rPr>
      <w:rFonts w:ascii="Times New Roman" w:hAnsi="Times New Roman" w:eastAsia="宋体" w:cs="Times New Roman"/>
      <w:sz w:val="16"/>
      <w:szCs w:val="16"/>
    </w:rPr>
  </w:style>
  <w:style w:type="character" w:customStyle="1" w:styleId="167">
    <w:name w:val="称呼 字符1"/>
    <w:basedOn w:val="48"/>
    <w:semiHidden/>
    <w:qFormat/>
    <w:uiPriority w:val="99"/>
    <w:rPr>
      <w:rFonts w:ascii="Times New Roman" w:hAnsi="Times New Roman" w:eastAsia="宋体" w:cs="Times New Roman"/>
      <w:szCs w:val="24"/>
    </w:rPr>
  </w:style>
  <w:style w:type="character" w:customStyle="1" w:styleId="168">
    <w:name w:val="批注框文本 字符1"/>
    <w:basedOn w:val="48"/>
    <w:semiHidden/>
    <w:qFormat/>
    <w:uiPriority w:val="99"/>
    <w:rPr>
      <w:rFonts w:ascii="Times New Roman" w:hAnsi="Times New Roman" w:eastAsia="宋体" w:cs="Times New Roman"/>
      <w:sz w:val="18"/>
      <w:szCs w:val="18"/>
    </w:rPr>
  </w:style>
  <w:style w:type="character" w:customStyle="1" w:styleId="169">
    <w:name w:val="正文文本缩进 3 字符1"/>
    <w:basedOn w:val="48"/>
    <w:semiHidden/>
    <w:qFormat/>
    <w:uiPriority w:val="99"/>
    <w:rPr>
      <w:rFonts w:ascii="Times New Roman" w:hAnsi="Times New Roman" w:eastAsia="宋体" w:cs="Times New Roman"/>
      <w:sz w:val="16"/>
      <w:szCs w:val="16"/>
    </w:rPr>
  </w:style>
  <w:style w:type="character" w:customStyle="1" w:styleId="170">
    <w:name w:val="文档结构图 字符1"/>
    <w:basedOn w:val="48"/>
    <w:semiHidden/>
    <w:qFormat/>
    <w:uiPriority w:val="99"/>
    <w:rPr>
      <w:rFonts w:ascii="Microsoft YaHei UI" w:hAnsi="Times New Roman" w:eastAsia="Microsoft YaHei UI" w:cs="Times New Roman"/>
      <w:sz w:val="18"/>
      <w:szCs w:val="18"/>
    </w:rPr>
  </w:style>
  <w:style w:type="character" w:customStyle="1" w:styleId="171">
    <w:name w:val="日期 字符1"/>
    <w:basedOn w:val="48"/>
    <w:semiHidden/>
    <w:qFormat/>
    <w:uiPriority w:val="99"/>
    <w:rPr>
      <w:rFonts w:ascii="Times New Roman" w:hAnsi="Times New Roman" w:eastAsia="宋体" w:cs="Times New Roman"/>
      <w:szCs w:val="24"/>
    </w:rPr>
  </w:style>
  <w:style w:type="character" w:customStyle="1" w:styleId="172">
    <w:name w:val="正文文本 字符1"/>
    <w:basedOn w:val="48"/>
    <w:semiHidden/>
    <w:qFormat/>
    <w:uiPriority w:val="99"/>
    <w:rPr>
      <w:rFonts w:ascii="Times New Roman" w:hAnsi="Times New Roman" w:eastAsia="宋体" w:cs="Times New Roman"/>
      <w:szCs w:val="24"/>
    </w:rPr>
  </w:style>
  <w:style w:type="character" w:customStyle="1" w:styleId="173">
    <w:name w:val="批注文字 字符1"/>
    <w:basedOn w:val="48"/>
    <w:semiHidden/>
    <w:qFormat/>
    <w:uiPriority w:val="99"/>
    <w:rPr>
      <w:rFonts w:ascii="Times New Roman" w:hAnsi="Times New Roman" w:eastAsia="宋体" w:cs="Times New Roman"/>
      <w:szCs w:val="24"/>
    </w:rPr>
  </w:style>
  <w:style w:type="character" w:customStyle="1" w:styleId="174">
    <w:name w:val="HTML 预设格式 字符1"/>
    <w:basedOn w:val="48"/>
    <w:semiHidden/>
    <w:qFormat/>
    <w:uiPriority w:val="99"/>
    <w:rPr>
      <w:rFonts w:ascii="Courier New" w:hAnsi="Courier New" w:eastAsia="宋体" w:cs="Courier New"/>
      <w:sz w:val="20"/>
      <w:szCs w:val="20"/>
    </w:rPr>
  </w:style>
  <w:style w:type="character" w:customStyle="1" w:styleId="175">
    <w:name w:val="正文文本首行缩进 字符"/>
    <w:basedOn w:val="172"/>
    <w:link w:val="45"/>
    <w:qFormat/>
    <w:uiPriority w:val="0"/>
    <w:rPr>
      <w:rFonts w:ascii="Times New Roman" w:hAnsi="Times New Roman" w:eastAsia="宋体" w:cs="Times New Roman"/>
      <w:szCs w:val="24"/>
    </w:rPr>
  </w:style>
  <w:style w:type="character" w:customStyle="1" w:styleId="176">
    <w:name w:val="正文文本 2 字符1"/>
    <w:basedOn w:val="48"/>
    <w:semiHidden/>
    <w:qFormat/>
    <w:uiPriority w:val="99"/>
    <w:rPr>
      <w:rFonts w:ascii="Times New Roman" w:hAnsi="Times New Roman" w:eastAsia="宋体" w:cs="Times New Roman"/>
      <w:szCs w:val="24"/>
    </w:rPr>
  </w:style>
  <w:style w:type="character" w:customStyle="1" w:styleId="177">
    <w:name w:val="副标题 字符1"/>
    <w:basedOn w:val="48"/>
    <w:qFormat/>
    <w:uiPriority w:val="11"/>
    <w:rPr>
      <w:b/>
      <w:bCs/>
      <w:kern w:val="28"/>
      <w:sz w:val="32"/>
      <w:szCs w:val="32"/>
    </w:rPr>
  </w:style>
  <w:style w:type="character" w:customStyle="1" w:styleId="178">
    <w:name w:val="批注主题 字符1"/>
    <w:basedOn w:val="173"/>
    <w:semiHidden/>
    <w:qFormat/>
    <w:uiPriority w:val="99"/>
    <w:rPr>
      <w:rFonts w:ascii="Times New Roman" w:hAnsi="Times New Roman" w:eastAsia="宋体" w:cs="Times New Roman"/>
      <w:b/>
      <w:bCs/>
      <w:szCs w:val="24"/>
    </w:rPr>
  </w:style>
  <w:style w:type="character" w:customStyle="1" w:styleId="179">
    <w:name w:val="标题 字符1"/>
    <w:basedOn w:val="48"/>
    <w:qFormat/>
    <w:uiPriority w:val="10"/>
    <w:rPr>
      <w:rFonts w:asciiTheme="majorHAnsi" w:hAnsiTheme="majorHAnsi" w:eastAsiaTheme="majorEastAsia" w:cstheme="majorBidi"/>
      <w:b/>
      <w:bCs/>
      <w:sz w:val="32"/>
      <w:szCs w:val="32"/>
    </w:rPr>
  </w:style>
  <w:style w:type="character" w:customStyle="1" w:styleId="180">
    <w:name w:val="纯文本 字符1"/>
    <w:basedOn w:val="48"/>
    <w:semiHidden/>
    <w:qFormat/>
    <w:uiPriority w:val="99"/>
    <w:rPr>
      <w:rFonts w:hAnsi="Courier New" w:cs="Courier New" w:asciiTheme="minorEastAsia"/>
      <w:szCs w:val="24"/>
    </w:rPr>
  </w:style>
  <w:style w:type="paragraph" w:customStyle="1" w:styleId="181">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2">
    <w:name w:val="Char Char Char"/>
    <w:basedOn w:val="1"/>
    <w:qFormat/>
    <w:uiPriority w:val="0"/>
    <w:rPr>
      <w:rFonts w:ascii="宋体" w:hAnsi="宋体"/>
      <w:b/>
      <w:sz w:val="28"/>
      <w:szCs w:val="28"/>
    </w:rPr>
  </w:style>
  <w:style w:type="paragraph" w:customStyle="1" w:styleId="183">
    <w:name w:val="Style29"/>
    <w:basedOn w:val="1"/>
    <w:unhideWhenUsed/>
    <w:qFormat/>
    <w:uiPriority w:val="0"/>
    <w:pPr>
      <w:spacing w:line="547" w:lineRule="exact"/>
      <w:ind w:firstLine="547"/>
    </w:pPr>
  </w:style>
  <w:style w:type="paragraph" w:customStyle="1" w:styleId="184">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5">
    <w:name w:val="Style13"/>
    <w:basedOn w:val="1"/>
    <w:unhideWhenUsed/>
    <w:qFormat/>
    <w:uiPriority w:val="0"/>
  </w:style>
  <w:style w:type="paragraph" w:customStyle="1" w:styleId="18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7">
    <w:name w:val="正文缩进2"/>
    <w:basedOn w:val="1"/>
    <w:qFormat/>
    <w:uiPriority w:val="0"/>
    <w:pPr>
      <w:tabs>
        <w:tab w:val="left" w:pos="720"/>
      </w:tabs>
      <w:ind w:left="624" w:hanging="624"/>
      <w:textAlignment w:val="baseline"/>
    </w:pPr>
    <w:rPr>
      <w:rFonts w:hint="eastAsia" w:ascii="宋体"/>
    </w:rPr>
  </w:style>
  <w:style w:type="paragraph" w:customStyle="1" w:styleId="188">
    <w:name w:val="Style23"/>
    <w:basedOn w:val="1"/>
    <w:unhideWhenUsed/>
    <w:qFormat/>
    <w:uiPriority w:val="0"/>
  </w:style>
  <w:style w:type="paragraph" w:customStyle="1" w:styleId="189">
    <w:name w:val="Style81"/>
    <w:basedOn w:val="1"/>
    <w:unhideWhenUsed/>
    <w:qFormat/>
    <w:uiPriority w:val="0"/>
    <w:pPr>
      <w:spacing w:line="547" w:lineRule="exact"/>
    </w:pPr>
  </w:style>
  <w:style w:type="paragraph" w:customStyle="1" w:styleId="190">
    <w:name w:val="Style73"/>
    <w:basedOn w:val="1"/>
    <w:unhideWhenUsed/>
    <w:qFormat/>
    <w:uiPriority w:val="0"/>
    <w:pPr>
      <w:spacing w:line="538" w:lineRule="exact"/>
      <w:ind w:firstLine="533"/>
    </w:pPr>
  </w:style>
  <w:style w:type="paragraph" w:customStyle="1" w:styleId="191">
    <w:name w:val="Style47"/>
    <w:basedOn w:val="1"/>
    <w:unhideWhenUsed/>
    <w:qFormat/>
    <w:uiPriority w:val="0"/>
  </w:style>
  <w:style w:type="paragraph" w:customStyle="1" w:styleId="192">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3">
    <w:name w:val="Style77"/>
    <w:basedOn w:val="1"/>
    <w:unhideWhenUsed/>
    <w:qFormat/>
    <w:uiPriority w:val="0"/>
  </w:style>
  <w:style w:type="paragraph" w:customStyle="1" w:styleId="194">
    <w:name w:val="Style8"/>
    <w:basedOn w:val="1"/>
    <w:unhideWhenUsed/>
    <w:qFormat/>
    <w:uiPriority w:val="0"/>
    <w:pPr>
      <w:spacing w:line="566" w:lineRule="exact"/>
      <w:jc w:val="center"/>
    </w:pPr>
  </w:style>
  <w:style w:type="paragraph" w:customStyle="1" w:styleId="195">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6">
    <w:name w:val="Char1 Char Char Char Char Char Char Char Char Char"/>
    <w:basedOn w:val="1"/>
    <w:qFormat/>
    <w:uiPriority w:val="0"/>
    <w:rPr>
      <w:szCs w:val="20"/>
    </w:rPr>
  </w:style>
  <w:style w:type="paragraph" w:customStyle="1" w:styleId="197">
    <w:name w:val="_Style 1"/>
    <w:basedOn w:val="1"/>
    <w:qFormat/>
    <w:uiPriority w:val="34"/>
    <w:pPr>
      <w:ind w:firstLine="420" w:firstLineChars="200"/>
    </w:pPr>
    <w:rPr>
      <w:rFonts w:ascii="Calibri" w:hAnsi="Calibri" w:cs="黑体"/>
    </w:rPr>
  </w:style>
  <w:style w:type="paragraph" w:customStyle="1" w:styleId="198">
    <w:name w:val="_Style 39"/>
    <w:basedOn w:val="199"/>
    <w:qFormat/>
    <w:uiPriority w:val="0"/>
  </w:style>
  <w:style w:type="paragraph" w:customStyle="1" w:styleId="19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Style24"/>
    <w:basedOn w:val="1"/>
    <w:unhideWhenUsed/>
    <w:qFormat/>
    <w:uiPriority w:val="0"/>
  </w:style>
  <w:style w:type="paragraph" w:customStyle="1" w:styleId="201">
    <w:name w:val="Style34"/>
    <w:basedOn w:val="1"/>
    <w:unhideWhenUsed/>
    <w:qFormat/>
    <w:uiPriority w:val="0"/>
    <w:pPr>
      <w:spacing w:line="375" w:lineRule="exact"/>
    </w:pPr>
  </w:style>
  <w:style w:type="paragraph" w:customStyle="1" w:styleId="20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3">
    <w:name w:val="Style69"/>
    <w:basedOn w:val="1"/>
    <w:unhideWhenUsed/>
    <w:qFormat/>
    <w:uiPriority w:val="0"/>
    <w:pPr>
      <w:spacing w:line="557" w:lineRule="exact"/>
      <w:ind w:firstLine="1666"/>
    </w:pPr>
  </w:style>
  <w:style w:type="paragraph" w:customStyle="1" w:styleId="204">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5">
    <w:name w:val="表格内容"/>
    <w:basedOn w:val="19"/>
    <w:qFormat/>
    <w:uiPriority w:val="0"/>
    <w:pPr>
      <w:suppressLineNumbers/>
      <w:suppressAutoHyphens/>
      <w:jc w:val="left"/>
    </w:pPr>
    <w:rPr>
      <w:rFonts w:cs="Tahoma"/>
      <w:kern w:val="0"/>
      <w:sz w:val="24"/>
    </w:rPr>
  </w:style>
  <w:style w:type="paragraph" w:customStyle="1" w:styleId="206">
    <w:name w:val="Style54"/>
    <w:basedOn w:val="1"/>
    <w:unhideWhenUsed/>
    <w:qFormat/>
    <w:uiPriority w:val="0"/>
  </w:style>
  <w:style w:type="paragraph" w:customStyle="1" w:styleId="207">
    <w:name w:val="标题 31"/>
    <w:basedOn w:val="1"/>
    <w:next w:val="208"/>
    <w:qFormat/>
    <w:uiPriority w:val="0"/>
    <w:pPr>
      <w:spacing w:before="60" w:line="300" w:lineRule="auto"/>
      <w:outlineLvl w:val="2"/>
    </w:pPr>
    <w:rPr>
      <w:rFonts w:ascii="宋体" w:hAnsi="宋体"/>
      <w:snapToGrid w:val="0"/>
      <w:kern w:val="0"/>
      <w:sz w:val="24"/>
    </w:rPr>
  </w:style>
  <w:style w:type="paragraph" w:customStyle="1" w:styleId="208">
    <w:name w:val="正文缩进3"/>
    <w:basedOn w:val="1"/>
    <w:qFormat/>
    <w:uiPriority w:val="0"/>
    <w:pPr>
      <w:tabs>
        <w:tab w:val="left" w:pos="720"/>
      </w:tabs>
      <w:ind w:left="624" w:hanging="624"/>
      <w:textAlignment w:val="baseline"/>
    </w:pPr>
    <w:rPr>
      <w:rFonts w:hint="eastAsia" w:ascii="宋体"/>
    </w:rPr>
  </w:style>
  <w:style w:type="paragraph" w:customStyle="1" w:styleId="209">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0">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211">
    <w:name w:val="Style21"/>
    <w:basedOn w:val="1"/>
    <w:unhideWhenUsed/>
    <w:qFormat/>
    <w:uiPriority w:val="0"/>
    <w:pPr>
      <w:spacing w:line="566" w:lineRule="exact"/>
      <w:ind w:firstLine="682"/>
    </w:pPr>
  </w:style>
  <w:style w:type="paragraph" w:customStyle="1" w:styleId="212">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3">
    <w:name w:val="Style12"/>
    <w:basedOn w:val="1"/>
    <w:unhideWhenUsed/>
    <w:qFormat/>
    <w:uiPriority w:val="0"/>
    <w:pPr>
      <w:spacing w:line="564" w:lineRule="exact"/>
      <w:ind w:hanging="115"/>
    </w:pPr>
  </w:style>
  <w:style w:type="paragraph" w:customStyle="1" w:styleId="214">
    <w:name w:val="Style58"/>
    <w:basedOn w:val="1"/>
    <w:unhideWhenUsed/>
    <w:qFormat/>
    <w:uiPriority w:val="0"/>
    <w:pPr>
      <w:spacing w:line="413" w:lineRule="exact"/>
    </w:pPr>
  </w:style>
  <w:style w:type="paragraph" w:customStyle="1" w:styleId="215">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6">
    <w:name w:val="默认段落字体 Para Char Char Char Char Char Char Char Char Char Char Char Char Char Char Char Char Char Char Char"/>
    <w:basedOn w:val="1"/>
    <w:qFormat/>
    <w:uiPriority w:val="0"/>
  </w:style>
  <w:style w:type="paragraph" w:customStyle="1" w:styleId="217">
    <w:name w:val="p16"/>
    <w:basedOn w:val="1"/>
    <w:qFormat/>
    <w:uiPriority w:val="0"/>
    <w:pPr>
      <w:widowControl/>
      <w:jc w:val="left"/>
    </w:pPr>
    <w:rPr>
      <w:kern w:val="0"/>
      <w:szCs w:val="21"/>
    </w:rPr>
  </w:style>
  <w:style w:type="paragraph" w:customStyle="1" w:styleId="218">
    <w:name w:val="Char Char1 Char Char Char"/>
    <w:basedOn w:val="1"/>
    <w:qFormat/>
    <w:uiPriority w:val="0"/>
    <w:rPr>
      <w:kern w:val="0"/>
      <w:sz w:val="20"/>
      <w:szCs w:val="20"/>
    </w:rPr>
  </w:style>
  <w:style w:type="paragraph" w:customStyle="1" w:styleId="219">
    <w:name w:val="Style42"/>
    <w:basedOn w:val="1"/>
    <w:unhideWhenUsed/>
    <w:qFormat/>
    <w:uiPriority w:val="0"/>
    <w:pPr>
      <w:spacing w:line="542" w:lineRule="exact"/>
      <w:ind w:firstLine="547"/>
    </w:pPr>
  </w:style>
  <w:style w:type="paragraph" w:customStyle="1" w:styleId="220">
    <w:name w:val="Style11"/>
    <w:basedOn w:val="1"/>
    <w:unhideWhenUsed/>
    <w:qFormat/>
    <w:uiPriority w:val="0"/>
    <w:pPr>
      <w:spacing w:line="559" w:lineRule="exact"/>
      <w:ind w:firstLine="590"/>
    </w:pPr>
  </w:style>
  <w:style w:type="paragraph" w:customStyle="1" w:styleId="221">
    <w:name w:val="Style27"/>
    <w:basedOn w:val="1"/>
    <w:unhideWhenUsed/>
    <w:qFormat/>
    <w:uiPriority w:val="0"/>
  </w:style>
  <w:style w:type="paragraph" w:customStyle="1" w:styleId="222">
    <w:name w:val="1"/>
    <w:basedOn w:val="1"/>
    <w:qFormat/>
    <w:uiPriority w:val="0"/>
    <w:pPr>
      <w:spacing w:afterLines="50" w:line="360" w:lineRule="auto"/>
    </w:pPr>
    <w:rPr>
      <w:rFonts w:ascii="宋体" w:hAnsi="宋体"/>
      <w:b/>
      <w:sz w:val="30"/>
      <w:szCs w:val="21"/>
    </w:rPr>
  </w:style>
  <w:style w:type="paragraph" w:customStyle="1" w:styleId="223">
    <w:name w:val="标题 311"/>
    <w:basedOn w:val="1"/>
    <w:next w:val="224"/>
    <w:qFormat/>
    <w:uiPriority w:val="0"/>
    <w:pPr>
      <w:spacing w:line="300" w:lineRule="auto"/>
      <w:outlineLvl w:val="2"/>
    </w:pPr>
    <w:rPr>
      <w:rFonts w:hint="eastAsia" w:ascii="宋体" w:hAnsi="宋体"/>
      <w:snapToGrid w:val="0"/>
      <w:kern w:val="0"/>
      <w:sz w:val="24"/>
      <w:szCs w:val="22"/>
    </w:rPr>
  </w:style>
  <w:style w:type="paragraph" w:customStyle="1" w:styleId="224">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5">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6">
    <w:name w:val="Style68"/>
    <w:basedOn w:val="1"/>
    <w:unhideWhenUsed/>
    <w:qFormat/>
    <w:uiPriority w:val="0"/>
    <w:pPr>
      <w:spacing w:line="547" w:lineRule="exact"/>
    </w:pPr>
  </w:style>
  <w:style w:type="paragraph" w:customStyle="1" w:styleId="227">
    <w:name w:val="Char1 Char Char Char"/>
    <w:basedOn w:val="1"/>
    <w:qFormat/>
    <w:uiPriority w:val="0"/>
    <w:pPr>
      <w:widowControl/>
      <w:spacing w:after="160" w:line="240" w:lineRule="exact"/>
      <w:jc w:val="left"/>
    </w:pPr>
    <w:rPr>
      <w:kern w:val="0"/>
      <w:sz w:val="24"/>
      <w:szCs w:val="20"/>
    </w:rPr>
  </w:style>
  <w:style w:type="paragraph" w:customStyle="1" w:styleId="228">
    <w:name w:val="Style46"/>
    <w:basedOn w:val="1"/>
    <w:unhideWhenUsed/>
    <w:qFormat/>
    <w:uiPriority w:val="0"/>
    <w:pPr>
      <w:spacing w:line="672" w:lineRule="exact"/>
    </w:pPr>
  </w:style>
  <w:style w:type="paragraph" w:customStyle="1" w:styleId="229">
    <w:name w:val="Style67"/>
    <w:basedOn w:val="1"/>
    <w:unhideWhenUsed/>
    <w:qFormat/>
    <w:uiPriority w:val="0"/>
    <w:pPr>
      <w:spacing w:line="566" w:lineRule="exact"/>
      <w:ind w:firstLine="552"/>
    </w:pPr>
  </w:style>
  <w:style w:type="paragraph" w:customStyle="1" w:styleId="230">
    <w:name w:val="Char1 Char Char Char 字元 Char Char 字元 Char 字元 Char1 Char Char Char"/>
    <w:basedOn w:val="1"/>
    <w:qFormat/>
    <w:uiPriority w:val="0"/>
    <w:rPr>
      <w:szCs w:val="20"/>
    </w:rPr>
  </w:style>
  <w:style w:type="paragraph" w:customStyle="1" w:styleId="231">
    <w:name w:val="Style50"/>
    <w:basedOn w:val="1"/>
    <w:unhideWhenUsed/>
    <w:qFormat/>
    <w:uiPriority w:val="0"/>
  </w:style>
  <w:style w:type="paragraph" w:customStyle="1" w:styleId="232">
    <w:name w:val="Style41"/>
    <w:basedOn w:val="1"/>
    <w:unhideWhenUsed/>
    <w:qFormat/>
    <w:uiPriority w:val="0"/>
    <w:pPr>
      <w:spacing w:line="542" w:lineRule="exact"/>
      <w:ind w:firstLine="125"/>
    </w:pPr>
  </w:style>
  <w:style w:type="paragraph" w:customStyle="1" w:styleId="233">
    <w:name w:val="Style62"/>
    <w:basedOn w:val="1"/>
    <w:unhideWhenUsed/>
    <w:qFormat/>
    <w:uiPriority w:val="0"/>
  </w:style>
  <w:style w:type="paragraph" w:customStyle="1" w:styleId="234">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5">
    <w:name w:val="Style5"/>
    <w:basedOn w:val="1"/>
    <w:unhideWhenUsed/>
    <w:qFormat/>
    <w:uiPriority w:val="0"/>
  </w:style>
  <w:style w:type="paragraph" w:customStyle="1" w:styleId="236">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7">
    <w:name w:val="Style15"/>
    <w:basedOn w:val="1"/>
    <w:unhideWhenUsed/>
    <w:qFormat/>
    <w:uiPriority w:val="0"/>
    <w:pPr>
      <w:spacing w:line="557" w:lineRule="exact"/>
      <w:ind w:firstLine="672"/>
    </w:pPr>
  </w:style>
  <w:style w:type="paragraph" w:customStyle="1" w:styleId="238">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39">
    <w:name w:val="列出段落1"/>
    <w:basedOn w:val="1"/>
    <w:qFormat/>
    <w:uiPriority w:val="99"/>
    <w:pPr>
      <w:ind w:firstLine="420" w:firstLineChars="200"/>
    </w:pPr>
    <w:rPr>
      <w:rFonts w:ascii="Calibri" w:hAnsi="Calibri" w:cs="Calibri"/>
      <w:szCs w:val="21"/>
    </w:rPr>
  </w:style>
  <w:style w:type="paragraph" w:customStyle="1" w:styleId="24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1">
    <w:name w:val="Style44"/>
    <w:basedOn w:val="1"/>
    <w:unhideWhenUsed/>
    <w:qFormat/>
    <w:uiPriority w:val="0"/>
  </w:style>
  <w:style w:type="paragraph" w:customStyle="1" w:styleId="242">
    <w:name w:val="Char Char1 Char Char Char Char Char1 Char Char Char Char"/>
    <w:basedOn w:val="14"/>
    <w:qFormat/>
    <w:uiPriority w:val="0"/>
    <w:rPr>
      <w:rFonts w:ascii="Tahoma" w:hAnsi="Tahoma"/>
    </w:rPr>
  </w:style>
  <w:style w:type="paragraph" w:customStyle="1" w:styleId="243">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4">
    <w:name w:val="标题2"/>
    <w:basedOn w:val="43"/>
    <w:qFormat/>
    <w:uiPriority w:val="0"/>
    <w:pPr>
      <w:spacing w:after="240"/>
      <w:jc w:val="left"/>
    </w:pPr>
    <w:rPr>
      <w:sz w:val="30"/>
    </w:rPr>
  </w:style>
  <w:style w:type="paragraph" w:customStyle="1" w:styleId="245">
    <w:name w:val="Style52"/>
    <w:basedOn w:val="1"/>
    <w:unhideWhenUsed/>
    <w:qFormat/>
    <w:uiPriority w:val="0"/>
    <w:pPr>
      <w:spacing w:line="682" w:lineRule="exact"/>
      <w:ind w:firstLine="557"/>
    </w:pPr>
  </w:style>
  <w:style w:type="paragraph" w:customStyle="1" w:styleId="246">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7">
    <w:name w:val="Style53"/>
    <w:basedOn w:val="1"/>
    <w:unhideWhenUsed/>
    <w:qFormat/>
    <w:uiPriority w:val="0"/>
    <w:pPr>
      <w:spacing w:line="533" w:lineRule="exact"/>
      <w:ind w:firstLine="581"/>
    </w:pPr>
  </w:style>
  <w:style w:type="paragraph" w:customStyle="1" w:styleId="248">
    <w:name w:val="Style56"/>
    <w:basedOn w:val="1"/>
    <w:unhideWhenUsed/>
    <w:qFormat/>
    <w:uiPriority w:val="0"/>
  </w:style>
  <w:style w:type="paragraph" w:customStyle="1" w:styleId="249">
    <w:name w:val="Style9"/>
    <w:basedOn w:val="1"/>
    <w:unhideWhenUsed/>
    <w:qFormat/>
    <w:uiPriority w:val="0"/>
  </w:style>
  <w:style w:type="paragraph" w:customStyle="1" w:styleId="250">
    <w:name w:val="列出段落2"/>
    <w:basedOn w:val="1"/>
    <w:qFormat/>
    <w:uiPriority w:val="0"/>
    <w:pPr>
      <w:ind w:firstLine="420" w:firstLineChars="200"/>
    </w:pPr>
    <w:rPr>
      <w:rFonts w:ascii="Calibri" w:hAnsi="Calibri"/>
      <w:szCs w:val="22"/>
    </w:rPr>
  </w:style>
  <w:style w:type="paragraph" w:customStyle="1" w:styleId="251">
    <w:name w:val="1 Char Char Char Char"/>
    <w:basedOn w:val="1"/>
    <w:qFormat/>
    <w:uiPriority w:val="0"/>
  </w:style>
  <w:style w:type="paragraph" w:customStyle="1" w:styleId="252">
    <w:name w:val="标题 1 +"/>
    <w:basedOn w:val="3"/>
    <w:next w:val="1"/>
    <w:qFormat/>
    <w:uiPriority w:val="0"/>
    <w:pPr>
      <w:keepLines/>
      <w:spacing w:line="600" w:lineRule="auto"/>
    </w:pPr>
    <w:rPr>
      <w:rFonts w:eastAsia="黑体"/>
      <w:sz w:val="32"/>
      <w:szCs w:val="32"/>
    </w:rPr>
  </w:style>
  <w:style w:type="paragraph" w:customStyle="1" w:styleId="253">
    <w:name w:val="Style59"/>
    <w:basedOn w:val="1"/>
    <w:unhideWhenUsed/>
    <w:qFormat/>
    <w:uiPriority w:val="0"/>
  </w:style>
  <w:style w:type="paragraph" w:customStyle="1" w:styleId="254">
    <w:name w:val="标题 41"/>
    <w:basedOn w:val="1"/>
    <w:next w:val="224"/>
    <w:qFormat/>
    <w:uiPriority w:val="0"/>
    <w:pPr>
      <w:tabs>
        <w:tab w:val="left" w:pos="1021"/>
        <w:tab w:val="left" w:pos="1175"/>
      </w:tabs>
      <w:ind w:left="2" w:firstLine="2"/>
      <w:outlineLvl w:val="3"/>
    </w:pPr>
    <w:rPr>
      <w:snapToGrid w:val="0"/>
      <w:color w:val="000000"/>
      <w:kern w:val="0"/>
      <w:sz w:val="24"/>
      <w:szCs w:val="22"/>
    </w:rPr>
  </w:style>
  <w:style w:type="paragraph" w:customStyle="1" w:styleId="255">
    <w:name w:val="Style16"/>
    <w:basedOn w:val="1"/>
    <w:unhideWhenUsed/>
    <w:qFormat/>
    <w:uiPriority w:val="0"/>
    <w:pPr>
      <w:jc w:val="right"/>
    </w:pPr>
  </w:style>
  <w:style w:type="paragraph" w:customStyle="1" w:styleId="256">
    <w:name w:val="Style4"/>
    <w:basedOn w:val="1"/>
    <w:unhideWhenUsed/>
    <w:qFormat/>
    <w:uiPriority w:val="0"/>
  </w:style>
  <w:style w:type="paragraph" w:customStyle="1" w:styleId="257">
    <w:name w:val="Style63"/>
    <w:basedOn w:val="1"/>
    <w:unhideWhenUsed/>
    <w:qFormat/>
    <w:uiPriority w:val="0"/>
    <w:pPr>
      <w:spacing w:line="564" w:lineRule="exact"/>
      <w:ind w:firstLine="682"/>
    </w:pPr>
  </w:style>
  <w:style w:type="paragraph" w:customStyle="1" w:styleId="258">
    <w:name w:val="标题3"/>
    <w:basedOn w:val="3"/>
    <w:qFormat/>
    <w:uiPriority w:val="0"/>
    <w:pPr>
      <w:spacing w:beforeLines="50" w:afterLines="50" w:line="400" w:lineRule="exact"/>
      <w:jc w:val="both"/>
    </w:pPr>
    <w:rPr>
      <w:rFonts w:ascii="宋体" w:hAnsi="宋体"/>
      <w:kern w:val="32"/>
      <w:szCs w:val="32"/>
    </w:rPr>
  </w:style>
  <w:style w:type="paragraph" w:customStyle="1" w:styleId="259">
    <w:name w:val="Style26"/>
    <w:basedOn w:val="1"/>
    <w:unhideWhenUsed/>
    <w:qFormat/>
    <w:uiPriority w:val="0"/>
  </w:style>
  <w:style w:type="paragraph" w:customStyle="1" w:styleId="260">
    <w:name w:val="Style64"/>
    <w:basedOn w:val="1"/>
    <w:unhideWhenUsed/>
    <w:qFormat/>
    <w:uiPriority w:val="0"/>
  </w:style>
  <w:style w:type="paragraph" w:customStyle="1" w:styleId="261">
    <w:name w:val="Style48"/>
    <w:basedOn w:val="1"/>
    <w:unhideWhenUsed/>
    <w:qFormat/>
    <w:uiPriority w:val="0"/>
    <w:pPr>
      <w:spacing w:line="542" w:lineRule="exact"/>
      <w:jc w:val="right"/>
    </w:pPr>
  </w:style>
  <w:style w:type="paragraph" w:customStyle="1" w:styleId="262">
    <w:name w:val="Style70"/>
    <w:basedOn w:val="1"/>
    <w:unhideWhenUsed/>
    <w:qFormat/>
    <w:uiPriority w:val="0"/>
    <w:pPr>
      <w:spacing w:line="549" w:lineRule="exact"/>
      <w:ind w:firstLine="686"/>
    </w:pPr>
  </w:style>
  <w:style w:type="paragraph" w:customStyle="1" w:styleId="263">
    <w:name w:val="Style78"/>
    <w:basedOn w:val="1"/>
    <w:unhideWhenUsed/>
    <w:qFormat/>
    <w:uiPriority w:val="0"/>
  </w:style>
  <w:style w:type="paragraph" w:customStyle="1" w:styleId="264">
    <w:name w:val="Style60"/>
    <w:basedOn w:val="1"/>
    <w:unhideWhenUsed/>
    <w:qFormat/>
    <w:uiPriority w:val="0"/>
    <w:pPr>
      <w:spacing w:line="566" w:lineRule="exact"/>
    </w:pPr>
  </w:style>
  <w:style w:type="paragraph" w:customStyle="1" w:styleId="265">
    <w:name w:val="NO3"/>
    <w:basedOn w:val="1"/>
    <w:qFormat/>
    <w:uiPriority w:val="0"/>
    <w:pPr>
      <w:tabs>
        <w:tab w:val="left" w:pos="907"/>
      </w:tabs>
      <w:spacing w:line="360" w:lineRule="auto"/>
    </w:pPr>
    <w:rPr>
      <w:rFonts w:ascii="宋体" w:hAnsi="宋体"/>
      <w:sz w:val="24"/>
    </w:rPr>
  </w:style>
  <w:style w:type="paragraph" w:customStyle="1" w:styleId="266">
    <w:name w:val="Char"/>
    <w:basedOn w:val="1"/>
    <w:qFormat/>
    <w:uiPriority w:val="0"/>
    <w:pPr>
      <w:tabs>
        <w:tab w:val="left" w:pos="360"/>
      </w:tabs>
      <w:ind w:left="360" w:hanging="360" w:hangingChars="200"/>
    </w:pPr>
    <w:rPr>
      <w:sz w:val="24"/>
    </w:rPr>
  </w:style>
  <w:style w:type="paragraph" w:customStyle="1" w:styleId="267">
    <w:name w:val="附录标识"/>
    <w:basedOn w:val="209"/>
    <w:qFormat/>
    <w:uiPriority w:val="0"/>
    <w:pPr>
      <w:tabs>
        <w:tab w:val="left" w:pos="6405"/>
        <w:tab w:val="clear" w:pos="360"/>
        <w:tab w:val="clear" w:pos="720"/>
      </w:tabs>
      <w:spacing w:after="200"/>
    </w:pPr>
    <w:rPr>
      <w:sz w:val="21"/>
    </w:rPr>
  </w:style>
  <w:style w:type="paragraph" w:customStyle="1" w:styleId="268">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69">
    <w:name w:val="Style74"/>
    <w:basedOn w:val="1"/>
    <w:unhideWhenUsed/>
    <w:qFormat/>
    <w:uiPriority w:val="0"/>
    <w:pPr>
      <w:spacing w:line="437" w:lineRule="exact"/>
    </w:pPr>
  </w:style>
  <w:style w:type="paragraph" w:customStyle="1" w:styleId="270">
    <w:name w:val="Style36"/>
    <w:basedOn w:val="1"/>
    <w:unhideWhenUsed/>
    <w:qFormat/>
    <w:uiPriority w:val="0"/>
  </w:style>
  <w:style w:type="paragraph" w:customStyle="1" w:styleId="271">
    <w:name w:val="Style61"/>
    <w:basedOn w:val="1"/>
    <w:unhideWhenUsed/>
    <w:qFormat/>
    <w:uiPriority w:val="0"/>
  </w:style>
  <w:style w:type="paragraph" w:customStyle="1" w:styleId="272">
    <w:name w:val="标题 21"/>
    <w:basedOn w:val="1"/>
    <w:next w:val="224"/>
    <w:qFormat/>
    <w:uiPriority w:val="0"/>
    <w:pPr>
      <w:spacing w:line="300" w:lineRule="auto"/>
      <w:outlineLvl w:val="1"/>
    </w:pPr>
    <w:rPr>
      <w:rFonts w:hint="eastAsia" w:ascii="宋体" w:hAnsi="宋体"/>
      <w:b/>
      <w:snapToGrid w:val="0"/>
      <w:kern w:val="0"/>
      <w:sz w:val="28"/>
      <w:szCs w:val="22"/>
    </w:rPr>
  </w:style>
  <w:style w:type="paragraph" w:customStyle="1" w:styleId="273">
    <w:name w:val="Style76"/>
    <w:basedOn w:val="1"/>
    <w:unhideWhenUsed/>
    <w:qFormat/>
    <w:uiPriority w:val="0"/>
  </w:style>
  <w:style w:type="paragraph" w:customStyle="1" w:styleId="274">
    <w:name w:val="列表段落1"/>
    <w:basedOn w:val="1"/>
    <w:qFormat/>
    <w:uiPriority w:val="0"/>
    <w:pPr>
      <w:ind w:firstLine="420" w:firstLineChars="200"/>
    </w:pPr>
  </w:style>
  <w:style w:type="paragraph" w:customStyle="1" w:styleId="275">
    <w:name w:val="修订1"/>
    <w:qFormat/>
    <w:uiPriority w:val="0"/>
    <w:rPr>
      <w:rFonts w:ascii="Times New Roman" w:hAnsi="Times New Roman" w:eastAsia="宋体" w:cs="Times New Roman"/>
      <w:kern w:val="2"/>
      <w:sz w:val="21"/>
      <w:szCs w:val="24"/>
      <w:lang w:val="en-US" w:eastAsia="zh-CN" w:bidi="ar-SA"/>
    </w:rPr>
  </w:style>
  <w:style w:type="paragraph" w:customStyle="1" w:styleId="276">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7">
    <w:name w:val="_Style 7"/>
    <w:basedOn w:val="1"/>
    <w:qFormat/>
    <w:uiPriority w:val="0"/>
    <w:pPr>
      <w:ind w:firstLine="420" w:firstLineChars="200"/>
    </w:pPr>
    <w:rPr>
      <w:rFonts w:ascii="Calibri" w:hAnsi="Calibri" w:cs="黑体"/>
    </w:rPr>
  </w:style>
  <w:style w:type="paragraph" w:customStyle="1" w:styleId="278">
    <w:name w:val="Char Char1 Char Char Char Char Char Char Char"/>
    <w:basedOn w:val="1"/>
    <w:qFormat/>
    <w:uiPriority w:val="0"/>
    <w:pPr>
      <w:widowControl/>
      <w:spacing w:after="160" w:line="240" w:lineRule="exact"/>
      <w:jc w:val="left"/>
    </w:pPr>
  </w:style>
  <w:style w:type="paragraph" w:customStyle="1" w:styleId="27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1">
    <w:name w:val="Style10"/>
    <w:basedOn w:val="1"/>
    <w:unhideWhenUsed/>
    <w:qFormat/>
    <w:uiPriority w:val="0"/>
    <w:pPr>
      <w:spacing w:line="538" w:lineRule="exact"/>
    </w:pPr>
  </w:style>
  <w:style w:type="paragraph" w:customStyle="1" w:styleId="282">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3">
    <w:name w:val="Style72"/>
    <w:basedOn w:val="1"/>
    <w:unhideWhenUsed/>
    <w:qFormat/>
    <w:uiPriority w:val="0"/>
  </w:style>
  <w:style w:type="paragraph" w:customStyle="1" w:styleId="284">
    <w:name w:val="Style45"/>
    <w:basedOn w:val="1"/>
    <w:unhideWhenUsed/>
    <w:qFormat/>
    <w:uiPriority w:val="0"/>
  </w:style>
  <w:style w:type="paragraph" w:customStyle="1" w:styleId="285">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6">
    <w:name w:val="Style80"/>
    <w:basedOn w:val="1"/>
    <w:unhideWhenUsed/>
    <w:qFormat/>
    <w:uiPriority w:val="0"/>
  </w:style>
  <w:style w:type="paragraph" w:customStyle="1" w:styleId="287">
    <w:name w:val="Style71"/>
    <w:basedOn w:val="1"/>
    <w:unhideWhenUsed/>
    <w:qFormat/>
    <w:uiPriority w:val="0"/>
    <w:pPr>
      <w:spacing w:line="538" w:lineRule="exact"/>
      <w:ind w:firstLine="101"/>
    </w:pPr>
  </w:style>
  <w:style w:type="paragraph" w:customStyle="1" w:styleId="288">
    <w:name w:val="Style65"/>
    <w:basedOn w:val="1"/>
    <w:unhideWhenUsed/>
    <w:qFormat/>
    <w:uiPriority w:val="0"/>
  </w:style>
  <w:style w:type="paragraph" w:customStyle="1" w:styleId="289">
    <w:name w:val="Style28"/>
    <w:basedOn w:val="1"/>
    <w:unhideWhenUsed/>
    <w:qFormat/>
    <w:uiPriority w:val="0"/>
    <w:pPr>
      <w:spacing w:line="552" w:lineRule="exact"/>
      <w:ind w:firstLine="547"/>
    </w:pPr>
  </w:style>
  <w:style w:type="paragraph" w:customStyle="1" w:styleId="290">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1">
    <w:name w:val="标题 32"/>
    <w:basedOn w:val="1"/>
    <w:next w:val="187"/>
    <w:qFormat/>
    <w:uiPriority w:val="0"/>
    <w:pPr>
      <w:spacing w:before="60" w:line="300" w:lineRule="auto"/>
      <w:outlineLvl w:val="2"/>
    </w:pPr>
    <w:rPr>
      <w:rFonts w:hint="eastAsia" w:ascii="宋体" w:hAnsi="宋体" w:cs="黑体"/>
      <w:snapToGrid w:val="0"/>
      <w:kern w:val="0"/>
      <w:sz w:val="24"/>
      <w:szCs w:val="20"/>
    </w:rPr>
  </w:style>
  <w:style w:type="paragraph" w:customStyle="1" w:styleId="292">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3">
    <w:name w:val="正文缩进 字符"/>
    <w:link w:val="13"/>
    <w:qFormat/>
    <w:uiPriority w:val="0"/>
    <w:rPr>
      <w:rFonts w:ascii="Times New Roman" w:hAnsi="Times New Roman" w:eastAsia="宋体" w:cs="Times New Roman"/>
      <w:kern w:val="0"/>
      <w:sz w:val="20"/>
      <w:szCs w:val="20"/>
    </w:rPr>
  </w:style>
  <w:style w:type="character" w:customStyle="1" w:styleId="294">
    <w:name w:val="公文正文 Char Char"/>
    <w:link w:val="295"/>
    <w:qFormat/>
    <w:uiPriority w:val="0"/>
    <w:rPr>
      <w:rFonts w:ascii="仿宋_GB2312" w:hAnsi="Calisto MT" w:eastAsia="仿宋_GB2312"/>
      <w:color w:val="000000"/>
      <w:sz w:val="32"/>
    </w:rPr>
  </w:style>
  <w:style w:type="paragraph" w:customStyle="1" w:styleId="295">
    <w:name w:val="公文正文"/>
    <w:link w:val="294"/>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6">
    <w:name w:val="普通文字 Char Char"/>
    <w:qFormat/>
    <w:uiPriority w:val="0"/>
    <w:rPr>
      <w:rFonts w:ascii="宋体" w:hAnsi="Courier New" w:eastAsia="宋体"/>
      <w:kern w:val="2"/>
      <w:sz w:val="21"/>
      <w:lang w:val="en-US" w:eastAsia="zh-CN" w:bidi="ar-SA"/>
    </w:rPr>
  </w:style>
  <w:style w:type="character" w:customStyle="1" w:styleId="297">
    <w:name w:val="副标题 Char1"/>
    <w:qFormat/>
    <w:uiPriority w:val="0"/>
    <w:rPr>
      <w:rFonts w:ascii="Cambria" w:hAnsi="Cambria" w:cs="Times New Roman"/>
      <w:b/>
      <w:bCs/>
      <w:kern w:val="28"/>
      <w:sz w:val="32"/>
      <w:szCs w:val="32"/>
    </w:rPr>
  </w:style>
  <w:style w:type="character" w:customStyle="1" w:styleId="298">
    <w:name w:val="无间隔 字符"/>
    <w:link w:val="299"/>
    <w:qFormat/>
    <w:uiPriority w:val="1"/>
    <w:rPr>
      <w:rFonts w:ascii="Calibri" w:hAnsi="Calibri"/>
      <w:sz w:val="22"/>
      <w:szCs w:val="22"/>
    </w:rPr>
  </w:style>
  <w:style w:type="paragraph" w:styleId="299">
    <w:name w:val="No Spacing"/>
    <w:link w:val="298"/>
    <w:qFormat/>
    <w:uiPriority w:val="1"/>
    <w:rPr>
      <w:rFonts w:ascii="Calibri" w:hAnsi="Calibri" w:eastAsiaTheme="minorEastAsia" w:cstheme="minorBidi"/>
      <w:sz w:val="22"/>
      <w:szCs w:val="22"/>
      <w:lang w:val="en-US" w:eastAsia="zh-CN" w:bidi="ar-SA"/>
    </w:rPr>
  </w:style>
  <w:style w:type="character" w:customStyle="1" w:styleId="300">
    <w:name w:val="样式 样式 样式 标题 2标题 1.1第一层条第二层论文标题 1Para2Title1H2h22l2list + ch...1 ... Char Char"/>
    <w:link w:val="301"/>
    <w:qFormat/>
    <w:uiPriority w:val="0"/>
    <w:rPr>
      <w:rFonts w:ascii="Arial" w:hAnsi="Arial" w:cs="宋体"/>
      <w:b/>
      <w:color w:val="000000"/>
      <w:sz w:val="28"/>
      <w:szCs w:val="28"/>
    </w:rPr>
  </w:style>
  <w:style w:type="paragraph" w:customStyle="1" w:styleId="301">
    <w:name w:val="样式 样式 样式 标题 2标题 1.1第一层条第二层论文标题 1Para2Title1H2h22l2list + ch...1 ..."/>
    <w:basedOn w:val="302"/>
    <w:link w:val="300"/>
    <w:qFormat/>
    <w:uiPriority w:val="0"/>
    <w:pPr>
      <w:tabs>
        <w:tab w:val="left" w:pos="567"/>
        <w:tab w:val="left" w:pos="840"/>
        <w:tab w:val="left" w:pos="965"/>
      </w:tabs>
      <w:spacing w:beforeLines="0" w:afterLines="0"/>
      <w:ind w:left="965" w:right="105" w:hanging="425"/>
    </w:pPr>
    <w:rPr>
      <w:sz w:val="28"/>
      <w:szCs w:val="28"/>
    </w:rPr>
  </w:style>
  <w:style w:type="paragraph" w:customStyle="1" w:styleId="302">
    <w:name w:val="样式 样式 标题 2标题 1.1第一层条第二层论文标题 1Para2Title1H2h22l2list + ch...1 + 右...1"/>
    <w:basedOn w:val="303"/>
    <w:link w:val="315"/>
    <w:qFormat/>
    <w:uiPriority w:val="0"/>
    <w:pPr>
      <w:tabs>
        <w:tab w:val="left" w:pos="567"/>
        <w:tab w:val="left" w:pos="840"/>
      </w:tabs>
      <w:spacing w:beforeLines="50" w:afterLines="50"/>
      <w:ind w:left="576"/>
    </w:pPr>
  </w:style>
  <w:style w:type="paragraph" w:customStyle="1" w:styleId="303">
    <w:name w:val="样式 标题 2标题 1.1第一层条第二层论文标题 1Para2Title1H2h22l2list + ch...1"/>
    <w:basedOn w:val="4"/>
    <w:link w:val="316"/>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4">
    <w:name w:val="列表框1 Char Char"/>
    <w:link w:val="305"/>
    <w:qFormat/>
    <w:uiPriority w:val="0"/>
    <w:rPr>
      <w:rFonts w:ascii="Arial" w:hAnsi="Arial" w:eastAsia="楷体_GB2312" w:cs="Arial"/>
      <w:spacing w:val="10"/>
      <w:szCs w:val="24"/>
    </w:rPr>
  </w:style>
  <w:style w:type="paragraph" w:customStyle="1" w:styleId="305">
    <w:name w:val="列表框1"/>
    <w:basedOn w:val="306"/>
    <w:next w:val="306"/>
    <w:link w:val="304"/>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6">
    <w:name w:val="应答文本"/>
    <w:basedOn w:val="1"/>
    <w:link w:val="321"/>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7">
    <w:name w:val="普通文字 Char2"/>
    <w:qFormat/>
    <w:uiPriority w:val="0"/>
    <w:rPr>
      <w:rFonts w:ascii="宋体" w:hAnsi="Courier New" w:eastAsia="宋体"/>
      <w:kern w:val="2"/>
      <w:sz w:val="21"/>
      <w:lang w:val="en-US" w:eastAsia="zh-CN" w:bidi="ar-SA"/>
    </w:rPr>
  </w:style>
  <w:style w:type="character" w:customStyle="1" w:styleId="308">
    <w:name w:val="样式 标题 1标题 1 111121314151111211311611212213217113... Char Char"/>
    <w:link w:val="309"/>
    <w:qFormat/>
    <w:uiPriority w:val="0"/>
    <w:rPr>
      <w:rFonts w:ascii="宋体" w:hAnsi="宋体" w:eastAsia="黑体"/>
      <w:bCs/>
      <w:kern w:val="44"/>
      <w:sz w:val="48"/>
      <w:szCs w:val="32"/>
    </w:rPr>
  </w:style>
  <w:style w:type="paragraph" w:customStyle="1" w:styleId="309">
    <w:name w:val="样式 标题 1标题 1 111121314151111211311611212213217113..."/>
    <w:basedOn w:val="3"/>
    <w:link w:val="308"/>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0">
    <w:name w:val="even Char Char"/>
    <w:qFormat/>
    <w:uiPriority w:val="0"/>
    <w:rPr>
      <w:rFonts w:eastAsia="宋体"/>
      <w:kern w:val="2"/>
      <w:sz w:val="18"/>
      <w:szCs w:val="24"/>
      <w:lang w:val="en-US" w:eastAsia="zh-CN" w:bidi="ar-SA"/>
    </w:rPr>
  </w:style>
  <w:style w:type="character" w:customStyle="1" w:styleId="311">
    <w:name w:val="样式 标题 4Para4CDR_Lev 4Title3h44 dashddash + (符号) 宋体 加粗 Char Char"/>
    <w:link w:val="312"/>
    <w:qFormat/>
    <w:uiPriority w:val="0"/>
    <w:rPr>
      <w:rFonts w:ascii="Arial" w:hAnsi="Arial" w:eastAsia="黑体"/>
      <w:snapToGrid w:val="0"/>
      <w:sz w:val="28"/>
      <w:szCs w:val="24"/>
    </w:rPr>
  </w:style>
  <w:style w:type="paragraph" w:customStyle="1" w:styleId="312">
    <w:name w:val="样式 标题 4Para4CDR_Lev 4Title3h44 dashddash + (符号) 宋体 加粗"/>
    <w:basedOn w:val="6"/>
    <w:link w:val="311"/>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3">
    <w:name w:val="纯文本 Char"/>
    <w:qFormat/>
    <w:uiPriority w:val="0"/>
    <w:rPr>
      <w:rFonts w:ascii="宋体" w:hAnsi="Courier New" w:cs="Courier New"/>
      <w:kern w:val="2"/>
      <w:sz w:val="21"/>
      <w:szCs w:val="21"/>
    </w:rPr>
  </w:style>
  <w:style w:type="character" w:customStyle="1" w:styleId="314">
    <w:name w:val="style131"/>
    <w:qFormat/>
    <w:uiPriority w:val="0"/>
    <w:rPr>
      <w:rFonts w:eastAsia="宋体"/>
      <w:kern w:val="2"/>
      <w:sz w:val="24"/>
      <w:szCs w:val="24"/>
      <w:lang w:val="en-US" w:eastAsia="zh-CN" w:bidi="ar-SA"/>
    </w:rPr>
  </w:style>
  <w:style w:type="character" w:customStyle="1" w:styleId="315">
    <w:name w:val="样式 样式 标题 2标题 1.1第一层条第二层论文标题 1Para2Title1H2h22l2list + ch...1 + 右...1 Char Char"/>
    <w:basedOn w:val="316"/>
    <w:link w:val="302"/>
    <w:qFormat/>
    <w:uiPriority w:val="0"/>
    <w:rPr>
      <w:rFonts w:ascii="Arial" w:hAnsi="Arial" w:cs="宋体"/>
      <w:color w:val="000000"/>
      <w:sz w:val="24"/>
      <w:szCs w:val="24"/>
    </w:rPr>
  </w:style>
  <w:style w:type="character" w:customStyle="1" w:styleId="316">
    <w:name w:val="样式 标题 2标题 1.1第一层条第二层论文标题 1Para2Title1H2h22l2list + ch...1 Char Char"/>
    <w:link w:val="303"/>
    <w:qFormat/>
    <w:uiPriority w:val="0"/>
    <w:rPr>
      <w:rFonts w:ascii="Arial" w:hAnsi="Arial" w:cs="宋体"/>
      <w:b/>
      <w:color w:val="000000"/>
      <w:sz w:val="24"/>
      <w:szCs w:val="24"/>
    </w:rPr>
  </w:style>
  <w:style w:type="character" w:customStyle="1" w:styleId="317">
    <w:name w:val="Char Char Char Char Char Char"/>
    <w:qFormat/>
    <w:uiPriority w:val="0"/>
    <w:rPr>
      <w:rFonts w:ascii="宋体" w:hAnsi="Courier New" w:eastAsia="宋体"/>
      <w:kern w:val="2"/>
      <w:sz w:val="21"/>
      <w:lang w:val="en-US" w:eastAsia="zh-CN" w:bidi="ar-SA"/>
    </w:rPr>
  </w:style>
  <w:style w:type="character" w:customStyle="1" w:styleId="318">
    <w:name w:val="页码2"/>
    <w:basedOn w:val="48"/>
    <w:qFormat/>
    <w:uiPriority w:val="0"/>
  </w:style>
  <w:style w:type="character" w:customStyle="1" w:styleId="319">
    <w:name w:val="样式 样式 样式 样式 标题 2标题 1.1第一层条第二层论文标题 1Para2Title1H2h22l2list + ch..... Char Char"/>
    <w:link w:val="320"/>
    <w:qFormat/>
    <w:uiPriority w:val="0"/>
    <w:rPr>
      <w:rFonts w:ascii="宋体" w:hAnsi="宋体" w:cs="宋体"/>
      <w:b/>
      <w:color w:val="000000"/>
      <w:szCs w:val="28"/>
    </w:rPr>
  </w:style>
  <w:style w:type="paragraph" w:customStyle="1" w:styleId="320">
    <w:name w:val="样式 样式 样式 样式 标题 2标题 1.1第一层条第二层论文标题 1Para2Title1H2h22l2list + ch....."/>
    <w:basedOn w:val="301"/>
    <w:link w:val="319"/>
    <w:qFormat/>
    <w:uiPriority w:val="0"/>
    <w:pPr>
      <w:spacing w:before="50" w:after="50"/>
      <w:ind w:left="1134" w:right="50" w:hanging="1134"/>
    </w:pPr>
    <w:rPr>
      <w:rFonts w:ascii="宋体" w:hAnsi="宋体"/>
      <w:sz w:val="20"/>
    </w:rPr>
  </w:style>
  <w:style w:type="character" w:customStyle="1" w:styleId="321">
    <w:name w:val="应答文本 Char Char"/>
    <w:link w:val="306"/>
    <w:qFormat/>
    <w:uiPriority w:val="0"/>
    <w:rPr>
      <w:rFonts w:ascii="Arial" w:hAnsi="Arial" w:eastAsia="楷体_GB2312" w:cs="宋体"/>
      <w:spacing w:val="10"/>
      <w:szCs w:val="24"/>
    </w:rPr>
  </w:style>
  <w:style w:type="paragraph" w:customStyle="1" w:styleId="322">
    <w:name w:val="章标题"/>
    <w:next w:val="323"/>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4">
    <w:name w:val="表格"/>
    <w:basedOn w:val="1"/>
    <w:qFormat/>
    <w:uiPriority w:val="0"/>
    <w:pPr>
      <w:jc w:val="center"/>
    </w:pPr>
    <w:rPr>
      <w:rFonts w:ascii="华文细黑" w:hAnsi="华文细黑"/>
      <w:kern w:val="0"/>
      <w:szCs w:val="20"/>
    </w:rPr>
  </w:style>
  <w:style w:type="paragraph" w:customStyle="1" w:styleId="325">
    <w:name w:val="_Style 11"/>
    <w:basedOn w:val="14"/>
    <w:qFormat/>
    <w:uiPriority w:val="0"/>
  </w:style>
  <w:style w:type="paragraph" w:customStyle="1" w:styleId="326">
    <w:name w:val="Char2"/>
    <w:basedOn w:val="1"/>
    <w:qFormat/>
    <w:uiPriority w:val="0"/>
    <w:rPr>
      <w:sz w:val="24"/>
    </w:rPr>
  </w:style>
  <w:style w:type="paragraph" w:customStyle="1" w:styleId="327">
    <w:name w:val="正文文本缩进1"/>
    <w:basedOn w:val="1"/>
    <w:qFormat/>
    <w:uiPriority w:val="0"/>
    <w:pPr>
      <w:ind w:firstLine="420" w:firstLineChars="200"/>
    </w:pPr>
  </w:style>
  <w:style w:type="paragraph" w:customStyle="1" w:styleId="328">
    <w:name w:val="正文缩进11"/>
    <w:basedOn w:val="1"/>
    <w:qFormat/>
    <w:uiPriority w:val="0"/>
    <w:pPr>
      <w:tabs>
        <w:tab w:val="left" w:pos="720"/>
      </w:tabs>
      <w:ind w:left="624" w:hanging="624"/>
      <w:textAlignment w:val="baseline"/>
    </w:pPr>
    <w:rPr>
      <w:rFonts w:hint="eastAsia" w:ascii="宋体"/>
      <w:szCs w:val="22"/>
    </w:rPr>
  </w:style>
  <w:style w:type="paragraph" w:customStyle="1" w:styleId="329">
    <w:name w:val="样式 行距: 1.5 倍行距"/>
    <w:basedOn w:val="1"/>
    <w:qFormat/>
    <w:uiPriority w:val="0"/>
    <w:pPr>
      <w:spacing w:line="360" w:lineRule="auto"/>
    </w:pPr>
    <w:rPr>
      <w:rFonts w:cs="宋体"/>
      <w:szCs w:val="20"/>
    </w:rPr>
  </w:style>
  <w:style w:type="paragraph" w:customStyle="1" w:styleId="330">
    <w:name w:val="Char Char1 Char Char Char Char Char Char Char Char Char Char"/>
    <w:basedOn w:val="1"/>
    <w:qFormat/>
    <w:uiPriority w:val="0"/>
    <w:rPr>
      <w:sz w:val="24"/>
    </w:rPr>
  </w:style>
  <w:style w:type="paragraph" w:customStyle="1" w:styleId="331">
    <w:name w:val="Char Char17 Char Char"/>
    <w:basedOn w:val="14"/>
    <w:qFormat/>
    <w:uiPriority w:val="0"/>
    <w:pPr>
      <w:widowControl/>
      <w:jc w:val="left"/>
    </w:pPr>
  </w:style>
  <w:style w:type="paragraph" w:customStyle="1" w:styleId="332">
    <w:name w:val="目录文字"/>
    <w:basedOn w:val="1"/>
    <w:qFormat/>
    <w:uiPriority w:val="0"/>
    <w:pPr>
      <w:widowControl/>
      <w:spacing w:line="480" w:lineRule="auto"/>
      <w:jc w:val="left"/>
    </w:pPr>
    <w:rPr>
      <w:rFonts w:ascii="宋体" w:hAnsi="宋体"/>
      <w:kern w:val="0"/>
      <w:sz w:val="24"/>
      <w:szCs w:val="20"/>
    </w:rPr>
  </w:style>
  <w:style w:type="paragraph" w:customStyle="1" w:styleId="333">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4">
    <w:name w:val="Char Char Char Char Char Char Char Char Char Char Char Char Char Char Char Char"/>
    <w:basedOn w:val="1"/>
    <w:qFormat/>
    <w:uiPriority w:val="0"/>
    <w:rPr>
      <w:szCs w:val="20"/>
    </w:rPr>
  </w:style>
  <w:style w:type="paragraph" w:styleId="335">
    <w:name w:val="List Paragraph"/>
    <w:basedOn w:val="1"/>
    <w:qFormat/>
    <w:uiPriority w:val="0"/>
    <w:pPr>
      <w:ind w:firstLine="420" w:firstLineChars="200"/>
    </w:pPr>
  </w:style>
  <w:style w:type="paragraph" w:customStyle="1" w:styleId="336">
    <w:name w:val="日期1"/>
    <w:basedOn w:val="1"/>
    <w:next w:val="1"/>
    <w:qFormat/>
    <w:uiPriority w:val="0"/>
    <w:pPr>
      <w:ind w:left="100" w:leftChars="2500"/>
    </w:pPr>
  </w:style>
  <w:style w:type="paragraph" w:customStyle="1" w:styleId="337">
    <w:name w:val="普通(网站)1"/>
    <w:basedOn w:val="1"/>
    <w:qFormat/>
    <w:uiPriority w:val="0"/>
    <w:pPr>
      <w:widowControl/>
      <w:jc w:val="left"/>
    </w:pPr>
    <w:rPr>
      <w:rFonts w:hint="eastAsia" w:ascii="宋体" w:hAnsi="宋体"/>
      <w:sz w:val="24"/>
    </w:rPr>
  </w:style>
  <w:style w:type="paragraph" w:customStyle="1" w:styleId="338">
    <w:name w:val="文档结构图1"/>
    <w:basedOn w:val="1"/>
    <w:qFormat/>
    <w:uiPriority w:val="0"/>
    <w:pPr>
      <w:shd w:val="clear" w:color="auto" w:fill="000080"/>
    </w:pPr>
  </w:style>
  <w:style w:type="paragraph" w:customStyle="1" w:styleId="339">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0">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1">
    <w:name w:val="正文文本 22"/>
    <w:basedOn w:val="1"/>
    <w:qFormat/>
    <w:uiPriority w:val="0"/>
    <w:pPr>
      <w:spacing w:after="120" w:line="480" w:lineRule="auto"/>
    </w:pPr>
  </w:style>
  <w:style w:type="paragraph" w:customStyle="1" w:styleId="342">
    <w:name w:val="Char Char Char Char"/>
    <w:basedOn w:val="1"/>
    <w:qFormat/>
    <w:uiPriority w:val="0"/>
  </w:style>
  <w:style w:type="paragraph" w:customStyle="1" w:styleId="343">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4">
    <w:name w:val="右侧正文"/>
    <w:basedOn w:val="1"/>
    <w:qFormat/>
    <w:uiPriority w:val="0"/>
    <w:pPr>
      <w:spacing w:line="360" w:lineRule="auto"/>
    </w:pPr>
    <w:rPr>
      <w:rFonts w:ascii="宋体" w:hAnsi="宋体"/>
      <w:sz w:val="24"/>
      <w:szCs w:val="28"/>
    </w:rPr>
  </w:style>
  <w:style w:type="paragraph" w:customStyle="1" w:styleId="345">
    <w:name w:val="WPSOffice手动目录 1"/>
    <w:qFormat/>
    <w:uiPriority w:val="0"/>
    <w:rPr>
      <w:rFonts w:ascii="Times New Roman" w:hAnsi="Times New Roman" w:eastAsia="宋体" w:cs="Times New Roman"/>
      <w:lang w:val="en-US" w:eastAsia="zh-CN" w:bidi="ar-SA"/>
    </w:rPr>
  </w:style>
  <w:style w:type="paragraph" w:customStyle="1" w:styleId="34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7">
    <w:name w:val="页码3"/>
    <w:basedOn w:val="48"/>
    <w:qFormat/>
    <w:uiPriority w:val="0"/>
  </w:style>
  <w:style w:type="paragraph" w:customStyle="1" w:styleId="348">
    <w:name w:val="普通(网站)2"/>
    <w:basedOn w:val="1"/>
    <w:qFormat/>
    <w:uiPriority w:val="0"/>
    <w:pPr>
      <w:widowControl/>
      <w:jc w:val="left"/>
    </w:pPr>
    <w:rPr>
      <w:rFonts w:hint="eastAsia" w:ascii="宋体" w:hAnsi="宋体"/>
      <w:sz w:val="24"/>
    </w:rPr>
  </w:style>
  <w:style w:type="character" w:customStyle="1" w:styleId="349">
    <w:name w:val="页脚 字符1"/>
    <w:basedOn w:val="48"/>
    <w:semiHidden/>
    <w:qFormat/>
    <w:uiPriority w:val="99"/>
    <w:rPr>
      <w:kern w:val="2"/>
      <w:sz w:val="18"/>
      <w:szCs w:val="18"/>
    </w:rPr>
  </w:style>
  <w:style w:type="paragraph" w:customStyle="1" w:styleId="350">
    <w:name w:val="正文文本 23"/>
    <w:basedOn w:val="1"/>
    <w:qFormat/>
    <w:uiPriority w:val="0"/>
    <w:pPr>
      <w:spacing w:after="120" w:line="480" w:lineRule="auto"/>
    </w:pPr>
  </w:style>
  <w:style w:type="character" w:customStyle="1" w:styleId="351">
    <w:name w:val="页眉 字符1"/>
    <w:basedOn w:val="48"/>
    <w:semiHidden/>
    <w:qFormat/>
    <w:uiPriority w:val="99"/>
    <w:rPr>
      <w:kern w:val="2"/>
      <w:sz w:val="18"/>
      <w:szCs w:val="18"/>
    </w:rPr>
  </w:style>
  <w:style w:type="paragraph" w:customStyle="1" w:styleId="352">
    <w:name w:val="文档结构图2"/>
    <w:basedOn w:val="1"/>
    <w:qFormat/>
    <w:uiPriority w:val="0"/>
    <w:pPr>
      <w:shd w:val="clear" w:color="auto" w:fill="000080"/>
    </w:pPr>
  </w:style>
  <w:style w:type="paragraph" w:customStyle="1" w:styleId="35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4">
    <w:name w:val="正文文本缩进2"/>
    <w:basedOn w:val="1"/>
    <w:qFormat/>
    <w:uiPriority w:val="0"/>
    <w:pPr>
      <w:ind w:firstLine="420" w:firstLineChars="200"/>
    </w:pPr>
  </w:style>
  <w:style w:type="paragraph" w:customStyle="1" w:styleId="355">
    <w:name w:val="日期2"/>
    <w:basedOn w:val="1"/>
    <w:next w:val="1"/>
    <w:qFormat/>
    <w:uiPriority w:val="0"/>
    <w:pPr>
      <w:ind w:left="100" w:leftChars="2500"/>
    </w:pPr>
  </w:style>
  <w:style w:type="paragraph" w:customStyle="1" w:styleId="356">
    <w:name w:val="样式3"/>
    <w:basedOn w:val="1"/>
    <w:qFormat/>
    <w:uiPriority w:val="0"/>
    <w:pPr>
      <w:spacing w:line="360" w:lineRule="auto"/>
      <w:ind w:firstLine="480"/>
      <w:jc w:val="left"/>
    </w:pPr>
    <w:rPr>
      <w:rFonts w:ascii="宋体"/>
      <w:sz w:val="24"/>
      <w:szCs w:val="22"/>
    </w:rPr>
  </w:style>
  <w:style w:type="paragraph" w:customStyle="1" w:styleId="357">
    <w:name w:val="附录图标题"/>
    <w:basedOn w:val="1"/>
    <w:next w:val="323"/>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58">
    <w:name w:val="正文表标题"/>
    <w:next w:val="323"/>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59">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0">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1">
    <w:name w:val="列项◆（三级）"/>
    <w:basedOn w:val="1"/>
    <w:qFormat/>
    <w:uiPriority w:val="0"/>
    <w:pPr>
      <w:numPr>
        <w:ilvl w:val="2"/>
        <w:numId w:val="4"/>
      </w:numPr>
      <w:tabs>
        <w:tab w:val="left" w:pos="1678"/>
      </w:tabs>
    </w:pPr>
    <w:rPr>
      <w:rFonts w:ascii="宋体"/>
      <w:szCs w:val="21"/>
    </w:rPr>
  </w:style>
  <w:style w:type="paragraph" w:customStyle="1" w:styleId="362">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3">
    <w:name w:val="附录章标题"/>
    <w:next w:val="323"/>
    <w:qFormat/>
    <w:uiPriority w:val="0"/>
    <w:pPr>
      <w:numPr>
        <w:ilvl w:val="1"/>
        <w:numId w:val="5"/>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4">
    <w:name w:val="font51"/>
    <w:basedOn w:val="48"/>
    <w:qFormat/>
    <w:uiPriority w:val="0"/>
    <w:rPr>
      <w:rFonts w:hint="eastAsia" w:ascii="宋体" w:hAnsi="宋体" w:eastAsia="宋体" w:cs="宋体"/>
      <w:b/>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D75AF5-8DEB-41FA-A45A-7A76A63106DE}">
  <ds:schemaRefs/>
</ds:datastoreItem>
</file>

<file path=docProps/app.xml><?xml version="1.0" encoding="utf-8"?>
<Properties xmlns="http://schemas.openxmlformats.org/officeDocument/2006/extended-properties" xmlns:vt="http://schemas.openxmlformats.org/officeDocument/2006/docPropsVTypes">
  <Template>Normal.dotm</Template>
  <Pages>50</Pages>
  <Words>5211</Words>
  <Characters>29709</Characters>
  <Lines>247</Lines>
  <Paragraphs>69</Paragraphs>
  <TotalTime>53</TotalTime>
  <ScaleCrop>false</ScaleCrop>
  <LinksUpToDate>false</LinksUpToDate>
  <CharactersWithSpaces>34851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2019-09-03T02:10:00Z</dcterms:created>
  <dc:creator>李 毅</dc:creator>
  <cp:lastModifiedBy>Administrator</cp:lastModifiedBy>
  <cp:lastPrinted>2021-04-01T00:18:00Z</cp:lastPrinted>
  <dcterms:modified xsi:type="dcterms:W3CDTF">2021-04-08T01:07:50Z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1A951167743D4E9A8DEC8375837F5DD8</vt:lpwstr>
  </property>
</Properties>
</file>