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长沙市轨道交通5号线运营期2021年-2024年净水一体机售后服务项目</w:t>
      </w: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长沙市轨道交通五号线建设发展有限公司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长轨运服采【2021】006号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二〇二一</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lang w:eastAsia="zh-CN"/>
        </w:rPr>
        <w:t>四</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3</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湖南创迪工程管理咨询有限公司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长沙市轨道交通五号线建设发展有限公司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长沙市轨道交通5号线运营期2021年-2024年净水一体机售后服务项目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iCs/>
        </w:rPr>
        <w:t>1.项目名称：</w:t>
      </w:r>
      <w:r>
        <w:rPr>
          <w:rFonts w:hint="eastAsia" w:cs="宋体" w:asciiTheme="minorEastAsia" w:hAnsiTheme="minorEastAsia" w:eastAsiaTheme="minorEastAsia"/>
        </w:rPr>
        <w:t>长沙市轨道交通5号线运营期2021年-2024年净水一体机售后服务项目</w:t>
      </w:r>
    </w:p>
    <w:p>
      <w:pPr>
        <w:pStyle w:val="26"/>
        <w:adjustRightInd w:val="0"/>
        <w:snapToGrid w:val="0"/>
        <w:spacing w:line="360" w:lineRule="auto"/>
        <w:ind w:firstLine="420" w:firstLineChars="200"/>
        <w:rPr>
          <w:rFonts w:cs="宋体" w:asciiTheme="minorEastAsia" w:hAnsiTheme="minorEastAsia" w:eastAsiaTheme="minorEastAsia"/>
          <w:iCs/>
          <w:highlight w:val="yellow"/>
        </w:rPr>
      </w:pPr>
      <w:r>
        <w:rPr>
          <w:rFonts w:hint="eastAsia" w:cs="宋体" w:asciiTheme="minorEastAsia" w:hAnsiTheme="minorEastAsia" w:eastAsiaTheme="minorEastAsia"/>
          <w:iCs/>
        </w:rPr>
        <w:t>2.</w:t>
      </w:r>
      <w:r>
        <w:rPr>
          <w:rFonts w:hint="eastAsia" w:hAnsi="宋体" w:cs="宋体"/>
          <w:iCs/>
        </w:rPr>
        <w:t>最高投标限价</w:t>
      </w:r>
      <w:r>
        <w:rPr>
          <w:rFonts w:hint="eastAsia" w:cs="宋体" w:asciiTheme="minorEastAsia" w:hAnsiTheme="minorEastAsia" w:eastAsiaTheme="minorEastAsia"/>
          <w:iCs/>
        </w:rPr>
        <w:t>：</w:t>
      </w:r>
      <w:r>
        <w:t>228780.00元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cs="宋体" w:asciiTheme="minorEastAsia" w:hAnsiTheme="minorEastAsia" w:eastAsiaTheme="minorEastAsia"/>
          <w:szCs w:val="21"/>
        </w:rPr>
        <w:t>本项目服务期限暂定为2021年6月1日至2024年5月31日，总计36个月（实际服务时间以招标人发出的进场通知书起算，总计36个月）。</w:t>
      </w:r>
      <w:r>
        <w:rPr>
          <w:rFonts w:hint="eastAsia" w:ascii="宋体" w:hAnsi="Calibri"/>
          <w:color w:val="000000"/>
          <w:szCs w:val="21"/>
        </w:rPr>
        <w:t>（具体详见用户需求书）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cs="宋体"/>
          <w:color w:val="000000"/>
        </w:rPr>
        <w:t>本项目主要</w:t>
      </w:r>
      <w:r>
        <w:rPr>
          <w:rFonts w:hint="eastAsia" w:ascii="宋体" w:hAnsi="宋体" w:cs="宋体"/>
        </w:rPr>
        <w:t>为</w:t>
      </w:r>
      <w:r>
        <w:rPr>
          <w:rFonts w:hint="eastAsia" w:ascii="宋体" w:hAnsi="宋体" w:cs="宋体"/>
          <w:color w:val="000000"/>
        </w:rPr>
        <w:t>长沙轨道交通5号线41台净水一体机开展滤芯更换、故障处理、水质检测等维护保养工作。净水一体机品牌及型号，5号线车站18台（美的牌JD1750S-RO型15台、美的牌ZRO1822-H2型3台）、水渡河车辆段23台（美的牌ZRO1822-H2型23台）。（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spacing w:line="360" w:lineRule="auto"/>
        <w:ind w:firstLine="420" w:firstLineChars="200"/>
        <w:jc w:val="left"/>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ind w:firstLine="420" w:firstLineChars="200"/>
        <w:jc w:val="left"/>
        <w:rPr>
          <w:rFonts w:hint="eastAsia" w:ascii="宋体" w:hAnsi="宋体" w:eastAsia="宋体" w:cs="宋体"/>
          <w:bCs/>
          <w:lang w:val="en-US" w:eastAsia="zh-CN"/>
        </w:rPr>
      </w:pPr>
      <w:r>
        <w:rPr>
          <w:rFonts w:hint="eastAsia" w:ascii="宋体" w:hAnsi="宋体" w:cs="宋体"/>
          <w:bCs/>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pStyle w:val="26"/>
        <w:adjustRightInd w:val="0"/>
        <w:snapToGrid w:val="0"/>
        <w:spacing w:line="360" w:lineRule="auto"/>
        <w:ind w:firstLine="420" w:firstLineChars="200"/>
        <w:rPr>
          <w:rFonts w:hAnsi="宋体" w:cs="宋体"/>
        </w:rPr>
      </w:pPr>
      <w:r>
        <w:rPr>
          <w:rFonts w:hint="eastAsia" w:hAnsi="宋体" w:cs="宋体"/>
          <w:lang w:val="en-US" w:eastAsia="zh-CN"/>
        </w:rPr>
        <w:t>5</w:t>
      </w:r>
      <w:r>
        <w:rPr>
          <w:rFonts w:hint="eastAsia" w:hAnsi="宋体" w:cs="宋体"/>
        </w:rPr>
        <w:t>.被长沙市轨道交通集团函告禁止在一定期限内参与轨道公司项目投标的单位按函告内容执行。</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宋体" w:hAnsi="宋体" w:cs="宋体"/>
          <w:szCs w:val="21"/>
        </w:rPr>
      </w:pPr>
      <w:bookmarkStart w:id="5"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应于2021</w:t>
      </w:r>
      <w:r>
        <w:rPr>
          <w:rFonts w:hint="eastAsia" w:ascii="宋体" w:hAnsi="宋体"/>
          <w:szCs w:val="21"/>
          <w:highlight w:val="none"/>
        </w:rPr>
        <w:t>年</w:t>
      </w:r>
      <w:r>
        <w:rPr>
          <w:rFonts w:hint="eastAsia" w:ascii="宋体" w:hAnsi="宋体"/>
          <w:szCs w:val="21"/>
          <w:highlight w:val="none"/>
          <w:lang w:val="en-US" w:eastAsia="zh-CN"/>
        </w:rPr>
        <w:t>04</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2021</w:t>
      </w:r>
      <w:r>
        <w:rPr>
          <w:rFonts w:ascii="宋体" w:hAnsi="宋体"/>
          <w:bCs/>
          <w:szCs w:val="21"/>
          <w:highlight w:val="none"/>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22</w:t>
      </w:r>
      <w:r>
        <w:rPr>
          <w:rFonts w:ascii="宋体" w:hAnsi="宋体"/>
          <w:bCs/>
          <w:szCs w:val="21"/>
        </w:rPr>
        <w:t>日</w:t>
      </w:r>
      <w:r>
        <w:rPr>
          <w:rFonts w:hint="eastAsia" w:ascii="宋体" w:hAnsi="宋体"/>
          <w:bCs/>
          <w:szCs w:val="21"/>
        </w:rPr>
        <w:t>14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宋体" w:hAnsi="宋体" w:cs="宋体"/>
          <w:szCs w:val="21"/>
        </w:rPr>
        <w:t>长沙市劳</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w:t>
      </w:r>
      <w:r>
        <w:rPr>
          <w:rFonts w:hint="eastAsia" w:cs="宋体" w:asciiTheme="minorEastAsia" w:hAnsiTheme="minorEastAsia" w:eastAsiaTheme="minorEastAsia"/>
          <w:iCs/>
          <w:szCs w:val="21"/>
        </w:rPr>
        <w:t>长沙市轨道交通五号线建设发展有限公司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采购代理机构：湖南创迪工程管理咨询有限公司</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highlight w:val="none"/>
        </w:rPr>
        <w:t>长沙市开福区芙蓉中路一段469号新闻大厦8楼D座</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  话：</w:t>
      </w:r>
      <w:r>
        <w:rPr>
          <w:rFonts w:hint="eastAsia" w:asciiTheme="minorEastAsia" w:hAnsiTheme="minorEastAsia" w:eastAsiaTheme="minorEastAsia"/>
          <w:szCs w:val="21"/>
          <w:highlight w:val="none"/>
        </w:rPr>
        <w:t>0731-84317978</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szCs w:val="21"/>
        </w:rPr>
        <w:t>联系人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周先生、奉先生</w:t>
      </w:r>
    </w:p>
    <w:p>
      <w:pPr>
        <w:wordWrap w:val="0"/>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2021年</w:t>
      </w:r>
      <w:r>
        <w:rPr>
          <w:rFonts w:hint="eastAsia" w:asciiTheme="minorEastAsia" w:hAnsiTheme="minorEastAsia" w:eastAsiaTheme="minorEastAsia"/>
          <w:szCs w:val="21"/>
          <w:highlight w:val="none"/>
          <w:lang w:val="en-US" w:eastAsia="zh-CN"/>
        </w:rPr>
        <w:t>04</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长沙市轨道交通5号线运营期2021年-2024年净水一体机售后服务项目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kern w:val="2"/>
                <w:sz w:val="21"/>
                <w:szCs w:val="21"/>
                <w:lang w:val="en-US" w:eastAsia="zh-CN" w:bidi="ar-SA"/>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湖南创迪工程管理咨询有限公司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t>228780.00元</w:t>
            </w:r>
            <w:r>
              <w:rPr>
                <w:rFonts w:hint="eastAsia" w:ascii="宋体" w:hAnsi="宋体" w:cs="宋体"/>
                <w:szCs w:val="21"/>
              </w:rPr>
              <w:t>，</w:t>
            </w:r>
            <w:r>
              <w:rPr>
                <w:rFonts w:hint="eastAsia" w:ascii="宋体" w:hAnsi="宋体" w:cs="宋体"/>
                <w:b/>
                <w:bCs/>
                <w:szCs w:val="21"/>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spacing w:line="360" w:lineRule="auto"/>
              <w:jc w:val="left"/>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jc w:val="left"/>
              <w:rPr>
                <w:rFonts w:ascii="宋体" w:hAnsi="宋体" w:cs="宋体"/>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spacing w:line="360" w:lineRule="auto"/>
              <w:rPr>
                <w:rFonts w:cs="宋体" w:asciiTheme="minorEastAsia" w:hAnsiTheme="minorEastAsia" w:eastAsiaTheme="minorEastAsia"/>
                <w:szCs w:val="21"/>
              </w:rPr>
            </w:pPr>
            <w:r>
              <w:rPr>
                <w:rFonts w:hint="eastAsia" w:ascii="宋体" w:hAnsi="宋体" w:cs="宋体"/>
                <w:lang w:val="en-US" w:eastAsia="zh-CN"/>
              </w:rPr>
              <w:t>5</w:t>
            </w:r>
            <w:r>
              <w:rPr>
                <w:rFonts w:hint="eastAsia" w:ascii="宋体" w:hAnsi="宋体" w:cs="宋体"/>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rPr>
              <w:t>实质性要求和条件</w:t>
            </w:r>
          </w:p>
        </w:tc>
        <w:tc>
          <w:tcPr>
            <w:tcW w:w="7510" w:type="dxa"/>
            <w:vAlign w:val="center"/>
          </w:tcPr>
          <w:p>
            <w:pPr>
              <w:adjustRightInd w:val="0"/>
              <w:snapToGrid w:val="0"/>
              <w:spacing w:line="360" w:lineRule="auto"/>
              <w:jc w:val="left"/>
              <w:rPr>
                <w:rFonts w:hint="eastAsia" w:cs="Times New Roman" w:asciiTheme="minorEastAsia" w:hAnsiTheme="minorEastAsia" w:eastAsiaTheme="minorEastAsia"/>
                <w:b/>
                <w:kern w:val="2"/>
                <w:sz w:val="21"/>
                <w:szCs w:val="21"/>
                <w:lang w:val="en-US" w:eastAsia="zh-CN" w:bidi="ar-SA"/>
              </w:rPr>
            </w:pPr>
            <w:r>
              <w:rPr>
                <w:rFonts w:hint="eastAsia" w:ascii="宋体" w:hAnsi="宋体" w:eastAsia="宋体" w:cs="宋体"/>
                <w:kern w:val="2"/>
                <w:sz w:val="21"/>
                <w:szCs w:val="21"/>
                <w:lang w:val="en-US" w:eastAsia="zh-CN" w:bidi="ar-SA"/>
              </w:rPr>
              <w:t>谈判</w:t>
            </w:r>
            <w:r>
              <w:rPr>
                <w:rFonts w:hint="default" w:ascii="宋体" w:hAnsi="宋体" w:eastAsia="宋体" w:cs="宋体"/>
                <w:kern w:val="2"/>
                <w:sz w:val="21"/>
                <w:szCs w:val="21"/>
                <w:lang w:val="en-US" w:eastAsia="zh-CN" w:bidi="ar-SA"/>
              </w:rPr>
              <w:t>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04</w:t>
            </w:r>
            <w:r>
              <w:rPr>
                <w:rFonts w:hint="eastAsia" w:hAnsi="宋体"/>
                <w:highlight w:val="none"/>
              </w:rPr>
              <w:t>月</w:t>
            </w:r>
            <w:r>
              <w:rPr>
                <w:rFonts w:hint="eastAsia" w:hAnsi="宋体"/>
                <w:highlight w:val="none"/>
                <w:lang w:val="en-US" w:eastAsia="zh-CN"/>
              </w:rPr>
              <w:t>19</w:t>
            </w:r>
            <w:r>
              <w:rPr>
                <w:rFonts w:hint="eastAsia" w:hAnsi="宋体"/>
                <w:highlight w:val="none"/>
              </w:rPr>
              <w:t>日</w:t>
            </w:r>
            <w:r>
              <w:rPr>
                <w:rFonts w:hint="eastAsia" w:cs="宋体" w:asciiTheme="minorEastAsia" w:hAnsiTheme="minorEastAsia" w:eastAsiaTheme="minorEastAsia"/>
                <w:highlight w:val="none"/>
              </w:rPr>
              <w:t>17时00分(</w:t>
            </w:r>
            <w:r>
              <w:rPr>
                <w:rFonts w:hint="eastAsia" w:cs="宋体" w:asciiTheme="minorEastAsia" w:hAnsiTheme="minorEastAsia" w:eastAsiaTheme="minorEastAsi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谈判答疑文件应以书面形式递交至湖南创迪工程管理咨询有限公司</w:t>
            </w:r>
            <w:r>
              <w:rPr>
                <w:rFonts w:hint="eastAsia" w:cs="宋体" w:asciiTheme="minorEastAsia" w:hAnsiTheme="minorEastAsia" w:eastAsiaTheme="minorEastAsia"/>
                <w:iCs/>
                <w:highlight w:val="none"/>
              </w:rPr>
              <w:t>（长沙市开福区芙蓉中路一段469号新闻大厦8楼D座）。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rPr>
              <w:t>2021</w:t>
            </w:r>
            <w:r>
              <w:rPr>
                <w:rFonts w:ascii="宋体" w:hAnsi="宋体"/>
                <w:bCs/>
                <w:szCs w:val="21"/>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22</w:t>
            </w:r>
            <w:bookmarkStart w:id="150" w:name="_GoBack"/>
            <w:bookmarkEnd w:id="150"/>
            <w:r>
              <w:rPr>
                <w:rFonts w:ascii="宋体" w:hAnsi="宋体"/>
                <w:bCs/>
                <w:szCs w:val="21"/>
                <w:highlight w:val="none"/>
              </w:rPr>
              <w:t>日</w:t>
            </w:r>
            <w:r>
              <w:rPr>
                <w:rFonts w:hint="eastAsia" w:cs="宋体" w:asciiTheme="minorEastAsia" w:hAnsiTheme="minorEastAsia" w:eastAsiaTheme="minorEastAsia"/>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长沙市劳动东路二段48号</w:t>
            </w:r>
            <w:r>
              <w:rPr>
                <w:rFonts w:hint="eastAsia" w:cs="宋体" w:asciiTheme="minorEastAsia" w:hAnsiTheme="minorEastAsia" w:eastAsiaTheme="minorEastAsia"/>
                <w:iCs/>
                <w:szCs w:val="21"/>
                <w:lang w:eastAsia="zh-CN"/>
              </w:rPr>
              <w:t>长沙市</w:t>
            </w:r>
            <w:r>
              <w:rPr>
                <w:rFonts w:hint="eastAsia" w:cs="宋体" w:asciiTheme="minorEastAsia" w:hAnsiTheme="minorEastAsia" w:eastAsiaTheme="minorEastAsia"/>
                <w:iCs/>
                <w:szCs w:val="21"/>
              </w:rPr>
              <w:t>轨道交通运营有限公司综合楼</w:t>
            </w:r>
            <w:r>
              <w:rPr>
                <w:rFonts w:hint="eastAsia" w:cs="宋体" w:asciiTheme="minorEastAsia" w:hAnsiTheme="minorEastAsia" w:eastAsiaTheme="minorEastAsia"/>
                <w:iCs/>
                <w:szCs w:val="21"/>
                <w:lang w:val="en-US" w:eastAsia="zh-CN"/>
              </w:rPr>
              <w:t>9楼</w:t>
            </w:r>
            <w:r>
              <w:rPr>
                <w:rFonts w:hint="eastAsia" w:cs="宋体" w:asciiTheme="minorEastAsia" w:hAnsiTheme="minorEastAsia" w:eastAsiaTheme="minorEastAsia"/>
                <w:iCs/>
                <w:szCs w:val="21"/>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szCs w:val="21"/>
              </w:rPr>
              <w:t>本项目采用单价合同方式，（除税率调整外，合同单价（即中标单价/中选单价/成交单价）在合同执行过程中固定不变，不随政府政策（长沙市规定的最低工资标准变化等）及市场物价上涨或回落等因素调整）。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ascii="宋体" w:hAnsi="宋体" w:cs="宋体"/>
                <w:color w:val="000000"/>
              </w:rPr>
            </w:pPr>
            <w:r>
              <w:rPr>
                <w:rFonts w:hint="eastAsia" w:ascii="宋体" w:hAnsi="宋体" w:cs="宋体"/>
                <w:color w:val="000000"/>
              </w:rPr>
              <w:t>1.预付款</w:t>
            </w:r>
          </w:p>
          <w:p>
            <w:pPr>
              <w:spacing w:line="360" w:lineRule="auto"/>
              <w:rPr>
                <w:rFonts w:ascii="宋体" w:hAnsi="宋体" w:cs="宋体"/>
                <w:color w:val="000000"/>
              </w:rPr>
            </w:pPr>
            <w:r>
              <w:rPr>
                <w:rFonts w:hint="eastAsia" w:ascii="宋体" w:hAnsi="宋体" w:cs="宋体"/>
                <w:color w:val="000000"/>
              </w:rPr>
              <w:t>本项目无预付款。</w:t>
            </w:r>
          </w:p>
          <w:p>
            <w:pPr>
              <w:spacing w:line="360" w:lineRule="auto"/>
              <w:rPr>
                <w:rFonts w:ascii="宋体" w:hAnsi="宋体" w:cs="宋体"/>
                <w:color w:val="000000"/>
              </w:rPr>
            </w:pPr>
            <w:r>
              <w:rPr>
                <w:rFonts w:hint="eastAsia" w:ascii="宋体" w:hAnsi="宋体" w:cs="宋体"/>
                <w:color w:val="000000"/>
              </w:rPr>
              <w:t>2.中间付款</w:t>
            </w:r>
          </w:p>
          <w:p>
            <w:pPr>
              <w:spacing w:line="360" w:lineRule="auto"/>
              <w:rPr>
                <w:rFonts w:ascii="宋体" w:hAnsi="宋体" w:cs="宋体"/>
                <w:color w:val="000000"/>
              </w:rPr>
            </w:pPr>
            <w:r>
              <w:rPr>
                <w:rFonts w:hint="eastAsia" w:ascii="宋体" w:hAnsi="宋体" w:cs="宋体"/>
                <w:color w:val="000000"/>
              </w:rPr>
              <w:t>付款周期为每半年支付一次。每次为按签约合同价的90%平均到每个付款周期，并依据甲方对乙方的考核结果向乙方支付上一个付款周期的价款；中间支付的累计付款金额不超过签约合同价的90%。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ascii="宋体" w:hAnsi="宋体" w:cs="宋体"/>
                <w:color w:val="000000"/>
              </w:rPr>
            </w:pPr>
            <w:r>
              <w:rPr>
                <w:rFonts w:hint="eastAsia" w:ascii="宋体" w:hAnsi="宋体" w:cs="宋体"/>
                <w:color w:val="000000"/>
              </w:rPr>
              <w:t>上述款项在甲方收到乙方的经甲方审批同意支付申请、增值税专用发票及有效期内的履约担保复印件等相关资料后28个工作日内支付。</w:t>
            </w:r>
          </w:p>
          <w:p>
            <w:pPr>
              <w:spacing w:line="360" w:lineRule="auto"/>
              <w:rPr>
                <w:rFonts w:ascii="宋体" w:hAnsi="宋体" w:cs="宋体"/>
                <w:color w:val="000000"/>
              </w:rPr>
            </w:pPr>
            <w:r>
              <w:rPr>
                <w:rFonts w:hint="eastAsia" w:ascii="宋体" w:hAnsi="宋体" w:cs="宋体"/>
                <w:color w:val="000000"/>
              </w:rPr>
              <w:t>3.最终付款</w:t>
            </w:r>
          </w:p>
          <w:p>
            <w:pPr>
              <w:spacing w:line="360" w:lineRule="auto"/>
              <w:rPr>
                <w:rFonts w:cs="宋体" w:asciiTheme="minorEastAsia" w:hAnsiTheme="minorEastAsia" w:eastAsiaTheme="minorEastAsia"/>
                <w:color w:val="000000"/>
              </w:rPr>
            </w:pPr>
            <w:r>
              <w:rPr>
                <w:rFonts w:hint="eastAsia" w:ascii="宋体" w:hAnsi="宋体" w:cs="宋体"/>
                <w:color w:val="000000"/>
              </w:rPr>
              <w:t>乙方按合同约定完成全部工作、项目通过最终验收，且□本项目的合同价格（即结算价格）经长沙市政府相关职能部门或长沙市轨道交通集团有限公司授权的单位审定/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4" w:name="page22"/>
      <w:bookmarkEnd w:id="14"/>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0" w:firstLineChars="200"/>
      </w:pPr>
      <w:r>
        <w:rPr>
          <w:rFonts w:hint="eastAsia" w:asciiTheme="minorEastAsia" w:hAnsiTheme="minorEastAsia" w:eastAsiaTheme="minorEastAsia"/>
          <w:szCs w:val="21"/>
          <w:lang w:val="en-US" w:eastAsia="zh-CN"/>
        </w:rPr>
        <w:t>10.7</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文件标注“★”符号的实质性要求和条件的响应，均须按</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文件要求在</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文件的《实质性条款（标注“★”符号）响应表》中列明，《实质性条款（标注“★”符号）响应表》中缺项、漏项或者任意一项不响应</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文件的，投标将被否决。</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w:t>
      </w:r>
      <w:r>
        <w:rPr>
          <w:rFonts w:hint="eastAsia" w:asciiTheme="minorEastAsia" w:hAnsiTheme="minorEastAsia" w:eastAsiaTheme="minorEastAsia"/>
        </w:rPr>
        <w:t>实质性条款（标注“★”符号）响应表</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lang w:eastAsia="zh-CN"/>
        </w:rPr>
        <w:t>）分项价格表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9</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bCs/>
          <w:szCs w:val="21"/>
        </w:rPr>
      </w:pPr>
      <w:r>
        <w:rPr>
          <w:rFonts w:hint="eastAsia" w:asciiTheme="minorEastAsia" w:hAnsiTheme="minorEastAsia" w:eastAsiaTheme="minorEastAsia"/>
          <w:szCs w:val="21"/>
        </w:rPr>
        <w:t>12.8</w:t>
      </w:r>
      <w:r>
        <w:rPr>
          <w:rFonts w:hint="eastAsia" w:cs="Times New Roman" w:asciiTheme="minorEastAsia" w:hAnsiTheme="minorEastAsia" w:eastAsiaTheme="minorEastAsia"/>
          <w:bCs/>
          <w:szCs w:val="21"/>
          <w:lang w:val="en-US" w:eastAsia="zh-CN"/>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5" w:name="_Toc6070"/>
      <w:r>
        <w:rPr>
          <w:rFonts w:hint="eastAsia" w:asciiTheme="minorEastAsia" w:hAnsiTheme="minorEastAsia" w:eastAsiaTheme="minorEastAsia"/>
          <w:b/>
          <w:iCs/>
        </w:rPr>
        <w:t>四、响应文件的递交</w:t>
      </w:r>
      <w:bookmarkEnd w:id="1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24040"/>
      <w:r>
        <w:rPr>
          <w:rFonts w:hint="eastAsia" w:asciiTheme="minorEastAsia" w:hAnsiTheme="minorEastAsia" w:eastAsiaTheme="minorEastAsia"/>
          <w:b/>
          <w:iCs/>
        </w:rPr>
        <w:t>五、响应文件的评审</w:t>
      </w:r>
      <w:bookmarkEnd w:id="16"/>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19842"/>
      <w:r>
        <w:rPr>
          <w:rFonts w:hint="eastAsia" w:asciiTheme="minorEastAsia" w:hAnsiTheme="minorEastAsia" w:eastAsiaTheme="minorEastAsia"/>
          <w:b/>
          <w:iCs/>
        </w:rPr>
        <w:t>六、响应文件的澄清、说明及补正</w:t>
      </w:r>
      <w:bookmarkEnd w:id="17"/>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303"/>
      <w:r>
        <w:rPr>
          <w:rFonts w:hint="eastAsia" w:asciiTheme="minorEastAsia" w:hAnsiTheme="minorEastAsia" w:eastAsiaTheme="minorEastAsia"/>
          <w:b/>
          <w:iCs/>
        </w:rPr>
        <w:t>七、中选结果与授予合同</w:t>
      </w:r>
      <w:bookmarkEnd w:id="18"/>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9" w:name="page32"/>
      <w:bookmarkEnd w:id="19"/>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0"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0"/>
    </w:p>
    <w:p>
      <w:pPr>
        <w:adjustRightInd w:val="0"/>
        <w:snapToGrid w:val="0"/>
        <w:spacing w:line="360" w:lineRule="auto"/>
        <w:ind w:firstLine="420" w:firstLineChars="200"/>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w:t>
      </w:r>
      <w:r>
        <w:rPr>
          <w:rFonts w:hint="eastAsia" w:asciiTheme="minorEastAsia" w:hAnsiTheme="minorEastAsia" w:eastAsiaTheme="minorEastAsia"/>
          <w:szCs w:val="21"/>
          <w:lang w:eastAsia="zh-CN"/>
        </w:rPr>
        <w:t>定进行处理。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1" w:name="_Toc10493"/>
      <w:r>
        <w:rPr>
          <w:rFonts w:hint="eastAsia" w:cs="宋体" w:asciiTheme="minorEastAsia" w:hAnsiTheme="minorEastAsia" w:eastAsiaTheme="minorEastAsia"/>
          <w:bCs w:val="0"/>
          <w:sz w:val="32"/>
          <w:szCs w:val="32"/>
        </w:rPr>
        <w:t>第三章 评审办法及标准</w:t>
      </w:r>
      <w:bookmarkEnd w:id="21"/>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2" w:name="_Toc5767"/>
      <w:r>
        <w:rPr>
          <w:rFonts w:hint="eastAsia" w:cs="宋体" w:asciiTheme="minorEastAsia" w:hAnsiTheme="minorEastAsia" w:eastAsiaTheme="minorEastAsia"/>
          <w:b/>
        </w:rPr>
        <w:t>一、评审办法</w:t>
      </w:r>
      <w:bookmarkEnd w:id="22"/>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13176"/>
      <w:r>
        <w:rPr>
          <w:rFonts w:hint="eastAsia" w:cs="宋体" w:asciiTheme="minorEastAsia" w:hAnsiTheme="minorEastAsia" w:eastAsiaTheme="minorEastAsia"/>
          <w:b/>
        </w:rPr>
        <w:t>二、谈判程序</w:t>
      </w:r>
      <w:bookmarkEnd w:id="23"/>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5638"/>
      <w:r>
        <w:rPr>
          <w:rFonts w:hint="eastAsia" w:cs="宋体" w:asciiTheme="minorEastAsia" w:hAnsiTheme="minorEastAsia" w:eastAsiaTheme="minorEastAsia"/>
          <w:b/>
          <w:szCs w:val="21"/>
        </w:rPr>
        <w:t>三、谈判验证阶段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1262"/>
      <w:r>
        <w:rPr>
          <w:rFonts w:hint="eastAsia" w:cs="宋体" w:asciiTheme="minorEastAsia" w:hAnsiTheme="minorEastAsia" w:eastAsiaTheme="minorEastAsia"/>
          <w:b/>
          <w:szCs w:val="21"/>
        </w:rPr>
        <w:t>四、谈判评审阶段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6" w:name="_Toc32047"/>
      <w:r>
        <w:rPr>
          <w:rFonts w:hint="eastAsia" w:cs="宋体" w:asciiTheme="minorEastAsia" w:hAnsiTheme="minorEastAsia" w:eastAsiaTheme="minorEastAsia"/>
          <w:bCs w:val="0"/>
          <w:sz w:val="32"/>
          <w:szCs w:val="32"/>
        </w:rPr>
        <w:t>用户需求书</w:t>
      </w:r>
      <w:bookmarkStart w:id="27" w:name="_Toc5975439"/>
      <w:bookmarkStart w:id="28" w:name="_Toc4401260"/>
      <w:bookmarkStart w:id="29" w:name="_Toc8303500"/>
      <w:r>
        <w:rPr>
          <w:rFonts w:hint="eastAsia" w:cs="宋体" w:asciiTheme="minorEastAsia" w:hAnsiTheme="minorEastAsia" w:eastAsiaTheme="minorEastAsia"/>
          <w:bCs w:val="0"/>
          <w:sz w:val="32"/>
          <w:szCs w:val="32"/>
        </w:rPr>
        <w:t>（另册）</w:t>
      </w:r>
      <w:bookmarkEnd w:id="26"/>
    </w:p>
    <w:bookmarkEnd w:id="27"/>
    <w:bookmarkEnd w:id="28"/>
    <w:bookmarkEnd w:id="29"/>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30" w:name="_Toc27955"/>
      <w:r>
        <w:rPr>
          <w:rFonts w:hint="eastAsia" w:cs="宋体" w:asciiTheme="minorEastAsia" w:hAnsiTheme="minorEastAsia" w:eastAsiaTheme="minorEastAsia"/>
          <w:bCs w:val="0"/>
          <w:sz w:val="32"/>
          <w:szCs w:val="32"/>
        </w:rPr>
        <w:t>第五章  合同格式条款</w:t>
      </w:r>
      <w:bookmarkEnd w:id="30"/>
    </w:p>
    <w:p>
      <w:pPr>
        <w:spacing w:line="360" w:lineRule="auto"/>
        <w:jc w:val="right"/>
        <w:rPr>
          <w:rFonts w:cs="仿宋" w:asciiTheme="minorEastAsia" w:hAnsiTheme="minorEastAsia" w:eastAsiaTheme="minorEastAsia"/>
          <w:b/>
          <w:sz w:val="24"/>
        </w:rPr>
      </w:pPr>
    </w:p>
    <w:p>
      <w:pPr>
        <w:spacing w:line="360" w:lineRule="auto"/>
        <w:jc w:val="right"/>
        <w:rPr>
          <w:rFonts w:hint="eastAsia" w:ascii="仿宋_GB2312" w:hAnsi="仿宋_GB2312" w:eastAsia="仿宋_GB2312" w:cs="仿宋_GB2312"/>
          <w:b/>
          <w:sz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single"/>
        </w:rPr>
        <w:t xml:space="preserve">         合同【20   】   号</w:t>
      </w:r>
    </w:p>
    <w:p>
      <w:pPr>
        <w:adjustRightInd w:val="0"/>
        <w:snapToGrid w:val="0"/>
        <w:spacing w:line="40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pStyle w:val="2"/>
      </w:pPr>
    </w:p>
    <w:p>
      <w:pPr>
        <w:adjustRightInd w:val="0"/>
        <w:snapToGrid w:val="0"/>
        <w:spacing w:line="560" w:lineRule="exact"/>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highlight w:val="none"/>
        </w:rPr>
        <w:t>设备维修保养服务委外合同</w:t>
      </w:r>
      <w:r>
        <w:rPr>
          <w:rFonts w:hint="eastAsia" w:ascii="仿宋_GB2312" w:hAnsi="仿宋_GB2312" w:eastAsia="仿宋_GB2312" w:cs="仿宋_GB2312"/>
          <w:b/>
          <w:spacing w:val="20"/>
          <w:sz w:val="48"/>
          <w:szCs w:val="48"/>
        </w:rPr>
        <w:t xml:space="preserve"> </w:t>
      </w: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400" w:lineRule="exact"/>
        <w:rPr>
          <w:rFonts w:ascii="仿宋_GB2312" w:hAnsi="仿宋_GB2312" w:eastAsia="仿宋_GB2312" w:cs="仿宋_GB2312"/>
          <w:b/>
          <w:sz w:val="18"/>
          <w:szCs w:val="18"/>
        </w:rPr>
      </w:pPr>
    </w:p>
    <w:p>
      <w:pPr>
        <w:pStyle w:val="2"/>
      </w:pPr>
    </w:p>
    <w:p>
      <w:pPr>
        <w:pStyle w:val="2"/>
      </w:pP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长沙市轨道交通5号线运营期2021年-2024年净水一体机售后服务项目</w:t>
      </w: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pStyle w:val="33"/>
        <w:tabs>
          <w:tab w:val="left" w:pos="420"/>
          <w:tab w:val="right" w:leader="dot" w:pos="8820"/>
        </w:tabs>
        <w:spacing w:line="360" w:lineRule="auto"/>
        <w:jc w:val="center"/>
        <w:outlineLvl w:val="0"/>
        <w:rPr>
          <w:rFonts w:ascii="仿宋_GB2312" w:hAnsi="仿宋_GB2312" w:eastAsia="仿宋_GB2312" w:cs="仿宋_GB2312"/>
          <w:sz w:val="32"/>
          <w:szCs w:val="32"/>
          <w:highlight w:val="none"/>
          <w:u w:val="single"/>
        </w:rPr>
      </w:pPr>
      <w:r>
        <w:rPr>
          <w:rFonts w:hint="eastAsia" w:ascii="仿宋_GB2312" w:hAnsi="宋体" w:eastAsia="仿宋_GB2312" w:cs="仿宋_GB2312"/>
          <w:b/>
          <w:bCs/>
          <w:sz w:val="24"/>
          <w:lang w:bidi="ar"/>
        </w:rPr>
        <w:br w:type="page"/>
      </w:r>
      <w:bookmarkStart w:id="31" w:name="_Toc29208"/>
      <w:bookmarkStart w:id="32" w:name="_Toc30639"/>
      <w:bookmarkStart w:id="33" w:name="_Toc6432"/>
      <w:r>
        <w:rPr>
          <w:rFonts w:ascii="仿宋_GB2312" w:hAnsi="仿宋_GB2312" w:eastAsia="仿宋_GB2312" w:cs="仿宋_GB2312"/>
          <w:sz w:val="32"/>
          <w:szCs w:val="32"/>
          <w:highlight w:val="none"/>
        </w:rPr>
        <w:t>第一部分 合同协议书</w:t>
      </w:r>
      <w:bookmarkEnd w:id="31"/>
      <w:bookmarkEnd w:id="32"/>
    </w:p>
    <w:p>
      <w:pPr>
        <w:snapToGrid w:val="0"/>
        <w:spacing w:line="360" w:lineRule="auto"/>
        <w:rPr>
          <w:rFonts w:hint="eastAsia" w:ascii="仿宋_GB2312" w:hAnsi="仿宋_GB2312" w:eastAsia="仿宋_GB2312" w:cs="仿宋_GB2312"/>
          <w:b/>
          <w:highlight w:val="none"/>
        </w:rPr>
      </w:pPr>
    </w:p>
    <w:p>
      <w:pPr>
        <w:pStyle w:val="15"/>
        <w:tabs>
          <w:tab w:val="left" w:pos="720"/>
        </w:tabs>
        <w:snapToGrid w:val="0"/>
        <w:spacing w:line="360" w:lineRule="auto"/>
        <w:ind w:left="205" w:hanging="205" w:hangingChars="85"/>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rPr>
        <w:t>甲方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sz w:val="24"/>
          <w:highlight w:val="none"/>
          <w:u w:val="single"/>
        </w:rPr>
        <w:t xml:space="preserve">             </w:t>
      </w:r>
    </w:p>
    <w:p>
      <w:pPr>
        <w:autoSpaceDE w:val="0"/>
        <w:autoSpaceDN w:val="0"/>
        <w:snapToGrid w:val="0"/>
        <w:spacing w:line="360" w:lineRule="auto"/>
        <w:textAlignment w:val="bottom"/>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乙方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p>
    <w:p>
      <w:pPr>
        <w:autoSpaceDE w:val="0"/>
        <w:autoSpaceDN w:val="0"/>
        <w:snapToGrid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highlight w:val="none"/>
        </w:rPr>
        <w:t>根据《中华人民共和国合同法》及其他有关法律、法规，遵循平等、自愿、公平和诚实信用的原则</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双方就下述项目设备维修保养及有关事项协商一致</w:t>
      </w:r>
      <w:r>
        <w:rPr>
          <w:rFonts w:hint="eastAsia" w:ascii="仿宋_GB2312" w:hAnsi="仿宋_GB2312" w:eastAsia="仿宋_GB2312" w:cs="仿宋_GB2312"/>
          <w:sz w:val="24"/>
          <w:szCs w:val="24"/>
          <w:highlight w:val="none"/>
        </w:rPr>
        <w:t>，共同签订本合同。</w:t>
      </w:r>
    </w:p>
    <w:p>
      <w:pPr>
        <w:pStyle w:val="15"/>
        <w:tabs>
          <w:tab w:val="left" w:pos="720"/>
        </w:tabs>
        <w:snapToGrid w:val="0"/>
        <w:spacing w:line="360" w:lineRule="auto"/>
        <w:ind w:left="0" w:firstLine="48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一、项目概况</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1.项目名称：</w:t>
      </w:r>
      <w:r>
        <w:rPr>
          <w:rFonts w:hint="eastAsia" w:ascii="仿宋_GB2312" w:hAnsi="仿宋_GB2312" w:eastAsia="仿宋_GB2312" w:cs="仿宋_GB2312"/>
          <w:kern w:val="0"/>
          <w:sz w:val="24"/>
          <w:highlight w:val="none"/>
          <w:u w:val="single"/>
        </w:rPr>
        <w:t xml:space="preserve">             </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2.项目地点：</w:t>
      </w:r>
      <w:r>
        <w:rPr>
          <w:rFonts w:hint="eastAsia" w:ascii="仿宋_GB2312" w:hAnsi="仿宋_GB2312" w:eastAsia="仿宋_GB2312" w:cs="仿宋_GB2312"/>
          <w:kern w:val="0"/>
          <w:sz w:val="24"/>
          <w:highlight w:val="none"/>
          <w:u w:val="single"/>
        </w:rPr>
        <w:t xml:space="preserve"> 湖南省长沙市</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kern w:val="0"/>
          <w:sz w:val="24"/>
          <w:highlight w:val="none"/>
        </w:rPr>
        <w:t>.项目范围及内容</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snapToGrid w:val="0"/>
        <w:spacing w:line="360" w:lineRule="auto"/>
        <w:ind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二、服务期限</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highlight w:val="none"/>
          <w:lang w:eastAsia="zh-CN"/>
        </w:rPr>
        <w:t>三、</w:t>
      </w:r>
      <w:r>
        <w:rPr>
          <w:rFonts w:ascii="仿宋_GB2312" w:hAnsi="仿宋_GB2312" w:eastAsia="仿宋_GB2312" w:cs="仿宋_GB2312"/>
          <w:b/>
          <w:color w:val="auto"/>
          <w:sz w:val="24"/>
          <w:highlight w:val="none"/>
        </w:rPr>
        <w:t>合同价款</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rPr>
        <w:t>.合同价款形式：</w:t>
      </w:r>
    </w:p>
    <w:p>
      <w:pPr>
        <w:snapToGrid w:val="0"/>
        <w:spacing w:line="360" w:lineRule="auto"/>
        <w:ind w:firstLine="465"/>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□总价合同</w:t>
      </w:r>
      <w:r>
        <w:rPr>
          <w:rFonts w:hint="eastAsia" w:ascii="仿宋_GB2312" w:hAnsi="仿宋_GB2312" w:eastAsia="仿宋_GB2312" w:cs="仿宋_GB2312"/>
          <w:b/>
          <w:sz w:val="24"/>
          <w:szCs w:val="24"/>
          <w:highlight w:val="none"/>
          <w:u w:val="single"/>
        </w:rPr>
        <w:t>（</w:t>
      </w:r>
      <w:r>
        <w:rPr>
          <w:rFonts w:hint="eastAsia" w:ascii="仿宋_GB2312" w:hAnsi="仿宋_GB2312" w:eastAsia="仿宋_GB2312" w:cs="仿宋_GB2312"/>
          <w:sz w:val="24"/>
          <w:szCs w:val="24"/>
          <w:highlight w:val="none"/>
          <w:u w:val="single"/>
        </w:rPr>
        <w:t>除税率调整外，合同总价</w:t>
      </w:r>
      <w:r>
        <w:rPr>
          <w:rFonts w:hint="eastAsia" w:ascii="仿宋_GB2312" w:hAnsi="仿宋_GB2312" w:eastAsia="仿宋_GB2312" w:cs="仿宋_GB2312"/>
          <w:kern w:val="0"/>
          <w:sz w:val="24"/>
          <w:highlight w:val="none"/>
          <w:u w:val="single"/>
        </w:rPr>
        <w:t>（即中标总价/中选总价/成交总价）</w:t>
      </w:r>
      <w:r>
        <w:rPr>
          <w:rFonts w:hint="eastAsia" w:ascii="仿宋_GB2312" w:hAnsi="仿宋_GB2312" w:eastAsia="仿宋_GB2312" w:cs="仿宋_GB2312"/>
          <w:sz w:val="24"/>
          <w:szCs w:val="24"/>
          <w:highlight w:val="none"/>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highlight w:val="none"/>
          <w:u w:val="single"/>
        </w:rPr>
        <w:t>）</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u w:val="single"/>
        </w:rPr>
        <w:t>□单价合同</w:t>
      </w:r>
      <w:r>
        <w:rPr>
          <w:rFonts w:ascii="仿宋_GB2312" w:hAnsi="仿宋_GB2312" w:eastAsia="仿宋_GB2312" w:cs="仿宋_GB2312"/>
          <w:b/>
          <w:color w:val="auto"/>
          <w:sz w:val="24"/>
          <w:szCs w:val="24"/>
          <w:highlight w:val="none"/>
          <w:u w:val="single"/>
        </w:rPr>
        <w:t>（</w:t>
      </w:r>
      <w:r>
        <w:rPr>
          <w:rFonts w:ascii="仿宋_GB2312" w:hAnsi="仿宋_GB2312" w:eastAsia="仿宋_GB2312" w:cs="仿宋_GB2312"/>
          <w:color w:val="auto"/>
          <w:sz w:val="24"/>
          <w:szCs w:val="24"/>
          <w:highlight w:val="none"/>
          <w:u w:val="single"/>
          <w:lang w:eastAsia="zh-CN"/>
        </w:rPr>
        <w:t>除税率调整外，</w:t>
      </w:r>
      <w:r>
        <w:rPr>
          <w:rFonts w:ascii="仿宋_GB2312" w:hAnsi="仿宋_GB2312" w:eastAsia="仿宋_GB2312" w:cs="仿宋_GB2312"/>
          <w:color w:val="auto"/>
          <w:sz w:val="24"/>
          <w:szCs w:val="24"/>
          <w:highlight w:val="none"/>
          <w:u w:val="single"/>
        </w:rPr>
        <w:t>合同单价</w:t>
      </w:r>
      <w:r>
        <w:rPr>
          <w:rFonts w:ascii="仿宋_GB2312" w:hAnsi="仿宋_GB2312" w:eastAsia="仿宋_GB2312" w:cs="仿宋_GB2312"/>
          <w:color w:val="auto"/>
          <w:sz w:val="24"/>
          <w:highlight w:val="none"/>
          <w:u w:val="single"/>
        </w:rPr>
        <w:t>（即中标单价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中选单价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成交单价）</w:t>
      </w:r>
      <w:r>
        <w:rPr>
          <w:rFonts w:ascii="仿宋_GB2312" w:hAnsi="仿宋_GB2312" w:eastAsia="仿宋_GB2312" w:cs="仿宋_GB2312"/>
          <w:color w:val="auto"/>
          <w:sz w:val="24"/>
          <w:szCs w:val="24"/>
          <w:highlight w:val="none"/>
          <w:u w:val="single"/>
          <w:lang w:eastAsia="zh-CN"/>
        </w:rPr>
        <w:t>在</w:t>
      </w:r>
      <w:r>
        <w:rPr>
          <w:rFonts w:ascii="仿宋_GB2312" w:hAnsi="仿宋_GB2312" w:eastAsia="仿宋_GB2312" w:cs="仿宋_GB2312"/>
          <w:color w:val="auto"/>
          <w:sz w:val="24"/>
          <w:szCs w:val="24"/>
          <w:highlight w:val="none"/>
          <w:u w:val="single"/>
        </w:rPr>
        <w:t>合同执行过程中固定不变，不随政府政策（长沙市规定的最低工资标准变化等）及市场物价上涨或回落等因素调整</w:t>
      </w:r>
      <w:r>
        <w:rPr>
          <w:rFonts w:ascii="仿宋_GB2312" w:hAnsi="仿宋_GB2312" w:eastAsia="仿宋_GB2312" w:cs="仿宋_GB2312"/>
          <w:b/>
          <w:color w:val="auto"/>
          <w:sz w:val="24"/>
          <w:szCs w:val="24"/>
          <w:highlight w:val="none"/>
          <w:u w:val="single"/>
        </w:rPr>
        <w:t>）</w:t>
      </w:r>
    </w:p>
    <w:p>
      <w:pPr>
        <w:spacing w:line="360" w:lineRule="auto"/>
        <w:ind w:firstLine="465"/>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w:t>
      </w:r>
    </w:p>
    <w:p>
      <w:pPr>
        <w:spacing w:line="360" w:lineRule="auto"/>
        <w:ind w:firstLine="465"/>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签约合同价为含增值税价，金额为人民币（大写）</w:t>
      </w:r>
      <w:r>
        <w:rPr>
          <w:rFonts w:hint="eastAsia" w:ascii="仿宋_GB2312" w:hAnsi="仿宋_GB2312" w:eastAsia="仿宋_GB2312" w:cs="仿宋_GB2312"/>
          <w:sz w:val="24"/>
          <w:szCs w:val="24"/>
          <w:highlight w:val="none"/>
          <w:u w:val="single"/>
        </w:rPr>
        <w:t>          </w:t>
      </w:r>
      <w:r>
        <w:rPr>
          <w:rFonts w:ascii="Times New Roman" w:hAnsi="Times New Roman" w:eastAsia="仿宋_GB2312"/>
          <w:sz w:val="24"/>
          <w:szCs w:val="24"/>
          <w:highlight w:val="none"/>
        </w:rPr>
        <w:t>（</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），其中不含增值税价格为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、签约合同价中的增值税为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w:t>
      </w:r>
      <w:r>
        <w:rPr>
          <w:rFonts w:hint="eastAsia" w:ascii="仿宋_GB2312" w:hAnsi="仿宋_GB2312" w:eastAsia="仿宋_GB2312" w:cs="仿宋_GB2312"/>
          <w:sz w:val="24"/>
          <w:szCs w:val="24"/>
          <w:highlight w:val="none"/>
        </w:rPr>
        <w:t>增值税根据乙方提供给甲方的增值税专用发票中的税额据实支付和结算</w:t>
      </w:r>
      <w:r>
        <w:rPr>
          <w:rFonts w:hint="eastAsia" w:ascii="仿宋_GB2312" w:hAnsi="仿宋_GB2312" w:eastAsia="仿宋_GB2312" w:cs="仿宋_GB2312"/>
          <w:kern w:val="0"/>
          <w:sz w:val="24"/>
          <w:highlight w:val="none"/>
          <w:shd w:val="clear" w:color="auto" w:fill="FFFFFF"/>
        </w:rPr>
        <w:t>，</w:t>
      </w:r>
      <w:r>
        <w:rPr>
          <w:rFonts w:hint="eastAsia" w:ascii="仿宋_GB2312" w:hAnsi="仿宋_GB2312" w:eastAsia="仿宋_GB2312" w:cs="仿宋_GB2312"/>
          <w:sz w:val="24"/>
          <w:highlight w:val="none"/>
        </w:rPr>
        <w:t>具体价格组成详见签约合同价清单。</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按长沙市政府或其职能部门相关规定，本项目的合同价格（即结算价格）最终以</w:t>
      </w:r>
      <w:r>
        <w:rPr>
          <w:rFonts w:ascii="仿宋_GB2312" w:hAnsi="仿宋_GB2312" w:eastAsia="仿宋_GB2312" w:cs="仿宋_GB2312"/>
          <w:sz w:val="24"/>
          <w:szCs w:val="24"/>
          <w:highlight w:val="none"/>
          <w:u w:val="single"/>
        </w:rPr>
        <w:t>□长沙市政府相关职能部门或长沙市轨道交通集团有限公司授权的单位审定价款为准</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t>□履约验收合格确定的最终价款为准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四、合同文件及优先解释顺序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（1）补充协议（如果有）；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kern w:val="0"/>
          <w:sz w:val="24"/>
          <w:highlight w:val="none"/>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乙方承诺</w:t>
      </w:r>
      <w:r>
        <w:rPr>
          <w:rFonts w:ascii="仿宋_GB2312" w:hAnsi="仿宋_GB2312" w:eastAsia="仿宋_GB2312" w:cs="仿宋_GB2312"/>
          <w:kern w:val="0"/>
          <w:sz w:val="24"/>
          <w:highlight w:val="none"/>
        </w:rPr>
        <w:t>按照法律法规和技术标准规定及合同约定</w:t>
      </w:r>
      <w:r>
        <w:rPr>
          <w:rFonts w:hint="eastAsia" w:ascii="仿宋_GB2312" w:hAnsi="仿宋_GB2312" w:eastAsia="仿宋_GB2312" w:cs="仿宋_GB2312"/>
          <w:sz w:val="24"/>
          <w:highlight w:val="none"/>
        </w:rPr>
        <w:t>提供货物和服务，并修补缺陷。</w:t>
      </w:r>
    </w:p>
    <w:p>
      <w:pPr>
        <w:spacing w:line="360" w:lineRule="auto"/>
        <w:ind w:firstLine="482" w:firstLineChars="20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34" w:name="_Toc351203489"/>
      <w:bookmarkStart w:id="35" w:name="_Toc406150418"/>
      <w:bookmarkStart w:id="36" w:name="_Toc457826147"/>
    </w:p>
    <w:p>
      <w:pPr>
        <w:spacing w:line="360" w:lineRule="auto"/>
        <w:ind w:firstLine="48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bookmarkEnd w:id="34"/>
      <w:bookmarkEnd w:id="35"/>
      <w:bookmarkEnd w:id="36"/>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37" w:name="_Toc457826148"/>
      <w:bookmarkStart w:id="38" w:name="_Toc406150419"/>
      <w:bookmarkStart w:id="39" w:name="_Toc35120349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37"/>
      <w:bookmarkEnd w:id="38"/>
      <w:bookmarkEnd w:id="39"/>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bookmarkStart w:id="40" w:name="_Toc351203492"/>
      <w:bookmarkStart w:id="41" w:name="_Toc457826149"/>
      <w:bookmarkStart w:id="42" w:name="_Toc40615042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bookmarkEnd w:id="40"/>
      <w:bookmarkEnd w:id="41"/>
      <w:bookmarkEnd w:id="42"/>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43" w:name="_Toc45782615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43"/>
    </w:p>
    <w:p>
      <w:pPr>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本合同一式十二份（其中正本二份、副本十份），甲方执八份（一正七副）、乙方执四份（一正三副）。合同正本和副本具有同等效力，当合同副本与正本之间存有差异时，以合同正本为准。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p>
    <w:p>
      <w:pPr>
        <w:pageBreakBefore/>
        <w:spacing w:line="5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26"/>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spacing w:line="360" w:lineRule="auto"/>
        <w:rPr>
          <w:rFonts w:hint="eastAsia" w:ascii="仿宋_GB2312" w:hAnsi="仿宋_GB2312" w:eastAsia="仿宋_GB2312" w:cs="仿宋_GB2312"/>
          <w:sz w:val="24"/>
          <w:szCs w:val="24"/>
          <w:highlight w:val="none"/>
        </w:rPr>
      </w:pPr>
    </w:p>
    <w:p>
      <w:pPr>
        <w:spacing w:line="360" w:lineRule="auto"/>
        <w:jc w:val="center"/>
        <w:outlineLvl w:val="0"/>
        <w:rPr>
          <w:rFonts w:hint="eastAsia" w:ascii="仿宋_GB2312" w:hAnsi="仿宋_GB2312" w:eastAsia="仿宋_GB2312" w:cs="仿宋_GB2312"/>
          <w:b/>
          <w:sz w:val="32"/>
          <w:szCs w:val="32"/>
          <w:highlight w:val="none"/>
        </w:rPr>
      </w:pPr>
      <w:bookmarkStart w:id="44" w:name="_Toc368066684"/>
      <w:bookmarkStart w:id="45" w:name="_Toc2245"/>
      <w:r>
        <w:rPr>
          <w:rFonts w:hint="eastAsia" w:ascii="仿宋_GB2312" w:hAnsi="仿宋_GB2312" w:eastAsia="仿宋_GB2312" w:cs="仿宋_GB2312"/>
          <w:b/>
          <w:sz w:val="32"/>
          <w:szCs w:val="32"/>
          <w:highlight w:val="none"/>
        </w:rPr>
        <w:br w:type="page"/>
      </w:r>
      <w:bookmarkStart w:id="46" w:name="_Toc11675"/>
      <w:r>
        <w:rPr>
          <w:rFonts w:hint="eastAsia" w:ascii="仿宋_GB2312" w:hAnsi="仿宋_GB2312" w:eastAsia="仿宋_GB2312" w:cs="仿宋_GB2312"/>
          <w:b/>
          <w:sz w:val="32"/>
          <w:szCs w:val="32"/>
          <w:highlight w:val="none"/>
        </w:rPr>
        <w:t xml:space="preserve">第二部分 </w:t>
      </w:r>
      <w:bookmarkEnd w:id="44"/>
      <w:bookmarkEnd w:id="45"/>
      <w:bookmarkEnd w:id="46"/>
      <w:bookmarkStart w:id="47" w:name="_Toc368066685"/>
      <w:bookmarkStart w:id="48" w:name="_Toc29343"/>
      <w:bookmarkStart w:id="49" w:name="_Toc26018"/>
      <w:r>
        <w:rPr>
          <w:rFonts w:hint="eastAsia" w:ascii="仿宋_GB2312" w:hAnsi="仿宋_GB2312" w:eastAsia="仿宋_GB2312" w:cs="仿宋_GB2312"/>
          <w:b/>
          <w:sz w:val="32"/>
          <w:szCs w:val="32"/>
          <w:highlight w:val="none"/>
        </w:rPr>
        <w:t>合同条款</w:t>
      </w:r>
      <w:bookmarkEnd w:id="47"/>
      <w:bookmarkEnd w:id="48"/>
      <w:bookmarkEnd w:id="49"/>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0" w:name="_Toc368066686"/>
      <w:bookmarkStart w:id="51" w:name="_Toc28651"/>
      <w:bookmarkStart w:id="52" w:name="_Toc7761"/>
      <w:bookmarkStart w:id="53" w:name="_Toc357774462"/>
      <w:bookmarkStart w:id="54" w:name="_Toc192323513"/>
      <w:bookmarkStart w:id="55" w:name="_Toc240992305"/>
      <w:bookmarkStart w:id="56" w:name="_Toc136850799"/>
      <w:r>
        <w:rPr>
          <w:rFonts w:hint="eastAsia" w:ascii="仿宋_GB2312" w:hAnsi="仿宋_GB2312" w:eastAsia="仿宋_GB2312" w:cs="仿宋_GB2312"/>
          <w:b/>
          <w:bCs/>
          <w:sz w:val="24"/>
          <w:szCs w:val="24"/>
          <w:highlight w:val="none"/>
        </w:rPr>
        <w:t>1、</w:t>
      </w:r>
      <w:bookmarkEnd w:id="50"/>
      <w:r>
        <w:rPr>
          <w:rFonts w:hint="eastAsia" w:ascii="仿宋_GB2312" w:hAnsi="仿宋_GB2312" w:eastAsia="仿宋_GB2312" w:cs="仿宋_GB2312"/>
          <w:b/>
          <w:bCs/>
          <w:sz w:val="24"/>
          <w:szCs w:val="24"/>
          <w:highlight w:val="none"/>
        </w:rPr>
        <w:t>定义</w:t>
      </w:r>
      <w:bookmarkEnd w:id="51"/>
      <w:bookmarkEnd w:id="52"/>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（2）“签约合同价”系</w:t>
      </w:r>
      <w:r>
        <w:rPr>
          <w:rFonts w:hint="eastAsia" w:ascii="仿宋_GB2312" w:hAnsi="仿宋_GB2312" w:eastAsia="仿宋_GB2312" w:cs="仿宋_GB2312"/>
          <w:highlight w:val="none"/>
        </w:rPr>
        <w:t>指甲方</w:t>
      </w:r>
      <w:r>
        <w:rPr>
          <w:rFonts w:hint="eastAsia" w:ascii="仿宋_GB2312" w:hAnsi="仿宋_GB2312" w:eastAsia="仿宋_GB2312" w:cs="仿宋_GB2312"/>
          <w:sz w:val="24"/>
          <w:highlight w:val="none"/>
        </w:rPr>
        <w:t>和</w:t>
      </w:r>
      <w:r>
        <w:rPr>
          <w:rFonts w:hint="eastAsia" w:ascii="仿宋_GB2312" w:hAnsi="仿宋_GB2312" w:eastAsia="仿宋_GB2312" w:cs="仿宋_GB2312"/>
          <w:highlight w:val="none"/>
        </w:rPr>
        <w:t>乙方</w:t>
      </w:r>
      <w:r>
        <w:rPr>
          <w:rFonts w:hint="eastAsia" w:ascii="仿宋_GB2312" w:hAnsi="仿宋_GB2312" w:eastAsia="仿宋_GB2312" w:cs="仿宋_GB2312"/>
          <w:sz w:val="24"/>
          <w:highlight w:val="none"/>
        </w:rPr>
        <w:t>在合同协议书中确定的金额，即本项目的中标价格/中选价格/成交价格。</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（3）“合同价格”系指根据本合同规定乙方在正确地完全履行合同义务后，</w:t>
      </w:r>
      <w:r>
        <w:rPr>
          <w:rFonts w:hint="eastAsia" w:ascii="仿宋_GB2312" w:hAnsi="仿宋_GB2312" w:eastAsia="仿宋_GB2312" w:cs="仿宋_GB2312"/>
          <w:kern w:val="0"/>
          <w:sz w:val="24"/>
          <w:szCs w:val="24"/>
          <w:highlight w:val="none"/>
        </w:rPr>
        <w:t>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（4）“甲方”是指承担直接投资责任和委托维修保养业务的一方以及其合法继承人，即合同协议书中所述的甲方。</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（5）“乙方”是指承担维修保养业务和维修保养责任的一方以及其合法继承人，即合同协议书中所述的乙方。</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（6）“维保机构”是指乙方派驻本工程现场实施维修保养业务的组织。</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（7）“日”是指任何一天零时至第二天零时的时间段。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（8）“月”是指根据公历从一个月份中任何一天开始到下一个月相应日期的前一天的时间段。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（10）“响应时间”是指在接报故障后赶赴且到达现场处理的时间。</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（11）“接报”是指甲方通知乙方的形式，包括口头、电话、电子邮件、书面等。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（12）“现场”是指故障发生地点、区段，或报故障车站、部门等。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（14）“履约验收”系指按照长沙市政府相关职能部门或长沙市轨道交通集团有限公司或</w:t>
      </w:r>
      <w:r>
        <w:rPr>
          <w:rFonts w:ascii="仿宋_GB2312" w:hAnsi="仿宋_GB2312" w:eastAsia="仿宋_GB2312" w:cs="仿宋_GB2312"/>
          <w:sz w:val="24"/>
          <w:szCs w:val="24"/>
          <w:highlight w:val="none"/>
        </w:rPr>
        <w:t>长沙市轨道交通集团有限公司</w:t>
      </w:r>
      <w:r>
        <w:rPr>
          <w:rFonts w:hint="eastAsia" w:ascii="仿宋_GB2312" w:hAnsi="仿宋_GB2312" w:eastAsia="仿宋_GB2312" w:cs="仿宋_GB2312"/>
          <w:sz w:val="24"/>
          <w:szCs w:val="24"/>
          <w:highlight w:val="none"/>
        </w:rPr>
        <w:t>授权的单位制定的履约验收相关管理规定办理验收。</w:t>
      </w:r>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7" w:name="_Toc20721"/>
      <w:bookmarkStart w:id="58" w:name="_Toc12453"/>
      <w:bookmarkStart w:id="59" w:name="_Toc368066687"/>
      <w:r>
        <w:rPr>
          <w:rFonts w:hint="eastAsia" w:ascii="仿宋_GB2312" w:hAnsi="仿宋_GB2312" w:eastAsia="仿宋_GB2312" w:cs="仿宋_GB2312"/>
          <w:b/>
          <w:bCs/>
          <w:sz w:val="24"/>
          <w:szCs w:val="24"/>
          <w:highlight w:val="none"/>
        </w:rPr>
        <w:t>2、标准和规范</w:t>
      </w:r>
      <w:bookmarkEnd w:id="57"/>
      <w:bookmarkEnd w:id="58"/>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适用国家标准、行业标准、工程所在地的地方性标准，以及相应的规范、规程等。</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2.2</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甲方</w:t>
      </w:r>
      <w:r>
        <w:rPr>
          <w:rFonts w:ascii="仿宋_GB2312" w:hAnsi="仿宋_GB2312" w:eastAsia="仿宋_GB2312" w:cs="仿宋_GB2312"/>
          <w:color w:val="auto"/>
          <w:sz w:val="24"/>
          <w:szCs w:val="24"/>
          <w:highlight w:val="none"/>
        </w:rPr>
        <w:t>对</w:t>
      </w:r>
      <w:r>
        <w:rPr>
          <w:rFonts w:ascii="仿宋_GB2312" w:hAnsi="仿宋_GB2312" w:eastAsia="仿宋_GB2312" w:cs="仿宋_GB2312"/>
          <w:color w:val="auto"/>
          <w:sz w:val="24"/>
          <w:szCs w:val="24"/>
          <w:highlight w:val="none"/>
          <w:lang w:eastAsia="zh-CN"/>
        </w:rPr>
        <w:t>本项目</w:t>
      </w:r>
      <w:r>
        <w:rPr>
          <w:rFonts w:ascii="仿宋_GB2312" w:hAnsi="仿宋_GB2312" w:eastAsia="仿宋_GB2312" w:cs="仿宋_GB2312"/>
          <w:color w:val="auto"/>
          <w:sz w:val="24"/>
          <w:szCs w:val="24"/>
          <w:highlight w:val="none"/>
        </w:rPr>
        <w:t>的技术标准</w:t>
      </w:r>
      <w:r>
        <w:rPr>
          <w:rFonts w:ascii="仿宋_GB2312" w:hAnsi="仿宋_GB2312" w:eastAsia="仿宋_GB2312" w:cs="仿宋_GB2312"/>
          <w:color w:val="auto"/>
          <w:sz w:val="24"/>
          <w:szCs w:val="24"/>
          <w:highlight w:val="none"/>
          <w:lang w:eastAsia="zh-CN"/>
        </w:rPr>
        <w:t>或功能的其他要求</w:t>
      </w:r>
      <w:r>
        <w:rPr>
          <w:rFonts w:ascii="仿宋_GB2312" w:hAnsi="仿宋_GB2312" w:eastAsia="仿宋_GB2312" w:cs="仿宋_GB2312"/>
          <w:color w:val="auto"/>
          <w:sz w:val="24"/>
          <w:szCs w:val="24"/>
          <w:highlight w:val="none"/>
          <w:u w:val="single"/>
          <w:lang w:val="en-US" w:eastAsia="zh-CN"/>
        </w:rPr>
        <w:t>以用户需求书/技术规格书为准</w:t>
      </w:r>
      <w:r>
        <w:rPr>
          <w:rFonts w:ascii="仿宋_GB2312" w:hAnsi="仿宋_GB2312" w:eastAsia="仿宋_GB2312" w:cs="仿宋_GB2312"/>
          <w:color w:val="auto"/>
          <w:sz w:val="24"/>
          <w:szCs w:val="24"/>
          <w:highlight w:val="none"/>
          <w:lang w:val="en-US" w:eastAsia="zh-CN"/>
        </w:rPr>
        <w:t>。</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60" w:name="_Toc1523"/>
      <w:bookmarkStart w:id="61" w:name="_Toc10573"/>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bookmarkEnd w:id="59"/>
      <w:bookmarkEnd w:id="60"/>
      <w:bookmarkEnd w:id="61"/>
      <w:bookmarkStart w:id="62" w:name="_Toc23394"/>
      <w:bookmarkStart w:id="63" w:name="_Toc23767"/>
      <w:r>
        <w:rPr>
          <w:rFonts w:ascii="仿宋_GB2312" w:hAnsi="仿宋_GB2312" w:eastAsia="仿宋_GB2312" w:cs="仿宋_GB2312"/>
          <w:b/>
          <w:bCs/>
          <w:color w:val="auto"/>
          <w:sz w:val="24"/>
          <w:szCs w:val="24"/>
          <w:highlight w:val="none"/>
          <w:lang w:eastAsia="zh-CN"/>
        </w:rPr>
        <w:t>价款支付</w:t>
      </w:r>
      <w:bookmarkEnd w:id="62"/>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3.1 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bookmarkStart w:id="64" w:name="_Toc19286"/>
      <w:r>
        <w:rPr>
          <w:rFonts w:hint="default"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lang w:val="en-US" w:eastAsia="zh-CN"/>
        </w:rPr>
        <w:t>.2 中间付款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付款周期为每</w:t>
      </w:r>
      <w:r>
        <w:rPr>
          <w:rFonts w:hint="eastAsia" w:ascii="仿宋_GB2312" w:hAnsi="仿宋_GB2312" w:eastAsia="仿宋_GB2312" w:cs="仿宋_GB2312"/>
          <w:sz w:val="24"/>
          <w:szCs w:val="24"/>
          <w:highlight w:val="none"/>
          <w:lang w:val="en-US" w:eastAsia="zh-CN"/>
        </w:rPr>
        <w:t>半年</w:t>
      </w:r>
      <w:r>
        <w:rPr>
          <w:rFonts w:ascii="仿宋_GB2312" w:hAnsi="仿宋_GB2312" w:eastAsia="仿宋_GB2312" w:cs="仿宋_GB2312"/>
          <w:sz w:val="24"/>
          <w:szCs w:val="24"/>
          <w:highlight w:val="none"/>
          <w:lang w:val="en-US" w:eastAsia="zh-CN"/>
        </w:rPr>
        <w:t>支付一次。每次为按签约合同价的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0%平均到每个付款周期，并依据甲方对乙方的考核结果向乙方支付上一个付款周期的价款；中间支付的累计付款金额不超过签约合同价的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w:t>
      </w:r>
    </w:p>
    <w:p>
      <w:pPr>
        <w:pStyle w:val="42"/>
        <w:adjustRightInd w:val="0"/>
        <w:snapToGrid w:val="0"/>
        <w:spacing w:before="0" w:beforeAutospacing="0" w:after="0" w:afterAutospacing="0" w:line="360" w:lineRule="auto"/>
        <w:ind w:firstLine="480" w:firstLineChars="20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 最终付款</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乙方按合同约定完成全部工作、项目通过最终验收，</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szCs w:val="24"/>
          <w:highlight w:val="none"/>
          <w:u w:val="single"/>
        </w:rPr>
        <w:t>□本项目的</w:t>
      </w:r>
      <w:r>
        <w:rPr>
          <w:rFonts w:hint="eastAsia" w:ascii="仿宋_GB2312" w:hAnsi="仿宋_GB2312" w:eastAsia="仿宋_GB2312" w:cs="仿宋_GB2312"/>
          <w:sz w:val="24"/>
          <w:szCs w:val="24"/>
          <w:highlight w:val="none"/>
          <w:u w:val="single"/>
        </w:rPr>
        <w:t>合同价格（即</w:t>
      </w:r>
      <w:r>
        <w:rPr>
          <w:rFonts w:ascii="仿宋_GB2312" w:hAnsi="仿宋_GB2312" w:eastAsia="仿宋_GB2312" w:cs="仿宋_GB2312"/>
          <w:sz w:val="24"/>
          <w:szCs w:val="24"/>
          <w:highlight w:val="none"/>
          <w:u w:val="single"/>
        </w:rPr>
        <w:t>结算价格</w:t>
      </w:r>
      <w:r>
        <w:rPr>
          <w:rFonts w:hint="eastAsia" w:ascii="仿宋_GB2312" w:hAnsi="仿宋_GB2312" w:eastAsia="仿宋_GB2312" w:cs="仿宋_GB2312"/>
          <w:sz w:val="24"/>
          <w:szCs w:val="24"/>
          <w:highlight w:val="none"/>
          <w:u w:val="single"/>
        </w:rPr>
        <w:t>）</w:t>
      </w:r>
      <w:r>
        <w:rPr>
          <w:rFonts w:ascii="仿宋_GB2312" w:hAnsi="仿宋_GB2312" w:eastAsia="仿宋_GB2312" w:cs="仿宋_GB2312"/>
          <w:sz w:val="24"/>
          <w:szCs w:val="24"/>
          <w:highlight w:val="none"/>
          <w:u w:val="single"/>
        </w:rPr>
        <w:t>经长沙市政府相关职能部门或长沙市轨道交通集团有限公司授权的单位审定</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sym w:font="Wingdings 2" w:char="0052"/>
      </w:r>
      <w:r>
        <w:rPr>
          <w:rFonts w:ascii="仿宋_GB2312" w:hAnsi="仿宋_GB2312" w:eastAsia="仿宋_GB2312" w:cs="仿宋_GB2312"/>
          <w:sz w:val="24"/>
          <w:szCs w:val="24"/>
          <w:highlight w:val="none"/>
          <w:u w:val="single"/>
        </w:rPr>
        <w:t>本项目履约验收合格</w:t>
      </w:r>
      <w:r>
        <w:rPr>
          <w:rFonts w:hint="eastAsia" w:ascii="仿宋_GB2312" w:hAnsi="仿宋_GB2312" w:eastAsia="仿宋_GB2312" w:cs="仿宋_GB2312"/>
          <w:kern w:val="0"/>
          <w:sz w:val="24"/>
          <w:szCs w:val="24"/>
          <w:highlight w:val="none"/>
        </w:rPr>
        <w:t>后，在收到经甲方批复的支付申请及增值税专用发票等资料并证实完整无误后28个工作日内，支付至合同价格的100%。</w:t>
      </w:r>
    </w:p>
    <w:p>
      <w:pPr>
        <w:spacing w:line="360" w:lineRule="auto"/>
        <w:ind w:firstLine="472" w:firstLineChars="196"/>
        <w:outlineLvl w:val="1"/>
        <w:rPr>
          <w:rFonts w:hint="eastAsia"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4</w:t>
      </w:r>
      <w:r>
        <w:rPr>
          <w:rFonts w:hint="eastAsia" w:ascii="仿宋_GB2312" w:hAnsi="仿宋_GB2312" w:eastAsia="仿宋_GB2312" w:cs="仿宋_GB2312"/>
          <w:b/>
          <w:bCs/>
          <w:sz w:val="24"/>
          <w:szCs w:val="24"/>
          <w:highlight w:val="none"/>
        </w:rPr>
        <w:t>、</w:t>
      </w:r>
      <w:bookmarkEnd w:id="53"/>
      <w:bookmarkEnd w:id="54"/>
      <w:bookmarkEnd w:id="55"/>
      <w:bookmarkEnd w:id="56"/>
      <w:r>
        <w:rPr>
          <w:rFonts w:hint="eastAsia" w:ascii="仿宋_GB2312" w:hAnsi="仿宋_GB2312" w:eastAsia="仿宋_GB2312" w:cs="仿宋_GB2312"/>
          <w:b/>
          <w:bCs/>
          <w:sz w:val="24"/>
          <w:szCs w:val="24"/>
          <w:highlight w:val="none"/>
        </w:rPr>
        <w:t>履约担保</w:t>
      </w:r>
      <w:bookmarkEnd w:id="63"/>
      <w:bookmarkEnd w:id="64"/>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bookmarkStart w:id="65" w:name="_Toc443376818"/>
      <w:bookmarkStart w:id="66" w:name="_Toc443208225"/>
      <w:r>
        <w:rPr>
          <w:rFonts w:ascii="仿宋_GB2312" w:hAnsi="仿宋_GB2312" w:eastAsia="仿宋_GB2312" w:cs="仿宋_GB2312"/>
          <w:kern w:val="0"/>
          <w:sz w:val="24"/>
          <w:szCs w:val="24"/>
          <w:highlight w:val="none"/>
        </w:rPr>
        <w:t xml:space="preserve">4.1 </w:t>
      </w:r>
      <w:r>
        <w:rPr>
          <w:rFonts w:hint="eastAsia" w:ascii="仿宋_GB2312" w:hAnsi="仿宋_GB2312" w:eastAsia="仿宋_GB2312" w:cs="仿宋_GB2312"/>
          <w:kern w:val="0"/>
          <w:sz w:val="24"/>
          <w:szCs w:val="24"/>
          <w:highlight w:val="none"/>
        </w:rPr>
        <w:t>乙方</w:t>
      </w:r>
      <w:r>
        <w:rPr>
          <w:rFonts w:hint="eastAsia" w:ascii="仿宋_GB2312" w:hAnsi="仿宋_GB2312" w:eastAsia="仿宋_GB2312" w:cs="仿宋_GB2312"/>
          <w:kern w:val="0"/>
          <w:sz w:val="24"/>
          <w:szCs w:val="24"/>
          <w:highlight w:val="none"/>
          <w:u w:val="single"/>
        </w:rPr>
        <w:sym w:font="Wingdings 2" w:char="0052"/>
      </w:r>
      <w:r>
        <w:rPr>
          <w:rFonts w:hint="eastAsia" w:ascii="仿宋_GB2312" w:hAnsi="仿宋_GB2312" w:eastAsia="仿宋_GB2312" w:cs="仿宋_GB2312"/>
          <w:kern w:val="0"/>
          <w:sz w:val="24"/>
          <w:szCs w:val="24"/>
          <w:highlight w:val="none"/>
          <w:u w:val="single"/>
        </w:rPr>
        <w:t>需要</w:t>
      </w:r>
      <w:r>
        <w:rPr>
          <w:rFonts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u w:val="single"/>
        </w:rPr>
        <w:t>□不需要</w:t>
      </w:r>
      <w:r>
        <w:rPr>
          <w:rFonts w:hint="eastAsia" w:ascii="仿宋_GB2312" w:hAnsi="仿宋_GB2312" w:eastAsia="仿宋_GB2312" w:cs="仿宋_GB2312"/>
          <w:kern w:val="0"/>
          <w:sz w:val="24"/>
          <w:szCs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 xml:space="preserve">4.2 </w:t>
      </w:r>
      <w:r>
        <w:rPr>
          <w:rFonts w:hint="eastAsia" w:ascii="仿宋_GB2312" w:hAnsi="仿宋_GB2312" w:eastAsia="仿宋_GB2312" w:cs="仿宋_GB2312"/>
          <w:kern w:val="0"/>
          <w:sz w:val="24"/>
          <w:szCs w:val="24"/>
          <w:highlight w:val="none"/>
        </w:rPr>
        <w:t>如需要乙方提供履约担保，则：</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4.2.1</w:t>
      </w:r>
      <w:r>
        <w:rPr>
          <w:rFonts w:hint="eastAsia" w:ascii="仿宋_GB2312" w:hAnsi="仿宋_GB2312" w:eastAsia="仿宋_GB2312" w:cs="仿宋_GB2312"/>
          <w:kern w:val="0"/>
          <w:sz w:val="24"/>
          <w:szCs w:val="24"/>
          <w:highlight w:val="none"/>
        </w:rPr>
        <w:t>履约担保用于补偿甲方因乙方不能完成其合同义务而蒙受的损失，是办理付款的必要条件之一，乙方应在本合同签订后15个工作日内提供履约担保。</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2.2</w:t>
      </w:r>
      <w:r>
        <w:rPr>
          <w:rFonts w:hint="eastAsia" w:ascii="仿宋_GB2312" w:hAnsi="仿宋_GB2312" w:eastAsia="仿宋_GB2312" w:cs="仿宋_GB2312"/>
          <w:sz w:val="24"/>
          <w:szCs w:val="24"/>
          <w:highlight w:val="none"/>
        </w:rPr>
        <w:t>乙方提供履约担保的形式、金额及期限可采用以下方式之一：</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4.2.3如需提供履约担保，则乙方应确保提供的银行履约保函持续有效，在银行履约保函到期前1</w:t>
      </w:r>
      <w:r>
        <w:rPr>
          <w:rFonts w:hint="eastAsia" w:ascii="仿宋_GB2312" w:hAnsi="仿宋_GB2312" w:eastAsia="仿宋_GB2312" w:cs="仿宋_GB2312"/>
          <w:kern w:val="0"/>
          <w:sz w:val="24"/>
          <w:szCs w:val="24"/>
          <w:highlight w:val="none"/>
        </w:rPr>
        <w:t>个月内办理好续保手续，并向甲方提供新的有效的银行履约保函。</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4.2.4在乙方完成其合同义务包括任何保证义务后，甲方将把履约担保无息退还乙方。</w:t>
      </w:r>
    </w:p>
    <w:bookmarkEnd w:id="65"/>
    <w:bookmarkEnd w:id="66"/>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7" w:name="_Toc21707"/>
      <w:bookmarkStart w:id="68" w:name="_Toc469"/>
      <w:r>
        <w:rPr>
          <w:rFonts w:ascii="仿宋_GB2312" w:hAnsi="仿宋_GB2312" w:eastAsia="仿宋_GB2312" w:cs="仿宋_GB2312"/>
          <w:b/>
          <w:bCs/>
          <w:sz w:val="24"/>
          <w:szCs w:val="24"/>
          <w:highlight w:val="none"/>
        </w:rPr>
        <w:t>5</w:t>
      </w:r>
      <w:r>
        <w:rPr>
          <w:rFonts w:hint="eastAsia" w:ascii="仿宋_GB2312" w:hAnsi="仿宋_GB2312" w:eastAsia="仿宋_GB2312" w:cs="仿宋_GB2312"/>
          <w:b/>
          <w:bCs/>
          <w:sz w:val="24"/>
          <w:szCs w:val="24"/>
          <w:highlight w:val="none"/>
        </w:rPr>
        <w:t>、合同变更</w:t>
      </w:r>
      <w:bookmarkEnd w:id="67"/>
      <w:bookmarkEnd w:id="68"/>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（1）要实施的工作的说明（如果有的话）以及工作的实施进度计划；</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（2）对进度计划或本合同项下的乙方义务进行任何必要的修改的建议；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（3）乙方对合同价格调整的建议。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收到乙方的上述递呈，并在与乙方适当协商后，甲方应尽快决定是否进行变更。</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（1）对合同中已明确并有定价的选项及替代方案，按合同列明的相应的金额计算；</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1）根据合同规定的原则计出总价；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2）根据合同单价和/或单位费率计算而计出总价；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3）根据合同价格类推和/或按比例计算而计出总价；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4）根据合同规定的相应成本确定。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9" w:name="_Toc28160"/>
      <w:bookmarkStart w:id="70" w:name="_Toc16499"/>
      <w:r>
        <w:rPr>
          <w:rFonts w:hint="eastAsia" w:ascii="仿宋_GB2312" w:hAnsi="仿宋_GB2312" w:eastAsia="仿宋_GB2312" w:cs="仿宋_GB2312"/>
          <w:b/>
          <w:bCs/>
          <w:sz w:val="24"/>
          <w:szCs w:val="24"/>
          <w:highlight w:val="none"/>
        </w:rPr>
        <w:t>6、材料设备供应</w:t>
      </w:r>
      <w:bookmarkEnd w:id="69"/>
      <w:bookmarkEnd w:id="70"/>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6.4 所有维修保养更换的损坏件，应交给甲方回收报废。</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71" w:name="_Toc16050"/>
      <w:bookmarkStart w:id="72" w:name="_Toc368066694"/>
      <w:bookmarkStart w:id="73" w:name="_Toc9335"/>
      <w:r>
        <w:rPr>
          <w:rFonts w:ascii="仿宋_GB2312" w:hAnsi="仿宋_GB2312" w:eastAsia="仿宋_GB2312" w:cs="仿宋_GB2312"/>
          <w:b/>
          <w:bCs/>
          <w:color w:val="auto"/>
          <w:sz w:val="24"/>
          <w:szCs w:val="24"/>
          <w:highlight w:val="none"/>
          <w:lang w:val="en-US" w:eastAsia="zh-CN"/>
        </w:rPr>
        <w:t>7</w:t>
      </w:r>
      <w:r>
        <w:rPr>
          <w:rFonts w:ascii="仿宋_GB2312" w:hAnsi="仿宋_GB2312" w:eastAsia="仿宋_GB2312" w:cs="仿宋_GB2312"/>
          <w:b/>
          <w:bCs/>
          <w:color w:val="auto"/>
          <w:sz w:val="24"/>
          <w:szCs w:val="24"/>
          <w:highlight w:val="none"/>
        </w:rPr>
        <w:t>、双方责任</w:t>
      </w:r>
      <w:bookmarkEnd w:id="71"/>
      <w:bookmarkEnd w:id="72"/>
      <w:bookmarkEnd w:id="73"/>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.1甲方责任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向乙方提供完成本项目的基础资料。</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协调乙方执行本合同与甲方内部有关职能部门的关系，办理有关内部批准文件。乙方进场维护保养时，甲方给予配合。</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甲方在本项目</w:t>
      </w:r>
      <w:r>
        <w:rPr>
          <w:rFonts w:ascii="仿宋_GB2312" w:hAnsi="仿宋_GB2312" w:eastAsia="仿宋_GB2312" w:cs="仿宋_GB2312"/>
          <w:color w:val="auto"/>
          <w:sz w:val="24"/>
          <w:szCs w:val="24"/>
          <w:highlight w:val="none"/>
          <w:lang w:eastAsia="zh-CN"/>
        </w:rPr>
        <w:t>履行期间</w:t>
      </w:r>
      <w:r>
        <w:rPr>
          <w:rFonts w:ascii="仿宋_GB2312" w:hAnsi="仿宋_GB2312" w:eastAsia="仿宋_GB2312" w:cs="仿宋_GB2312"/>
          <w:color w:val="auto"/>
          <w:sz w:val="24"/>
          <w:szCs w:val="24"/>
          <w:highlight w:val="none"/>
        </w:rPr>
        <w:t>派一名代表协助乙方处理维修保养中存在的问题，并对乙方维修保养工作进行监督、检查。</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根据本合同规定按时向乙方付款。</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按合同要求组织验收。</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乙方责任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bookmarkStart w:id="74" w:name="_Toc368066695"/>
      <w:bookmarkStart w:id="75" w:name="_Toc240992313"/>
      <w:bookmarkStart w:id="76" w:name="_Toc357774470"/>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）乙方应</w:t>
      </w:r>
      <w:r>
        <w:rPr>
          <w:rFonts w:ascii="仿宋_GB2312" w:hAnsi="仿宋_GB2312" w:eastAsia="仿宋_GB2312" w:cs="仿宋_GB2312"/>
          <w:color w:val="auto"/>
          <w:sz w:val="24"/>
          <w:szCs w:val="24"/>
          <w:highlight w:val="none"/>
        </w:rPr>
        <w:t>按照甲方要求制定详细的维修保养计划，经甲方审核后</w:t>
      </w:r>
      <w:r>
        <w:rPr>
          <w:rFonts w:ascii="仿宋_GB2312" w:hAnsi="仿宋_GB2312" w:eastAsia="仿宋_GB2312" w:cs="仿宋_GB2312"/>
          <w:color w:val="auto"/>
          <w:sz w:val="24"/>
          <w:szCs w:val="24"/>
          <w:highlight w:val="none"/>
          <w:lang w:eastAsia="zh-CN"/>
        </w:rPr>
        <w:t>方能进行</w:t>
      </w:r>
      <w:r>
        <w:rPr>
          <w:rFonts w:ascii="仿宋_GB2312" w:hAnsi="仿宋_GB2312" w:eastAsia="仿宋_GB2312" w:cs="仿宋_GB2312"/>
          <w:color w:val="auto"/>
          <w:sz w:val="24"/>
          <w:szCs w:val="24"/>
          <w:highlight w:val="none"/>
        </w:rPr>
        <w:t>设备维护维修工作。</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应严格按照合同</w:t>
      </w:r>
      <w:r>
        <w:rPr>
          <w:rFonts w:ascii="仿宋_GB2312" w:hAnsi="仿宋_GB2312" w:eastAsia="仿宋_GB2312" w:cs="仿宋_GB2312"/>
          <w:color w:val="auto"/>
          <w:sz w:val="24"/>
          <w:szCs w:val="24"/>
          <w:highlight w:val="none"/>
          <w:lang w:eastAsia="zh-CN"/>
        </w:rPr>
        <w:t>约定的标准、规范提供维修保养服务。</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维保人员</w:t>
      </w:r>
      <w:r>
        <w:rPr>
          <w:rFonts w:ascii="仿宋_GB2312" w:hAnsi="仿宋_GB2312" w:eastAsia="仿宋_GB2312" w:cs="仿宋_GB2312"/>
          <w:color w:val="auto"/>
          <w:sz w:val="24"/>
          <w:szCs w:val="24"/>
          <w:highlight w:val="none"/>
          <w:lang w:eastAsia="zh-CN"/>
        </w:rPr>
        <w:t>应</w:t>
      </w:r>
      <w:r>
        <w:rPr>
          <w:rFonts w:ascii="仿宋_GB2312" w:hAnsi="仿宋_GB2312" w:eastAsia="仿宋_GB2312" w:cs="仿宋_GB2312"/>
          <w:color w:val="auto"/>
          <w:sz w:val="24"/>
          <w:szCs w:val="24"/>
          <w:highlight w:val="none"/>
        </w:rPr>
        <w:t>统一着装，并</w:t>
      </w:r>
      <w:r>
        <w:rPr>
          <w:rFonts w:ascii="仿宋_GB2312" w:hAnsi="仿宋_GB2312" w:eastAsia="仿宋_GB2312" w:cs="仿宋_GB2312"/>
          <w:color w:val="auto"/>
          <w:sz w:val="24"/>
          <w:szCs w:val="24"/>
          <w:highlight w:val="none"/>
          <w:lang w:eastAsia="zh-CN"/>
        </w:rPr>
        <w:t>按有关规定</w:t>
      </w:r>
      <w:r>
        <w:rPr>
          <w:rFonts w:ascii="仿宋_GB2312" w:hAnsi="仿宋_GB2312" w:eastAsia="仿宋_GB2312" w:cs="仿宋_GB2312"/>
          <w:color w:val="auto"/>
          <w:sz w:val="24"/>
          <w:szCs w:val="24"/>
          <w:highlight w:val="none"/>
        </w:rPr>
        <w:t>配发劳保防护用品。</w:t>
      </w:r>
      <w:r>
        <w:rPr>
          <w:rFonts w:ascii="仿宋_GB2312" w:hAnsi="仿宋_GB2312" w:eastAsia="仿宋_GB2312" w:cs="仿宋_GB2312"/>
          <w:color w:val="auto"/>
          <w:sz w:val="24"/>
          <w:szCs w:val="24"/>
          <w:highlight w:val="none"/>
          <w:lang w:eastAsia="zh-CN"/>
        </w:rPr>
        <w:t>维修保养过程中，乙方须</w:t>
      </w:r>
      <w:r>
        <w:rPr>
          <w:rFonts w:ascii="仿宋_GB2312" w:hAnsi="仿宋_GB2312" w:eastAsia="仿宋_GB2312" w:cs="仿宋_GB2312"/>
          <w:color w:val="auto"/>
          <w:sz w:val="24"/>
          <w:szCs w:val="24"/>
          <w:highlight w:val="none"/>
        </w:rPr>
        <w:t>采取严格的安全防护措施。</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须安排专人</w:t>
      </w:r>
      <w:r>
        <w:rPr>
          <w:rFonts w:ascii="仿宋_GB2312" w:hAnsi="仿宋_GB2312" w:eastAsia="仿宋_GB2312" w:cs="仿宋_GB2312"/>
          <w:color w:val="auto"/>
          <w:sz w:val="24"/>
          <w:szCs w:val="24"/>
          <w:highlight w:val="none"/>
        </w:rPr>
        <w:t>值班，确保通讯畅通。</w:t>
      </w:r>
      <w:r>
        <w:rPr>
          <w:rFonts w:ascii="仿宋_GB2312" w:hAnsi="仿宋_GB2312" w:eastAsia="仿宋_GB2312" w:cs="仿宋_GB2312"/>
          <w:color w:val="auto"/>
          <w:sz w:val="24"/>
          <w:szCs w:val="24"/>
          <w:highlight w:val="none"/>
          <w:lang w:eastAsia="zh-CN"/>
        </w:rPr>
        <w:t>接到甲方通知后，按甲方要求在规定时间内响应并到达现场进行维修处理。</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）乙方须</w:t>
      </w:r>
      <w:r>
        <w:rPr>
          <w:rFonts w:ascii="仿宋_GB2312" w:hAnsi="仿宋_GB2312" w:eastAsia="仿宋_GB2312" w:cs="仿宋_GB2312"/>
          <w:color w:val="auto"/>
          <w:sz w:val="24"/>
          <w:szCs w:val="24"/>
          <w:highlight w:val="none"/>
        </w:rPr>
        <w:t>接受甲方对工期、质量、人员组成、设备、仪器、维护维修过程的监督。</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lang w:eastAsia="zh-CN"/>
        </w:rPr>
        <w:t>）乙方须按投标承诺配置维保机构人员，如投标阶段未明确人员名单，则乙方须按甲方要求将维保机构人员资料交甲方备案。维保机构</w:t>
      </w:r>
      <w:r>
        <w:rPr>
          <w:rFonts w:ascii="仿宋_GB2312" w:hAnsi="仿宋_GB2312" w:eastAsia="仿宋_GB2312" w:cs="仿宋_GB2312"/>
          <w:color w:val="auto"/>
          <w:sz w:val="24"/>
          <w:szCs w:val="24"/>
          <w:highlight w:val="none"/>
        </w:rPr>
        <w:t>人员数量及技术能力</w:t>
      </w:r>
      <w:r>
        <w:rPr>
          <w:rFonts w:ascii="仿宋_GB2312" w:hAnsi="仿宋_GB2312" w:eastAsia="仿宋_GB2312" w:cs="仿宋_GB2312"/>
          <w:color w:val="auto"/>
          <w:sz w:val="24"/>
          <w:szCs w:val="24"/>
          <w:highlight w:val="none"/>
          <w:lang w:eastAsia="zh-CN"/>
        </w:rPr>
        <w:t>应保持</w:t>
      </w:r>
      <w:r>
        <w:rPr>
          <w:rFonts w:ascii="仿宋_GB2312" w:hAnsi="仿宋_GB2312" w:eastAsia="仿宋_GB2312" w:cs="仿宋_GB2312"/>
          <w:color w:val="auto"/>
          <w:sz w:val="24"/>
          <w:szCs w:val="24"/>
          <w:highlight w:val="none"/>
        </w:rPr>
        <w:t>稳定，未经甲方许可不得擅自更换人员。</w:t>
      </w:r>
      <w:r>
        <w:rPr>
          <w:rFonts w:ascii="仿宋_GB2312" w:hAnsi="仿宋_GB2312" w:eastAsia="仿宋_GB2312" w:cs="仿宋_GB2312"/>
          <w:color w:val="auto"/>
          <w:sz w:val="24"/>
          <w:szCs w:val="24"/>
          <w:highlight w:val="none"/>
          <w:lang w:eastAsia="zh-CN"/>
        </w:rPr>
        <w:t>确需</w:t>
      </w:r>
      <w:r>
        <w:rPr>
          <w:rFonts w:ascii="仿宋_GB2312" w:hAnsi="仿宋_GB2312" w:eastAsia="仿宋_GB2312" w:cs="仿宋_GB2312"/>
          <w:color w:val="auto"/>
          <w:sz w:val="24"/>
          <w:szCs w:val="24"/>
          <w:highlight w:val="none"/>
        </w:rPr>
        <w:t>更换人员</w:t>
      </w:r>
      <w:r>
        <w:rPr>
          <w:rFonts w:ascii="仿宋_GB2312" w:hAnsi="仿宋_GB2312" w:eastAsia="仿宋_GB2312" w:cs="仿宋_GB2312"/>
          <w:color w:val="auto"/>
          <w:sz w:val="24"/>
          <w:szCs w:val="24"/>
          <w:highlight w:val="none"/>
          <w:lang w:eastAsia="zh-CN"/>
        </w:rPr>
        <w:t>的，乙方应按甲方相关规定办理变更手续，经甲方审批同意并按本合同第</w:t>
      </w:r>
      <w:r>
        <w:rPr>
          <w:rFonts w:ascii="仿宋_GB2312" w:hAnsi="仿宋_GB2312" w:eastAsia="仿宋_GB2312" w:cs="仿宋_GB2312"/>
          <w:color w:val="auto"/>
          <w:sz w:val="24"/>
          <w:szCs w:val="24"/>
          <w:highlight w:val="none"/>
          <w:lang w:val="en-US" w:eastAsia="zh-CN"/>
        </w:rPr>
        <w:t>10条支付违约金后方可更换</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w:t>
      </w:r>
      <w:r>
        <w:rPr>
          <w:rFonts w:ascii="仿宋_GB2312" w:hAnsi="仿宋_GB2312" w:eastAsia="仿宋_GB2312" w:cs="仿宋_GB2312"/>
          <w:color w:val="auto"/>
          <w:sz w:val="24"/>
          <w:szCs w:val="24"/>
          <w:highlight w:val="none"/>
        </w:rPr>
        <w:t>积极配合</w:t>
      </w:r>
      <w:r>
        <w:rPr>
          <w:rFonts w:ascii="仿宋_GB2312" w:hAnsi="仿宋_GB2312" w:eastAsia="仿宋_GB2312" w:cs="仿宋_GB2312"/>
          <w:color w:val="auto"/>
          <w:sz w:val="24"/>
          <w:szCs w:val="24"/>
          <w:highlight w:val="none"/>
          <w:lang w:eastAsia="zh-CN"/>
        </w:rPr>
        <w:t>行业主管部门</w:t>
      </w:r>
      <w:r>
        <w:rPr>
          <w:rFonts w:ascii="仿宋_GB2312" w:hAnsi="仿宋_GB2312" w:eastAsia="仿宋_GB2312" w:cs="仿宋_GB2312"/>
          <w:color w:val="auto"/>
          <w:sz w:val="24"/>
          <w:szCs w:val="24"/>
          <w:highlight w:val="none"/>
        </w:rPr>
        <w:t>对设备的检查、检测、遗留问题整改等</w:t>
      </w:r>
      <w:r>
        <w:rPr>
          <w:rFonts w:ascii="仿宋_GB2312" w:hAnsi="仿宋_GB2312" w:eastAsia="仿宋_GB2312" w:cs="仿宋_GB2312"/>
          <w:color w:val="auto"/>
          <w:sz w:val="24"/>
          <w:szCs w:val="24"/>
          <w:highlight w:val="none"/>
          <w:lang w:eastAsia="zh-CN"/>
        </w:rPr>
        <w:t>相关工作</w:t>
      </w:r>
      <w:r>
        <w:rPr>
          <w:rFonts w:ascii="仿宋_GB2312" w:hAnsi="仿宋_GB2312" w:eastAsia="仿宋_GB2312" w:cs="仿宋_GB2312"/>
          <w:color w:val="auto"/>
          <w:sz w:val="24"/>
          <w:szCs w:val="24"/>
          <w:highlight w:val="none"/>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82" w:firstLineChars="200"/>
        <w:rPr>
          <w:rFonts w:ascii="仿宋_GB2312" w:hAnsi="仿宋_GB2312" w:eastAsia="仿宋_GB2312" w:cs="仿宋_GB2312"/>
          <w:b/>
          <w:bCs/>
          <w:color w:val="auto"/>
          <w:sz w:val="24"/>
          <w:szCs w:val="24"/>
          <w:highlight w:val="none"/>
        </w:rPr>
      </w:pPr>
      <w:bookmarkStart w:id="77" w:name="_Toc13407"/>
      <w:bookmarkStart w:id="78" w:name="_Toc21185"/>
      <w:r>
        <w:rPr>
          <w:rFonts w:ascii="仿宋_GB2312" w:hAnsi="仿宋_GB2312" w:eastAsia="仿宋_GB2312" w:cs="仿宋_GB2312"/>
          <w:b/>
          <w:bCs/>
          <w:color w:val="auto"/>
          <w:sz w:val="24"/>
          <w:szCs w:val="24"/>
          <w:highlight w:val="none"/>
          <w:lang w:val="en-US" w:eastAsia="zh-CN"/>
        </w:rPr>
        <w:t>8</w:t>
      </w:r>
      <w:r>
        <w:rPr>
          <w:rFonts w:ascii="仿宋_GB2312" w:hAnsi="仿宋_GB2312" w:eastAsia="仿宋_GB2312" w:cs="仿宋_GB2312"/>
          <w:b/>
          <w:bCs/>
          <w:color w:val="auto"/>
          <w:sz w:val="24"/>
          <w:szCs w:val="24"/>
          <w:highlight w:val="none"/>
        </w:rPr>
        <w:t>、项目验收</w:t>
      </w:r>
      <w:bookmarkEnd w:id="74"/>
      <w:bookmarkEnd w:id="77"/>
      <w:bookmarkEnd w:id="78"/>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应按甲方规定的时间</w:t>
      </w:r>
      <w:r>
        <w:rPr>
          <w:rFonts w:ascii="仿宋_GB2312" w:hAnsi="仿宋_GB2312" w:eastAsia="仿宋_GB2312" w:cs="仿宋_GB2312"/>
          <w:color w:val="auto"/>
          <w:sz w:val="24"/>
          <w:szCs w:val="24"/>
          <w:highlight w:val="none"/>
        </w:rPr>
        <w:t>以书面形式提交维护保养报告，维护保养成果及维护保养报告经甲方确认达到本合同要求的技术及质量标准，视为验收合格。</w:t>
      </w:r>
      <w:r>
        <w:rPr>
          <w:rFonts w:ascii="仿宋_GB2312" w:hAnsi="仿宋_GB2312" w:eastAsia="仿宋_GB2312" w:cs="仿宋_GB2312"/>
          <w:color w:val="auto"/>
          <w:sz w:val="24"/>
          <w:szCs w:val="24"/>
          <w:highlight w:val="none"/>
          <w:lang w:eastAsia="zh-CN"/>
        </w:rPr>
        <w:t>具体要求以用户需求书</w:t>
      </w:r>
      <w:r>
        <w:rPr>
          <w:rFonts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lang w:eastAsia="zh-CN"/>
        </w:rPr>
        <w:t>技术规格书为准。</w:t>
      </w:r>
    </w:p>
    <w:bookmarkEnd w:id="75"/>
    <w:bookmarkEnd w:id="76"/>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bidi="ar"/>
        </w:rPr>
      </w:pPr>
      <w:bookmarkStart w:id="79" w:name="_Toc2817"/>
      <w:bookmarkStart w:id="80" w:name="_Toc368066696"/>
      <w:bookmarkStart w:id="81" w:name="_Toc26125"/>
      <w:bookmarkStart w:id="82" w:name="_Toc136850808"/>
      <w:r>
        <w:rPr>
          <w:rFonts w:ascii="仿宋_GB2312" w:hAnsi="仿宋_GB2312" w:eastAsia="仿宋_GB2312" w:cs="仿宋_GB2312"/>
          <w:b/>
          <w:bCs/>
          <w:color w:val="auto"/>
          <w:sz w:val="24"/>
          <w:szCs w:val="24"/>
          <w:highlight w:val="none"/>
          <w:lang w:val="en-US" w:eastAsia="zh-CN" w:bidi="ar"/>
        </w:rPr>
        <w:t>9、违约责任</w:t>
      </w:r>
      <w:bookmarkEnd w:id="79"/>
      <w:bookmarkEnd w:id="80"/>
      <w:bookmarkEnd w:id="81"/>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9.1人员管理不到位的违约责任</w:t>
      </w:r>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kern w:val="0"/>
          <w:sz w:val="24"/>
          <w:szCs w:val="24"/>
          <w:highlight w:val="none"/>
        </w:rPr>
        <w:t>合同履行期间，原则上不允许更换项目负责人，确需更换且符合合同要求的，乙方应按甲方相关规定办理变更手续，且只能更换一次；经报甲方审批同意更换项目负责人的，</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交纳10000元违约金。</w:t>
      </w:r>
      <w:r>
        <w:rPr>
          <w:rFonts w:hint="eastAsia" w:ascii="仿宋_GB2312" w:hAnsi="仿宋_GB2312" w:eastAsia="仿宋_GB2312" w:cs="仿宋_GB2312"/>
          <w:sz w:val="24"/>
          <w:highlight w:val="none"/>
        </w:rPr>
        <w:t>未经甲方审批同意，乙方擅自变更项目负责人的，每查实一次，</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w:t>
      </w:r>
      <w:r>
        <w:rPr>
          <w:rFonts w:hint="eastAsia" w:ascii="仿宋_GB2312" w:hAnsi="仿宋_GB2312" w:eastAsia="仿宋_GB2312" w:cs="仿宋_GB2312"/>
          <w:sz w:val="24"/>
          <w:highlight w:val="none"/>
        </w:rPr>
        <w:t>20000元违约金。</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kern w:val="0"/>
          <w:sz w:val="24"/>
          <w:szCs w:val="24"/>
          <w:highlight w:val="none"/>
        </w:rPr>
        <w:t>合同履行期间，原则上不允许乙方更换项目其他人员，确需更换且符合合同要求的，乙方应按甲方相关规定办理变更手续。更换人员人数每年达到项目总人数30%（不含）-50%（含）的，超过部分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交纳2000元/人的违约金；更换人员人数每年超过项目总人数50%以上的，超过部分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交纳4000元/人的违约金。未征得甲方审批同意，擅自更换其他人员，</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交纳支付4000元/人的违约金。</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szCs w:val="24"/>
          <w:highlight w:val="none"/>
          <w:lang w:val="en-US" w:eastAsia="zh-CN"/>
        </w:rPr>
        <w:t>（3）项目负责人缺勤的，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500元/天的违约金；项目其他人员缺勤的，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200元/人天的违约金。</w:t>
      </w:r>
      <w:r>
        <w:rPr>
          <w:rFonts w:ascii="仿宋_GB2312" w:hAnsi="仿宋_GB2312" w:eastAsia="仿宋_GB2312" w:cs="仿宋_GB2312"/>
          <w:color w:val="auto"/>
          <w:sz w:val="24"/>
          <w:highlight w:val="none"/>
          <w:lang w:eastAsia="zh-CN"/>
        </w:rPr>
        <w:t>缺勤以甲方不定时抽查和乙方内部审核的签到表或打卡记录为准。</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9.2 维保工作不到位的违约责任</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（1）未经甲方书面同意，乙方在设备维保过程中使用不符合合同要求的备件和材料的，乙方应立即按甲方要求进行整改，且</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5000元/次的违约金，并赔偿由此给甲方造成的全部损失。</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乙方未</w:t>
      </w:r>
      <w:r>
        <w:rPr>
          <w:rFonts w:ascii="仿宋_GB2312" w:hAnsi="仿宋_GB2312" w:eastAsia="仿宋_GB2312" w:cs="仿宋_GB2312"/>
          <w:color w:val="auto"/>
          <w:sz w:val="24"/>
          <w:szCs w:val="24"/>
          <w:highlight w:val="none"/>
        </w:rPr>
        <w:t>采取严格的安全防护措施</w:t>
      </w:r>
      <w:r>
        <w:rPr>
          <w:rFonts w:ascii="仿宋_GB2312" w:hAnsi="仿宋_GB2312" w:eastAsia="仿宋_GB2312" w:cs="仿宋_GB2312"/>
          <w:color w:val="auto"/>
          <w:sz w:val="24"/>
          <w:szCs w:val="24"/>
          <w:highlight w:val="none"/>
          <w:lang w:eastAsia="zh-CN"/>
        </w:rPr>
        <w:t>导致发生人员安全事故的，由乙方</w:t>
      </w:r>
      <w:r>
        <w:rPr>
          <w:rFonts w:ascii="仿宋_GB2312" w:hAnsi="仿宋_GB2312" w:eastAsia="仿宋_GB2312" w:cs="仿宋_GB2312"/>
          <w:color w:val="auto"/>
          <w:sz w:val="24"/>
          <w:szCs w:val="24"/>
          <w:highlight w:val="none"/>
        </w:rPr>
        <w:t>承担全部责任及由此而</w:t>
      </w:r>
      <w:r>
        <w:rPr>
          <w:rFonts w:ascii="仿宋_GB2312" w:hAnsi="仿宋_GB2312" w:eastAsia="仿宋_GB2312" w:cs="仿宋_GB2312"/>
          <w:color w:val="auto"/>
          <w:sz w:val="24"/>
          <w:szCs w:val="24"/>
          <w:highlight w:val="none"/>
          <w:lang w:eastAsia="zh-CN"/>
        </w:rPr>
        <w:t>产</w:t>
      </w:r>
      <w:r>
        <w:rPr>
          <w:rFonts w:ascii="仿宋_GB2312" w:hAnsi="仿宋_GB2312" w:eastAsia="仿宋_GB2312" w:cs="仿宋_GB2312"/>
          <w:color w:val="auto"/>
          <w:sz w:val="24"/>
          <w:szCs w:val="24"/>
          <w:highlight w:val="none"/>
        </w:rPr>
        <w:t>生的一切费用</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乙方未按合同规定的时间对设备进行日常维护保养、特定日保障的（如有），</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2000</w:t>
      </w:r>
      <w:r>
        <w:rPr>
          <w:rFonts w:ascii="仿宋_GB2312" w:hAnsi="仿宋_GB2312" w:eastAsia="仿宋_GB2312" w:cs="仿宋_GB2312"/>
          <w:color w:val="auto"/>
          <w:sz w:val="24"/>
          <w:szCs w:val="24"/>
          <w:highlight w:val="none"/>
          <w:lang w:eastAsia="zh-CN"/>
        </w:rPr>
        <w:t>元</w:t>
      </w:r>
      <w:r>
        <w:rPr>
          <w:rFonts w:ascii="仿宋_GB2312" w:hAnsi="仿宋_GB2312" w:eastAsia="仿宋_GB2312" w:cs="仿宋_GB2312"/>
          <w:color w:val="auto"/>
          <w:sz w:val="24"/>
          <w:szCs w:val="24"/>
          <w:highlight w:val="none"/>
          <w:lang w:val="en-US" w:eastAsia="zh-CN"/>
        </w:rPr>
        <w:t>/次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（4）乙方</w:t>
      </w:r>
      <w:r>
        <w:rPr>
          <w:rFonts w:ascii="仿宋_GB2312" w:hAnsi="仿宋_GB2312" w:eastAsia="仿宋_GB2312" w:cs="仿宋_GB2312"/>
          <w:color w:val="auto"/>
          <w:sz w:val="24"/>
          <w:szCs w:val="24"/>
          <w:highlight w:val="none"/>
          <w:lang w:eastAsia="zh-CN"/>
        </w:rPr>
        <w:t>接到甲方设备故障（缺陷）通知后，未按甲方要求的时间响应或到达现场进行维修处理的，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1000元/次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（5）乙方应在甲方规定的进场日期进场并提供服务，每逾期一天，甲方有权按照50</w:t>
      </w:r>
      <w:r>
        <w:rPr>
          <w:rFonts w:hint="default"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lang w:val="en-US" w:eastAsia="zh-CN"/>
        </w:rPr>
        <w:t>0元/天收取逾期违约金。如逾期超过</w:t>
      </w:r>
      <w:r>
        <w:rPr>
          <w:rFonts w:ascii="仿宋_GB2312" w:hAnsi="仿宋_GB2312" w:eastAsia="仿宋_GB2312" w:cs="仿宋_GB2312"/>
          <w:color w:val="auto"/>
          <w:sz w:val="24"/>
          <w:szCs w:val="24"/>
          <w:highlight w:val="none"/>
          <w:u w:val="single"/>
          <w:lang w:val="en-US" w:eastAsia="zh-CN"/>
        </w:rPr>
        <w:t>7</w:t>
      </w:r>
      <w:r>
        <w:rPr>
          <w:rFonts w:ascii="仿宋_GB2312" w:hAnsi="仿宋_GB2312" w:eastAsia="仿宋_GB2312" w:cs="仿宋_GB2312"/>
          <w:color w:val="auto"/>
          <w:sz w:val="24"/>
          <w:szCs w:val="24"/>
          <w:highlight w:val="none"/>
          <w:lang w:val="en-US" w:eastAsia="zh-CN"/>
        </w:rPr>
        <w:t>天，甲方有权解除本合同并追究乙方的违约责任。</w:t>
      </w:r>
    </w:p>
    <w:p>
      <w:pPr>
        <w:pStyle w:val="2"/>
        <w:spacing w:after="0" w:line="360" w:lineRule="auto"/>
        <w:ind w:firstLine="480" w:firstLineChars="200"/>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val="en-US" w:eastAsia="zh-CN"/>
        </w:rPr>
        <w:t>如需提供履约担保，而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9.4因乙方提供的发票导致甲方被税务部门追究相关法律责任的，乙方应承担由此给甲方造成的损失（包括但不限于未抵扣的税费、滞纳金）。</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9.5</w:t>
      </w:r>
      <w:r>
        <w:rPr>
          <w:rFonts w:ascii="仿宋_GB2312" w:hAnsi="仿宋_GB2312" w:eastAsia="仿宋_GB2312" w:cs="仿宋_GB2312"/>
          <w:color w:val="auto"/>
          <w:sz w:val="24"/>
          <w:szCs w:val="24"/>
          <w:highlight w:val="none"/>
        </w:rPr>
        <w:t>乙方应以现金或转账方式交纳违约金，甲方根据税法相关规定开具收款收据或增值税发票。</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6乙方在接到甲方的违约通知后，应按通知要求交纳违约金；否则，甲方有权暂停合同价款支付或从乙方的合同价款中扣除相应的违约金。</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9.7如合同约定需要乙方提供履约担保，而乙方未在本合同签订后15个工作日内提供履约担保的，甲方有权要求乙方交纳500元/天的违约金，本项违约金最高额度为5万元。</w:t>
      </w:r>
    </w:p>
    <w:bookmarkEnd w:id="82"/>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83" w:name="_Toc368066697"/>
      <w:bookmarkStart w:id="84" w:name="_Toc12374"/>
      <w:bookmarkStart w:id="85" w:name="_Toc11534"/>
      <w:bookmarkStart w:id="86" w:name="_Toc192323538"/>
      <w:bookmarkStart w:id="87" w:name="_Toc357774473"/>
      <w:bookmarkStart w:id="88" w:name="_Toc136850810"/>
      <w:bookmarkStart w:id="89" w:name="_Toc240992316"/>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0</w:t>
      </w:r>
      <w:r>
        <w:rPr>
          <w:rFonts w:ascii="仿宋_GB2312" w:hAnsi="仿宋_GB2312" w:eastAsia="仿宋_GB2312" w:cs="仿宋_GB2312"/>
          <w:b/>
          <w:bCs/>
          <w:color w:val="auto"/>
          <w:sz w:val="24"/>
          <w:szCs w:val="24"/>
          <w:highlight w:val="none"/>
        </w:rPr>
        <w:t>、不可抗力</w:t>
      </w:r>
      <w:bookmarkEnd w:id="83"/>
      <w:bookmarkEnd w:id="84"/>
      <w:bookmarkEnd w:id="85"/>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0" w:name="_Toc351203608"/>
      <w:bookmarkStart w:id="91" w:name="_Toc1368508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.1</w:t>
      </w:r>
      <w:bookmarkEnd w:id="90"/>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仿宋_GB2312" w:hAnsi="仿宋_GB2312" w:eastAsia="仿宋_GB2312" w:cs="仿宋_GB2312"/>
          <w:kern w:val="0"/>
          <w:sz w:val="24"/>
          <w:highlight w:val="none"/>
          <w:shd w:val="clear" w:color="auto" w:fill="FFFFFF"/>
        </w:rPr>
        <w:t>1</w:t>
      </w:r>
      <w:r>
        <w:rPr>
          <w:rFonts w:hint="eastAsia" w:ascii="仿宋_GB2312" w:hAnsi="仿宋_GB2312" w:eastAsia="仿宋_GB2312" w:cs="仿宋_GB2312"/>
          <w:kern w:val="0"/>
          <w:sz w:val="24"/>
          <w:highlight w:val="none"/>
          <w:shd w:val="clear" w:color="auto" w:fill="FFFFFF"/>
        </w:rPr>
        <w:t>3</w:t>
      </w:r>
      <w:r>
        <w:rPr>
          <w:rFonts w:ascii="仿宋_GB2312" w:hAnsi="仿宋_GB2312" w:eastAsia="仿宋_GB2312" w:cs="仿宋_GB2312"/>
          <w:kern w:val="0"/>
          <w:sz w:val="24"/>
          <w:highlight w:val="none"/>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2" w:name="_Toc337558825"/>
      <w:bookmarkEnd w:id="92"/>
      <w:bookmarkStart w:id="93" w:name="_Toc296346619"/>
      <w:bookmarkEnd w:id="93"/>
      <w:bookmarkStart w:id="94" w:name="_Toc296503118"/>
      <w:bookmarkEnd w:id="94"/>
      <w:bookmarkStart w:id="95" w:name="_Toc3512036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.2</w:t>
      </w:r>
      <w:bookmarkEnd w:id="95"/>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highlight w:val="none"/>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6" w:name="_Toc296346620"/>
      <w:bookmarkEnd w:id="96"/>
      <w:bookmarkStart w:id="97" w:name="_Toc296503119"/>
      <w:bookmarkEnd w:id="97"/>
      <w:bookmarkStart w:id="98" w:name="_Toc337558826"/>
      <w:bookmarkEnd w:id="98"/>
      <w:bookmarkStart w:id="99" w:name="_Toc351203610"/>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.3</w:t>
      </w:r>
      <w:bookmarkEnd w:id="99"/>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bookmarkEnd w:id="91"/>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rPr>
      </w:pPr>
      <w:bookmarkStart w:id="100" w:name="_Toc5613"/>
      <w:bookmarkStart w:id="101" w:name="_Toc24616"/>
      <w:r>
        <w:rPr>
          <w:rFonts w:ascii="仿宋_GB2312" w:hAnsi="仿宋_GB2312" w:eastAsia="仿宋_GB2312" w:cs="仿宋_GB2312"/>
          <w:b/>
          <w:bCs/>
          <w:color w:val="auto"/>
          <w:sz w:val="24"/>
          <w:szCs w:val="24"/>
          <w:highlight w:val="none"/>
          <w:lang w:val="en-US" w:eastAsia="zh-CN"/>
        </w:rPr>
        <w:t>11、合同解除</w:t>
      </w:r>
      <w:bookmarkEnd w:id="100"/>
      <w:bookmarkEnd w:id="101"/>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11.1 有下列情形之一的，合同当事人一方或双方可以解除合同：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（2）乙方提供的维保服务不符合合同约定的要求，经甲方催告仍不能达到合同约定要求的，甲方有权解除合同；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（3）因不可抗力致使合同无法履行；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（4）因一方违约致使合同无法实际履行或实际履行已无必要；</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（5）违约金总额超过合同签约价的20%，甲方有权解除合同。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11.2任何一方提出解除合同的，应提前30天书面通知对方，违约方应赔偿由此给守约方造成的直接损失和间接损失。</w:t>
      </w:r>
      <w:r>
        <w:rPr>
          <w:rFonts w:ascii="仿宋_GB2312" w:hAnsi="仿宋_GB2312" w:eastAsia="仿宋_GB2312" w:cs="仿宋_GB2312"/>
          <w:sz w:val="24"/>
          <w:szCs w:val="24"/>
          <w:highlight w:val="none"/>
        </w:rPr>
        <w:t>因不可抗力导致的合同解除，双方各自承担自身的损失。</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3因乙方原因提前终止合同的，乙方应承担由此给甲方造成的损失，甲方有权没收乙方所交履约担保（如有），同时甲方有权要求乙方按签约合同价的20%交纳违约金。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szCs w:val="24"/>
          <w:highlight w:val="none"/>
        </w:rPr>
        <w:t>解除部分合同的，甲方</w:t>
      </w:r>
      <w:r>
        <w:rPr>
          <w:rFonts w:hint="eastAsia" w:ascii="仿宋_GB2312" w:hAnsi="仿宋_GB2312" w:eastAsia="仿宋_GB2312" w:cs="仿宋_GB2312"/>
          <w:sz w:val="24"/>
          <w:szCs w:val="24"/>
          <w:highlight w:val="none"/>
        </w:rPr>
        <w:t>有权另行委托因部分解除合同而</w:t>
      </w:r>
      <w:r>
        <w:rPr>
          <w:rFonts w:ascii="仿宋_GB2312" w:hAnsi="仿宋_GB2312" w:eastAsia="仿宋_GB2312" w:cs="仿宋_GB2312"/>
          <w:sz w:val="24"/>
          <w:szCs w:val="24"/>
          <w:highlight w:val="none"/>
        </w:rPr>
        <w:t>乙方未履行部分</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乙方应承担甲方</w:t>
      </w:r>
      <w:r>
        <w:rPr>
          <w:rFonts w:hint="eastAsia" w:ascii="仿宋_GB2312" w:hAnsi="仿宋_GB2312" w:eastAsia="仿宋_GB2312" w:cs="仿宋_GB2312"/>
          <w:sz w:val="24"/>
          <w:szCs w:val="24"/>
          <w:highlight w:val="none"/>
        </w:rPr>
        <w:t>由此产生的</w:t>
      </w:r>
      <w:r>
        <w:rPr>
          <w:rFonts w:ascii="仿宋_GB2312" w:hAnsi="仿宋_GB2312" w:eastAsia="仿宋_GB2312" w:cs="仿宋_GB2312"/>
          <w:sz w:val="24"/>
          <w:szCs w:val="24"/>
          <w:highlight w:val="none"/>
        </w:rPr>
        <w:t>费用并继续履行合同中未解除的部分。</w:t>
      </w:r>
    </w:p>
    <w:p>
      <w:pPr>
        <w:pStyle w:val="2"/>
        <w:snapToGrid w:val="0"/>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11.4合同解除后，本合同约定的有关结算、争议解决方式的条款仍然有效。</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lang w:eastAsia="zh-CN"/>
        </w:rPr>
      </w:pPr>
      <w:r>
        <w:rPr>
          <w:rFonts w:ascii="仿宋_GB2312" w:hAnsi="仿宋_GB2312" w:eastAsia="仿宋_GB2312" w:cs="仿宋_GB2312"/>
          <w:b/>
          <w:bCs/>
          <w:color w:val="auto"/>
          <w:sz w:val="24"/>
          <w:szCs w:val="24"/>
          <w:highlight w:val="none"/>
          <w:lang w:eastAsia="zh-CN"/>
        </w:rPr>
        <w:t>12、合同终止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12.1 甲方、乙方履行合同全部义务，合同价款支付完毕，本合同即告终止。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12.2合同的权利义务终止后，合同当事人应遵循诚实信用原则，履行通知、协助和保密等义务。</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、争议解决</w:t>
      </w:r>
    </w:p>
    <w:p>
      <w:pPr>
        <w:adjustRightInd w:val="0"/>
        <w:snapToGrid w:val="0"/>
        <w:spacing w:line="360" w:lineRule="auto"/>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szCs w:val="24"/>
          <w:highlight w:val="none"/>
          <w:u w:val="single"/>
        </w:rPr>
        <w:t>（</w:t>
      </w:r>
      <w:r>
        <w:rPr>
          <w:rFonts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rPr>
        <w:t>种方式解决：</w:t>
      </w:r>
    </w:p>
    <w:p>
      <w:pPr>
        <w:tabs>
          <w:tab w:val="left" w:pos="0"/>
        </w:tabs>
        <w:adjustRightInd w:val="0"/>
        <w:snapToGrid w:val="0"/>
        <w:spacing w:line="360" w:lineRule="auto"/>
        <w:ind w:left="7" w:firstLine="413"/>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rPr>
        <w:t>1）向</w:t>
      </w:r>
      <w:r>
        <w:rPr>
          <w:rFonts w:ascii="仿宋_GB2312" w:hAnsi="仿宋_GB2312" w:eastAsia="仿宋_GB2312" w:cs="仿宋_GB2312"/>
          <w:kern w:val="0"/>
          <w:sz w:val="24"/>
          <w:szCs w:val="24"/>
          <w:highlight w:val="none"/>
          <w:u w:val="single"/>
        </w:rPr>
        <w:t>长沙</w:t>
      </w:r>
      <w:r>
        <w:rPr>
          <w:rFonts w:ascii="仿宋_GB2312" w:hAnsi="仿宋_GB2312" w:eastAsia="仿宋_GB2312" w:cs="仿宋_GB2312"/>
          <w:kern w:val="0"/>
          <w:sz w:val="24"/>
          <w:szCs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（2）向</w:t>
      </w:r>
      <w:r>
        <w:rPr>
          <w:rFonts w:ascii="仿宋_GB2312" w:hAnsi="仿宋_GB2312" w:eastAsia="仿宋_GB2312" w:cs="仿宋_GB2312"/>
          <w:sz w:val="24"/>
          <w:szCs w:val="24"/>
          <w:highlight w:val="none"/>
          <w:u w:val="single"/>
        </w:rPr>
        <w:t>甲方所在地</w:t>
      </w:r>
      <w:r>
        <w:rPr>
          <w:rFonts w:ascii="仿宋_GB2312" w:hAnsi="仿宋_GB2312" w:eastAsia="仿宋_GB2312" w:cs="仿宋_GB2312"/>
          <w:sz w:val="24"/>
          <w:szCs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2" w:name="_Toc7592"/>
      <w:bookmarkStart w:id="103" w:name="_Toc20824"/>
      <w:r>
        <w:rPr>
          <w:rFonts w:hint="eastAsia" w:ascii="仿宋_GB2312" w:hAnsi="仿宋_GB2312" w:eastAsia="仿宋_GB2312" w:cs="仿宋_GB2312"/>
          <w:b/>
          <w:sz w:val="24"/>
          <w:szCs w:val="24"/>
          <w:highlight w:val="none"/>
        </w:rPr>
        <w:t>14、法律适用</w:t>
      </w:r>
      <w:bookmarkEnd w:id="102"/>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4" w:name="_Toc20811"/>
      <w:r>
        <w:rPr>
          <w:rFonts w:hint="eastAsia" w:ascii="仿宋_GB2312" w:hAnsi="仿宋_GB2312" w:eastAsia="仿宋_GB2312" w:cs="仿宋_GB2312"/>
          <w:b/>
          <w:sz w:val="24"/>
          <w:szCs w:val="24"/>
          <w:highlight w:val="none"/>
        </w:rPr>
        <w:t>15、通知</w:t>
      </w:r>
      <w:bookmarkEnd w:id="104"/>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15.2通知以送到之日或通知书中规定的生效之日起生效，两者中以较迟之日为准。</w:t>
      </w:r>
    </w:p>
    <w:p>
      <w:pPr>
        <w:pStyle w:val="2"/>
        <w:spacing w:after="0" w:line="360" w:lineRule="auto"/>
        <w:ind w:firstLine="482" w:firstLineChars="200"/>
        <w:outlineLvl w:val="1"/>
        <w:rPr>
          <w:rFonts w:ascii="仿宋_GB2312" w:hAnsi="仿宋_GB2312" w:eastAsia="仿宋_GB2312" w:cs="仿宋_GB2312"/>
          <w:color w:val="auto"/>
          <w:sz w:val="24"/>
          <w:szCs w:val="24"/>
          <w:highlight w:val="none"/>
        </w:rPr>
      </w:pPr>
      <w:r>
        <w:rPr>
          <w:rFonts w:ascii="仿宋_GB2312" w:hAnsi="仿宋_GB2312" w:eastAsia="仿宋_GB2312" w:cs="仿宋_GB2312"/>
          <w:b/>
          <w:bCs/>
          <w:color w:val="auto"/>
          <w:sz w:val="24"/>
          <w:szCs w:val="24"/>
          <w:highlight w:val="none"/>
          <w:lang w:val="en-US" w:eastAsia="zh-CN"/>
        </w:rPr>
        <w:t>16、双方约定的其他事项</w:t>
      </w:r>
      <w:bookmarkEnd w:id="103"/>
      <w:r>
        <w:rPr>
          <w:rFonts w:ascii="仿宋_GB2312" w:hAnsi="仿宋_GB2312" w:eastAsia="仿宋_GB2312" w:cs="仿宋_GB2312"/>
          <w:color w:val="auto"/>
          <w:sz w:val="24"/>
          <w:highlight w:val="none"/>
        </w:rPr>
        <w:t>（</w:t>
      </w:r>
      <w:r>
        <w:rPr>
          <w:rFonts w:ascii="仿宋_GB2312" w:hAnsi="仿宋_GB2312" w:eastAsia="仿宋_GB2312" w:cs="仿宋_GB2312"/>
          <w:bCs/>
          <w:color w:val="auto"/>
          <w:sz w:val="24"/>
          <w:highlight w:val="none"/>
        </w:rPr>
        <w:t>本条约定与合同条款中其他约定不一致时，以本条为准</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w:t>
      </w:r>
    </w:p>
    <w:p>
      <w:pPr>
        <w:tabs>
          <w:tab w:val="left" w:pos="851"/>
          <w:tab w:val="left" w:pos="1440"/>
        </w:tabs>
        <w:adjustRightInd w:val="0"/>
        <w:snapToGrid w:val="0"/>
        <w:spacing w:before="120" w:beforeLines="50" w:after="120" w:afterLines="50" w:line="360" w:lineRule="auto"/>
        <w:jc w:val="center"/>
        <w:outlineLvl w:val="0"/>
        <w:rPr>
          <w:rFonts w:hint="eastAsia" w:ascii="仿宋_GB2312" w:hAnsi="仿宋_GB2312" w:eastAsia="仿宋_GB2312" w:cs="仿宋_GB2312"/>
          <w:sz w:val="24"/>
          <w:szCs w:val="24"/>
          <w:highlight w:val="none"/>
        </w:rPr>
        <w:sectPr>
          <w:footerReference r:id="rId10" w:type="first"/>
          <w:footerReference r:id="rId9" w:type="default"/>
          <w:pgSz w:w="11850" w:h="16783"/>
          <w:pgMar w:top="1440" w:right="1800" w:bottom="1440" w:left="1800" w:header="851" w:footer="992" w:gutter="0"/>
          <w:pgNumType w:start="1"/>
          <w:cols w:space="720" w:num="1"/>
          <w:titlePg/>
          <w:docGrid w:linePitch="312" w:charSpace="0"/>
        </w:sectPr>
      </w:pPr>
    </w:p>
    <w:bookmarkEnd w:id="86"/>
    <w:bookmarkEnd w:id="87"/>
    <w:bookmarkEnd w:id="88"/>
    <w:bookmarkEnd w:id="89"/>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highlight w:val="none"/>
        </w:rPr>
      </w:pPr>
      <w:bookmarkStart w:id="105" w:name="_Toc501718834"/>
      <w:bookmarkStart w:id="106" w:name="_Toc25884"/>
      <w:bookmarkStart w:id="107" w:name="_Toc26755"/>
      <w:r>
        <w:rPr>
          <w:rFonts w:hint="eastAsia" w:ascii="仿宋_GB2312" w:hAnsi="仿宋_GB2312" w:eastAsia="仿宋_GB2312" w:cs="仿宋_GB2312"/>
          <w:b/>
          <w:bCs/>
          <w:kern w:val="0"/>
          <w:sz w:val="32"/>
          <w:szCs w:val="32"/>
          <w:highlight w:val="none"/>
        </w:rPr>
        <w:t>第三部分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合同附件</w:t>
      </w:r>
      <w:bookmarkEnd w:id="105"/>
    </w:p>
    <w:p>
      <w:pPr>
        <w:adjustRightInd w:val="0"/>
        <w:snapToGrid w:val="0"/>
        <w:rPr>
          <w:rFonts w:ascii="仿宋_GB2312" w:hAnsi="仿宋" w:eastAsia="仿宋_GB2312"/>
          <w:b/>
          <w:sz w:val="24"/>
          <w:szCs w:val="24"/>
          <w:highlight w:val="none"/>
        </w:rPr>
      </w:pPr>
      <w:bookmarkStart w:id="108" w:name="_Toc501718838"/>
      <w:bookmarkStart w:id="109" w:name="_Toc501718835"/>
      <w:r>
        <w:rPr>
          <w:rFonts w:hint="eastAsia" w:ascii="仿宋_GB2312" w:hAnsi="仿宋" w:eastAsia="仿宋_GB2312"/>
          <w:b/>
          <w:sz w:val="24"/>
          <w:highlight w:val="none"/>
        </w:rPr>
        <w:t>附件1 廉政协议</w:t>
      </w:r>
    </w:p>
    <w:p>
      <w:pPr>
        <w:adjustRightInd w:val="0"/>
        <w:snapToGrid w:val="0"/>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廉政协议</w:t>
      </w:r>
    </w:p>
    <w:p>
      <w:pPr>
        <w:widowControl/>
        <w:snapToGrid w:val="0"/>
        <w:spacing w:line="360" w:lineRule="auto"/>
        <w:jc w:val="left"/>
        <w:rPr>
          <w:rFonts w:ascii="仿宋_GB2312" w:hAnsi="仿宋" w:eastAsia="仿宋_GB2312" w:cs="Arial"/>
          <w:kern w:val="0"/>
          <w:sz w:val="24"/>
          <w:szCs w:val="24"/>
          <w:highlight w:val="none"/>
          <w:lang w:bidi="en-US"/>
        </w:rPr>
      </w:pPr>
    </w:p>
    <w:p>
      <w:pPr>
        <w:widowControl/>
        <w:snapToGrid w:val="0"/>
        <w:spacing w:line="440" w:lineRule="exact"/>
        <w:jc w:val="left"/>
        <w:rPr>
          <w:rFonts w:ascii="仿宋_GB2312" w:hAnsi="仿宋" w:eastAsia="仿宋_GB2312" w:cs="仿宋"/>
          <w:kern w:val="0"/>
          <w:sz w:val="24"/>
          <w:highlight w:val="none"/>
          <w:u w:val="single"/>
        </w:rPr>
      </w:pPr>
      <w:r>
        <w:rPr>
          <w:rFonts w:hint="eastAsia" w:ascii="仿宋_GB2312" w:hAnsi="仿宋" w:eastAsia="仿宋_GB2312" w:cs="仿宋"/>
          <w:kern w:val="0"/>
          <w:sz w:val="24"/>
          <w:highlight w:val="none"/>
        </w:rPr>
        <w:t>甲方：</w:t>
      </w:r>
      <w:r>
        <w:rPr>
          <w:rFonts w:hint="eastAsia" w:ascii="仿宋_GB2312" w:hAnsi="仿宋" w:eastAsia="仿宋_GB2312" w:cs="仿宋"/>
          <w:kern w:val="0"/>
          <w:sz w:val="24"/>
          <w:highlight w:val="none"/>
          <w:u w:val="single"/>
        </w:rPr>
        <w:t xml:space="preserve">                         </w:t>
      </w:r>
    </w:p>
    <w:p>
      <w:pPr>
        <w:widowControl/>
        <w:snapToGrid w:val="0"/>
        <w:spacing w:line="440" w:lineRule="exact"/>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乙方：</w:t>
      </w:r>
      <w:r>
        <w:rPr>
          <w:rFonts w:hint="eastAsia" w:ascii="仿宋_GB2312" w:hAnsi="仿宋" w:eastAsia="仿宋_GB2312" w:cs="仿宋"/>
          <w:kern w:val="0"/>
          <w:sz w:val="24"/>
          <w:highlight w:val="none"/>
          <w:u w:val="single"/>
        </w:rPr>
        <w:t xml:space="preserve">                         </w:t>
      </w:r>
    </w:p>
    <w:p>
      <w:pPr>
        <w:adjustRightInd w:val="0"/>
        <w:snapToGrid w:val="0"/>
        <w:spacing w:line="440" w:lineRule="exact"/>
        <w:ind w:firstLine="48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szCs w:val="24"/>
          <w:highlight w:val="none"/>
        </w:rPr>
      </w:pPr>
      <w:bookmarkStart w:id="110" w:name="_Toc59896701"/>
      <w:bookmarkStart w:id="111" w:name="_Toc59900969"/>
      <w:r>
        <w:rPr>
          <w:rFonts w:hint="eastAsia" w:ascii="仿宋_GB2312" w:hAnsi="仿宋" w:eastAsia="仿宋_GB2312" w:cs="仿宋"/>
          <w:b/>
          <w:sz w:val="24"/>
          <w:szCs w:val="24"/>
          <w:highlight w:val="none"/>
        </w:rPr>
        <w:t xml:space="preserve">第一条 </w:t>
      </w:r>
      <w:bookmarkEnd w:id="110"/>
      <w:bookmarkEnd w:id="111"/>
      <w:r>
        <w:rPr>
          <w:rFonts w:hint="eastAsia" w:ascii="仿宋_GB2312" w:hAnsi="仿宋" w:eastAsia="仿宋_GB2312" w:cs="仿宋"/>
          <w:b/>
          <w:sz w:val="24"/>
          <w:szCs w:val="24"/>
          <w:highlight w:val="none"/>
        </w:rPr>
        <w:t>共同责任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（二）严格执行</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第二条 共同权利</w:t>
      </w:r>
    </w:p>
    <w:p>
      <w:pPr>
        <w:adjustRightInd w:val="0"/>
        <w:snapToGrid w:val="0"/>
        <w:spacing w:line="440" w:lineRule="exac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szCs w:val="24"/>
          <w:highlight w:val="none"/>
        </w:rPr>
      </w:pPr>
      <w:bookmarkStart w:id="112" w:name="_Toc59900970"/>
      <w:bookmarkStart w:id="113" w:name="_Toc59896702"/>
      <w:r>
        <w:rPr>
          <w:rFonts w:hint="eastAsia" w:ascii="仿宋_GB2312" w:hAnsi="仿宋" w:eastAsia="仿宋_GB2312" w:cs="仿宋"/>
          <w:b/>
          <w:sz w:val="24"/>
          <w:szCs w:val="24"/>
          <w:highlight w:val="none"/>
        </w:rPr>
        <w:t>第三条 甲方的义务</w:t>
      </w:r>
      <w:bookmarkEnd w:id="112"/>
      <w:bookmarkEnd w:id="113"/>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bookmarkStart w:id="114" w:name="_Toc59900971"/>
      <w:bookmarkStart w:id="115" w:name="_Toc59896703"/>
      <w:r>
        <w:rPr>
          <w:rFonts w:hint="eastAsia" w:ascii="仿宋_GB2312" w:hAnsi="仿宋" w:eastAsia="仿宋_GB2312" w:cs="仿宋"/>
          <w:b/>
          <w:sz w:val="24"/>
          <w:szCs w:val="24"/>
          <w:highlight w:val="none"/>
        </w:rPr>
        <w:t>第四条 乙方义务</w:t>
      </w:r>
      <w:bookmarkEnd w:id="114"/>
      <w:bookmarkEnd w:id="115"/>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第五条 违约责任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szCs w:val="24"/>
          <w:highlight w:val="none"/>
        </w:rPr>
        <w:sectPr>
          <w:pgSz w:w="11906" w:h="16838"/>
          <w:pgMar w:top="1440" w:right="1800" w:bottom="1440" w:left="1800" w:header="851" w:footer="992" w:gutter="0"/>
          <w:cols w:space="720" w:num="1"/>
          <w:docGrid w:type="lines" w:linePitch="312" w:charSpace="0"/>
        </w:sectPr>
      </w:pPr>
    </w:p>
    <w:p>
      <w:pPr>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（本页无正文）</w:t>
      </w:r>
    </w:p>
    <w:p>
      <w:pPr>
        <w:ind w:left="420" w:leftChars="200"/>
        <w:rPr>
          <w:rFonts w:ascii="仿宋_GB2312" w:eastAsia="仿宋_GB2312"/>
          <w:szCs w:val="24"/>
          <w:highlight w:val="none"/>
        </w:rPr>
      </w:pPr>
    </w:p>
    <w:p>
      <w:pPr>
        <w:rPr>
          <w:rFonts w:ascii="仿宋_GB2312" w:eastAsia="仿宋_GB2312"/>
          <w:szCs w:val="24"/>
          <w:highlight w:val="none"/>
        </w:rPr>
      </w:pPr>
    </w:p>
    <w:p>
      <w:pPr>
        <w:ind w:left="420" w:leftChars="200"/>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甲方：</w:t>
      </w:r>
      <w:r>
        <w:rPr>
          <w:rFonts w:hint="eastAsia" w:ascii="仿宋_GB2312" w:hAnsi="仿宋" w:eastAsia="仿宋_GB2312" w:cs="仿宋"/>
          <w:sz w:val="24"/>
          <w:szCs w:val="24"/>
          <w:highlight w:val="none"/>
          <w:u w:val="single"/>
        </w:rPr>
        <w:t xml:space="preserve"> （盖章）            </w:t>
      </w:r>
      <w:r>
        <w:rPr>
          <w:rFonts w:hint="eastAsia" w:ascii="仿宋_GB2312" w:hAnsi="仿宋" w:eastAsia="仿宋_GB2312" w:cs="仿宋"/>
          <w:sz w:val="24"/>
          <w:szCs w:val="24"/>
          <w:highlight w:val="none"/>
        </w:rPr>
        <w:t xml:space="preserve">             乙方：</w:t>
      </w:r>
      <w:r>
        <w:rPr>
          <w:rFonts w:hint="eastAsia" w:ascii="仿宋_GB2312" w:hAnsi="仿宋" w:eastAsia="仿宋_GB2312" w:cs="仿宋"/>
          <w:sz w:val="24"/>
          <w:szCs w:val="24"/>
          <w:highlight w:val="none"/>
          <w:u w:val="single"/>
        </w:rPr>
        <w:t xml:space="preserve"> （盖章）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法定代表人：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法定代表人：</w:t>
      </w:r>
      <w:r>
        <w:rPr>
          <w:rFonts w:hint="eastAsia" w:ascii="仿宋_GB2312" w:hAnsi="仿宋" w:eastAsia="仿宋_GB2312" w:cs="仿宋"/>
          <w:sz w:val="24"/>
          <w:szCs w:val="24"/>
          <w:highlight w:val="none"/>
          <w:u w:val="single"/>
        </w:rPr>
        <w:t xml:space="preserve"> （签字）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或授权代理人：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或授权代理人：</w:t>
      </w:r>
      <w:r>
        <w:rPr>
          <w:rFonts w:hint="eastAsia" w:ascii="仿宋_GB2312" w:hAnsi="仿宋" w:eastAsia="仿宋_GB2312" w:cs="仿宋"/>
          <w:sz w:val="24"/>
          <w:szCs w:val="24"/>
          <w:highlight w:val="none"/>
          <w:u w:val="single"/>
        </w:rPr>
        <w:t xml:space="preserve">（签字）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电话：</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             电话：</w:t>
      </w:r>
      <w:r>
        <w:rPr>
          <w:rFonts w:hint="eastAsia" w:ascii="仿宋_GB2312" w:hAnsi="仿宋" w:eastAsia="仿宋_GB2312" w:cs="仿宋"/>
          <w:sz w:val="24"/>
          <w:szCs w:val="24"/>
          <w:highlight w:val="none"/>
          <w:u w:val="single"/>
        </w:rPr>
        <w:t xml:space="preserve">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日           </w:t>
      </w:r>
      <w:r>
        <w:rPr>
          <w:rFonts w:hint="eastAsia" w:ascii="仿宋_GB2312" w:hAnsi="仿宋" w:eastAsia="仿宋_GB2312" w:cs="仿宋"/>
          <w:sz w:val="24"/>
          <w:szCs w:val="24"/>
          <w:highlight w:val="none"/>
          <w:lang w:val="en-US" w:eastAsia="zh-CN"/>
        </w:rPr>
        <w:t xml:space="preserve"> </w:t>
      </w:r>
      <w:r>
        <w:rPr>
          <w:rFonts w:hint="eastAsia" w:ascii="仿宋_GB2312" w:hAnsi="仿宋" w:eastAsia="仿宋_GB2312" w:cs="仿宋"/>
          <w:sz w:val="24"/>
          <w:szCs w:val="24"/>
          <w:highlight w:val="none"/>
        </w:rPr>
        <w:t xml:space="preserve"> </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日</w:t>
      </w:r>
    </w:p>
    <w:p>
      <w:pPr>
        <w:widowControl/>
        <w:snapToGrid w:val="0"/>
        <w:spacing w:line="360" w:lineRule="auto"/>
        <w:jc w:val="left"/>
        <w:outlineLvl w:val="1"/>
        <w:rPr>
          <w:rFonts w:ascii="仿宋_GB2312" w:hAnsi="仿宋" w:eastAsia="仿宋_GB2312" w:cs="仿宋"/>
          <w:b/>
          <w:kern w:val="0"/>
          <w:sz w:val="24"/>
          <w:highlight w:val="none"/>
        </w:rPr>
      </w:pPr>
      <w:r>
        <w:rPr>
          <w:rFonts w:hint="eastAsia" w:ascii="仿宋_GB2312" w:hAnsi="仿宋" w:eastAsia="仿宋_GB2312" w:cs="仿宋"/>
          <w:kern w:val="0"/>
          <w:sz w:val="24"/>
          <w:highlight w:val="none"/>
        </w:rPr>
        <w:t>甲方监督单位：</w:t>
      </w:r>
      <w:r>
        <w:rPr>
          <w:rFonts w:hint="eastAsia" w:ascii="仿宋_GB2312" w:hAnsi="仿宋" w:eastAsia="仿宋_GB2312" w:cs="仿宋"/>
          <w:kern w:val="0"/>
          <w:sz w:val="24"/>
          <w:highlight w:val="none"/>
          <w:u w:val="single"/>
        </w:rPr>
        <w:t xml:space="preserve">（盖章）      </w:t>
      </w:r>
      <w:r>
        <w:rPr>
          <w:rFonts w:hint="eastAsia" w:ascii="仿宋_GB2312" w:hAnsi="仿宋" w:eastAsia="仿宋_GB2312" w:cs="仿宋"/>
          <w:kern w:val="0"/>
          <w:sz w:val="24"/>
          <w:highlight w:val="none"/>
        </w:rPr>
        <w:t xml:space="preserve">             乙方监督单位：</w:t>
      </w:r>
      <w:r>
        <w:rPr>
          <w:rFonts w:hint="eastAsia" w:ascii="仿宋_GB2312" w:hAnsi="仿宋" w:eastAsia="仿宋_GB2312" w:cs="仿宋"/>
          <w:kern w:val="0"/>
          <w:sz w:val="24"/>
          <w:highlight w:val="none"/>
          <w:u w:val="single"/>
        </w:rPr>
        <w:t xml:space="preserve">（盖章）        </w:t>
      </w:r>
    </w:p>
    <w:bookmarkEnd w:id="108"/>
    <w:p>
      <w:pPr>
        <w:pStyle w:val="15"/>
        <w:tabs>
          <w:tab w:val="left" w:pos="720"/>
        </w:tabs>
        <w:snapToGrid w:val="0"/>
        <w:spacing w:line="360" w:lineRule="auto"/>
        <w:outlineLvl w:val="1"/>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2 </w:t>
      </w:r>
      <w:r>
        <w:rPr>
          <w:rFonts w:hint="eastAsia" w:ascii="仿宋_GB2312" w:hAnsi="仿宋_GB2312" w:eastAsia="仿宋_GB2312" w:cs="仿宋_GB2312"/>
          <w:b/>
          <w:sz w:val="24"/>
          <w:szCs w:val="24"/>
          <w:highlight w:val="none"/>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u w:val="single"/>
          <w:lang w:bidi="en-US"/>
        </w:rPr>
      </w:pPr>
      <w:r>
        <w:rPr>
          <w:rFonts w:hint="eastAsia" w:ascii="仿宋_GB2312" w:hAnsi="仿宋_GB2312" w:eastAsia="仿宋_GB2312" w:cs="仿宋_GB2312"/>
          <w:kern w:val="0"/>
          <w:sz w:val="24"/>
          <w:szCs w:val="24"/>
          <w:highlight w:val="none"/>
          <w:lang w:bidi="en-US"/>
        </w:rPr>
        <w:t>甲方（全称）：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乙方（全称）：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鉴于甲方和乙方签订的</w:t>
      </w:r>
      <w:r>
        <w:rPr>
          <w:rFonts w:ascii="仿宋_GB2312" w:hAnsi="仿宋_GB2312" w:eastAsia="仿宋_GB2312" w:cs="仿宋_GB2312"/>
          <w:kern w:val="0"/>
          <w:sz w:val="24"/>
          <w:szCs w:val="24"/>
          <w:highlight w:val="none"/>
          <w:u w:val="single"/>
          <w:lang w:bidi="en-US"/>
        </w:rPr>
        <w:t xml:space="preserve">                </w:t>
      </w:r>
      <w:r>
        <w:rPr>
          <w:rFonts w:hint="eastAsia" w:ascii="仿宋_GB2312" w:hAnsi="仿宋_GB2312" w:eastAsia="仿宋_GB2312" w:cs="仿宋_GB2312"/>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第一条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仿宋_GB2312" w:hAnsi="仿宋_GB2312" w:eastAsia="仿宋_GB2312" w:cs="仿宋_GB2312"/>
          <w:kern w:val="0"/>
          <w:sz w:val="24"/>
          <w:szCs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第二条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第三条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第四条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szCs w:val="24"/>
          <w:highlight w:val="none"/>
          <w:lang w:bidi="en-US"/>
        </w:rPr>
        <w:t>人民币</w:t>
      </w:r>
      <w:r>
        <w:rPr>
          <w:rFonts w:ascii="仿宋_GB2312" w:hAnsi="仿宋_GB2312" w:eastAsia="仿宋_GB2312" w:cs="仿宋_GB2312"/>
          <w:b/>
          <w:kern w:val="0"/>
          <w:sz w:val="24"/>
          <w:szCs w:val="24"/>
          <w:highlight w:val="none"/>
          <w:u w:val="single"/>
          <w:lang w:bidi="en-US"/>
        </w:rPr>
        <w:t>1000</w:t>
      </w:r>
      <w:r>
        <w:rPr>
          <w:rFonts w:hint="eastAsia" w:ascii="仿宋_GB2312" w:hAnsi="仿宋_GB2312" w:eastAsia="仿宋_GB2312" w:cs="仿宋_GB2312"/>
          <w:b/>
          <w:kern w:val="0"/>
          <w:sz w:val="24"/>
          <w:szCs w:val="24"/>
          <w:highlight w:val="none"/>
          <w:lang w:bidi="en-US"/>
        </w:rPr>
        <w:t>元</w:t>
      </w:r>
      <w:r>
        <w:rPr>
          <w:rFonts w:hint="eastAsia" w:ascii="仿宋_GB2312" w:hAnsi="仿宋_GB2312" w:eastAsia="仿宋_GB2312" w:cs="仿宋_GB2312"/>
          <w:kern w:val="0"/>
          <w:sz w:val="24"/>
          <w:szCs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2）因乙方的违反协议行为给甲方造成的经济损失，损失赔偿金额为</w:t>
      </w:r>
      <w:r>
        <w:rPr>
          <w:rFonts w:hint="eastAsia" w:ascii="仿宋_GB2312" w:hAnsi="仿宋_GB2312" w:eastAsia="仿宋_GB2312" w:cs="仿宋_GB2312"/>
          <w:b/>
          <w:kern w:val="0"/>
          <w:sz w:val="24"/>
          <w:szCs w:val="24"/>
          <w:highlight w:val="none"/>
          <w:lang w:bidi="en-US"/>
        </w:rPr>
        <w:t>主合同签约合同价的</w:t>
      </w:r>
      <w:r>
        <w:rPr>
          <w:rFonts w:ascii="仿宋_GB2312" w:hAnsi="仿宋_GB2312" w:eastAsia="仿宋_GB2312" w:cs="仿宋_GB2312"/>
          <w:b/>
          <w:kern w:val="0"/>
          <w:sz w:val="24"/>
          <w:szCs w:val="24"/>
          <w:highlight w:val="none"/>
          <w:u w:val="single"/>
          <w:lang w:bidi="en-US"/>
        </w:rPr>
        <w:t>1</w:t>
      </w:r>
      <w:r>
        <w:rPr>
          <w:rFonts w:hint="eastAsia" w:ascii="仿宋_GB2312" w:hAnsi="仿宋_GB2312" w:eastAsia="仿宋_GB2312" w:cs="仿宋_GB2312"/>
          <w:b/>
          <w:kern w:val="0"/>
          <w:sz w:val="24"/>
          <w:szCs w:val="24"/>
          <w:highlight w:val="none"/>
          <w:lang w:bidi="en-US"/>
        </w:rPr>
        <w:t>％</w:t>
      </w:r>
      <w:r>
        <w:rPr>
          <w:rFonts w:hint="eastAsia" w:ascii="仿宋_GB2312" w:hAnsi="仿宋_GB2312" w:eastAsia="仿宋_GB2312" w:cs="仿宋_GB2312"/>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第五条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szCs w:val="24"/>
          <w:highlight w:val="none"/>
          <w:u w:val="single"/>
          <w:lang w:bidi="en-US"/>
        </w:rPr>
        <w:t>甲方所在地人民法院</w:t>
      </w:r>
      <w:r>
        <w:rPr>
          <w:rFonts w:hint="eastAsia" w:ascii="仿宋_GB2312" w:hAnsi="仿宋_GB2312" w:eastAsia="仿宋_GB2312" w:cs="仿宋_GB2312"/>
          <w:kern w:val="0"/>
          <w:sz w:val="24"/>
          <w:szCs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第六条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br w:type="page"/>
      </w:r>
      <w:r>
        <w:rPr>
          <w:rFonts w:hint="eastAsia" w:ascii="仿宋_GB2312" w:hAnsi="仿宋_GB2312" w:eastAsia="仿宋_GB2312" w:cs="仿宋_GB2312"/>
          <w:kern w:val="0"/>
          <w:sz w:val="24"/>
          <w:szCs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bookmarkStart w:id="116" w:name="3"/>
            <w:bookmarkEnd w:id="116"/>
            <w:r>
              <w:rPr>
                <w:rFonts w:hint="eastAsia" w:ascii="仿宋_GB2312" w:hAnsi="仿宋_GB2312" w:eastAsia="仿宋_GB2312" w:cs="仿宋_GB2312"/>
                <w:kern w:val="0"/>
                <w:sz w:val="24"/>
                <w:szCs w:val="24"/>
                <w:highlight w:val="none"/>
              </w:rPr>
              <w:t>甲方：</w:t>
            </w:r>
            <w:r>
              <w:rPr>
                <w:rFonts w:ascii="仿宋_GB2312" w:hAnsi="仿宋_GB2312" w:eastAsia="仿宋_GB2312" w:cs="仿宋_GB2312"/>
                <w:kern w:val="0"/>
                <w:sz w:val="24"/>
                <w:szCs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r>
    </w:tbl>
    <w:p>
      <w:pPr>
        <w:widowControl/>
        <w:snapToGrid w:val="0"/>
        <w:spacing w:line="360" w:lineRule="auto"/>
        <w:jc w:val="left"/>
        <w:rPr>
          <w:rFonts w:ascii="仿宋_GB2312" w:hAnsi="仿宋_GB2312" w:eastAsia="仿宋_GB2312" w:cs="仿宋_GB2312"/>
          <w:kern w:val="0"/>
          <w:sz w:val="24"/>
          <w:szCs w:val="24"/>
          <w:highlight w:val="none"/>
          <w:lang w:bidi="en-US"/>
        </w:rPr>
      </w:pPr>
    </w:p>
    <w:p>
      <w:pPr>
        <w:snapToGrid w:val="0"/>
        <w:spacing w:line="360" w:lineRule="auto"/>
        <w:ind w:firstLine="600" w:firstLineChars="200"/>
        <w:jc w:val="left"/>
        <w:rPr>
          <w:rFonts w:ascii="仿宋_GB2312" w:hAnsi="仿宋_GB2312" w:eastAsia="仿宋_GB2312" w:cs="仿宋_GB2312"/>
          <w:sz w:val="30"/>
          <w:szCs w:val="30"/>
          <w:highlight w:val="none"/>
        </w:rPr>
      </w:pP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sz w:val="30"/>
          <w:szCs w:val="30"/>
          <w:highlight w:val="none"/>
        </w:rPr>
        <w:br w:type="page"/>
      </w:r>
      <w:r>
        <w:rPr>
          <w:rFonts w:hint="eastAsia" w:ascii="仿宋_GB2312" w:hAnsi="仿宋_GB2312" w:eastAsia="仿宋_GB2312" w:cs="仿宋_GB2312"/>
          <w:b/>
          <w:sz w:val="24"/>
          <w:szCs w:val="24"/>
          <w:highlight w:val="none"/>
        </w:rPr>
        <w:t>附件3 中标通知书</w:t>
      </w:r>
      <w:r>
        <w:rPr>
          <w:rFonts w:hint="eastAsia" w:ascii="仿宋_GB2312" w:hAnsi="仿宋_GB2312" w:eastAsia="仿宋_GB2312" w:cs="仿宋_GB2312"/>
          <w:b/>
          <w:sz w:val="24"/>
          <w:highlight w:val="none"/>
        </w:rPr>
        <w:t>/中选通知书/谈判记录表</w:t>
      </w: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4 </w:t>
      </w:r>
      <w:r>
        <w:rPr>
          <w:rFonts w:hint="eastAsia" w:ascii="仿宋_GB2312" w:hAnsi="仿宋_GB2312" w:eastAsia="仿宋_GB2312" w:cs="仿宋_GB2312"/>
          <w:b/>
          <w:sz w:val="24"/>
          <w:szCs w:val="24"/>
          <w:highlight w:val="none"/>
        </w:rPr>
        <w:t>签约合同价清单</w:t>
      </w:r>
      <w:bookmarkEnd w:id="109"/>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7" w:name="_Toc501718836"/>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5 </w:t>
      </w:r>
      <w:r>
        <w:rPr>
          <w:rFonts w:hint="eastAsia" w:ascii="仿宋_GB2312" w:hAnsi="仿宋_GB2312" w:eastAsia="仿宋_GB2312" w:cs="仿宋_GB2312"/>
          <w:b/>
          <w:sz w:val="24"/>
          <w:szCs w:val="24"/>
          <w:highlight w:val="none"/>
        </w:rPr>
        <w:t>项目关键岗位人员表</w:t>
      </w:r>
      <w:bookmarkEnd w:id="117"/>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6 </w:t>
      </w:r>
      <w:r>
        <w:rPr>
          <w:rFonts w:hint="eastAsia" w:ascii="仿宋_GB2312" w:hAnsi="仿宋_GB2312" w:eastAsia="仿宋_GB2312" w:cs="仿宋_GB2312"/>
          <w:b/>
          <w:sz w:val="24"/>
          <w:szCs w:val="24"/>
          <w:highlight w:val="none"/>
        </w:rPr>
        <w:t>澄清与答疑文件</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7 </w:t>
      </w:r>
      <w:r>
        <w:rPr>
          <w:rFonts w:hint="eastAsia" w:ascii="仿宋_GB2312" w:hAnsi="仿宋_GB2312" w:eastAsia="仿宋_GB2312" w:cs="仿宋_GB2312"/>
          <w:b/>
          <w:sz w:val="24"/>
          <w:szCs w:val="24"/>
          <w:highlight w:val="none"/>
        </w:rPr>
        <w:t>最高投标限价公示说明</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8" w:name="_Toc501718837"/>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8</w:t>
      </w:r>
      <w:r>
        <w:rPr>
          <w:rFonts w:hint="eastAsia" w:ascii="仿宋_GB2312" w:hAnsi="仿宋_GB2312" w:eastAsia="仿宋_GB2312" w:cs="仿宋_GB2312"/>
          <w:b/>
          <w:sz w:val="24"/>
          <w:highlight w:val="none"/>
        </w:rPr>
        <w:t>用户需求书</w:t>
      </w:r>
      <w:bookmarkEnd w:id="118"/>
      <w:r>
        <w:rPr>
          <w:rFonts w:hint="eastAsia" w:ascii="仿宋_GB2312" w:hAnsi="仿宋_GB2312" w:eastAsia="仿宋_GB2312" w:cs="仿宋_GB2312"/>
          <w:b/>
          <w:sz w:val="24"/>
          <w:szCs w:val="24"/>
          <w:highlight w:val="none"/>
        </w:rPr>
        <w:t>/技术规格书</w:t>
      </w:r>
    </w:p>
    <w:p>
      <w:pPr>
        <w:pStyle w:val="15"/>
        <w:tabs>
          <w:tab w:val="left" w:pos="720"/>
        </w:tabs>
        <w:snapToGrid w:val="0"/>
        <w:spacing w:line="360" w:lineRule="auto"/>
        <w:ind w:left="0" w:firstLine="0"/>
        <w:outlineLvl w:val="1"/>
        <w:rPr>
          <w:rFonts w:ascii="仿宋_GB2312" w:hAnsi="仿宋_GB2312" w:eastAsia="仿宋_GB2312" w:cs="仿宋_GB2312"/>
          <w:b/>
          <w:sz w:val="24"/>
          <w:szCs w:val="24"/>
          <w:highlight w:val="none"/>
        </w:rPr>
      </w:pPr>
    </w:p>
    <w:p>
      <w:pPr>
        <w:pStyle w:val="15"/>
        <w:tabs>
          <w:tab w:val="left" w:pos="720"/>
        </w:tabs>
        <w:snapToGrid w:val="0"/>
        <w:spacing w:line="360" w:lineRule="auto"/>
        <w:ind w:firstLine="0"/>
        <w:outlineLvl w:val="1"/>
        <w:rPr>
          <w:rFonts w:ascii="仿宋_GB2312" w:hAnsi="仿宋_GB2312" w:eastAsia="仿宋_GB2312" w:cs="仿宋_GB2312"/>
          <w:b/>
          <w:sz w:val="24"/>
          <w:szCs w:val="24"/>
          <w:highlight w:val="none"/>
        </w:rPr>
      </w:pPr>
    </w:p>
    <w:p>
      <w:pPr>
        <w:widowControl/>
        <w:snapToGrid w:val="0"/>
        <w:spacing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b/>
          <w:sz w:val="24"/>
          <w:szCs w:val="24"/>
          <w:highlight w:val="none"/>
        </w:rPr>
        <w:br w:type="page"/>
      </w:r>
      <w:bookmarkStart w:id="119" w:name="_Toc494117897"/>
      <w:bookmarkStart w:id="120" w:name="_Toc499044865"/>
      <w:bookmarkStart w:id="121" w:name="_Toc492458579"/>
      <w:r>
        <w:rPr>
          <w:rFonts w:hint="eastAsia" w:ascii="仿宋_GB2312" w:hAnsi="仿宋_GB2312" w:eastAsia="仿宋_GB2312" w:cs="仿宋_GB2312"/>
          <w:b/>
          <w:bCs/>
          <w:kern w:val="0"/>
          <w:sz w:val="32"/>
          <w:szCs w:val="32"/>
          <w:highlight w:val="none"/>
        </w:rPr>
        <w:t>第四部分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sz w:val="32"/>
          <w:szCs w:val="32"/>
          <w:highlight w:val="none"/>
        </w:rPr>
        <w:t>合同附录</w:t>
      </w:r>
      <w:bookmarkEnd w:id="119"/>
      <w:bookmarkEnd w:id="120"/>
      <w:bookmarkEnd w:id="121"/>
    </w:p>
    <w:p>
      <w:pPr>
        <w:snapToGrid w:val="0"/>
        <w:spacing w:line="360" w:lineRule="auto"/>
        <w:rPr>
          <w:rFonts w:ascii="仿宋_GB2312" w:hAnsi="仿宋_GB2312" w:eastAsia="仿宋_GB2312" w:cs="仿宋_GB2312"/>
          <w:b/>
          <w:sz w:val="24"/>
          <w:szCs w:val="24"/>
          <w:highlight w:val="none"/>
        </w:rPr>
      </w:pPr>
      <w:bookmarkStart w:id="122" w:name="_Toc494117898"/>
      <w:bookmarkStart w:id="123" w:name="_Toc492458580"/>
      <w:bookmarkStart w:id="124" w:name="_Toc499044866"/>
      <w:r>
        <w:rPr>
          <w:rFonts w:hint="eastAsia" w:ascii="仿宋_GB2312" w:hAnsi="仿宋_GB2312" w:eastAsia="仿宋_GB2312" w:cs="仿宋_GB2312"/>
          <w:b/>
          <w:sz w:val="24"/>
          <w:szCs w:val="24"/>
          <w:highlight w:val="none"/>
        </w:rPr>
        <w:t>附录</w:t>
      </w:r>
      <w:r>
        <w:rPr>
          <w:rFonts w:ascii="仿宋_GB2312" w:hAnsi="仿宋_GB2312" w:eastAsia="仿宋_GB2312" w:cs="仿宋_GB2312"/>
          <w:b/>
          <w:sz w:val="24"/>
          <w:szCs w:val="24"/>
          <w:highlight w:val="none"/>
        </w:rPr>
        <w:t xml:space="preserve">1 </w:t>
      </w:r>
      <w:bookmarkEnd w:id="122"/>
      <w:bookmarkEnd w:id="123"/>
      <w:bookmarkEnd w:id="124"/>
      <w:bookmarkStart w:id="125" w:name="_Toc499044867"/>
      <w:bookmarkStart w:id="126" w:name="_Toc494117899"/>
      <w:bookmarkStart w:id="127" w:name="_Toc492458581"/>
      <w:r>
        <w:rPr>
          <w:rFonts w:ascii="仿宋_GB2312" w:hAnsi="仿宋_GB2312" w:eastAsia="仿宋_GB2312" w:cs="仿宋_GB2312"/>
          <w:b/>
          <w:sz w:val="24"/>
          <w:szCs w:val="24"/>
          <w:highlight w:val="none"/>
        </w:rPr>
        <w:t xml:space="preserve"> 履约保函（格式）</w:t>
      </w:r>
      <w:bookmarkEnd w:id="125"/>
      <w:bookmarkEnd w:id="126"/>
      <w:bookmarkEnd w:id="127"/>
    </w:p>
    <w:p>
      <w:pPr>
        <w:snapToGrid w:val="0"/>
        <w:spacing w:line="360" w:lineRule="auto"/>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 xml:space="preserve">                          保函编号：</w:t>
      </w:r>
    </w:p>
    <w:p>
      <w:pPr>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szCs w:val="24"/>
          <w:highlight w:val="none"/>
        </w:rPr>
      </w:pPr>
    </w:p>
    <w:p>
      <w:pPr>
        <w:adjustRightInd w:val="0"/>
        <w:snapToGrid w:val="0"/>
        <w:spacing w:line="360" w:lineRule="auto"/>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ascii="仿宋_GB2312" w:hAnsi="仿宋_GB2312" w:eastAsia="仿宋_GB2312" w:cs="仿宋_GB2312"/>
          <w:sz w:val="24"/>
          <w:szCs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1、担保金额为人民币（大写）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元（小写：¥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2、担保期限为自本保函生效之日起至</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之日止。</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3、在本担保有效期内，因乙方违反合同约定的义务给你方造成经济损失时，我方在收到你方以书面形式提出的在担保金额内的赔偿要求后，在 7 </w:t>
      </w:r>
      <w:r>
        <w:rPr>
          <w:rFonts w:hint="eastAsia" w:ascii="仿宋_GB2312" w:hAnsi="仿宋_GB2312" w:eastAsia="仿宋_GB2312" w:cs="仿宋_GB2312"/>
          <w:sz w:val="24"/>
          <w:highlight w:val="none"/>
        </w:rPr>
        <w:t>个工作日内无条件支付。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担保人（盖公章）：</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adjustRightInd w:val="0"/>
        <w:snapToGrid w:val="0"/>
        <w:spacing w:line="360" w:lineRule="auto"/>
        <w:ind w:left="15" w:leftChars="7" w:firstLine="403" w:firstLineChars="168"/>
        <w:rPr>
          <w:rFonts w:ascii="仿宋_GB2312" w:hAnsi="仿宋_GB2312" w:eastAsia="仿宋_GB2312" w:cs="仿宋_GB2312"/>
          <w:highlight w:val="none"/>
        </w:rPr>
      </w:pPr>
      <w:r>
        <w:rPr>
          <w:rFonts w:hint="eastAsia" w:ascii="仿宋_GB2312" w:hAnsi="仿宋_GB2312" w:eastAsia="仿宋_GB2312" w:cs="仿宋_GB2312"/>
          <w:sz w:val="24"/>
          <w:highlight w:val="none"/>
        </w:rPr>
        <w:t>时间：</w:t>
      </w:r>
    </w:p>
    <w:bookmarkEnd w:id="106"/>
    <w:bookmarkEnd w:id="107"/>
    <w:p>
      <w:pPr>
        <w:pStyle w:val="15"/>
        <w:tabs>
          <w:tab w:val="left" w:pos="720"/>
        </w:tabs>
        <w:snapToGrid w:val="0"/>
        <w:spacing w:line="360" w:lineRule="auto"/>
        <w:ind w:firstLine="0"/>
        <w:jc w:val="center"/>
        <w:outlineLvl w:val="1"/>
        <w:rPr>
          <w:rFonts w:hint="eastAsia" w:ascii="仿宋_GB2312" w:hAnsi="仿宋_GB2312" w:eastAsia="仿宋_GB2312" w:cs="仿宋_GB2312"/>
          <w:kern w:val="0"/>
          <w:sz w:val="20"/>
          <w:highlight w:val="none"/>
        </w:rPr>
      </w:pPr>
      <w:r>
        <w:rPr>
          <w:rFonts w:ascii="仿宋_GB2312" w:hAnsi="仿宋_GB2312" w:eastAsia="仿宋_GB2312" w:cs="仿宋_GB2312"/>
          <w:sz w:val="24"/>
          <w:highlight w:val="none"/>
        </w:rPr>
        <w:br w:type="page"/>
      </w: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jc w:val="left"/>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jc w:val="left"/>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szCs w:val="24"/>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33"/>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1312;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3" w:type="first"/>
          <w:headerReference r:id="rId11" w:type="default"/>
          <w:footerReference r:id="rId12"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hint="eastAsia" w:ascii="宋体" w:hAnsi="宋体" w:cs="Times New Roman"/>
          <w:szCs w:val="21"/>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rFonts w:ascii="宋体" w:hAnsi="宋体"/>
          <w:szCs w:val="21"/>
        </w:rPr>
      </w:pPr>
      <w:r>
        <w:rPr>
          <w:rFonts w:hint="eastAsia" w:ascii="宋体" w:hAnsi="宋体"/>
          <w:szCs w:val="21"/>
          <w:lang w:eastAsia="zh-CN"/>
        </w:rPr>
        <w:t>六</w:t>
      </w:r>
      <w:r>
        <w:rPr>
          <w:rFonts w:hint="eastAsia" w:ascii="宋体" w:hAnsi="宋体"/>
          <w:szCs w:val="21"/>
        </w:rPr>
        <w:t>、</w:t>
      </w:r>
      <w:r>
        <w:rPr>
          <w:rFonts w:hint="eastAsia" w:ascii="宋体" w:hAnsi="宋体" w:cs="Times New Roman"/>
          <w:szCs w:val="21"/>
        </w:rPr>
        <w:t>实质性条款（标注“★”符号）响应表</w:t>
      </w:r>
    </w:p>
    <w:p>
      <w:pPr>
        <w:adjustRightInd w:val="0"/>
        <w:snapToGrid w:val="0"/>
        <w:spacing w:line="360" w:lineRule="auto"/>
        <w:jc w:val="left"/>
        <w:rPr>
          <w:rFonts w:hint="eastAsia" w:ascii="宋体" w:hAnsi="宋体"/>
          <w:szCs w:val="21"/>
        </w:rPr>
      </w:pPr>
      <w:r>
        <w:rPr>
          <w:rFonts w:hint="eastAsia" w:ascii="宋体" w:hAnsi="宋体"/>
          <w:szCs w:val="21"/>
          <w:lang w:eastAsia="zh-CN"/>
        </w:rPr>
        <w:t>七</w:t>
      </w:r>
      <w:r>
        <w:rPr>
          <w:rFonts w:hint="eastAsia" w:ascii="宋体" w:hAnsi="宋体"/>
          <w:szCs w:val="21"/>
        </w:rPr>
        <w:t>、报价一览表</w:t>
      </w:r>
    </w:p>
    <w:p>
      <w:pPr>
        <w:adjustRightInd w:val="0"/>
        <w:snapToGrid w:val="0"/>
        <w:spacing w:line="360" w:lineRule="auto"/>
        <w:jc w:val="left"/>
        <w:rPr>
          <w:rFonts w:hint="eastAsia" w:eastAsia="宋体"/>
          <w:lang w:eastAsia="zh-CN"/>
        </w:rPr>
      </w:pPr>
      <w:r>
        <w:rPr>
          <w:rFonts w:hint="eastAsia" w:ascii="宋体" w:hAnsi="宋体"/>
          <w:szCs w:val="21"/>
          <w:lang w:eastAsia="zh-CN"/>
        </w:rPr>
        <w:t>八、分项价格表</w:t>
      </w:r>
    </w:p>
    <w:p>
      <w:pPr>
        <w:adjustRightInd w:val="0"/>
        <w:snapToGrid w:val="0"/>
        <w:spacing w:line="360" w:lineRule="auto"/>
        <w:jc w:val="left"/>
        <w:rPr>
          <w:rFonts w:ascii="宋体" w:hAnsi="宋体"/>
          <w:szCs w:val="21"/>
        </w:rPr>
      </w:pPr>
      <w:r>
        <w:rPr>
          <w:rFonts w:hint="eastAsia" w:ascii="宋体" w:hAnsi="宋体"/>
          <w:szCs w:val="21"/>
          <w:lang w:eastAsia="zh-CN"/>
        </w:rPr>
        <w:t>九</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3120;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7216;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6540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65004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66848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6469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16705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rPr>
          <w:rFonts w:asciiTheme="minorEastAsia" w:hAnsiTheme="minorEastAsia" w:eastAsiaTheme="minorEastAsia"/>
          <w:b/>
          <w:sz w:val="32"/>
          <w:szCs w:val="32"/>
        </w:rPr>
      </w:pPr>
      <w:r>
        <w:rPr>
          <w:rFonts w:hint="eastAsia" w:ascii="宋体" w:hAnsi="宋体"/>
          <w:szCs w:val="21"/>
          <w:u w:val="single"/>
        </w:rPr>
        <w:t xml:space="preserve">            </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宋体" w:hAnsi="宋体" w:cs="宋体"/>
          <w:bCs/>
        </w:rPr>
        <w:t>谈判单位</w:t>
      </w:r>
      <w:r>
        <w:rPr>
          <w:rFonts w:hint="eastAsia" w:cs="宋体" w:asciiTheme="minorEastAsia" w:hAnsiTheme="minorEastAsia" w:eastAsiaTheme="minorEastAsia"/>
          <w:szCs w:val="21"/>
        </w:rPr>
        <w:t>须提供加盖谈判单位公章的营业执照复印件。</w:t>
      </w:r>
    </w:p>
    <w:p>
      <w:pPr>
        <w:spacing w:line="360" w:lineRule="auto"/>
        <w:ind w:firstLine="420" w:firstLineChars="200"/>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28" w:name="_Toc31390"/>
      <w:bookmarkStart w:id="129" w:name="_Toc29652"/>
      <w:bookmarkStart w:id="130" w:name="_Toc8554"/>
      <w:bookmarkStart w:id="131" w:name="_Toc252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8"/>
      <w:bookmarkEnd w:id="129"/>
      <w:bookmarkEnd w:id="130"/>
      <w:bookmarkEnd w:id="131"/>
    </w:p>
    <w:p>
      <w:pPr>
        <w:adjustRightInd w:val="0"/>
        <w:snapToGrid w:val="0"/>
        <w:spacing w:line="360" w:lineRule="auto"/>
        <w:ind w:firstLine="420" w:firstLineChars="200"/>
        <w:rPr>
          <w:rFonts w:asciiTheme="minorEastAsia" w:hAnsiTheme="minorEastAsia" w:eastAsiaTheme="minorEastAsia"/>
          <w:szCs w:val="21"/>
        </w:rPr>
      </w:pPr>
      <w:bookmarkStart w:id="132" w:name="_Toc8996"/>
      <w:bookmarkStart w:id="133" w:name="_Toc6287"/>
      <w:bookmarkStart w:id="134" w:name="_Toc28808"/>
      <w:bookmarkStart w:id="135" w:name="_Toc10577"/>
      <w:r>
        <w:rPr>
          <w:rFonts w:hint="eastAsia" w:asciiTheme="minorEastAsia" w:hAnsiTheme="minorEastAsia" w:eastAsiaTheme="minorEastAsia"/>
          <w:szCs w:val="21"/>
        </w:rPr>
        <w:t>法定代表人或其委托代理人(签字或盖章)：</w:t>
      </w:r>
      <w:bookmarkEnd w:id="132"/>
      <w:bookmarkEnd w:id="133"/>
      <w:bookmarkEnd w:id="134"/>
      <w:bookmarkEnd w:id="135"/>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pStyle w:val="3"/>
        <w:spacing w:before="37"/>
        <w:jc w:val="center"/>
        <w:rPr>
          <w:rFonts w:hint="eastAsia" w:cs="Times New Roman" w:asciiTheme="minorEastAsia" w:hAnsiTheme="minorEastAsia" w:eastAsiaTheme="minorEastAsia"/>
          <w:b/>
          <w:kern w:val="2"/>
          <w:sz w:val="32"/>
          <w:szCs w:val="32"/>
          <w:lang w:val="en-US" w:eastAsia="zh-CN" w:bidi="ar-SA"/>
        </w:rPr>
      </w:pPr>
      <w:r>
        <w:rPr>
          <w:rFonts w:hint="eastAsia" w:cs="Times New Roman" w:asciiTheme="minorEastAsia" w:hAnsiTheme="minorEastAsia" w:eastAsiaTheme="minorEastAsia"/>
          <w:b/>
          <w:kern w:val="2"/>
          <w:sz w:val="32"/>
          <w:szCs w:val="32"/>
          <w:lang w:val="en-US" w:eastAsia="zh-CN" w:bidi="ar-SA"/>
        </w:rPr>
        <w:t>六、实质性条款（标注“★”符号）响应表</w:t>
      </w:r>
    </w:p>
    <w:tbl>
      <w:tblPr>
        <w:tblStyle w:val="46"/>
        <w:tblW w:w="98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92"/>
        <w:gridCol w:w="155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序号</w:t>
            </w:r>
          </w:p>
        </w:tc>
        <w:tc>
          <w:tcPr>
            <w:tcW w:w="6492"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谈判文件实质性</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响应文件响应</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numPr>
                <w:ilvl w:val="0"/>
                <w:numId w:val="3"/>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项目服务要求：</w:t>
            </w:r>
          </w:p>
          <w:p>
            <w:pPr>
              <w:numPr>
                <w:ilvl w:val="0"/>
                <w:numId w:val="0"/>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1.按每3个月一个周期对设备进行上门维护、性能检测、滤芯更换。</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2</w:t>
            </w:r>
          </w:p>
        </w:tc>
        <w:tc>
          <w:tcPr>
            <w:tcW w:w="6492" w:type="dxa"/>
            <w:noWrap w:val="0"/>
            <w:vAlign w:val="top"/>
          </w:tcPr>
          <w:p>
            <w:pPr>
              <w:numPr>
                <w:ilvl w:val="0"/>
                <w:numId w:val="4"/>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项目实施要求</w:t>
            </w:r>
          </w:p>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（一）项目服务要求：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3.全线每12个月进行一次随机抽样水质检测，抽样设备数量为项目服务总数量的10%，水样需送双方认可的第三方检测机构进行专业检测，抽样送检需有双方人员全程参与，并出具有效检验报告。</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（二）耗材配件要求：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投标人必须为本项目提供保证设备正常工作的原厂合格耗材及配件，不得使用第三方替代产品。耗材保质期至少三个月。</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4</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（二）响应时间要求：</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应提供全年365天×24小时维修服务及售后服务电话，在招标人通知故障维修后，需在2小时之内响应，8小时之内上门开展相关维修服务工作。如有需采购配件等特殊情况不能按时上门或延后修复，需以文字方式通知招标人，同时承诺尽快安排相关工作并确定具体上门服务（修复）时间。</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bl>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备注：</w:t>
      </w:r>
    </w:p>
    <w:p>
      <w:pPr>
        <w:spacing w:line="320" w:lineRule="exact"/>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1、“谈判文件实质性条款号及内容”栏中所列内容均为实质性条款，响应文件对实质性条款的响应存在缺项、漏项或者任意一项不响应谈判文件的，投标将被否决。</w:t>
      </w:r>
      <w:r>
        <w:rPr>
          <w:rFonts w:hint="eastAsia" w:cs="黑体" w:asciiTheme="minorEastAsia" w:hAnsiTheme="minorEastAsia" w:eastAsiaTheme="minorEastAsia"/>
          <w:kern w:val="2"/>
          <w:sz w:val="21"/>
          <w:szCs w:val="21"/>
          <w:lang w:val="en-US" w:eastAsia="zh-CN" w:bidi="ar-SA"/>
        </w:rPr>
        <w:br w:type="textWrapping"/>
      </w:r>
      <w:r>
        <w:rPr>
          <w:rFonts w:hint="eastAsia" w:cs="黑体" w:asciiTheme="minorEastAsia" w:hAnsiTheme="minorEastAsia" w:eastAsiaTheme="minorEastAsia"/>
          <w:kern w:val="2"/>
          <w:sz w:val="21"/>
          <w:szCs w:val="21"/>
          <w:lang w:val="en-US" w:eastAsia="zh-CN" w:bidi="ar-SA"/>
        </w:rPr>
        <w:t xml:space="preserve">2、“响应文件响应条款号及内容”格式可以自行扩展，如需附页，附页内容须加盖谈判单位公章。 </w:t>
      </w:r>
    </w:p>
    <w:p>
      <w:pPr>
        <w:spacing w:line="360" w:lineRule="auto"/>
        <w:rPr>
          <w:rFonts w:hint="eastAsia" w:cs="黑体" w:asciiTheme="minorEastAsia" w:hAnsiTheme="minorEastAsia" w:eastAsiaTheme="minorEastAsia"/>
          <w:kern w:val="2"/>
          <w:sz w:val="21"/>
          <w:szCs w:val="21"/>
          <w:lang w:val="en-US" w:eastAsia="zh-CN" w:bidi="ar-SA"/>
        </w:rPr>
      </w:pPr>
    </w:p>
    <w:p>
      <w:pPr>
        <w:pStyle w:val="2"/>
        <w:ind w:left="0" w:leftChars="0" w:firstLine="0" w:firstLineChars="0"/>
        <w:rPr>
          <w:rFonts w:hint="eastAsia"/>
          <w:lang w:val="en-US" w:eastAsia="zh-CN"/>
        </w:rPr>
      </w:pP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谈判单位：                  （盖单位公章）</w:t>
      </w: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法定代表人或其委托代理人：                   （签字或盖章）</w:t>
      </w:r>
    </w:p>
    <w:p>
      <w:pPr>
        <w:tabs>
          <w:tab w:val="center" w:pos="4365"/>
        </w:tabs>
        <w:spacing w:line="360" w:lineRule="auto"/>
        <w:rPr>
          <w:rFonts w:hint="eastAsia" w:cs="黑体" w:asciiTheme="minorEastAsia" w:hAnsiTheme="minorEastAsia" w:eastAsiaTheme="minorEastAsia"/>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黑体" w:asciiTheme="minorEastAsia" w:hAnsiTheme="minorEastAsia" w:eastAsiaTheme="minorEastAsia"/>
          <w:kern w:val="2"/>
          <w:sz w:val="21"/>
          <w:szCs w:val="21"/>
          <w:lang w:val="en-US" w:eastAsia="zh-CN" w:bidi="ar-SA"/>
        </w:rPr>
        <w:t xml:space="preserve">     年    月     日</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七</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36" w:name="_Toc15367"/>
      <w:bookmarkStart w:id="137" w:name="_Toc26371"/>
      <w:bookmarkStart w:id="138" w:name="_Toc22197"/>
      <w:bookmarkStart w:id="139" w:name="_Toc1261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6"/>
      <w:bookmarkEnd w:id="137"/>
      <w:bookmarkEnd w:id="138"/>
      <w:bookmarkEnd w:id="139"/>
    </w:p>
    <w:p>
      <w:pPr>
        <w:adjustRightInd w:val="0"/>
        <w:snapToGrid w:val="0"/>
        <w:spacing w:line="360" w:lineRule="auto"/>
        <w:ind w:firstLine="420" w:firstLineChars="200"/>
        <w:rPr>
          <w:rFonts w:asciiTheme="minorEastAsia" w:hAnsiTheme="minorEastAsia" w:eastAsiaTheme="minorEastAsia"/>
          <w:szCs w:val="21"/>
        </w:rPr>
      </w:pPr>
      <w:bookmarkStart w:id="140" w:name="_Toc14381"/>
      <w:bookmarkStart w:id="141" w:name="_Toc23990"/>
      <w:bookmarkStart w:id="142" w:name="_Toc7637"/>
      <w:bookmarkStart w:id="143" w:name="_Toc26095"/>
      <w:r>
        <w:rPr>
          <w:rFonts w:hint="eastAsia" w:asciiTheme="minorEastAsia" w:hAnsiTheme="minorEastAsia" w:eastAsiaTheme="minorEastAsia"/>
          <w:szCs w:val="21"/>
        </w:rPr>
        <w:t>法定代表人或其委托代理人(签字或盖章)：</w:t>
      </w:r>
      <w:bookmarkEnd w:id="140"/>
      <w:bookmarkEnd w:id="141"/>
      <w:bookmarkEnd w:id="142"/>
      <w:bookmarkEnd w:id="143"/>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144" w:name="_Toc27599"/>
      <w:bookmarkStart w:id="145" w:name="_Toc28059"/>
      <w:bookmarkStart w:id="146" w:name="_Toc26804"/>
      <w:r>
        <w:rPr>
          <w:rFonts w:hint="eastAsia" w:ascii="宋体" w:hAnsi="宋体" w:cs="宋体"/>
          <w:b/>
          <w:sz w:val="32"/>
          <w:szCs w:val="32"/>
          <w:lang w:eastAsia="zh-CN"/>
        </w:rPr>
        <w:t>八</w:t>
      </w:r>
      <w:r>
        <w:rPr>
          <w:rFonts w:hint="eastAsia" w:ascii="宋体" w:hAnsi="宋体" w:eastAsia="宋体" w:cs="宋体"/>
          <w:b/>
          <w:sz w:val="32"/>
          <w:szCs w:val="32"/>
        </w:rPr>
        <w:t>、分项价格表</w:t>
      </w:r>
      <w:bookmarkEnd w:id="144"/>
      <w:bookmarkEnd w:id="145"/>
      <w:bookmarkEnd w:id="146"/>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54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979"/>
        <w:gridCol w:w="1430"/>
        <w:gridCol w:w="705"/>
        <w:gridCol w:w="666"/>
        <w:gridCol w:w="861"/>
        <w:gridCol w:w="1581"/>
        <w:gridCol w:w="894"/>
        <w:gridCol w:w="799"/>
        <w:gridCol w:w="9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08" w:type="pct"/>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09"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744"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型号</w:t>
            </w:r>
          </w:p>
        </w:tc>
        <w:tc>
          <w:tcPr>
            <w:tcW w:w="36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数量</w:t>
            </w:r>
          </w:p>
        </w:tc>
        <w:tc>
          <w:tcPr>
            <w:tcW w:w="34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计量单位</w:t>
            </w:r>
          </w:p>
        </w:tc>
        <w:tc>
          <w:tcPr>
            <w:tcW w:w="448"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服务期（年）</w:t>
            </w:r>
          </w:p>
        </w:tc>
        <w:tc>
          <w:tcPr>
            <w:tcW w:w="822"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最高限</w:t>
            </w:r>
            <w:r>
              <w:rPr>
                <w:rFonts w:hint="eastAsia" w:ascii="宋体" w:hAnsi="宋体" w:eastAsia="宋体" w:cs="宋体"/>
                <w:sz w:val="21"/>
                <w:szCs w:val="21"/>
                <w:highlight w:val="none"/>
                <w:lang w:eastAsia="zh-CN"/>
              </w:rPr>
              <w:t>价</w:t>
            </w:r>
          </w:p>
        </w:tc>
        <w:tc>
          <w:tcPr>
            <w:tcW w:w="46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tc>
        <w:tc>
          <w:tcPr>
            <w:tcW w:w="41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472" w:type="pct"/>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JD1750S-RO型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ZRO1822-H2</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918" w:type="pct"/>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4081" w:type="pct"/>
            <w:gridSpan w:val="8"/>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w:t>
      </w:r>
      <w:r>
        <w:rPr>
          <w:rFonts w:hint="eastAsia" w:ascii="宋体" w:hAnsi="宋体"/>
          <w:b/>
          <w:szCs w:val="21"/>
          <w:lang w:eastAsia="zh-CN"/>
        </w:rPr>
        <w:t>，</w:t>
      </w:r>
      <w:r>
        <w:rPr>
          <w:rFonts w:hint="eastAsia" w:ascii="宋体" w:hAnsi="宋体" w:cs="宋体"/>
          <w:b/>
          <w:bCs/>
          <w:szCs w:val="21"/>
        </w:rPr>
        <w:t>不超过最高限价的报价为有效报价</w:t>
      </w:r>
      <w:r>
        <w:rPr>
          <w:rFonts w:hint="eastAsia" w:ascii="宋体" w:hAnsi="宋体"/>
          <w:b/>
          <w:szCs w:val="21"/>
        </w:rPr>
        <w:t>。“合计”金额应与《报价一览表》内“谈判总报价”金额一致。栏目“单价”为综合单价，应包含所有隐含的管理费、税金和利润等其他费用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8"/>
        <w:adjustRightInd w:val="0"/>
        <w:snapToGrid w:val="0"/>
        <w:spacing w:line="360" w:lineRule="auto"/>
        <w:outlineLvl w:val="0"/>
        <w:rPr>
          <w:rFonts w:ascii="宋体" w:hAnsi="宋体"/>
          <w:sz w:val="21"/>
          <w:szCs w:val="21"/>
        </w:rPr>
      </w:pPr>
    </w:p>
    <w:p>
      <w:pPr>
        <w:pStyle w:val="28"/>
        <w:adjustRightInd w:val="0"/>
        <w:snapToGrid w:val="0"/>
        <w:spacing w:line="360" w:lineRule="auto"/>
        <w:outlineLvl w:val="0"/>
        <w:rPr>
          <w:rFonts w:ascii="宋体" w:hAnsi="宋体"/>
          <w:sz w:val="21"/>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hint="eastAsia" w:asciiTheme="minorEastAsia" w:hAnsiTheme="minorEastAsia" w:eastAsiaTheme="minorEastAsia"/>
          <w:b/>
          <w:sz w:val="32"/>
          <w:szCs w:val="32"/>
          <w:lang w:eastAsia="zh-CN"/>
        </w:rPr>
      </w:pPr>
    </w:p>
    <w:p>
      <w:pPr>
        <w:spacing w:line="360" w:lineRule="auto"/>
        <w:jc w:val="center"/>
        <w:rPr>
          <w:rFonts w:hint="eastAsia" w:asciiTheme="minorEastAsia" w:hAnsiTheme="minorEastAsia" w:eastAsiaTheme="minorEastAsia"/>
          <w:b/>
          <w:sz w:val="32"/>
          <w:szCs w:val="32"/>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九</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47" w:name="_Toc3706"/>
      <w:bookmarkStart w:id="148" w:name="_Toc15601"/>
      <w:bookmarkStart w:id="149" w:name="_Toc14618"/>
      <w:r>
        <w:rPr>
          <w:rFonts w:hint="eastAsia" w:asciiTheme="minorEastAsia" w:hAnsiTheme="minorEastAsia" w:eastAsiaTheme="minorEastAsia"/>
          <w:szCs w:val="21"/>
        </w:rPr>
        <w:t>谈判单位认为需要提供的其他报价资料，格式自拟。</w:t>
      </w:r>
      <w:bookmarkEnd w:id="147"/>
      <w:bookmarkEnd w:id="148"/>
      <w:bookmarkEnd w:id="149"/>
    </w:p>
    <w:p>
      <w:pPr>
        <w:adjustRightInd w:val="0"/>
        <w:snapToGrid w:val="0"/>
        <w:spacing w:before="161" w:beforeLines="50" w:line="360" w:lineRule="auto"/>
        <w:ind w:firstLine="420" w:firstLineChars="200"/>
        <w:jc w:val="center"/>
        <w:rPr>
          <w:rFonts w:asciiTheme="minorEastAsia" w:hAnsiTheme="minorEastAsia" w:eastAsiaTheme="minorEastAsia"/>
          <w:szCs w:val="21"/>
        </w:rPr>
      </w:pPr>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2"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5"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 o:spid="_x0000_s205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015DC936"/>
    <w:multiLevelType w:val="singleLevel"/>
    <w:tmpl w:val="015DC936"/>
    <w:lvl w:ilvl="0" w:tentative="0">
      <w:start w:val="5"/>
      <w:numFmt w:val="chineseCounting"/>
      <w:suff w:val="nothing"/>
      <w:lvlText w:val="%1、"/>
      <w:lvlJc w:val="left"/>
      <w:rPr>
        <w:rFonts w:hint="eastAsia"/>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4C3FE903"/>
    <w:multiLevelType w:val="singleLevel"/>
    <w:tmpl w:val="4C3FE9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50DB"/>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5531"/>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71303"/>
    <w:rsid w:val="00380064"/>
    <w:rsid w:val="00381105"/>
    <w:rsid w:val="003830A1"/>
    <w:rsid w:val="00384C8B"/>
    <w:rsid w:val="003958B2"/>
    <w:rsid w:val="0039632C"/>
    <w:rsid w:val="003B1109"/>
    <w:rsid w:val="003B21C3"/>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36F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34037"/>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547CA"/>
    <w:rsid w:val="00976388"/>
    <w:rsid w:val="00982A36"/>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23492"/>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47A15"/>
    <w:rsid w:val="00E77817"/>
    <w:rsid w:val="00E944EE"/>
    <w:rsid w:val="00E953AE"/>
    <w:rsid w:val="00EF6911"/>
    <w:rsid w:val="00F00E9C"/>
    <w:rsid w:val="00F37996"/>
    <w:rsid w:val="00F410E0"/>
    <w:rsid w:val="00F42B84"/>
    <w:rsid w:val="00F4788D"/>
    <w:rsid w:val="00F579E9"/>
    <w:rsid w:val="00F66731"/>
    <w:rsid w:val="00FA6734"/>
    <w:rsid w:val="00FB44A8"/>
    <w:rsid w:val="00FE23A6"/>
    <w:rsid w:val="00FE3699"/>
    <w:rsid w:val="00FF60B0"/>
    <w:rsid w:val="016E73A8"/>
    <w:rsid w:val="01DE6B70"/>
    <w:rsid w:val="02016232"/>
    <w:rsid w:val="02417B83"/>
    <w:rsid w:val="02574D6F"/>
    <w:rsid w:val="028D51BD"/>
    <w:rsid w:val="03105694"/>
    <w:rsid w:val="033466BE"/>
    <w:rsid w:val="035225A6"/>
    <w:rsid w:val="03B46D8E"/>
    <w:rsid w:val="03D609D8"/>
    <w:rsid w:val="03ED3E80"/>
    <w:rsid w:val="040617AE"/>
    <w:rsid w:val="04072F21"/>
    <w:rsid w:val="04227ADF"/>
    <w:rsid w:val="04266FF5"/>
    <w:rsid w:val="0470575A"/>
    <w:rsid w:val="04AA348C"/>
    <w:rsid w:val="04D54031"/>
    <w:rsid w:val="05894214"/>
    <w:rsid w:val="05E97ECF"/>
    <w:rsid w:val="0615210C"/>
    <w:rsid w:val="06A37E29"/>
    <w:rsid w:val="06C32324"/>
    <w:rsid w:val="070C59FF"/>
    <w:rsid w:val="073C0D51"/>
    <w:rsid w:val="073C2982"/>
    <w:rsid w:val="076456E2"/>
    <w:rsid w:val="08023E55"/>
    <w:rsid w:val="084B2BFB"/>
    <w:rsid w:val="08787227"/>
    <w:rsid w:val="08C565F2"/>
    <w:rsid w:val="08E85BDE"/>
    <w:rsid w:val="08FB2D1E"/>
    <w:rsid w:val="094B00CC"/>
    <w:rsid w:val="09664C98"/>
    <w:rsid w:val="097C063F"/>
    <w:rsid w:val="097D1C20"/>
    <w:rsid w:val="097F42B9"/>
    <w:rsid w:val="09CE7845"/>
    <w:rsid w:val="09D61CB2"/>
    <w:rsid w:val="0A3A1030"/>
    <w:rsid w:val="0A9A0228"/>
    <w:rsid w:val="0ACC0F5A"/>
    <w:rsid w:val="0BAE6533"/>
    <w:rsid w:val="0C164A2F"/>
    <w:rsid w:val="0C665E0B"/>
    <w:rsid w:val="0D421BF6"/>
    <w:rsid w:val="0D66668B"/>
    <w:rsid w:val="0DDB6291"/>
    <w:rsid w:val="0E616540"/>
    <w:rsid w:val="0E9C425A"/>
    <w:rsid w:val="0EE35C4D"/>
    <w:rsid w:val="0EE77E75"/>
    <w:rsid w:val="0F11562C"/>
    <w:rsid w:val="0FEE6040"/>
    <w:rsid w:val="10396637"/>
    <w:rsid w:val="10703D88"/>
    <w:rsid w:val="10B963C5"/>
    <w:rsid w:val="10EC3B06"/>
    <w:rsid w:val="110C2C29"/>
    <w:rsid w:val="11181F66"/>
    <w:rsid w:val="111F6D05"/>
    <w:rsid w:val="11FB259E"/>
    <w:rsid w:val="12281DA5"/>
    <w:rsid w:val="124C2DD4"/>
    <w:rsid w:val="125407C8"/>
    <w:rsid w:val="12F77001"/>
    <w:rsid w:val="136544CD"/>
    <w:rsid w:val="138B6D9B"/>
    <w:rsid w:val="1411188B"/>
    <w:rsid w:val="142F09C8"/>
    <w:rsid w:val="144D4CC0"/>
    <w:rsid w:val="14506D47"/>
    <w:rsid w:val="14AB387C"/>
    <w:rsid w:val="15886F53"/>
    <w:rsid w:val="15B1368D"/>
    <w:rsid w:val="15C505E4"/>
    <w:rsid w:val="15D00CD9"/>
    <w:rsid w:val="15DD7FEE"/>
    <w:rsid w:val="15ED6A1A"/>
    <w:rsid w:val="166F1F9A"/>
    <w:rsid w:val="16A82777"/>
    <w:rsid w:val="170054FC"/>
    <w:rsid w:val="18120B9A"/>
    <w:rsid w:val="184738E0"/>
    <w:rsid w:val="1893797B"/>
    <w:rsid w:val="18D13CF0"/>
    <w:rsid w:val="18EB4CFD"/>
    <w:rsid w:val="19035318"/>
    <w:rsid w:val="19630DF4"/>
    <w:rsid w:val="1A80468D"/>
    <w:rsid w:val="1A9C1831"/>
    <w:rsid w:val="1B324E6A"/>
    <w:rsid w:val="1BCA2A5E"/>
    <w:rsid w:val="1BE642A2"/>
    <w:rsid w:val="1C1C02FB"/>
    <w:rsid w:val="1C3228C1"/>
    <w:rsid w:val="1C3E793F"/>
    <w:rsid w:val="1D1A055F"/>
    <w:rsid w:val="1D5C448C"/>
    <w:rsid w:val="1E4D41B9"/>
    <w:rsid w:val="1E6646CC"/>
    <w:rsid w:val="1E981D4A"/>
    <w:rsid w:val="1EA54A7E"/>
    <w:rsid w:val="1EE6655A"/>
    <w:rsid w:val="1EFC3574"/>
    <w:rsid w:val="1F875FC9"/>
    <w:rsid w:val="1FD401CA"/>
    <w:rsid w:val="202020E0"/>
    <w:rsid w:val="20512691"/>
    <w:rsid w:val="20811D27"/>
    <w:rsid w:val="219C6F36"/>
    <w:rsid w:val="21EA0F73"/>
    <w:rsid w:val="22001CA7"/>
    <w:rsid w:val="23217DAC"/>
    <w:rsid w:val="233E41F0"/>
    <w:rsid w:val="23540F1C"/>
    <w:rsid w:val="23F8119B"/>
    <w:rsid w:val="24421CA9"/>
    <w:rsid w:val="24967E12"/>
    <w:rsid w:val="24B252EC"/>
    <w:rsid w:val="24BC37AA"/>
    <w:rsid w:val="24DD7A74"/>
    <w:rsid w:val="25092129"/>
    <w:rsid w:val="2588569F"/>
    <w:rsid w:val="2658296F"/>
    <w:rsid w:val="26662701"/>
    <w:rsid w:val="267F0FB7"/>
    <w:rsid w:val="26B0428E"/>
    <w:rsid w:val="26D60619"/>
    <w:rsid w:val="26E4674D"/>
    <w:rsid w:val="27350900"/>
    <w:rsid w:val="273B23BD"/>
    <w:rsid w:val="27405291"/>
    <w:rsid w:val="2797453C"/>
    <w:rsid w:val="27C64702"/>
    <w:rsid w:val="2888133C"/>
    <w:rsid w:val="28BE0CBD"/>
    <w:rsid w:val="28FF5D1E"/>
    <w:rsid w:val="29210A38"/>
    <w:rsid w:val="29290B62"/>
    <w:rsid w:val="2951072C"/>
    <w:rsid w:val="29662480"/>
    <w:rsid w:val="29C26535"/>
    <w:rsid w:val="29F6050F"/>
    <w:rsid w:val="29FE6640"/>
    <w:rsid w:val="2A800F2F"/>
    <w:rsid w:val="2A9E4AC0"/>
    <w:rsid w:val="2AC97A0D"/>
    <w:rsid w:val="2B36733E"/>
    <w:rsid w:val="2B80536B"/>
    <w:rsid w:val="2C074F20"/>
    <w:rsid w:val="2C162F55"/>
    <w:rsid w:val="2C3C6E9F"/>
    <w:rsid w:val="2C5D4AA0"/>
    <w:rsid w:val="2C7627E2"/>
    <w:rsid w:val="2C997DB1"/>
    <w:rsid w:val="2C9B7BF5"/>
    <w:rsid w:val="2CF96CFB"/>
    <w:rsid w:val="2D8D261C"/>
    <w:rsid w:val="2DDB7325"/>
    <w:rsid w:val="2DE56563"/>
    <w:rsid w:val="2E8E7239"/>
    <w:rsid w:val="2EA33208"/>
    <w:rsid w:val="2EC50125"/>
    <w:rsid w:val="2EF25909"/>
    <w:rsid w:val="2F127912"/>
    <w:rsid w:val="2F2A1A38"/>
    <w:rsid w:val="2F634563"/>
    <w:rsid w:val="2FF4780A"/>
    <w:rsid w:val="30CC793C"/>
    <w:rsid w:val="30F76A65"/>
    <w:rsid w:val="30F77CED"/>
    <w:rsid w:val="3189074A"/>
    <w:rsid w:val="31AC2400"/>
    <w:rsid w:val="31AD5E77"/>
    <w:rsid w:val="31B61A82"/>
    <w:rsid w:val="32B27CA8"/>
    <w:rsid w:val="32F7027C"/>
    <w:rsid w:val="3304077D"/>
    <w:rsid w:val="3326112B"/>
    <w:rsid w:val="33AB69E0"/>
    <w:rsid w:val="33BD1A5D"/>
    <w:rsid w:val="33F309CF"/>
    <w:rsid w:val="342E4543"/>
    <w:rsid w:val="343B7C3F"/>
    <w:rsid w:val="349537D0"/>
    <w:rsid w:val="3506708D"/>
    <w:rsid w:val="3527735C"/>
    <w:rsid w:val="359D78EF"/>
    <w:rsid w:val="35C66E26"/>
    <w:rsid w:val="35F3787B"/>
    <w:rsid w:val="36586AB4"/>
    <w:rsid w:val="36630339"/>
    <w:rsid w:val="36B77340"/>
    <w:rsid w:val="36D5672B"/>
    <w:rsid w:val="36E403EC"/>
    <w:rsid w:val="373D2A39"/>
    <w:rsid w:val="378B54B8"/>
    <w:rsid w:val="38907664"/>
    <w:rsid w:val="38DE4586"/>
    <w:rsid w:val="38F9177D"/>
    <w:rsid w:val="392705C8"/>
    <w:rsid w:val="392B2144"/>
    <w:rsid w:val="393442DF"/>
    <w:rsid w:val="39E27939"/>
    <w:rsid w:val="3A4013D4"/>
    <w:rsid w:val="3A59316D"/>
    <w:rsid w:val="3A9D0F30"/>
    <w:rsid w:val="3AF1674B"/>
    <w:rsid w:val="3B235613"/>
    <w:rsid w:val="3BC2087E"/>
    <w:rsid w:val="3BC74370"/>
    <w:rsid w:val="3C263F3D"/>
    <w:rsid w:val="3C4545B9"/>
    <w:rsid w:val="3C7D1CA0"/>
    <w:rsid w:val="3CB459C9"/>
    <w:rsid w:val="3D350E98"/>
    <w:rsid w:val="3DA606C7"/>
    <w:rsid w:val="3ECD75DF"/>
    <w:rsid w:val="3F1C763B"/>
    <w:rsid w:val="3F840AF0"/>
    <w:rsid w:val="3FB211CB"/>
    <w:rsid w:val="3FC73801"/>
    <w:rsid w:val="3FED00A7"/>
    <w:rsid w:val="401F311B"/>
    <w:rsid w:val="403854CE"/>
    <w:rsid w:val="40830F94"/>
    <w:rsid w:val="40B95DD9"/>
    <w:rsid w:val="40BE1148"/>
    <w:rsid w:val="40F267D8"/>
    <w:rsid w:val="40F50849"/>
    <w:rsid w:val="411A3A24"/>
    <w:rsid w:val="41365969"/>
    <w:rsid w:val="414015A3"/>
    <w:rsid w:val="425B2511"/>
    <w:rsid w:val="42A637B4"/>
    <w:rsid w:val="42B113B1"/>
    <w:rsid w:val="42C8264C"/>
    <w:rsid w:val="42FD678B"/>
    <w:rsid w:val="434660D0"/>
    <w:rsid w:val="434B6200"/>
    <w:rsid w:val="43574AFD"/>
    <w:rsid w:val="438C7A2F"/>
    <w:rsid w:val="43EB0F20"/>
    <w:rsid w:val="44051EC9"/>
    <w:rsid w:val="4431133A"/>
    <w:rsid w:val="446837DD"/>
    <w:rsid w:val="44A11C3D"/>
    <w:rsid w:val="44CC33EB"/>
    <w:rsid w:val="4575004E"/>
    <w:rsid w:val="457B4715"/>
    <w:rsid w:val="458D53A3"/>
    <w:rsid w:val="45BD7EF6"/>
    <w:rsid w:val="45F966B5"/>
    <w:rsid w:val="460967F1"/>
    <w:rsid w:val="462F7A20"/>
    <w:rsid w:val="469965DF"/>
    <w:rsid w:val="46E17929"/>
    <w:rsid w:val="4774262F"/>
    <w:rsid w:val="48521B3A"/>
    <w:rsid w:val="48605FB4"/>
    <w:rsid w:val="4A164FC6"/>
    <w:rsid w:val="4AA87A18"/>
    <w:rsid w:val="4AC5638E"/>
    <w:rsid w:val="4AEC3FDD"/>
    <w:rsid w:val="4B05124C"/>
    <w:rsid w:val="4BAA1147"/>
    <w:rsid w:val="4C68124D"/>
    <w:rsid w:val="4CF400BB"/>
    <w:rsid w:val="4D40298C"/>
    <w:rsid w:val="4D6E4698"/>
    <w:rsid w:val="4DB24FC1"/>
    <w:rsid w:val="4E8548FC"/>
    <w:rsid w:val="4EBC2354"/>
    <w:rsid w:val="4EC90D3E"/>
    <w:rsid w:val="4EDE7DC9"/>
    <w:rsid w:val="4EEF295D"/>
    <w:rsid w:val="4F242CF1"/>
    <w:rsid w:val="4F792F65"/>
    <w:rsid w:val="4FDD0550"/>
    <w:rsid w:val="509F17C1"/>
    <w:rsid w:val="51322546"/>
    <w:rsid w:val="513C44F8"/>
    <w:rsid w:val="51482C9B"/>
    <w:rsid w:val="51CD5EEE"/>
    <w:rsid w:val="51D7189A"/>
    <w:rsid w:val="51EC0037"/>
    <w:rsid w:val="51F135B6"/>
    <w:rsid w:val="522D2330"/>
    <w:rsid w:val="52F421A7"/>
    <w:rsid w:val="5322696F"/>
    <w:rsid w:val="53860127"/>
    <w:rsid w:val="539147A7"/>
    <w:rsid w:val="53BD08B1"/>
    <w:rsid w:val="53E457E1"/>
    <w:rsid w:val="53FA1417"/>
    <w:rsid w:val="543D7759"/>
    <w:rsid w:val="5444354A"/>
    <w:rsid w:val="548A000A"/>
    <w:rsid w:val="549F254C"/>
    <w:rsid w:val="54DA6F9A"/>
    <w:rsid w:val="550C1056"/>
    <w:rsid w:val="5565204E"/>
    <w:rsid w:val="56096771"/>
    <w:rsid w:val="562039A6"/>
    <w:rsid w:val="56427277"/>
    <w:rsid w:val="565A77B2"/>
    <w:rsid w:val="56C20F2D"/>
    <w:rsid w:val="57207413"/>
    <w:rsid w:val="57477B2B"/>
    <w:rsid w:val="5760098D"/>
    <w:rsid w:val="577466A4"/>
    <w:rsid w:val="57C86EED"/>
    <w:rsid w:val="583D5903"/>
    <w:rsid w:val="58814608"/>
    <w:rsid w:val="58F103A4"/>
    <w:rsid w:val="58F11BFD"/>
    <w:rsid w:val="590A7119"/>
    <w:rsid w:val="596D221D"/>
    <w:rsid w:val="598409DC"/>
    <w:rsid w:val="59BC25A2"/>
    <w:rsid w:val="59D37CF1"/>
    <w:rsid w:val="5AD95640"/>
    <w:rsid w:val="5ADF6442"/>
    <w:rsid w:val="5B1146F6"/>
    <w:rsid w:val="5B1D7FDB"/>
    <w:rsid w:val="5B95287A"/>
    <w:rsid w:val="5BB8572C"/>
    <w:rsid w:val="5BE82DE6"/>
    <w:rsid w:val="5C151288"/>
    <w:rsid w:val="5C1735B5"/>
    <w:rsid w:val="5C247228"/>
    <w:rsid w:val="5C524815"/>
    <w:rsid w:val="5CDA0CDF"/>
    <w:rsid w:val="5D396783"/>
    <w:rsid w:val="5D3E7167"/>
    <w:rsid w:val="5D481133"/>
    <w:rsid w:val="5D4F4FA5"/>
    <w:rsid w:val="5DA1750E"/>
    <w:rsid w:val="5E1F6D99"/>
    <w:rsid w:val="5E826B99"/>
    <w:rsid w:val="5E9C1ADF"/>
    <w:rsid w:val="5E9D6655"/>
    <w:rsid w:val="5EA507C4"/>
    <w:rsid w:val="5EB1616D"/>
    <w:rsid w:val="5EFB538E"/>
    <w:rsid w:val="5F3757E7"/>
    <w:rsid w:val="600072AE"/>
    <w:rsid w:val="601B4236"/>
    <w:rsid w:val="6071183C"/>
    <w:rsid w:val="60F765D6"/>
    <w:rsid w:val="616D4557"/>
    <w:rsid w:val="61BD5058"/>
    <w:rsid w:val="61EF5473"/>
    <w:rsid w:val="623945A2"/>
    <w:rsid w:val="624A6D8F"/>
    <w:rsid w:val="625C1A96"/>
    <w:rsid w:val="62A85CDD"/>
    <w:rsid w:val="62B50AF2"/>
    <w:rsid w:val="62BA7EC8"/>
    <w:rsid w:val="62C96256"/>
    <w:rsid w:val="62CC2A90"/>
    <w:rsid w:val="62E35C5C"/>
    <w:rsid w:val="62E63623"/>
    <w:rsid w:val="632A666E"/>
    <w:rsid w:val="63322A08"/>
    <w:rsid w:val="6336440C"/>
    <w:rsid w:val="63522F7B"/>
    <w:rsid w:val="63B42FBE"/>
    <w:rsid w:val="642E1744"/>
    <w:rsid w:val="643A1B9E"/>
    <w:rsid w:val="64546A26"/>
    <w:rsid w:val="64C26052"/>
    <w:rsid w:val="64D12B30"/>
    <w:rsid w:val="65100EF4"/>
    <w:rsid w:val="652B48A4"/>
    <w:rsid w:val="65820123"/>
    <w:rsid w:val="65913AED"/>
    <w:rsid w:val="65E83D26"/>
    <w:rsid w:val="65FC519A"/>
    <w:rsid w:val="66585984"/>
    <w:rsid w:val="66D10CCC"/>
    <w:rsid w:val="66E96BAE"/>
    <w:rsid w:val="670D79CE"/>
    <w:rsid w:val="67392F67"/>
    <w:rsid w:val="673B1F5E"/>
    <w:rsid w:val="676A4EFC"/>
    <w:rsid w:val="677F4A59"/>
    <w:rsid w:val="685925FD"/>
    <w:rsid w:val="69562F7B"/>
    <w:rsid w:val="69C05706"/>
    <w:rsid w:val="69CE2E46"/>
    <w:rsid w:val="69EC6BE2"/>
    <w:rsid w:val="69EF1903"/>
    <w:rsid w:val="6A636C96"/>
    <w:rsid w:val="6A7A5845"/>
    <w:rsid w:val="6ABE21AD"/>
    <w:rsid w:val="6B61607C"/>
    <w:rsid w:val="6B776B5F"/>
    <w:rsid w:val="6B781B95"/>
    <w:rsid w:val="6B96184C"/>
    <w:rsid w:val="6B9A5005"/>
    <w:rsid w:val="6C4224C8"/>
    <w:rsid w:val="6C74273D"/>
    <w:rsid w:val="6C94160D"/>
    <w:rsid w:val="6CBA2C30"/>
    <w:rsid w:val="6CED225A"/>
    <w:rsid w:val="6CF25E26"/>
    <w:rsid w:val="6CF32683"/>
    <w:rsid w:val="6DBF6989"/>
    <w:rsid w:val="6E953493"/>
    <w:rsid w:val="6EEB1E65"/>
    <w:rsid w:val="6F850583"/>
    <w:rsid w:val="6FBC3B21"/>
    <w:rsid w:val="6FC04798"/>
    <w:rsid w:val="6FEE25CE"/>
    <w:rsid w:val="6FF33E1A"/>
    <w:rsid w:val="70227688"/>
    <w:rsid w:val="702E36F8"/>
    <w:rsid w:val="702F5C21"/>
    <w:rsid w:val="708231F8"/>
    <w:rsid w:val="7095454D"/>
    <w:rsid w:val="710E6F5D"/>
    <w:rsid w:val="71252D0C"/>
    <w:rsid w:val="715E60D0"/>
    <w:rsid w:val="72E548CC"/>
    <w:rsid w:val="730A11F0"/>
    <w:rsid w:val="738F320C"/>
    <w:rsid w:val="73952AC6"/>
    <w:rsid w:val="74410A18"/>
    <w:rsid w:val="74FB6BE5"/>
    <w:rsid w:val="7535292A"/>
    <w:rsid w:val="753B7D13"/>
    <w:rsid w:val="756B79EC"/>
    <w:rsid w:val="75933503"/>
    <w:rsid w:val="760667A9"/>
    <w:rsid w:val="76621715"/>
    <w:rsid w:val="76BA6269"/>
    <w:rsid w:val="76CD42B6"/>
    <w:rsid w:val="76F300C3"/>
    <w:rsid w:val="770C4A8E"/>
    <w:rsid w:val="77684BEC"/>
    <w:rsid w:val="77B417B8"/>
    <w:rsid w:val="77D949F2"/>
    <w:rsid w:val="781264F1"/>
    <w:rsid w:val="7857284D"/>
    <w:rsid w:val="791D1490"/>
    <w:rsid w:val="79547B6C"/>
    <w:rsid w:val="79552F8E"/>
    <w:rsid w:val="79D24D33"/>
    <w:rsid w:val="79EE69A0"/>
    <w:rsid w:val="7A375F45"/>
    <w:rsid w:val="7A545A20"/>
    <w:rsid w:val="7A8377CB"/>
    <w:rsid w:val="7A851190"/>
    <w:rsid w:val="7A9D09F8"/>
    <w:rsid w:val="7AB93CAD"/>
    <w:rsid w:val="7ACE64DF"/>
    <w:rsid w:val="7AD51802"/>
    <w:rsid w:val="7B044D87"/>
    <w:rsid w:val="7B625890"/>
    <w:rsid w:val="7B6736D1"/>
    <w:rsid w:val="7C8200BE"/>
    <w:rsid w:val="7C996C5E"/>
    <w:rsid w:val="7D3149F1"/>
    <w:rsid w:val="7DAE2B75"/>
    <w:rsid w:val="7DDC42F1"/>
    <w:rsid w:val="7DF00C43"/>
    <w:rsid w:val="7E5343A3"/>
    <w:rsid w:val="7E5366E5"/>
    <w:rsid w:val="7FAF6940"/>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1"/>
    <customShpInfo spid="_x0000_s2052"/>
    <customShpInfo spid="_x0000_s2055" textRotate="1"/>
    <customShpInfo spid="_x0000_s2056"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3452</Words>
  <Characters>19681</Characters>
  <Lines>164</Lines>
  <Paragraphs>46</Paragraphs>
  <TotalTime>111</TotalTime>
  <ScaleCrop>false</ScaleCrop>
  <LinksUpToDate>false</LinksUpToDate>
  <CharactersWithSpaces>23087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2021-04-06T02:36:00Z</cp:lastPrinted>
  <dcterms:modified xsi:type="dcterms:W3CDTF">2021-04-12T06:08:21Z</dcterms:modified>
  <dc:title>长沙市轨道交通运营有限公司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8AB5F4937F644E4F9A9F6E5291170A14</vt:lpwstr>
  </property>
</Properties>
</file>