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Ansi="宋体"/>
          <w:sz w:val="52"/>
          <w:szCs w:val="52"/>
        </w:rPr>
      </w:pPr>
    </w:p>
    <w:p>
      <w:pPr>
        <w:pStyle w:val="26"/>
        <w:jc w:val="both"/>
        <w:rPr>
          <w:rFonts w:hint="eastAsia" w:ascii="黑体" w:hAnsi="黑体" w:eastAsia="黑体" w:cs="黑体"/>
          <w:sz w:val="52"/>
          <w:szCs w:val="52"/>
        </w:rPr>
      </w:pPr>
    </w:p>
    <w:p>
      <w:pPr>
        <w:pStyle w:val="26"/>
        <w:jc w:val="center"/>
        <w:rPr>
          <w:rFonts w:hint="eastAsia" w:ascii="黑体" w:hAnsi="黑体" w:eastAsia="黑体" w:cs="黑体"/>
          <w:b w:val="0"/>
          <w:bCs/>
          <w:sz w:val="52"/>
          <w:szCs w:val="52"/>
        </w:rPr>
      </w:pPr>
      <w:r>
        <w:rPr>
          <w:rFonts w:hint="eastAsia" w:ascii="黑体" w:hAnsi="黑体" w:eastAsia="黑体" w:cs="黑体"/>
          <w:b w:val="0"/>
          <w:bCs/>
          <w:sz w:val="52"/>
          <w:szCs w:val="52"/>
        </w:rPr>
        <w:t>长沙市轨道交通运营有限公司</w:t>
      </w:r>
    </w:p>
    <w:p>
      <w:pPr>
        <w:pStyle w:val="26"/>
        <w:adjustRightInd w:val="0"/>
        <w:snapToGrid w:val="0"/>
        <w:spacing w:line="360" w:lineRule="auto"/>
        <w:jc w:val="center"/>
        <w:rPr>
          <w:rFonts w:hint="eastAsia" w:ascii="黑体" w:hAnsi="黑体" w:eastAsia="黑体" w:cs="黑体"/>
          <w:b w:val="0"/>
          <w:bCs/>
        </w:rPr>
      </w:pPr>
      <w:r>
        <w:rPr>
          <w:rFonts w:hint="eastAsia" w:ascii="黑体" w:hAnsi="黑体" w:eastAsia="黑体" w:cs="黑体"/>
          <w:b w:val="0"/>
          <w:bCs/>
          <w:sz w:val="52"/>
          <w:szCs w:val="52"/>
        </w:rPr>
        <w:t>自主竞争性谈判文件</w:t>
      </w:r>
    </w:p>
    <w:p>
      <w:pPr>
        <w:pStyle w:val="26"/>
        <w:adjustRightInd w:val="0"/>
        <w:snapToGrid w:val="0"/>
        <w:spacing w:line="360" w:lineRule="auto"/>
        <w:rPr>
          <w:rFonts w:hAnsi="宋体"/>
          <w:b w:val="0"/>
          <w:bCs/>
          <w:sz w:val="32"/>
          <w:szCs w:val="32"/>
        </w:rPr>
      </w:pPr>
    </w:p>
    <w:p>
      <w:pPr>
        <w:pStyle w:val="26"/>
        <w:adjustRightInd w:val="0"/>
        <w:snapToGrid w:val="0"/>
        <w:spacing w:line="360" w:lineRule="auto"/>
        <w:rPr>
          <w:rFonts w:hAnsi="宋体"/>
          <w:b w:val="0"/>
          <w:bCs/>
          <w:sz w:val="32"/>
          <w:szCs w:val="32"/>
        </w:rPr>
      </w:pPr>
    </w:p>
    <w:p>
      <w:pPr>
        <w:pStyle w:val="26"/>
        <w:adjustRightInd w:val="0"/>
        <w:snapToGrid w:val="0"/>
        <w:spacing w:line="360" w:lineRule="auto"/>
        <w:rPr>
          <w:rFonts w:hAnsi="宋体"/>
          <w:b w:val="0"/>
          <w:bCs/>
          <w:sz w:val="32"/>
          <w:szCs w:val="32"/>
        </w:rPr>
      </w:pPr>
    </w:p>
    <w:p>
      <w:pPr>
        <w:pStyle w:val="26"/>
        <w:adjustRightInd w:val="0"/>
        <w:snapToGrid w:val="0"/>
        <w:spacing w:line="360" w:lineRule="auto"/>
        <w:ind w:left="3198" w:leftChars="456" w:hanging="2240" w:hangingChars="700"/>
        <w:rPr>
          <w:rFonts w:hint="default" w:ascii="黑体" w:hAnsi="黑体" w:eastAsia="黑体" w:cs="黑体"/>
          <w:b w:val="0"/>
          <w:bCs/>
          <w:sz w:val="32"/>
          <w:u w:val="single"/>
          <w:lang w:val="en-US" w:eastAsia="zh-CN"/>
        </w:rPr>
      </w:pPr>
      <w:r>
        <w:rPr>
          <w:rFonts w:hint="eastAsia" w:ascii="黑体" w:hAnsi="黑体" w:eastAsia="黑体" w:cs="黑体"/>
          <w:b w:val="0"/>
          <w:bCs/>
          <w:sz w:val="32"/>
        </w:rPr>
        <w:t>谈判项目名称：</w:t>
      </w:r>
      <w:r>
        <w:rPr>
          <w:rFonts w:hint="eastAsia" w:ascii="黑体" w:hAnsi="黑体" w:eastAsia="黑体" w:cs="黑体"/>
          <w:b w:val="0"/>
          <w:bCs/>
          <w:sz w:val="32"/>
          <w:u w:val="single"/>
          <w:lang w:val="en-US" w:eastAsia="zh-CN"/>
        </w:rPr>
        <w:t>长沙市轨道交通1号线运营期2021年度道岔融雪装置采购项目(第二次)</w:t>
      </w:r>
    </w:p>
    <w:p>
      <w:pPr>
        <w:pStyle w:val="26"/>
        <w:adjustRightInd w:val="0"/>
        <w:snapToGrid w:val="0"/>
        <w:spacing w:line="360" w:lineRule="auto"/>
        <w:ind w:left="2878" w:leftChars="304" w:hanging="2240" w:hangingChars="700"/>
        <w:rPr>
          <w:rFonts w:hint="eastAsia" w:ascii="黑体" w:hAnsi="黑体" w:eastAsia="黑体" w:cs="黑体"/>
          <w:b w:val="0"/>
          <w:bCs/>
          <w:sz w:val="32"/>
          <w:u w:val="single"/>
          <w:lang w:val="en-US" w:eastAsia="zh-CN"/>
        </w:rPr>
      </w:pPr>
    </w:p>
    <w:p>
      <w:pPr>
        <w:pStyle w:val="26"/>
        <w:adjustRightInd w:val="0"/>
        <w:snapToGrid w:val="0"/>
        <w:spacing w:line="360" w:lineRule="auto"/>
        <w:ind w:firstLine="960" w:firstLineChars="300"/>
        <w:rPr>
          <w:rFonts w:hint="eastAsia" w:ascii="黑体" w:hAnsi="黑体" w:eastAsia="黑体" w:cs="黑体"/>
          <w:b w:val="0"/>
          <w:bCs/>
          <w:sz w:val="32"/>
        </w:rPr>
      </w:pPr>
      <w:r>
        <w:rPr>
          <w:rFonts w:hint="eastAsia" w:ascii="黑体" w:hAnsi="黑体" w:eastAsia="黑体" w:cs="黑体"/>
          <w:b w:val="0"/>
          <w:bCs/>
          <w:sz w:val="32"/>
        </w:rPr>
        <w:t>采购单位名称：</w:t>
      </w:r>
      <w:r>
        <w:rPr>
          <w:rFonts w:hint="eastAsia" w:ascii="黑体" w:hAnsi="黑体" w:eastAsia="黑体" w:cs="黑体"/>
          <w:b w:val="0"/>
          <w:bCs/>
          <w:sz w:val="32"/>
          <w:u w:val="single"/>
        </w:rPr>
        <w:t>长沙市轨道交通</w:t>
      </w:r>
      <w:r>
        <w:rPr>
          <w:rFonts w:hint="eastAsia" w:ascii="黑体" w:hAnsi="黑体" w:eastAsia="黑体" w:cs="黑体"/>
          <w:b w:val="0"/>
          <w:bCs/>
          <w:sz w:val="32"/>
          <w:u w:val="single"/>
          <w:lang w:eastAsia="zh-CN"/>
        </w:rPr>
        <w:t>一</w:t>
      </w:r>
      <w:r>
        <w:rPr>
          <w:rFonts w:hint="eastAsia" w:ascii="黑体" w:hAnsi="黑体" w:eastAsia="黑体" w:cs="黑体"/>
          <w:b w:val="0"/>
          <w:bCs/>
          <w:sz w:val="32"/>
          <w:u w:val="single"/>
        </w:rPr>
        <w:t>号线建设发展有限公司</w:t>
      </w:r>
    </w:p>
    <w:p>
      <w:pPr>
        <w:pStyle w:val="26"/>
        <w:adjustRightInd w:val="0"/>
        <w:snapToGrid w:val="0"/>
        <w:spacing w:line="360" w:lineRule="auto"/>
        <w:ind w:firstLine="640" w:firstLineChars="200"/>
        <w:rPr>
          <w:rFonts w:hint="eastAsia" w:ascii="黑体" w:hAnsi="黑体" w:eastAsia="黑体" w:cs="黑体"/>
          <w:b w:val="0"/>
          <w:bCs/>
          <w:sz w:val="32"/>
        </w:rPr>
      </w:pPr>
    </w:p>
    <w:p>
      <w:pPr>
        <w:pStyle w:val="26"/>
        <w:adjustRightInd w:val="0"/>
        <w:snapToGrid w:val="0"/>
        <w:spacing w:line="360" w:lineRule="auto"/>
        <w:ind w:firstLine="960" w:firstLineChars="300"/>
        <w:rPr>
          <w:rFonts w:hint="eastAsia" w:ascii="黑体" w:hAnsi="黑体" w:eastAsia="黑体" w:cs="黑体"/>
          <w:b w:val="0"/>
          <w:bCs/>
          <w:sz w:val="32"/>
          <w:u w:val="single"/>
        </w:rPr>
      </w:pPr>
      <w:r>
        <w:rPr>
          <w:rFonts w:hint="eastAsia" w:ascii="黑体" w:hAnsi="黑体" w:eastAsia="黑体" w:cs="黑体"/>
          <w:b w:val="0"/>
          <w:bCs/>
          <w:sz w:val="32"/>
        </w:rPr>
        <w:t>谈判项目编号：</w:t>
      </w:r>
      <w:r>
        <w:rPr>
          <w:rFonts w:hint="eastAsia" w:ascii="黑体" w:hAnsi="黑体" w:eastAsia="黑体" w:cs="黑体"/>
          <w:b w:val="0"/>
          <w:bCs/>
          <w:sz w:val="32"/>
          <w:u w:val="single"/>
        </w:rPr>
        <w:t>长轨运物采【20</w:t>
      </w:r>
      <w:r>
        <w:rPr>
          <w:rFonts w:hint="eastAsia" w:ascii="黑体" w:hAnsi="黑体" w:eastAsia="黑体" w:cs="黑体"/>
          <w:b w:val="0"/>
          <w:bCs/>
          <w:sz w:val="32"/>
          <w:u w:val="single"/>
          <w:lang w:val="en-US" w:eastAsia="zh-CN"/>
        </w:rPr>
        <w:t>21</w:t>
      </w:r>
      <w:r>
        <w:rPr>
          <w:rFonts w:hint="eastAsia" w:ascii="黑体" w:hAnsi="黑体" w:eastAsia="黑体" w:cs="黑体"/>
          <w:b w:val="0"/>
          <w:bCs/>
          <w:sz w:val="32"/>
          <w:u w:val="single"/>
        </w:rPr>
        <w:t>】0</w:t>
      </w:r>
      <w:r>
        <w:rPr>
          <w:rFonts w:hint="eastAsia" w:ascii="黑体" w:hAnsi="黑体" w:eastAsia="黑体" w:cs="黑体"/>
          <w:b w:val="0"/>
          <w:bCs/>
          <w:sz w:val="32"/>
          <w:u w:val="single"/>
          <w:lang w:val="en-US" w:eastAsia="zh-CN"/>
        </w:rPr>
        <w:t>71</w:t>
      </w:r>
      <w:r>
        <w:rPr>
          <w:rFonts w:hint="eastAsia" w:ascii="黑体" w:hAnsi="黑体" w:eastAsia="黑体" w:cs="黑体"/>
          <w:b w:val="0"/>
          <w:bCs/>
          <w:sz w:val="32"/>
          <w:u w:val="single"/>
        </w:rPr>
        <w:t>号</w:t>
      </w:r>
    </w:p>
    <w:p>
      <w:pPr>
        <w:pStyle w:val="26"/>
        <w:adjustRightInd w:val="0"/>
        <w:snapToGrid w:val="0"/>
        <w:spacing w:before="120" w:beforeLines="50" w:line="360" w:lineRule="auto"/>
        <w:rPr>
          <w:rFonts w:hAnsi="宋体"/>
          <w:b w:val="0"/>
          <w:bCs/>
          <w:sz w:val="32"/>
          <w:szCs w:val="32"/>
        </w:rPr>
      </w:pPr>
    </w:p>
    <w:p>
      <w:pPr>
        <w:pStyle w:val="26"/>
        <w:adjustRightInd w:val="0"/>
        <w:snapToGrid w:val="0"/>
        <w:spacing w:line="360" w:lineRule="auto"/>
        <w:rPr>
          <w:rFonts w:hAnsi="宋体"/>
          <w:b w:val="0"/>
          <w:bCs/>
          <w:sz w:val="32"/>
        </w:rPr>
      </w:pPr>
    </w:p>
    <w:p>
      <w:pPr>
        <w:pStyle w:val="26"/>
        <w:adjustRightInd w:val="0"/>
        <w:snapToGrid w:val="0"/>
        <w:spacing w:line="360" w:lineRule="auto"/>
        <w:rPr>
          <w:rFonts w:hint="eastAsia" w:hAnsi="宋体" w:eastAsia="宋体"/>
          <w:b w:val="0"/>
          <w:bCs/>
          <w:sz w:val="32"/>
          <w:lang w:eastAsia="zh-CN"/>
        </w:rPr>
      </w:pPr>
    </w:p>
    <w:p>
      <w:pPr>
        <w:pStyle w:val="26"/>
        <w:adjustRightInd w:val="0"/>
        <w:snapToGrid w:val="0"/>
        <w:spacing w:line="360" w:lineRule="auto"/>
        <w:rPr>
          <w:rFonts w:hint="eastAsia" w:hAnsi="宋体" w:eastAsia="宋体"/>
          <w:b w:val="0"/>
          <w:bCs/>
          <w:sz w:val="32"/>
          <w:lang w:eastAsia="zh-CN"/>
        </w:rPr>
      </w:pPr>
    </w:p>
    <w:p>
      <w:pPr>
        <w:pStyle w:val="26"/>
        <w:adjustRightInd w:val="0"/>
        <w:snapToGrid w:val="0"/>
        <w:spacing w:line="360" w:lineRule="auto"/>
        <w:rPr>
          <w:rFonts w:hint="eastAsia" w:hAnsi="宋体" w:eastAsia="宋体"/>
          <w:b w:val="0"/>
          <w:bCs/>
          <w:sz w:val="32"/>
          <w:lang w:eastAsia="zh-CN"/>
        </w:rPr>
      </w:pPr>
    </w:p>
    <w:p>
      <w:pPr>
        <w:pStyle w:val="26"/>
        <w:adjustRightInd w:val="0"/>
        <w:snapToGrid w:val="0"/>
        <w:spacing w:line="360" w:lineRule="auto"/>
        <w:rPr>
          <w:rFonts w:hAnsi="宋体"/>
          <w:b w:val="0"/>
          <w:bCs/>
          <w:sz w:val="32"/>
        </w:rPr>
      </w:pPr>
    </w:p>
    <w:p>
      <w:pPr>
        <w:pStyle w:val="26"/>
        <w:adjustRightInd w:val="0"/>
        <w:snapToGrid w:val="0"/>
        <w:spacing w:line="360" w:lineRule="auto"/>
        <w:jc w:val="center"/>
        <w:rPr>
          <w:rFonts w:hint="eastAsia" w:ascii="黑体" w:hAnsi="黑体" w:eastAsia="黑体" w:cs="黑体"/>
          <w:b w:val="0"/>
          <w:bCs/>
          <w:sz w:val="32"/>
        </w:rPr>
      </w:pPr>
      <w:r>
        <w:rPr>
          <w:rFonts w:hint="eastAsia" w:ascii="黑体" w:hAnsi="黑体" w:eastAsia="黑体" w:cs="黑体"/>
          <w:b w:val="0"/>
          <w:bCs/>
          <w:sz w:val="32"/>
        </w:rPr>
        <w:t>二〇二</w:t>
      </w:r>
      <w:r>
        <w:rPr>
          <w:rFonts w:hint="eastAsia" w:ascii="黑体" w:hAnsi="黑体" w:eastAsia="黑体" w:cs="黑体"/>
          <w:b w:val="0"/>
          <w:bCs/>
          <w:sz w:val="32"/>
          <w:lang w:val="en-US" w:eastAsia="zh-CN"/>
        </w:rPr>
        <w:t>一</w:t>
      </w:r>
      <w:r>
        <w:rPr>
          <w:rFonts w:hint="eastAsia" w:ascii="黑体" w:hAnsi="黑体" w:eastAsia="黑体" w:cs="黑体"/>
          <w:b w:val="0"/>
          <w:bCs/>
          <w:sz w:val="32"/>
        </w:rPr>
        <w:t>年</w:t>
      </w:r>
      <w:r>
        <w:rPr>
          <w:rFonts w:hint="eastAsia" w:ascii="黑体" w:hAnsi="黑体" w:eastAsia="黑体" w:cs="黑体"/>
          <w:b w:val="0"/>
          <w:bCs/>
          <w:sz w:val="32"/>
          <w:lang w:val="en-US" w:eastAsia="zh-CN"/>
        </w:rPr>
        <w:t>十二</w:t>
      </w:r>
      <w:r>
        <w:rPr>
          <w:rFonts w:hint="eastAsia" w:ascii="黑体" w:hAnsi="黑体" w:eastAsia="黑体" w:cs="黑体"/>
          <w:b w:val="0"/>
          <w:bCs/>
          <w:sz w:val="32"/>
        </w:rPr>
        <w:t>月</w:t>
      </w:r>
    </w:p>
    <w:p>
      <w:pPr>
        <w:pStyle w:val="26"/>
        <w:adjustRightInd w:val="0"/>
        <w:snapToGrid w:val="0"/>
        <w:spacing w:line="360" w:lineRule="auto"/>
        <w:jc w:val="center"/>
        <w:rPr>
          <w:rFonts w:hAnsi="宋体"/>
          <w:b/>
          <w:sz w:val="32"/>
        </w:rPr>
      </w:pPr>
    </w:p>
    <w:p>
      <w:pPr>
        <w:pStyle w:val="26"/>
        <w:adjustRightInd w:val="0"/>
        <w:snapToGrid w:val="0"/>
        <w:spacing w:line="360" w:lineRule="auto"/>
        <w:jc w:val="center"/>
        <w:rPr>
          <w:rFonts w:hAnsi="宋体"/>
          <w:b/>
          <w:sz w:val="32"/>
        </w:rPr>
        <w:sectPr>
          <w:pgSz w:w="11906" w:h="16838"/>
          <w:pgMar w:top="1134" w:right="1134" w:bottom="1134" w:left="1417" w:header="851" w:footer="851" w:gutter="0"/>
          <w:pgNumType w:fmt="decimal" w:start="1"/>
          <w:cols w:space="0" w:num="1"/>
          <w:rtlGutter w:val="0"/>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3"/>
        <w:tabs>
          <w:tab w:val="right" w:leader="dot" w:pos="9355"/>
        </w:tabs>
      </w:pPr>
      <w:r>
        <w:rPr>
          <w:rFonts w:ascii="宋体" w:hAnsi="宋体"/>
        </w:rPr>
        <w:fldChar w:fldCharType="begin"/>
      </w:r>
      <w:r>
        <w:rPr>
          <w:rFonts w:ascii="宋体" w:hAnsi="宋体"/>
        </w:rPr>
        <w:instrText xml:space="preserve">TOC \o "1-2" \h \u </w:instrText>
      </w:r>
      <w:r>
        <w:rPr>
          <w:rFonts w:ascii="宋体" w:hAnsi="宋体"/>
        </w:rPr>
        <w:fldChar w:fldCharType="separate"/>
      </w:r>
      <w:r>
        <w:rPr>
          <w:rFonts w:ascii="宋体" w:hAnsi="宋体"/>
        </w:rPr>
        <w:fldChar w:fldCharType="begin"/>
      </w:r>
      <w:r>
        <w:rPr>
          <w:rFonts w:ascii="宋体" w:hAnsi="宋体"/>
        </w:rPr>
        <w:instrText xml:space="preserve"> HYPERLINK \l _Toc7819 </w:instrText>
      </w:r>
      <w:r>
        <w:rPr>
          <w:rFonts w:ascii="宋体" w:hAnsi="宋体"/>
        </w:rPr>
        <w:fldChar w:fldCharType="separate"/>
      </w:r>
      <w:r>
        <w:rPr>
          <w:rFonts w:hint="eastAsia" w:ascii="宋体" w:hAnsi="宋体" w:cs="宋体"/>
          <w:bCs/>
          <w:szCs w:val="32"/>
        </w:rPr>
        <w:t>第一章  谈判邀请公告</w:t>
      </w:r>
      <w:r>
        <w:tab/>
      </w:r>
      <w:r>
        <w:fldChar w:fldCharType="begin"/>
      </w:r>
      <w:r>
        <w:instrText xml:space="preserve"> PAGEREF _Toc7819 \h </w:instrText>
      </w:r>
      <w:r>
        <w:fldChar w:fldCharType="separate"/>
      </w:r>
      <w:r>
        <w:t>3</w:t>
      </w:r>
      <w:r>
        <w:fldChar w:fldCharType="end"/>
      </w:r>
      <w:r>
        <w:rPr>
          <w:rFonts w:ascii="宋体" w:hAnsi="宋体"/>
        </w:rPr>
        <w:fldChar w:fldCharType="end"/>
      </w:r>
    </w:p>
    <w:p>
      <w:pPr>
        <w:pStyle w:val="33"/>
        <w:tabs>
          <w:tab w:val="right" w:leader="dot" w:pos="9355"/>
        </w:tabs>
      </w:pPr>
      <w:r>
        <w:rPr>
          <w:rFonts w:ascii="宋体" w:hAnsi="宋体"/>
        </w:rPr>
        <w:fldChar w:fldCharType="begin"/>
      </w:r>
      <w:r>
        <w:rPr>
          <w:rFonts w:ascii="宋体" w:hAnsi="宋体"/>
        </w:rPr>
        <w:instrText xml:space="preserve"> HYPERLINK \l _Toc7012 </w:instrText>
      </w:r>
      <w:r>
        <w:rPr>
          <w:rFonts w:ascii="宋体" w:hAnsi="宋体"/>
        </w:rPr>
        <w:fldChar w:fldCharType="separate"/>
      </w:r>
      <w:r>
        <w:rPr>
          <w:rFonts w:hint="eastAsia" w:ascii="宋体" w:hAnsi="宋体" w:cs="宋体"/>
          <w:bCs/>
          <w:szCs w:val="32"/>
        </w:rPr>
        <w:t>第二章  谈判须知</w:t>
      </w:r>
      <w:r>
        <w:tab/>
      </w:r>
      <w:r>
        <w:fldChar w:fldCharType="begin"/>
      </w:r>
      <w:r>
        <w:instrText xml:space="preserve"> PAGEREF _Toc7012 \h </w:instrText>
      </w:r>
      <w:r>
        <w:fldChar w:fldCharType="separate"/>
      </w:r>
      <w:r>
        <w:t>6</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_Toc23900 </w:instrText>
      </w:r>
      <w:r>
        <w:rPr>
          <w:rFonts w:ascii="宋体" w:hAnsi="宋体"/>
        </w:rPr>
        <w:fldChar w:fldCharType="separate"/>
      </w:r>
      <w:r>
        <w:rPr>
          <w:rFonts w:hint="eastAsia" w:ascii="宋体" w:hAnsi="宋体" w:cs="宋体"/>
          <w:bCs/>
          <w:szCs w:val="32"/>
        </w:rPr>
        <w:t>谈判须知前附表</w:t>
      </w:r>
      <w:r>
        <w:tab/>
      </w:r>
      <w:r>
        <w:fldChar w:fldCharType="begin"/>
      </w:r>
      <w:r>
        <w:instrText xml:space="preserve"> PAGEREF _Toc23900 \h </w:instrText>
      </w:r>
      <w:r>
        <w:fldChar w:fldCharType="separate"/>
      </w:r>
      <w:r>
        <w:t>6</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_Toc16856 </w:instrText>
      </w:r>
      <w:r>
        <w:rPr>
          <w:rFonts w:ascii="宋体" w:hAnsi="宋体"/>
        </w:rPr>
        <w:fldChar w:fldCharType="separate"/>
      </w:r>
      <w:r>
        <w:rPr>
          <w:rFonts w:hint="eastAsia" w:ascii="宋体" w:hAnsi="宋体" w:cs="宋体"/>
          <w:bCs/>
          <w:szCs w:val="32"/>
        </w:rPr>
        <w:t>谈判须知正文</w:t>
      </w:r>
      <w:r>
        <w:tab/>
      </w:r>
      <w:r>
        <w:fldChar w:fldCharType="begin"/>
      </w:r>
      <w:r>
        <w:instrText xml:space="preserve"> PAGEREF _Toc16856 \h </w:instrText>
      </w:r>
      <w:r>
        <w:fldChar w:fldCharType="separate"/>
      </w:r>
      <w:r>
        <w:t>8</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_Toc22890 </w:instrText>
      </w:r>
      <w:r>
        <w:rPr>
          <w:rFonts w:ascii="宋体" w:hAnsi="宋体"/>
        </w:rPr>
        <w:fldChar w:fldCharType="separate"/>
      </w:r>
      <w:r>
        <w:rPr>
          <w:rFonts w:hint="eastAsia" w:ascii="宋体" w:hAnsi="宋体" w:cs="宋体"/>
          <w:bCs/>
          <w:szCs w:val="21"/>
        </w:rPr>
        <w:t>一、说明</w:t>
      </w:r>
      <w:r>
        <w:tab/>
      </w:r>
      <w:r>
        <w:fldChar w:fldCharType="begin"/>
      </w:r>
      <w:r>
        <w:instrText xml:space="preserve"> PAGEREF _Toc22890 \h </w:instrText>
      </w:r>
      <w:r>
        <w:fldChar w:fldCharType="separate"/>
      </w:r>
      <w:r>
        <w:t>8</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_Toc14097 </w:instrText>
      </w:r>
      <w:r>
        <w:rPr>
          <w:rFonts w:ascii="宋体" w:hAnsi="宋体"/>
        </w:rPr>
        <w:fldChar w:fldCharType="separate"/>
      </w:r>
      <w:r>
        <w:rPr>
          <w:rFonts w:hint="eastAsia" w:ascii="宋体" w:hAnsi="宋体" w:cs="宋体"/>
          <w:bCs/>
          <w:szCs w:val="21"/>
        </w:rPr>
        <w:t>二、谈判文件</w:t>
      </w:r>
      <w:r>
        <w:tab/>
      </w:r>
      <w:r>
        <w:fldChar w:fldCharType="begin"/>
      </w:r>
      <w:r>
        <w:instrText xml:space="preserve"> PAGEREF _Toc14097 \h </w:instrText>
      </w:r>
      <w:r>
        <w:fldChar w:fldCharType="separate"/>
      </w:r>
      <w:r>
        <w:t>8</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_Toc5812 </w:instrText>
      </w:r>
      <w:r>
        <w:rPr>
          <w:rFonts w:ascii="宋体" w:hAnsi="宋体"/>
        </w:rPr>
        <w:fldChar w:fldCharType="separate"/>
      </w:r>
      <w:r>
        <w:rPr>
          <w:rFonts w:hint="eastAsia" w:ascii="宋体" w:hAnsi="宋体" w:cs="宋体"/>
          <w:bCs/>
          <w:szCs w:val="21"/>
        </w:rPr>
        <w:t>三、响应文件</w:t>
      </w:r>
      <w:r>
        <w:tab/>
      </w:r>
      <w:r>
        <w:fldChar w:fldCharType="begin"/>
      </w:r>
      <w:r>
        <w:instrText xml:space="preserve"> PAGEREF _Toc5812 \h </w:instrText>
      </w:r>
      <w:r>
        <w:fldChar w:fldCharType="separate"/>
      </w:r>
      <w:r>
        <w:t>9</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_Toc7416 </w:instrText>
      </w:r>
      <w:r>
        <w:rPr>
          <w:rFonts w:ascii="宋体" w:hAnsi="宋体"/>
        </w:rPr>
        <w:fldChar w:fldCharType="separate"/>
      </w:r>
      <w:r>
        <w:rPr>
          <w:rFonts w:hint="eastAsia" w:ascii="宋体" w:hAnsi="宋体" w:cs="宋体"/>
          <w:bCs/>
          <w:szCs w:val="21"/>
        </w:rPr>
        <w:t>四、响应文件的递交</w:t>
      </w:r>
      <w:r>
        <w:tab/>
      </w:r>
      <w:r>
        <w:fldChar w:fldCharType="begin"/>
      </w:r>
      <w:r>
        <w:instrText xml:space="preserve"> PAGEREF _Toc7416 \h </w:instrText>
      </w:r>
      <w:r>
        <w:fldChar w:fldCharType="separate"/>
      </w:r>
      <w:r>
        <w:t>11</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_Toc11738 </w:instrText>
      </w:r>
      <w:r>
        <w:rPr>
          <w:rFonts w:ascii="宋体" w:hAnsi="宋体"/>
        </w:rPr>
        <w:fldChar w:fldCharType="separate"/>
      </w:r>
      <w:r>
        <w:rPr>
          <w:rFonts w:hint="eastAsia" w:ascii="宋体" w:hAnsi="宋体" w:cs="宋体"/>
          <w:bCs/>
          <w:szCs w:val="21"/>
        </w:rPr>
        <w:t>五、响应文件的评审</w:t>
      </w:r>
      <w:r>
        <w:tab/>
      </w:r>
      <w:r>
        <w:fldChar w:fldCharType="begin"/>
      </w:r>
      <w:r>
        <w:instrText xml:space="preserve"> PAGEREF _Toc11738 \h </w:instrText>
      </w:r>
      <w:r>
        <w:fldChar w:fldCharType="separate"/>
      </w:r>
      <w:r>
        <w:t>11</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_Toc5781 </w:instrText>
      </w:r>
      <w:r>
        <w:rPr>
          <w:rFonts w:ascii="宋体" w:hAnsi="宋体"/>
        </w:rPr>
        <w:fldChar w:fldCharType="separate"/>
      </w:r>
      <w:r>
        <w:rPr>
          <w:rFonts w:hint="eastAsia" w:ascii="宋体" w:hAnsi="宋体" w:cs="宋体"/>
          <w:bCs/>
          <w:szCs w:val="21"/>
        </w:rPr>
        <w:t>六、响应文件的澄清、说明及补正</w:t>
      </w:r>
      <w:r>
        <w:tab/>
      </w:r>
      <w:r>
        <w:fldChar w:fldCharType="begin"/>
      </w:r>
      <w:r>
        <w:instrText xml:space="preserve"> PAGEREF _Toc5781 \h </w:instrText>
      </w:r>
      <w:r>
        <w:fldChar w:fldCharType="separate"/>
      </w:r>
      <w:r>
        <w:t>11</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_Toc14058 </w:instrText>
      </w:r>
      <w:r>
        <w:rPr>
          <w:rFonts w:ascii="宋体" w:hAnsi="宋体"/>
        </w:rPr>
        <w:fldChar w:fldCharType="separate"/>
      </w:r>
      <w:r>
        <w:rPr>
          <w:rFonts w:hint="eastAsia" w:ascii="宋体" w:hAnsi="宋体" w:cs="宋体"/>
          <w:bCs/>
          <w:szCs w:val="21"/>
        </w:rPr>
        <w:t>七、中选结果与授予合同</w:t>
      </w:r>
      <w:r>
        <w:tab/>
      </w:r>
      <w:r>
        <w:fldChar w:fldCharType="begin"/>
      </w:r>
      <w:r>
        <w:instrText xml:space="preserve"> PAGEREF _Toc14058 \h </w:instrText>
      </w:r>
      <w:r>
        <w:fldChar w:fldCharType="separate"/>
      </w:r>
      <w:r>
        <w:t>11</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_Toc75 </w:instrText>
      </w:r>
      <w:r>
        <w:rPr>
          <w:rFonts w:ascii="宋体" w:hAnsi="宋体"/>
        </w:rPr>
        <w:fldChar w:fldCharType="separate"/>
      </w:r>
      <w:r>
        <w:rPr>
          <w:rFonts w:hint="eastAsia" w:ascii="宋体" w:hAnsi="宋体" w:cs="宋体"/>
          <w:bCs/>
          <w:szCs w:val="21"/>
        </w:rPr>
        <w:t>八、其他</w:t>
      </w:r>
      <w:r>
        <w:tab/>
      </w:r>
      <w:r>
        <w:fldChar w:fldCharType="begin"/>
      </w:r>
      <w:r>
        <w:instrText xml:space="preserve"> PAGEREF _Toc75 \h </w:instrText>
      </w:r>
      <w:r>
        <w:fldChar w:fldCharType="separate"/>
      </w:r>
      <w:r>
        <w:t>12</w:t>
      </w:r>
      <w:r>
        <w:fldChar w:fldCharType="end"/>
      </w:r>
      <w:r>
        <w:rPr>
          <w:rFonts w:ascii="宋体" w:hAnsi="宋体"/>
        </w:rPr>
        <w:fldChar w:fldCharType="end"/>
      </w:r>
    </w:p>
    <w:p>
      <w:pPr>
        <w:pStyle w:val="33"/>
        <w:tabs>
          <w:tab w:val="right" w:leader="dot" w:pos="9355"/>
        </w:tabs>
      </w:pPr>
      <w:r>
        <w:rPr>
          <w:rFonts w:ascii="宋体" w:hAnsi="宋体"/>
        </w:rPr>
        <w:fldChar w:fldCharType="begin"/>
      </w:r>
      <w:r>
        <w:rPr>
          <w:rFonts w:ascii="宋体" w:hAnsi="宋体"/>
        </w:rPr>
        <w:instrText xml:space="preserve"> HYPERLINK \l _Toc14139 </w:instrText>
      </w:r>
      <w:r>
        <w:rPr>
          <w:rFonts w:ascii="宋体" w:hAnsi="宋体"/>
        </w:rPr>
        <w:fldChar w:fldCharType="separate"/>
      </w:r>
      <w:r>
        <w:rPr>
          <w:rFonts w:hint="eastAsia" w:ascii="宋体" w:hAnsi="宋体" w:cs="宋体"/>
          <w:bCs/>
          <w:szCs w:val="32"/>
        </w:rPr>
        <w:t>第三章  评审办法及标准</w:t>
      </w:r>
      <w:r>
        <w:tab/>
      </w:r>
      <w:r>
        <w:fldChar w:fldCharType="begin"/>
      </w:r>
      <w:r>
        <w:instrText xml:space="preserve"> PAGEREF _Toc14139 \h </w:instrText>
      </w:r>
      <w:r>
        <w:fldChar w:fldCharType="separate"/>
      </w:r>
      <w:r>
        <w:t>15</w:t>
      </w:r>
      <w:r>
        <w:fldChar w:fldCharType="end"/>
      </w:r>
      <w:r>
        <w:rPr>
          <w:rFonts w:ascii="宋体" w:hAnsi="宋体"/>
        </w:rPr>
        <w:fldChar w:fldCharType="end"/>
      </w:r>
    </w:p>
    <w:p>
      <w:pPr>
        <w:pStyle w:val="33"/>
        <w:tabs>
          <w:tab w:val="right" w:leader="dot" w:pos="9355"/>
        </w:tabs>
      </w:pPr>
      <w:r>
        <w:rPr>
          <w:rFonts w:ascii="宋体" w:hAnsi="宋体"/>
        </w:rPr>
        <w:fldChar w:fldCharType="begin"/>
      </w:r>
      <w:r>
        <w:rPr>
          <w:rFonts w:ascii="宋体" w:hAnsi="宋体"/>
        </w:rPr>
        <w:instrText xml:space="preserve"> HYPERLINK \l _Toc25248 </w:instrText>
      </w:r>
      <w:r>
        <w:rPr>
          <w:rFonts w:ascii="宋体" w:hAnsi="宋体"/>
        </w:rPr>
        <w:fldChar w:fldCharType="separate"/>
      </w:r>
      <w:r>
        <w:rPr>
          <w:rFonts w:hint="eastAsia" w:ascii="宋体" w:hAnsi="宋体" w:cs="宋体"/>
          <w:bCs/>
          <w:szCs w:val="32"/>
          <w:lang w:val="en-US" w:eastAsia="zh-CN"/>
        </w:rPr>
        <w:t>第四章</w:t>
      </w:r>
      <w:r>
        <w:rPr>
          <w:rFonts w:hint="eastAsia" w:ascii="宋体" w:hAnsi="宋体" w:cs="宋体"/>
          <w:bCs/>
          <w:szCs w:val="32"/>
        </w:rPr>
        <w:t xml:space="preserve">  用户需求书</w:t>
      </w:r>
      <w:r>
        <w:rPr>
          <w:rFonts w:hint="eastAsia" w:ascii="宋体" w:hAnsi="宋体" w:cs="宋体"/>
          <w:bCs/>
          <w:szCs w:val="32"/>
          <w:lang w:val="en-US" w:eastAsia="zh-CN"/>
        </w:rPr>
        <w:t>(另册)</w:t>
      </w:r>
      <w:r>
        <w:tab/>
      </w:r>
      <w:r>
        <w:fldChar w:fldCharType="begin"/>
      </w:r>
      <w:r>
        <w:instrText xml:space="preserve"> PAGEREF _Toc25248 \h </w:instrText>
      </w:r>
      <w:r>
        <w:fldChar w:fldCharType="separate"/>
      </w:r>
      <w:r>
        <w:t>17</w:t>
      </w:r>
      <w:r>
        <w:fldChar w:fldCharType="end"/>
      </w:r>
      <w:r>
        <w:rPr>
          <w:rFonts w:ascii="宋体" w:hAnsi="宋体"/>
        </w:rPr>
        <w:fldChar w:fldCharType="end"/>
      </w:r>
    </w:p>
    <w:p>
      <w:pPr>
        <w:pStyle w:val="33"/>
        <w:tabs>
          <w:tab w:val="right" w:leader="dot" w:pos="9355"/>
        </w:tabs>
      </w:pPr>
      <w:r>
        <w:rPr>
          <w:rFonts w:ascii="宋体" w:hAnsi="宋体"/>
        </w:rPr>
        <w:fldChar w:fldCharType="begin"/>
      </w:r>
      <w:r>
        <w:rPr>
          <w:rFonts w:ascii="宋体" w:hAnsi="宋体"/>
        </w:rPr>
        <w:instrText xml:space="preserve"> HYPERLINK \l _Toc4995 </w:instrText>
      </w:r>
      <w:r>
        <w:rPr>
          <w:rFonts w:ascii="宋体" w:hAnsi="宋体"/>
        </w:rPr>
        <w:fldChar w:fldCharType="separate"/>
      </w:r>
      <w:r>
        <w:rPr>
          <w:rFonts w:hint="eastAsia" w:ascii="宋体" w:hAnsi="宋体" w:cs="宋体"/>
          <w:bCs/>
          <w:szCs w:val="32"/>
          <w:lang w:val="en-US" w:eastAsia="zh-CN"/>
        </w:rPr>
        <w:t>第五章</w:t>
      </w:r>
      <w:r>
        <w:rPr>
          <w:rFonts w:hint="eastAsia" w:ascii="宋体" w:hAnsi="宋体" w:cs="宋体"/>
          <w:bCs/>
          <w:szCs w:val="32"/>
        </w:rPr>
        <w:t xml:space="preserve">  合同格式条款</w:t>
      </w:r>
      <w:r>
        <w:tab/>
      </w:r>
      <w:r>
        <w:fldChar w:fldCharType="begin"/>
      </w:r>
      <w:r>
        <w:instrText xml:space="preserve"> PAGEREF _Toc4995 \h </w:instrText>
      </w:r>
      <w:r>
        <w:fldChar w:fldCharType="separate"/>
      </w:r>
      <w:r>
        <w:t>18</w:t>
      </w:r>
      <w:r>
        <w:fldChar w:fldCharType="end"/>
      </w:r>
      <w:r>
        <w:rPr>
          <w:rFonts w:ascii="宋体" w:hAnsi="宋体"/>
        </w:rPr>
        <w:fldChar w:fldCharType="end"/>
      </w:r>
    </w:p>
    <w:p>
      <w:pPr>
        <w:pStyle w:val="33"/>
        <w:tabs>
          <w:tab w:val="right" w:leader="dot" w:pos="9355"/>
        </w:tabs>
      </w:pPr>
      <w:r>
        <w:rPr>
          <w:rFonts w:ascii="宋体" w:hAnsi="宋体"/>
        </w:rPr>
        <w:fldChar w:fldCharType="begin"/>
      </w:r>
      <w:r>
        <w:rPr>
          <w:rFonts w:ascii="宋体" w:hAnsi="宋体"/>
        </w:rPr>
        <w:instrText xml:space="preserve"> HYPERLINK \l _Toc17567 </w:instrText>
      </w:r>
      <w:r>
        <w:rPr>
          <w:rFonts w:ascii="宋体" w:hAnsi="宋体"/>
        </w:rPr>
        <w:fldChar w:fldCharType="separate"/>
      </w:r>
      <w:r>
        <w:rPr>
          <w:rFonts w:hint="eastAsia" w:ascii="宋体" w:hAnsi="宋体" w:cs="宋体"/>
          <w:bCs/>
          <w:szCs w:val="32"/>
        </w:rPr>
        <w:t>第六章  响应文件组成</w:t>
      </w:r>
      <w:r>
        <w:tab/>
      </w:r>
      <w:r>
        <w:fldChar w:fldCharType="begin"/>
      </w:r>
      <w:r>
        <w:instrText xml:space="preserve"> PAGEREF _Toc17567 \h </w:instrText>
      </w:r>
      <w:r>
        <w:fldChar w:fldCharType="separate"/>
      </w:r>
      <w:r>
        <w:t>36</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_Toc16953 </w:instrText>
      </w:r>
      <w:r>
        <w:rPr>
          <w:rFonts w:ascii="宋体" w:hAnsi="宋体"/>
        </w:rPr>
        <w:fldChar w:fldCharType="separate"/>
      </w:r>
      <w:r>
        <w:rPr>
          <w:rFonts w:hint="eastAsia" w:ascii="宋体" w:hAnsi="宋体" w:cs="宋体"/>
          <w:szCs w:val="32"/>
        </w:rPr>
        <w:t>一、谈判承诺书</w:t>
      </w:r>
      <w:r>
        <w:tab/>
      </w:r>
      <w:r>
        <w:fldChar w:fldCharType="begin"/>
      </w:r>
      <w:r>
        <w:instrText xml:space="preserve"> PAGEREF _Toc16953 \h </w:instrText>
      </w:r>
      <w:r>
        <w:fldChar w:fldCharType="separate"/>
      </w:r>
      <w:r>
        <w:t>38</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_Toc19296 </w:instrText>
      </w:r>
      <w:r>
        <w:rPr>
          <w:rFonts w:ascii="宋体" w:hAnsi="宋体"/>
        </w:rPr>
        <w:fldChar w:fldCharType="separate"/>
      </w:r>
      <w:r>
        <w:rPr>
          <w:rFonts w:hint="eastAsia" w:ascii="宋体" w:hAnsi="宋体" w:cs="宋体"/>
          <w:szCs w:val="32"/>
        </w:rPr>
        <w:t>二、法定代表人身份证明书</w:t>
      </w:r>
      <w:r>
        <w:tab/>
      </w:r>
      <w:r>
        <w:fldChar w:fldCharType="begin"/>
      </w:r>
      <w:r>
        <w:instrText xml:space="preserve"> PAGEREF _Toc19296 \h </w:instrText>
      </w:r>
      <w:r>
        <w:fldChar w:fldCharType="separate"/>
      </w:r>
      <w:r>
        <w:t>39</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_Toc1849 </w:instrText>
      </w:r>
      <w:r>
        <w:rPr>
          <w:rFonts w:ascii="宋体" w:hAnsi="宋体"/>
        </w:rPr>
        <w:fldChar w:fldCharType="separate"/>
      </w:r>
      <w:r>
        <w:rPr>
          <w:rFonts w:hint="eastAsia" w:ascii="宋体" w:hAnsi="宋体" w:cs="宋体"/>
          <w:szCs w:val="32"/>
        </w:rPr>
        <w:t>三、授权委托书</w:t>
      </w:r>
      <w:r>
        <w:tab/>
      </w:r>
      <w:r>
        <w:fldChar w:fldCharType="begin"/>
      </w:r>
      <w:r>
        <w:instrText xml:space="preserve"> PAGEREF _Toc1849 \h </w:instrText>
      </w:r>
      <w:r>
        <w:fldChar w:fldCharType="separate"/>
      </w:r>
      <w:r>
        <w:t>40</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_Toc30256 </w:instrText>
      </w:r>
      <w:r>
        <w:rPr>
          <w:rFonts w:ascii="宋体" w:hAnsi="宋体"/>
        </w:rPr>
        <w:fldChar w:fldCharType="separate"/>
      </w:r>
      <w:r>
        <w:rPr>
          <w:rFonts w:hint="eastAsia" w:ascii="宋体" w:hAnsi="宋体" w:cs="宋体"/>
          <w:szCs w:val="32"/>
        </w:rPr>
        <w:t>四、谈判单位资格证明文件</w:t>
      </w:r>
      <w:r>
        <w:tab/>
      </w:r>
      <w:r>
        <w:fldChar w:fldCharType="begin"/>
      </w:r>
      <w:r>
        <w:instrText xml:space="preserve"> PAGEREF _Toc30256 \h </w:instrText>
      </w:r>
      <w:r>
        <w:fldChar w:fldCharType="separate"/>
      </w:r>
      <w:r>
        <w:t>41</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_Toc2165 </w:instrText>
      </w:r>
      <w:r>
        <w:rPr>
          <w:rFonts w:ascii="宋体" w:hAnsi="宋体"/>
        </w:rPr>
        <w:fldChar w:fldCharType="separate"/>
      </w:r>
      <w:r>
        <w:rPr>
          <w:rFonts w:hint="eastAsia" w:ascii="宋体" w:hAnsi="宋体" w:cs="宋体"/>
          <w:szCs w:val="32"/>
        </w:rPr>
        <w:t>五、报价一览表</w:t>
      </w:r>
      <w:r>
        <w:tab/>
      </w:r>
      <w:r>
        <w:fldChar w:fldCharType="begin"/>
      </w:r>
      <w:r>
        <w:instrText xml:space="preserve"> PAGEREF _Toc2165 \h </w:instrText>
      </w:r>
      <w:r>
        <w:fldChar w:fldCharType="separate"/>
      </w:r>
      <w:r>
        <w:t>42</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_Toc8214 </w:instrText>
      </w:r>
      <w:r>
        <w:rPr>
          <w:rFonts w:ascii="宋体" w:hAnsi="宋体"/>
        </w:rPr>
        <w:fldChar w:fldCharType="separate"/>
      </w:r>
      <w:r>
        <w:rPr>
          <w:rFonts w:hint="eastAsia" w:ascii="宋体" w:hAnsi="宋体" w:cs="宋体"/>
          <w:szCs w:val="32"/>
        </w:rPr>
        <w:t>六、分项价格表</w:t>
      </w:r>
      <w:r>
        <w:tab/>
      </w:r>
      <w:r>
        <w:fldChar w:fldCharType="begin"/>
      </w:r>
      <w:r>
        <w:instrText xml:space="preserve"> PAGEREF _Toc8214 \h </w:instrText>
      </w:r>
      <w:r>
        <w:fldChar w:fldCharType="separate"/>
      </w:r>
      <w:r>
        <w:t>43</w:t>
      </w:r>
      <w:r>
        <w:fldChar w:fldCharType="end"/>
      </w:r>
      <w:r>
        <w:rPr>
          <w:rFonts w:ascii="宋体" w:hAnsi="宋体"/>
        </w:rPr>
        <w:fldChar w:fldCharType="end"/>
      </w:r>
    </w:p>
    <w:p>
      <w:pPr>
        <w:pStyle w:val="38"/>
        <w:tabs>
          <w:tab w:val="right" w:leader="dot" w:pos="9355"/>
        </w:tabs>
      </w:pPr>
      <w:r>
        <w:rPr>
          <w:rFonts w:ascii="宋体" w:hAnsi="宋体"/>
        </w:rPr>
        <w:fldChar w:fldCharType="begin"/>
      </w:r>
      <w:r>
        <w:rPr>
          <w:rFonts w:ascii="宋体" w:hAnsi="宋体"/>
        </w:rPr>
        <w:instrText xml:space="preserve"> HYPERLINK \l _Toc27152 </w:instrText>
      </w:r>
      <w:r>
        <w:rPr>
          <w:rFonts w:ascii="宋体" w:hAnsi="宋体"/>
        </w:rPr>
        <w:fldChar w:fldCharType="separate"/>
      </w:r>
      <w:r>
        <w:rPr>
          <w:rFonts w:hint="eastAsia" w:ascii="宋体" w:hAnsi="宋体" w:cs="宋体"/>
          <w:szCs w:val="32"/>
        </w:rPr>
        <w:t>七、其他资料（如有）</w:t>
      </w:r>
      <w:r>
        <w:tab/>
      </w:r>
      <w:r>
        <w:fldChar w:fldCharType="begin"/>
      </w:r>
      <w:r>
        <w:instrText xml:space="preserve"> PAGEREF _Toc27152 \h </w:instrText>
      </w:r>
      <w:r>
        <w:fldChar w:fldCharType="separate"/>
      </w:r>
      <w:r>
        <w:t>44</w:t>
      </w:r>
      <w:r>
        <w:fldChar w:fldCharType="end"/>
      </w:r>
      <w:r>
        <w:rPr>
          <w:rFonts w:ascii="宋体" w:hAnsi="宋体"/>
        </w:rPr>
        <w:fldChar w:fldCharType="end"/>
      </w:r>
    </w:p>
    <w:p>
      <w:pPr>
        <w:spacing w:line="360" w:lineRule="auto"/>
        <w:rPr>
          <w:rFonts w:ascii="宋体" w:hAnsi="宋体"/>
        </w:rPr>
      </w:pPr>
      <w:r>
        <w:rPr>
          <w:rFonts w:ascii="宋体" w:hAnsi="宋体"/>
        </w:rPr>
        <w:fldChar w:fldCharType="end"/>
      </w:r>
    </w:p>
    <w:p>
      <w:pPr>
        <w:pStyle w:val="3"/>
        <w:keepNext w:val="0"/>
        <w:rPr>
          <w:rFonts w:ascii="宋体" w:hAnsi="宋体" w:cs="宋体"/>
          <w:sz w:val="32"/>
          <w:szCs w:val="32"/>
        </w:rPr>
        <w:sectPr>
          <w:footerReference r:id="rId3" w:type="default"/>
          <w:pgSz w:w="11906" w:h="16838"/>
          <w:pgMar w:top="1134" w:right="1134" w:bottom="1134" w:left="1417" w:header="851" w:footer="851" w:gutter="0"/>
          <w:pgNumType w:fmt="decimal" w:start="2"/>
          <w:cols w:space="0" w:num="1"/>
          <w:rtlGutter w:val="0"/>
          <w:docGrid w:linePitch="312" w:charSpace="0"/>
        </w:sectPr>
      </w:pPr>
      <w:bookmarkStart w:id="1" w:name="_Toc29614"/>
      <w:bookmarkStart w:id="2" w:name="_Toc5016"/>
    </w:p>
    <w:p>
      <w:pPr>
        <w:spacing w:line="360" w:lineRule="auto"/>
        <w:jc w:val="center"/>
        <w:outlineLvl w:val="0"/>
        <w:rPr>
          <w:rFonts w:ascii="宋体" w:hAnsi="宋体" w:cs="宋体"/>
          <w:b/>
          <w:bCs/>
          <w:sz w:val="32"/>
          <w:szCs w:val="32"/>
        </w:rPr>
      </w:pPr>
      <w:bookmarkStart w:id="3" w:name="_Toc24686"/>
      <w:bookmarkStart w:id="4" w:name="_Toc5819"/>
      <w:bookmarkStart w:id="5" w:name="_Toc7819"/>
      <w:bookmarkStart w:id="6" w:name="_Toc16095"/>
      <w:bookmarkStart w:id="7" w:name="_Toc13376"/>
      <w:r>
        <w:rPr>
          <w:rFonts w:hint="eastAsia" w:ascii="宋体" w:hAnsi="宋体" w:cs="宋体"/>
          <w:b/>
          <w:bCs/>
          <w:sz w:val="32"/>
          <w:szCs w:val="32"/>
        </w:rPr>
        <w:t>第一章  谈判邀请公告</w:t>
      </w:r>
      <w:bookmarkEnd w:id="0"/>
      <w:bookmarkEnd w:id="1"/>
      <w:bookmarkEnd w:id="2"/>
      <w:bookmarkEnd w:id="3"/>
      <w:bookmarkEnd w:id="4"/>
      <w:bookmarkEnd w:id="5"/>
      <w:bookmarkEnd w:id="6"/>
      <w:bookmarkEnd w:id="7"/>
    </w:p>
    <w:p>
      <w:pPr>
        <w:spacing w:line="360" w:lineRule="auto"/>
        <w:ind w:firstLine="420" w:firstLineChars="200"/>
        <w:jc w:val="left"/>
        <w:rPr>
          <w:rFonts w:ascii="宋体" w:hAnsi="宋体" w:cs="宋体"/>
          <w:iCs/>
          <w:szCs w:val="21"/>
          <w:u w:val="single"/>
        </w:rPr>
      </w:pPr>
      <w:r>
        <w:rPr>
          <w:rFonts w:hint="eastAsia" w:ascii="宋体" w:hAnsi="宋体" w:cs="宋体"/>
          <w:szCs w:val="21"/>
          <w:u w:val="single"/>
          <w:lang w:val="en-US" w:eastAsia="zh-CN"/>
        </w:rPr>
        <w:t>中市技术集团有限公司</w:t>
      </w:r>
      <w:r>
        <w:rPr>
          <w:rFonts w:hint="eastAsia" w:ascii="宋体" w:hAnsi="宋体" w:cs="宋体"/>
          <w:szCs w:val="21"/>
        </w:rPr>
        <w:t>受</w:t>
      </w:r>
      <w:r>
        <w:rPr>
          <w:rFonts w:hint="eastAsia" w:ascii="宋体" w:hAnsi="宋体" w:cs="宋体"/>
          <w:iCs/>
          <w:szCs w:val="21"/>
          <w:u w:val="single"/>
        </w:rPr>
        <w:t>长沙市轨道交通</w:t>
      </w:r>
      <w:r>
        <w:rPr>
          <w:rFonts w:hint="eastAsia" w:ascii="宋体" w:hAnsi="宋体" w:cs="宋体"/>
          <w:iCs/>
          <w:szCs w:val="21"/>
          <w:u w:val="single"/>
          <w:lang w:eastAsia="zh-CN"/>
        </w:rPr>
        <w:t>一</w:t>
      </w:r>
      <w:r>
        <w:rPr>
          <w:rFonts w:hint="eastAsia" w:ascii="宋体" w:hAnsi="宋体" w:cs="宋体"/>
          <w:iCs/>
          <w:szCs w:val="21"/>
          <w:u w:val="single"/>
        </w:rPr>
        <w:t>号线建设发展有限公司</w:t>
      </w:r>
      <w:r>
        <w:rPr>
          <w:rFonts w:hint="eastAsia" w:ascii="宋体" w:hAnsi="宋体" w:cs="宋体"/>
          <w:iCs/>
          <w:szCs w:val="21"/>
        </w:rPr>
        <w:t>的委托，对</w:t>
      </w:r>
      <w:r>
        <w:rPr>
          <w:rFonts w:hint="eastAsia" w:ascii="宋体" w:hAnsi="宋体" w:cs="宋体"/>
          <w:iCs/>
          <w:szCs w:val="21"/>
          <w:u w:val="single"/>
          <w:lang w:val="en-US" w:eastAsia="zh-CN"/>
        </w:rPr>
        <w:t>长沙市轨道交通1号线运营期2021年度道岔融雪装置采购项目（第二次）</w:t>
      </w:r>
      <w:bookmarkStart w:id="296" w:name="_GoBack"/>
      <w:bookmarkEnd w:id="296"/>
      <w:r>
        <w:rPr>
          <w:rFonts w:hint="eastAsia" w:ascii="宋体" w:hAnsi="宋体" w:cs="宋体"/>
          <w:iCs/>
          <w:szCs w:val="21"/>
        </w:rPr>
        <w:t>进行自主竞争性谈判采购，现发布公告，邀请符合条件的单位参与谈判采购活动。</w:t>
      </w:r>
    </w:p>
    <w:p>
      <w:pPr>
        <w:pStyle w:val="26"/>
        <w:adjustRightInd w:val="0"/>
        <w:snapToGrid w:val="0"/>
        <w:spacing w:line="360" w:lineRule="auto"/>
        <w:ind w:firstLine="422" w:firstLineChars="200"/>
        <w:rPr>
          <w:rFonts w:hAnsi="宋体" w:cs="宋体"/>
          <w:b/>
          <w:iCs/>
        </w:rPr>
      </w:pPr>
      <w:r>
        <w:rPr>
          <w:rFonts w:hint="eastAsia" w:hAnsi="宋体" w:cs="宋体"/>
          <w:b/>
          <w:iCs/>
        </w:rPr>
        <w:t>一、项目概况</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1.项目名称：长沙市轨道交通1号线运营期2021年度道岔融雪装置采购项目</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2.项目编号：长轨运物采【2021】071号</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3.项目预算：53.05万元</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4.谈判内容：本项目主要对长沙市轨道交通1号线道岔融雪装置1项物资进行采购。（具体详见用户需求书）</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5.标段划分：共划分1个标段</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6.质保期：</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6.1需求清单中所有物资的质保期从全部物资验收、安装调试合格之日算起为24个月。</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6.2如需求清单中物资的原品牌生产商质保期/有效期高于24个月的，按原品牌生产商承诺的质保期执行。谈判单位不能免除质保期结束后，原品牌生产商质保期/有效期高于6.2规定的质保期期间的质量责任。</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（具体详见用户需求书）</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7.供货期：从长沙市轨道交通运营有限公司发出书面供货通知之日起30个自然日内完成供货。（具体详见用户需求书）</w:t>
      </w:r>
    </w:p>
    <w:p>
      <w:pPr>
        <w:pStyle w:val="26"/>
        <w:adjustRightInd w:val="0"/>
        <w:snapToGrid w:val="0"/>
        <w:spacing w:line="360" w:lineRule="auto"/>
        <w:ind w:firstLine="422" w:firstLineChars="200"/>
        <w:rPr>
          <w:rFonts w:hAnsi="宋体" w:cs="宋体"/>
          <w:b/>
          <w:iCs/>
        </w:rPr>
      </w:pPr>
      <w:r>
        <w:rPr>
          <w:rFonts w:hint="eastAsia" w:hAnsi="宋体" w:cs="宋体"/>
          <w:b/>
          <w:iCs/>
        </w:rPr>
        <w:t>二、资格要求</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1.谈判单位须为具有独立法人资格、自主经营、独立核算的公司，须提供加盖谈判单位公章的营业执照复印件。</w:t>
      </w:r>
    </w:p>
    <w:p>
      <w:pPr>
        <w:numPr>
          <w:ilvl w:val="0"/>
          <w:numId w:val="0"/>
        </w:numPr>
        <w:spacing w:line="360" w:lineRule="auto"/>
        <w:ind w:firstLine="420" w:firstLineChars="200"/>
        <w:jc w:val="left"/>
        <w:rPr>
          <w:rFonts w:hint="eastAsia" w:ascii="宋体" w:hAnsi="宋体" w:eastAsia="宋体" w:cs="宋体"/>
          <w:bCs/>
        </w:rPr>
      </w:pPr>
      <w:r>
        <w:rPr>
          <w:rFonts w:hint="eastAsia" w:ascii="宋体" w:hAnsi="宋体" w:eastAsia="宋体" w:cs="宋体"/>
          <w:kern w:val="2"/>
          <w:sz w:val="21"/>
          <w:szCs w:val="21"/>
          <w:lang w:val="en-US" w:eastAsia="zh-CN" w:bidi="ar-SA"/>
        </w:rPr>
        <w:t>2.谈判单位在本项目谈判截止之日前36个月内须具有轨道交通行业道岔融雪装置相关物资的供货业绩（是指供货合同的清单中须包含整套融雪装置或融雪装置控制终端或融雪装置控制柜或融雪装置隔离变压器或融雪装置加热原件的供货业绩）。</w:t>
      </w:r>
      <w:r>
        <w:rPr>
          <w:rFonts w:hint="eastAsia" w:ascii="宋体" w:hAnsi="宋体" w:eastAsia="宋体" w:cs="宋体"/>
          <w:bCs/>
        </w:rPr>
        <w:t>不接受联合体、港澳台或境外业绩。</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业绩证明材料以同时提供的合同原件扫描件和发票（开票金额不少于合同金额的10%）原件扫描件为准（均须加盖投标人单位公章），业绩金额以合同中的金额为准，时间以合同中甲方签字时间为准。</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3.本项目不接受联合体形式参与谈判。</w:t>
      </w:r>
    </w:p>
    <w:p>
      <w:pPr>
        <w:numPr>
          <w:ilvl w:val="0"/>
          <w:numId w:val="0"/>
        </w:num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4.被长沙市轨道交通集团有限公司及长沙市轨道交通运营有限公司函告禁止在一定期限内参与投标的单位按函告内容执行。</w:t>
      </w:r>
    </w:p>
    <w:p>
      <w:pPr>
        <w:numPr>
          <w:ilvl w:val="0"/>
          <w:numId w:val="0"/>
        </w:numPr>
        <w:spacing w:line="360" w:lineRule="auto"/>
        <w:ind w:firstLine="422" w:firstLineChars="200"/>
        <w:jc w:val="left"/>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经符合性审查合格后的最低价法。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u w:val="single"/>
          <w:lang w:val="en-US" w:eastAsia="zh-CN"/>
        </w:rPr>
        <w:t>12</w:t>
      </w:r>
      <w:r>
        <w:rPr>
          <w:rFonts w:hint="eastAsia" w:ascii="宋体" w:hAnsi="宋体" w:cs="宋体"/>
          <w:szCs w:val="21"/>
        </w:rPr>
        <w:t>月</w:t>
      </w:r>
      <w:r>
        <w:rPr>
          <w:rFonts w:hint="eastAsia" w:ascii="宋体" w:hAnsi="宋体" w:cs="宋体"/>
          <w:szCs w:val="21"/>
          <w:u w:val="single"/>
          <w:lang w:val="en-US" w:eastAsia="zh-CN"/>
        </w:rPr>
        <w:t>30</w:t>
      </w:r>
      <w:r>
        <w:rPr>
          <w:rFonts w:hint="eastAsia" w:ascii="宋体" w:hAnsi="宋体" w:cs="宋体"/>
          <w:szCs w:val="21"/>
        </w:rPr>
        <w:t>日</w:t>
      </w:r>
      <w:r>
        <w:rPr>
          <w:rFonts w:hint="eastAsia" w:ascii="宋体" w:hAnsi="宋体" w:cs="宋体"/>
          <w:iCs/>
          <w:szCs w:val="21"/>
        </w:rPr>
        <w:t>17：00时（含）前（节假日除外）以书面形式（经法定代表人签字或盖章，并加盖谈判单位公章）递交至采购代理机构。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pStyle w:val="2"/>
        <w:rPr>
          <w:rFonts w:hint="eastAsia" w:ascii="宋体" w:hAnsi="宋体" w:eastAsia="宋体" w:cs="宋体"/>
          <w:b/>
          <w:bCs/>
          <w:kern w:val="2"/>
          <w:sz w:val="21"/>
          <w:szCs w:val="21"/>
          <w:highlight w:val="none"/>
          <w:lang w:val="en-US" w:eastAsia="zh-CN" w:bidi="ar-SA"/>
        </w:rPr>
      </w:pPr>
      <w:r>
        <w:rPr>
          <w:rFonts w:hint="eastAsia" w:ascii="宋体" w:hAnsi="宋体" w:cs="宋体"/>
          <w:b/>
          <w:bCs/>
          <w:kern w:val="0"/>
          <w:szCs w:val="21"/>
        </w:rPr>
        <w:t>六、</w:t>
      </w:r>
      <w:r>
        <w:rPr>
          <w:rFonts w:hint="eastAsia" w:ascii="宋体" w:hAnsi="宋体" w:eastAsia="宋体" w:cs="宋体"/>
          <w:b/>
          <w:bCs/>
          <w:kern w:val="2"/>
          <w:sz w:val="21"/>
          <w:szCs w:val="21"/>
          <w:highlight w:val="none"/>
          <w:lang w:val="en-US" w:eastAsia="zh-CN" w:bidi="ar-SA"/>
        </w:rPr>
        <w:t>投标保证金</w:t>
      </w:r>
    </w:p>
    <w:p>
      <w:pPr>
        <w:pStyle w:val="4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1.所有谈判单位须在城轨采购网（网址：</w:t>
      </w:r>
      <w:r>
        <w:rPr>
          <w:rFonts w:hint="eastAsia" w:ascii="宋体" w:hAnsi="宋体" w:eastAsia="宋体" w:cs="宋体"/>
          <w:kern w:val="2"/>
          <w:sz w:val="21"/>
          <w:szCs w:val="21"/>
          <w:highlight w:val="none"/>
          <w:lang w:val="en-US" w:eastAsia="zh-CN" w:bidi="ar-SA"/>
        </w:rPr>
        <w:fldChar w:fldCharType="begin"/>
      </w:r>
      <w:r>
        <w:rPr>
          <w:rFonts w:hint="eastAsia" w:ascii="宋体" w:hAnsi="宋体" w:eastAsia="宋体" w:cs="宋体"/>
          <w:kern w:val="2"/>
          <w:sz w:val="21"/>
          <w:szCs w:val="21"/>
          <w:highlight w:val="none"/>
          <w:lang w:val="en-US" w:eastAsia="zh-CN" w:bidi="ar-SA"/>
        </w:rPr>
        <w:instrText xml:space="preserve"> HYPERLINK "http://www.mtrmart.com）参与本项目的报价。本项目须按含税价格报价。报价单位参与报价视为完全响应本项目的公告、采购清单、用户需求书、合同模板的全部要求。" </w:instrText>
      </w:r>
      <w:r>
        <w:rPr>
          <w:rFonts w:hint="eastAsia" w:ascii="宋体" w:hAnsi="宋体" w:eastAsia="宋体" w:cs="宋体"/>
          <w:kern w:val="2"/>
          <w:sz w:val="21"/>
          <w:szCs w:val="21"/>
          <w:highlight w:val="none"/>
          <w:lang w:val="en-US" w:eastAsia="zh-CN" w:bidi="ar-SA"/>
        </w:rPr>
        <w:fldChar w:fldCharType="separate"/>
      </w:r>
      <w:r>
        <w:rPr>
          <w:rFonts w:hint="eastAsia" w:ascii="宋体" w:hAnsi="宋体" w:eastAsia="宋体" w:cs="宋体"/>
          <w:kern w:val="2"/>
          <w:sz w:val="21"/>
          <w:szCs w:val="21"/>
          <w:highlight w:val="none"/>
          <w:lang w:val="en-US" w:eastAsia="zh-CN" w:bidi="ar-SA"/>
        </w:rPr>
        <w:t>www.mtrmart.com）</w:t>
      </w:r>
      <w:r>
        <w:rPr>
          <w:rFonts w:hint="eastAsia" w:ascii="宋体" w:hAnsi="宋体" w:eastAsia="宋体" w:cs="宋体"/>
          <w:kern w:val="2"/>
          <w:sz w:val="21"/>
          <w:szCs w:val="21"/>
          <w:highlight w:val="none"/>
          <w:lang w:val="en-US" w:eastAsia="zh-CN" w:bidi="ar-SA"/>
        </w:rPr>
        <w:fldChar w:fldCharType="end"/>
      </w:r>
      <w:r>
        <w:rPr>
          <w:rFonts w:hint="eastAsia" w:ascii="宋体" w:hAnsi="宋体" w:eastAsia="宋体" w:cs="宋体"/>
          <w:kern w:val="2"/>
          <w:sz w:val="21"/>
          <w:szCs w:val="21"/>
          <w:highlight w:val="none"/>
          <w:lang w:val="en-US" w:eastAsia="zh-CN" w:bidi="ar-SA"/>
        </w:rPr>
        <w:t>注册参与并按要求提交投标保证金。本次投标保证金的金额为（人民币）</w:t>
      </w:r>
      <w:r>
        <w:rPr>
          <w:rStyle w:val="56"/>
          <w:rFonts w:hint="eastAsia"/>
          <w:color w:val="auto"/>
          <w:sz w:val="21"/>
          <w:highlight w:val="none"/>
          <w:u w:val="single"/>
          <w:shd w:val="clear" w:color="auto" w:fill="FFFFFF"/>
          <w:lang w:val="en-US" w:eastAsia="zh-CN"/>
        </w:rPr>
        <w:t>10600</w:t>
      </w:r>
      <w:r>
        <w:rPr>
          <w:rFonts w:hint="eastAsia" w:ascii="宋体" w:hAnsi="宋体" w:eastAsia="宋体" w:cs="宋体"/>
          <w:kern w:val="2"/>
          <w:sz w:val="21"/>
          <w:szCs w:val="21"/>
          <w:highlight w:val="none"/>
          <w:lang w:val="en-US" w:eastAsia="zh-CN" w:bidi="ar-SA"/>
        </w:rPr>
        <w:t>元，投标保证金必须由谈判单位的银行对公账户转出，否则将无权限参加本次谈判。</w:t>
      </w:r>
    </w:p>
    <w:p>
      <w:pPr>
        <w:pStyle w:val="4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2.本次参与谈判单位的投标保证金必须在</w:t>
      </w:r>
      <w:r>
        <w:rPr>
          <w:rFonts w:hint="eastAsia" w:ascii="宋体" w:hAnsi="宋体" w:eastAsia="宋体" w:cs="宋体"/>
          <w:kern w:val="2"/>
          <w:sz w:val="21"/>
          <w:szCs w:val="21"/>
          <w:u w:val="single"/>
          <w:lang w:val="en-US" w:eastAsia="zh-CN" w:bidi="ar-SA"/>
        </w:rPr>
        <w:t>2021</w:t>
      </w:r>
      <w:r>
        <w:rPr>
          <w:rFonts w:hint="eastAsia" w:ascii="宋体" w:hAnsi="宋体" w:eastAsia="宋体" w:cs="宋体"/>
          <w:kern w:val="2"/>
          <w:sz w:val="21"/>
          <w:szCs w:val="21"/>
          <w:u w:val="none"/>
          <w:lang w:val="en-US" w:eastAsia="zh-CN" w:bidi="ar-SA"/>
        </w:rPr>
        <w:t>年</w:t>
      </w:r>
      <w:r>
        <w:rPr>
          <w:rFonts w:hint="eastAsia" w:ascii="宋体" w:hAnsi="宋体" w:eastAsia="宋体" w:cs="宋体"/>
          <w:kern w:val="2"/>
          <w:sz w:val="21"/>
          <w:szCs w:val="21"/>
          <w:u w:val="single"/>
          <w:lang w:val="en-US" w:eastAsia="zh-CN" w:bidi="ar-SA"/>
        </w:rPr>
        <w:t>12</w:t>
      </w:r>
      <w:r>
        <w:rPr>
          <w:rFonts w:hint="eastAsia" w:ascii="宋体" w:hAnsi="宋体" w:eastAsia="宋体" w:cs="宋体"/>
          <w:kern w:val="2"/>
          <w:sz w:val="21"/>
          <w:szCs w:val="21"/>
          <w:u w:val="none"/>
          <w:lang w:val="en-US" w:eastAsia="zh-CN" w:bidi="ar-SA"/>
        </w:rPr>
        <w:t>月</w:t>
      </w:r>
      <w:r>
        <w:rPr>
          <w:rFonts w:hint="eastAsia" w:cs="宋体"/>
          <w:kern w:val="2"/>
          <w:sz w:val="21"/>
          <w:szCs w:val="21"/>
          <w:u w:val="single"/>
          <w:lang w:val="en-US" w:eastAsia="zh-CN" w:bidi="ar-SA"/>
        </w:rPr>
        <w:t>29</w:t>
      </w:r>
      <w:r>
        <w:rPr>
          <w:rFonts w:hint="eastAsia" w:ascii="宋体" w:hAnsi="宋体" w:eastAsia="宋体" w:cs="宋体"/>
          <w:kern w:val="2"/>
          <w:sz w:val="21"/>
          <w:szCs w:val="21"/>
          <w:u w:val="none"/>
          <w:lang w:val="en-US" w:eastAsia="zh-CN" w:bidi="ar-SA"/>
        </w:rPr>
        <w:t>日</w:t>
      </w:r>
      <w:r>
        <w:rPr>
          <w:rFonts w:hint="eastAsia" w:ascii="宋体" w:hAnsi="宋体" w:eastAsia="宋体" w:cs="宋体"/>
          <w:kern w:val="2"/>
          <w:sz w:val="21"/>
          <w:szCs w:val="21"/>
          <w:highlight w:val="none"/>
          <w:lang w:val="en-US" w:eastAsia="zh-CN" w:bidi="ar-SA"/>
        </w:rPr>
        <w:t>1</w:t>
      </w:r>
      <w:r>
        <w:rPr>
          <w:rFonts w:hint="eastAsia" w:cs="宋体"/>
          <w:kern w:val="2"/>
          <w:sz w:val="21"/>
          <w:szCs w:val="21"/>
          <w:highlight w:val="none"/>
          <w:lang w:val="en-US" w:eastAsia="zh-CN" w:bidi="ar-SA"/>
        </w:rPr>
        <w:t>7</w:t>
      </w:r>
      <w:r>
        <w:rPr>
          <w:rFonts w:hint="eastAsia" w:ascii="宋体" w:hAnsi="宋体" w:eastAsia="宋体" w:cs="宋体"/>
          <w:kern w:val="2"/>
          <w:sz w:val="21"/>
          <w:szCs w:val="21"/>
          <w:highlight w:val="none"/>
          <w:lang w:val="en-US" w:eastAsia="zh-CN" w:bidi="ar-SA"/>
        </w:rPr>
        <w:t>:00前(含)到达专用账户（以托管银行到账的日期为准），逾期或未提交投标保证金的谈判单位，将无权限参加本次谈判。</w:t>
      </w:r>
    </w:p>
    <w:p>
      <w:pPr>
        <w:pStyle w:val="4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3.本次投标保证金的提交仅接受银行转账的方式，投标保证金由广州地铁物资有限公司代收、代退。账户名为广州地铁物资有限公司（开户分行：平安银行广州分行营业部），城轨采购网（网址：</w:t>
      </w:r>
      <w:r>
        <w:rPr>
          <w:rFonts w:hint="eastAsia" w:ascii="宋体" w:hAnsi="宋体" w:eastAsia="宋体" w:cs="宋体"/>
          <w:kern w:val="2"/>
          <w:sz w:val="21"/>
          <w:szCs w:val="21"/>
          <w:highlight w:val="none"/>
          <w:lang w:val="en-US" w:eastAsia="zh-CN" w:bidi="ar-SA"/>
        </w:rPr>
        <w:fldChar w:fldCharType="begin"/>
      </w:r>
      <w:r>
        <w:rPr>
          <w:rFonts w:hint="eastAsia" w:ascii="宋体" w:hAnsi="宋体" w:eastAsia="宋体" w:cs="宋体"/>
          <w:kern w:val="2"/>
          <w:sz w:val="21"/>
          <w:szCs w:val="21"/>
          <w:highlight w:val="none"/>
          <w:lang w:val="en-US" w:eastAsia="zh-CN" w:bidi="ar-SA"/>
        </w:rPr>
        <w:instrText xml:space="preserve"> HYPERLINK "http://www.mtrmart.com）参与本项目的报价。本项目须按含税价格报价。报价单位参与报价视为完全响应本项目的公告、采购清单、用户需求书、合同模板的全部要求。" </w:instrText>
      </w:r>
      <w:r>
        <w:rPr>
          <w:rFonts w:hint="eastAsia" w:ascii="宋体" w:hAnsi="宋体" w:eastAsia="宋体" w:cs="宋体"/>
          <w:kern w:val="2"/>
          <w:sz w:val="21"/>
          <w:szCs w:val="21"/>
          <w:highlight w:val="none"/>
          <w:lang w:val="en-US" w:eastAsia="zh-CN" w:bidi="ar-SA"/>
        </w:rPr>
        <w:fldChar w:fldCharType="separate"/>
      </w:r>
      <w:r>
        <w:rPr>
          <w:rFonts w:hint="eastAsia" w:ascii="宋体" w:hAnsi="宋体" w:eastAsia="宋体" w:cs="宋体"/>
          <w:kern w:val="2"/>
          <w:sz w:val="21"/>
          <w:szCs w:val="21"/>
          <w:highlight w:val="none"/>
          <w:lang w:val="en-US" w:eastAsia="zh-CN" w:bidi="ar-SA"/>
        </w:rPr>
        <w:t>www.mtrmart.com）</w:t>
      </w:r>
      <w:r>
        <w:rPr>
          <w:rFonts w:hint="eastAsia" w:ascii="宋体" w:hAnsi="宋体" w:eastAsia="宋体" w:cs="宋体"/>
          <w:kern w:val="2"/>
          <w:sz w:val="21"/>
          <w:szCs w:val="21"/>
          <w:highlight w:val="none"/>
          <w:lang w:val="en-US" w:eastAsia="zh-CN" w:bidi="ar-SA"/>
        </w:rPr>
        <w:fldChar w:fldCharType="end"/>
      </w:r>
      <w:r>
        <w:rPr>
          <w:rFonts w:hint="eastAsia" w:ascii="宋体" w:hAnsi="宋体" w:eastAsia="宋体" w:cs="宋体"/>
          <w:kern w:val="2"/>
          <w:sz w:val="21"/>
          <w:szCs w:val="21"/>
          <w:highlight w:val="none"/>
          <w:lang w:val="en-US" w:eastAsia="zh-CN" w:bidi="ar-SA"/>
        </w:rPr>
        <w:t>系统会为本项目自动生成投标保证金账户信息（虚拟子账户），相关账户信息以实际信息为准。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 xml:space="preserve">    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（1）谈判单位提出撤回或撤销或放弃中选资格或对报价提出实质性修改；</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b/>
          <w:bCs/>
          <w:kern w:val="0"/>
          <w:szCs w:val="21"/>
          <w:highlight w:val="none"/>
        </w:rPr>
      </w:pPr>
      <w:r>
        <w:rPr>
          <w:rFonts w:hint="eastAsia" w:ascii="宋体" w:hAnsi="宋体" w:eastAsia="宋体" w:cs="宋体"/>
          <w:kern w:val="2"/>
          <w:sz w:val="21"/>
          <w:szCs w:val="21"/>
          <w:highlight w:val="none"/>
          <w:lang w:val="en-US" w:eastAsia="zh-CN" w:bidi="ar-SA"/>
        </w:rPr>
        <w:t>（2）中选单位未能在规定期限内签订合同或不按报价结果签订合同；</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 xml:space="preserve">    （3）中选单位未能在规定期限内提交履约保证金；</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 xml:space="preserve">    （4）中选单位在合同订立过程中未能完全响应采购文件、清单、附件、合同要求以致合同无法订立的；</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 xml:space="preserve">    （5）经查实谈判单位报价资料弄虚作假的；</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 xml:space="preserve">    （6）串通参与谈判相关行为的。如不同谈判单位的投标保证金从同一账户转出。</w:t>
      </w:r>
    </w:p>
    <w:p>
      <w:pPr>
        <w:spacing w:line="360" w:lineRule="auto"/>
        <w:ind w:firstLine="422" w:firstLineChars="200"/>
        <w:rPr>
          <w:rFonts w:ascii="宋体" w:hAnsi="宋体" w:cs="宋体"/>
          <w:b/>
          <w:bCs/>
          <w:iCs/>
          <w:szCs w:val="21"/>
        </w:rPr>
      </w:pPr>
      <w:r>
        <w:rPr>
          <w:rFonts w:hint="eastAsia" w:ascii="宋体" w:hAnsi="宋体" w:cs="宋体"/>
          <w:b/>
          <w:iCs/>
          <w:szCs w:val="21"/>
        </w:rPr>
        <w:t>七、</w:t>
      </w:r>
      <w:r>
        <w:rPr>
          <w:rFonts w:hint="eastAsia" w:ascii="宋体" w:hAnsi="宋体" w:cs="宋体"/>
          <w:b/>
          <w:bCs/>
          <w:iCs/>
          <w:szCs w:val="21"/>
        </w:rPr>
        <w:t>响应文件的递交</w:t>
      </w:r>
    </w:p>
    <w:p>
      <w:pPr>
        <w:spacing w:line="360" w:lineRule="auto"/>
        <w:ind w:firstLine="420" w:firstLineChars="200"/>
        <w:rPr>
          <w:rFonts w:ascii="宋体" w:hAnsi="宋体"/>
          <w:bCs/>
          <w:szCs w:val="21"/>
        </w:rPr>
      </w:pPr>
      <w:r>
        <w:rPr>
          <w:rFonts w:hint="eastAsia" w:ascii="宋体" w:hAnsi="宋体"/>
          <w:bCs/>
          <w:szCs w:val="21"/>
        </w:rPr>
        <w:t>1.响应文件递交的截止时间及谈判时间为20</w:t>
      </w:r>
      <w:r>
        <w:rPr>
          <w:rFonts w:hint="eastAsia" w:ascii="宋体" w:hAnsi="宋体"/>
          <w:bCs/>
          <w:szCs w:val="21"/>
          <w:lang w:val="en-US" w:eastAsia="zh-CN"/>
        </w:rPr>
        <w:t>22</w:t>
      </w:r>
      <w:r>
        <w:rPr>
          <w:rFonts w:hint="eastAsia" w:ascii="宋体" w:hAnsi="宋体"/>
          <w:bCs/>
          <w:szCs w:val="21"/>
        </w:rPr>
        <w:t>年</w:t>
      </w:r>
      <w:r>
        <w:rPr>
          <w:rFonts w:hint="eastAsia" w:ascii="宋体" w:hAnsi="宋体"/>
          <w:bCs/>
          <w:szCs w:val="21"/>
          <w:u w:val="single"/>
          <w:lang w:val="en-US" w:eastAsia="zh-CN"/>
        </w:rPr>
        <w:t>01</w:t>
      </w:r>
      <w:r>
        <w:rPr>
          <w:rFonts w:hint="eastAsia" w:ascii="宋体" w:hAnsi="宋体"/>
          <w:bCs/>
          <w:szCs w:val="21"/>
        </w:rPr>
        <w:t>月</w:t>
      </w:r>
      <w:r>
        <w:rPr>
          <w:rFonts w:hint="eastAsia" w:ascii="宋体" w:hAnsi="宋体"/>
          <w:bCs/>
          <w:szCs w:val="21"/>
          <w:u w:val="single"/>
          <w:lang w:val="en-US" w:eastAsia="zh-CN"/>
        </w:rPr>
        <w:t>06</w:t>
      </w:r>
      <w:r>
        <w:rPr>
          <w:rFonts w:hint="eastAsia" w:ascii="宋体" w:hAnsi="宋体"/>
          <w:bCs/>
          <w:szCs w:val="21"/>
        </w:rPr>
        <w:t>日</w:t>
      </w:r>
      <w:r>
        <w:rPr>
          <w:rFonts w:hint="eastAsia" w:ascii="宋体" w:hAnsi="宋体"/>
          <w:bCs/>
          <w:szCs w:val="21"/>
          <w:u w:val="single"/>
        </w:rPr>
        <w:t>14</w:t>
      </w:r>
      <w:r>
        <w:rPr>
          <w:rFonts w:hint="eastAsia" w:ascii="宋体" w:hAnsi="宋体"/>
          <w:bCs/>
          <w:szCs w:val="21"/>
        </w:rPr>
        <w:t>时</w:t>
      </w:r>
      <w:r>
        <w:rPr>
          <w:rFonts w:hint="eastAsia" w:ascii="宋体" w:hAnsi="宋体"/>
          <w:bCs/>
          <w:szCs w:val="21"/>
          <w:u w:val="single"/>
        </w:rPr>
        <w:t>30</w:t>
      </w:r>
      <w:r>
        <w:rPr>
          <w:rFonts w:hint="eastAsia" w:ascii="宋体" w:hAnsi="宋体"/>
          <w:bCs/>
          <w:szCs w:val="21"/>
        </w:rPr>
        <w:t>分，地点为</w:t>
      </w:r>
      <w:r>
        <w:rPr>
          <w:rFonts w:hint="eastAsia" w:ascii="宋体" w:hAnsi="宋体" w:cs="宋体"/>
          <w:szCs w:val="21"/>
        </w:rPr>
        <w:t>长沙市劳动东路二段48号黄兴车辆段综合楼9楼910室。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spacing w:line="360" w:lineRule="auto"/>
        <w:ind w:firstLine="422" w:firstLineChars="200"/>
        <w:outlineLvl w:val="9"/>
        <w:rPr>
          <w:rFonts w:hint="eastAsia" w:ascii="宋体" w:hAnsi="宋体" w:eastAsia="宋体" w:cs="宋体"/>
          <w:b/>
          <w:bCs/>
          <w:iCs/>
          <w:color w:val="auto"/>
          <w:sz w:val="21"/>
          <w:szCs w:val="21"/>
          <w:lang w:eastAsia="zh-CN"/>
        </w:rPr>
      </w:pPr>
      <w:r>
        <w:rPr>
          <w:rFonts w:hint="eastAsia" w:ascii="宋体" w:hAnsi="宋体" w:cs="宋体"/>
          <w:b/>
          <w:iCs/>
          <w:szCs w:val="21"/>
          <w:lang w:eastAsia="zh-CN"/>
        </w:rPr>
        <w:t>八</w:t>
      </w:r>
      <w:r>
        <w:rPr>
          <w:rFonts w:hint="eastAsia" w:ascii="宋体" w:hAnsi="宋体" w:cs="宋体"/>
          <w:b/>
          <w:iCs/>
          <w:szCs w:val="21"/>
        </w:rPr>
        <w:t>、</w:t>
      </w:r>
      <w:r>
        <w:rPr>
          <w:rFonts w:hint="eastAsia" w:ascii="宋体" w:hAnsi="宋体" w:eastAsia="宋体" w:cs="宋体"/>
          <w:b/>
          <w:bCs/>
          <w:iCs/>
          <w:color w:val="auto"/>
          <w:sz w:val="21"/>
          <w:szCs w:val="21"/>
          <w:lang w:eastAsia="zh-CN"/>
        </w:rPr>
        <w:t>中标原则</w:t>
      </w:r>
    </w:p>
    <w:p>
      <w:pPr>
        <w:spacing w:line="360" w:lineRule="auto"/>
        <w:ind w:firstLine="420" w:firstLineChars="200"/>
        <w:outlineLvl w:val="9"/>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1.谈判评审小组按照综合得分由高到低的顺序推荐不超过1名中选候选人。经公示无异议后，确定排名第一的中选候选人为中选人。</w:t>
      </w:r>
    </w:p>
    <w:p>
      <w:pPr>
        <w:spacing w:line="360" w:lineRule="auto"/>
        <w:ind w:firstLine="420" w:firstLineChars="200"/>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spacing w:line="360" w:lineRule="auto"/>
        <w:ind w:firstLine="422" w:firstLineChars="200"/>
        <w:outlineLvl w:val="9"/>
        <w:rPr>
          <w:rFonts w:hint="eastAsia" w:ascii="宋体" w:hAnsi="宋体" w:eastAsia="宋体" w:cs="宋体"/>
          <w:b/>
          <w:color w:val="auto"/>
          <w:szCs w:val="21"/>
        </w:rPr>
      </w:pPr>
      <w:r>
        <w:rPr>
          <w:rFonts w:hint="eastAsia" w:ascii="宋体" w:hAnsi="宋体" w:cs="宋体"/>
          <w:b/>
          <w:iCs/>
          <w:color w:val="auto"/>
          <w:szCs w:val="21"/>
          <w:lang w:eastAsia="zh-CN"/>
        </w:rPr>
        <w:t>九</w:t>
      </w:r>
      <w:r>
        <w:rPr>
          <w:rFonts w:hint="eastAsia" w:ascii="宋体" w:hAnsi="宋体" w:eastAsia="宋体" w:cs="宋体"/>
          <w:b/>
          <w:iCs/>
          <w:color w:val="auto"/>
          <w:szCs w:val="21"/>
        </w:rPr>
        <w:t>、采购单位及其委托的采购代理机构的名称、地址和联系方法</w:t>
      </w:r>
    </w:p>
    <w:p>
      <w:pPr>
        <w:adjustRightInd w:val="0"/>
        <w:snapToGrid w:val="0"/>
        <w:spacing w:line="360" w:lineRule="auto"/>
        <w:ind w:firstLine="413" w:firstLineChars="196"/>
        <w:rPr>
          <w:rFonts w:ascii="宋体" w:hAnsi="宋体" w:cs="宋体"/>
          <w:szCs w:val="21"/>
        </w:rPr>
      </w:pPr>
      <w:r>
        <w:rPr>
          <w:rFonts w:hint="eastAsia" w:ascii="宋体" w:hAnsi="宋体" w:cs="宋体"/>
          <w:b/>
          <w:bCs/>
          <w:szCs w:val="21"/>
        </w:rPr>
        <w:t>采购单位：</w:t>
      </w:r>
      <w:r>
        <w:rPr>
          <w:rFonts w:hint="eastAsia" w:ascii="宋体" w:hAnsi="宋体" w:cs="宋体"/>
          <w:szCs w:val="21"/>
        </w:rPr>
        <w:t>长沙市轨道交通</w:t>
      </w:r>
      <w:r>
        <w:rPr>
          <w:rFonts w:hint="eastAsia" w:ascii="宋体" w:hAnsi="宋体" w:cs="宋体"/>
          <w:szCs w:val="21"/>
          <w:lang w:eastAsia="zh-CN"/>
        </w:rPr>
        <w:t>一</w:t>
      </w:r>
      <w:r>
        <w:rPr>
          <w:rFonts w:hint="eastAsia" w:ascii="宋体" w:hAnsi="宋体" w:cs="宋体"/>
          <w:szCs w:val="21"/>
        </w:rPr>
        <w:t>号线建设发展有限公司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联系人：奉工</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电  话：</w:t>
      </w:r>
      <w:r>
        <w:rPr>
          <w:rFonts w:hint="eastAsia" w:ascii="宋体" w:hAnsi="宋体" w:cs="宋体"/>
          <w:szCs w:val="21"/>
        </w:rPr>
        <w:t>0731-</w:t>
      </w:r>
      <w:r>
        <w:rPr>
          <w:rFonts w:hint="eastAsia" w:ascii="宋体" w:hAnsi="宋体" w:cs="宋体"/>
          <w:bCs/>
          <w:szCs w:val="21"/>
        </w:rPr>
        <w:t>86852373</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cs="宋体"/>
          <w:szCs w:val="21"/>
        </w:rPr>
        <w:t>0731-86852247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hint="default" w:ascii="宋体" w:hAnsi="宋体" w:eastAsia="宋体" w:cs="宋体"/>
          <w:szCs w:val="21"/>
          <w:lang w:val="en-US" w:eastAsia="zh-CN"/>
        </w:rPr>
      </w:pPr>
      <w:r>
        <w:rPr>
          <w:rFonts w:hint="eastAsia" w:ascii="宋体" w:hAnsi="宋体" w:cs="宋体"/>
          <w:b/>
          <w:bCs/>
          <w:szCs w:val="21"/>
        </w:rPr>
        <w:t>采购代理机构：</w:t>
      </w:r>
      <w:r>
        <w:rPr>
          <w:rFonts w:hint="eastAsia"/>
          <w:sz w:val="21"/>
          <w:szCs w:val="21"/>
          <w:lang w:val="en-US" w:eastAsia="zh-CN"/>
        </w:rPr>
        <w:t>中市技术集团有限公司</w:t>
      </w:r>
    </w:p>
    <w:p>
      <w:pPr>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olor w:val="000000"/>
          <w:szCs w:val="21"/>
        </w:rPr>
        <w:t>0731-</w:t>
      </w:r>
      <w:r>
        <w:rPr>
          <w:rFonts w:ascii="宋体" w:hAnsi="宋体"/>
          <w:color w:val="000000"/>
          <w:szCs w:val="21"/>
        </w:rPr>
        <w:t>8</w:t>
      </w:r>
      <w:r>
        <w:rPr>
          <w:rFonts w:hint="eastAsia" w:ascii="宋体" w:hAnsi="宋体"/>
          <w:color w:val="000000"/>
          <w:szCs w:val="21"/>
        </w:rPr>
        <w:t>5163966/400-961-2010</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联系人：</w:t>
      </w:r>
      <w:r>
        <w:rPr>
          <w:rFonts w:hint="eastAsia" w:ascii="宋体" w:hAnsi="宋体" w:cs="宋体"/>
          <w:szCs w:val="21"/>
          <w:lang w:val="en-US" w:eastAsia="zh-CN"/>
        </w:rPr>
        <w:t>欧阳少佳、左丽</w:t>
      </w:r>
    </w:p>
    <w:p>
      <w:pPr>
        <w:spacing w:line="360" w:lineRule="auto"/>
        <w:ind w:firstLine="420" w:firstLineChars="200"/>
        <w:rPr>
          <w:rFonts w:hint="eastAsia" w:ascii="宋体" w:hAnsi="宋体"/>
          <w:color w:val="000000"/>
          <w:szCs w:val="21"/>
        </w:rPr>
      </w:pPr>
      <w:r>
        <w:rPr>
          <w:rFonts w:hint="eastAsia" w:ascii="宋体" w:hAnsi="宋体" w:cs="宋体"/>
          <w:szCs w:val="21"/>
        </w:rPr>
        <w:t>地址：</w:t>
      </w:r>
      <w:r>
        <w:rPr>
          <w:rFonts w:hint="eastAsia" w:ascii="宋体" w:hAnsi="宋体"/>
          <w:color w:val="000000"/>
          <w:szCs w:val="21"/>
        </w:rPr>
        <w:t>长沙市芙蓉区车站北路</w:t>
      </w:r>
      <w:r>
        <w:rPr>
          <w:rFonts w:ascii="宋体" w:hAnsi="宋体"/>
          <w:color w:val="000000"/>
          <w:szCs w:val="21"/>
        </w:rPr>
        <w:t>459</w:t>
      </w:r>
      <w:r>
        <w:rPr>
          <w:rFonts w:hint="eastAsia" w:ascii="宋体" w:hAnsi="宋体"/>
          <w:color w:val="000000"/>
          <w:szCs w:val="21"/>
        </w:rPr>
        <w:t>号湖南证券大厦第六层</w:t>
      </w:r>
    </w:p>
    <w:p>
      <w:pPr>
        <w:pStyle w:val="2"/>
        <w:rPr>
          <w:rFonts w:hint="eastAsia"/>
        </w:rPr>
      </w:pPr>
    </w:p>
    <w:p>
      <w:pPr>
        <w:pStyle w:val="2"/>
        <w:rPr>
          <w:rFonts w:hint="eastAsia"/>
        </w:rPr>
      </w:pPr>
    </w:p>
    <w:p>
      <w:pPr>
        <w:spacing w:after="240"/>
        <w:jc w:val="right"/>
        <w:rPr>
          <w:rFonts w:hint="eastAsia" w:ascii="宋体" w:hAnsi="宋体" w:cs="宋体"/>
        </w:rPr>
      </w:pPr>
      <w:r>
        <w:rPr>
          <w:rFonts w:hint="eastAsia" w:ascii="宋体" w:hAnsi="宋体" w:cs="宋体"/>
        </w:rPr>
        <w:t>20</w:t>
      </w:r>
      <w:r>
        <w:rPr>
          <w:rFonts w:hint="eastAsia" w:ascii="宋体" w:hAnsi="宋体" w:cs="宋体"/>
          <w:lang w:val="en-US" w:eastAsia="zh-CN"/>
        </w:rPr>
        <w:t>21</w:t>
      </w:r>
      <w:r>
        <w:rPr>
          <w:rFonts w:hint="eastAsia" w:ascii="宋体" w:hAnsi="宋体" w:cs="宋体"/>
        </w:rPr>
        <w:t>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25</w:t>
      </w:r>
      <w:r>
        <w:rPr>
          <w:rFonts w:hint="eastAsia" w:ascii="宋体" w:hAnsi="宋体" w:cs="宋体"/>
        </w:rPr>
        <w:t>日</w:t>
      </w:r>
    </w:p>
    <w:p>
      <w:pPr>
        <w:spacing w:after="240"/>
        <w:jc w:val="center"/>
        <w:outlineLvl w:val="0"/>
        <w:rPr>
          <w:rFonts w:ascii="宋体" w:hAnsi="宋体" w:cs="宋体"/>
          <w:b/>
          <w:bCs/>
          <w:sz w:val="32"/>
          <w:szCs w:val="32"/>
        </w:rPr>
      </w:pPr>
      <w:r>
        <w:rPr>
          <w:rFonts w:ascii="宋体" w:hAnsi="宋体"/>
          <w:sz w:val="32"/>
          <w:szCs w:val="32"/>
        </w:rPr>
        <w:br w:type="page"/>
      </w:r>
      <w:bookmarkStart w:id="8" w:name="_Toc8914"/>
      <w:bookmarkStart w:id="9" w:name="_Toc7012"/>
      <w:bookmarkStart w:id="10" w:name="_Toc5145"/>
      <w:bookmarkStart w:id="11" w:name="_Toc14891065"/>
      <w:bookmarkStart w:id="12" w:name="_Toc3701"/>
      <w:bookmarkStart w:id="13" w:name="_Toc8504"/>
      <w:bookmarkStart w:id="14" w:name="_Toc6753"/>
      <w:r>
        <w:rPr>
          <w:rFonts w:hint="eastAsia" w:ascii="宋体" w:hAnsi="宋体" w:cs="宋体"/>
          <w:b/>
          <w:bCs/>
          <w:sz w:val="32"/>
          <w:szCs w:val="32"/>
        </w:rPr>
        <w:t>第二章  谈判须知</w:t>
      </w:r>
      <w:bookmarkEnd w:id="8"/>
      <w:bookmarkEnd w:id="9"/>
      <w:bookmarkEnd w:id="10"/>
      <w:bookmarkEnd w:id="11"/>
      <w:bookmarkEnd w:id="12"/>
      <w:bookmarkEnd w:id="13"/>
      <w:bookmarkEnd w:id="14"/>
    </w:p>
    <w:p>
      <w:pPr>
        <w:jc w:val="center"/>
        <w:outlineLvl w:val="1"/>
        <w:rPr>
          <w:rFonts w:ascii="宋体" w:hAnsi="宋体" w:cs="宋体"/>
          <w:b/>
          <w:bCs/>
          <w:sz w:val="32"/>
          <w:szCs w:val="32"/>
        </w:rPr>
      </w:pPr>
      <w:bookmarkStart w:id="15" w:name="_Toc14891066"/>
      <w:bookmarkStart w:id="16" w:name="_Toc9591"/>
      <w:bookmarkStart w:id="17" w:name="_Toc5430"/>
      <w:bookmarkStart w:id="18" w:name="_Toc23697"/>
      <w:bookmarkStart w:id="19" w:name="_Toc2999"/>
      <w:bookmarkStart w:id="20" w:name="_Toc3692"/>
      <w:bookmarkStart w:id="21" w:name="_Toc6617"/>
      <w:bookmarkStart w:id="22" w:name="_Toc23900"/>
      <w:r>
        <w:rPr>
          <w:rFonts w:hint="eastAsia" w:ascii="宋体" w:hAnsi="宋体" w:cs="宋体"/>
          <w:b/>
          <w:bCs/>
          <w:sz w:val="32"/>
          <w:szCs w:val="32"/>
        </w:rPr>
        <w:t>谈判须知前附表</w:t>
      </w:r>
      <w:bookmarkEnd w:id="15"/>
      <w:bookmarkEnd w:id="16"/>
      <w:bookmarkEnd w:id="17"/>
      <w:bookmarkEnd w:id="18"/>
      <w:bookmarkEnd w:id="19"/>
      <w:bookmarkEnd w:id="20"/>
      <w:bookmarkEnd w:id="21"/>
      <w:bookmarkEnd w:id="22"/>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名  称</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采购项目</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iCs/>
                <w:szCs w:val="21"/>
              </w:rPr>
            </w:pPr>
            <w:r>
              <w:rPr>
                <w:rFonts w:hint="eastAsia" w:ascii="宋体" w:hAnsi="宋体" w:cs="宋体"/>
                <w:iCs/>
                <w:szCs w:val="21"/>
                <w:lang w:val="en-US" w:eastAsia="zh-CN"/>
              </w:rPr>
              <w:t>长沙市轨道交通1号线运营期2021年度道岔融雪装置采购项目（第二次）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采购单位</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iCs/>
                <w:szCs w:val="21"/>
              </w:rPr>
            </w:pPr>
            <w:r>
              <w:rPr>
                <w:rFonts w:hint="eastAsia" w:ascii="宋体" w:hAnsi="宋体" w:cs="宋体"/>
                <w:szCs w:val="21"/>
              </w:rPr>
              <w:t>长沙市轨道交通</w:t>
            </w:r>
            <w:r>
              <w:rPr>
                <w:rFonts w:hint="eastAsia" w:ascii="宋体" w:hAnsi="宋体" w:cs="宋体"/>
                <w:szCs w:val="21"/>
                <w:lang w:eastAsia="zh-CN"/>
              </w:rPr>
              <w:t>一</w:t>
            </w:r>
            <w:r>
              <w:rPr>
                <w:rFonts w:hint="eastAsia" w:ascii="宋体" w:hAnsi="宋体" w:cs="宋体"/>
                <w:szCs w:val="21"/>
              </w:rPr>
              <w:t>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采购代理机构</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iCs/>
                <w:szCs w:val="21"/>
              </w:rPr>
            </w:pPr>
            <w:r>
              <w:rPr>
                <w:rFonts w:hint="eastAsia"/>
                <w:sz w:val="21"/>
                <w:szCs w:val="21"/>
                <w:lang w:val="en-US" w:eastAsia="zh-CN"/>
              </w:rPr>
              <w:t>中市技术集团有限公司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项目预算</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iCs/>
                <w:color w:val="FF0000"/>
                <w:szCs w:val="21"/>
              </w:rPr>
            </w:pPr>
            <w:r>
              <w:rPr>
                <w:rFonts w:hint="eastAsia" w:ascii="宋体" w:hAnsi="宋体" w:cs="宋体"/>
                <w:color w:val="000000"/>
                <w:lang w:val="en-US" w:eastAsia="zh-CN"/>
              </w:rPr>
              <w:t>53.05万元</w:t>
            </w:r>
            <w:r>
              <w:rPr>
                <w:rFonts w:hint="eastAsia" w:ascii="宋体" w:hAnsi="宋体" w:cs="宋体"/>
                <w:szCs w:val="21"/>
              </w:rPr>
              <w:t>，不超过项目预算的谈判总报价为有效报价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评审办法</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iCs/>
                <w:szCs w:val="21"/>
              </w:rPr>
            </w:pPr>
            <w:r>
              <w:rPr>
                <w:rFonts w:hint="eastAsia" w:ascii="宋体" w:hAnsi="宋体" w:cs="宋体"/>
                <w:b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highlight w:val="yellow"/>
              </w:rPr>
            </w:pPr>
            <w:r>
              <w:rPr>
                <w:rFonts w:hint="eastAsia" w:ascii="宋体" w:hAnsi="宋体" w:cs="宋体"/>
                <w:b/>
                <w:szCs w:val="21"/>
              </w:rPr>
              <w:t>资格要求</w:t>
            </w:r>
          </w:p>
        </w:tc>
        <w:tc>
          <w:tcPr>
            <w:tcW w:w="7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1.谈判单位须为具有独立法人资格、自主经营、独立核算的公司，须提供加盖谈判单位公章的营业执照复印件。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Cs/>
              </w:rPr>
            </w:pPr>
            <w:r>
              <w:rPr>
                <w:rFonts w:hint="eastAsia" w:ascii="宋体" w:hAnsi="宋体" w:eastAsia="宋体" w:cs="宋体"/>
                <w:kern w:val="2"/>
                <w:sz w:val="21"/>
                <w:szCs w:val="21"/>
                <w:lang w:val="en-US" w:eastAsia="zh-CN" w:bidi="ar-SA"/>
              </w:rPr>
              <w:t>2.谈判单位在本项目谈判截止之日前36个月内须具有轨道交通行业道岔融雪装置相关物资的供货业绩（是指供货合同的清单中须包含整套融雪装置或融雪装置控制终端或融雪装置控制柜或融雪装置隔离变压器或融雪装置加热原件的供货业绩）。</w:t>
            </w:r>
            <w:r>
              <w:rPr>
                <w:rFonts w:hint="eastAsia" w:ascii="宋体" w:hAnsi="宋体" w:eastAsia="宋体" w:cs="宋体"/>
                <w:bCs/>
              </w:rPr>
              <w:t>不接受联合体、港澳台或境外业绩。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业绩证明材料以同时提供的合同原件扫描件和发票（开票金额不少于合同金额的10%）原件扫描件为准（均须加盖投标人单位公章），业绩金额以合同中的金额为准，时间以合同中甲方签字时间为准。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3.本项目不接受联合体形式参与谈判。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ascii="宋体" w:hAnsi="宋体" w:cs="宋体"/>
                <w:szCs w:val="21"/>
                <w:highlight w:val="yellow"/>
              </w:rPr>
            </w:pPr>
            <w:r>
              <w:rPr>
                <w:rFonts w:hint="eastAsia" w:ascii="宋体" w:hAnsi="宋体" w:eastAsia="宋体" w:cs="宋体"/>
                <w:kern w:val="2"/>
                <w:sz w:val="21"/>
                <w:szCs w:val="21"/>
                <w:lang w:val="en-US" w:eastAsia="zh-CN" w:bidi="ar-SA"/>
              </w:rPr>
              <w:t>4.被长沙市轨道交通集团有限公司及长沙市轨道交通运营有限公司函告禁止在一定期限内参与投标的单位按函告内容执行。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谈判答疑文件递交截止时间</w:t>
            </w:r>
          </w:p>
        </w:tc>
        <w:tc>
          <w:tcPr>
            <w:tcW w:w="778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Ansi="宋体" w:cs="宋体"/>
                <w:color w:val="000000"/>
              </w:rPr>
            </w:pPr>
            <w:r>
              <w:rPr>
                <w:rFonts w:hint="eastAsia" w:hAnsi="宋体" w:cs="宋体"/>
                <w:u w:val="single"/>
              </w:rPr>
              <w:t>20</w:t>
            </w:r>
            <w:r>
              <w:rPr>
                <w:rFonts w:hint="eastAsia" w:hAnsi="宋体" w:cs="宋体"/>
                <w:u w:val="single"/>
                <w:lang w:val="en-US" w:eastAsia="zh-CN"/>
              </w:rPr>
              <w:t>21</w:t>
            </w:r>
            <w:r>
              <w:rPr>
                <w:rFonts w:hint="eastAsia" w:hAnsi="宋体" w:cs="宋体"/>
              </w:rPr>
              <w:t>年</w:t>
            </w:r>
            <w:r>
              <w:rPr>
                <w:rFonts w:hint="eastAsia" w:hAnsi="宋体" w:cs="宋体"/>
                <w:u w:val="single"/>
                <w:lang w:val="en-US" w:eastAsia="zh-CN"/>
              </w:rPr>
              <w:t>12</w:t>
            </w:r>
            <w:r>
              <w:rPr>
                <w:rFonts w:hint="eastAsia" w:hAnsi="宋体" w:cs="宋体"/>
              </w:rPr>
              <w:t>月</w:t>
            </w:r>
            <w:r>
              <w:rPr>
                <w:rFonts w:hint="eastAsia" w:hAnsi="宋体" w:cs="宋体"/>
                <w:u w:val="single"/>
                <w:lang w:val="en-US" w:eastAsia="zh-CN"/>
              </w:rPr>
              <w:t>30</w:t>
            </w:r>
            <w:r>
              <w:rPr>
                <w:rFonts w:hint="eastAsia" w:hAnsi="宋体" w:cs="宋体"/>
              </w:rPr>
              <w:t>日</w:t>
            </w:r>
            <w:r>
              <w:rPr>
                <w:rFonts w:hint="eastAsia" w:hAnsi="宋体" w:cs="宋体"/>
                <w:u w:val="single"/>
              </w:rPr>
              <w:t>17</w:t>
            </w:r>
            <w:r>
              <w:rPr>
                <w:rFonts w:hint="eastAsia" w:hAnsi="宋体" w:cs="宋体"/>
              </w:rPr>
              <w:t>时</w:t>
            </w:r>
            <w:r>
              <w:rPr>
                <w:rFonts w:hint="eastAsia" w:hAnsi="宋体" w:cs="宋体"/>
                <w:u w:val="single"/>
              </w:rPr>
              <w:t>00</w:t>
            </w:r>
            <w:r>
              <w:rPr>
                <w:rFonts w:hint="eastAsia"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谈判答疑文件递交方式及地点</w:t>
            </w:r>
          </w:p>
        </w:tc>
        <w:tc>
          <w:tcPr>
            <w:tcW w:w="7788" w:type="dxa"/>
            <w:vAlign w:val="center"/>
          </w:tcPr>
          <w:p>
            <w:pPr>
              <w:pStyle w:val="26"/>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Ansi="宋体" w:cs="宋体"/>
                <w:iCs/>
                <w:color w:val="FF0000"/>
              </w:rPr>
            </w:pPr>
            <w:r>
              <w:rPr>
                <w:rFonts w:hint="eastAsia" w:hAnsi="宋体" w:cs="宋体"/>
              </w:rPr>
              <w:t>谈判答疑文件应以书面形式递交至</w:t>
            </w:r>
            <w:r>
              <w:rPr>
                <w:rFonts w:hint="eastAsia" w:ascii="宋体" w:hAnsi="宋体" w:cs="宋体"/>
                <w:color w:val="000000"/>
                <w:szCs w:val="21"/>
              </w:rPr>
              <w:t>长沙市芙蓉区车站北路459号证券大厦第六层60</w:t>
            </w:r>
            <w:r>
              <w:rPr>
                <w:rFonts w:hint="eastAsia" w:ascii="宋体" w:hAnsi="宋体" w:cs="宋体"/>
                <w:color w:val="000000"/>
                <w:szCs w:val="21"/>
                <w:lang w:val="en-US" w:eastAsia="zh-CN"/>
              </w:rPr>
              <w:t>1</w:t>
            </w:r>
            <w:r>
              <w:rPr>
                <w:rFonts w:hint="eastAsia" w:ascii="宋体" w:hAnsi="宋体" w:cs="宋体"/>
                <w:color w:val="000000"/>
                <w:szCs w:val="21"/>
              </w:rPr>
              <w:t>室</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响应文件的递交截止及谈判时间</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szCs w:val="21"/>
              </w:rPr>
            </w:pPr>
            <w:r>
              <w:rPr>
                <w:rFonts w:hint="eastAsia" w:ascii="宋体" w:hAnsi="宋体" w:cs="宋体"/>
                <w:szCs w:val="21"/>
                <w:u w:val="single"/>
              </w:rPr>
              <w:t>20</w:t>
            </w:r>
            <w:r>
              <w:rPr>
                <w:rFonts w:hint="eastAsia" w:ascii="宋体" w:hAnsi="宋体" w:cs="宋体"/>
                <w:szCs w:val="21"/>
                <w:u w:val="single"/>
                <w:lang w:val="en-US" w:eastAsia="zh-CN"/>
              </w:rPr>
              <w:t>22</w:t>
            </w:r>
            <w:r>
              <w:rPr>
                <w:rFonts w:hint="eastAsia" w:ascii="宋体" w:hAnsi="宋体" w:cs="宋体"/>
                <w:szCs w:val="21"/>
              </w:rPr>
              <w:t>年</w:t>
            </w:r>
            <w:r>
              <w:rPr>
                <w:rFonts w:hint="eastAsia" w:ascii="宋体" w:hAnsi="宋体" w:cs="宋体"/>
                <w:szCs w:val="21"/>
                <w:u w:val="single"/>
                <w:lang w:val="en-US" w:eastAsia="zh-CN"/>
              </w:rPr>
              <w:t>01</w:t>
            </w:r>
            <w:r>
              <w:rPr>
                <w:rFonts w:hint="eastAsia" w:ascii="宋体" w:hAnsi="宋体" w:cs="宋体"/>
                <w:szCs w:val="21"/>
              </w:rPr>
              <w:t>月</w:t>
            </w:r>
            <w:r>
              <w:rPr>
                <w:rFonts w:hint="eastAsia" w:ascii="宋体" w:hAnsi="宋体" w:cs="宋体"/>
                <w:szCs w:val="21"/>
                <w:u w:val="single"/>
                <w:lang w:val="en-US" w:eastAsia="zh-CN"/>
              </w:rPr>
              <w:t>06</w:t>
            </w:r>
            <w:r>
              <w:rPr>
                <w:rFonts w:hint="eastAsia" w:ascii="宋体" w:hAnsi="宋体" w:cs="宋体"/>
                <w:szCs w:val="21"/>
              </w:rPr>
              <w:t>日</w:t>
            </w:r>
            <w:r>
              <w:rPr>
                <w:rFonts w:hint="eastAsia" w:ascii="宋体" w:hAnsi="宋体" w:cs="宋体"/>
                <w:szCs w:val="21"/>
                <w:u w:val="single"/>
              </w:rPr>
              <w:t>14</w:t>
            </w:r>
            <w:r>
              <w:rPr>
                <w:rFonts w:hint="eastAsia" w:ascii="宋体" w:hAnsi="宋体" w:cs="宋体"/>
                <w:szCs w:val="21"/>
              </w:rPr>
              <w:t>时</w:t>
            </w:r>
            <w:r>
              <w:rPr>
                <w:rFonts w:hint="eastAsia" w:ascii="宋体" w:hAnsi="宋体" w:cs="宋体"/>
                <w:szCs w:val="21"/>
                <w:u w:val="single"/>
              </w:rPr>
              <w:t>30</w:t>
            </w:r>
            <w:r>
              <w:rPr>
                <w:rFonts w:hint="eastAsia" w:ascii="宋体" w:hAnsi="宋体" w:cs="宋体"/>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响应文件的递交及谈判地点</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谈判现场验证须提交的资料</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响应文件有效期</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响应文件份数</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价格承包内容</w:t>
            </w:r>
          </w:p>
        </w:tc>
        <w:tc>
          <w:tcPr>
            <w:tcW w:w="7788"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1.合同价款形式：</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单价合同（除税率调整外，合同单价（即中标单价/中选单价/成交单价）在合同执行过程中固定不变，不受政策法规变化以及汇率浮动、物价指数浮动等因素的影响）。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2.签约合同价：</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签约合同价为人民币        元（大写金额：        ），具体分项价格表详见合同附件之签约合同价清单。</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ascii="宋体" w:hAnsi="宋体" w:cs="宋体"/>
                <w:szCs w:val="21"/>
              </w:rPr>
            </w:pPr>
            <w:r>
              <w:rPr>
                <w:rFonts w:hint="eastAsia" w:ascii="宋体" w:hAnsi="宋体" w:eastAsia="宋体" w:cs="宋体"/>
                <w:bCs/>
                <w:kern w:val="2"/>
                <w:sz w:val="21"/>
                <w:szCs w:val="21"/>
                <w:lang w:val="en-US" w:eastAsia="zh-CN" w:bidi="ar-SA"/>
              </w:rPr>
              <w:t>按长沙市政府或其职能部门相关规定，本项目的合同价格最终以□长沙市政府相关职能部门或长沙市轨道交通集团有限公司授权的单位审定价款为准/</w:t>
            </w:r>
            <w:r>
              <w:rPr>
                <w:rFonts w:hint="eastAsia" w:ascii="宋体" w:hAnsi="宋体" w:eastAsia="宋体" w:cs="宋体"/>
                <w:bCs/>
                <w:kern w:val="2"/>
                <w:sz w:val="21"/>
                <w:szCs w:val="21"/>
                <w:lang w:val="en-US" w:eastAsia="zh-CN" w:bidi="ar-SA"/>
              </w:rPr>
              <w:sym w:font="Wingdings 2" w:char="0052"/>
            </w:r>
            <w:r>
              <w:rPr>
                <w:rFonts w:hint="eastAsia" w:ascii="宋体" w:hAnsi="宋体" w:eastAsia="宋体" w:cs="宋体"/>
                <w:bCs/>
                <w:kern w:val="2"/>
                <w:sz w:val="21"/>
                <w:szCs w:val="21"/>
                <w:lang w:val="en-US" w:eastAsia="zh-CN" w:bidi="ar-SA"/>
              </w:rPr>
              <w:t>履约验收合格确定的最终价款为准。合同价格包括乙方履行合同且满足用户需求书/技术规格书全部要求所产生的成本、费用、税金、利润、保险、专利、风险等。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color w:val="FF0000"/>
                <w:szCs w:val="21"/>
              </w:rPr>
            </w:pPr>
            <w:r>
              <w:rPr>
                <w:rFonts w:hint="eastAsia" w:ascii="宋体" w:hAnsi="宋体" w:cs="宋体"/>
                <w:b/>
                <w:szCs w:val="21"/>
              </w:rPr>
              <w:t>项目支付方式</w:t>
            </w:r>
          </w:p>
        </w:tc>
        <w:tc>
          <w:tcPr>
            <w:tcW w:w="7788" w:type="dxa"/>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1.1预付款</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本项目无预付款。</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1.2中间付款</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乙方按合同约定完成所有物资供货及相关工作，且□本项目的结算价格经长沙市政府相关职能部门或长沙市轨道交通集团有限公司授权的单位审定/</w:t>
            </w:r>
            <w:r>
              <w:rPr>
                <w:rFonts w:hint="eastAsia" w:ascii="宋体" w:hAnsi="宋体" w:eastAsia="宋体" w:cs="宋体"/>
                <w:bCs/>
                <w:kern w:val="2"/>
                <w:sz w:val="21"/>
                <w:szCs w:val="21"/>
                <w:lang w:val="en-US" w:eastAsia="zh-CN" w:bidi="ar-SA"/>
              </w:rPr>
              <w:sym w:font="Wingdings 2" w:char="0052"/>
            </w:r>
            <w:r>
              <w:rPr>
                <w:rFonts w:hint="eastAsia" w:ascii="宋体" w:hAnsi="宋体" w:eastAsia="宋体" w:cs="宋体"/>
                <w:bCs/>
                <w:kern w:val="2"/>
                <w:sz w:val="21"/>
                <w:szCs w:val="21"/>
                <w:lang w:val="en-US" w:eastAsia="zh-CN" w:bidi="ar-SA"/>
              </w:rPr>
              <w:t>本项目履约验收合格，在收到经甲方批复的支付申请等资料并证实完整无误后28个工作日内，支付至合同价格的97%。</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1.3最终付款</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leftChars="0" w:right="0" w:right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质保期满且物资无质量问题，收到经甲方批复的支付请求等资料并证实完整无误后28个工作日内，支付合同价格的剩余款项。</w:t>
            </w:r>
          </w:p>
          <w:p>
            <w:pPr>
              <w:pStyle w:val="46"/>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both"/>
              <w:textAlignment w:val="auto"/>
              <w:rPr>
                <w:rFonts w:ascii="宋体" w:hAnsi="宋体" w:cs="宋体"/>
              </w:rPr>
            </w:pPr>
            <w:r>
              <w:rPr>
                <w:rFonts w:hint="eastAsia" w:ascii="宋体" w:hAnsi="宋体" w:eastAsia="宋体" w:cs="宋体"/>
                <w:bCs/>
                <w:kern w:val="2"/>
                <w:sz w:val="21"/>
                <w:szCs w:val="21"/>
                <w:lang w:val="en-US" w:eastAsia="zh-CN" w:bidi="ar-SA"/>
              </w:rPr>
              <w:t>1.4乙方应理解本合同的资金来源为政府资金，款项的拨付须经有关部门批准，若甲方在规定的支付期限内未支付合同价款，乙方不得以款项延迟支付而停止、拒绝履行本合同或要求甲方支付任何利息。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信息发布</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指定媒体</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6"/>
                <w:rFonts w:hint="eastAsia" w:ascii="宋体" w:hAnsi="宋体" w:cs="宋体"/>
                <w:color w:val="auto"/>
                <w:szCs w:val="21"/>
              </w:rPr>
              <w:t>http://www.hncsmtr.com/</w:t>
            </w:r>
            <w:r>
              <w:rPr>
                <w:rStyle w:val="56"/>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采购代理服务费</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szCs w:val="21"/>
              </w:rPr>
            </w:pPr>
            <w:r>
              <w:rPr>
                <w:rFonts w:hint="eastAsia" w:ascii="宋体" w:hAnsi="宋体" w:cs="宋体"/>
                <w:b/>
                <w:szCs w:val="21"/>
              </w:rPr>
              <w:t>其他规定</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szCs w:val="21"/>
              </w:rPr>
            </w:pPr>
            <w:r>
              <w:rPr>
                <w:rFonts w:hint="eastAsia" w:ascii="宋体" w:hAnsi="宋体" w:cs="宋体"/>
                <w:szCs w:val="21"/>
              </w:rPr>
              <w:t>（如有）</w:t>
            </w:r>
          </w:p>
        </w:tc>
      </w:tr>
    </w:tbl>
    <w:p>
      <w:pPr>
        <w:rPr>
          <w:rFonts w:hint="eastAsia" w:ascii="宋体" w:hAnsi="宋体" w:cs="宋体"/>
          <w:b/>
          <w:bCs/>
          <w:sz w:val="32"/>
          <w:szCs w:val="32"/>
        </w:rPr>
      </w:pPr>
      <w:bookmarkStart w:id="23" w:name="_Toc16939"/>
      <w:bookmarkStart w:id="24" w:name="_Toc30640"/>
      <w:bookmarkStart w:id="25" w:name="_Toc14891067"/>
      <w:bookmarkStart w:id="26" w:name="_Toc26157"/>
      <w:r>
        <w:rPr>
          <w:rFonts w:hint="eastAsia" w:ascii="宋体" w:hAnsi="宋体" w:cs="宋体"/>
          <w:b/>
          <w:bCs/>
          <w:sz w:val="32"/>
          <w:szCs w:val="32"/>
        </w:rPr>
        <w:br w:type="page"/>
      </w:r>
    </w:p>
    <w:p>
      <w:pPr>
        <w:spacing w:line="360" w:lineRule="auto"/>
        <w:jc w:val="center"/>
        <w:outlineLvl w:val="1"/>
        <w:rPr>
          <w:rFonts w:ascii="宋体" w:hAnsi="宋体" w:cs="宋体"/>
          <w:b/>
          <w:bCs/>
          <w:sz w:val="32"/>
          <w:szCs w:val="32"/>
        </w:rPr>
      </w:pPr>
      <w:bookmarkStart w:id="27" w:name="_Toc16856"/>
      <w:bookmarkStart w:id="28" w:name="_Toc29183"/>
      <w:bookmarkStart w:id="29" w:name="_Toc15501"/>
      <w:bookmarkStart w:id="30" w:name="_Toc32394"/>
      <w:r>
        <w:rPr>
          <w:rFonts w:hint="eastAsia" w:ascii="宋体" w:hAnsi="宋体" w:cs="宋体"/>
          <w:b/>
          <w:bCs/>
          <w:sz w:val="32"/>
          <w:szCs w:val="32"/>
        </w:rPr>
        <w:t>谈判须知正文</w:t>
      </w:r>
      <w:bookmarkEnd w:id="23"/>
      <w:bookmarkEnd w:id="24"/>
      <w:bookmarkEnd w:id="25"/>
      <w:bookmarkEnd w:id="26"/>
      <w:bookmarkEnd w:id="27"/>
      <w:bookmarkEnd w:id="28"/>
      <w:bookmarkEnd w:id="29"/>
      <w:bookmarkEnd w:id="30"/>
    </w:p>
    <w:p>
      <w:pPr>
        <w:keepNext w:val="0"/>
        <w:keepLines w:val="0"/>
        <w:pageBreakBefore w:val="0"/>
        <w:kinsoku/>
        <w:wordWrap/>
        <w:overflowPunct/>
        <w:topLinePunct w:val="0"/>
        <w:autoSpaceDE/>
        <w:autoSpaceDN/>
        <w:bidi w:val="0"/>
        <w:spacing w:line="400" w:lineRule="exact"/>
        <w:textAlignment w:val="auto"/>
        <w:outlineLvl w:val="1"/>
        <w:rPr>
          <w:rFonts w:ascii="宋体" w:hAnsi="宋体" w:cs="宋体"/>
          <w:b/>
          <w:bCs/>
          <w:szCs w:val="21"/>
        </w:rPr>
      </w:pPr>
      <w:bookmarkStart w:id="31" w:name="_Toc14891068"/>
      <w:bookmarkStart w:id="32" w:name="_Toc22890"/>
      <w:r>
        <w:rPr>
          <w:rFonts w:hint="eastAsia" w:ascii="宋体" w:hAnsi="宋体" w:cs="宋体"/>
          <w:b/>
          <w:bCs/>
          <w:szCs w:val="21"/>
        </w:rPr>
        <w:t>一、说明</w:t>
      </w:r>
      <w:bookmarkEnd w:id="31"/>
      <w:bookmarkEnd w:id="32"/>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szCs w:val="21"/>
        </w:rPr>
      </w:pPr>
      <w:r>
        <w:rPr>
          <w:rFonts w:hint="eastAsia" w:ascii="宋体" w:hAnsi="宋体" w:cs="宋体"/>
          <w:b/>
          <w:szCs w:val="21"/>
        </w:rPr>
        <w:t>2.本谈判文件的解释权属于长沙市轨道交通运营有限公司。</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3.定义</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3.2“谈判单位”是指响应本谈判文件要求、参加谈判的法人组织。</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4.谈判单位资格要求</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keepNext w:val="0"/>
        <w:keepLines w:val="0"/>
        <w:pageBreakBefore w:val="0"/>
        <w:kinsoku/>
        <w:wordWrap/>
        <w:overflowPunct/>
        <w:topLinePunct w:val="0"/>
        <w:autoSpaceDE/>
        <w:autoSpaceDN/>
        <w:bidi w:val="0"/>
        <w:spacing w:line="400" w:lineRule="exact"/>
        <w:ind w:firstLine="420" w:firstLineChars="200"/>
        <w:jc w:val="both"/>
        <w:textAlignment w:val="auto"/>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keepNext w:val="0"/>
        <w:keepLines w:val="0"/>
        <w:pageBreakBefore w:val="0"/>
        <w:kinsoku/>
        <w:wordWrap/>
        <w:overflowPunct/>
        <w:topLinePunct w:val="0"/>
        <w:autoSpaceDE/>
        <w:autoSpaceDN/>
        <w:bidi w:val="0"/>
        <w:spacing w:line="400" w:lineRule="exact"/>
        <w:ind w:firstLine="420" w:firstLineChars="200"/>
        <w:jc w:val="both"/>
        <w:textAlignment w:val="auto"/>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keepNext w:val="0"/>
        <w:keepLines w:val="0"/>
        <w:pageBreakBefore w:val="0"/>
        <w:kinsoku/>
        <w:wordWrap/>
        <w:overflowPunct/>
        <w:topLinePunct w:val="0"/>
        <w:autoSpaceDE/>
        <w:autoSpaceDN/>
        <w:bidi w:val="0"/>
        <w:spacing w:line="400" w:lineRule="exact"/>
        <w:ind w:firstLine="420" w:firstLineChars="200"/>
        <w:jc w:val="both"/>
        <w:textAlignment w:val="auto"/>
        <w:rPr>
          <w:rFonts w:hAnsi="宋体" w:cs="宋体"/>
          <w:sz w:val="21"/>
          <w:szCs w:val="21"/>
        </w:rPr>
      </w:pPr>
      <w:r>
        <w:rPr>
          <w:rFonts w:hint="eastAsia" w:hAnsi="宋体" w:cs="宋体"/>
          <w:sz w:val="21"/>
          <w:szCs w:val="21"/>
        </w:rPr>
        <w:t>（3）与本采购项目的其他谈判单位存在控股、管理关系；</w:t>
      </w:r>
    </w:p>
    <w:p>
      <w:pPr>
        <w:pStyle w:val="356"/>
        <w:keepNext w:val="0"/>
        <w:keepLines w:val="0"/>
        <w:pageBreakBefore w:val="0"/>
        <w:kinsoku/>
        <w:wordWrap/>
        <w:overflowPunct/>
        <w:topLinePunct w:val="0"/>
        <w:autoSpaceDE/>
        <w:autoSpaceDN/>
        <w:bidi w:val="0"/>
        <w:spacing w:line="400" w:lineRule="exact"/>
        <w:ind w:firstLine="420" w:firstLineChars="200"/>
        <w:jc w:val="both"/>
        <w:textAlignment w:val="auto"/>
        <w:rPr>
          <w:rFonts w:hAnsi="宋体" w:cs="宋体"/>
          <w:sz w:val="21"/>
          <w:szCs w:val="21"/>
        </w:rPr>
      </w:pPr>
      <w:r>
        <w:rPr>
          <w:rFonts w:hint="eastAsia" w:hAnsi="宋体" w:cs="宋体"/>
          <w:sz w:val="21"/>
          <w:szCs w:val="21"/>
        </w:rPr>
        <w:t>（4）被责令停产停业、暂扣或者吊销许可证、暂扣或者吊销执照；</w:t>
      </w:r>
    </w:p>
    <w:p>
      <w:pPr>
        <w:pStyle w:val="356"/>
        <w:keepNext w:val="0"/>
        <w:keepLines w:val="0"/>
        <w:pageBreakBefore w:val="0"/>
        <w:kinsoku/>
        <w:wordWrap/>
        <w:overflowPunct/>
        <w:topLinePunct w:val="0"/>
        <w:autoSpaceDE/>
        <w:autoSpaceDN/>
        <w:bidi w:val="0"/>
        <w:spacing w:line="400" w:lineRule="exact"/>
        <w:ind w:firstLine="420" w:firstLineChars="200"/>
        <w:jc w:val="both"/>
        <w:textAlignment w:val="auto"/>
        <w:rPr>
          <w:rFonts w:hAnsi="宋体" w:cs="宋体"/>
          <w:sz w:val="21"/>
          <w:szCs w:val="21"/>
        </w:rPr>
      </w:pPr>
      <w:r>
        <w:rPr>
          <w:rFonts w:hint="eastAsia" w:hAnsi="宋体" w:cs="宋体"/>
          <w:sz w:val="21"/>
          <w:szCs w:val="21"/>
        </w:rPr>
        <w:t>（5）进入破产、清算、注销程序，或存在其他可能丧失履约能力的情形；</w:t>
      </w:r>
    </w:p>
    <w:p>
      <w:pPr>
        <w:pStyle w:val="356"/>
        <w:keepNext w:val="0"/>
        <w:keepLines w:val="0"/>
        <w:pageBreakBefore w:val="0"/>
        <w:kinsoku/>
        <w:wordWrap/>
        <w:overflowPunct/>
        <w:topLinePunct w:val="0"/>
        <w:autoSpaceDE/>
        <w:autoSpaceDN/>
        <w:bidi w:val="0"/>
        <w:spacing w:line="400" w:lineRule="exact"/>
        <w:ind w:firstLine="420" w:firstLineChars="200"/>
        <w:jc w:val="both"/>
        <w:textAlignment w:val="auto"/>
        <w:rPr>
          <w:rFonts w:hAnsi="宋体" w:cs="宋体"/>
          <w:sz w:val="21"/>
          <w:szCs w:val="21"/>
        </w:rPr>
      </w:pPr>
      <w:r>
        <w:rPr>
          <w:rFonts w:hint="eastAsia" w:hAnsi="宋体" w:cs="宋体"/>
          <w:sz w:val="21"/>
          <w:szCs w:val="21"/>
        </w:rPr>
        <w:t>（6）在国家企业信用信息公示系统中显示已被列入严重违法失信企业名单；</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5.参与谈判的费用</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keepNext w:val="0"/>
        <w:keepLines w:val="0"/>
        <w:pageBreakBefore w:val="0"/>
        <w:tabs>
          <w:tab w:val="left" w:pos="420"/>
          <w:tab w:val="left" w:pos="7560"/>
          <w:tab w:val="left" w:pos="7740"/>
          <w:tab w:val="left" w:pos="7920"/>
        </w:tabs>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6"/>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Ansi="宋体" w:cs="宋体"/>
          <w:b/>
          <w:bCs/>
        </w:rPr>
      </w:pPr>
      <w:r>
        <w:rPr>
          <w:rFonts w:hint="eastAsia" w:hAnsi="宋体" w:cs="宋体"/>
          <w:b/>
        </w:rPr>
        <w:t>6．</w:t>
      </w:r>
      <w:r>
        <w:rPr>
          <w:rFonts w:hint="eastAsia" w:hAnsi="宋体" w:cs="宋体"/>
          <w:b/>
          <w:bCs/>
        </w:rPr>
        <w:t>谈判单位代表</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keepNext w:val="0"/>
        <w:keepLines w:val="0"/>
        <w:pageBreakBefore w:val="0"/>
        <w:kinsoku/>
        <w:wordWrap/>
        <w:overflowPunct/>
        <w:topLinePunct w:val="0"/>
        <w:autoSpaceDE/>
        <w:autoSpaceDN/>
        <w:bidi w:val="0"/>
        <w:spacing w:line="400" w:lineRule="exact"/>
        <w:textAlignment w:val="auto"/>
        <w:outlineLvl w:val="1"/>
        <w:rPr>
          <w:rFonts w:ascii="宋体" w:hAnsi="宋体" w:cs="宋体"/>
          <w:b/>
          <w:bCs/>
          <w:szCs w:val="21"/>
        </w:rPr>
      </w:pPr>
      <w:bookmarkStart w:id="33" w:name="_Toc14891069"/>
      <w:bookmarkStart w:id="34" w:name="_Toc14097"/>
      <w:r>
        <w:rPr>
          <w:rFonts w:hint="eastAsia" w:ascii="宋体" w:hAnsi="宋体" w:cs="宋体"/>
          <w:b/>
          <w:bCs/>
          <w:szCs w:val="21"/>
        </w:rPr>
        <w:t>二、谈判文件</w:t>
      </w:r>
      <w:bookmarkEnd w:id="33"/>
      <w:bookmarkEnd w:id="34"/>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7．谈判文件的组成</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7.1谈判文件由下列文件组成：</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第一章 谈判邀请公告</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第二章 谈判须知</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第三章 评审办法及标准</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hAnsi="宋体" w:eastAsia="宋体" w:cs="宋体"/>
          <w:lang w:eastAsia="zh-CN"/>
        </w:rPr>
      </w:pPr>
      <w:r>
        <w:rPr>
          <w:rFonts w:hint="eastAsia" w:hAnsi="宋体" w:cs="宋体"/>
        </w:rPr>
        <w:t>第四章 用户需求书</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第五章 合同格式条款</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第六章 响应文件组成</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keepNext w:val="0"/>
        <w:keepLines w:val="0"/>
        <w:pageBreakBefore w:val="0"/>
        <w:kinsoku/>
        <w:wordWrap/>
        <w:overflowPunct/>
        <w:topLinePunct w:val="0"/>
        <w:autoSpaceDE/>
        <w:autoSpaceDN/>
        <w:bidi w:val="0"/>
        <w:spacing w:line="400" w:lineRule="exact"/>
        <w:textAlignment w:val="auto"/>
        <w:outlineLvl w:val="1"/>
        <w:rPr>
          <w:rFonts w:ascii="宋体" w:hAnsi="宋体" w:cs="宋体"/>
          <w:b/>
          <w:bCs/>
          <w:szCs w:val="21"/>
        </w:rPr>
      </w:pPr>
      <w:bookmarkStart w:id="35" w:name="_Toc14891070"/>
      <w:bookmarkStart w:id="36" w:name="_Toc5812"/>
      <w:r>
        <w:rPr>
          <w:rFonts w:hint="eastAsia" w:ascii="宋体" w:hAnsi="宋体" w:cs="宋体"/>
          <w:b/>
          <w:bCs/>
          <w:szCs w:val="21"/>
        </w:rPr>
        <w:t>三、响应文件</w:t>
      </w:r>
      <w:bookmarkEnd w:id="35"/>
      <w:bookmarkEnd w:id="36"/>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10.一般要求</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Cs/>
          <w:szCs w:val="21"/>
        </w:rPr>
      </w:pPr>
      <w:r>
        <w:rPr>
          <w:rFonts w:hint="eastAsia" w:ascii="宋体" w:hAnsi="宋体" w:cs="宋体"/>
          <w:bCs/>
          <w:szCs w:val="21"/>
        </w:rPr>
        <w:t>10.1</w:t>
      </w:r>
      <w:bookmarkStart w:id="37"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7"/>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10.4响应文件应采用书面形式，电报、传真、电子邮件形式的响应文件概不接受。</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10.5谈判单位提交的响应文件应按谈判文件中提供的响应文件格式编制。</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11.1响应文件应包括下列内容：</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（1）谈判承诺书</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（2）法定代表人身份证明书</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（3）授权委托书</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（4）谈判单位资格证明文件</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（5）报价一览表</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（6）分项价格表</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（7）其他资料（如有）</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11.3谈判单位无论成交与否，其递交的响应文件均不予退还。</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12.报价要求</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12.1</w:t>
      </w:r>
      <w:r>
        <w:rPr>
          <w:rFonts w:hint="eastAsia" w:ascii="宋体" w:hAnsi="宋体" w:cs="宋体"/>
          <w:szCs w:val="21"/>
          <w:lang w:eastAsia="zh-CN"/>
        </w:rPr>
        <w:t>本项目为</w:t>
      </w:r>
      <w:r>
        <w:rPr>
          <w:rFonts w:hint="eastAsia" w:ascii="宋体" w:hAnsi="宋体" w:cs="宋体"/>
          <w:szCs w:val="21"/>
          <w:lang w:val="en-US" w:eastAsia="zh-CN"/>
        </w:rPr>
        <w:t>一轮报价。</w:t>
      </w:r>
      <w:r>
        <w:rPr>
          <w:rFonts w:hint="eastAsia" w:ascii="宋体" w:hAnsi="宋体" w:cs="宋体"/>
          <w:szCs w:val="21"/>
        </w:rPr>
        <w:t>谈判单位应按第六章“响应文件格式”的要求在报价文件中进行报价。谈判单位</w:t>
      </w:r>
      <w:r>
        <w:rPr>
          <w:rFonts w:hint="eastAsia" w:ascii="宋体" w:hAnsi="宋体" w:cs="宋体"/>
          <w:szCs w:val="21"/>
          <w:highlight w:val="none"/>
        </w:rPr>
        <w:t>总</w:t>
      </w:r>
      <w:r>
        <w:rPr>
          <w:rFonts w:hint="eastAsia" w:ascii="宋体" w:hAnsi="宋体" w:cs="宋体"/>
          <w:szCs w:val="21"/>
          <w:highlight w:val="none"/>
          <w:lang w:eastAsia="zh-CN"/>
        </w:rPr>
        <w:t>报</w:t>
      </w:r>
      <w:r>
        <w:rPr>
          <w:rFonts w:hint="eastAsia" w:ascii="宋体" w:hAnsi="宋体" w:cs="宋体"/>
          <w:szCs w:val="21"/>
          <w:highlight w:val="none"/>
        </w:rPr>
        <w:t>价</w:t>
      </w:r>
      <w:r>
        <w:rPr>
          <w:rFonts w:hint="eastAsia" w:ascii="宋体" w:hAnsi="宋体" w:cs="宋体"/>
          <w:szCs w:val="21"/>
        </w:rPr>
        <w:t>不得超过谈判项目预算，不超过谈判项目预算的含税报价方为有效报价，谈判时需明确税费，税率必须符合国家政策法规规定，合同支付时服务单位需开具经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12.4本项目预算见</w:t>
      </w:r>
      <w:r>
        <w:rPr>
          <w:rFonts w:hint="eastAsia" w:ascii="宋体" w:hAnsi="宋体" w:cs="宋体"/>
          <w:b/>
          <w:szCs w:val="21"/>
        </w:rPr>
        <w:t>前附表</w:t>
      </w:r>
      <w:r>
        <w:rPr>
          <w:rFonts w:hint="eastAsia" w:ascii="宋体" w:hAnsi="宋体" w:cs="宋体"/>
          <w:szCs w:val="21"/>
        </w:rPr>
        <w:t>。</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12.6谈判单位递交两份或多份内容不同的报价文件，或在一份报价文件中对同一项目报有两个或多个报价，且未声明哪一个有效的，将被认为是非实质响应而被拒绝。</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FF0000"/>
          <w:szCs w:val="21"/>
        </w:rPr>
      </w:pPr>
      <w:r>
        <w:rPr>
          <w:rFonts w:hint="eastAsia" w:ascii="宋体" w:hAnsi="宋体" w:cs="宋体"/>
          <w:bCs/>
          <w:szCs w:val="21"/>
        </w:rPr>
        <w:t>12.7最低报价不能作为中选的保证。</w:t>
      </w:r>
    </w:p>
    <w:p>
      <w:pPr>
        <w:keepNext w:val="0"/>
        <w:keepLines w:val="0"/>
        <w:pageBreakBefore w:val="0"/>
        <w:tabs>
          <w:tab w:val="left" w:pos="1248"/>
        </w:tabs>
        <w:kinsoku/>
        <w:wordWrap/>
        <w:overflowPunct/>
        <w:topLinePunct w:val="0"/>
        <w:autoSpaceDE/>
        <w:autoSpaceDN/>
        <w:bidi w:val="0"/>
        <w:adjustRightInd w:val="0"/>
        <w:snapToGrid w:val="0"/>
        <w:spacing w:line="400" w:lineRule="exact"/>
        <w:ind w:firstLine="420" w:firstLineChars="200"/>
        <w:textAlignment w:val="auto"/>
        <w:rPr>
          <w:rFonts w:ascii="宋体" w:hAnsi="宋体" w:cs="宋体"/>
        </w:rPr>
      </w:pPr>
      <w:r>
        <w:rPr>
          <w:rFonts w:hint="eastAsia" w:ascii="宋体" w:hAnsi="宋体" w:cs="宋体"/>
          <w:szCs w:val="21"/>
        </w:rPr>
        <w:t>1</w:t>
      </w:r>
      <w:r>
        <w:rPr>
          <w:rFonts w:hint="eastAsia" w:ascii="宋体" w:hAnsi="宋体" w:cs="宋体"/>
          <w:szCs w:val="21"/>
          <w:highlight w:val="none"/>
        </w:rPr>
        <w:t>2.8</w:t>
      </w:r>
      <w:r>
        <w:rPr>
          <w:rFonts w:hint="eastAsia" w:ascii="宋体" w:hAnsi="宋体" w:cs="宋体"/>
          <w:color w:val="000000"/>
          <w:highlight w:val="none"/>
        </w:rPr>
        <w:t>本合同为总价方式，</w:t>
      </w:r>
      <w:r>
        <w:rPr>
          <w:rFonts w:hint="eastAsia" w:ascii="宋体" w:hAnsi="宋体" w:cs="宋体"/>
          <w:color w:val="000000"/>
          <w:szCs w:val="21"/>
          <w:highlight w:val="none"/>
        </w:rPr>
        <w:t>合同价格包括但不限于物资制造前的准备、设计联络（如果有）、设计（如果有）、制造、出厂检验、包装、发货、运输至现场指定地点、装卸、安装/安装督导（如果有）、现场检验及验收、调试（如果有）、向政府机构报检（如果有）、试运行服务（如果有）及质量保证服务、培训（如果有）、售后服务等履行合同标的全过程产生的所有成本和费用以及乙方应承担的一切税费。</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13.响应文件有效期</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14.响应文件的编制</w:t>
      </w:r>
    </w:p>
    <w:p>
      <w:pPr>
        <w:pStyle w:val="356"/>
        <w:keepNext w:val="0"/>
        <w:keepLines w:val="0"/>
        <w:pageBreakBefore w:val="0"/>
        <w:kinsoku/>
        <w:wordWrap/>
        <w:overflowPunct/>
        <w:topLinePunct w:val="0"/>
        <w:autoSpaceDE/>
        <w:autoSpaceDN/>
        <w:bidi w:val="0"/>
        <w:spacing w:line="400" w:lineRule="exact"/>
        <w:ind w:firstLine="420" w:firstLineChars="200"/>
        <w:jc w:val="both"/>
        <w:textAlignment w:val="auto"/>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keepNext w:val="0"/>
        <w:keepLines w:val="0"/>
        <w:pageBreakBefore w:val="0"/>
        <w:kinsoku/>
        <w:wordWrap/>
        <w:overflowPunct/>
        <w:topLinePunct w:val="0"/>
        <w:autoSpaceDE/>
        <w:autoSpaceDN/>
        <w:bidi w:val="0"/>
        <w:spacing w:line="400" w:lineRule="exact"/>
        <w:textAlignment w:val="auto"/>
        <w:outlineLvl w:val="1"/>
        <w:rPr>
          <w:rFonts w:ascii="宋体" w:hAnsi="宋体" w:cs="宋体"/>
          <w:b/>
          <w:bCs/>
          <w:szCs w:val="21"/>
        </w:rPr>
      </w:pPr>
      <w:bookmarkStart w:id="38" w:name="_Toc14891071"/>
      <w:bookmarkStart w:id="39" w:name="_Toc7416"/>
      <w:r>
        <w:rPr>
          <w:rFonts w:hint="eastAsia" w:ascii="宋体" w:hAnsi="宋体" w:cs="宋体"/>
          <w:b/>
          <w:bCs/>
          <w:szCs w:val="21"/>
        </w:rPr>
        <w:t>四、响应文件的递交</w:t>
      </w:r>
      <w:bookmarkEnd w:id="38"/>
      <w:bookmarkEnd w:id="39"/>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bCs/>
          <w:szCs w:val="21"/>
        </w:rPr>
      </w:pPr>
      <w:r>
        <w:rPr>
          <w:rFonts w:hint="eastAsia" w:ascii="宋体" w:hAnsi="宋体" w:cs="宋体"/>
          <w:szCs w:val="21"/>
        </w:rPr>
        <w:t>15.1谈判单位须将响应文件一正两副与电子文件一起密封包装。</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16.响应文件的标记</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4" w:hRule="atLeast"/>
        </w:trPr>
        <w:tc>
          <w:tcPr>
            <w:tcW w:w="7938" w:type="dxa"/>
          </w:tcPr>
          <w:p>
            <w:pPr>
              <w:keepNext w:val="0"/>
              <w:keepLines w:val="0"/>
              <w:pageBreakBefore w:val="0"/>
              <w:kinsoku/>
              <w:wordWrap/>
              <w:overflowPunct/>
              <w:topLinePunct w:val="0"/>
              <w:autoSpaceDE/>
              <w:autoSpaceDN/>
              <w:bidi w:val="0"/>
              <w:spacing w:line="400" w:lineRule="exact"/>
              <w:textAlignment w:val="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keepNext w:val="0"/>
              <w:keepLines w:val="0"/>
              <w:pageBreakBefore w:val="0"/>
              <w:kinsoku/>
              <w:wordWrap/>
              <w:overflowPunct/>
              <w:topLinePunct w:val="0"/>
              <w:autoSpaceDE/>
              <w:autoSpaceDN/>
              <w:bidi w:val="0"/>
              <w:spacing w:line="400" w:lineRule="exact"/>
              <w:textAlignment w:val="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keepNext w:val="0"/>
              <w:keepLines w:val="0"/>
              <w:pageBreakBefore w:val="0"/>
              <w:kinsoku/>
              <w:wordWrap/>
              <w:overflowPunct/>
              <w:topLinePunct w:val="0"/>
              <w:autoSpaceDE/>
              <w:autoSpaceDN/>
              <w:bidi w:val="0"/>
              <w:spacing w:line="400" w:lineRule="exact"/>
              <w:textAlignment w:val="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keepNext w:val="0"/>
              <w:keepLines w:val="0"/>
              <w:pageBreakBefore w:val="0"/>
              <w:kinsoku/>
              <w:wordWrap/>
              <w:overflowPunct/>
              <w:topLinePunct w:val="0"/>
              <w:autoSpaceDE/>
              <w:autoSpaceDN/>
              <w:bidi w:val="0"/>
              <w:spacing w:line="400" w:lineRule="exact"/>
              <w:ind w:firstLine="840" w:firstLineChars="400"/>
              <w:textAlignment w:val="auto"/>
              <w:rPr>
                <w:rFonts w:ascii="宋体" w:hAnsi="宋体" w:cs="宋体"/>
                <w:szCs w:val="21"/>
              </w:rPr>
            </w:pPr>
            <w:r>
              <w:rPr>
                <w:rFonts w:hint="eastAsia" w:ascii="宋体" w:hAnsi="宋体" w:cs="宋体"/>
                <w:bCs/>
                <w:szCs w:val="21"/>
              </w:rPr>
              <w:t>年  月  日</w:t>
            </w:r>
          </w:p>
        </w:tc>
      </w:tr>
    </w:tbl>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17.响应文件的递交</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keepNext w:val="0"/>
        <w:keepLines w:val="0"/>
        <w:pageBreakBefore w:val="0"/>
        <w:kinsoku/>
        <w:wordWrap/>
        <w:overflowPunct/>
        <w:topLinePunct w:val="0"/>
        <w:autoSpaceDE/>
        <w:autoSpaceDN/>
        <w:bidi w:val="0"/>
        <w:spacing w:line="400" w:lineRule="exact"/>
        <w:textAlignment w:val="auto"/>
        <w:outlineLvl w:val="1"/>
        <w:rPr>
          <w:rFonts w:ascii="宋体" w:hAnsi="宋体" w:cs="宋体"/>
          <w:b/>
          <w:bCs/>
          <w:szCs w:val="21"/>
        </w:rPr>
      </w:pPr>
      <w:bookmarkStart w:id="40" w:name="_Toc14891072"/>
      <w:bookmarkStart w:id="41" w:name="_Toc11738"/>
      <w:r>
        <w:rPr>
          <w:rFonts w:hint="eastAsia" w:ascii="宋体" w:hAnsi="宋体" w:cs="宋体"/>
          <w:b/>
          <w:bCs/>
          <w:szCs w:val="21"/>
        </w:rPr>
        <w:t>五、响应文件的评审</w:t>
      </w:r>
      <w:bookmarkEnd w:id="40"/>
      <w:bookmarkEnd w:id="41"/>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keepNext w:val="0"/>
        <w:keepLines w:val="0"/>
        <w:pageBreakBefore w:val="0"/>
        <w:kinsoku/>
        <w:wordWrap/>
        <w:overflowPunct/>
        <w:topLinePunct w:val="0"/>
        <w:autoSpaceDE/>
        <w:autoSpaceDN/>
        <w:bidi w:val="0"/>
        <w:spacing w:line="400" w:lineRule="exact"/>
        <w:textAlignment w:val="auto"/>
        <w:outlineLvl w:val="1"/>
        <w:rPr>
          <w:rFonts w:ascii="宋体" w:hAnsi="宋体" w:cs="宋体"/>
          <w:b/>
          <w:bCs/>
          <w:szCs w:val="21"/>
        </w:rPr>
      </w:pPr>
      <w:bookmarkStart w:id="42" w:name="_Toc5781"/>
      <w:bookmarkStart w:id="43" w:name="_Toc14891073"/>
      <w:r>
        <w:rPr>
          <w:rFonts w:hint="eastAsia" w:ascii="宋体" w:hAnsi="宋体" w:cs="宋体"/>
          <w:b/>
          <w:bCs/>
          <w:szCs w:val="21"/>
        </w:rPr>
        <w:t>六、响应文件的澄清、说明及补正</w:t>
      </w:r>
      <w:bookmarkEnd w:id="42"/>
      <w:bookmarkEnd w:id="43"/>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kern w:val="0"/>
          <w:szCs w:val="21"/>
        </w:rPr>
      </w:pPr>
      <w:r>
        <w:rPr>
          <w:rFonts w:hint="eastAsia" w:ascii="宋体" w:hAnsi="宋体" w:cs="宋体"/>
          <w:b/>
          <w:kern w:val="0"/>
          <w:szCs w:val="21"/>
        </w:rPr>
        <w:t>19.澄清</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kern w:val="0"/>
          <w:szCs w:val="21"/>
        </w:rPr>
      </w:pPr>
      <w:r>
        <w:rPr>
          <w:rFonts w:hint="eastAsia" w:ascii="宋体" w:hAnsi="宋体" w:cs="宋体"/>
          <w:b/>
          <w:kern w:val="0"/>
          <w:szCs w:val="21"/>
        </w:rPr>
        <w:t>20.说明及补正</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kern w:val="0"/>
          <w:szCs w:val="21"/>
        </w:rPr>
      </w:pPr>
      <w:r>
        <w:rPr>
          <w:rFonts w:hint="eastAsia" w:ascii="宋体" w:hAnsi="宋体" w:cs="宋体"/>
          <w:kern w:val="0"/>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szCs w:val="21"/>
        </w:rPr>
      </w:pPr>
      <w:r>
        <w:rPr>
          <w:rFonts w:hint="eastAsia" w:ascii="宋体" w:hAnsi="宋体" w:cs="宋体"/>
          <w:kern w:val="0"/>
          <w:szCs w:val="21"/>
        </w:rPr>
        <w:t>20.3与谈判文件有重大偏离的响应文件将被拒绝。重大偏离指谈判总报价、谈判有效期、供货期明显不能满足谈判文件的要求。这些偏离不允许在响应文件递交截止时间之后修正。</w:t>
      </w:r>
    </w:p>
    <w:p>
      <w:pPr>
        <w:keepNext w:val="0"/>
        <w:keepLines w:val="0"/>
        <w:pageBreakBefore w:val="0"/>
        <w:kinsoku/>
        <w:wordWrap/>
        <w:overflowPunct/>
        <w:topLinePunct w:val="0"/>
        <w:autoSpaceDE/>
        <w:autoSpaceDN/>
        <w:bidi w:val="0"/>
        <w:spacing w:line="400" w:lineRule="exact"/>
        <w:textAlignment w:val="auto"/>
        <w:outlineLvl w:val="1"/>
        <w:rPr>
          <w:rFonts w:ascii="宋体" w:hAnsi="宋体" w:cs="宋体"/>
          <w:b/>
          <w:bCs/>
          <w:szCs w:val="21"/>
        </w:rPr>
      </w:pPr>
      <w:bookmarkStart w:id="44" w:name="_Toc14891074"/>
      <w:bookmarkStart w:id="45" w:name="_Toc14058"/>
      <w:r>
        <w:rPr>
          <w:rFonts w:hint="eastAsia" w:ascii="宋体" w:hAnsi="宋体" w:cs="宋体"/>
          <w:b/>
          <w:bCs/>
          <w:szCs w:val="21"/>
        </w:rPr>
        <w:t>七、中选结果与授予合同</w:t>
      </w:r>
      <w:bookmarkEnd w:id="44"/>
      <w:bookmarkEnd w:id="45"/>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21.中选信息的公布</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6"/>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Ansi="宋体" w:cs="宋体"/>
          <w:b/>
          <w:bCs/>
        </w:rPr>
      </w:pPr>
      <w:r>
        <w:rPr>
          <w:rFonts w:hint="eastAsia" w:hAnsi="宋体" w:cs="宋体"/>
          <w:b/>
          <w:bCs/>
        </w:rPr>
        <w:t>22.评审结果异议</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b/>
        </w:rPr>
      </w:pPr>
      <w:r>
        <w:rPr>
          <w:rFonts w:hint="eastAsia" w:hAnsi="宋体" w:cs="宋体"/>
          <w:kern w:val="0"/>
        </w:rPr>
        <w:t>22.1谈判单位对评审结果有异议的，应当在结果公示期间提出。</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23.中选通知</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24.签订合同</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24.1谈判文件、中选单位的响应文件及其补充的文件等均为签订合同的依据。</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24.2中选单位应当在中选通知书发出后及时与采购单位签订合同。</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24.3中选单位应当按照合同约定履行义务。</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25.纪律和监督</w:t>
      </w:r>
    </w:p>
    <w:p>
      <w:pPr>
        <w:keepNext w:val="0"/>
        <w:keepLines w:val="0"/>
        <w:pageBreakBefore w:val="0"/>
        <w:kinsoku/>
        <w:wordWrap/>
        <w:overflowPunct/>
        <w:topLinePunct w:val="0"/>
        <w:autoSpaceDE/>
        <w:autoSpaceDN/>
        <w:bidi w:val="0"/>
        <w:spacing w:line="400" w:lineRule="exact"/>
        <w:ind w:firstLine="422" w:firstLineChars="200"/>
        <w:textAlignment w:val="auto"/>
        <w:rPr>
          <w:rFonts w:ascii="宋体" w:hAnsi="宋体" w:cs="宋体"/>
          <w:b/>
          <w:bCs/>
          <w:szCs w:val="21"/>
        </w:rPr>
      </w:pPr>
      <w:r>
        <w:rPr>
          <w:rFonts w:hint="eastAsia" w:ascii="宋体" w:hAnsi="宋体" w:cs="宋体"/>
          <w:b/>
          <w:bCs/>
          <w:szCs w:val="21"/>
        </w:rPr>
        <w:t>25.1对采购单位的纪律要求</w:t>
      </w:r>
    </w:p>
    <w:p>
      <w:pPr>
        <w:pStyle w:val="356"/>
        <w:keepNext w:val="0"/>
        <w:keepLines w:val="0"/>
        <w:pageBreakBefore w:val="0"/>
        <w:kinsoku/>
        <w:wordWrap/>
        <w:overflowPunct/>
        <w:topLinePunct w:val="0"/>
        <w:autoSpaceDE/>
        <w:autoSpaceDN/>
        <w:bidi w:val="0"/>
        <w:spacing w:line="400" w:lineRule="exact"/>
        <w:ind w:firstLine="420" w:firstLineChars="200"/>
        <w:jc w:val="both"/>
        <w:textAlignment w:val="auto"/>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400" w:lineRule="exact"/>
        <w:ind w:firstLine="422" w:firstLineChars="200"/>
        <w:textAlignment w:val="auto"/>
        <w:rPr>
          <w:rFonts w:ascii="宋体" w:hAnsi="宋体" w:cs="宋体"/>
          <w:b/>
          <w:bCs/>
          <w:szCs w:val="21"/>
        </w:rPr>
      </w:pPr>
      <w:r>
        <w:rPr>
          <w:rFonts w:hint="eastAsia" w:ascii="宋体" w:hAnsi="宋体" w:cs="宋体"/>
          <w:b/>
          <w:bCs/>
          <w:szCs w:val="21"/>
        </w:rPr>
        <w:t>25.2对谈判单位的纪律要求</w:t>
      </w:r>
    </w:p>
    <w:p>
      <w:pPr>
        <w:pStyle w:val="356"/>
        <w:keepNext w:val="0"/>
        <w:keepLines w:val="0"/>
        <w:pageBreakBefore w:val="0"/>
        <w:kinsoku/>
        <w:wordWrap/>
        <w:overflowPunct/>
        <w:topLinePunct w:val="0"/>
        <w:autoSpaceDE/>
        <w:autoSpaceDN/>
        <w:bidi w:val="0"/>
        <w:spacing w:line="400" w:lineRule="exact"/>
        <w:ind w:firstLine="420" w:firstLineChars="200"/>
        <w:jc w:val="both"/>
        <w:textAlignment w:val="auto"/>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400" w:lineRule="exact"/>
        <w:ind w:firstLine="422" w:firstLineChars="200"/>
        <w:textAlignment w:val="auto"/>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keepNext w:val="0"/>
        <w:keepLines w:val="0"/>
        <w:pageBreakBefore w:val="0"/>
        <w:kinsoku/>
        <w:wordWrap/>
        <w:overflowPunct/>
        <w:topLinePunct w:val="0"/>
        <w:autoSpaceDE/>
        <w:autoSpaceDN/>
        <w:bidi w:val="0"/>
        <w:spacing w:line="400" w:lineRule="exact"/>
        <w:ind w:firstLine="420" w:firstLineChars="200"/>
        <w:jc w:val="both"/>
        <w:textAlignment w:val="auto"/>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6" w:name="page32"/>
      <w:bookmarkEnd w:id="46"/>
      <w:r>
        <w:rPr>
          <w:rFonts w:hint="eastAsia" w:hAnsi="宋体" w:cs="宋体"/>
          <w:sz w:val="21"/>
          <w:szCs w:val="21"/>
        </w:rPr>
        <w:t>三章“评审办法”没有规定的评审因素和标准进行评审。</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400" w:lineRule="exact"/>
        <w:ind w:firstLine="422" w:firstLineChars="200"/>
        <w:textAlignment w:val="auto"/>
        <w:rPr>
          <w:rFonts w:ascii="宋体" w:hAnsi="宋体" w:cs="宋体"/>
          <w:b/>
          <w:bCs/>
          <w:szCs w:val="21"/>
        </w:rPr>
      </w:pPr>
      <w:r>
        <w:rPr>
          <w:rFonts w:hint="eastAsia" w:ascii="宋体" w:hAnsi="宋体" w:cs="宋体"/>
          <w:b/>
          <w:bCs/>
          <w:szCs w:val="21"/>
        </w:rPr>
        <w:t>25.4对与评审活动有关的工作人员的纪律要求</w:t>
      </w:r>
    </w:p>
    <w:p>
      <w:pPr>
        <w:pStyle w:val="26"/>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keepNext w:val="0"/>
        <w:keepLines w:val="0"/>
        <w:pageBreakBefore w:val="0"/>
        <w:kinsoku/>
        <w:wordWrap/>
        <w:overflowPunct/>
        <w:topLinePunct w:val="0"/>
        <w:autoSpaceDE/>
        <w:autoSpaceDN/>
        <w:bidi w:val="0"/>
        <w:spacing w:line="400" w:lineRule="exact"/>
        <w:textAlignment w:val="auto"/>
        <w:outlineLvl w:val="1"/>
        <w:rPr>
          <w:rFonts w:ascii="宋体" w:hAnsi="宋体" w:cs="宋体"/>
          <w:b/>
          <w:bCs/>
          <w:szCs w:val="21"/>
        </w:rPr>
      </w:pPr>
      <w:bookmarkStart w:id="47" w:name="_Toc14891075"/>
      <w:bookmarkStart w:id="48" w:name="_Toc75"/>
      <w:r>
        <w:rPr>
          <w:rFonts w:hint="eastAsia" w:ascii="宋体" w:hAnsi="宋体" w:cs="宋体"/>
          <w:b/>
          <w:bCs/>
          <w:szCs w:val="21"/>
        </w:rPr>
        <w:t>八、其他</w:t>
      </w:r>
      <w:bookmarkEnd w:id="47"/>
      <w:bookmarkEnd w:id="48"/>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2"/>
        <w:spacing w:line="360" w:lineRule="auto"/>
        <w:ind w:left="0" w:leftChars="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中选单位中选后有下列情形之一的，责令限期改正，情节严重的，列入不良行为记录名单，禁止其1至3年内参加长沙市轨道交通运营有限公司招标采购活动，并予以通报：</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1.成交后无正当理由不与采购人签订合同的；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2.未按照采购文件确定的事项签订采购合同，或者与采购人另行订立背离合同实质性内容的协议的；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3.拒绝履行合同义务的；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4.违反法律、规章、规范性文件规定的。</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szCs w:val="21"/>
        </w:rPr>
      </w:pPr>
    </w:p>
    <w:p>
      <w:pPr>
        <w:adjustRightInd w:val="0"/>
        <w:snapToGrid w:val="0"/>
        <w:spacing w:line="360" w:lineRule="auto"/>
        <w:ind w:left="964" w:hanging="964" w:hangingChars="300"/>
        <w:jc w:val="center"/>
        <w:rPr>
          <w:rFonts w:ascii="宋体" w:hAnsi="宋体"/>
          <w:b/>
          <w:sz w:val="32"/>
          <w:szCs w:val="32"/>
        </w:rPr>
        <w:sectPr>
          <w:footerReference r:id="rId4" w:type="default"/>
          <w:pgSz w:w="11906" w:h="16838"/>
          <w:pgMar w:top="1134" w:right="1134" w:bottom="1134" w:left="1417" w:header="851" w:footer="851" w:gutter="0"/>
          <w:pgNumType w:fmt="decimal"/>
          <w:cols w:space="0" w:num="1"/>
          <w:rtlGutter w:val="0"/>
          <w:docGrid w:linePitch="312" w:charSpace="0"/>
        </w:sectPr>
      </w:pPr>
    </w:p>
    <w:p>
      <w:pPr>
        <w:adjustRightInd w:val="0"/>
        <w:snapToGrid w:val="0"/>
        <w:spacing w:line="360" w:lineRule="auto"/>
        <w:rPr>
          <w:rFonts w:ascii="宋体" w:hAnsi="宋体"/>
        </w:rPr>
      </w:pPr>
      <w:r>
        <w:rPr>
          <w:rFonts w:hint="eastAsia" w:ascii="宋体" w:hAnsi="宋体" w:cs="宋体"/>
          <w:b/>
          <w:bCs/>
          <w:szCs w:val="21"/>
        </w:rPr>
        <w:t>附件：采购代理服务费收费标准</w:t>
      </w:r>
    </w:p>
    <w:p>
      <w:pPr>
        <w:pStyle w:val="19"/>
      </w:pP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采购代理服务费收费参照汇率表</w:t>
      </w:r>
    </w:p>
    <w:tbl>
      <w:tblPr>
        <w:tblStyle w:val="48"/>
        <w:tblpPr w:leftFromText="180" w:rightFromText="180" w:vertAnchor="text" w:horzAnchor="page" w:tblpXSpec="center"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Cs w:val="21"/>
              </w:rPr>
            </w:pPr>
            <w:r>
              <w:rPr>
                <w:rFonts w:hint="eastAsia" w:ascii="宋体" w:hAnsi="宋体"/>
                <w:szCs w:val="21"/>
              </w:rPr>
              <w:t>汇率</w:t>
            </w:r>
          </w:p>
          <w:p>
            <w:pPr>
              <w:adjustRightInd w:val="0"/>
              <w:snapToGrid w:val="0"/>
              <w:rPr>
                <w:rFonts w:ascii="宋体" w:hAnsi="宋体"/>
                <w:szCs w:val="21"/>
              </w:rPr>
            </w:pPr>
            <w:r>
              <w:rPr>
                <w:rFonts w:hint="eastAsia" w:ascii="宋体" w:hAnsi="宋体"/>
                <w:szCs w:val="21"/>
              </w:rPr>
              <w:t>中</w:t>
            </w:r>
            <w:r>
              <w:rPr>
                <w:rFonts w:ascii="宋体" w:hAnsi="宋体"/>
                <w:szCs w:val="21"/>
              </w:rPr>
              <w:t>选金额</w:t>
            </w:r>
          </w:p>
        </w:tc>
        <w:tc>
          <w:tcPr>
            <w:tcW w:w="1957"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货物</w:t>
            </w:r>
            <w:r>
              <w:rPr>
                <w:rFonts w:ascii="宋体" w:hAnsi="宋体"/>
                <w:szCs w:val="21"/>
              </w:rPr>
              <w:t>采购</w:t>
            </w:r>
          </w:p>
        </w:tc>
        <w:tc>
          <w:tcPr>
            <w:tcW w:w="2325"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服务</w:t>
            </w:r>
            <w:r>
              <w:rPr>
                <w:rFonts w:ascii="宋体" w:hAnsi="宋体"/>
                <w:szCs w:val="21"/>
              </w:rPr>
              <w:t>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工程</w:t>
            </w:r>
            <w:r>
              <w:rPr>
                <w:rFonts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100万</w:t>
            </w:r>
            <w:r>
              <w:rPr>
                <w:rFonts w:ascii="宋体" w:hAnsi="宋体"/>
                <w:szCs w:val="21"/>
              </w:rPr>
              <w:t>元以下</w:t>
            </w:r>
          </w:p>
        </w:tc>
        <w:tc>
          <w:tcPr>
            <w:tcW w:w="1957" w:type="dxa"/>
            <w:vAlign w:val="center"/>
          </w:tcPr>
          <w:p>
            <w:pPr>
              <w:adjustRightInd w:val="0"/>
              <w:snapToGrid w:val="0"/>
              <w:jc w:val="center"/>
              <w:rPr>
                <w:rFonts w:ascii="宋体" w:hAnsi="宋体"/>
                <w:szCs w:val="21"/>
              </w:rPr>
            </w:pPr>
            <w:r>
              <w:rPr>
                <w:rFonts w:hint="eastAsia" w:ascii="宋体" w:hAnsi="宋体"/>
                <w:szCs w:val="21"/>
              </w:rPr>
              <w:t>1.5%</w:t>
            </w:r>
          </w:p>
        </w:tc>
        <w:tc>
          <w:tcPr>
            <w:tcW w:w="2325" w:type="dxa"/>
            <w:vAlign w:val="center"/>
          </w:tcPr>
          <w:p>
            <w:pPr>
              <w:adjustRightInd w:val="0"/>
              <w:snapToGrid w:val="0"/>
              <w:jc w:val="center"/>
              <w:rPr>
                <w:rFonts w:ascii="宋体" w:hAnsi="宋体"/>
                <w:szCs w:val="21"/>
              </w:rPr>
            </w:pPr>
            <w:r>
              <w:rPr>
                <w:rFonts w:hint="eastAsia" w:ascii="宋体" w:hAnsi="宋体"/>
                <w:szCs w:val="21"/>
              </w:rPr>
              <w:t>1.5%</w:t>
            </w:r>
          </w:p>
        </w:tc>
        <w:tc>
          <w:tcPr>
            <w:tcW w:w="2100"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1.0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100～400万</w:t>
            </w:r>
            <w:r>
              <w:rPr>
                <w:rFonts w:ascii="宋体" w:hAnsi="宋体"/>
                <w:szCs w:val="21"/>
              </w:rPr>
              <w:t>元</w:t>
            </w:r>
          </w:p>
        </w:tc>
        <w:tc>
          <w:tcPr>
            <w:tcW w:w="1957" w:type="dxa"/>
            <w:vAlign w:val="center"/>
          </w:tcPr>
          <w:p>
            <w:pPr>
              <w:adjustRightInd w:val="0"/>
              <w:snapToGrid w:val="0"/>
              <w:jc w:val="center"/>
              <w:rPr>
                <w:rFonts w:ascii="宋体" w:hAnsi="宋体"/>
                <w:szCs w:val="21"/>
              </w:rPr>
            </w:pPr>
            <w:r>
              <w:rPr>
                <w:rFonts w:hint="eastAsia" w:ascii="宋体" w:hAnsi="宋体"/>
                <w:szCs w:val="21"/>
              </w:rPr>
              <w:t>1.1%</w:t>
            </w:r>
          </w:p>
        </w:tc>
        <w:tc>
          <w:tcPr>
            <w:tcW w:w="2325" w:type="dxa"/>
            <w:vAlign w:val="center"/>
          </w:tcPr>
          <w:p>
            <w:pPr>
              <w:adjustRightInd w:val="0"/>
              <w:snapToGrid w:val="0"/>
              <w:jc w:val="center"/>
              <w:rPr>
                <w:rFonts w:ascii="宋体" w:hAnsi="宋体"/>
                <w:szCs w:val="21"/>
              </w:rPr>
            </w:pPr>
            <w:r>
              <w:rPr>
                <w:rFonts w:hint="eastAsia" w:ascii="宋体" w:hAnsi="宋体"/>
                <w:szCs w:val="21"/>
              </w:rPr>
              <w:t>0.8%</w:t>
            </w:r>
          </w:p>
        </w:tc>
        <w:tc>
          <w:tcPr>
            <w:tcW w:w="2100"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Cs w:val="21"/>
              </w:rPr>
            </w:pPr>
            <w:r>
              <w:rPr>
                <w:rFonts w:hint="eastAsia" w:ascii="宋体" w:hAnsi="宋体"/>
                <w:szCs w:val="21"/>
              </w:rPr>
              <w:t>采购代理</w:t>
            </w:r>
            <w:r>
              <w:rPr>
                <w:rFonts w:ascii="宋体" w:hAnsi="宋体"/>
                <w:szCs w:val="21"/>
              </w:rPr>
              <w:t>服务费的收费标准为：以中选价为基数，按《</w:t>
            </w:r>
            <w:r>
              <w:rPr>
                <w:rFonts w:hint="eastAsia" w:ascii="宋体" w:hAnsi="宋体"/>
                <w:szCs w:val="21"/>
              </w:rPr>
              <w:t>采购</w:t>
            </w:r>
            <w:r>
              <w:rPr>
                <w:rFonts w:ascii="宋体" w:hAnsi="宋体"/>
                <w:szCs w:val="21"/>
              </w:rPr>
              <w:t>代理服务</w:t>
            </w:r>
            <w:r>
              <w:rPr>
                <w:rFonts w:hint="eastAsia" w:ascii="宋体" w:hAnsi="宋体"/>
                <w:szCs w:val="21"/>
              </w:rPr>
              <w:t>费</w:t>
            </w:r>
            <w:r>
              <w:rPr>
                <w:rFonts w:ascii="宋体" w:hAnsi="宋体"/>
                <w:szCs w:val="21"/>
              </w:rPr>
              <w:t>收费参照汇率表》</w:t>
            </w:r>
            <w:r>
              <w:rPr>
                <w:rFonts w:hint="eastAsia" w:ascii="宋体" w:hAnsi="宋体"/>
                <w:szCs w:val="21"/>
              </w:rPr>
              <w:t>进行</w:t>
            </w:r>
            <w:r>
              <w:rPr>
                <w:rFonts w:ascii="宋体" w:hAnsi="宋体"/>
                <w:szCs w:val="21"/>
              </w:rPr>
              <w:t>计算后，向中选单位收取。服务</w:t>
            </w:r>
            <w:r>
              <w:rPr>
                <w:rFonts w:hint="eastAsia" w:ascii="宋体" w:hAnsi="宋体"/>
                <w:szCs w:val="21"/>
              </w:rPr>
              <w:t>费</w:t>
            </w:r>
            <w:r>
              <w:rPr>
                <w:rFonts w:ascii="宋体" w:hAnsi="宋体"/>
                <w:szCs w:val="21"/>
              </w:rPr>
              <w:t>超过</w:t>
            </w:r>
            <w:r>
              <w:rPr>
                <w:rFonts w:hint="eastAsia" w:ascii="宋体" w:hAnsi="宋体"/>
                <w:szCs w:val="21"/>
              </w:rPr>
              <w:t>2万</w:t>
            </w:r>
            <w:r>
              <w:rPr>
                <w:rFonts w:ascii="宋体" w:hAnsi="宋体"/>
                <w:szCs w:val="21"/>
              </w:rPr>
              <w:t>元的，按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p>
        </w:tc>
      </w:tr>
    </w:tbl>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134" w:right="1134" w:bottom="1134" w:left="1417" w:header="851" w:footer="851" w:gutter="0"/>
          <w:pgNumType w:fmt="decimal"/>
          <w:cols w:space="0" w:num="1"/>
          <w:rtlGutter w:val="0"/>
          <w:docGrid w:linePitch="312" w:charSpace="0"/>
        </w:sectPr>
      </w:pPr>
      <w:r>
        <w:rPr>
          <w:rFonts w:hint="eastAsia" w:ascii="宋体" w:hAnsi="宋体" w:cs="宋体"/>
          <w:szCs w:val="21"/>
        </w:rPr>
        <w:t>本项目采购代理服务费为2万元</w:t>
      </w:r>
    </w:p>
    <w:p>
      <w:pPr>
        <w:spacing w:after="240"/>
        <w:jc w:val="center"/>
        <w:outlineLvl w:val="0"/>
        <w:rPr>
          <w:rFonts w:ascii="宋体" w:hAnsi="宋体" w:cs="宋体"/>
          <w:b/>
          <w:bCs/>
          <w:sz w:val="32"/>
          <w:szCs w:val="32"/>
        </w:rPr>
      </w:pPr>
      <w:bookmarkStart w:id="49" w:name="_Toc31115"/>
      <w:bookmarkStart w:id="50" w:name="_Toc5567"/>
      <w:bookmarkStart w:id="51" w:name="_Toc14139"/>
      <w:bookmarkStart w:id="52" w:name="_Toc12098"/>
      <w:bookmarkStart w:id="53" w:name="_Toc28427"/>
      <w:bookmarkStart w:id="54" w:name="_Toc4275"/>
      <w:r>
        <w:rPr>
          <w:rFonts w:hint="eastAsia" w:ascii="宋体" w:hAnsi="宋体" w:cs="宋体"/>
          <w:b/>
          <w:bCs/>
          <w:sz w:val="32"/>
          <w:szCs w:val="32"/>
        </w:rPr>
        <w:t>第三章  评审办法及标准</w:t>
      </w:r>
      <w:bookmarkEnd w:id="49"/>
      <w:bookmarkEnd w:id="50"/>
      <w:bookmarkEnd w:id="51"/>
      <w:bookmarkEnd w:id="52"/>
      <w:bookmarkEnd w:id="53"/>
      <w:bookmarkEnd w:id="54"/>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w:t>
      </w:r>
      <w:r>
        <w:rPr>
          <w:rFonts w:ascii="宋体" w:hAnsi="宋体" w:cs="宋体"/>
          <w:bCs/>
          <w:szCs w:val="21"/>
        </w:rPr>
        <w:t>1</w:t>
      </w:r>
      <w:r>
        <w:rPr>
          <w:rFonts w:hint="eastAsia" w:ascii="宋体" w:hAnsi="宋体" w:cs="宋体"/>
          <w:bCs/>
          <w:szCs w:val="21"/>
        </w:rPr>
        <w:t>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ascii="宋体" w:hAnsi="宋体" w:cs="宋体"/>
          <w:bCs/>
          <w:szCs w:val="21"/>
        </w:rPr>
        <w:t>2.2</w:t>
      </w:r>
      <w:r>
        <w:rPr>
          <w:rFonts w:hint="eastAsia" w:ascii="宋体" w:hAnsi="宋体" w:cs="宋体"/>
          <w:bCs/>
          <w:szCs w:val="21"/>
        </w:rPr>
        <w:t>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w:t>
      </w:r>
      <w:r>
        <w:rPr>
          <w:rFonts w:hint="eastAsia" w:ascii="宋体" w:hAnsi="宋体" w:cs="宋体"/>
          <w:bCs/>
          <w:szCs w:val="21"/>
        </w:rPr>
        <w:t>身份验证阶段</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w:t>
      </w:r>
      <w:r>
        <w:rPr>
          <w:rFonts w:hint="eastAsia" w:ascii="宋体" w:hAnsi="宋体" w:cs="宋体"/>
          <w:bCs/>
          <w:szCs w:val="21"/>
        </w:rPr>
        <w:t>.1采购单位按本文件前附表内规定的响应文件的谈判现场验证要求，对参与谈判的单位代表身份进行验证。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ascii="宋体" w:hAnsi="宋体" w:cs="宋体"/>
          <w:bCs/>
          <w:szCs w:val="21"/>
        </w:rPr>
        <w:t>3.1</w:t>
      </w:r>
      <w:r>
        <w:rPr>
          <w:rFonts w:hint="eastAsia" w:ascii="宋体" w:hAnsi="宋体" w:cs="宋体"/>
          <w:bCs/>
          <w:szCs w:val="21"/>
        </w:rPr>
        <w:t>.2参与谈判的代表身份经验证不合格的，视为无效响应，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唱价阶段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.2谈判单位法定代表人或授权委托人、现场监督员、记录人等有关人员在唱价记录表上签字确认，谈判单位对本阶段有异议的应当场提出，采购人当场作出答复，并记录在案，未提出的，视为无异议。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ascii="宋体" w:hAnsi="宋体" w:cs="宋体"/>
          <w:b/>
          <w:szCs w:val="21"/>
        </w:rPr>
        <w:t>4</w:t>
      </w:r>
      <w:r>
        <w:rPr>
          <w:rFonts w:hint="eastAsia" w:ascii="宋体" w:hAnsi="宋体" w:cs="宋体"/>
          <w:b/>
          <w:szCs w:val="21"/>
        </w:rPr>
        <w:t>.符合性审查阶段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w:t>
      </w:r>
      <w:bookmarkStart w:id="55" w:name="_Hlk76387758"/>
      <w:r>
        <w:rPr>
          <w:rFonts w:hint="eastAsia" w:ascii="宋体" w:hAnsi="宋体" w:cs="宋体"/>
          <w:szCs w:val="21"/>
        </w:rPr>
        <w:t>，资格审查以谈判单位递交的</w:t>
      </w:r>
      <w:r>
        <w:t>相关资料</w:t>
      </w:r>
      <w:r>
        <w:rPr>
          <w:rFonts w:hint="eastAsia" w:ascii="宋体" w:hAnsi="宋体" w:cs="宋体"/>
          <w:szCs w:val="21"/>
        </w:rPr>
        <w:t>为准。</w:t>
      </w:r>
      <w:bookmarkEnd w:id="55"/>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cs="宋体"/>
          <w:kern w:val="0"/>
          <w:szCs w:val="21"/>
          <w:highlight w:val="none"/>
        </w:rPr>
        <w:t>谈判总报价</w:t>
      </w:r>
      <w:r>
        <w:rPr>
          <w:rFonts w:hint="eastAsia" w:ascii="宋体" w:hAnsi="宋体" w:cs="宋体"/>
          <w:kern w:val="0"/>
          <w:szCs w:val="21"/>
        </w:rPr>
        <w:t>超过</w:t>
      </w:r>
      <w:r>
        <w:rPr>
          <w:rFonts w:hint="eastAsia" w:ascii="宋体" w:hAnsi="宋体"/>
          <w:szCs w:val="21"/>
        </w:rPr>
        <w:t>谈判预算的</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ascii="宋体" w:hAnsi="宋体" w:cs="宋体"/>
          <w:b/>
          <w:szCs w:val="21"/>
        </w:rPr>
        <w:t>5</w:t>
      </w:r>
      <w:r>
        <w:rPr>
          <w:rFonts w:hint="eastAsia" w:ascii="宋体" w:hAnsi="宋体" w:cs="宋体"/>
          <w:b/>
          <w:szCs w:val="21"/>
        </w:rPr>
        <w:t>.</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ascii="宋体" w:hAnsi="宋体" w:cs="宋体"/>
          <w:kern w:val="0"/>
          <w:szCs w:val="21"/>
        </w:rPr>
        <w:t>5</w:t>
      </w:r>
      <w:r>
        <w:rPr>
          <w:rFonts w:hint="eastAsia" w:ascii="宋体" w:hAnsi="宋体" w:cs="宋体"/>
          <w:kern w:val="0"/>
          <w:szCs w:val="21"/>
        </w:rPr>
        <w:t>.1谈判评审小组应按以下要求对经符合性审查合格的谈判单位进行详细评审：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w:t>
      </w:r>
      <w:r>
        <w:rPr>
          <w:rFonts w:hint="eastAsia" w:ascii="宋体" w:hAnsi="宋体" w:cs="宋体"/>
          <w:b/>
          <w:bCs/>
          <w:kern w:val="0"/>
          <w:szCs w:val="21"/>
        </w:rPr>
        <w:t>谈判总报价</w:t>
      </w:r>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ascii="宋体" w:hAnsi="宋体" w:cs="宋体"/>
          <w:b/>
          <w:bCs/>
          <w:szCs w:val="21"/>
        </w:rPr>
        <w:t>6</w:t>
      </w:r>
      <w:r>
        <w:rPr>
          <w:rFonts w:hint="eastAsia" w:ascii="宋体" w:hAnsi="宋体" w:cs="宋体"/>
          <w:b/>
          <w:bCs/>
          <w:szCs w:val="21"/>
        </w:rPr>
        <w:t>.推荐中选单位</w:t>
      </w:r>
    </w:p>
    <w:p>
      <w:pPr>
        <w:widowControl/>
        <w:adjustRightInd w:val="0"/>
        <w:snapToGrid w:val="0"/>
        <w:spacing w:line="360" w:lineRule="auto"/>
        <w:ind w:firstLine="420" w:firstLineChars="200"/>
        <w:rPr>
          <w:rFonts w:ascii="宋体" w:hAnsi="宋体" w:cs="宋体"/>
          <w:kern w:val="0"/>
          <w:szCs w:val="21"/>
        </w:rPr>
      </w:pPr>
      <w:r>
        <w:rPr>
          <w:rFonts w:ascii="宋体" w:hAnsi="宋体" w:cs="宋体"/>
          <w:bCs/>
          <w:szCs w:val="21"/>
        </w:rPr>
        <w:t>6</w:t>
      </w:r>
      <w:r>
        <w:rPr>
          <w:rFonts w:hint="eastAsia" w:ascii="宋体" w:hAnsi="宋体" w:cs="宋体"/>
          <w:bCs/>
          <w:szCs w:val="21"/>
        </w:rPr>
        <w:t>.1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ascii="宋体" w:hAnsi="宋体" w:cs="宋体"/>
          <w:kern w:val="0"/>
          <w:szCs w:val="21"/>
        </w:rPr>
        <w:t>6</w:t>
      </w:r>
      <w:r>
        <w:rPr>
          <w:rFonts w:hint="eastAsia" w:ascii="宋体" w:hAnsi="宋体" w:cs="宋体"/>
          <w:kern w:val="0"/>
          <w:szCs w:val="21"/>
        </w:rPr>
        <w:t>.2全部评审结束后，若出现报价得分相同的情形，则采用现场抽签方式确定中选单位。</w:t>
      </w:r>
    </w:p>
    <w:p>
      <w:pPr>
        <w:rPr>
          <w:rFonts w:ascii="宋体" w:hAnsi="宋体"/>
          <w:bCs/>
          <w:szCs w:val="21"/>
        </w:rPr>
        <w:sectPr>
          <w:pgSz w:w="11906" w:h="16838"/>
          <w:pgMar w:top="1134" w:right="1134" w:bottom="1134" w:left="1417" w:header="851" w:footer="851" w:gutter="0"/>
          <w:pgNumType w:fmt="decimal"/>
          <w:cols w:space="0" w:num="1"/>
          <w:rtlGutter w:val="0"/>
          <w:docGrid w:linePitch="312" w:charSpace="0"/>
        </w:sectPr>
      </w:pPr>
      <w:r>
        <w:rPr>
          <w:rFonts w:hint="eastAsia" w:ascii="宋体" w:hAnsi="宋体" w:cs="宋体"/>
          <w:kern w:val="0"/>
          <w:szCs w:val="21"/>
        </w:rPr>
        <w:br w:type="page"/>
      </w:r>
    </w:p>
    <w:p>
      <w:pPr>
        <w:numPr>
          <w:ilvl w:val="0"/>
          <w:numId w:val="0"/>
        </w:numPr>
        <w:spacing w:after="240"/>
        <w:jc w:val="center"/>
        <w:outlineLvl w:val="0"/>
        <w:rPr>
          <w:rFonts w:hint="default" w:ascii="宋体" w:hAnsi="宋体" w:eastAsia="宋体" w:cs="宋体"/>
          <w:b/>
          <w:bCs/>
          <w:sz w:val="32"/>
          <w:szCs w:val="32"/>
          <w:lang w:val="en-US" w:eastAsia="zh-CN"/>
        </w:rPr>
      </w:pPr>
      <w:bookmarkStart w:id="56" w:name="_Toc17997"/>
      <w:bookmarkStart w:id="57" w:name="_Toc14369"/>
      <w:bookmarkStart w:id="58" w:name="_Toc14891077"/>
      <w:bookmarkStart w:id="59" w:name="_Toc23442"/>
      <w:bookmarkStart w:id="60" w:name="_Toc24870"/>
      <w:bookmarkStart w:id="61" w:name="_Toc17562"/>
      <w:bookmarkStart w:id="62" w:name="_Toc25248"/>
      <w:r>
        <w:rPr>
          <w:rFonts w:hint="eastAsia" w:ascii="宋体" w:hAnsi="宋体" w:cs="宋体"/>
          <w:b/>
          <w:bCs/>
          <w:sz w:val="32"/>
          <w:szCs w:val="32"/>
          <w:lang w:val="en-US" w:eastAsia="zh-CN"/>
        </w:rPr>
        <w:t>第四章</w:t>
      </w:r>
      <w:r>
        <w:rPr>
          <w:rFonts w:hint="eastAsia" w:ascii="宋体" w:hAnsi="宋体" w:cs="宋体"/>
          <w:b/>
          <w:bCs/>
          <w:sz w:val="32"/>
          <w:szCs w:val="32"/>
        </w:rPr>
        <w:t xml:space="preserve">  用户需求书</w:t>
      </w:r>
      <w:bookmarkEnd w:id="56"/>
      <w:bookmarkEnd w:id="57"/>
      <w:bookmarkEnd w:id="58"/>
      <w:bookmarkEnd w:id="59"/>
      <w:bookmarkEnd w:id="60"/>
      <w:bookmarkEnd w:id="61"/>
      <w:r>
        <w:rPr>
          <w:rFonts w:hint="eastAsia" w:ascii="宋体" w:hAnsi="宋体" w:cs="宋体"/>
          <w:b/>
          <w:bCs/>
          <w:sz w:val="32"/>
          <w:szCs w:val="32"/>
          <w:lang w:val="en-US" w:eastAsia="zh-CN"/>
        </w:rPr>
        <w:t>(另册)</w:t>
      </w:r>
      <w:bookmarkEnd w:id="62"/>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outlineLvl w:val="9"/>
        <w:rPr>
          <w:rFonts w:hint="eastAsia" w:ascii="宋体" w:hAnsi="宋体" w:eastAsia="宋体" w:cs="宋体"/>
          <w:color w:val="000000"/>
          <w:kern w:val="0"/>
          <w:sz w:val="21"/>
          <w:szCs w:val="21"/>
          <w:highlight w:val="none"/>
          <w:lang w:val="en-US" w:eastAsia="zh-CN"/>
        </w:rPr>
      </w:pP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outlineLvl w:val="9"/>
        <w:rPr>
          <w:rFonts w:hint="eastAsia" w:ascii="宋体" w:hAnsi="宋体" w:eastAsia="宋体" w:cs="宋体"/>
          <w:color w:val="000000"/>
          <w:kern w:val="0"/>
          <w:sz w:val="21"/>
          <w:szCs w:val="21"/>
          <w:highlight w:val="none"/>
          <w:lang w:val="en-US" w:eastAsia="zh-CN"/>
        </w:rPr>
        <w:sectPr>
          <w:headerReference r:id="rId6" w:type="default"/>
          <w:footerReference r:id="rId7" w:type="default"/>
          <w:pgSz w:w="11850" w:h="16783"/>
          <w:pgMar w:top="1134" w:right="1134" w:bottom="1134" w:left="1417" w:header="851" w:footer="992" w:gutter="0"/>
          <w:pgNumType w:fmt="decimal"/>
          <w:cols w:space="0" w:num="1"/>
          <w:rtlGutter w:val="0"/>
          <w:docGrid w:type="lines" w:linePitch="312" w:charSpace="0"/>
        </w:sectPr>
      </w:pPr>
      <w:bookmarkStart w:id="63" w:name="_Toc13521"/>
      <w:bookmarkStart w:id="64" w:name="_Toc17441"/>
      <w:bookmarkStart w:id="65" w:name="_Toc22262"/>
      <w:bookmarkStart w:id="66" w:name="_Toc14891078"/>
    </w:p>
    <w:p>
      <w:pPr>
        <w:numPr>
          <w:ilvl w:val="0"/>
          <w:numId w:val="0"/>
        </w:numPr>
        <w:spacing w:after="240"/>
        <w:jc w:val="center"/>
        <w:outlineLvl w:val="0"/>
        <w:rPr>
          <w:rStyle w:val="49"/>
          <w:rFonts w:hint="eastAsia" w:ascii="宋体" w:hAnsi="宋体" w:eastAsia="宋体" w:cs="Times New Roman"/>
          <w:b/>
          <w:sz w:val="32"/>
          <w:szCs w:val="32"/>
        </w:rPr>
      </w:pPr>
      <w:bookmarkStart w:id="67" w:name="_Toc4995"/>
      <w:bookmarkStart w:id="68" w:name="_Toc5074"/>
      <w:bookmarkStart w:id="69" w:name="_Toc29862"/>
      <w:r>
        <w:rPr>
          <w:rFonts w:hint="eastAsia" w:ascii="宋体" w:hAnsi="宋体" w:cs="宋体"/>
          <w:b/>
          <w:bCs/>
          <w:sz w:val="32"/>
          <w:szCs w:val="32"/>
          <w:lang w:val="en-US" w:eastAsia="zh-CN"/>
        </w:rPr>
        <w:t>第五章</w:t>
      </w:r>
      <w:r>
        <w:rPr>
          <w:rFonts w:hint="eastAsia" w:ascii="宋体" w:hAnsi="宋体" w:cs="宋体"/>
          <w:b/>
          <w:bCs/>
          <w:sz w:val="32"/>
          <w:szCs w:val="32"/>
        </w:rPr>
        <w:t xml:space="preserve">  合同格式条款</w:t>
      </w:r>
      <w:bookmarkEnd w:id="63"/>
      <w:bookmarkEnd w:id="64"/>
      <w:bookmarkEnd w:id="65"/>
      <w:bookmarkEnd w:id="66"/>
      <w:bookmarkEnd w:id="67"/>
      <w:bookmarkEnd w:id="68"/>
      <w:bookmarkEnd w:id="69"/>
      <w:bookmarkStart w:id="70" w:name="_Toc256000019"/>
      <w:bookmarkStart w:id="71" w:name="_Toc5097"/>
      <w:bookmarkStart w:id="72" w:name="_Toc20891"/>
      <w:bookmarkStart w:id="73" w:name="_Toc29654"/>
    </w:p>
    <w:bookmarkEnd w:id="70"/>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lang w:val="en-US" w:eastAsia="zh-CN"/>
        </w:rPr>
        <w:t>长轨运  物</w:t>
      </w:r>
      <w:r>
        <w:rPr>
          <w:rFonts w:hint="eastAsia" w:ascii="仿宋_GB2312" w:hAnsi="仿宋_GB2312" w:eastAsia="仿宋_GB2312" w:cs="仿宋_GB2312"/>
          <w:sz w:val="24"/>
          <w:highlight w:val="none"/>
          <w:u w:val="dotted"/>
        </w:rPr>
        <w:t>合【20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left="2243" w:leftChars="399" w:hanging="1405" w:hangingChars="500"/>
        <w:rPr>
          <w:rFonts w:hint="eastAsia" w:ascii="仿宋_GB2312" w:hAnsi="仿宋_GB2312" w:eastAsia="仿宋_GB2312" w:cs="仿宋_GB2312"/>
          <w:b/>
          <w:sz w:val="28"/>
          <w:szCs w:val="28"/>
          <w:highlight w:val="none"/>
          <w:lang w:eastAsia="zh-CN"/>
        </w:rPr>
      </w:pPr>
      <w:bookmarkStart w:id="74" w:name="_Toc16667"/>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u w:val="dotted"/>
          <w:lang w:val="en-US" w:eastAsia="zh-CN"/>
        </w:rPr>
        <w:t>长沙市轨道交通1号线运营期2021年度道岔融雪装置采购项目</w:t>
      </w:r>
    </w:p>
    <w:p>
      <w:pPr>
        <w:pStyle w:val="2"/>
        <w:rPr>
          <w:rFonts w:hint="eastAsia"/>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sz w:val="28"/>
          <w:szCs w:val="28"/>
          <w:highlight w:val="none"/>
          <w:u w:val="dotted"/>
        </w:rPr>
        <w:t xml:space="preserve">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8" w:type="default"/>
          <w:footerReference r:id="rId9"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1"/>
        <w:rPr>
          <w:rFonts w:hint="eastAsia" w:ascii="仿宋" w:hAnsi="仿宋" w:eastAsia="仿宋" w:cs="仿宋"/>
          <w:b/>
          <w:sz w:val="32"/>
          <w:szCs w:val="32"/>
          <w:highlight w:val="none"/>
        </w:rPr>
      </w:pPr>
      <w:bookmarkStart w:id="75" w:name="_Toc15510"/>
      <w:bookmarkStart w:id="76" w:name="_Toc31857"/>
      <w:bookmarkStart w:id="77" w:name="_Toc28007"/>
      <w:bookmarkStart w:id="78" w:name="_Toc1457"/>
      <w:bookmarkStart w:id="79" w:name="_Toc3371"/>
      <w:bookmarkStart w:id="80" w:name="_Toc15508"/>
      <w:r>
        <w:rPr>
          <w:rFonts w:hint="eastAsia" w:ascii="仿宋" w:hAnsi="仿宋" w:eastAsia="仿宋" w:cs="仿宋"/>
          <w:b/>
          <w:sz w:val="32"/>
          <w:szCs w:val="32"/>
          <w:highlight w:val="none"/>
        </w:rPr>
        <w:t>第一部分 合同协议书</w:t>
      </w:r>
      <w:bookmarkEnd w:id="74"/>
      <w:bookmarkEnd w:id="75"/>
      <w:bookmarkEnd w:id="76"/>
      <w:bookmarkEnd w:id="77"/>
      <w:bookmarkEnd w:id="78"/>
      <w:bookmarkEnd w:id="79"/>
      <w:bookmarkEnd w:id="80"/>
    </w:p>
    <w:p>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p>
    <w:p>
      <w:pPr>
        <w:keepNext w:val="0"/>
        <w:keepLines w:val="0"/>
        <w:pageBreakBefore w:val="0"/>
        <w:kinsoku/>
        <w:wordWrap/>
        <w:overflowPunct/>
        <w:topLinePunct w:val="0"/>
        <w:autoSpaceDE/>
        <w:autoSpaceDN/>
        <w:bidi w:val="0"/>
        <w:snapToGrid w:val="0"/>
        <w:spacing w:line="400" w:lineRule="exact"/>
        <w:ind w:left="0" w:leftChars="0" w:firstLine="422" w:firstLineChars="200"/>
        <w:jc w:val="lef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采购人</w:t>
      </w:r>
      <w:r>
        <w:rPr>
          <w:rFonts w:hint="eastAsia" w:ascii="宋体" w:hAnsi="宋体" w:eastAsia="宋体" w:cs="宋体"/>
          <w:sz w:val="21"/>
          <w:szCs w:val="21"/>
          <w:highlight w:val="none"/>
        </w:rPr>
        <w:t>（以下简称甲方）：</w:t>
      </w:r>
      <w:r>
        <w:rPr>
          <w:rFonts w:hint="eastAsia" w:ascii="宋体" w:hAnsi="宋体" w:eastAsia="宋体" w:cs="宋体"/>
          <w:sz w:val="21"/>
          <w:szCs w:val="21"/>
          <w:highlight w:val="none"/>
          <w:u w:val="single"/>
        </w:rPr>
        <w:t xml:space="preserve">                         </w:t>
      </w:r>
    </w:p>
    <w:p>
      <w:pPr>
        <w:keepNext w:val="0"/>
        <w:keepLines w:val="0"/>
        <w:pageBreakBefore w:val="0"/>
        <w:kinsoku/>
        <w:wordWrap/>
        <w:overflowPunct/>
        <w:topLinePunct w:val="0"/>
        <w:autoSpaceDE/>
        <w:autoSpaceDN/>
        <w:bidi w:val="0"/>
        <w:snapToGrid w:val="0"/>
        <w:spacing w:line="400" w:lineRule="exact"/>
        <w:ind w:left="0" w:leftChars="0" w:firstLine="422" w:firstLineChars="200"/>
        <w:jc w:val="lef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供应商</w:t>
      </w:r>
      <w:r>
        <w:rPr>
          <w:rFonts w:hint="eastAsia" w:ascii="宋体" w:hAnsi="宋体" w:eastAsia="宋体" w:cs="宋体"/>
          <w:sz w:val="21"/>
          <w:szCs w:val="21"/>
          <w:highlight w:val="none"/>
        </w:rPr>
        <w:t>（以下简称乙方）：</w:t>
      </w:r>
      <w:r>
        <w:rPr>
          <w:rFonts w:hint="eastAsia" w:ascii="宋体" w:hAnsi="宋体" w:eastAsia="宋体" w:cs="宋体"/>
          <w:sz w:val="21"/>
          <w:szCs w:val="21"/>
          <w:highlight w:val="none"/>
          <w:u w:val="single"/>
        </w:rPr>
        <w:t xml:space="preserve">                         </w:t>
      </w:r>
    </w:p>
    <w:p>
      <w:pPr>
        <w:pStyle w:val="4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firstLine="420" w:firstLineChars="200"/>
        <w:jc w:val="both"/>
        <w:textAlignment w:val="auto"/>
        <w:rPr>
          <w:rFonts w:hint="eastAsia" w:ascii="宋体" w:hAnsi="宋体" w:eastAsia="宋体" w:cs="宋体"/>
          <w:sz w:val="21"/>
          <w:szCs w:val="21"/>
          <w:highlight w:val="none"/>
        </w:rPr>
      </w:pPr>
      <w:bookmarkStart w:id="81" w:name="OLE_LINK9"/>
      <w:r>
        <w:rPr>
          <w:rFonts w:hint="eastAsia" w:ascii="宋体" w:hAnsi="宋体" w:eastAsia="宋体" w:cs="宋体"/>
          <w:kern w:val="2"/>
          <w:sz w:val="21"/>
          <w:szCs w:val="21"/>
          <w:highlight w:val="none"/>
          <w:lang w:bidi="ar"/>
        </w:rPr>
        <w:t>本合同由甲乙双方依照《中华人民共和国民法典》及其他有关法律、行政法规，遵循平等、自愿、公平和诚实信用的原则，</w:t>
      </w:r>
      <w:r>
        <w:rPr>
          <w:rFonts w:hint="eastAsia" w:ascii="宋体" w:hAnsi="宋体" w:eastAsia="宋体" w:cs="宋体"/>
          <w:sz w:val="21"/>
          <w:szCs w:val="21"/>
          <w:highlight w:val="none"/>
        </w:rPr>
        <w:t>双方就下述项目物资采购及有关事项协商一致，共同签订本合同。</w:t>
      </w:r>
    </w:p>
    <w:p>
      <w:pPr>
        <w:keepNext w:val="0"/>
        <w:keepLines w:val="0"/>
        <w:pageBreakBefore w:val="0"/>
        <w:kinsoku/>
        <w:wordWrap/>
        <w:overflowPunct/>
        <w:topLinePunct w:val="0"/>
        <w:autoSpaceDE/>
        <w:autoSpaceDN/>
        <w:bidi w:val="0"/>
        <w:adjustRightInd w:val="0"/>
        <w:snapToGrid w:val="0"/>
        <w:spacing w:line="400" w:lineRule="exact"/>
        <w:ind w:left="0" w:leftChars="0"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一、项目概况</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u w:val="single"/>
          <w:lang w:val="en-US" w:eastAsia="zh-CN" w:bidi="ar"/>
        </w:rPr>
      </w:pPr>
      <w:r>
        <w:rPr>
          <w:rFonts w:hint="eastAsia" w:ascii="宋体" w:hAnsi="宋体" w:eastAsia="宋体" w:cs="宋体"/>
          <w:sz w:val="21"/>
          <w:szCs w:val="21"/>
          <w:highlight w:val="none"/>
          <w:lang w:bidi="ar"/>
        </w:rPr>
        <w:t>1</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bidi="ar"/>
        </w:rPr>
        <w:t>项目名称：</w:t>
      </w:r>
      <w:r>
        <w:rPr>
          <w:rFonts w:hint="eastAsia" w:ascii="宋体" w:hAnsi="宋体" w:eastAsia="宋体" w:cs="宋体"/>
          <w:sz w:val="21"/>
          <w:szCs w:val="21"/>
          <w:highlight w:val="none"/>
          <w:u w:val="single"/>
          <w:lang w:val="en-US" w:eastAsia="zh-CN" w:bidi="ar"/>
        </w:rPr>
        <w:t>长沙市轨道交通1号线运营期2021年度道岔融雪装置采购项目</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u w:val="single"/>
          <w:lang w:bidi="ar"/>
        </w:rPr>
      </w:pPr>
      <w:r>
        <w:rPr>
          <w:rFonts w:hint="eastAsia" w:ascii="宋体" w:hAnsi="宋体" w:eastAsia="宋体" w:cs="宋体"/>
          <w:sz w:val="21"/>
          <w:szCs w:val="21"/>
          <w:highlight w:val="none"/>
          <w:lang w:bidi="ar"/>
        </w:rPr>
        <w:t>2</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bidi="ar"/>
        </w:rPr>
        <w:t>项目地点：</w:t>
      </w:r>
      <w:r>
        <w:rPr>
          <w:rFonts w:hint="eastAsia" w:ascii="宋体" w:hAnsi="宋体" w:eastAsia="宋体" w:cs="宋体"/>
          <w:sz w:val="21"/>
          <w:szCs w:val="21"/>
          <w:highlight w:val="none"/>
          <w:u w:val="single"/>
          <w:lang w:bidi="ar"/>
        </w:rPr>
        <w:t>湖南省长沙市</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u w:val="single"/>
          <w:lang w:bidi="ar"/>
        </w:rPr>
      </w:pPr>
      <w:r>
        <w:rPr>
          <w:rFonts w:hint="eastAsia" w:ascii="宋体" w:hAnsi="宋体" w:eastAsia="宋体" w:cs="宋体"/>
          <w:sz w:val="21"/>
          <w:szCs w:val="21"/>
          <w:highlight w:val="none"/>
          <w:lang w:bidi="ar"/>
        </w:rPr>
        <w:t>3</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合同标的：</w:t>
      </w:r>
      <w:r>
        <w:rPr>
          <w:rFonts w:hint="eastAsia" w:ascii="宋体" w:hAnsi="宋体" w:eastAsia="宋体" w:cs="宋体"/>
          <w:sz w:val="21"/>
          <w:szCs w:val="21"/>
          <w:highlight w:val="none"/>
          <w:u w:val="single"/>
          <w:lang w:bidi="ar"/>
        </w:rPr>
        <w:t xml:space="preserve">                 </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rPr>
        <w:t>具体详见用户需求书/技术规格书。最终实际供货品类及数量以供货前甲方书面通知并经最终验收合格为准。</w:t>
      </w:r>
    </w:p>
    <w:p>
      <w:pPr>
        <w:keepNext w:val="0"/>
        <w:keepLines w:val="0"/>
        <w:pageBreakBefore w:val="0"/>
        <w:kinsoku/>
        <w:wordWrap/>
        <w:overflowPunct/>
        <w:topLinePunct w:val="0"/>
        <w:autoSpaceDE/>
        <w:autoSpaceDN/>
        <w:bidi w:val="0"/>
        <w:adjustRightInd w:val="0"/>
        <w:snapToGrid w:val="0"/>
        <w:spacing w:line="400" w:lineRule="exact"/>
        <w:ind w:left="0" w:leftChars="0" w:firstLine="422" w:firstLineChars="200"/>
        <w:textAlignment w:val="auto"/>
        <w:rPr>
          <w:rFonts w:hint="eastAsia" w:ascii="宋体" w:hAnsi="宋体" w:eastAsia="宋体" w:cs="宋体"/>
          <w:b/>
          <w:sz w:val="21"/>
          <w:szCs w:val="21"/>
          <w:highlight w:val="none"/>
          <w:lang w:bidi="ar"/>
        </w:rPr>
      </w:pPr>
      <w:r>
        <w:rPr>
          <w:rFonts w:hint="eastAsia" w:ascii="宋体" w:hAnsi="宋体" w:eastAsia="宋体" w:cs="宋体"/>
          <w:b/>
          <w:sz w:val="21"/>
          <w:szCs w:val="21"/>
          <w:highlight w:val="none"/>
          <w:lang w:bidi="ar"/>
        </w:rPr>
        <w:t>二、合同执行计划</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u w:val="single"/>
          <w:lang w:bidi="ar"/>
        </w:rPr>
        <w:t xml:space="preserve">                 </w:t>
      </w:r>
      <w:r>
        <w:rPr>
          <w:rFonts w:hint="eastAsia" w:ascii="宋体" w:hAnsi="宋体" w:eastAsia="宋体" w:cs="宋体"/>
          <w:sz w:val="21"/>
          <w:szCs w:val="21"/>
          <w:highlight w:val="none"/>
          <w:lang w:bidi="ar"/>
        </w:rPr>
        <w:t>，具体详见</w:t>
      </w:r>
      <w:r>
        <w:rPr>
          <w:rFonts w:hint="eastAsia" w:ascii="宋体" w:hAnsi="宋体" w:eastAsia="宋体" w:cs="宋体"/>
          <w:sz w:val="21"/>
          <w:szCs w:val="21"/>
          <w:highlight w:val="none"/>
        </w:rPr>
        <w:t>用户需求书/</w:t>
      </w:r>
      <w:r>
        <w:rPr>
          <w:rFonts w:hint="eastAsia" w:ascii="宋体" w:hAnsi="宋体" w:eastAsia="宋体" w:cs="宋体"/>
          <w:sz w:val="21"/>
          <w:szCs w:val="21"/>
          <w:highlight w:val="none"/>
          <w:lang w:bidi="ar"/>
        </w:rPr>
        <w:t>技术规格书。</w:t>
      </w:r>
    </w:p>
    <w:p>
      <w:pPr>
        <w:keepNext w:val="0"/>
        <w:keepLines w:val="0"/>
        <w:pageBreakBefore w:val="0"/>
        <w:kinsoku/>
        <w:wordWrap/>
        <w:overflowPunct/>
        <w:topLinePunct w:val="0"/>
        <w:autoSpaceDE/>
        <w:autoSpaceDN/>
        <w:bidi w:val="0"/>
        <w:spacing w:line="400" w:lineRule="exact"/>
        <w:ind w:left="0" w:leftChars="0" w:firstLine="422" w:firstLineChars="200"/>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三、合同价款</w:t>
      </w: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1.合同价款形式：</w:t>
      </w: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单价合同</w:t>
      </w:r>
      <w:r>
        <w:rPr>
          <w:rFonts w:hint="eastAsia" w:ascii="宋体" w:hAnsi="宋体" w:eastAsia="宋体" w:cs="宋体"/>
          <w:b/>
          <w:kern w:val="0"/>
          <w:sz w:val="21"/>
          <w:szCs w:val="21"/>
          <w:highlight w:val="none"/>
        </w:rPr>
        <w:t>（</w:t>
      </w:r>
      <w:r>
        <w:rPr>
          <w:rFonts w:hint="eastAsia" w:ascii="宋体" w:hAnsi="宋体" w:eastAsia="宋体" w:cs="宋体"/>
          <w:kern w:val="0"/>
          <w:sz w:val="21"/>
          <w:szCs w:val="21"/>
          <w:highlight w:val="none"/>
        </w:rPr>
        <w:t>除税率调整外，合同单价（即中标单价/中选单价/成交单价）在合同执行过程中固定不变</w:t>
      </w:r>
      <w:r>
        <w:rPr>
          <w:rFonts w:hint="eastAsia" w:ascii="宋体" w:hAnsi="宋体" w:eastAsia="宋体" w:cs="宋体"/>
          <w:sz w:val="21"/>
          <w:szCs w:val="21"/>
          <w:highlight w:val="none"/>
        </w:rPr>
        <w:t>，不受政策法规变化以及汇率浮动、物价指数浮动等因素的影响</w:t>
      </w:r>
      <w:r>
        <w:rPr>
          <w:rFonts w:hint="eastAsia" w:ascii="宋体" w:hAnsi="宋体" w:eastAsia="宋体" w:cs="宋体"/>
          <w:b/>
          <w:kern w:val="0"/>
          <w:sz w:val="21"/>
          <w:szCs w:val="21"/>
          <w:highlight w:val="none"/>
        </w:rPr>
        <w:t>）</w:t>
      </w:r>
      <w:r>
        <w:rPr>
          <w:rFonts w:hint="eastAsia" w:ascii="宋体" w:hAnsi="宋体" w:eastAsia="宋体" w:cs="宋体"/>
          <w:kern w:val="0"/>
          <w:sz w:val="21"/>
          <w:szCs w:val="21"/>
          <w:highlight w:val="none"/>
        </w:rPr>
        <w:t>。</w:t>
      </w: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sz w:val="21"/>
          <w:szCs w:val="21"/>
        </w:rPr>
        <w:t>签约合同价：</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签约合同价为人民币</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rPr>
        <w:t>（大写金额：</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，具体分项</w:t>
      </w:r>
      <w:r>
        <w:rPr>
          <w:rFonts w:hint="eastAsia" w:ascii="宋体" w:hAnsi="宋体" w:eastAsia="宋体" w:cs="宋体"/>
          <w:color w:val="000000"/>
          <w:sz w:val="21"/>
          <w:szCs w:val="21"/>
          <w:highlight w:val="none"/>
        </w:rPr>
        <w:t>价格表详见合同附件之签约合同价清单。</w:t>
      </w: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按</w:t>
      </w:r>
      <w:r>
        <w:rPr>
          <w:rFonts w:hint="eastAsia" w:ascii="宋体" w:hAnsi="宋体" w:eastAsia="宋体" w:cs="宋体"/>
          <w:kern w:val="0"/>
          <w:sz w:val="21"/>
          <w:szCs w:val="21"/>
          <w:highlight w:val="none"/>
          <w:shd w:val="clear" w:color="auto" w:fill="FFFFFF"/>
        </w:rPr>
        <w:t>长沙市政府或其职能部门相关规定，本项目的合同价格最终以</w:t>
      </w:r>
      <w:r>
        <w:rPr>
          <w:rFonts w:hint="eastAsia" w:ascii="宋体" w:hAnsi="宋体" w:eastAsia="宋体" w:cs="宋体"/>
          <w:kern w:val="0"/>
          <w:sz w:val="21"/>
          <w:szCs w:val="21"/>
          <w:highlight w:val="none"/>
          <w:u w:val="single"/>
          <w:shd w:val="clear" w:color="auto" w:fill="FFFFFF"/>
        </w:rPr>
        <w:t>□长沙市政府相关职能部门或长沙市轨道交通集团有限公司授权的单位审定价款为准</w:t>
      </w:r>
      <w:r>
        <w:rPr>
          <w:rFonts w:hint="eastAsia" w:ascii="宋体" w:hAnsi="宋体" w:eastAsia="宋体" w:cs="宋体"/>
          <w:kern w:val="0"/>
          <w:sz w:val="21"/>
          <w:szCs w:val="21"/>
          <w:highlight w:val="none"/>
          <w:shd w:val="clear" w:color="auto" w:fill="FFFFFF"/>
        </w:rPr>
        <w:t>/</w:t>
      </w:r>
      <w:r>
        <w:rPr>
          <w:rFonts w:hint="eastAsia" w:ascii="宋体" w:hAnsi="宋体" w:eastAsia="宋体" w:cs="宋体"/>
          <w:kern w:val="0"/>
          <w:sz w:val="21"/>
          <w:szCs w:val="21"/>
          <w:highlight w:val="none"/>
          <w:u w:val="single"/>
          <w:shd w:val="clear" w:color="auto" w:fill="FFFFFF"/>
        </w:rPr>
        <w:sym w:font="Wingdings 2" w:char="0052"/>
      </w:r>
      <w:r>
        <w:rPr>
          <w:rFonts w:hint="eastAsia" w:ascii="宋体" w:hAnsi="宋体" w:eastAsia="宋体" w:cs="宋体"/>
          <w:sz w:val="21"/>
          <w:szCs w:val="21"/>
          <w:highlight w:val="none"/>
          <w:u w:val="single"/>
        </w:rPr>
        <w:t>履约验收合格确定的最终价款</w:t>
      </w:r>
      <w:r>
        <w:rPr>
          <w:rFonts w:hint="eastAsia" w:ascii="宋体" w:hAnsi="宋体" w:eastAsia="宋体" w:cs="宋体"/>
          <w:kern w:val="0"/>
          <w:sz w:val="21"/>
          <w:szCs w:val="21"/>
          <w:highlight w:val="none"/>
          <w:u w:val="single"/>
          <w:shd w:val="clear" w:color="auto" w:fill="FFFFFF"/>
        </w:rPr>
        <w:t>为准</w:t>
      </w:r>
      <w:r>
        <w:rPr>
          <w:rFonts w:hint="eastAsia" w:ascii="宋体" w:hAnsi="宋体" w:eastAsia="宋体" w:cs="宋体"/>
          <w:kern w:val="0"/>
          <w:sz w:val="21"/>
          <w:szCs w:val="21"/>
          <w:highlight w:val="none"/>
          <w:shd w:val="clear" w:color="auto" w:fill="FFFFFF"/>
        </w:rPr>
        <w:t>。</w:t>
      </w:r>
      <w:r>
        <w:rPr>
          <w:rFonts w:hint="eastAsia" w:ascii="宋体" w:hAnsi="宋体" w:eastAsia="宋体" w:cs="宋体"/>
          <w:bCs/>
          <w:sz w:val="21"/>
          <w:szCs w:val="21"/>
          <w:highlight w:val="none"/>
        </w:rPr>
        <w:t>合同价格包括乙方履行合同且满足用户需求书/技术规格书全部要求所产生的成本、费用、税金、利润、保险、专利、风险</w:t>
      </w:r>
      <w:r>
        <w:rPr>
          <w:rFonts w:hint="eastAsia" w:ascii="宋体" w:hAnsi="宋体" w:eastAsia="宋体" w:cs="宋体"/>
          <w:sz w:val="21"/>
          <w:szCs w:val="21"/>
          <w:highlight w:val="none"/>
        </w:rPr>
        <w:t>等</w:t>
      </w:r>
      <w:r>
        <w:rPr>
          <w:rFonts w:hint="eastAsia" w:ascii="宋体" w:hAnsi="宋体" w:eastAsia="宋体" w:cs="宋体"/>
          <w:bCs/>
          <w:sz w:val="21"/>
          <w:szCs w:val="21"/>
          <w:highlight w:val="none"/>
        </w:rPr>
        <w:t>。</w:t>
      </w:r>
    </w:p>
    <w:p>
      <w:pPr>
        <w:pStyle w:val="13"/>
        <w:keepNext w:val="0"/>
        <w:keepLines w:val="0"/>
        <w:pageBreakBefore w:val="0"/>
        <w:kinsoku/>
        <w:wordWrap/>
        <w:overflowPunct/>
        <w:topLinePunct w:val="0"/>
        <w:autoSpaceDE/>
        <w:autoSpaceDN/>
        <w:bidi w:val="0"/>
        <w:adjustRightInd w:val="0"/>
        <w:snapToGrid w:val="0"/>
        <w:spacing w:line="40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四、合同文件组成</w:t>
      </w: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合同文件组成及优先解释顺序：</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bookmarkStart w:id="82" w:name="OLE_LINK11"/>
      <w:bookmarkStart w:id="83" w:name="OLE_LINK10"/>
      <w:r>
        <w:rPr>
          <w:rFonts w:hint="eastAsia" w:ascii="宋体" w:hAnsi="宋体" w:eastAsia="宋体" w:cs="宋体"/>
          <w:sz w:val="21"/>
          <w:szCs w:val="21"/>
          <w:highlight w:val="none"/>
        </w:rPr>
        <w:t>（1）</w:t>
      </w:r>
      <w:bookmarkEnd w:id="82"/>
      <w:bookmarkEnd w:id="83"/>
      <w:r>
        <w:rPr>
          <w:rFonts w:hint="eastAsia" w:ascii="宋体" w:hAnsi="宋体" w:eastAsia="宋体" w:cs="宋体"/>
          <w:sz w:val="21"/>
          <w:szCs w:val="21"/>
          <w:highlight w:val="none"/>
        </w:rPr>
        <w:t>补充协议（</w:t>
      </w:r>
      <w:bookmarkStart w:id="84" w:name="OLE_LINK12"/>
      <w:r>
        <w:rPr>
          <w:rFonts w:hint="eastAsia" w:ascii="宋体" w:hAnsi="宋体" w:eastAsia="宋体" w:cs="宋体"/>
          <w:sz w:val="21"/>
          <w:szCs w:val="21"/>
          <w:highlight w:val="none"/>
        </w:rPr>
        <w:t>如果有</w:t>
      </w:r>
      <w:bookmarkEnd w:id="84"/>
      <w:r>
        <w:rPr>
          <w:rFonts w:hint="eastAsia" w:ascii="宋体" w:hAnsi="宋体" w:eastAsia="宋体" w:cs="宋体"/>
          <w:sz w:val="21"/>
          <w:szCs w:val="21"/>
          <w:highlight w:val="none"/>
        </w:rPr>
        <w:t>）；</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（2）合同协议书;</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（3）中标通知书/中选通知书/谈判记录表；</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（4）合同条款;</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（5）用户需求书/技术规格书;</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（6）签约合同价清单;</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（7）合同附件及乙方按合同附录格式及要求出具的文件;</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（8）招标文件/自主竞争性谈判文件/直接委托谈判文件、澄清与答疑文件及其它补充资料；</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（9）投标文件/谈判响应文件、澄清文件及其它补充资料；</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（10）批准的图纸（如果有）；</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（11）其他构成本合同的文件。</w:t>
      </w: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上述各项合同文件包括合同当事人就该项合同文件所作出的补充和修改，属于同一类内容的文件，应以最新签署的为准。</w:t>
      </w: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在合同履行过程中形成的与合同有关的文件均构成合同文件组成部分，并根据其性质确定优先解释顺序。</w:t>
      </w:r>
    </w:p>
    <w:p>
      <w:pPr>
        <w:keepNext w:val="0"/>
        <w:keepLines w:val="0"/>
        <w:pageBreakBefore w:val="0"/>
        <w:kinsoku/>
        <w:wordWrap/>
        <w:overflowPunct/>
        <w:topLinePunct w:val="0"/>
        <w:autoSpaceDE/>
        <w:autoSpaceDN/>
        <w:bidi w:val="0"/>
        <w:snapToGrid w:val="0"/>
        <w:spacing w:line="40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五、承诺</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考虑到甲方将按照本合同向乙方支付，乙方在此保证全部按照合同的规定向甲方提供物资和服务，并修补缺陷。</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考虑到乙方提供的物资和服务并修补缺陷，甲方在此保证按照合同规定的时间和方式向乙方支付合同价格或其它按合同规定应支付的金额。</w:t>
      </w:r>
    </w:p>
    <w:p>
      <w:pPr>
        <w:keepNext w:val="0"/>
        <w:keepLines w:val="0"/>
        <w:pageBreakBefore w:val="0"/>
        <w:kinsoku/>
        <w:wordWrap/>
        <w:overflowPunct/>
        <w:topLinePunct w:val="0"/>
        <w:autoSpaceDE/>
        <w:autoSpaceDN/>
        <w:bidi w:val="0"/>
        <w:spacing w:line="400" w:lineRule="exact"/>
        <w:ind w:left="0" w:leftChars="0" w:firstLine="422" w:firstLineChars="200"/>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六、词语定义</w:t>
      </w: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本合同协议书中词语含义与合同条款中的词语含义相同。</w:t>
      </w:r>
    </w:p>
    <w:p>
      <w:pPr>
        <w:keepNext w:val="0"/>
        <w:keepLines w:val="0"/>
        <w:pageBreakBefore w:val="0"/>
        <w:kinsoku/>
        <w:wordWrap/>
        <w:overflowPunct/>
        <w:topLinePunct w:val="0"/>
        <w:autoSpaceDE/>
        <w:autoSpaceDN/>
        <w:bidi w:val="0"/>
        <w:spacing w:line="400" w:lineRule="exact"/>
        <w:ind w:left="0" w:leftChars="0" w:firstLine="422" w:firstLineChars="200"/>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七、签订时间</w:t>
      </w: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本合同于</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月</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日签订。</w:t>
      </w:r>
      <w:bookmarkStart w:id="85" w:name="_Toc351203490"/>
      <w:bookmarkStart w:id="86" w:name="_Toc406150419"/>
      <w:bookmarkStart w:id="87" w:name="_Toc457826148"/>
    </w:p>
    <w:p>
      <w:pPr>
        <w:keepNext w:val="0"/>
        <w:keepLines w:val="0"/>
        <w:pageBreakBefore w:val="0"/>
        <w:kinsoku/>
        <w:wordWrap/>
        <w:overflowPunct/>
        <w:topLinePunct w:val="0"/>
        <w:autoSpaceDE/>
        <w:autoSpaceDN/>
        <w:bidi w:val="0"/>
        <w:spacing w:line="400" w:lineRule="exact"/>
        <w:ind w:left="0" w:leftChars="0" w:firstLine="422" w:firstLineChars="200"/>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八、签订地点</w:t>
      </w:r>
      <w:bookmarkEnd w:id="85"/>
      <w:bookmarkEnd w:id="86"/>
      <w:bookmarkEnd w:id="87"/>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u w:val="single"/>
          <w:lang w:bidi="ar"/>
        </w:rPr>
      </w:pPr>
      <w:r>
        <w:rPr>
          <w:rFonts w:hint="eastAsia" w:ascii="宋体" w:hAnsi="宋体" w:eastAsia="宋体" w:cs="宋体"/>
          <w:bCs/>
          <w:sz w:val="21"/>
          <w:szCs w:val="21"/>
          <w:highlight w:val="none"/>
        </w:rPr>
        <w:t>本合同在</w:t>
      </w:r>
      <w:r>
        <w:rPr>
          <w:rFonts w:hint="eastAsia" w:ascii="宋体" w:hAnsi="宋体" w:eastAsia="宋体" w:cs="宋体"/>
          <w:bCs/>
          <w:sz w:val="21"/>
          <w:szCs w:val="21"/>
          <w:highlight w:val="none"/>
          <w:u w:val="single"/>
        </w:rPr>
        <w:t xml:space="preserve"> 湖南省长沙市雨花区</w:t>
      </w:r>
      <w:r>
        <w:rPr>
          <w:rFonts w:hint="eastAsia" w:ascii="宋体" w:hAnsi="宋体" w:eastAsia="宋体" w:cs="宋体"/>
          <w:bCs/>
          <w:sz w:val="21"/>
          <w:szCs w:val="21"/>
          <w:highlight w:val="none"/>
        </w:rPr>
        <w:t>签订。</w:t>
      </w:r>
    </w:p>
    <w:p>
      <w:pPr>
        <w:keepNext w:val="0"/>
        <w:keepLines w:val="0"/>
        <w:pageBreakBefore w:val="0"/>
        <w:kinsoku/>
        <w:wordWrap/>
        <w:overflowPunct/>
        <w:topLinePunct w:val="0"/>
        <w:autoSpaceDE/>
        <w:autoSpaceDN/>
        <w:bidi w:val="0"/>
        <w:spacing w:line="400" w:lineRule="exact"/>
        <w:ind w:left="0" w:leftChars="0" w:firstLine="422" w:firstLineChars="200"/>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九、合同生效</w:t>
      </w: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本合同自</w:t>
      </w:r>
      <w:r>
        <w:rPr>
          <w:rFonts w:hint="eastAsia" w:ascii="宋体" w:hAnsi="宋体" w:eastAsia="宋体" w:cs="宋体"/>
          <w:sz w:val="21"/>
          <w:szCs w:val="21"/>
          <w:highlight w:val="none"/>
          <w:u w:val="single"/>
        </w:rPr>
        <w:t>合同双方法定代表人或其授权代表签字并加盖合同专用章</w:t>
      </w:r>
      <w:r>
        <w:rPr>
          <w:rFonts w:hint="eastAsia" w:ascii="宋体" w:hAnsi="宋体" w:eastAsia="宋体" w:cs="宋体"/>
          <w:bCs/>
          <w:sz w:val="21"/>
          <w:szCs w:val="21"/>
          <w:highlight w:val="none"/>
        </w:rPr>
        <w:t>生效。</w:t>
      </w:r>
      <w:bookmarkStart w:id="88" w:name="_Toc457826150"/>
    </w:p>
    <w:p>
      <w:pPr>
        <w:keepNext w:val="0"/>
        <w:keepLines w:val="0"/>
        <w:pageBreakBefore w:val="0"/>
        <w:kinsoku/>
        <w:wordWrap/>
        <w:overflowPunct/>
        <w:topLinePunct w:val="0"/>
        <w:autoSpaceDE/>
        <w:autoSpaceDN/>
        <w:bidi w:val="0"/>
        <w:spacing w:line="400" w:lineRule="exact"/>
        <w:ind w:left="0" w:leftChars="0" w:firstLine="422" w:firstLineChars="200"/>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十、合同份数</w:t>
      </w:r>
      <w:bookmarkEnd w:id="88"/>
    </w:p>
    <w:bookmarkEnd w:id="81"/>
    <w:p>
      <w:pPr>
        <w:keepNext w:val="0"/>
        <w:keepLines w:val="0"/>
        <w:pageBreakBefore w:val="0"/>
        <w:widowControl/>
        <w:kinsoku/>
        <w:wordWrap/>
        <w:overflowPunct/>
        <w:topLinePunct w:val="0"/>
        <w:autoSpaceDE/>
        <w:autoSpaceDN/>
        <w:bidi w:val="0"/>
        <w:snapToGrid w:val="0"/>
        <w:spacing w:line="40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本合同一式</w:t>
      </w:r>
      <w:r>
        <w:rPr>
          <w:rFonts w:hint="eastAsia" w:ascii="宋体" w:hAnsi="宋体" w:eastAsia="宋体" w:cs="宋体"/>
          <w:sz w:val="21"/>
          <w:szCs w:val="21"/>
          <w:lang w:val="en-US" w:eastAsia="zh-CN"/>
        </w:rPr>
        <w:t>八</w:t>
      </w:r>
      <w:r>
        <w:rPr>
          <w:rFonts w:hint="eastAsia" w:ascii="宋体" w:hAnsi="宋体" w:eastAsia="宋体" w:cs="宋体"/>
          <w:sz w:val="21"/>
          <w:szCs w:val="21"/>
        </w:rPr>
        <w:t>份（其中正本二份、副本</w:t>
      </w:r>
      <w:r>
        <w:rPr>
          <w:rFonts w:hint="eastAsia" w:ascii="宋体" w:hAnsi="宋体" w:eastAsia="宋体" w:cs="宋体"/>
          <w:sz w:val="21"/>
          <w:szCs w:val="21"/>
          <w:lang w:val="en-US" w:eastAsia="zh-CN"/>
        </w:rPr>
        <w:t>六</w:t>
      </w:r>
      <w:r>
        <w:rPr>
          <w:rFonts w:hint="eastAsia" w:ascii="宋体" w:hAnsi="宋体" w:eastAsia="宋体" w:cs="宋体"/>
          <w:sz w:val="21"/>
          <w:szCs w:val="21"/>
        </w:rPr>
        <w:t>份），甲方执</w:t>
      </w:r>
      <w:r>
        <w:rPr>
          <w:rFonts w:hint="eastAsia" w:ascii="宋体" w:hAnsi="宋体" w:eastAsia="宋体" w:cs="宋体"/>
          <w:sz w:val="21"/>
          <w:szCs w:val="21"/>
          <w:lang w:val="en-US" w:eastAsia="zh-CN"/>
        </w:rPr>
        <w:t>六</w:t>
      </w:r>
      <w:r>
        <w:rPr>
          <w:rFonts w:hint="eastAsia" w:ascii="宋体" w:hAnsi="宋体" w:eastAsia="宋体" w:cs="宋体"/>
          <w:sz w:val="21"/>
          <w:szCs w:val="21"/>
        </w:rPr>
        <w:t>份（一正</w:t>
      </w:r>
      <w:r>
        <w:rPr>
          <w:rFonts w:hint="eastAsia" w:ascii="宋体" w:hAnsi="宋体" w:eastAsia="宋体" w:cs="宋体"/>
          <w:sz w:val="21"/>
          <w:szCs w:val="21"/>
          <w:lang w:val="en-US" w:eastAsia="zh-CN"/>
        </w:rPr>
        <w:t>五</w:t>
      </w:r>
      <w:r>
        <w:rPr>
          <w:rFonts w:hint="eastAsia" w:ascii="宋体" w:hAnsi="宋体" w:eastAsia="宋体" w:cs="宋体"/>
          <w:sz w:val="21"/>
          <w:szCs w:val="21"/>
        </w:rPr>
        <w:t>副）、乙方执</w:t>
      </w:r>
      <w:r>
        <w:rPr>
          <w:rFonts w:hint="eastAsia" w:ascii="宋体" w:hAnsi="宋体" w:eastAsia="宋体" w:cs="宋体"/>
          <w:sz w:val="21"/>
          <w:szCs w:val="21"/>
          <w:lang w:val="en-US" w:eastAsia="zh-CN"/>
        </w:rPr>
        <w:t>二</w:t>
      </w:r>
      <w:r>
        <w:rPr>
          <w:rFonts w:hint="eastAsia" w:ascii="宋体" w:hAnsi="宋体" w:eastAsia="宋体" w:cs="宋体"/>
          <w:sz w:val="21"/>
          <w:szCs w:val="21"/>
        </w:rPr>
        <w:t>份（一正</w:t>
      </w:r>
      <w:r>
        <w:rPr>
          <w:rFonts w:hint="eastAsia" w:ascii="宋体" w:hAnsi="宋体" w:eastAsia="宋体" w:cs="宋体"/>
          <w:sz w:val="21"/>
          <w:szCs w:val="21"/>
          <w:lang w:val="en-US" w:eastAsia="zh-CN"/>
        </w:rPr>
        <w:t>一</w:t>
      </w:r>
      <w:r>
        <w:rPr>
          <w:rFonts w:hint="eastAsia" w:ascii="宋体" w:hAnsi="宋体" w:eastAsia="宋体" w:cs="宋体"/>
          <w:sz w:val="21"/>
          <w:szCs w:val="21"/>
        </w:rPr>
        <w:t>副）。合同正本和副本具有同等效力，当合同副本与正本之间存有差异时，以合同正本为准。</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sz w:val="21"/>
          <w:szCs w:val="21"/>
          <w:highlight w:val="none"/>
        </w:rPr>
        <w:t>（本页无正文）</w:t>
      </w: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采购人：(盖章)</w:t>
            </w:r>
          </w:p>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c>
          <w:tcPr>
            <w:tcW w:w="4252"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供应商：（盖章）</w:t>
            </w:r>
          </w:p>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法定代表人或其授权代表：</w:t>
            </w:r>
          </w:p>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p>
        </w:tc>
        <w:tc>
          <w:tcPr>
            <w:tcW w:w="4252"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法定代表人或其授权代表：</w:t>
            </w:r>
          </w:p>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地址：  </w:t>
            </w:r>
          </w:p>
        </w:tc>
        <w:tc>
          <w:tcPr>
            <w:tcW w:w="4252"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邮编： </w:t>
            </w:r>
          </w:p>
        </w:tc>
        <w:tc>
          <w:tcPr>
            <w:tcW w:w="4252"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电话： </w:t>
            </w:r>
          </w:p>
        </w:tc>
        <w:tc>
          <w:tcPr>
            <w:tcW w:w="4252"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传真： </w:t>
            </w:r>
          </w:p>
        </w:tc>
        <w:tc>
          <w:tcPr>
            <w:tcW w:w="4252"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4252"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tc>
        <w:tc>
          <w:tcPr>
            <w:tcW w:w="4252"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p>
        </w:tc>
        <w:tc>
          <w:tcPr>
            <w:tcW w:w="4252"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p>
        </w:tc>
      </w:tr>
    </w:tbl>
    <w:p>
      <w:pPr>
        <w:adjustRightInd w:val="0"/>
        <w:snapToGrid w:val="0"/>
        <w:spacing w:line="360" w:lineRule="auto"/>
        <w:jc w:val="center"/>
        <w:outlineLvl w:val="1"/>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89" w:name="_Toc11845"/>
      <w:bookmarkStart w:id="90" w:name="_Toc1067"/>
      <w:bookmarkStart w:id="91" w:name="_Toc20306"/>
      <w:bookmarkStart w:id="92" w:name="_Toc10497"/>
      <w:bookmarkStart w:id="93" w:name="_Toc25582"/>
      <w:bookmarkStart w:id="94" w:name="_Toc16662"/>
      <w:bookmarkStart w:id="95" w:name="_Toc16776"/>
      <w:r>
        <w:rPr>
          <w:rFonts w:hint="eastAsia" w:ascii="仿宋_GB2312" w:hAnsi="仿宋_GB2312" w:eastAsia="仿宋_GB2312" w:cs="仿宋_GB2312"/>
          <w:b/>
          <w:bCs/>
          <w:sz w:val="32"/>
          <w:szCs w:val="32"/>
          <w:highlight w:val="none"/>
        </w:rPr>
        <w:t xml:space="preserve">第二部分 </w:t>
      </w:r>
      <w:bookmarkEnd w:id="89"/>
      <w:bookmarkStart w:id="96" w:name="_Toc578"/>
      <w:r>
        <w:rPr>
          <w:rFonts w:hint="eastAsia" w:ascii="仿宋_GB2312" w:hAnsi="仿宋_GB2312" w:eastAsia="仿宋_GB2312" w:cs="仿宋_GB2312"/>
          <w:b/>
          <w:bCs/>
          <w:sz w:val="32"/>
          <w:szCs w:val="32"/>
          <w:highlight w:val="none"/>
        </w:rPr>
        <w:t>合同条款</w:t>
      </w:r>
      <w:bookmarkEnd w:id="90"/>
      <w:bookmarkEnd w:id="91"/>
      <w:bookmarkEnd w:id="92"/>
      <w:bookmarkEnd w:id="93"/>
      <w:bookmarkEnd w:id="94"/>
      <w:bookmarkEnd w:id="95"/>
      <w:bookmarkEnd w:id="96"/>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97" w:name="_Toc6910"/>
      <w:bookmarkStart w:id="98" w:name="_Toc21196"/>
      <w:r>
        <w:rPr>
          <w:rFonts w:hint="eastAsia" w:ascii="宋体" w:hAnsi="宋体" w:eastAsia="宋体" w:cs="宋体"/>
          <w:b/>
          <w:sz w:val="21"/>
          <w:szCs w:val="21"/>
          <w:highlight w:val="none"/>
        </w:rPr>
        <w:t>1.定义</w:t>
      </w:r>
      <w:bookmarkEnd w:id="97"/>
      <w:bookmarkEnd w:id="98"/>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1.1合同当事人</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（1）采购人(以下称甲方)是指在合同协议书中指明的购买物资和服务的单位。</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（2）供应商(以下称乙方)是指在合同协议书中指明的参加本招投标活动而取得中标/中选/成交结果，并向甲方提供物资和服务的法人、其他组织或者自然人。</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1.2本合同下列术语应解释为：</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（1）“合同”系指甲乙双方签署的、合同协议书中载明的甲乙双方所达成的协议，包括所有的附件、附录和上述文件所提到的构成合同的所有文件。</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（2）“签约合同价”系指甲方和乙方在合同协议书中确定的金额，即本项目的中标价格/中选价格/成交价格。</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（3）“合同价格”系指根据本合同规定乙方在正确地完全履行合同义务后，</w:t>
      </w:r>
      <w:r>
        <w:rPr>
          <w:rFonts w:hint="eastAsia" w:ascii="宋体" w:hAnsi="宋体" w:eastAsia="宋体" w:cs="宋体"/>
          <w:kern w:val="0"/>
          <w:sz w:val="21"/>
          <w:szCs w:val="21"/>
          <w:highlight w:val="none"/>
        </w:rPr>
        <w:t>按照长沙市政府或其职能部门相关规定，</w:t>
      </w:r>
      <w:r>
        <w:rPr>
          <w:rFonts w:hint="eastAsia" w:ascii="宋体" w:hAnsi="宋体" w:eastAsia="宋体" w:cs="宋体"/>
          <w:sz w:val="21"/>
          <w:szCs w:val="21"/>
          <w:highlight w:val="none"/>
          <w:u w:val="single"/>
        </w:rPr>
        <w:sym w:font="Wingdings 2" w:char="00A3"/>
      </w:r>
      <w:r>
        <w:rPr>
          <w:rFonts w:hint="eastAsia" w:ascii="宋体" w:hAnsi="宋体" w:eastAsia="宋体" w:cs="宋体"/>
          <w:sz w:val="21"/>
          <w:szCs w:val="21"/>
          <w:highlight w:val="none"/>
          <w:u w:val="single"/>
        </w:rPr>
        <w:t>经长沙市政府相关职能部门或长沙市轨道交通集团有限公司</w:t>
      </w:r>
      <w:r>
        <w:rPr>
          <w:rFonts w:hint="eastAsia" w:ascii="宋体" w:hAnsi="宋体" w:eastAsia="宋体" w:cs="宋体"/>
          <w:kern w:val="0"/>
          <w:sz w:val="21"/>
          <w:szCs w:val="21"/>
          <w:highlight w:val="none"/>
          <w:u w:val="single"/>
          <w:shd w:val="clear" w:color="auto" w:fill="FFFFFF"/>
        </w:rPr>
        <w:t>授权的单位</w:t>
      </w:r>
      <w:r>
        <w:rPr>
          <w:rFonts w:hint="eastAsia" w:ascii="宋体" w:hAnsi="宋体" w:eastAsia="宋体" w:cs="宋体"/>
          <w:sz w:val="21"/>
          <w:szCs w:val="21"/>
          <w:highlight w:val="none"/>
          <w:u w:val="single"/>
        </w:rPr>
        <w:t>审定的结算价格</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sym w:font="Wingdings 2" w:char="0052"/>
      </w:r>
      <w:r>
        <w:rPr>
          <w:rFonts w:hint="eastAsia" w:ascii="宋体" w:hAnsi="宋体" w:eastAsia="宋体" w:cs="宋体"/>
          <w:sz w:val="21"/>
          <w:szCs w:val="21"/>
          <w:highlight w:val="none"/>
          <w:u w:val="single"/>
        </w:rPr>
        <w:t>履约验收合格确定的最终价款</w:t>
      </w:r>
      <w:r>
        <w:rPr>
          <w:rFonts w:hint="eastAsia" w:ascii="宋体" w:hAnsi="宋体" w:eastAsia="宋体" w:cs="宋体"/>
          <w:sz w:val="21"/>
          <w:szCs w:val="21"/>
          <w:highlight w:val="none"/>
        </w:rPr>
        <w:t>。</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（4）“物资”系指乙方根据本合同规定须向甲方提供的各种形态和种类的物品，如小型设备、原材料、耗材、备品备件、工器具、办公用品等。</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（5）“服务”系指根据本合同规定乙方承担与所供物资有关的服务，如运输、保险、提供技术协助、安装调试（如果有）、安装督导（如果有）、培训（如果有）和合同中规定乙方应承担的其它义务。</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（6）“合同条款”系指本合同条款。</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（7）“项目现场”系指本合同项下物资交货及安装调试（如果有）、安装督导（如果有）的现场，具体以甲方书面通知为准。</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（8）“履约验收”系指按照长沙市政府相关职能部门或长沙市轨道交通集团有限公司或长沙市轨道交通集团有限公司授权的单位制定的履约验收相关管理规定办理验收。</w:t>
      </w:r>
    </w:p>
    <w:p>
      <w:pPr>
        <w:keepNext w:val="0"/>
        <w:keepLines w:val="0"/>
        <w:pageBreakBefore w:val="0"/>
        <w:kinsoku/>
        <w:wordWrap/>
        <w:overflowPunct/>
        <w:topLinePunct w:val="0"/>
        <w:autoSpaceDE/>
        <w:autoSpaceDN/>
        <w:bidi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（9）“不可抗力”系是指双方在订立本合同时不可预见，在合同履行过程中不可避免并不能克服的自然灾害和社会性突发事件，如地震、海啸、瘟疫、水灾、骚乱、暴动、战争等情形。</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99" w:name="_Toc8940"/>
      <w:bookmarkStart w:id="100" w:name="_Toc22526"/>
      <w:r>
        <w:rPr>
          <w:rFonts w:hint="eastAsia" w:ascii="宋体" w:hAnsi="宋体" w:eastAsia="宋体" w:cs="宋体"/>
          <w:b/>
          <w:sz w:val="21"/>
          <w:szCs w:val="21"/>
          <w:highlight w:val="none"/>
        </w:rPr>
        <w:t>2.价款支付</w:t>
      </w:r>
      <w:bookmarkEnd w:id="99"/>
      <w:bookmarkEnd w:id="100"/>
    </w:p>
    <w:p>
      <w:pPr>
        <w:keepNext w:val="0"/>
        <w:keepLines w:val="0"/>
        <w:pageBreakBefore w:val="0"/>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2.1预付款</w:t>
      </w:r>
    </w:p>
    <w:p>
      <w:pPr>
        <w:keepNext w:val="0"/>
        <w:keepLines w:val="0"/>
        <w:pageBreakBefore w:val="0"/>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本项目无预付款。</w:t>
      </w:r>
    </w:p>
    <w:p>
      <w:pPr>
        <w:keepNext w:val="0"/>
        <w:keepLines w:val="0"/>
        <w:pageBreakBefore w:val="0"/>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2.2 中间付款</w:t>
      </w:r>
    </w:p>
    <w:p>
      <w:pPr>
        <w:keepNext w:val="0"/>
        <w:keepLines w:val="0"/>
        <w:pageBreakBefore w:val="0"/>
        <w:kinsoku/>
        <w:wordWrap/>
        <w:overflowPunct/>
        <w:topLinePunct w:val="0"/>
        <w:autoSpaceDE/>
        <w:autoSpaceDN/>
        <w:bidi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乙方按合同约定完成所有物资供货及相关工作，且</w:t>
      </w:r>
      <w:r>
        <w:rPr>
          <w:rFonts w:hint="eastAsia" w:ascii="宋体" w:hAnsi="宋体" w:eastAsia="宋体" w:cs="宋体"/>
          <w:kern w:val="0"/>
          <w:sz w:val="21"/>
          <w:szCs w:val="21"/>
          <w:highlight w:val="none"/>
          <w:u w:val="single"/>
          <w:shd w:val="clear" w:color="auto" w:fill="FFFFFF"/>
        </w:rPr>
        <w:t>□本项目的结算价格经长沙市政府相关职能部门或长沙市轨道交通集团有限公司授权的单位审定</w:t>
      </w:r>
      <w:r>
        <w:rPr>
          <w:rFonts w:hint="eastAsia" w:ascii="宋体" w:hAnsi="宋体" w:eastAsia="宋体" w:cs="宋体"/>
          <w:kern w:val="0"/>
          <w:sz w:val="21"/>
          <w:szCs w:val="21"/>
          <w:highlight w:val="none"/>
          <w:shd w:val="clear" w:color="auto" w:fill="FFFFFF"/>
        </w:rPr>
        <w:t>/</w:t>
      </w:r>
      <w:r>
        <w:rPr>
          <w:rFonts w:hint="eastAsia" w:ascii="宋体" w:hAnsi="宋体" w:eastAsia="宋体" w:cs="宋体"/>
          <w:kern w:val="0"/>
          <w:sz w:val="21"/>
          <w:szCs w:val="21"/>
          <w:highlight w:val="none"/>
          <w:u w:val="single"/>
          <w:shd w:val="clear" w:color="auto" w:fill="FFFFFF"/>
        </w:rPr>
        <w:sym w:font="Wingdings 2" w:char="0052"/>
      </w:r>
      <w:r>
        <w:rPr>
          <w:rFonts w:hint="eastAsia" w:ascii="宋体" w:hAnsi="宋体" w:eastAsia="宋体" w:cs="宋体"/>
          <w:kern w:val="0"/>
          <w:sz w:val="21"/>
          <w:szCs w:val="21"/>
          <w:highlight w:val="none"/>
          <w:u w:val="single"/>
          <w:shd w:val="clear" w:color="auto" w:fill="FFFFFF"/>
        </w:rPr>
        <w:t>本项目履约验收合格</w:t>
      </w:r>
      <w:r>
        <w:rPr>
          <w:rFonts w:hint="eastAsia" w:ascii="宋体" w:hAnsi="宋体" w:eastAsia="宋体" w:cs="宋体"/>
          <w:sz w:val="21"/>
          <w:szCs w:val="21"/>
          <w:highlight w:val="none"/>
          <w:lang w:bidi="ar"/>
        </w:rPr>
        <w:t>，在收到经甲方批复的支付申请等资料并证实完整无误后28个工作日内，支付至合同价格的97%</w:t>
      </w:r>
      <w:r>
        <w:rPr>
          <w:rFonts w:hint="eastAsia" w:ascii="宋体" w:hAnsi="宋体" w:eastAsia="宋体" w:cs="宋体"/>
          <w:sz w:val="21"/>
          <w:szCs w:val="21"/>
          <w:highlight w:val="none"/>
        </w:rPr>
        <w:t>。</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2.3最终付款</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质保期满且物资无质量问题，收到</w:t>
      </w:r>
      <w:r>
        <w:rPr>
          <w:rFonts w:hint="eastAsia" w:ascii="宋体" w:hAnsi="宋体" w:eastAsia="宋体" w:cs="宋体"/>
          <w:sz w:val="21"/>
          <w:szCs w:val="21"/>
          <w:highlight w:val="none"/>
          <w:lang w:bidi="ar"/>
        </w:rPr>
        <w:t>经甲方批复的</w:t>
      </w:r>
      <w:r>
        <w:rPr>
          <w:rFonts w:hint="eastAsia" w:ascii="宋体" w:hAnsi="宋体" w:eastAsia="宋体" w:cs="宋体"/>
          <w:sz w:val="21"/>
          <w:szCs w:val="21"/>
          <w:highlight w:val="none"/>
        </w:rPr>
        <w:t>支付请求等资料并</w:t>
      </w:r>
      <w:r>
        <w:rPr>
          <w:rFonts w:hint="eastAsia" w:ascii="宋体" w:hAnsi="宋体" w:eastAsia="宋体" w:cs="宋体"/>
          <w:sz w:val="21"/>
          <w:szCs w:val="21"/>
          <w:highlight w:val="none"/>
          <w:lang w:bidi="ar"/>
        </w:rPr>
        <w:t>证实完整无误后</w:t>
      </w:r>
      <w:r>
        <w:rPr>
          <w:rFonts w:hint="eastAsia" w:ascii="宋体" w:hAnsi="宋体" w:eastAsia="宋体" w:cs="宋体"/>
          <w:sz w:val="21"/>
          <w:szCs w:val="21"/>
          <w:highlight w:val="none"/>
        </w:rPr>
        <w:t>28个工作日内，支付合同价格的剩余款项。</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01" w:name="_Toc25245"/>
      <w:bookmarkStart w:id="102" w:name="_Toc4426"/>
      <w:r>
        <w:rPr>
          <w:rFonts w:hint="eastAsia" w:ascii="宋体" w:hAnsi="宋体" w:eastAsia="宋体" w:cs="宋体"/>
          <w:b/>
          <w:bCs/>
          <w:sz w:val="21"/>
          <w:szCs w:val="21"/>
          <w:highlight w:val="none"/>
        </w:rPr>
        <w:t>3.</w:t>
      </w:r>
      <w:r>
        <w:rPr>
          <w:rFonts w:hint="eastAsia" w:ascii="宋体" w:hAnsi="宋体" w:eastAsia="宋体" w:cs="宋体"/>
          <w:b/>
          <w:sz w:val="21"/>
          <w:szCs w:val="21"/>
          <w:highlight w:val="none"/>
        </w:rPr>
        <w:t>合同履行的时间、地点和方式</w:t>
      </w:r>
      <w:bookmarkEnd w:id="101"/>
      <w:bookmarkEnd w:id="102"/>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3.1 乙方应当按甲方</w:t>
      </w:r>
      <w:r>
        <w:rPr>
          <w:rFonts w:hint="eastAsia" w:ascii="宋体" w:hAnsi="宋体" w:eastAsia="宋体" w:cs="宋体"/>
          <w:sz w:val="21"/>
          <w:szCs w:val="21"/>
          <w:highlight w:val="none"/>
          <w:u w:val="single"/>
        </w:rPr>
        <w:t>用户需求书/技术规格书</w:t>
      </w:r>
      <w:r>
        <w:rPr>
          <w:rFonts w:hint="eastAsia" w:ascii="宋体" w:hAnsi="宋体" w:eastAsia="宋体" w:cs="宋体"/>
          <w:sz w:val="21"/>
          <w:szCs w:val="21"/>
          <w:highlight w:val="none"/>
        </w:rPr>
        <w:t>规定的时间、地点、方式履行合同。</w:t>
      </w:r>
    </w:p>
    <w:p>
      <w:pPr>
        <w:keepNext w:val="0"/>
        <w:keepLines w:val="0"/>
        <w:pageBreakBefore w:val="0"/>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3.2乙方应理解甲方有权根据政府要求及进度情况对工期做合理调整，工期调整后乙方不得以任何理由增加费用，乙方应充分考虑并承诺承担因工期调整所发生的相关费用。</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03" w:name="_Toc16729"/>
      <w:bookmarkStart w:id="104" w:name="_Toc9998"/>
      <w:r>
        <w:rPr>
          <w:rFonts w:hint="eastAsia" w:ascii="宋体" w:hAnsi="宋体" w:eastAsia="宋体" w:cs="宋体"/>
          <w:b/>
          <w:sz w:val="21"/>
          <w:szCs w:val="21"/>
          <w:highlight w:val="none"/>
        </w:rPr>
        <w:t>4.物资的验收</w:t>
      </w:r>
      <w:bookmarkEnd w:id="103"/>
      <w:bookmarkEnd w:id="104"/>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4.1 物资到达甲方指定的交货地点后，甲方负责组织验收，如验收技术条件复杂或需装车测试、使用，或需送第三方检测机构鉴定，则甲乙双方另行协商验收事宜。</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4.2 甲方向乙方发出验收通知，如乙方在收到验收通知后无故缺席，则视为乙方同意甲方验收结果。</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4.3 在验收过程中发现数量不足或有质量、技术等问题，乙方应负责按照甲方的要求采取补足、更换或退货等处理措施，并承担由此发生的一切费用和损失。</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4.4甲方检查验收合格后，应当签署检验结果记录或开箱检验单或开箱意见。</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trike/>
          <w:sz w:val="21"/>
          <w:szCs w:val="21"/>
          <w:highlight w:val="none"/>
        </w:rPr>
      </w:pPr>
      <w:r>
        <w:rPr>
          <w:rFonts w:hint="eastAsia" w:ascii="宋体" w:hAnsi="宋体" w:eastAsia="宋体" w:cs="宋体"/>
          <w:sz w:val="21"/>
          <w:szCs w:val="21"/>
          <w:highlight w:val="none"/>
        </w:rPr>
        <w:t>4.6按相关规定需邀请国家认可的检测机构、专家等参与验收的，相关费用（费用标准参照省、市有关规定执行）由乙方承担。</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05" w:name="_Toc32644"/>
      <w:bookmarkStart w:id="106" w:name="_Toc29026"/>
      <w:r>
        <w:rPr>
          <w:rFonts w:hint="eastAsia" w:ascii="宋体" w:hAnsi="宋体" w:eastAsia="宋体" w:cs="宋体"/>
          <w:b/>
          <w:sz w:val="21"/>
          <w:szCs w:val="21"/>
          <w:highlight w:val="none"/>
        </w:rPr>
        <w:t>5.物资包装要求</w:t>
      </w:r>
      <w:bookmarkEnd w:id="105"/>
      <w:bookmarkEnd w:id="106"/>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5.2 每一个包装箱内应附下列文件：</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（1）包括说明合同名称、物资名称、型号、规格、数量等的详细装箱单；</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（2）供货商或生产商出具的产品合格证；</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（3）产品说明书（包括组装、安装图）；</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07" w:name="_Toc29550"/>
      <w:bookmarkStart w:id="108" w:name="_Toc9439"/>
      <w:r>
        <w:rPr>
          <w:rFonts w:hint="eastAsia" w:ascii="宋体" w:hAnsi="宋体" w:eastAsia="宋体" w:cs="宋体"/>
          <w:b/>
          <w:sz w:val="21"/>
          <w:szCs w:val="21"/>
          <w:highlight w:val="none"/>
        </w:rPr>
        <w:t>6.运输和保险</w:t>
      </w:r>
      <w:bookmarkEnd w:id="107"/>
      <w:bookmarkEnd w:id="108"/>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i/>
          <w:strike/>
          <w:sz w:val="21"/>
          <w:szCs w:val="21"/>
          <w:highlight w:val="none"/>
        </w:rPr>
      </w:pPr>
      <w:bookmarkStart w:id="109" w:name="_Toc1709"/>
      <w:r>
        <w:rPr>
          <w:rFonts w:hint="eastAsia" w:ascii="宋体" w:hAnsi="宋体" w:eastAsia="宋体" w:cs="宋体"/>
          <w:sz w:val="21"/>
          <w:szCs w:val="21"/>
          <w:highlight w:val="none"/>
        </w:rPr>
        <w:t>6.1乙方负责办理和承担将物资运抵本合同第3.1条规定的交货地点的一切事项和风险，相关费用已包括在签约合同价中。</w:t>
      </w:r>
      <w:bookmarkEnd w:id="109"/>
      <w:bookmarkStart w:id="110" w:name="_Toc36"/>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11" w:name="_Toc4454"/>
      <w:r>
        <w:rPr>
          <w:rFonts w:hint="eastAsia" w:ascii="宋体" w:hAnsi="宋体" w:eastAsia="宋体" w:cs="宋体"/>
          <w:b/>
          <w:sz w:val="21"/>
          <w:szCs w:val="21"/>
          <w:highlight w:val="none"/>
        </w:rPr>
        <w:t>7.质量标准和保证</w:t>
      </w:r>
      <w:bookmarkEnd w:id="110"/>
      <w:bookmarkEnd w:id="111"/>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7.1 质量标准</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宋体" w:hAnsi="宋体" w:eastAsia="宋体" w:cs="宋体"/>
          <w:sz w:val="21"/>
          <w:szCs w:val="21"/>
          <w:highlight w:val="none"/>
          <w:u w:val="single"/>
        </w:rPr>
        <w:t>用户需求书/技术规格书</w:t>
      </w:r>
      <w:r>
        <w:rPr>
          <w:rFonts w:hint="eastAsia" w:ascii="宋体" w:hAnsi="宋体" w:eastAsia="宋体" w:cs="宋体"/>
          <w:sz w:val="21"/>
          <w:szCs w:val="21"/>
          <w:highlight w:val="none"/>
        </w:rPr>
        <w:t>所述的标准及产品合格证书的技术性能参数、质量参数。如无提及适用标准，则应符合中华人民共和国有关机构发布的最新版本的标准。</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（2）国家实施强制性产品认证的，须具有认证标志。</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（3）乙方所出售的物资必须包装完好，达到本合同第5、第6条包装、装运要求，同时还应符合国家有关安全、环保、卫生之规定。</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7.2 保证</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（3）本合同质量保证期以</w:t>
      </w:r>
      <w:r>
        <w:rPr>
          <w:rFonts w:hint="eastAsia" w:ascii="宋体" w:hAnsi="宋体" w:eastAsia="宋体" w:cs="宋体"/>
          <w:sz w:val="21"/>
          <w:szCs w:val="21"/>
          <w:highlight w:val="none"/>
          <w:u w:val="single"/>
        </w:rPr>
        <w:t>用户需求书/技术规格书约定为准</w:t>
      </w:r>
      <w:r>
        <w:rPr>
          <w:rFonts w:hint="eastAsia" w:ascii="宋体" w:hAnsi="宋体" w:eastAsia="宋体" w:cs="宋体"/>
          <w:sz w:val="21"/>
          <w:szCs w:val="21"/>
          <w:highlight w:val="none"/>
        </w:rPr>
        <w:t>。如物资原厂保修期长于本合同约定质量保证期的，以原厂保修期为准</w:t>
      </w:r>
      <w:r>
        <w:rPr>
          <w:rFonts w:hint="eastAsia" w:ascii="宋体" w:hAnsi="宋体" w:eastAsia="宋体" w:cs="宋体"/>
          <w:sz w:val="21"/>
          <w:szCs w:val="21"/>
          <w:highlight w:val="none"/>
          <w:lang w:val="en-GB"/>
        </w:rPr>
        <w:t>。</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（7）在质量保证期后，在合同及</w:t>
      </w:r>
      <w:r>
        <w:rPr>
          <w:rFonts w:hint="eastAsia" w:ascii="宋体" w:hAnsi="宋体" w:eastAsia="宋体" w:cs="宋体"/>
          <w:sz w:val="21"/>
          <w:szCs w:val="21"/>
          <w:highlight w:val="none"/>
          <w:u w:val="single"/>
        </w:rPr>
        <w:t>用户需求书/技术规格书</w:t>
      </w:r>
      <w:r>
        <w:rPr>
          <w:rFonts w:hint="eastAsia" w:ascii="宋体" w:hAnsi="宋体" w:eastAsia="宋体" w:cs="宋体"/>
          <w:sz w:val="21"/>
          <w:szCs w:val="21"/>
          <w:highlight w:val="none"/>
        </w:rPr>
        <w:t>规定所要求的正常使用年限内，因物资本身质量原因造成甲方损失的，甲方有权提出索赔。</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12" w:name="_Toc12802"/>
      <w:bookmarkStart w:id="113" w:name="_Toc1429"/>
      <w:r>
        <w:rPr>
          <w:rFonts w:hint="eastAsia" w:ascii="宋体" w:hAnsi="宋体" w:eastAsia="宋体" w:cs="宋体"/>
          <w:b/>
          <w:sz w:val="21"/>
          <w:szCs w:val="21"/>
          <w:highlight w:val="none"/>
        </w:rPr>
        <w:t>8.履约担保</w:t>
      </w:r>
      <w:bookmarkEnd w:id="112"/>
      <w:bookmarkEnd w:id="113"/>
    </w:p>
    <w:p>
      <w:pPr>
        <w:keepNext w:val="0"/>
        <w:keepLines w:val="0"/>
        <w:pageBreakBefore w:val="0"/>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xml:space="preserve">8.1 </w:t>
      </w:r>
      <w:r>
        <w:rPr>
          <w:rFonts w:hint="eastAsia" w:ascii="宋体" w:hAnsi="宋体" w:eastAsia="宋体" w:cs="宋体"/>
          <w:kern w:val="0"/>
          <w:sz w:val="21"/>
          <w:szCs w:val="21"/>
          <w:highlight w:val="none"/>
        </w:rPr>
        <w:t>乙方</w:t>
      </w:r>
      <w:r>
        <w:rPr>
          <w:rFonts w:hint="eastAsia" w:ascii="宋体" w:hAnsi="宋体" w:eastAsia="宋体" w:cs="宋体"/>
          <w:kern w:val="0"/>
          <w:sz w:val="21"/>
          <w:szCs w:val="21"/>
          <w:highlight w:val="none"/>
          <w:u w:val="single"/>
        </w:rPr>
        <w:sym w:font="Wingdings 2" w:char="0052"/>
      </w:r>
      <w:r>
        <w:rPr>
          <w:rFonts w:hint="eastAsia" w:ascii="宋体" w:hAnsi="宋体" w:eastAsia="宋体" w:cs="宋体"/>
          <w:kern w:val="0"/>
          <w:sz w:val="21"/>
          <w:szCs w:val="21"/>
          <w:highlight w:val="none"/>
          <w:u w:val="single"/>
        </w:rPr>
        <w:t>需要</w:t>
      </w:r>
      <w:r>
        <w:rPr>
          <w:rFonts w:hint="eastAsia" w:ascii="宋体" w:hAnsi="宋体" w:eastAsia="宋体" w:cs="宋体"/>
          <w:kern w:val="0"/>
          <w:sz w:val="21"/>
          <w:szCs w:val="21"/>
          <w:highlight w:val="none"/>
          <w:u w:val="none"/>
        </w:rPr>
        <w:t>/</w:t>
      </w:r>
      <w:r>
        <w:rPr>
          <w:rFonts w:hint="eastAsia" w:ascii="宋体" w:hAnsi="宋体" w:eastAsia="宋体" w:cs="宋体"/>
          <w:kern w:val="0"/>
          <w:sz w:val="21"/>
          <w:szCs w:val="21"/>
          <w:highlight w:val="none"/>
          <w:u w:val="single"/>
        </w:rPr>
        <w:t>□不需要</w:t>
      </w:r>
      <w:r>
        <w:rPr>
          <w:rFonts w:hint="eastAsia" w:ascii="宋体" w:hAnsi="宋体" w:eastAsia="宋体" w:cs="宋体"/>
          <w:kern w:val="0"/>
          <w:sz w:val="21"/>
          <w:szCs w:val="21"/>
          <w:highlight w:val="none"/>
        </w:rPr>
        <w:t>提供履约担保。</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bookmarkStart w:id="114" w:name="_Toc954"/>
      <w:r>
        <w:rPr>
          <w:rFonts w:hint="eastAsia" w:ascii="宋体" w:hAnsi="宋体" w:eastAsia="宋体" w:cs="宋体"/>
          <w:kern w:val="0"/>
          <w:sz w:val="21"/>
          <w:szCs w:val="21"/>
          <w:highlight w:val="none"/>
        </w:rPr>
        <w:t>8.2如需要乙方提供履约担保，则：</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8.2.1履约担保用于补偿甲方因乙方不能完成其合同义务而蒙受的损失，是办理投标担保（如有）退还手续及合同价款支付手续的必要条件之一。</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8.2.2乙方提供履约担保的形式、金额及期限可采用以下方式之一 ：</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（2）采用现金形式，现金担保额度为签约合同价的10%，担保期限为履约保证金到账之日起至合同约定执行计划中供货、安装、调试最晚之日止。履约担保以现金形式提交的，乙方应从其基本账户通过转</w:t>
      </w:r>
      <w:r>
        <w:rPr>
          <w:rFonts w:hint="eastAsia" w:ascii="宋体" w:hAnsi="宋体" w:eastAsia="宋体" w:cs="宋体"/>
          <w:kern w:val="0"/>
          <w:sz w:val="21"/>
          <w:szCs w:val="21"/>
          <w:highlight w:val="none"/>
          <w:lang w:eastAsia="zh-CN"/>
        </w:rPr>
        <w:t>账</w:t>
      </w:r>
      <w:r>
        <w:rPr>
          <w:rFonts w:hint="eastAsia" w:ascii="宋体" w:hAnsi="宋体" w:eastAsia="宋体" w:cs="宋体"/>
          <w:kern w:val="0"/>
          <w:sz w:val="21"/>
          <w:szCs w:val="21"/>
          <w:highlight w:val="none"/>
        </w:rPr>
        <w:t>或电汇至甲方指定的账户。</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8.2.3如需提供履约担保，则乙方应确保提供的银行履约保函持续有效，在银行履约保函到期前1个月内办理好续保手续，并向甲方提供新的有效的银行履约保函。</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8.2.4如需提供履约担保，合同履约未完成而履约担保到期的，乙方应在履约担保到期后的首次办理合同价款支付手续时提供有效的续保文件。</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8.2.5在乙方完成其合同义务包括任何保证义务后，甲方将把履约担保无息退还乙方。</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9.知识产权保护</w:t>
      </w:r>
      <w:bookmarkEnd w:id="114"/>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9.1 乙方对其所供的物资应当享有知识产权或经权利人合法授权，保证没有侵犯任何第三人的知识产权和商业秘密等权利。</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9.2 甲方使用乙方提供的物资对第三人构成侵权的，应当由乙方承担全部法律责任，给甲方造成损害的，乙方应当承担赔偿责任。</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9.3 甲方委托乙方开发的产品，甲方享有知识产权，未经甲方许可不得转让任何第三人。</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sz w:val="21"/>
          <w:szCs w:val="21"/>
          <w:highlight w:val="none"/>
        </w:rPr>
      </w:pPr>
      <w:bookmarkStart w:id="115" w:name="_Toc11812"/>
      <w:bookmarkStart w:id="116" w:name="_Toc23109"/>
      <w:r>
        <w:rPr>
          <w:rFonts w:hint="eastAsia" w:ascii="宋体" w:hAnsi="宋体" w:eastAsia="宋体" w:cs="宋体"/>
          <w:b/>
          <w:sz w:val="21"/>
          <w:szCs w:val="21"/>
          <w:highlight w:val="none"/>
        </w:rPr>
        <w:t>10.服务</w:t>
      </w:r>
      <w:bookmarkEnd w:id="115"/>
      <w:bookmarkEnd w:id="116"/>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10.1 乙方应向甲方提交所提供物资的技术文件，包括相应的中文技术文件，如：产品目录、图纸、操作手册、使用说明、维护手册或服务指南。这些文件应包装好随同物资一起发运。</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10.2 乙方还应提供下列服务：</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（1）物资的现场移动、安装调试（如果有）、安装督导（如果有）及技术支持；</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（2）提供物资组装和维修所需的专用工具和辅助材料（如果有）；</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（3）在制造商或项目现场就物资的安装、启动、运营、维护对甲方操作人员进行培训（如果有）；</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（4）用户需求书及技术规格书规定的其他服务。</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10.3 乙方提供服务的费用均已包含在签约合同价中，甲方不再另行支付。</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17" w:name="_Toc7655"/>
      <w:bookmarkStart w:id="118" w:name="_Toc27596"/>
      <w:r>
        <w:rPr>
          <w:rFonts w:hint="eastAsia" w:ascii="宋体" w:hAnsi="宋体" w:eastAsia="宋体" w:cs="宋体"/>
          <w:b/>
          <w:sz w:val="21"/>
          <w:szCs w:val="21"/>
          <w:highlight w:val="none"/>
        </w:rPr>
        <w:t>11.违约及赔偿责任</w:t>
      </w:r>
      <w:bookmarkEnd w:id="117"/>
      <w:bookmarkEnd w:id="118"/>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11.1 迟延交货的违约责任</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（2）除非甲方书面同意延迟到货外，如果乙方没有按照合同规定的时间交货，每延误一天，</w:t>
      </w:r>
      <w:r>
        <w:rPr>
          <w:rFonts w:hint="eastAsia" w:ascii="宋体" w:hAnsi="宋体" w:eastAsia="宋体" w:cs="宋体"/>
          <w:kern w:val="0"/>
          <w:sz w:val="21"/>
          <w:szCs w:val="21"/>
          <w:highlight w:val="none"/>
        </w:rPr>
        <w:t>甲方有权要求乙方</w:t>
      </w:r>
      <w:r>
        <w:rPr>
          <w:rFonts w:hint="eastAsia" w:ascii="宋体" w:hAnsi="宋体" w:eastAsia="宋体" w:cs="宋体"/>
          <w:sz w:val="21"/>
          <w:szCs w:val="21"/>
          <w:highlight w:val="none"/>
        </w:rPr>
        <w:t>按延迟交货物资价格的1%交纳违约金，违约金最高不超过该批物资价格的20%。</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11.2服务不合格违约</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宋体" w:hAnsi="宋体" w:eastAsia="宋体" w:cs="宋体"/>
          <w:kern w:val="0"/>
          <w:sz w:val="21"/>
          <w:szCs w:val="21"/>
          <w:highlight w:val="none"/>
        </w:rPr>
        <w:t>甲方有权要求乙方</w:t>
      </w:r>
      <w:r>
        <w:rPr>
          <w:rFonts w:hint="eastAsia" w:ascii="宋体" w:hAnsi="宋体" w:eastAsia="宋体" w:cs="宋体"/>
          <w:sz w:val="21"/>
          <w:szCs w:val="21"/>
          <w:highlight w:val="none"/>
        </w:rPr>
        <w:t>交纳人民币1000元/次的违约金。</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 货物不合格违约</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乙方所提供物资的型号、规格、技术参数不符合合同规定的，乙方需无条件免费更换符合合同约定的物资，由此给甲方造成损失的，甲方有权要求乙方交纳2000元/次的违约金。</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r>
        <w:rPr>
          <w:rFonts w:hint="eastAsia" w:ascii="宋体" w:hAnsi="宋体" w:eastAsia="宋体" w:cs="宋体"/>
          <w:kern w:val="0"/>
          <w:sz w:val="21"/>
          <w:szCs w:val="21"/>
          <w:highlight w:val="none"/>
          <w:lang w:val="en-US" w:eastAsia="zh-CN"/>
        </w:rPr>
        <w:t>4</w:t>
      </w:r>
      <w:r>
        <w:rPr>
          <w:rFonts w:hint="eastAsia" w:ascii="宋体" w:hAnsi="宋体" w:eastAsia="宋体" w:cs="宋体"/>
          <w:b w:val="0"/>
          <w:kern w:val="0"/>
          <w:sz w:val="21"/>
          <w:szCs w:val="21"/>
          <w:highlight w:val="none"/>
        </w:rPr>
        <w:t>乙方应以现金或转账方式交纳违约金，甲方根据税法相关规定开具收款收据或增值税发票</w:t>
      </w:r>
      <w:r>
        <w:rPr>
          <w:rFonts w:hint="eastAsia" w:ascii="宋体" w:hAnsi="宋体" w:eastAsia="宋体" w:cs="宋体"/>
          <w:kern w:val="0"/>
          <w:sz w:val="21"/>
          <w:szCs w:val="21"/>
          <w:highlight w:val="none"/>
        </w:rPr>
        <w:t>。</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乙方在接到甲方的违约通知后，应按通知要求交纳违约金；否则，甲方有权暂停合同价款支付或从乙方的合同价款中扣除相应的违约金。</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赔偿责任</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（1）乙方包装物资时未尽到合理注意义务，导致物资毁损或灭失的，由乙方承担赔偿责任。</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（2）发生因乙方违约导致甲方损失的，乙方除承担本合同约定的违约金外，同时一并承担由此给甲方造成的损失。</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（3）乙方未履行保密义务给甲方或任何第三方造成损失的，乙方应承担相应的赔偿责任。</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（4）因乙方提供的发票导致甲方被税务部门追究相关法律责任的，乙方应承担由此给甲方造成的损失（包括但不限于未抵扣的税费、滞纳金）。</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sz w:val="21"/>
          <w:szCs w:val="21"/>
          <w:highlight w:val="none"/>
        </w:rPr>
      </w:pPr>
      <w:bookmarkStart w:id="119" w:name="_Toc9629"/>
      <w:bookmarkStart w:id="120" w:name="_Toc19889"/>
      <w:r>
        <w:rPr>
          <w:rFonts w:hint="eastAsia" w:ascii="宋体" w:hAnsi="宋体" w:eastAsia="宋体" w:cs="宋体"/>
          <w:b/>
          <w:sz w:val="21"/>
          <w:szCs w:val="21"/>
          <w:highlight w:val="none"/>
        </w:rPr>
        <w:t>12.不可抗力</w:t>
      </w:r>
      <w:bookmarkEnd w:id="119"/>
      <w:bookmarkEnd w:id="120"/>
    </w:p>
    <w:p>
      <w:pPr>
        <w:keepNext w:val="0"/>
        <w:keepLines w:val="0"/>
        <w:pageBreakBefore w:val="0"/>
        <w:widowControl/>
        <w:kinsoku/>
        <w:wordWrap/>
        <w:overflowPunct/>
        <w:topLinePunct w:val="0"/>
        <w:autoSpaceDE/>
        <w:autoSpaceDN/>
        <w:bidi w:val="0"/>
        <w:snapToGrid w:val="0"/>
        <w:spacing w:line="400" w:lineRule="exact"/>
        <w:ind w:left="0" w:firstLine="420" w:firstLineChars="200"/>
        <w:jc w:val="left"/>
        <w:textAlignment w:val="auto"/>
        <w:outlineLvl w:val="9"/>
        <w:rPr>
          <w:rFonts w:hint="eastAsia" w:ascii="宋体" w:hAnsi="宋体" w:eastAsia="宋体" w:cs="宋体"/>
          <w:kern w:val="0"/>
          <w:sz w:val="21"/>
          <w:szCs w:val="21"/>
          <w:highlight w:val="none"/>
          <w:shd w:val="clear" w:color="auto" w:fill="FFFFFF"/>
        </w:rPr>
      </w:pPr>
      <w:bookmarkStart w:id="121" w:name="_Toc351203608"/>
      <w:r>
        <w:rPr>
          <w:rFonts w:hint="eastAsia" w:ascii="宋体" w:hAnsi="宋体" w:eastAsia="宋体" w:cs="宋体"/>
          <w:kern w:val="0"/>
          <w:sz w:val="21"/>
          <w:szCs w:val="21"/>
          <w:highlight w:val="none"/>
          <w:shd w:val="clear" w:color="auto" w:fill="FFFFFF"/>
        </w:rPr>
        <w:t>12.1</w:t>
      </w:r>
      <w:bookmarkEnd w:id="121"/>
      <w:r>
        <w:rPr>
          <w:rFonts w:hint="eastAsia" w:ascii="宋体" w:hAnsi="宋体" w:eastAsia="宋体" w:cs="宋体"/>
          <w:kern w:val="0"/>
          <w:sz w:val="21"/>
          <w:szCs w:val="21"/>
          <w:highlight w:val="none"/>
          <w:shd w:val="clear" w:color="auto" w:fill="FFFFFF"/>
        </w:rPr>
        <w:t>不可抗力的确认</w:t>
      </w:r>
    </w:p>
    <w:p>
      <w:pPr>
        <w:keepNext w:val="0"/>
        <w:keepLines w:val="0"/>
        <w:pageBreakBefore w:val="0"/>
        <w:widowControl/>
        <w:kinsoku/>
        <w:wordWrap/>
        <w:overflowPunct/>
        <w:topLinePunct w:val="0"/>
        <w:autoSpaceDE/>
        <w:autoSpaceDN/>
        <w:bidi w:val="0"/>
        <w:snapToGrid w:val="0"/>
        <w:spacing w:line="400" w:lineRule="exact"/>
        <w:ind w:left="0" w:firstLine="420" w:firstLineChars="200"/>
        <w:jc w:val="left"/>
        <w:textAlignment w:val="auto"/>
        <w:outlineLvl w:val="9"/>
        <w:rPr>
          <w:rFonts w:hint="eastAsia" w:ascii="宋体" w:hAnsi="宋体" w:eastAsia="宋体" w:cs="宋体"/>
          <w:kern w:val="0"/>
          <w:sz w:val="21"/>
          <w:szCs w:val="21"/>
          <w:highlight w:val="none"/>
          <w:shd w:val="clear" w:color="auto" w:fill="FFFFFF"/>
        </w:rPr>
      </w:pPr>
      <w:r>
        <w:rPr>
          <w:rFonts w:hint="eastAsia" w:ascii="宋体" w:hAnsi="宋体" w:eastAsia="宋体" w:cs="宋体"/>
          <w:kern w:val="0"/>
          <w:sz w:val="21"/>
          <w:szCs w:val="21"/>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keepNext w:val="0"/>
        <w:keepLines w:val="0"/>
        <w:pageBreakBefore w:val="0"/>
        <w:widowControl/>
        <w:kinsoku/>
        <w:wordWrap/>
        <w:overflowPunct/>
        <w:topLinePunct w:val="0"/>
        <w:autoSpaceDE/>
        <w:autoSpaceDN/>
        <w:bidi w:val="0"/>
        <w:snapToGrid w:val="0"/>
        <w:spacing w:line="400" w:lineRule="exact"/>
        <w:ind w:left="0" w:firstLine="420" w:firstLineChars="200"/>
        <w:jc w:val="left"/>
        <w:textAlignment w:val="auto"/>
        <w:outlineLvl w:val="9"/>
        <w:rPr>
          <w:rFonts w:hint="eastAsia" w:ascii="宋体" w:hAnsi="宋体" w:eastAsia="宋体" w:cs="宋体"/>
          <w:kern w:val="0"/>
          <w:sz w:val="21"/>
          <w:szCs w:val="21"/>
          <w:highlight w:val="none"/>
          <w:shd w:val="clear" w:color="auto" w:fill="FFFFFF"/>
        </w:rPr>
      </w:pPr>
      <w:bookmarkStart w:id="122" w:name="_Toc296346619"/>
      <w:bookmarkEnd w:id="122"/>
      <w:bookmarkStart w:id="123" w:name="_Toc337558825"/>
      <w:bookmarkEnd w:id="123"/>
      <w:bookmarkStart w:id="124" w:name="_Toc296503118"/>
      <w:bookmarkEnd w:id="124"/>
      <w:bookmarkStart w:id="125" w:name="_Toc351203609"/>
      <w:r>
        <w:rPr>
          <w:rFonts w:hint="eastAsia" w:ascii="宋体" w:hAnsi="宋体" w:eastAsia="宋体" w:cs="宋体"/>
          <w:kern w:val="0"/>
          <w:sz w:val="21"/>
          <w:szCs w:val="21"/>
          <w:highlight w:val="none"/>
          <w:shd w:val="clear" w:color="auto" w:fill="FFFFFF"/>
        </w:rPr>
        <w:t>12.2</w:t>
      </w:r>
      <w:bookmarkEnd w:id="125"/>
      <w:r>
        <w:rPr>
          <w:rFonts w:hint="eastAsia" w:ascii="宋体" w:hAnsi="宋体" w:eastAsia="宋体" w:cs="宋体"/>
          <w:kern w:val="0"/>
          <w:sz w:val="21"/>
          <w:szCs w:val="21"/>
          <w:highlight w:val="none"/>
          <w:shd w:val="clear" w:color="auto" w:fill="FFFFFF"/>
        </w:rPr>
        <w:t>不可抗力的通知</w:t>
      </w:r>
    </w:p>
    <w:p>
      <w:pPr>
        <w:keepNext w:val="0"/>
        <w:keepLines w:val="0"/>
        <w:pageBreakBefore w:val="0"/>
        <w:widowControl/>
        <w:kinsoku/>
        <w:wordWrap/>
        <w:overflowPunct/>
        <w:topLinePunct w:val="0"/>
        <w:autoSpaceDE/>
        <w:autoSpaceDN/>
        <w:bidi w:val="0"/>
        <w:snapToGrid w:val="0"/>
        <w:spacing w:line="400" w:lineRule="exact"/>
        <w:ind w:left="0" w:firstLine="420" w:firstLineChars="200"/>
        <w:jc w:val="left"/>
        <w:textAlignment w:val="auto"/>
        <w:outlineLvl w:val="9"/>
        <w:rPr>
          <w:rFonts w:hint="eastAsia" w:ascii="宋体" w:hAnsi="宋体" w:eastAsia="宋体" w:cs="宋体"/>
          <w:kern w:val="0"/>
          <w:sz w:val="21"/>
          <w:szCs w:val="21"/>
          <w:highlight w:val="none"/>
          <w:shd w:val="clear" w:color="auto" w:fill="FFFFFF"/>
        </w:rPr>
      </w:pPr>
      <w:r>
        <w:rPr>
          <w:rFonts w:hint="eastAsia" w:ascii="宋体" w:hAnsi="宋体" w:eastAsia="宋体" w:cs="宋体"/>
          <w:kern w:val="0"/>
          <w:sz w:val="21"/>
          <w:szCs w:val="21"/>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keepNext w:val="0"/>
        <w:keepLines w:val="0"/>
        <w:pageBreakBefore w:val="0"/>
        <w:widowControl/>
        <w:kinsoku/>
        <w:wordWrap/>
        <w:overflowPunct/>
        <w:topLinePunct w:val="0"/>
        <w:autoSpaceDE/>
        <w:autoSpaceDN/>
        <w:bidi w:val="0"/>
        <w:snapToGrid w:val="0"/>
        <w:spacing w:line="400" w:lineRule="exact"/>
        <w:ind w:left="0" w:firstLine="420" w:firstLineChars="200"/>
        <w:jc w:val="left"/>
        <w:textAlignment w:val="auto"/>
        <w:outlineLvl w:val="9"/>
        <w:rPr>
          <w:rFonts w:hint="eastAsia" w:ascii="宋体" w:hAnsi="宋体" w:eastAsia="宋体" w:cs="宋体"/>
          <w:kern w:val="0"/>
          <w:sz w:val="21"/>
          <w:szCs w:val="21"/>
          <w:highlight w:val="none"/>
          <w:shd w:val="clear" w:color="auto" w:fill="FFFFFF"/>
        </w:rPr>
      </w:pPr>
      <w:r>
        <w:rPr>
          <w:rFonts w:hint="eastAsia" w:ascii="宋体" w:hAnsi="宋体" w:eastAsia="宋体" w:cs="宋体"/>
          <w:kern w:val="0"/>
          <w:sz w:val="21"/>
          <w:szCs w:val="21"/>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keepNext w:val="0"/>
        <w:keepLines w:val="0"/>
        <w:pageBreakBefore w:val="0"/>
        <w:widowControl/>
        <w:kinsoku/>
        <w:wordWrap/>
        <w:overflowPunct/>
        <w:topLinePunct w:val="0"/>
        <w:autoSpaceDE/>
        <w:autoSpaceDN/>
        <w:bidi w:val="0"/>
        <w:snapToGrid w:val="0"/>
        <w:spacing w:line="400" w:lineRule="exact"/>
        <w:ind w:left="0" w:firstLine="420" w:firstLineChars="200"/>
        <w:jc w:val="left"/>
        <w:textAlignment w:val="auto"/>
        <w:outlineLvl w:val="9"/>
        <w:rPr>
          <w:rFonts w:hint="eastAsia" w:ascii="宋体" w:hAnsi="宋体" w:eastAsia="宋体" w:cs="宋体"/>
          <w:kern w:val="0"/>
          <w:sz w:val="21"/>
          <w:szCs w:val="21"/>
          <w:highlight w:val="none"/>
          <w:shd w:val="clear" w:color="auto" w:fill="FFFFFF"/>
        </w:rPr>
      </w:pPr>
      <w:bookmarkStart w:id="126" w:name="_Toc296503119"/>
      <w:bookmarkEnd w:id="126"/>
      <w:bookmarkStart w:id="127" w:name="_Toc296346620"/>
      <w:bookmarkEnd w:id="127"/>
      <w:bookmarkStart w:id="128" w:name="_Toc337558826"/>
      <w:bookmarkEnd w:id="128"/>
      <w:bookmarkStart w:id="129" w:name="_Toc351203610"/>
      <w:r>
        <w:rPr>
          <w:rFonts w:hint="eastAsia" w:ascii="宋体" w:hAnsi="宋体" w:eastAsia="宋体" w:cs="宋体"/>
          <w:kern w:val="0"/>
          <w:sz w:val="21"/>
          <w:szCs w:val="21"/>
          <w:highlight w:val="none"/>
          <w:shd w:val="clear" w:color="auto" w:fill="FFFFFF"/>
        </w:rPr>
        <w:t>12.3</w:t>
      </w:r>
      <w:bookmarkEnd w:id="129"/>
      <w:r>
        <w:rPr>
          <w:rFonts w:hint="eastAsia" w:ascii="宋体" w:hAnsi="宋体" w:eastAsia="宋体" w:cs="宋体"/>
          <w:kern w:val="0"/>
          <w:sz w:val="21"/>
          <w:szCs w:val="21"/>
          <w:highlight w:val="none"/>
          <w:shd w:val="clear" w:color="auto" w:fill="FFFFFF"/>
        </w:rPr>
        <w:t>不可抗力后果的承担</w:t>
      </w:r>
    </w:p>
    <w:p>
      <w:pPr>
        <w:keepNext w:val="0"/>
        <w:keepLines w:val="0"/>
        <w:pageBreakBefore w:val="0"/>
        <w:widowControl/>
        <w:kinsoku/>
        <w:wordWrap/>
        <w:overflowPunct/>
        <w:topLinePunct w:val="0"/>
        <w:autoSpaceDE/>
        <w:autoSpaceDN/>
        <w:bidi w:val="0"/>
        <w:snapToGrid w:val="0"/>
        <w:spacing w:line="400" w:lineRule="exact"/>
        <w:ind w:left="0" w:firstLine="420" w:firstLineChars="200"/>
        <w:jc w:val="left"/>
        <w:textAlignment w:val="auto"/>
        <w:outlineLvl w:val="9"/>
        <w:rPr>
          <w:rFonts w:hint="eastAsia" w:ascii="宋体" w:hAnsi="宋体" w:eastAsia="宋体" w:cs="宋体"/>
          <w:kern w:val="0"/>
          <w:sz w:val="21"/>
          <w:szCs w:val="21"/>
          <w:highlight w:val="none"/>
          <w:shd w:val="clear" w:color="auto" w:fill="FFFFFF"/>
        </w:rPr>
      </w:pPr>
      <w:r>
        <w:rPr>
          <w:rFonts w:hint="eastAsia" w:ascii="宋体" w:hAnsi="宋体" w:eastAsia="宋体" w:cs="宋体"/>
          <w:kern w:val="0"/>
          <w:sz w:val="21"/>
          <w:szCs w:val="21"/>
          <w:highlight w:val="none"/>
          <w:shd w:val="clear" w:color="auto" w:fill="FFFFFF"/>
        </w:rPr>
        <w:t>不可抗力引起的后果及造成的损失由合同当事人按照法律规定及合同约定各自承担。不可抗力发生前已完成的工作应当按照合同约定进行支付。</w:t>
      </w:r>
    </w:p>
    <w:p>
      <w:pPr>
        <w:keepNext w:val="0"/>
        <w:keepLines w:val="0"/>
        <w:pageBreakBefore w:val="0"/>
        <w:widowControl/>
        <w:kinsoku/>
        <w:wordWrap/>
        <w:overflowPunct/>
        <w:topLinePunct w:val="0"/>
        <w:autoSpaceDE/>
        <w:autoSpaceDN/>
        <w:bidi w:val="0"/>
        <w:snapToGrid w:val="0"/>
        <w:spacing w:line="400" w:lineRule="exact"/>
        <w:ind w:left="0" w:firstLine="420" w:firstLineChars="200"/>
        <w:jc w:val="left"/>
        <w:textAlignment w:val="auto"/>
        <w:outlineLvl w:val="9"/>
        <w:rPr>
          <w:rFonts w:hint="eastAsia" w:ascii="宋体" w:hAnsi="宋体" w:eastAsia="宋体" w:cs="宋体"/>
          <w:kern w:val="0"/>
          <w:sz w:val="21"/>
          <w:szCs w:val="21"/>
          <w:highlight w:val="none"/>
          <w:shd w:val="clear" w:color="auto" w:fill="FFFFFF"/>
        </w:rPr>
      </w:pPr>
      <w:r>
        <w:rPr>
          <w:rFonts w:hint="eastAsia" w:ascii="宋体" w:hAnsi="宋体" w:eastAsia="宋体" w:cs="宋体"/>
          <w:kern w:val="0"/>
          <w:sz w:val="21"/>
          <w:szCs w:val="21"/>
          <w:highlight w:val="none"/>
          <w:shd w:val="clear" w:color="auto" w:fill="FFFFFF"/>
        </w:rPr>
        <w:t>不可抗力发生后，合同当事人均应采取措施尽量避免和减少损失的扩大，任何一方当事人没有采取有效措施导致损失扩大的，应对扩大的损失承担责任。</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bCs/>
          <w:sz w:val="21"/>
          <w:szCs w:val="21"/>
          <w:highlight w:val="none"/>
          <w:shd w:val="clear" w:color="auto" w:fill="FFFFFF"/>
        </w:rPr>
        <w:t>因合同一方迟延履行合同义务，在迟延履行期间遭遇不可抗力的，不免除其违约责任。</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30" w:name="_Toc32375"/>
      <w:r>
        <w:rPr>
          <w:rFonts w:hint="eastAsia" w:ascii="宋体" w:hAnsi="宋体" w:eastAsia="宋体" w:cs="宋体"/>
          <w:b/>
          <w:sz w:val="21"/>
          <w:szCs w:val="21"/>
          <w:highlight w:val="none"/>
        </w:rPr>
        <w:t>13.合同终止</w:t>
      </w:r>
      <w:bookmarkEnd w:id="130"/>
    </w:p>
    <w:p>
      <w:pPr>
        <w:keepNext w:val="0"/>
        <w:keepLines w:val="0"/>
        <w:pageBreakBefore w:val="0"/>
        <w:kinsoku/>
        <w:wordWrap/>
        <w:overflowPunct/>
        <w:topLinePunct w:val="0"/>
        <w:autoSpaceDE/>
        <w:autoSpaceDN/>
        <w:bidi w:val="0"/>
        <w:adjustRightInd w:val="0"/>
        <w:snapToGrid w:val="0"/>
        <w:spacing w:line="400" w:lineRule="exact"/>
        <w:ind w:left="0" w:firstLine="420" w:firstLineChars="200"/>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bCs/>
          <w:sz w:val="21"/>
          <w:szCs w:val="21"/>
          <w:highlight w:val="none"/>
        </w:rPr>
        <w:t xml:space="preserve">13.1 </w:t>
      </w:r>
      <w:r>
        <w:rPr>
          <w:rFonts w:hint="eastAsia" w:ascii="宋体" w:hAnsi="宋体" w:eastAsia="宋体" w:cs="宋体"/>
          <w:kern w:val="0"/>
          <w:sz w:val="21"/>
          <w:szCs w:val="21"/>
          <w:highlight w:val="none"/>
        </w:rPr>
        <w:t>甲方、乙方履行合同全部义务，合同价款支付完毕，本合同即告终止。</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13.2合同的权利义务终止后，合同当事人应遵循诚实信用原则，履行通知、协助和保密等义务。</w:t>
      </w:r>
    </w:p>
    <w:p>
      <w:pPr>
        <w:keepNext w:val="0"/>
        <w:keepLines w:val="0"/>
        <w:pageBreakBefore w:val="0"/>
        <w:kinsoku/>
        <w:wordWrap/>
        <w:overflowPunct/>
        <w:topLinePunct w:val="0"/>
        <w:autoSpaceDE/>
        <w:autoSpaceDN/>
        <w:bidi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31" w:name="_Toc23332"/>
      <w:r>
        <w:rPr>
          <w:rFonts w:hint="eastAsia" w:ascii="宋体" w:hAnsi="宋体" w:eastAsia="宋体" w:cs="宋体"/>
          <w:b/>
          <w:sz w:val="21"/>
          <w:szCs w:val="21"/>
          <w:highlight w:val="none"/>
        </w:rPr>
        <w:t>14.合同解除</w:t>
      </w:r>
      <w:bookmarkEnd w:id="131"/>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14.1本合同一经签订，双方不得擅自变更、解除合同。</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14.2有下列情形之一的，合同当事人一方或双方可以解除合同：</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（1）乙方将本合同约定的物资及服务工作全部或部分转包给他人，甲方有权解除合同；</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（2）乙方提供的物资及服务不符合合同约定的要求，经甲方催告仍不能达到合同约定要求的，甲方有权解除合同；</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（3）因不可抗力致使合同无法履行；</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（4）因一方违约致使合同无法实际履行或实际履行已无必要；</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（5）违约金总额超过合同签约合同价的20%，甲方有权解除合同。</w:t>
      </w:r>
    </w:p>
    <w:p>
      <w:pPr>
        <w:keepNext w:val="0"/>
        <w:keepLines w:val="0"/>
        <w:pageBreakBefore w:val="0"/>
        <w:kinsoku/>
        <w:wordWrap/>
        <w:overflowPunct/>
        <w:topLinePunct w:val="0"/>
        <w:autoSpaceDE/>
        <w:autoSpaceDN/>
        <w:bidi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14.3任何一方提出解除合同的，应提前30天书面通知对方，违约方应赔偿由此给守约方造成的直接损失和间接损失。因不可抗力导致的合同解除，双方各自承担自身的损失。</w:t>
      </w:r>
    </w:p>
    <w:p>
      <w:pPr>
        <w:pStyle w:val="46"/>
        <w:keepNext w:val="0"/>
        <w:keepLines w:val="0"/>
        <w:pageBreakBefore w:val="0"/>
        <w:kinsoku/>
        <w:wordWrap/>
        <w:overflowPunct/>
        <w:topLinePunct w:val="0"/>
        <w:autoSpaceDE/>
        <w:autoSpaceDN/>
        <w:bidi w:val="0"/>
        <w:spacing w:after="0"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14.4因乙方原因提前终止合同的，乙方应承担由此给甲方造成的损失，甲方有权没收乙方所交履约担保（如有），同时甲方有权要求乙方按签约合同价的20%交纳违约金。解除部分合同的，甲方有权另行采购因部分解除合同而乙方未履行部分，乙方应承担甲方由此产生的费用并继续履行合同中未解除的部分。</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14.5合同解除后，本合同约定的有关结算、争议解决方式的条款仍然有效。</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32" w:name="_Toc19594"/>
      <w:bookmarkStart w:id="133" w:name="_Toc10699"/>
      <w:r>
        <w:rPr>
          <w:rFonts w:hint="eastAsia" w:ascii="宋体" w:hAnsi="宋体" w:eastAsia="宋体" w:cs="宋体"/>
          <w:b/>
          <w:sz w:val="21"/>
          <w:szCs w:val="21"/>
          <w:highlight w:val="none"/>
        </w:rPr>
        <w:t>15.争议解决</w:t>
      </w:r>
      <w:bookmarkEnd w:id="132"/>
      <w:bookmarkEnd w:id="133"/>
    </w:p>
    <w:p>
      <w:pPr>
        <w:keepNext w:val="0"/>
        <w:keepLines w:val="0"/>
        <w:pageBreakBefore w:val="0"/>
        <w:kinsoku/>
        <w:wordWrap/>
        <w:overflowPunct/>
        <w:topLinePunct w:val="0"/>
        <w:autoSpaceDE/>
        <w:autoSpaceDN/>
        <w:bidi w:val="0"/>
        <w:adjustRightInd w:val="0"/>
        <w:snapToGrid w:val="0"/>
        <w:spacing w:line="400" w:lineRule="exact"/>
        <w:ind w:left="0" w:firstLine="420" w:firstLineChars="200"/>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宋体" w:hAnsi="宋体" w:eastAsia="宋体" w:cs="宋体"/>
          <w:kern w:val="0"/>
          <w:sz w:val="21"/>
          <w:szCs w:val="21"/>
          <w:highlight w:val="none"/>
          <w:u w:val="single"/>
        </w:rPr>
        <w:t>（2）</w:t>
      </w:r>
      <w:r>
        <w:rPr>
          <w:rFonts w:hint="eastAsia" w:ascii="宋体" w:hAnsi="宋体" w:eastAsia="宋体" w:cs="宋体"/>
          <w:kern w:val="0"/>
          <w:sz w:val="21"/>
          <w:szCs w:val="21"/>
          <w:highlight w:val="none"/>
        </w:rPr>
        <w:t>种方式解决：</w:t>
      </w:r>
    </w:p>
    <w:p>
      <w:pPr>
        <w:keepNext w:val="0"/>
        <w:keepLines w:val="0"/>
        <w:pageBreakBefore w:val="0"/>
        <w:numPr>
          <w:ilvl w:val="0"/>
          <w:numId w:val="6"/>
        </w:numPr>
        <w:tabs>
          <w:tab w:val="left" w:pos="0"/>
        </w:tabs>
        <w:kinsoku/>
        <w:wordWrap/>
        <w:overflowPunct/>
        <w:topLinePunct w:val="0"/>
        <w:autoSpaceDE/>
        <w:autoSpaceDN/>
        <w:bidi w:val="0"/>
        <w:adjustRightInd w:val="0"/>
        <w:snapToGrid w:val="0"/>
        <w:spacing w:line="400" w:lineRule="exact"/>
        <w:ind w:left="0" w:firstLine="420" w:firstLineChars="200"/>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向</w:t>
      </w:r>
      <w:r>
        <w:rPr>
          <w:rFonts w:hint="eastAsia" w:ascii="宋体" w:hAnsi="宋体" w:eastAsia="宋体" w:cs="宋体"/>
          <w:kern w:val="0"/>
          <w:sz w:val="21"/>
          <w:szCs w:val="21"/>
          <w:highlight w:val="none"/>
          <w:u w:val="single"/>
        </w:rPr>
        <w:t>长沙</w:t>
      </w:r>
      <w:r>
        <w:rPr>
          <w:rFonts w:hint="eastAsia" w:ascii="宋体" w:hAnsi="宋体" w:eastAsia="宋体" w:cs="宋体"/>
          <w:kern w:val="0"/>
          <w:sz w:val="21"/>
          <w:szCs w:val="21"/>
          <w:highlight w:val="none"/>
        </w:rPr>
        <w:t>仲裁委员会申请仲裁；</w:t>
      </w:r>
    </w:p>
    <w:p>
      <w:pPr>
        <w:keepNext w:val="0"/>
        <w:keepLines w:val="0"/>
        <w:pageBreakBefore w:val="0"/>
        <w:tabs>
          <w:tab w:val="left" w:pos="0"/>
        </w:tabs>
        <w:kinsoku/>
        <w:wordWrap/>
        <w:overflowPunct/>
        <w:topLinePunct w:val="0"/>
        <w:autoSpaceDE/>
        <w:autoSpaceDN/>
        <w:bidi w:val="0"/>
        <w:adjustRightInd w:val="0"/>
        <w:snapToGrid w:val="0"/>
        <w:spacing w:line="400" w:lineRule="exact"/>
        <w:ind w:left="0"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（2）向</w:t>
      </w:r>
      <w:r>
        <w:rPr>
          <w:rFonts w:hint="eastAsia" w:ascii="宋体" w:hAnsi="宋体" w:eastAsia="宋体" w:cs="宋体"/>
          <w:kern w:val="0"/>
          <w:sz w:val="21"/>
          <w:szCs w:val="21"/>
          <w:highlight w:val="none"/>
          <w:u w:val="single"/>
        </w:rPr>
        <w:t>甲方所在地</w:t>
      </w:r>
      <w:r>
        <w:rPr>
          <w:rFonts w:hint="eastAsia" w:ascii="宋体" w:hAnsi="宋体" w:eastAsia="宋体" w:cs="宋体"/>
          <w:kern w:val="0"/>
          <w:sz w:val="21"/>
          <w:szCs w:val="21"/>
          <w:highlight w:val="none"/>
          <w:u w:val="single"/>
          <w:lang w:eastAsia="zh-CN"/>
        </w:rPr>
        <w:t>（</w:t>
      </w:r>
      <w:r>
        <w:rPr>
          <w:rFonts w:hint="eastAsia" w:ascii="宋体" w:hAnsi="宋体" w:eastAsia="宋体" w:cs="宋体"/>
          <w:kern w:val="0"/>
          <w:sz w:val="21"/>
          <w:szCs w:val="21"/>
          <w:highlight w:val="none"/>
          <w:u w:val="single"/>
          <w:lang w:val="en-US" w:eastAsia="zh-CN"/>
        </w:rPr>
        <w:t>长沙市雨花区</w:t>
      </w:r>
      <w:r>
        <w:rPr>
          <w:rFonts w:hint="eastAsia" w:ascii="宋体" w:hAnsi="宋体" w:eastAsia="宋体" w:cs="宋体"/>
          <w:kern w:val="0"/>
          <w:sz w:val="21"/>
          <w:szCs w:val="21"/>
          <w:highlight w:val="none"/>
          <w:u w:val="single"/>
          <w:lang w:eastAsia="zh-CN"/>
        </w:rPr>
        <w:t>）</w:t>
      </w:r>
      <w:r>
        <w:rPr>
          <w:rFonts w:hint="eastAsia" w:ascii="宋体" w:hAnsi="宋体" w:eastAsia="宋体" w:cs="宋体"/>
          <w:kern w:val="0"/>
          <w:sz w:val="21"/>
          <w:szCs w:val="21"/>
          <w:highlight w:val="none"/>
        </w:rPr>
        <w:t>人民法院起诉。</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34" w:name="_Toc15036"/>
      <w:bookmarkStart w:id="135" w:name="_Toc7592"/>
      <w:r>
        <w:rPr>
          <w:rFonts w:hint="eastAsia" w:ascii="宋体" w:hAnsi="宋体" w:eastAsia="宋体" w:cs="宋体"/>
          <w:b/>
          <w:sz w:val="21"/>
          <w:szCs w:val="21"/>
          <w:highlight w:val="none"/>
        </w:rPr>
        <w:t>16.法律适用</w:t>
      </w:r>
      <w:bookmarkEnd w:id="134"/>
      <w:bookmarkEnd w:id="135"/>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16.1 本合同适用中华人民共和国现行法律、行政法规和规章，如合同条款与法律、行政法规和规章不一致的，按照法律、行政法规和规章修改本合同。</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sz w:val="21"/>
          <w:szCs w:val="21"/>
          <w:highlight w:val="none"/>
        </w:rPr>
      </w:pPr>
      <w:bookmarkStart w:id="136" w:name="_Toc20583"/>
      <w:bookmarkStart w:id="137" w:name="_Toc20811"/>
      <w:r>
        <w:rPr>
          <w:rFonts w:hint="eastAsia" w:ascii="宋体" w:hAnsi="宋体" w:eastAsia="宋体" w:cs="宋体"/>
          <w:b/>
          <w:sz w:val="21"/>
          <w:szCs w:val="21"/>
          <w:highlight w:val="none"/>
        </w:rPr>
        <w:t>17.通知</w:t>
      </w:r>
      <w:bookmarkEnd w:id="136"/>
      <w:bookmarkEnd w:id="137"/>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17.1本合同一方给另一方的通知均应采用书面形式，传真或快递送到本合同中规定的对方的地址和办理签收手续，</w:t>
      </w:r>
    </w:p>
    <w:p>
      <w:pPr>
        <w:keepNext w:val="0"/>
        <w:keepLines w:val="0"/>
        <w:pageBreakBefore w:val="0"/>
        <w:tabs>
          <w:tab w:val="left" w:pos="1248"/>
        </w:tabs>
        <w:kinsoku/>
        <w:wordWrap/>
        <w:overflowPunct/>
        <w:topLinePunct w:val="0"/>
        <w:autoSpaceDE/>
        <w:autoSpaceDN/>
        <w:bidi w:val="0"/>
        <w:adjustRightInd w:val="0"/>
        <w:snapToGrid w:val="0"/>
        <w:spacing w:line="400" w:lineRule="exact"/>
        <w:ind w:lef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17.2通知以送到之日或通知书中规定的生效之日起生效，两者中以较迟之日为准。</w:t>
      </w:r>
    </w:p>
    <w:p>
      <w:pPr>
        <w:keepNext w:val="0"/>
        <w:keepLines w:val="0"/>
        <w:pageBreakBefore w:val="0"/>
        <w:widowControl/>
        <w:tabs>
          <w:tab w:val="left" w:pos="1248"/>
        </w:tabs>
        <w:kinsoku/>
        <w:wordWrap/>
        <w:overflowPunct/>
        <w:topLinePunct w:val="0"/>
        <w:autoSpaceDE/>
        <w:autoSpaceDN/>
        <w:bidi w:val="0"/>
        <w:adjustRightInd w:val="0"/>
        <w:snapToGrid w:val="0"/>
        <w:spacing w:line="400" w:lineRule="exact"/>
        <w:ind w:left="0" w:firstLine="422" w:firstLineChars="200"/>
        <w:textAlignment w:val="auto"/>
        <w:outlineLvl w:val="9"/>
        <w:rPr>
          <w:rFonts w:hint="eastAsia" w:ascii="仿宋_GB2312" w:hAnsi="仿宋_GB2312" w:eastAsia="仿宋_GB2312" w:cs="仿宋_GB2312"/>
          <w:bCs/>
          <w:sz w:val="24"/>
          <w:highlight w:val="none"/>
        </w:rPr>
      </w:pPr>
      <w:bookmarkStart w:id="138" w:name="_Toc5979"/>
      <w:r>
        <w:rPr>
          <w:rFonts w:hint="eastAsia" w:ascii="宋体" w:hAnsi="宋体" w:eastAsia="宋体" w:cs="宋体"/>
          <w:b/>
          <w:bCs/>
          <w:sz w:val="21"/>
          <w:szCs w:val="21"/>
          <w:highlight w:val="none"/>
        </w:rPr>
        <w:t>18</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双方约定的其他事项</w:t>
      </w:r>
      <w:bookmarkEnd w:id="138"/>
      <w:r>
        <w:rPr>
          <w:rFonts w:hint="eastAsia" w:ascii="宋体" w:hAnsi="宋体" w:eastAsia="宋体" w:cs="宋体"/>
          <w:bCs/>
          <w:sz w:val="21"/>
          <w:szCs w:val="21"/>
          <w:highlight w:val="none"/>
        </w:rPr>
        <w:t>（</w:t>
      </w:r>
      <w:bookmarkStart w:id="139" w:name="_Toc9260"/>
      <w:bookmarkStart w:id="140" w:name="_Toc437444970"/>
      <w:r>
        <w:rPr>
          <w:rFonts w:hint="eastAsia" w:ascii="宋体" w:hAnsi="宋体" w:eastAsia="宋体" w:cs="宋体"/>
          <w:bCs/>
          <w:sz w:val="21"/>
          <w:szCs w:val="21"/>
          <w:highlight w:val="none"/>
        </w:rPr>
        <w:t>本条约定与合同条款中其他约定不一致时，以本条为准）：</w:t>
      </w:r>
      <w:r>
        <w:rPr>
          <w:rFonts w:hint="eastAsia" w:ascii="宋体" w:hAnsi="宋体" w:eastAsia="宋体" w:cs="宋体"/>
          <w:bCs/>
          <w:sz w:val="21"/>
          <w:szCs w:val="21"/>
          <w:highlight w:val="none"/>
          <w:u w:val="single"/>
        </w:rPr>
        <w:t>根据甲方需要，本合同执行过程中，甲方均使用合同章向乙方出具通知、函件等文件，甲方对使用合同章向乙方所发通知、函件等文件均予以认可</w:t>
      </w:r>
      <w:r>
        <w:rPr>
          <w:rFonts w:hint="eastAsia" w:ascii="宋体" w:hAnsi="宋体" w:eastAsia="宋体" w:cs="宋体"/>
          <w:bCs/>
          <w:sz w:val="21"/>
          <w:szCs w:val="21"/>
          <w:highlight w:val="none"/>
        </w:rPr>
        <w:t>。</w:t>
      </w:r>
    </w:p>
    <w:p>
      <w:pPr>
        <w:tabs>
          <w:tab w:val="left" w:pos="900"/>
        </w:tabs>
        <w:adjustRightInd w:val="0"/>
        <w:snapToGrid w:val="0"/>
        <w:spacing w:line="360" w:lineRule="auto"/>
        <w:jc w:val="center"/>
        <w:textAlignment w:val="baseline"/>
        <w:outlineLvl w:val="1"/>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141" w:name="_Toc24687"/>
      <w:bookmarkStart w:id="142" w:name="_Toc8910"/>
      <w:bookmarkStart w:id="143" w:name="_Toc25825"/>
      <w:bookmarkStart w:id="144" w:name="_Toc27058"/>
      <w:bookmarkStart w:id="145" w:name="_Toc27486"/>
      <w:bookmarkStart w:id="146" w:name="_Toc14429"/>
      <w:bookmarkStart w:id="147" w:name="_Toc14197"/>
      <w:r>
        <w:rPr>
          <w:rFonts w:hint="eastAsia" w:ascii="仿宋_GB2312" w:hAnsi="仿宋_GB2312" w:eastAsia="仿宋_GB2312" w:cs="仿宋_GB2312"/>
          <w:b/>
          <w:sz w:val="32"/>
          <w:szCs w:val="32"/>
          <w:highlight w:val="none"/>
        </w:rPr>
        <w:t xml:space="preserve">第三部分 </w:t>
      </w:r>
      <w:bookmarkEnd w:id="139"/>
      <w:bookmarkEnd w:id="140"/>
      <w:bookmarkEnd w:id="141"/>
      <w:bookmarkStart w:id="148" w:name="_Toc14554"/>
      <w:bookmarkStart w:id="149" w:name="_Toc2997"/>
      <w:bookmarkStart w:id="150" w:name="_Toc319826220"/>
      <w:r>
        <w:rPr>
          <w:rFonts w:hint="eastAsia" w:ascii="仿宋_GB2312" w:hAnsi="仿宋_GB2312" w:eastAsia="仿宋_GB2312" w:cs="仿宋_GB2312"/>
          <w:b/>
          <w:sz w:val="32"/>
          <w:szCs w:val="32"/>
          <w:highlight w:val="none"/>
        </w:rPr>
        <w:t>合同附件</w:t>
      </w:r>
      <w:bookmarkEnd w:id="142"/>
      <w:bookmarkEnd w:id="143"/>
      <w:bookmarkEnd w:id="144"/>
      <w:bookmarkEnd w:id="145"/>
      <w:bookmarkEnd w:id="146"/>
      <w:bookmarkEnd w:id="147"/>
      <w:bookmarkEnd w:id="148"/>
      <w:bookmarkEnd w:id="149"/>
      <w:bookmarkEnd w:id="150"/>
      <w:bookmarkStart w:id="151" w:name="_Toc437444971"/>
      <w:bookmarkStart w:id="152" w:name="_Toc411417798"/>
      <w:bookmarkStart w:id="153" w:name="_Toc26723"/>
    </w:p>
    <w:p>
      <w:pPr>
        <w:adjustRightInd w:val="0"/>
        <w:snapToGrid w:val="0"/>
        <w:outlineLvl w:val="1"/>
        <w:rPr>
          <w:rFonts w:ascii="仿宋_GB2312" w:hAnsi="仿宋" w:eastAsia="仿宋_GB2312"/>
          <w:b/>
          <w:sz w:val="24"/>
          <w:highlight w:val="none"/>
        </w:rPr>
      </w:pPr>
      <w:bookmarkStart w:id="154" w:name="_Toc7948"/>
      <w:bookmarkStart w:id="155" w:name="_Toc32753"/>
      <w:bookmarkStart w:id="156" w:name="_Toc16227"/>
      <w:bookmarkStart w:id="157" w:name="_Toc28035"/>
      <w:bookmarkStart w:id="158" w:name="_Toc28042"/>
      <w:bookmarkStart w:id="159" w:name="_Toc17490"/>
      <w:bookmarkStart w:id="160" w:name="_Toc19384"/>
      <w:r>
        <w:rPr>
          <w:rFonts w:hint="eastAsia" w:ascii="仿宋_GB2312" w:hAnsi="仿宋" w:eastAsia="仿宋_GB2312"/>
          <w:b/>
          <w:sz w:val="24"/>
          <w:highlight w:val="none"/>
        </w:rPr>
        <w:t>附件1 廉政协议</w:t>
      </w:r>
      <w:bookmarkEnd w:id="154"/>
      <w:bookmarkEnd w:id="155"/>
      <w:bookmarkEnd w:id="156"/>
      <w:bookmarkEnd w:id="157"/>
      <w:bookmarkEnd w:id="158"/>
    </w:p>
    <w:p>
      <w:pPr>
        <w:adjustRightInd w:val="0"/>
        <w:snapToGrid w:val="0"/>
        <w:jc w:val="center"/>
        <w:rPr>
          <w:rFonts w:ascii="仿宋_GB2312" w:hAnsi="仿宋" w:eastAsia="仿宋_GB2312"/>
          <w:b/>
          <w:sz w:val="32"/>
          <w:szCs w:val="32"/>
          <w:highlight w:val="none"/>
        </w:rPr>
      </w:pPr>
      <w:r>
        <w:rPr>
          <w:rFonts w:hint="eastAsia" w:ascii="仿宋_GB2312" w:hAnsi="仿宋" w:eastAsia="仿宋_GB2312"/>
          <w:b/>
          <w:sz w:val="32"/>
          <w:szCs w:val="32"/>
          <w:highlight w:val="none"/>
        </w:rPr>
        <w:t>廉政协议</w:t>
      </w:r>
    </w:p>
    <w:p>
      <w:pPr>
        <w:widowControl/>
        <w:snapToGrid w:val="0"/>
        <w:spacing w:line="360" w:lineRule="auto"/>
        <w:jc w:val="left"/>
        <w:rPr>
          <w:rFonts w:ascii="仿宋_GB2312" w:hAnsi="仿宋" w:eastAsia="仿宋_GB2312" w:cs="Arial"/>
          <w:kern w:val="0"/>
          <w:sz w:val="24"/>
          <w:highlight w:val="none"/>
          <w:lang w:bidi="en-US"/>
        </w:rPr>
      </w:pPr>
    </w:p>
    <w:p>
      <w:pPr>
        <w:pStyle w:val="13"/>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xml:space="preserve">                           </w:t>
      </w:r>
    </w:p>
    <w:p>
      <w:pPr>
        <w:pStyle w:val="13"/>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rPr>
        <w:t xml:space="preserve">                           </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根据国家法律、法规以及有关廉政建设的规定，为做好合同执行过程中党风廉政建设，保证建设及运营资金的安全和有效使用以及投资效益，甲、乙双方特订立如下廉政协议：</w:t>
      </w:r>
    </w:p>
    <w:p>
      <w:pPr>
        <w:keepNext w:val="0"/>
        <w:keepLines w:val="0"/>
        <w:pageBreakBefore w:val="0"/>
        <w:kinsoku/>
        <w:wordWrap/>
        <w:overflowPunct/>
        <w:topLinePunct w:val="0"/>
        <w:autoSpaceDE/>
        <w:autoSpaceDN/>
        <w:bidi w:val="0"/>
        <w:adjustRightInd w:val="0"/>
        <w:snapToGrid w:val="0"/>
        <w:spacing w:line="400" w:lineRule="exact"/>
        <w:ind w:left="0" w:leftChars="0" w:firstLine="422" w:firstLineChars="200"/>
        <w:textAlignment w:val="auto"/>
        <w:rPr>
          <w:rFonts w:hint="eastAsia" w:ascii="宋体" w:hAnsi="宋体" w:eastAsia="宋体" w:cs="宋体"/>
          <w:b/>
          <w:sz w:val="21"/>
          <w:szCs w:val="21"/>
          <w:highlight w:val="none"/>
        </w:rPr>
      </w:pPr>
      <w:bookmarkStart w:id="161" w:name="_Toc59900969"/>
      <w:bookmarkStart w:id="162" w:name="_Toc59896701"/>
      <w:r>
        <w:rPr>
          <w:rFonts w:hint="eastAsia" w:ascii="宋体" w:hAnsi="宋体" w:eastAsia="宋体" w:cs="宋体"/>
          <w:b/>
          <w:sz w:val="21"/>
          <w:szCs w:val="21"/>
          <w:highlight w:val="none"/>
        </w:rPr>
        <w:t xml:space="preserve">第一条 </w:t>
      </w:r>
      <w:bookmarkEnd w:id="161"/>
      <w:bookmarkEnd w:id="162"/>
      <w:r>
        <w:rPr>
          <w:rFonts w:hint="eastAsia" w:ascii="宋体" w:hAnsi="宋体" w:eastAsia="宋体" w:cs="宋体"/>
          <w:b/>
          <w:sz w:val="21"/>
          <w:szCs w:val="21"/>
          <w:highlight w:val="none"/>
        </w:rPr>
        <w:t>共同责任</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（一）严格遵守党和国家有关法律法规及湖南省、长沙市的相关规定。</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（二）严格执行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（以下称主合同）的合同文件，自觉按合同办事。</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（三）双方的业务活动坚持公开、公正、诚信、透明的原则（除法律认定的商业秘密和合同文件另有规定之外），不得损害国家和集体利益，违反工程建设规章制度。</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（四）建立健全廉政制度，开展廉政教育，设立廉政告示牌，公布举报电话，监督并认真查处违纪违法行为。</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（五）发现对方在业务活动中有违反廉政规定的行为，有及时提醒对方纠正的权利和义务。</w:t>
      </w:r>
    </w:p>
    <w:p>
      <w:pPr>
        <w:keepNext w:val="0"/>
        <w:keepLines w:val="0"/>
        <w:pageBreakBefore w:val="0"/>
        <w:kinsoku/>
        <w:wordWrap/>
        <w:overflowPunct/>
        <w:topLinePunct w:val="0"/>
        <w:autoSpaceDE/>
        <w:autoSpaceDN/>
        <w:bidi w:val="0"/>
        <w:adjustRightInd w:val="0"/>
        <w:snapToGrid w:val="0"/>
        <w:spacing w:line="400" w:lineRule="exact"/>
        <w:ind w:left="0" w:leftChars="0"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第二条 共同权利</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发现对方严重违反本协议义务条款的行为，有向其上级有关部门举报、建议给予处理并要求告知处理结果的权利。</w:t>
      </w:r>
    </w:p>
    <w:p>
      <w:pPr>
        <w:keepNext w:val="0"/>
        <w:keepLines w:val="0"/>
        <w:pageBreakBefore w:val="0"/>
        <w:kinsoku/>
        <w:wordWrap/>
        <w:overflowPunct/>
        <w:topLinePunct w:val="0"/>
        <w:autoSpaceDE/>
        <w:autoSpaceDN/>
        <w:bidi w:val="0"/>
        <w:adjustRightInd w:val="0"/>
        <w:snapToGrid w:val="0"/>
        <w:spacing w:line="400" w:lineRule="exact"/>
        <w:ind w:left="0" w:leftChars="0" w:firstLine="422" w:firstLineChars="200"/>
        <w:textAlignment w:val="auto"/>
        <w:rPr>
          <w:rFonts w:hint="eastAsia" w:ascii="宋体" w:hAnsi="宋体" w:eastAsia="宋体" w:cs="宋体"/>
          <w:b/>
          <w:sz w:val="21"/>
          <w:szCs w:val="21"/>
          <w:highlight w:val="none"/>
        </w:rPr>
      </w:pPr>
      <w:bookmarkStart w:id="163" w:name="_Toc59896702"/>
      <w:bookmarkStart w:id="164" w:name="_Toc59900970"/>
      <w:r>
        <w:rPr>
          <w:rFonts w:hint="eastAsia" w:ascii="宋体" w:hAnsi="宋体" w:eastAsia="宋体" w:cs="宋体"/>
          <w:b/>
          <w:sz w:val="21"/>
          <w:szCs w:val="21"/>
          <w:highlight w:val="none"/>
        </w:rPr>
        <w:t>第三条 甲方的义务</w:t>
      </w:r>
      <w:bookmarkEnd w:id="163"/>
      <w:bookmarkEnd w:id="164"/>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（一）甲方及其工作人员不得索要或接受乙方的礼金、有价证券和贵重物品。</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（二）甲方及其工作人员不得在乙方报销任何应由甲方或个人支付的费用等。</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（三）甲方及其工作人员不得参加乙方安排的超标准宴请和娱乐活动。</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（四）甲方及其工作人员不得接受乙方提供的通讯工具、交通工具和高档办公用品等。</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（五）甲方及其工作人员不得要求或者接受乙方为其住房装修、婚丧嫁娶活动、配偶子女的工作安排以及出国出境、旅游等提供方便等。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（六）甲方及其工作人员不得有违反法律、法规、廉洁从业规定的其他行为。</w:t>
      </w:r>
    </w:p>
    <w:p>
      <w:pPr>
        <w:keepNext w:val="0"/>
        <w:keepLines w:val="0"/>
        <w:pageBreakBefore w:val="0"/>
        <w:kinsoku/>
        <w:wordWrap/>
        <w:overflowPunct/>
        <w:topLinePunct w:val="0"/>
        <w:autoSpaceDE/>
        <w:autoSpaceDN/>
        <w:bidi w:val="0"/>
        <w:adjustRightInd w:val="0"/>
        <w:snapToGrid w:val="0"/>
        <w:spacing w:line="400" w:lineRule="exact"/>
        <w:ind w:left="0" w:leftChars="0" w:firstLine="422" w:firstLineChars="200"/>
        <w:textAlignment w:val="auto"/>
        <w:rPr>
          <w:rFonts w:hint="eastAsia" w:ascii="宋体" w:hAnsi="宋体" w:eastAsia="宋体" w:cs="宋体"/>
          <w:b/>
          <w:sz w:val="21"/>
          <w:szCs w:val="21"/>
          <w:highlight w:val="none"/>
        </w:rPr>
      </w:pPr>
      <w:bookmarkStart w:id="165" w:name="_Toc59900971"/>
      <w:bookmarkStart w:id="166" w:name="_Toc59896703"/>
      <w:r>
        <w:rPr>
          <w:rFonts w:hint="eastAsia" w:ascii="宋体" w:hAnsi="宋体" w:eastAsia="宋体" w:cs="宋体"/>
          <w:b/>
          <w:sz w:val="21"/>
          <w:szCs w:val="21"/>
          <w:highlight w:val="none"/>
        </w:rPr>
        <w:t>第四条 乙方义务</w:t>
      </w:r>
      <w:bookmarkEnd w:id="165"/>
      <w:bookmarkEnd w:id="166"/>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（一）乙方不得以任何理由向甲方及其工作人员行贿或馈赠礼金、有价证券、贵重物品。</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（三）乙方不得以任何理由安排甲方工作人员参加超标准宴请、健身及娱乐活动。</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（四）乙方不得为甲方及其工作人员购置或提供通讯工具、交通工具和高档办公用品等。</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（五）乙方不得为甲方及其工作人员住房装修、婚丧嫁娶活动、配偶子女的工作安排以及出国出境、旅游等提供方便等。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（六）乙方不得有违反法律、法规、廉洁从业规定的其他行为。</w:t>
      </w:r>
    </w:p>
    <w:p>
      <w:pPr>
        <w:keepNext w:val="0"/>
        <w:keepLines w:val="0"/>
        <w:pageBreakBefore w:val="0"/>
        <w:kinsoku/>
        <w:wordWrap/>
        <w:overflowPunct/>
        <w:topLinePunct w:val="0"/>
        <w:autoSpaceDE/>
        <w:autoSpaceDN/>
        <w:bidi w:val="0"/>
        <w:adjustRightInd w:val="0"/>
        <w:snapToGrid w:val="0"/>
        <w:spacing w:line="400" w:lineRule="exact"/>
        <w:ind w:left="0" w:leftChars="0"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第五条 违约责任</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第七条 本协议有效期为甲乙双方签署之日起至主合同完全履行完毕之日止。</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第八条 本协议作为主合同的附件，与主合同具有同等的法律效力，经合同双方签署立即生效。</w:t>
      </w: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rPr>
          <w:rFonts w:hint="eastAsia" w:ascii="宋体" w:hAnsi="宋体" w:eastAsia="宋体" w:cs="宋体"/>
          <w:sz w:val="21"/>
          <w:szCs w:val="21"/>
          <w:highlight w:val="none"/>
        </w:rPr>
        <w:sectPr>
          <w:footerReference r:id="rId10" w:type="default"/>
          <w:pgSz w:w="11906" w:h="16838"/>
          <w:pgMar w:top="1440" w:right="1797" w:bottom="1440" w:left="1797" w:header="851" w:footer="567" w:gutter="0"/>
          <w:pgNumType w:fmt="decimal"/>
          <w:cols w:space="720" w:num="1"/>
          <w:docGrid w:type="lines" w:linePitch="312" w:charSpace="0"/>
        </w:sectPr>
      </w:pP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（本页无正文）</w:t>
      </w:r>
    </w:p>
    <w:p>
      <w:pPr>
        <w:pStyle w:val="2"/>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sz w:val="21"/>
          <w:szCs w:val="21"/>
          <w:highlight w:val="none"/>
        </w:rPr>
      </w:pPr>
    </w:p>
    <w:p>
      <w:pPr>
        <w:pStyle w:val="2"/>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xml:space="preserve"> （盖章）            </w:t>
      </w:r>
      <w:r>
        <w:rPr>
          <w:rFonts w:hint="eastAsia" w:ascii="宋体" w:hAnsi="宋体" w:eastAsia="宋体" w:cs="宋体"/>
          <w:sz w:val="21"/>
          <w:szCs w:val="21"/>
          <w:highlight w:val="none"/>
        </w:rPr>
        <w:t xml:space="preserve">             乙方：</w:t>
      </w:r>
      <w:r>
        <w:rPr>
          <w:rFonts w:hint="eastAsia" w:ascii="宋体" w:hAnsi="宋体" w:eastAsia="宋体" w:cs="宋体"/>
          <w:sz w:val="21"/>
          <w:szCs w:val="21"/>
          <w:highlight w:val="none"/>
          <w:u w:val="single"/>
        </w:rPr>
        <w:t xml:space="preserve"> （盖章）                 </w:t>
      </w: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u w:val="single"/>
        </w:rPr>
        <w:t xml:space="preserve">（签字）        </w:t>
      </w:r>
      <w:r>
        <w:rPr>
          <w:rFonts w:hint="eastAsia" w:ascii="宋体" w:hAnsi="宋体" w:eastAsia="宋体" w:cs="宋体"/>
          <w:sz w:val="21"/>
          <w:szCs w:val="21"/>
          <w:highlight w:val="none"/>
        </w:rPr>
        <w:t xml:space="preserve">             法定代表人：</w:t>
      </w:r>
      <w:r>
        <w:rPr>
          <w:rFonts w:hint="eastAsia" w:ascii="宋体" w:hAnsi="宋体" w:eastAsia="宋体" w:cs="宋体"/>
          <w:sz w:val="21"/>
          <w:szCs w:val="21"/>
          <w:highlight w:val="none"/>
          <w:u w:val="single"/>
        </w:rPr>
        <w:t xml:space="preserve"> （签字）           </w:t>
      </w: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或授权代理人：</w:t>
      </w:r>
      <w:r>
        <w:rPr>
          <w:rFonts w:hint="eastAsia" w:ascii="宋体" w:hAnsi="宋体" w:eastAsia="宋体" w:cs="宋体"/>
          <w:sz w:val="21"/>
          <w:szCs w:val="21"/>
          <w:highlight w:val="none"/>
          <w:u w:val="single"/>
        </w:rPr>
        <w:t xml:space="preserve">（签字）      </w:t>
      </w:r>
      <w:r>
        <w:rPr>
          <w:rFonts w:hint="eastAsia" w:ascii="宋体" w:hAnsi="宋体" w:eastAsia="宋体" w:cs="宋体"/>
          <w:sz w:val="21"/>
          <w:szCs w:val="21"/>
          <w:highlight w:val="none"/>
        </w:rPr>
        <w:t xml:space="preserve">             或授权代理人：</w:t>
      </w:r>
      <w:r>
        <w:rPr>
          <w:rFonts w:hint="eastAsia" w:ascii="宋体" w:hAnsi="宋体" w:eastAsia="宋体" w:cs="宋体"/>
          <w:sz w:val="21"/>
          <w:szCs w:val="21"/>
          <w:highlight w:val="none"/>
          <w:u w:val="single"/>
        </w:rPr>
        <w:t xml:space="preserve">（签字）           </w:t>
      </w: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电话：</w:t>
      </w:r>
      <w:r>
        <w:rPr>
          <w:rFonts w:hint="eastAsia" w:ascii="宋体" w:hAnsi="宋体" w:eastAsia="宋体" w:cs="宋体"/>
          <w:sz w:val="21"/>
          <w:szCs w:val="21"/>
          <w:highlight w:val="none"/>
          <w:u w:val="single"/>
        </w:rPr>
        <w:t xml:space="preserve">                          </w:t>
      </w:r>
    </w:p>
    <w:p>
      <w:pPr>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日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pPr>
        <w:pStyle w:val="13"/>
        <w:keepNext w:val="0"/>
        <w:keepLines w:val="0"/>
        <w:pageBreakBefore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b/>
          <w:sz w:val="21"/>
          <w:szCs w:val="21"/>
          <w:highlight w:val="none"/>
        </w:rPr>
      </w:pPr>
      <w:bookmarkStart w:id="167" w:name="_Toc15946"/>
      <w:r>
        <w:rPr>
          <w:rFonts w:hint="eastAsia" w:ascii="宋体" w:hAnsi="宋体" w:eastAsia="宋体" w:cs="宋体"/>
          <w:sz w:val="21"/>
          <w:szCs w:val="21"/>
          <w:highlight w:val="none"/>
        </w:rPr>
        <w:t>甲方监督单位：</w:t>
      </w:r>
      <w:r>
        <w:rPr>
          <w:rFonts w:hint="eastAsia" w:ascii="宋体" w:hAnsi="宋体" w:eastAsia="宋体" w:cs="宋体"/>
          <w:sz w:val="21"/>
          <w:szCs w:val="21"/>
          <w:highlight w:val="none"/>
          <w:u w:val="single"/>
        </w:rPr>
        <w:t xml:space="preserve">（盖章）      </w:t>
      </w:r>
      <w:r>
        <w:rPr>
          <w:rFonts w:hint="eastAsia" w:ascii="宋体" w:hAnsi="宋体" w:eastAsia="宋体" w:cs="宋体"/>
          <w:sz w:val="21"/>
          <w:szCs w:val="21"/>
          <w:highlight w:val="none"/>
        </w:rPr>
        <w:t xml:space="preserve">             乙方监督单位：</w:t>
      </w:r>
      <w:r>
        <w:rPr>
          <w:rFonts w:hint="eastAsia" w:ascii="宋体" w:hAnsi="宋体" w:eastAsia="宋体" w:cs="宋体"/>
          <w:sz w:val="21"/>
          <w:szCs w:val="21"/>
          <w:highlight w:val="none"/>
          <w:u w:val="single"/>
        </w:rPr>
        <w:t>（盖章）</w:t>
      </w:r>
      <w:bookmarkEnd w:id="167"/>
      <w:r>
        <w:rPr>
          <w:rFonts w:hint="eastAsia" w:ascii="宋体" w:hAnsi="宋体" w:eastAsia="宋体" w:cs="宋体"/>
          <w:sz w:val="21"/>
          <w:szCs w:val="21"/>
          <w:highlight w:val="none"/>
          <w:u w:val="single"/>
        </w:rPr>
        <w:t xml:space="preserve">        </w:t>
      </w:r>
    </w:p>
    <w:p>
      <w:pPr>
        <w:pStyle w:val="13"/>
        <w:snapToGrid w:val="0"/>
        <w:spacing w:line="360" w:lineRule="auto"/>
        <w:outlineLvl w:val="1"/>
        <w:rPr>
          <w:rFonts w:ascii="仿宋_GB2312" w:hAnsi="仿宋_GB2312" w:eastAsia="仿宋_GB2312" w:cs="仿宋_GB2312"/>
          <w:b/>
          <w:sz w:val="24"/>
          <w:highlight w:val="none"/>
        </w:rPr>
      </w:pPr>
      <w:r>
        <w:rPr>
          <w:rFonts w:hint="eastAsia" w:ascii="仿宋_GB2312" w:hAnsi="仿宋" w:eastAsia="仿宋_GB2312" w:cs="仿宋"/>
          <w:b/>
          <w:bCs/>
          <w:sz w:val="24"/>
          <w:highlight w:val="none"/>
        </w:rPr>
        <w:br w:type="page"/>
      </w:r>
      <w:bookmarkEnd w:id="159"/>
      <w:bookmarkEnd w:id="160"/>
      <w:bookmarkStart w:id="168" w:name="_Toc25634"/>
      <w:bookmarkStart w:id="169" w:name="_Toc7839"/>
      <w:bookmarkStart w:id="170" w:name="_Toc18698"/>
      <w:bookmarkStart w:id="171" w:name="_Toc2316"/>
      <w:bookmarkStart w:id="172" w:name="_Toc13812"/>
      <w:bookmarkStart w:id="173" w:name="_Toc21963"/>
      <w:bookmarkStart w:id="174" w:name="_Toc5299"/>
      <w:bookmarkStart w:id="175" w:name="_Hlk26087760"/>
      <w:r>
        <w:rPr>
          <w:rFonts w:hint="eastAsia" w:ascii="仿宋_GB2312" w:hAnsi="仿宋_GB2312" w:eastAsia="仿宋_GB2312" w:cs="仿宋_GB2312"/>
          <w:b/>
          <w:sz w:val="24"/>
          <w:highlight w:val="none"/>
        </w:rPr>
        <w:t>附件</w:t>
      </w:r>
      <w:r>
        <w:rPr>
          <w:rFonts w:ascii="仿宋_GB2312" w:hAnsi="仿宋_GB2312" w:eastAsia="仿宋_GB2312" w:cs="仿宋_GB2312"/>
          <w:b/>
          <w:sz w:val="24"/>
          <w:highlight w:val="none"/>
        </w:rPr>
        <w:t xml:space="preserve">2 </w:t>
      </w:r>
      <w:r>
        <w:rPr>
          <w:rFonts w:hint="eastAsia" w:ascii="仿宋_GB2312" w:hAnsi="仿宋_GB2312" w:eastAsia="仿宋_GB2312" w:cs="仿宋_GB2312"/>
          <w:b/>
          <w:sz w:val="24"/>
          <w:highlight w:val="none"/>
        </w:rPr>
        <w:t>保密协议</w:t>
      </w:r>
      <w:bookmarkEnd w:id="168"/>
      <w:bookmarkEnd w:id="169"/>
      <w:bookmarkEnd w:id="170"/>
      <w:bookmarkEnd w:id="171"/>
      <w:bookmarkEnd w:id="172"/>
      <w:bookmarkEnd w:id="173"/>
    </w:p>
    <w:p>
      <w:pPr>
        <w:widowControl/>
        <w:snapToGrid w:val="0"/>
        <w:spacing w:line="360" w:lineRule="auto"/>
        <w:jc w:val="center"/>
        <w:rPr>
          <w:rFonts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kern w:val="0"/>
          <w:sz w:val="24"/>
          <w:highlight w:val="none"/>
          <w:lang w:bidi="en-US"/>
        </w:rPr>
      </w:pPr>
    </w:p>
    <w:p>
      <w:pPr>
        <w:keepNext w:val="0"/>
        <w:keepLines w:val="0"/>
        <w:pageBreakBefore w:val="0"/>
        <w:widowControl/>
        <w:kinsoku/>
        <w:wordWrap/>
        <w:overflowPunct/>
        <w:topLinePunct w:val="0"/>
        <w:autoSpaceDE/>
        <w:autoSpaceDN/>
        <w:bidi w:val="0"/>
        <w:snapToGrid w:val="0"/>
        <w:spacing w:line="400" w:lineRule="exact"/>
        <w:jc w:val="left"/>
        <w:rPr>
          <w:rFonts w:hint="eastAsia" w:ascii="宋体" w:hAnsi="宋体" w:eastAsia="宋体" w:cs="宋体"/>
          <w:kern w:val="0"/>
          <w:sz w:val="21"/>
          <w:szCs w:val="21"/>
          <w:highlight w:val="none"/>
          <w:u w:val="single"/>
          <w:lang w:bidi="en-US"/>
        </w:rPr>
      </w:pPr>
      <w:r>
        <w:rPr>
          <w:rFonts w:hint="eastAsia" w:ascii="宋体" w:hAnsi="宋体" w:eastAsia="宋体" w:cs="宋体"/>
          <w:kern w:val="0"/>
          <w:sz w:val="21"/>
          <w:szCs w:val="21"/>
          <w:highlight w:val="none"/>
          <w:lang w:bidi="en-US"/>
        </w:rPr>
        <w:t>甲方（全称）：</w:t>
      </w:r>
      <w:r>
        <w:rPr>
          <w:rFonts w:hint="eastAsia" w:ascii="宋体" w:hAnsi="宋体" w:eastAsia="宋体" w:cs="宋体"/>
          <w:kern w:val="0"/>
          <w:sz w:val="21"/>
          <w:szCs w:val="21"/>
          <w:highlight w:val="none"/>
          <w:u w:val="single"/>
          <w:lang w:bidi="en-US"/>
        </w:rPr>
        <w:t xml:space="preserve">                      </w:t>
      </w:r>
    </w:p>
    <w:p>
      <w:pPr>
        <w:keepNext w:val="0"/>
        <w:keepLines w:val="0"/>
        <w:pageBreakBefore w:val="0"/>
        <w:widowControl/>
        <w:kinsoku/>
        <w:wordWrap/>
        <w:overflowPunct/>
        <w:topLinePunct w:val="0"/>
        <w:autoSpaceDE/>
        <w:autoSpaceDN/>
        <w:bidi w:val="0"/>
        <w:snapToGrid w:val="0"/>
        <w:spacing w:line="400" w:lineRule="exact"/>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乙方（全称）：</w:t>
      </w:r>
      <w:r>
        <w:rPr>
          <w:rFonts w:hint="eastAsia" w:ascii="宋体" w:hAnsi="宋体" w:eastAsia="宋体" w:cs="宋体"/>
          <w:kern w:val="0"/>
          <w:sz w:val="21"/>
          <w:szCs w:val="21"/>
          <w:highlight w:val="none"/>
          <w:u w:val="single"/>
          <w:lang w:bidi="en-US"/>
        </w:rPr>
        <w:t xml:space="preserve">                      </w:t>
      </w:r>
    </w:p>
    <w:p>
      <w:pPr>
        <w:keepNext w:val="0"/>
        <w:keepLines w:val="0"/>
        <w:pageBreakBefore w:val="0"/>
        <w:widowControl/>
        <w:kinsoku/>
        <w:wordWrap/>
        <w:overflowPunct/>
        <w:topLinePunct w:val="0"/>
        <w:autoSpaceDE/>
        <w:autoSpaceDN/>
        <w:bidi w:val="0"/>
        <w:snapToGrid w:val="0"/>
        <w:spacing w:line="400" w:lineRule="exact"/>
        <w:ind w:firstLine="420" w:firstLineChars="200"/>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鉴于甲方和乙方签订的</w:t>
      </w:r>
      <w:r>
        <w:rPr>
          <w:rFonts w:hint="eastAsia" w:ascii="宋体" w:hAnsi="宋体" w:eastAsia="宋体" w:cs="宋体"/>
          <w:kern w:val="0"/>
          <w:sz w:val="21"/>
          <w:szCs w:val="21"/>
          <w:highlight w:val="none"/>
          <w:u w:val="single"/>
          <w:lang w:bidi="en-US"/>
        </w:rPr>
        <w:t xml:space="preserve">                </w:t>
      </w:r>
      <w:r>
        <w:rPr>
          <w:rFonts w:hint="eastAsia" w:ascii="宋体" w:hAnsi="宋体" w:eastAsia="宋体" w:cs="宋体"/>
          <w:kern w:val="0"/>
          <w:sz w:val="21"/>
          <w:szCs w:val="21"/>
          <w:highlight w:val="none"/>
          <w:lang w:bidi="en-US"/>
        </w:rPr>
        <w:t>合同（以下简称主合同）在执行过程中，甲方需要向乙方提供相关资料、披露有关信息。为进一步明确乙方的保密义务，甲、乙双方特签订以下本协议。</w:t>
      </w:r>
    </w:p>
    <w:p>
      <w:pPr>
        <w:keepNext w:val="0"/>
        <w:keepLines w:val="0"/>
        <w:pageBreakBefore w:val="0"/>
        <w:widowControl/>
        <w:kinsoku/>
        <w:wordWrap/>
        <w:overflowPunct/>
        <w:topLinePunct w:val="0"/>
        <w:autoSpaceDE/>
        <w:autoSpaceDN/>
        <w:bidi w:val="0"/>
        <w:snapToGrid w:val="0"/>
        <w:spacing w:line="400" w:lineRule="exact"/>
        <w:ind w:firstLine="422" w:firstLineChars="200"/>
        <w:jc w:val="left"/>
        <w:rPr>
          <w:rFonts w:hint="eastAsia" w:ascii="宋体" w:hAnsi="宋体" w:eastAsia="宋体" w:cs="宋体"/>
          <w:b/>
          <w:kern w:val="0"/>
          <w:sz w:val="21"/>
          <w:szCs w:val="21"/>
          <w:highlight w:val="none"/>
          <w:lang w:bidi="en-US"/>
        </w:rPr>
      </w:pPr>
      <w:r>
        <w:rPr>
          <w:rFonts w:hint="eastAsia" w:ascii="宋体" w:hAnsi="宋体" w:eastAsia="宋体" w:cs="宋体"/>
          <w:b/>
          <w:kern w:val="0"/>
          <w:sz w:val="21"/>
          <w:szCs w:val="21"/>
          <w:highlight w:val="none"/>
          <w:lang w:bidi="en-US"/>
        </w:rPr>
        <w:t>第一条 保密内容</w:t>
      </w:r>
    </w:p>
    <w:p>
      <w:pPr>
        <w:keepNext w:val="0"/>
        <w:keepLines w:val="0"/>
        <w:pageBreakBefore w:val="0"/>
        <w:widowControl/>
        <w:kinsoku/>
        <w:wordWrap/>
        <w:overflowPunct/>
        <w:topLinePunct w:val="0"/>
        <w:autoSpaceDE/>
        <w:autoSpaceDN/>
        <w:bidi w:val="0"/>
        <w:snapToGrid w:val="0"/>
        <w:spacing w:line="400" w:lineRule="exact"/>
        <w:ind w:firstLine="422" w:firstLineChars="200"/>
        <w:jc w:val="left"/>
        <w:rPr>
          <w:rFonts w:hint="eastAsia" w:ascii="宋体" w:hAnsi="宋体" w:eastAsia="宋体" w:cs="宋体"/>
          <w:b/>
          <w:kern w:val="0"/>
          <w:sz w:val="21"/>
          <w:szCs w:val="21"/>
          <w:highlight w:val="none"/>
          <w:lang w:bidi="en-US"/>
        </w:rPr>
      </w:pPr>
      <w:r>
        <w:rPr>
          <w:rFonts w:hint="eastAsia" w:ascii="宋体" w:hAnsi="宋体" w:eastAsia="宋体" w:cs="宋体"/>
          <w:b/>
          <w:kern w:val="0"/>
          <w:sz w:val="21"/>
          <w:szCs w:val="21"/>
          <w:highlight w:val="none"/>
          <w:lang w:bidi="en-US"/>
        </w:rPr>
        <w:t>甲、乙双方确认，乙方应承担保密义务的内容为：</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1、技术信息：包括技术方案、设计要求、工作内容、实现方法、运作流程、技术指标、软件系统、数据库、运行环境、作业平台、测试结果、图纸、样本、模型、技术文档、涉及技术秘密的业务函电等； </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2、经营信息：包括客户名称、客户地址及联系方式、需求信息、营销计划、定价政策、招投标中的标底及标书内容、项目组人员构成、费用预算、利润情况及不公开的财务资料等；</w:t>
      </w:r>
    </w:p>
    <w:p>
      <w:pPr>
        <w:keepNext w:val="0"/>
        <w:keepLines w:val="0"/>
        <w:pageBreakBefore w:val="0"/>
        <w:widowControl/>
        <w:kinsoku/>
        <w:wordWrap/>
        <w:overflowPunct/>
        <w:topLinePunct w:val="0"/>
        <w:autoSpaceDE/>
        <w:autoSpaceDN/>
        <w:bidi w:val="0"/>
        <w:snapToGrid w:val="0"/>
        <w:spacing w:line="400" w:lineRule="exact"/>
        <w:ind w:firstLine="420" w:firstLineChars="200"/>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3、其他事项：甲方依照法律规定和有关协议（包括与项目对方当事人以及其他项目当事人订立协议、合同）的约定要求乙方承担保密义务的其他事项。</w:t>
      </w:r>
    </w:p>
    <w:p>
      <w:pPr>
        <w:keepNext w:val="0"/>
        <w:keepLines w:val="0"/>
        <w:pageBreakBefore w:val="0"/>
        <w:widowControl/>
        <w:kinsoku/>
        <w:wordWrap/>
        <w:overflowPunct/>
        <w:topLinePunct w:val="0"/>
        <w:autoSpaceDE/>
        <w:autoSpaceDN/>
        <w:bidi w:val="0"/>
        <w:snapToGrid w:val="0"/>
        <w:spacing w:line="400" w:lineRule="exact"/>
        <w:ind w:firstLine="422" w:firstLineChars="200"/>
        <w:jc w:val="left"/>
        <w:rPr>
          <w:rFonts w:hint="eastAsia" w:ascii="宋体" w:hAnsi="宋体" w:eastAsia="宋体" w:cs="宋体"/>
          <w:b/>
          <w:kern w:val="0"/>
          <w:sz w:val="21"/>
          <w:szCs w:val="21"/>
          <w:highlight w:val="none"/>
          <w:lang w:bidi="en-US"/>
        </w:rPr>
      </w:pPr>
      <w:r>
        <w:rPr>
          <w:rFonts w:hint="eastAsia" w:ascii="宋体" w:hAnsi="宋体" w:eastAsia="宋体" w:cs="宋体"/>
          <w:b/>
          <w:kern w:val="0"/>
          <w:sz w:val="21"/>
          <w:szCs w:val="21"/>
          <w:highlight w:val="none"/>
          <w:lang w:bidi="en-US"/>
        </w:rPr>
        <w:t>第二条 乙方的保密义务</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1、乙方应主动采取加密措施对上述第一条所列内容进行保密，防止不承担同等保密义务的任何第三者知悉及使用。</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2、乙方不得刺探或者以其他不正当手段（包括利用计算机进行检索、浏览、复制等）获取主合同及主合同执行过程中的甲方秘密。</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3、乙方不得向不承担同等保密义务的任何第三人披露上述第一条所列内容。</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4、乙方不得允许（包括出借、赠与、出租、转让等行为）或协助不承担同等保密义务的任何第三人使用上述第一条所列内容。</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5、不论因何种原因主合同终止后，乙方都不得利用上述第一条所列内容为其他与甲方有竞争关系的第三人提供服务或进行合作。</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7、乙方如发现上述第一条所列内容被泄露或者自己过失泄露秘密，应当采取有效措施防止泄密进一步扩大，并及时向甲方报告。</w:t>
      </w:r>
    </w:p>
    <w:p>
      <w:pPr>
        <w:keepNext w:val="0"/>
        <w:keepLines w:val="0"/>
        <w:pageBreakBefore w:val="0"/>
        <w:widowControl/>
        <w:kinsoku/>
        <w:wordWrap/>
        <w:overflowPunct/>
        <w:topLinePunct w:val="0"/>
        <w:autoSpaceDE/>
        <w:autoSpaceDN/>
        <w:bidi w:val="0"/>
        <w:snapToGrid w:val="0"/>
        <w:spacing w:line="400" w:lineRule="exact"/>
        <w:ind w:firstLine="422" w:firstLineChars="200"/>
        <w:jc w:val="left"/>
        <w:rPr>
          <w:rFonts w:hint="eastAsia" w:ascii="宋体" w:hAnsi="宋体" w:eastAsia="宋体" w:cs="宋体"/>
          <w:b/>
          <w:kern w:val="0"/>
          <w:sz w:val="21"/>
          <w:szCs w:val="21"/>
          <w:highlight w:val="none"/>
          <w:lang w:bidi="en-US"/>
        </w:rPr>
      </w:pPr>
      <w:r>
        <w:rPr>
          <w:rFonts w:hint="eastAsia" w:ascii="宋体" w:hAnsi="宋体" w:eastAsia="宋体" w:cs="宋体"/>
          <w:b/>
          <w:kern w:val="0"/>
          <w:sz w:val="21"/>
          <w:szCs w:val="21"/>
          <w:highlight w:val="none"/>
          <w:lang w:bidi="en-US"/>
        </w:rPr>
        <w:t>第三条 保密期限</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b/>
          <w:kern w:val="0"/>
          <w:sz w:val="21"/>
          <w:szCs w:val="21"/>
          <w:highlight w:val="none"/>
          <w:lang w:bidi="en-US"/>
        </w:rPr>
      </w:pPr>
      <w:r>
        <w:rPr>
          <w:rFonts w:hint="eastAsia" w:ascii="宋体" w:hAnsi="宋体" w:eastAsia="宋体" w:cs="宋体"/>
          <w:kern w:val="0"/>
          <w:sz w:val="21"/>
          <w:szCs w:val="21"/>
          <w:highlight w:val="none"/>
          <w:lang w:bidi="en-US"/>
        </w:rPr>
        <w:t>甲、乙双方确认，乙方的保密义务自本协议签订时开始，到甲方将上述第一条所列内容公开时止。乙方是否继续履行主合同，均不影响保密义务的承担。</w:t>
      </w:r>
    </w:p>
    <w:p>
      <w:pPr>
        <w:keepNext w:val="0"/>
        <w:keepLines w:val="0"/>
        <w:pageBreakBefore w:val="0"/>
        <w:widowControl/>
        <w:kinsoku/>
        <w:wordWrap/>
        <w:overflowPunct/>
        <w:topLinePunct w:val="0"/>
        <w:autoSpaceDE/>
        <w:autoSpaceDN/>
        <w:bidi w:val="0"/>
        <w:snapToGrid w:val="0"/>
        <w:spacing w:line="400" w:lineRule="exact"/>
        <w:ind w:firstLine="422" w:firstLineChars="200"/>
        <w:jc w:val="left"/>
        <w:rPr>
          <w:rFonts w:hint="eastAsia" w:ascii="宋体" w:hAnsi="宋体" w:eastAsia="宋体" w:cs="宋体"/>
          <w:b/>
          <w:kern w:val="0"/>
          <w:sz w:val="21"/>
          <w:szCs w:val="21"/>
          <w:highlight w:val="none"/>
          <w:lang w:bidi="en-US"/>
        </w:rPr>
      </w:pPr>
      <w:r>
        <w:rPr>
          <w:rFonts w:hint="eastAsia" w:ascii="宋体" w:hAnsi="宋体" w:eastAsia="宋体" w:cs="宋体"/>
          <w:b/>
          <w:kern w:val="0"/>
          <w:sz w:val="21"/>
          <w:szCs w:val="21"/>
          <w:highlight w:val="none"/>
          <w:lang w:bidi="en-US"/>
        </w:rPr>
        <w:t>第四条 违约责任</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1、因乙方未履行本协议第二条规定的保密义务，但尚未给甲方造成损失或严重后果的，每发生一次，甲方有权要求乙方支付</w:t>
      </w:r>
      <w:r>
        <w:rPr>
          <w:rFonts w:hint="eastAsia" w:ascii="宋体" w:hAnsi="宋体" w:eastAsia="宋体" w:cs="宋体"/>
          <w:b/>
          <w:kern w:val="0"/>
          <w:sz w:val="21"/>
          <w:szCs w:val="21"/>
          <w:highlight w:val="none"/>
          <w:lang w:bidi="en-US"/>
        </w:rPr>
        <w:t>人民币</w:t>
      </w:r>
      <w:r>
        <w:rPr>
          <w:rFonts w:hint="eastAsia" w:ascii="宋体" w:hAnsi="宋体" w:eastAsia="宋体" w:cs="宋体"/>
          <w:b/>
          <w:kern w:val="0"/>
          <w:sz w:val="21"/>
          <w:szCs w:val="21"/>
          <w:highlight w:val="none"/>
          <w:u w:val="single"/>
          <w:lang w:bidi="en-US"/>
        </w:rPr>
        <w:t>1000</w:t>
      </w:r>
      <w:r>
        <w:rPr>
          <w:rFonts w:hint="eastAsia" w:ascii="宋体" w:hAnsi="宋体" w:eastAsia="宋体" w:cs="宋体"/>
          <w:b/>
          <w:kern w:val="0"/>
          <w:sz w:val="21"/>
          <w:szCs w:val="21"/>
          <w:highlight w:val="none"/>
          <w:lang w:bidi="en-US"/>
        </w:rPr>
        <w:t>元</w:t>
      </w:r>
      <w:r>
        <w:rPr>
          <w:rFonts w:hint="eastAsia" w:ascii="宋体" w:hAnsi="宋体" w:eastAsia="宋体" w:cs="宋体"/>
          <w:kern w:val="0"/>
          <w:sz w:val="21"/>
          <w:szCs w:val="21"/>
          <w:highlight w:val="none"/>
          <w:lang w:bidi="en-US"/>
        </w:rPr>
        <w:t>的违约金。</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2、因乙方未履行本协议第二条规定的保密义务，给甲方造成损失或严重后果的，每发生一次，乙方应承担以下赔偿责任：</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（1）甲方调查乙方的违反协议行为而发生的所有费用；</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（2）因乙方的违反协议行为给甲方造成的经济损失，损失赔偿金额为</w:t>
      </w:r>
      <w:r>
        <w:rPr>
          <w:rFonts w:hint="eastAsia" w:ascii="宋体" w:hAnsi="宋体" w:eastAsia="宋体" w:cs="宋体"/>
          <w:b/>
          <w:kern w:val="0"/>
          <w:sz w:val="21"/>
          <w:szCs w:val="21"/>
          <w:highlight w:val="none"/>
          <w:lang w:bidi="en-US"/>
        </w:rPr>
        <w:t>主合同签约合同价的</w:t>
      </w:r>
      <w:r>
        <w:rPr>
          <w:rFonts w:hint="eastAsia" w:ascii="宋体" w:hAnsi="宋体" w:eastAsia="宋体" w:cs="宋体"/>
          <w:b/>
          <w:kern w:val="0"/>
          <w:sz w:val="21"/>
          <w:szCs w:val="21"/>
          <w:highlight w:val="none"/>
          <w:u w:val="single"/>
          <w:lang w:bidi="en-US"/>
        </w:rPr>
        <w:t>1</w:t>
      </w:r>
      <w:r>
        <w:rPr>
          <w:rFonts w:hint="eastAsia" w:ascii="宋体" w:hAnsi="宋体" w:eastAsia="宋体" w:cs="宋体"/>
          <w:b/>
          <w:kern w:val="0"/>
          <w:sz w:val="21"/>
          <w:szCs w:val="21"/>
          <w:highlight w:val="none"/>
          <w:lang w:bidi="en-US"/>
        </w:rPr>
        <w:t>％</w:t>
      </w:r>
      <w:r>
        <w:rPr>
          <w:rFonts w:hint="eastAsia" w:ascii="宋体" w:hAnsi="宋体" w:eastAsia="宋体" w:cs="宋体"/>
          <w:kern w:val="0"/>
          <w:sz w:val="21"/>
          <w:szCs w:val="21"/>
          <w:highlight w:val="none"/>
          <w:lang w:bidi="en-US"/>
        </w:rPr>
        <w:t>（有证据证明甲方实际损失超过这一金额的，以甲方实际损失为准）。</w:t>
      </w:r>
    </w:p>
    <w:p>
      <w:pPr>
        <w:keepNext w:val="0"/>
        <w:keepLines w:val="0"/>
        <w:pageBreakBefore w:val="0"/>
        <w:widowControl/>
        <w:kinsoku/>
        <w:wordWrap/>
        <w:overflowPunct/>
        <w:topLinePunct w:val="0"/>
        <w:autoSpaceDE/>
        <w:autoSpaceDN/>
        <w:bidi w:val="0"/>
        <w:snapToGrid w:val="0"/>
        <w:spacing w:line="400" w:lineRule="exact"/>
        <w:ind w:firstLine="422" w:firstLineChars="200"/>
        <w:jc w:val="left"/>
        <w:rPr>
          <w:rFonts w:hint="eastAsia" w:ascii="宋体" w:hAnsi="宋体" w:eastAsia="宋体" w:cs="宋体"/>
          <w:b/>
          <w:kern w:val="0"/>
          <w:sz w:val="21"/>
          <w:szCs w:val="21"/>
          <w:highlight w:val="none"/>
          <w:lang w:bidi="en-US"/>
        </w:rPr>
      </w:pPr>
      <w:r>
        <w:rPr>
          <w:rFonts w:hint="eastAsia" w:ascii="宋体" w:hAnsi="宋体" w:eastAsia="宋体" w:cs="宋体"/>
          <w:b/>
          <w:kern w:val="0"/>
          <w:sz w:val="21"/>
          <w:szCs w:val="21"/>
          <w:highlight w:val="none"/>
          <w:lang w:bidi="en-US"/>
        </w:rPr>
        <w:t>第五条 争议的解决</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因执行本协议而发生的纠纷，可由双方协商解决；协商不成的，任何一方有权向</w:t>
      </w:r>
      <w:r>
        <w:rPr>
          <w:rFonts w:hint="eastAsia" w:ascii="宋体" w:hAnsi="宋体" w:eastAsia="宋体" w:cs="宋体"/>
          <w:kern w:val="0"/>
          <w:sz w:val="21"/>
          <w:szCs w:val="21"/>
          <w:highlight w:val="none"/>
          <w:u w:val="single"/>
          <w:lang w:bidi="en-US"/>
        </w:rPr>
        <w:t>甲方所在地人民法院</w:t>
      </w:r>
      <w:r>
        <w:rPr>
          <w:rFonts w:hint="eastAsia" w:ascii="宋体" w:hAnsi="宋体" w:eastAsia="宋体" w:cs="宋体"/>
          <w:kern w:val="0"/>
          <w:sz w:val="21"/>
          <w:szCs w:val="21"/>
          <w:highlight w:val="none"/>
          <w:lang w:bidi="en-US"/>
        </w:rPr>
        <w:t>提起诉讼。</w:t>
      </w:r>
    </w:p>
    <w:p>
      <w:pPr>
        <w:keepNext w:val="0"/>
        <w:keepLines w:val="0"/>
        <w:pageBreakBefore w:val="0"/>
        <w:widowControl/>
        <w:kinsoku/>
        <w:wordWrap/>
        <w:overflowPunct/>
        <w:topLinePunct w:val="0"/>
        <w:autoSpaceDE/>
        <w:autoSpaceDN/>
        <w:bidi w:val="0"/>
        <w:snapToGrid w:val="0"/>
        <w:spacing w:line="400" w:lineRule="exact"/>
        <w:ind w:firstLine="422" w:firstLineChars="200"/>
        <w:jc w:val="left"/>
        <w:rPr>
          <w:rFonts w:hint="eastAsia" w:ascii="宋体" w:hAnsi="宋体" w:eastAsia="宋体" w:cs="宋体"/>
          <w:b/>
          <w:kern w:val="0"/>
          <w:sz w:val="21"/>
          <w:szCs w:val="21"/>
          <w:highlight w:val="none"/>
          <w:lang w:bidi="en-US"/>
        </w:rPr>
      </w:pPr>
      <w:r>
        <w:rPr>
          <w:rFonts w:hint="eastAsia" w:ascii="宋体" w:hAnsi="宋体" w:eastAsia="宋体" w:cs="宋体"/>
          <w:b/>
          <w:kern w:val="0"/>
          <w:sz w:val="21"/>
          <w:szCs w:val="21"/>
          <w:highlight w:val="none"/>
          <w:lang w:bidi="en-US"/>
        </w:rPr>
        <w:t>第六条 协议的效力和变更</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1、本协议自双方法定代表人或其授权代表签字并加盖公章后生效。</w:t>
      </w:r>
    </w:p>
    <w:p>
      <w:pPr>
        <w:keepNext w:val="0"/>
        <w:keepLines w:val="0"/>
        <w:pageBreakBefore w:val="0"/>
        <w:widowControl/>
        <w:kinsoku/>
        <w:wordWrap/>
        <w:overflowPunct/>
        <w:topLinePunct w:val="0"/>
        <w:autoSpaceDE/>
        <w:autoSpaceDN/>
        <w:bidi w:val="0"/>
        <w:snapToGrid w:val="0"/>
        <w:spacing w:line="400" w:lineRule="exact"/>
        <w:ind w:firstLine="420" w:firstLineChars="200"/>
        <w:jc w:val="left"/>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2、任何对本协议所作的任何增补和修改，除非由双方合法指派的代表书面做出，否则视为无效或对双方均无约束力。</w:t>
      </w: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keepNext w:val="0"/>
              <w:keepLines w:val="0"/>
              <w:pageBreakBefore w:val="0"/>
              <w:kinsoku/>
              <w:wordWrap/>
              <w:overflowPunct/>
              <w:topLinePunct w:val="0"/>
              <w:autoSpaceDE/>
              <w:autoSpaceDN/>
              <w:bidi w:val="0"/>
              <w:adjustRightInd w:val="0"/>
              <w:snapToGrid w:val="0"/>
              <w:spacing w:line="400" w:lineRule="exact"/>
              <w:textAlignment w:val="baseline"/>
              <w:rPr>
                <w:rFonts w:hint="eastAsia" w:ascii="宋体" w:hAnsi="宋体" w:eastAsia="宋体" w:cs="宋体"/>
                <w:kern w:val="0"/>
                <w:sz w:val="21"/>
                <w:szCs w:val="21"/>
                <w:highlight w:val="none"/>
              </w:rPr>
            </w:pPr>
            <w:bookmarkStart w:id="176" w:name="3"/>
            <w:bookmarkEnd w:id="176"/>
            <w:r>
              <w:rPr>
                <w:rFonts w:hint="eastAsia" w:ascii="宋体" w:hAnsi="宋体" w:eastAsia="宋体" w:cs="宋体"/>
                <w:kern w:val="0"/>
                <w:sz w:val="21"/>
                <w:szCs w:val="21"/>
                <w:highlight w:val="none"/>
              </w:rPr>
              <w:t>甲方：(盖章)</w:t>
            </w:r>
          </w:p>
        </w:tc>
        <w:tc>
          <w:tcPr>
            <w:tcW w:w="4252" w:type="dxa"/>
            <w:noWrap w:val="0"/>
            <w:vAlign w:val="top"/>
          </w:tcPr>
          <w:p>
            <w:pPr>
              <w:keepNext w:val="0"/>
              <w:keepLines w:val="0"/>
              <w:pageBreakBefore w:val="0"/>
              <w:kinsoku/>
              <w:wordWrap/>
              <w:overflowPunct/>
              <w:topLinePunct w:val="0"/>
              <w:autoSpaceDE/>
              <w:autoSpaceDN/>
              <w:bidi w:val="0"/>
              <w:adjustRightInd w:val="0"/>
              <w:snapToGrid w:val="0"/>
              <w:spacing w:line="400" w:lineRule="exac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Next w:val="0"/>
              <w:keepLines w:val="0"/>
              <w:pageBreakBefore w:val="0"/>
              <w:kinsoku/>
              <w:wordWrap/>
              <w:overflowPunct/>
              <w:topLinePunct w:val="0"/>
              <w:autoSpaceDE/>
              <w:autoSpaceDN/>
              <w:bidi w:val="0"/>
              <w:adjustRightInd w:val="0"/>
              <w:snapToGrid w:val="0"/>
              <w:spacing w:line="400" w:lineRule="exact"/>
              <w:ind w:left="19" w:leftChars="9"/>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法定代表人或其授权代表：（签字）</w:t>
            </w:r>
          </w:p>
          <w:p>
            <w:pPr>
              <w:keepNext w:val="0"/>
              <w:keepLines w:val="0"/>
              <w:pageBreakBefore w:val="0"/>
              <w:kinsoku/>
              <w:wordWrap/>
              <w:overflowPunct/>
              <w:topLinePunct w:val="0"/>
              <w:autoSpaceDE/>
              <w:autoSpaceDN/>
              <w:bidi w:val="0"/>
              <w:adjustRightInd w:val="0"/>
              <w:snapToGrid w:val="0"/>
              <w:spacing w:line="400" w:lineRule="exact"/>
              <w:ind w:left="19" w:leftChars="9"/>
              <w:textAlignment w:val="baseline"/>
              <w:rPr>
                <w:rFonts w:hint="eastAsia" w:ascii="宋体" w:hAnsi="宋体" w:eastAsia="宋体" w:cs="宋体"/>
                <w:kern w:val="0"/>
                <w:sz w:val="21"/>
                <w:szCs w:val="21"/>
                <w:highlight w:val="none"/>
              </w:rPr>
            </w:pPr>
          </w:p>
        </w:tc>
        <w:tc>
          <w:tcPr>
            <w:tcW w:w="4252" w:type="dxa"/>
            <w:noWrap w:val="0"/>
            <w:vAlign w:val="top"/>
          </w:tcPr>
          <w:p>
            <w:pPr>
              <w:keepNext w:val="0"/>
              <w:keepLines w:val="0"/>
              <w:pageBreakBefore w:val="0"/>
              <w:kinsoku/>
              <w:wordWrap/>
              <w:overflowPunct/>
              <w:topLinePunct w:val="0"/>
              <w:autoSpaceDE/>
              <w:autoSpaceDN/>
              <w:bidi w:val="0"/>
              <w:adjustRightInd w:val="0"/>
              <w:snapToGrid w:val="0"/>
              <w:spacing w:line="400" w:lineRule="exact"/>
              <w:ind w:left="34" w:leftChars="16"/>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Next w:val="0"/>
              <w:keepLines w:val="0"/>
              <w:pageBreakBefore w:val="0"/>
              <w:kinsoku/>
              <w:wordWrap/>
              <w:overflowPunct/>
              <w:topLinePunct w:val="0"/>
              <w:autoSpaceDE/>
              <w:autoSpaceDN/>
              <w:bidi w:val="0"/>
              <w:adjustRightInd w:val="0"/>
              <w:snapToGrid w:val="0"/>
              <w:spacing w:line="400" w:lineRule="exact"/>
              <w:ind w:left="19" w:leftChars="9"/>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时间：</w:t>
            </w:r>
          </w:p>
        </w:tc>
        <w:tc>
          <w:tcPr>
            <w:tcW w:w="4252" w:type="dxa"/>
            <w:noWrap w:val="0"/>
            <w:vAlign w:val="top"/>
          </w:tcPr>
          <w:p>
            <w:pPr>
              <w:keepNext w:val="0"/>
              <w:keepLines w:val="0"/>
              <w:pageBreakBefore w:val="0"/>
              <w:kinsoku/>
              <w:wordWrap/>
              <w:overflowPunct/>
              <w:topLinePunct w:val="0"/>
              <w:autoSpaceDE/>
              <w:autoSpaceDN/>
              <w:bidi w:val="0"/>
              <w:adjustRightInd w:val="0"/>
              <w:snapToGrid w:val="0"/>
              <w:spacing w:line="400" w:lineRule="exact"/>
              <w:ind w:left="34" w:leftChars="16"/>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pStyle w:val="13"/>
        <w:snapToGrid w:val="0"/>
        <w:spacing w:line="360" w:lineRule="auto"/>
        <w:ind w:firstLine="0"/>
        <w:outlineLvl w:val="1"/>
        <w:rPr>
          <w:rFonts w:hint="eastAsia" w:ascii="仿宋_GB2312" w:hAnsi="仿宋_GB2312" w:eastAsia="仿宋_GB2312" w:cs="仿宋_GB2312"/>
          <w:b/>
          <w:sz w:val="24"/>
          <w:highlight w:val="none"/>
        </w:rPr>
      </w:pPr>
      <w:bookmarkStart w:id="177" w:name="_Toc8604"/>
      <w:bookmarkStart w:id="178" w:name="_Toc2390"/>
      <w:bookmarkStart w:id="179" w:name="_Toc31106"/>
      <w:bookmarkStart w:id="180" w:name="_Toc12700"/>
      <w:bookmarkStart w:id="181" w:name="_Toc9602"/>
      <w:r>
        <w:rPr>
          <w:rFonts w:hint="eastAsia" w:ascii="仿宋_GB2312" w:hAnsi="仿宋_GB2312" w:eastAsia="仿宋_GB2312" w:cs="仿宋_GB2312"/>
          <w:b/>
          <w:sz w:val="24"/>
          <w:highlight w:val="none"/>
        </w:rPr>
        <w:t>附件3 中标通知书/中选通知书/谈判记录表</w:t>
      </w:r>
      <w:bookmarkEnd w:id="177"/>
      <w:bookmarkEnd w:id="178"/>
      <w:bookmarkEnd w:id="179"/>
      <w:bookmarkEnd w:id="180"/>
      <w:bookmarkEnd w:id="181"/>
    </w:p>
    <w:p>
      <w:pPr>
        <w:pStyle w:val="13"/>
        <w:snapToGrid w:val="0"/>
        <w:spacing w:line="360" w:lineRule="auto"/>
        <w:ind w:firstLine="0"/>
        <w:outlineLvl w:val="1"/>
        <w:rPr>
          <w:rFonts w:hint="eastAsia" w:ascii="仿宋_GB2312" w:hAnsi="仿宋_GB2312" w:eastAsia="仿宋_GB2312" w:cs="仿宋_GB2312"/>
          <w:b/>
          <w:sz w:val="24"/>
          <w:highlight w:val="none"/>
        </w:rPr>
      </w:pPr>
      <w:bookmarkStart w:id="182" w:name="_Toc4439"/>
      <w:bookmarkStart w:id="183" w:name="_Toc13861"/>
      <w:bookmarkStart w:id="184" w:name="_Toc20127"/>
      <w:bookmarkStart w:id="185" w:name="_Toc17491"/>
      <w:bookmarkStart w:id="186" w:name="_Toc8115"/>
      <w:bookmarkStart w:id="187" w:name="_Toc29833"/>
      <w:r>
        <w:rPr>
          <w:rFonts w:hint="eastAsia" w:ascii="仿宋_GB2312" w:hAnsi="仿宋_GB2312" w:eastAsia="仿宋_GB2312" w:cs="仿宋_GB2312"/>
          <w:b/>
          <w:sz w:val="24"/>
          <w:highlight w:val="none"/>
        </w:rPr>
        <w:t>附件4 签约合同价清单</w:t>
      </w:r>
      <w:bookmarkEnd w:id="182"/>
      <w:bookmarkEnd w:id="183"/>
      <w:bookmarkEnd w:id="184"/>
      <w:bookmarkEnd w:id="185"/>
      <w:bookmarkEnd w:id="186"/>
      <w:bookmarkEnd w:id="187"/>
    </w:p>
    <w:p>
      <w:pPr>
        <w:pStyle w:val="13"/>
        <w:snapToGrid w:val="0"/>
        <w:spacing w:line="360" w:lineRule="auto"/>
        <w:ind w:firstLine="0"/>
        <w:outlineLvl w:val="1"/>
        <w:rPr>
          <w:rFonts w:hint="eastAsia" w:ascii="仿宋_GB2312" w:hAnsi="仿宋_GB2312" w:eastAsia="仿宋_GB2312" w:cs="仿宋_GB2312"/>
          <w:b/>
          <w:sz w:val="24"/>
          <w:highlight w:val="none"/>
        </w:rPr>
      </w:pPr>
      <w:bookmarkStart w:id="188" w:name="_Toc29629"/>
      <w:bookmarkStart w:id="189" w:name="_Toc10252"/>
      <w:bookmarkStart w:id="190" w:name="_Toc23270"/>
      <w:bookmarkStart w:id="191" w:name="_Toc32134"/>
      <w:bookmarkStart w:id="192" w:name="_Toc1070"/>
      <w:bookmarkStart w:id="193" w:name="_Toc16259"/>
      <w:r>
        <w:rPr>
          <w:rFonts w:hint="eastAsia" w:ascii="仿宋_GB2312" w:hAnsi="仿宋_GB2312" w:eastAsia="仿宋_GB2312" w:cs="仿宋_GB2312"/>
          <w:b/>
          <w:sz w:val="24"/>
          <w:highlight w:val="none"/>
        </w:rPr>
        <w:t>附件5 澄清与答疑文件</w:t>
      </w:r>
      <w:bookmarkEnd w:id="188"/>
      <w:bookmarkEnd w:id="189"/>
      <w:bookmarkEnd w:id="190"/>
      <w:bookmarkEnd w:id="191"/>
      <w:bookmarkEnd w:id="192"/>
      <w:bookmarkEnd w:id="193"/>
    </w:p>
    <w:p>
      <w:pPr>
        <w:pStyle w:val="13"/>
        <w:snapToGrid w:val="0"/>
        <w:spacing w:line="360" w:lineRule="auto"/>
        <w:ind w:firstLine="0"/>
        <w:outlineLvl w:val="1"/>
        <w:rPr>
          <w:rFonts w:hint="eastAsia" w:ascii="仿宋_GB2312" w:hAnsi="仿宋_GB2312" w:eastAsia="仿宋_GB2312" w:cs="仿宋_GB2312"/>
          <w:b/>
          <w:sz w:val="24"/>
          <w:highlight w:val="none"/>
        </w:rPr>
      </w:pPr>
      <w:bookmarkStart w:id="194" w:name="_Toc28176"/>
      <w:bookmarkStart w:id="195" w:name="_Toc21512"/>
      <w:bookmarkStart w:id="196" w:name="_Toc10601"/>
      <w:bookmarkStart w:id="197" w:name="_Toc32427"/>
      <w:bookmarkStart w:id="198" w:name="_Toc25548"/>
      <w:bookmarkStart w:id="199" w:name="_Toc30771"/>
      <w:r>
        <w:rPr>
          <w:rFonts w:hint="eastAsia" w:ascii="仿宋_GB2312" w:hAnsi="仿宋_GB2312" w:eastAsia="仿宋_GB2312" w:cs="仿宋_GB2312"/>
          <w:b/>
          <w:sz w:val="24"/>
          <w:highlight w:val="none"/>
        </w:rPr>
        <w:t>附件6 最高投标限价公示说明</w:t>
      </w:r>
      <w:bookmarkEnd w:id="194"/>
      <w:bookmarkEnd w:id="195"/>
      <w:bookmarkEnd w:id="196"/>
      <w:bookmarkEnd w:id="197"/>
      <w:bookmarkEnd w:id="198"/>
      <w:bookmarkEnd w:id="199"/>
    </w:p>
    <w:p>
      <w:pPr>
        <w:pStyle w:val="13"/>
        <w:snapToGrid w:val="0"/>
        <w:spacing w:line="360" w:lineRule="auto"/>
        <w:ind w:firstLine="0"/>
        <w:outlineLvl w:val="1"/>
        <w:rPr>
          <w:rFonts w:hint="eastAsia" w:ascii="仿宋_GB2312" w:hAnsi="仿宋_GB2312" w:eastAsia="仿宋_GB2312" w:cs="仿宋_GB2312"/>
          <w:b/>
          <w:sz w:val="24"/>
          <w:highlight w:val="none"/>
        </w:rPr>
      </w:pPr>
      <w:bookmarkStart w:id="200" w:name="_Toc2273"/>
      <w:bookmarkStart w:id="201" w:name="_Toc28295"/>
      <w:bookmarkStart w:id="202" w:name="_Toc10109"/>
      <w:bookmarkStart w:id="203" w:name="_Toc7423"/>
      <w:bookmarkStart w:id="204" w:name="_Toc9920"/>
      <w:bookmarkStart w:id="205" w:name="_Toc31337"/>
      <w:r>
        <w:rPr>
          <w:rFonts w:hint="eastAsia" w:ascii="仿宋_GB2312" w:hAnsi="仿宋_GB2312" w:eastAsia="仿宋_GB2312" w:cs="仿宋_GB2312"/>
          <w:b/>
          <w:sz w:val="24"/>
          <w:highlight w:val="none"/>
        </w:rPr>
        <w:t>附件7 用户需求书/技术规格书</w:t>
      </w:r>
      <w:bookmarkEnd w:id="200"/>
      <w:bookmarkEnd w:id="201"/>
      <w:bookmarkEnd w:id="202"/>
      <w:bookmarkEnd w:id="203"/>
      <w:bookmarkEnd w:id="204"/>
      <w:bookmarkEnd w:id="205"/>
    </w:p>
    <w:bookmarkEnd w:id="151"/>
    <w:bookmarkEnd w:id="152"/>
    <w:bookmarkEnd w:id="153"/>
    <w:bookmarkEnd w:id="174"/>
    <w:bookmarkEnd w:id="175"/>
    <w:p>
      <w:pPr>
        <w:rPr>
          <w:rFonts w:hint="eastAsia" w:ascii="仿宋_GB2312" w:hAnsi="仿宋_GB2312" w:eastAsia="仿宋_GB2312" w:cs="仿宋_GB2312"/>
          <w:b/>
          <w:sz w:val="32"/>
          <w:szCs w:val="32"/>
          <w:highlight w:val="none"/>
        </w:rPr>
      </w:pPr>
      <w:bookmarkStart w:id="206" w:name="_Toc18264"/>
      <w:bookmarkStart w:id="207" w:name="_Toc319826225"/>
      <w:bookmarkStart w:id="208" w:name="_Toc17255"/>
      <w:bookmarkStart w:id="209" w:name="_Toc25793"/>
      <w:bookmarkStart w:id="210" w:name="_Toc7459"/>
      <w:bookmarkStart w:id="211" w:name="_Toc31412"/>
      <w:r>
        <w:rPr>
          <w:rFonts w:hint="eastAsia" w:ascii="仿宋_GB2312" w:hAnsi="仿宋_GB2312" w:eastAsia="仿宋_GB2312" w:cs="仿宋_GB2312"/>
          <w:b/>
          <w:sz w:val="32"/>
          <w:szCs w:val="32"/>
          <w:highlight w:val="none"/>
        </w:rPr>
        <w:br w:type="page"/>
      </w:r>
    </w:p>
    <w:p>
      <w:pPr>
        <w:pStyle w:val="13"/>
        <w:snapToGrid w:val="0"/>
        <w:spacing w:line="360" w:lineRule="auto"/>
        <w:ind w:firstLine="0"/>
        <w:jc w:val="center"/>
        <w:outlineLvl w:val="1"/>
        <w:rPr>
          <w:rFonts w:hint="eastAsia" w:ascii="仿宋_GB2312" w:hAnsi="仿宋_GB2312" w:eastAsia="仿宋_GB2312" w:cs="仿宋_GB2312"/>
          <w:b/>
          <w:sz w:val="32"/>
          <w:szCs w:val="32"/>
          <w:highlight w:val="none"/>
        </w:rPr>
      </w:pPr>
      <w:bookmarkStart w:id="212" w:name="_Toc17773"/>
      <w:bookmarkStart w:id="213" w:name="_Toc6041"/>
      <w:bookmarkStart w:id="214" w:name="_Toc11834"/>
      <w:r>
        <w:rPr>
          <w:rFonts w:hint="eastAsia" w:ascii="仿宋_GB2312" w:hAnsi="仿宋_GB2312" w:eastAsia="仿宋_GB2312" w:cs="仿宋_GB2312"/>
          <w:b/>
          <w:sz w:val="32"/>
          <w:szCs w:val="32"/>
          <w:highlight w:val="none"/>
        </w:rPr>
        <w:t>第四部分 合同附录</w:t>
      </w:r>
      <w:bookmarkEnd w:id="206"/>
      <w:bookmarkEnd w:id="207"/>
      <w:bookmarkEnd w:id="208"/>
      <w:bookmarkEnd w:id="209"/>
      <w:bookmarkEnd w:id="210"/>
      <w:bookmarkEnd w:id="211"/>
      <w:bookmarkEnd w:id="212"/>
      <w:bookmarkEnd w:id="213"/>
      <w:bookmarkEnd w:id="214"/>
      <w:bookmarkStart w:id="215" w:name="_Toc437444976"/>
      <w:bookmarkStart w:id="216" w:name="_Toc22409"/>
      <w:bookmarkStart w:id="217" w:name="_Toc411417807"/>
    </w:p>
    <w:p>
      <w:pPr>
        <w:adjustRightInd w:val="0"/>
        <w:snapToGrid w:val="0"/>
        <w:spacing w:line="360" w:lineRule="auto"/>
        <w:outlineLvl w:val="1"/>
        <w:rPr>
          <w:rFonts w:hint="eastAsia" w:ascii="仿宋_GB2312" w:hAnsi="仿宋_GB2312" w:eastAsia="仿宋_GB2312" w:cs="仿宋_GB2312"/>
          <w:b/>
          <w:bCs/>
          <w:sz w:val="24"/>
          <w:highlight w:val="none"/>
        </w:rPr>
      </w:pPr>
      <w:bookmarkStart w:id="218" w:name="_Toc20623"/>
      <w:bookmarkStart w:id="219" w:name="_Toc10145"/>
      <w:bookmarkStart w:id="220" w:name="_Toc13963"/>
      <w:bookmarkStart w:id="221" w:name="_Toc24584"/>
      <w:bookmarkStart w:id="222" w:name="_Toc14463"/>
      <w:bookmarkStart w:id="223" w:name="_Toc16888"/>
      <w:bookmarkStart w:id="224" w:name="_Toc17402"/>
      <w:r>
        <w:rPr>
          <w:rFonts w:hint="eastAsia" w:ascii="仿宋_GB2312" w:hAnsi="仿宋_GB2312" w:eastAsia="仿宋_GB2312" w:cs="仿宋_GB2312"/>
          <w:b/>
          <w:bCs/>
          <w:sz w:val="24"/>
          <w:highlight w:val="none"/>
        </w:rPr>
        <w:t xml:space="preserve">附录1 </w:t>
      </w:r>
      <w:bookmarkEnd w:id="215"/>
      <w:bookmarkEnd w:id="216"/>
      <w:bookmarkEnd w:id="217"/>
      <w:bookmarkEnd w:id="218"/>
      <w:bookmarkStart w:id="225" w:name="_Toc16781"/>
      <w:bookmarkStart w:id="226" w:name="_Toc319826226"/>
      <w:bookmarkStart w:id="227" w:name="_Toc437444977"/>
      <w:bookmarkStart w:id="228" w:name="_Toc12472"/>
      <w:r>
        <w:rPr>
          <w:rFonts w:hint="eastAsia" w:ascii="仿宋_GB2312" w:hAnsi="仿宋_GB2312" w:eastAsia="仿宋_GB2312" w:cs="仿宋_GB2312"/>
          <w:b/>
          <w:bCs/>
          <w:sz w:val="24"/>
          <w:highlight w:val="none"/>
        </w:rPr>
        <w:t>银行履约保函</w:t>
      </w:r>
      <w:bookmarkEnd w:id="225"/>
      <w:bookmarkEnd w:id="226"/>
      <w:bookmarkEnd w:id="227"/>
      <w:r>
        <w:rPr>
          <w:rFonts w:hint="eastAsia" w:ascii="仿宋_GB2312" w:hAnsi="仿宋_GB2312" w:eastAsia="仿宋_GB2312" w:cs="仿宋_GB2312"/>
          <w:b/>
          <w:bCs/>
          <w:sz w:val="24"/>
          <w:highlight w:val="none"/>
        </w:rPr>
        <w:t>（格式）</w:t>
      </w:r>
      <w:bookmarkEnd w:id="219"/>
      <w:bookmarkEnd w:id="220"/>
      <w:bookmarkEnd w:id="221"/>
      <w:bookmarkEnd w:id="222"/>
      <w:bookmarkEnd w:id="223"/>
      <w:bookmarkEnd w:id="224"/>
      <w:bookmarkEnd w:id="228"/>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甲方（全称）：</w:t>
      </w:r>
      <w:r>
        <w:rPr>
          <w:rFonts w:hint="eastAsia" w:ascii="宋体" w:hAnsi="宋体" w:eastAsia="宋体" w:cs="宋体"/>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鉴于甲方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（以下简称“你方”）与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（乙方全称，以下简称“乙方”）于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日协商一致共同签订合同编号为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合同》（以下简称“合同”）。 我方愿意无条件地、不可撤销地就乙方履行与你方签订的合同，向你方提供以下见索即付担保：</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1、担保金额为人民币（大写）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2、担保期限为自本保函生效之日起至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之日止。</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3、在本担保有效期内，因乙方违反合同约定的义务给你方造成经济损失时，我方在收到你方以书面形式提出的在担保金额内的赔偿要求后，在 7 个工作日内无条件支付。</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4、你方和乙方按合同约定变更合同时，我方承担本担保规定的义务不变。</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5、因本保函发生的纠纷，可由双方协商解决，协商不成的，任何一方均可提请在你方所在地人民法院起诉。</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本保函自我方加盖公章之日起生效。</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352" w:firstLineChars="168"/>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352" w:firstLineChars="16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担保人（盖公章）：</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签字：</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352" w:firstLineChars="168"/>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地址：</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352" w:firstLineChars="168"/>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邮政编码：</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352" w:firstLineChars="168"/>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电话：</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352" w:firstLineChars="16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pPr>
        <w:keepNext w:val="0"/>
        <w:keepLines w:val="0"/>
        <w:pageBreakBefore w:val="0"/>
        <w:widowControl w:val="0"/>
        <w:kinsoku/>
        <w:wordWrap/>
        <w:overflowPunct/>
        <w:topLinePunct w:val="0"/>
        <w:autoSpaceDE/>
        <w:autoSpaceDN/>
        <w:bidi w:val="0"/>
        <w:adjustRightInd w:val="0"/>
        <w:snapToGrid w:val="0"/>
        <w:spacing w:line="400" w:lineRule="exact"/>
        <w:ind w:left="15" w:leftChars="7" w:firstLine="352" w:firstLineChars="16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p>
    <w:p>
      <w:pPr>
        <w:tabs>
          <w:tab w:val="left" w:pos="1248"/>
        </w:tabs>
        <w:adjustRightInd w:val="0"/>
        <w:snapToGrid w:val="0"/>
        <w:spacing w:line="360" w:lineRule="auto"/>
        <w:rPr>
          <w:rFonts w:hint="eastAsia" w:ascii="仿宋_GB2312" w:hAnsi="仿宋_GB2312" w:eastAsia="仿宋_GB2312" w:cs="仿宋_GB2312"/>
          <w:highlight w:val="none"/>
        </w:rPr>
      </w:pPr>
    </w:p>
    <w:p>
      <w:pPr>
        <w:pStyle w:val="13"/>
        <w:snapToGrid w:val="0"/>
        <w:spacing w:line="360" w:lineRule="auto"/>
        <w:ind w:firstLine="0"/>
        <w:jc w:val="center"/>
        <w:outlineLvl w:val="1"/>
        <w:rPr>
          <w:rFonts w:hint="eastAsia" w:ascii="仿宋_GB2312" w:hAnsi="仿宋_GB2312" w:eastAsia="仿宋_GB2312" w:cs="仿宋_GB2312"/>
          <w:highlight w:val="none"/>
        </w:rPr>
      </w:pPr>
      <w:r>
        <w:rPr>
          <w:rFonts w:ascii="仿宋_GB2312" w:hAnsi="仿宋_GB2312" w:eastAsia="仿宋_GB2312" w:cs="仿宋_GB2312"/>
          <w:highlight w:val="none"/>
        </w:rPr>
        <w:br w:type="page"/>
      </w:r>
    </w:p>
    <w:p>
      <w:pPr>
        <w:pStyle w:val="13"/>
        <w:snapToGrid w:val="0"/>
        <w:ind w:firstLine="0"/>
        <w:outlineLvl w:val="1"/>
        <w:rPr>
          <w:rFonts w:hint="eastAsia" w:ascii="仿宋_GB2312" w:hAnsi="仿宋_GB2312" w:eastAsia="仿宋_GB2312" w:cs="仿宋_GB2312"/>
          <w:b/>
          <w:sz w:val="32"/>
          <w:szCs w:val="32"/>
          <w:highlight w:val="none"/>
        </w:rPr>
      </w:pPr>
      <w:bookmarkStart w:id="229" w:name="_Toc21666"/>
      <w:bookmarkStart w:id="230" w:name="_Toc3301"/>
      <w:bookmarkStart w:id="231" w:name="_Toc19498"/>
      <w:bookmarkStart w:id="232" w:name="_Toc14318"/>
      <w:bookmarkStart w:id="233" w:name="_Toc32619"/>
      <w:bookmarkStart w:id="234" w:name="_Toc12987"/>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bookmarkEnd w:id="229"/>
      <w:bookmarkEnd w:id="230"/>
      <w:bookmarkEnd w:id="231"/>
      <w:bookmarkEnd w:id="232"/>
      <w:bookmarkEnd w:id="233"/>
      <w:bookmarkEnd w:id="234"/>
    </w:p>
    <w:p>
      <w:pPr>
        <w:pStyle w:val="1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1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1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1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13"/>
        <w:snapToGrid w:val="0"/>
        <w:ind w:firstLine="0"/>
        <w:outlineLvl w:val="1"/>
        <w:rPr>
          <w:rFonts w:ascii="仿宋_GB2312" w:hAnsi="仿宋_GB2312" w:eastAsia="仿宋_GB2312" w:cs="仿宋_GB2312"/>
          <w:b/>
          <w:sz w:val="32"/>
          <w:szCs w:val="32"/>
          <w:highlight w:val="none"/>
        </w:rPr>
      </w:pPr>
      <w:bookmarkStart w:id="235" w:name="_Toc12511"/>
      <w:bookmarkStart w:id="236" w:name="_Toc25385"/>
      <w:bookmarkStart w:id="237" w:name="_Toc27403"/>
      <w:bookmarkStart w:id="238" w:name="_Toc5580"/>
      <w:bookmarkStart w:id="239" w:name="_Toc32719"/>
      <w:bookmarkStart w:id="240" w:name="_Toc25473"/>
      <w:r>
        <w:rPr>
          <w:rFonts w:hint="eastAsia" w:ascii="仿宋_GB2312" w:hAnsi="仿宋_GB2312" w:eastAsia="仿宋_GB2312" w:cs="仿宋_GB2312"/>
          <w:b/>
          <w:sz w:val="32"/>
          <w:szCs w:val="32"/>
          <w:highlight w:val="none"/>
        </w:rPr>
        <w:t>第六部分 投标文件/谈判响应文件、澄清文件及其他补充资料（如有，另册）</w:t>
      </w:r>
      <w:bookmarkEnd w:id="235"/>
      <w:bookmarkEnd w:id="236"/>
      <w:bookmarkEnd w:id="237"/>
      <w:bookmarkEnd w:id="238"/>
      <w:bookmarkEnd w:id="239"/>
      <w:bookmarkEnd w:id="240"/>
    </w:p>
    <w:p>
      <w:pPr>
        <w:tabs>
          <w:tab w:val="left" w:pos="1248"/>
        </w:tabs>
        <w:adjustRightInd w:val="0"/>
        <w:snapToGrid w:val="0"/>
        <w:spacing w:line="360" w:lineRule="auto"/>
        <w:rPr>
          <w:rFonts w:hint="eastAsia" w:ascii="仿宋_GB2312" w:hAnsi="仿宋_GB2312" w:eastAsia="仿宋_GB2312" w:cs="仿宋_GB2312"/>
          <w:highlight w:val="none"/>
        </w:rPr>
      </w:pPr>
    </w:p>
    <w:p/>
    <w:p>
      <w:pPr>
        <w:spacing w:after="240"/>
        <w:jc w:val="center"/>
        <w:rPr>
          <w:rFonts w:ascii="宋体" w:hAnsi="宋体" w:cs="宋体"/>
          <w:b/>
          <w:bCs/>
          <w:sz w:val="21"/>
          <w:szCs w:val="21"/>
        </w:rPr>
        <w:sectPr>
          <w:footerReference r:id="rId11" w:type="default"/>
          <w:pgSz w:w="11906" w:h="16838"/>
          <w:pgMar w:top="1134" w:right="1134" w:bottom="1134" w:left="1417" w:header="851" w:footer="851" w:gutter="0"/>
          <w:pgNumType w:fmt="decimal"/>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after="240"/>
        <w:jc w:val="center"/>
        <w:textAlignment w:val="auto"/>
        <w:outlineLvl w:val="0"/>
        <w:rPr>
          <w:rFonts w:ascii="宋体" w:hAnsi="宋体" w:cs="宋体"/>
          <w:b/>
          <w:bCs/>
          <w:sz w:val="32"/>
          <w:szCs w:val="32"/>
        </w:rPr>
      </w:pPr>
      <w:bookmarkStart w:id="241" w:name="_Toc17567"/>
      <w:bookmarkStart w:id="242" w:name="_Toc19435"/>
      <w:bookmarkStart w:id="243" w:name="_Toc1380"/>
      <w:r>
        <w:rPr>
          <w:rFonts w:ascii="宋体" w:hAnsi="宋体" w:cs="宋体"/>
          <w:b/>
          <w:bCs/>
          <w:sz w:val="32"/>
          <w:szCs w:val="32"/>
        </w:rPr>
        <mc:AlternateContent>
          <mc:Choice Requires="wps">
            <w:drawing>
              <wp:anchor distT="0" distB="0" distL="114300" distR="114300" simplePos="0" relativeHeight="251663360"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36.75pt;margin-top:30.3pt;height:33pt;width:87.75pt;z-index:251663360;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FOl42AAAAAoBAAAPAAAAAAAAAAEA&#10;IAAAACIAAABkcnMvZG93bnJldi54bWxQSwECFAAUAAAACACHTuJAXrOlw0gCAACXBAAADgAAAAAA&#10;AAABACAAAAAnAQAAZHJzL2Uyb0RvYy54bWxQSwUGAAAAAAYABgBZAQAA4QU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bCs/>
          <w:sz w:val="32"/>
          <w:szCs w:val="32"/>
        </w:rPr>
        <w:t>第六章</w:t>
      </w:r>
      <w:bookmarkStart w:id="244" w:name="_Toc14891079"/>
      <w:r>
        <w:rPr>
          <w:rFonts w:hint="eastAsia" w:ascii="宋体" w:hAnsi="宋体" w:cs="宋体"/>
          <w:b/>
          <w:bCs/>
          <w:sz w:val="32"/>
          <w:szCs w:val="32"/>
        </w:rPr>
        <w:t xml:space="preserve">  响应文件组成</w:t>
      </w:r>
      <w:bookmarkEnd w:id="71"/>
      <w:bookmarkEnd w:id="72"/>
      <w:bookmarkEnd w:id="73"/>
      <w:bookmarkEnd w:id="241"/>
      <w:bookmarkEnd w:id="242"/>
      <w:bookmarkEnd w:id="243"/>
      <w:bookmarkEnd w:id="244"/>
    </w:p>
    <w:p>
      <w:pPr>
        <w:spacing w:line="360" w:lineRule="auto"/>
        <w:rPr>
          <w:rFonts w:ascii="宋体" w:hAnsi="宋体"/>
          <w:b/>
          <w:bCs/>
          <w:sz w:val="52"/>
          <w:szCs w:val="52"/>
        </w:rPr>
      </w:pPr>
    </w:p>
    <w:p>
      <w:pPr>
        <w:pStyle w:val="2"/>
        <w:spacing w:line="360" w:lineRule="auto"/>
        <w:rPr>
          <w:rFonts w:ascii="宋体" w:hAnsi="宋体"/>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sz w:val="28"/>
          <w:szCs w:val="28"/>
        </w:rPr>
      </w:pPr>
    </w:p>
    <w:p>
      <w:pPr>
        <w:pStyle w:val="2"/>
        <w:rPr>
          <w:rFonts w:ascii="宋体" w:hAnsi="宋体"/>
          <w:sz w:val="28"/>
          <w:szCs w:val="28"/>
        </w:rPr>
      </w:pPr>
    </w:p>
    <w:p/>
    <w:p/>
    <w:p>
      <w:pPr>
        <w:pStyle w:val="2"/>
      </w:pPr>
    </w:p>
    <w:p>
      <w:pPr>
        <w:pStyle w:val="26"/>
        <w:rPr>
          <w:rFonts w:hAnsi="宋体"/>
          <w:b/>
          <w:sz w:val="32"/>
          <w:szCs w:val="32"/>
        </w:rPr>
      </w:pPr>
    </w:p>
    <w:p>
      <w:pPr>
        <w:pStyle w:val="26"/>
        <w:adjustRightInd w:val="0"/>
        <w:snapToGrid w:val="0"/>
        <w:spacing w:line="360" w:lineRule="auto"/>
        <w:ind w:firstLine="643" w:firstLineChars="200"/>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ind w:left="846" w:leftChars="403" w:firstLine="157" w:firstLineChars="49"/>
        <w:rPr>
          <w:rFonts w:hAnsi="宋体"/>
          <w:b/>
          <w:bCs/>
          <w:sz w:val="32"/>
          <w:szCs w:val="32"/>
          <w:u w:val="single"/>
        </w:rPr>
      </w:pPr>
    </w:p>
    <w:p>
      <w:pPr>
        <w:pStyle w:val="26"/>
        <w:adjustRightInd w:val="0"/>
        <w:snapToGrid w:val="0"/>
        <w:spacing w:line="360" w:lineRule="auto"/>
        <w:ind w:firstLine="643" w:firstLineChars="200"/>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ind w:left="846" w:leftChars="403" w:firstLine="157" w:firstLineChars="49"/>
        <w:rPr>
          <w:rFonts w:hAnsi="宋体"/>
          <w:b/>
          <w:bCs/>
          <w:sz w:val="32"/>
          <w:szCs w:val="32"/>
          <w:u w:val="single"/>
        </w:rPr>
      </w:pPr>
    </w:p>
    <w:p>
      <w:pPr>
        <w:pStyle w:val="26"/>
        <w:adjustRightInd w:val="0"/>
        <w:snapToGrid w:val="0"/>
        <w:spacing w:line="360" w:lineRule="auto"/>
        <w:ind w:firstLine="643" w:firstLineChars="200"/>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6"/>
        <w:adjustRightInd w:val="0"/>
        <w:snapToGrid w:val="0"/>
        <w:spacing w:line="360" w:lineRule="auto"/>
        <w:ind w:left="846" w:leftChars="403" w:firstLine="157" w:firstLineChars="49"/>
        <w:rPr>
          <w:rFonts w:hAnsi="宋体"/>
          <w:b/>
          <w:bCs/>
          <w:sz w:val="32"/>
          <w:szCs w:val="32"/>
          <w:u w:val="single"/>
        </w:rPr>
      </w:pPr>
    </w:p>
    <w:p>
      <w:pPr>
        <w:pStyle w:val="26"/>
        <w:adjustRightInd w:val="0"/>
        <w:snapToGrid w:val="0"/>
        <w:spacing w:line="360" w:lineRule="auto"/>
        <w:ind w:left="846" w:leftChars="403" w:firstLine="157" w:firstLineChars="49"/>
        <w:rPr>
          <w:rFonts w:hAnsi="宋体"/>
          <w:b/>
          <w:bCs/>
          <w:sz w:val="32"/>
          <w:szCs w:val="32"/>
          <w:u w:val="single"/>
        </w:rPr>
      </w:pPr>
    </w:p>
    <w:p>
      <w:pPr>
        <w:pStyle w:val="26"/>
        <w:adjustRightInd w:val="0"/>
        <w:snapToGrid w:val="0"/>
        <w:spacing w:line="360" w:lineRule="auto"/>
        <w:ind w:left="846" w:leftChars="403" w:firstLine="157" w:firstLineChars="49"/>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ind w:left="846" w:leftChars="403" w:firstLine="157" w:firstLineChars="49"/>
        <w:rPr>
          <w:rFonts w:hAnsi="宋体"/>
          <w:b/>
          <w:bCs/>
          <w:sz w:val="32"/>
          <w:szCs w:val="32"/>
          <w:u w:val="single"/>
        </w:rPr>
      </w:pPr>
    </w:p>
    <w:p>
      <w:pPr>
        <w:pStyle w:val="26"/>
        <w:adjustRightInd w:val="0"/>
        <w:snapToGrid w:val="0"/>
        <w:spacing w:line="360" w:lineRule="auto"/>
        <w:jc w:val="center"/>
        <w:rPr>
          <w:rFonts w:hAnsi="宋体"/>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rPr>
          <w:rFonts w:ascii="宋体" w:hAnsi="宋体"/>
          <w:b/>
          <w:sz w:val="32"/>
          <w:szCs w:val="32"/>
        </w:rPr>
        <w:sectPr>
          <w:pgSz w:w="11906" w:h="16838"/>
          <w:pgMar w:top="1134" w:right="1134" w:bottom="1134" w:left="1417" w:header="851" w:footer="851" w:gutter="0"/>
          <w:pgNumType w:fmt="decimal"/>
          <w:cols w:space="0" w:num="1"/>
          <w:rtlGutter w:val="0"/>
          <w:docGrid w:linePitch="312" w:charSpace="0"/>
        </w:sectPr>
      </w:pPr>
    </w:p>
    <w:p>
      <w:pPr>
        <w:widowControl/>
        <w:spacing w:line="360" w:lineRule="auto"/>
        <w:jc w:val="center"/>
        <w:rPr>
          <w:rFonts w:ascii="宋体"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一、谈判承诺书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四、谈判单位资格证明文件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五、报价一览表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六、分项价格表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七、其他资料（如有）</w:t>
      </w:r>
    </w:p>
    <w:p>
      <w:pPr>
        <w:ind w:firstLine="480" w:firstLineChars="200"/>
        <w:jc w:val="center"/>
        <w:outlineLvl w:val="1"/>
        <w:rPr>
          <w:rFonts w:ascii="宋体" w:hAnsi="宋体"/>
          <w:b/>
          <w:sz w:val="32"/>
          <w:szCs w:val="32"/>
        </w:rPr>
      </w:pPr>
      <w:r>
        <w:rPr>
          <w:rFonts w:hint="eastAsia" w:ascii="宋体" w:hAnsi="宋体"/>
          <w:sz w:val="24"/>
        </w:rPr>
        <w:br w:type="page"/>
      </w:r>
      <w:bookmarkStart w:id="245" w:name="_Toc32569"/>
      <w:bookmarkStart w:id="246" w:name="_Toc26225"/>
      <w:bookmarkStart w:id="247" w:name="_Toc16953"/>
      <w:bookmarkStart w:id="248" w:name="_Toc22631"/>
      <w:bookmarkStart w:id="249" w:name="_Toc14530"/>
      <w:bookmarkStart w:id="250" w:name="_Toc32600"/>
      <w:bookmarkStart w:id="251" w:name="_Toc19745"/>
      <w:r>
        <w:rPr>
          <w:rFonts w:hint="eastAsia" w:ascii="宋体" w:hAnsi="宋体" w:cs="宋体"/>
          <w:b/>
          <w:sz w:val="32"/>
          <w:szCs w:val="32"/>
        </w:rPr>
        <w:t>一、谈判承诺书</w:t>
      </w:r>
      <w:bookmarkEnd w:id="245"/>
      <w:bookmarkEnd w:id="246"/>
      <w:bookmarkEnd w:id="247"/>
      <w:bookmarkEnd w:id="248"/>
      <w:bookmarkEnd w:id="249"/>
      <w:bookmarkEnd w:id="250"/>
      <w:bookmarkEnd w:id="251"/>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w:t>
      </w:r>
      <w:r>
        <w:rPr>
          <w:rFonts w:hint="eastAsia" w:ascii="宋体" w:hAnsi="宋体"/>
          <w:szCs w:val="21"/>
          <w:u w:val="single"/>
        </w:rPr>
        <w:t xml:space="preserve">        </w:t>
      </w:r>
      <w:r>
        <w:rPr>
          <w:rFonts w:hint="eastAsia" w:ascii="宋体" w:hAnsi="宋体"/>
          <w:szCs w:val="21"/>
        </w:rPr>
        <w:t xml:space="preserve"> ）的全部内容，知悉参加竞争性谈判的风险，我方承诺接受谈判文件的全部条款且无任何异议。</w:t>
      </w:r>
    </w:p>
    <w:p>
      <w:pPr>
        <w:pStyle w:val="26"/>
        <w:adjustRightInd w:val="0"/>
        <w:snapToGrid w:val="0"/>
        <w:spacing w:line="360" w:lineRule="auto"/>
        <w:ind w:firstLine="420" w:firstLineChars="200"/>
        <w:rPr>
          <w:rFonts w:hAnsi="宋体"/>
        </w:rPr>
      </w:pPr>
      <w:r>
        <w:rPr>
          <w:rFonts w:hint="eastAsia" w:hAnsi="宋体"/>
        </w:rPr>
        <w:t>一、参与本项目竞争性谈判活动系本公司自愿行为。</w:t>
      </w:r>
    </w:p>
    <w:p>
      <w:pPr>
        <w:pStyle w:val="26"/>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6"/>
        <w:adjustRightInd w:val="0"/>
        <w:snapToGrid w:val="0"/>
        <w:spacing w:line="360" w:lineRule="auto"/>
        <w:ind w:firstLine="420" w:firstLineChars="200"/>
        <w:rPr>
          <w:rFonts w:hAnsi="宋体"/>
          <w:bCs/>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b/>
          <w:bCs/>
          <w:color w:val="7030A0"/>
        </w:rPr>
        <w:t>，</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hAnsi="宋体"/>
        </w:rPr>
      </w:pPr>
      <w:r>
        <w:rPr>
          <w:rFonts w:hint="eastAsia" w:hAnsi="宋体"/>
        </w:rPr>
        <w:t>四、遵守贵司各项管理制度和谈判现场纪律，服从现场工作人员管理，自觉维护贵司谈判活动秩序。</w:t>
      </w:r>
    </w:p>
    <w:p>
      <w:pPr>
        <w:pStyle w:val="26"/>
        <w:adjustRightInd w:val="0"/>
        <w:snapToGrid w:val="0"/>
        <w:spacing w:line="360" w:lineRule="auto"/>
        <w:ind w:firstLine="420" w:firstLineChars="200"/>
        <w:rPr>
          <w:rFonts w:hAnsi="宋体"/>
        </w:rPr>
      </w:pPr>
      <w:r>
        <w:rPr>
          <w:rFonts w:hint="eastAsia" w:hAnsi="宋体"/>
        </w:rPr>
        <w:t>五、保证没有组织、参与围标、串标行为。</w:t>
      </w:r>
    </w:p>
    <w:p>
      <w:pPr>
        <w:pStyle w:val="26"/>
        <w:adjustRightInd w:val="0"/>
        <w:snapToGrid w:val="0"/>
        <w:spacing w:line="360" w:lineRule="auto"/>
        <w:ind w:firstLine="420" w:firstLineChars="200"/>
        <w:rPr>
          <w:rFonts w:hAnsi="宋体"/>
        </w:rPr>
      </w:pPr>
      <w:r>
        <w:rPr>
          <w:rFonts w:hint="eastAsia" w:hAnsi="宋体"/>
        </w:rPr>
        <w:t>六、不与采购单位或者谈判评审小组成员私下联络和串通以牟取中选；不以他人名义参与谈判或者以其他方式弄虚作假骗取中选；不在谈判结束后进行虚假、恶意质疑和投诉。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hAnsi="宋体"/>
        </w:rPr>
      </w:pPr>
      <w:r>
        <w:rPr>
          <w:rFonts w:hint="eastAsia" w:hAnsi="宋体"/>
        </w:rPr>
        <w:t>七、我方承诺，若贵方需要，我方愿意提供任何与本次谈判有关的数据、情况和技术资料。</w:t>
      </w:r>
    </w:p>
    <w:p>
      <w:pPr>
        <w:pStyle w:val="26"/>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hAnsi="宋体"/>
        </w:rPr>
      </w:pPr>
      <w:r>
        <w:rPr>
          <w:rFonts w:hint="eastAsia" w:hAnsi="宋体"/>
        </w:rPr>
        <w:t>九、我方承诺在参与本次竞争性谈判过程中，若出现本文件第一章</w:t>
      </w:r>
      <w:r>
        <w:rPr>
          <w:rFonts w:hint="eastAsia" w:hAnsi="宋体"/>
          <w:b/>
        </w:rPr>
        <w:t>谈判须知正文</w:t>
      </w:r>
      <w:r>
        <w:rPr>
          <w:rFonts w:hint="eastAsia" w:hAnsi="宋体"/>
        </w:rPr>
        <w:t>第26条规定之情形，我方无条件接受条款规定作出的处罚。</w:t>
      </w:r>
    </w:p>
    <w:p>
      <w:pPr>
        <w:pStyle w:val="26"/>
        <w:adjustRightInd w:val="0"/>
        <w:snapToGrid w:val="0"/>
        <w:spacing w:line="360" w:lineRule="auto"/>
        <w:ind w:firstLine="420" w:firstLineChars="200"/>
        <w:rPr>
          <w:rFonts w:hAnsi="宋体"/>
        </w:rPr>
      </w:pPr>
      <w:r>
        <w:rPr>
          <w:rFonts w:hint="eastAsia" w:hAnsi="宋体"/>
        </w:rPr>
        <w:t>十、我方承诺完全响应本文件第四章“用户需求书”及第五章“合同格式条款”内的全部内容。</w:t>
      </w:r>
    </w:p>
    <w:p>
      <w:pPr>
        <w:ind w:firstLine="420" w:firstLineChars="200"/>
        <w:rPr>
          <w:rFonts w:ascii="宋体" w:hAnsi="宋体"/>
          <w:szCs w:val="21"/>
        </w:rPr>
      </w:pPr>
      <w:r>
        <w:rPr>
          <w:rFonts w:hint="eastAsia" w:ascii="宋体" w:hAnsi="宋体"/>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6"/>
        <w:adjustRightInd w:val="0"/>
        <w:snapToGrid w:val="0"/>
        <w:spacing w:line="360" w:lineRule="auto"/>
        <w:rPr>
          <w:rFonts w:hAnsi="宋体"/>
        </w:rPr>
      </w:pPr>
    </w:p>
    <w:p>
      <w:pPr>
        <w:pStyle w:val="26"/>
        <w:adjustRightInd w:val="0"/>
        <w:snapToGrid w:val="0"/>
        <w:spacing w:line="360" w:lineRule="auto"/>
        <w:rPr>
          <w:rFonts w:hAnsi="宋体"/>
        </w:rPr>
      </w:pPr>
    </w:p>
    <w:p>
      <w:pPr>
        <w:spacing w:line="360" w:lineRule="auto"/>
        <w:rPr>
          <w:rFonts w:ascii="宋体" w:hAnsi="宋体"/>
          <w:szCs w:val="21"/>
          <w:u w:val="single"/>
        </w:rPr>
      </w:pPr>
      <w:r>
        <w:rPr>
          <w:rFonts w:hint="eastAsia" w:ascii="宋体" w:hAnsi="宋体"/>
          <w:szCs w:val="21"/>
        </w:rPr>
        <w:t>谈判单位名称：</w:t>
      </w:r>
      <w:r>
        <w:rPr>
          <w:rFonts w:hint="eastAsia" w:ascii="宋体" w:hAnsi="宋体"/>
          <w:szCs w:val="21"/>
          <w:u w:val="single"/>
        </w:rPr>
        <w:t xml:space="preserve">    （盖单位章）    </w:t>
      </w:r>
    </w:p>
    <w:p>
      <w:pPr>
        <w:spacing w:line="360" w:lineRule="auto"/>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pPr>
        <w:spacing w:line="360" w:lineRule="auto"/>
        <w:rPr>
          <w:rFonts w:ascii="宋体" w:hAnsi="宋体"/>
          <w:bCs/>
          <w:szCs w:val="21"/>
        </w:rPr>
        <w:sectPr>
          <w:pgSz w:w="11906" w:h="16838"/>
          <w:pgMar w:top="1134" w:right="1134" w:bottom="1134" w:left="1417" w:header="851" w:footer="851" w:gutter="0"/>
          <w:pgNumType w:fmt="decimal"/>
          <w:cols w:space="0" w:num="1"/>
          <w:rtlGutter w:val="0"/>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Cs/>
          <w:sz w:val="28"/>
          <w:szCs w:val="28"/>
        </w:rPr>
      </w:pPr>
    </w:p>
    <w:p>
      <w:pPr>
        <w:adjustRightInd w:val="0"/>
        <w:snapToGrid w:val="0"/>
        <w:spacing w:line="360" w:lineRule="auto"/>
        <w:ind w:right="23"/>
        <w:jc w:val="center"/>
        <w:outlineLvl w:val="1"/>
        <w:rPr>
          <w:rFonts w:ascii="宋体" w:hAnsi="宋体" w:cs="宋体"/>
          <w:b/>
          <w:sz w:val="32"/>
          <w:szCs w:val="32"/>
        </w:rPr>
      </w:pPr>
      <w:bookmarkStart w:id="252" w:name="_Toc3026"/>
      <w:bookmarkStart w:id="253" w:name="_Toc1313"/>
      <w:bookmarkStart w:id="254" w:name="_Toc19296"/>
      <w:bookmarkStart w:id="255" w:name="_Toc8976"/>
      <w:bookmarkStart w:id="256" w:name="_Toc12109"/>
      <w:bookmarkStart w:id="257" w:name="_Toc31277"/>
      <w:bookmarkStart w:id="258" w:name="_Toc21005"/>
      <w:r>
        <w:rPr>
          <w:rFonts w:hint="eastAsia" w:ascii="宋体" w:hAnsi="宋体" w:cs="宋体"/>
          <w:b/>
          <w:sz w:val="32"/>
          <w:szCs w:val="32"/>
        </w:rPr>
        <w:t>二、法定代表人身份证明书</w:t>
      </w:r>
      <w:bookmarkEnd w:id="252"/>
      <w:bookmarkEnd w:id="253"/>
      <w:bookmarkEnd w:id="254"/>
      <w:bookmarkEnd w:id="255"/>
      <w:bookmarkEnd w:id="256"/>
      <w:bookmarkEnd w:id="257"/>
      <w:bookmarkEnd w:id="258"/>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22.1pt;margin-top:11.5pt;height:96.15pt;width:185.5pt;z-index:251665408;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TP4t8Qw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kv1ol1wAAAAoBAAAPAAAAAAAAAAEAIAAAACIA&#10;AABkcnMvZG93bnJldi54bWxQSwECFAAUAAAACACHTuJAUz+LfEMCAACUBAAADgAAAAAAAAABACAA&#10;AAAm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8"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8.8pt;margin-top:11.5pt;height:96.15pt;width:185.5pt;z-index:-251652096;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H43TbZAAAACgEAAA8AAAAAAAAAAQAgAAAA&#10;IgAAAGRycy9kb3ducmV2LnhtbFBLAQIUABQAAAAIAIdO4kDrMZ2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34290</wp:posOffset>
                </wp:positionV>
                <wp:extent cx="2355850" cy="1221105"/>
                <wp:effectExtent l="4445" t="4445" r="20955" b="12700"/>
                <wp:wrapNone/>
                <wp:docPr id="1"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9pt;margin-top:2.7pt;height:96.15pt;width:185.5pt;z-index:251669504;mso-width-relative:page;mso-height-relative:page;" fillcolor="#FFFFFF" filled="t" stroked="t" coordsize="21600,21600" o:gfxdata="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WiScLYAAAACQEAAA8AAAAAAAAAAQAgAAAA&#10;IgAAAGRycy9kb3ducmV2LnhtbFBLAQIUABQAAAAIAIdO4kBARbsV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ascii="宋体" w:hAnsi="宋体"/>
          <w:u w:val="single"/>
        </w:rPr>
        <w:t xml:space="preserve">    （盖单位章）    </w:t>
      </w:r>
    </w:p>
    <w:p>
      <w:pPr>
        <w:spacing w:line="360" w:lineRule="auto"/>
        <w:rPr>
          <w:rFonts w:ascii="宋体" w:hAnsi="宋体"/>
        </w:rPr>
      </w:pPr>
      <w:r>
        <w:rPr>
          <w:rFonts w:hint="eastAsia" w:ascii="宋体" w:hAnsi="宋体"/>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r>
        <w:rPr>
          <w:rFonts w:ascii="宋体" w:hAnsi="宋体"/>
          <w:bCs/>
          <w:sz w:val="24"/>
        </w:rPr>
        <w:br w:type="page"/>
      </w:r>
      <w:bookmarkStart w:id="259" w:name="_Toc14170"/>
      <w:bookmarkStart w:id="260" w:name="_Toc4048"/>
      <w:bookmarkStart w:id="261" w:name="_Toc1849"/>
      <w:bookmarkStart w:id="262" w:name="_Toc761"/>
      <w:bookmarkStart w:id="263" w:name="_Toc6926"/>
      <w:bookmarkStart w:id="264" w:name="_Toc21066"/>
      <w:r>
        <w:rPr>
          <w:rFonts w:hint="eastAsia" w:ascii="宋体" w:hAnsi="宋体" w:cs="宋体"/>
          <w:b/>
          <w:sz w:val="32"/>
          <w:szCs w:val="32"/>
        </w:rPr>
        <w:t>三、授权委托书</w:t>
      </w:r>
      <w:bookmarkEnd w:id="259"/>
      <w:bookmarkEnd w:id="260"/>
      <w:bookmarkEnd w:id="261"/>
      <w:bookmarkEnd w:id="262"/>
      <w:bookmarkEnd w:id="263"/>
      <w:bookmarkEnd w:id="264"/>
    </w:p>
    <w:p>
      <w:pPr>
        <w:adjustRightInd w:val="0"/>
        <w:snapToGrid w:val="0"/>
        <w:spacing w:line="360" w:lineRule="auto"/>
        <w:jc w:val="center"/>
        <w:rPr>
          <w:rFonts w:ascii="宋体" w:hAnsi="宋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    年   月   日签字生效，特此声明。</w:t>
      </w:r>
    </w:p>
    <w:p>
      <w:pPr>
        <w:adjustRightInd w:val="0"/>
        <w:snapToGrid w:val="0"/>
        <w:spacing w:before="120" w:beforeLines="50" w:line="360" w:lineRule="auto"/>
        <w:ind w:firstLine="420" w:firstLineChars="200"/>
        <w:rPr>
          <w:rFonts w:ascii="宋体" w:hAnsi="宋体"/>
          <w:szCs w:val="21"/>
        </w:rPr>
      </w:pPr>
      <w:r>
        <w:rPr>
          <w:rFonts w:ascii="宋体" w:hAnsi="宋体"/>
          <w:szCs w:val="21"/>
        </w:rPr>
        <mc:AlternateContent>
          <mc:Choice Requires="wps">
            <w:drawing>
              <wp:anchor distT="0" distB="0" distL="114300" distR="114300" simplePos="0" relativeHeight="251666432"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50048;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szCs w:val="21"/>
        </w:rPr>
        <mc:AlternateContent>
          <mc:Choice Requires="wps">
            <w:drawing>
              <wp:anchor distT="0" distB="0" distL="114300" distR="114300" simplePos="0" relativeHeight="251668480"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8000;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mc:Fallback>
        </mc:AlternateContent>
      </w:r>
      <w:r>
        <w:rPr>
          <w:rFonts w:ascii="宋体" w:hAnsi="宋体"/>
          <w:szCs w:val="21"/>
        </w:rPr>
        <mc:AlternateContent>
          <mc:Choice Requires="wps">
            <w:drawing>
              <wp:anchor distT="0" distB="0" distL="114300" distR="114300" simplePos="0" relativeHeight="251667456"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49024;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ascii="宋体" w:hAnsi="宋体"/>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rPr>
          <w:rFonts w:ascii="宋体" w:hAnsi="宋体"/>
          <w:szCs w:val="21"/>
        </w:rPr>
        <w:sectPr>
          <w:pgSz w:w="11906" w:h="16838"/>
          <w:pgMar w:top="1134" w:right="1134" w:bottom="1134" w:left="1417" w:header="851" w:footer="851" w:gutter="0"/>
          <w:pgNumType w:fmt="decimal"/>
          <w:cols w:space="0" w:num="1"/>
          <w:rtlGutter w:val="0"/>
          <w:docGrid w:linePitch="312" w:charSpace="0"/>
        </w:sectPr>
      </w:pPr>
      <w:r>
        <w:rPr>
          <w:rFonts w:hint="eastAsia" w:ascii="宋体" w:hAnsi="宋体"/>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3"/>
        <w:jc w:val="center"/>
        <w:outlineLvl w:val="1"/>
        <w:rPr>
          <w:rFonts w:ascii="宋体" w:hAnsi="宋体" w:cs="宋体"/>
          <w:b/>
          <w:sz w:val="32"/>
          <w:szCs w:val="32"/>
        </w:rPr>
      </w:pPr>
      <w:bookmarkStart w:id="265" w:name="_Toc2295"/>
      <w:bookmarkStart w:id="266" w:name="_Toc11357"/>
      <w:bookmarkStart w:id="267" w:name="_Toc18944"/>
      <w:bookmarkStart w:id="268" w:name="_Toc29804"/>
      <w:bookmarkStart w:id="269" w:name="_Toc29238"/>
      <w:bookmarkStart w:id="270" w:name="_Toc3621"/>
      <w:bookmarkStart w:id="271" w:name="_Toc30256"/>
      <w:r>
        <w:rPr>
          <w:rFonts w:hint="eastAsia" w:ascii="宋体" w:hAnsi="宋体" w:cs="宋体"/>
          <w:b/>
          <w:sz w:val="32"/>
          <w:szCs w:val="32"/>
        </w:rPr>
        <w:t>四、谈判单位资格证明文件</w:t>
      </w:r>
      <w:bookmarkEnd w:id="265"/>
      <w:bookmarkEnd w:id="266"/>
      <w:bookmarkEnd w:id="267"/>
      <w:bookmarkEnd w:id="268"/>
      <w:bookmarkEnd w:id="269"/>
      <w:bookmarkEnd w:id="270"/>
      <w:bookmarkEnd w:id="271"/>
    </w:p>
    <w:p>
      <w:pPr>
        <w:adjustRightInd w:val="0"/>
        <w:snapToGrid w:val="0"/>
        <w:spacing w:line="360" w:lineRule="auto"/>
        <w:rPr>
          <w:rFonts w:ascii="宋体" w:hAnsi="宋体"/>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须</w:t>
      </w:r>
      <w:r>
        <w:rPr>
          <w:rFonts w:hint="eastAsia" w:ascii="宋体" w:hAnsi="宋体" w:cs="宋体"/>
          <w:kern w:val="0"/>
          <w:szCs w:val="21"/>
          <w:lang w:eastAsia="zh-CN"/>
        </w:rPr>
        <w:t>提供</w:t>
      </w:r>
      <w:r>
        <w:rPr>
          <w:rFonts w:hint="eastAsia" w:ascii="宋体" w:hAnsi="宋体" w:cs="宋体"/>
          <w:kern w:val="0"/>
          <w:szCs w:val="21"/>
        </w:rPr>
        <w:t>营业执照</w:t>
      </w:r>
    </w:p>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须</w:t>
      </w:r>
      <w:r>
        <w:rPr>
          <w:rFonts w:hint="eastAsia" w:ascii="宋体" w:hAnsi="宋体" w:cs="宋体"/>
          <w:kern w:val="0"/>
          <w:szCs w:val="21"/>
          <w:lang w:eastAsia="zh-CN"/>
        </w:rPr>
        <w:t>提供</w:t>
      </w:r>
      <w:r>
        <w:rPr>
          <w:rFonts w:hint="eastAsia" w:ascii="宋体" w:hAnsi="宋体" w:cs="宋体"/>
          <w:kern w:val="0"/>
          <w:szCs w:val="21"/>
        </w:rPr>
        <w:t>谈判截止之日前</w:t>
      </w:r>
      <w:r>
        <w:rPr>
          <w:rFonts w:hint="eastAsia" w:ascii="宋体" w:hAnsi="宋体" w:cs="宋体"/>
          <w:kern w:val="0"/>
          <w:szCs w:val="21"/>
          <w:lang w:val="en-US" w:eastAsia="zh-CN"/>
        </w:rPr>
        <w:t>36个月内须具有轨道交通行业道岔融雪装置相关物资的供货业绩（是指供货合同的清单中须包含整套融雪装置或融雪装置控制终端或融雪装置控制柜或融雪装置隔离变压器或融雪装置加热原件的供货业绩）。</w:t>
      </w:r>
      <w:r>
        <w:rPr>
          <w:rFonts w:hint="eastAsia" w:ascii="宋体" w:hAnsi="宋体" w:cs="宋体"/>
          <w:kern w:val="0"/>
          <w:szCs w:val="21"/>
        </w:rPr>
        <w:t>不接受联合体、港澳台或境外业绩。</w:t>
      </w:r>
    </w:p>
    <w:p>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业绩证明材料以同时提供的合同原件扫描件和发票（开票金额不少于合同金额的10%）原件扫描件为准（均须加盖投标人单位公章），业绩金额以合同中的金额为准，时间以合同中甲方签字时间为准。</w:t>
      </w:r>
    </w:p>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备注：上述证明文件复印件均须加盖谈判单位公章。</w:t>
      </w:r>
    </w:p>
    <w:p>
      <w:pPr>
        <w:adjustRightInd w:val="0"/>
        <w:snapToGrid w:val="0"/>
        <w:spacing w:line="360" w:lineRule="auto"/>
        <w:ind w:firstLine="422" w:firstLineChars="200"/>
        <w:rPr>
          <w:rFonts w:ascii="宋体" w:hAnsi="宋体"/>
          <w:b/>
          <w:bCs/>
          <w:szCs w:val="21"/>
        </w:rPr>
      </w:pPr>
    </w:p>
    <w:p>
      <w:pPr>
        <w:pStyle w:val="2"/>
        <w:rPr>
          <w:rFonts w:ascii="宋体" w:hAnsi="宋体"/>
        </w:rPr>
      </w:pPr>
    </w:p>
    <w:p>
      <w:pPr>
        <w:pStyle w:val="2"/>
        <w:rPr>
          <w:rFonts w:ascii="宋体" w:hAnsi="宋体"/>
        </w:rPr>
        <w:sectPr>
          <w:pgSz w:w="11906" w:h="16838"/>
          <w:pgMar w:top="1134" w:right="1134" w:bottom="1134" w:left="1417" w:header="851" w:footer="851" w:gutter="0"/>
          <w:pgNumType w:fmt="decimal"/>
          <w:cols w:space="0" w:num="1"/>
          <w:rtlGutter w:val="0"/>
        </w:sectPr>
      </w:pPr>
    </w:p>
    <w:p>
      <w:pPr>
        <w:adjustRightInd w:val="0"/>
        <w:snapToGrid w:val="0"/>
        <w:spacing w:line="360" w:lineRule="auto"/>
        <w:ind w:right="23"/>
        <w:jc w:val="center"/>
        <w:outlineLvl w:val="1"/>
        <w:rPr>
          <w:rFonts w:ascii="宋体" w:hAnsi="宋体" w:cs="宋体"/>
          <w:b/>
          <w:sz w:val="32"/>
          <w:szCs w:val="32"/>
        </w:rPr>
      </w:pPr>
      <w:bookmarkStart w:id="272" w:name="_Toc25553"/>
      <w:bookmarkStart w:id="273" w:name="_Toc16011"/>
      <w:bookmarkStart w:id="274" w:name="_Toc5387"/>
      <w:bookmarkStart w:id="275" w:name="_Toc15835"/>
      <w:bookmarkStart w:id="276" w:name="_Toc5451"/>
      <w:bookmarkStart w:id="277" w:name="_Toc21687"/>
      <w:bookmarkStart w:id="278" w:name="_Toc2165"/>
      <w:r>
        <w:rPr>
          <w:rFonts w:hint="eastAsia" w:ascii="宋体" w:hAnsi="宋体" w:cs="宋体"/>
          <w:b/>
          <w:sz w:val="32"/>
          <w:szCs w:val="32"/>
        </w:rPr>
        <w:t>五、报价一览表</w:t>
      </w:r>
      <w:bookmarkEnd w:id="272"/>
      <w:bookmarkEnd w:id="273"/>
      <w:bookmarkEnd w:id="274"/>
      <w:bookmarkEnd w:id="275"/>
      <w:bookmarkEnd w:id="276"/>
      <w:bookmarkEnd w:id="277"/>
      <w:bookmarkEnd w:id="278"/>
    </w:p>
    <w:p>
      <w:pPr>
        <w:adjustRightInd w:val="0"/>
        <w:snapToGrid w:val="0"/>
        <w:jc w:val="right"/>
        <w:rPr>
          <w:rFonts w:ascii="宋体" w:hAnsi="宋体"/>
          <w:sz w:val="24"/>
        </w:rPr>
      </w:pPr>
    </w:p>
    <w:tbl>
      <w:tblPr>
        <w:tblStyle w:val="47"/>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9"/>
        <w:gridCol w:w="3311"/>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909" w:type="dxa"/>
            <w:vAlign w:val="center"/>
          </w:tcPr>
          <w:p>
            <w:pPr>
              <w:tabs>
                <w:tab w:val="left" w:pos="403"/>
                <w:tab w:val="center" w:pos="3781"/>
              </w:tabs>
              <w:spacing w:line="420" w:lineRule="exact"/>
              <w:jc w:val="center"/>
              <w:rPr>
                <w:rFonts w:ascii="宋体" w:hAnsi="宋体"/>
                <w:szCs w:val="21"/>
              </w:rPr>
            </w:pPr>
            <w:r>
              <w:rPr>
                <w:rFonts w:ascii="宋体" w:hAnsi="宋体"/>
                <w:szCs w:val="21"/>
              </w:rPr>
              <w:t>项目名称</w:t>
            </w:r>
          </w:p>
        </w:tc>
        <w:tc>
          <w:tcPr>
            <w:tcW w:w="6911"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909" w:type="dxa"/>
            <w:vAlign w:val="center"/>
          </w:tcPr>
          <w:p>
            <w:pPr>
              <w:tabs>
                <w:tab w:val="left" w:pos="403"/>
                <w:tab w:val="center" w:pos="3781"/>
              </w:tabs>
              <w:spacing w:line="420" w:lineRule="exact"/>
              <w:jc w:val="center"/>
              <w:rPr>
                <w:rFonts w:ascii="宋体" w:hAnsi="宋体"/>
                <w:szCs w:val="21"/>
              </w:rPr>
            </w:pPr>
            <w:r>
              <w:rPr>
                <w:rFonts w:hint="eastAsia" w:ascii="宋体" w:hAnsi="宋体"/>
                <w:szCs w:val="21"/>
              </w:rPr>
              <w:t>项目</w:t>
            </w:r>
            <w:r>
              <w:rPr>
                <w:rFonts w:ascii="宋体" w:hAnsi="宋体"/>
                <w:szCs w:val="21"/>
              </w:rPr>
              <w:t>编号</w:t>
            </w:r>
          </w:p>
        </w:tc>
        <w:tc>
          <w:tcPr>
            <w:tcW w:w="6911"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909" w:type="dxa"/>
            <w:vAlign w:val="center"/>
          </w:tcPr>
          <w:p>
            <w:pPr>
              <w:spacing w:line="420" w:lineRule="exact"/>
              <w:jc w:val="center"/>
              <w:rPr>
                <w:rFonts w:ascii="宋体" w:hAnsi="宋体"/>
                <w:color w:val="FF0000"/>
                <w:szCs w:val="21"/>
              </w:rPr>
            </w:pPr>
            <w:r>
              <w:rPr>
                <w:rFonts w:hint="eastAsia" w:ascii="宋体" w:hAnsi="宋体"/>
                <w:szCs w:val="21"/>
              </w:rPr>
              <w:t>供货期</w:t>
            </w:r>
          </w:p>
        </w:tc>
        <w:tc>
          <w:tcPr>
            <w:tcW w:w="6911" w:type="dxa"/>
            <w:gridSpan w:val="2"/>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1909" w:type="dxa"/>
            <w:vAlign w:val="center"/>
          </w:tcPr>
          <w:p>
            <w:pPr>
              <w:spacing w:line="420" w:lineRule="exact"/>
              <w:jc w:val="center"/>
              <w:rPr>
                <w:rFonts w:ascii="宋体" w:hAnsi="宋体"/>
                <w:b/>
                <w:szCs w:val="21"/>
              </w:rPr>
            </w:pPr>
            <w:r>
              <w:rPr>
                <w:rFonts w:hint="eastAsia" w:ascii="宋体" w:hAnsi="宋体"/>
                <w:b/>
                <w:szCs w:val="21"/>
              </w:rPr>
              <w:t>谈判</w:t>
            </w:r>
            <w:r>
              <w:rPr>
                <w:rFonts w:ascii="宋体" w:hAnsi="宋体"/>
                <w:b/>
                <w:szCs w:val="21"/>
              </w:rPr>
              <w:t>总报价</w:t>
            </w:r>
          </w:p>
        </w:tc>
        <w:tc>
          <w:tcPr>
            <w:tcW w:w="3311" w:type="dxa"/>
            <w:tcBorders>
              <w:right w:val="single" w:color="auto" w:sz="4" w:space="0"/>
            </w:tcBorders>
            <w:vAlign w:val="center"/>
          </w:tcPr>
          <w:p>
            <w:pPr>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tcBorders>
              <w:left w:val="single" w:color="auto" w:sz="4" w:space="0"/>
            </w:tcBorders>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1909" w:type="dxa"/>
            <w:vAlign w:val="center"/>
          </w:tcPr>
          <w:p>
            <w:pPr>
              <w:spacing w:line="420" w:lineRule="exact"/>
              <w:jc w:val="center"/>
              <w:rPr>
                <w:rFonts w:ascii="宋体" w:hAnsi="宋体" w:cs="宋体"/>
                <w:szCs w:val="21"/>
              </w:rPr>
            </w:pPr>
            <w:r>
              <w:rPr>
                <w:rFonts w:hint="eastAsia" w:ascii="宋体" w:hAnsi="宋体" w:cs="宋体"/>
                <w:szCs w:val="21"/>
              </w:rPr>
              <w:t>质保期</w:t>
            </w:r>
          </w:p>
        </w:tc>
        <w:tc>
          <w:tcPr>
            <w:tcW w:w="6911"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1909" w:type="dxa"/>
            <w:vAlign w:val="center"/>
          </w:tcPr>
          <w:p>
            <w:pPr>
              <w:spacing w:line="420" w:lineRule="exact"/>
              <w:jc w:val="center"/>
              <w:rPr>
                <w:rFonts w:ascii="宋体" w:hAnsi="宋体"/>
                <w:szCs w:val="21"/>
              </w:rPr>
            </w:pPr>
            <w:r>
              <w:rPr>
                <w:rFonts w:ascii="宋体" w:hAnsi="宋体"/>
                <w:szCs w:val="21"/>
              </w:rPr>
              <w:t>备  注</w:t>
            </w:r>
          </w:p>
        </w:tc>
        <w:tc>
          <w:tcPr>
            <w:tcW w:w="6911" w:type="dxa"/>
            <w:gridSpan w:val="2"/>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2.本表内“谈判总报价”是包含了货物所有隐含的运输费、保险费、安装调试费、管理费、税金和利润等其他费用的报价。</w:t>
      </w:r>
    </w:p>
    <w:p>
      <w:pPr>
        <w:adjustRightInd w:val="0"/>
        <w:snapToGrid w:val="0"/>
        <w:spacing w:line="360" w:lineRule="auto"/>
        <w:ind w:firstLine="422" w:firstLineChars="200"/>
        <w:rPr>
          <w:rFonts w:ascii="宋体" w:hAnsi="宋体"/>
          <w:b/>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8"/>
        <w:adjustRightInd w:val="0"/>
        <w:snapToGrid w:val="0"/>
        <w:spacing w:line="360" w:lineRule="auto"/>
        <w:rPr>
          <w:rFonts w:ascii="宋体" w:hAnsi="宋体"/>
          <w:bCs/>
          <w:sz w:val="21"/>
          <w:szCs w:val="21"/>
        </w:rPr>
      </w:pPr>
      <w:bookmarkStart w:id="279" w:name="_Toc5231"/>
      <w:r>
        <w:rPr>
          <w:rFonts w:hint="eastAsia" w:ascii="宋体" w:hAnsi="宋体"/>
          <w:sz w:val="21"/>
          <w:szCs w:val="21"/>
        </w:rPr>
        <w:t>谈判单位名称：</w:t>
      </w:r>
      <w:r>
        <w:rPr>
          <w:rFonts w:hint="eastAsia" w:ascii="宋体" w:hAnsi="宋体"/>
          <w:sz w:val="21"/>
          <w:szCs w:val="21"/>
          <w:u w:val="single"/>
        </w:rPr>
        <w:t xml:space="preserve">    （盖单位章）</w:t>
      </w:r>
      <w:bookmarkEnd w:id="279"/>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280" w:name="_Toc28605"/>
      <w:r>
        <w:rPr>
          <w:rFonts w:hint="eastAsia" w:ascii="宋体" w:hAnsi="宋体"/>
          <w:szCs w:val="21"/>
        </w:rPr>
        <w:t>法定代表人或其委托代理人（签字或盖章）：</w:t>
      </w:r>
      <w:bookmarkEnd w:id="280"/>
      <w:r>
        <w:rPr>
          <w:rFonts w:hint="eastAsia" w:ascii="宋体" w:hAnsi="宋体"/>
          <w:szCs w:val="21"/>
          <w:u w:val="single"/>
        </w:rPr>
        <w:t xml:space="preserve">               </w:t>
      </w:r>
    </w:p>
    <w:p>
      <w:pPr>
        <w:spacing w:line="360" w:lineRule="auto"/>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宋体" w:hAnsi="宋体"/>
          <w:b/>
          <w:bCs/>
          <w:sz w:val="32"/>
          <w:szCs w:val="32"/>
        </w:rPr>
      </w:pPr>
    </w:p>
    <w:p>
      <w:pPr>
        <w:adjustRightInd w:val="0"/>
        <w:snapToGrid w:val="0"/>
        <w:jc w:val="center"/>
        <w:rPr>
          <w:rFonts w:ascii="宋体" w:hAnsi="宋体"/>
          <w:b/>
          <w:bCs/>
          <w:sz w:val="32"/>
          <w:szCs w:val="32"/>
        </w:rPr>
      </w:pPr>
    </w:p>
    <w:p>
      <w:pPr>
        <w:adjustRightInd w:val="0"/>
        <w:snapToGrid w:val="0"/>
        <w:jc w:val="center"/>
        <w:rPr>
          <w:rFonts w:ascii="宋体" w:hAnsi="宋体"/>
          <w:b/>
          <w:bCs/>
          <w:color w:val="FF0000"/>
          <w:sz w:val="32"/>
          <w:szCs w:val="32"/>
        </w:rPr>
        <w:sectPr>
          <w:pgSz w:w="11906" w:h="16838"/>
          <w:pgMar w:top="1134" w:right="1134" w:bottom="1134" w:left="1417" w:header="851" w:footer="992" w:gutter="0"/>
          <w:pgNumType w:fmt="decimal"/>
          <w:cols w:space="0" w:num="1"/>
          <w:rtlGutter w:val="0"/>
          <w:docGrid w:type="lines" w:linePitch="312" w:charSpace="0"/>
        </w:sectPr>
      </w:pPr>
    </w:p>
    <w:p>
      <w:pPr>
        <w:adjustRightInd w:val="0"/>
        <w:snapToGrid w:val="0"/>
        <w:spacing w:line="360" w:lineRule="auto"/>
        <w:ind w:right="23"/>
        <w:jc w:val="center"/>
        <w:outlineLvl w:val="1"/>
        <w:rPr>
          <w:rFonts w:ascii="宋体" w:hAnsi="宋体" w:cs="宋体"/>
          <w:b/>
          <w:sz w:val="32"/>
          <w:szCs w:val="32"/>
        </w:rPr>
      </w:pPr>
      <w:bookmarkStart w:id="281" w:name="_Toc17149"/>
      <w:bookmarkStart w:id="282" w:name="_Toc28390"/>
      <w:bookmarkStart w:id="283" w:name="_Toc16531"/>
      <w:bookmarkStart w:id="284" w:name="_Toc8214"/>
      <w:bookmarkStart w:id="285" w:name="_Toc22739"/>
      <w:bookmarkStart w:id="286" w:name="_Toc27585"/>
      <w:bookmarkStart w:id="287" w:name="_Toc9077"/>
      <w:r>
        <w:rPr>
          <w:rFonts w:hint="eastAsia" w:ascii="宋体" w:hAnsi="宋体" w:cs="宋体"/>
          <w:b/>
          <w:sz w:val="32"/>
          <w:szCs w:val="32"/>
        </w:rPr>
        <w:t>六、分项价格表</w:t>
      </w:r>
      <w:bookmarkEnd w:id="281"/>
      <w:bookmarkEnd w:id="282"/>
      <w:bookmarkEnd w:id="283"/>
      <w:bookmarkEnd w:id="284"/>
    </w:p>
    <w:p>
      <w:pPr>
        <w:spacing w:line="360" w:lineRule="exact"/>
        <w:rPr>
          <w:rFonts w:ascii="宋体" w:hAnsi="宋体"/>
          <w:b/>
        </w:rPr>
      </w:pPr>
    </w:p>
    <w:p>
      <w:pPr>
        <w:spacing w:line="360" w:lineRule="exact"/>
        <w:ind w:firstLine="210" w:firstLineChars="100"/>
        <w:jc w:val="left"/>
        <w:rPr>
          <w:rFonts w:ascii="宋体" w:hAnsi="宋体"/>
        </w:rPr>
      </w:pPr>
      <w:r>
        <w:rPr>
          <w:rFonts w:hint="eastAsia" w:ascii="宋体" w:hAnsi="宋体"/>
          <w:bCs/>
        </w:rPr>
        <w:t>项目</w:t>
      </w:r>
      <w:r>
        <w:rPr>
          <w:rFonts w:hint="eastAsia" w:ascii="宋体" w:hAnsi="宋体"/>
        </w:rPr>
        <w:t>名称：                                                        金额单位：元</w:t>
      </w:r>
    </w:p>
    <w:tbl>
      <w:tblPr>
        <w:tblStyle w:val="47"/>
        <w:tblW w:w="8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7"/>
        <w:gridCol w:w="1389"/>
        <w:gridCol w:w="851"/>
        <w:gridCol w:w="1417"/>
        <w:gridCol w:w="993"/>
        <w:gridCol w:w="1134"/>
        <w:gridCol w:w="976"/>
        <w:gridCol w:w="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87" w:type="dxa"/>
            <w:vAlign w:val="center"/>
          </w:tcPr>
          <w:p>
            <w:pPr>
              <w:adjustRightInd w:val="0"/>
              <w:snapToGrid w:val="0"/>
              <w:spacing w:line="360" w:lineRule="auto"/>
              <w:jc w:val="center"/>
              <w:rPr>
                <w:rFonts w:ascii="宋体" w:hAnsi="宋体"/>
                <w:szCs w:val="21"/>
              </w:rPr>
            </w:pPr>
            <w:r>
              <w:rPr>
                <w:rFonts w:hint="eastAsia" w:ascii="宋体" w:hAnsi="宋体"/>
                <w:szCs w:val="21"/>
              </w:rPr>
              <w:t>序号</w:t>
            </w:r>
          </w:p>
        </w:tc>
        <w:tc>
          <w:tcPr>
            <w:tcW w:w="1389" w:type="dxa"/>
            <w:vAlign w:val="center"/>
          </w:tcPr>
          <w:p>
            <w:pPr>
              <w:adjustRightInd w:val="0"/>
              <w:snapToGrid w:val="0"/>
              <w:spacing w:line="360" w:lineRule="auto"/>
              <w:jc w:val="center"/>
              <w:rPr>
                <w:rFonts w:ascii="宋体" w:hAnsi="宋体"/>
                <w:szCs w:val="21"/>
              </w:rPr>
            </w:pPr>
            <w:r>
              <w:rPr>
                <w:rFonts w:hint="eastAsia" w:ascii="宋体" w:hAnsi="宋体"/>
                <w:szCs w:val="21"/>
              </w:rPr>
              <w:t>货物名称</w:t>
            </w:r>
          </w:p>
        </w:tc>
        <w:tc>
          <w:tcPr>
            <w:tcW w:w="851" w:type="dxa"/>
            <w:vAlign w:val="center"/>
          </w:tcPr>
          <w:p>
            <w:pPr>
              <w:adjustRightInd w:val="0"/>
              <w:snapToGrid w:val="0"/>
              <w:spacing w:line="360" w:lineRule="auto"/>
              <w:jc w:val="center"/>
              <w:rPr>
                <w:rFonts w:ascii="宋体" w:hAnsi="宋体"/>
                <w:szCs w:val="21"/>
              </w:rPr>
            </w:pPr>
            <w:r>
              <w:rPr>
                <w:rFonts w:hint="eastAsia" w:ascii="宋体" w:hAnsi="宋体"/>
                <w:szCs w:val="21"/>
              </w:rPr>
              <w:t>品牌</w:t>
            </w:r>
          </w:p>
        </w:tc>
        <w:tc>
          <w:tcPr>
            <w:tcW w:w="1417" w:type="dxa"/>
            <w:vAlign w:val="center"/>
          </w:tcPr>
          <w:p>
            <w:pPr>
              <w:adjustRightInd w:val="0"/>
              <w:snapToGrid w:val="0"/>
              <w:spacing w:line="360" w:lineRule="auto"/>
              <w:jc w:val="center"/>
              <w:rPr>
                <w:rFonts w:ascii="宋体" w:hAnsi="宋体"/>
                <w:szCs w:val="21"/>
              </w:rPr>
            </w:pPr>
            <w:r>
              <w:rPr>
                <w:rFonts w:hint="eastAsia" w:ascii="宋体" w:hAnsi="宋体"/>
                <w:szCs w:val="21"/>
              </w:rPr>
              <w:t>型号规格</w:t>
            </w:r>
          </w:p>
        </w:tc>
        <w:tc>
          <w:tcPr>
            <w:tcW w:w="993" w:type="dxa"/>
            <w:vAlign w:val="center"/>
          </w:tcPr>
          <w:p>
            <w:pPr>
              <w:adjustRightInd w:val="0"/>
              <w:snapToGrid w:val="0"/>
              <w:spacing w:line="360" w:lineRule="auto"/>
              <w:jc w:val="center"/>
              <w:rPr>
                <w:rFonts w:ascii="宋体" w:hAnsi="宋体"/>
                <w:szCs w:val="21"/>
              </w:rPr>
            </w:pPr>
            <w:r>
              <w:rPr>
                <w:rFonts w:hint="eastAsia" w:ascii="宋体" w:hAnsi="宋体"/>
                <w:szCs w:val="21"/>
              </w:rPr>
              <w:t>单价</w:t>
            </w:r>
          </w:p>
        </w:tc>
        <w:tc>
          <w:tcPr>
            <w:tcW w:w="1134" w:type="dxa"/>
            <w:vAlign w:val="center"/>
          </w:tcPr>
          <w:p>
            <w:pPr>
              <w:adjustRightInd w:val="0"/>
              <w:snapToGrid w:val="0"/>
              <w:spacing w:line="360" w:lineRule="auto"/>
              <w:jc w:val="center"/>
              <w:rPr>
                <w:rFonts w:ascii="宋体" w:hAnsi="宋体"/>
                <w:szCs w:val="21"/>
              </w:rPr>
            </w:pPr>
            <w:r>
              <w:rPr>
                <w:rFonts w:hint="eastAsia" w:ascii="宋体" w:hAnsi="宋体"/>
                <w:szCs w:val="21"/>
              </w:rPr>
              <w:t>税率</w:t>
            </w:r>
          </w:p>
        </w:tc>
        <w:tc>
          <w:tcPr>
            <w:tcW w:w="976" w:type="dxa"/>
            <w:vAlign w:val="center"/>
          </w:tcPr>
          <w:p>
            <w:pPr>
              <w:adjustRightInd w:val="0"/>
              <w:snapToGrid w:val="0"/>
              <w:spacing w:line="360" w:lineRule="auto"/>
              <w:jc w:val="center"/>
              <w:rPr>
                <w:rFonts w:ascii="宋体" w:hAnsi="宋体"/>
                <w:szCs w:val="21"/>
              </w:rPr>
            </w:pPr>
            <w:r>
              <w:rPr>
                <w:rFonts w:hint="eastAsia" w:ascii="宋体" w:hAnsi="宋体"/>
                <w:szCs w:val="21"/>
              </w:rPr>
              <w:t>数量</w:t>
            </w:r>
          </w:p>
        </w:tc>
        <w:tc>
          <w:tcPr>
            <w:tcW w:w="915"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987" w:type="dxa"/>
            <w:vAlign w:val="center"/>
          </w:tcPr>
          <w:p>
            <w:pPr>
              <w:adjustRightInd w:val="0"/>
              <w:snapToGrid w:val="0"/>
              <w:spacing w:line="360" w:lineRule="auto"/>
              <w:jc w:val="center"/>
              <w:rPr>
                <w:rFonts w:ascii="宋体" w:hAnsi="宋体"/>
                <w:szCs w:val="21"/>
              </w:rPr>
            </w:pPr>
            <w:r>
              <w:rPr>
                <w:rFonts w:hint="eastAsia" w:ascii="宋体" w:hAnsi="宋体"/>
                <w:szCs w:val="21"/>
              </w:rPr>
              <w:t>1</w:t>
            </w:r>
          </w:p>
        </w:tc>
        <w:tc>
          <w:tcPr>
            <w:tcW w:w="1389" w:type="dxa"/>
            <w:vAlign w:val="center"/>
          </w:tcPr>
          <w:p>
            <w:pPr>
              <w:adjustRightInd w:val="0"/>
              <w:snapToGrid w:val="0"/>
              <w:spacing w:line="360" w:lineRule="auto"/>
              <w:jc w:val="center"/>
              <w:rPr>
                <w:rFonts w:ascii="宋体" w:hAnsi="宋体"/>
                <w:szCs w:val="21"/>
              </w:rPr>
            </w:pPr>
          </w:p>
        </w:tc>
        <w:tc>
          <w:tcPr>
            <w:tcW w:w="851" w:type="dxa"/>
            <w:vAlign w:val="center"/>
          </w:tcPr>
          <w:p>
            <w:pPr>
              <w:adjustRightInd w:val="0"/>
              <w:snapToGrid w:val="0"/>
              <w:spacing w:line="360" w:lineRule="auto"/>
              <w:jc w:val="center"/>
              <w:rPr>
                <w:rFonts w:ascii="宋体" w:hAnsi="宋体"/>
                <w:szCs w:val="21"/>
              </w:rPr>
            </w:pPr>
          </w:p>
        </w:tc>
        <w:tc>
          <w:tcPr>
            <w:tcW w:w="1417" w:type="dxa"/>
          </w:tcPr>
          <w:p>
            <w:pPr>
              <w:adjustRightInd w:val="0"/>
              <w:snapToGrid w:val="0"/>
              <w:spacing w:line="360" w:lineRule="auto"/>
              <w:jc w:val="center"/>
              <w:rPr>
                <w:rFonts w:ascii="宋体" w:hAnsi="宋体"/>
                <w:szCs w:val="21"/>
              </w:rPr>
            </w:pPr>
          </w:p>
        </w:tc>
        <w:tc>
          <w:tcPr>
            <w:tcW w:w="993"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976" w:type="dxa"/>
            <w:vAlign w:val="center"/>
          </w:tcPr>
          <w:p>
            <w:pPr>
              <w:adjustRightInd w:val="0"/>
              <w:snapToGrid w:val="0"/>
              <w:spacing w:line="360" w:lineRule="auto"/>
              <w:jc w:val="center"/>
              <w:rPr>
                <w:rFonts w:ascii="宋体" w:hAnsi="宋体"/>
                <w:szCs w:val="21"/>
              </w:rPr>
            </w:pPr>
          </w:p>
        </w:tc>
        <w:tc>
          <w:tcPr>
            <w:tcW w:w="915" w:type="dxa"/>
          </w:tcPr>
          <w:p>
            <w:pPr>
              <w:adjustRightInd w:val="0"/>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987" w:type="dxa"/>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1389" w:type="dxa"/>
            <w:vAlign w:val="center"/>
          </w:tcPr>
          <w:p>
            <w:pPr>
              <w:adjustRightInd w:val="0"/>
              <w:snapToGrid w:val="0"/>
              <w:spacing w:line="360" w:lineRule="auto"/>
              <w:jc w:val="center"/>
              <w:rPr>
                <w:rFonts w:ascii="宋体" w:hAnsi="宋体"/>
                <w:szCs w:val="21"/>
              </w:rPr>
            </w:pPr>
          </w:p>
        </w:tc>
        <w:tc>
          <w:tcPr>
            <w:tcW w:w="851" w:type="dxa"/>
            <w:vAlign w:val="center"/>
          </w:tcPr>
          <w:p>
            <w:pPr>
              <w:adjustRightInd w:val="0"/>
              <w:snapToGrid w:val="0"/>
              <w:spacing w:line="360" w:lineRule="auto"/>
              <w:jc w:val="center"/>
              <w:rPr>
                <w:rFonts w:ascii="宋体" w:hAnsi="宋体"/>
                <w:szCs w:val="21"/>
              </w:rPr>
            </w:pPr>
          </w:p>
        </w:tc>
        <w:tc>
          <w:tcPr>
            <w:tcW w:w="1417" w:type="dxa"/>
          </w:tcPr>
          <w:p>
            <w:pPr>
              <w:adjustRightInd w:val="0"/>
              <w:snapToGrid w:val="0"/>
              <w:spacing w:line="360" w:lineRule="auto"/>
              <w:jc w:val="center"/>
              <w:rPr>
                <w:rFonts w:ascii="宋体" w:hAnsi="宋体"/>
                <w:szCs w:val="21"/>
              </w:rPr>
            </w:pPr>
          </w:p>
        </w:tc>
        <w:tc>
          <w:tcPr>
            <w:tcW w:w="993"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976" w:type="dxa"/>
            <w:vAlign w:val="center"/>
          </w:tcPr>
          <w:p>
            <w:pPr>
              <w:adjustRightInd w:val="0"/>
              <w:snapToGrid w:val="0"/>
              <w:spacing w:line="360" w:lineRule="auto"/>
              <w:jc w:val="center"/>
              <w:rPr>
                <w:rFonts w:ascii="宋体" w:hAnsi="宋体"/>
                <w:szCs w:val="21"/>
              </w:rPr>
            </w:pPr>
          </w:p>
        </w:tc>
        <w:tc>
          <w:tcPr>
            <w:tcW w:w="915" w:type="dxa"/>
          </w:tcPr>
          <w:p>
            <w:pPr>
              <w:adjustRightInd w:val="0"/>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987" w:type="dxa"/>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1389" w:type="dxa"/>
            <w:vAlign w:val="center"/>
          </w:tcPr>
          <w:p>
            <w:pPr>
              <w:adjustRightInd w:val="0"/>
              <w:snapToGrid w:val="0"/>
              <w:spacing w:line="360" w:lineRule="auto"/>
              <w:jc w:val="center"/>
              <w:rPr>
                <w:rFonts w:ascii="宋体" w:hAnsi="宋体"/>
                <w:szCs w:val="21"/>
              </w:rPr>
            </w:pPr>
          </w:p>
        </w:tc>
        <w:tc>
          <w:tcPr>
            <w:tcW w:w="851" w:type="dxa"/>
            <w:vAlign w:val="center"/>
          </w:tcPr>
          <w:p>
            <w:pPr>
              <w:adjustRightInd w:val="0"/>
              <w:snapToGrid w:val="0"/>
              <w:spacing w:line="360" w:lineRule="auto"/>
              <w:jc w:val="center"/>
              <w:rPr>
                <w:rFonts w:ascii="宋体" w:hAnsi="宋体"/>
                <w:szCs w:val="21"/>
              </w:rPr>
            </w:pPr>
          </w:p>
        </w:tc>
        <w:tc>
          <w:tcPr>
            <w:tcW w:w="1417" w:type="dxa"/>
          </w:tcPr>
          <w:p>
            <w:pPr>
              <w:adjustRightInd w:val="0"/>
              <w:snapToGrid w:val="0"/>
              <w:spacing w:line="360" w:lineRule="auto"/>
              <w:jc w:val="center"/>
              <w:rPr>
                <w:rFonts w:ascii="宋体" w:hAnsi="宋体"/>
                <w:szCs w:val="21"/>
              </w:rPr>
            </w:pPr>
          </w:p>
        </w:tc>
        <w:tc>
          <w:tcPr>
            <w:tcW w:w="993"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976" w:type="dxa"/>
            <w:vAlign w:val="center"/>
          </w:tcPr>
          <w:p>
            <w:pPr>
              <w:adjustRightInd w:val="0"/>
              <w:snapToGrid w:val="0"/>
              <w:spacing w:line="360" w:lineRule="auto"/>
              <w:jc w:val="center"/>
              <w:rPr>
                <w:rFonts w:ascii="宋体" w:hAnsi="宋体"/>
                <w:szCs w:val="21"/>
              </w:rPr>
            </w:pPr>
          </w:p>
        </w:tc>
        <w:tc>
          <w:tcPr>
            <w:tcW w:w="915" w:type="dxa"/>
          </w:tcPr>
          <w:p>
            <w:pPr>
              <w:adjustRightInd w:val="0"/>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987"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c>
          <w:tcPr>
            <w:tcW w:w="1389" w:type="dxa"/>
            <w:vAlign w:val="center"/>
          </w:tcPr>
          <w:p>
            <w:pPr>
              <w:adjustRightInd w:val="0"/>
              <w:snapToGrid w:val="0"/>
              <w:spacing w:line="360" w:lineRule="auto"/>
              <w:jc w:val="center"/>
              <w:rPr>
                <w:rFonts w:ascii="宋体" w:hAnsi="宋体"/>
                <w:szCs w:val="21"/>
              </w:rPr>
            </w:pPr>
          </w:p>
        </w:tc>
        <w:tc>
          <w:tcPr>
            <w:tcW w:w="851" w:type="dxa"/>
            <w:vAlign w:val="center"/>
          </w:tcPr>
          <w:p>
            <w:pPr>
              <w:adjustRightInd w:val="0"/>
              <w:snapToGrid w:val="0"/>
              <w:spacing w:line="360" w:lineRule="auto"/>
              <w:jc w:val="center"/>
              <w:rPr>
                <w:rFonts w:ascii="宋体" w:hAnsi="宋体"/>
                <w:szCs w:val="21"/>
              </w:rPr>
            </w:pPr>
          </w:p>
        </w:tc>
        <w:tc>
          <w:tcPr>
            <w:tcW w:w="1417" w:type="dxa"/>
          </w:tcPr>
          <w:p>
            <w:pPr>
              <w:adjustRightInd w:val="0"/>
              <w:snapToGrid w:val="0"/>
              <w:spacing w:line="360" w:lineRule="auto"/>
              <w:jc w:val="center"/>
              <w:rPr>
                <w:rFonts w:ascii="宋体" w:hAnsi="宋体"/>
                <w:szCs w:val="21"/>
              </w:rPr>
            </w:pPr>
          </w:p>
        </w:tc>
        <w:tc>
          <w:tcPr>
            <w:tcW w:w="993"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976" w:type="dxa"/>
            <w:vAlign w:val="center"/>
          </w:tcPr>
          <w:p>
            <w:pPr>
              <w:adjustRightInd w:val="0"/>
              <w:snapToGrid w:val="0"/>
              <w:spacing w:line="360" w:lineRule="auto"/>
              <w:jc w:val="center"/>
              <w:rPr>
                <w:rFonts w:ascii="宋体" w:hAnsi="宋体"/>
                <w:szCs w:val="21"/>
              </w:rPr>
            </w:pPr>
          </w:p>
        </w:tc>
        <w:tc>
          <w:tcPr>
            <w:tcW w:w="915" w:type="dxa"/>
          </w:tcPr>
          <w:p>
            <w:pPr>
              <w:adjustRightInd w:val="0"/>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2376" w:type="dxa"/>
            <w:gridSpan w:val="2"/>
            <w:vAlign w:val="center"/>
          </w:tcPr>
          <w:p>
            <w:pPr>
              <w:adjustRightInd w:val="0"/>
              <w:snapToGrid w:val="0"/>
              <w:spacing w:line="360" w:lineRule="auto"/>
              <w:jc w:val="center"/>
              <w:rPr>
                <w:rFonts w:ascii="宋体" w:hAnsi="宋体"/>
                <w:b/>
                <w:szCs w:val="21"/>
              </w:rPr>
            </w:pPr>
            <w:r>
              <w:rPr>
                <w:rFonts w:hint="eastAsia" w:ascii="宋体" w:hAnsi="宋体"/>
                <w:b/>
                <w:szCs w:val="21"/>
              </w:rPr>
              <w:t>合 计</w:t>
            </w:r>
          </w:p>
        </w:tc>
        <w:tc>
          <w:tcPr>
            <w:tcW w:w="6286" w:type="dxa"/>
            <w:gridSpan w:val="6"/>
            <w:vAlign w:val="center"/>
          </w:tcPr>
          <w:p>
            <w:pPr>
              <w:adjustRightInd w:val="0"/>
              <w:snapToGrid w:val="0"/>
              <w:spacing w:line="360" w:lineRule="auto"/>
              <w:jc w:val="center"/>
              <w:rPr>
                <w:rFonts w:ascii="宋体" w:hAnsi="宋体"/>
                <w:szCs w:val="21"/>
              </w:rPr>
            </w:pPr>
          </w:p>
        </w:tc>
      </w:tr>
    </w:tbl>
    <w:p>
      <w:pPr>
        <w:rPr>
          <w:rFonts w:ascii="宋体" w:hAnsi="宋体"/>
        </w:rPr>
      </w:pPr>
    </w:p>
    <w:p>
      <w:pPr>
        <w:pStyle w:val="2"/>
      </w:pPr>
    </w:p>
    <w:p>
      <w:pPr>
        <w:adjustRightInd w:val="0"/>
        <w:snapToGrid w:val="0"/>
        <w:spacing w:line="360" w:lineRule="auto"/>
        <w:ind w:left="-88" w:leftChars="-42"/>
        <w:rPr>
          <w:rFonts w:ascii="宋体" w:hAnsi="宋体"/>
          <w:b/>
          <w:szCs w:val="21"/>
        </w:rPr>
      </w:pPr>
      <w:r>
        <w:rPr>
          <w:rFonts w:hint="eastAsia" w:ascii="宋体" w:hAnsi="宋体"/>
          <w:b/>
          <w:szCs w:val="21"/>
        </w:rPr>
        <w:t>备注：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包含谈判文件“用户需求书”或其他部分对该项目所有要求的详细报价。“合计”金额之和应与《报价一览表》内“谈判总报价”金额一致。栏目“单价”为综合单价，应包含所有隐含的管理费、税金和利润等其他费用。</w:t>
      </w:r>
    </w:p>
    <w:p>
      <w:pPr>
        <w:pStyle w:val="28"/>
        <w:adjustRightInd w:val="0"/>
        <w:snapToGrid w:val="0"/>
        <w:spacing w:line="360" w:lineRule="auto"/>
        <w:rPr>
          <w:rFonts w:ascii="宋体" w:hAnsi="宋体"/>
          <w:sz w:val="21"/>
          <w:szCs w:val="21"/>
        </w:rPr>
      </w:pPr>
    </w:p>
    <w:p>
      <w:pPr>
        <w:pStyle w:val="28"/>
        <w:adjustRightInd w:val="0"/>
        <w:snapToGrid w:val="0"/>
        <w:spacing w:line="360" w:lineRule="auto"/>
        <w:ind w:firstLine="420" w:firstLineChars="200"/>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ind w:firstLine="420" w:firstLineChars="200"/>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3"/>
        <w:jc w:val="center"/>
        <w:outlineLvl w:val="1"/>
        <w:rPr>
          <w:rFonts w:ascii="宋体" w:hAnsi="宋体" w:cs="宋体"/>
          <w:b/>
          <w:sz w:val="32"/>
          <w:szCs w:val="32"/>
        </w:rPr>
        <w:sectPr>
          <w:pgSz w:w="11906" w:h="16838"/>
          <w:pgMar w:top="1134" w:right="1134" w:bottom="1134" w:left="1417" w:header="851" w:footer="992" w:gutter="0"/>
          <w:pgNumType w:fmt="decimal"/>
          <w:cols w:space="0" w:num="1"/>
          <w:rtlGutter w:val="0"/>
          <w:docGrid w:type="lines" w:linePitch="312" w:charSpace="0"/>
        </w:sectPr>
      </w:pPr>
    </w:p>
    <w:p>
      <w:pPr>
        <w:adjustRightInd w:val="0"/>
        <w:snapToGrid w:val="0"/>
        <w:spacing w:line="360" w:lineRule="auto"/>
        <w:ind w:right="23"/>
        <w:jc w:val="center"/>
        <w:outlineLvl w:val="1"/>
        <w:rPr>
          <w:rFonts w:ascii="宋体" w:hAnsi="宋体" w:cs="宋体"/>
          <w:b/>
          <w:sz w:val="32"/>
          <w:szCs w:val="32"/>
        </w:rPr>
      </w:pPr>
      <w:bookmarkStart w:id="288" w:name="_Toc24603"/>
      <w:bookmarkStart w:id="289" w:name="_Toc5783"/>
      <w:bookmarkStart w:id="290" w:name="_Toc24108"/>
      <w:bookmarkStart w:id="291" w:name="_Toc27152"/>
      <w:r>
        <w:rPr>
          <w:rFonts w:hint="eastAsia" w:ascii="宋体" w:hAnsi="宋体" w:cs="宋体"/>
          <w:b/>
          <w:sz w:val="32"/>
          <w:szCs w:val="32"/>
        </w:rPr>
        <w:t>七、其他资料</w:t>
      </w:r>
      <w:bookmarkEnd w:id="285"/>
      <w:bookmarkEnd w:id="286"/>
      <w:bookmarkEnd w:id="287"/>
      <w:r>
        <w:rPr>
          <w:rFonts w:hint="eastAsia" w:ascii="宋体" w:hAnsi="宋体" w:cs="宋体"/>
          <w:b/>
          <w:sz w:val="32"/>
          <w:szCs w:val="32"/>
        </w:rPr>
        <w:t>（如有）</w:t>
      </w:r>
      <w:bookmarkEnd w:id="288"/>
      <w:bookmarkEnd w:id="289"/>
      <w:bookmarkEnd w:id="290"/>
      <w:bookmarkEnd w:id="291"/>
    </w:p>
    <w:p>
      <w:pPr>
        <w:adjustRightInd w:val="0"/>
        <w:snapToGrid w:val="0"/>
        <w:spacing w:before="156" w:beforeLines="50" w:line="360" w:lineRule="auto"/>
        <w:ind w:firstLine="420" w:firstLineChars="200"/>
        <w:jc w:val="center"/>
        <w:rPr>
          <w:rFonts w:ascii="宋体" w:hAnsi="宋体"/>
          <w:szCs w:val="21"/>
        </w:rPr>
      </w:pPr>
      <w:bookmarkStart w:id="292" w:name="_Toc10648"/>
      <w:bookmarkStart w:id="293" w:name="_Toc5412"/>
      <w:bookmarkStart w:id="294" w:name="_Toc22084"/>
      <w:bookmarkStart w:id="295" w:name="_Toc18188"/>
      <w:r>
        <w:rPr>
          <w:rFonts w:hint="eastAsia" w:ascii="宋体" w:hAnsi="宋体"/>
          <w:szCs w:val="21"/>
        </w:rPr>
        <w:t>谈判单位认为需要提供的其他报价资料，格式自拟。</w:t>
      </w:r>
      <w:bookmarkEnd w:id="292"/>
      <w:bookmarkEnd w:id="293"/>
      <w:bookmarkEnd w:id="294"/>
      <w:bookmarkEnd w:id="295"/>
    </w:p>
    <w:sectPr>
      <w:pgSz w:w="11906" w:h="16838"/>
      <w:pgMar w:top="1134" w:right="1134" w:bottom="113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0M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vHQyQEAAJkDAAAOAAAAAAAAAAEAIAAAAB4BAABkcnMvZTJvRG9j&#10;LnhtbFBLBQYAAAAABgAGAFkBAABZBQAAAAA=&#10;">
              <v:fill on="f" focussize="0,0"/>
              <v:stroke on="f"/>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80" w:hanging="180" w:hangingChars="100"/>
      <w:jc w:val="right"/>
      <w:rPr>
        <w:rFonts w:eastAsia="楷体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r>
      <w:rPr>
        <w:rFonts w:hint="eastAsia" w:eastAsia="楷体_GB231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80" w:hanging="180" w:hangingChars="100"/>
      <w:jc w:val="right"/>
      <w:rPr>
        <w:rFonts w:hint="eastAsia" w:eastAsia="楷体_GB2312"/>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80" w:hanging="180" w:hangingChars="100"/>
      <w:jc w:val="right"/>
      <w:rPr>
        <w:rFonts w:hint="eastAsia" w:eastAsia="楷体_GB2312"/>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4S+80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4S+80BAACpAwAADgAAAAAAAAABACAAAAAeAQAAZHJzL2Uy&#10;b0RvYy54bWxQSwUGAAAAAAYABgBZAQAAXQUAAAAA&#10;">
              <v:fill on="f" focussize="0,0"/>
              <v:stroke on="f"/>
              <v:imagedata o:title=""/>
              <o:lock v:ext="edit" aspectratio="f"/>
              <v:textbox inset="0mm,0mm,0mm,0mm" style="mso-fit-shape-to-text:t;">
                <w:txbxContent>
                  <w:p>
                    <w:pPr>
                      <w:pStyle w:val="3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4l0Mg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iwpcdzixC/fv11+/Lr8/Ere&#10;5P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KeJdDIAQAAmgMAAA4AAAAAAAAAAQAgAAAAHgEAAGRycy9lMm9Eb2Mu&#10;eG1sUEsFBgAAAAAGAAYAWQEAAFgFAAAAAA==&#10;">
              <v:fill on="f" focussize="0,0"/>
              <v:stroke on="f"/>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27FE"/>
    <w:rsid w:val="00016902"/>
    <w:rsid w:val="00017A03"/>
    <w:rsid w:val="000274C6"/>
    <w:rsid w:val="00041547"/>
    <w:rsid w:val="00052640"/>
    <w:rsid w:val="00052912"/>
    <w:rsid w:val="00063D15"/>
    <w:rsid w:val="00074928"/>
    <w:rsid w:val="00091C9D"/>
    <w:rsid w:val="000C106E"/>
    <w:rsid w:val="000E7968"/>
    <w:rsid w:val="000F3387"/>
    <w:rsid w:val="00115FE6"/>
    <w:rsid w:val="00116BAE"/>
    <w:rsid w:val="001453A1"/>
    <w:rsid w:val="00162D59"/>
    <w:rsid w:val="00186162"/>
    <w:rsid w:val="001A5EF3"/>
    <w:rsid w:val="001C23BF"/>
    <w:rsid w:val="001D6D72"/>
    <w:rsid w:val="001D7E18"/>
    <w:rsid w:val="001E4BC4"/>
    <w:rsid w:val="002069C8"/>
    <w:rsid w:val="002101BD"/>
    <w:rsid w:val="002139EB"/>
    <w:rsid w:val="0022188F"/>
    <w:rsid w:val="00222B8F"/>
    <w:rsid w:val="00222DFA"/>
    <w:rsid w:val="00230A1A"/>
    <w:rsid w:val="002314A3"/>
    <w:rsid w:val="00241856"/>
    <w:rsid w:val="002504FF"/>
    <w:rsid w:val="002523FD"/>
    <w:rsid w:val="0025312F"/>
    <w:rsid w:val="00255546"/>
    <w:rsid w:val="00280E34"/>
    <w:rsid w:val="00286014"/>
    <w:rsid w:val="002B1D56"/>
    <w:rsid w:val="002D3315"/>
    <w:rsid w:val="002F262C"/>
    <w:rsid w:val="003102A2"/>
    <w:rsid w:val="00331810"/>
    <w:rsid w:val="00352136"/>
    <w:rsid w:val="00380064"/>
    <w:rsid w:val="00381105"/>
    <w:rsid w:val="00381BB4"/>
    <w:rsid w:val="003958B2"/>
    <w:rsid w:val="0039632C"/>
    <w:rsid w:val="003B1109"/>
    <w:rsid w:val="003C2697"/>
    <w:rsid w:val="003D080C"/>
    <w:rsid w:val="003D19B4"/>
    <w:rsid w:val="003D6204"/>
    <w:rsid w:val="003D666D"/>
    <w:rsid w:val="003F46A7"/>
    <w:rsid w:val="004014FD"/>
    <w:rsid w:val="00423B85"/>
    <w:rsid w:val="004263EB"/>
    <w:rsid w:val="00432B31"/>
    <w:rsid w:val="0043561C"/>
    <w:rsid w:val="00453EE9"/>
    <w:rsid w:val="00473865"/>
    <w:rsid w:val="0048093D"/>
    <w:rsid w:val="00485744"/>
    <w:rsid w:val="004929D5"/>
    <w:rsid w:val="00495DBC"/>
    <w:rsid w:val="00495F57"/>
    <w:rsid w:val="004978CA"/>
    <w:rsid w:val="004B3D80"/>
    <w:rsid w:val="004B41B1"/>
    <w:rsid w:val="004E3E63"/>
    <w:rsid w:val="00504DED"/>
    <w:rsid w:val="00517342"/>
    <w:rsid w:val="00522C87"/>
    <w:rsid w:val="00526589"/>
    <w:rsid w:val="00545140"/>
    <w:rsid w:val="0055214F"/>
    <w:rsid w:val="005556A5"/>
    <w:rsid w:val="0056117D"/>
    <w:rsid w:val="0056143E"/>
    <w:rsid w:val="00584FBA"/>
    <w:rsid w:val="0058754B"/>
    <w:rsid w:val="005C688B"/>
    <w:rsid w:val="005C6B3C"/>
    <w:rsid w:val="005D46FA"/>
    <w:rsid w:val="005E6BBB"/>
    <w:rsid w:val="00641E72"/>
    <w:rsid w:val="0068504A"/>
    <w:rsid w:val="0068515F"/>
    <w:rsid w:val="00687C87"/>
    <w:rsid w:val="00696DB9"/>
    <w:rsid w:val="006A61E9"/>
    <w:rsid w:val="006B2599"/>
    <w:rsid w:val="006B6300"/>
    <w:rsid w:val="006C5E01"/>
    <w:rsid w:val="006D0A13"/>
    <w:rsid w:val="006D4C66"/>
    <w:rsid w:val="006E025D"/>
    <w:rsid w:val="006E7E8A"/>
    <w:rsid w:val="006F5FAC"/>
    <w:rsid w:val="00703837"/>
    <w:rsid w:val="0070784A"/>
    <w:rsid w:val="007203CC"/>
    <w:rsid w:val="00730CC6"/>
    <w:rsid w:val="00740D0D"/>
    <w:rsid w:val="00742356"/>
    <w:rsid w:val="00743EAA"/>
    <w:rsid w:val="007666FF"/>
    <w:rsid w:val="00793ABB"/>
    <w:rsid w:val="0079784E"/>
    <w:rsid w:val="007C242F"/>
    <w:rsid w:val="007D0446"/>
    <w:rsid w:val="007F2A83"/>
    <w:rsid w:val="007F3811"/>
    <w:rsid w:val="007F512B"/>
    <w:rsid w:val="00801CDE"/>
    <w:rsid w:val="00802770"/>
    <w:rsid w:val="0081382B"/>
    <w:rsid w:val="00842354"/>
    <w:rsid w:val="00842E06"/>
    <w:rsid w:val="008511F3"/>
    <w:rsid w:val="0087167F"/>
    <w:rsid w:val="00877465"/>
    <w:rsid w:val="008B6242"/>
    <w:rsid w:val="008C7C9F"/>
    <w:rsid w:val="008D2E27"/>
    <w:rsid w:val="00915948"/>
    <w:rsid w:val="00923E97"/>
    <w:rsid w:val="00981802"/>
    <w:rsid w:val="009A5642"/>
    <w:rsid w:val="009B5270"/>
    <w:rsid w:val="009C10AF"/>
    <w:rsid w:val="009D41D7"/>
    <w:rsid w:val="009D7D4A"/>
    <w:rsid w:val="009E03FD"/>
    <w:rsid w:val="009E2384"/>
    <w:rsid w:val="00A0779E"/>
    <w:rsid w:val="00A1747A"/>
    <w:rsid w:val="00A34DC1"/>
    <w:rsid w:val="00A41E73"/>
    <w:rsid w:val="00A618F2"/>
    <w:rsid w:val="00A61CCE"/>
    <w:rsid w:val="00A72E80"/>
    <w:rsid w:val="00A92B7C"/>
    <w:rsid w:val="00AA1709"/>
    <w:rsid w:val="00AB013C"/>
    <w:rsid w:val="00AD284D"/>
    <w:rsid w:val="00AD758B"/>
    <w:rsid w:val="00AE7813"/>
    <w:rsid w:val="00AF11ED"/>
    <w:rsid w:val="00AF1EBD"/>
    <w:rsid w:val="00B01BA0"/>
    <w:rsid w:val="00B54827"/>
    <w:rsid w:val="00B74689"/>
    <w:rsid w:val="00B77D0D"/>
    <w:rsid w:val="00B82298"/>
    <w:rsid w:val="00B832A9"/>
    <w:rsid w:val="00B918DC"/>
    <w:rsid w:val="00B92FA2"/>
    <w:rsid w:val="00BE15B5"/>
    <w:rsid w:val="00C0069B"/>
    <w:rsid w:val="00C20479"/>
    <w:rsid w:val="00C21267"/>
    <w:rsid w:val="00C21D69"/>
    <w:rsid w:val="00C532E5"/>
    <w:rsid w:val="00C57914"/>
    <w:rsid w:val="00C6008B"/>
    <w:rsid w:val="00C758E3"/>
    <w:rsid w:val="00CB534B"/>
    <w:rsid w:val="00CD624B"/>
    <w:rsid w:val="00CE51F2"/>
    <w:rsid w:val="00CE631C"/>
    <w:rsid w:val="00CE703D"/>
    <w:rsid w:val="00CF0192"/>
    <w:rsid w:val="00CF040C"/>
    <w:rsid w:val="00CF33D8"/>
    <w:rsid w:val="00CF6FD5"/>
    <w:rsid w:val="00D12668"/>
    <w:rsid w:val="00D164FE"/>
    <w:rsid w:val="00D17964"/>
    <w:rsid w:val="00D25462"/>
    <w:rsid w:val="00D31733"/>
    <w:rsid w:val="00D43330"/>
    <w:rsid w:val="00D45708"/>
    <w:rsid w:val="00D628FC"/>
    <w:rsid w:val="00D6362F"/>
    <w:rsid w:val="00D84A7F"/>
    <w:rsid w:val="00DA1E17"/>
    <w:rsid w:val="00DA51BD"/>
    <w:rsid w:val="00DC6DB0"/>
    <w:rsid w:val="00DF363F"/>
    <w:rsid w:val="00E10E15"/>
    <w:rsid w:val="00E32EEF"/>
    <w:rsid w:val="00E67EDA"/>
    <w:rsid w:val="00E74692"/>
    <w:rsid w:val="00E77817"/>
    <w:rsid w:val="00E944EE"/>
    <w:rsid w:val="00EB473C"/>
    <w:rsid w:val="00ED2C03"/>
    <w:rsid w:val="00EF6911"/>
    <w:rsid w:val="00F13C88"/>
    <w:rsid w:val="00F20951"/>
    <w:rsid w:val="00F37996"/>
    <w:rsid w:val="00F410E0"/>
    <w:rsid w:val="00F579E9"/>
    <w:rsid w:val="00FA6734"/>
    <w:rsid w:val="00FE3699"/>
    <w:rsid w:val="0128033D"/>
    <w:rsid w:val="01403F6F"/>
    <w:rsid w:val="014D6F55"/>
    <w:rsid w:val="01553A81"/>
    <w:rsid w:val="018C7027"/>
    <w:rsid w:val="01932790"/>
    <w:rsid w:val="01CF51F6"/>
    <w:rsid w:val="01EA6EEC"/>
    <w:rsid w:val="01F95304"/>
    <w:rsid w:val="021B19D1"/>
    <w:rsid w:val="02263AD9"/>
    <w:rsid w:val="024C0DC0"/>
    <w:rsid w:val="02787973"/>
    <w:rsid w:val="02787D91"/>
    <w:rsid w:val="02823A35"/>
    <w:rsid w:val="029A1968"/>
    <w:rsid w:val="02AB7973"/>
    <w:rsid w:val="02BF5617"/>
    <w:rsid w:val="02FB4FEB"/>
    <w:rsid w:val="03727DAF"/>
    <w:rsid w:val="03A013D6"/>
    <w:rsid w:val="03D41287"/>
    <w:rsid w:val="03E66D9B"/>
    <w:rsid w:val="03F31A5E"/>
    <w:rsid w:val="03FC0CEA"/>
    <w:rsid w:val="04240981"/>
    <w:rsid w:val="042B3AFB"/>
    <w:rsid w:val="0445397B"/>
    <w:rsid w:val="0471407F"/>
    <w:rsid w:val="04E70891"/>
    <w:rsid w:val="04EE0D07"/>
    <w:rsid w:val="05492D26"/>
    <w:rsid w:val="054E6891"/>
    <w:rsid w:val="05990F81"/>
    <w:rsid w:val="05EB6762"/>
    <w:rsid w:val="05F777CC"/>
    <w:rsid w:val="061842D1"/>
    <w:rsid w:val="067428EB"/>
    <w:rsid w:val="06C11238"/>
    <w:rsid w:val="06D605B3"/>
    <w:rsid w:val="070C68F7"/>
    <w:rsid w:val="071F23AA"/>
    <w:rsid w:val="072B22BC"/>
    <w:rsid w:val="074C43F1"/>
    <w:rsid w:val="07650D5D"/>
    <w:rsid w:val="07A76048"/>
    <w:rsid w:val="07B16F85"/>
    <w:rsid w:val="082211DD"/>
    <w:rsid w:val="08232382"/>
    <w:rsid w:val="082F5114"/>
    <w:rsid w:val="083D23B2"/>
    <w:rsid w:val="086136BB"/>
    <w:rsid w:val="08786792"/>
    <w:rsid w:val="08807627"/>
    <w:rsid w:val="089F6734"/>
    <w:rsid w:val="093252EE"/>
    <w:rsid w:val="09422E59"/>
    <w:rsid w:val="094A4EE7"/>
    <w:rsid w:val="0959407C"/>
    <w:rsid w:val="097D1C20"/>
    <w:rsid w:val="09880942"/>
    <w:rsid w:val="098A3350"/>
    <w:rsid w:val="09A23D38"/>
    <w:rsid w:val="09AB154E"/>
    <w:rsid w:val="0A0B173F"/>
    <w:rsid w:val="0A2948BE"/>
    <w:rsid w:val="0A451CA7"/>
    <w:rsid w:val="0AA94D17"/>
    <w:rsid w:val="0AB411A5"/>
    <w:rsid w:val="0AE24958"/>
    <w:rsid w:val="0B0459F0"/>
    <w:rsid w:val="0B4432D5"/>
    <w:rsid w:val="0B590F4A"/>
    <w:rsid w:val="0B8511E8"/>
    <w:rsid w:val="0BAA700E"/>
    <w:rsid w:val="0BEB10E2"/>
    <w:rsid w:val="0C043785"/>
    <w:rsid w:val="0C156CFF"/>
    <w:rsid w:val="0C1A66D1"/>
    <w:rsid w:val="0C361670"/>
    <w:rsid w:val="0C411CD0"/>
    <w:rsid w:val="0C5B1FA9"/>
    <w:rsid w:val="0C8E4136"/>
    <w:rsid w:val="0CA062F8"/>
    <w:rsid w:val="0CED2457"/>
    <w:rsid w:val="0D2C1377"/>
    <w:rsid w:val="0D5C5AB2"/>
    <w:rsid w:val="0D614F04"/>
    <w:rsid w:val="0D6A4C3D"/>
    <w:rsid w:val="0D847932"/>
    <w:rsid w:val="0DCC335E"/>
    <w:rsid w:val="0DF87606"/>
    <w:rsid w:val="0E04554D"/>
    <w:rsid w:val="0E0C0187"/>
    <w:rsid w:val="0E1865F8"/>
    <w:rsid w:val="0E413AE2"/>
    <w:rsid w:val="0E94477A"/>
    <w:rsid w:val="0EBC2000"/>
    <w:rsid w:val="0ED5035C"/>
    <w:rsid w:val="0F143C2E"/>
    <w:rsid w:val="0F340DCE"/>
    <w:rsid w:val="0F3918CC"/>
    <w:rsid w:val="0F397095"/>
    <w:rsid w:val="0FD663C6"/>
    <w:rsid w:val="10190CBD"/>
    <w:rsid w:val="10214888"/>
    <w:rsid w:val="102D14D1"/>
    <w:rsid w:val="104E0318"/>
    <w:rsid w:val="10A750E5"/>
    <w:rsid w:val="11342822"/>
    <w:rsid w:val="115D2B41"/>
    <w:rsid w:val="118640B3"/>
    <w:rsid w:val="11A56CFC"/>
    <w:rsid w:val="12321665"/>
    <w:rsid w:val="126C7EC0"/>
    <w:rsid w:val="1277417D"/>
    <w:rsid w:val="12BE7F96"/>
    <w:rsid w:val="12E70400"/>
    <w:rsid w:val="12F745E0"/>
    <w:rsid w:val="12F96D8F"/>
    <w:rsid w:val="1342515B"/>
    <w:rsid w:val="1356443E"/>
    <w:rsid w:val="1360694E"/>
    <w:rsid w:val="136253A7"/>
    <w:rsid w:val="136544CD"/>
    <w:rsid w:val="13877EBC"/>
    <w:rsid w:val="13A934D3"/>
    <w:rsid w:val="13C010E8"/>
    <w:rsid w:val="13C0328F"/>
    <w:rsid w:val="13C5215F"/>
    <w:rsid w:val="13C719E1"/>
    <w:rsid w:val="13DC2553"/>
    <w:rsid w:val="142D4C56"/>
    <w:rsid w:val="145C45D5"/>
    <w:rsid w:val="149B2B25"/>
    <w:rsid w:val="14AA20B4"/>
    <w:rsid w:val="15340E77"/>
    <w:rsid w:val="157939BE"/>
    <w:rsid w:val="15C01930"/>
    <w:rsid w:val="161C194F"/>
    <w:rsid w:val="162E1686"/>
    <w:rsid w:val="167D6633"/>
    <w:rsid w:val="16C7330C"/>
    <w:rsid w:val="16CE41FA"/>
    <w:rsid w:val="16E77616"/>
    <w:rsid w:val="16F862E2"/>
    <w:rsid w:val="173A56D7"/>
    <w:rsid w:val="176159C8"/>
    <w:rsid w:val="17740B65"/>
    <w:rsid w:val="17C50F2C"/>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E400B3"/>
    <w:rsid w:val="1D2119DA"/>
    <w:rsid w:val="1D481945"/>
    <w:rsid w:val="1D961B49"/>
    <w:rsid w:val="1D9F6122"/>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A7260B"/>
    <w:rsid w:val="1FB35D19"/>
    <w:rsid w:val="1FEE3736"/>
    <w:rsid w:val="2034266D"/>
    <w:rsid w:val="20441BF7"/>
    <w:rsid w:val="20567811"/>
    <w:rsid w:val="207B20B8"/>
    <w:rsid w:val="20C87EE6"/>
    <w:rsid w:val="20D4307C"/>
    <w:rsid w:val="20DF6696"/>
    <w:rsid w:val="21156537"/>
    <w:rsid w:val="218469C1"/>
    <w:rsid w:val="21C0005D"/>
    <w:rsid w:val="21FB6487"/>
    <w:rsid w:val="22611A5A"/>
    <w:rsid w:val="22620C72"/>
    <w:rsid w:val="22622A21"/>
    <w:rsid w:val="22AE5F02"/>
    <w:rsid w:val="22DF68BA"/>
    <w:rsid w:val="22E54FD6"/>
    <w:rsid w:val="23E2019C"/>
    <w:rsid w:val="23EA4BCD"/>
    <w:rsid w:val="24552B00"/>
    <w:rsid w:val="24582CE4"/>
    <w:rsid w:val="246C3202"/>
    <w:rsid w:val="250462EA"/>
    <w:rsid w:val="252D7657"/>
    <w:rsid w:val="25355DF2"/>
    <w:rsid w:val="25390605"/>
    <w:rsid w:val="253A3746"/>
    <w:rsid w:val="2559777B"/>
    <w:rsid w:val="256C29A0"/>
    <w:rsid w:val="256C4EB8"/>
    <w:rsid w:val="25752417"/>
    <w:rsid w:val="25933BDB"/>
    <w:rsid w:val="25B66BA8"/>
    <w:rsid w:val="25DC6074"/>
    <w:rsid w:val="25E70ABF"/>
    <w:rsid w:val="262B45FA"/>
    <w:rsid w:val="2661226B"/>
    <w:rsid w:val="26CF4594"/>
    <w:rsid w:val="271E4DAB"/>
    <w:rsid w:val="272A5BFE"/>
    <w:rsid w:val="27320D1C"/>
    <w:rsid w:val="274759C4"/>
    <w:rsid w:val="274B7559"/>
    <w:rsid w:val="28166B73"/>
    <w:rsid w:val="282442D9"/>
    <w:rsid w:val="284367B5"/>
    <w:rsid w:val="284C2446"/>
    <w:rsid w:val="285718A5"/>
    <w:rsid w:val="28F865CB"/>
    <w:rsid w:val="29020E18"/>
    <w:rsid w:val="29053276"/>
    <w:rsid w:val="29212087"/>
    <w:rsid w:val="29250E1B"/>
    <w:rsid w:val="293E4CC1"/>
    <w:rsid w:val="29443F92"/>
    <w:rsid w:val="295A53EB"/>
    <w:rsid w:val="29803AA3"/>
    <w:rsid w:val="29884B07"/>
    <w:rsid w:val="298957C4"/>
    <w:rsid w:val="29DF4E52"/>
    <w:rsid w:val="29EA5B90"/>
    <w:rsid w:val="2A1D6A45"/>
    <w:rsid w:val="2A6F6EBA"/>
    <w:rsid w:val="2A830C79"/>
    <w:rsid w:val="2AD11736"/>
    <w:rsid w:val="2B1029CF"/>
    <w:rsid w:val="2B424E87"/>
    <w:rsid w:val="2B5F0E77"/>
    <w:rsid w:val="2B640F55"/>
    <w:rsid w:val="2B7F64C1"/>
    <w:rsid w:val="2BA3212D"/>
    <w:rsid w:val="2BE7007A"/>
    <w:rsid w:val="2BFE408A"/>
    <w:rsid w:val="2C1D78F3"/>
    <w:rsid w:val="2C234403"/>
    <w:rsid w:val="2C393680"/>
    <w:rsid w:val="2CDF0482"/>
    <w:rsid w:val="2D22640D"/>
    <w:rsid w:val="2D464D5F"/>
    <w:rsid w:val="2D4E5097"/>
    <w:rsid w:val="2D592D22"/>
    <w:rsid w:val="2DEB1F6F"/>
    <w:rsid w:val="2DFB00B5"/>
    <w:rsid w:val="2E697CA3"/>
    <w:rsid w:val="2E6D23B0"/>
    <w:rsid w:val="2E6D4E98"/>
    <w:rsid w:val="2E7931EC"/>
    <w:rsid w:val="2E944745"/>
    <w:rsid w:val="2E9705D3"/>
    <w:rsid w:val="2E9C3022"/>
    <w:rsid w:val="2EBE0475"/>
    <w:rsid w:val="2EC1790D"/>
    <w:rsid w:val="2EE23871"/>
    <w:rsid w:val="2F010D16"/>
    <w:rsid w:val="2F1D1D68"/>
    <w:rsid w:val="2F2A65B2"/>
    <w:rsid w:val="2F6C2DFA"/>
    <w:rsid w:val="2FBB15AA"/>
    <w:rsid w:val="300C3711"/>
    <w:rsid w:val="3022617D"/>
    <w:rsid w:val="30464B56"/>
    <w:rsid w:val="307C2C0D"/>
    <w:rsid w:val="30967620"/>
    <w:rsid w:val="309F2085"/>
    <w:rsid w:val="30BD1FE5"/>
    <w:rsid w:val="30E74D92"/>
    <w:rsid w:val="30F36C74"/>
    <w:rsid w:val="30F9318B"/>
    <w:rsid w:val="31272F44"/>
    <w:rsid w:val="31936105"/>
    <w:rsid w:val="31B658D4"/>
    <w:rsid w:val="32316E69"/>
    <w:rsid w:val="325B404D"/>
    <w:rsid w:val="32887E5F"/>
    <w:rsid w:val="32922EE0"/>
    <w:rsid w:val="329E5AD1"/>
    <w:rsid w:val="32CC51E5"/>
    <w:rsid w:val="32E6051A"/>
    <w:rsid w:val="32F33B15"/>
    <w:rsid w:val="3342483F"/>
    <w:rsid w:val="337067B3"/>
    <w:rsid w:val="33A718ED"/>
    <w:rsid w:val="33AA3E3F"/>
    <w:rsid w:val="34086FF6"/>
    <w:rsid w:val="34AC6BE3"/>
    <w:rsid w:val="34BD03D7"/>
    <w:rsid w:val="34EB329F"/>
    <w:rsid w:val="34FE1F7D"/>
    <w:rsid w:val="35270865"/>
    <w:rsid w:val="35691D4D"/>
    <w:rsid w:val="35C42A65"/>
    <w:rsid w:val="3609516B"/>
    <w:rsid w:val="36116C06"/>
    <w:rsid w:val="361B7BDC"/>
    <w:rsid w:val="364221AD"/>
    <w:rsid w:val="36627D01"/>
    <w:rsid w:val="369B1BA6"/>
    <w:rsid w:val="36AC6FD2"/>
    <w:rsid w:val="36AE45FE"/>
    <w:rsid w:val="36B04BEB"/>
    <w:rsid w:val="36D4159F"/>
    <w:rsid w:val="36DB78F6"/>
    <w:rsid w:val="36E67798"/>
    <w:rsid w:val="36FF0DB1"/>
    <w:rsid w:val="37067020"/>
    <w:rsid w:val="372649E2"/>
    <w:rsid w:val="372C59AA"/>
    <w:rsid w:val="373000B7"/>
    <w:rsid w:val="37963F54"/>
    <w:rsid w:val="379A6B89"/>
    <w:rsid w:val="379B6A7D"/>
    <w:rsid w:val="37BF2E3D"/>
    <w:rsid w:val="37D107AA"/>
    <w:rsid w:val="37F43335"/>
    <w:rsid w:val="38926D93"/>
    <w:rsid w:val="38B04B0E"/>
    <w:rsid w:val="38FA071C"/>
    <w:rsid w:val="38FD54AF"/>
    <w:rsid w:val="390741E5"/>
    <w:rsid w:val="391F264A"/>
    <w:rsid w:val="39243472"/>
    <w:rsid w:val="392B2144"/>
    <w:rsid w:val="394205BC"/>
    <w:rsid w:val="39494385"/>
    <w:rsid w:val="394E6CCA"/>
    <w:rsid w:val="3997588E"/>
    <w:rsid w:val="39B46D56"/>
    <w:rsid w:val="39C828E7"/>
    <w:rsid w:val="39DD557C"/>
    <w:rsid w:val="39FC4298"/>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06E1D"/>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14AA5"/>
    <w:rsid w:val="3E884F7D"/>
    <w:rsid w:val="3EB02545"/>
    <w:rsid w:val="3EB21D54"/>
    <w:rsid w:val="3F18661A"/>
    <w:rsid w:val="3F7512EA"/>
    <w:rsid w:val="3F9730B9"/>
    <w:rsid w:val="3FC55901"/>
    <w:rsid w:val="3FC9458D"/>
    <w:rsid w:val="3FD033AD"/>
    <w:rsid w:val="401F021A"/>
    <w:rsid w:val="404148A6"/>
    <w:rsid w:val="40572AB6"/>
    <w:rsid w:val="405D3459"/>
    <w:rsid w:val="4068264C"/>
    <w:rsid w:val="407728FD"/>
    <w:rsid w:val="40CA0DB3"/>
    <w:rsid w:val="410603FC"/>
    <w:rsid w:val="410D06B8"/>
    <w:rsid w:val="411C4F00"/>
    <w:rsid w:val="418842A8"/>
    <w:rsid w:val="41A274B6"/>
    <w:rsid w:val="41C034AF"/>
    <w:rsid w:val="42311D52"/>
    <w:rsid w:val="424A712C"/>
    <w:rsid w:val="4263268C"/>
    <w:rsid w:val="429F7E60"/>
    <w:rsid w:val="42CB2D35"/>
    <w:rsid w:val="42F759C4"/>
    <w:rsid w:val="43023463"/>
    <w:rsid w:val="430420F8"/>
    <w:rsid w:val="434660D0"/>
    <w:rsid w:val="43554BAC"/>
    <w:rsid w:val="435D3A52"/>
    <w:rsid w:val="436D6609"/>
    <w:rsid w:val="4392054D"/>
    <w:rsid w:val="43A027A3"/>
    <w:rsid w:val="43A05E1A"/>
    <w:rsid w:val="43AA1E91"/>
    <w:rsid w:val="43AF27CC"/>
    <w:rsid w:val="43BA343C"/>
    <w:rsid w:val="43C42006"/>
    <w:rsid w:val="43F8127E"/>
    <w:rsid w:val="44107E1A"/>
    <w:rsid w:val="4428525F"/>
    <w:rsid w:val="444A0170"/>
    <w:rsid w:val="4458707E"/>
    <w:rsid w:val="44667276"/>
    <w:rsid w:val="44A37922"/>
    <w:rsid w:val="44B63420"/>
    <w:rsid w:val="44B71DE6"/>
    <w:rsid w:val="44BE70AA"/>
    <w:rsid w:val="44DB6B8D"/>
    <w:rsid w:val="45160574"/>
    <w:rsid w:val="45303144"/>
    <w:rsid w:val="45F8252B"/>
    <w:rsid w:val="46153B79"/>
    <w:rsid w:val="46162EA8"/>
    <w:rsid w:val="4655670F"/>
    <w:rsid w:val="465911A1"/>
    <w:rsid w:val="465E48A1"/>
    <w:rsid w:val="46CD6A3D"/>
    <w:rsid w:val="46D23AA8"/>
    <w:rsid w:val="46D446A7"/>
    <w:rsid w:val="47165D61"/>
    <w:rsid w:val="475D1752"/>
    <w:rsid w:val="476273B1"/>
    <w:rsid w:val="47767BD4"/>
    <w:rsid w:val="477D0471"/>
    <w:rsid w:val="478F59C9"/>
    <w:rsid w:val="47B10416"/>
    <w:rsid w:val="47FB44E3"/>
    <w:rsid w:val="488A747A"/>
    <w:rsid w:val="489640A7"/>
    <w:rsid w:val="489E300A"/>
    <w:rsid w:val="4955748F"/>
    <w:rsid w:val="49694B92"/>
    <w:rsid w:val="49737357"/>
    <w:rsid w:val="49E51E3A"/>
    <w:rsid w:val="4A0366CF"/>
    <w:rsid w:val="4A256483"/>
    <w:rsid w:val="4A38641F"/>
    <w:rsid w:val="4A800E57"/>
    <w:rsid w:val="4A8D4A10"/>
    <w:rsid w:val="4A9F5D83"/>
    <w:rsid w:val="4AB52052"/>
    <w:rsid w:val="4AEE78FE"/>
    <w:rsid w:val="4AF859CC"/>
    <w:rsid w:val="4B3F2F8F"/>
    <w:rsid w:val="4B657DEC"/>
    <w:rsid w:val="4B8152D3"/>
    <w:rsid w:val="4B835116"/>
    <w:rsid w:val="4B965649"/>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204746"/>
    <w:rsid w:val="4F6B02B8"/>
    <w:rsid w:val="4F72409C"/>
    <w:rsid w:val="4FA43165"/>
    <w:rsid w:val="4FA9473B"/>
    <w:rsid w:val="4FB6214D"/>
    <w:rsid w:val="4FFA2095"/>
    <w:rsid w:val="50645753"/>
    <w:rsid w:val="50A93BA8"/>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50431D5"/>
    <w:rsid w:val="551D6AF9"/>
    <w:rsid w:val="559B2B5F"/>
    <w:rsid w:val="55A60ADC"/>
    <w:rsid w:val="55D857C5"/>
    <w:rsid w:val="55FB6388"/>
    <w:rsid w:val="56253A26"/>
    <w:rsid w:val="5638334C"/>
    <w:rsid w:val="56780FF9"/>
    <w:rsid w:val="56870578"/>
    <w:rsid w:val="569241C0"/>
    <w:rsid w:val="56944288"/>
    <w:rsid w:val="56A33B67"/>
    <w:rsid w:val="56A40E03"/>
    <w:rsid w:val="56E20A0E"/>
    <w:rsid w:val="5712602C"/>
    <w:rsid w:val="5737516A"/>
    <w:rsid w:val="57431AE0"/>
    <w:rsid w:val="57730A91"/>
    <w:rsid w:val="5780384C"/>
    <w:rsid w:val="57A27BD5"/>
    <w:rsid w:val="57C762A2"/>
    <w:rsid w:val="5812512F"/>
    <w:rsid w:val="587179A2"/>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4E0A2D"/>
    <w:rsid w:val="5C524815"/>
    <w:rsid w:val="5C64452B"/>
    <w:rsid w:val="5C7719CE"/>
    <w:rsid w:val="5C8E79BD"/>
    <w:rsid w:val="5CA6604A"/>
    <w:rsid w:val="5D2719C9"/>
    <w:rsid w:val="5D285026"/>
    <w:rsid w:val="5D5C0E3F"/>
    <w:rsid w:val="5D5E619D"/>
    <w:rsid w:val="5D697358"/>
    <w:rsid w:val="5D747A99"/>
    <w:rsid w:val="5D9249ED"/>
    <w:rsid w:val="5D9B1B67"/>
    <w:rsid w:val="5DA1646B"/>
    <w:rsid w:val="5DD7329D"/>
    <w:rsid w:val="5DDC5DDB"/>
    <w:rsid w:val="5DF04FFA"/>
    <w:rsid w:val="5E063C72"/>
    <w:rsid w:val="5E19167C"/>
    <w:rsid w:val="5E3C01D4"/>
    <w:rsid w:val="5E6F443D"/>
    <w:rsid w:val="5E70354F"/>
    <w:rsid w:val="5E8C7523"/>
    <w:rsid w:val="5E94632E"/>
    <w:rsid w:val="5E9C2B92"/>
    <w:rsid w:val="5EB82786"/>
    <w:rsid w:val="5EB94C72"/>
    <w:rsid w:val="5F111534"/>
    <w:rsid w:val="5F2541B1"/>
    <w:rsid w:val="5F804106"/>
    <w:rsid w:val="5F8E0C9A"/>
    <w:rsid w:val="5FBC6FFC"/>
    <w:rsid w:val="5FD91B32"/>
    <w:rsid w:val="5FDE3D1C"/>
    <w:rsid w:val="5FEB36B0"/>
    <w:rsid w:val="60070235"/>
    <w:rsid w:val="60247960"/>
    <w:rsid w:val="60337FBD"/>
    <w:rsid w:val="60557909"/>
    <w:rsid w:val="608B596D"/>
    <w:rsid w:val="60B20DDE"/>
    <w:rsid w:val="60CF6017"/>
    <w:rsid w:val="60EC58A1"/>
    <w:rsid w:val="60F765D6"/>
    <w:rsid w:val="614A193E"/>
    <w:rsid w:val="618B425B"/>
    <w:rsid w:val="619B0A4D"/>
    <w:rsid w:val="61BC5698"/>
    <w:rsid w:val="61C05E29"/>
    <w:rsid w:val="61E220CA"/>
    <w:rsid w:val="621F3A28"/>
    <w:rsid w:val="622919DE"/>
    <w:rsid w:val="623817CD"/>
    <w:rsid w:val="625671C6"/>
    <w:rsid w:val="626D5F1F"/>
    <w:rsid w:val="628D5A05"/>
    <w:rsid w:val="629635F2"/>
    <w:rsid w:val="62B26831"/>
    <w:rsid w:val="62DB156F"/>
    <w:rsid w:val="62E35C5C"/>
    <w:rsid w:val="6308602C"/>
    <w:rsid w:val="63655BF1"/>
    <w:rsid w:val="6381414F"/>
    <w:rsid w:val="63901C9C"/>
    <w:rsid w:val="63A6496D"/>
    <w:rsid w:val="63A83FEC"/>
    <w:rsid w:val="63D92053"/>
    <w:rsid w:val="63DD027A"/>
    <w:rsid w:val="63E37B79"/>
    <w:rsid w:val="63FC1B88"/>
    <w:rsid w:val="64035403"/>
    <w:rsid w:val="6439007D"/>
    <w:rsid w:val="644D4301"/>
    <w:rsid w:val="6477289B"/>
    <w:rsid w:val="648578B4"/>
    <w:rsid w:val="649176C0"/>
    <w:rsid w:val="64987293"/>
    <w:rsid w:val="649E57C1"/>
    <w:rsid w:val="64A11F98"/>
    <w:rsid w:val="64B9138C"/>
    <w:rsid w:val="64D442AC"/>
    <w:rsid w:val="650401CF"/>
    <w:rsid w:val="65205814"/>
    <w:rsid w:val="653D52DC"/>
    <w:rsid w:val="655373D5"/>
    <w:rsid w:val="659D048D"/>
    <w:rsid w:val="659D4F4E"/>
    <w:rsid w:val="65A300A1"/>
    <w:rsid w:val="65DB5C3D"/>
    <w:rsid w:val="65DC330D"/>
    <w:rsid w:val="666631F7"/>
    <w:rsid w:val="66780DEE"/>
    <w:rsid w:val="668E1E21"/>
    <w:rsid w:val="66926F8C"/>
    <w:rsid w:val="66966882"/>
    <w:rsid w:val="66AB117E"/>
    <w:rsid w:val="66BD2286"/>
    <w:rsid w:val="66F269C9"/>
    <w:rsid w:val="67285BDC"/>
    <w:rsid w:val="67C1521F"/>
    <w:rsid w:val="67FB2FC2"/>
    <w:rsid w:val="6838125F"/>
    <w:rsid w:val="684E7153"/>
    <w:rsid w:val="68942469"/>
    <w:rsid w:val="689A4745"/>
    <w:rsid w:val="68A270B1"/>
    <w:rsid w:val="69522C18"/>
    <w:rsid w:val="69560D87"/>
    <w:rsid w:val="69624B7D"/>
    <w:rsid w:val="69A85914"/>
    <w:rsid w:val="69B54893"/>
    <w:rsid w:val="69F0666F"/>
    <w:rsid w:val="69FA018D"/>
    <w:rsid w:val="6A0D5B9B"/>
    <w:rsid w:val="6A25465E"/>
    <w:rsid w:val="6A572716"/>
    <w:rsid w:val="6A87076D"/>
    <w:rsid w:val="6A9454E3"/>
    <w:rsid w:val="6ACF2D0F"/>
    <w:rsid w:val="6AFC0247"/>
    <w:rsid w:val="6AFC23BD"/>
    <w:rsid w:val="6B287CCA"/>
    <w:rsid w:val="6B37191E"/>
    <w:rsid w:val="6BA33D44"/>
    <w:rsid w:val="6BDA30FF"/>
    <w:rsid w:val="6C4068D5"/>
    <w:rsid w:val="6C8568B5"/>
    <w:rsid w:val="6C966E13"/>
    <w:rsid w:val="6CB00C5D"/>
    <w:rsid w:val="6CF84967"/>
    <w:rsid w:val="6D0441AB"/>
    <w:rsid w:val="6D4150D0"/>
    <w:rsid w:val="6D481945"/>
    <w:rsid w:val="6D6650F6"/>
    <w:rsid w:val="6D6D32A5"/>
    <w:rsid w:val="6D7B403E"/>
    <w:rsid w:val="6D96704E"/>
    <w:rsid w:val="6DEC7B87"/>
    <w:rsid w:val="6E0B401F"/>
    <w:rsid w:val="6E1119D2"/>
    <w:rsid w:val="6EF06A3A"/>
    <w:rsid w:val="6F231086"/>
    <w:rsid w:val="6F2C1077"/>
    <w:rsid w:val="6F4412DE"/>
    <w:rsid w:val="6FB01FF6"/>
    <w:rsid w:val="6FE27E45"/>
    <w:rsid w:val="702D3037"/>
    <w:rsid w:val="70854008"/>
    <w:rsid w:val="70EE0B58"/>
    <w:rsid w:val="71F327E9"/>
    <w:rsid w:val="722F69F0"/>
    <w:rsid w:val="72525910"/>
    <w:rsid w:val="7272141E"/>
    <w:rsid w:val="729A51BF"/>
    <w:rsid w:val="72B463D3"/>
    <w:rsid w:val="72C31F67"/>
    <w:rsid w:val="730F2443"/>
    <w:rsid w:val="738A19B2"/>
    <w:rsid w:val="74460C31"/>
    <w:rsid w:val="745948C9"/>
    <w:rsid w:val="747814E9"/>
    <w:rsid w:val="74782083"/>
    <w:rsid w:val="7499444F"/>
    <w:rsid w:val="749A2782"/>
    <w:rsid w:val="74A56E11"/>
    <w:rsid w:val="74B77444"/>
    <w:rsid w:val="74F00783"/>
    <w:rsid w:val="74F21A8E"/>
    <w:rsid w:val="75092D2E"/>
    <w:rsid w:val="751F35C6"/>
    <w:rsid w:val="752673FA"/>
    <w:rsid w:val="75445278"/>
    <w:rsid w:val="755743E2"/>
    <w:rsid w:val="755A18B2"/>
    <w:rsid w:val="756D2420"/>
    <w:rsid w:val="75930F9E"/>
    <w:rsid w:val="75D33B60"/>
    <w:rsid w:val="75EB0030"/>
    <w:rsid w:val="767A1884"/>
    <w:rsid w:val="7681376B"/>
    <w:rsid w:val="76F8148F"/>
    <w:rsid w:val="771405C6"/>
    <w:rsid w:val="77186802"/>
    <w:rsid w:val="77244002"/>
    <w:rsid w:val="7759121E"/>
    <w:rsid w:val="778C19C1"/>
    <w:rsid w:val="77DE7388"/>
    <w:rsid w:val="78123276"/>
    <w:rsid w:val="781B6350"/>
    <w:rsid w:val="783F252C"/>
    <w:rsid w:val="78661D77"/>
    <w:rsid w:val="787542C9"/>
    <w:rsid w:val="787C4A52"/>
    <w:rsid w:val="787C6D8C"/>
    <w:rsid w:val="787D1A38"/>
    <w:rsid w:val="78833D88"/>
    <w:rsid w:val="78C70562"/>
    <w:rsid w:val="792279DB"/>
    <w:rsid w:val="7927758E"/>
    <w:rsid w:val="797C1AA1"/>
    <w:rsid w:val="7A934CC7"/>
    <w:rsid w:val="7AB93CAD"/>
    <w:rsid w:val="7ADD5745"/>
    <w:rsid w:val="7AFB7263"/>
    <w:rsid w:val="7B062FF2"/>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977ED0"/>
    <w:rsid w:val="7CF32D47"/>
    <w:rsid w:val="7CF47DC4"/>
    <w:rsid w:val="7D2D7E4F"/>
    <w:rsid w:val="7D3D1C6F"/>
    <w:rsid w:val="7D6C3E9B"/>
    <w:rsid w:val="7D703C18"/>
    <w:rsid w:val="7D70416C"/>
    <w:rsid w:val="7D7D2444"/>
    <w:rsid w:val="7DB53173"/>
    <w:rsid w:val="7DBD0485"/>
    <w:rsid w:val="7DC17AA5"/>
    <w:rsid w:val="7E3F400C"/>
    <w:rsid w:val="7E3F5C67"/>
    <w:rsid w:val="7E485A8B"/>
    <w:rsid w:val="7E710432"/>
    <w:rsid w:val="7E784FFE"/>
    <w:rsid w:val="7E835EDA"/>
    <w:rsid w:val="7F0D36A8"/>
    <w:rsid w:val="7F0D6F9B"/>
    <w:rsid w:val="7F267E5E"/>
    <w:rsid w:val="7F511034"/>
    <w:rsid w:val="7FB12B06"/>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20"/>
    <w:link w:val="118"/>
    <w:qFormat/>
    <w:uiPriority w:val="99"/>
    <w:pPr>
      <w:spacing w:after="120"/>
    </w:pPr>
  </w:style>
  <w:style w:type="paragraph" w:customStyle="1" w:styleId="2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21">
    <w:name w:val="Body Text Indent"/>
    <w:basedOn w:val="1"/>
    <w:link w:val="98"/>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7"/>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40"/>
    <w:qFormat/>
    <w:uiPriority w:val="0"/>
    <w:rPr>
      <w:rFonts w:ascii="Calibri" w:hAnsi="Calibri" w:cs="黑体"/>
      <w:sz w:val="24"/>
      <w:szCs w:val="22"/>
    </w:rPr>
  </w:style>
  <w:style w:type="paragraph" w:styleId="29">
    <w:name w:val="Body Text Indent 2"/>
    <w:basedOn w:val="1"/>
    <w:link w:val="102"/>
    <w:qFormat/>
    <w:uiPriority w:val="0"/>
    <w:pPr>
      <w:spacing w:after="120" w:line="480" w:lineRule="auto"/>
      <w:ind w:left="420" w:leftChars="200"/>
    </w:pPr>
  </w:style>
  <w:style w:type="paragraph" w:styleId="30">
    <w:name w:val="Balloon Text"/>
    <w:basedOn w:val="1"/>
    <w:link w:val="97"/>
    <w:qFormat/>
    <w:uiPriority w:val="0"/>
    <w:rPr>
      <w:rFonts w:ascii="Calibri" w:hAnsi="Calibri" w:cs="黑体"/>
      <w:sz w:val="18"/>
      <w:szCs w:val="18"/>
    </w:rPr>
  </w:style>
  <w:style w:type="paragraph" w:styleId="31">
    <w:name w:val="footer"/>
    <w:basedOn w:val="1"/>
    <w:link w:val="63"/>
    <w:unhideWhenUsed/>
    <w:qFormat/>
    <w:uiPriority w:val="0"/>
    <w:pPr>
      <w:tabs>
        <w:tab w:val="center" w:pos="4153"/>
        <w:tab w:val="right" w:pos="8306"/>
      </w:tabs>
      <w:snapToGrid w:val="0"/>
      <w:jc w:val="left"/>
    </w:pPr>
    <w:rPr>
      <w:sz w:val="18"/>
      <w:szCs w:val="18"/>
    </w:rPr>
  </w:style>
  <w:style w:type="paragraph" w:styleId="32">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5"/>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3"/>
    <w:qFormat/>
    <w:uiPriority w:val="0"/>
    <w:pPr>
      <w:spacing w:after="120" w:line="480" w:lineRule="auto"/>
    </w:p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1"/>
    <w:qFormat/>
    <w:uiPriority w:val="0"/>
    <w:pPr>
      <w:spacing w:before="240" w:after="60"/>
      <w:jc w:val="center"/>
      <w:outlineLvl w:val="0"/>
    </w:pPr>
    <w:rPr>
      <w:rFonts w:ascii="Cambria" w:hAnsi="Cambria"/>
      <w:b/>
      <w:sz w:val="32"/>
    </w:rPr>
  </w:style>
  <w:style w:type="paragraph" w:styleId="45">
    <w:name w:val="annotation subject"/>
    <w:basedOn w:val="16"/>
    <w:next w:val="16"/>
    <w:link w:val="87"/>
    <w:qFormat/>
    <w:uiPriority w:val="0"/>
    <w:rPr>
      <w:rFonts w:ascii="Calibri" w:hAnsi="Calibri" w:cs="黑体"/>
      <w:b/>
      <w:bCs/>
    </w:rPr>
  </w:style>
  <w:style w:type="paragraph" w:styleId="46">
    <w:name w:val="Body Text First Indent"/>
    <w:basedOn w:val="19"/>
    <w:link w:val="176"/>
    <w:unhideWhenUsed/>
    <w:qFormat/>
    <w:uiPriority w:val="0"/>
    <w:pPr>
      <w:spacing w:line="500" w:lineRule="exact"/>
      <w:ind w:firstLine="420" w:firstLineChars="2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2"/>
    <w:qFormat/>
    <w:uiPriority w:val="0"/>
    <w:rPr>
      <w:sz w:val="18"/>
      <w:szCs w:val="18"/>
    </w:rPr>
  </w:style>
  <w:style w:type="character" w:customStyle="1" w:styleId="63">
    <w:name w:val="页脚 字符"/>
    <w:basedOn w:val="49"/>
    <w:link w:val="31"/>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40"/>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5"/>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30"/>
    <w:qFormat/>
    <w:locked/>
    <w:uiPriority w:val="0"/>
    <w:rPr>
      <w:rFonts w:ascii="Calibri" w:hAnsi="Calibri" w:eastAsia="宋体" w:cs="黑体"/>
      <w:sz w:val="18"/>
      <w:szCs w:val="18"/>
    </w:rPr>
  </w:style>
  <w:style w:type="character" w:customStyle="1" w:styleId="98">
    <w:name w:val="正文文本缩进 字符"/>
    <w:basedOn w:val="49"/>
    <w:link w:val="21"/>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4"/>
    <w:qFormat/>
    <w:uiPriority w:val="0"/>
    <w:rPr>
      <w:rFonts w:ascii="Cambria" w:hAnsi="Cambria" w:eastAsia="宋体" w:cs="Times New Roman"/>
      <w:b/>
      <w:sz w:val="32"/>
      <w:szCs w:val="24"/>
    </w:rPr>
  </w:style>
  <w:style w:type="character" w:customStyle="1" w:styleId="102">
    <w:name w:val="正文文本缩进 2 字符"/>
    <w:basedOn w:val="49"/>
    <w:link w:val="29"/>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6"/>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1"/>
    <w:qFormat/>
    <w:uiPriority w:val="0"/>
    <w:rPr>
      <w:rFonts w:ascii="Arial" w:hAnsi="Arial" w:eastAsia="宋体" w:cs="Arial"/>
      <w:kern w:val="0"/>
      <w:sz w:val="24"/>
      <w:szCs w:val="24"/>
    </w:rPr>
  </w:style>
  <w:style w:type="character" w:customStyle="1" w:styleId="115">
    <w:name w:val="称呼 字符"/>
    <w:basedOn w:val="49"/>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7"/>
    <w:qFormat/>
    <w:uiPriority w:val="0"/>
    <w:rPr>
      <w:rFonts w:ascii="Calibri" w:hAnsi="Calibri" w:eastAsia="宋体" w:cs="黑体"/>
      <w:sz w:val="16"/>
      <w:szCs w:val="16"/>
    </w:rPr>
  </w:style>
  <w:style w:type="character" w:customStyle="1" w:styleId="126">
    <w:name w:val="副标题 字符"/>
    <w:basedOn w:val="49"/>
    <w:link w:val="35"/>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8"/>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6"/>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1"/>
    <w:link w:val="365"/>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4"/>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link w:val="364"/>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10"/>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5"/>
    <w:link w:val="366"/>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9"/>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9"/>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9"/>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9"/>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标题 1 1 Char"/>
    <w:link w:val="246"/>
    <w:qFormat/>
    <w:uiPriority w:val="0"/>
    <w:rPr>
      <w:rFonts w:ascii="Calibri" w:hAnsi="Calibri" w:cs="黑体"/>
      <w:b/>
      <w:kern w:val="2"/>
      <w:sz w:val="24"/>
      <w:szCs w:val="22"/>
    </w:rPr>
  </w:style>
  <w:style w:type="character" w:customStyle="1" w:styleId="365">
    <w:name w:val="列表编号3 Char"/>
    <w:link w:val="208"/>
    <w:qFormat/>
    <w:uiPriority w:val="0"/>
    <w:rPr>
      <w:rFonts w:ascii="宋体" w:hAnsi="宋体"/>
      <w:snapToGrid w:val="0"/>
      <w:sz w:val="24"/>
      <w:szCs w:val="24"/>
    </w:rPr>
  </w:style>
  <w:style w:type="character" w:customStyle="1" w:styleId="366">
    <w:name w:val="标题 1.1 Char"/>
    <w:link w:val="272"/>
    <w:qFormat/>
    <w:uiPriority w:val="0"/>
    <w:rPr>
      <w:rFonts w:ascii="宋体" w:hAnsi="宋体"/>
      <w:b/>
      <w:snapToGrid w:val="0"/>
      <w:sz w:val="28"/>
      <w:szCs w:val="22"/>
    </w:rPr>
  </w:style>
  <w:style w:type="paragraph" w:customStyle="1" w:styleId="367">
    <w:name w:val="正文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8">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9">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0">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1">
    <w:name w:val="正文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2">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3">
    <w:name w:val="正文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4">
    <w:name w:val="正文_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5">
    <w:name w:val="正文_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6">
    <w:name w:val="正文_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7">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8">
    <w:name w:val="正文_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9">
    <w:name w:val="正文_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0">
    <w:name w:val="正文_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1">
    <w:name w:val="正文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2">
    <w:name w:val="正文_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3">
    <w:name w:val="正文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4">
    <w:name w:val="正文_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5">
    <w:name w:val="正文_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6">
    <w:name w:val="正文_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7">
    <w:name w:val="正文_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8">
    <w:name w:val="正文_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9">
    <w:name w:val="正文_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0">
    <w:name w:val="正文_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正文_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2">
    <w:name w:val="正文_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3">
    <w:name w:val="正文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4">
    <w:name w:val="正文_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5">
    <w:name w:val="正文_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正文_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7">
    <w:name w:val="正文_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8">
    <w:name w:val="正文_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9">
    <w:name w:val="正文_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0">
    <w:name w:val="正文_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1">
    <w:name w:val="正文_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2">
    <w:name w:val="正文_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3">
    <w:name w:val="正文_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4">
    <w:name w:val="正文_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5">
    <w:name w:val="正文_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6">
    <w:name w:val="正文_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7">
    <w:name w:val="正文_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8">
    <w:name w:val="正文_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9">
    <w:name w:val="正文_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0">
    <w:name w:val="正文_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1">
    <w:name w:val="正文_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2">
    <w:name w:val="正文_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3">
    <w:name w:val="正文_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4">
    <w:name w:val="正文_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5">
    <w:name w:val="正文_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6">
    <w:name w:val="正文_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7">
    <w:name w:val="正文_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8">
    <w:name w:val="正文_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9">
    <w:name w:val="正文_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0">
    <w:name w:val="正文_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1">
    <w:name w:val="正文_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2">
    <w:name w:val="正文_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3">
    <w:name w:val="正文_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4">
    <w:name w:val="正文_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5">
    <w:name w:val="正文_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6">
    <w:name w:val="正文_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7">
    <w:name w:val="正文_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8">
    <w:name w:val="正文_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9">
    <w:name w:val="正文_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0">
    <w:name w:val="正文_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1">
    <w:name w:val="正文_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2">
    <w:name w:val="正文_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3">
    <w:name w:val="正文_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4">
    <w:name w:val="正文_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5">
    <w:name w:val="正文_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6">
    <w:name w:val="正文_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7">
    <w:name w:val="正文_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8">
    <w:name w:val="正文_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9">
    <w:name w:val="正文_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0">
    <w:name w:val="正文_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1">
    <w:name w:val="正文_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2">
    <w:name w:val="正文_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3">
    <w:name w:val="正文_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4">
    <w:name w:val="正文_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5">
    <w:name w:val="正文_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6">
    <w:name w:val="正文_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7">
    <w:name w:val="正文_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8">
    <w:name w:val="正文_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9">
    <w:name w:val="正文_1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0">
    <w:name w:val="正文_1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1">
    <w:name w:val="正文_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2">
    <w:name w:val="正文_1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3">
    <w:name w:val="正文_1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4">
    <w:name w:val="正文_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5">
    <w:name w:val="正文_1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6">
    <w:name w:val="正文_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7">
    <w:name w:val="正文_1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8">
    <w:name w:val="正文_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9">
    <w:name w:val="正文_1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0">
    <w:name w:val="正文_1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1">
    <w:name w:val="正文_1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2">
    <w:name w:val="正文_1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3">
    <w:name w:val="正文_1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4">
    <w:name w:val="正文_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5">
    <w:name w:val="正文_1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6">
    <w:name w:val="正文_1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7">
    <w:name w:val="正文_1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8">
    <w:name w:val="正文_1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9">
    <w:name w:val="正文_1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0">
    <w:name w:val="正文_1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1">
    <w:name w:val="正文_1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2">
    <w:name w:val="正文_1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3">
    <w:name w:val="正文_1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4">
    <w:name w:val="正文_1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5">
    <w:name w:val="正文_1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6">
    <w:name w:val="正文_1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7">
    <w:name w:val="正文_1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8">
    <w:name w:val="正文_1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9">
    <w:name w:val="正文_1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0">
    <w:name w:val="正文_1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1">
    <w:name w:val="正文_1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2">
    <w:name w:val="正文_1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3">
    <w:name w:val="正文_1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4">
    <w:name w:val="正文_1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5">
    <w:name w:val="正文_1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6">
    <w:name w:val="正文_1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7">
    <w:name w:val="正文_1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8">
    <w:name w:val="正文_1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9">
    <w:name w:val="正文_1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0">
    <w:name w:val="正文_1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1">
    <w:name w:val="正文_1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2">
    <w:name w:val="正文_1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3">
    <w:name w:val="正文_1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4">
    <w:name w:val="正文_1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5">
    <w:name w:val="正文_1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6">
    <w:name w:val="正文_1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1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正文_1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9">
    <w:name w:val="正文_1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0">
    <w:name w:val="正文_1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_1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_1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_1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正文_1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5">
    <w:name w:val="正文_1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6">
    <w:name w:val="正文_1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正文_1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正文_1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0">
    <w:name w:val="正文_1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正文_1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2">
    <w:name w:val="正文_1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正文_1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正文_1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5">
    <w:name w:val="正文_1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6">
    <w:name w:val="正文_1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7">
    <w:name w:val="正文_1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8">
    <w:name w:val="正文_1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9">
    <w:name w:val="正文_1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0">
    <w:name w:val="正文_1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1">
    <w:name w:val="正文_1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2">
    <w:name w:val="正文_1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3">
    <w:name w:val="正文_1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4">
    <w:name w:val="正文_1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正文_1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正文_1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正文_1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正文_1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正文_1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0">
    <w:name w:val="正文_1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_1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正文_1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正文_1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正文_1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正文_188"/>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EFEA8-96A1-4F69-9B74-7432A07B6427}">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2010</Words>
  <Characters>11461</Characters>
  <Lines>95</Lines>
  <Paragraphs>26</Paragraphs>
  <TotalTime>8</TotalTime>
  <ScaleCrop>false</ScaleCrop>
  <LinksUpToDate>false</LinksUpToDate>
  <CharactersWithSpaces>13445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2019-09-11T08:04:00Z</dcterms:created>
  <dc:creator>李 毅</dc:creator>
  <cp:lastModifiedBy>Administrator</cp:lastModifiedBy>
  <cp:lastPrinted>2021-12-09T02:26:00Z</cp:lastPrinted>
  <dcterms:modified xsi:type="dcterms:W3CDTF">2021-12-23T07:47:23Z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DD6375726319417EBF7C42F7D34727F9</vt:lpwstr>
  </property>
</Properties>
</file>