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int="eastAsia" w:ascii="宋体" w:hAnsi="宋体" w:eastAsia="宋体" w:cs="宋体"/>
          <w:b/>
          <w:color w:val="auto"/>
          <w:sz w:val="52"/>
          <w:szCs w:val="52"/>
        </w:rPr>
      </w:pPr>
    </w:p>
    <w:p>
      <w:pPr>
        <w:pStyle w:val="25"/>
        <w:jc w:val="center"/>
        <w:rPr>
          <w:rFonts w:hint="eastAsia" w:ascii="宋体" w:hAnsi="宋体" w:eastAsia="宋体" w:cs="宋体"/>
          <w:b/>
          <w:bCs/>
          <w:color w:val="auto"/>
          <w:sz w:val="52"/>
          <w:szCs w:val="52"/>
        </w:rPr>
      </w:pPr>
      <w:r>
        <w:rPr>
          <w:rFonts w:hint="eastAsia" w:ascii="宋体" w:hAnsi="宋体" w:eastAsia="宋体" w:cs="宋体"/>
          <w:b/>
          <w:color w:val="auto"/>
          <w:sz w:val="52"/>
          <w:szCs w:val="52"/>
        </w:rPr>
        <w:t>长沙市轨道交通运营有限公司</w:t>
      </w:r>
    </w:p>
    <w:p>
      <w:pPr>
        <w:pStyle w:val="25"/>
        <w:adjustRightInd w:val="0"/>
        <w:snapToGrid w:val="0"/>
        <w:spacing w:line="360" w:lineRule="auto"/>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自主竞争性谈判文件</w:t>
      </w:r>
    </w:p>
    <w:p>
      <w:pPr>
        <w:pStyle w:val="25"/>
        <w:adjustRightInd w:val="0"/>
        <w:snapToGrid w:val="0"/>
        <w:spacing w:before="120" w:beforeLines="50" w:line="360" w:lineRule="auto"/>
        <w:rPr>
          <w:rFonts w:hint="eastAsia" w:ascii="宋体" w:hAnsi="宋体" w:eastAsia="宋体" w:cs="宋体"/>
          <w:b/>
          <w:color w:val="auto"/>
          <w:sz w:val="32"/>
          <w:szCs w:val="32"/>
        </w:rPr>
      </w:pPr>
    </w:p>
    <w:p>
      <w:pPr>
        <w:pStyle w:val="25"/>
        <w:adjustRightInd w:val="0"/>
        <w:snapToGrid w:val="0"/>
        <w:spacing w:line="360" w:lineRule="auto"/>
        <w:rPr>
          <w:rFonts w:hint="eastAsia" w:ascii="宋体" w:hAnsi="宋体" w:eastAsia="宋体" w:cs="宋体"/>
          <w:color w:val="auto"/>
          <w:sz w:val="32"/>
          <w:szCs w:val="32"/>
        </w:rPr>
      </w:pPr>
    </w:p>
    <w:p>
      <w:pPr>
        <w:pStyle w:val="25"/>
        <w:adjustRightInd w:val="0"/>
        <w:snapToGrid w:val="0"/>
        <w:spacing w:line="360" w:lineRule="auto"/>
        <w:ind w:left="3208" w:leftChars="304" w:hanging="2570" w:hangingChars="800"/>
        <w:rPr>
          <w:rFonts w:hint="eastAsia" w:ascii="宋体" w:hAnsi="宋体" w:eastAsia="宋体" w:cs="宋体"/>
          <w:b/>
          <w:bCs w:val="0"/>
          <w:color w:val="auto"/>
          <w:sz w:val="32"/>
          <w:szCs w:val="21"/>
          <w:u w:val="single"/>
          <w:lang w:eastAsia="zh-CN"/>
        </w:rPr>
      </w:pPr>
      <w:r>
        <w:rPr>
          <w:rFonts w:hint="eastAsia" w:ascii="宋体" w:hAnsi="宋体" w:eastAsia="宋体" w:cs="宋体"/>
          <w:b/>
          <w:bCs w:val="0"/>
          <w:color w:val="auto"/>
          <w:sz w:val="32"/>
          <w:szCs w:val="21"/>
        </w:rPr>
        <w:t>谈判项目名称：</w:t>
      </w:r>
      <w:r>
        <w:rPr>
          <w:rFonts w:hint="eastAsia" w:ascii="宋体" w:hAnsi="宋体" w:eastAsia="宋体" w:cs="宋体"/>
          <w:b/>
          <w:bCs w:val="0"/>
          <w:color w:val="auto"/>
          <w:sz w:val="32"/>
          <w:szCs w:val="21"/>
          <w:u w:val="single"/>
          <w:lang w:eastAsia="zh-CN"/>
        </w:rPr>
        <w:t>长沙市轨道交通1、2、3、4号线运营期车辆</w:t>
      </w:r>
    </w:p>
    <w:p>
      <w:pPr>
        <w:pStyle w:val="25"/>
        <w:adjustRightInd w:val="0"/>
        <w:snapToGrid w:val="0"/>
        <w:spacing w:line="360" w:lineRule="auto"/>
        <w:ind w:firstLine="2891" w:firstLineChars="900"/>
        <w:rPr>
          <w:rFonts w:hint="eastAsia" w:hAnsi="宋体" w:cs="宋体"/>
          <w:b/>
          <w:bCs w:val="0"/>
          <w:color w:val="auto"/>
          <w:sz w:val="32"/>
          <w:u w:val="single"/>
          <w:lang w:eastAsia="zh-CN"/>
        </w:rPr>
      </w:pPr>
      <w:r>
        <w:rPr>
          <w:rFonts w:hint="eastAsia" w:ascii="宋体" w:hAnsi="宋体" w:eastAsia="宋体" w:cs="宋体"/>
          <w:b/>
          <w:bCs w:val="0"/>
          <w:color w:val="auto"/>
          <w:sz w:val="32"/>
          <w:szCs w:val="21"/>
          <w:u w:val="single"/>
          <w:lang w:eastAsia="zh-CN"/>
        </w:rPr>
        <w:t>段场加装遮阳棚改造工程项目</w:t>
      </w:r>
      <w:r>
        <w:rPr>
          <w:rFonts w:hint="eastAsia" w:hAnsi="宋体" w:cs="宋体"/>
          <w:b/>
          <w:bCs w:val="0"/>
          <w:color w:val="auto"/>
          <w:sz w:val="32"/>
          <w:szCs w:val="21"/>
          <w:u w:val="single"/>
          <w:lang w:eastAsia="zh-CN"/>
        </w:rPr>
        <w:t>（第三次）</w:t>
      </w:r>
    </w:p>
    <w:p>
      <w:pPr>
        <w:pStyle w:val="25"/>
        <w:adjustRightInd w:val="0"/>
        <w:snapToGrid w:val="0"/>
        <w:spacing w:line="360" w:lineRule="auto"/>
        <w:ind w:firstLine="2891" w:firstLineChars="900"/>
        <w:rPr>
          <w:rFonts w:hint="eastAsia" w:hAnsi="宋体" w:cs="宋体"/>
          <w:b/>
          <w:bCs w:val="0"/>
          <w:color w:val="auto"/>
          <w:sz w:val="32"/>
          <w:u w:val="single"/>
          <w:lang w:eastAsia="zh-CN"/>
        </w:rPr>
      </w:pPr>
    </w:p>
    <w:p>
      <w:pPr>
        <w:pStyle w:val="25"/>
        <w:adjustRightInd w:val="0"/>
        <w:snapToGrid w:val="0"/>
        <w:spacing w:line="360" w:lineRule="auto"/>
        <w:ind w:firstLine="643" w:firstLineChars="200"/>
        <w:rPr>
          <w:rFonts w:hint="eastAsia" w:ascii="宋体" w:hAnsi="宋体" w:eastAsia="宋体" w:cs="宋体"/>
          <w:b/>
          <w:color w:val="auto"/>
          <w:sz w:val="32"/>
          <w:u w:val="single"/>
        </w:rPr>
      </w:pPr>
      <w:r>
        <w:rPr>
          <w:rFonts w:hint="eastAsia" w:ascii="宋体" w:hAnsi="宋体" w:eastAsia="宋体" w:cs="宋体"/>
          <w:b/>
          <w:bCs w:val="0"/>
          <w:color w:val="auto"/>
          <w:sz w:val="32"/>
        </w:rPr>
        <w:t>采购单位名称：</w:t>
      </w:r>
      <w:r>
        <w:rPr>
          <w:rFonts w:hint="eastAsia" w:ascii="宋体" w:hAnsi="宋体" w:eastAsia="宋体" w:cs="宋体"/>
          <w:b/>
          <w:color w:val="auto"/>
          <w:sz w:val="32"/>
          <w:u w:val="single"/>
        </w:rPr>
        <w:t>长沙市轨道交通</w:t>
      </w:r>
      <w:r>
        <w:rPr>
          <w:rFonts w:hint="eastAsia" w:ascii="宋体" w:hAnsi="宋体" w:eastAsia="宋体" w:cs="宋体"/>
          <w:b/>
          <w:color w:val="auto"/>
          <w:sz w:val="32"/>
          <w:u w:val="single"/>
          <w:lang w:val="en-US" w:eastAsia="zh-CN"/>
        </w:rPr>
        <w:t>一号线建设发展</w:t>
      </w:r>
      <w:r>
        <w:rPr>
          <w:rFonts w:hint="eastAsia" w:ascii="宋体" w:hAnsi="宋体" w:eastAsia="宋体" w:cs="宋体"/>
          <w:b/>
          <w:color w:val="auto"/>
          <w:sz w:val="32"/>
          <w:u w:val="single"/>
        </w:rPr>
        <w:t>有限公司</w:t>
      </w:r>
    </w:p>
    <w:p>
      <w:pPr>
        <w:pStyle w:val="25"/>
        <w:adjustRightInd w:val="0"/>
        <w:snapToGrid w:val="0"/>
        <w:spacing w:line="360" w:lineRule="auto"/>
        <w:ind w:firstLine="2891" w:firstLineChars="900"/>
        <w:rPr>
          <w:rFonts w:hint="eastAsia" w:ascii="宋体" w:hAnsi="宋体" w:eastAsia="宋体" w:cs="宋体"/>
          <w:b/>
          <w:color w:val="auto"/>
          <w:sz w:val="32"/>
          <w:u w:val="single"/>
        </w:rPr>
      </w:pPr>
      <w:r>
        <w:rPr>
          <w:rFonts w:hint="eastAsia" w:ascii="宋体" w:hAnsi="宋体" w:eastAsia="宋体" w:cs="宋体"/>
          <w:b/>
          <w:color w:val="auto"/>
          <w:sz w:val="32"/>
          <w:u w:val="single"/>
        </w:rPr>
        <w:t>长沙市轨道交通运营有限公司</w:t>
      </w:r>
    </w:p>
    <w:p>
      <w:pPr>
        <w:pStyle w:val="25"/>
        <w:adjustRightInd w:val="0"/>
        <w:snapToGrid w:val="0"/>
        <w:spacing w:line="360" w:lineRule="auto"/>
        <w:ind w:firstLine="2891" w:firstLineChars="900"/>
        <w:rPr>
          <w:rFonts w:hint="default" w:ascii="宋体" w:hAnsi="宋体" w:eastAsia="宋体" w:cs="宋体"/>
          <w:b/>
          <w:color w:val="auto"/>
          <w:sz w:val="32"/>
          <w:u w:val="single"/>
          <w:lang w:val="en-US" w:eastAsia="zh-CN"/>
        </w:rPr>
      </w:pPr>
      <w:r>
        <w:rPr>
          <w:rFonts w:hint="eastAsia" w:ascii="宋体" w:hAnsi="宋体" w:eastAsia="宋体" w:cs="宋体"/>
          <w:b/>
          <w:color w:val="auto"/>
          <w:sz w:val="32"/>
          <w:u w:val="single"/>
          <w:lang w:eastAsia="zh-CN"/>
        </w:rPr>
        <w:t>长沙市轨道交通三号线建设发展有限公司</w:t>
      </w:r>
    </w:p>
    <w:p>
      <w:pPr>
        <w:pStyle w:val="25"/>
        <w:adjustRightInd w:val="0"/>
        <w:snapToGrid w:val="0"/>
        <w:spacing w:line="360" w:lineRule="auto"/>
        <w:ind w:firstLine="2891" w:firstLineChars="900"/>
        <w:rPr>
          <w:rFonts w:hint="eastAsia" w:ascii="宋体" w:hAnsi="宋体" w:eastAsia="宋体" w:cs="宋体"/>
          <w:b/>
          <w:color w:val="auto"/>
          <w:sz w:val="32"/>
          <w:u w:val="single"/>
          <w:lang w:eastAsia="zh-CN"/>
        </w:rPr>
      </w:pPr>
      <w:r>
        <w:rPr>
          <w:rFonts w:hint="eastAsia" w:ascii="宋体" w:hAnsi="宋体" w:eastAsia="宋体" w:cs="宋体"/>
          <w:b/>
          <w:color w:val="auto"/>
          <w:sz w:val="32"/>
          <w:u w:val="single"/>
        </w:rPr>
        <w:t>长沙市轨道交通</w:t>
      </w:r>
      <w:r>
        <w:rPr>
          <w:rFonts w:hint="eastAsia" w:ascii="宋体" w:hAnsi="宋体" w:eastAsia="宋体" w:cs="宋体"/>
          <w:b/>
          <w:color w:val="auto"/>
          <w:sz w:val="32"/>
          <w:u w:val="single"/>
          <w:lang w:val="en-US" w:eastAsia="zh-CN"/>
        </w:rPr>
        <w:t>四号线建设发展</w:t>
      </w:r>
      <w:r>
        <w:rPr>
          <w:rFonts w:hint="eastAsia" w:ascii="宋体" w:hAnsi="宋体" w:eastAsia="宋体" w:cs="宋体"/>
          <w:b/>
          <w:color w:val="auto"/>
          <w:sz w:val="32"/>
          <w:u w:val="single"/>
        </w:rPr>
        <w:t>有限公司</w:t>
      </w:r>
    </w:p>
    <w:p>
      <w:pPr>
        <w:pStyle w:val="25"/>
        <w:adjustRightInd w:val="0"/>
        <w:snapToGrid w:val="0"/>
        <w:spacing w:line="360" w:lineRule="auto"/>
        <w:rPr>
          <w:rFonts w:hint="eastAsia" w:hAnsi="宋体" w:cs="宋体"/>
          <w:b/>
          <w:bCs w:val="0"/>
          <w:color w:val="auto"/>
          <w:sz w:val="32"/>
          <w:u w:val="single"/>
          <w:lang w:eastAsia="zh-CN"/>
        </w:rPr>
      </w:pPr>
    </w:p>
    <w:p>
      <w:pPr>
        <w:pStyle w:val="25"/>
        <w:adjustRightInd w:val="0"/>
        <w:snapToGrid w:val="0"/>
        <w:spacing w:line="360" w:lineRule="auto"/>
        <w:ind w:firstLine="643" w:firstLineChars="200"/>
        <w:rPr>
          <w:rFonts w:hint="eastAsia" w:ascii="宋体" w:hAnsi="宋体" w:eastAsia="宋体" w:cs="宋体"/>
          <w:b/>
          <w:bCs w:val="0"/>
          <w:color w:val="auto"/>
          <w:sz w:val="32"/>
          <w:highlight w:val="none"/>
          <w:u w:val="single"/>
        </w:rPr>
      </w:pPr>
      <w:r>
        <w:rPr>
          <w:rFonts w:hint="eastAsia" w:ascii="宋体" w:hAnsi="宋体" w:eastAsia="宋体" w:cs="宋体"/>
          <w:b/>
          <w:bCs w:val="0"/>
          <w:color w:val="auto"/>
          <w:sz w:val="32"/>
        </w:rPr>
        <w:t>谈判项目编号：</w:t>
      </w:r>
      <w:r>
        <w:rPr>
          <w:rFonts w:hint="eastAsia" w:ascii="宋体" w:hAnsi="宋体" w:eastAsia="宋体" w:cs="宋体"/>
          <w:b/>
          <w:bCs w:val="0"/>
          <w:color w:val="auto"/>
          <w:sz w:val="32"/>
          <w:highlight w:val="none"/>
          <w:u w:val="single"/>
        </w:rPr>
        <w:t>长轨运工采【2021】0</w:t>
      </w:r>
      <w:r>
        <w:rPr>
          <w:rFonts w:hint="eastAsia" w:hAnsi="宋体" w:cs="宋体"/>
          <w:b/>
          <w:bCs w:val="0"/>
          <w:color w:val="auto"/>
          <w:sz w:val="32"/>
          <w:highlight w:val="none"/>
          <w:u w:val="single"/>
          <w:lang w:val="en-US" w:eastAsia="zh-CN"/>
        </w:rPr>
        <w:t>05</w:t>
      </w:r>
      <w:r>
        <w:rPr>
          <w:rFonts w:hint="eastAsia" w:ascii="宋体" w:hAnsi="宋体" w:eastAsia="宋体" w:cs="宋体"/>
          <w:b/>
          <w:bCs w:val="0"/>
          <w:color w:val="auto"/>
          <w:sz w:val="32"/>
          <w:highlight w:val="none"/>
          <w:u w:val="single"/>
        </w:rPr>
        <w:t>号</w:t>
      </w:r>
    </w:p>
    <w:p>
      <w:pPr>
        <w:pStyle w:val="25"/>
        <w:adjustRightInd w:val="0"/>
        <w:snapToGrid w:val="0"/>
        <w:spacing w:line="360" w:lineRule="auto"/>
        <w:rPr>
          <w:rFonts w:hint="eastAsia" w:ascii="宋体" w:hAnsi="宋体" w:eastAsia="宋体" w:cs="宋体"/>
          <w:b/>
          <w:color w:val="auto"/>
          <w:sz w:val="32"/>
        </w:rPr>
      </w:pPr>
    </w:p>
    <w:p>
      <w:pPr>
        <w:pStyle w:val="25"/>
        <w:adjustRightInd w:val="0"/>
        <w:snapToGrid w:val="0"/>
        <w:spacing w:line="360" w:lineRule="auto"/>
        <w:rPr>
          <w:rFonts w:hint="eastAsia" w:ascii="宋体" w:hAnsi="宋体" w:eastAsia="宋体" w:cs="宋体"/>
          <w:bCs/>
          <w:color w:val="auto"/>
          <w:sz w:val="32"/>
        </w:rPr>
      </w:pPr>
    </w:p>
    <w:p>
      <w:pPr>
        <w:pStyle w:val="25"/>
        <w:adjustRightInd w:val="0"/>
        <w:snapToGrid w:val="0"/>
        <w:spacing w:line="360" w:lineRule="auto"/>
        <w:jc w:val="center"/>
        <w:rPr>
          <w:rFonts w:hint="eastAsia" w:ascii="宋体" w:hAnsi="宋体" w:eastAsia="宋体" w:cs="宋体"/>
          <w:b/>
          <w:bCs w:val="0"/>
          <w:color w:val="auto"/>
          <w:sz w:val="32"/>
        </w:rPr>
      </w:pPr>
      <w:r>
        <w:rPr>
          <w:rFonts w:hint="eastAsia" w:ascii="宋体" w:hAnsi="宋体" w:eastAsia="宋体" w:cs="宋体"/>
          <w:b/>
          <w:bCs w:val="0"/>
          <w:color w:val="auto"/>
          <w:sz w:val="32"/>
        </w:rPr>
        <w:t>二〇二</w:t>
      </w:r>
      <w:r>
        <w:rPr>
          <w:rFonts w:hint="eastAsia" w:ascii="宋体" w:hAnsi="宋体" w:eastAsia="宋体" w:cs="宋体"/>
          <w:b/>
          <w:bCs w:val="0"/>
          <w:color w:val="auto"/>
          <w:sz w:val="32"/>
          <w:lang w:eastAsia="zh-CN"/>
        </w:rPr>
        <w:t>一</w:t>
      </w:r>
      <w:r>
        <w:rPr>
          <w:rFonts w:hint="eastAsia" w:ascii="宋体" w:hAnsi="宋体" w:eastAsia="宋体" w:cs="宋体"/>
          <w:b/>
          <w:bCs w:val="0"/>
          <w:color w:val="auto"/>
          <w:sz w:val="32"/>
        </w:rPr>
        <w:t>年</w:t>
      </w:r>
      <w:r>
        <w:rPr>
          <w:rFonts w:hint="eastAsia" w:hAnsi="宋体" w:cs="宋体"/>
          <w:b/>
          <w:bCs w:val="0"/>
          <w:color w:val="auto"/>
          <w:sz w:val="32"/>
          <w:lang w:eastAsia="zh-CN"/>
        </w:rPr>
        <w:t>十一</w:t>
      </w:r>
      <w:r>
        <w:rPr>
          <w:rFonts w:hint="eastAsia" w:ascii="宋体" w:hAnsi="宋体" w:eastAsia="宋体" w:cs="宋体"/>
          <w:b/>
          <w:bCs w:val="0"/>
          <w:color w:val="auto"/>
          <w:sz w:val="32"/>
        </w:rPr>
        <w:t>月</w:t>
      </w:r>
    </w:p>
    <w:p>
      <w:pPr>
        <w:pStyle w:val="25"/>
        <w:adjustRightInd w:val="0"/>
        <w:snapToGrid w:val="0"/>
        <w:spacing w:line="360" w:lineRule="auto"/>
        <w:jc w:val="center"/>
        <w:rPr>
          <w:rFonts w:hint="eastAsia" w:ascii="宋体" w:hAnsi="宋体" w:eastAsia="宋体" w:cs="宋体"/>
          <w:b/>
          <w:color w:val="auto"/>
          <w:sz w:val="32"/>
        </w:rPr>
      </w:pPr>
    </w:p>
    <w:p>
      <w:pPr>
        <w:pStyle w:val="25"/>
        <w:adjustRightInd w:val="0"/>
        <w:snapToGrid w:val="0"/>
        <w:spacing w:line="360" w:lineRule="auto"/>
        <w:jc w:val="center"/>
        <w:rPr>
          <w:rFonts w:hint="eastAsia" w:ascii="宋体" w:hAnsi="宋体" w:eastAsia="宋体" w:cs="宋体"/>
          <w:b/>
          <w:color w:val="auto"/>
          <w:sz w:val="32"/>
        </w:rPr>
        <w:sectPr>
          <w:pgSz w:w="11906" w:h="16838"/>
          <w:pgMar w:top="1191" w:right="1417" w:bottom="1191" w:left="1191" w:header="851" w:footer="851" w:gutter="0"/>
          <w:pgNumType w:fmt="decimal" w:start="0"/>
          <w:cols w:space="720" w:num="1"/>
          <w:docGrid w:linePitch="312" w:charSpace="0"/>
        </w:sectPr>
      </w:pPr>
    </w:p>
    <w:p>
      <w:pPr>
        <w:jc w:val="center"/>
        <w:rPr>
          <w:rFonts w:hint="eastAsia" w:ascii="宋体" w:hAnsi="宋体" w:eastAsia="宋体" w:cs="宋体"/>
          <w:b/>
          <w:bCs/>
          <w:color w:val="auto"/>
          <w:sz w:val="32"/>
          <w:szCs w:val="32"/>
        </w:rPr>
      </w:pPr>
      <w:bookmarkStart w:id="0" w:name="_Toc14891064"/>
      <w:r>
        <w:rPr>
          <w:rFonts w:hint="eastAsia" w:ascii="宋体" w:hAnsi="宋体" w:eastAsia="宋体" w:cs="宋体"/>
          <w:b/>
          <w:bCs/>
          <w:color w:val="auto"/>
          <w:sz w:val="32"/>
          <w:szCs w:val="32"/>
        </w:rPr>
        <w:t>目   录</w:t>
      </w:r>
    </w:p>
    <w:p>
      <w:pPr>
        <w:spacing w:line="360" w:lineRule="auto"/>
        <w:jc w:val="center"/>
        <w:rPr>
          <w:rFonts w:hint="eastAsia" w:ascii="宋体" w:hAnsi="宋体" w:eastAsia="宋体" w:cs="宋体"/>
          <w:b/>
          <w:bCs/>
          <w:color w:val="auto"/>
          <w:sz w:val="21"/>
          <w:szCs w:val="21"/>
        </w:rPr>
      </w:pP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"1-2" \h \u </w:instrText>
      </w:r>
      <w:r>
        <w:rPr>
          <w:rFonts w:hint="eastAsia" w:ascii="宋体" w:hAnsi="宋体" w:eastAsia="宋体" w:cs="宋体"/>
          <w:color w:val="auto"/>
          <w:sz w:val="21"/>
          <w:szCs w:val="21"/>
        </w:rPr>
        <w:fldChar w:fldCharType="separate"/>
      </w: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_Toc31018 </w:instrText>
      </w:r>
      <w:r>
        <w:rPr>
          <w:rFonts w:hint="eastAsia" w:ascii="宋体" w:hAnsi="宋体" w:eastAsia="宋体" w:cs="宋体"/>
          <w:szCs w:val="21"/>
        </w:rPr>
        <w:fldChar w:fldCharType="separate"/>
      </w:r>
      <w:r>
        <w:rPr>
          <w:rFonts w:hint="eastAsia" w:ascii="宋体" w:hAnsi="宋体" w:eastAsia="宋体" w:cs="宋体"/>
          <w:szCs w:val="32"/>
        </w:rPr>
        <w:t>第一章  谈判邀请公告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_Toc31018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_Toc22907 </w:instrText>
      </w:r>
      <w:r>
        <w:rPr>
          <w:rFonts w:hint="eastAsia" w:ascii="宋体" w:hAnsi="宋体" w:eastAsia="宋体" w:cs="宋体"/>
          <w:szCs w:val="21"/>
        </w:rPr>
        <w:fldChar w:fldCharType="separate"/>
      </w:r>
      <w:r>
        <w:rPr>
          <w:rFonts w:hint="eastAsia" w:ascii="宋体" w:hAnsi="宋体" w:eastAsia="宋体" w:cs="宋体"/>
          <w:bCs w:val="0"/>
          <w:szCs w:val="32"/>
        </w:rPr>
        <w:t>第二章  谈判须知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_Toc22907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_Toc16397 </w:instrText>
      </w:r>
      <w:r>
        <w:rPr>
          <w:rFonts w:hint="eastAsia" w:ascii="宋体" w:hAnsi="宋体" w:eastAsia="宋体" w:cs="宋体"/>
          <w:szCs w:val="21"/>
        </w:rPr>
        <w:fldChar w:fldCharType="separate"/>
      </w:r>
      <w:r>
        <w:rPr>
          <w:rFonts w:hint="eastAsia" w:ascii="宋体" w:hAnsi="宋体" w:eastAsia="宋体" w:cs="宋体"/>
        </w:rPr>
        <w:t>谈判须知前附表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_Toc16397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_Toc28276 </w:instrText>
      </w:r>
      <w:r>
        <w:rPr>
          <w:rFonts w:hint="eastAsia" w:ascii="宋体" w:hAnsi="宋体" w:eastAsia="宋体" w:cs="宋体"/>
          <w:szCs w:val="21"/>
        </w:rPr>
        <w:fldChar w:fldCharType="separate"/>
      </w:r>
      <w:r>
        <w:rPr>
          <w:rFonts w:hint="eastAsia" w:ascii="宋体" w:hAnsi="宋体" w:eastAsia="宋体" w:cs="宋体"/>
        </w:rPr>
        <w:t>谈判须知正文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_Toc28276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_Toc4826 </w:instrText>
      </w:r>
      <w:r>
        <w:rPr>
          <w:rFonts w:hint="eastAsia" w:ascii="宋体" w:hAnsi="宋体" w:eastAsia="宋体" w:cs="宋体"/>
          <w:szCs w:val="21"/>
        </w:rPr>
        <w:fldChar w:fldCharType="separate"/>
      </w:r>
      <w:r>
        <w:rPr>
          <w:rFonts w:hint="eastAsia" w:ascii="宋体" w:hAnsi="宋体" w:eastAsia="宋体" w:cs="宋体"/>
          <w:szCs w:val="21"/>
        </w:rPr>
        <w:t>一、说明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_Toc4826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_Toc21771 </w:instrText>
      </w:r>
      <w:r>
        <w:rPr>
          <w:rFonts w:hint="eastAsia" w:ascii="宋体" w:hAnsi="宋体" w:eastAsia="宋体" w:cs="宋体"/>
          <w:szCs w:val="21"/>
        </w:rPr>
        <w:fldChar w:fldCharType="separate"/>
      </w:r>
      <w:r>
        <w:rPr>
          <w:rFonts w:hint="eastAsia" w:ascii="宋体" w:hAnsi="宋体" w:eastAsia="宋体" w:cs="宋体"/>
          <w:szCs w:val="21"/>
        </w:rPr>
        <w:t>二、谈判文件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_Toc21771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_Toc1472 </w:instrText>
      </w:r>
      <w:r>
        <w:rPr>
          <w:rFonts w:hint="eastAsia" w:ascii="宋体" w:hAnsi="宋体" w:eastAsia="宋体" w:cs="宋体"/>
          <w:szCs w:val="21"/>
        </w:rPr>
        <w:fldChar w:fldCharType="separate"/>
      </w:r>
      <w:r>
        <w:rPr>
          <w:rFonts w:hint="eastAsia" w:ascii="宋体" w:hAnsi="宋体" w:eastAsia="宋体" w:cs="宋体"/>
          <w:szCs w:val="21"/>
        </w:rPr>
        <w:t>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_Toc1472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_Toc15736 </w:instrText>
      </w:r>
      <w:r>
        <w:rPr>
          <w:rFonts w:hint="eastAsia" w:ascii="宋体" w:hAnsi="宋体" w:eastAsia="宋体" w:cs="宋体"/>
          <w:szCs w:val="21"/>
        </w:rPr>
        <w:fldChar w:fldCharType="separate"/>
      </w:r>
      <w:r>
        <w:rPr>
          <w:rFonts w:hint="eastAsia" w:ascii="宋体" w:hAnsi="宋体" w:eastAsia="宋体" w:cs="宋体"/>
          <w:szCs w:val="21"/>
        </w:rPr>
        <w:t>四、响应文件的递交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_Toc15736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_Toc27066 </w:instrText>
      </w:r>
      <w:r>
        <w:rPr>
          <w:rFonts w:hint="eastAsia" w:ascii="宋体" w:hAnsi="宋体" w:eastAsia="宋体" w:cs="宋体"/>
          <w:szCs w:val="21"/>
        </w:rPr>
        <w:fldChar w:fldCharType="separate"/>
      </w:r>
      <w:r>
        <w:rPr>
          <w:rFonts w:hint="eastAsia" w:ascii="宋体" w:hAnsi="宋体" w:eastAsia="宋体" w:cs="宋体"/>
          <w:szCs w:val="21"/>
        </w:rPr>
        <w:t>五、响应文件的评审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_Toc27066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_Toc6119 </w:instrText>
      </w:r>
      <w:r>
        <w:rPr>
          <w:rFonts w:hint="eastAsia" w:ascii="宋体" w:hAnsi="宋体" w:eastAsia="宋体" w:cs="宋体"/>
          <w:szCs w:val="21"/>
        </w:rPr>
        <w:fldChar w:fldCharType="separate"/>
      </w:r>
      <w:r>
        <w:rPr>
          <w:rFonts w:hint="eastAsia" w:ascii="宋体" w:hAnsi="宋体" w:eastAsia="宋体" w:cs="宋体"/>
          <w:szCs w:val="21"/>
        </w:rPr>
        <w:t>六、响应文件的澄清、说明及补正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_Toc6119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_Toc11509 </w:instrText>
      </w:r>
      <w:r>
        <w:rPr>
          <w:rFonts w:hint="eastAsia" w:ascii="宋体" w:hAnsi="宋体" w:eastAsia="宋体" w:cs="宋体"/>
          <w:szCs w:val="21"/>
        </w:rPr>
        <w:fldChar w:fldCharType="separate"/>
      </w:r>
      <w:r>
        <w:rPr>
          <w:rFonts w:hint="eastAsia" w:ascii="宋体" w:hAnsi="宋体" w:eastAsia="宋体" w:cs="宋体"/>
          <w:szCs w:val="21"/>
        </w:rPr>
        <w:t>七、中选结果与授予合同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_Toc11509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_Toc9657 </w:instrText>
      </w:r>
      <w:r>
        <w:rPr>
          <w:rFonts w:hint="eastAsia" w:ascii="宋体" w:hAnsi="宋体" w:eastAsia="宋体" w:cs="宋体"/>
          <w:szCs w:val="21"/>
        </w:rPr>
        <w:fldChar w:fldCharType="separate"/>
      </w:r>
      <w:r>
        <w:rPr>
          <w:rFonts w:hint="eastAsia" w:ascii="宋体" w:hAnsi="宋体" w:eastAsia="宋体" w:cs="宋体"/>
          <w:szCs w:val="21"/>
        </w:rPr>
        <w:t>八、其他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_Toc9657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_Toc3988 </w:instrText>
      </w:r>
      <w:r>
        <w:rPr>
          <w:rFonts w:hint="eastAsia" w:ascii="宋体" w:hAnsi="宋体" w:eastAsia="宋体" w:cs="宋体"/>
          <w:szCs w:val="21"/>
        </w:rPr>
        <w:fldChar w:fldCharType="separate"/>
      </w:r>
      <w:r>
        <w:rPr>
          <w:rFonts w:hint="eastAsia" w:ascii="宋体" w:hAnsi="宋体" w:eastAsia="宋体" w:cs="宋体"/>
          <w:bCs w:val="0"/>
          <w:szCs w:val="32"/>
        </w:rPr>
        <w:t>第三章  评审办法及标准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_Toc3988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_Toc8642 </w:instrText>
      </w:r>
      <w:r>
        <w:rPr>
          <w:rFonts w:hint="eastAsia" w:ascii="宋体" w:hAnsi="宋体" w:eastAsia="宋体" w:cs="宋体"/>
          <w:szCs w:val="21"/>
        </w:rPr>
        <w:fldChar w:fldCharType="separate"/>
      </w:r>
      <w:r>
        <w:rPr>
          <w:rFonts w:hint="eastAsia" w:ascii="宋体" w:hAnsi="宋体" w:eastAsia="宋体" w:cs="宋体"/>
          <w:bCs w:val="0"/>
          <w:szCs w:val="32"/>
        </w:rPr>
        <w:t>第四章  用户需求书（另册）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_Toc8642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_Toc22376 </w:instrText>
      </w:r>
      <w:r>
        <w:rPr>
          <w:rFonts w:hint="eastAsia" w:ascii="宋体" w:hAnsi="宋体" w:eastAsia="宋体" w:cs="宋体"/>
          <w:szCs w:val="21"/>
        </w:rPr>
        <w:fldChar w:fldCharType="separate"/>
      </w:r>
      <w:r>
        <w:rPr>
          <w:rFonts w:hint="eastAsia" w:ascii="宋体" w:hAnsi="宋体" w:eastAsia="宋体" w:cs="宋体"/>
          <w:bCs w:val="0"/>
          <w:szCs w:val="32"/>
        </w:rPr>
        <w:t>第五章  谈判</w:t>
      </w:r>
      <w:r>
        <w:rPr>
          <w:rFonts w:hint="eastAsia" w:ascii="宋体" w:hAnsi="宋体" w:eastAsia="宋体" w:cs="宋体"/>
          <w:szCs w:val="32"/>
        </w:rPr>
        <w:t>最高限价</w:t>
      </w:r>
      <w:r>
        <w:rPr>
          <w:rFonts w:hint="eastAsia" w:ascii="宋体" w:hAnsi="宋体" w:eastAsia="宋体" w:cs="宋体"/>
          <w:szCs w:val="32"/>
          <w:lang w:eastAsia="zh-CN"/>
        </w:rPr>
        <w:t>（另册）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_Toc22376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_Toc8088 </w:instrText>
      </w:r>
      <w:r>
        <w:rPr>
          <w:rFonts w:hint="eastAsia" w:ascii="宋体" w:hAnsi="宋体" w:eastAsia="宋体" w:cs="宋体"/>
          <w:szCs w:val="21"/>
        </w:rPr>
        <w:fldChar w:fldCharType="separate"/>
      </w:r>
      <w:r>
        <w:rPr>
          <w:rFonts w:hint="eastAsia" w:ascii="宋体" w:hAnsi="宋体" w:eastAsia="宋体" w:cs="宋体"/>
          <w:bCs w:val="0"/>
          <w:szCs w:val="32"/>
        </w:rPr>
        <w:t xml:space="preserve">第六章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合同格式条款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_Toc8088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2"/>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_Toc11318 </w:instrText>
      </w:r>
      <w:r>
        <w:rPr>
          <w:rFonts w:hint="eastAsia" w:ascii="宋体" w:hAnsi="宋体" w:eastAsia="宋体" w:cs="宋体"/>
          <w:szCs w:val="21"/>
        </w:rPr>
        <w:fldChar w:fldCharType="separate"/>
      </w:r>
      <w:r>
        <w:rPr>
          <w:rFonts w:hint="eastAsia" w:ascii="宋体" w:hAnsi="宋体" w:eastAsia="宋体" w:cs="宋体"/>
          <w:szCs w:val="32"/>
        </w:rPr>
        <w:t xml:space="preserve">第七章  </w:t>
      </w:r>
      <w:r>
        <w:rPr>
          <w:rFonts w:hint="eastAsia" w:ascii="宋体" w:hAnsi="宋体" w:eastAsia="宋体" w:cs="宋体"/>
          <w:bCs/>
          <w:szCs w:val="32"/>
        </w:rPr>
        <w:t>响应文件组成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_Toc11318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_Toc28585 </w:instrText>
      </w:r>
      <w:r>
        <w:rPr>
          <w:rFonts w:hint="eastAsia" w:ascii="宋体" w:hAnsi="宋体" w:eastAsia="宋体" w:cs="宋体"/>
          <w:szCs w:val="21"/>
        </w:rPr>
        <w:fldChar w:fldCharType="separate"/>
      </w:r>
      <w:r>
        <w:rPr>
          <w:rFonts w:hint="eastAsia" w:ascii="宋体" w:hAnsi="宋体" w:eastAsia="宋体" w:cs="宋体"/>
          <w:szCs w:val="32"/>
        </w:rPr>
        <w:t>一、谈判承诺书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_Toc28585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_Toc24925 </w:instrText>
      </w:r>
      <w:r>
        <w:rPr>
          <w:rFonts w:hint="eastAsia" w:ascii="宋体" w:hAnsi="宋体" w:eastAsia="宋体" w:cs="宋体"/>
          <w:szCs w:val="21"/>
        </w:rPr>
        <w:fldChar w:fldCharType="separate"/>
      </w:r>
      <w:r>
        <w:rPr>
          <w:rFonts w:hint="eastAsia" w:ascii="宋体" w:hAnsi="宋体" w:eastAsia="宋体" w:cs="宋体"/>
          <w:szCs w:val="32"/>
        </w:rPr>
        <w:t>二、法定代表人身份证明书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_Toc24925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_Toc18823 </w:instrText>
      </w:r>
      <w:r>
        <w:rPr>
          <w:rFonts w:hint="eastAsia" w:ascii="宋体" w:hAnsi="宋体" w:eastAsia="宋体" w:cs="宋体"/>
          <w:szCs w:val="21"/>
        </w:rPr>
        <w:fldChar w:fldCharType="separate"/>
      </w:r>
      <w:r>
        <w:rPr>
          <w:rFonts w:hint="eastAsia" w:ascii="宋体" w:hAnsi="宋体" w:eastAsia="宋体" w:cs="宋体"/>
          <w:szCs w:val="32"/>
        </w:rPr>
        <w:t>三、授权委托书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_Toc18823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_Toc17636 </w:instrText>
      </w:r>
      <w:r>
        <w:rPr>
          <w:rFonts w:hint="eastAsia" w:ascii="宋体" w:hAnsi="宋体" w:eastAsia="宋体" w:cs="宋体"/>
          <w:szCs w:val="21"/>
        </w:rPr>
        <w:fldChar w:fldCharType="separate"/>
      </w:r>
      <w:r>
        <w:rPr>
          <w:rFonts w:hint="eastAsia" w:ascii="宋体" w:hAnsi="宋体" w:eastAsia="宋体" w:cs="宋体"/>
          <w:szCs w:val="32"/>
        </w:rPr>
        <w:t>四、谈判单位资格证明文件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_Toc17636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_Toc13358 </w:instrText>
      </w:r>
      <w:r>
        <w:rPr>
          <w:rFonts w:hint="eastAsia" w:ascii="宋体" w:hAnsi="宋体" w:eastAsia="宋体" w:cs="宋体"/>
          <w:szCs w:val="21"/>
        </w:rPr>
        <w:fldChar w:fldCharType="separate"/>
      </w:r>
      <w:r>
        <w:rPr>
          <w:rFonts w:hint="eastAsia" w:ascii="宋体" w:hAnsi="宋体" w:eastAsia="宋体" w:cs="宋体"/>
          <w:szCs w:val="32"/>
        </w:rPr>
        <w:t>五、不拖欠农民工工资承诺书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_Toc13358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_Toc2911 </w:instrText>
      </w:r>
      <w:r>
        <w:rPr>
          <w:rFonts w:hint="eastAsia" w:ascii="宋体" w:hAnsi="宋体" w:eastAsia="宋体" w:cs="宋体"/>
          <w:szCs w:val="21"/>
        </w:rPr>
        <w:fldChar w:fldCharType="separate"/>
      </w:r>
      <w:r>
        <w:rPr>
          <w:rFonts w:hint="eastAsia" w:ascii="宋体" w:hAnsi="宋体" w:eastAsia="宋体" w:cs="宋体"/>
          <w:szCs w:val="32"/>
          <w:lang w:val="en-US" w:eastAsia="zh-CN"/>
        </w:rPr>
        <w:t>六、报价一览表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_Toc2911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_Toc31505 </w:instrText>
      </w:r>
      <w:r>
        <w:rPr>
          <w:rFonts w:hint="eastAsia" w:ascii="宋体" w:hAnsi="宋体" w:eastAsia="宋体" w:cs="宋体"/>
          <w:szCs w:val="21"/>
        </w:rPr>
        <w:fldChar w:fldCharType="separate"/>
      </w:r>
      <w:r>
        <w:rPr>
          <w:rFonts w:hint="eastAsia" w:ascii="宋体" w:hAnsi="宋体" w:eastAsia="宋体" w:cs="宋体"/>
          <w:szCs w:val="32"/>
        </w:rPr>
        <w:t>七、报价汇总表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_Toc31505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_Toc24283 </w:instrText>
      </w:r>
      <w:r>
        <w:rPr>
          <w:rFonts w:hint="eastAsia" w:ascii="宋体" w:hAnsi="宋体" w:eastAsia="宋体" w:cs="宋体"/>
          <w:szCs w:val="21"/>
        </w:rPr>
        <w:fldChar w:fldCharType="separate"/>
      </w:r>
      <w:r>
        <w:rPr>
          <w:rFonts w:hint="eastAsia" w:ascii="宋体" w:hAnsi="宋体" w:eastAsia="宋体" w:cs="宋体"/>
          <w:szCs w:val="32"/>
        </w:rPr>
        <w:t>八、投标报价表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_Toc24283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color w:val="auto"/>
          <w:szCs w:val="21"/>
        </w:rPr>
        <w:fldChar w:fldCharType="end"/>
      </w:r>
    </w:p>
    <w:p>
      <w:pPr>
        <w:pStyle w:val="37"/>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_Toc8906 </w:instrText>
      </w:r>
      <w:r>
        <w:rPr>
          <w:rFonts w:hint="eastAsia" w:ascii="宋体" w:hAnsi="宋体" w:eastAsia="宋体" w:cs="宋体"/>
          <w:szCs w:val="21"/>
        </w:rPr>
        <w:fldChar w:fldCharType="separate"/>
      </w:r>
      <w:r>
        <w:rPr>
          <w:rFonts w:hint="eastAsia" w:ascii="宋体" w:hAnsi="宋体" w:eastAsia="宋体" w:cs="宋体"/>
          <w:szCs w:val="32"/>
        </w:rPr>
        <w:t>九、其他资料（如有）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_Toc8906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color w:val="auto"/>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Cs w:val="21"/>
        </w:rPr>
        <w:fldChar w:fldCharType="end"/>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sectPr>
          <w:footerReference r:id="rId3" w:type="default"/>
          <w:pgSz w:w="11906" w:h="16838"/>
          <w:pgMar w:top="1191" w:right="1417" w:bottom="1191" w:left="1191" w:header="851" w:footer="851" w:gutter="0"/>
          <w:pgNumType w:fmt="decimal" w:start="1"/>
          <w:cols w:space="720" w:num="1"/>
          <w:docGrid w:linePitch="312" w:charSpace="0"/>
        </w:sectPr>
      </w:pPr>
      <w:bookmarkStart w:id="1" w:name="_Toc5016"/>
      <w:bookmarkStart w:id="2" w:name="_Toc29614"/>
    </w:p>
    <w:p>
      <w:pPr>
        <w:pStyle w:val="3"/>
        <w:keepNext w:val="0"/>
        <w:spacing w:line="360" w:lineRule="auto"/>
        <w:rPr>
          <w:rFonts w:hint="eastAsia" w:ascii="宋体" w:hAnsi="宋体" w:eastAsia="宋体" w:cs="宋体"/>
          <w:iCs/>
          <w:color w:val="auto"/>
          <w:u w:val="single"/>
        </w:rPr>
      </w:pPr>
      <w:bookmarkStart w:id="3" w:name="_Toc2577"/>
      <w:bookmarkStart w:id="4" w:name="_Toc13376"/>
      <w:bookmarkStart w:id="5" w:name="_Toc31018"/>
      <w:r>
        <w:rPr>
          <w:rFonts w:hint="eastAsia" w:ascii="宋体" w:hAnsi="宋体" w:eastAsia="宋体" w:cs="宋体"/>
          <w:color w:val="auto"/>
          <w:sz w:val="32"/>
          <w:szCs w:val="32"/>
        </w:rPr>
        <w:t>第一章  谈判邀请公告</w:t>
      </w:r>
      <w:bookmarkEnd w:id="0"/>
      <w:bookmarkEnd w:id="1"/>
      <w:bookmarkEnd w:id="2"/>
      <w:bookmarkEnd w:id="3"/>
      <w:bookmarkEnd w:id="4"/>
      <w:bookmarkEnd w:id="5"/>
    </w:p>
    <w:p>
      <w:pPr>
        <w:spacing w:line="360" w:lineRule="auto"/>
        <w:ind w:firstLine="420" w:firstLineChars="200"/>
        <w:jc w:val="left"/>
        <w:outlineLvl w:val="9"/>
        <w:rPr>
          <w:rFonts w:hint="eastAsia" w:ascii="宋体" w:hAnsi="宋体" w:eastAsia="宋体" w:cs="宋体"/>
          <w:iCs/>
          <w:color w:val="auto"/>
          <w:szCs w:val="21"/>
        </w:rPr>
      </w:pPr>
      <w:r>
        <w:rPr>
          <w:rFonts w:hint="eastAsia" w:ascii="宋体" w:hAnsi="宋体" w:cs="宋体"/>
          <w:color w:val="auto"/>
          <w:szCs w:val="21"/>
          <w:lang w:eastAsia="zh-CN"/>
        </w:rPr>
        <w:t>湖南明诚项目管理有限公司</w:t>
      </w:r>
      <w:r>
        <w:rPr>
          <w:rFonts w:hint="eastAsia" w:ascii="宋体" w:hAnsi="宋体" w:eastAsia="宋体" w:cs="宋体"/>
          <w:color w:val="auto"/>
          <w:szCs w:val="21"/>
        </w:rPr>
        <w:t>受</w:t>
      </w:r>
      <w:r>
        <w:rPr>
          <w:rFonts w:hint="eastAsia" w:ascii="宋体" w:hAnsi="宋体" w:cs="宋体"/>
          <w:iCs/>
          <w:color w:val="auto"/>
          <w:szCs w:val="21"/>
          <w:lang w:eastAsia="zh-CN"/>
        </w:rPr>
        <w:t>长沙市轨道交通一号线建设发展有限公司、长沙市轨道交通运营有限公司、长沙市轨道交通三号线建设发展有限公司、长沙市轨道交通四号线建设发展有限公司的</w:t>
      </w:r>
      <w:r>
        <w:rPr>
          <w:rFonts w:hint="eastAsia" w:ascii="宋体" w:hAnsi="宋体" w:eastAsia="宋体" w:cs="宋体"/>
          <w:iCs/>
          <w:color w:val="auto"/>
          <w:szCs w:val="21"/>
        </w:rPr>
        <w:t>委</w:t>
      </w:r>
      <w:r>
        <w:rPr>
          <w:rFonts w:hint="eastAsia" w:ascii="宋体" w:hAnsi="宋体" w:eastAsia="宋体" w:cs="宋体"/>
          <w:color w:val="auto"/>
          <w:szCs w:val="21"/>
        </w:rPr>
        <w:t>托，</w:t>
      </w:r>
      <w:r>
        <w:rPr>
          <w:rFonts w:hint="eastAsia" w:ascii="宋体" w:hAnsi="宋体" w:eastAsia="宋体" w:cs="宋体"/>
          <w:iCs/>
          <w:color w:val="auto"/>
          <w:szCs w:val="21"/>
        </w:rPr>
        <w:t>对</w:t>
      </w:r>
      <w:r>
        <w:rPr>
          <w:rFonts w:hint="eastAsia" w:ascii="宋体" w:hAnsi="宋体" w:cs="宋体"/>
          <w:iCs/>
          <w:color w:val="auto"/>
          <w:szCs w:val="21"/>
          <w:lang w:eastAsia="zh-CN"/>
        </w:rPr>
        <w:t>长沙市轨道交通1、2、3、4号线运营期车辆段场加装遮阳棚改造工程项目（第三次）</w:t>
      </w:r>
      <w:r>
        <w:rPr>
          <w:rFonts w:hint="eastAsia" w:ascii="宋体" w:hAnsi="宋体" w:eastAsia="宋体" w:cs="宋体"/>
          <w:iCs/>
          <w:color w:val="auto"/>
          <w:szCs w:val="21"/>
        </w:rPr>
        <w:t>进行自主竞争性谈判采购，现发布公告，邀请符合条件的单位参与谈判采购活动。</w:t>
      </w:r>
    </w:p>
    <w:p>
      <w:pPr>
        <w:pStyle w:val="25"/>
        <w:adjustRightInd w:val="0"/>
        <w:snapToGrid w:val="0"/>
        <w:spacing w:line="360" w:lineRule="auto"/>
        <w:ind w:firstLine="420" w:firstLineChars="200"/>
        <w:outlineLvl w:val="9"/>
        <w:rPr>
          <w:rFonts w:hint="eastAsia" w:ascii="宋体" w:hAnsi="宋体" w:eastAsia="宋体" w:cs="宋体"/>
          <w:b/>
          <w:iCs/>
          <w:color w:val="auto"/>
        </w:rPr>
      </w:pPr>
      <w:r>
        <w:rPr>
          <w:rFonts w:hint="eastAsia" w:ascii="宋体" w:hAnsi="宋体" w:eastAsia="宋体" w:cs="宋体"/>
          <w:iCs/>
          <w:color w:val="auto"/>
        </w:rPr>
        <w:t>1.项目名称:</w:t>
      </w:r>
      <w:r>
        <w:rPr>
          <w:rFonts w:hint="eastAsia" w:hAnsi="宋体" w:cs="宋体"/>
          <w:iCs/>
          <w:color w:val="auto"/>
          <w:szCs w:val="21"/>
          <w:lang w:eastAsia="zh-CN"/>
        </w:rPr>
        <w:t>长沙市轨道交通1、2、3、4号线运营期车辆段场加装遮阳棚改造工程项目（第三次）</w:t>
      </w:r>
    </w:p>
    <w:p>
      <w:pPr>
        <w:pStyle w:val="25"/>
        <w:numPr>
          <w:ilvl w:val="0"/>
          <w:numId w:val="0"/>
        </w:numPr>
        <w:adjustRightInd w:val="0"/>
        <w:snapToGrid w:val="0"/>
        <w:spacing w:line="360" w:lineRule="auto"/>
        <w:ind w:firstLine="420" w:firstLineChars="200"/>
        <w:outlineLvl w:val="9"/>
        <w:rPr>
          <w:rFonts w:hAnsi="宋体" w:cs="宋体"/>
          <w:iCs/>
          <w:color w:val="auto"/>
        </w:rPr>
      </w:pPr>
      <w:r>
        <w:rPr>
          <w:rFonts w:hint="eastAsia" w:ascii="宋体" w:hAnsi="宋体" w:eastAsia="宋体" w:cs="宋体"/>
          <w:iCs/>
          <w:color w:val="auto"/>
        </w:rPr>
        <w:t>2.</w:t>
      </w:r>
      <w:r>
        <w:rPr>
          <w:rFonts w:hint="eastAsia"/>
          <w:color w:val="auto"/>
        </w:rPr>
        <w:t>项目编号：</w:t>
      </w:r>
      <w:r>
        <w:rPr>
          <w:rFonts w:hint="eastAsia" w:hAnsi="宋体" w:cs="宋体"/>
          <w:iCs/>
          <w:color w:val="auto"/>
        </w:rPr>
        <w:t>长轨运工采【20</w:t>
      </w:r>
      <w:r>
        <w:rPr>
          <w:rFonts w:hint="eastAsia" w:hAnsi="宋体" w:cs="宋体"/>
          <w:iCs/>
          <w:color w:val="auto"/>
          <w:lang w:val="en-US" w:eastAsia="zh-CN"/>
        </w:rPr>
        <w:t>21</w:t>
      </w:r>
      <w:r>
        <w:rPr>
          <w:rFonts w:hint="eastAsia" w:hAnsi="宋体" w:cs="宋体"/>
          <w:iCs/>
          <w:color w:val="auto"/>
        </w:rPr>
        <w:t>】0</w:t>
      </w:r>
      <w:r>
        <w:rPr>
          <w:rFonts w:hint="eastAsia" w:hAnsi="宋体" w:cs="宋体"/>
          <w:iCs/>
          <w:color w:val="auto"/>
          <w:lang w:val="en-US" w:eastAsia="zh-CN"/>
        </w:rPr>
        <w:t>05</w:t>
      </w:r>
      <w:r>
        <w:rPr>
          <w:rFonts w:hint="eastAsia" w:hAnsi="宋体" w:cs="宋体"/>
          <w:iCs/>
          <w:color w:val="auto"/>
        </w:rPr>
        <w:t>号</w:t>
      </w:r>
    </w:p>
    <w:p>
      <w:pPr>
        <w:pStyle w:val="25"/>
        <w:adjustRightInd w:val="0"/>
        <w:snapToGrid w:val="0"/>
        <w:spacing w:line="360" w:lineRule="auto"/>
        <w:ind w:firstLine="420" w:firstLineChars="200"/>
        <w:outlineLvl w:val="9"/>
        <w:rPr>
          <w:rFonts w:hint="eastAsia" w:ascii="宋体" w:hAnsi="宋体" w:eastAsia="宋体" w:cs="宋体"/>
          <w:iCs/>
          <w:color w:val="auto"/>
          <w:szCs w:val="21"/>
        </w:rPr>
      </w:pPr>
      <w:r>
        <w:rPr>
          <w:rFonts w:hint="eastAsia" w:hAnsi="宋体" w:cs="宋体"/>
          <w:iCs/>
          <w:color w:val="auto"/>
          <w:lang w:val="en-US" w:eastAsia="zh-CN"/>
        </w:rPr>
        <w:t>3.</w:t>
      </w:r>
      <w:r>
        <w:rPr>
          <w:rFonts w:hint="eastAsia" w:ascii="宋体" w:hAnsi="宋体" w:eastAsia="宋体" w:cs="宋体"/>
          <w:iCs/>
          <w:color w:val="auto"/>
        </w:rPr>
        <w:t>最高限价:</w:t>
      </w:r>
      <w:r>
        <w:rPr>
          <w:rFonts w:hint="eastAsia" w:ascii="宋体" w:hAnsi="宋体" w:eastAsia="宋体" w:cs="宋体"/>
          <w:iCs/>
          <w:color w:val="auto"/>
          <w:szCs w:val="21"/>
          <w:lang w:val="en-US" w:eastAsia="zh-CN"/>
        </w:rPr>
        <w:t>773460.20</w:t>
      </w:r>
      <w:r>
        <w:rPr>
          <w:rFonts w:hint="eastAsia" w:hAnsi="宋体" w:cs="宋体"/>
          <w:iCs/>
          <w:color w:val="auto"/>
          <w:szCs w:val="21"/>
          <w:lang w:val="en-US" w:eastAsia="zh-CN"/>
        </w:rPr>
        <w:t>元</w:t>
      </w:r>
    </w:p>
    <w:p>
      <w:pPr>
        <w:snapToGrid w:val="0"/>
        <w:spacing w:line="360" w:lineRule="auto"/>
        <w:ind w:firstLine="420" w:firstLineChars="200"/>
        <w:outlineLvl w:val="9"/>
        <w:rPr>
          <w:rFonts w:hint="eastAsia" w:ascii="宋体" w:hAnsi="宋体" w:eastAsia="宋体" w:cs="宋体"/>
          <w:iCs/>
          <w:color w:val="auto"/>
          <w:szCs w:val="21"/>
        </w:rPr>
      </w:pPr>
      <w:r>
        <w:rPr>
          <w:rFonts w:hint="eastAsia" w:ascii="宋体" w:hAnsi="宋体" w:cs="宋体"/>
          <w:iCs/>
          <w:color w:val="auto"/>
          <w:szCs w:val="21"/>
          <w:lang w:val="en-US" w:eastAsia="zh-CN"/>
        </w:rPr>
        <w:t>4</w:t>
      </w:r>
      <w:r>
        <w:rPr>
          <w:rFonts w:hint="eastAsia" w:ascii="宋体" w:hAnsi="宋体" w:eastAsia="宋体" w:cs="宋体"/>
          <w:iCs/>
          <w:color w:val="auto"/>
          <w:szCs w:val="21"/>
        </w:rPr>
        <w:t>.标段划分:</w:t>
      </w:r>
      <w:r>
        <w:rPr>
          <w:rFonts w:hint="eastAsia" w:ascii="宋体" w:hAnsi="宋体" w:eastAsia="宋体" w:cs="宋体"/>
          <w:bCs/>
          <w:color w:val="auto"/>
          <w:szCs w:val="21"/>
        </w:rPr>
        <w:t>共划分</w:t>
      </w:r>
      <w:r>
        <w:rPr>
          <w:rFonts w:hint="eastAsia" w:ascii="宋体" w:hAnsi="宋体" w:eastAsia="宋体" w:cs="宋体"/>
          <w:color w:val="auto"/>
          <w:szCs w:val="21"/>
          <w:lang w:val="en-US" w:eastAsia="zh-CN"/>
        </w:rPr>
        <w:t>1</w:t>
      </w:r>
      <w:r>
        <w:rPr>
          <w:rFonts w:hint="eastAsia" w:ascii="宋体" w:hAnsi="宋体" w:eastAsia="宋体" w:cs="宋体"/>
          <w:color w:val="auto"/>
          <w:szCs w:val="21"/>
        </w:rPr>
        <w:t>个标段</w:t>
      </w:r>
    </w:p>
    <w:p>
      <w:pPr>
        <w:snapToGrid w:val="0"/>
        <w:spacing w:line="360" w:lineRule="auto"/>
        <w:ind w:firstLine="420" w:firstLineChars="200"/>
        <w:outlineLvl w:val="9"/>
        <w:rPr>
          <w:rFonts w:hint="eastAsia" w:ascii="宋体" w:hAnsi="宋体" w:eastAsia="宋体" w:cs="宋体"/>
          <w:iCs/>
          <w:color w:val="auto"/>
          <w:szCs w:val="21"/>
        </w:rPr>
      </w:pPr>
      <w:r>
        <w:rPr>
          <w:rFonts w:hint="eastAsia" w:ascii="宋体" w:hAnsi="宋体" w:cs="宋体"/>
          <w:iCs/>
          <w:color w:val="auto"/>
          <w:szCs w:val="21"/>
          <w:lang w:val="en-US" w:eastAsia="zh-CN"/>
        </w:rPr>
        <w:t>5</w:t>
      </w:r>
      <w:r>
        <w:rPr>
          <w:rFonts w:hint="eastAsia" w:ascii="宋体" w:hAnsi="宋体" w:eastAsia="宋体" w:cs="宋体"/>
          <w:iCs/>
          <w:color w:val="auto"/>
          <w:szCs w:val="21"/>
        </w:rPr>
        <w:t>.质保期：</w:t>
      </w:r>
      <w:r>
        <w:rPr>
          <w:rFonts w:hint="eastAsia" w:ascii="宋体" w:hAnsi="宋体" w:eastAsia="宋体" w:cs="宋体"/>
          <w:bCs/>
          <w:color w:val="auto"/>
          <w:sz w:val="21"/>
          <w:szCs w:val="21"/>
          <w:lang w:val="en-US" w:eastAsia="zh-CN"/>
        </w:rPr>
        <w:t>项目通过竣工验收并交付使用，视作进入质保期，质保期为24个月。如质保期内出现重大质量缺陷，质保期从该质量缺陷修复后起重新计算。重大质量缺陷的认定依照国家、省、市相关规定执行。</w:t>
      </w:r>
      <w:r>
        <w:rPr>
          <w:rFonts w:hint="eastAsia" w:ascii="宋体" w:hAnsi="宋体" w:eastAsia="宋体" w:cs="宋体"/>
          <w:color w:val="auto"/>
          <w:szCs w:val="21"/>
        </w:rPr>
        <w:t>（具体详见用户需求书）</w:t>
      </w:r>
    </w:p>
    <w:p>
      <w:pPr>
        <w:snapToGrid w:val="0"/>
        <w:spacing w:line="360" w:lineRule="auto"/>
        <w:ind w:firstLine="420" w:firstLineChars="200"/>
        <w:outlineLvl w:val="9"/>
        <w:rPr>
          <w:rFonts w:hint="eastAsia" w:ascii="宋体" w:hAnsi="宋体" w:eastAsia="宋体" w:cs="宋体"/>
          <w:iCs/>
          <w:color w:val="auto"/>
          <w:szCs w:val="21"/>
          <w:lang w:val="en-US" w:eastAsia="zh-CN"/>
        </w:rPr>
      </w:pPr>
      <w:r>
        <w:rPr>
          <w:rFonts w:hint="eastAsia" w:ascii="宋体" w:hAnsi="宋体" w:cs="宋体"/>
          <w:iCs/>
          <w:color w:val="auto"/>
          <w:szCs w:val="21"/>
          <w:lang w:val="en-US" w:eastAsia="zh-CN"/>
        </w:rPr>
        <w:t>6</w:t>
      </w:r>
      <w:r>
        <w:rPr>
          <w:rFonts w:hint="eastAsia" w:ascii="宋体" w:hAnsi="宋体" w:eastAsia="宋体" w:cs="宋体"/>
          <w:iCs/>
          <w:color w:val="auto"/>
          <w:szCs w:val="21"/>
        </w:rPr>
        <w:t>.施工工期：</w:t>
      </w:r>
      <w:r>
        <w:rPr>
          <w:rFonts w:hint="eastAsia" w:ascii="宋体" w:hAnsi="宋体" w:eastAsia="宋体" w:cs="宋体"/>
          <w:iCs/>
          <w:color w:val="auto"/>
          <w:szCs w:val="21"/>
          <w:lang w:val="en-US" w:eastAsia="zh-CN"/>
        </w:rPr>
        <w:t>以采购单位发出的开工通知日期起算，</w:t>
      </w:r>
      <w:r>
        <w:rPr>
          <w:rFonts w:hint="eastAsia" w:ascii="宋体" w:hAnsi="宋体" w:cs="宋体"/>
          <w:iCs/>
          <w:color w:val="auto"/>
          <w:szCs w:val="21"/>
          <w:lang w:val="en-US" w:eastAsia="zh-CN"/>
        </w:rPr>
        <w:t>6个月</w:t>
      </w:r>
      <w:r>
        <w:rPr>
          <w:rFonts w:hint="eastAsia" w:ascii="宋体" w:hAnsi="宋体" w:eastAsia="宋体" w:cs="宋体"/>
          <w:iCs/>
          <w:color w:val="auto"/>
          <w:szCs w:val="21"/>
          <w:lang w:val="en-US" w:eastAsia="zh-CN"/>
        </w:rPr>
        <w:t>内完成此项目所有施工。（具体详见用户需求书）</w:t>
      </w:r>
    </w:p>
    <w:p>
      <w:pPr>
        <w:snapToGrid w:val="0"/>
        <w:spacing w:line="360" w:lineRule="auto"/>
        <w:ind w:firstLine="420" w:firstLineChars="200"/>
        <w:outlineLvl w:val="9"/>
        <w:rPr>
          <w:rFonts w:hint="eastAsia" w:ascii="宋体" w:hAnsi="宋体" w:eastAsia="宋体" w:cs="宋体"/>
          <w:bCs/>
          <w:color w:val="auto"/>
          <w:szCs w:val="21"/>
        </w:rPr>
      </w:pPr>
      <w:r>
        <w:rPr>
          <w:rFonts w:hint="eastAsia" w:ascii="宋体" w:hAnsi="宋体" w:cs="宋体"/>
          <w:bCs/>
          <w:color w:val="auto"/>
          <w:szCs w:val="21"/>
          <w:lang w:val="en-US" w:eastAsia="zh-CN"/>
        </w:rPr>
        <w:t>7</w:t>
      </w:r>
      <w:r>
        <w:rPr>
          <w:rFonts w:hint="eastAsia" w:ascii="宋体" w:hAnsi="宋体" w:eastAsia="宋体" w:cs="宋体"/>
          <w:bCs/>
          <w:color w:val="auto"/>
          <w:szCs w:val="21"/>
        </w:rPr>
        <w:t>.</w:t>
      </w:r>
      <w:r>
        <w:rPr>
          <w:rFonts w:hint="eastAsia" w:ascii="宋体" w:hAnsi="宋体" w:eastAsia="宋体" w:cs="宋体"/>
          <w:iCs/>
          <w:color w:val="auto"/>
          <w:szCs w:val="21"/>
        </w:rPr>
        <w:t>施工范围：本项目拟分别在1、2、3、4号线各段场新增119个车位停车棚，对2号线黄兴车辆段电单车棚进行翻新改造，并完成配套的土建工程等</w:t>
      </w:r>
      <w:r>
        <w:rPr>
          <w:rFonts w:hint="eastAsia" w:ascii="宋体" w:hAnsi="宋体" w:eastAsia="宋体" w:cs="宋体"/>
          <w:color w:val="auto"/>
          <w:szCs w:val="21"/>
        </w:rPr>
        <w:t>。</w:t>
      </w:r>
      <w:r>
        <w:rPr>
          <w:rFonts w:hint="eastAsia" w:ascii="宋体" w:hAnsi="宋体" w:eastAsia="宋体" w:cs="宋体"/>
          <w:color w:val="auto"/>
          <w:kern w:val="0"/>
          <w:szCs w:val="21"/>
        </w:rPr>
        <w:t>（具体详见用户需求书）</w:t>
      </w:r>
      <w:bookmarkStart w:id="152" w:name="_GoBack"/>
      <w:bookmarkEnd w:id="152"/>
    </w:p>
    <w:p>
      <w:pPr>
        <w:pStyle w:val="25"/>
        <w:adjustRightInd w:val="0"/>
        <w:snapToGrid w:val="0"/>
        <w:spacing w:line="360" w:lineRule="auto"/>
        <w:ind w:firstLine="422" w:firstLineChars="200"/>
        <w:outlineLvl w:val="9"/>
        <w:rPr>
          <w:rFonts w:hint="eastAsia" w:ascii="宋体" w:hAnsi="宋体" w:eastAsia="宋体" w:cs="宋体"/>
          <w:b/>
          <w:iCs/>
          <w:color w:val="auto"/>
        </w:rPr>
      </w:pPr>
      <w:r>
        <w:rPr>
          <w:rFonts w:hint="eastAsia" w:ascii="宋体" w:hAnsi="宋体" w:eastAsia="宋体" w:cs="宋体"/>
          <w:b/>
          <w:iCs/>
          <w:color w:val="auto"/>
        </w:rPr>
        <w:t>二、资格要求</w:t>
      </w:r>
    </w:p>
    <w:p>
      <w:pPr>
        <w:spacing w:line="360" w:lineRule="auto"/>
        <w:ind w:firstLine="420" w:firstLineChars="200"/>
        <w:outlineLvl w:val="9"/>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.谈判单位须为具有独立法人资格、自主经营、独立核算的公司，省外入湘企业在“湖南省住房和城乡建设网”进行了基本信息登记。</w:t>
      </w:r>
    </w:p>
    <w:p>
      <w:pPr>
        <w:spacing w:line="360" w:lineRule="auto"/>
        <w:ind w:firstLine="420" w:firstLineChars="200"/>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谈判单位须具有</w:t>
      </w:r>
      <w:r>
        <w:rPr>
          <w:rFonts w:hint="eastAsia" w:ascii="宋体" w:hAnsi="宋体" w:eastAsia="宋体" w:cs="宋体"/>
          <w:color w:val="auto"/>
          <w:lang w:eastAsia="zh-CN"/>
        </w:rPr>
        <w:t>建筑工程施工总承包三级</w:t>
      </w:r>
      <w:r>
        <w:rPr>
          <w:rFonts w:hint="eastAsia" w:ascii="宋体" w:hAnsi="宋体" w:eastAsia="宋体" w:cs="宋体"/>
          <w:color w:val="auto"/>
          <w:szCs w:val="21"/>
        </w:rPr>
        <w:t>（含）以上资质，须具有有效的施工企业《安全生产许可证》</w:t>
      </w:r>
      <w:r>
        <w:rPr>
          <w:rFonts w:hint="eastAsia" w:ascii="宋体" w:hAnsi="宋体" w:eastAsia="宋体" w:cs="宋体"/>
          <w:color w:val="auto"/>
          <w:szCs w:val="21"/>
          <w:lang w:val="en-US" w:eastAsia="zh-CN"/>
        </w:rPr>
        <w:t>。</w:t>
      </w:r>
    </w:p>
    <w:p>
      <w:pPr>
        <w:spacing w:line="360" w:lineRule="auto"/>
        <w:ind w:firstLine="420" w:firstLineChars="200"/>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3.本项目现场施工部关键岗位人员最低配备按《湖南省建设工程施工项目部和现场监理部关键岗位人员配备管理办法》湘建建〔2020〕208号文执行。</w:t>
      </w:r>
      <w:r>
        <w:rPr>
          <w:rFonts w:hint="eastAsia" w:ascii="宋体" w:hAnsi="宋体" w:eastAsia="宋体" w:cs="宋体"/>
          <w:color w:val="auto"/>
          <w:szCs w:val="21"/>
        </w:rPr>
        <w:t>（具体详见</w:t>
      </w:r>
      <w:r>
        <w:rPr>
          <w:rFonts w:hint="eastAsia" w:ascii="宋体" w:hAnsi="宋体" w:cs="宋体"/>
          <w:color w:val="auto"/>
          <w:szCs w:val="21"/>
          <w:lang w:eastAsia="zh-CN"/>
        </w:rPr>
        <w:t>附表</w:t>
      </w:r>
      <w:r>
        <w:rPr>
          <w:rFonts w:hint="eastAsia" w:ascii="宋体" w:hAnsi="宋体" w:cs="宋体"/>
          <w:color w:val="auto"/>
          <w:szCs w:val="21"/>
          <w:lang w:val="en-US" w:eastAsia="zh-CN"/>
        </w:rPr>
        <w:t>1</w:t>
      </w:r>
      <w:r>
        <w:rPr>
          <w:rFonts w:hint="eastAsia" w:ascii="宋体" w:hAnsi="宋体" w:eastAsia="宋体" w:cs="宋体"/>
          <w:color w:val="auto"/>
          <w:szCs w:val="21"/>
        </w:rPr>
        <w:t>）</w:t>
      </w:r>
    </w:p>
    <w:p>
      <w:pPr>
        <w:spacing w:line="360" w:lineRule="auto"/>
        <w:ind w:firstLine="420" w:firstLineChars="200"/>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4.本项目不接受联合体形式参与谈判。</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5.</w:t>
      </w:r>
      <w:bookmarkStart w:id="6" w:name="_Hlk75876024"/>
      <w:r>
        <w:rPr>
          <w:rFonts w:hint="eastAsia" w:ascii="宋体" w:hAnsi="宋体" w:eastAsia="宋体" w:cs="宋体"/>
          <w:color w:val="auto"/>
          <w:szCs w:val="21"/>
          <w:lang w:val="en-US" w:eastAsia="zh-CN"/>
        </w:rPr>
        <w:t>被长沙市轨道交通集团有限公司及长沙市轨道交通运营有限公司函告禁止在一定期限内参与投标的单位按函告内容执行</w:t>
      </w:r>
      <w:bookmarkEnd w:id="6"/>
      <w:r>
        <w:rPr>
          <w:rFonts w:hint="eastAsia" w:ascii="宋体" w:hAnsi="宋体" w:eastAsia="宋体" w:cs="宋体"/>
          <w:color w:val="auto"/>
          <w:szCs w:val="21"/>
          <w:lang w:val="en-US" w:eastAsia="zh-CN"/>
        </w:rPr>
        <w:t>。</w:t>
      </w:r>
    </w:p>
    <w:p>
      <w:pPr>
        <w:spacing w:line="360" w:lineRule="auto"/>
        <w:ind w:firstLine="422" w:firstLineChars="200"/>
        <w:outlineLvl w:val="9"/>
        <w:rPr>
          <w:rFonts w:hint="eastAsia" w:ascii="宋体" w:hAnsi="宋体" w:eastAsia="宋体" w:cs="宋体"/>
          <w:b/>
          <w:bCs/>
          <w:iCs/>
          <w:color w:val="auto"/>
          <w:szCs w:val="21"/>
        </w:rPr>
      </w:pPr>
      <w:r>
        <w:rPr>
          <w:rFonts w:hint="eastAsia" w:ascii="宋体" w:hAnsi="宋体" w:eastAsia="宋体" w:cs="宋体"/>
          <w:b/>
          <w:bCs/>
          <w:color w:val="auto"/>
          <w:szCs w:val="21"/>
        </w:rPr>
        <w:t>三、</w:t>
      </w:r>
      <w:r>
        <w:rPr>
          <w:rFonts w:hint="eastAsia" w:ascii="宋体" w:hAnsi="宋体" w:eastAsia="宋体" w:cs="宋体"/>
          <w:b/>
          <w:bCs/>
          <w:iCs/>
          <w:color w:val="auto"/>
          <w:szCs w:val="21"/>
        </w:rPr>
        <w:t>评审办法</w:t>
      </w:r>
    </w:p>
    <w:p>
      <w:pPr>
        <w:adjustRightInd w:val="0"/>
        <w:snapToGrid w:val="0"/>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iCs/>
          <w:color w:val="auto"/>
          <w:szCs w:val="21"/>
        </w:rPr>
        <w:t>本项目评审办法采用</w:t>
      </w:r>
      <w:r>
        <w:rPr>
          <w:rFonts w:hint="eastAsia" w:ascii="宋体" w:hAnsi="宋体" w:cs="宋体"/>
          <w:bCs/>
          <w:color w:val="auto"/>
          <w:sz w:val="21"/>
          <w:szCs w:val="21"/>
          <w:lang w:eastAsia="zh-CN"/>
        </w:rPr>
        <w:t>综合评估法</w:t>
      </w:r>
      <w:r>
        <w:rPr>
          <w:rFonts w:hint="eastAsia" w:ascii="宋体" w:hAnsi="宋体" w:eastAsia="宋体" w:cs="宋体"/>
          <w:bCs/>
          <w:color w:val="auto"/>
          <w:szCs w:val="21"/>
        </w:rPr>
        <w:t>。</w:t>
      </w:r>
    </w:p>
    <w:p>
      <w:pPr>
        <w:tabs>
          <w:tab w:val="left" w:pos="1629"/>
        </w:tabs>
        <w:spacing w:line="360" w:lineRule="auto"/>
        <w:ind w:firstLine="422" w:firstLineChars="200"/>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凡有意参加谈判的单位，自本公告发布之日起登录长沙市轨道交通集团有限公司官方网站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五、</w:t>
      </w:r>
      <w:r>
        <w:rPr>
          <w:rFonts w:hint="eastAsia" w:ascii="宋体" w:hAnsi="宋体" w:eastAsia="宋体" w:cs="宋体"/>
          <w:b/>
          <w:bCs/>
          <w:iCs/>
          <w:color w:val="auto"/>
          <w:sz w:val="21"/>
          <w:szCs w:val="21"/>
        </w:rPr>
        <w:t>谈判文件的</w:t>
      </w:r>
      <w:r>
        <w:rPr>
          <w:rFonts w:hint="eastAsia" w:ascii="宋体" w:hAnsi="宋体" w:eastAsia="宋体" w:cs="宋体"/>
          <w:b/>
          <w:bCs/>
          <w:color w:val="auto"/>
          <w:sz w:val="21"/>
          <w:szCs w:val="21"/>
        </w:rPr>
        <w:t>澄清与答疑</w:t>
      </w:r>
    </w:p>
    <w:p>
      <w:pPr>
        <w:spacing w:line="360" w:lineRule="auto"/>
        <w:ind w:firstLine="420" w:firstLineChars="200"/>
        <w:outlineLvl w:val="9"/>
        <w:rPr>
          <w:rFonts w:hint="eastAsia" w:ascii="宋体" w:hAnsi="宋体" w:eastAsia="宋体" w:cs="宋体"/>
          <w:iCs/>
          <w:color w:val="auto"/>
          <w:sz w:val="21"/>
          <w:szCs w:val="21"/>
        </w:rPr>
      </w:pPr>
      <w:r>
        <w:rPr>
          <w:rFonts w:hint="eastAsia" w:ascii="宋体" w:hAnsi="宋体" w:eastAsia="宋体" w:cs="宋体"/>
          <w:color w:val="auto"/>
          <w:sz w:val="21"/>
          <w:szCs w:val="21"/>
        </w:rPr>
        <w:t>1.</w:t>
      </w:r>
      <w:r>
        <w:rPr>
          <w:rFonts w:hint="eastAsia" w:ascii="宋体" w:hAnsi="宋体" w:eastAsia="宋体" w:cs="宋体"/>
          <w:iCs/>
          <w:color w:val="auto"/>
          <w:sz w:val="21"/>
          <w:szCs w:val="21"/>
        </w:rPr>
        <w:t>本项目不组织答疑会和现场踏勘。</w:t>
      </w:r>
    </w:p>
    <w:p>
      <w:pPr>
        <w:spacing w:line="360" w:lineRule="auto"/>
        <w:ind w:firstLine="420" w:firstLineChars="200"/>
        <w:outlineLvl w:val="9"/>
        <w:rPr>
          <w:rFonts w:hint="eastAsia" w:ascii="宋体" w:hAnsi="宋体" w:eastAsia="宋体" w:cs="宋体"/>
          <w:iCs/>
          <w:color w:val="auto"/>
          <w:sz w:val="21"/>
          <w:szCs w:val="21"/>
        </w:rPr>
      </w:pPr>
      <w:r>
        <w:rPr>
          <w:rFonts w:hint="eastAsia" w:ascii="宋体" w:hAnsi="宋体" w:eastAsia="宋体" w:cs="宋体"/>
          <w:iCs/>
          <w:color w:val="auto"/>
          <w:sz w:val="21"/>
          <w:szCs w:val="21"/>
        </w:rPr>
        <w:t>2.谈判单位若对谈判文件有任何疑问，</w:t>
      </w:r>
      <w:r>
        <w:rPr>
          <w:rFonts w:hint="eastAsia" w:ascii="宋体" w:hAnsi="宋体" w:eastAsia="宋体" w:cs="宋体"/>
          <w:color w:val="auto"/>
          <w:sz w:val="21"/>
          <w:szCs w:val="21"/>
        </w:rPr>
        <w:t>应于</w:t>
      </w:r>
      <w:r>
        <w:rPr>
          <w:rFonts w:hint="eastAsia" w:ascii="宋体" w:hAnsi="宋体" w:eastAsia="宋体" w:cs="宋体"/>
          <w:color w:val="auto"/>
          <w:szCs w:val="21"/>
        </w:rPr>
        <w:t>2021年</w:t>
      </w:r>
      <w:r>
        <w:rPr>
          <w:rFonts w:hint="eastAsia" w:ascii="宋体" w:hAnsi="宋体" w:cs="宋体"/>
          <w:color w:val="auto"/>
          <w:szCs w:val="21"/>
          <w:u w:val="single"/>
          <w:lang w:val="en-US" w:eastAsia="zh-CN"/>
        </w:rPr>
        <w:t>12</w:t>
      </w:r>
      <w:r>
        <w:rPr>
          <w:rFonts w:hint="eastAsia" w:ascii="宋体" w:hAnsi="宋体" w:eastAsia="宋体" w:cs="宋体"/>
          <w:color w:val="auto"/>
          <w:szCs w:val="21"/>
        </w:rPr>
        <w:t>月</w:t>
      </w:r>
      <w:r>
        <w:rPr>
          <w:rFonts w:hint="eastAsia" w:ascii="宋体" w:hAnsi="宋体" w:cs="宋体"/>
          <w:color w:val="auto"/>
          <w:szCs w:val="21"/>
          <w:u w:val="single"/>
          <w:lang w:val="en-US" w:eastAsia="zh-CN"/>
        </w:rPr>
        <w:t>07</w:t>
      </w:r>
      <w:r>
        <w:rPr>
          <w:rFonts w:hint="eastAsia" w:ascii="宋体" w:hAnsi="宋体" w:eastAsia="宋体" w:cs="宋体"/>
          <w:color w:val="auto"/>
          <w:szCs w:val="21"/>
        </w:rPr>
        <w:t>日</w:t>
      </w:r>
      <w:r>
        <w:rPr>
          <w:rFonts w:hint="eastAsia" w:ascii="宋体" w:hAnsi="宋体" w:eastAsia="宋体" w:cs="宋体"/>
          <w:iCs/>
          <w:color w:val="auto"/>
          <w:szCs w:val="21"/>
        </w:rPr>
        <w:t>17：00时</w:t>
      </w:r>
      <w:r>
        <w:rPr>
          <w:rFonts w:hint="eastAsia" w:ascii="宋体" w:hAnsi="宋体" w:eastAsia="宋体" w:cs="宋体"/>
          <w:iCs/>
          <w:color w:val="auto"/>
          <w:sz w:val="21"/>
          <w:szCs w:val="21"/>
        </w:rPr>
        <w:t>（含）前（节假日除外）以书面形式（经法定代表人签字或盖章，并加盖单位公章）递交至采购代理机构。</w:t>
      </w:r>
    </w:p>
    <w:p>
      <w:pPr>
        <w:spacing w:line="360" w:lineRule="auto"/>
        <w:ind w:firstLine="420" w:firstLineChars="200"/>
        <w:outlineLvl w:val="9"/>
        <w:rPr>
          <w:rFonts w:hint="eastAsia" w:ascii="宋体" w:hAnsi="宋体" w:eastAsia="宋体" w:cs="宋体"/>
          <w:iCs/>
          <w:color w:val="auto"/>
          <w:sz w:val="21"/>
          <w:szCs w:val="21"/>
        </w:rPr>
      </w:pPr>
      <w:r>
        <w:rPr>
          <w:rFonts w:hint="eastAsia" w:ascii="宋体" w:hAnsi="宋体" w:eastAsia="宋体" w:cs="宋体"/>
          <w:iCs/>
          <w:color w:val="auto"/>
          <w:sz w:val="21"/>
          <w:szCs w:val="21"/>
        </w:rPr>
        <w:t>3.在谈判截止时间前，采购单位或采购代理机构可主动地或在解答谈判单位提出的问题时对谈判文件进行澄清或修改。</w:t>
      </w:r>
    </w:p>
    <w:p>
      <w:pPr>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eastAsia="宋体" w:cs="宋体"/>
          <w:iCs/>
          <w:color w:val="auto"/>
          <w:sz w:val="21"/>
          <w:szCs w:val="21"/>
        </w:rPr>
        <w:t>4.</w:t>
      </w:r>
      <w:r>
        <w:rPr>
          <w:rFonts w:hint="eastAsia" w:ascii="宋体" w:hAnsi="宋体" w:eastAsia="宋体" w:cs="宋体"/>
          <w:color w:val="auto"/>
          <w:kern w:val="0"/>
          <w:sz w:val="21"/>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spacing w:line="360" w:lineRule="auto"/>
        <w:ind w:firstLine="422" w:firstLineChars="200"/>
        <w:outlineLvl w:val="9"/>
        <w:rPr>
          <w:rFonts w:hint="eastAsia" w:ascii="宋体" w:hAnsi="宋体" w:eastAsia="宋体" w:cs="宋体"/>
          <w:b/>
          <w:bCs/>
          <w:iCs/>
          <w:color w:val="auto"/>
          <w:sz w:val="21"/>
          <w:szCs w:val="21"/>
        </w:rPr>
      </w:pPr>
      <w:r>
        <w:rPr>
          <w:rFonts w:hint="eastAsia" w:ascii="宋体" w:hAnsi="宋体" w:eastAsia="宋体" w:cs="宋体"/>
          <w:b/>
          <w:bCs/>
          <w:color w:val="auto"/>
          <w:kern w:val="0"/>
          <w:sz w:val="21"/>
          <w:szCs w:val="21"/>
        </w:rPr>
        <w:t>六、</w:t>
      </w:r>
      <w:r>
        <w:rPr>
          <w:rFonts w:hint="eastAsia" w:ascii="宋体" w:hAnsi="宋体" w:eastAsia="宋体" w:cs="宋体"/>
          <w:b/>
          <w:bCs/>
          <w:iCs/>
          <w:color w:val="auto"/>
          <w:sz w:val="21"/>
          <w:szCs w:val="21"/>
        </w:rPr>
        <w:t>响应文件的递交</w:t>
      </w:r>
    </w:p>
    <w:p>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bCs/>
          <w:color w:val="auto"/>
          <w:sz w:val="21"/>
          <w:szCs w:val="21"/>
        </w:rPr>
        <w:t>1.</w:t>
      </w:r>
      <w:r>
        <w:rPr>
          <w:rFonts w:hint="eastAsia" w:ascii="宋体" w:hAnsi="宋体" w:eastAsia="宋体" w:cs="宋体"/>
          <w:bCs/>
          <w:color w:val="auto"/>
          <w:szCs w:val="21"/>
        </w:rPr>
        <w:t>响应文件递交的截止时间及谈判时间为2021年</w:t>
      </w:r>
      <w:r>
        <w:rPr>
          <w:rFonts w:hint="eastAsia" w:ascii="宋体" w:hAnsi="宋体" w:cs="宋体"/>
          <w:bCs/>
          <w:color w:val="auto"/>
          <w:szCs w:val="21"/>
          <w:u w:val="single"/>
          <w:lang w:val="en-US" w:eastAsia="zh-CN"/>
        </w:rPr>
        <w:t>12</w:t>
      </w:r>
      <w:r>
        <w:rPr>
          <w:rFonts w:hint="eastAsia" w:ascii="宋体" w:hAnsi="宋体" w:eastAsia="宋体" w:cs="宋体"/>
          <w:bCs/>
          <w:color w:val="auto"/>
          <w:szCs w:val="21"/>
        </w:rPr>
        <w:t>月</w:t>
      </w:r>
      <w:r>
        <w:rPr>
          <w:rFonts w:hint="eastAsia" w:ascii="宋体" w:hAnsi="宋体" w:cs="宋体"/>
          <w:bCs/>
          <w:color w:val="auto"/>
          <w:szCs w:val="21"/>
          <w:u w:val="single"/>
          <w:lang w:val="en-US" w:eastAsia="zh-CN"/>
        </w:rPr>
        <w:t>13</w:t>
      </w:r>
      <w:r>
        <w:rPr>
          <w:rFonts w:hint="eastAsia" w:ascii="宋体" w:hAnsi="宋体" w:eastAsia="宋体" w:cs="宋体"/>
          <w:bCs/>
          <w:color w:val="auto"/>
          <w:szCs w:val="21"/>
        </w:rPr>
        <w:t>日14时30分，地点为</w:t>
      </w:r>
      <w:r>
        <w:rPr>
          <w:rFonts w:hint="eastAsia" w:ascii="宋体" w:hAnsi="宋体" w:eastAsia="宋体" w:cs="宋体"/>
          <w:color w:val="auto"/>
          <w:szCs w:val="21"/>
        </w:rPr>
        <w:t>长沙市劳动东路二段48号黄兴车辆段综合楼9楼910室。</w:t>
      </w:r>
    </w:p>
    <w:p>
      <w:pPr>
        <w:spacing w:line="360" w:lineRule="auto"/>
        <w:ind w:firstLine="420" w:firstLineChars="200"/>
        <w:outlineLvl w:val="9"/>
        <w:rPr>
          <w:rFonts w:hint="eastAsia" w:ascii="宋体" w:hAnsi="宋体" w:eastAsia="宋体" w:cs="宋体"/>
          <w:b w:val="0"/>
          <w:bCs w:val="0"/>
          <w:color w:val="auto"/>
          <w:sz w:val="21"/>
          <w:szCs w:val="21"/>
        </w:rPr>
      </w:pPr>
      <w:r>
        <w:rPr>
          <w:rFonts w:hint="eastAsia" w:ascii="宋体" w:hAnsi="宋体" w:eastAsia="宋体" w:cs="宋体"/>
          <w:color w:val="auto"/>
          <w:sz w:val="21"/>
          <w:szCs w:val="21"/>
        </w:rPr>
        <w:t>2.逾期送达的或者未送达指定地点的或者未密封的响应文件，采购单位或采购代理机构将予以</w:t>
      </w:r>
      <w:r>
        <w:rPr>
          <w:rFonts w:hint="eastAsia" w:ascii="宋体" w:hAnsi="宋体" w:eastAsia="宋体" w:cs="宋体"/>
          <w:b w:val="0"/>
          <w:bCs w:val="0"/>
          <w:color w:val="auto"/>
          <w:sz w:val="21"/>
          <w:szCs w:val="21"/>
        </w:rPr>
        <w:t>拒收。</w:t>
      </w:r>
    </w:p>
    <w:p>
      <w:pPr>
        <w:spacing w:line="360" w:lineRule="auto"/>
        <w:ind w:firstLine="422" w:firstLineChars="200"/>
        <w:outlineLvl w:val="9"/>
        <w:rPr>
          <w:rFonts w:hint="eastAsia" w:ascii="宋体" w:hAnsi="宋体" w:eastAsia="宋体" w:cs="宋体"/>
          <w:b/>
          <w:bCs/>
          <w:iCs/>
          <w:color w:val="auto"/>
          <w:sz w:val="21"/>
          <w:szCs w:val="21"/>
          <w:lang w:eastAsia="zh-CN"/>
        </w:rPr>
      </w:pPr>
      <w:r>
        <w:rPr>
          <w:rFonts w:hint="eastAsia" w:ascii="宋体" w:hAnsi="宋体" w:eastAsia="宋体" w:cs="宋体"/>
          <w:b/>
          <w:bCs/>
          <w:color w:val="auto"/>
          <w:kern w:val="0"/>
          <w:sz w:val="21"/>
          <w:szCs w:val="21"/>
          <w:lang w:eastAsia="zh-CN"/>
        </w:rPr>
        <w:t>七</w:t>
      </w:r>
      <w:r>
        <w:rPr>
          <w:rFonts w:hint="eastAsia" w:ascii="宋体" w:hAnsi="宋体" w:eastAsia="宋体" w:cs="宋体"/>
          <w:b/>
          <w:bCs/>
          <w:color w:val="auto"/>
          <w:kern w:val="0"/>
          <w:sz w:val="21"/>
          <w:szCs w:val="21"/>
        </w:rPr>
        <w:t>、</w:t>
      </w:r>
      <w:r>
        <w:rPr>
          <w:rFonts w:hint="eastAsia" w:ascii="宋体" w:hAnsi="宋体" w:eastAsia="宋体" w:cs="宋体"/>
          <w:b/>
          <w:bCs/>
          <w:iCs/>
          <w:color w:val="auto"/>
          <w:sz w:val="21"/>
          <w:szCs w:val="21"/>
          <w:lang w:eastAsia="zh-CN"/>
        </w:rPr>
        <w:t>中标原则</w:t>
      </w:r>
    </w:p>
    <w:p>
      <w:pPr>
        <w:spacing w:line="360" w:lineRule="auto"/>
        <w:ind w:firstLine="420" w:firstLineChars="200"/>
        <w:outlineLvl w:val="9"/>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1.谈判评审小组按照综合得分由高到低的顺序推荐不超过1名中选候选人。经公示无异议后，确定排名第一的中选候选人为中选人。</w:t>
      </w:r>
    </w:p>
    <w:p>
      <w:pPr>
        <w:spacing w:line="360" w:lineRule="auto"/>
        <w:ind w:firstLine="420" w:firstLineChars="200"/>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spacing w:line="360" w:lineRule="auto"/>
        <w:ind w:firstLine="422" w:firstLineChars="200"/>
        <w:outlineLvl w:val="9"/>
        <w:rPr>
          <w:rFonts w:hint="eastAsia" w:ascii="宋体" w:hAnsi="宋体" w:eastAsia="宋体" w:cs="宋体"/>
          <w:b/>
          <w:color w:val="auto"/>
          <w:szCs w:val="21"/>
        </w:rPr>
      </w:pPr>
      <w:r>
        <w:rPr>
          <w:rFonts w:hint="eastAsia" w:ascii="宋体" w:hAnsi="宋体" w:eastAsia="宋体" w:cs="宋体"/>
          <w:b/>
          <w:iCs/>
          <w:color w:val="auto"/>
          <w:szCs w:val="21"/>
          <w:lang w:eastAsia="zh-CN"/>
        </w:rPr>
        <w:t>八</w:t>
      </w:r>
      <w:r>
        <w:rPr>
          <w:rFonts w:hint="eastAsia" w:ascii="宋体" w:hAnsi="宋体" w:eastAsia="宋体" w:cs="宋体"/>
          <w:b/>
          <w:iCs/>
          <w:color w:val="auto"/>
          <w:szCs w:val="21"/>
        </w:rPr>
        <w:t>、采购单位及其委托的采购代理机构的名称、地址和联系方法</w:t>
      </w:r>
    </w:p>
    <w:p>
      <w:pPr>
        <w:adjustRightInd w:val="0"/>
        <w:snapToGrid w:val="0"/>
        <w:spacing w:line="360" w:lineRule="auto"/>
        <w:ind w:firstLine="413" w:firstLineChars="196"/>
        <w:outlineLvl w:val="9"/>
        <w:rPr>
          <w:rFonts w:hint="eastAsia" w:ascii="宋体" w:hAnsi="宋体" w:eastAsia="宋体" w:cs="宋体"/>
          <w:b w:val="0"/>
          <w:bCs w:val="0"/>
          <w:color w:val="auto"/>
          <w:szCs w:val="21"/>
          <w:lang w:eastAsia="zh-CN"/>
        </w:rPr>
      </w:pPr>
      <w:r>
        <w:rPr>
          <w:rFonts w:hint="eastAsia" w:ascii="宋体" w:hAnsi="宋体" w:eastAsia="宋体" w:cs="宋体"/>
          <w:b/>
          <w:bCs/>
          <w:color w:val="auto"/>
          <w:szCs w:val="21"/>
        </w:rPr>
        <w:t>采购单位：</w:t>
      </w:r>
      <w:r>
        <w:rPr>
          <w:rFonts w:hint="eastAsia" w:ascii="宋体" w:hAnsi="宋体" w:cs="宋体"/>
          <w:iCs/>
          <w:color w:val="auto"/>
          <w:szCs w:val="21"/>
          <w:lang w:eastAsia="zh-CN"/>
        </w:rPr>
        <w:t>长沙市轨道交通一号线建设发展有限公司、长沙市轨道交通运营有限公司、长沙市轨道交通三号线建设发展有限公司、长沙市轨道交通四号线建设发展有限公司</w:t>
      </w:r>
    </w:p>
    <w:p>
      <w:pPr>
        <w:adjustRightInd w:val="0"/>
        <w:snapToGrid w:val="0"/>
        <w:spacing w:line="360" w:lineRule="auto"/>
        <w:ind w:firstLine="411" w:firstLineChars="196"/>
        <w:outlineLvl w:val="9"/>
        <w:rPr>
          <w:rFonts w:hint="eastAsia" w:ascii="宋体" w:hAnsi="宋体" w:eastAsia="宋体" w:cs="宋体"/>
          <w:color w:val="auto"/>
          <w:szCs w:val="21"/>
        </w:rPr>
      </w:pPr>
      <w:r>
        <w:rPr>
          <w:rFonts w:hint="eastAsia" w:ascii="宋体" w:hAnsi="宋体" w:eastAsia="宋体" w:cs="宋体"/>
          <w:color w:val="auto"/>
          <w:szCs w:val="21"/>
        </w:rPr>
        <w:t>地  址：长沙市劳动东路二段48号黄兴车辆段综合楼9楼910室。</w:t>
      </w:r>
    </w:p>
    <w:p>
      <w:pPr>
        <w:adjustRightInd w:val="0"/>
        <w:snapToGrid w:val="0"/>
        <w:spacing w:line="360" w:lineRule="auto"/>
        <w:ind w:firstLine="420" w:firstLineChars="200"/>
        <w:outlineLvl w:val="9"/>
        <w:rPr>
          <w:rFonts w:hint="eastAsia" w:ascii="宋体" w:hAnsi="宋体" w:eastAsia="宋体" w:cs="宋体"/>
          <w:bCs/>
          <w:color w:val="auto"/>
          <w:szCs w:val="21"/>
        </w:rPr>
      </w:pPr>
      <w:r>
        <w:rPr>
          <w:rFonts w:hint="eastAsia" w:ascii="宋体" w:hAnsi="宋体" w:eastAsia="宋体" w:cs="宋体"/>
          <w:bCs/>
          <w:color w:val="auto"/>
          <w:szCs w:val="21"/>
        </w:rPr>
        <w:t>联系人：奉工</w:t>
      </w:r>
    </w:p>
    <w:p>
      <w:pPr>
        <w:adjustRightInd w:val="0"/>
        <w:snapToGrid w:val="0"/>
        <w:spacing w:line="360" w:lineRule="auto"/>
        <w:ind w:firstLine="420" w:firstLineChars="200"/>
        <w:outlineLvl w:val="9"/>
        <w:rPr>
          <w:rFonts w:hint="eastAsia" w:ascii="宋体" w:hAnsi="宋体" w:eastAsia="宋体" w:cs="宋体"/>
          <w:bCs/>
          <w:color w:val="auto"/>
          <w:szCs w:val="21"/>
        </w:rPr>
      </w:pPr>
      <w:r>
        <w:rPr>
          <w:rFonts w:hint="eastAsia" w:ascii="宋体" w:hAnsi="宋体" w:eastAsia="宋体" w:cs="宋体"/>
          <w:bCs/>
          <w:color w:val="auto"/>
          <w:szCs w:val="21"/>
        </w:rPr>
        <w:t>电  话：</w:t>
      </w:r>
      <w:r>
        <w:rPr>
          <w:rFonts w:hint="eastAsia" w:ascii="宋体" w:hAnsi="宋体" w:eastAsia="宋体" w:cs="宋体"/>
          <w:color w:val="auto"/>
          <w:szCs w:val="21"/>
        </w:rPr>
        <w:t>0731-</w:t>
      </w:r>
      <w:r>
        <w:rPr>
          <w:rFonts w:hint="eastAsia" w:ascii="宋体" w:hAnsi="宋体" w:eastAsia="宋体" w:cs="宋体"/>
          <w:bCs/>
          <w:color w:val="auto"/>
          <w:szCs w:val="21"/>
        </w:rPr>
        <w:t>86852373</w:t>
      </w:r>
    </w:p>
    <w:p>
      <w:pPr>
        <w:adjustRightInd w:val="0"/>
        <w:snapToGrid w:val="0"/>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bCs/>
          <w:color w:val="auto"/>
          <w:szCs w:val="21"/>
        </w:rPr>
        <w:t>监督举报电话：</w:t>
      </w:r>
      <w:r>
        <w:rPr>
          <w:rFonts w:hint="eastAsia" w:ascii="宋体" w:hAnsi="宋体" w:eastAsia="宋体" w:cs="宋体"/>
          <w:color w:val="auto"/>
          <w:szCs w:val="21"/>
        </w:rPr>
        <w:t>0731-86852247</w:t>
      </w:r>
    </w:p>
    <w:p>
      <w:pPr>
        <w:adjustRightInd w:val="0"/>
        <w:snapToGrid w:val="0"/>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联系人：文工</w:t>
      </w:r>
    </w:p>
    <w:p>
      <w:pPr>
        <w:adjustRightInd w:val="0"/>
        <w:snapToGrid w:val="0"/>
        <w:spacing w:line="360" w:lineRule="auto"/>
        <w:ind w:firstLine="411" w:firstLineChars="196"/>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采购代理机构：</w:t>
      </w:r>
      <w:r>
        <w:rPr>
          <w:rFonts w:hint="eastAsia" w:ascii="宋体" w:hAnsi="宋体" w:cs="宋体"/>
          <w:b w:val="0"/>
          <w:bCs w:val="0"/>
          <w:color w:val="auto"/>
          <w:szCs w:val="21"/>
          <w:lang w:eastAsia="zh-CN"/>
        </w:rPr>
        <w:t>湖南明诚项目管理有限公司</w:t>
      </w:r>
    </w:p>
    <w:p>
      <w:pPr>
        <w:adjustRightInd w:val="0"/>
        <w:snapToGrid w:val="0"/>
        <w:spacing w:line="360" w:lineRule="auto"/>
        <w:ind w:firstLine="411" w:firstLineChars="196"/>
        <w:rPr>
          <w:rFonts w:hint="default" w:ascii="宋体" w:hAnsi="宋体" w:cs="宋体"/>
          <w:b w:val="0"/>
          <w:bCs w:val="0"/>
          <w:color w:val="auto"/>
          <w:szCs w:val="21"/>
          <w:lang w:val="en-US" w:eastAsia="zh-CN"/>
        </w:rPr>
      </w:pPr>
      <w:r>
        <w:rPr>
          <w:rFonts w:hint="eastAsia" w:ascii="宋体" w:hAnsi="宋体" w:eastAsia="宋体" w:cs="宋体"/>
          <w:b w:val="0"/>
          <w:bCs w:val="0"/>
          <w:color w:val="auto"/>
          <w:szCs w:val="21"/>
        </w:rPr>
        <w:t>联系电话：</w:t>
      </w:r>
      <w:r>
        <w:rPr>
          <w:rFonts w:hint="eastAsia" w:ascii="宋体" w:hAnsi="宋体" w:eastAsia="宋体" w:cs="宋体"/>
          <w:b w:val="0"/>
          <w:bCs w:val="0"/>
          <w:color w:val="auto"/>
          <w:szCs w:val="21"/>
          <w:lang w:val="en-US" w:eastAsia="zh-CN"/>
        </w:rPr>
        <w:t>15074951062</w:t>
      </w:r>
    </w:p>
    <w:p>
      <w:pPr>
        <w:adjustRightInd w:val="0"/>
        <w:snapToGrid w:val="0"/>
        <w:spacing w:line="360" w:lineRule="auto"/>
        <w:ind w:firstLine="411" w:firstLineChars="196"/>
        <w:outlineLvl w:val="9"/>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联系人：</w:t>
      </w:r>
      <w:r>
        <w:rPr>
          <w:rFonts w:hint="eastAsia" w:ascii="宋体" w:hAnsi="宋体" w:cs="宋体"/>
          <w:b w:val="0"/>
          <w:bCs w:val="0"/>
          <w:color w:val="auto"/>
          <w:szCs w:val="21"/>
          <w:lang w:eastAsia="zh-CN"/>
        </w:rPr>
        <w:t>陈星</w:t>
      </w:r>
    </w:p>
    <w:p>
      <w:pPr>
        <w:adjustRightInd w:val="0"/>
        <w:snapToGrid w:val="0"/>
        <w:spacing w:line="360" w:lineRule="auto"/>
        <w:ind w:firstLine="411" w:firstLineChars="196"/>
        <w:rPr>
          <w:rFonts w:hint="eastAsia" w:ascii="宋体" w:hAnsi="宋体" w:eastAsia="宋体" w:cs="宋体"/>
          <w:b w:val="0"/>
          <w:bCs w:val="0"/>
          <w:color w:val="auto"/>
          <w:szCs w:val="21"/>
        </w:rPr>
      </w:pPr>
      <w:r>
        <w:rPr>
          <w:rFonts w:hint="eastAsia" w:ascii="宋体" w:hAnsi="宋体" w:eastAsia="宋体" w:cs="宋体"/>
          <w:b w:val="0"/>
          <w:bCs w:val="0"/>
          <w:color w:val="auto"/>
          <w:szCs w:val="21"/>
        </w:rPr>
        <w:t>地</w:t>
      </w:r>
      <w:r>
        <w:rPr>
          <w:rFonts w:hint="eastAsia" w:ascii="宋体" w:hAnsi="宋体" w:eastAsia="宋体" w:cs="宋体"/>
          <w:b w:val="0"/>
          <w:bCs w:val="0"/>
          <w:color w:val="auto"/>
          <w:szCs w:val="21"/>
          <w:lang w:val="en-US" w:eastAsia="zh-CN"/>
        </w:rPr>
        <w:t xml:space="preserve">  </w:t>
      </w:r>
      <w:r>
        <w:rPr>
          <w:rFonts w:hint="eastAsia" w:ascii="宋体" w:hAnsi="宋体" w:eastAsia="宋体" w:cs="宋体"/>
          <w:b w:val="0"/>
          <w:bCs w:val="0"/>
          <w:color w:val="auto"/>
          <w:szCs w:val="21"/>
        </w:rPr>
        <w:t>址：长沙市开福区秀峰街道植基路79号秀峰美苑11栋4楼</w:t>
      </w:r>
    </w:p>
    <w:p>
      <w:pPr>
        <w:adjustRightInd w:val="0"/>
        <w:snapToGrid w:val="0"/>
        <w:spacing w:line="360" w:lineRule="auto"/>
        <w:ind w:firstLine="411" w:firstLineChars="196"/>
        <w:outlineLvl w:val="9"/>
        <w:rPr>
          <w:rFonts w:hint="eastAsia" w:ascii="宋体" w:hAnsi="宋体" w:eastAsia="宋体" w:cs="宋体"/>
          <w:b w:val="0"/>
          <w:bCs w:val="0"/>
          <w:color w:val="auto"/>
          <w:szCs w:val="21"/>
          <w:lang w:eastAsia="zh-CN"/>
        </w:rPr>
      </w:pPr>
    </w:p>
    <w:p>
      <w:pPr>
        <w:pStyle w:val="2"/>
        <w:outlineLvl w:val="9"/>
        <w:rPr>
          <w:rFonts w:hint="eastAsia" w:ascii="宋体" w:hAnsi="宋体" w:eastAsia="宋体" w:cs="宋体"/>
          <w:color w:val="auto"/>
          <w:highlight w:val="yellow"/>
        </w:rPr>
      </w:pPr>
    </w:p>
    <w:p>
      <w:pPr>
        <w:outlineLvl w:val="9"/>
        <w:rPr>
          <w:rFonts w:hint="eastAsia" w:ascii="宋体" w:hAnsi="宋体" w:eastAsia="宋体" w:cs="宋体"/>
          <w:color w:val="auto"/>
          <w:highlight w:val="yellow"/>
        </w:rPr>
      </w:pPr>
    </w:p>
    <w:p>
      <w:pPr>
        <w:pStyle w:val="2"/>
        <w:jc w:val="right"/>
        <w:outlineLvl w:val="9"/>
        <w:rPr>
          <w:rFonts w:hint="eastAsia" w:ascii="宋体" w:hAnsi="宋体" w:eastAsia="宋体" w:cs="宋体"/>
          <w:color w:val="auto"/>
        </w:rPr>
      </w:pPr>
      <w:r>
        <w:rPr>
          <w:rFonts w:hint="eastAsia" w:ascii="宋体" w:hAnsi="宋体" w:eastAsia="宋体" w:cs="宋体"/>
          <w:color w:val="auto"/>
          <w:szCs w:val="21"/>
        </w:rPr>
        <w:t>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w:t>
      </w:r>
      <w:r>
        <w:rPr>
          <w:rFonts w:hint="eastAsia" w:ascii="宋体" w:hAnsi="宋体" w:cs="宋体"/>
          <w:color w:val="auto"/>
          <w:szCs w:val="21"/>
          <w:lang w:val="en-US" w:eastAsia="zh-CN"/>
        </w:rPr>
        <w:t>11</w:t>
      </w:r>
      <w:r>
        <w:rPr>
          <w:rFonts w:hint="eastAsia" w:ascii="宋体" w:hAnsi="宋体" w:eastAsia="宋体" w:cs="宋体"/>
          <w:color w:val="auto"/>
          <w:szCs w:val="21"/>
        </w:rPr>
        <w:t>月</w:t>
      </w:r>
      <w:r>
        <w:rPr>
          <w:rFonts w:hint="eastAsia" w:ascii="宋体" w:hAnsi="宋体" w:cs="宋体"/>
          <w:color w:val="auto"/>
          <w:szCs w:val="21"/>
          <w:lang w:val="en-US" w:eastAsia="zh-CN"/>
        </w:rPr>
        <w:t>30</w:t>
      </w:r>
      <w:r>
        <w:rPr>
          <w:rFonts w:hint="eastAsia" w:ascii="宋体" w:hAnsi="宋体" w:eastAsia="宋体" w:cs="宋体"/>
          <w:color w:val="auto"/>
          <w:szCs w:val="21"/>
        </w:rPr>
        <w:t>日</w:t>
      </w:r>
    </w:p>
    <w:p>
      <w:pPr>
        <w:outlineLvl w:val="9"/>
        <w:rPr>
          <w:rFonts w:hint="eastAsia" w:ascii="宋体" w:hAnsi="宋体" w:eastAsia="宋体" w:cs="宋体"/>
          <w:color w:val="auto"/>
        </w:rPr>
        <w:sectPr>
          <w:footerReference r:id="rId4" w:type="default"/>
          <w:pgSz w:w="11906" w:h="16838"/>
          <w:pgMar w:top="1191" w:right="1417" w:bottom="1191" w:left="1191" w:header="851" w:footer="851" w:gutter="0"/>
          <w:pgNumType w:fmt="decimal" w:start="1"/>
          <w:cols w:space="720" w:num="1"/>
          <w:docGrid w:linePitch="312" w:charSpace="0"/>
        </w:sectPr>
      </w:pPr>
    </w:p>
    <w:p>
      <w:pPr>
        <w:outlineLvl w:val="9"/>
        <w:rPr>
          <w:rFonts w:hint="eastAsia" w:ascii="黑体" w:hAnsi="黑体" w:eastAsia="黑体" w:cs="黑体"/>
          <w:color w:val="auto"/>
          <w:sz w:val="28"/>
          <w:szCs w:val="28"/>
        </w:rPr>
      </w:pPr>
      <w:r>
        <w:rPr>
          <w:rFonts w:hint="eastAsia" w:ascii="黑体" w:hAnsi="黑体" w:eastAsia="黑体" w:cs="黑体"/>
          <w:color w:val="auto"/>
          <w:sz w:val="28"/>
          <w:szCs w:val="28"/>
        </w:rPr>
        <w:t>附表</w:t>
      </w:r>
      <w:r>
        <w:rPr>
          <w:rFonts w:hint="eastAsia" w:ascii="黑体" w:hAnsi="黑体" w:eastAsia="黑体" w:cs="黑体"/>
          <w:color w:val="auto"/>
          <w:sz w:val="28"/>
          <w:szCs w:val="28"/>
          <w:lang w:val="en-US" w:eastAsia="zh-CN"/>
        </w:rPr>
        <w:t>1</w:t>
      </w:r>
      <w:r>
        <w:rPr>
          <w:rFonts w:hint="eastAsia" w:ascii="黑体" w:hAnsi="黑体" w:eastAsia="黑体" w:cs="黑体"/>
          <w:color w:val="auto"/>
          <w:sz w:val="28"/>
          <w:szCs w:val="28"/>
        </w:rPr>
        <w:t>：</w:t>
      </w:r>
    </w:p>
    <w:p>
      <w:pPr>
        <w:pStyle w:val="41"/>
        <w:spacing w:line="450" w:lineRule="atLeast"/>
        <w:jc w:val="center"/>
        <w:outlineLvl w:val="9"/>
        <w:rPr>
          <w:rFonts w:hint="eastAsia" w:ascii="宋体" w:hAnsi="宋体" w:eastAsia="宋体" w:cs="宋体"/>
          <w:b/>
          <w:bCs/>
          <w:color w:val="auto"/>
        </w:rPr>
      </w:pPr>
      <w:bookmarkStart w:id="7" w:name="_Hlk70062588"/>
      <w:r>
        <w:rPr>
          <w:rFonts w:hint="eastAsia" w:ascii="宋体" w:hAnsi="宋体" w:eastAsia="宋体" w:cs="宋体"/>
          <w:b/>
          <w:bCs/>
          <w:color w:val="auto"/>
        </w:rPr>
        <w:t>关键岗位人员最低配备要求表</w:t>
      </w:r>
    </w:p>
    <w:bookmarkEnd w:id="7"/>
    <w:tbl>
      <w:tblPr>
        <w:tblStyle w:val="47"/>
        <w:tblW w:w="97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43"/>
        <w:gridCol w:w="75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2243" w:type="dxa"/>
            <w:vAlign w:val="center"/>
          </w:tcPr>
          <w:p>
            <w:pPr>
              <w:pStyle w:val="41"/>
              <w:spacing w:before="0" w:beforeAutospacing="0" w:after="0" w:afterAutospacing="0" w:line="400" w:lineRule="exact"/>
              <w:jc w:val="center"/>
              <w:rPr>
                <w:rFonts w:hint="eastAsia" w:ascii="宋体" w:hAnsi="宋体" w:eastAsia="宋体" w:cs="宋体"/>
                <w:color w:val="auto"/>
                <w:sz w:val="21"/>
                <w:szCs w:val="21"/>
              </w:rPr>
            </w:pPr>
            <w:bookmarkStart w:id="8" w:name="_Hlk70062579"/>
            <w:r>
              <w:rPr>
                <w:rFonts w:hint="eastAsia" w:ascii="宋体" w:hAnsi="宋体" w:eastAsia="宋体" w:cs="宋体"/>
                <w:color w:val="auto"/>
                <w:sz w:val="21"/>
                <w:szCs w:val="21"/>
              </w:rPr>
              <w:t>关键岗位人员</w:t>
            </w:r>
          </w:p>
          <w:p>
            <w:pPr>
              <w:pStyle w:val="41"/>
              <w:spacing w:before="0" w:beforeAutospacing="0" w:after="0" w:afterAutospacing="0"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最低配备要求</w:t>
            </w:r>
          </w:p>
        </w:tc>
        <w:tc>
          <w:tcPr>
            <w:tcW w:w="7515" w:type="dxa"/>
            <w:vAlign w:val="center"/>
          </w:tcPr>
          <w:p>
            <w:pPr>
              <w:pStyle w:val="41"/>
              <w:spacing w:before="0" w:beforeAutospacing="0" w:after="0" w:afterAutospacing="0"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7" w:hRule="atLeast"/>
          <w:jc w:val="center"/>
        </w:trPr>
        <w:tc>
          <w:tcPr>
            <w:tcW w:w="2243" w:type="dxa"/>
            <w:vAlign w:val="center"/>
          </w:tcPr>
          <w:p>
            <w:pPr>
              <w:pStyle w:val="41"/>
              <w:spacing w:before="0" w:beforeAutospacing="0" w:after="0" w:afterAutospacing="0" w:line="400" w:lineRule="exact"/>
              <w:ind w:firstLine="420" w:firstLineChars="200"/>
              <w:rPr>
                <w:rFonts w:hint="eastAsia"/>
                <w:color w:val="auto"/>
                <w:sz w:val="21"/>
                <w:szCs w:val="21"/>
              </w:rPr>
            </w:pPr>
            <w:r>
              <w:rPr>
                <w:rFonts w:hint="eastAsia"/>
                <w:color w:val="auto"/>
                <w:sz w:val="21"/>
                <w:szCs w:val="21"/>
              </w:rPr>
              <w:t>现场施工部关键岗位人员按湘建建【2020】208号文最低配备如下：</w:t>
            </w:r>
          </w:p>
          <w:p>
            <w:pPr>
              <w:pStyle w:val="41"/>
              <w:spacing w:before="0" w:beforeAutospacing="0" w:after="0" w:afterAutospacing="0" w:line="400" w:lineRule="exact"/>
              <w:ind w:firstLine="420" w:firstLineChars="200"/>
              <w:rPr>
                <w:rFonts w:hint="eastAsia" w:ascii="宋体" w:hAnsi="宋体" w:eastAsia="宋体" w:cs="宋体"/>
                <w:color w:val="auto"/>
                <w:sz w:val="21"/>
                <w:szCs w:val="21"/>
              </w:rPr>
            </w:pPr>
            <w:r>
              <w:rPr>
                <w:rFonts w:hint="eastAsia"/>
                <w:color w:val="auto"/>
                <w:sz w:val="21"/>
                <w:szCs w:val="21"/>
              </w:rPr>
              <w:t>项目负责人1人、项目技术负责人1人、施工员1人、专职安全员1人</w:t>
            </w:r>
          </w:p>
        </w:tc>
        <w:tc>
          <w:tcPr>
            <w:tcW w:w="7515" w:type="dxa"/>
            <w:vAlign w:val="center"/>
          </w:tcPr>
          <w:p>
            <w:pPr>
              <w:pStyle w:val="41"/>
              <w:spacing w:before="0" w:beforeAutospacing="0" w:after="0" w:afterAutospacing="0"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1.拟任项目负责人具备建筑工程专业贰级及以上注册建造师执业资格和项目负责人安全生产考核合格证。</w:t>
            </w:r>
          </w:p>
          <w:p>
            <w:pPr>
              <w:pStyle w:val="41"/>
              <w:spacing w:before="0" w:beforeAutospacing="0" w:after="0" w:afterAutospacing="0"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2.拟任技术负责人具备建筑工程相关专业中级及以上职称。</w:t>
            </w:r>
          </w:p>
          <w:p>
            <w:pPr>
              <w:pStyle w:val="41"/>
              <w:spacing w:before="0" w:beforeAutospacing="0" w:after="0" w:afterAutospacing="0"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3.拟任施工员具备施工员岗位资格证书。</w:t>
            </w:r>
          </w:p>
          <w:p>
            <w:pPr>
              <w:pStyle w:val="41"/>
              <w:spacing w:before="0" w:beforeAutospacing="0" w:after="0" w:afterAutospacing="0"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4.拟任专职安全员具备专职安全生产管理人员安全生产考核合格证。</w:t>
            </w:r>
          </w:p>
          <w:p>
            <w:pPr>
              <w:pStyle w:val="41"/>
              <w:spacing w:before="0" w:beforeAutospacing="0" w:after="0" w:afterAutospacing="0"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注：岗位资格证书注明了单位名称的，应与本人执业单位一致。</w:t>
            </w:r>
          </w:p>
        </w:tc>
      </w:tr>
    </w:tbl>
    <w:p>
      <w:pPr>
        <w:widowControl/>
        <w:ind w:firstLine="420" w:firstLineChars="200"/>
        <w:jc w:val="left"/>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注：在项目实施过程中，现场施工部关键岗位人员配备应按《湖南省建设工程施工项目部和现场监理部关键岗位人员配备管理办法》（湘建建【2020】208号文）的规定执行。</w:t>
      </w:r>
    </w:p>
    <w:bookmarkEnd w:id="8"/>
    <w:p>
      <w:pPr>
        <w:pStyle w:val="3"/>
        <w:keepNext w:val="0"/>
        <w:spacing w:after="240"/>
        <w:rPr>
          <w:rFonts w:hint="eastAsia" w:ascii="宋体" w:hAnsi="宋体" w:eastAsia="宋体" w:cs="宋体"/>
          <w:bCs w:val="0"/>
          <w:color w:val="auto"/>
          <w:sz w:val="32"/>
          <w:szCs w:val="32"/>
        </w:rPr>
      </w:pPr>
      <w:r>
        <w:rPr>
          <w:rFonts w:hint="eastAsia" w:ascii="宋体" w:hAnsi="宋体" w:eastAsia="宋体" w:cs="宋体"/>
          <w:b w:val="0"/>
          <w:bCs w:val="0"/>
          <w:color w:val="auto"/>
          <w:sz w:val="32"/>
          <w:szCs w:val="32"/>
        </w:rPr>
        <w:br w:type="page"/>
      </w:r>
      <w:bookmarkStart w:id="9" w:name="_Toc6753"/>
      <w:bookmarkStart w:id="10" w:name="_Toc14891065"/>
      <w:bookmarkStart w:id="11" w:name="_Toc22907"/>
      <w:bookmarkStart w:id="12" w:name="_Toc5145"/>
      <w:bookmarkStart w:id="13" w:name="_Toc24460"/>
      <w:bookmarkStart w:id="14" w:name="_Toc8914"/>
      <w:r>
        <w:rPr>
          <w:rFonts w:hint="eastAsia" w:ascii="宋体" w:hAnsi="宋体" w:eastAsia="宋体" w:cs="宋体"/>
          <w:bCs w:val="0"/>
          <w:color w:val="auto"/>
          <w:sz w:val="32"/>
          <w:szCs w:val="32"/>
        </w:rPr>
        <w:t>第二章  谈判须知</w:t>
      </w:r>
      <w:bookmarkEnd w:id="9"/>
      <w:bookmarkEnd w:id="10"/>
      <w:bookmarkEnd w:id="11"/>
      <w:bookmarkEnd w:id="12"/>
      <w:bookmarkEnd w:id="13"/>
      <w:bookmarkEnd w:id="14"/>
    </w:p>
    <w:p>
      <w:pPr>
        <w:pStyle w:val="4"/>
        <w:keepNext w:val="0"/>
        <w:keepLines w:val="0"/>
        <w:jc w:val="center"/>
        <w:rPr>
          <w:rFonts w:hint="eastAsia" w:ascii="宋体" w:hAnsi="宋体" w:eastAsia="宋体" w:cs="宋体"/>
          <w:color w:val="auto"/>
          <w:sz w:val="21"/>
          <w:szCs w:val="21"/>
        </w:rPr>
      </w:pPr>
      <w:bookmarkStart w:id="15" w:name="_Toc9591"/>
      <w:bookmarkStart w:id="16" w:name="_Toc6617"/>
      <w:bookmarkStart w:id="17" w:name="_Toc14891066"/>
      <w:bookmarkStart w:id="18" w:name="_Toc11066"/>
      <w:bookmarkStart w:id="19" w:name="_Toc5430"/>
      <w:bookmarkStart w:id="20" w:name="_Toc16397"/>
      <w:r>
        <w:rPr>
          <w:rFonts w:hint="eastAsia" w:ascii="宋体" w:hAnsi="宋体" w:eastAsia="宋体" w:cs="宋体"/>
          <w:color w:val="auto"/>
          <w:sz w:val="32"/>
        </w:rPr>
        <w:t>谈判须知前附表</w:t>
      </w:r>
      <w:bookmarkEnd w:id="15"/>
      <w:bookmarkEnd w:id="16"/>
      <w:bookmarkEnd w:id="17"/>
      <w:bookmarkEnd w:id="18"/>
      <w:bookmarkEnd w:id="19"/>
      <w:bookmarkEnd w:id="20"/>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名  称</w:t>
            </w:r>
          </w:p>
        </w:tc>
        <w:tc>
          <w:tcPr>
            <w:tcW w:w="7788"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采购项目</w:t>
            </w:r>
          </w:p>
        </w:tc>
        <w:tc>
          <w:tcPr>
            <w:tcW w:w="7788" w:type="dxa"/>
            <w:vAlign w:val="center"/>
          </w:tcPr>
          <w:p>
            <w:pPr>
              <w:adjustRightInd w:val="0"/>
              <w:snapToGrid w:val="0"/>
              <w:spacing w:line="360" w:lineRule="auto"/>
              <w:jc w:val="left"/>
              <w:rPr>
                <w:rFonts w:hint="eastAsia" w:ascii="宋体" w:hAnsi="宋体" w:eastAsia="宋体" w:cs="宋体"/>
                <w:color w:val="auto"/>
                <w:szCs w:val="21"/>
                <w:lang w:eastAsia="zh-CN"/>
              </w:rPr>
            </w:pPr>
            <w:r>
              <w:rPr>
                <w:rFonts w:hint="eastAsia" w:ascii="宋体" w:hAnsi="宋体" w:cs="宋体"/>
                <w:iCs/>
                <w:color w:val="auto"/>
                <w:szCs w:val="21"/>
                <w:lang w:eastAsia="zh-CN"/>
              </w:rPr>
              <w:t>长沙市轨道交通1、2、3、4号线运营期车辆段场加装遮阳棚改造工程项目（第三次）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采购单位</w:t>
            </w:r>
          </w:p>
        </w:tc>
        <w:tc>
          <w:tcPr>
            <w:tcW w:w="7788" w:type="dxa"/>
            <w:vAlign w:val="center"/>
          </w:tcPr>
          <w:p>
            <w:pPr>
              <w:adjustRightInd w:val="0"/>
              <w:snapToGrid w:val="0"/>
              <w:spacing w:line="360" w:lineRule="auto"/>
              <w:rPr>
                <w:rFonts w:hint="eastAsia" w:ascii="宋体" w:hAnsi="宋体" w:cs="宋体"/>
                <w:iCs/>
                <w:color w:val="auto"/>
                <w:szCs w:val="21"/>
                <w:lang w:eastAsia="zh-CN"/>
              </w:rPr>
            </w:pPr>
            <w:r>
              <w:rPr>
                <w:rFonts w:hint="eastAsia" w:ascii="宋体" w:hAnsi="宋体" w:cs="宋体"/>
                <w:iCs/>
                <w:color w:val="auto"/>
                <w:szCs w:val="21"/>
                <w:lang w:eastAsia="zh-CN"/>
              </w:rPr>
              <w:t>长沙市轨道交通一号线建设发展有限公司</w:t>
            </w:r>
          </w:p>
          <w:p>
            <w:pPr>
              <w:adjustRightInd w:val="0"/>
              <w:snapToGrid w:val="0"/>
              <w:spacing w:line="360" w:lineRule="auto"/>
              <w:rPr>
                <w:rFonts w:hint="eastAsia" w:ascii="宋体" w:hAnsi="宋体" w:cs="宋体"/>
                <w:iCs/>
                <w:color w:val="auto"/>
                <w:szCs w:val="21"/>
                <w:lang w:eastAsia="zh-CN"/>
              </w:rPr>
            </w:pPr>
            <w:r>
              <w:rPr>
                <w:rFonts w:hint="eastAsia" w:ascii="宋体" w:hAnsi="宋体" w:cs="宋体"/>
                <w:iCs/>
                <w:color w:val="auto"/>
                <w:szCs w:val="21"/>
                <w:lang w:eastAsia="zh-CN"/>
              </w:rPr>
              <w:t>长沙市轨道交通运营有限公司</w:t>
            </w:r>
          </w:p>
          <w:p>
            <w:pPr>
              <w:adjustRightInd w:val="0"/>
              <w:snapToGrid w:val="0"/>
              <w:spacing w:line="360" w:lineRule="auto"/>
              <w:rPr>
                <w:rFonts w:hint="eastAsia" w:ascii="宋体" w:hAnsi="宋体" w:cs="宋体"/>
                <w:iCs/>
                <w:color w:val="auto"/>
                <w:szCs w:val="21"/>
                <w:lang w:eastAsia="zh-CN"/>
              </w:rPr>
            </w:pPr>
            <w:r>
              <w:rPr>
                <w:rFonts w:hint="eastAsia" w:ascii="宋体" w:hAnsi="宋体" w:cs="宋体"/>
                <w:iCs/>
                <w:color w:val="auto"/>
                <w:szCs w:val="21"/>
                <w:lang w:eastAsia="zh-CN"/>
              </w:rPr>
              <w:t>长沙市轨道交通三号线建设发展有限公司</w:t>
            </w:r>
          </w:p>
          <w:p>
            <w:pPr>
              <w:adjustRightInd w:val="0"/>
              <w:snapToGrid w:val="0"/>
              <w:spacing w:line="360" w:lineRule="auto"/>
              <w:rPr>
                <w:rFonts w:hint="eastAsia" w:ascii="宋体" w:hAnsi="宋体" w:eastAsia="宋体" w:cs="宋体"/>
                <w:iCs/>
                <w:color w:val="auto"/>
                <w:szCs w:val="21"/>
                <w:lang w:eastAsia="zh-CN"/>
              </w:rPr>
            </w:pPr>
            <w:r>
              <w:rPr>
                <w:rFonts w:hint="eastAsia" w:ascii="宋体" w:hAnsi="宋体" w:cs="宋体"/>
                <w:iCs/>
                <w:color w:val="auto"/>
                <w:szCs w:val="21"/>
                <w:lang w:eastAsia="zh-CN"/>
              </w:rPr>
              <w:t>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采购代理机构</w:t>
            </w:r>
          </w:p>
        </w:tc>
        <w:tc>
          <w:tcPr>
            <w:tcW w:w="7788" w:type="dxa"/>
            <w:vAlign w:val="center"/>
          </w:tcPr>
          <w:p>
            <w:pPr>
              <w:adjustRightInd w:val="0"/>
              <w:snapToGrid w:val="0"/>
              <w:spacing w:line="360" w:lineRule="auto"/>
              <w:jc w:val="left"/>
              <w:rPr>
                <w:rFonts w:hint="eastAsia" w:ascii="宋体" w:hAnsi="宋体" w:eastAsia="宋体" w:cs="宋体"/>
                <w:iCs/>
                <w:color w:val="auto"/>
                <w:szCs w:val="21"/>
                <w:lang w:eastAsia="zh-CN"/>
              </w:rPr>
            </w:pPr>
            <w:r>
              <w:rPr>
                <w:rFonts w:hint="eastAsia" w:ascii="宋体" w:hAnsi="宋体" w:cs="宋体"/>
                <w:iCs/>
                <w:color w:val="auto"/>
                <w:szCs w:val="21"/>
                <w:lang w:eastAsia="zh-CN"/>
              </w:rPr>
              <w:t>湖南明诚项目管理有限公司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最高限价</w:t>
            </w:r>
          </w:p>
        </w:tc>
        <w:tc>
          <w:tcPr>
            <w:tcW w:w="7788" w:type="dxa"/>
            <w:vAlign w:val="center"/>
          </w:tcPr>
          <w:p>
            <w:pPr>
              <w:adjustRightInd w:val="0"/>
              <w:snapToGrid w:val="0"/>
              <w:spacing w:line="360" w:lineRule="auto"/>
              <w:jc w:val="left"/>
              <w:rPr>
                <w:rFonts w:hint="eastAsia" w:ascii="宋体" w:hAnsi="宋体" w:eastAsia="宋体" w:cs="宋体"/>
                <w:iCs/>
                <w:color w:val="auto"/>
                <w:szCs w:val="21"/>
              </w:rPr>
            </w:pPr>
            <w:r>
              <w:rPr>
                <w:rFonts w:hint="eastAsia" w:ascii="宋体" w:hAnsi="宋体" w:cs="宋体"/>
                <w:color w:val="auto"/>
                <w:szCs w:val="21"/>
                <w:highlight w:val="none"/>
                <w:lang w:val="en-US" w:eastAsia="zh-CN"/>
              </w:rPr>
              <w:t>773460.20元</w:t>
            </w:r>
            <w:r>
              <w:rPr>
                <w:rFonts w:hint="eastAsia" w:ascii="宋体" w:hAnsi="宋体" w:eastAsia="宋体" w:cs="宋体"/>
                <w:color w:val="auto"/>
                <w:szCs w:val="21"/>
                <w:highlight w:val="none"/>
              </w:rPr>
              <w:t>，不超过最高限价的谈判报价为有</w:t>
            </w:r>
            <w:r>
              <w:rPr>
                <w:rFonts w:hint="eastAsia" w:ascii="宋体" w:hAnsi="宋体" w:eastAsia="宋体" w:cs="宋体"/>
                <w:color w:val="auto"/>
                <w:szCs w:val="21"/>
                <w:highlight w:val="none"/>
                <w:lang w:eastAsia="zh-CN"/>
              </w:rPr>
              <w:t>效</w:t>
            </w:r>
            <w:r>
              <w:rPr>
                <w:rFonts w:hint="eastAsia" w:ascii="宋体" w:hAnsi="宋体" w:eastAsia="宋体" w:cs="宋体"/>
                <w:color w:val="auto"/>
                <w:szCs w:val="21"/>
                <w:highlight w:val="none"/>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评审办法</w:t>
            </w:r>
          </w:p>
        </w:tc>
        <w:tc>
          <w:tcPr>
            <w:tcW w:w="7788" w:type="dxa"/>
            <w:vAlign w:val="center"/>
          </w:tcPr>
          <w:p>
            <w:pPr>
              <w:adjustRightInd w:val="0"/>
              <w:snapToGrid w:val="0"/>
              <w:spacing w:line="360" w:lineRule="auto"/>
              <w:jc w:val="left"/>
              <w:rPr>
                <w:rFonts w:hint="eastAsia" w:ascii="宋体" w:hAnsi="宋体" w:eastAsia="宋体" w:cs="宋体"/>
                <w:iCs/>
                <w:color w:val="auto"/>
                <w:szCs w:val="21"/>
              </w:rPr>
            </w:pPr>
            <w:r>
              <w:rPr>
                <w:rFonts w:hint="eastAsia" w:ascii="宋体" w:hAnsi="宋体" w:cs="宋体"/>
                <w:bCs/>
                <w:color w:val="auto"/>
                <w:sz w:val="21"/>
                <w:szCs w:val="21"/>
                <w:lang w:eastAsia="zh-CN"/>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资格要求</w:t>
            </w:r>
          </w:p>
        </w:tc>
        <w:tc>
          <w:tcPr>
            <w:tcW w:w="77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lang w:val="en-US" w:eastAsia="zh-CN"/>
              </w:rPr>
            </w:pPr>
            <w:r>
              <w:rPr>
                <w:rFonts w:hint="eastAsia"/>
                <w:color w:val="auto"/>
                <w:highlight w:val="none"/>
              </w:rPr>
              <w:t>1</w:t>
            </w:r>
            <w:r>
              <w:rPr>
                <w:rFonts w:hint="eastAsia" w:ascii="宋体" w:hAnsi="宋体" w:eastAsia="宋体" w:cs="宋体"/>
                <w:bCs/>
                <w:color w:val="auto"/>
                <w:sz w:val="21"/>
                <w:szCs w:val="21"/>
                <w:lang w:val="en-US" w:eastAsia="zh-CN"/>
              </w:rPr>
              <w:t>.谈判单位须为具有独立法人资格、自主经营、独立核算的公司，省外入湘企业在“湖南省住房和城乡建设网”进行了基本信息登记。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r>
              <w:rPr>
                <w:rFonts w:hint="eastAsia" w:ascii="宋体" w:hAnsi="宋体" w:eastAsia="宋体" w:cs="宋体"/>
                <w:color w:val="auto"/>
                <w:szCs w:val="21"/>
              </w:rPr>
              <w:t>谈判单位须具有</w:t>
            </w:r>
            <w:r>
              <w:rPr>
                <w:rFonts w:hint="eastAsia" w:ascii="宋体" w:hAnsi="宋体" w:eastAsia="宋体" w:cs="宋体"/>
                <w:color w:val="auto"/>
                <w:lang w:eastAsia="zh-CN"/>
              </w:rPr>
              <w:t>建筑工程施工总承包三级</w:t>
            </w:r>
            <w:r>
              <w:rPr>
                <w:rFonts w:hint="eastAsia" w:ascii="宋体" w:hAnsi="宋体" w:eastAsia="宋体" w:cs="宋体"/>
                <w:color w:val="auto"/>
                <w:szCs w:val="21"/>
              </w:rPr>
              <w:t>（含）以上资质，须具有有效的施工企业《安全生产许可证》</w:t>
            </w:r>
            <w:r>
              <w:rPr>
                <w:rFonts w:hint="eastAsia" w:ascii="宋体" w:hAnsi="宋体" w:eastAsia="宋体" w:cs="宋体"/>
                <w:bCs/>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3.本项目现场施工部关键岗位人员最低配备按《湖南省建设工程施工项目部和现场监理部关键岗位人员配备管理办法》湘建建〔2020〕208号文执行。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4.本项目不接受联合体形式参与谈判。</w:t>
            </w:r>
          </w:p>
          <w:p>
            <w:pPr>
              <w:spacing w:line="360" w:lineRule="auto"/>
              <w:rPr>
                <w:rFonts w:hint="eastAsia" w:ascii="宋体" w:hAnsi="宋体" w:eastAsia="宋体" w:cs="宋体"/>
                <w:color w:val="auto"/>
                <w:szCs w:val="21"/>
              </w:rPr>
            </w:pPr>
            <w:r>
              <w:rPr>
                <w:rFonts w:hint="eastAsia" w:ascii="宋体" w:hAnsi="宋体" w:eastAsia="宋体" w:cs="宋体"/>
                <w:bCs/>
                <w:color w:val="auto"/>
                <w:sz w:val="21"/>
                <w:szCs w:val="21"/>
                <w:lang w:val="en-US" w:eastAsia="zh-CN"/>
              </w:rPr>
              <w:t>5.被长沙市轨道交通集团有限公司及长沙市轨道交通运营有限公司函告禁止在一定期限内参与投标的单位按函告内容执行。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谈判答疑文件递交截止时间</w:t>
            </w:r>
          </w:p>
        </w:tc>
        <w:tc>
          <w:tcPr>
            <w:tcW w:w="7788" w:type="dxa"/>
            <w:vAlign w:val="center"/>
          </w:tcPr>
          <w:p>
            <w:pPr>
              <w:pStyle w:val="25"/>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20</w:t>
            </w:r>
            <w:r>
              <w:rPr>
                <w:rFonts w:hint="eastAsia" w:ascii="宋体" w:hAnsi="宋体" w:eastAsia="宋体" w:cs="宋体"/>
                <w:color w:val="auto"/>
                <w:lang w:val="en-US" w:eastAsia="zh-CN"/>
              </w:rPr>
              <w:t>21</w:t>
            </w:r>
            <w:r>
              <w:rPr>
                <w:rFonts w:hint="eastAsia" w:ascii="宋体" w:hAnsi="宋体" w:eastAsia="宋体" w:cs="宋体"/>
                <w:color w:val="auto"/>
              </w:rPr>
              <w:t>年</w:t>
            </w:r>
            <w:r>
              <w:rPr>
                <w:rFonts w:hint="eastAsia" w:hAnsi="宋体" w:cs="宋体"/>
                <w:color w:val="auto"/>
                <w:u w:val="single"/>
                <w:lang w:val="en-US" w:eastAsia="zh-CN"/>
              </w:rPr>
              <w:t>12</w:t>
            </w:r>
            <w:r>
              <w:rPr>
                <w:rFonts w:hint="eastAsia" w:ascii="宋体" w:hAnsi="宋体" w:eastAsia="宋体" w:cs="宋体"/>
                <w:color w:val="auto"/>
              </w:rPr>
              <w:t>月</w:t>
            </w:r>
            <w:r>
              <w:rPr>
                <w:rFonts w:hint="eastAsia" w:hAnsi="宋体" w:cs="宋体"/>
                <w:color w:val="auto"/>
                <w:u w:val="single"/>
                <w:lang w:val="en-US" w:eastAsia="zh-CN"/>
              </w:rPr>
              <w:t>07</w:t>
            </w:r>
            <w:r>
              <w:rPr>
                <w:rFonts w:hint="eastAsia" w:ascii="宋体" w:hAnsi="宋体" w:eastAsia="宋体" w:cs="宋体"/>
                <w:color w:val="auto"/>
              </w:rPr>
              <w:t>日17时00分(北京时间)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谈判答疑文件递交方式及地点</w:t>
            </w:r>
          </w:p>
        </w:tc>
        <w:tc>
          <w:tcPr>
            <w:tcW w:w="7788" w:type="dxa"/>
            <w:vAlign w:val="center"/>
          </w:tcPr>
          <w:p>
            <w:pPr>
              <w:spacing w:line="360" w:lineRule="auto"/>
              <w:rPr>
                <w:rFonts w:hint="eastAsia" w:ascii="宋体" w:hAnsi="宋体" w:eastAsia="宋体" w:cs="宋体"/>
                <w:iCs/>
                <w:color w:val="auto"/>
              </w:rPr>
            </w:pPr>
            <w:r>
              <w:rPr>
                <w:rFonts w:hint="eastAsia" w:ascii="宋体" w:hAnsi="宋体" w:eastAsia="宋体" w:cs="宋体"/>
                <w:color w:val="auto"/>
              </w:rPr>
              <w:t>谈判答疑文件应以书面形式递交至</w:t>
            </w:r>
            <w:r>
              <w:rPr>
                <w:rFonts w:hint="eastAsia" w:ascii="宋体" w:hAnsi="宋体" w:cs="宋体"/>
                <w:b w:val="0"/>
                <w:bCs w:val="0"/>
                <w:iCs/>
                <w:color w:val="auto"/>
                <w:szCs w:val="21"/>
                <w:lang w:eastAsia="zh-CN"/>
              </w:rPr>
              <w:t>湖南明诚项目管理有限公司</w:t>
            </w:r>
            <w:r>
              <w:rPr>
                <w:rFonts w:hint="eastAsia" w:ascii="宋体" w:hAnsi="宋体" w:eastAsia="宋体" w:cs="宋体"/>
                <w:b w:val="0"/>
                <w:bCs w:val="0"/>
                <w:iCs/>
                <w:color w:val="auto"/>
                <w:szCs w:val="21"/>
                <w:lang w:eastAsia="zh-CN"/>
              </w:rPr>
              <w:t>，</w:t>
            </w:r>
            <w:r>
              <w:rPr>
                <w:rFonts w:hint="eastAsia" w:ascii="宋体" w:hAnsi="宋体" w:eastAsia="宋体" w:cs="宋体"/>
                <w:color w:val="auto"/>
                <w:szCs w:val="21"/>
              </w:rPr>
              <w:t>地址：长沙市开福区秀峰街道植基路79号秀峰美苑11栋4楼</w:t>
            </w:r>
            <w:r>
              <w:rPr>
                <w:rFonts w:hint="eastAsia" w:ascii="宋体" w:hAnsi="宋体" w:eastAsia="宋体" w:cs="宋体"/>
                <w:color w:va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响应文件的递交截止及谈判时间</w:t>
            </w:r>
          </w:p>
        </w:tc>
        <w:tc>
          <w:tcPr>
            <w:tcW w:w="7788" w:type="dxa"/>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w:t>
            </w:r>
            <w:r>
              <w:rPr>
                <w:rFonts w:hint="eastAsia" w:ascii="宋体" w:hAnsi="宋体" w:cs="宋体"/>
                <w:color w:val="auto"/>
                <w:szCs w:val="21"/>
                <w:u w:val="single"/>
                <w:lang w:val="en-US" w:eastAsia="zh-CN"/>
              </w:rPr>
              <w:t>12</w:t>
            </w:r>
            <w:r>
              <w:rPr>
                <w:rFonts w:hint="eastAsia" w:ascii="宋体" w:hAnsi="宋体" w:eastAsia="宋体" w:cs="宋体"/>
                <w:color w:val="auto"/>
                <w:szCs w:val="21"/>
              </w:rPr>
              <w:t>月</w:t>
            </w:r>
            <w:r>
              <w:rPr>
                <w:rFonts w:hint="eastAsia" w:ascii="宋体" w:hAnsi="宋体" w:cs="宋体"/>
                <w:color w:val="auto"/>
                <w:szCs w:val="21"/>
                <w:u w:val="single"/>
                <w:lang w:val="en-US" w:eastAsia="zh-CN"/>
              </w:rPr>
              <w:t>13</w:t>
            </w:r>
            <w:r>
              <w:rPr>
                <w:rFonts w:hint="eastAsia" w:ascii="宋体" w:hAnsi="宋体" w:eastAsia="宋体" w:cs="宋体"/>
                <w:color w:val="auto"/>
                <w:szCs w:val="21"/>
              </w:rPr>
              <w:t>日</w:t>
            </w:r>
            <w:r>
              <w:rPr>
                <w:rFonts w:hint="eastAsia" w:ascii="宋体" w:hAnsi="宋体" w:cs="宋体"/>
                <w:color w:val="auto"/>
                <w:szCs w:val="21"/>
                <w:lang w:val="en-US" w:eastAsia="zh-CN"/>
              </w:rPr>
              <w:t>14</w:t>
            </w:r>
            <w:r>
              <w:rPr>
                <w:rFonts w:hint="eastAsia" w:ascii="宋体" w:hAnsi="宋体" w:eastAsia="宋体" w:cs="宋体"/>
                <w:color w:val="auto"/>
                <w:szCs w:val="21"/>
              </w:rPr>
              <w:t>时</w:t>
            </w:r>
            <w:r>
              <w:rPr>
                <w:rFonts w:hint="eastAsia" w:ascii="宋体" w:hAnsi="宋体" w:cs="宋体"/>
                <w:color w:val="auto"/>
                <w:szCs w:val="21"/>
                <w:lang w:val="en-US" w:eastAsia="zh-CN"/>
              </w:rPr>
              <w:t>30</w:t>
            </w:r>
            <w:r>
              <w:rPr>
                <w:rFonts w:hint="eastAsia" w:ascii="宋体" w:hAnsi="宋体" w:eastAsia="宋体" w:cs="宋体"/>
                <w:color w:val="auto"/>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响应文件的递交及谈判地点</w:t>
            </w:r>
          </w:p>
        </w:tc>
        <w:tc>
          <w:tcPr>
            <w:tcW w:w="7788" w:type="dxa"/>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bCs/>
                <w:color w:val="auto"/>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谈判现场验证须提交的资料</w:t>
            </w:r>
          </w:p>
        </w:tc>
        <w:tc>
          <w:tcPr>
            <w:tcW w:w="7788" w:type="dxa"/>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iCs/>
                <w:color w:val="auto"/>
                <w:szCs w:val="21"/>
              </w:rPr>
              <w:t>1.谈判单位代表是谈判单位法定代表人参加的，法定代表人须提供法定代表人身份证明书原件</w:t>
            </w:r>
            <w:r>
              <w:rPr>
                <w:rFonts w:hint="eastAsia" w:ascii="宋体" w:hAnsi="宋体" w:eastAsia="宋体" w:cs="宋体"/>
                <w:b/>
                <w:bCs/>
                <w:iCs/>
                <w:color w:val="auto"/>
                <w:szCs w:val="21"/>
              </w:rPr>
              <w:t>（格式详见本文件第</w:t>
            </w:r>
            <w:r>
              <w:rPr>
                <w:rFonts w:hint="eastAsia" w:ascii="宋体" w:hAnsi="宋体" w:cs="宋体"/>
                <w:b/>
                <w:bCs/>
                <w:iCs/>
                <w:color w:val="auto"/>
                <w:szCs w:val="21"/>
                <w:lang w:eastAsia="zh-CN"/>
              </w:rPr>
              <w:t>七</w:t>
            </w:r>
            <w:r>
              <w:rPr>
                <w:rFonts w:hint="eastAsia" w:ascii="宋体" w:hAnsi="宋体" w:eastAsia="宋体" w:cs="宋体"/>
                <w:b/>
                <w:bCs/>
                <w:iCs/>
                <w:color w:val="auto"/>
                <w:szCs w:val="21"/>
              </w:rPr>
              <w:t>章）</w:t>
            </w:r>
            <w:r>
              <w:rPr>
                <w:rFonts w:hint="eastAsia" w:ascii="宋体" w:hAnsi="宋体" w:eastAsia="宋体" w:cs="宋体"/>
                <w:color w:val="auto"/>
                <w:szCs w:val="21"/>
              </w:rPr>
              <w:t>及本人身份证原件。</w:t>
            </w:r>
          </w:p>
          <w:p>
            <w:pPr>
              <w:adjustRightInd w:val="0"/>
              <w:snapToGrid w:val="0"/>
              <w:spacing w:line="360" w:lineRule="auto"/>
              <w:jc w:val="left"/>
              <w:rPr>
                <w:rFonts w:hint="eastAsia" w:ascii="宋体" w:hAnsi="宋体" w:eastAsia="宋体" w:cs="宋体"/>
                <w:iCs/>
                <w:color w:val="auto"/>
                <w:szCs w:val="21"/>
              </w:rPr>
            </w:pPr>
            <w:r>
              <w:rPr>
                <w:rFonts w:hint="eastAsia" w:ascii="宋体" w:hAnsi="宋体" w:eastAsia="宋体" w:cs="宋体"/>
                <w:color w:val="auto"/>
                <w:szCs w:val="21"/>
              </w:rPr>
              <w:t>2.谈判单位代表是由谈判单位法定代表人授权的委托代理人参加的，其授权委托代理人须提供授权委托书原件</w:t>
            </w:r>
            <w:r>
              <w:rPr>
                <w:rFonts w:hint="eastAsia" w:ascii="宋体" w:hAnsi="宋体" w:eastAsia="宋体" w:cs="宋体"/>
                <w:b/>
                <w:color w:val="auto"/>
                <w:szCs w:val="21"/>
              </w:rPr>
              <w:t>（格式详见本文件</w:t>
            </w:r>
            <w:r>
              <w:rPr>
                <w:rFonts w:hint="eastAsia" w:ascii="宋体" w:hAnsi="宋体" w:eastAsia="宋体" w:cs="宋体"/>
                <w:b/>
                <w:bCs/>
                <w:iCs/>
                <w:color w:val="auto"/>
                <w:szCs w:val="21"/>
              </w:rPr>
              <w:t>第</w:t>
            </w:r>
            <w:r>
              <w:rPr>
                <w:rFonts w:hint="eastAsia" w:ascii="宋体" w:hAnsi="宋体" w:cs="宋体"/>
                <w:b/>
                <w:bCs/>
                <w:iCs/>
                <w:color w:val="auto"/>
                <w:szCs w:val="21"/>
                <w:lang w:eastAsia="zh-CN"/>
              </w:rPr>
              <w:t>七</w:t>
            </w:r>
            <w:r>
              <w:rPr>
                <w:rFonts w:hint="eastAsia" w:ascii="宋体" w:hAnsi="宋体" w:eastAsia="宋体" w:cs="宋体"/>
                <w:b/>
                <w:bCs/>
                <w:iCs/>
                <w:color w:val="auto"/>
                <w:szCs w:val="21"/>
              </w:rPr>
              <w:t>章</w:t>
            </w:r>
            <w:r>
              <w:rPr>
                <w:rFonts w:hint="eastAsia" w:ascii="宋体" w:hAnsi="宋体" w:eastAsia="宋体" w:cs="宋体"/>
                <w:b/>
                <w:color w:val="auto"/>
                <w:szCs w:val="21"/>
              </w:rPr>
              <w:t>）</w:t>
            </w:r>
            <w:r>
              <w:rPr>
                <w:rFonts w:hint="eastAsia" w:ascii="宋体" w:hAnsi="宋体" w:eastAsia="宋体" w:cs="宋体"/>
                <w:color w:val="auto"/>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响应文件有效期</w:t>
            </w:r>
          </w:p>
        </w:tc>
        <w:tc>
          <w:tcPr>
            <w:tcW w:w="7788" w:type="dxa"/>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响应文件份数</w:t>
            </w:r>
          </w:p>
        </w:tc>
        <w:tc>
          <w:tcPr>
            <w:tcW w:w="7788" w:type="dxa"/>
            <w:vAlign w:val="center"/>
          </w:tcPr>
          <w:p>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价格承包内容</w:t>
            </w:r>
          </w:p>
        </w:tc>
        <w:tc>
          <w:tcPr>
            <w:tcW w:w="7788" w:type="dxa"/>
            <w:vAlign w:val="center"/>
          </w:tcPr>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项目支付方式</w:t>
            </w:r>
          </w:p>
        </w:tc>
        <w:tc>
          <w:tcPr>
            <w:tcW w:w="7788" w:type="dxa"/>
            <w:vAlign w:val="center"/>
          </w:tcPr>
          <w:p>
            <w:pPr>
              <w:spacing w:line="360" w:lineRule="auto"/>
              <w:jc w:val="left"/>
              <w:rPr>
                <w:rFonts w:hint="eastAsia" w:ascii="宋体" w:hAnsi="宋体" w:eastAsia="宋体" w:cs="宋体"/>
                <w:color w:val="auto"/>
                <w:lang w:val="en-US" w:eastAsia="zh-CN"/>
              </w:rPr>
            </w:pPr>
            <w:bookmarkStart w:id="21" w:name="_Toc479247490"/>
            <w:r>
              <w:rPr>
                <w:rFonts w:hint="eastAsia" w:ascii="宋体" w:hAnsi="宋体" w:eastAsia="宋体" w:cs="宋体"/>
                <w:color w:val="auto"/>
                <w:lang w:val="en-US" w:eastAsia="zh-CN"/>
              </w:rPr>
              <w:t>1.本工程无预付款，在工程竣工验收合格移交竣工资料后，支付至实际竣工计量金额的70%，但支付金额不得超过签约合同价的70%；</w:t>
            </w:r>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工程竣工结算经甲方审定后，支付至合同价格的97%（开具合同价格100%、合法有效的增值税专用发票原件），剩下的3%作为工程质量保证金，在已办理结算的前提下，保修期满后如无任何质量问题甲方一次性无息付清。</w:t>
            </w:r>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3.本合同以人民币结算，并采用银行转账方式支付。</w:t>
            </w:r>
            <w:bookmarkEnd w:id="21"/>
          </w:p>
          <w:p>
            <w:pPr>
              <w:spacing w:line="360" w:lineRule="auto"/>
              <w:jc w:val="left"/>
              <w:rPr>
                <w:rFonts w:hint="eastAsia" w:ascii="宋体" w:hAnsi="宋体" w:eastAsia="宋体" w:cs="宋体"/>
                <w:color w:val="auto"/>
                <w:lang w:val="en-US" w:eastAsia="zh-CN"/>
              </w:rPr>
            </w:pPr>
            <w:bookmarkStart w:id="22" w:name="_Toc479247491"/>
            <w:r>
              <w:rPr>
                <w:rFonts w:hint="eastAsia" w:ascii="宋体" w:hAnsi="宋体" w:eastAsia="宋体" w:cs="宋体"/>
                <w:color w:val="auto"/>
                <w:lang w:val="en-US" w:eastAsia="zh-CN"/>
              </w:rPr>
              <w:t>4.所有支付均在收到乙方提供的以下资料后支付：</w:t>
            </w:r>
            <w:bookmarkEnd w:id="22"/>
          </w:p>
          <w:p>
            <w:pPr>
              <w:spacing w:line="360" w:lineRule="auto"/>
              <w:jc w:val="left"/>
              <w:rPr>
                <w:rFonts w:hint="eastAsia" w:ascii="宋体" w:hAnsi="宋体" w:eastAsia="宋体" w:cs="宋体"/>
                <w:color w:val="auto"/>
                <w:lang w:val="en-US" w:eastAsia="zh-CN"/>
              </w:rPr>
            </w:pPr>
            <w:bookmarkStart w:id="23" w:name="_Toc479247492"/>
            <w:r>
              <w:rPr>
                <w:rFonts w:hint="eastAsia" w:ascii="宋体" w:hAnsi="宋体" w:eastAsia="宋体" w:cs="宋体"/>
                <w:color w:val="auto"/>
                <w:lang w:val="en-US" w:eastAsia="zh-CN"/>
              </w:rPr>
              <w:t>（1）经甲方审批同意的支付申请和相关资料；</w:t>
            </w:r>
            <w:bookmarkEnd w:id="23"/>
          </w:p>
          <w:p>
            <w:pPr>
              <w:spacing w:line="360" w:lineRule="auto"/>
              <w:jc w:val="left"/>
              <w:rPr>
                <w:rFonts w:hint="eastAsia" w:ascii="宋体" w:hAnsi="宋体" w:eastAsia="宋体" w:cs="宋体"/>
                <w:color w:val="auto"/>
                <w:lang w:val="en-US" w:eastAsia="zh-CN"/>
              </w:rPr>
            </w:pPr>
            <w:bookmarkStart w:id="24" w:name="_Toc479247493"/>
            <w:r>
              <w:rPr>
                <w:rFonts w:hint="eastAsia" w:ascii="宋体" w:hAnsi="宋体" w:eastAsia="宋体" w:cs="宋体"/>
                <w:color w:val="auto"/>
                <w:lang w:val="en-US" w:eastAsia="zh-CN"/>
              </w:rPr>
              <w:t>（2）相应的税务发票原件；</w:t>
            </w:r>
            <w:bookmarkEnd w:id="24"/>
          </w:p>
          <w:p>
            <w:pPr>
              <w:spacing w:line="360" w:lineRule="auto"/>
              <w:jc w:val="left"/>
              <w:rPr>
                <w:rFonts w:hint="eastAsia" w:ascii="宋体" w:hAnsi="宋体" w:eastAsia="宋体" w:cs="宋体"/>
                <w:color w:val="auto"/>
                <w:lang w:val="en-US" w:eastAsia="zh-CN"/>
              </w:rPr>
            </w:pPr>
            <w:bookmarkStart w:id="25" w:name="_Toc479247494"/>
            <w:r>
              <w:rPr>
                <w:rFonts w:hint="eastAsia" w:ascii="宋体" w:hAnsi="宋体" w:eastAsia="宋体" w:cs="宋体"/>
                <w:color w:val="auto"/>
                <w:lang w:val="en-US" w:eastAsia="zh-CN"/>
              </w:rPr>
              <w:t>（3）本合同约定的其他结算资料。</w:t>
            </w:r>
            <w:bookmarkEnd w:id="25"/>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乙方未按约定提供上述材料的，甲方有权不予支付本合同约定价款，且不构成违约。</w:t>
            </w:r>
          </w:p>
          <w:p>
            <w:pPr>
              <w:spacing w:line="360" w:lineRule="auto"/>
              <w:jc w:val="left"/>
              <w:rPr>
                <w:rFonts w:hint="eastAsia" w:ascii="宋体" w:hAnsi="宋体" w:eastAsia="宋体" w:cs="宋体"/>
                <w:bCs/>
                <w:color w:val="auto"/>
                <w:szCs w:val="21"/>
                <w:lang w:eastAsia="zh-CN"/>
              </w:rPr>
            </w:pPr>
            <w:r>
              <w:rPr>
                <w:rFonts w:hint="eastAsia" w:ascii="宋体" w:hAnsi="宋体" w:eastAsia="宋体" w:cs="宋体"/>
                <w:color w:val="auto"/>
                <w:lang w:val="en-US" w:eastAsia="zh-CN"/>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信息发布</w:t>
            </w:r>
          </w:p>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指定媒体</w:t>
            </w:r>
          </w:p>
        </w:tc>
        <w:tc>
          <w:tcPr>
            <w:tcW w:w="7788" w:type="dxa"/>
            <w:vAlign w:val="center"/>
          </w:tcPr>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长沙市轨道交通集团有限公司</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"http://www.hncsmtr.com/" </w:instrText>
            </w:r>
            <w:r>
              <w:rPr>
                <w:rFonts w:hint="eastAsia" w:ascii="宋体" w:hAnsi="宋体" w:eastAsia="宋体" w:cs="宋体"/>
                <w:color w:val="auto"/>
              </w:rPr>
              <w:fldChar w:fldCharType="separate"/>
            </w:r>
            <w:r>
              <w:rPr>
                <w:rStyle w:val="56"/>
                <w:rFonts w:hint="eastAsia" w:ascii="宋体" w:hAnsi="宋体" w:eastAsia="宋体" w:cs="宋体"/>
                <w:color w:val="auto"/>
                <w:szCs w:val="21"/>
                <w:u w:val="none"/>
              </w:rPr>
              <w:t>http://www.hncsmtr.com/</w:t>
            </w:r>
            <w:r>
              <w:rPr>
                <w:rStyle w:val="56"/>
                <w:rFonts w:hint="eastAsia" w:ascii="宋体" w:hAnsi="宋体" w:eastAsia="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采购代理服务费</w:t>
            </w:r>
          </w:p>
        </w:tc>
        <w:tc>
          <w:tcPr>
            <w:tcW w:w="7788" w:type="dxa"/>
            <w:vAlign w:val="center"/>
          </w:tcPr>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其他规定</w:t>
            </w:r>
          </w:p>
        </w:tc>
        <w:tc>
          <w:tcPr>
            <w:tcW w:w="7788" w:type="dxa"/>
            <w:vAlign w:val="center"/>
          </w:tcPr>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szCs w:val="21"/>
              </w:rPr>
              <w:t>（如有）</w:t>
            </w:r>
          </w:p>
        </w:tc>
      </w:tr>
    </w:tbl>
    <w:p>
      <w:pPr>
        <w:jc w:val="center"/>
        <w:rPr>
          <w:rFonts w:hint="eastAsia" w:ascii="宋体" w:hAnsi="宋体" w:eastAsia="宋体" w:cs="宋体"/>
          <w:color w:val="auto"/>
          <w:sz w:val="30"/>
          <w:szCs w:val="30"/>
        </w:rPr>
      </w:pPr>
      <w:bookmarkStart w:id="26" w:name="_Toc14891067"/>
    </w:p>
    <w:p>
      <w:pPr>
        <w:widowControl/>
        <w:jc w:val="left"/>
        <w:rPr>
          <w:rFonts w:hint="eastAsia" w:ascii="宋体" w:hAnsi="宋体" w:eastAsia="宋体" w:cs="宋体"/>
          <w:color w:val="auto"/>
        </w:rPr>
        <w:sectPr>
          <w:pgSz w:w="11906" w:h="16838"/>
          <w:pgMar w:top="1191" w:right="1417" w:bottom="1191" w:left="1191" w:header="851" w:footer="851" w:gutter="0"/>
          <w:pgNumType w:fmt="decimal"/>
          <w:cols w:space="720" w:num="1"/>
          <w:docGrid w:linePitch="312" w:charSpace="0"/>
        </w:sectPr>
      </w:pPr>
    </w:p>
    <w:p>
      <w:pPr>
        <w:pStyle w:val="2"/>
        <w:rPr>
          <w:rFonts w:hint="eastAsia" w:ascii="宋体" w:hAnsi="宋体" w:eastAsia="宋体" w:cs="宋体"/>
          <w:color w:val="auto"/>
        </w:rPr>
      </w:pPr>
    </w:p>
    <w:p>
      <w:pPr>
        <w:pStyle w:val="4"/>
        <w:keepNext w:val="0"/>
        <w:keepLines w:val="0"/>
        <w:jc w:val="center"/>
        <w:rPr>
          <w:rFonts w:hint="eastAsia" w:ascii="宋体" w:hAnsi="宋体" w:eastAsia="宋体" w:cs="宋体"/>
          <w:color w:val="auto"/>
          <w:sz w:val="32"/>
        </w:rPr>
      </w:pPr>
      <w:bookmarkStart w:id="27" w:name="_Toc32198"/>
      <w:bookmarkStart w:id="28" w:name="_Toc30640"/>
      <w:bookmarkStart w:id="29" w:name="_Toc28276"/>
      <w:bookmarkStart w:id="30" w:name="_Toc16939"/>
      <w:bookmarkStart w:id="31" w:name="_Toc26157"/>
      <w:r>
        <w:rPr>
          <w:rFonts w:hint="eastAsia" w:ascii="宋体" w:hAnsi="宋体" w:eastAsia="宋体" w:cs="宋体"/>
          <w:color w:val="auto"/>
          <w:sz w:val="32"/>
        </w:rPr>
        <w:t>谈判须知正文</w:t>
      </w:r>
      <w:bookmarkEnd w:id="26"/>
      <w:bookmarkEnd w:id="27"/>
      <w:bookmarkEnd w:id="28"/>
      <w:bookmarkEnd w:id="29"/>
      <w:bookmarkEnd w:id="30"/>
      <w:bookmarkEnd w:id="31"/>
    </w:p>
    <w:p>
      <w:pPr>
        <w:pStyle w:val="4"/>
        <w:keepNext w:val="0"/>
        <w:keepLines w:val="0"/>
        <w:rPr>
          <w:rFonts w:hint="eastAsia" w:ascii="宋体" w:hAnsi="宋体" w:eastAsia="宋体" w:cs="宋体"/>
          <w:color w:val="auto"/>
          <w:sz w:val="21"/>
          <w:szCs w:val="21"/>
        </w:rPr>
      </w:pPr>
      <w:bookmarkStart w:id="32" w:name="_Toc14891068"/>
      <w:bookmarkStart w:id="33" w:name="_Toc22412"/>
      <w:bookmarkStart w:id="34" w:name="_Toc4826"/>
      <w:r>
        <w:rPr>
          <w:rFonts w:hint="eastAsia" w:ascii="宋体" w:hAnsi="宋体" w:eastAsia="宋体" w:cs="宋体"/>
          <w:color w:val="auto"/>
          <w:sz w:val="21"/>
          <w:szCs w:val="21"/>
        </w:rPr>
        <w:t>一、说明</w:t>
      </w:r>
      <w:bookmarkEnd w:id="32"/>
      <w:bookmarkEnd w:id="33"/>
      <w:bookmarkEnd w:id="34"/>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bCs/>
          <w:color w:val="auto"/>
          <w:szCs w:val="21"/>
        </w:rPr>
        <w:t>1.</w:t>
      </w:r>
      <w:r>
        <w:rPr>
          <w:rFonts w:hint="eastAsia" w:ascii="宋体" w:hAnsi="宋体" w:eastAsia="宋体" w:cs="宋体"/>
          <w:b/>
          <w:color w:val="auto"/>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2.本谈判文件的解释权属于长沙市轨道交通运营有限公司。</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3.定义</w:t>
      </w:r>
    </w:p>
    <w:p>
      <w:pPr>
        <w:adjustRightInd w:val="0"/>
        <w:snapToGrid w:val="0"/>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szCs w:val="21"/>
        </w:rPr>
        <w:t>3.1“采购单位”是指依法进行采购的法人组织。本项目的采购单位名称见</w:t>
      </w:r>
      <w:r>
        <w:rPr>
          <w:rFonts w:hint="eastAsia" w:ascii="宋体" w:hAnsi="宋体" w:eastAsia="宋体" w:cs="宋体"/>
          <w:b/>
          <w:color w:val="auto"/>
          <w:szCs w:val="21"/>
        </w:rPr>
        <w:t>前附表</w:t>
      </w:r>
      <w:r>
        <w:rPr>
          <w:rFonts w:hint="eastAsia" w:ascii="宋体" w:hAnsi="宋体" w:eastAsia="宋体" w:cs="宋体"/>
          <w:color w:val="auto"/>
          <w:szCs w:val="21"/>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3.2“谈判单位”是指响应本谈判文件要求、参加谈判的法人组织。</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3.3“采购代理机构”是指接受采购人委托，代理采购项目的机构。本采购项目的采购代理机构名称见</w:t>
      </w:r>
      <w:r>
        <w:rPr>
          <w:rFonts w:hint="eastAsia" w:ascii="宋体" w:hAnsi="宋体" w:eastAsia="宋体" w:cs="宋体"/>
          <w:b/>
          <w:bCs/>
          <w:color w:val="auto"/>
          <w:szCs w:val="21"/>
        </w:rPr>
        <w:t>前附表</w:t>
      </w:r>
      <w:r>
        <w:rPr>
          <w:rFonts w:hint="eastAsia" w:ascii="宋体" w:hAnsi="宋体" w:eastAsia="宋体" w:cs="宋体"/>
          <w:color w:val="auto"/>
          <w:szCs w:val="21"/>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3.4“谈判</w:t>
      </w:r>
      <w:r>
        <w:rPr>
          <w:rFonts w:hint="eastAsia" w:ascii="宋体" w:hAnsi="宋体" w:eastAsia="宋体" w:cs="宋体"/>
          <w:b/>
          <w:bCs/>
          <w:color w:val="auto"/>
          <w:szCs w:val="21"/>
        </w:rPr>
        <w:t>评审</w:t>
      </w:r>
      <w:r>
        <w:rPr>
          <w:rFonts w:hint="eastAsia" w:ascii="宋体" w:hAnsi="宋体" w:eastAsia="宋体" w:cs="宋体"/>
          <w:color w:val="auto"/>
          <w:szCs w:val="21"/>
        </w:rPr>
        <w:t>小组”是指采购单位按其规定组建，依法依规履行其职责和义务的机构。</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4.谈判单位资格要求</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4.1参与谈判的单位应当符合</w:t>
      </w:r>
      <w:r>
        <w:rPr>
          <w:rFonts w:hint="eastAsia" w:ascii="宋体" w:hAnsi="宋体" w:eastAsia="宋体" w:cs="宋体"/>
          <w:b/>
          <w:color w:val="auto"/>
          <w:szCs w:val="21"/>
        </w:rPr>
        <w:t>前附表</w:t>
      </w:r>
      <w:r>
        <w:rPr>
          <w:rFonts w:hint="eastAsia" w:ascii="宋体" w:hAnsi="宋体" w:eastAsia="宋体" w:cs="宋体"/>
          <w:color w:val="auto"/>
          <w:szCs w:val="21"/>
        </w:rPr>
        <w:t>中规定的资格要求；</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4.2参与谈判的单位存在下列情形之一的，其</w:t>
      </w:r>
      <w:r>
        <w:rPr>
          <w:rFonts w:hint="eastAsia" w:ascii="宋体" w:hAnsi="宋体" w:eastAsia="宋体" w:cs="宋体"/>
          <w:bCs/>
          <w:color w:val="auto"/>
          <w:szCs w:val="21"/>
        </w:rPr>
        <w:t>谈判</w:t>
      </w:r>
      <w:r>
        <w:rPr>
          <w:rFonts w:hint="eastAsia" w:ascii="宋体" w:hAnsi="宋体" w:eastAsia="宋体" w:cs="宋体"/>
          <w:color w:val="auto"/>
          <w:szCs w:val="21"/>
        </w:rPr>
        <w:t>将被</w:t>
      </w:r>
      <w:r>
        <w:rPr>
          <w:rFonts w:hint="eastAsia" w:ascii="宋体" w:hAnsi="宋体" w:eastAsia="宋体" w:cs="宋体"/>
          <w:b/>
          <w:bCs/>
          <w:color w:val="auto"/>
          <w:szCs w:val="21"/>
        </w:rPr>
        <w:t>否决</w:t>
      </w:r>
      <w:r>
        <w:rPr>
          <w:rFonts w:hint="eastAsia" w:ascii="宋体" w:hAnsi="宋体" w:eastAsia="宋体" w:cs="宋体"/>
          <w:color w:val="auto"/>
          <w:szCs w:val="21"/>
        </w:rPr>
        <w:t>：</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（1）与采购单位（或本项目采购代理机构）存在利害关系且可能影响采购公正性；</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（2）谈判单位法定代表人或负责人与其他谈判单位法定代表人或负责人为同一人；</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（3）与本采购项目的其他谈判单位存在控股、管理关系；</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（4）被责令停产停业、暂扣或者吊销许可证、暂扣或者吊销执照；</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（5）进入破产、清算、注销程序，或存在其他可能丧失履约能力的情形；</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（6）在国家企业信用信息公示系统中显示已被列入严重违法失信企业名单；</w:t>
      </w:r>
    </w:p>
    <w:p>
      <w:pPr>
        <w:adjustRightInd w:val="0"/>
        <w:snapToGrid w:val="0"/>
        <w:spacing w:line="360" w:lineRule="auto"/>
        <w:ind w:firstLine="420" w:firstLineChars="200"/>
        <w:rPr>
          <w:rFonts w:hint="eastAsia" w:ascii="宋体" w:hAnsi="宋体" w:eastAsia="宋体" w:cs="宋体"/>
          <w:strike/>
          <w:color w:val="auto"/>
          <w:szCs w:val="21"/>
        </w:rPr>
      </w:pPr>
      <w:r>
        <w:rPr>
          <w:rFonts w:hint="eastAsia" w:ascii="宋体" w:hAnsi="宋体" w:eastAsia="宋体" w:cs="宋体"/>
          <w:color w:val="auto"/>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5.参与谈判的费用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5.2采购代理服务费由中选单位全额承担。本项目采购代理服务费以中选价为基数，按谈判须知</w:t>
      </w:r>
      <w:r>
        <w:rPr>
          <w:rFonts w:hint="eastAsia" w:ascii="宋体" w:hAnsi="宋体" w:eastAsia="宋体" w:cs="宋体"/>
          <w:b/>
          <w:bCs/>
          <w:color w:val="auto"/>
          <w:szCs w:val="21"/>
        </w:rPr>
        <w:t>《采购代理服务费收费标准》（详见本须知附件）</w:t>
      </w:r>
      <w:r>
        <w:rPr>
          <w:rFonts w:hint="eastAsia" w:ascii="宋体" w:hAnsi="宋体" w:eastAsia="宋体" w:cs="宋体"/>
          <w:color w:val="auto"/>
          <w:szCs w:val="21"/>
        </w:rPr>
        <w:t>向中选单位收取。</w:t>
      </w:r>
    </w:p>
    <w:p>
      <w:pPr>
        <w:pStyle w:val="25"/>
        <w:adjustRightInd w:val="0"/>
        <w:snapToGrid w:val="0"/>
        <w:spacing w:line="360" w:lineRule="auto"/>
        <w:ind w:firstLine="422" w:firstLineChars="200"/>
        <w:rPr>
          <w:rFonts w:hint="eastAsia" w:ascii="宋体" w:hAnsi="宋体" w:eastAsia="宋体" w:cs="宋体"/>
          <w:b/>
          <w:bCs/>
          <w:color w:val="auto"/>
        </w:rPr>
      </w:pPr>
      <w:r>
        <w:rPr>
          <w:rFonts w:hint="eastAsia" w:ascii="宋体" w:hAnsi="宋体" w:eastAsia="宋体" w:cs="宋体"/>
          <w:b/>
          <w:color w:val="auto"/>
        </w:rPr>
        <w:t>6．</w:t>
      </w:r>
      <w:r>
        <w:rPr>
          <w:rFonts w:hint="eastAsia" w:ascii="宋体" w:hAnsi="宋体" w:eastAsia="宋体" w:cs="宋体"/>
          <w:b/>
          <w:bCs/>
          <w:color w:val="auto"/>
        </w:rPr>
        <w:t>谈判单位代表</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6.1谈判单位代表为谈判单位法定代表人的：应提供法定代表人身份证明书</w:t>
      </w:r>
      <w:r>
        <w:rPr>
          <w:rFonts w:hint="eastAsia" w:ascii="宋体" w:hAnsi="宋体" w:eastAsia="宋体" w:cs="宋体"/>
          <w:b/>
          <w:bCs/>
          <w:color w:val="auto"/>
        </w:rPr>
        <w:t>（见</w:t>
      </w:r>
      <w:r>
        <w:rPr>
          <w:rFonts w:hint="eastAsia" w:ascii="宋体" w:hAnsi="宋体" w:eastAsia="宋体" w:cs="宋体"/>
          <w:b/>
          <w:bCs/>
          <w:iCs/>
          <w:color w:val="auto"/>
        </w:rPr>
        <w:t>第七章</w:t>
      </w:r>
      <w:r>
        <w:rPr>
          <w:rFonts w:hint="eastAsia" w:ascii="宋体" w:hAnsi="宋体" w:eastAsia="宋体" w:cs="宋体"/>
          <w:b/>
          <w:bCs/>
          <w:color w:val="auto"/>
        </w:rPr>
        <w:t>响应文件格式）</w:t>
      </w:r>
      <w:r>
        <w:rPr>
          <w:rFonts w:hint="eastAsia" w:ascii="宋体" w:hAnsi="宋体" w:eastAsia="宋体" w:cs="宋体"/>
          <w:color w:val="auto"/>
        </w:rPr>
        <w:t>原件及本人身份证原件。</w:t>
      </w:r>
    </w:p>
    <w:p>
      <w:pPr>
        <w:pStyle w:val="25"/>
        <w:adjustRightInd w:val="0"/>
        <w:snapToGrid w:val="0"/>
        <w:spacing w:line="360" w:lineRule="auto"/>
        <w:ind w:firstLine="420" w:firstLineChars="200"/>
        <w:rPr>
          <w:rFonts w:hint="eastAsia" w:ascii="宋体" w:hAnsi="宋体" w:eastAsia="宋体" w:cs="宋体"/>
          <w:b/>
          <w:strike/>
          <w:color w:val="auto"/>
        </w:rPr>
      </w:pPr>
      <w:r>
        <w:rPr>
          <w:rFonts w:hint="eastAsia" w:ascii="宋体" w:hAnsi="宋体" w:eastAsia="宋体" w:cs="宋体"/>
          <w:color w:val="auto"/>
        </w:rPr>
        <w:t>6.2谈判单位代表不是谈判单位法定代表人的：应提供授权委托书</w:t>
      </w:r>
      <w:r>
        <w:rPr>
          <w:rFonts w:hint="eastAsia" w:ascii="宋体" w:hAnsi="宋体" w:eastAsia="宋体" w:cs="宋体"/>
          <w:b/>
          <w:bCs/>
          <w:color w:val="auto"/>
        </w:rPr>
        <w:t>（见</w:t>
      </w:r>
      <w:r>
        <w:rPr>
          <w:rFonts w:hint="eastAsia" w:ascii="宋体" w:hAnsi="宋体" w:eastAsia="宋体" w:cs="宋体"/>
          <w:b/>
          <w:bCs/>
          <w:iCs/>
          <w:color w:val="auto"/>
        </w:rPr>
        <w:t>第七章</w:t>
      </w:r>
      <w:r>
        <w:rPr>
          <w:rFonts w:hint="eastAsia" w:ascii="宋体" w:hAnsi="宋体" w:eastAsia="宋体" w:cs="宋体"/>
          <w:b/>
          <w:bCs/>
          <w:color w:val="auto"/>
        </w:rPr>
        <w:t>响应文件格式）</w:t>
      </w:r>
      <w:r>
        <w:rPr>
          <w:rFonts w:hint="eastAsia" w:ascii="宋体" w:hAnsi="宋体" w:eastAsia="宋体" w:cs="宋体"/>
          <w:color w:val="auto"/>
        </w:rPr>
        <w:t>原件及本人身份证原件。</w:t>
      </w:r>
    </w:p>
    <w:p>
      <w:pPr>
        <w:pStyle w:val="4"/>
        <w:keepNext w:val="0"/>
        <w:keepLines w:val="0"/>
        <w:rPr>
          <w:rFonts w:hint="eastAsia" w:ascii="宋体" w:hAnsi="宋体" w:eastAsia="宋体" w:cs="宋体"/>
          <w:color w:val="auto"/>
          <w:sz w:val="21"/>
          <w:szCs w:val="21"/>
        </w:rPr>
      </w:pPr>
      <w:bookmarkStart w:id="35" w:name="_Toc14891069"/>
      <w:bookmarkStart w:id="36" w:name="_Toc21771"/>
      <w:bookmarkStart w:id="37" w:name="_Toc16233"/>
      <w:r>
        <w:rPr>
          <w:rFonts w:hint="eastAsia" w:ascii="宋体" w:hAnsi="宋体" w:eastAsia="宋体" w:cs="宋体"/>
          <w:color w:val="auto"/>
          <w:sz w:val="21"/>
          <w:szCs w:val="21"/>
        </w:rPr>
        <w:t>二、谈判文件</w:t>
      </w:r>
      <w:bookmarkEnd w:id="35"/>
      <w:bookmarkEnd w:id="36"/>
      <w:bookmarkEnd w:id="37"/>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7．谈判文件的组成</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7.1谈判文件由下列文件组成：</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第一章 谈判邀请公告</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第二章 谈判须知</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第三章 评审办法及标准</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第四章 用户需求书</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第五章 最高限价</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第六章 合同格式条款</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第七章 响应文件组成</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7.2</w:t>
      </w:r>
      <w:r>
        <w:rPr>
          <w:rFonts w:hint="eastAsia" w:ascii="宋体" w:hAnsi="宋体" w:eastAsia="宋体" w:cs="宋体"/>
          <w:color w:val="auto"/>
          <w:kern w:val="0"/>
        </w:rPr>
        <w:t>响应文件递交截止时间前对谈判文件澄清或者修改内容，均为谈判文件的组成部分。</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7.3谈判单位应仔细阅读</w:t>
      </w:r>
      <w:r>
        <w:rPr>
          <w:rFonts w:hint="eastAsia" w:ascii="宋体" w:hAnsi="宋体" w:eastAsia="宋体" w:cs="宋体"/>
          <w:bCs/>
          <w:color w:val="auto"/>
          <w:szCs w:val="21"/>
        </w:rPr>
        <w:t>谈判</w:t>
      </w:r>
      <w:r>
        <w:rPr>
          <w:rFonts w:hint="eastAsia" w:ascii="宋体" w:hAnsi="宋体" w:eastAsia="宋体" w:cs="宋体"/>
          <w:color w:val="auto"/>
          <w:szCs w:val="21"/>
        </w:rPr>
        <w:t>文件的全部内容，按照</w:t>
      </w:r>
      <w:r>
        <w:rPr>
          <w:rFonts w:hint="eastAsia" w:ascii="宋体" w:hAnsi="宋体" w:eastAsia="宋体" w:cs="宋体"/>
          <w:bCs/>
          <w:color w:val="auto"/>
          <w:szCs w:val="21"/>
        </w:rPr>
        <w:t>谈判</w:t>
      </w:r>
      <w:r>
        <w:rPr>
          <w:rFonts w:hint="eastAsia" w:ascii="宋体" w:hAnsi="宋体" w:eastAsia="宋体" w:cs="宋体"/>
          <w:color w:val="auto"/>
          <w:szCs w:val="21"/>
        </w:rPr>
        <w:t>文件要求编制响应文件。任何对</w:t>
      </w:r>
      <w:r>
        <w:rPr>
          <w:rFonts w:hint="eastAsia" w:ascii="宋体" w:hAnsi="宋体" w:eastAsia="宋体" w:cs="宋体"/>
          <w:bCs/>
          <w:color w:val="auto"/>
          <w:szCs w:val="21"/>
        </w:rPr>
        <w:t>谈判</w:t>
      </w:r>
      <w:r>
        <w:rPr>
          <w:rFonts w:hint="eastAsia" w:ascii="宋体" w:hAnsi="宋体" w:eastAsia="宋体" w:cs="宋体"/>
          <w:color w:val="auto"/>
          <w:szCs w:val="21"/>
        </w:rPr>
        <w:t>文件的忽略或误解不能作为响应文件存在缺陷或瑕疵的理由，其风险由谈判单位承担。</w:t>
      </w:r>
    </w:p>
    <w:p>
      <w:pPr>
        <w:adjustRightInd w:val="0"/>
        <w:snapToGrid w:val="0"/>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bCs/>
          <w:color w:val="auto"/>
          <w:szCs w:val="21"/>
        </w:rPr>
        <w:t>8.</w:t>
      </w:r>
      <w:r>
        <w:rPr>
          <w:rFonts w:hint="eastAsia" w:ascii="宋体" w:hAnsi="宋体" w:eastAsia="宋体" w:cs="宋体"/>
          <w:b/>
          <w:color w:val="auto"/>
          <w:kern w:val="0"/>
          <w:szCs w:val="21"/>
        </w:rPr>
        <w:t>谈判文件的澄清及答疑</w:t>
      </w:r>
    </w:p>
    <w:p>
      <w:pPr>
        <w:spacing w:line="360" w:lineRule="auto"/>
        <w:ind w:firstLine="420" w:firstLineChars="200"/>
        <w:rPr>
          <w:rFonts w:hint="eastAsia" w:ascii="宋体" w:hAnsi="宋体" w:eastAsia="宋体" w:cs="宋体"/>
          <w:iCs/>
          <w:color w:val="auto"/>
          <w:szCs w:val="21"/>
        </w:rPr>
      </w:pPr>
      <w:r>
        <w:rPr>
          <w:rFonts w:hint="eastAsia" w:ascii="宋体" w:hAnsi="宋体" w:eastAsia="宋体" w:cs="宋体"/>
          <w:iCs/>
          <w:color w:val="auto"/>
          <w:szCs w:val="21"/>
        </w:rPr>
        <w:t>8.1.谈判单位应仔细阅读和检查谈判文件的全部内容，如有疑问，</w:t>
      </w:r>
      <w:r>
        <w:rPr>
          <w:rFonts w:hint="eastAsia" w:ascii="宋体" w:hAnsi="宋体" w:eastAsia="宋体" w:cs="宋体"/>
          <w:color w:val="auto"/>
          <w:szCs w:val="21"/>
        </w:rPr>
        <w:t>应按</w:t>
      </w:r>
      <w:r>
        <w:rPr>
          <w:rFonts w:hint="eastAsia" w:ascii="宋体" w:hAnsi="宋体" w:eastAsia="宋体" w:cs="宋体"/>
          <w:b/>
          <w:bCs/>
          <w:color w:val="auto"/>
          <w:szCs w:val="21"/>
        </w:rPr>
        <w:t>前附表</w:t>
      </w:r>
      <w:r>
        <w:rPr>
          <w:rFonts w:hint="eastAsia" w:ascii="宋体" w:hAnsi="宋体" w:eastAsia="宋体" w:cs="宋体"/>
          <w:color w:val="auto"/>
          <w:szCs w:val="21"/>
        </w:rPr>
        <w:t>规定的时间、方式及地点</w:t>
      </w:r>
      <w:r>
        <w:rPr>
          <w:rFonts w:hint="eastAsia" w:ascii="宋体" w:hAnsi="宋体" w:eastAsia="宋体" w:cs="宋体"/>
          <w:iCs/>
          <w:color w:val="auto"/>
          <w:szCs w:val="21"/>
        </w:rPr>
        <w:t>向采购代理机构提出，</w:t>
      </w:r>
      <w:r>
        <w:rPr>
          <w:rFonts w:hint="eastAsia" w:ascii="宋体" w:hAnsi="宋体" w:eastAsia="宋体" w:cs="宋体"/>
          <w:color w:val="auto"/>
          <w:szCs w:val="21"/>
        </w:rPr>
        <w:t>否则，由此引起的损失由谈判单位自己承担。</w:t>
      </w:r>
    </w:p>
    <w:p>
      <w:pPr>
        <w:spacing w:line="360" w:lineRule="auto"/>
        <w:ind w:firstLine="420" w:firstLineChars="200"/>
        <w:rPr>
          <w:rFonts w:hint="eastAsia" w:ascii="宋体" w:hAnsi="宋体" w:eastAsia="宋体" w:cs="宋体"/>
          <w:iCs/>
          <w:color w:val="auto"/>
          <w:szCs w:val="21"/>
        </w:rPr>
      </w:pPr>
      <w:r>
        <w:rPr>
          <w:rFonts w:hint="eastAsia" w:ascii="宋体" w:hAnsi="宋体" w:eastAsia="宋体" w:cs="宋体"/>
          <w:iCs/>
          <w:color w:val="auto"/>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8.3</w:t>
      </w:r>
      <w:r>
        <w:rPr>
          <w:rFonts w:hint="eastAsia" w:ascii="宋体" w:hAnsi="宋体" w:eastAsia="宋体" w:cs="宋体"/>
          <w:color w:val="auto"/>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bCs/>
          <w:color w:val="auto"/>
          <w:szCs w:val="21"/>
        </w:rPr>
        <w:t>9.</w:t>
      </w:r>
      <w:r>
        <w:rPr>
          <w:rFonts w:hint="eastAsia" w:ascii="宋体" w:hAnsi="宋体" w:eastAsia="宋体" w:cs="宋体"/>
          <w:b/>
          <w:color w:val="auto"/>
          <w:kern w:val="0"/>
          <w:szCs w:val="21"/>
        </w:rPr>
        <w:t>响应文件递交截止时间、谈判会议时间及地点</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9.1</w:t>
      </w:r>
      <w:r>
        <w:rPr>
          <w:rFonts w:hint="eastAsia" w:ascii="宋体" w:hAnsi="宋体" w:eastAsia="宋体" w:cs="宋体"/>
          <w:color w:val="auto"/>
          <w:kern w:val="0"/>
        </w:rPr>
        <w:t>谈判单位递交响应文件截止时间、谈判会议</w:t>
      </w:r>
      <w:r>
        <w:rPr>
          <w:rFonts w:hint="eastAsia" w:ascii="宋体" w:hAnsi="宋体" w:eastAsia="宋体" w:cs="宋体"/>
          <w:color w:val="auto"/>
        </w:rPr>
        <w:t>时间及地点见</w:t>
      </w:r>
      <w:r>
        <w:rPr>
          <w:rFonts w:hint="eastAsia" w:ascii="宋体" w:hAnsi="宋体" w:eastAsia="宋体" w:cs="宋体"/>
          <w:b/>
          <w:color w:val="auto"/>
        </w:rPr>
        <w:t>前附表</w:t>
      </w:r>
      <w:r>
        <w:rPr>
          <w:rFonts w:hint="eastAsia" w:ascii="宋体" w:hAnsi="宋体" w:eastAsia="宋体" w:cs="宋体"/>
          <w:color w:val="auto"/>
        </w:rPr>
        <w:t>。</w:t>
      </w:r>
    </w:p>
    <w:p>
      <w:pPr>
        <w:pStyle w:val="4"/>
        <w:keepNext w:val="0"/>
        <w:keepLines w:val="0"/>
        <w:rPr>
          <w:rFonts w:hint="eastAsia" w:ascii="宋体" w:hAnsi="宋体" w:eastAsia="宋体" w:cs="宋体"/>
          <w:color w:val="auto"/>
          <w:sz w:val="21"/>
          <w:szCs w:val="21"/>
        </w:rPr>
      </w:pPr>
      <w:bookmarkStart w:id="38" w:name="_Toc14891070"/>
      <w:bookmarkStart w:id="39" w:name="_Toc1472"/>
      <w:bookmarkStart w:id="40" w:name="_Toc11257"/>
      <w:r>
        <w:rPr>
          <w:rFonts w:hint="eastAsia" w:ascii="宋体" w:hAnsi="宋体" w:eastAsia="宋体" w:cs="宋体"/>
          <w:color w:val="auto"/>
          <w:sz w:val="21"/>
          <w:szCs w:val="21"/>
        </w:rPr>
        <w:t>三、响应文件</w:t>
      </w:r>
      <w:bookmarkEnd w:id="38"/>
      <w:bookmarkEnd w:id="39"/>
      <w:bookmarkEnd w:id="40"/>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10.一般要求</w:t>
      </w: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10.1谈判单位应仔细阅读谈判文件的所有内容，按谈判文件的要求编制响应文件，</w:t>
      </w:r>
      <w:r>
        <w:rPr>
          <w:rFonts w:hint="eastAsia" w:ascii="宋体" w:hAnsi="宋体" w:eastAsia="宋体" w:cs="宋体"/>
          <w:b/>
          <w:color w:val="auto"/>
          <w:szCs w:val="21"/>
        </w:rPr>
        <w:t>严禁复制、粘贴，</w:t>
      </w:r>
      <w:r>
        <w:rPr>
          <w:rFonts w:hint="eastAsia" w:ascii="宋体" w:hAnsi="宋体" w:eastAsia="宋体" w:cs="宋体"/>
          <w:bCs/>
          <w:color w:val="auto"/>
          <w:szCs w:val="21"/>
        </w:rPr>
        <w:t>并保证所提供的全部资料的真实性。</w:t>
      </w: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10.2</w:t>
      </w:r>
      <w:r>
        <w:rPr>
          <w:rFonts w:hint="eastAsia" w:ascii="宋体" w:hAnsi="宋体" w:eastAsia="宋体" w:cs="宋体"/>
          <w:color w:val="auto"/>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bCs/>
          <w:color w:val="auto"/>
        </w:rPr>
        <w:t>10.3</w:t>
      </w:r>
      <w:r>
        <w:rPr>
          <w:rFonts w:hint="eastAsia" w:ascii="宋体" w:hAnsi="宋体" w:eastAsia="宋体" w:cs="宋体"/>
          <w:color w:val="auto"/>
        </w:rPr>
        <w:t>计量单位应使用我国法定计量单位，未列明时应默认为我国法定计量单位。</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10.4响应文件应采用书面形式，电报、传真、电子邮件形式的响应文件概不接受。</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10.5谈判单位提交的响应文件应按谈判文件中提供的响应文件格式编制。</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11.</w:t>
      </w:r>
      <w:r>
        <w:rPr>
          <w:rFonts w:hint="eastAsia" w:ascii="宋体" w:hAnsi="宋体" w:eastAsia="宋体" w:cs="宋体"/>
          <w:b/>
          <w:color w:val="auto"/>
          <w:szCs w:val="21"/>
        </w:rPr>
        <w:t>响应文件</w:t>
      </w:r>
      <w:r>
        <w:rPr>
          <w:rFonts w:hint="eastAsia" w:ascii="宋体" w:hAnsi="宋体" w:eastAsia="宋体" w:cs="宋体"/>
          <w:b/>
          <w:bCs/>
          <w:color w:val="auto"/>
          <w:szCs w:val="21"/>
        </w:rPr>
        <w:t>的组成</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11.1响应文件应包括下列内容：</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（1）谈判承诺书</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（2）法定代表人身份证明书</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（3）授权委托书</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（4）谈判单位资格条件证明文件</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（5）不拖欠农民工工资承诺书</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（6）报价一览表</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（7）报价汇总表</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（8）投标报价表</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（9）其他资料（如有）</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11.2在谈判过程中，谈判单位根据</w:t>
      </w:r>
      <w:r>
        <w:rPr>
          <w:rFonts w:hint="eastAsia" w:ascii="宋体" w:hAnsi="宋体" w:eastAsia="宋体" w:cs="宋体"/>
          <w:color w:val="auto"/>
          <w:kern w:val="0"/>
        </w:rPr>
        <w:t>谈判评审小组</w:t>
      </w:r>
      <w:r>
        <w:rPr>
          <w:rFonts w:hint="eastAsia" w:ascii="宋体" w:hAnsi="宋体" w:eastAsia="宋体" w:cs="宋体"/>
          <w:bCs/>
          <w:color w:val="auto"/>
        </w:rPr>
        <w:t>要求</w:t>
      </w:r>
      <w:r>
        <w:rPr>
          <w:rFonts w:hint="eastAsia" w:ascii="宋体" w:hAnsi="宋体" w:eastAsia="宋体" w:cs="宋体"/>
          <w:color w:val="auto"/>
          <w:kern w:val="0"/>
        </w:rPr>
        <w:t>提交的</w:t>
      </w:r>
      <w:r>
        <w:rPr>
          <w:rFonts w:hint="eastAsia" w:ascii="宋体" w:hAnsi="宋体" w:eastAsia="宋体" w:cs="宋体"/>
          <w:color w:val="auto"/>
        </w:rPr>
        <w:t>书面承诺或其他文件是响应文件的有效组成部分。</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11.3谈判单位无论成交与否，其递交的响应文件均不予退还。</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12.报价要求</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12.1 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highlight w:val="none"/>
        </w:rPr>
        <w:t>12.4计价方式：</w:t>
      </w:r>
      <w:r>
        <w:rPr>
          <w:rFonts w:hint="eastAsia" w:ascii="宋体" w:hAnsi="宋体" w:eastAsia="宋体" w:cs="宋体"/>
          <w:color w:val="auto"/>
          <w:szCs w:val="21"/>
        </w:rPr>
        <w:t>谈判单位应遵守湘建价﹝2020﹞56号文件的有关规定，定额执行2020年湖南省消耗量标准，在保证质量、工期的前提下，根据工程实际情况报出自己的报价，但报价不能低于其企业成本价。</w:t>
      </w:r>
    </w:p>
    <w:p>
      <w:pPr>
        <w:adjustRightInd w:val="0"/>
        <w:snapToGrid w:val="0"/>
        <w:spacing w:line="360" w:lineRule="auto"/>
        <w:ind w:firstLine="411" w:firstLineChars="196"/>
        <w:rPr>
          <w:rFonts w:hint="eastAsia" w:ascii="宋体" w:hAnsi="宋体" w:eastAsia="宋体" w:cs="宋体"/>
          <w:color w:val="auto"/>
          <w:szCs w:val="21"/>
          <w:lang w:eastAsia="zh-CN"/>
        </w:rPr>
      </w:pPr>
      <w:r>
        <w:rPr>
          <w:rFonts w:hint="eastAsia" w:ascii="宋体" w:hAnsi="宋体" w:eastAsia="宋体" w:cs="宋体"/>
          <w:color w:val="auto"/>
          <w:szCs w:val="21"/>
        </w:rPr>
        <w:t>12.</w:t>
      </w:r>
      <w:r>
        <w:rPr>
          <w:rFonts w:hint="eastAsia" w:ascii="宋体" w:hAnsi="宋体" w:cs="宋体"/>
          <w:color w:val="auto"/>
          <w:szCs w:val="21"/>
          <w:lang w:val="en-US" w:eastAsia="zh-CN"/>
        </w:rPr>
        <w:t>5</w:t>
      </w:r>
      <w:r>
        <w:rPr>
          <w:rFonts w:hint="eastAsia" w:ascii="宋体" w:hAnsi="宋体" w:eastAsia="宋体" w:cs="宋体"/>
          <w:color w:val="auto"/>
          <w:szCs w:val="21"/>
        </w:rPr>
        <w:t>销项税额必须严格按标准执行，不得折扣、优惠</w:t>
      </w:r>
      <w:r>
        <w:rPr>
          <w:rFonts w:hint="eastAsia" w:ascii="宋体" w:hAnsi="宋体" w:eastAsia="宋体" w:cs="宋体"/>
          <w:color w:val="auto"/>
          <w:szCs w:val="21"/>
          <w:lang w:eastAsia="zh-CN"/>
        </w:rPr>
        <w:t>。</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6</w:t>
      </w:r>
      <w:r>
        <w:rPr>
          <w:rFonts w:hint="eastAsia" w:ascii="宋体" w:hAnsi="宋体" w:eastAsia="宋体" w:cs="宋体"/>
          <w:color w:val="auto"/>
          <w:szCs w:val="21"/>
        </w:rPr>
        <w:t xml:space="preserve"> 材料价格调整问题:见合同条款。</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7</w:t>
      </w:r>
      <w:r>
        <w:rPr>
          <w:rFonts w:hint="eastAsia" w:ascii="宋体" w:hAnsi="宋体" w:eastAsia="宋体" w:cs="宋体"/>
          <w:color w:val="auto"/>
          <w:szCs w:val="21"/>
        </w:rPr>
        <w:t xml:space="preserve"> 工程量的变更调整：见合同条款。</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8</w:t>
      </w:r>
      <w:r>
        <w:rPr>
          <w:rFonts w:hint="eastAsia" w:ascii="宋体" w:hAnsi="宋体" w:eastAsia="宋体" w:cs="宋体"/>
          <w:color w:val="auto"/>
          <w:szCs w:val="21"/>
        </w:rPr>
        <w:t xml:space="preserve"> 本项目设置最高限价，谈判单位所报总价不能超过最高限价，不超过最高限价的报价为有效报价。本项目最高限价</w:t>
      </w:r>
      <w:r>
        <w:rPr>
          <w:rFonts w:hint="eastAsia" w:ascii="宋体" w:hAnsi="宋体" w:eastAsia="宋体" w:cs="宋体"/>
          <w:color w:val="auto"/>
        </w:rPr>
        <w:t>见</w:t>
      </w:r>
      <w:r>
        <w:rPr>
          <w:rFonts w:hint="eastAsia" w:ascii="宋体" w:hAnsi="宋体" w:eastAsia="宋体" w:cs="宋体"/>
          <w:b/>
          <w:color w:val="auto"/>
        </w:rPr>
        <w:t>前附表</w:t>
      </w:r>
      <w:r>
        <w:rPr>
          <w:rFonts w:hint="eastAsia" w:ascii="宋体" w:hAnsi="宋体" w:eastAsia="宋体" w:cs="宋体"/>
          <w:color w:val="auto"/>
        </w:rPr>
        <w:t>。</w:t>
      </w:r>
    </w:p>
    <w:p>
      <w:pPr>
        <w:adjustRightInd w:val="0"/>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9</w:t>
      </w:r>
      <w:r>
        <w:rPr>
          <w:rFonts w:hint="eastAsia" w:ascii="宋体" w:hAnsi="宋体" w:eastAsia="宋体" w:cs="宋体"/>
          <w:color w:val="auto"/>
          <w:szCs w:val="21"/>
        </w:rPr>
        <w:t xml:space="preserve">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hint="eastAsia" w:ascii="宋体" w:hAnsi="宋体" w:eastAsia="宋体" w:cs="宋体"/>
          <w:b/>
          <w:bCs/>
          <w:color w:val="auto"/>
          <w:szCs w:val="21"/>
        </w:rPr>
      </w:pPr>
      <w:r>
        <w:rPr>
          <w:rFonts w:hint="eastAsia" w:ascii="宋体" w:hAnsi="宋体" w:eastAsia="宋体" w:cs="宋体"/>
          <w:color w:val="auto"/>
          <w:szCs w:val="21"/>
        </w:rPr>
        <w:t>12.</w:t>
      </w:r>
      <w:r>
        <w:rPr>
          <w:rFonts w:hint="eastAsia" w:ascii="宋体" w:hAnsi="宋体" w:cs="宋体"/>
          <w:color w:val="auto"/>
          <w:szCs w:val="21"/>
          <w:lang w:val="en-US" w:eastAsia="zh-CN"/>
        </w:rPr>
        <w:t>10</w:t>
      </w:r>
      <w:r>
        <w:rPr>
          <w:rFonts w:hint="eastAsia" w:ascii="宋体" w:hAnsi="宋体" w:eastAsia="宋体" w:cs="宋体"/>
          <w:color w:val="auto"/>
          <w:szCs w:val="21"/>
        </w:rPr>
        <w:t xml:space="preserve"> 谈判单位投标前请进行必要的现场踏勘，了解项目实际情况，产生的费用自行承担。</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12.1</w:t>
      </w:r>
      <w:r>
        <w:rPr>
          <w:rFonts w:hint="eastAsia" w:ascii="宋体" w:hAnsi="宋体" w:cs="宋体"/>
          <w:color w:val="auto"/>
          <w:szCs w:val="21"/>
          <w:lang w:val="en-US" w:eastAsia="zh-CN"/>
        </w:rPr>
        <w:t>1</w:t>
      </w:r>
      <w:r>
        <w:rPr>
          <w:rFonts w:hint="eastAsia" w:ascii="宋体" w:hAnsi="宋体" w:eastAsia="宋体" w:cs="宋体"/>
          <w:color w:val="auto"/>
          <w:szCs w:val="21"/>
        </w:rPr>
        <w:t xml:space="preserve"> 谈判单位应按谈判文件规定的要求、责任范围和合同条件，以</w:t>
      </w:r>
      <w:r>
        <w:rPr>
          <w:rFonts w:hint="eastAsia" w:ascii="宋体" w:hAnsi="宋体" w:eastAsia="宋体" w:cs="宋体"/>
          <w:bCs/>
          <w:color w:val="auto"/>
          <w:szCs w:val="21"/>
        </w:rPr>
        <w:t>人民币</w:t>
      </w:r>
      <w:r>
        <w:rPr>
          <w:rFonts w:hint="eastAsia" w:ascii="宋体" w:hAnsi="宋体" w:eastAsia="宋体" w:cs="宋体"/>
          <w:color w:val="auto"/>
          <w:szCs w:val="21"/>
        </w:rPr>
        <w:t>报价，以元为单位，保留小数点后两位。</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12.1</w:t>
      </w:r>
      <w:r>
        <w:rPr>
          <w:rFonts w:hint="eastAsia" w:hAnsi="宋体" w:cs="宋体"/>
          <w:color w:val="auto"/>
          <w:lang w:val="en-US" w:eastAsia="zh-CN"/>
        </w:rPr>
        <w:t>2</w:t>
      </w:r>
      <w:r>
        <w:rPr>
          <w:rFonts w:hint="eastAsia" w:ascii="宋体" w:hAnsi="宋体" w:eastAsia="宋体" w:cs="宋体"/>
          <w:color w:val="auto"/>
        </w:rPr>
        <w:t xml:space="preserve"> 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12.1</w:t>
      </w:r>
      <w:r>
        <w:rPr>
          <w:rFonts w:hint="eastAsia" w:hAnsi="宋体" w:cs="宋体"/>
          <w:color w:val="auto"/>
          <w:lang w:val="en-US" w:eastAsia="zh-CN"/>
        </w:rPr>
        <w:t>3</w:t>
      </w:r>
      <w:r>
        <w:rPr>
          <w:rFonts w:hint="eastAsia" w:ascii="宋体" w:hAnsi="宋体" w:eastAsia="宋体" w:cs="宋体"/>
          <w:color w:val="auto"/>
        </w:rPr>
        <w:t xml:space="preserve"> 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bCs/>
          <w:color w:val="auto"/>
          <w:szCs w:val="21"/>
        </w:rPr>
        <w:t>12.1</w:t>
      </w:r>
      <w:r>
        <w:rPr>
          <w:rFonts w:hint="eastAsia" w:ascii="宋体" w:hAnsi="宋体" w:cs="宋体"/>
          <w:bCs/>
          <w:color w:val="auto"/>
          <w:szCs w:val="21"/>
          <w:lang w:val="en-US" w:eastAsia="zh-CN"/>
        </w:rPr>
        <w:t>4</w:t>
      </w:r>
      <w:r>
        <w:rPr>
          <w:rFonts w:hint="eastAsia" w:ascii="宋体" w:hAnsi="宋体" w:eastAsia="宋体" w:cs="宋体"/>
          <w:bCs/>
          <w:color w:val="auto"/>
          <w:szCs w:val="21"/>
        </w:rPr>
        <w:t xml:space="preserve"> 最低报价不能作为中选的保证。</w:t>
      </w:r>
    </w:p>
    <w:p>
      <w:pPr>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rPr>
        <w:t>12.1</w:t>
      </w:r>
      <w:r>
        <w:rPr>
          <w:rFonts w:hint="eastAsia" w:ascii="宋体" w:hAnsi="宋体" w:cs="宋体"/>
          <w:color w:val="auto"/>
          <w:szCs w:val="21"/>
          <w:lang w:val="en-US" w:eastAsia="zh-CN"/>
        </w:rPr>
        <w:t>5</w:t>
      </w:r>
      <w:r>
        <w:rPr>
          <w:rFonts w:hint="eastAsia" w:ascii="宋体" w:hAnsi="宋体" w:eastAsia="宋体" w:cs="宋体"/>
          <w:color w:val="auto"/>
          <w:szCs w:val="21"/>
        </w:rPr>
        <w:t>本项目为单价合同</w:t>
      </w:r>
      <w:r>
        <w:rPr>
          <w:rFonts w:hint="eastAsia" w:ascii="宋体" w:hAnsi="宋体" w:eastAsia="宋体" w:cs="宋体"/>
          <w:color w:val="auto"/>
        </w:rPr>
        <w:t>，合同单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宋体" w:hAnsi="宋体" w:eastAsia="宋体" w:cs="宋体"/>
          <w:color w:val="auto"/>
          <w:lang w:val="en-US" w:eastAsia="zh-CN"/>
        </w:rPr>
        <w:t>(水电费除外）</w:t>
      </w:r>
      <w:r>
        <w:rPr>
          <w:rFonts w:hint="eastAsia" w:ascii="宋体" w:hAnsi="宋体" w:eastAsia="宋体" w:cs="宋体"/>
          <w:color w:val="auto"/>
        </w:rPr>
        <w:t>。乙方根据工程数量与价格表资料以及相应的经乙方和甲方共同签字确认原始测量验收资料和工程数量计算资料作为结算依据。最终结算价格不得超过签约合同价。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13.响应文件有效期</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13.1响应文件有效期见</w:t>
      </w:r>
      <w:r>
        <w:rPr>
          <w:rFonts w:hint="eastAsia" w:ascii="宋体" w:hAnsi="宋体" w:eastAsia="宋体" w:cs="宋体"/>
          <w:b/>
          <w:color w:val="auto"/>
          <w:szCs w:val="21"/>
        </w:rPr>
        <w:t>前附表</w:t>
      </w:r>
      <w:r>
        <w:rPr>
          <w:rFonts w:hint="eastAsia" w:ascii="宋体" w:hAnsi="宋体" w:eastAsia="宋体" w:cs="宋体"/>
          <w:color w:val="auto"/>
          <w:szCs w:val="21"/>
        </w:rPr>
        <w:t>，在此期间响应文件对谈判单位具有法律约束力，从</w:t>
      </w:r>
      <w:r>
        <w:rPr>
          <w:rFonts w:hint="eastAsia" w:ascii="宋体" w:hAnsi="宋体" w:eastAsia="宋体" w:cs="宋体"/>
          <w:b/>
          <w:color w:val="auto"/>
          <w:szCs w:val="21"/>
        </w:rPr>
        <w:t>前附表</w:t>
      </w:r>
      <w:r>
        <w:rPr>
          <w:rFonts w:hint="eastAsia" w:ascii="宋体" w:hAnsi="宋体" w:eastAsia="宋体" w:cs="宋体"/>
          <w:color w:val="auto"/>
          <w:szCs w:val="21"/>
        </w:rPr>
        <w:t>规定的</w:t>
      </w:r>
      <w:r>
        <w:rPr>
          <w:rFonts w:hint="eastAsia" w:ascii="宋体" w:hAnsi="宋体" w:eastAsia="宋体" w:cs="宋体"/>
          <w:color w:val="auto"/>
          <w:kern w:val="0"/>
          <w:szCs w:val="21"/>
        </w:rPr>
        <w:t>响应文件递交截止时间</w:t>
      </w:r>
      <w:r>
        <w:rPr>
          <w:rFonts w:hint="eastAsia" w:ascii="宋体" w:hAnsi="宋体" w:eastAsia="宋体" w:cs="宋体"/>
          <w:color w:val="auto"/>
          <w:szCs w:val="21"/>
        </w:rPr>
        <w:t>之日起计算。响应文件有效期不足的将被视为无效响应。</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14.响应文件的编制</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14.1响应文件应按</w:t>
      </w:r>
      <w:r>
        <w:rPr>
          <w:rFonts w:hint="eastAsia" w:ascii="宋体" w:hAnsi="宋体" w:eastAsia="宋体" w:cs="宋体"/>
          <w:b/>
          <w:bCs/>
          <w:color w:val="auto"/>
          <w:sz w:val="21"/>
          <w:szCs w:val="21"/>
        </w:rPr>
        <w:t>第七章</w:t>
      </w:r>
      <w:r>
        <w:rPr>
          <w:rFonts w:hint="eastAsia" w:ascii="宋体" w:hAnsi="宋体" w:eastAsia="宋体" w:cs="宋体"/>
          <w:color w:val="auto"/>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14.2响应文件应用不褪色的材料书写或打印（建议双面打印），并按</w:t>
      </w:r>
      <w:r>
        <w:rPr>
          <w:rFonts w:hint="eastAsia" w:ascii="宋体" w:hAnsi="宋体" w:eastAsia="宋体" w:cs="宋体"/>
          <w:b/>
          <w:bCs/>
          <w:color w:val="auto"/>
        </w:rPr>
        <w:t>第七章</w:t>
      </w:r>
      <w:r>
        <w:rPr>
          <w:rFonts w:hint="eastAsia" w:ascii="宋体" w:hAnsi="宋体" w:eastAsia="宋体" w:cs="宋体"/>
          <w:color w:val="auto"/>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ascii="宋体" w:hAnsi="宋体" w:eastAsia="宋体" w:cs="宋体"/>
          <w:b/>
          <w:bCs/>
          <w:color w:val="auto"/>
        </w:rPr>
        <w:t>第七章</w:t>
      </w:r>
      <w:r>
        <w:rPr>
          <w:rFonts w:hint="eastAsia" w:ascii="宋体" w:hAnsi="宋体" w:eastAsia="宋体" w:cs="宋体"/>
          <w:color w:val="auto"/>
        </w:rPr>
        <w:t>“响应文件格式”的要求。</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14.4响应文件为一式三份，其中正本一份，副本两份，均须胶装成册；电子文件一份（U盘或光盘，应包含响应文件的所有内容，并标注谈判单位名称）。响应文件正本和副本的封面上应清楚地标记</w:t>
      </w:r>
      <w:r>
        <w:rPr>
          <w:rFonts w:hint="eastAsia" w:ascii="宋体" w:hAnsi="宋体" w:eastAsia="宋体" w:cs="宋体"/>
          <w:b/>
          <w:bCs/>
          <w:color w:val="auto"/>
        </w:rPr>
        <w:t>“正本”</w:t>
      </w:r>
      <w:r>
        <w:rPr>
          <w:rFonts w:hint="eastAsia" w:ascii="宋体" w:hAnsi="宋体" w:eastAsia="宋体" w:cs="宋体"/>
          <w:color w:val="auto"/>
        </w:rPr>
        <w:t>或</w:t>
      </w:r>
      <w:r>
        <w:rPr>
          <w:rFonts w:hint="eastAsia" w:ascii="宋体" w:hAnsi="宋体" w:eastAsia="宋体" w:cs="宋体"/>
          <w:b/>
          <w:bCs/>
          <w:color w:val="auto"/>
        </w:rPr>
        <w:t>“副本”</w:t>
      </w:r>
      <w:r>
        <w:rPr>
          <w:rFonts w:hint="eastAsia" w:ascii="宋体" w:hAnsi="宋体" w:eastAsia="宋体" w:cs="宋体"/>
          <w:color w:val="auto"/>
        </w:rPr>
        <w:t>的字样，若响应文件副本为正本的复印件，还需在谈判文件要求盖章处加盖单位公章。当正本和副本有差异时，以正本为准。</w:t>
      </w:r>
    </w:p>
    <w:p>
      <w:pPr>
        <w:pStyle w:val="4"/>
        <w:keepNext w:val="0"/>
        <w:keepLines w:val="0"/>
        <w:rPr>
          <w:rFonts w:hint="eastAsia" w:ascii="宋体" w:hAnsi="宋体" w:eastAsia="宋体" w:cs="宋体"/>
          <w:color w:val="auto"/>
          <w:sz w:val="21"/>
          <w:szCs w:val="21"/>
        </w:rPr>
      </w:pPr>
      <w:bookmarkStart w:id="41" w:name="_Toc11968"/>
      <w:bookmarkStart w:id="42" w:name="_Toc14891071"/>
      <w:bookmarkStart w:id="43" w:name="_Toc15736"/>
      <w:r>
        <w:rPr>
          <w:rFonts w:hint="eastAsia" w:ascii="宋体" w:hAnsi="宋体" w:eastAsia="宋体" w:cs="宋体"/>
          <w:color w:val="auto"/>
          <w:sz w:val="21"/>
          <w:szCs w:val="21"/>
        </w:rPr>
        <w:t>四、响应文件的递交</w:t>
      </w:r>
      <w:bookmarkEnd w:id="41"/>
      <w:bookmarkEnd w:id="42"/>
      <w:bookmarkEnd w:id="43"/>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15.</w:t>
      </w:r>
      <w:r>
        <w:rPr>
          <w:rFonts w:hint="eastAsia" w:ascii="宋体" w:hAnsi="宋体" w:eastAsia="宋体" w:cs="宋体"/>
          <w:b/>
          <w:color w:val="auto"/>
          <w:szCs w:val="21"/>
        </w:rPr>
        <w:t>响应文件</w:t>
      </w:r>
      <w:r>
        <w:rPr>
          <w:rFonts w:hint="eastAsia" w:ascii="宋体" w:hAnsi="宋体" w:eastAsia="宋体" w:cs="宋体"/>
          <w:b/>
          <w:bCs/>
          <w:color w:val="auto"/>
          <w:szCs w:val="21"/>
        </w:rPr>
        <w:t>的密封</w:t>
      </w:r>
    </w:p>
    <w:p>
      <w:pPr>
        <w:adjustRightInd w:val="0"/>
        <w:snapToGrid w:val="0"/>
        <w:spacing w:line="360" w:lineRule="auto"/>
        <w:ind w:firstLine="420" w:firstLineChars="200"/>
        <w:rPr>
          <w:rFonts w:hint="eastAsia" w:ascii="宋体" w:hAnsi="宋体" w:eastAsia="宋体" w:cs="宋体"/>
          <w:b/>
          <w:bCs/>
          <w:color w:val="auto"/>
          <w:szCs w:val="21"/>
        </w:rPr>
      </w:pPr>
      <w:r>
        <w:rPr>
          <w:rFonts w:hint="eastAsia" w:ascii="宋体" w:hAnsi="宋体" w:eastAsia="宋体" w:cs="宋体"/>
          <w:color w:val="auto"/>
          <w:szCs w:val="21"/>
        </w:rPr>
        <w:t>15.1谈判单位须将响应文件一正两副与电子文件一起密封包装。</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16.响应文件的标记</w:t>
      </w:r>
    </w:p>
    <w:p>
      <w:pPr>
        <w:adjustRightInd w:val="0"/>
        <w:snapToGrid w:val="0"/>
        <w:spacing w:line="360" w:lineRule="auto"/>
        <w:ind w:firstLine="420" w:firstLineChars="200"/>
        <w:rPr>
          <w:rFonts w:hint="eastAsia" w:ascii="宋体" w:hAnsi="宋体" w:eastAsia="宋体" w:cs="宋体"/>
          <w:b/>
          <w:bCs/>
          <w:color w:val="auto"/>
          <w:szCs w:val="21"/>
        </w:rPr>
      </w:pPr>
      <w:r>
        <w:rPr>
          <w:rFonts w:hint="eastAsia" w:ascii="宋体" w:hAnsi="宋体" w:eastAsia="宋体" w:cs="宋体"/>
          <w:color w:val="auto"/>
          <w:szCs w:val="21"/>
        </w:rPr>
        <w:t>16.1</w:t>
      </w:r>
      <w:r>
        <w:rPr>
          <w:rFonts w:hint="eastAsia" w:ascii="宋体" w:hAnsi="宋体" w:eastAsia="宋体" w:cs="宋体"/>
          <w:bCs/>
          <w:color w:val="auto"/>
          <w:szCs w:val="21"/>
        </w:rPr>
        <w:t>响应文件的密封封套上须写明如下内容</w:t>
      </w:r>
      <w:r>
        <w:rPr>
          <w:rFonts w:hint="eastAsia" w:ascii="宋体" w:hAnsi="宋体" w:eastAsia="宋体" w:cs="宋体"/>
          <w:color w:val="auto"/>
          <w:szCs w:val="21"/>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采购单位：</w:t>
            </w:r>
            <w:r>
              <w:rPr>
                <w:rFonts w:hint="eastAsia" w:ascii="宋体" w:hAnsi="宋体" w:eastAsia="宋体" w:cs="宋体"/>
                <w:color w:val="auto"/>
                <w:szCs w:val="21"/>
                <w:u w:val="single"/>
              </w:rPr>
              <w:t xml:space="preserve">                              </w:t>
            </w:r>
          </w:p>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p>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谈判单位：</w:t>
            </w:r>
            <w:r>
              <w:rPr>
                <w:rFonts w:hint="eastAsia" w:ascii="宋体" w:hAnsi="宋体" w:eastAsia="宋体" w:cs="宋体"/>
                <w:color w:val="auto"/>
                <w:szCs w:val="21"/>
                <w:u w:val="single"/>
              </w:rPr>
              <w:t>（填写单位名称并加盖单位公章）</w:t>
            </w:r>
          </w:p>
          <w:p>
            <w:pPr>
              <w:spacing w:line="360" w:lineRule="auto"/>
              <w:ind w:firstLine="840" w:firstLineChars="400"/>
              <w:rPr>
                <w:rFonts w:hint="eastAsia" w:ascii="宋体" w:hAnsi="宋体" w:eastAsia="宋体" w:cs="宋体"/>
                <w:color w:val="auto"/>
                <w:szCs w:val="21"/>
              </w:rPr>
            </w:pP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i/>
                <w:iCs/>
                <w:color w:val="auto"/>
                <w:szCs w:val="21"/>
                <w:u w:val="single"/>
              </w:rPr>
              <w:t xml:space="preserve">    </w:t>
            </w:r>
            <w:r>
              <w:rPr>
                <w:rFonts w:hint="eastAsia" w:ascii="宋体" w:hAnsi="宋体"/>
                <w:bCs/>
                <w:color w:val="auto"/>
                <w:szCs w:val="21"/>
              </w:rPr>
              <w:t>日</w:t>
            </w:r>
          </w:p>
        </w:tc>
      </w:tr>
    </w:tbl>
    <w:p>
      <w:pPr>
        <w:adjustRightInd w:val="0"/>
        <w:snapToGrid w:val="0"/>
        <w:spacing w:line="360" w:lineRule="auto"/>
        <w:ind w:firstLine="413" w:firstLineChars="196"/>
        <w:rPr>
          <w:rFonts w:hint="eastAsia" w:ascii="宋体" w:hAnsi="宋体" w:eastAsia="宋体" w:cs="宋体"/>
          <w:b/>
          <w:bCs/>
          <w:color w:val="auto"/>
          <w:szCs w:val="21"/>
        </w:rPr>
      </w:pP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17.响应文件的递交</w:t>
      </w:r>
    </w:p>
    <w:p>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17.1谈判单位应按要求在</w:t>
      </w:r>
      <w:r>
        <w:rPr>
          <w:rFonts w:hint="eastAsia" w:ascii="宋体" w:hAnsi="宋体" w:eastAsia="宋体" w:cs="宋体"/>
          <w:color w:val="auto"/>
          <w:kern w:val="0"/>
          <w:szCs w:val="21"/>
        </w:rPr>
        <w:t>响应文件递交截止时间</w:t>
      </w:r>
      <w:r>
        <w:rPr>
          <w:rFonts w:hint="eastAsia" w:ascii="宋体" w:hAnsi="宋体" w:eastAsia="宋体" w:cs="宋体"/>
          <w:color w:val="auto"/>
          <w:szCs w:val="21"/>
        </w:rPr>
        <w:t>前，将响应文件送达指定地点，响应文件递交截止时间、地点及要求见</w:t>
      </w:r>
      <w:r>
        <w:rPr>
          <w:rFonts w:hint="eastAsia" w:ascii="宋体" w:hAnsi="宋体" w:eastAsia="宋体" w:cs="宋体"/>
          <w:b/>
          <w:color w:val="auto"/>
          <w:szCs w:val="21"/>
        </w:rPr>
        <w:t>前附表</w:t>
      </w:r>
      <w:r>
        <w:rPr>
          <w:rFonts w:hint="eastAsia" w:ascii="宋体" w:hAnsi="宋体" w:eastAsia="宋体" w:cs="宋体"/>
          <w:color w:val="auto"/>
          <w:szCs w:val="21"/>
        </w:rPr>
        <w:t>。</w:t>
      </w:r>
      <w:r>
        <w:rPr>
          <w:rFonts w:hint="eastAsia" w:ascii="宋体" w:hAnsi="宋体" w:eastAsia="宋体" w:cs="宋体"/>
          <w:color w:val="auto"/>
          <w:kern w:val="0"/>
          <w:szCs w:val="21"/>
        </w:rPr>
        <w:t>在截止时间后送达的响应文件，采购单位应当拒收。</w:t>
      </w:r>
    </w:p>
    <w:p>
      <w:pPr>
        <w:adjustRightInd w:val="0"/>
        <w:snapToGrid w:val="0"/>
        <w:spacing w:line="360" w:lineRule="auto"/>
        <w:ind w:firstLine="420" w:firstLineChars="200"/>
        <w:rPr>
          <w:rFonts w:hint="eastAsia" w:ascii="宋体" w:hAnsi="宋体" w:eastAsia="宋体" w:cs="宋体"/>
          <w:b/>
          <w:color w:val="auto"/>
          <w:szCs w:val="21"/>
        </w:rPr>
      </w:pPr>
      <w:r>
        <w:rPr>
          <w:rFonts w:hint="eastAsia" w:ascii="宋体" w:hAnsi="宋体" w:eastAsia="宋体" w:cs="宋体"/>
          <w:bCs/>
          <w:color w:val="auto"/>
          <w:szCs w:val="21"/>
        </w:rPr>
        <w:t>17.2采购单位</w:t>
      </w:r>
      <w:r>
        <w:rPr>
          <w:rFonts w:hint="eastAsia" w:ascii="宋体" w:hAnsi="宋体"/>
          <w:bCs/>
          <w:color w:val="auto"/>
          <w:szCs w:val="21"/>
        </w:rPr>
        <w:t>在</w:t>
      </w:r>
      <w:r>
        <w:rPr>
          <w:rFonts w:hint="eastAsia" w:ascii="宋体" w:hAnsi="宋体" w:eastAsia="宋体" w:cs="宋体"/>
          <w:b/>
          <w:bCs/>
          <w:color w:val="auto"/>
          <w:szCs w:val="21"/>
        </w:rPr>
        <w:t>前附表</w:t>
      </w:r>
      <w:r>
        <w:rPr>
          <w:rFonts w:hint="eastAsia" w:ascii="宋体" w:hAnsi="宋体" w:eastAsia="宋体" w:cs="宋体"/>
          <w:bCs/>
          <w:color w:val="auto"/>
          <w:szCs w:val="21"/>
        </w:rPr>
        <w:t>规定的谈判时间和地点，组织谈判单位签到并接收</w:t>
      </w:r>
      <w:r>
        <w:rPr>
          <w:rFonts w:hint="eastAsia" w:ascii="宋体" w:hAnsi="宋体"/>
          <w:bCs/>
          <w:color w:val="auto"/>
          <w:szCs w:val="21"/>
        </w:rPr>
        <w:t>响应</w:t>
      </w:r>
      <w:r>
        <w:rPr>
          <w:rFonts w:hint="eastAsia" w:ascii="宋体" w:hAnsi="宋体" w:eastAsia="宋体" w:cs="宋体"/>
          <w:bCs/>
          <w:color w:val="auto"/>
          <w:szCs w:val="21"/>
        </w:rPr>
        <w:t>文件。</w:t>
      </w:r>
    </w:p>
    <w:p>
      <w:pPr>
        <w:pStyle w:val="4"/>
        <w:keepNext w:val="0"/>
        <w:keepLines w:val="0"/>
        <w:rPr>
          <w:rFonts w:hint="eastAsia" w:ascii="宋体" w:hAnsi="宋体" w:eastAsia="宋体" w:cs="宋体"/>
          <w:color w:val="auto"/>
          <w:sz w:val="21"/>
          <w:szCs w:val="21"/>
        </w:rPr>
      </w:pPr>
      <w:bookmarkStart w:id="44" w:name="_Toc27066"/>
      <w:bookmarkStart w:id="45" w:name="_Toc28214"/>
      <w:bookmarkStart w:id="46" w:name="_Toc14891072"/>
      <w:r>
        <w:rPr>
          <w:rFonts w:hint="eastAsia" w:ascii="宋体" w:hAnsi="宋体" w:eastAsia="宋体" w:cs="宋体"/>
          <w:color w:val="auto"/>
          <w:sz w:val="21"/>
          <w:szCs w:val="21"/>
        </w:rPr>
        <w:t>五、响应文件的评审</w:t>
      </w:r>
      <w:bookmarkEnd w:id="44"/>
      <w:bookmarkEnd w:id="45"/>
      <w:bookmarkEnd w:id="46"/>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bCs/>
          <w:color w:val="auto"/>
          <w:szCs w:val="21"/>
        </w:rPr>
        <w:t>18.</w:t>
      </w:r>
      <w:r>
        <w:rPr>
          <w:rFonts w:hint="eastAsia" w:ascii="宋体" w:hAnsi="宋体" w:eastAsia="宋体" w:cs="宋体"/>
          <w:bCs/>
          <w:color w:val="auto"/>
          <w:szCs w:val="21"/>
        </w:rPr>
        <w:t>评审由谈判评审小组负责，谈判评审小组应按照本谈判文件第三章“评审办法及标准”的内容和程序对响应文件进行评审。</w:t>
      </w:r>
    </w:p>
    <w:p>
      <w:pPr>
        <w:pStyle w:val="4"/>
        <w:keepNext w:val="0"/>
        <w:keepLines w:val="0"/>
        <w:rPr>
          <w:rFonts w:hint="eastAsia" w:ascii="宋体" w:hAnsi="宋体" w:eastAsia="宋体" w:cs="宋体"/>
          <w:color w:val="auto"/>
          <w:sz w:val="21"/>
          <w:szCs w:val="21"/>
        </w:rPr>
      </w:pPr>
      <w:bookmarkStart w:id="47" w:name="_Toc13535"/>
      <w:bookmarkStart w:id="48" w:name="_Toc6119"/>
      <w:bookmarkStart w:id="49" w:name="_Toc14891073"/>
      <w:r>
        <w:rPr>
          <w:rFonts w:hint="eastAsia" w:ascii="宋体" w:hAnsi="宋体" w:eastAsia="宋体" w:cs="宋体"/>
          <w:color w:val="auto"/>
          <w:sz w:val="21"/>
          <w:szCs w:val="21"/>
        </w:rPr>
        <w:t>六、响应文件的澄清、说明及补正</w:t>
      </w:r>
      <w:bookmarkEnd w:id="47"/>
      <w:bookmarkEnd w:id="48"/>
      <w:bookmarkEnd w:id="49"/>
    </w:p>
    <w:p>
      <w:pPr>
        <w:widowControl/>
        <w:adjustRightInd w:val="0"/>
        <w:snapToGrid w:val="0"/>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19.澄清</w:t>
      </w:r>
    </w:p>
    <w:p>
      <w:pPr>
        <w:widowControl/>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20.说明及补正</w:t>
      </w:r>
    </w:p>
    <w:p>
      <w:pPr>
        <w:widowControl/>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20.2谈判单位对响应文件的澄清不得改变谈判报价及实质内容。</w:t>
      </w:r>
    </w:p>
    <w:p>
      <w:pPr>
        <w:widowControl/>
        <w:adjustRightInd w:val="0"/>
        <w:snapToGrid w:val="0"/>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kern w:val="0"/>
          <w:szCs w:val="21"/>
        </w:rPr>
        <w:t>20.3与谈判文件有重大偏离的响应文件将被拒绝。重大偏离指谈判总报价、谈判有</w:t>
      </w:r>
      <w:r>
        <w:rPr>
          <w:rFonts w:hint="eastAsia" w:ascii="宋体" w:hAnsi="宋体" w:eastAsia="宋体" w:cs="宋体"/>
          <w:color w:val="auto"/>
          <w:kern w:val="0"/>
          <w:szCs w:val="21"/>
          <w:lang w:eastAsia="zh-CN"/>
        </w:rPr>
        <w:t>效</w:t>
      </w:r>
      <w:r>
        <w:rPr>
          <w:rFonts w:hint="eastAsia" w:ascii="宋体" w:hAnsi="宋体" w:eastAsia="宋体" w:cs="宋体"/>
          <w:color w:val="auto"/>
          <w:kern w:val="0"/>
          <w:szCs w:val="21"/>
        </w:rPr>
        <w:t>期、施工工期明显不能满足谈判文件的要求。这些偏离不允许在响应文件递交截止时间之后修正。</w:t>
      </w:r>
    </w:p>
    <w:p>
      <w:pPr>
        <w:pStyle w:val="4"/>
        <w:keepNext w:val="0"/>
        <w:keepLines w:val="0"/>
        <w:rPr>
          <w:rFonts w:hint="eastAsia" w:ascii="宋体" w:hAnsi="宋体" w:eastAsia="宋体" w:cs="宋体"/>
          <w:color w:val="auto"/>
          <w:sz w:val="21"/>
          <w:szCs w:val="21"/>
        </w:rPr>
      </w:pPr>
      <w:bookmarkStart w:id="50" w:name="_Toc11509"/>
      <w:bookmarkStart w:id="51" w:name="_Toc31860"/>
      <w:bookmarkStart w:id="52" w:name="_Toc14891074"/>
      <w:r>
        <w:rPr>
          <w:rFonts w:hint="eastAsia" w:ascii="宋体" w:hAnsi="宋体" w:eastAsia="宋体" w:cs="宋体"/>
          <w:color w:val="auto"/>
          <w:sz w:val="21"/>
          <w:szCs w:val="21"/>
        </w:rPr>
        <w:t>七、中选结果与授予合同</w:t>
      </w:r>
      <w:bookmarkEnd w:id="50"/>
      <w:bookmarkEnd w:id="51"/>
      <w:bookmarkEnd w:id="52"/>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21.中选信息的公布</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21.1中选单位确定后，采购单位应将结果信息在</w:t>
      </w:r>
      <w:r>
        <w:rPr>
          <w:rFonts w:hint="eastAsia" w:ascii="宋体" w:hAnsi="宋体" w:eastAsia="宋体" w:cs="宋体"/>
          <w:b/>
          <w:color w:val="auto"/>
        </w:rPr>
        <w:t>前附表</w:t>
      </w:r>
      <w:r>
        <w:rPr>
          <w:rFonts w:hint="eastAsia" w:ascii="宋体" w:hAnsi="宋体" w:eastAsia="宋体" w:cs="宋体"/>
          <w:color w:val="auto"/>
        </w:rPr>
        <w:t>指定的媒体上公布，</w:t>
      </w:r>
      <w:r>
        <w:rPr>
          <w:rFonts w:hint="eastAsia" w:ascii="宋体" w:hAnsi="宋体" w:eastAsia="宋体" w:cs="宋体"/>
          <w:b/>
          <w:bCs/>
          <w:color w:val="auto"/>
        </w:rPr>
        <w:t>公示期限为3个工作日</w:t>
      </w:r>
      <w:r>
        <w:rPr>
          <w:rFonts w:hint="eastAsia" w:ascii="宋体" w:hAnsi="宋体" w:eastAsia="宋体" w:cs="宋体"/>
          <w:color w:val="auto"/>
        </w:rPr>
        <w:t>。</w:t>
      </w:r>
    </w:p>
    <w:p>
      <w:pPr>
        <w:pStyle w:val="25"/>
        <w:adjustRightInd w:val="0"/>
        <w:snapToGrid w:val="0"/>
        <w:spacing w:line="360" w:lineRule="auto"/>
        <w:ind w:firstLine="422" w:firstLineChars="200"/>
        <w:rPr>
          <w:rFonts w:hint="eastAsia" w:ascii="宋体" w:hAnsi="宋体" w:eastAsia="宋体" w:cs="宋体"/>
          <w:b/>
          <w:bCs/>
          <w:color w:val="auto"/>
        </w:rPr>
      </w:pPr>
      <w:r>
        <w:rPr>
          <w:rFonts w:hint="eastAsia" w:ascii="宋体" w:hAnsi="宋体" w:eastAsia="宋体" w:cs="宋体"/>
          <w:b/>
          <w:bCs/>
          <w:color w:val="auto"/>
        </w:rPr>
        <w:t>22.评审结果异议</w:t>
      </w:r>
    </w:p>
    <w:p>
      <w:pPr>
        <w:pStyle w:val="25"/>
        <w:adjustRightInd w:val="0"/>
        <w:snapToGrid w:val="0"/>
        <w:spacing w:line="360" w:lineRule="auto"/>
        <w:ind w:firstLine="420" w:firstLineChars="200"/>
        <w:rPr>
          <w:rFonts w:hint="eastAsia" w:ascii="宋体" w:hAnsi="宋体" w:eastAsia="宋体" w:cs="宋体"/>
          <w:b/>
          <w:color w:val="auto"/>
        </w:rPr>
      </w:pPr>
      <w:r>
        <w:rPr>
          <w:rFonts w:hint="eastAsia" w:ascii="宋体" w:hAnsi="宋体" w:eastAsia="宋体" w:cs="宋体"/>
          <w:color w:val="auto"/>
          <w:kern w:val="0"/>
        </w:rPr>
        <w:t>22.1谈判单位对评审结果有异议的，应当在结果公示期间提出。</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23.中选通知</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24.签订合同</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24.1谈判文件、中选单位的响应文件及其补充的文件等均为签订合同的依据。</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24.2中选单位应当在中选通知书发出后及时与采购单位签订合同。</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24.3中选单位应当按照合同约定履行义务。</w:t>
      </w:r>
    </w:p>
    <w:p>
      <w:pPr>
        <w:adjustRightInd w:val="0"/>
        <w:snapToGrid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25.纪律和监督</w:t>
      </w:r>
    </w:p>
    <w:p>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25.1对采购单位的纪律要求</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25.2对谈判单位的纪律要求</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25.3对</w:t>
      </w:r>
      <w:r>
        <w:rPr>
          <w:rFonts w:hint="eastAsia" w:ascii="宋体" w:hAnsi="宋体" w:eastAsia="宋体" w:cs="宋体"/>
          <w:b/>
          <w:color w:val="auto"/>
          <w:szCs w:val="21"/>
        </w:rPr>
        <w:t>谈判评审小组</w:t>
      </w:r>
      <w:r>
        <w:rPr>
          <w:rFonts w:hint="eastAsia" w:ascii="宋体" w:hAnsi="宋体" w:eastAsia="宋体" w:cs="宋体"/>
          <w:b/>
          <w:bCs/>
          <w:color w:val="auto"/>
          <w:szCs w:val="21"/>
        </w:rPr>
        <w:t>成员的纪律要求</w:t>
      </w:r>
    </w:p>
    <w:p>
      <w:pPr>
        <w:pStyle w:val="357"/>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53" w:name="page32"/>
      <w:bookmarkEnd w:id="53"/>
      <w:r>
        <w:rPr>
          <w:rFonts w:hint="eastAsia" w:ascii="宋体" w:hAnsi="宋体" w:eastAsia="宋体" w:cs="宋体"/>
          <w:color w:val="auto"/>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25.4对与评审活动有关的工作人员的纪律要求</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hint="eastAsia" w:ascii="宋体" w:hAnsi="宋体" w:eastAsia="宋体" w:cs="宋体"/>
          <w:color w:val="auto"/>
          <w:sz w:val="21"/>
          <w:szCs w:val="21"/>
        </w:rPr>
      </w:pPr>
      <w:bookmarkStart w:id="54" w:name="_Toc14891075"/>
      <w:bookmarkStart w:id="55" w:name="_Toc9657"/>
      <w:bookmarkStart w:id="56" w:name="_Toc4855"/>
      <w:r>
        <w:rPr>
          <w:rFonts w:hint="eastAsia" w:ascii="宋体" w:hAnsi="宋体" w:eastAsia="宋体" w:cs="宋体"/>
          <w:color w:val="auto"/>
          <w:sz w:val="21"/>
          <w:szCs w:val="21"/>
        </w:rPr>
        <w:t>八、其他</w:t>
      </w:r>
      <w:bookmarkEnd w:id="54"/>
      <w:bookmarkEnd w:id="55"/>
      <w:bookmarkEnd w:id="56"/>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pStyle w:val="2"/>
        <w:spacing w:line="360" w:lineRule="auto"/>
        <w:ind w:left="0" w:leftChars="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中选单位中选后有下列情形之一的，责令限期改正，情节严重的，列入不良行为记录名单，禁止其1至3年内参加长沙市轨道交通运营有限公司招标采购活动，并予以通报：</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1.成交后无正当理由不与采购人签订合同的；</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2.未按照采购文件确定的事项签订采购合同，或者与采购人另行订立背离合同实质性内容的协议的；</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3.拒绝履行合同义务的；</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4.违反法律、规章、规范性文件规定的。</w:t>
      </w:r>
    </w:p>
    <w:p>
      <w:pPr>
        <w:adjustRightInd w:val="0"/>
        <w:snapToGrid w:val="0"/>
        <w:spacing w:line="360" w:lineRule="auto"/>
        <w:ind w:firstLine="420" w:firstLineChars="200"/>
        <w:rPr>
          <w:rFonts w:hint="eastAsia" w:ascii="宋体" w:hAnsi="宋体" w:eastAsia="宋体" w:cs="宋体"/>
          <w:color w:val="auto"/>
          <w:szCs w:val="21"/>
        </w:rPr>
      </w:pPr>
    </w:p>
    <w:p>
      <w:pPr>
        <w:adjustRightInd w:val="0"/>
        <w:snapToGrid w:val="0"/>
        <w:spacing w:line="360" w:lineRule="auto"/>
        <w:ind w:left="964" w:hanging="964" w:hangingChars="300"/>
        <w:jc w:val="center"/>
        <w:rPr>
          <w:rFonts w:hint="eastAsia" w:ascii="宋体" w:hAnsi="宋体" w:eastAsia="宋体" w:cs="宋体"/>
          <w:b/>
          <w:color w:val="auto"/>
          <w:sz w:val="32"/>
          <w:szCs w:val="32"/>
        </w:rPr>
        <w:sectPr>
          <w:pgSz w:w="11906" w:h="16838"/>
          <w:pgMar w:top="1191" w:right="1417" w:bottom="1191" w:left="1191" w:header="851" w:footer="851" w:gutter="0"/>
          <w:pgNumType w:fmt="decimal"/>
          <w:cols w:space="720" w:num="1"/>
          <w:docGrid w:linePitch="312" w:charSpace="0"/>
        </w:sectPr>
      </w:pPr>
    </w:p>
    <w:p>
      <w:pPr>
        <w:adjustRightInd w:val="0"/>
        <w:snapToGrid w:val="0"/>
        <w:spacing w:line="360" w:lineRule="auto"/>
        <w:rPr>
          <w:rFonts w:hint="eastAsia" w:ascii="宋体" w:hAnsi="宋体" w:eastAsia="宋体" w:cs="宋体"/>
          <w:b/>
          <w:bCs/>
          <w:color w:val="auto"/>
          <w:szCs w:val="21"/>
          <w:lang w:eastAsia="zh-CN"/>
        </w:rPr>
      </w:pPr>
      <w:r>
        <w:rPr>
          <w:rFonts w:hint="eastAsia" w:ascii="宋体" w:hAnsi="宋体" w:eastAsia="宋体" w:cs="宋体"/>
          <w:b/>
          <w:bCs/>
          <w:color w:val="auto"/>
          <w:szCs w:val="21"/>
        </w:rPr>
        <w:t>附件：采购代理服务费收费标准</w:t>
      </w:r>
    </w:p>
    <w:p>
      <w:pPr>
        <w:adjustRightInd w:val="0"/>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采购代理服务收费参照汇率表</w:t>
      </w:r>
    </w:p>
    <w:tbl>
      <w:tblPr>
        <w:tblStyle w:val="48"/>
        <w:tblpPr w:leftFromText="180" w:rightFromText="180" w:vertAnchor="text" w:horzAnchor="page" w:tblpX="1425" w:tblpY="185"/>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hint="eastAsia" w:ascii="宋体" w:hAnsi="宋体" w:eastAsia="宋体" w:cs="宋体"/>
                <w:color w:val="auto"/>
                <w:szCs w:val="21"/>
              </w:rPr>
            </w:pPr>
            <w:r>
              <w:rPr>
                <w:rFonts w:hint="eastAsia" w:ascii="宋体" w:hAnsi="宋体" w:eastAsia="宋体" w:cs="宋体"/>
                <w:color w:val="auto"/>
                <w:szCs w:val="21"/>
              </w:rPr>
              <w:t>汇率</w:t>
            </w:r>
          </w:p>
          <w:p>
            <w:pPr>
              <w:adjustRightInd w:val="0"/>
              <w:snapToGrid w:val="0"/>
              <w:rPr>
                <w:rFonts w:hint="eastAsia" w:ascii="宋体" w:hAnsi="宋体" w:eastAsia="宋体" w:cs="宋体"/>
                <w:color w:val="auto"/>
                <w:szCs w:val="21"/>
              </w:rPr>
            </w:pPr>
            <w:r>
              <w:rPr>
                <w:rFonts w:hint="eastAsia" w:ascii="宋体" w:hAnsi="宋体" w:eastAsia="宋体" w:cs="宋体"/>
                <w:color w:val="auto"/>
                <w:szCs w:val="21"/>
              </w:rPr>
              <w:t>中选金额</w:t>
            </w:r>
          </w:p>
        </w:tc>
        <w:tc>
          <w:tcPr>
            <w:tcW w:w="1957" w:type="dxa"/>
            <w:tcBorders>
              <w:top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货物采购</w:t>
            </w:r>
          </w:p>
        </w:tc>
        <w:tc>
          <w:tcPr>
            <w:tcW w:w="2325" w:type="dxa"/>
            <w:tcBorders>
              <w:top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服务采购</w:t>
            </w:r>
          </w:p>
        </w:tc>
        <w:tc>
          <w:tcPr>
            <w:tcW w:w="2100" w:type="dxa"/>
            <w:tcBorders>
              <w:top w:val="single" w:color="auto" w:sz="12" w:space="0"/>
              <w:right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100万元以下</w:t>
            </w:r>
          </w:p>
        </w:tc>
        <w:tc>
          <w:tcPr>
            <w:tcW w:w="1957"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2325"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2100" w:type="dxa"/>
            <w:tcBorders>
              <w:right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100～400万元</w:t>
            </w:r>
          </w:p>
        </w:tc>
        <w:tc>
          <w:tcPr>
            <w:tcW w:w="1957"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2325" w:type="dxa"/>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0.8%</w:t>
            </w:r>
          </w:p>
        </w:tc>
        <w:tc>
          <w:tcPr>
            <w:tcW w:w="2100" w:type="dxa"/>
            <w:tcBorders>
              <w:right w:val="single" w:color="auto" w:sz="12"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100万元×1.0%＝1万元</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（300-100）万元×0.7%＝1.4万元</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合计收费＝1+1.4＝2.4（万元）</w:t>
      </w:r>
    </w:p>
    <w:p>
      <w:pPr>
        <w:adjustRightInd w:val="0"/>
        <w:snapToGrid w:val="0"/>
        <w:spacing w:line="360" w:lineRule="auto"/>
        <w:ind w:firstLine="420" w:firstLineChars="200"/>
        <w:jc w:val="left"/>
        <w:rPr>
          <w:rFonts w:hint="eastAsia" w:ascii="宋体" w:hAnsi="宋体" w:eastAsia="宋体" w:cs="宋体"/>
          <w:b/>
          <w:color w:val="auto"/>
          <w:szCs w:val="21"/>
        </w:rPr>
        <w:sectPr>
          <w:footerReference r:id="rId5" w:type="default"/>
          <w:pgSz w:w="11906" w:h="16838"/>
          <w:pgMar w:top="1191" w:right="1417" w:bottom="1191" w:left="1191" w:header="851" w:footer="851" w:gutter="0"/>
          <w:pgNumType w:fmt="decimal"/>
          <w:cols w:space="720" w:num="1"/>
          <w:docGrid w:linePitch="312" w:charSpace="0"/>
        </w:sectPr>
      </w:pPr>
      <w:r>
        <w:rPr>
          <w:rFonts w:hint="eastAsia" w:ascii="宋体" w:hAnsi="宋体" w:eastAsia="宋体" w:cs="宋体"/>
          <w:color w:val="auto"/>
          <w:szCs w:val="21"/>
        </w:rPr>
        <w:t>本项目采购代理服务费为2万元</w:t>
      </w:r>
    </w:p>
    <w:p>
      <w:pPr>
        <w:pStyle w:val="3"/>
        <w:keepNext w:val="0"/>
        <w:spacing w:line="360" w:lineRule="auto"/>
        <w:rPr>
          <w:rFonts w:hint="eastAsia" w:ascii="宋体" w:hAnsi="宋体" w:eastAsia="宋体" w:cs="宋体"/>
          <w:bCs w:val="0"/>
          <w:color w:val="auto"/>
          <w:sz w:val="32"/>
          <w:szCs w:val="32"/>
        </w:rPr>
      </w:pPr>
      <w:bookmarkStart w:id="57" w:name="_Toc2006"/>
      <w:bookmarkStart w:id="58" w:name="_Toc28427"/>
      <w:bookmarkStart w:id="59" w:name="_Toc4275"/>
      <w:bookmarkStart w:id="60" w:name="_Toc5567"/>
      <w:bookmarkStart w:id="61" w:name="_Toc3988"/>
      <w:r>
        <w:rPr>
          <w:rFonts w:hint="eastAsia" w:ascii="宋体" w:hAnsi="宋体" w:eastAsia="宋体" w:cs="宋体"/>
          <w:bCs w:val="0"/>
          <w:color w:val="auto"/>
          <w:sz w:val="32"/>
          <w:szCs w:val="32"/>
        </w:rPr>
        <w:t>第三章  评审办法及标准</w:t>
      </w:r>
      <w:bookmarkEnd w:id="57"/>
      <w:bookmarkEnd w:id="58"/>
      <w:bookmarkEnd w:id="59"/>
      <w:bookmarkEnd w:id="60"/>
      <w:bookmarkEnd w:id="61"/>
    </w:p>
    <w:p>
      <w:pPr>
        <w:adjustRightInd w:val="0"/>
        <w:snapToGrid w:val="0"/>
        <w:spacing w:line="360" w:lineRule="auto"/>
        <w:ind w:left="632" w:hanging="632" w:hangingChars="300"/>
        <w:rPr>
          <w:rFonts w:hint="eastAsia" w:ascii="宋体" w:hAnsi="宋体" w:eastAsia="宋体" w:cs="宋体"/>
          <w:b/>
          <w:color w:val="auto"/>
          <w:szCs w:val="21"/>
        </w:rPr>
      </w:pP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一、评审办法</w:t>
      </w:r>
    </w:p>
    <w:p>
      <w:pPr>
        <w:widowControl/>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1.本项目采用综合评估法，商务、技术及报价评审按该项目最后一次发布的谈判文件内容执行，商务20分，技术30分，报价50分，总分100分。</w:t>
      </w:r>
    </w:p>
    <w:p>
      <w:pPr>
        <w:adjustRightInd w:val="0"/>
        <w:snapToGrid w:val="0"/>
        <w:spacing w:line="360" w:lineRule="auto"/>
        <w:ind w:left="632" w:hanging="632" w:hangingChars="300"/>
        <w:rPr>
          <w:rFonts w:hint="eastAsia" w:ascii="宋体" w:hAnsi="宋体" w:eastAsia="宋体" w:cs="宋体"/>
          <w:b/>
          <w:color w:val="auto"/>
          <w:szCs w:val="21"/>
        </w:rPr>
      </w:pPr>
      <w:r>
        <w:rPr>
          <w:rFonts w:hint="eastAsia" w:ascii="宋体" w:hAnsi="宋体" w:eastAsia="宋体" w:cs="宋体"/>
          <w:b/>
          <w:color w:val="auto"/>
          <w:szCs w:val="21"/>
        </w:rPr>
        <w:t>二、谈判程序</w:t>
      </w:r>
    </w:p>
    <w:p>
      <w:pPr>
        <w:widowControl/>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2.</w:t>
      </w:r>
      <w:r>
        <w:rPr>
          <w:rFonts w:ascii="宋体" w:hAnsi="宋体" w:cs="宋体"/>
          <w:bCs/>
          <w:color w:val="auto"/>
          <w:szCs w:val="21"/>
        </w:rPr>
        <w:t>1</w:t>
      </w:r>
      <w:r>
        <w:rPr>
          <w:rFonts w:hint="eastAsia" w:ascii="宋体" w:hAnsi="宋体" w:cs="宋体"/>
          <w:bCs/>
          <w:color w:val="auto"/>
          <w:szCs w:val="21"/>
        </w:rPr>
        <w:t>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color w:val="auto"/>
          <w:szCs w:val="21"/>
        </w:rPr>
      </w:pPr>
      <w:r>
        <w:rPr>
          <w:rFonts w:ascii="宋体" w:hAnsi="宋体" w:cs="宋体"/>
          <w:bCs/>
          <w:color w:val="auto"/>
          <w:szCs w:val="21"/>
        </w:rPr>
        <w:t>2.2</w:t>
      </w:r>
      <w:r>
        <w:rPr>
          <w:rFonts w:hint="eastAsia" w:ascii="宋体" w:hAnsi="宋体" w:cs="宋体"/>
          <w:bCs/>
          <w:color w:val="auto"/>
          <w:szCs w:val="21"/>
        </w:rPr>
        <w:t>谈判程序分为：</w:t>
      </w:r>
      <w:r>
        <w:rPr>
          <w:rFonts w:hint="eastAsia" w:ascii="宋体" w:hAnsi="宋体" w:cs="宋体"/>
          <w:b/>
          <w:color w:val="auto"/>
          <w:szCs w:val="21"/>
        </w:rPr>
        <w:t>谈判验证阶段及谈判评审阶段。</w:t>
      </w:r>
    </w:p>
    <w:p>
      <w:pPr>
        <w:adjustRightInd w:val="0"/>
        <w:snapToGrid w:val="0"/>
        <w:spacing w:line="360" w:lineRule="auto"/>
        <w:ind w:left="632" w:hanging="632" w:hangingChars="300"/>
        <w:rPr>
          <w:rFonts w:hint="eastAsia" w:ascii="宋体" w:hAnsi="宋体" w:eastAsia="宋体" w:cs="宋体"/>
          <w:b/>
          <w:color w:val="auto"/>
          <w:szCs w:val="21"/>
        </w:rPr>
      </w:pPr>
      <w:r>
        <w:rPr>
          <w:rFonts w:hint="eastAsia" w:ascii="宋体" w:hAnsi="宋体" w:eastAsia="宋体" w:cs="宋体"/>
          <w:b/>
          <w:color w:val="auto"/>
          <w:szCs w:val="21"/>
        </w:rPr>
        <w:t>三、谈判验证阶段</w:t>
      </w:r>
    </w:p>
    <w:p>
      <w:pPr>
        <w:widowControl/>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谈判验证阶段分为身份验证和唱价。</w:t>
      </w:r>
    </w:p>
    <w:p>
      <w:pPr>
        <w:widowControl/>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3.1</w:t>
      </w:r>
      <w:r>
        <w:rPr>
          <w:rFonts w:hint="eastAsia" w:ascii="宋体" w:hAnsi="宋体" w:cs="宋体"/>
          <w:bCs/>
          <w:color w:val="auto"/>
          <w:szCs w:val="21"/>
        </w:rPr>
        <w:t>身份验证阶段</w:t>
      </w:r>
    </w:p>
    <w:p>
      <w:pPr>
        <w:widowControl/>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3.1.1</w:t>
      </w:r>
      <w:r>
        <w:rPr>
          <w:rFonts w:hint="eastAsia" w:ascii="宋体" w:hAnsi="宋体" w:cs="宋体"/>
          <w:bCs/>
          <w:color w:val="auto"/>
          <w:szCs w:val="21"/>
        </w:rPr>
        <w:t>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color w:val="auto"/>
          <w:szCs w:val="21"/>
        </w:rPr>
      </w:pPr>
      <w:r>
        <w:rPr>
          <w:rFonts w:ascii="宋体" w:hAnsi="宋体" w:cs="宋体"/>
          <w:bCs/>
          <w:color w:val="auto"/>
          <w:szCs w:val="21"/>
        </w:rPr>
        <w:t>3.1</w:t>
      </w:r>
      <w:r>
        <w:rPr>
          <w:rFonts w:hint="eastAsia" w:ascii="宋体" w:hAnsi="宋体" w:cs="宋体"/>
          <w:bCs/>
          <w:color w:val="auto"/>
          <w:szCs w:val="21"/>
        </w:rPr>
        <w:t>.2参与谈判的代表身份经验证不合格的，视为无效响应，</w:t>
      </w:r>
      <w:r>
        <w:rPr>
          <w:rFonts w:hint="eastAsia" w:ascii="宋体" w:hAnsi="宋体" w:cs="宋体"/>
          <w:color w:val="auto"/>
          <w:szCs w:val="21"/>
        </w:rPr>
        <w:t>不得进入下一阶段。</w:t>
      </w:r>
    </w:p>
    <w:p>
      <w:pPr>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3.2</w:t>
      </w:r>
      <w:r>
        <w:rPr>
          <w:rFonts w:hint="eastAsia" w:ascii="宋体" w:hAnsi="宋体" w:cs="宋体"/>
          <w:bCs/>
          <w:color w:val="auto"/>
          <w:szCs w:val="21"/>
        </w:rPr>
        <w:t>唱价阶段</w:t>
      </w:r>
    </w:p>
    <w:p>
      <w:pPr>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3.2</w:t>
      </w:r>
      <w:r>
        <w:rPr>
          <w:rFonts w:hint="eastAsia" w:ascii="宋体" w:hAnsi="宋体" w:cs="宋体"/>
          <w:bCs/>
          <w:color w:val="auto"/>
          <w:szCs w:val="21"/>
        </w:rPr>
        <w:t>.1身份验证结束后，由采购单位当众拆封经身份验证合格的谈判单位的谈判响应文件，宣读响应文件中《报价一览表》内容，并记录在案。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3.2</w:t>
      </w:r>
      <w:r>
        <w:rPr>
          <w:rFonts w:hint="eastAsia" w:ascii="宋体" w:hAnsi="宋体" w:cs="宋体"/>
          <w:bCs/>
          <w:color w:val="auto"/>
          <w:szCs w:val="21"/>
        </w:rPr>
        <w:t>.2谈判单位法定代表人或授权委托人、现场监督员、记录人等有关人员在唱价记录表上签字确认，谈判单位对本阶段有异议的应当场提出，采购人当场作出答复，并记录在案，未提出的，视为无异议。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hint="eastAsia" w:ascii="宋体" w:hAnsi="宋体" w:eastAsia="宋体" w:cs="宋体"/>
          <w:b/>
          <w:color w:val="auto"/>
          <w:szCs w:val="21"/>
        </w:rPr>
      </w:pPr>
      <w:r>
        <w:rPr>
          <w:rFonts w:hint="eastAsia" w:ascii="宋体" w:hAnsi="宋体" w:eastAsia="宋体" w:cs="宋体"/>
          <w:b/>
          <w:color w:val="auto"/>
          <w:szCs w:val="21"/>
        </w:rPr>
        <w:t>四、谈判评审阶段</w:t>
      </w: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谈判评审阶段分为符合性审查、详细评审及推荐中选单位。</w:t>
      </w:r>
    </w:p>
    <w:p>
      <w:pPr>
        <w:adjustRightInd w:val="0"/>
        <w:snapToGrid w:val="0"/>
        <w:spacing w:line="360" w:lineRule="auto"/>
        <w:ind w:firstLine="422" w:firstLineChars="200"/>
        <w:rPr>
          <w:rFonts w:ascii="宋体" w:hAnsi="宋体" w:cs="宋体"/>
          <w:b/>
          <w:color w:val="auto"/>
          <w:szCs w:val="21"/>
        </w:rPr>
      </w:pPr>
      <w:r>
        <w:rPr>
          <w:rFonts w:ascii="宋体" w:hAnsi="宋体" w:cs="宋体"/>
          <w:b/>
          <w:color w:val="auto"/>
          <w:szCs w:val="21"/>
        </w:rPr>
        <w:t>4</w:t>
      </w:r>
      <w:r>
        <w:rPr>
          <w:rFonts w:hint="eastAsia" w:ascii="宋体" w:hAnsi="宋体" w:cs="宋体"/>
          <w:b/>
          <w:color w:val="auto"/>
          <w:szCs w:val="21"/>
        </w:rPr>
        <w:t>.符合性审查阶段</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.1资格的符合性审查</w:t>
      </w:r>
    </w:p>
    <w:p>
      <w:pPr>
        <w:adjustRightInd w:val="0"/>
        <w:snapToGrid w:val="0"/>
        <w:spacing w:line="360" w:lineRule="auto"/>
        <w:ind w:firstLine="420" w:firstLineChars="200"/>
        <w:rPr>
          <w:rFonts w:ascii="宋体" w:hAnsi="宋体" w:cs="宋体"/>
          <w:color w:val="auto"/>
          <w:szCs w:val="21"/>
          <w:highlight w:val="yellow"/>
        </w:rPr>
      </w:pPr>
      <w:r>
        <w:rPr>
          <w:rFonts w:hint="eastAsia" w:ascii="宋体" w:hAnsi="宋体" w:cs="宋体"/>
          <w:color w:val="auto"/>
          <w:szCs w:val="21"/>
        </w:rPr>
        <w:t>谈判评审</w:t>
      </w:r>
      <w:r>
        <w:rPr>
          <w:rFonts w:hint="eastAsia" w:ascii="宋体" w:hAnsi="宋体" w:cs="宋体"/>
          <w:bCs/>
          <w:color w:val="auto"/>
          <w:szCs w:val="21"/>
        </w:rPr>
        <w:t>小组</w:t>
      </w:r>
      <w:r>
        <w:rPr>
          <w:rFonts w:hint="eastAsia" w:ascii="宋体" w:hAnsi="宋体" w:cs="宋体"/>
          <w:color w:val="auto"/>
          <w:szCs w:val="21"/>
        </w:rPr>
        <w:t>根据本谈判文件</w:t>
      </w:r>
      <w:r>
        <w:rPr>
          <w:rFonts w:hint="eastAsia" w:ascii="宋体" w:hAnsi="宋体" w:cs="宋体"/>
          <w:b/>
          <w:color w:val="auto"/>
          <w:szCs w:val="21"/>
        </w:rPr>
        <w:t>前附表</w:t>
      </w:r>
      <w:r>
        <w:rPr>
          <w:rFonts w:hint="eastAsia" w:ascii="宋体" w:hAnsi="宋体" w:cs="宋体"/>
          <w:color w:val="auto"/>
          <w:szCs w:val="21"/>
        </w:rPr>
        <w:t>内规定的谈判单位资格要求，对谈判单位进行符合性审查，资格审查以谈判单位递交的</w:t>
      </w:r>
      <w:r>
        <w:rPr>
          <w:color w:val="auto"/>
        </w:rPr>
        <w:t>相关资料</w:t>
      </w:r>
      <w:r>
        <w:rPr>
          <w:rFonts w:hint="eastAsia" w:ascii="宋体" w:hAnsi="宋体" w:cs="宋体"/>
          <w:color w:val="auto"/>
          <w:szCs w:val="21"/>
        </w:rPr>
        <w:t>为准。</w:t>
      </w:r>
    </w:p>
    <w:p>
      <w:pPr>
        <w:adjustRightInd w:val="0"/>
        <w:snapToGrid w:val="0"/>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.2报价的符合性审查</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.3有下列情形之一的，为符合性审查不合格，视为无效响应，不进入下一阶段：</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（1）未按照谈判文件规定要求签署盖章的。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（2）响应</w:t>
      </w:r>
      <w:r>
        <w:rPr>
          <w:rFonts w:hint="eastAsia" w:ascii="宋体" w:hAnsi="宋体" w:cs="宋体"/>
          <w:color w:val="auto"/>
          <w:kern w:val="0"/>
          <w:szCs w:val="21"/>
        </w:rPr>
        <w:t>文件有效期不满足谈判文件规定的。</w:t>
      </w:r>
    </w:p>
    <w:p>
      <w:pPr>
        <w:adjustRightInd w:val="0"/>
        <w:snapToGrid w:val="0"/>
        <w:spacing w:line="360" w:lineRule="auto"/>
        <w:ind w:firstLine="420" w:firstLineChars="200"/>
        <w:rPr>
          <w:rFonts w:ascii="宋体" w:hAnsi="宋体"/>
          <w:color w:val="auto"/>
          <w:szCs w:val="21"/>
          <w:highlight w:val="yellow"/>
        </w:rPr>
      </w:pPr>
      <w:r>
        <w:rPr>
          <w:rFonts w:hint="eastAsia" w:ascii="宋体" w:hAnsi="宋体"/>
          <w:color w:val="auto"/>
          <w:szCs w:val="21"/>
        </w:rPr>
        <w:t>（3）不满足资格条件要求的。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（4）不满足用户需求书要求的。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w:t>
      </w:r>
      <w:r>
        <w:rPr>
          <w:rFonts w:hint="eastAsia" w:ascii="宋体" w:hAnsi="宋体"/>
          <w:color w:val="auto"/>
          <w:szCs w:val="21"/>
          <w:highlight w:val="none"/>
        </w:rPr>
        <w:t>）</w:t>
      </w:r>
      <w:r>
        <w:rPr>
          <w:rFonts w:hint="eastAsia" w:ascii="宋体" w:hAnsi="宋体" w:cs="宋体"/>
          <w:color w:val="auto"/>
          <w:kern w:val="0"/>
          <w:szCs w:val="21"/>
          <w:highlight w:val="none"/>
        </w:rPr>
        <w:t>谈判总报价</w:t>
      </w:r>
      <w:r>
        <w:rPr>
          <w:rFonts w:hint="eastAsia" w:ascii="宋体" w:hAnsi="宋体" w:cs="宋体"/>
          <w:color w:val="auto"/>
          <w:kern w:val="0"/>
          <w:szCs w:val="21"/>
        </w:rPr>
        <w:t>超过</w:t>
      </w:r>
      <w:r>
        <w:rPr>
          <w:rFonts w:hint="eastAsia" w:ascii="宋体" w:hAnsi="宋体"/>
          <w:color w:val="auto"/>
          <w:szCs w:val="21"/>
        </w:rPr>
        <w:t>谈判最高限价的</w:t>
      </w:r>
      <w:r>
        <w:rPr>
          <w:rFonts w:hint="eastAsia" w:ascii="宋体" w:hAnsi="宋体" w:cs="宋体"/>
          <w:color w:val="auto"/>
          <w:kern w:val="0"/>
          <w:szCs w:val="21"/>
        </w:rPr>
        <w:t>。</w:t>
      </w:r>
    </w:p>
    <w:p>
      <w:pPr>
        <w:adjustRightInd w:val="0"/>
        <w:snapToGrid w:val="0"/>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6</w:t>
      </w:r>
      <w:r>
        <w:rPr>
          <w:rFonts w:hint="eastAsia" w:ascii="宋体" w:hAnsi="宋体" w:eastAsia="宋体" w:cs="宋体"/>
          <w:color w:val="auto"/>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color w:val="auto"/>
          <w:szCs w:val="21"/>
        </w:rPr>
      </w:pPr>
      <w:bookmarkStart w:id="62" w:name="_Toc17997"/>
      <w:bookmarkStart w:id="63" w:name="_Toc17562"/>
      <w:bookmarkStart w:id="64" w:name="_Toc23442"/>
      <w:bookmarkStart w:id="65" w:name="_Toc14891077"/>
      <w:bookmarkStart w:id="66" w:name="_Toc16239"/>
      <w:r>
        <w:rPr>
          <w:rFonts w:ascii="宋体" w:hAnsi="宋体" w:cs="宋体"/>
          <w:b/>
          <w:color w:val="auto"/>
          <w:szCs w:val="21"/>
        </w:rPr>
        <w:t>5</w:t>
      </w:r>
      <w:r>
        <w:rPr>
          <w:rFonts w:hint="eastAsia" w:ascii="宋体" w:hAnsi="宋体" w:cs="宋体"/>
          <w:b/>
          <w:color w:val="auto"/>
          <w:szCs w:val="21"/>
        </w:rPr>
        <w:t>.</w:t>
      </w:r>
      <w:r>
        <w:rPr>
          <w:rFonts w:hint="eastAsia" w:ascii="宋体" w:hAnsi="宋体" w:cs="宋体"/>
          <w:b/>
          <w:bCs/>
          <w:color w:val="auto"/>
          <w:szCs w:val="21"/>
        </w:rPr>
        <w:t>详细评审阶段</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符合性评审合格的投标人进入详细评审。评标委员会按照规定的评审因素和标准进行评审计分，并计算出评标总得分。</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 详细评审的程序</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采用综合评估法，按照以下程序进行：</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.1.1</w:t>
      </w:r>
      <w:r>
        <w:rPr>
          <w:rFonts w:hint="eastAsia" w:ascii="宋体" w:hAnsi="宋体" w:cs="宋体"/>
          <w:bCs/>
          <w:color w:val="auto"/>
          <w:szCs w:val="21"/>
          <w:shd w:val="clear" w:color="auto" w:fill="FFFFFF"/>
        </w:rPr>
        <w:t>商务</w:t>
      </w:r>
      <w:r>
        <w:rPr>
          <w:rFonts w:hint="eastAsia" w:ascii="宋体" w:hAnsi="宋体" w:cs="宋体"/>
          <w:color w:val="auto"/>
          <w:szCs w:val="21"/>
          <w:shd w:val="clear" w:color="auto" w:fill="FFFFFF"/>
        </w:rPr>
        <w:t>评审（见</w:t>
      </w:r>
      <w:r>
        <w:rPr>
          <w:rFonts w:hint="eastAsia" w:ascii="宋体" w:hAnsi="宋体" w:cs="宋体"/>
          <w:bCs/>
          <w:color w:val="auto"/>
          <w:szCs w:val="21"/>
          <w:shd w:val="clear" w:color="auto" w:fill="FFFFFF"/>
        </w:rPr>
        <w:t>附表</w:t>
      </w:r>
      <w:r>
        <w:rPr>
          <w:rFonts w:hint="eastAsia" w:ascii="宋体" w:hAnsi="宋体" w:cs="宋体"/>
          <w:bCs/>
          <w:color w:val="auto"/>
          <w:szCs w:val="21"/>
          <w:shd w:val="clear" w:color="auto" w:fill="FFFFFF"/>
          <w:lang w:val="en-US" w:eastAsia="zh-CN"/>
        </w:rPr>
        <w:t>2</w:t>
      </w:r>
      <w:r>
        <w:rPr>
          <w:rFonts w:hint="eastAsia" w:ascii="宋体" w:hAnsi="宋体" w:cs="宋体"/>
          <w:color w:val="auto"/>
          <w:szCs w:val="21"/>
          <w:shd w:val="clear" w:color="auto" w:fill="FFFFFF"/>
        </w:rPr>
        <w:t>）；</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.1.2</w:t>
      </w:r>
      <w:r>
        <w:rPr>
          <w:rFonts w:hint="eastAsia" w:ascii="宋体" w:hAnsi="宋体" w:cs="宋体"/>
          <w:bCs/>
          <w:color w:val="auto"/>
          <w:szCs w:val="21"/>
          <w:shd w:val="clear" w:color="auto" w:fill="FFFFFF"/>
        </w:rPr>
        <w:t>技术</w:t>
      </w:r>
      <w:r>
        <w:rPr>
          <w:rFonts w:hint="eastAsia" w:ascii="宋体" w:hAnsi="宋体" w:cs="宋体"/>
          <w:color w:val="auto"/>
          <w:szCs w:val="21"/>
          <w:shd w:val="clear" w:color="auto" w:fill="FFFFFF"/>
        </w:rPr>
        <w:t>评审（见</w:t>
      </w:r>
      <w:r>
        <w:rPr>
          <w:rFonts w:hint="eastAsia" w:ascii="宋体" w:hAnsi="宋体" w:cs="宋体"/>
          <w:bCs/>
          <w:color w:val="auto"/>
          <w:szCs w:val="21"/>
          <w:shd w:val="clear" w:color="auto" w:fill="FFFFFF"/>
        </w:rPr>
        <w:t>附表</w:t>
      </w:r>
      <w:r>
        <w:rPr>
          <w:rFonts w:hint="eastAsia" w:ascii="宋体" w:hAnsi="宋体" w:cs="宋体"/>
          <w:bCs/>
          <w:color w:val="auto"/>
          <w:szCs w:val="21"/>
          <w:shd w:val="clear" w:color="auto" w:fill="FFFFFF"/>
          <w:lang w:val="en-US" w:eastAsia="zh-CN"/>
        </w:rPr>
        <w:t>3</w:t>
      </w:r>
      <w:r>
        <w:rPr>
          <w:rFonts w:hint="eastAsia" w:ascii="宋体" w:hAnsi="宋体" w:cs="宋体"/>
          <w:color w:val="auto"/>
          <w:szCs w:val="21"/>
          <w:shd w:val="clear" w:color="auto" w:fill="FFFFFF"/>
        </w:rPr>
        <w:t>）；</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.1.3投标报价评审（见附表</w:t>
      </w:r>
      <w:r>
        <w:rPr>
          <w:rFonts w:hint="eastAsia" w:ascii="宋体" w:hAnsi="宋体" w:cs="宋体"/>
          <w:color w:val="auto"/>
          <w:szCs w:val="21"/>
          <w:shd w:val="clear" w:color="auto" w:fill="FFFFFF"/>
          <w:lang w:val="en-US" w:eastAsia="zh-CN"/>
        </w:rPr>
        <w:t>4</w:t>
      </w:r>
      <w:r>
        <w:rPr>
          <w:rFonts w:hint="eastAsia" w:ascii="宋体" w:hAnsi="宋体" w:cs="宋体"/>
          <w:color w:val="auto"/>
          <w:szCs w:val="21"/>
          <w:shd w:val="clear" w:color="auto" w:fill="FFFFFF"/>
        </w:rPr>
        <w:t>）；</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.1.4计算各投标人的综合得分；</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.1.5按综合得分从高至低确定投标人的排序。</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.2评审项目的分值没有区间的由评标委员会集体评议评分；评审项目的分值有区间的由评标委员会集体评议后，评标委员会成员独自评分。</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有下列情况之一者，该评标因素的评审计分为无效分：</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（1）单项评审计分高出规定最高分或低于规定最低分的；</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（2）同一项目有两个或两个以上评审计分的；</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（3）评审过程中评标专家存在讨论、修改、参照调整已评审分数的情形的；</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（4）如有招标人评委，招标人评委在评审过程中发表倾向性意见，或存在干扰其他评委专家独立评审权的行为。</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.3 评标因素各部分的分值为：</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949"/>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rPr>
              <w:t>序号</w:t>
            </w:r>
          </w:p>
        </w:tc>
        <w:tc>
          <w:tcPr>
            <w:tcW w:w="4949"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rPr>
              <w:t>项目</w:t>
            </w:r>
          </w:p>
        </w:tc>
        <w:tc>
          <w:tcPr>
            <w:tcW w:w="3096"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color w:val="auto"/>
                <w:szCs w:val="21"/>
                <w:shd w:val="clear" w:color="auto" w:fill="FFFFFF"/>
              </w:rPr>
            </w:pPr>
            <w:r>
              <w:rPr>
                <w:rFonts w:ascii="宋体" w:hAnsi="宋体" w:cs="宋体"/>
                <w:color w:val="auto"/>
                <w:szCs w:val="21"/>
                <w:shd w:val="clear" w:color="auto" w:fill="FFFFFF"/>
              </w:rPr>
              <w:t>1</w:t>
            </w:r>
          </w:p>
        </w:tc>
        <w:tc>
          <w:tcPr>
            <w:tcW w:w="4949" w:type="dxa"/>
            <w:vAlign w:val="center"/>
          </w:tcPr>
          <w:p>
            <w:pPr>
              <w:spacing w:line="360" w:lineRule="auto"/>
              <w:jc w:val="center"/>
              <w:rPr>
                <w:rFonts w:ascii="宋体" w:hAnsi="宋体" w:cs="宋体"/>
                <w:color w:val="auto"/>
                <w:szCs w:val="21"/>
                <w:shd w:val="clear" w:color="auto" w:fill="FFFFFF"/>
              </w:rPr>
            </w:pPr>
            <w:r>
              <w:rPr>
                <w:rFonts w:hint="eastAsia" w:ascii="宋体" w:hAnsi="宋体" w:eastAsia="宋体" w:cs="宋体"/>
                <w:szCs w:val="21"/>
                <w:shd w:val="clear" w:color="auto" w:fill="FFFFFF"/>
              </w:rPr>
              <w:t>商务</w:t>
            </w:r>
          </w:p>
        </w:tc>
        <w:tc>
          <w:tcPr>
            <w:tcW w:w="3096"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szCs w:val="21"/>
                <w:shd w:val="clear" w:color="auto" w:fill="FFFFFF"/>
                <w:lang w:val="en-US" w:eastAsia="zh-CN"/>
              </w:rPr>
              <w:t>20</w:t>
            </w:r>
            <w:r>
              <w:rPr>
                <w:rFonts w:hint="eastAsia" w:ascii="宋体" w:hAnsi="宋体" w:cs="宋体"/>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color w:val="auto"/>
                <w:szCs w:val="21"/>
                <w:shd w:val="clear" w:color="auto" w:fill="FFFFFF"/>
              </w:rPr>
            </w:pPr>
            <w:r>
              <w:rPr>
                <w:rFonts w:ascii="宋体" w:hAnsi="宋体" w:cs="宋体"/>
                <w:color w:val="auto"/>
                <w:szCs w:val="21"/>
                <w:shd w:val="clear" w:color="auto" w:fill="FFFFFF"/>
              </w:rPr>
              <w:t>2</w:t>
            </w:r>
          </w:p>
        </w:tc>
        <w:tc>
          <w:tcPr>
            <w:tcW w:w="4949" w:type="dxa"/>
            <w:vAlign w:val="center"/>
          </w:tcPr>
          <w:p>
            <w:pPr>
              <w:spacing w:line="360" w:lineRule="auto"/>
              <w:jc w:val="center"/>
              <w:rPr>
                <w:rFonts w:ascii="宋体" w:hAnsi="宋体" w:cs="宋体"/>
                <w:color w:val="auto"/>
                <w:szCs w:val="21"/>
                <w:shd w:val="clear" w:color="auto" w:fill="FFFFFF"/>
              </w:rPr>
            </w:pPr>
            <w:r>
              <w:rPr>
                <w:rFonts w:hint="eastAsia" w:ascii="宋体" w:hAnsi="宋体" w:eastAsia="宋体" w:cs="宋体"/>
                <w:szCs w:val="21"/>
                <w:shd w:val="clear" w:color="auto" w:fill="FFFFFF"/>
              </w:rPr>
              <w:t>技术</w:t>
            </w:r>
          </w:p>
        </w:tc>
        <w:tc>
          <w:tcPr>
            <w:tcW w:w="3096"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szCs w:val="21"/>
                <w:shd w:val="clear" w:color="auto" w:fill="FFFFFF"/>
                <w:lang w:val="en-US" w:eastAsia="zh-CN"/>
              </w:rPr>
              <w:t>3</w:t>
            </w:r>
            <w:r>
              <w:rPr>
                <w:rFonts w:ascii="宋体" w:hAnsi="宋体" w:cs="宋体"/>
                <w:szCs w:val="21"/>
                <w:shd w:val="clear" w:color="auto" w:fill="FFFFFF"/>
              </w:rPr>
              <w:t>0</w:t>
            </w:r>
            <w:r>
              <w:rPr>
                <w:rFonts w:hint="eastAsia" w:ascii="宋体" w:hAnsi="宋体" w:cs="宋体"/>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color w:val="auto"/>
                <w:szCs w:val="21"/>
                <w:shd w:val="clear" w:color="auto" w:fill="FFFFFF"/>
              </w:rPr>
            </w:pPr>
            <w:r>
              <w:rPr>
                <w:rFonts w:ascii="宋体" w:hAnsi="宋体" w:cs="宋体"/>
                <w:color w:val="auto"/>
                <w:szCs w:val="21"/>
                <w:shd w:val="clear" w:color="auto" w:fill="FFFFFF"/>
              </w:rPr>
              <w:t>3</w:t>
            </w:r>
          </w:p>
        </w:tc>
        <w:tc>
          <w:tcPr>
            <w:tcW w:w="4949"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szCs w:val="21"/>
                <w:shd w:val="clear" w:color="auto" w:fill="FFFFFF"/>
              </w:rPr>
              <w:t>报价</w:t>
            </w:r>
          </w:p>
        </w:tc>
        <w:tc>
          <w:tcPr>
            <w:tcW w:w="3096"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szCs w:val="21"/>
                <w:shd w:val="clear" w:color="auto" w:fill="FFFFFF"/>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1" w:type="dxa"/>
            <w:gridSpan w:val="2"/>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rPr>
              <w:t>合计</w:t>
            </w:r>
          </w:p>
        </w:tc>
        <w:tc>
          <w:tcPr>
            <w:tcW w:w="3096" w:type="dxa"/>
            <w:vAlign w:val="center"/>
          </w:tcPr>
          <w:p>
            <w:pPr>
              <w:spacing w:line="360" w:lineRule="auto"/>
              <w:jc w:val="center"/>
              <w:rPr>
                <w:rFonts w:ascii="宋体" w:hAnsi="宋体" w:cs="宋体"/>
                <w:color w:val="auto"/>
                <w:szCs w:val="21"/>
                <w:shd w:val="clear" w:color="auto" w:fill="FFFFFF"/>
              </w:rPr>
            </w:pPr>
            <w:r>
              <w:rPr>
                <w:rFonts w:ascii="宋体" w:hAnsi="宋体" w:cs="宋体"/>
                <w:color w:val="auto"/>
                <w:szCs w:val="21"/>
                <w:shd w:val="clear" w:color="auto" w:fill="FFFFFF"/>
              </w:rPr>
              <w:t>100</w:t>
            </w:r>
            <w:r>
              <w:rPr>
                <w:rFonts w:hint="eastAsia" w:ascii="宋体" w:hAnsi="宋体" w:cs="宋体"/>
                <w:color w:val="auto"/>
                <w:szCs w:val="21"/>
                <w:shd w:val="clear" w:color="auto" w:fill="FFFFFF"/>
              </w:rPr>
              <w:t>分</w:t>
            </w:r>
          </w:p>
        </w:tc>
      </w:tr>
    </w:tbl>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投标人各单项得分之和即为投标人评审得分。</w:t>
      </w:r>
    </w:p>
    <w:p>
      <w:pPr>
        <w:adjustRightInd w:val="0"/>
        <w:snapToGrid w:val="0"/>
        <w:spacing w:line="360" w:lineRule="auto"/>
        <w:ind w:firstLine="420" w:firstLineChars="200"/>
        <w:rPr>
          <w:rFonts w:hint="eastAsia"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.4评标委员会应当根据详细评审的结果对投标人进行排序，2个以上投标人综合得分相同时，按照其投标报价得分由高至低的顺序进行排序；投标报价得分亦相同时，由评标委员会投票决定排序。</w:t>
      </w:r>
    </w:p>
    <w:p>
      <w:pPr>
        <w:pStyle w:val="2"/>
        <w:rPr>
          <w:color w:val="auto"/>
        </w:rPr>
      </w:pPr>
    </w:p>
    <w:p>
      <w:pPr>
        <w:adjustRightInd w:val="0"/>
        <w:snapToGrid w:val="0"/>
        <w:spacing w:line="360" w:lineRule="auto"/>
        <w:rPr>
          <w:rFonts w:ascii="宋体" w:hAnsi="宋体" w:cs="宋体"/>
          <w:b/>
          <w:bCs/>
          <w:color w:val="auto"/>
          <w:sz w:val="24"/>
          <w:shd w:val="clear" w:color="auto" w:fill="FFFFFF"/>
        </w:rPr>
      </w:pPr>
      <w:r>
        <w:rPr>
          <w:rFonts w:hint="eastAsia" w:ascii="宋体" w:hAnsi="宋体" w:cs="宋体"/>
          <w:b/>
          <w:bCs/>
          <w:color w:val="auto"/>
          <w:sz w:val="24"/>
          <w:shd w:val="clear" w:color="auto" w:fill="FFFFFF"/>
        </w:rPr>
        <w:t xml:space="preserve">    </w:t>
      </w:r>
      <w:r>
        <w:rPr>
          <w:rFonts w:hint="eastAsia" w:ascii="宋体" w:hAnsi="宋体" w:cs="宋体"/>
          <w:b/>
          <w:bCs/>
          <w:color w:val="auto"/>
          <w:sz w:val="24"/>
          <w:shd w:val="clear" w:color="auto" w:fill="FFFFFF"/>
          <w:lang w:val="en-US" w:eastAsia="zh-CN"/>
        </w:rPr>
        <w:t>6</w:t>
      </w:r>
      <w:r>
        <w:rPr>
          <w:rFonts w:hint="eastAsia" w:ascii="宋体" w:hAnsi="宋体" w:cs="宋体"/>
          <w:b/>
          <w:bCs/>
          <w:color w:val="auto"/>
          <w:sz w:val="24"/>
          <w:shd w:val="clear" w:color="auto" w:fill="FFFFFF"/>
        </w:rPr>
        <w:t>.推荐中选单位</w:t>
      </w:r>
    </w:p>
    <w:p>
      <w:pPr>
        <w:widowControl/>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6</w:t>
      </w:r>
      <w:r>
        <w:rPr>
          <w:rFonts w:hint="eastAsia" w:ascii="宋体" w:hAnsi="宋体" w:cs="宋体"/>
          <w:color w:val="auto"/>
          <w:szCs w:val="21"/>
          <w:shd w:val="clear" w:color="auto" w:fill="FFFFFF"/>
        </w:rPr>
        <w:t>.1.谈判评审小组按照综合得分由高到低的顺序推荐不超过1名中选候选人。经公示无异议后，确定排名第一的中选候选人为中选人。</w:t>
      </w:r>
    </w:p>
    <w:p>
      <w:pPr>
        <w:widowControl/>
        <w:adjustRightInd w:val="0"/>
        <w:snapToGrid w:val="0"/>
        <w:spacing w:line="360" w:lineRule="auto"/>
        <w:ind w:firstLine="420" w:firstLineChars="200"/>
        <w:rPr>
          <w:rFonts w:hint="eastAsia"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6</w:t>
      </w:r>
      <w:r>
        <w:rPr>
          <w:rFonts w:hint="eastAsia" w:ascii="宋体" w:hAnsi="宋体" w:cs="宋体"/>
          <w:color w:val="auto"/>
          <w:szCs w:val="21"/>
          <w:shd w:val="clear" w:color="auto" w:fill="FFFFFF"/>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rPr>
          <w:rFonts w:hint="eastAsia" w:ascii="黑体" w:hAnsi="黑体" w:eastAsia="黑体" w:cs="黑体"/>
          <w:color w:val="auto"/>
          <w:sz w:val="28"/>
          <w:szCs w:val="28"/>
          <w:lang w:eastAsia="zh-CN"/>
        </w:rPr>
      </w:pPr>
      <w:r>
        <w:rPr>
          <w:rFonts w:hint="eastAsia" w:ascii="黑体" w:hAnsi="黑体" w:eastAsia="黑体" w:cs="黑体"/>
          <w:color w:val="auto"/>
          <w:sz w:val="28"/>
          <w:szCs w:val="28"/>
        </w:rPr>
        <w:t>附表</w:t>
      </w:r>
      <w:r>
        <w:rPr>
          <w:rFonts w:hint="eastAsia" w:ascii="黑体" w:hAnsi="黑体" w:eastAsia="黑体" w:cs="黑体"/>
          <w:color w:val="auto"/>
          <w:sz w:val="28"/>
          <w:szCs w:val="28"/>
          <w:lang w:val="en-US" w:eastAsia="zh-CN"/>
        </w:rPr>
        <w:t>2</w:t>
      </w:r>
    </w:p>
    <w:p>
      <w:pPr>
        <w:spacing w:line="360" w:lineRule="exact"/>
        <w:jc w:val="center"/>
        <w:rPr>
          <w:rFonts w:hint="eastAsia" w:ascii="宋体" w:hAnsi="宋体"/>
          <w:b/>
          <w:color w:val="auto"/>
          <w:sz w:val="28"/>
          <w:szCs w:val="28"/>
        </w:rPr>
      </w:pPr>
      <w:r>
        <w:rPr>
          <w:rFonts w:hint="eastAsia" w:ascii="宋体" w:hAnsi="宋体"/>
          <w:b/>
          <w:color w:val="auto"/>
          <w:sz w:val="28"/>
          <w:szCs w:val="28"/>
        </w:rPr>
        <w:t>商务详细评分标准表（总分</w:t>
      </w:r>
      <w:r>
        <w:rPr>
          <w:rFonts w:ascii="宋体" w:hAnsi="宋体"/>
          <w:b/>
          <w:color w:val="auto"/>
          <w:sz w:val="28"/>
          <w:szCs w:val="28"/>
        </w:rPr>
        <w:t>20</w:t>
      </w:r>
      <w:r>
        <w:rPr>
          <w:rFonts w:hint="eastAsia" w:ascii="宋体" w:hAnsi="宋体"/>
          <w:b/>
          <w:color w:val="auto"/>
          <w:sz w:val="28"/>
          <w:szCs w:val="28"/>
        </w:rPr>
        <w:t>分）</w:t>
      </w:r>
    </w:p>
    <w:p>
      <w:pPr>
        <w:pStyle w:val="2"/>
        <w:rPr>
          <w:color w:val="auto"/>
        </w:rPr>
      </w:pPr>
    </w:p>
    <w:tbl>
      <w:tblPr>
        <w:tblStyle w:val="47"/>
        <w:tblpPr w:leftFromText="180" w:rightFromText="180" w:vertAnchor="text" w:horzAnchor="page" w:tblpX="1425" w:tblpY="171"/>
        <w:tblOverlap w:val="never"/>
        <w:tblW w:w="88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701"/>
        <w:gridCol w:w="992"/>
        <w:gridCol w:w="53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 w:type="dxa"/>
            <w:vAlign w:val="center"/>
          </w:tcPr>
          <w:p>
            <w:pPr>
              <w:spacing w:line="360" w:lineRule="exact"/>
              <w:rPr>
                <w:rFonts w:ascii="宋体" w:hAnsi="宋体" w:cs="宋体"/>
                <w:b/>
                <w:bCs/>
                <w:color w:val="auto"/>
                <w:szCs w:val="21"/>
              </w:rPr>
            </w:pPr>
            <w:r>
              <w:rPr>
                <w:rFonts w:hint="eastAsia" w:ascii="宋体" w:hAnsi="宋体" w:cs="宋体"/>
                <w:b/>
                <w:bCs/>
                <w:color w:val="auto"/>
                <w:szCs w:val="21"/>
              </w:rPr>
              <w:t>序号</w:t>
            </w:r>
          </w:p>
        </w:tc>
        <w:tc>
          <w:tcPr>
            <w:tcW w:w="1701" w:type="dxa"/>
            <w:vAlign w:val="center"/>
          </w:tcPr>
          <w:p>
            <w:pPr>
              <w:spacing w:line="360" w:lineRule="exact"/>
              <w:ind w:left="628" w:leftChars="1" w:hanging="626" w:hangingChars="297"/>
              <w:jc w:val="center"/>
              <w:rPr>
                <w:rFonts w:ascii="宋体" w:hAnsi="宋体" w:cs="宋体"/>
                <w:b/>
                <w:bCs/>
                <w:color w:val="auto"/>
                <w:szCs w:val="21"/>
              </w:rPr>
            </w:pPr>
            <w:r>
              <w:rPr>
                <w:rFonts w:hint="eastAsia" w:ascii="宋体" w:hAnsi="宋体" w:cs="宋体"/>
                <w:b/>
                <w:bCs/>
                <w:color w:val="auto"/>
                <w:szCs w:val="21"/>
              </w:rPr>
              <w:t>评分因素</w:t>
            </w:r>
          </w:p>
        </w:tc>
        <w:tc>
          <w:tcPr>
            <w:tcW w:w="992" w:type="dxa"/>
            <w:vAlign w:val="center"/>
          </w:tcPr>
          <w:p>
            <w:pPr>
              <w:spacing w:line="360" w:lineRule="exact"/>
              <w:jc w:val="center"/>
              <w:rPr>
                <w:rFonts w:ascii="宋体" w:hAnsi="宋体" w:cs="宋体"/>
                <w:b/>
                <w:color w:val="auto"/>
                <w:szCs w:val="21"/>
              </w:rPr>
            </w:pPr>
            <w:r>
              <w:rPr>
                <w:rFonts w:hint="eastAsia" w:ascii="宋体" w:hAnsi="宋体" w:cs="宋体"/>
                <w:b/>
                <w:color w:val="auto"/>
                <w:szCs w:val="21"/>
              </w:rPr>
              <w:t>分值</w:t>
            </w:r>
          </w:p>
        </w:tc>
        <w:tc>
          <w:tcPr>
            <w:tcW w:w="5306" w:type="dxa"/>
            <w:vAlign w:val="center"/>
          </w:tcPr>
          <w:p>
            <w:pPr>
              <w:spacing w:line="360" w:lineRule="exact"/>
              <w:ind w:left="628" w:leftChars="1" w:hanging="626" w:hangingChars="297"/>
              <w:jc w:val="center"/>
              <w:rPr>
                <w:rFonts w:ascii="宋体" w:hAnsi="宋体" w:cs="宋体"/>
                <w:b/>
                <w:bCs/>
                <w:color w:val="auto"/>
                <w:szCs w:val="21"/>
              </w:rPr>
            </w:pPr>
            <w:r>
              <w:rPr>
                <w:rFonts w:hint="eastAsia" w:ascii="宋体" w:hAnsi="宋体" w:cs="宋体"/>
                <w:b/>
                <w:bCs/>
                <w:color w:val="auto"/>
                <w:szCs w:val="21"/>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836" w:type="dxa"/>
            <w:vAlign w:val="center"/>
          </w:tcPr>
          <w:p>
            <w:pPr>
              <w:spacing w:line="360" w:lineRule="exact"/>
              <w:jc w:val="center"/>
              <w:rPr>
                <w:rFonts w:ascii="宋体" w:hAnsi="宋体" w:cs="宋体"/>
                <w:bCs/>
                <w:color w:val="auto"/>
                <w:szCs w:val="21"/>
              </w:rPr>
            </w:pPr>
            <w:r>
              <w:rPr>
                <w:rFonts w:hint="eastAsia" w:ascii="宋体" w:hAnsi="宋体" w:cs="宋体"/>
                <w:bCs/>
                <w:color w:val="auto"/>
                <w:szCs w:val="21"/>
              </w:rPr>
              <w:t>1</w:t>
            </w:r>
          </w:p>
        </w:tc>
        <w:tc>
          <w:tcPr>
            <w:tcW w:w="1701" w:type="dxa"/>
            <w:vAlign w:val="center"/>
          </w:tcPr>
          <w:p>
            <w:pPr>
              <w:spacing w:line="360" w:lineRule="exact"/>
              <w:jc w:val="center"/>
              <w:rPr>
                <w:rFonts w:ascii="宋体" w:hAnsi="宋体"/>
                <w:color w:val="auto"/>
                <w:szCs w:val="21"/>
              </w:rPr>
            </w:pPr>
            <w:r>
              <w:rPr>
                <w:rFonts w:hint="eastAsia" w:ascii="宋体" w:hAnsi="宋体"/>
                <w:color w:val="auto"/>
                <w:szCs w:val="21"/>
              </w:rPr>
              <w:t>响应文件的编制</w:t>
            </w:r>
          </w:p>
        </w:tc>
        <w:tc>
          <w:tcPr>
            <w:tcW w:w="992" w:type="dxa"/>
            <w:vAlign w:val="center"/>
          </w:tcPr>
          <w:p>
            <w:pPr>
              <w:spacing w:line="360" w:lineRule="exact"/>
              <w:jc w:val="center"/>
              <w:rPr>
                <w:rFonts w:ascii="宋体" w:hAnsi="宋体"/>
                <w:color w:val="auto"/>
                <w:szCs w:val="21"/>
              </w:rPr>
            </w:pPr>
            <w:r>
              <w:rPr>
                <w:rFonts w:hint="eastAsia" w:ascii="宋体" w:hAnsi="宋体"/>
                <w:color w:val="auto"/>
                <w:szCs w:val="21"/>
              </w:rPr>
              <w:t>2</w:t>
            </w:r>
          </w:p>
        </w:tc>
        <w:tc>
          <w:tcPr>
            <w:tcW w:w="5306" w:type="dxa"/>
            <w:vAlign w:val="center"/>
          </w:tcPr>
          <w:p>
            <w:pPr>
              <w:spacing w:line="360" w:lineRule="exact"/>
              <w:rPr>
                <w:rFonts w:ascii="宋体" w:hAnsi="宋体"/>
                <w:color w:val="auto"/>
                <w:szCs w:val="21"/>
              </w:rPr>
            </w:pPr>
            <w:r>
              <w:rPr>
                <w:rFonts w:hint="eastAsia" w:ascii="宋体" w:hAnsi="宋体"/>
                <w:color w:val="auto"/>
                <w:szCs w:val="21"/>
              </w:rPr>
              <w:t>响应文件的编制完全满足谈判文件并响应的得2分。</w:t>
            </w:r>
          </w:p>
          <w:p>
            <w:pPr>
              <w:spacing w:line="360" w:lineRule="exact"/>
              <w:rPr>
                <w:rFonts w:ascii="宋体" w:hAnsi="宋体"/>
                <w:color w:val="auto"/>
                <w:szCs w:val="21"/>
              </w:rPr>
            </w:pPr>
            <w:r>
              <w:rPr>
                <w:rFonts w:hint="eastAsia" w:ascii="宋体" w:hAnsi="宋体"/>
                <w:color w:val="auto"/>
                <w:szCs w:val="21"/>
              </w:rPr>
              <w:t>存在细微偏差的，每处扣0.5分，扣完为止。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vAlign w:val="center"/>
          </w:tcPr>
          <w:p>
            <w:pPr>
              <w:spacing w:line="360" w:lineRule="exact"/>
              <w:ind w:left="625" w:leftChars="1" w:hanging="623" w:hangingChars="297"/>
              <w:jc w:val="center"/>
              <w:rPr>
                <w:rFonts w:ascii="宋体" w:hAnsi="宋体" w:cs="宋体"/>
                <w:color w:val="auto"/>
                <w:szCs w:val="21"/>
              </w:rPr>
            </w:pPr>
            <w:r>
              <w:rPr>
                <w:rFonts w:hint="eastAsia" w:ascii="宋体" w:hAnsi="宋体" w:cs="宋体"/>
                <w:color w:val="auto"/>
                <w:szCs w:val="21"/>
              </w:rPr>
              <w:t>2</w:t>
            </w:r>
          </w:p>
        </w:tc>
        <w:tc>
          <w:tcPr>
            <w:tcW w:w="1701" w:type="dxa"/>
            <w:vAlign w:val="center"/>
          </w:tcPr>
          <w:p>
            <w:pPr>
              <w:spacing w:line="360" w:lineRule="exact"/>
              <w:jc w:val="center"/>
              <w:rPr>
                <w:rFonts w:ascii="宋体" w:hAnsi="宋体"/>
                <w:color w:val="auto"/>
                <w:szCs w:val="21"/>
              </w:rPr>
            </w:pPr>
            <w:r>
              <w:rPr>
                <w:rFonts w:hint="eastAsia" w:ascii="宋体" w:hAnsi="宋体" w:cs="宋体"/>
                <w:color w:val="auto"/>
                <w:szCs w:val="21"/>
              </w:rPr>
              <w:t>谈判单位业绩</w:t>
            </w:r>
          </w:p>
        </w:tc>
        <w:tc>
          <w:tcPr>
            <w:tcW w:w="992" w:type="dxa"/>
            <w:vAlign w:val="center"/>
          </w:tcPr>
          <w:p>
            <w:pPr>
              <w:spacing w:line="360" w:lineRule="exact"/>
              <w:jc w:val="center"/>
              <w:rPr>
                <w:rFonts w:ascii="宋体" w:hAnsi="宋体"/>
                <w:color w:val="auto"/>
                <w:szCs w:val="21"/>
              </w:rPr>
            </w:pPr>
            <w:r>
              <w:rPr>
                <w:rFonts w:hint="eastAsia" w:ascii="宋体" w:hAnsi="宋体"/>
                <w:color w:val="auto"/>
                <w:szCs w:val="21"/>
              </w:rPr>
              <w:t>8</w:t>
            </w:r>
          </w:p>
        </w:tc>
        <w:tc>
          <w:tcPr>
            <w:tcW w:w="5306" w:type="dxa"/>
            <w:vAlign w:val="center"/>
          </w:tcPr>
          <w:p>
            <w:pPr>
              <w:spacing w:line="360" w:lineRule="exact"/>
              <w:rPr>
                <w:rFonts w:ascii="宋体" w:hAnsi="宋体"/>
                <w:color w:val="auto"/>
                <w:szCs w:val="21"/>
              </w:rPr>
            </w:pPr>
            <w:r>
              <w:rPr>
                <w:rFonts w:hint="eastAsia" w:ascii="宋体" w:hAnsi="宋体" w:cs="宋体"/>
                <w:color w:val="auto"/>
                <w:szCs w:val="21"/>
              </w:rPr>
              <w:t>谈判单位具有1个加分业绩得4分。每增加1个加分业绩加2分，最多加4分。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836" w:type="dxa"/>
            <w:vAlign w:val="center"/>
          </w:tcPr>
          <w:p>
            <w:pPr>
              <w:spacing w:line="360" w:lineRule="exact"/>
              <w:ind w:left="625" w:leftChars="1" w:hanging="623" w:hangingChars="297"/>
              <w:jc w:val="center"/>
              <w:rPr>
                <w:rFonts w:ascii="宋体" w:hAnsi="宋体" w:cs="宋体"/>
                <w:color w:val="auto"/>
                <w:szCs w:val="21"/>
              </w:rPr>
            </w:pPr>
            <w:r>
              <w:rPr>
                <w:rFonts w:hint="eastAsia" w:ascii="宋体" w:hAnsi="宋体" w:cs="宋体"/>
                <w:color w:val="auto"/>
                <w:szCs w:val="21"/>
              </w:rPr>
              <w:t>3</w:t>
            </w:r>
          </w:p>
        </w:tc>
        <w:tc>
          <w:tcPr>
            <w:tcW w:w="1701" w:type="dxa"/>
            <w:vAlign w:val="center"/>
          </w:tcPr>
          <w:p>
            <w:pPr>
              <w:spacing w:line="360" w:lineRule="exact"/>
              <w:jc w:val="center"/>
              <w:rPr>
                <w:rFonts w:ascii="宋体" w:hAnsi="宋体" w:cs="宋体"/>
                <w:color w:val="auto"/>
                <w:szCs w:val="21"/>
              </w:rPr>
            </w:pPr>
            <w:r>
              <w:rPr>
                <w:rFonts w:hint="eastAsia" w:ascii="宋体" w:hAnsi="宋体"/>
                <w:color w:val="auto"/>
                <w:szCs w:val="21"/>
              </w:rPr>
              <w:t>综合实力</w:t>
            </w:r>
          </w:p>
        </w:tc>
        <w:tc>
          <w:tcPr>
            <w:tcW w:w="992" w:type="dxa"/>
            <w:vAlign w:val="center"/>
          </w:tcPr>
          <w:p>
            <w:pPr>
              <w:spacing w:line="360" w:lineRule="exact"/>
              <w:jc w:val="center"/>
              <w:rPr>
                <w:rFonts w:ascii="宋体" w:hAnsi="宋体"/>
                <w:color w:val="auto"/>
                <w:szCs w:val="21"/>
              </w:rPr>
            </w:pPr>
            <w:r>
              <w:rPr>
                <w:rFonts w:hint="eastAsia" w:ascii="宋体" w:hAnsi="宋体"/>
                <w:color w:val="auto"/>
                <w:szCs w:val="21"/>
              </w:rPr>
              <w:t>3</w:t>
            </w:r>
          </w:p>
        </w:tc>
        <w:tc>
          <w:tcPr>
            <w:tcW w:w="5306" w:type="dxa"/>
            <w:vAlign w:val="center"/>
          </w:tcPr>
          <w:p>
            <w:pPr>
              <w:spacing w:line="360" w:lineRule="auto"/>
              <w:rPr>
                <w:rFonts w:ascii="宋体" w:hAnsi="宋体" w:cs="宋体"/>
                <w:color w:val="auto"/>
                <w:szCs w:val="21"/>
              </w:rPr>
            </w:pPr>
            <w:r>
              <w:rPr>
                <w:rFonts w:hint="eastAsia" w:ascii="宋体" w:hAnsi="宋体" w:cs="宋体"/>
                <w:color w:val="auto"/>
                <w:szCs w:val="21"/>
              </w:rPr>
              <w:t>具备有效的质量管理体系认证证书的，得1分；</w:t>
            </w:r>
          </w:p>
          <w:p>
            <w:pPr>
              <w:spacing w:line="360" w:lineRule="auto"/>
              <w:rPr>
                <w:rFonts w:ascii="宋体" w:hAnsi="宋体" w:cs="宋体"/>
                <w:color w:val="auto"/>
                <w:szCs w:val="21"/>
              </w:rPr>
            </w:pPr>
            <w:r>
              <w:rPr>
                <w:rFonts w:hint="eastAsia" w:ascii="宋体" w:hAnsi="宋体" w:cs="宋体"/>
                <w:color w:val="auto"/>
                <w:szCs w:val="21"/>
              </w:rPr>
              <w:t>具备有效的职业健康安全管理体系认证证书的，得1分；</w:t>
            </w:r>
          </w:p>
          <w:p>
            <w:pPr>
              <w:spacing w:line="360" w:lineRule="auto"/>
              <w:rPr>
                <w:rFonts w:ascii="宋体" w:hAnsi="宋体" w:cs="宋体"/>
                <w:color w:val="auto"/>
                <w:szCs w:val="21"/>
              </w:rPr>
            </w:pPr>
            <w:r>
              <w:rPr>
                <w:rFonts w:hint="eastAsia" w:ascii="宋体" w:hAnsi="宋体" w:cs="宋体"/>
                <w:color w:val="auto"/>
                <w:szCs w:val="21"/>
              </w:rPr>
              <w:t>具备有效的环境管理体系认证证书的，得1分。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vAlign w:val="center"/>
          </w:tcPr>
          <w:p>
            <w:pPr>
              <w:spacing w:line="360" w:lineRule="exact"/>
              <w:ind w:left="625" w:leftChars="1" w:hanging="623" w:hangingChars="297"/>
              <w:jc w:val="center"/>
              <w:rPr>
                <w:rFonts w:ascii="宋体" w:hAnsi="宋体" w:cs="宋体"/>
                <w:color w:val="auto"/>
                <w:szCs w:val="21"/>
              </w:rPr>
            </w:pPr>
            <w:r>
              <w:rPr>
                <w:rFonts w:hint="eastAsia" w:ascii="宋体" w:hAnsi="宋体" w:cs="宋体"/>
                <w:color w:val="auto"/>
                <w:szCs w:val="21"/>
              </w:rPr>
              <w:t>4</w:t>
            </w:r>
          </w:p>
        </w:tc>
        <w:tc>
          <w:tcPr>
            <w:tcW w:w="1701" w:type="dxa"/>
            <w:vAlign w:val="center"/>
          </w:tcPr>
          <w:p>
            <w:pPr>
              <w:spacing w:line="360" w:lineRule="exact"/>
              <w:jc w:val="center"/>
              <w:rPr>
                <w:rFonts w:ascii="宋体" w:hAnsi="宋体"/>
                <w:color w:val="auto"/>
                <w:szCs w:val="21"/>
              </w:rPr>
            </w:pPr>
            <w:r>
              <w:rPr>
                <w:rFonts w:hint="eastAsia" w:ascii="宋体" w:hAnsi="宋体" w:cs="宋体"/>
                <w:color w:val="auto"/>
                <w:szCs w:val="21"/>
              </w:rPr>
              <w:t>人员配置</w:t>
            </w:r>
          </w:p>
        </w:tc>
        <w:tc>
          <w:tcPr>
            <w:tcW w:w="992" w:type="dxa"/>
            <w:vAlign w:val="center"/>
          </w:tcPr>
          <w:p>
            <w:pPr>
              <w:spacing w:line="360" w:lineRule="exact"/>
              <w:jc w:val="center"/>
              <w:rPr>
                <w:rFonts w:ascii="宋体" w:hAnsi="宋体"/>
                <w:color w:val="auto"/>
                <w:szCs w:val="21"/>
              </w:rPr>
            </w:pPr>
            <w:r>
              <w:rPr>
                <w:rFonts w:hint="eastAsia" w:ascii="宋体" w:hAnsi="宋体"/>
                <w:color w:val="auto"/>
                <w:szCs w:val="21"/>
              </w:rPr>
              <w:t>3</w:t>
            </w:r>
          </w:p>
        </w:tc>
        <w:tc>
          <w:tcPr>
            <w:tcW w:w="5306" w:type="dxa"/>
            <w:vAlign w:val="center"/>
          </w:tcPr>
          <w:p>
            <w:pPr>
              <w:spacing w:line="360" w:lineRule="exact"/>
              <w:rPr>
                <w:rFonts w:ascii="宋体" w:hAnsi="宋体" w:cs="宋体"/>
                <w:color w:val="auto"/>
                <w:szCs w:val="21"/>
              </w:rPr>
            </w:pPr>
            <w:r>
              <w:rPr>
                <w:rFonts w:hint="eastAsia" w:ascii="宋体" w:hAnsi="宋体" w:cs="宋体"/>
                <w:color w:val="auto"/>
                <w:szCs w:val="21"/>
              </w:rPr>
              <w:t>项目关键</w:t>
            </w:r>
            <w:r>
              <w:rPr>
                <w:rFonts w:ascii="宋体" w:hAnsi="宋体" w:cs="宋体"/>
                <w:color w:val="auto"/>
                <w:szCs w:val="21"/>
              </w:rPr>
              <w:t>岗位</w:t>
            </w:r>
            <w:r>
              <w:rPr>
                <w:rFonts w:hint="eastAsia" w:ascii="宋体" w:hAnsi="宋体" w:cs="宋体"/>
                <w:color w:val="auto"/>
                <w:szCs w:val="21"/>
              </w:rPr>
              <w:t>人员</w:t>
            </w:r>
            <w:r>
              <w:rPr>
                <w:rFonts w:ascii="宋体" w:hAnsi="宋体" w:cs="宋体"/>
                <w:color w:val="auto"/>
                <w:szCs w:val="21"/>
              </w:rPr>
              <w:t>配备满足本项目</w:t>
            </w:r>
            <w:r>
              <w:rPr>
                <w:rFonts w:hint="eastAsia" w:ascii="宋体" w:hAnsi="宋体" w:cs="宋体"/>
                <w:color w:val="auto"/>
                <w:szCs w:val="21"/>
              </w:rPr>
              <w:t>关键岗位</w:t>
            </w:r>
            <w:r>
              <w:rPr>
                <w:rFonts w:ascii="宋体" w:hAnsi="宋体" w:cs="宋体"/>
                <w:color w:val="auto"/>
                <w:szCs w:val="21"/>
              </w:rPr>
              <w:t>人员最低</w:t>
            </w:r>
            <w:r>
              <w:rPr>
                <w:rFonts w:hint="eastAsia" w:ascii="宋体" w:hAnsi="宋体" w:cs="宋体"/>
                <w:color w:val="auto"/>
                <w:szCs w:val="21"/>
              </w:rPr>
              <w:t>配备</w:t>
            </w:r>
            <w:r>
              <w:rPr>
                <w:rFonts w:ascii="宋体" w:hAnsi="宋体" w:cs="宋体"/>
                <w:color w:val="auto"/>
                <w:szCs w:val="21"/>
              </w:rPr>
              <w:t>要求</w:t>
            </w:r>
            <w:r>
              <w:rPr>
                <w:rFonts w:hint="eastAsia" w:ascii="宋体" w:hAnsi="宋体" w:cs="宋体"/>
                <w:color w:val="auto"/>
                <w:szCs w:val="21"/>
              </w:rPr>
              <w:t>基础上，每增加1名</w:t>
            </w:r>
            <w:r>
              <w:rPr>
                <w:rFonts w:ascii="宋体" w:hAnsi="宋体" w:cs="宋体"/>
                <w:color w:val="auto"/>
                <w:szCs w:val="21"/>
              </w:rPr>
              <w:t>本项目</w:t>
            </w:r>
            <w:r>
              <w:rPr>
                <w:rFonts w:hint="eastAsia" w:ascii="宋体" w:hAnsi="宋体" w:cs="宋体"/>
                <w:color w:val="auto"/>
                <w:szCs w:val="21"/>
              </w:rPr>
              <w:t>关键岗位</w:t>
            </w:r>
            <w:r>
              <w:rPr>
                <w:rFonts w:ascii="宋体" w:hAnsi="宋体" w:cs="宋体"/>
                <w:color w:val="auto"/>
                <w:szCs w:val="21"/>
              </w:rPr>
              <w:t>人员</w:t>
            </w:r>
            <w:r>
              <w:rPr>
                <w:rFonts w:hint="eastAsia" w:ascii="宋体" w:hAnsi="宋体" w:cs="宋体"/>
                <w:color w:val="auto"/>
                <w:szCs w:val="21"/>
              </w:rPr>
              <w:t>（</w:t>
            </w:r>
            <w:r>
              <w:rPr>
                <w:rFonts w:hint="eastAsia" w:ascii="Calibri" w:hAnsi="Calibri"/>
                <w:color w:val="auto"/>
                <w:szCs w:val="21"/>
              </w:rPr>
              <w:t>施工员或专职安全员</w:t>
            </w:r>
            <w:r>
              <w:rPr>
                <w:rFonts w:hint="eastAsia" w:ascii="宋体" w:hAnsi="宋体" w:cs="宋体"/>
                <w:color w:val="auto"/>
                <w:szCs w:val="21"/>
              </w:rPr>
              <w:t>）加1分，最多加3分。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4" w:hRule="exact"/>
          <w:jc w:val="center"/>
        </w:trPr>
        <w:tc>
          <w:tcPr>
            <w:tcW w:w="836" w:type="dxa"/>
            <w:vAlign w:val="center"/>
          </w:tcPr>
          <w:p>
            <w:pPr>
              <w:spacing w:line="360" w:lineRule="exact"/>
              <w:ind w:left="625" w:leftChars="1" w:hanging="623" w:hangingChars="297"/>
              <w:jc w:val="center"/>
              <w:rPr>
                <w:rFonts w:ascii="宋体" w:hAnsi="宋体" w:cs="宋体"/>
                <w:color w:val="auto"/>
                <w:szCs w:val="21"/>
              </w:rPr>
            </w:pPr>
            <w:r>
              <w:rPr>
                <w:rFonts w:hint="eastAsia" w:ascii="宋体" w:hAnsi="宋体" w:cs="宋体"/>
                <w:color w:val="auto"/>
                <w:szCs w:val="21"/>
              </w:rPr>
              <w:t>5</w:t>
            </w:r>
          </w:p>
        </w:tc>
        <w:tc>
          <w:tcPr>
            <w:tcW w:w="1701" w:type="dxa"/>
            <w:vAlign w:val="center"/>
          </w:tcPr>
          <w:p>
            <w:pPr>
              <w:widowControl/>
              <w:spacing w:line="360" w:lineRule="exact"/>
              <w:jc w:val="center"/>
              <w:textAlignment w:val="center"/>
              <w:rPr>
                <w:rFonts w:ascii="宋体" w:hAnsi="宋体" w:cs="宋体"/>
                <w:strike/>
                <w:color w:val="auto"/>
                <w:spacing w:val="-8"/>
                <w:szCs w:val="21"/>
              </w:rPr>
            </w:pPr>
            <w:r>
              <w:rPr>
                <w:rFonts w:hint="eastAsia" w:ascii="宋体" w:hAnsi="宋体"/>
                <w:color w:val="auto"/>
                <w:szCs w:val="21"/>
              </w:rPr>
              <w:t>不良行为</w:t>
            </w:r>
          </w:p>
        </w:tc>
        <w:tc>
          <w:tcPr>
            <w:tcW w:w="992" w:type="dxa"/>
            <w:vAlign w:val="center"/>
          </w:tcPr>
          <w:p>
            <w:pPr>
              <w:widowControl/>
              <w:spacing w:line="360" w:lineRule="exact"/>
              <w:jc w:val="center"/>
              <w:textAlignment w:val="center"/>
              <w:rPr>
                <w:rFonts w:ascii="宋体" w:hAnsi="宋体" w:cs="宋体"/>
                <w:strike/>
                <w:color w:val="auto"/>
                <w:szCs w:val="21"/>
              </w:rPr>
            </w:pPr>
            <w:r>
              <w:rPr>
                <w:rFonts w:hint="eastAsia" w:ascii="宋体" w:hAnsi="宋体" w:cs="宋体"/>
                <w:color w:val="auto"/>
                <w:szCs w:val="21"/>
              </w:rPr>
              <w:t>4</w:t>
            </w:r>
          </w:p>
        </w:tc>
        <w:tc>
          <w:tcPr>
            <w:tcW w:w="5306" w:type="dxa"/>
            <w:vAlign w:val="center"/>
          </w:tcPr>
          <w:p>
            <w:pPr>
              <w:spacing w:line="360" w:lineRule="exact"/>
              <w:rPr>
                <w:rFonts w:ascii="宋体" w:hAnsi="宋体"/>
                <w:color w:val="auto"/>
                <w:szCs w:val="21"/>
              </w:rPr>
            </w:pPr>
            <w:r>
              <w:rPr>
                <w:rFonts w:hint="eastAsia" w:ascii="宋体" w:hAnsi="宋体"/>
                <w:color w:val="auto"/>
                <w:szCs w:val="21"/>
              </w:rPr>
              <w:t>投标人或拟任项目负责人无不良行为记录的计4分。</w:t>
            </w:r>
          </w:p>
          <w:p>
            <w:pPr>
              <w:spacing w:line="360" w:lineRule="exact"/>
              <w:rPr>
                <w:rFonts w:ascii="宋体" w:hAnsi="宋体"/>
                <w:color w:val="auto"/>
                <w:szCs w:val="21"/>
              </w:rPr>
            </w:pPr>
            <w:r>
              <w:rPr>
                <w:rFonts w:hint="eastAsia" w:ascii="宋体" w:hAnsi="宋体"/>
                <w:color w:val="auto"/>
                <w:szCs w:val="21"/>
              </w:rPr>
              <w:t>投标人或拟任项目负责人每发生一次严重不良行为记录每条扣</w:t>
            </w:r>
            <w:r>
              <w:rPr>
                <w:rFonts w:ascii="宋体" w:hAnsi="宋体"/>
                <w:color w:val="auto"/>
                <w:szCs w:val="21"/>
              </w:rPr>
              <w:t>4</w:t>
            </w:r>
            <w:r>
              <w:rPr>
                <w:rFonts w:hint="eastAsia" w:ascii="宋体" w:hAnsi="宋体"/>
                <w:color w:val="auto"/>
                <w:szCs w:val="21"/>
              </w:rPr>
              <w:t>分；</w:t>
            </w:r>
          </w:p>
          <w:p>
            <w:pPr>
              <w:spacing w:line="360" w:lineRule="exact"/>
              <w:rPr>
                <w:rFonts w:ascii="宋体" w:hAnsi="宋体"/>
                <w:color w:val="auto"/>
                <w:szCs w:val="21"/>
              </w:rPr>
            </w:pPr>
            <w:r>
              <w:rPr>
                <w:rFonts w:hint="eastAsia" w:ascii="宋体" w:hAnsi="宋体"/>
                <w:color w:val="auto"/>
                <w:szCs w:val="21"/>
              </w:rPr>
              <w:t>投标人或拟任项目负责人每发生一次一般不良行为记录每条扣</w:t>
            </w:r>
            <w:r>
              <w:rPr>
                <w:rFonts w:ascii="宋体" w:hAnsi="宋体"/>
                <w:color w:val="auto"/>
                <w:szCs w:val="21"/>
              </w:rPr>
              <w:t>2</w:t>
            </w:r>
            <w:r>
              <w:rPr>
                <w:rFonts w:hint="eastAsia" w:ascii="宋体" w:hAnsi="宋体"/>
                <w:color w:val="auto"/>
                <w:szCs w:val="21"/>
              </w:rPr>
              <w:t>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 w:type="dxa"/>
            <w:vAlign w:val="center"/>
          </w:tcPr>
          <w:p>
            <w:pPr>
              <w:spacing w:line="360" w:lineRule="exact"/>
              <w:ind w:left="625" w:leftChars="1" w:hanging="623" w:hangingChars="297"/>
              <w:jc w:val="center"/>
              <w:rPr>
                <w:rFonts w:ascii="宋体" w:hAnsi="宋体" w:cs="宋体"/>
                <w:color w:val="auto"/>
                <w:szCs w:val="21"/>
              </w:rPr>
            </w:pPr>
            <w:r>
              <w:rPr>
                <w:rFonts w:hint="eastAsia" w:ascii="宋体" w:hAnsi="宋体" w:cs="宋体"/>
                <w:color w:val="auto"/>
                <w:szCs w:val="21"/>
              </w:rPr>
              <w:t>6</w:t>
            </w:r>
          </w:p>
        </w:tc>
        <w:tc>
          <w:tcPr>
            <w:tcW w:w="1701" w:type="dxa"/>
            <w:vAlign w:val="center"/>
          </w:tcPr>
          <w:p>
            <w:pPr>
              <w:widowControl/>
              <w:spacing w:line="360" w:lineRule="exact"/>
              <w:jc w:val="center"/>
              <w:textAlignment w:val="center"/>
              <w:rPr>
                <w:rFonts w:ascii="宋体" w:hAnsi="宋体" w:cs="宋体"/>
                <w:color w:val="auto"/>
                <w:spacing w:val="-8"/>
                <w:szCs w:val="21"/>
              </w:rPr>
            </w:pPr>
            <w:r>
              <w:rPr>
                <w:rFonts w:hint="eastAsia" w:ascii="宋体" w:hAnsi="宋体" w:cs="宋体"/>
                <w:color w:val="auto"/>
                <w:spacing w:val="-8"/>
                <w:szCs w:val="21"/>
              </w:rPr>
              <w:t>合计</w:t>
            </w:r>
          </w:p>
        </w:tc>
        <w:tc>
          <w:tcPr>
            <w:tcW w:w="992" w:type="dxa"/>
            <w:vAlign w:val="center"/>
          </w:tcPr>
          <w:p>
            <w:pPr>
              <w:widowControl/>
              <w:spacing w:line="360" w:lineRule="exact"/>
              <w:jc w:val="center"/>
              <w:textAlignment w:val="center"/>
              <w:rPr>
                <w:rFonts w:ascii="宋体" w:hAnsi="宋体" w:cs="宋体"/>
                <w:color w:val="auto"/>
                <w:szCs w:val="21"/>
              </w:rPr>
            </w:pPr>
            <w:r>
              <w:rPr>
                <w:rFonts w:ascii="宋体" w:hAnsi="宋体" w:cs="宋体"/>
                <w:color w:val="auto"/>
                <w:szCs w:val="21"/>
              </w:rPr>
              <w:t>20</w:t>
            </w:r>
          </w:p>
        </w:tc>
        <w:tc>
          <w:tcPr>
            <w:tcW w:w="5306" w:type="dxa"/>
            <w:vAlign w:val="center"/>
          </w:tcPr>
          <w:p>
            <w:pPr>
              <w:spacing w:line="360" w:lineRule="exact"/>
              <w:jc w:val="left"/>
              <w:rPr>
                <w:rFonts w:ascii="宋体" w:hAnsi="宋体" w:cs="宋体"/>
                <w:color w:val="auto"/>
                <w:szCs w:val="21"/>
              </w:rPr>
            </w:pPr>
          </w:p>
        </w:tc>
      </w:tr>
    </w:tbl>
    <w:p>
      <w:pPr>
        <w:spacing w:line="360" w:lineRule="exact"/>
        <w:rPr>
          <w:rFonts w:ascii="宋体" w:hAnsi="宋体" w:cs="宋体"/>
          <w:b/>
          <w:color w:val="auto"/>
          <w:szCs w:val="21"/>
        </w:rPr>
      </w:pPr>
      <w:r>
        <w:rPr>
          <w:rFonts w:hint="eastAsia" w:ascii="宋体" w:hAnsi="宋体" w:cs="宋体"/>
          <w:b/>
          <w:color w:val="auto"/>
          <w:szCs w:val="21"/>
        </w:rPr>
        <w:t>评审说明：</w:t>
      </w:r>
    </w:p>
    <w:p>
      <w:pPr>
        <w:ind w:firstLine="420" w:firstLineChars="200"/>
        <w:jc w:val="left"/>
        <w:rPr>
          <w:rFonts w:ascii="宋体" w:hAnsi="宋体" w:cs="宋体"/>
          <w:color w:val="auto"/>
          <w:szCs w:val="21"/>
        </w:rPr>
      </w:pPr>
      <w:r>
        <w:rPr>
          <w:rFonts w:hint="eastAsia" w:ascii="宋体" w:hAnsi="宋体" w:cs="宋体"/>
          <w:color w:val="auto"/>
          <w:szCs w:val="21"/>
        </w:rPr>
        <w:t>1.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ind w:firstLine="420" w:firstLineChars="200"/>
        <w:rPr>
          <w:rFonts w:ascii="Calibri" w:hAnsi="Calibri"/>
          <w:color w:val="auto"/>
        </w:rPr>
      </w:pPr>
      <w:r>
        <w:rPr>
          <w:rFonts w:hint="eastAsia" w:ascii="宋体" w:hAnsi="宋体" w:cs="宋体"/>
          <w:color w:val="auto"/>
          <w:szCs w:val="21"/>
        </w:rPr>
        <w:t>2.加分业绩是指谈判单位在本项目谈判截止之日前36个月内须具有单个合同金额不少于</w:t>
      </w:r>
      <w:r>
        <w:rPr>
          <w:rFonts w:hint="eastAsia" w:ascii="宋体" w:hAnsi="宋体" w:cs="宋体"/>
          <w:color w:val="auto"/>
          <w:szCs w:val="21"/>
          <w:lang w:val="en-US" w:eastAsia="zh-CN"/>
        </w:rPr>
        <w:t>50万</w:t>
      </w:r>
      <w:r>
        <w:rPr>
          <w:rFonts w:hint="eastAsia" w:ascii="宋体" w:hAnsi="宋体" w:cs="宋体"/>
          <w:color w:val="auto"/>
          <w:szCs w:val="21"/>
        </w:rPr>
        <w:t>的房屋建筑工程施工项目业</w:t>
      </w:r>
      <w:r>
        <w:rPr>
          <w:rFonts w:ascii="宋体" w:hAnsi="宋体" w:eastAsia="宋体" w:cs="宋体"/>
          <w:sz w:val="24"/>
          <w:szCs w:val="24"/>
        </w:rPr>
        <w:t>绩</w:t>
      </w:r>
      <w:r>
        <w:rPr>
          <w:rFonts w:hint="eastAsia" w:ascii="宋体" w:hAnsi="宋体" w:cs="宋体"/>
          <w:color w:val="auto"/>
          <w:szCs w:val="21"/>
        </w:rPr>
        <w:t>。不接受联合体业绩、港澳台或境外业绩。业绩证明材料以同时提供的合同复印件和发票（开票金额不少于合同金额的10%）复印件（均须加盖谈判单位公章）为准，业绩金额以合同中金额为准，时间以合同中采购单位的签字时间为准。</w:t>
      </w:r>
    </w:p>
    <w:p>
      <w:pPr>
        <w:ind w:firstLine="420" w:firstLineChars="200"/>
        <w:jc w:val="left"/>
        <w:rPr>
          <w:rFonts w:ascii="宋体" w:hAnsi="宋体"/>
          <w:color w:val="auto"/>
          <w:szCs w:val="21"/>
        </w:rPr>
      </w:pPr>
      <w:r>
        <w:rPr>
          <w:rFonts w:ascii="宋体" w:hAnsi="宋体" w:cs="宋体"/>
          <w:color w:val="auto"/>
          <w:szCs w:val="21"/>
        </w:rPr>
        <w:t>3</w:t>
      </w:r>
      <w:r>
        <w:rPr>
          <w:rFonts w:hint="eastAsia" w:ascii="宋体" w:hAnsi="宋体" w:cs="宋体"/>
          <w:color w:val="auto"/>
          <w:szCs w:val="21"/>
        </w:rPr>
        <w:t>.响应</w:t>
      </w:r>
      <w:r>
        <w:rPr>
          <w:rFonts w:ascii="宋体" w:hAnsi="宋体" w:cs="宋体"/>
          <w:color w:val="auto"/>
          <w:szCs w:val="21"/>
        </w:rPr>
        <w:t>文件缺失某项评审因素的，该项计零分。</w:t>
      </w:r>
    </w:p>
    <w:p>
      <w:pPr>
        <w:ind w:firstLine="420" w:firstLineChars="200"/>
        <w:jc w:val="left"/>
        <w:rPr>
          <w:rFonts w:ascii="宋体" w:hAnsi="宋体" w:cs="宋体"/>
          <w:color w:val="auto"/>
          <w:szCs w:val="21"/>
          <w:highlight w:val="yellow"/>
        </w:rPr>
      </w:pPr>
      <w:r>
        <w:rPr>
          <w:rFonts w:hint="eastAsia" w:ascii="宋体" w:hAnsi="宋体" w:cs="宋体"/>
          <w:color w:val="auto"/>
          <w:szCs w:val="21"/>
        </w:rPr>
        <w:t>4.获得质量管理体系认证、</w:t>
      </w:r>
      <w:r>
        <w:rPr>
          <w:rFonts w:ascii="宋体" w:hAnsi="宋体" w:cs="宋体"/>
          <w:color w:val="auto"/>
          <w:szCs w:val="21"/>
        </w:rPr>
        <w:t>职业健康安全管理体系</w:t>
      </w:r>
      <w:r>
        <w:rPr>
          <w:rFonts w:hint="eastAsia" w:ascii="宋体" w:hAnsi="宋体" w:cs="宋体"/>
          <w:color w:val="auto"/>
          <w:szCs w:val="21"/>
        </w:rPr>
        <w:t>认证、环境管理体系认证的，须提供有效的质量管理体系认证、职业健康安全管理体系认证、环境管理体系认证证书的复印件，并加盖谈判单位公章。</w:t>
      </w:r>
    </w:p>
    <w:p>
      <w:pPr>
        <w:ind w:firstLine="420" w:firstLineChars="200"/>
        <w:jc w:val="left"/>
        <w:rPr>
          <w:rFonts w:ascii="宋体" w:hAnsi="宋体" w:cs="宋体"/>
          <w:color w:val="auto"/>
          <w:szCs w:val="21"/>
        </w:rPr>
      </w:pPr>
      <w:r>
        <w:rPr>
          <w:rFonts w:hint="eastAsia" w:ascii="宋体" w:hAnsi="宋体" w:cs="宋体"/>
          <w:iCs/>
          <w:color w:val="auto"/>
          <w:szCs w:val="21"/>
        </w:rPr>
        <w:t>5.项目关键</w:t>
      </w:r>
      <w:r>
        <w:rPr>
          <w:rFonts w:ascii="宋体" w:hAnsi="宋体" w:cs="宋体"/>
          <w:iCs/>
          <w:color w:val="auto"/>
          <w:szCs w:val="21"/>
        </w:rPr>
        <w:t>岗位</w:t>
      </w:r>
      <w:r>
        <w:rPr>
          <w:rFonts w:hint="eastAsia" w:ascii="宋体" w:hAnsi="宋体" w:cs="宋体"/>
          <w:iCs/>
          <w:color w:val="auto"/>
          <w:szCs w:val="21"/>
        </w:rPr>
        <w:t>人员最低配备要求详见本项目谈判公告，</w:t>
      </w:r>
      <w:r>
        <w:rPr>
          <w:rFonts w:hint="eastAsia" w:ascii="宋体" w:hAnsi="宋体" w:cs="宋体"/>
          <w:color w:val="auto"/>
          <w:szCs w:val="21"/>
        </w:rPr>
        <w:t>人员证书均需提供相关证明材料复印件，并加盖谈判单位公章。</w:t>
      </w:r>
    </w:p>
    <w:p>
      <w:pPr>
        <w:ind w:firstLine="420" w:firstLineChars="200"/>
        <w:rPr>
          <w:rFonts w:ascii="宋体" w:hAnsi="宋体" w:cs="宋体"/>
          <w:color w:val="auto"/>
          <w:szCs w:val="21"/>
        </w:rPr>
      </w:pPr>
      <w:r>
        <w:rPr>
          <w:rFonts w:hint="eastAsia" w:ascii="宋体" w:hAnsi="宋体" w:cs="宋体"/>
          <w:color w:val="auto"/>
          <w:szCs w:val="21"/>
        </w:rPr>
        <w:t>6.不良行为记录包括工程质量、安全生产、市场行为等方面的情况。湖南省住房和城乡建设厅发布的《湖南省建筑市场责任主体不良行为记录》是确认本省行政区域内不良行为记录的依据。投标人和拟任项目负责人不良行为记录扣分有效期为180天，自湖南省住房和城乡建设厅公布之日起至提交投标文件截止之日止。外省区市公布的不良行为不扣分。</w:t>
      </w:r>
    </w:p>
    <w:p>
      <w:pPr>
        <w:widowControl/>
        <w:shd w:val="clear" w:color="auto" w:fill="FFFFFF"/>
        <w:jc w:val="left"/>
        <w:rPr>
          <w:rFonts w:hint="eastAsia" w:ascii="宋体" w:hAnsi="宋体" w:cs="宋体"/>
          <w:b/>
          <w:color w:val="auto"/>
          <w:sz w:val="28"/>
          <w:szCs w:val="28"/>
        </w:rPr>
      </w:pPr>
      <w:r>
        <w:rPr>
          <w:rFonts w:hint="eastAsia" w:ascii="宋体" w:hAnsi="宋体" w:cs="宋体"/>
          <w:b/>
          <w:color w:val="auto"/>
          <w:sz w:val="28"/>
          <w:szCs w:val="28"/>
        </w:rPr>
        <w:t>附表</w:t>
      </w:r>
      <w:r>
        <w:rPr>
          <w:rFonts w:hint="eastAsia" w:ascii="宋体" w:hAnsi="宋体" w:cs="宋体"/>
          <w:b/>
          <w:color w:val="auto"/>
          <w:sz w:val="28"/>
          <w:szCs w:val="28"/>
          <w:lang w:val="en-US" w:eastAsia="zh-CN"/>
        </w:rPr>
        <w:t>3</w:t>
      </w:r>
      <w:r>
        <w:rPr>
          <w:rFonts w:hint="eastAsia" w:ascii="宋体" w:hAnsi="宋体" w:cs="宋体"/>
          <w:b/>
          <w:color w:val="auto"/>
          <w:sz w:val="28"/>
          <w:szCs w:val="28"/>
        </w:rPr>
        <w:t>：</w:t>
      </w:r>
    </w:p>
    <w:p>
      <w:pPr>
        <w:widowControl/>
        <w:shd w:val="clear" w:color="auto" w:fill="FFFFFF"/>
        <w:jc w:val="center"/>
        <w:rPr>
          <w:rFonts w:hint="eastAsia" w:ascii="宋体" w:hAnsi="宋体" w:cs="宋体"/>
          <w:b/>
          <w:color w:val="auto"/>
          <w:sz w:val="28"/>
          <w:szCs w:val="28"/>
        </w:rPr>
      </w:pPr>
      <w:r>
        <w:rPr>
          <w:rFonts w:hint="eastAsia" w:ascii="宋体" w:hAnsi="宋体" w:cs="宋体"/>
          <w:b/>
          <w:color w:val="auto"/>
          <w:sz w:val="28"/>
          <w:szCs w:val="28"/>
        </w:rPr>
        <w:t>技术评审计分表（总分30分）</w:t>
      </w:r>
    </w:p>
    <w:p>
      <w:pPr>
        <w:pStyle w:val="2"/>
        <w:rPr>
          <w:color w:val="auto"/>
        </w:rPr>
      </w:pPr>
    </w:p>
    <w:tbl>
      <w:tblPr>
        <w:tblStyle w:val="47"/>
        <w:tblW w:w="8342" w:type="dxa"/>
        <w:jc w:val="center"/>
        <w:tblLayout w:type="autofit"/>
        <w:tblCellMar>
          <w:top w:w="0" w:type="dxa"/>
          <w:left w:w="0" w:type="dxa"/>
          <w:bottom w:w="0" w:type="dxa"/>
          <w:right w:w="0" w:type="dxa"/>
        </w:tblCellMar>
      </w:tblPr>
      <w:tblGrid>
        <w:gridCol w:w="376"/>
        <w:gridCol w:w="940"/>
        <w:gridCol w:w="712"/>
        <w:gridCol w:w="551"/>
        <w:gridCol w:w="5106"/>
        <w:gridCol w:w="657"/>
      </w:tblGrid>
      <w:tr>
        <w:tblPrEx>
          <w:tblCellMar>
            <w:top w:w="0" w:type="dxa"/>
            <w:left w:w="0" w:type="dxa"/>
            <w:bottom w:w="0" w:type="dxa"/>
            <w:right w:w="0" w:type="dxa"/>
          </w:tblCellMar>
        </w:tblPrEx>
        <w:trPr>
          <w:trHeight w:val="480" w:hRule="atLeast"/>
          <w:jc w:val="center"/>
        </w:trPr>
        <w:tc>
          <w:tcPr>
            <w:tcW w:w="376" w:type="dxa"/>
            <w:tcBorders>
              <w:top w:val="single" w:color="auto" w:sz="8" w:space="0"/>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rPr>
            </w:pPr>
            <w:r>
              <w:rPr>
                <w:rFonts w:hint="eastAsia" w:ascii="宋体" w:hAnsi="宋体" w:cs="Calibri"/>
                <w:b/>
                <w:bCs/>
                <w:color w:val="auto"/>
                <w:kern w:val="0"/>
                <w:sz w:val="20"/>
                <w:szCs w:val="20"/>
              </w:rPr>
              <w:t>序号</w:t>
            </w:r>
          </w:p>
        </w:tc>
        <w:tc>
          <w:tcPr>
            <w:tcW w:w="1652" w:type="dxa"/>
            <w:gridSpan w:val="2"/>
            <w:tcBorders>
              <w:top w:val="single" w:color="auto" w:sz="8" w:space="0"/>
              <w:left w:val="nil"/>
              <w:bottom w:val="single" w:color="auto" w:sz="8" w:space="0"/>
              <w:right w:val="single" w:color="auto" w:sz="8" w:space="0"/>
            </w:tcBorders>
            <w:noWrap w:val="0"/>
            <w:vAlign w:val="center"/>
          </w:tcPr>
          <w:p>
            <w:pPr>
              <w:widowControl/>
              <w:wordWrap w:val="0"/>
              <w:jc w:val="center"/>
              <w:rPr>
                <w:rFonts w:ascii="Calibri" w:hAnsi="Calibri" w:cs="Calibri"/>
                <w:color w:val="auto"/>
                <w:kern w:val="0"/>
                <w:szCs w:val="21"/>
              </w:rPr>
            </w:pPr>
            <w:r>
              <w:rPr>
                <w:rFonts w:hint="eastAsia" w:ascii="宋体" w:hAnsi="宋体" w:cs="Calibri"/>
                <w:b/>
                <w:bCs/>
                <w:color w:val="auto"/>
                <w:kern w:val="0"/>
                <w:sz w:val="20"/>
                <w:szCs w:val="20"/>
              </w:rPr>
              <w:t>评审因素</w:t>
            </w:r>
          </w:p>
        </w:tc>
        <w:tc>
          <w:tcPr>
            <w:tcW w:w="551"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Calibri" w:hAnsi="Calibri" w:cs="Calibri"/>
                <w:color w:val="auto"/>
                <w:kern w:val="0"/>
                <w:szCs w:val="21"/>
              </w:rPr>
            </w:pPr>
            <w:r>
              <w:rPr>
                <w:rFonts w:hint="eastAsia" w:ascii="宋体" w:hAnsi="宋体" w:cs="Calibri"/>
                <w:b/>
                <w:bCs/>
                <w:color w:val="auto"/>
                <w:kern w:val="0"/>
                <w:sz w:val="20"/>
                <w:szCs w:val="20"/>
              </w:rPr>
              <w:t>最高</w:t>
            </w:r>
          </w:p>
          <w:p>
            <w:pPr>
              <w:widowControl/>
              <w:wordWrap w:val="0"/>
              <w:spacing w:line="320" w:lineRule="atLeast"/>
              <w:jc w:val="center"/>
              <w:rPr>
                <w:rFonts w:ascii="Calibri" w:hAnsi="Calibri" w:cs="Calibri"/>
                <w:color w:val="auto"/>
                <w:kern w:val="0"/>
                <w:szCs w:val="21"/>
              </w:rPr>
            </w:pPr>
            <w:r>
              <w:rPr>
                <w:rFonts w:hint="eastAsia" w:ascii="宋体" w:hAnsi="宋体" w:cs="Calibri"/>
                <w:b/>
                <w:bCs/>
                <w:color w:val="auto"/>
                <w:kern w:val="0"/>
                <w:sz w:val="20"/>
                <w:szCs w:val="20"/>
              </w:rPr>
              <w:t>分值</w:t>
            </w:r>
          </w:p>
        </w:tc>
        <w:tc>
          <w:tcPr>
            <w:tcW w:w="5106"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rPr>
            </w:pPr>
            <w:r>
              <w:rPr>
                <w:rFonts w:hint="eastAsia" w:ascii="宋体" w:hAnsi="宋体" w:cs="Calibri"/>
                <w:b/>
                <w:bCs/>
                <w:color w:val="auto"/>
                <w:kern w:val="0"/>
                <w:sz w:val="20"/>
                <w:szCs w:val="20"/>
              </w:rPr>
              <w:t>评审标准</w:t>
            </w:r>
          </w:p>
        </w:tc>
        <w:tc>
          <w:tcPr>
            <w:tcW w:w="657"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rPr>
            </w:pPr>
            <w:r>
              <w:rPr>
                <w:rFonts w:hint="eastAsia" w:ascii="宋体" w:hAnsi="宋体" w:cs="Calibri"/>
                <w:b/>
                <w:bCs/>
                <w:color w:val="auto"/>
                <w:kern w:val="0"/>
                <w:sz w:val="20"/>
                <w:szCs w:val="20"/>
              </w:rPr>
              <w:t>计分</w:t>
            </w:r>
          </w:p>
          <w:p>
            <w:pPr>
              <w:widowControl/>
              <w:wordWrap w:val="0"/>
              <w:jc w:val="center"/>
              <w:rPr>
                <w:rFonts w:ascii="Calibri" w:hAnsi="Calibri" w:cs="Calibri"/>
                <w:color w:val="auto"/>
                <w:kern w:val="0"/>
                <w:szCs w:val="21"/>
              </w:rPr>
            </w:pPr>
            <w:r>
              <w:rPr>
                <w:rFonts w:hint="eastAsia" w:ascii="宋体" w:hAnsi="宋体" w:cs="Calibri"/>
                <w:b/>
                <w:bCs/>
                <w:color w:val="auto"/>
                <w:kern w:val="0"/>
                <w:sz w:val="20"/>
                <w:szCs w:val="20"/>
              </w:rPr>
              <w:t>方式</w:t>
            </w:r>
          </w:p>
        </w:tc>
      </w:tr>
      <w:tr>
        <w:tblPrEx>
          <w:tblCellMar>
            <w:top w:w="0" w:type="dxa"/>
            <w:left w:w="0" w:type="dxa"/>
            <w:bottom w:w="0" w:type="dxa"/>
            <w:right w:w="0" w:type="dxa"/>
          </w:tblCellMar>
        </w:tblPrEx>
        <w:trPr>
          <w:trHeight w:val="450" w:hRule="atLeast"/>
          <w:jc w:val="center"/>
        </w:trPr>
        <w:tc>
          <w:tcPr>
            <w:tcW w:w="376" w:type="dxa"/>
            <w:vMerge w:val="restart"/>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rPr>
            </w:pPr>
            <w:r>
              <w:rPr>
                <w:rFonts w:ascii="Calibri" w:hAnsi="Calibri" w:cs="Calibri"/>
                <w:color w:val="auto"/>
                <w:kern w:val="0"/>
                <w:sz w:val="20"/>
                <w:szCs w:val="20"/>
              </w:rPr>
              <w:t>1</w:t>
            </w:r>
          </w:p>
        </w:tc>
        <w:tc>
          <w:tcPr>
            <w:tcW w:w="940" w:type="dxa"/>
            <w:vMerge w:val="restart"/>
            <w:tcBorders>
              <w:top w:val="nil"/>
              <w:left w:val="nil"/>
              <w:bottom w:val="single" w:color="auto" w:sz="8" w:space="0"/>
              <w:right w:val="single" w:color="auto" w:sz="8" w:space="0"/>
            </w:tcBorders>
            <w:noWrap w:val="0"/>
            <w:vAlign w:val="center"/>
          </w:tcPr>
          <w:p>
            <w:pPr>
              <w:spacing w:line="360" w:lineRule="exact"/>
              <w:rPr>
                <w:rFonts w:ascii="宋体" w:hAnsi="宋体"/>
                <w:color w:val="auto"/>
                <w:szCs w:val="21"/>
              </w:rPr>
            </w:pPr>
            <w:r>
              <w:rPr>
                <w:rFonts w:hint="eastAsia" w:ascii="宋体" w:hAnsi="宋体"/>
                <w:color w:val="auto"/>
                <w:szCs w:val="21"/>
              </w:rPr>
              <w:t>施工组织设计</w:t>
            </w:r>
          </w:p>
        </w:tc>
        <w:tc>
          <w:tcPr>
            <w:tcW w:w="712"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rPr>
                <w:rFonts w:ascii="宋体" w:hAnsi="宋体"/>
                <w:color w:val="auto"/>
                <w:szCs w:val="21"/>
              </w:rPr>
            </w:pPr>
            <w:r>
              <w:rPr>
                <w:rFonts w:hint="eastAsia" w:ascii="宋体" w:hAnsi="宋体"/>
                <w:color w:val="auto"/>
                <w:szCs w:val="21"/>
              </w:rPr>
              <w:t>施工方案与控制措施</w:t>
            </w:r>
          </w:p>
        </w:tc>
        <w:tc>
          <w:tcPr>
            <w:tcW w:w="551"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jc w:val="center"/>
              <w:rPr>
                <w:rFonts w:ascii="宋体" w:hAnsi="宋体"/>
                <w:color w:val="auto"/>
                <w:szCs w:val="21"/>
              </w:rPr>
            </w:pPr>
            <w:r>
              <w:rPr>
                <w:rFonts w:ascii="宋体" w:hAnsi="宋体"/>
                <w:color w:val="auto"/>
                <w:szCs w:val="21"/>
              </w:rPr>
              <w:t>20</w:t>
            </w: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ind w:left="105" w:right="105"/>
              <w:rPr>
                <w:rFonts w:ascii="宋体" w:hAnsi="宋体"/>
                <w:color w:val="auto"/>
                <w:szCs w:val="21"/>
              </w:rPr>
            </w:pPr>
            <w:r>
              <w:rPr>
                <w:rFonts w:hint="eastAsia" w:ascii="宋体" w:hAnsi="宋体"/>
                <w:color w:val="auto"/>
                <w:szCs w:val="21"/>
              </w:rPr>
              <w:t>项目总体概况、质量标准、安全目标等表述清晰、完整；质量管理、安全管理卡控措施清晰；实施与监控措施全面、有效；施工人员、材料组织规划合理、可行，保障措施得力。</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color w:val="auto"/>
                <w:szCs w:val="21"/>
              </w:rPr>
            </w:pPr>
            <w:r>
              <w:rPr>
                <w:rFonts w:ascii="宋体" w:hAnsi="宋体"/>
                <w:color w:val="auto"/>
                <w:szCs w:val="21"/>
              </w:rPr>
              <w:t>18-20</w:t>
            </w:r>
          </w:p>
        </w:tc>
      </w:tr>
      <w:tr>
        <w:tblPrEx>
          <w:tblCellMar>
            <w:top w:w="0" w:type="dxa"/>
            <w:left w:w="0" w:type="dxa"/>
            <w:bottom w:w="0" w:type="dxa"/>
            <w:right w:w="0"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Calibri" w:hAnsi="Calibri" w:cs="Calibri"/>
                <w:color w:val="auto"/>
                <w:kern w:val="0"/>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color w:val="auto"/>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color w:val="auto"/>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jc w:val="center"/>
              <w:rPr>
                <w:rFonts w:ascii="宋体" w:hAnsi="宋体"/>
                <w:color w:val="auto"/>
                <w:szCs w:val="21"/>
              </w:rPr>
            </w:pP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color w:val="auto"/>
                <w:szCs w:val="21"/>
              </w:rPr>
            </w:pPr>
            <w:r>
              <w:rPr>
                <w:rFonts w:hint="eastAsia" w:ascii="宋体" w:hAnsi="宋体"/>
                <w:color w:val="auto"/>
                <w:szCs w:val="21"/>
              </w:rPr>
              <w:t>项目总体概况、质量标准、安全目标等表述较清晰；质量管理、安全管理卡控措施较清晰；实施与监控措施基本可行；施工人员、材料组织规划较合理，保障措施基本可行。</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color w:val="auto"/>
                <w:szCs w:val="21"/>
              </w:rPr>
            </w:pPr>
            <w:r>
              <w:rPr>
                <w:rFonts w:ascii="宋体" w:hAnsi="宋体"/>
                <w:color w:val="auto"/>
                <w:szCs w:val="21"/>
              </w:rPr>
              <w:t>15-17</w:t>
            </w:r>
          </w:p>
        </w:tc>
      </w:tr>
      <w:tr>
        <w:tblPrEx>
          <w:tblCellMar>
            <w:top w:w="0" w:type="dxa"/>
            <w:left w:w="0" w:type="dxa"/>
            <w:bottom w:w="0" w:type="dxa"/>
            <w:right w:w="0" w:type="dxa"/>
          </w:tblCellMar>
        </w:tblPrEx>
        <w:trPr>
          <w:trHeight w:val="25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Calibri" w:hAnsi="Calibri" w:cs="Calibri"/>
                <w:color w:val="auto"/>
                <w:kern w:val="0"/>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color w:val="auto"/>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color w:val="auto"/>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jc w:val="center"/>
              <w:rPr>
                <w:rFonts w:ascii="宋体" w:hAnsi="宋体"/>
                <w:color w:val="auto"/>
                <w:szCs w:val="21"/>
              </w:rPr>
            </w:pP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color w:val="auto"/>
                <w:szCs w:val="21"/>
              </w:rPr>
            </w:pPr>
            <w:r>
              <w:rPr>
                <w:rFonts w:hint="eastAsia" w:ascii="宋体" w:hAnsi="宋体"/>
                <w:color w:val="auto"/>
                <w:szCs w:val="21"/>
              </w:rPr>
              <w:t>项目总体概况、质量标准、安全目标等表述欠清晰；无质量、安全管理卡控措施或卡控措施不全；无实施与监控措施；施工人员、材料组织组织规划欠合理。</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color w:val="auto"/>
                <w:szCs w:val="21"/>
              </w:rPr>
            </w:pPr>
            <w:r>
              <w:rPr>
                <w:rFonts w:ascii="宋体" w:hAnsi="宋体"/>
                <w:color w:val="auto"/>
                <w:szCs w:val="21"/>
              </w:rPr>
              <w:t>12-14</w:t>
            </w:r>
          </w:p>
        </w:tc>
      </w:tr>
      <w:tr>
        <w:tblPrEx>
          <w:tblCellMar>
            <w:top w:w="0" w:type="dxa"/>
            <w:left w:w="0" w:type="dxa"/>
            <w:bottom w:w="0" w:type="dxa"/>
            <w:right w:w="0" w:type="dxa"/>
          </w:tblCellMar>
        </w:tblPrEx>
        <w:trPr>
          <w:trHeight w:val="555" w:hRule="atLeast"/>
          <w:jc w:val="center"/>
        </w:trPr>
        <w:tc>
          <w:tcPr>
            <w:tcW w:w="376" w:type="dxa"/>
            <w:vMerge w:val="restart"/>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rPr>
            </w:pPr>
            <w:r>
              <w:rPr>
                <w:rFonts w:ascii="Calibri" w:hAnsi="Calibri" w:cs="Calibri"/>
                <w:color w:val="auto"/>
                <w:kern w:val="0"/>
                <w:sz w:val="20"/>
                <w:szCs w:val="20"/>
              </w:rPr>
              <w:t>2</w:t>
            </w: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color w:val="auto"/>
                <w:szCs w:val="21"/>
              </w:rPr>
            </w:pPr>
          </w:p>
        </w:tc>
        <w:tc>
          <w:tcPr>
            <w:tcW w:w="712"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rPr>
                <w:rFonts w:ascii="宋体" w:hAnsi="宋体"/>
                <w:color w:val="auto"/>
                <w:szCs w:val="21"/>
              </w:rPr>
            </w:pPr>
            <w:r>
              <w:rPr>
                <w:rFonts w:hint="eastAsia" w:ascii="宋体" w:hAnsi="宋体"/>
                <w:color w:val="auto"/>
                <w:szCs w:val="21"/>
              </w:rPr>
              <w:t>工程进度计划与保证措施</w:t>
            </w:r>
          </w:p>
        </w:tc>
        <w:tc>
          <w:tcPr>
            <w:tcW w:w="551"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jc w:val="center"/>
              <w:rPr>
                <w:rFonts w:ascii="宋体" w:hAnsi="宋体"/>
                <w:color w:val="auto"/>
                <w:szCs w:val="21"/>
              </w:rPr>
            </w:pPr>
            <w:r>
              <w:rPr>
                <w:rFonts w:ascii="宋体" w:hAnsi="宋体"/>
                <w:color w:val="auto"/>
                <w:szCs w:val="21"/>
              </w:rPr>
              <w:t>10</w:t>
            </w: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color w:val="auto"/>
                <w:szCs w:val="21"/>
              </w:rPr>
            </w:pPr>
            <w:r>
              <w:rPr>
                <w:rFonts w:hint="eastAsia" w:ascii="宋体" w:hAnsi="宋体"/>
                <w:color w:val="auto"/>
                <w:szCs w:val="21"/>
              </w:rPr>
              <w:t>总工期及节点工期满足招标文件要求；施工进度计划内容全面，线路清晰、准确、完整，计划编制合理、可行；措施有力、合理、可行。</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color w:val="auto"/>
                <w:szCs w:val="21"/>
              </w:rPr>
            </w:pPr>
            <w:r>
              <w:rPr>
                <w:rFonts w:ascii="宋体" w:hAnsi="宋体"/>
                <w:color w:val="auto"/>
                <w:szCs w:val="21"/>
              </w:rPr>
              <w:t>8</w:t>
            </w:r>
            <w:r>
              <w:rPr>
                <w:rFonts w:hint="eastAsia" w:ascii="宋体" w:hAnsi="宋体"/>
                <w:color w:val="auto"/>
                <w:szCs w:val="21"/>
              </w:rPr>
              <w:t>－</w:t>
            </w:r>
            <w:r>
              <w:rPr>
                <w:rFonts w:ascii="宋体" w:hAnsi="宋体"/>
                <w:color w:val="auto"/>
                <w:szCs w:val="21"/>
              </w:rPr>
              <w:t>10</w:t>
            </w:r>
          </w:p>
        </w:tc>
      </w:tr>
      <w:tr>
        <w:tblPrEx>
          <w:tblCellMar>
            <w:top w:w="0" w:type="dxa"/>
            <w:left w:w="0" w:type="dxa"/>
            <w:bottom w:w="0" w:type="dxa"/>
            <w:right w:w="0" w:type="dxa"/>
          </w:tblCellMar>
        </w:tblPrEx>
        <w:trPr>
          <w:trHeight w:val="45"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ascii="Calibri" w:hAnsi="Calibri" w:cs="Calibri"/>
                <w:color w:val="auto"/>
                <w:kern w:val="0"/>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color w:val="auto"/>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color w:val="auto"/>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color w:val="auto"/>
                <w:szCs w:val="21"/>
              </w:rPr>
            </w:pPr>
          </w:p>
        </w:tc>
        <w:tc>
          <w:tcPr>
            <w:tcW w:w="5106"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color w:val="auto"/>
                <w:szCs w:val="21"/>
              </w:rPr>
            </w:pPr>
            <w:r>
              <w:rPr>
                <w:rFonts w:hint="eastAsia" w:ascii="宋体" w:hAnsi="宋体"/>
                <w:color w:val="auto"/>
                <w:szCs w:val="21"/>
              </w:rPr>
              <w:t>总工期及节点工期满足招标文件要求；施工进度计划内容欠全面，线路欠清晰，计划编制欠合理；措施基本可行。</w:t>
            </w:r>
          </w:p>
        </w:tc>
        <w:tc>
          <w:tcPr>
            <w:tcW w:w="657"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yellow"/>
              </w:rPr>
            </w:pPr>
            <w:r>
              <w:rPr>
                <w:rFonts w:ascii="宋体" w:hAnsi="宋体"/>
                <w:color w:val="auto"/>
                <w:szCs w:val="21"/>
              </w:rPr>
              <w:t>5-7</w:t>
            </w:r>
          </w:p>
        </w:tc>
      </w:tr>
      <w:tr>
        <w:tblPrEx>
          <w:tblCellMar>
            <w:top w:w="0" w:type="dxa"/>
            <w:left w:w="0" w:type="dxa"/>
            <w:bottom w:w="0" w:type="dxa"/>
            <w:right w:w="0" w:type="dxa"/>
          </w:tblCellMar>
        </w:tblPrEx>
        <w:trPr>
          <w:trHeight w:val="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Calibri" w:hAnsi="Calibri" w:eastAsia="宋体" w:cs="Calibri"/>
                <w:color w:val="auto"/>
                <w:kern w:val="0"/>
                <w:szCs w:val="21"/>
                <w:lang w:val="en-US" w:eastAsia="zh-CN"/>
              </w:rPr>
            </w:pPr>
            <w:r>
              <w:rPr>
                <w:rFonts w:hint="eastAsia" w:ascii="Calibri" w:hAnsi="Calibri" w:cs="Calibri"/>
                <w:color w:val="auto"/>
                <w:kern w:val="0"/>
                <w:szCs w:val="21"/>
                <w:lang w:val="en-US" w:eastAsia="zh-CN"/>
              </w:rPr>
              <w:t>3</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Cs w:val="21"/>
                <w:lang w:eastAsia="zh-CN"/>
              </w:rPr>
            </w:pPr>
            <w:r>
              <w:rPr>
                <w:rFonts w:hint="eastAsia" w:ascii="宋体" w:hAnsi="宋体"/>
                <w:color w:val="auto"/>
                <w:szCs w:val="21"/>
                <w:lang w:eastAsia="zh-CN"/>
              </w:rPr>
              <w:t>合计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30</w:t>
            </w:r>
          </w:p>
        </w:tc>
        <w:tc>
          <w:tcPr>
            <w:tcW w:w="51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ordWrap w:val="0"/>
              <w:spacing w:line="360" w:lineRule="exact"/>
              <w:ind w:left="105" w:right="105"/>
              <w:rPr>
                <w:rFonts w:hint="eastAsia" w:ascii="宋体" w:hAnsi="宋体"/>
                <w:color w:val="auto"/>
                <w:szCs w:val="21"/>
              </w:rPr>
            </w:pPr>
          </w:p>
        </w:tc>
        <w:tc>
          <w:tcPr>
            <w:tcW w:w="6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color w:val="auto"/>
                <w:szCs w:val="21"/>
              </w:rPr>
            </w:pPr>
          </w:p>
        </w:tc>
      </w:tr>
    </w:tbl>
    <w:p>
      <w:pPr>
        <w:rPr>
          <w:rFonts w:hint="eastAsia" w:ascii="黑体" w:hAnsi="黑体" w:eastAsia="黑体" w:cs="黑体"/>
          <w:color w:val="auto"/>
          <w:sz w:val="28"/>
          <w:szCs w:val="28"/>
        </w:rPr>
        <w:sectPr>
          <w:pgSz w:w="11906" w:h="16838"/>
          <w:pgMar w:top="1191" w:right="1417" w:bottom="1191" w:left="1191" w:header="851" w:footer="851" w:gutter="0"/>
          <w:pgNumType w:fmt="decimal"/>
          <w:cols w:space="720" w:num="1"/>
          <w:docGrid w:linePitch="312" w:charSpace="0"/>
        </w:sectPr>
      </w:pPr>
    </w:p>
    <w:p>
      <w:pP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rPr>
        <w:t>附表</w:t>
      </w:r>
      <w:r>
        <w:rPr>
          <w:rFonts w:hint="eastAsia" w:ascii="黑体" w:hAnsi="黑体" w:eastAsia="黑体" w:cs="黑体"/>
          <w:color w:val="auto"/>
          <w:sz w:val="28"/>
          <w:szCs w:val="28"/>
          <w:lang w:val="en-US" w:eastAsia="zh-CN"/>
        </w:rPr>
        <w:t>4</w:t>
      </w:r>
    </w:p>
    <w:p>
      <w:pPr>
        <w:adjustRightInd w:val="0"/>
        <w:snapToGrid w:val="0"/>
        <w:spacing w:line="400" w:lineRule="atLeast"/>
        <w:jc w:val="center"/>
        <w:rPr>
          <w:rFonts w:hint="eastAsia" w:ascii="宋体" w:hAnsi="宋体"/>
          <w:b/>
          <w:color w:val="auto"/>
          <w:sz w:val="28"/>
          <w:szCs w:val="28"/>
        </w:rPr>
      </w:pPr>
      <w:r>
        <w:rPr>
          <w:rFonts w:hint="eastAsia" w:ascii="宋体" w:hAnsi="宋体" w:cs="宋体"/>
          <w:b/>
          <w:color w:val="auto"/>
          <w:sz w:val="28"/>
          <w:szCs w:val="28"/>
        </w:rPr>
        <w:t>报价评分标准</w:t>
      </w:r>
      <w:r>
        <w:rPr>
          <w:rFonts w:hint="eastAsia" w:ascii="宋体" w:hAnsi="宋体"/>
          <w:b/>
          <w:color w:val="auto"/>
          <w:sz w:val="28"/>
          <w:szCs w:val="28"/>
        </w:rPr>
        <w:t>（总分5</w:t>
      </w:r>
      <w:r>
        <w:rPr>
          <w:rFonts w:ascii="宋体" w:hAnsi="宋体"/>
          <w:b/>
          <w:color w:val="auto"/>
          <w:sz w:val="28"/>
          <w:szCs w:val="28"/>
        </w:rPr>
        <w:t>0</w:t>
      </w:r>
      <w:r>
        <w:rPr>
          <w:rFonts w:hint="eastAsia" w:ascii="宋体" w:hAnsi="宋体"/>
          <w:b/>
          <w:color w:val="auto"/>
          <w:sz w:val="28"/>
          <w:szCs w:val="28"/>
        </w:rPr>
        <w:t>分）</w:t>
      </w:r>
    </w:p>
    <w:p>
      <w:pPr>
        <w:pStyle w:val="2"/>
        <w:rPr>
          <w:color w:val="auto"/>
        </w:rPr>
      </w:pP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4"/>
        <w:gridCol w:w="4033"/>
        <w:gridCol w:w="37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exact"/>
          <w:jc w:val="center"/>
        </w:trPr>
        <w:tc>
          <w:tcPr>
            <w:tcW w:w="694" w:type="dxa"/>
            <w:tcBorders>
              <w:top w:val="single" w:color="auto" w:sz="12" w:space="0"/>
              <w:left w:val="single" w:color="auto" w:sz="12" w:space="0"/>
              <w:bottom w:val="single" w:color="auto" w:sz="6" w:space="0"/>
              <w:right w:val="single" w:color="auto" w:sz="6" w:space="0"/>
            </w:tcBorders>
            <w:vAlign w:val="center"/>
          </w:tcPr>
          <w:p>
            <w:pPr>
              <w:jc w:val="center"/>
              <w:rPr>
                <w:rFonts w:ascii="宋体" w:hAnsi="宋体" w:cs="宋体"/>
                <w:b/>
                <w:color w:val="auto"/>
                <w:sz w:val="24"/>
              </w:rPr>
            </w:pPr>
            <w:r>
              <w:rPr>
                <w:rFonts w:hint="eastAsia" w:ascii="宋体" w:hAnsi="宋体" w:cs="宋体"/>
                <w:b/>
                <w:color w:val="auto"/>
                <w:sz w:val="24"/>
              </w:rPr>
              <w:t>序号</w:t>
            </w:r>
          </w:p>
        </w:tc>
        <w:tc>
          <w:tcPr>
            <w:tcW w:w="4033"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cs="宋体"/>
                <w:b/>
                <w:color w:val="auto"/>
                <w:sz w:val="24"/>
              </w:rPr>
            </w:pPr>
            <w:r>
              <w:rPr>
                <w:rFonts w:hint="eastAsia" w:ascii="宋体" w:hAnsi="宋体" w:cs="宋体"/>
                <w:b/>
                <w:color w:val="auto"/>
                <w:sz w:val="24"/>
              </w:rPr>
              <w:t>项目</w:t>
            </w:r>
          </w:p>
        </w:tc>
        <w:tc>
          <w:tcPr>
            <w:tcW w:w="3777" w:type="dxa"/>
            <w:tcBorders>
              <w:top w:val="single" w:color="auto" w:sz="12" w:space="0"/>
              <w:left w:val="single" w:color="auto" w:sz="6" w:space="0"/>
              <w:bottom w:val="single" w:color="auto" w:sz="6" w:space="0"/>
              <w:right w:val="single" w:color="auto" w:sz="12" w:space="0"/>
            </w:tcBorders>
            <w:vAlign w:val="center"/>
          </w:tcPr>
          <w:p>
            <w:pPr>
              <w:jc w:val="center"/>
              <w:rPr>
                <w:rFonts w:ascii="宋体" w:hAnsi="宋体" w:cs="宋体"/>
                <w:b/>
                <w:color w:val="auto"/>
                <w:sz w:val="24"/>
              </w:rPr>
            </w:pPr>
            <w:r>
              <w:rPr>
                <w:rFonts w:hint="eastAsia" w:ascii="宋体" w:hAnsi="宋体" w:cs="宋体"/>
                <w:b/>
                <w:color w:val="auto"/>
                <w:sz w:val="24"/>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6"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color w:val="auto"/>
                <w:szCs w:val="21"/>
              </w:rPr>
            </w:pPr>
            <w:r>
              <w:rPr>
                <w:rFonts w:hint="eastAsia" w:ascii="宋体" w:hAnsi="宋体" w:cs="宋体"/>
                <w:color w:val="auto"/>
                <w:szCs w:val="21"/>
              </w:rPr>
              <w:t>1</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4"/>
              </w:rPr>
            </w:pPr>
            <w:r>
              <w:rPr>
                <w:rFonts w:hint="eastAsia" w:ascii="宋体" w:hAnsi="宋体" w:cs="宋体"/>
                <w:color w:val="auto"/>
                <w:kern w:val="0"/>
                <w:position w:val="-26"/>
                <w:szCs w:val="21"/>
              </w:rPr>
              <w:object>
                <v:shape id="_x0000_i1025" o:spt="75" type="#_x0000_t75" style="height:31.5pt;width:123.7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auto"/>
                <w:szCs w:val="21"/>
              </w:rPr>
            </w:pPr>
            <w:r>
              <w:rPr>
                <w:rFonts w:hint="eastAsia" w:ascii="宋体" w:hAnsi="宋体" w:cs="宋体"/>
                <w:color w:val="auto"/>
                <w:szCs w:val="21"/>
              </w:rPr>
              <w:t>从0开始每升1%减2分，即</w:t>
            </w:r>
          </w:p>
          <w:p>
            <w:pPr>
              <w:jc w:val="center"/>
              <w:rPr>
                <w:rFonts w:ascii="仿宋" w:hAnsi="仿宋" w:eastAsia="仿宋" w:cs="仿宋"/>
                <w:color w:val="auto"/>
                <w:szCs w:val="21"/>
              </w:rPr>
            </w:pPr>
            <w:r>
              <w:rPr>
                <w:rFonts w:hint="eastAsia" w:ascii="宋体" w:hAnsi="宋体" w:cs="宋体"/>
                <w:color w:val="auto"/>
                <w:szCs w:val="21"/>
              </w:rPr>
              <w:t>100-2*100X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color w:val="auto"/>
                <w:szCs w:val="21"/>
              </w:rPr>
            </w:pPr>
            <w:r>
              <w:rPr>
                <w:rFonts w:hint="eastAsia" w:ascii="宋体" w:hAnsi="宋体" w:cs="宋体"/>
                <w:color w:val="auto"/>
                <w:szCs w:val="21"/>
              </w:rPr>
              <w:t>2</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 w:val="24"/>
              </w:rPr>
            </w:pPr>
            <w:r>
              <w:rPr>
                <w:rFonts w:hint="eastAsia" w:ascii="宋体" w:hAnsi="宋体" w:cs="宋体"/>
                <w:color w:val="auto"/>
                <w:szCs w:val="21"/>
              </w:rPr>
              <w:t>谈判报价＝基准价</w: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auto"/>
                <w:szCs w:val="21"/>
              </w:rPr>
            </w:pPr>
            <w:r>
              <w:rPr>
                <w:rFonts w:hint="eastAsia" w:ascii="宋体" w:hAnsi="宋体" w:cs="宋体"/>
                <w:color w:val="auto"/>
                <w:szCs w:val="21"/>
              </w:rPr>
              <w:t>100分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color w:val="auto"/>
                <w:szCs w:val="21"/>
              </w:rPr>
            </w:pPr>
            <w:r>
              <w:rPr>
                <w:rFonts w:hint="eastAsia" w:ascii="宋体" w:hAnsi="宋体" w:cs="宋体"/>
                <w:color w:val="auto"/>
                <w:szCs w:val="21"/>
              </w:rPr>
              <w:t>3</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4"/>
              </w:rPr>
            </w:pPr>
            <w:r>
              <w:rPr>
                <w:rFonts w:hint="eastAsia" w:ascii="宋体" w:hAnsi="宋体" w:cs="宋体"/>
                <w:color w:val="auto"/>
                <w:kern w:val="0"/>
                <w:position w:val="-26"/>
                <w:szCs w:val="21"/>
              </w:rPr>
              <w:object>
                <v:shape id="_x0000_i1026" o:spt="75" type="#_x0000_t75" style="height:31.5pt;width:157.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auto"/>
                <w:szCs w:val="21"/>
              </w:rPr>
            </w:pPr>
            <w:r>
              <w:rPr>
                <w:rFonts w:hint="eastAsia" w:ascii="宋体" w:hAnsi="宋体" w:cs="宋体"/>
                <w:color w:val="auto"/>
                <w:szCs w:val="21"/>
              </w:rPr>
              <w:t>从0开始每降1%加1分，即</w:t>
            </w:r>
          </w:p>
          <w:p>
            <w:pPr>
              <w:jc w:val="center"/>
              <w:rPr>
                <w:rFonts w:ascii="仿宋" w:hAnsi="仿宋" w:eastAsia="仿宋" w:cs="仿宋"/>
                <w:color w:val="auto"/>
                <w:szCs w:val="21"/>
              </w:rPr>
            </w:pPr>
            <w:r>
              <w:rPr>
                <w:rFonts w:hint="eastAsia" w:ascii="宋体" w:hAnsi="宋体" w:cs="宋体"/>
                <w:color w:val="auto"/>
                <w:szCs w:val="21"/>
              </w:rPr>
              <w:t>100+100X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exact"/>
          <w:jc w:val="center"/>
        </w:trPr>
        <w:tc>
          <w:tcPr>
            <w:tcW w:w="694"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s="宋体"/>
                <w:color w:val="auto"/>
                <w:szCs w:val="21"/>
              </w:rPr>
            </w:pPr>
            <w:r>
              <w:rPr>
                <w:rFonts w:hint="eastAsia" w:ascii="宋体" w:hAnsi="宋体" w:cs="宋体"/>
                <w:color w:val="auto"/>
                <w:szCs w:val="21"/>
              </w:rPr>
              <w:t>4</w:t>
            </w:r>
          </w:p>
        </w:tc>
        <w:tc>
          <w:tcPr>
            <w:tcW w:w="4033" w:type="dxa"/>
            <w:tcBorders>
              <w:top w:val="single" w:color="auto" w:sz="6" w:space="0"/>
              <w:left w:val="single" w:color="auto" w:sz="6" w:space="0"/>
              <w:bottom w:val="single" w:color="auto" w:sz="12" w:space="0"/>
              <w:right w:val="single" w:color="auto" w:sz="6" w:space="0"/>
            </w:tcBorders>
            <w:vAlign w:val="center"/>
          </w:tcPr>
          <w:p>
            <w:pPr>
              <w:jc w:val="center"/>
              <w:rPr>
                <w:rFonts w:ascii="仿宋" w:hAnsi="仿宋" w:eastAsia="仿宋" w:cs="仿宋"/>
                <w:color w:val="auto"/>
                <w:sz w:val="24"/>
              </w:rPr>
            </w:pPr>
            <w:r>
              <w:rPr>
                <w:rFonts w:hint="eastAsia" w:ascii="宋体" w:hAnsi="宋体" w:cs="宋体"/>
                <w:color w:val="auto"/>
                <w:kern w:val="0"/>
                <w:position w:val="-26"/>
                <w:szCs w:val="21"/>
              </w:rPr>
              <w:object>
                <v:shape id="_x0000_i1027" o:spt="75" type="#_x0000_t75" style="height:30pt;width:139.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p>
        </w:tc>
        <w:tc>
          <w:tcPr>
            <w:tcW w:w="3777"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auto"/>
                <w:szCs w:val="21"/>
              </w:rPr>
            </w:pPr>
            <w:r>
              <w:rPr>
                <w:rFonts w:hint="eastAsia" w:ascii="宋体" w:hAnsi="宋体" w:cs="宋体"/>
                <w:color w:val="auto"/>
                <w:szCs w:val="21"/>
              </w:rPr>
              <w:t>从-3%开始每降1%减1分，即</w:t>
            </w:r>
          </w:p>
          <w:p>
            <w:pPr>
              <w:jc w:val="center"/>
              <w:rPr>
                <w:rFonts w:ascii="仿宋" w:hAnsi="仿宋" w:eastAsia="仿宋" w:cs="仿宋"/>
                <w:color w:val="auto"/>
                <w:szCs w:val="21"/>
              </w:rPr>
            </w:pPr>
            <w:r>
              <w:rPr>
                <w:rFonts w:hint="eastAsia" w:ascii="宋体" w:hAnsi="宋体" w:cs="宋体"/>
                <w:color w:val="auto"/>
                <w:szCs w:val="21"/>
              </w:rPr>
              <w:t>103-（100X-3）</w:t>
            </w:r>
          </w:p>
        </w:tc>
      </w:tr>
    </w:tbl>
    <w:p>
      <w:pPr>
        <w:shd w:val="clear" w:color="auto" w:fill="FFFFFF"/>
        <w:ind w:right="-332" w:rightChars="-158" w:firstLine="422" w:firstLineChars="200"/>
        <w:rPr>
          <w:rFonts w:ascii="宋体" w:hAnsi="宋体" w:cs="宋体"/>
          <w:color w:val="auto"/>
          <w:kern w:val="0"/>
          <w:szCs w:val="21"/>
        </w:rPr>
      </w:pPr>
      <w:r>
        <w:rPr>
          <w:rFonts w:hint="eastAsia" w:ascii="宋体" w:hAnsi="宋体" w:cs="宋体"/>
          <w:b/>
          <w:bCs/>
          <w:color w:val="auto"/>
          <w:kern w:val="0"/>
          <w:szCs w:val="21"/>
        </w:rPr>
        <w:t>备注：</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1</w:t>
      </w:r>
      <w:r>
        <w:rPr>
          <w:rFonts w:hint="eastAsia" w:ascii="宋体" w:hAnsi="宋体" w:cs="宋体"/>
          <w:color w:val="auto"/>
          <w:szCs w:val="21"/>
        </w:rPr>
        <w:t>、当谈判单位的谈判报价低于（不含）进入详细评审的所有有效谈判报价的算术平均值90%时，由谈判评审小组启动成本评审工作，以判别该谈判单位的谈判报价是否低于其成本。谈判评审小组应当要求该谈判单位作出书面说明并提供相应的证明材料。谈判单位不能合理说明或者不能提供相应证明材料的，由谈判评审小组认定该谈判单位以低于成本报价竞标，并否决其投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2、评审基准价计算方法：</w:t>
      </w:r>
    </w:p>
    <w:p>
      <w:pPr>
        <w:spacing w:line="360" w:lineRule="auto"/>
        <w:ind w:firstLine="420" w:firstLineChars="200"/>
        <w:rPr>
          <w:rFonts w:ascii="宋体" w:hAnsi="宋体" w:cs="宋体"/>
          <w:color w:val="auto"/>
          <w:szCs w:val="21"/>
        </w:rPr>
      </w:pPr>
      <w:r>
        <w:rPr>
          <w:rFonts w:hint="eastAsia" w:ascii="宋体" w:hAnsi="宋体" w:cs="宋体"/>
          <w:color w:val="auto"/>
          <w:szCs w:val="21"/>
        </w:rPr>
        <w:t>（1）进入详细评审且未低于成本报价的谈判单位，均进入最终报价的算术平均。</w:t>
      </w:r>
    </w:p>
    <w:p>
      <w:pPr>
        <w:spacing w:line="360" w:lineRule="auto"/>
        <w:ind w:firstLine="420" w:firstLineChars="200"/>
        <w:rPr>
          <w:rFonts w:ascii="宋体" w:hAnsi="宋体" w:cs="宋体"/>
          <w:color w:val="auto"/>
          <w:szCs w:val="21"/>
        </w:rPr>
      </w:pPr>
      <w:r>
        <w:rPr>
          <w:rFonts w:hint="eastAsia" w:ascii="宋体" w:hAnsi="宋体" w:cs="宋体"/>
          <w:color w:val="auto"/>
          <w:szCs w:val="21"/>
        </w:rPr>
        <w:t>（2）进入基准价计算的谈判单位为：符合本谈判文件规定，且谈判报价在所有进入最终报价算术平均值的±10%以内的</w:t>
      </w:r>
      <w:r>
        <w:rPr>
          <w:rFonts w:hint="eastAsia" w:ascii="宋体" w:hAnsi="宋体" w:cs="宋体"/>
          <w:bCs/>
          <w:color w:val="auto"/>
          <w:szCs w:val="21"/>
        </w:rPr>
        <w:t>投标人</w:t>
      </w:r>
      <w:r>
        <w:rPr>
          <w:rFonts w:hint="eastAsia" w:ascii="宋体" w:hAnsi="宋体" w:cs="宋体"/>
          <w:color w:val="auto"/>
          <w:szCs w:val="21"/>
        </w:rPr>
        <w:t>。</w:t>
      </w:r>
    </w:p>
    <w:p>
      <w:pPr>
        <w:shd w:val="clear" w:color="auto" w:fill="FFFFFF"/>
        <w:spacing w:line="360" w:lineRule="auto"/>
        <w:ind w:right="-332" w:rightChars="-158" w:firstLine="420" w:firstLineChars="200"/>
        <w:rPr>
          <w:rFonts w:ascii="宋体" w:hAnsi="宋体" w:cs="宋体"/>
          <w:color w:val="auto"/>
          <w:kern w:val="0"/>
          <w:szCs w:val="21"/>
        </w:rPr>
      </w:pPr>
      <w:r>
        <w:rPr>
          <w:rFonts w:hint="eastAsia" w:ascii="宋体" w:hAnsi="宋体" w:cs="宋体"/>
          <w:color w:val="auto"/>
          <w:kern w:val="0"/>
          <w:szCs w:val="21"/>
        </w:rPr>
        <w:t xml:space="preserve">基准价计算公式： </w:t>
      </w:r>
    </w:p>
    <w:p>
      <w:pPr>
        <w:shd w:val="clear" w:color="auto" w:fill="FFFFFF"/>
        <w:spacing w:line="360" w:lineRule="auto"/>
        <w:ind w:firstLine="2205" w:firstLineChars="1050"/>
        <w:rPr>
          <w:rFonts w:ascii="宋体" w:hAnsi="宋体" w:cs="宋体"/>
          <w:color w:val="auto"/>
          <w:kern w:val="0"/>
          <w:szCs w:val="21"/>
        </w:rPr>
      </w:pPr>
      <w:bookmarkStart w:id="67" w:name="_Toc434"/>
      <w:r>
        <w:rPr>
          <w:rFonts w:hint="eastAsia" w:ascii="宋体" w:hAnsi="宋体" w:cs="宋体"/>
          <w:color w:val="auto"/>
          <w:kern w:val="0"/>
          <w:szCs w:val="21"/>
        </w:rPr>
        <w:t>A1+A2+……＋Ai+……＋An</w:t>
      </w:r>
      <w:bookmarkEnd w:id="67"/>
    </w:p>
    <w:p>
      <w:pPr>
        <w:shd w:val="clear" w:color="auto" w:fill="FFFFFF"/>
        <w:spacing w:line="360" w:lineRule="auto"/>
        <w:ind w:right="-332" w:rightChars="-158" w:firstLine="1050" w:firstLineChars="500"/>
        <w:rPr>
          <w:rFonts w:ascii="宋体" w:hAnsi="宋体" w:cs="宋体"/>
          <w:color w:val="auto"/>
          <w:kern w:val="0"/>
          <w:szCs w:val="21"/>
        </w:rPr>
      </w:pPr>
      <w:r>
        <w:rPr>
          <w:rFonts w:ascii="Calibri" w:hAnsi="Calibri"/>
          <w:color w:val="auto"/>
        </w:rPr>
        <mc:AlternateContent>
          <mc:Choice Requires="wps">
            <w:drawing>
              <wp:anchor distT="0" distB="0" distL="114300" distR="114300" simplePos="0" relativeHeight="251668480" behindDoc="0" locked="0" layoutInCell="1" allowOverlap="1">
                <wp:simplePos x="0" y="0"/>
                <wp:positionH relativeFrom="column">
                  <wp:posOffset>1505585</wp:posOffset>
                </wp:positionH>
                <wp:positionV relativeFrom="paragraph">
                  <wp:posOffset>87630</wp:posOffset>
                </wp:positionV>
                <wp:extent cx="18288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8.55pt;margin-top:6.9pt;height:0pt;width:144pt;z-index:251668480;mso-width-relative:page;mso-height-relative:page;" filled="f" stroked="t" coordsize="21600,21600" o:gfxdata="UEsDBAoAAAAAAIdO4kAAAAAAAAAAAAAAAAAEAAAAZHJzL1BLAwQUAAAACACHTuJAPa42EtUAAAAJ&#10;AQAADwAAAGRycy9kb3ducmV2LnhtbE2PO0/DQBCEeyT+w2mRaKLk/FAIMj6nANzRkIBoN77FtvDt&#10;Ob7LA349iyig3JlPszPl+uwGdaQp9J4NpIsEFHHjbc+tgZdtPb8FFSKyxcEzGfikAOvq8qLEwvoT&#10;P9NxE1slIRwKNNDFOBZah6Yjh2HhR2Lx3v3kMMo5tdpOeJJwN+gsSW60w57lQ4cj3XfUfGwOzkCo&#10;X2lff82aWfKWt56y/cPTIxpzfZUmd6AineMfDD/1pTpU0mnnD2yDGgxk+SoVVIxcJgiwzJYi7H4F&#10;XZX6/4LqG1BLAwQUAAAACACHTuJAGhUrt/IBAADoAwAADgAAAGRycy9lMm9Eb2MueG1srVO9jhMx&#10;EO6ReAfLPdkk6FBYZXPFhaNBEAl4gIntzVrynzy+bPISvAASHVSU9LwNd4/B2LsXjqNJwRbesWfm&#10;m/k+j5eXB2vYXkXU3jV8NplyppzwUrtdwz9+uH624AwTOAnGO9Xwo0J+uXr6ZNmHWs19541UkRGI&#10;w7oPDe9SCnVVoeiUBZz4oBw5Wx8tJNrGXSUj9IRuTTWfTl9UvY8yRC8UIp2uBycfEeM5gL5ttVBr&#10;L26scmlAjcpAIkrY6YB8VbptWyXSu7ZFlZhpODFNZaUiZG/zWq2WUO8ihE6LsQU4p4VHnCxoR0VP&#10;UGtIwG6i/gfKahE9+jZNhLfVQKQoQixm00favO8gqMKFpMZwEh3/H6x4u99EpiVNwnPOHFi68dvP&#10;P359+nr38wutt9+/MfKQTH3AmqKv3CaOOwybmDkf2mjzn9iwQ5H2eJJWHRITdDhbzBeLKaku7n3V&#10;n8QQMb1W3rJsNNxol1lDDfs3mKgYhd6H5GPjWN/wlxfzC4IDGsGWrp5MG4gGul3JRW+0vNbG5AyM&#10;u+2ViWwPeQzKlykR7l9hucgasBviimsYkE6BfOUkS8dA+jh6Fzy3YJXkzCh6RtkiQKgTaHNOJJU2&#10;LieoMqQjz6zxoGq2tl4ei9hV3tEAlI7HYc0T9nBP9sMHu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a42EtUAAAAJAQAADwAAAAAAAAABACAAAAAiAAAAZHJzL2Rvd25yZXYueG1sUEsBAhQAFAAA&#10;AAgAh07iQBoVK7fyAQAA6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cs="宋体"/>
          <w:color w:val="auto"/>
          <w:kern w:val="0"/>
          <w:szCs w:val="21"/>
        </w:rPr>
        <w:t xml:space="preserve">基准价=                               </w:t>
      </w:r>
    </w:p>
    <w:p>
      <w:pPr>
        <w:shd w:val="clear" w:color="auto" w:fill="FFFFFF"/>
        <w:spacing w:line="360" w:lineRule="auto"/>
        <w:ind w:firstLine="1050" w:firstLineChars="500"/>
        <w:rPr>
          <w:rFonts w:ascii="宋体" w:hAnsi="宋体" w:cs="宋体"/>
          <w:color w:val="auto"/>
          <w:kern w:val="0"/>
          <w:szCs w:val="21"/>
        </w:rPr>
      </w:pPr>
      <w:r>
        <w:rPr>
          <w:rFonts w:hint="eastAsia" w:ascii="宋体" w:hAnsi="宋体" w:cs="宋体"/>
          <w:color w:val="auto"/>
          <w:kern w:val="0"/>
          <w:szCs w:val="21"/>
        </w:rPr>
        <w:t xml:space="preserve">                     </w:t>
      </w:r>
      <w:bookmarkStart w:id="68" w:name="_Toc20973"/>
      <w:r>
        <w:rPr>
          <w:rFonts w:hint="eastAsia" w:ascii="宋体" w:hAnsi="宋体" w:cs="宋体"/>
          <w:color w:val="auto"/>
          <w:kern w:val="0"/>
          <w:szCs w:val="21"/>
        </w:rPr>
        <w:t>N</w:t>
      </w:r>
      <w:bookmarkEnd w:id="68"/>
    </w:p>
    <w:p>
      <w:pPr>
        <w:spacing w:line="360" w:lineRule="auto"/>
        <w:ind w:firstLine="840" w:firstLineChars="400"/>
        <w:rPr>
          <w:rFonts w:ascii="宋体" w:hAnsi="宋体" w:cs="宋体"/>
          <w:color w:val="auto"/>
          <w:szCs w:val="21"/>
        </w:rPr>
      </w:pPr>
      <w:r>
        <w:rPr>
          <w:rFonts w:hint="eastAsia" w:ascii="宋体" w:hAnsi="宋体" w:cs="宋体"/>
          <w:color w:val="auto"/>
          <w:szCs w:val="21"/>
        </w:rPr>
        <w:t>i=1…i…n； Ai为进入基准价计算的报价； N为进入基准价计算的报价的个数。</w:t>
      </w:r>
    </w:p>
    <w:p>
      <w:pPr>
        <w:shd w:val="clear" w:color="auto" w:fill="FFFFFF"/>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3、X为谈判报价升、降率百分点数的绝对值，即</w:t>
      </w:r>
    </w:p>
    <w:p>
      <w:pPr>
        <w:shd w:val="clear" w:color="auto" w:fill="FFFFFF"/>
        <w:adjustRightInd w:val="0"/>
        <w:snapToGrid w:val="0"/>
        <w:spacing w:line="360" w:lineRule="auto"/>
        <w:rPr>
          <w:rFonts w:ascii="宋体" w:hAnsi="宋体" w:cs="宋体"/>
          <w:color w:val="auto"/>
          <w:kern w:val="0"/>
          <w:szCs w:val="21"/>
        </w:rPr>
      </w:pPr>
      <w:r>
        <w:rPr>
          <w:rFonts w:ascii="Calibri" w:hAnsi="Calibri"/>
          <w:color w:val="auto"/>
        </w:rPr>
        <mc:AlternateContent>
          <mc:Choice Requires="wps">
            <w:drawing>
              <wp:anchor distT="0" distB="0" distL="114300" distR="114300" simplePos="0" relativeHeight="251671552" behindDoc="0" locked="0" layoutInCell="1" allowOverlap="1">
                <wp:simplePos x="0" y="0"/>
                <wp:positionH relativeFrom="column">
                  <wp:posOffset>2142490</wp:posOffset>
                </wp:positionH>
                <wp:positionV relativeFrom="paragraph">
                  <wp:posOffset>60325</wp:posOffset>
                </wp:positionV>
                <wp:extent cx="635" cy="594360"/>
                <wp:effectExtent l="4445" t="0" r="13970" b="15240"/>
                <wp:wrapNone/>
                <wp:docPr id="12" name="直接连接符 12"/>
                <wp:cNvGraphicFramePr/>
                <a:graphic xmlns:a="http://schemas.openxmlformats.org/drawingml/2006/main">
                  <a:graphicData uri="http://schemas.microsoft.com/office/word/2010/wordprocessingShape">
                    <wps:wsp>
                      <wps:cNvCnPr/>
                      <wps:spPr>
                        <a:xfrm flipH="1" flipV="1">
                          <a:off x="0" y="0"/>
                          <a:ext cx="635" cy="5943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168.7pt;margin-top:4.75pt;height:46.8pt;width:0.05pt;z-index:251671552;mso-width-relative:page;mso-height-relative:page;" filled="f" stroked="t" coordsize="21600,21600" o:gfxdata="UEsDBAoAAAAAAIdO4kAAAAAAAAAAAAAAAAAEAAAAZHJzL1BLAwQUAAAACACHTuJATVkq5dMAAAAJ&#10;AQAADwAAAGRycy9kb3ducmV2LnhtbE2PwU7DMBBE70j8g7VI3KgdAiSEOD1U6ge0oIqjGy9xhL0O&#10;sduUv2c5wW1HM5p5264vwYszzmmMpKFYKRBIfbQjDRreXrd3NYiUDVnjI6GGb0yw7q6vWtPYuNAO&#10;z/s8CC6h1BgNLuepkTL1DoNJqzghsfcR52Ayy3mQdjYLlwcv75V6ksGMxAvOTLhx2H/uT0GDr1X9&#10;ddhUy/vO8sr24B1Vhda3N4V6AZHxkv/C8IvP6NAx0zGeyCbhNZRl9cBRDc+PINhnzceRg6osQHat&#10;/P9B9wNQSwMEFAAAAAgAh07iQPEx2rIBAgAA/QMAAA4AAABkcnMvZTJvRG9jLnhtbK1TvY4TMRDu&#10;kXgHyz3ZXI5E3CqbKy4cFAgiwdFPbG/Wkv/k8WWTl+AFkOigoqTnbTge48beEB1HkwIX1tgz/jzf&#10;58/zy501bKsiau8afjYac6ac8FK7TcNvPlw/e8EZJnASjHeq4XuF/HLx9Mm8D7Wa+M4bqSIjEId1&#10;HxrepRTqqkLRKQs48kE5SrY+Wki0jJtKRugJ3ZpqMh7Pqt5HGaIXCpF2l0OSHxDjKYC+bbVQSy9u&#10;rXJpQI3KQCJK2OmAfFG6bVsl0ru2RZWYaTgxTWWmSyhe57lazKHeRAidFocW4JQWHnGyoB1deoRa&#10;QgJ2G/U/UFaL6NG3aSS8rQYiRRFicTZ+pM37DoIqXEhqDEfR8f/BirfbVWRakhMmnDmw9OJ3n3/8&#10;+vT1988vNN99/8YoQzL1AWuqvnKreFhhWMXMeddGy1qjw2tC4SX6mKOcI4ZsV+TeH+VWu8QEbc7O&#10;p5wJ2p9ePD+flbeoBrR8MkRMr5S3LAcNN9plKaCG7RtM1AGV/inJ28axvuEX00nGBPJlS36g0Abi&#10;hm5TzqI3Wl5rY/IJjJv1lYlsC9kbZWSehPtXWb5kCdgNdSU1uKZTIF86ydI+kGiOPgvPLVglOTOK&#10;/laOCBDqBNqcUklXG5cPqOLcA88s/CB1jtZe7ssLVHlFrigdHxycbfdwTfHDX7u4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1ZKuXTAAAACQEAAA8AAAAAAAAAAQAgAAAAIgAAAGRycy9kb3ducmV2&#10;LnhtbFBLAQIUABQAAAAIAIdO4kDxMdqyAQIAAP0DAAAOAAAAAAAAAAEAIAAAACIBAABkcnMvZTJv&#10;RG9jLnhtbFBLBQYAAAAABgAGAFkBAACVBQAAAAA=&#10;">
                <v:fill on="f" focussize="0,0"/>
                <v:stroke color="#000000" joinstyle="round"/>
                <v:imagedata o:title=""/>
                <o:lock v:ext="edit" aspectratio="f"/>
              </v:line>
            </w:pict>
          </mc:Fallback>
        </mc:AlternateContent>
      </w:r>
      <w:r>
        <w:rPr>
          <w:rFonts w:ascii="Calibri" w:hAnsi="Calibri"/>
          <w:color w:val="auto"/>
        </w:rPr>
        <mc:AlternateContent>
          <mc:Choice Requires="wps">
            <w:drawing>
              <wp:anchor distT="0" distB="0" distL="114300" distR="114300" simplePos="0" relativeHeight="251669504" behindDoc="0" locked="0" layoutInCell="1" allowOverlap="1">
                <wp:simplePos x="0" y="0"/>
                <wp:positionH relativeFrom="column">
                  <wp:posOffset>845820</wp:posOffset>
                </wp:positionH>
                <wp:positionV relativeFrom="paragraph">
                  <wp:posOffset>53340</wp:posOffset>
                </wp:positionV>
                <wp:extent cx="635" cy="610235"/>
                <wp:effectExtent l="4445" t="0" r="13970" b="18415"/>
                <wp:wrapNone/>
                <wp:docPr id="11" name="直接连接符 11"/>
                <wp:cNvGraphicFramePr/>
                <a:graphic xmlns:a="http://schemas.openxmlformats.org/drawingml/2006/main">
                  <a:graphicData uri="http://schemas.microsoft.com/office/word/2010/wordprocessingShape">
                    <wps:wsp>
                      <wps:cNvCnPr/>
                      <wps:spPr>
                        <a:xfrm flipH="1">
                          <a:off x="0" y="0"/>
                          <a:ext cx="635" cy="6102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6.6pt;margin-top:4.2pt;height:48.05pt;width:0.05pt;z-index:251669504;mso-width-relative:page;mso-height-relative:page;" filled="f" stroked="t" coordsize="21600,21600" o:gfxdata="UEsDBAoAAAAAAIdO4kAAAAAAAAAAAAAAAAAEAAAAZHJzL1BLAwQUAAAACACHTuJA7ePPltYAAAAJ&#10;AQAADwAAAGRycy9kb3ducmV2LnhtbE2PwU7DMBBE70j8g7VI3KjduKA2xKkQAi5ISJTQsxMvSUS8&#10;jmI3LX/P9gS3Hc1o9k2xPflBzDjFPpCB5UKBQGqC66k1UH0836xBxGTJ2SEQGvjBCNvy8qKwuQtH&#10;esd5l1rBJRRza6BLacyljE2H3sZFGJHY+wqTt4nl1Eo32SOX+0FmSt1Jb3viD50d8bHD5nt38AYe&#10;9q9P+m2ufRjcpq0+na/US2bM9dVS3YNIeEp/YTjjMzqUzFSHA7koBtZaZxw1sF6BOPtaaxA1H2p1&#10;C7Is5P8F5S9QSwMEFAAAAAgAh07iQAWlpNP4AQAA8wMAAA4AAABkcnMvZTJvRG9jLnhtbK1TS44T&#10;MRDdI3EHy3vSSdBE0EpnFhMGFggiAQeouO20Jf/k8qSTS3ABJHawYsme2zAcg7K7ieazyYJeWOWq&#10;5+d6r8vLy4M1bC8jau8aPptMOZNO+Fa7XcM/fbx+9oIzTOBaMN7Jhh8l8svV0yfLPtRy7jtvWhkZ&#10;kTis+9DwLqVQVxWKTlrAiQ/SUVH5aCHRNu6qNkJP7NZU8+l0UfU+tiF6IREpux6KfGSM5xB6pbSQ&#10;ay9urHRpYI3SQCJJ2OmAfFW6VUqK9F4plImZhpPSVFa6hOJtXqvVEupdhNBpMbYA57TwQJMF7ejS&#10;E9UaErCbqB9RWS2iR6/SRHhbDUKKI6RiNn3gzYcOgixayGoMJ9Px/9GKd/tNZLqlSZhx5sDSH7/9&#10;8vP3529/fn2l9fbHd0YVsqkPWBP6ym3iuMOwiVnzQUXLlNHhDbEUF0gXOxSTjyeT5SExQcnF8wvO&#10;BOUXs+mcYiKrBo7MFSKm19JbloOGG+2yAVDD/i2mAfoPktPGsb7hLy/mmRNoGhVNAYU2kCJ0u3IW&#10;vdHttTYmn8C4216ZyPaQJ6J8Ywv3YPmSNWA34Eopw6DuJLSvXMvSMZBVjp4Izy1Y2XJmJL2oHBVk&#10;Am3OQZJ64zK1LPM66sx2DwbnaOvbY/G9yjuahWLaOLd52O7uKb77Vl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3jz5bWAAAACQEAAA8AAAAAAAAAAQAgAAAAIgAAAGRycy9kb3ducmV2LnhtbFBL&#10;AQIUABQAAAAIAIdO4kAFpaTT+AEAAPMDAAAOAAAAAAAAAAEAIAAAACUBAABkcnMvZTJvRG9jLnht&#10;bFBLBQYAAAAABgAGAFkBAACPBQAAAAA=&#10;">
                <v:fill on="f" focussize="0,0"/>
                <v:stroke color="#000000" joinstyle="round"/>
                <v:imagedata o:title=""/>
                <o:lock v:ext="edit" aspectratio="f"/>
              </v:line>
            </w:pict>
          </mc:Fallback>
        </mc:AlternateContent>
      </w:r>
      <w:r>
        <w:rPr>
          <w:rFonts w:ascii="宋体" w:hAnsi="宋体" w:cs="宋体"/>
          <w:color w:val="auto"/>
          <w:kern w:val="0"/>
          <w:szCs w:val="21"/>
        </w:rPr>
        <w:t xml:space="preserve">    </w:t>
      </w:r>
      <w:r>
        <w:rPr>
          <w:rFonts w:hint="eastAsia" w:ascii="宋体" w:hAnsi="宋体" w:cs="宋体"/>
          <w:color w:val="auto"/>
          <w:kern w:val="0"/>
          <w:szCs w:val="21"/>
        </w:rPr>
        <w:t xml:space="preserve">          谈判报价</w:t>
      </w:r>
      <w:r>
        <w:rPr>
          <w:rFonts w:ascii="宋体" w:hAnsi="宋体" w:cs="宋体"/>
          <w:color w:val="auto"/>
          <w:kern w:val="0"/>
          <w:szCs w:val="21"/>
        </w:rPr>
        <w:t>—</w:t>
      </w:r>
      <w:r>
        <w:rPr>
          <w:rFonts w:hint="eastAsia" w:ascii="宋体" w:hAnsi="宋体" w:cs="宋体"/>
          <w:color w:val="auto"/>
          <w:kern w:val="0"/>
          <w:szCs w:val="21"/>
        </w:rPr>
        <w:t>基准价</w:t>
      </w:r>
    </w:p>
    <w:p>
      <w:pPr>
        <w:shd w:val="clear" w:color="auto" w:fill="FFFFFF"/>
        <w:adjustRightInd w:val="0"/>
        <w:snapToGrid w:val="0"/>
        <w:spacing w:line="360" w:lineRule="auto"/>
        <w:rPr>
          <w:rFonts w:ascii="宋体" w:hAnsi="宋体" w:cs="宋体"/>
          <w:color w:val="auto"/>
          <w:kern w:val="0"/>
          <w:szCs w:val="21"/>
        </w:rPr>
      </w:pPr>
      <w:r>
        <w:rPr>
          <w:rFonts w:ascii="Calibri" w:hAnsi="Calibri"/>
          <w:color w:val="auto"/>
        </w:rPr>
        <mc:AlternateContent>
          <mc:Choice Requires="wps">
            <w:drawing>
              <wp:anchor distT="0" distB="0" distL="114300" distR="114300" simplePos="0" relativeHeight="251670528" behindDoc="0" locked="0" layoutInCell="1" allowOverlap="1">
                <wp:simplePos x="0" y="0"/>
                <wp:positionH relativeFrom="column">
                  <wp:posOffset>868045</wp:posOffset>
                </wp:positionH>
                <wp:positionV relativeFrom="paragraph">
                  <wp:posOffset>140335</wp:posOffset>
                </wp:positionV>
                <wp:extent cx="1250315" cy="635"/>
                <wp:effectExtent l="0" t="0" r="0" b="0"/>
                <wp:wrapNone/>
                <wp:docPr id="10" name="直接连接符 10"/>
                <wp:cNvGraphicFramePr/>
                <a:graphic xmlns:a="http://schemas.openxmlformats.org/drawingml/2006/main">
                  <a:graphicData uri="http://schemas.microsoft.com/office/word/2010/wordprocessingShape">
                    <wps:wsp>
                      <wps:cNvCnPr/>
                      <wps:spPr>
                        <a:xfrm flipH="1">
                          <a:off x="0" y="0"/>
                          <a:ext cx="12503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8.35pt;margin-top:11.05pt;height:0.05pt;width:98.45pt;z-index:251670528;mso-width-relative:page;mso-height-relative:page;" filled="f" stroked="t" coordsize="21600,21600" o:gfxdata="UEsDBAoAAAAAAIdO4kAAAAAAAAAAAAAAAAAEAAAAZHJzL1BLAwQUAAAACACHTuJA5rWVXNUAAAAJ&#10;AQAADwAAAGRycy9kb3ducmV2LnhtbE2PwUrEMBCG74LvEEbw5iZNoGptuoioF0FwrZ7TZmyLyaQ0&#10;2e769mZPevxnPv75pt4evWMrLnEKpKHYCGBIfbATDRra96erG2AxGbLGBUINPxhh25yf1aay4UBv&#10;uO7SwHIJxcpoGFOaK85jP6I3cRNmpLz7Cos3Kcdl4HYxh1zuHZdClNybifKF0cz4MGL/vdt7Dfef&#10;L4/qde18cPZ2aD+sb8Wz1PryohB3wBIe0x8MJ/2sDk126sKebGQuZ1VeZ1SDlAWwDCilSmDdaSCB&#10;NzX//0HzC1BLAwQUAAAACACHTuJAMC5VE/kBAAD0AwAADgAAAGRycy9lMm9Eb2MueG1srVNLjhMx&#10;EN0jcQfLe9JJRhlBK51ZTBhYIIgEHKDittOW/JPLk04uwQWQ2MGKJXtuM8MxKLubaBg2WdALq8r1&#10;/FzvdXl5dbCG7WVE7V3DZ5MpZ9IJ32q3a/jHDzfPnnOGCVwLxjvZ8KNEfrV6+mTZh1rOfedNKyMj&#10;Eod1HxrepRTqqkLRSQs48UE6KiofLSRK465qI/TEbk01n04vq97HNkQvJCLtrociHxnjOYReKS3k&#10;2otbK10aWKM0kEgSdjogX5VulZIivVMKZWKm4aQ0lZUuoXib12q1hHoXIXRajC3AOS080mRBO7r0&#10;RLWGBOw26n+orBbRo1dpIrytBiHFEVIxmz7y5n0HQRYtZDWGk+n4/2jF2/0mMt3SJJAlDiz98fvP&#10;P+4+ff318wut99+/MaqQTX3AmtDXbhPHDMMmZs0HFS1TRofXxFJcIF3sUEw+nkyWh8QEbc7mi+nF&#10;bMGZoNrlxSJzVwNJJgsR0yvpLctBw4122QGoYf8G0wD9A8nbxrG+4S8W80wINI6KxoBCG0gSul05&#10;i97o9kYbk09g3G2vTWR7yCNRvrGFv2D5kjVgN+BKKcOg7iS0L13L0jGQV47eCM8tWNlyZiQ9qRwV&#10;ZAJtzkGSeuMytSwDO+rMfg8O52jr22MxvsoZDUMxbRzcPG0Pc4ofPt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a1lVzVAAAACQEAAA8AAAAAAAAAAQAgAAAAIgAAAGRycy9kb3ducmV2LnhtbFBL&#10;AQIUABQAAAAIAIdO4kAwLlUT+QEAAPQDAAAOAAAAAAAAAAEAIAAAACQBAABkcnMvZTJvRG9jLnht&#10;bFBLBQYAAAAABgAGAFkBAACPBQAAAAA=&#10;">
                <v:fill on="f" focussize="0,0"/>
                <v:stroke color="#000000" joinstyle="round"/>
                <v:imagedata o:title=""/>
                <o:lock v:ext="edit" aspectratio="f"/>
              </v:line>
            </w:pict>
          </mc:Fallback>
        </mc:AlternateContent>
      </w:r>
      <w:r>
        <w:rPr>
          <w:rFonts w:ascii="宋体" w:hAnsi="宋体" w:cs="宋体"/>
          <w:color w:val="auto"/>
          <w:kern w:val="0"/>
          <w:szCs w:val="21"/>
        </w:rPr>
        <w:t xml:space="preserve">             </w:t>
      </w:r>
      <w:r>
        <w:rPr>
          <w:rFonts w:hint="eastAsia" w:ascii="宋体" w:hAnsi="宋体" w:cs="宋体"/>
          <w:color w:val="auto"/>
          <w:kern w:val="0"/>
          <w:szCs w:val="21"/>
        </w:rPr>
        <w:t xml:space="preserve">                    ×</w:t>
      </w:r>
      <w:r>
        <w:rPr>
          <w:rFonts w:ascii="宋体" w:hAnsi="宋体" w:cs="宋体"/>
          <w:color w:val="auto"/>
          <w:kern w:val="0"/>
          <w:szCs w:val="21"/>
        </w:rPr>
        <w:t>100%</w:t>
      </w:r>
    </w:p>
    <w:p>
      <w:pPr>
        <w:shd w:val="clear" w:color="auto" w:fill="FFFFFF"/>
        <w:adjustRightInd w:val="0"/>
        <w:snapToGrid w:val="0"/>
        <w:spacing w:line="360" w:lineRule="auto"/>
        <w:ind w:firstLine="2100" w:firstLineChars="1000"/>
        <w:rPr>
          <w:rFonts w:ascii="宋体" w:hAnsi="Calibri" w:cs="宋体"/>
          <w:color w:val="auto"/>
          <w:kern w:val="0"/>
          <w:szCs w:val="21"/>
        </w:rPr>
      </w:pPr>
      <w:r>
        <w:rPr>
          <w:rFonts w:hint="eastAsia" w:ascii="宋体" w:hAnsi="宋体" w:cs="宋体"/>
          <w:color w:val="auto"/>
          <w:kern w:val="0"/>
          <w:szCs w:val="21"/>
        </w:rPr>
        <w:t>基准价</w:t>
      </w:r>
    </w:p>
    <w:p>
      <w:pPr>
        <w:adjustRightInd w:val="0"/>
        <w:snapToGrid w:val="0"/>
        <w:ind w:firstLine="420" w:firstLineChars="200"/>
        <w:rPr>
          <w:rFonts w:ascii="宋体" w:hAnsi="宋体" w:cs="宋体"/>
          <w:iCs/>
          <w:color w:val="auto"/>
        </w:rPr>
      </w:pPr>
      <w:r>
        <w:rPr>
          <w:rFonts w:hint="eastAsia" w:ascii="宋体" w:hAnsi="宋体" w:cs="宋体"/>
          <w:iCs/>
          <w:color w:val="auto"/>
        </w:rPr>
        <w:t>4、按百分制计算：报价加分最多加3分，报价最高得分为103分。</w:t>
      </w:r>
    </w:p>
    <w:p>
      <w:pPr>
        <w:adjustRightInd w:val="0"/>
        <w:snapToGrid w:val="0"/>
        <w:ind w:firstLine="420" w:firstLineChars="200"/>
        <w:rPr>
          <w:rFonts w:ascii="宋体" w:hAnsi="宋体" w:cs="宋体"/>
          <w:iCs/>
          <w:color w:val="auto"/>
        </w:rPr>
      </w:pPr>
      <w:r>
        <w:rPr>
          <w:rFonts w:hint="eastAsia" w:ascii="宋体" w:hAnsi="宋体" w:cs="宋体"/>
          <w:iCs/>
          <w:color w:val="auto"/>
        </w:rPr>
        <w:t>5、按百分制计算报价得分*权值50%，报价加权得分最高为51.5分。</w:t>
      </w:r>
    </w:p>
    <w:p>
      <w:pPr>
        <w:adjustRightInd w:val="0"/>
        <w:snapToGrid w:val="0"/>
        <w:ind w:firstLine="420" w:firstLineChars="200"/>
        <w:rPr>
          <w:rFonts w:ascii="宋体" w:hAnsi="宋体"/>
          <w:color w:val="auto"/>
          <w:szCs w:val="21"/>
        </w:rPr>
      </w:pPr>
      <w:r>
        <w:rPr>
          <w:rFonts w:hint="eastAsia" w:ascii="宋体" w:hAnsi="宋体" w:cs="宋体"/>
          <w:color w:val="auto"/>
          <w:szCs w:val="21"/>
        </w:rPr>
        <w:t>6、报价评审时，统一保留小数点后两位，小数点后第三位“四舍五入”。</w:t>
      </w:r>
    </w:p>
    <w:p>
      <w:pPr>
        <w:rPr>
          <w:rFonts w:ascii="宋体" w:hAnsi="宋体" w:cs="宋体"/>
          <w:bCs/>
          <w:color w:val="auto"/>
          <w:szCs w:val="21"/>
        </w:rPr>
        <w:sectPr>
          <w:pgSz w:w="11906" w:h="16838"/>
          <w:pgMar w:top="1191" w:right="1417" w:bottom="1191" w:left="1191" w:header="851" w:footer="851" w:gutter="0"/>
          <w:pgNumType w:fmt="decimal"/>
          <w:cols w:space="720" w:num="1"/>
          <w:docGrid w:linePitch="312" w:charSpace="0"/>
        </w:sectPr>
      </w:pPr>
      <w:r>
        <w:rPr>
          <w:rFonts w:hint="eastAsia" w:ascii="宋体" w:hAnsi="宋体" w:cs="宋体"/>
          <w:color w:val="auto"/>
          <w:kern w:val="0"/>
          <w:szCs w:val="21"/>
        </w:rPr>
        <w:br w:type="page"/>
      </w:r>
    </w:p>
    <w:p>
      <w:pPr>
        <w:pStyle w:val="3"/>
        <w:keepNext w:val="0"/>
        <w:rPr>
          <w:rFonts w:hint="eastAsia" w:ascii="宋体" w:hAnsi="宋体" w:cs="宋体"/>
          <w:bCs w:val="0"/>
          <w:color w:val="auto"/>
          <w:sz w:val="32"/>
          <w:szCs w:val="32"/>
        </w:rPr>
      </w:pPr>
      <w:bookmarkStart w:id="69" w:name="_Toc8642"/>
      <w:r>
        <w:rPr>
          <w:rFonts w:hint="eastAsia" w:ascii="宋体" w:hAnsi="宋体" w:cs="宋体"/>
          <w:bCs w:val="0"/>
          <w:color w:val="auto"/>
          <w:sz w:val="32"/>
          <w:szCs w:val="32"/>
        </w:rPr>
        <w:t>第四章  用户需求书</w:t>
      </w:r>
      <w:bookmarkEnd w:id="62"/>
      <w:bookmarkEnd w:id="63"/>
      <w:bookmarkEnd w:id="64"/>
      <w:bookmarkEnd w:id="65"/>
      <w:r>
        <w:rPr>
          <w:rFonts w:hint="eastAsia" w:ascii="宋体" w:hAnsi="宋体" w:cs="宋体"/>
          <w:bCs w:val="0"/>
          <w:color w:val="auto"/>
          <w:sz w:val="32"/>
          <w:szCs w:val="32"/>
        </w:rPr>
        <w:t>（另册）</w:t>
      </w:r>
      <w:bookmarkEnd w:id="66"/>
      <w:bookmarkEnd w:id="69"/>
    </w:p>
    <w:p>
      <w:pPr>
        <w:spacing w:line="360" w:lineRule="auto"/>
        <w:ind w:firstLine="420" w:firstLineChars="200"/>
        <w:rPr>
          <w:rFonts w:hint="eastAsia" w:ascii="宋体" w:hAnsi="宋体" w:eastAsia="宋体" w:cs="宋体"/>
          <w:color w:val="auto"/>
        </w:rPr>
      </w:pPr>
    </w:p>
    <w:p>
      <w:pPr>
        <w:pStyle w:val="45"/>
        <w:rPr>
          <w:rFonts w:hint="eastAsia" w:ascii="宋体" w:hAnsi="宋体" w:eastAsia="宋体" w:cs="宋体"/>
          <w:color w:val="auto"/>
        </w:rPr>
        <w:sectPr>
          <w:headerReference r:id="rId6" w:type="default"/>
          <w:footerReference r:id="rId7" w:type="default"/>
          <w:endnotePr>
            <w:numFmt w:val="decimal"/>
          </w:endnotePr>
          <w:pgSz w:w="11906" w:h="16838"/>
          <w:pgMar w:top="1191" w:right="1417" w:bottom="1191" w:left="1191" w:header="851" w:footer="851" w:gutter="0"/>
          <w:pgNumType w:fmt="decimal"/>
          <w:cols w:space="720" w:num="1"/>
          <w:docGrid w:type="lines" w:linePitch="312" w:charSpace="0"/>
        </w:sectPr>
      </w:pPr>
    </w:p>
    <w:p>
      <w:pPr>
        <w:pStyle w:val="3"/>
        <w:keepNext w:val="0"/>
        <w:jc w:val="center"/>
        <w:rPr>
          <w:rFonts w:hint="default" w:ascii="宋体" w:hAnsi="宋体" w:eastAsia="宋体" w:cs="宋体"/>
          <w:bCs w:val="0"/>
          <w:color w:val="auto"/>
          <w:sz w:val="32"/>
          <w:szCs w:val="32"/>
          <w:lang w:val="en-US" w:eastAsia="zh-CN"/>
        </w:rPr>
      </w:pPr>
      <w:bookmarkStart w:id="70" w:name="_Toc22456"/>
      <w:bookmarkStart w:id="71" w:name="_Toc22376"/>
      <w:r>
        <w:rPr>
          <w:rFonts w:hint="eastAsia" w:ascii="宋体" w:hAnsi="宋体" w:eastAsia="宋体" w:cs="宋体"/>
          <w:bCs w:val="0"/>
          <w:color w:val="auto"/>
          <w:sz w:val="32"/>
          <w:szCs w:val="32"/>
        </w:rPr>
        <w:t>第五章  谈判</w:t>
      </w:r>
      <w:r>
        <w:rPr>
          <w:rFonts w:hint="eastAsia" w:ascii="宋体" w:hAnsi="宋体" w:eastAsia="宋体" w:cs="宋体"/>
          <w:color w:val="auto"/>
          <w:sz w:val="32"/>
          <w:szCs w:val="32"/>
        </w:rPr>
        <w:t>最高限价</w:t>
      </w:r>
      <w:bookmarkEnd w:id="70"/>
      <w:r>
        <w:rPr>
          <w:rFonts w:hint="eastAsia" w:ascii="宋体" w:hAnsi="宋体" w:cs="宋体"/>
          <w:color w:val="auto"/>
          <w:sz w:val="32"/>
          <w:szCs w:val="32"/>
          <w:lang w:eastAsia="zh-CN"/>
        </w:rPr>
        <w:t>（另册）</w:t>
      </w:r>
      <w:bookmarkEnd w:id="71"/>
    </w:p>
    <w:p>
      <w:pPr>
        <w:pStyle w:val="45"/>
        <w:rPr>
          <w:rFonts w:hint="eastAsia" w:ascii="宋体" w:hAnsi="宋体" w:eastAsia="宋体" w:cs="宋体"/>
          <w:color w:val="auto"/>
          <w:kern w:val="2"/>
          <w:sz w:val="21"/>
          <w:szCs w:val="24"/>
          <w:lang w:val="en-US" w:eastAsia="zh-CN" w:bidi="ar-SA"/>
        </w:rPr>
      </w:pPr>
    </w:p>
    <w:p>
      <w:pPr>
        <w:adjustRightInd w:val="0"/>
        <w:snapToGrid w:val="0"/>
        <w:spacing w:before="156" w:beforeLines="50" w:after="156" w:afterLines="50" w:line="300" w:lineRule="auto"/>
        <w:ind w:firstLine="420" w:firstLineChars="200"/>
        <w:rPr>
          <w:rFonts w:hint="eastAsia" w:ascii="宋体" w:hAnsi="宋体" w:eastAsia="宋体" w:cs="宋体"/>
          <w:color w:val="auto"/>
          <w:kern w:val="2"/>
          <w:sz w:val="21"/>
          <w:szCs w:val="24"/>
          <w:lang w:val="en-US" w:eastAsia="zh-CN" w:bidi="ar-SA"/>
        </w:rPr>
      </w:pPr>
      <w:bookmarkStart w:id="72" w:name="_Toc17441"/>
      <w:bookmarkStart w:id="73" w:name="_Toc22262"/>
      <w:bookmarkStart w:id="74" w:name="_Toc14891078"/>
      <w:bookmarkStart w:id="75" w:name="_Toc13521"/>
      <w:r>
        <w:rPr>
          <w:rFonts w:hint="eastAsia" w:ascii="宋体" w:hAnsi="宋体" w:eastAsia="宋体" w:cs="宋体"/>
          <w:color w:val="auto"/>
          <w:kern w:val="2"/>
          <w:sz w:val="21"/>
          <w:szCs w:val="24"/>
          <w:lang w:val="en-US" w:eastAsia="zh-CN" w:bidi="ar-SA"/>
        </w:rPr>
        <w:t>本项目招标最高限价（小写）：</w:t>
      </w:r>
      <w:r>
        <w:rPr>
          <w:rFonts w:hint="eastAsia" w:ascii="宋体" w:hAnsi="宋体" w:eastAsia="宋体" w:cs="宋体"/>
          <w:iCs/>
          <w:color w:val="auto"/>
          <w:szCs w:val="21"/>
          <w:lang w:val="en-US" w:eastAsia="zh-CN"/>
        </w:rPr>
        <w:t>773460.20</w:t>
      </w:r>
      <w:r>
        <w:rPr>
          <w:rFonts w:hint="eastAsia" w:ascii="宋体" w:hAnsi="宋体" w:cs="宋体"/>
          <w:color w:val="auto"/>
          <w:kern w:val="2"/>
          <w:sz w:val="21"/>
          <w:szCs w:val="24"/>
          <w:lang w:val="en-US" w:eastAsia="zh-CN" w:bidi="ar-SA"/>
        </w:rPr>
        <w:t>元</w:t>
      </w:r>
      <w:r>
        <w:rPr>
          <w:rFonts w:hint="eastAsia" w:ascii="宋体" w:hAnsi="宋体" w:eastAsia="宋体" w:cs="宋体"/>
          <w:color w:val="auto"/>
          <w:kern w:val="2"/>
          <w:sz w:val="21"/>
          <w:szCs w:val="24"/>
          <w:lang w:val="en-US" w:eastAsia="zh-CN" w:bidi="ar-SA"/>
        </w:rPr>
        <w:t>；（大写）：</w:t>
      </w:r>
      <w:r>
        <w:rPr>
          <w:rFonts w:hint="eastAsia" w:ascii="宋体" w:hAnsi="宋体" w:cs="宋体"/>
          <w:color w:val="auto"/>
          <w:kern w:val="2"/>
          <w:sz w:val="21"/>
          <w:szCs w:val="24"/>
          <w:lang w:val="en-US" w:eastAsia="zh-CN" w:bidi="ar-SA"/>
        </w:rPr>
        <w:t>柒拾柒万叁仟肆佰陆拾元贰角</w:t>
      </w:r>
      <w:r>
        <w:rPr>
          <w:rFonts w:hint="eastAsia" w:ascii="宋体" w:hAnsi="宋体" w:eastAsia="宋体" w:cs="宋体"/>
          <w:color w:val="auto"/>
          <w:kern w:val="2"/>
          <w:sz w:val="21"/>
          <w:szCs w:val="24"/>
          <w:lang w:val="en-US" w:eastAsia="zh-CN" w:bidi="ar-SA"/>
        </w:rPr>
        <w:t>。</w:t>
      </w:r>
    </w:p>
    <w:p>
      <w:pPr>
        <w:pStyle w:val="45"/>
        <w:rPr>
          <w:rFonts w:hint="eastAsia" w:ascii="宋体" w:hAnsi="宋体" w:eastAsia="宋体" w:cs="宋体"/>
          <w:bCs w:val="0"/>
          <w:color w:val="auto"/>
          <w:sz w:val="32"/>
          <w:szCs w:val="32"/>
        </w:rPr>
        <w:sectPr>
          <w:endnotePr>
            <w:numFmt w:val="decimal"/>
          </w:endnotePr>
          <w:pgSz w:w="11906" w:h="16838"/>
          <w:pgMar w:top="1191" w:right="1417" w:bottom="1191" w:left="1191" w:header="851" w:footer="851" w:gutter="0"/>
          <w:pgNumType w:fmt="decimal"/>
          <w:cols w:space="720" w:num="1"/>
          <w:docGrid w:type="lines" w:linePitch="312" w:charSpace="0"/>
        </w:sectPr>
      </w:pPr>
      <w:r>
        <w:rPr>
          <w:rFonts w:hint="eastAsia" w:ascii="宋体" w:hAnsi="宋体" w:eastAsia="宋体" w:cs="宋体"/>
          <w:color w:val="auto"/>
        </w:rPr>
        <w:t>本项目清单详见附件：最高限价。</w:t>
      </w:r>
    </w:p>
    <w:bookmarkEnd w:id="72"/>
    <w:bookmarkEnd w:id="73"/>
    <w:bookmarkEnd w:id="74"/>
    <w:bookmarkEnd w:id="75"/>
    <w:p>
      <w:pPr>
        <w:pStyle w:val="3"/>
        <w:keepNext w:val="0"/>
        <w:numPr>
          <w:ilvl w:val="0"/>
          <w:numId w:val="6"/>
        </w:numPr>
        <w:jc w:val="center"/>
        <w:rPr>
          <w:rFonts w:hint="eastAsia" w:ascii="宋体" w:hAnsi="宋体" w:cs="宋体"/>
          <w:bCs w:val="0"/>
          <w:color w:val="auto"/>
          <w:sz w:val="32"/>
          <w:szCs w:val="32"/>
        </w:rPr>
      </w:pPr>
      <w:bookmarkStart w:id="76" w:name="_Toc84951516"/>
      <w:bookmarkStart w:id="77" w:name="_Toc5097"/>
      <w:bookmarkStart w:id="78" w:name="_Toc29654"/>
      <w:bookmarkStart w:id="79" w:name="_Toc20891"/>
      <w:r>
        <w:rPr>
          <w:rFonts w:hint="eastAsia" w:ascii="宋体" w:hAnsi="宋体" w:cs="宋体"/>
          <w:bCs w:val="0"/>
          <w:color w:val="auto"/>
          <w:sz w:val="32"/>
          <w:szCs w:val="32"/>
        </w:rPr>
        <w:t xml:space="preserve"> </w:t>
      </w:r>
      <w:bookmarkStart w:id="80" w:name="_Toc8088"/>
      <w:r>
        <w:rPr>
          <w:rFonts w:hint="eastAsia" w:ascii="宋体" w:hAnsi="宋体" w:cs="宋体"/>
          <w:bCs w:val="0"/>
          <w:color w:val="auto"/>
          <w:sz w:val="32"/>
          <w:szCs w:val="32"/>
        </w:rPr>
        <w:t>合同格式条款</w:t>
      </w:r>
      <w:bookmarkEnd w:id="76"/>
      <w:bookmarkEnd w:id="80"/>
    </w:p>
    <w:p>
      <w:pPr>
        <w:widowControl w:val="0"/>
        <w:numPr>
          <w:ilvl w:val="0"/>
          <w:numId w:val="0"/>
        </w:numPr>
        <w:jc w:val="both"/>
        <w:rPr>
          <w:rFonts w:hint="eastAsia"/>
          <w:color w:val="auto"/>
        </w:rPr>
      </w:pPr>
    </w:p>
    <w:p>
      <w:pPr>
        <w:adjustRightInd w:val="0"/>
        <w:snapToGrid w:val="0"/>
        <w:spacing w:line="360" w:lineRule="auto"/>
        <w:ind w:firstLine="2880" w:firstLineChars="1200"/>
        <w:jc w:val="right"/>
        <w:rPr>
          <w:rFonts w:hint="eastAsia" w:ascii="仿宋" w:hAnsi="仿宋" w:eastAsia="仿宋" w:cs="仿宋"/>
          <w:color w:val="auto"/>
          <w:sz w:val="22"/>
          <w:szCs w:val="18"/>
        </w:rPr>
      </w:pPr>
      <w:r>
        <w:rPr>
          <w:rFonts w:hint="eastAsia" w:ascii="仿宋" w:hAnsi="仿宋" w:eastAsia="仿宋" w:cs="仿宋"/>
          <w:color w:val="auto"/>
          <w:sz w:val="24"/>
        </w:rPr>
        <w:t>合同编号:长轨运</w:t>
      </w:r>
      <w:r>
        <w:rPr>
          <w:rFonts w:hint="eastAsia" w:ascii="仿宋" w:hAnsi="仿宋" w:eastAsia="仿宋" w:cs="仿宋"/>
          <w:color w:val="auto"/>
          <w:sz w:val="24"/>
          <w:u w:val="none"/>
        </w:rPr>
        <w:t xml:space="preserve"> </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rPr>
        <w:t>工合[20</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u w:val="none"/>
        </w:rPr>
        <w:t xml:space="preserve"> </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rPr>
        <w:t>号</w:t>
      </w:r>
    </w:p>
    <w:p>
      <w:pPr>
        <w:adjustRightInd w:val="0"/>
        <w:snapToGrid w:val="0"/>
        <w:spacing w:line="360" w:lineRule="auto"/>
        <w:rPr>
          <w:rFonts w:hint="eastAsia" w:ascii="仿宋" w:hAnsi="仿宋" w:eastAsia="仿宋" w:cs="仿宋"/>
          <w:b/>
          <w:color w:val="auto"/>
          <w:sz w:val="18"/>
          <w:szCs w:val="18"/>
        </w:rPr>
      </w:pPr>
    </w:p>
    <w:p>
      <w:pPr>
        <w:adjustRightInd w:val="0"/>
        <w:snapToGrid w:val="0"/>
        <w:spacing w:line="360" w:lineRule="auto"/>
        <w:rPr>
          <w:rFonts w:hint="eastAsia" w:ascii="仿宋" w:hAnsi="仿宋" w:eastAsia="仿宋" w:cs="仿宋"/>
          <w:b/>
          <w:color w:val="auto"/>
          <w:sz w:val="18"/>
          <w:szCs w:val="18"/>
        </w:rPr>
      </w:pPr>
    </w:p>
    <w:p>
      <w:pPr>
        <w:adjustRightInd w:val="0"/>
        <w:snapToGrid w:val="0"/>
        <w:spacing w:line="360" w:lineRule="auto"/>
        <w:rPr>
          <w:rFonts w:hint="eastAsia" w:ascii="仿宋" w:hAnsi="仿宋" w:eastAsia="仿宋" w:cs="仿宋"/>
          <w:b/>
          <w:color w:val="auto"/>
          <w:sz w:val="18"/>
          <w:szCs w:val="18"/>
        </w:rPr>
      </w:pPr>
    </w:p>
    <w:p>
      <w:pPr>
        <w:adjustRightInd w:val="0"/>
        <w:snapToGrid w:val="0"/>
        <w:spacing w:line="360" w:lineRule="auto"/>
        <w:rPr>
          <w:rFonts w:hint="eastAsia" w:ascii="仿宋" w:hAnsi="仿宋" w:eastAsia="仿宋" w:cs="仿宋"/>
          <w:b/>
          <w:color w:val="auto"/>
          <w:sz w:val="18"/>
          <w:szCs w:val="18"/>
        </w:rPr>
      </w:pPr>
    </w:p>
    <w:p>
      <w:pPr>
        <w:adjustRightInd w:val="0"/>
        <w:snapToGrid w:val="0"/>
        <w:spacing w:line="360" w:lineRule="auto"/>
        <w:rPr>
          <w:rFonts w:hint="eastAsia" w:ascii="仿宋" w:hAnsi="仿宋" w:eastAsia="仿宋" w:cs="仿宋"/>
          <w:b/>
          <w:color w:val="auto"/>
          <w:sz w:val="18"/>
          <w:szCs w:val="18"/>
        </w:rPr>
      </w:pPr>
    </w:p>
    <w:p>
      <w:pPr>
        <w:adjustRightInd w:val="0"/>
        <w:snapToGrid w:val="0"/>
        <w:spacing w:line="360" w:lineRule="auto"/>
        <w:jc w:val="center"/>
        <w:rPr>
          <w:rFonts w:hint="eastAsia" w:ascii="仿宋" w:hAnsi="仿宋" w:eastAsia="仿宋" w:cs="仿宋"/>
          <w:b/>
          <w:color w:val="auto"/>
          <w:sz w:val="48"/>
          <w:szCs w:val="48"/>
        </w:rPr>
      </w:pPr>
      <w:r>
        <w:rPr>
          <w:rFonts w:hint="eastAsia" w:ascii="仿宋" w:hAnsi="仿宋" w:eastAsia="仿宋" w:cs="仿宋"/>
          <w:b/>
          <w:color w:val="auto"/>
          <w:spacing w:val="20"/>
          <w:sz w:val="52"/>
          <w:szCs w:val="52"/>
        </w:rPr>
        <w:t>工程项目合同</w:t>
      </w:r>
      <w:r>
        <w:rPr>
          <w:rFonts w:hint="eastAsia" w:ascii="仿宋" w:hAnsi="仿宋" w:eastAsia="仿宋" w:cs="仿宋"/>
          <w:b/>
          <w:color w:val="auto"/>
          <w:spacing w:val="20"/>
          <w:sz w:val="48"/>
          <w:szCs w:val="48"/>
        </w:rPr>
        <w:t xml:space="preserve"> </w:t>
      </w:r>
    </w:p>
    <w:p>
      <w:pPr>
        <w:adjustRightInd w:val="0"/>
        <w:snapToGrid w:val="0"/>
        <w:spacing w:line="360" w:lineRule="auto"/>
        <w:ind w:left="0" w:leftChars="0" w:firstLine="421" w:firstLineChars="233"/>
        <w:rPr>
          <w:rFonts w:hint="eastAsia" w:ascii="仿宋" w:hAnsi="仿宋" w:eastAsia="仿宋" w:cs="仿宋"/>
          <w:b/>
          <w:color w:val="auto"/>
          <w:sz w:val="18"/>
          <w:szCs w:val="18"/>
        </w:rPr>
      </w:pPr>
    </w:p>
    <w:p>
      <w:pPr>
        <w:adjustRightInd w:val="0"/>
        <w:snapToGrid w:val="0"/>
        <w:spacing w:line="360" w:lineRule="auto"/>
        <w:rPr>
          <w:rFonts w:hint="eastAsia" w:ascii="仿宋" w:hAnsi="仿宋" w:eastAsia="仿宋" w:cs="仿宋"/>
          <w:b/>
          <w:color w:val="auto"/>
          <w:sz w:val="18"/>
          <w:szCs w:val="18"/>
        </w:rPr>
      </w:pPr>
    </w:p>
    <w:p>
      <w:pPr>
        <w:adjustRightInd w:val="0"/>
        <w:snapToGrid w:val="0"/>
        <w:spacing w:line="360" w:lineRule="auto"/>
        <w:ind w:left="0" w:leftChars="0" w:firstLine="421" w:firstLineChars="233"/>
        <w:rPr>
          <w:rFonts w:hint="eastAsia" w:ascii="仿宋" w:hAnsi="仿宋" w:eastAsia="仿宋" w:cs="仿宋"/>
          <w:b/>
          <w:color w:val="auto"/>
          <w:sz w:val="18"/>
          <w:szCs w:val="18"/>
        </w:rPr>
      </w:pPr>
    </w:p>
    <w:p>
      <w:pPr>
        <w:adjustRightInd w:val="0"/>
        <w:snapToGrid w:val="0"/>
        <w:spacing w:line="360" w:lineRule="auto"/>
        <w:ind w:left="0" w:leftChars="0" w:firstLine="421" w:firstLineChars="233"/>
        <w:rPr>
          <w:rFonts w:hint="eastAsia" w:ascii="仿宋" w:hAnsi="仿宋" w:eastAsia="仿宋" w:cs="仿宋"/>
          <w:b/>
          <w:color w:val="auto"/>
          <w:sz w:val="18"/>
          <w:szCs w:val="18"/>
        </w:rPr>
      </w:pPr>
    </w:p>
    <w:p>
      <w:pPr>
        <w:adjustRightInd w:val="0"/>
        <w:snapToGrid w:val="0"/>
        <w:spacing w:line="360" w:lineRule="auto"/>
        <w:ind w:left="1964" w:leftChars="266" w:hanging="1405" w:hangingChars="500"/>
        <w:jc w:val="left"/>
        <w:rPr>
          <w:rFonts w:hint="eastAsia" w:ascii="仿宋" w:hAnsi="仿宋" w:eastAsia="仿宋" w:cs="仿宋"/>
          <w:b/>
          <w:color w:val="auto"/>
          <w:sz w:val="28"/>
          <w:szCs w:val="28"/>
          <w:u w:val="single"/>
        </w:rPr>
      </w:pPr>
      <w:r>
        <w:rPr>
          <w:rFonts w:hint="eastAsia" w:ascii="仿宋" w:hAnsi="仿宋" w:eastAsia="仿宋" w:cs="仿宋"/>
          <w:b/>
          <w:color w:val="auto"/>
          <w:sz w:val="28"/>
          <w:szCs w:val="28"/>
        </w:rPr>
        <w:t>项目名称：</w:t>
      </w:r>
      <w:r>
        <w:rPr>
          <w:rFonts w:hint="eastAsia" w:ascii="宋体" w:hAnsi="宋体" w:cs="宋体"/>
          <w:b/>
          <w:color w:val="auto"/>
          <w:sz w:val="28"/>
          <w:szCs w:val="28"/>
          <w:u w:val="dotted"/>
          <w:lang w:eastAsia="zh-CN"/>
        </w:rPr>
        <w:t>长沙市轨道交通1、2、3、4号线运营期车辆段场加装遮阳棚改造工程项目（第三次）</w:t>
      </w:r>
    </w:p>
    <w:p>
      <w:pPr>
        <w:pStyle w:val="2"/>
        <w:rPr>
          <w:rFonts w:hint="eastAsia"/>
          <w:color w:val="auto"/>
        </w:rPr>
      </w:pPr>
    </w:p>
    <w:p>
      <w:pPr>
        <w:pStyle w:val="2"/>
        <w:rPr>
          <w:rFonts w:hint="eastAsia"/>
          <w:color w:val="auto"/>
        </w:rPr>
      </w:pP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r>
        <w:rPr>
          <w:rFonts w:hint="eastAsia" w:ascii="仿宋" w:hAnsi="仿宋" w:eastAsia="仿宋" w:cs="仿宋"/>
          <w:b/>
          <w:color w:val="auto"/>
          <w:sz w:val="28"/>
          <w:szCs w:val="28"/>
        </w:rPr>
        <w:t>工程地点：</w:t>
      </w:r>
      <w:r>
        <w:rPr>
          <w:rFonts w:hint="eastAsia" w:ascii="仿宋" w:hAnsi="仿宋" w:eastAsia="仿宋" w:cs="仿宋"/>
          <w:b/>
          <w:color w:val="auto"/>
          <w:sz w:val="28"/>
          <w:szCs w:val="28"/>
          <w:u w:val="dotted"/>
        </w:rPr>
        <w:t>湖南省长沙市</w:t>
      </w:r>
      <w:r>
        <w:rPr>
          <w:rFonts w:hint="eastAsia" w:ascii="仿宋" w:hAnsi="仿宋" w:eastAsia="仿宋" w:cs="仿宋"/>
          <w:b/>
          <w:color w:val="auto"/>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p>
    <w:p>
      <w:pPr>
        <w:adjustRightInd w:val="0"/>
        <w:snapToGrid w:val="0"/>
        <w:spacing w:line="360" w:lineRule="auto"/>
        <w:jc w:val="left"/>
        <w:rPr>
          <w:rFonts w:hint="eastAsia" w:ascii="仿宋" w:hAnsi="仿宋" w:eastAsia="仿宋" w:cs="仿宋"/>
          <w:b/>
          <w:color w:val="auto"/>
          <w:sz w:val="28"/>
          <w:szCs w:val="28"/>
        </w:rPr>
      </w:pP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r>
        <w:rPr>
          <w:rFonts w:hint="eastAsia" w:ascii="仿宋" w:hAnsi="仿宋" w:eastAsia="仿宋" w:cs="仿宋"/>
          <w:b/>
          <w:color w:val="auto"/>
          <w:sz w:val="28"/>
          <w:szCs w:val="28"/>
        </w:rPr>
        <w:t>甲方：</w:t>
      </w:r>
      <w:r>
        <w:rPr>
          <w:rFonts w:hint="eastAsia" w:ascii="仿宋" w:hAnsi="仿宋" w:eastAsia="仿宋" w:cs="仿宋"/>
          <w:b/>
          <w:color w:val="auto"/>
          <w:sz w:val="28"/>
          <w:szCs w:val="28"/>
          <w:u w:val="dotted"/>
        </w:rPr>
        <w:t xml:space="preserve"> </w:t>
      </w:r>
      <w:r>
        <w:rPr>
          <w:rFonts w:hint="eastAsia" w:ascii="仿宋" w:hAnsi="仿宋" w:eastAsia="仿宋" w:cs="仿宋"/>
          <w:b/>
          <w:color w:val="auto"/>
          <w:sz w:val="28"/>
          <w:szCs w:val="28"/>
          <w:u w:val="dotted"/>
          <w:lang w:val="en-US" w:eastAsia="zh-CN"/>
        </w:rPr>
        <w:t xml:space="preserve">                          </w:t>
      </w:r>
      <w:r>
        <w:rPr>
          <w:rFonts w:hint="eastAsia" w:ascii="仿宋" w:hAnsi="仿宋" w:eastAsia="仿宋" w:cs="仿宋"/>
          <w:b/>
          <w:color w:val="auto"/>
          <w:sz w:val="28"/>
          <w:szCs w:val="28"/>
          <w:u w:val="dotted"/>
        </w:rPr>
        <w:t xml:space="preserve">       </w:t>
      </w:r>
      <w:r>
        <w:rPr>
          <w:rFonts w:hint="eastAsia" w:ascii="仿宋" w:hAnsi="仿宋" w:eastAsia="仿宋" w:cs="仿宋"/>
          <w:b/>
          <w:color w:val="auto"/>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pPr>
        <w:adjustRightInd w:val="0"/>
        <w:snapToGrid w:val="0"/>
        <w:spacing w:line="360" w:lineRule="auto"/>
        <w:jc w:val="left"/>
        <w:rPr>
          <w:rFonts w:hint="eastAsia" w:ascii="仿宋" w:hAnsi="仿宋" w:eastAsia="仿宋" w:cs="仿宋"/>
          <w:b/>
          <w:color w:val="auto"/>
          <w:sz w:val="28"/>
          <w:szCs w:val="28"/>
        </w:rPr>
      </w:pP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r>
        <w:rPr>
          <w:rFonts w:hint="eastAsia" w:ascii="仿宋" w:hAnsi="仿宋" w:eastAsia="仿宋" w:cs="仿宋"/>
          <w:b/>
          <w:color w:val="auto"/>
          <w:sz w:val="28"/>
          <w:szCs w:val="28"/>
        </w:rPr>
        <w:t>乙方：</w:t>
      </w:r>
      <w:r>
        <w:rPr>
          <w:rFonts w:hint="eastAsia" w:ascii="仿宋" w:hAnsi="仿宋" w:eastAsia="仿宋" w:cs="仿宋"/>
          <w:b/>
          <w:color w:val="auto"/>
          <w:sz w:val="28"/>
          <w:szCs w:val="28"/>
          <w:u w:val="dotted"/>
        </w:rPr>
        <w:t xml:space="preserve"> </w:t>
      </w:r>
      <w:r>
        <w:rPr>
          <w:rFonts w:hint="eastAsia" w:ascii="仿宋" w:hAnsi="仿宋" w:eastAsia="仿宋" w:cs="仿宋"/>
          <w:b/>
          <w:color w:val="auto"/>
          <w:sz w:val="28"/>
          <w:szCs w:val="28"/>
          <w:u w:val="dotted"/>
          <w:lang w:val="en-US" w:eastAsia="zh-CN"/>
        </w:rPr>
        <w:t xml:space="preserve">                        </w:t>
      </w:r>
      <w:r>
        <w:rPr>
          <w:rFonts w:hint="eastAsia" w:ascii="仿宋" w:hAnsi="仿宋" w:eastAsia="仿宋" w:cs="仿宋"/>
          <w:b/>
          <w:color w:val="auto"/>
          <w:sz w:val="28"/>
          <w:szCs w:val="28"/>
          <w:u w:val="dotted"/>
        </w:rPr>
        <w:t xml:space="preserve">     </w:t>
      </w:r>
      <w:r>
        <w:rPr>
          <w:rFonts w:hint="eastAsia" w:ascii="仿宋" w:hAnsi="仿宋" w:eastAsia="仿宋" w:cs="仿宋"/>
          <w:b/>
          <w:color w:val="auto"/>
          <w:sz w:val="28"/>
          <w:szCs w:val="28"/>
          <w:u w:val="dotted"/>
          <w:lang w:val="en-US" w:eastAsia="zh-CN"/>
        </w:rPr>
        <w:t xml:space="preserve"> </w:t>
      </w:r>
      <w:r>
        <w:rPr>
          <w:rFonts w:hint="eastAsia" w:ascii="仿宋" w:hAnsi="仿宋" w:eastAsia="仿宋" w:cs="仿宋"/>
          <w:b/>
          <w:color w:val="auto"/>
          <w:sz w:val="28"/>
          <w:szCs w:val="28"/>
          <w:u w:val="dotted"/>
        </w:rPr>
        <w:t xml:space="preserve">   </w:t>
      </w:r>
      <w:r>
        <w:rPr>
          <w:rFonts w:hint="eastAsia" w:ascii="仿宋" w:hAnsi="仿宋" w:eastAsia="仿宋" w:cs="仿宋"/>
          <w:b/>
          <w:color w:val="auto"/>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color w:val="auto"/>
          <w:sz w:val="28"/>
          <w:szCs w:val="28"/>
        </w:rPr>
      </w:pPr>
    </w:p>
    <w:p>
      <w:pPr>
        <w:adjustRightInd w:val="0"/>
        <w:snapToGrid w:val="0"/>
        <w:spacing w:line="360" w:lineRule="auto"/>
        <w:ind w:left="0" w:leftChars="0" w:firstLine="421" w:firstLineChars="233"/>
        <w:rPr>
          <w:rFonts w:hint="eastAsia" w:ascii="仿宋" w:hAnsi="仿宋" w:eastAsia="仿宋" w:cs="仿宋"/>
          <w:b/>
          <w:color w:val="auto"/>
          <w:sz w:val="18"/>
          <w:szCs w:val="18"/>
        </w:rPr>
      </w:pPr>
    </w:p>
    <w:p>
      <w:pPr>
        <w:adjustRightInd w:val="0"/>
        <w:snapToGrid w:val="0"/>
        <w:spacing w:line="360" w:lineRule="auto"/>
        <w:rPr>
          <w:rFonts w:hint="eastAsia" w:ascii="仿宋" w:hAnsi="仿宋" w:eastAsia="仿宋" w:cs="仿宋"/>
          <w:b/>
          <w:color w:val="auto"/>
          <w:sz w:val="24"/>
          <w:szCs w:val="24"/>
        </w:rPr>
        <w:sectPr>
          <w:headerReference r:id="rId8" w:type="default"/>
          <w:footerReference r:id="rId9" w:type="default"/>
          <w:endnotePr>
            <w:numFmt w:val="decimal"/>
          </w:endnotePr>
          <w:pgSz w:w="11906" w:h="16838"/>
          <w:pgMar w:top="1440" w:right="1440" w:bottom="1440" w:left="1440" w:header="851" w:footer="851" w:gutter="0"/>
          <w:pgNumType w:fmt="decimal"/>
          <w:cols w:space="720" w:num="1"/>
          <w:docGrid w:type="lines" w:linePitch="312" w:charSpace="0"/>
        </w:sectPr>
      </w:pPr>
    </w:p>
    <w:p>
      <w:pPr>
        <w:keepNext w:val="0"/>
        <w:keepLines w:val="0"/>
        <w:pageBreakBefore w:val="0"/>
        <w:widowControl w:val="0"/>
        <w:numPr>
          <w:ilvl w:val="0"/>
          <w:numId w:val="0"/>
        </w:numPr>
        <w:tabs>
          <w:tab w:val="left" w:pos="2799"/>
        </w:tabs>
        <w:kinsoku/>
        <w:wordWrap/>
        <w:overflowPunct/>
        <w:topLinePunct w:val="0"/>
        <w:autoSpaceDE/>
        <w:autoSpaceDN/>
        <w:bidi w:val="0"/>
        <w:adjustRightInd w:val="0"/>
        <w:snapToGrid w:val="0"/>
        <w:spacing w:line="360" w:lineRule="auto"/>
        <w:ind w:leftChars="0" w:right="0" w:rightChars="0"/>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color w:val="auto"/>
          <w:sz w:val="24"/>
          <w:szCs w:val="24"/>
          <w:u w:val="dotted"/>
        </w:rPr>
      </w:pPr>
      <w:r>
        <w:rPr>
          <w:rFonts w:hint="eastAsia" w:ascii="仿宋_GB2312" w:hAnsi="仿宋_GB2312" w:eastAsia="仿宋_GB2312" w:cs="仿宋_GB2312"/>
          <w:b/>
          <w:color w:val="auto"/>
          <w:sz w:val="24"/>
          <w:szCs w:val="24"/>
          <w:lang w:eastAsia="zh-CN"/>
        </w:rPr>
        <w:t>甲方</w:t>
      </w:r>
      <w:r>
        <w:rPr>
          <w:rFonts w:hint="eastAsia" w:ascii="仿宋_GB2312" w:hAnsi="仿宋_GB2312" w:eastAsia="仿宋_GB2312" w:cs="仿宋_GB2312"/>
          <w:b/>
          <w:color w:val="auto"/>
          <w:sz w:val="24"/>
          <w:szCs w:val="24"/>
        </w:rPr>
        <w:t>（全称）:</w:t>
      </w:r>
      <w:r>
        <w:rPr>
          <w:rFonts w:hint="eastAsia" w:ascii="仿宋_GB2312" w:hAnsi="仿宋_GB2312" w:eastAsia="仿宋_GB2312" w:cs="仿宋_GB2312"/>
          <w:bCs/>
          <w:snapToGrid w:val="0"/>
          <w:color w:val="auto"/>
          <w:kern w:val="0"/>
          <w:sz w:val="24"/>
          <w:szCs w:val="24"/>
          <w:u w:val="single"/>
        </w:rPr>
        <w:t xml:space="preserve"> </w:t>
      </w:r>
      <w:r>
        <w:rPr>
          <w:rFonts w:hint="eastAsia" w:ascii="仿宋_GB2312" w:hAnsi="仿宋_GB2312" w:eastAsia="仿宋_GB2312" w:cs="仿宋_GB2312"/>
          <w:bCs/>
          <w:snapToGrid w:val="0"/>
          <w:color w:val="auto"/>
          <w:kern w:val="0"/>
          <w:sz w:val="24"/>
          <w:szCs w:val="24"/>
          <w:u w:val="single"/>
          <w:lang w:val="en-US" w:eastAsia="zh-CN"/>
        </w:rPr>
        <w:t xml:space="preserve">                    </w:t>
      </w:r>
      <w:r>
        <w:rPr>
          <w:rFonts w:hint="eastAsia" w:ascii="仿宋_GB2312" w:hAnsi="仿宋_GB2312" w:eastAsia="仿宋_GB2312" w:cs="仿宋_GB2312"/>
          <w:bCs/>
          <w:snapToGrid w:val="0"/>
          <w:color w:val="auto"/>
          <w:kern w:val="0"/>
          <w:sz w:val="24"/>
          <w:szCs w:val="24"/>
          <w:u w:val="single"/>
        </w:rPr>
        <w:t xml:space="preserve">  </w:t>
      </w:r>
      <w:r>
        <w:rPr>
          <w:rFonts w:hint="eastAsia" w:ascii="仿宋_GB2312" w:hAnsi="仿宋_GB2312" w:eastAsia="仿宋_GB2312" w:cs="仿宋_GB2312"/>
          <w:bCs/>
          <w:snapToGrid w:val="0"/>
          <w:color w:val="auto"/>
          <w:kern w:val="0"/>
          <w:sz w:val="24"/>
          <w:szCs w:val="24"/>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color w:val="auto"/>
          <w:sz w:val="24"/>
          <w:szCs w:val="24"/>
          <w:u w:val="dotted"/>
        </w:rPr>
      </w:pPr>
      <w:r>
        <w:rPr>
          <w:rFonts w:hint="eastAsia" w:ascii="仿宋_GB2312" w:hAnsi="仿宋_GB2312" w:eastAsia="仿宋_GB2312" w:cs="仿宋_GB2312"/>
          <w:b/>
          <w:color w:val="auto"/>
          <w:sz w:val="24"/>
          <w:szCs w:val="24"/>
          <w:lang w:eastAsia="zh-CN"/>
        </w:rPr>
        <w:t>乙方</w:t>
      </w:r>
      <w:r>
        <w:rPr>
          <w:rFonts w:hint="eastAsia" w:ascii="仿宋_GB2312" w:hAnsi="仿宋_GB2312" w:eastAsia="仿宋_GB2312" w:cs="仿宋_GB2312"/>
          <w:b/>
          <w:color w:val="auto"/>
          <w:sz w:val="24"/>
          <w:szCs w:val="24"/>
        </w:rPr>
        <w:t>（全称）</w:t>
      </w:r>
      <w:r>
        <w:rPr>
          <w:rFonts w:hint="eastAsia" w:ascii="仿宋_GB2312" w:hAnsi="仿宋_GB2312" w:eastAsia="仿宋_GB2312" w:cs="仿宋_GB2312"/>
          <w:bCs/>
          <w:snapToGrid w:val="0"/>
          <w:color w:val="auto"/>
          <w:kern w:val="0"/>
          <w:sz w:val="24"/>
          <w:szCs w:val="24"/>
        </w:rPr>
        <w:t>:</w:t>
      </w:r>
      <w:r>
        <w:rPr>
          <w:rFonts w:hint="eastAsia" w:ascii="仿宋_GB2312" w:hAnsi="仿宋_GB2312" w:eastAsia="仿宋_GB2312" w:cs="仿宋_GB2312"/>
          <w:bCs/>
          <w:snapToGrid w:val="0"/>
          <w:color w:val="auto"/>
          <w:kern w:val="0"/>
          <w:sz w:val="24"/>
          <w:szCs w:val="24"/>
          <w:u w:val="single"/>
        </w:rPr>
        <w:t xml:space="preserve"> </w:t>
      </w:r>
      <w:r>
        <w:rPr>
          <w:rFonts w:hint="eastAsia" w:ascii="仿宋_GB2312" w:hAnsi="仿宋_GB2312" w:eastAsia="仿宋_GB2312" w:cs="仿宋_GB2312"/>
          <w:bCs/>
          <w:snapToGrid w:val="0"/>
          <w:color w:val="auto"/>
          <w:kern w:val="0"/>
          <w:sz w:val="24"/>
          <w:szCs w:val="24"/>
          <w:u w:val="single"/>
          <w:lang w:val="en-US" w:eastAsia="zh-CN"/>
        </w:rPr>
        <w:t xml:space="preserve">                     </w:t>
      </w:r>
      <w:r>
        <w:rPr>
          <w:rFonts w:hint="eastAsia" w:ascii="仿宋_GB2312" w:hAnsi="仿宋_GB2312" w:eastAsia="仿宋_GB2312" w:cs="仿宋_GB2312"/>
          <w:bCs/>
          <w:snapToGrid w:val="0"/>
          <w:color w:val="auto"/>
          <w:kern w:val="0"/>
          <w:sz w:val="24"/>
          <w:szCs w:val="24"/>
          <w:u w:val="single"/>
        </w:rPr>
        <w:t xml:space="preserve"> </w:t>
      </w:r>
      <w:r>
        <w:rPr>
          <w:rFonts w:hint="eastAsia" w:ascii="仿宋_GB2312" w:hAnsi="仿宋_GB2312" w:eastAsia="仿宋_GB2312" w:cs="仿宋_GB2312"/>
          <w:bCs/>
          <w:snapToGrid w:val="0"/>
          <w:color w:val="auto"/>
          <w:kern w:val="0"/>
          <w:sz w:val="24"/>
          <w:szCs w:val="24"/>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根据《中华人民共和国</w:t>
      </w:r>
      <w:r>
        <w:rPr>
          <w:rFonts w:hint="eastAsia" w:ascii="仿宋_GB2312" w:hAnsi="仿宋_GB2312" w:eastAsia="仿宋_GB2312" w:cs="仿宋_GB2312"/>
          <w:color w:val="auto"/>
          <w:sz w:val="24"/>
          <w:szCs w:val="24"/>
          <w:lang w:eastAsia="zh-CN"/>
        </w:rPr>
        <w:t>民</w:t>
      </w:r>
      <w:r>
        <w:rPr>
          <w:rFonts w:hint="eastAsia" w:ascii="仿宋_GB2312" w:hAnsi="仿宋_GB2312" w:eastAsia="仿宋_GB2312" w:cs="仿宋_GB2312"/>
          <w:color w:val="auto"/>
          <w:sz w:val="24"/>
          <w:szCs w:val="24"/>
        </w:rPr>
        <w:t>法</w:t>
      </w:r>
      <w:r>
        <w:rPr>
          <w:rFonts w:hint="eastAsia" w:ascii="仿宋_GB2312" w:hAnsi="仿宋_GB2312" w:eastAsia="仿宋_GB2312" w:cs="仿宋_GB2312"/>
          <w:color w:val="auto"/>
          <w:sz w:val="24"/>
          <w:szCs w:val="24"/>
          <w:lang w:eastAsia="zh-CN"/>
        </w:rPr>
        <w:t>典</w:t>
      </w:r>
      <w:r>
        <w:rPr>
          <w:rFonts w:hint="eastAsia" w:ascii="仿宋_GB2312" w:hAnsi="仿宋_GB2312" w:eastAsia="仿宋_GB2312" w:cs="仿宋_GB2312"/>
          <w:color w:val="auto"/>
          <w:sz w:val="24"/>
          <w:szCs w:val="24"/>
        </w:rPr>
        <w:t>》、《中华人民共和国建筑法》、《中华人民共和国招标投标法》等相关法律法规的规定，遵循平等、自愿、公平和诚实信用的原则，双方就项目工程建设及有关事项协商一致，共同签订本合同。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1.1工程名称：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1.2工程地点：</w:t>
      </w:r>
      <w:r>
        <w:rPr>
          <w:rFonts w:hint="eastAsia" w:ascii="仿宋_GB2312" w:hAnsi="仿宋_GB2312" w:eastAsia="仿宋_GB2312" w:cs="仿宋_GB2312"/>
          <w:color w:val="auto"/>
          <w:sz w:val="24"/>
          <w:szCs w:val="24"/>
          <w:u w:val="single"/>
        </w:rPr>
        <w:t>详见用户需求书/技术规格书</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1.3工程内容：</w:t>
      </w:r>
      <w:r>
        <w:rPr>
          <w:rFonts w:hint="eastAsia" w:ascii="仿宋_GB2312" w:hAnsi="仿宋_GB2312" w:eastAsia="仿宋_GB2312" w:cs="仿宋_GB2312"/>
          <w:color w:val="auto"/>
          <w:sz w:val="24"/>
          <w:szCs w:val="24"/>
          <w:u w:val="single"/>
        </w:rPr>
        <w:t xml:space="preserve"> 详见用户需求书/技术规格书</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1.4工程承包范围：</w:t>
      </w:r>
      <w:bookmarkStart w:id="81" w:name="_Toc414154001"/>
      <w:r>
        <w:rPr>
          <w:rFonts w:hint="eastAsia" w:ascii="仿宋_GB2312" w:hAnsi="仿宋_GB2312" w:eastAsia="仿宋_GB2312" w:cs="仿宋_GB2312"/>
          <w:color w:val="auto"/>
          <w:sz w:val="24"/>
          <w:szCs w:val="24"/>
          <w:u w:val="single"/>
        </w:rPr>
        <w:t>详见用户需求书/技术规格书</w:t>
      </w:r>
      <w:r>
        <w:rPr>
          <w:rFonts w:hint="eastAsia" w:ascii="仿宋_GB2312" w:hAnsi="仿宋_GB2312" w:eastAsia="仿宋_GB2312" w:cs="仿宋_GB2312"/>
          <w:color w:val="auto"/>
          <w:sz w:val="24"/>
          <w:szCs w:val="24"/>
        </w:rPr>
        <w:t>。</w:t>
      </w:r>
    </w:p>
    <w:bookmarkEnd w:id="81"/>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4"/>
          <w:szCs w:val="24"/>
        </w:rPr>
      </w:pPr>
      <w:bookmarkStart w:id="82" w:name="_Toc414154003"/>
      <w:r>
        <w:rPr>
          <w:rFonts w:hint="eastAsia" w:ascii="仿宋_GB2312" w:hAnsi="仿宋_GB2312" w:eastAsia="仿宋_GB2312" w:cs="仿宋_GB2312"/>
          <w:b/>
          <w:bCs/>
          <w:color w:val="auto"/>
          <w:sz w:val="24"/>
          <w:szCs w:val="24"/>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详见用户需求书/技术规格书</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3.1签约合同价为：人民币（大写）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元</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3.2合同</w:t>
      </w:r>
      <w:r>
        <w:rPr>
          <w:rFonts w:hint="eastAsia" w:ascii="仿宋_GB2312" w:hAnsi="仿宋_GB2312" w:eastAsia="仿宋_GB2312" w:cs="仿宋_GB2312"/>
          <w:color w:val="auto"/>
          <w:sz w:val="24"/>
          <w:szCs w:val="24"/>
          <w:lang w:eastAsia="zh-CN"/>
        </w:rPr>
        <w:t>价格方式</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u w:val="none"/>
          <w:lang w:eastAsia="zh-CN"/>
        </w:rPr>
      </w:pPr>
      <w:r>
        <w:rPr>
          <w:rFonts w:hint="eastAsia" w:ascii="仿宋_GB2312" w:hAnsi="仿宋_GB2312" w:eastAsia="仿宋_GB2312" w:cs="仿宋_GB2312"/>
          <w:color w:val="auto"/>
          <w:sz w:val="24"/>
          <w:szCs w:val="24"/>
          <w:u w:val="none"/>
        </w:rPr>
        <w:sym w:font="Wingdings 2" w:char="0052"/>
      </w:r>
      <w:r>
        <w:rPr>
          <w:rFonts w:hint="eastAsia" w:ascii="仿宋_GB2312" w:hAnsi="仿宋_GB2312" w:eastAsia="仿宋_GB2312" w:cs="仿宋_GB2312"/>
          <w:color w:val="auto"/>
          <w:sz w:val="24"/>
          <w:u w:val="none"/>
          <w:lang w:eastAsia="zh-CN"/>
        </w:rPr>
        <w:t>单价</w:t>
      </w:r>
      <w:r>
        <w:rPr>
          <w:rFonts w:hint="eastAsia" w:ascii="仿宋_GB2312" w:hAnsi="仿宋_GB2312" w:eastAsia="仿宋_GB2312" w:cs="仿宋_GB2312"/>
          <w:color w:val="auto"/>
          <w:sz w:val="24"/>
          <w:u w:val="none"/>
        </w:rPr>
        <w:t>合同</w:t>
      </w:r>
      <w:r>
        <w:rPr>
          <w:rFonts w:hint="eastAsia" w:ascii="仿宋_GB2312" w:hAnsi="仿宋_GB2312" w:eastAsia="仿宋_GB2312" w:cs="仿宋_GB2312"/>
          <w:color w:val="auto"/>
          <w:sz w:val="24"/>
          <w:u w:val="none"/>
          <w:lang w:eastAsia="zh-CN"/>
        </w:rPr>
        <w:t>，合同单</w:t>
      </w:r>
      <w:r>
        <w:rPr>
          <w:rFonts w:hint="eastAsia" w:ascii="仿宋_GB2312" w:hAnsi="仿宋_GB2312" w:eastAsia="仿宋_GB2312" w:cs="仿宋_GB2312"/>
          <w:color w:val="auto"/>
          <w:sz w:val="24"/>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仿宋_GB2312" w:hAnsi="仿宋_GB2312" w:eastAsia="仿宋_GB2312" w:cs="仿宋_GB2312"/>
          <w:color w:val="auto"/>
          <w:sz w:val="24"/>
          <w:u w:val="none"/>
          <w:lang w:val="en-US" w:eastAsia="zh-CN"/>
        </w:rPr>
        <w:t>(水电费除外）</w:t>
      </w:r>
      <w:r>
        <w:rPr>
          <w:rFonts w:hint="eastAsia" w:ascii="仿宋_GB2312" w:hAnsi="仿宋_GB2312" w:eastAsia="仿宋_GB2312" w:cs="仿宋_GB2312"/>
          <w:color w:val="auto"/>
          <w:sz w:val="24"/>
          <w:u w:val="none"/>
        </w:rPr>
        <w:t>。乙方根据工程数量与价格表资料以及相应的经乙方和甲方共同签字确认原始测量验收资料和工程数量计算资料作为结算依据。</w:t>
      </w:r>
      <w:r>
        <w:rPr>
          <w:rFonts w:hint="eastAsia" w:ascii="仿宋_GB2312" w:hAnsi="仿宋_GB2312" w:eastAsia="仿宋_GB2312" w:cs="仿宋_GB2312"/>
          <w:color w:val="auto"/>
          <w:sz w:val="24"/>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none"/>
        </w:rPr>
        <w:sym w:font="Wingdings 2" w:char="00A3"/>
      </w:r>
      <w:r>
        <w:rPr>
          <w:rFonts w:hint="eastAsia" w:ascii="仿宋_GB2312" w:hAnsi="仿宋_GB2312" w:eastAsia="仿宋_GB2312" w:cs="仿宋_GB2312"/>
          <w:color w:val="auto"/>
          <w:sz w:val="24"/>
          <w:szCs w:val="24"/>
          <w:u w:val="none"/>
          <w:lang w:eastAsia="zh-CN"/>
        </w:rPr>
        <w:t>总</w:t>
      </w:r>
      <w:r>
        <w:rPr>
          <w:rFonts w:hint="eastAsia" w:ascii="仿宋_GB2312" w:hAnsi="仿宋_GB2312" w:eastAsia="仿宋_GB2312" w:cs="仿宋_GB2312"/>
          <w:color w:val="auto"/>
          <w:sz w:val="24"/>
          <w:u w:val="none"/>
          <w:lang w:eastAsia="zh-CN"/>
        </w:rPr>
        <w:t>价</w:t>
      </w:r>
      <w:r>
        <w:rPr>
          <w:rFonts w:hint="eastAsia" w:ascii="仿宋_GB2312" w:hAnsi="仿宋_GB2312" w:eastAsia="仿宋_GB2312" w:cs="仿宋_GB2312"/>
          <w:color w:val="auto"/>
          <w:sz w:val="24"/>
          <w:u w:val="none"/>
        </w:rPr>
        <w:t>合同</w:t>
      </w:r>
      <w:r>
        <w:rPr>
          <w:rFonts w:hint="eastAsia" w:ascii="仿宋_GB2312" w:hAnsi="仿宋_GB2312" w:eastAsia="仿宋_GB2312" w:cs="仿宋_GB2312"/>
          <w:color w:val="auto"/>
          <w:sz w:val="24"/>
          <w:u w:val="none"/>
          <w:lang w:eastAsia="zh-CN"/>
        </w:rPr>
        <w:t>，合同</w:t>
      </w:r>
      <w:r>
        <w:rPr>
          <w:rFonts w:hint="eastAsia" w:ascii="仿宋_GB2312" w:hAnsi="仿宋_GB2312" w:eastAsia="仿宋_GB2312" w:cs="仿宋_GB2312"/>
          <w:color w:val="auto"/>
          <w:sz w:val="24"/>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仿宋_GB2312" w:hAnsi="仿宋_GB2312" w:eastAsia="仿宋_GB2312" w:cs="仿宋_GB2312"/>
          <w:color w:val="auto"/>
          <w:sz w:val="24"/>
          <w:u w:val="none"/>
          <w:lang w:val="en-US" w:eastAsia="zh-CN"/>
        </w:rPr>
        <w:t>(水电费除外）</w:t>
      </w:r>
      <w:r>
        <w:rPr>
          <w:rFonts w:hint="eastAsia" w:ascii="仿宋_GB2312" w:hAnsi="仿宋_GB2312" w:eastAsia="仿宋_GB2312" w:cs="仿宋_GB2312"/>
          <w:color w:val="auto"/>
          <w:sz w:val="24"/>
          <w:u w:val="none"/>
        </w:rPr>
        <w:t>。乙方根据工程数量与价格表资料以及相应的经乙方和甲方共同签字确认原始测量验收资料和工程数量计算资料作为结算依据。</w:t>
      </w:r>
      <w:r>
        <w:rPr>
          <w:rFonts w:hint="eastAsia" w:ascii="仿宋_GB2312" w:hAnsi="仿宋_GB2312" w:eastAsia="仿宋_GB2312" w:cs="仿宋_GB2312"/>
          <w:color w:val="auto"/>
          <w:sz w:val="24"/>
          <w:u w:val="none"/>
          <w:lang w:eastAsia="zh-CN"/>
        </w:rPr>
        <w:t>最终结算价格不得超过签约合同价</w:t>
      </w:r>
      <w:r>
        <w:rPr>
          <w:rFonts w:hint="eastAsia" w:ascii="仿宋_GB2312" w:hAnsi="仿宋_GB2312" w:eastAsia="仿宋_GB2312" w:cs="仿宋_GB2312"/>
          <w:color w:val="auto"/>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4、合同文件</w:t>
      </w:r>
      <w:r>
        <w:rPr>
          <w:rFonts w:hint="eastAsia" w:ascii="仿宋_GB2312" w:hAnsi="仿宋_GB2312" w:eastAsia="仿宋_GB2312" w:cs="仿宋_GB2312"/>
          <w:b/>
          <w:bCs/>
          <w:color w:val="auto"/>
          <w:sz w:val="24"/>
          <w:szCs w:val="24"/>
          <w:lang w:eastAsia="zh-CN"/>
        </w:rPr>
        <w:t>构</w:t>
      </w:r>
      <w:r>
        <w:rPr>
          <w:rFonts w:hint="eastAsia" w:ascii="仿宋_GB2312" w:hAnsi="仿宋_GB2312" w:eastAsia="仿宋_GB2312" w:cs="仿宋_GB2312"/>
          <w:b/>
          <w:bCs/>
          <w:color w:val="auto"/>
          <w:sz w:val="24"/>
          <w:szCs w:val="24"/>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组成本合同的文件包括：</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（1）补充协议（如果有）；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（2）合同协议书；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（3）中选通知书/谈判记录表；</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（6）技术标准及要求;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（7）签约合同价清单；</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（8）合同附件及承包人按合同附录格式及要求出具的文件；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（9）自主竞争性谈判文件/直接委托谈判文件、澄清与答疑文件及其它补充资料；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（10）谈判响应文件、澄清文件及其它补充资料；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（11）其他构成本合同的文件。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在合同履行过程中形成的与合同有关的文件均构成合同文件组成部分，并根据其性质确定优先解释顺序。</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b w:val="0"/>
          <w:bCs w:val="0"/>
          <w:color w:val="auto"/>
          <w:sz w:val="24"/>
          <w:szCs w:val="24"/>
        </w:rPr>
      </w:pPr>
      <w:bookmarkStart w:id="83" w:name="_Toc17043"/>
      <w:bookmarkStart w:id="84" w:name="_Toc414154011"/>
      <w:r>
        <w:rPr>
          <w:rFonts w:hint="eastAsia" w:ascii="仿宋_GB2312" w:hAnsi="仿宋_GB2312" w:eastAsia="仿宋_GB2312" w:cs="仿宋_GB2312"/>
          <w:bCs w:val="0"/>
          <w:color w:val="auto"/>
          <w:kern w:val="2"/>
          <w:sz w:val="24"/>
          <w:szCs w:val="24"/>
          <w:lang w:eastAsia="zh-CN"/>
        </w:rPr>
        <w:t>5</w:t>
      </w:r>
      <w:r>
        <w:rPr>
          <w:rFonts w:hint="eastAsia" w:ascii="仿宋_GB2312" w:hAnsi="仿宋_GB2312" w:eastAsia="仿宋_GB2312" w:cs="仿宋_GB2312"/>
          <w:bCs w:val="0"/>
          <w:color w:val="auto"/>
          <w:kern w:val="2"/>
          <w:sz w:val="24"/>
          <w:szCs w:val="24"/>
        </w:rPr>
        <w:t>、缺陷责任期和</w:t>
      </w:r>
      <w:r>
        <w:rPr>
          <w:rFonts w:hint="eastAsia" w:ascii="仿宋_GB2312" w:hAnsi="仿宋_GB2312" w:eastAsia="仿宋_GB2312" w:cs="仿宋_GB2312"/>
          <w:bCs w:val="0"/>
          <w:color w:val="auto"/>
          <w:kern w:val="2"/>
          <w:sz w:val="24"/>
          <w:szCs w:val="24"/>
          <w:lang w:eastAsia="zh-CN"/>
        </w:rPr>
        <w:t>工程</w:t>
      </w:r>
      <w:r>
        <w:rPr>
          <w:rFonts w:hint="eastAsia" w:ascii="仿宋_GB2312" w:hAnsi="仿宋_GB2312" w:eastAsia="仿宋_GB2312" w:cs="仿宋_GB2312"/>
          <w:bCs w:val="0"/>
          <w:color w:val="auto"/>
          <w:kern w:val="2"/>
          <w:sz w:val="24"/>
          <w:szCs w:val="24"/>
        </w:rPr>
        <w:t>保修</w:t>
      </w:r>
      <w:r>
        <w:rPr>
          <w:rFonts w:hint="eastAsia" w:ascii="仿宋_GB2312" w:hAnsi="仿宋_GB2312" w:eastAsia="仿宋_GB2312" w:cs="仿宋_GB2312"/>
          <w:bCs w:val="0"/>
          <w:color w:val="auto"/>
          <w:kern w:val="2"/>
          <w:sz w:val="24"/>
          <w:szCs w:val="24"/>
          <w:lang w:eastAsia="zh-CN"/>
        </w:rPr>
        <w:t>期</w:t>
      </w:r>
      <w:bookmarkEnd w:id="83"/>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kern w:val="2"/>
          <w:sz w:val="24"/>
          <w:szCs w:val="24"/>
          <w:lang w:eastAsia="zh-CN"/>
        </w:rPr>
        <w:t>5.1</w:t>
      </w:r>
      <w:r>
        <w:rPr>
          <w:rFonts w:hint="eastAsia" w:ascii="仿宋_GB2312" w:hAnsi="仿宋_GB2312" w:eastAsia="仿宋_GB2312" w:cs="仿宋_GB2312"/>
          <w:b w:val="0"/>
          <w:bCs w:val="0"/>
          <w:color w:val="auto"/>
          <w:sz w:val="24"/>
          <w:szCs w:val="24"/>
        </w:rPr>
        <w:t>缺陷责任期</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u w:val="single"/>
          <w:lang w:eastAsia="zh-CN"/>
        </w:rPr>
        <w:t>详见用户需求书/技术规格书</w:t>
      </w:r>
      <w:r>
        <w:rPr>
          <w:rFonts w:hint="eastAsia" w:ascii="仿宋_GB2312" w:hAnsi="仿宋_GB2312" w:eastAsia="仿宋_GB2312" w:cs="仿宋_GB2312"/>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5.2</w:t>
      </w:r>
      <w:r>
        <w:rPr>
          <w:rFonts w:hint="eastAsia" w:ascii="仿宋_GB2312" w:hAnsi="仿宋_GB2312" w:eastAsia="仿宋_GB2312" w:cs="仿宋_GB2312"/>
          <w:b w:val="0"/>
          <w:bCs w:val="0"/>
          <w:color w:val="auto"/>
          <w:sz w:val="24"/>
          <w:szCs w:val="24"/>
        </w:rPr>
        <w:t>工程保修期</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u w:val="single"/>
          <w:lang w:val="en-US" w:eastAsia="zh-CN"/>
        </w:rPr>
        <w:t>详见用户需求书/技术规格书</w:t>
      </w:r>
      <w:r>
        <w:rPr>
          <w:rFonts w:hint="eastAsia" w:ascii="仿宋_GB2312" w:hAnsi="仿宋_GB2312" w:eastAsia="仿宋_GB2312" w:cs="仿宋_GB2312"/>
          <w:b w:val="0"/>
          <w:bCs w:val="0"/>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5.3在工程移交甲方后，因乙方原因产生的质量缺陷，乙方应承担质量缺陷责任和保修义务。缺陷责任期届满，乙方仍应按合同约定的工程各部位保修年限承担保修义务。</w:t>
      </w:r>
    </w:p>
    <w:bookmarkEnd w:id="84"/>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应向</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6.3因</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原因造成工程质量未达到合同约定标准的，</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有权要求</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返工直至工程质量达到合同约定的标准为止，并由</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负责采购的材料、工程设备须符合设计和有关标准要求，</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7.2法律规定材料和工程设备使用前必须进行检验或试验的，属于</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自检性质的，</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应单独进行检验和试验；属于</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8.1 </w:t>
      </w:r>
      <w:r>
        <w:rPr>
          <w:rFonts w:hint="eastAsia" w:ascii="仿宋_GB2312" w:hAnsi="仿宋_GB2312" w:eastAsia="仿宋_GB2312" w:cs="仿宋_GB2312"/>
          <w:color w:val="auto"/>
          <w:sz w:val="24"/>
          <w:szCs w:val="24"/>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8.2 </w:t>
      </w:r>
      <w:r>
        <w:rPr>
          <w:rFonts w:hint="eastAsia" w:ascii="仿宋_GB2312" w:hAnsi="仿宋_GB2312" w:eastAsia="仿宋_GB2312" w:cs="仿宋_GB2312"/>
          <w:color w:val="auto"/>
          <w:sz w:val="24"/>
          <w:szCs w:val="24"/>
        </w:rPr>
        <w:t>乙方在工程完毕交付验收前提供相关技术资料（包括但不限于系统原理图、安装图纸、产品使用说明书、维护保养手册、竣工图</w:t>
      </w:r>
      <w:r>
        <w:rPr>
          <w:rFonts w:hint="eastAsia" w:ascii="仿宋_GB2312" w:hAnsi="仿宋_GB2312" w:eastAsia="仿宋_GB2312" w:cs="仿宋_GB2312"/>
          <w:color w:val="auto"/>
          <w:sz w:val="24"/>
          <w:szCs w:val="24"/>
          <w:lang w:eastAsia="zh-CN"/>
        </w:rPr>
        <w:t>、以甲方实际要求为准</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8.3 </w:t>
      </w:r>
      <w:r>
        <w:rPr>
          <w:rFonts w:hint="eastAsia" w:ascii="仿宋_GB2312" w:hAnsi="仿宋_GB2312" w:eastAsia="仿宋_GB2312" w:cs="仿宋_GB2312"/>
          <w:color w:val="auto"/>
          <w:sz w:val="24"/>
          <w:szCs w:val="24"/>
        </w:rPr>
        <w:t>乙方应配合甲方对其</w:t>
      </w:r>
      <w:r>
        <w:rPr>
          <w:rFonts w:hint="eastAsia" w:ascii="仿宋_GB2312" w:hAnsi="仿宋_GB2312" w:eastAsia="仿宋_GB2312" w:cs="仿宋_GB2312"/>
          <w:color w:val="auto"/>
          <w:sz w:val="24"/>
          <w:szCs w:val="24"/>
          <w:lang w:eastAsia="zh-CN"/>
        </w:rPr>
        <w:t>工程</w:t>
      </w:r>
      <w:r>
        <w:rPr>
          <w:rFonts w:hint="eastAsia" w:ascii="仿宋_GB2312" w:hAnsi="仿宋_GB2312" w:eastAsia="仿宋_GB2312" w:cs="仿宋_GB2312"/>
          <w:color w:val="auto"/>
          <w:sz w:val="24"/>
          <w:szCs w:val="24"/>
        </w:rPr>
        <w:t>进行竣工验收，</w:t>
      </w:r>
      <w:r>
        <w:rPr>
          <w:rFonts w:hint="eastAsia" w:ascii="仿宋_GB2312" w:hAnsi="仿宋_GB2312" w:eastAsia="仿宋_GB2312" w:cs="仿宋_GB2312"/>
          <w:color w:val="auto"/>
          <w:sz w:val="24"/>
          <w:szCs w:val="24"/>
          <w:lang w:eastAsia="zh-CN"/>
        </w:rPr>
        <w:t>验收时</w:t>
      </w:r>
      <w:r>
        <w:rPr>
          <w:rFonts w:hint="eastAsia" w:ascii="仿宋_GB2312" w:hAnsi="仿宋_GB2312" w:eastAsia="仿宋_GB2312" w:cs="仿宋_GB2312"/>
          <w:color w:val="auto"/>
          <w:sz w:val="24"/>
          <w:szCs w:val="24"/>
        </w:rPr>
        <w:t>双方现场签认工程量；因乙方原因导致工程验收不合格的，乙方应缴纳按合同总价款5%/次所计的违约金，造成工期延误的，还应按本合同约定承担相应的违约责任。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color w:val="auto"/>
          <w:sz w:val="24"/>
          <w:szCs w:val="24"/>
        </w:rPr>
        <w:t>9、</w:t>
      </w:r>
      <w:bookmarkStart w:id="85" w:name="_Toc414154013"/>
      <w:r>
        <w:rPr>
          <w:rFonts w:hint="eastAsia" w:ascii="仿宋_GB2312" w:hAnsi="仿宋_GB2312" w:eastAsia="仿宋_GB2312" w:cs="仿宋_GB2312"/>
          <w:b/>
          <w:color w:val="auto"/>
          <w:sz w:val="24"/>
          <w:szCs w:val="24"/>
        </w:rPr>
        <w:t>安全生产与文明施工</w:t>
      </w:r>
      <w:bookmarkEnd w:id="8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9.1</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9.2</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应按有关规定，采取严格的安全防护措施搞好安全施工，并承担安全事故的全部责任及由此而发生的一切费用。发生</w:t>
      </w:r>
      <w:r>
        <w:rPr>
          <w:rFonts w:hint="eastAsia" w:ascii="仿宋_GB2312" w:hAnsi="仿宋_GB2312" w:eastAsia="仿宋_GB2312" w:cs="仿宋_GB2312"/>
          <w:color w:val="auto"/>
          <w:sz w:val="24"/>
          <w:szCs w:val="24"/>
          <w:u w:val="none"/>
          <w:lang w:eastAsia="zh-CN"/>
        </w:rPr>
        <w:t>包括人员伤亡在内的安全</w:t>
      </w:r>
      <w:r>
        <w:rPr>
          <w:rFonts w:hint="eastAsia" w:ascii="仿宋_GB2312" w:hAnsi="仿宋_GB2312" w:eastAsia="仿宋_GB2312" w:cs="仿宋_GB2312"/>
          <w:color w:val="auto"/>
          <w:sz w:val="24"/>
          <w:szCs w:val="24"/>
          <w:lang w:eastAsia="zh-CN"/>
        </w:rPr>
        <w:t>事故</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应按有关规定立即上报有关部门并书面通知</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，同时按政府有关要求处理，发生的费用由</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9.3在施工期间，</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或当地公安部门。</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bCs w:val="0"/>
          <w:color w:val="auto"/>
          <w:kern w:val="2"/>
          <w:sz w:val="24"/>
          <w:szCs w:val="24"/>
        </w:rPr>
      </w:pPr>
      <w:bookmarkStart w:id="86" w:name="_Toc414154014"/>
      <w:bookmarkStart w:id="87" w:name="_Toc554"/>
      <w:r>
        <w:rPr>
          <w:rFonts w:hint="eastAsia" w:ascii="仿宋_GB2312" w:hAnsi="仿宋_GB2312" w:eastAsia="仿宋_GB2312" w:cs="仿宋_GB2312"/>
          <w:bCs w:val="0"/>
          <w:color w:val="auto"/>
          <w:kern w:val="2"/>
          <w:sz w:val="24"/>
          <w:szCs w:val="24"/>
          <w:lang w:eastAsia="zh-CN"/>
        </w:rPr>
        <w:t>10</w:t>
      </w:r>
      <w:r>
        <w:rPr>
          <w:rFonts w:hint="eastAsia" w:ascii="仿宋_GB2312" w:hAnsi="仿宋_GB2312" w:eastAsia="仿宋_GB2312" w:cs="仿宋_GB2312"/>
          <w:bCs w:val="0"/>
          <w:color w:val="auto"/>
          <w:kern w:val="2"/>
          <w:sz w:val="24"/>
          <w:szCs w:val="24"/>
        </w:rPr>
        <w:t>、</w:t>
      </w:r>
      <w:bookmarkEnd w:id="86"/>
      <w:r>
        <w:rPr>
          <w:rFonts w:hint="eastAsia" w:ascii="仿宋_GB2312" w:hAnsi="仿宋_GB2312" w:eastAsia="仿宋_GB2312" w:cs="仿宋_GB2312"/>
          <w:bCs w:val="0"/>
          <w:color w:val="auto"/>
          <w:kern w:val="2"/>
          <w:sz w:val="24"/>
          <w:szCs w:val="24"/>
        </w:rPr>
        <w:t>变更估价</w:t>
      </w:r>
      <w:r>
        <w:rPr>
          <w:rFonts w:hint="eastAsia" w:ascii="仿宋_GB2312" w:hAnsi="仿宋_GB2312" w:eastAsia="仿宋_GB2312" w:cs="仿宋_GB2312"/>
          <w:bCs w:val="0"/>
          <w:color w:val="auto"/>
          <w:kern w:val="2"/>
          <w:sz w:val="24"/>
          <w:szCs w:val="24"/>
          <w:lang w:eastAsia="zh-CN"/>
        </w:rPr>
        <w:t>与</w:t>
      </w:r>
      <w:r>
        <w:rPr>
          <w:rFonts w:hint="eastAsia" w:ascii="仿宋_GB2312" w:hAnsi="仿宋_GB2312" w:eastAsia="仿宋_GB2312" w:cs="仿宋_GB2312"/>
          <w:bCs w:val="0"/>
          <w:color w:val="auto"/>
          <w:kern w:val="2"/>
          <w:sz w:val="24"/>
          <w:szCs w:val="24"/>
        </w:rPr>
        <w:t>材料调差</w:t>
      </w:r>
      <w:bookmarkEnd w:id="8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rPr>
        <w:t>10.1</w:t>
      </w:r>
      <w:r>
        <w:rPr>
          <w:rFonts w:hint="eastAsia" w:ascii="仿宋_GB2312" w:hAnsi="仿宋_GB2312" w:eastAsia="仿宋_GB2312" w:cs="仿宋_GB2312"/>
          <w:color w:val="auto"/>
          <w:sz w:val="24"/>
          <w:szCs w:val="24"/>
          <w:u w:val="none"/>
        </w:rPr>
        <w:t>变更估价：合同中有相同单价的，采用合同单价；合同中有类似单价的，则参照类似合同单价；合同中无相同或类似单价的，则在变更计价时执行</w:t>
      </w:r>
      <w:r>
        <w:rPr>
          <w:rFonts w:hint="eastAsia" w:ascii="仿宋_GB2312" w:hAnsi="仿宋_GB2312" w:eastAsia="仿宋_GB2312" w:cs="仿宋_GB2312"/>
          <w:color w:val="auto"/>
          <w:sz w:val="24"/>
          <w:szCs w:val="24"/>
          <w:u w:val="none"/>
          <w:lang w:eastAsia="zh-CN"/>
        </w:rPr>
        <w:t>招标控制价采用的</w:t>
      </w:r>
      <w:r>
        <w:rPr>
          <w:rFonts w:hint="eastAsia" w:ascii="仿宋_GB2312" w:hAnsi="仿宋_GB2312" w:eastAsia="仿宋_GB2312" w:cs="仿宋_GB2312"/>
          <w:color w:val="auto"/>
          <w:sz w:val="24"/>
          <w:szCs w:val="24"/>
          <w:u w:val="none"/>
        </w:rPr>
        <w:t>消耗量标准，缺项部分借用其他定额，取费相应执行</w:t>
      </w:r>
      <w:r>
        <w:rPr>
          <w:rFonts w:hint="eastAsia" w:ascii="仿宋_GB2312" w:hAnsi="仿宋_GB2312" w:eastAsia="仿宋_GB2312" w:cs="仿宋_GB2312"/>
          <w:color w:val="auto"/>
          <w:sz w:val="24"/>
          <w:szCs w:val="24"/>
          <w:u w:val="none"/>
          <w:lang w:eastAsia="zh-CN"/>
        </w:rPr>
        <w:t>招标控制价采用</w:t>
      </w:r>
      <w:r>
        <w:rPr>
          <w:rFonts w:hint="eastAsia" w:ascii="仿宋_GB2312" w:hAnsi="仿宋_GB2312" w:eastAsia="仿宋_GB2312" w:cs="仿宋_GB2312"/>
          <w:color w:val="auto"/>
          <w:sz w:val="24"/>
          <w:szCs w:val="24"/>
          <w:u w:val="none"/>
        </w:rPr>
        <w:t xml:space="preserve">的有关规定，并执行合同优惠率 </w:t>
      </w:r>
      <w:r>
        <w:rPr>
          <w:rFonts w:hint="eastAsia" w:ascii="仿宋_GB2312" w:hAnsi="仿宋_GB2312" w:eastAsia="仿宋_GB2312" w:cs="仿宋_GB2312"/>
          <w:color w:val="auto"/>
          <w:sz w:val="24"/>
          <w:szCs w:val="24"/>
          <w:u w:val="none"/>
          <w:lang w:val="en-US" w:eastAsia="zh-CN"/>
        </w:rPr>
        <w:t>(招标控制价-中标总价）/招标控制价×</w:t>
      </w:r>
      <w:r>
        <w:rPr>
          <w:rFonts w:hint="eastAsia" w:ascii="仿宋_GB2312" w:hAnsi="仿宋_GB2312" w:eastAsia="仿宋_GB2312" w:cs="仿宋_GB2312"/>
          <w:color w:val="auto"/>
          <w:sz w:val="24"/>
          <w:szCs w:val="24"/>
          <w:u w:val="none"/>
        </w:rPr>
        <w:t xml:space="preserve"> </w:t>
      </w:r>
      <w:r>
        <w:rPr>
          <w:rFonts w:hint="eastAsia" w:ascii="仿宋_GB2312" w:hAnsi="仿宋_GB2312" w:eastAsia="仿宋_GB2312" w:cs="仿宋_GB2312"/>
          <w:color w:val="auto"/>
          <w:sz w:val="24"/>
          <w:szCs w:val="24"/>
          <w:u w:val="none"/>
          <w:lang w:eastAsia="zh-CN"/>
        </w:rPr>
        <w:t>百分之百</w:t>
      </w:r>
      <w:r>
        <w:rPr>
          <w:rFonts w:hint="eastAsia" w:ascii="仿宋_GB2312" w:hAnsi="仿宋_GB2312" w:eastAsia="仿宋_GB2312" w:cs="仿宋_GB2312"/>
          <w:color w:val="auto"/>
          <w:sz w:val="24"/>
          <w:szCs w:val="24"/>
          <w:u w:val="none"/>
        </w:rPr>
        <w:t xml:space="preserve">，人工工日单价按 </w:t>
      </w:r>
      <w:r>
        <w:rPr>
          <w:rFonts w:hint="eastAsia" w:ascii="仿宋_GB2312" w:hAnsi="仿宋_GB2312" w:eastAsia="仿宋_GB2312" w:cs="仿宋_GB2312"/>
          <w:color w:val="auto"/>
          <w:sz w:val="24"/>
          <w:szCs w:val="24"/>
          <w:u w:val="none"/>
          <w:lang w:eastAsia="zh-CN"/>
        </w:rPr>
        <w:t>招标控制价审定时</w:t>
      </w:r>
      <w:r>
        <w:rPr>
          <w:rFonts w:hint="eastAsia" w:ascii="仿宋_GB2312" w:hAnsi="仿宋_GB2312" w:eastAsia="仿宋_GB2312" w:cs="仿宋_GB2312"/>
          <w:color w:val="auto"/>
          <w:sz w:val="24"/>
          <w:szCs w:val="24"/>
          <w:u w:val="none"/>
        </w:rPr>
        <w:t>的综合人工工资单价计取。</w:t>
      </w:r>
    </w:p>
    <w:p>
      <w:pPr>
        <w:keepNext w:val="0"/>
        <w:keepLines w:val="0"/>
        <w:pageBreakBefore w:val="0"/>
        <w:widowControl w:val="0"/>
        <w:numPr>
          <w:ins w:id="0" w:author="Administrator" w:date=""/>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bookmarkStart w:id="88" w:name="_Toc479247487"/>
      <w:r>
        <w:rPr>
          <w:rFonts w:hint="eastAsia" w:ascii="仿宋_GB2312" w:hAnsi="仿宋_GB2312" w:eastAsia="仿宋_GB2312" w:cs="仿宋_GB2312"/>
          <w:color w:val="auto"/>
          <w:kern w:val="28"/>
          <w:sz w:val="24"/>
          <w:lang w:val="en-US" w:eastAsia="zh-CN"/>
        </w:rPr>
        <w:t>11.1</w:t>
      </w:r>
      <w:r>
        <w:rPr>
          <w:rFonts w:hint="eastAsia" w:ascii="仿宋_GB2312" w:hAnsi="仿宋_GB2312" w:eastAsia="仿宋_GB2312" w:cs="仿宋_GB2312"/>
          <w:color w:val="auto"/>
          <w:kern w:val="28"/>
          <w:sz w:val="24"/>
        </w:rPr>
        <w:t>本</w:t>
      </w:r>
      <w:r>
        <w:rPr>
          <w:rFonts w:hint="eastAsia" w:ascii="仿宋_GB2312" w:hAnsi="仿宋_GB2312" w:eastAsia="仿宋_GB2312" w:cs="仿宋_GB2312"/>
          <w:color w:val="auto"/>
          <w:kern w:val="28"/>
          <w:sz w:val="24"/>
          <w:lang w:eastAsia="zh-CN"/>
        </w:rPr>
        <w:t>工程</w:t>
      </w:r>
      <w:r>
        <w:rPr>
          <w:rFonts w:hint="eastAsia" w:ascii="仿宋_GB2312" w:hAnsi="仿宋_GB2312" w:eastAsia="仿宋_GB2312" w:cs="仿宋_GB2312"/>
          <w:color w:val="auto"/>
          <w:kern w:val="28"/>
          <w:sz w:val="24"/>
        </w:rPr>
        <w:t>无预付款</w:t>
      </w:r>
      <w:bookmarkEnd w:id="88"/>
      <w:bookmarkStart w:id="89" w:name="_Toc479247488"/>
      <w:r>
        <w:rPr>
          <w:rFonts w:hint="eastAsia" w:ascii="仿宋_GB2312" w:hAnsi="仿宋_GB2312" w:eastAsia="仿宋_GB2312" w:cs="仿宋_GB2312"/>
          <w:color w:val="auto"/>
          <w:kern w:val="28"/>
          <w:sz w:val="24"/>
          <w:lang w:eastAsia="zh-CN"/>
        </w:rPr>
        <w:t>，在</w:t>
      </w:r>
      <w:r>
        <w:rPr>
          <w:rFonts w:hint="eastAsia" w:ascii="仿宋_GB2312" w:hAnsi="仿宋_GB2312" w:eastAsia="仿宋_GB2312" w:cs="仿宋_GB2312"/>
          <w:color w:val="auto"/>
          <w:kern w:val="28"/>
          <w:sz w:val="24"/>
        </w:rPr>
        <w:t>工程竣工验收合格移交竣工资料后，支付至</w:t>
      </w:r>
      <w:r>
        <w:rPr>
          <w:rFonts w:hint="eastAsia" w:ascii="仿宋_GB2312" w:hAnsi="仿宋_GB2312" w:eastAsia="仿宋_GB2312" w:cs="仿宋_GB2312"/>
          <w:color w:val="auto"/>
          <w:kern w:val="28"/>
          <w:sz w:val="24"/>
          <w:lang w:eastAsia="zh-CN"/>
        </w:rPr>
        <w:t>实际竣工计量金额</w:t>
      </w:r>
      <w:r>
        <w:rPr>
          <w:rFonts w:hint="eastAsia" w:ascii="仿宋_GB2312" w:hAnsi="仿宋_GB2312" w:eastAsia="仿宋_GB2312" w:cs="仿宋_GB2312"/>
          <w:color w:val="auto"/>
          <w:kern w:val="28"/>
          <w:sz w:val="24"/>
        </w:rPr>
        <w:t>的70%</w:t>
      </w:r>
      <w:r>
        <w:rPr>
          <w:rFonts w:hint="eastAsia" w:ascii="仿宋_GB2312" w:hAnsi="仿宋_GB2312" w:eastAsia="仿宋_GB2312" w:cs="仿宋_GB2312"/>
          <w:color w:val="auto"/>
          <w:kern w:val="28"/>
          <w:sz w:val="24"/>
          <w:lang w:eastAsia="zh-CN"/>
        </w:rPr>
        <w:t>，但支付金额不得超过签约合同价的</w:t>
      </w:r>
      <w:r>
        <w:rPr>
          <w:rFonts w:hint="eastAsia" w:ascii="仿宋_GB2312" w:hAnsi="仿宋_GB2312" w:eastAsia="仿宋_GB2312" w:cs="仿宋_GB2312"/>
          <w:color w:val="auto"/>
          <w:kern w:val="28"/>
          <w:sz w:val="24"/>
          <w:lang w:val="en-US" w:eastAsia="zh-CN"/>
        </w:rPr>
        <w:t>70%</w:t>
      </w:r>
      <w:r>
        <w:rPr>
          <w:rFonts w:hint="eastAsia" w:ascii="仿宋_GB2312" w:hAnsi="仿宋_GB2312" w:eastAsia="仿宋_GB2312" w:cs="仿宋_GB2312"/>
          <w:color w:val="auto"/>
          <w:kern w:val="28"/>
          <w:sz w:val="24"/>
        </w:rPr>
        <w:t>；</w:t>
      </w:r>
      <w:bookmarkEnd w:id="89"/>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bookmarkStart w:id="90" w:name="_Toc479247489"/>
      <w:r>
        <w:rPr>
          <w:rFonts w:hint="eastAsia" w:ascii="仿宋_GB2312" w:hAnsi="仿宋_GB2312" w:eastAsia="仿宋_GB2312" w:cs="仿宋_GB2312"/>
          <w:color w:val="auto"/>
          <w:kern w:val="28"/>
          <w:sz w:val="24"/>
          <w:lang w:val="en-US" w:eastAsia="zh-CN"/>
        </w:rPr>
        <w:t>11.2</w:t>
      </w:r>
      <w:r>
        <w:rPr>
          <w:rFonts w:hint="eastAsia" w:ascii="仿宋_GB2312" w:hAnsi="仿宋_GB2312" w:eastAsia="仿宋_GB2312" w:cs="仿宋_GB2312"/>
          <w:color w:val="auto"/>
          <w:kern w:val="28"/>
          <w:sz w:val="24"/>
          <w:lang w:eastAsia="zh-CN"/>
        </w:rPr>
        <w:t>工程竣工结算</w:t>
      </w:r>
      <w:r>
        <w:rPr>
          <w:rFonts w:hint="eastAsia" w:ascii="仿宋_GB2312" w:hAnsi="仿宋_GB2312" w:eastAsia="仿宋_GB2312" w:cs="仿宋_GB2312"/>
          <w:color w:val="auto"/>
          <w:kern w:val="28"/>
          <w:sz w:val="24"/>
          <w:lang w:val="en-US" w:eastAsia="zh-CN"/>
        </w:rPr>
        <w:t>经甲方审定后，支付至合同价格的</w:t>
      </w:r>
      <w:r>
        <w:rPr>
          <w:rFonts w:hint="eastAsia" w:ascii="仿宋_GB2312" w:hAnsi="仿宋_GB2312" w:eastAsia="仿宋_GB2312" w:cs="仿宋_GB2312"/>
          <w:color w:val="auto"/>
          <w:kern w:val="28"/>
          <w:sz w:val="24"/>
        </w:rPr>
        <w:t>9</w:t>
      </w:r>
      <w:r>
        <w:rPr>
          <w:rFonts w:hint="eastAsia" w:ascii="仿宋_GB2312" w:hAnsi="仿宋_GB2312" w:eastAsia="仿宋_GB2312" w:cs="仿宋_GB2312"/>
          <w:color w:val="auto"/>
          <w:kern w:val="28"/>
          <w:sz w:val="24"/>
          <w:lang w:val="en-US" w:eastAsia="zh-CN"/>
        </w:rPr>
        <w:t>7</w:t>
      </w:r>
      <w:r>
        <w:rPr>
          <w:rFonts w:hint="eastAsia" w:ascii="仿宋_GB2312" w:hAnsi="仿宋_GB2312" w:eastAsia="仿宋_GB2312" w:cs="仿宋_GB2312"/>
          <w:color w:val="auto"/>
          <w:kern w:val="28"/>
          <w:sz w:val="24"/>
        </w:rPr>
        <w:t>%（开具</w:t>
      </w:r>
      <w:r>
        <w:rPr>
          <w:rFonts w:hint="eastAsia" w:ascii="仿宋_GB2312" w:hAnsi="仿宋_GB2312" w:eastAsia="仿宋_GB2312" w:cs="仿宋_GB2312"/>
          <w:color w:val="auto"/>
          <w:kern w:val="28"/>
          <w:sz w:val="24"/>
          <w:lang w:eastAsia="zh-CN"/>
        </w:rPr>
        <w:t>合同价格</w:t>
      </w:r>
      <w:r>
        <w:rPr>
          <w:rFonts w:hint="eastAsia" w:ascii="仿宋_GB2312" w:hAnsi="仿宋_GB2312" w:eastAsia="仿宋_GB2312" w:cs="仿宋_GB2312"/>
          <w:color w:val="auto"/>
          <w:kern w:val="28"/>
          <w:sz w:val="24"/>
        </w:rPr>
        <w:t>100%、合法有效的增值税专用发票原件）</w:t>
      </w: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rPr>
        <w:t>剩下的</w:t>
      </w:r>
      <w:r>
        <w:rPr>
          <w:rFonts w:hint="eastAsia" w:ascii="仿宋_GB2312" w:hAnsi="仿宋_GB2312" w:eastAsia="仿宋_GB2312" w:cs="仿宋_GB2312"/>
          <w:color w:val="auto"/>
          <w:kern w:val="28"/>
          <w:sz w:val="24"/>
          <w:lang w:val="en-US" w:eastAsia="zh-CN"/>
        </w:rPr>
        <w:t>3</w:t>
      </w:r>
      <w:r>
        <w:rPr>
          <w:rFonts w:hint="eastAsia" w:ascii="仿宋_GB2312" w:hAnsi="仿宋_GB2312" w:eastAsia="仿宋_GB2312" w:cs="仿宋_GB2312"/>
          <w:color w:val="auto"/>
          <w:kern w:val="28"/>
          <w:sz w:val="24"/>
        </w:rPr>
        <w:t>%作为工程质量保证金，在已办理结算的前提下，保修期满后如无任何质量问题</w:t>
      </w:r>
      <w:r>
        <w:rPr>
          <w:rFonts w:hint="eastAsia" w:ascii="仿宋_GB2312" w:hAnsi="仿宋_GB2312" w:eastAsia="仿宋_GB2312" w:cs="仿宋_GB2312"/>
          <w:color w:val="auto"/>
          <w:kern w:val="28"/>
          <w:sz w:val="24"/>
          <w:lang w:eastAsia="zh-CN"/>
        </w:rPr>
        <w:t>甲方</w:t>
      </w:r>
      <w:r>
        <w:rPr>
          <w:rFonts w:hint="eastAsia" w:ascii="仿宋_GB2312" w:hAnsi="仿宋_GB2312" w:eastAsia="仿宋_GB2312" w:cs="仿宋_GB2312"/>
          <w:color w:val="auto"/>
          <w:kern w:val="28"/>
          <w:sz w:val="24"/>
        </w:rPr>
        <w:t>一次性无息付清；</w:t>
      </w:r>
      <w:bookmarkEnd w:id="9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lang w:val="en-US" w:eastAsia="zh-CN"/>
        </w:rPr>
        <w:t>11.3本合同以人民币结算，并采用银行转账方式支付</w:t>
      </w:r>
      <w:r>
        <w:rPr>
          <w:rFonts w:hint="eastAsia" w:ascii="仿宋_GB2312" w:hAnsi="仿宋_GB2312" w:eastAsia="仿宋_GB2312" w:cs="仿宋_GB2312"/>
          <w:color w:val="auto"/>
          <w:kern w:val="28"/>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lang w:val="en-US" w:eastAsia="zh-CN"/>
        </w:rPr>
        <w:t>11.4</w:t>
      </w:r>
      <w:r>
        <w:rPr>
          <w:rFonts w:hint="eastAsia" w:ascii="仿宋_GB2312" w:hAnsi="仿宋_GB2312" w:eastAsia="仿宋_GB2312" w:cs="仿宋_GB2312"/>
          <w:color w:val="auto"/>
          <w:kern w:val="28"/>
          <w:sz w:val="24"/>
        </w:rPr>
        <w:t>所有支付均在收到乙方提供的以下资料后支付：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lang w:val="en-US" w:eastAsia="zh-CN"/>
        </w:rPr>
        <w:t>1</w:t>
      </w: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rPr>
        <w:t>经甲方审批同意的支付申请和相关资料；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lang w:val="en-US" w:eastAsia="zh-CN"/>
        </w:rPr>
        <w:t>2</w:t>
      </w: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rPr>
        <w:t>相应的税务发票原件；</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lang w:val="en-US" w:eastAsia="zh-CN"/>
        </w:rPr>
        <w:t>3</w:t>
      </w:r>
      <w:r>
        <w:rPr>
          <w:rFonts w:hint="eastAsia" w:ascii="仿宋_GB2312" w:hAnsi="仿宋_GB2312" w:eastAsia="仿宋_GB2312" w:cs="仿宋_GB2312"/>
          <w:color w:val="auto"/>
          <w:kern w:val="28"/>
          <w:sz w:val="24"/>
          <w:lang w:eastAsia="zh-CN"/>
        </w:rPr>
        <w:t>）</w:t>
      </w:r>
      <w:r>
        <w:rPr>
          <w:rFonts w:hint="eastAsia" w:ascii="仿宋_GB2312" w:hAnsi="仿宋_GB2312" w:eastAsia="仿宋_GB2312" w:cs="仿宋_GB2312"/>
          <w:color w:val="auto"/>
          <w:kern w:val="28"/>
          <w:sz w:val="24"/>
        </w:rPr>
        <w:t>本合同约定的其他结算资料。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color w:val="auto"/>
          <w:kern w:val="28"/>
          <w:sz w:val="24"/>
        </w:rPr>
      </w:pPr>
      <w:r>
        <w:rPr>
          <w:rFonts w:hint="eastAsia" w:ascii="仿宋_GB2312" w:hAnsi="仿宋_GB2312" w:eastAsia="仿宋_GB2312" w:cs="仿宋_GB2312"/>
          <w:color w:val="auto"/>
          <w:kern w:val="28"/>
          <w:sz w:val="24"/>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color w:val="auto"/>
          <w:sz w:val="24"/>
          <w:szCs w:val="24"/>
        </w:rPr>
      </w:pPr>
      <w:bookmarkStart w:id="91" w:name="_Toc414154016"/>
      <w:bookmarkStart w:id="92" w:name="_Toc14396"/>
      <w:r>
        <w:rPr>
          <w:rFonts w:hint="eastAsia" w:ascii="仿宋_GB2312" w:hAnsi="仿宋_GB2312" w:eastAsia="仿宋_GB2312" w:cs="仿宋_GB2312"/>
          <w:bCs w:val="0"/>
          <w:color w:val="auto"/>
          <w:kern w:val="2"/>
          <w:sz w:val="24"/>
          <w:szCs w:val="24"/>
          <w:lang w:eastAsia="zh-CN"/>
        </w:rPr>
        <w:t>12</w:t>
      </w:r>
      <w:r>
        <w:rPr>
          <w:rFonts w:hint="eastAsia" w:ascii="仿宋_GB2312" w:hAnsi="仿宋_GB2312" w:eastAsia="仿宋_GB2312" w:cs="仿宋_GB2312"/>
          <w:bCs w:val="0"/>
          <w:color w:val="auto"/>
          <w:kern w:val="2"/>
          <w:sz w:val="24"/>
          <w:szCs w:val="24"/>
        </w:rPr>
        <w:t>、违约</w:t>
      </w:r>
      <w:bookmarkEnd w:id="91"/>
      <w:r>
        <w:rPr>
          <w:rFonts w:hint="eastAsia" w:ascii="仿宋_GB2312" w:hAnsi="仿宋_GB2312" w:eastAsia="仿宋_GB2312" w:cs="仿宋_GB2312"/>
          <w:bCs w:val="0"/>
          <w:color w:val="auto"/>
          <w:kern w:val="2"/>
          <w:sz w:val="24"/>
          <w:szCs w:val="24"/>
        </w:rPr>
        <w:t>责任</w:t>
      </w:r>
      <w:bookmarkEnd w:id="92"/>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s="仿宋_GB2312"/>
          <w:color w:val="auto"/>
          <w:sz w:val="24"/>
          <w:szCs w:val="24"/>
        </w:rPr>
        <w:t>12.1</w:t>
      </w:r>
      <w:r>
        <w:rPr>
          <w:rFonts w:hint="eastAsia" w:ascii="仿宋_GB2312" w:hAnsi="仿宋_GB2312" w:eastAsia="仿宋_GB2312"/>
          <w:color w:val="auto"/>
          <w:sz w:val="24"/>
          <w:highlight w:val="none"/>
          <w:lang w:eastAsia="zh-CN"/>
        </w:rPr>
        <w:t>乙方</w:t>
      </w:r>
      <w:r>
        <w:rPr>
          <w:rFonts w:hint="eastAsia" w:ascii="仿宋_GB2312" w:hAnsi="仿宋_GB2312" w:eastAsia="仿宋_GB2312"/>
          <w:strike w:val="0"/>
          <w:dstrike w:val="0"/>
          <w:color w:val="auto"/>
          <w:sz w:val="24"/>
          <w:highlight w:val="none"/>
        </w:rPr>
        <w:t>因自身</w:t>
      </w:r>
      <w:r>
        <w:rPr>
          <w:rFonts w:hint="eastAsia" w:ascii="仿宋_GB2312" w:hAnsi="仿宋_GB2312" w:eastAsia="仿宋_GB2312" w:cs="仿宋_GB2312"/>
          <w:color w:val="auto"/>
          <w:kern w:val="28"/>
          <w:sz w:val="24"/>
          <w:lang w:val="en-US" w:eastAsia="zh-CN"/>
        </w:rPr>
        <w:t>原因</w:t>
      </w:r>
      <w:r>
        <w:rPr>
          <w:rFonts w:hint="eastAsia" w:ascii="仿宋_GB2312" w:hAnsi="仿宋_GB2312" w:eastAsia="仿宋_GB2312"/>
          <w:color w:val="auto"/>
          <w:sz w:val="24"/>
          <w:highlight w:val="none"/>
        </w:rPr>
        <w:t>未能按合同要求完成工程施工的，每延误一天应向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12.2</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违反合同约定采购和使用不合格的材料和工程设备，每查实一次应按2000元/次向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交纳违约金，并负责更换合格的材料和工程设备直至</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满意为止，由此产生的相关费</w:t>
      </w:r>
      <w:r>
        <w:rPr>
          <w:rFonts w:hint="eastAsia" w:ascii="仿宋_GB2312" w:hAnsi="仿宋_GB2312" w:eastAsia="仿宋_GB2312"/>
          <w:color w:val="auto"/>
          <w:sz w:val="24"/>
          <w:highlight w:val="none"/>
          <w:u w:val="none"/>
        </w:rPr>
        <w:t>用</w:t>
      </w:r>
      <w:r>
        <w:rPr>
          <w:rFonts w:hint="eastAsia" w:ascii="仿宋_GB2312" w:hAnsi="仿宋_GB2312" w:eastAsia="仿宋_GB2312"/>
          <w:color w:val="auto"/>
          <w:sz w:val="24"/>
          <w:highlight w:val="none"/>
          <w:u w:val="none"/>
          <w:lang w:eastAsia="zh-CN"/>
        </w:rPr>
        <w:t>和造成的工程延误责任</w:t>
      </w:r>
      <w:r>
        <w:rPr>
          <w:rFonts w:hint="eastAsia" w:ascii="仿宋_GB2312" w:hAnsi="仿宋_GB2312" w:eastAsia="仿宋_GB2312"/>
          <w:color w:val="auto"/>
          <w:sz w:val="24"/>
          <w:highlight w:val="none"/>
          <w:u w:val="none"/>
        </w:rPr>
        <w:t>由</w:t>
      </w:r>
      <w:r>
        <w:rPr>
          <w:rFonts w:hint="eastAsia" w:ascii="仿宋_GB2312" w:hAnsi="仿宋_GB2312" w:eastAsia="仿宋_GB2312"/>
          <w:color w:val="auto"/>
          <w:sz w:val="24"/>
          <w:highlight w:val="none"/>
          <w:u w:val="none"/>
          <w:lang w:eastAsia="zh-CN"/>
        </w:rPr>
        <w:t>乙方</w:t>
      </w:r>
      <w:r>
        <w:rPr>
          <w:rFonts w:hint="eastAsia" w:ascii="仿宋_GB2312" w:hAnsi="仿宋_GB2312" w:eastAsia="仿宋_GB2312"/>
          <w:color w:val="auto"/>
          <w:sz w:val="24"/>
          <w:highlight w:val="none"/>
          <w:u w:val="none"/>
        </w:rPr>
        <w:t>承</w:t>
      </w:r>
      <w:r>
        <w:rPr>
          <w:rFonts w:hint="eastAsia" w:ascii="仿宋_GB2312" w:hAnsi="仿宋_GB2312" w:eastAsia="仿宋_GB2312"/>
          <w:color w:val="auto"/>
          <w:sz w:val="24"/>
          <w:highlight w:val="none"/>
        </w:rPr>
        <w:t>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12.3</w:t>
      </w:r>
      <w:r>
        <w:rPr>
          <w:rFonts w:hint="eastAsia" w:ascii="仿宋_GB2312" w:hAnsi="仿宋_GB2312" w:eastAsia="仿宋_GB2312"/>
          <w:color w:val="auto"/>
          <w:sz w:val="24"/>
          <w:highlight w:val="none"/>
        </w:rPr>
        <w:t>在施工过程中，</w:t>
      </w:r>
      <w:r>
        <w:rPr>
          <w:rFonts w:hint="eastAsia" w:ascii="仿宋_GB2312" w:hAnsi="仿宋_GB2312" w:eastAsia="仿宋_GB2312" w:cs="仿宋_GB2312"/>
          <w:color w:val="auto"/>
          <w:kern w:val="28"/>
          <w:sz w:val="24"/>
          <w:lang w:val="en-US" w:eastAsia="zh-CN"/>
        </w:rPr>
        <w:t>乙方</w:t>
      </w:r>
      <w:r>
        <w:rPr>
          <w:rFonts w:hint="eastAsia" w:ascii="仿宋_GB2312" w:hAnsi="仿宋_GB2312" w:eastAsia="仿宋_GB2312"/>
          <w:color w:val="auto"/>
          <w:sz w:val="24"/>
          <w:highlight w:val="none"/>
        </w:rPr>
        <w:t>存在质量安全隐患及不文明行为情况，且未根据相关部门要求及时整改的，</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交纳2000元/次·处的违约金，</w:t>
      </w:r>
      <w:r>
        <w:rPr>
          <w:rFonts w:hint="eastAsia" w:ascii="仿宋_GB2312" w:hAnsi="仿宋_GB2312" w:eastAsia="仿宋_GB2312"/>
          <w:color w:val="auto"/>
          <w:sz w:val="24"/>
          <w:highlight w:val="none"/>
          <w:lang w:eastAsia="zh-CN"/>
        </w:rPr>
        <w:t>且甲方有权对乙方予以</w:t>
      </w:r>
      <w:r>
        <w:rPr>
          <w:rFonts w:hint="eastAsia" w:ascii="仿宋_GB2312" w:hAnsi="仿宋_GB2312" w:eastAsia="仿宋_GB2312"/>
          <w:color w:val="auto"/>
          <w:sz w:val="24"/>
          <w:highlight w:val="none"/>
        </w:rPr>
        <w:t>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12.4乙方</w:t>
      </w:r>
      <w:r>
        <w:rPr>
          <w:rFonts w:hint="eastAsia" w:ascii="仿宋_GB2312" w:hAnsi="仿宋_GB2312" w:eastAsia="仿宋_GB2312"/>
          <w:color w:val="auto"/>
          <w:sz w:val="24"/>
          <w:highlight w:val="none"/>
        </w:rPr>
        <w:t>在施工过程中，发生一般等级及以上质量安全责任事故的，按照国家相关规定调查处理，由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承担相应的责任和损失，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交纳1万元</w:t>
      </w:r>
      <w:r>
        <w:rPr>
          <w:rFonts w:hint="eastAsia" w:ascii="仿宋_GB2312" w:hAnsi="仿宋_GB2312" w:eastAsia="仿宋_GB2312"/>
          <w:color w:val="auto"/>
          <w:sz w:val="24"/>
          <w:highlight w:val="none"/>
          <w:lang w:val="en-US" w:eastAsia="zh-CN"/>
        </w:rPr>
        <w:t>/次</w:t>
      </w:r>
      <w:r>
        <w:rPr>
          <w:rFonts w:hint="eastAsia" w:ascii="仿宋_GB2312" w:hAnsi="仿宋_GB2312" w:eastAsia="仿宋_GB2312"/>
          <w:color w:val="auto"/>
          <w:sz w:val="24"/>
          <w:highlight w:val="none"/>
        </w:rPr>
        <w:t>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13、</w:t>
      </w:r>
      <w:r>
        <w:rPr>
          <w:rFonts w:hint="eastAsia" w:ascii="仿宋_GB2312" w:hAnsi="仿宋_GB2312" w:eastAsia="仿宋_GB2312" w:cs="仿宋_GB2312"/>
          <w:b/>
          <w:bCs/>
          <w:color w:val="auto"/>
          <w:sz w:val="24"/>
          <w:szCs w:val="24"/>
          <w:lang w:eastAsia="zh-CN"/>
        </w:rPr>
        <w:t>甲方</w:t>
      </w:r>
      <w:r>
        <w:rPr>
          <w:rFonts w:hint="eastAsia" w:ascii="仿宋_GB2312" w:hAnsi="仿宋_GB2312" w:eastAsia="仿宋_GB2312" w:cs="仿宋_GB2312"/>
          <w:b/>
          <w:bCs/>
          <w:color w:val="auto"/>
          <w:sz w:val="24"/>
          <w:szCs w:val="24"/>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13.1</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应遵守法律，并办理法律规定由</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办理的许可、批准或备案，并协助</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办理法律规定的应由</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应书面通知</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其派驻施工现场的</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代表的姓名、职务、联系方式及授权范围等事项。</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代表在</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的授权范围内，负责处理合同履行过程中与</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应最迟于开工日期 7 天前向</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移交施工现场。</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应在移交施工现场前向</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应按合同约定向</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为保证工程质量、安全、进度和为规范市场行为、资金支付等下发的工程管理规定作为本合同的组成部分，</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承诺在合同履约期间严格遵守；否则，</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有权采取经济措施、勒令撤换人员、调整工程内容等以确保相关要求的落实。因</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不遵照</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下发的工程管理规定给</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造成的损失，由</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合同履约过程中，</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出现以下违约行为的，</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14、</w:t>
      </w:r>
      <w:r>
        <w:rPr>
          <w:rFonts w:hint="eastAsia" w:ascii="仿宋_GB2312" w:hAnsi="仿宋_GB2312" w:eastAsia="仿宋_GB2312" w:cs="仿宋_GB2312"/>
          <w:b/>
          <w:bCs/>
          <w:color w:val="auto"/>
          <w:sz w:val="24"/>
          <w:szCs w:val="24"/>
          <w:lang w:eastAsia="zh-CN"/>
        </w:rPr>
        <w:t>乙方</w:t>
      </w:r>
      <w:r>
        <w:rPr>
          <w:rFonts w:hint="eastAsia" w:ascii="仿宋_GB2312" w:hAnsi="仿宋_GB2312" w:eastAsia="仿宋_GB2312" w:cs="仿宋_GB2312"/>
          <w:b/>
          <w:bCs/>
          <w:color w:val="auto"/>
          <w:sz w:val="24"/>
          <w:szCs w:val="24"/>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14.2</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应办理法律规定由</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办理的许可和批准，并将办理结果书面报送</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14.3</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14.4</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应将</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14.5</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在进行合同约定的各项工作时，不得侵害</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与他人使用公用道路、水源、市政管网等公共设施的权利，避免对邻近的公共设施产生干扰。</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14.6</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应按照法律规定和合同约定编制竣工资料，完成竣工资料立卷及归档，并向</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提交用于存档的不少于</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14.7</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应自行解决施工所需的通讯、场内道路以及施工、办公、生活所需的临时房屋、办公设备、施工设备等设施、设备，相关费用已含在签约合同价中。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14.8</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应当预计到施工期间对外界可能产生的必需的不可能避免的干扰，应当积极主动与外界进行协调。</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有责任维护</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在市民中的企业形象，若因工程原因发生骚乱等对</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有影响的重大事件，</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要负全责，造成</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被第三方索赔，</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保留向</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14.9</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指派</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14.10因政策变化、不可抗力及合同当事人之外的原因导致合同暂停，</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1</w:t>
      </w:r>
      <w:r>
        <w:rPr>
          <w:rFonts w:hint="eastAsia" w:ascii="仿宋_GB2312" w:hAnsi="仿宋_GB2312" w:eastAsia="仿宋_GB2312" w:cs="仿宋_GB2312"/>
          <w:b/>
          <w:color w:val="auto"/>
          <w:sz w:val="24"/>
          <w:szCs w:val="24"/>
          <w:lang w:val="en-US" w:eastAsia="zh-CN"/>
        </w:rPr>
        <w:t>5</w:t>
      </w:r>
      <w:r>
        <w:rPr>
          <w:rFonts w:hint="eastAsia" w:ascii="仿宋_GB2312" w:hAnsi="仿宋_GB2312" w:eastAsia="仿宋_GB2312" w:cs="仿宋_GB2312"/>
          <w:b/>
          <w:color w:val="auto"/>
          <w:sz w:val="24"/>
          <w:szCs w:val="24"/>
        </w:rPr>
        <w:t>、其他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.1合同当事人应在颁发工程接收证书后 7 天内完成工程的移交。工程移交前，</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应负责工程照管、成品保护、保管等，并承担与之</w:t>
      </w:r>
      <w:r>
        <w:rPr>
          <w:rFonts w:hint="eastAsia" w:ascii="仿宋_GB2312" w:hAnsi="仿宋_GB2312" w:eastAsia="仿宋_GB2312" w:cs="仿宋_GB2312"/>
          <w:color w:val="auto"/>
          <w:sz w:val="24"/>
          <w:szCs w:val="24"/>
          <w:highlight w:val="none"/>
        </w:rPr>
        <w:t>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.2因合同及合同有关事项产生的争议，合同当事人可以向</w:t>
      </w:r>
      <w:r>
        <w:rPr>
          <w:rFonts w:hint="eastAsia" w:ascii="仿宋_GB2312" w:hAnsi="仿宋_GB2312" w:eastAsia="仿宋_GB2312" w:cs="仿宋_GB2312"/>
          <w:color w:val="auto"/>
          <w:sz w:val="24"/>
          <w:szCs w:val="24"/>
          <w:highlight w:val="none"/>
          <w:u w:val="single"/>
        </w:rPr>
        <w:t>本合同签订地</w:t>
      </w:r>
      <w:r>
        <w:rPr>
          <w:rFonts w:hint="eastAsia" w:ascii="仿宋_GB2312" w:hAnsi="仿宋_GB2312" w:eastAsia="仿宋_GB2312" w:cs="仿宋_GB2312"/>
          <w:color w:val="auto"/>
          <w:sz w:val="24"/>
          <w:szCs w:val="24"/>
          <w:highlight w:val="none"/>
          <w:u w:val="single"/>
          <w:lang w:eastAsia="zh-CN"/>
        </w:rPr>
        <w:t>（长沙市雨花区）</w:t>
      </w:r>
      <w:r>
        <w:rPr>
          <w:rFonts w:hint="eastAsia" w:ascii="仿宋_GB2312" w:hAnsi="仿宋_GB2312" w:eastAsia="仿宋_GB2312" w:cs="仿宋_GB2312"/>
          <w:color w:val="auto"/>
          <w:sz w:val="24"/>
          <w:szCs w:val="24"/>
          <w:highlight w:val="none"/>
          <w:u w:val="single"/>
        </w:rPr>
        <w:t>的人民法院</w:t>
      </w:r>
      <w:r>
        <w:rPr>
          <w:rFonts w:hint="eastAsia" w:ascii="仿宋_GB2312" w:hAnsi="仿宋_GB2312" w:eastAsia="仿宋_GB2312" w:cs="仿宋_GB2312"/>
          <w:color w:val="auto"/>
          <w:sz w:val="24"/>
          <w:szCs w:val="24"/>
          <w:highlight w:val="none"/>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.4本合同自</w:t>
      </w:r>
      <w:r>
        <w:rPr>
          <w:rFonts w:hint="eastAsia" w:ascii="仿宋_GB2312" w:hAnsi="仿宋_GB2312" w:eastAsia="仿宋_GB2312" w:cs="仿宋_GB2312"/>
          <w:color w:val="auto"/>
          <w:sz w:val="24"/>
          <w:szCs w:val="24"/>
          <w:u w:val="none"/>
        </w:rPr>
        <w:t xml:space="preserve"> 双方法定代表人或授权</w:t>
      </w:r>
      <w:r>
        <w:rPr>
          <w:rFonts w:hint="eastAsia" w:ascii="仿宋_GB2312" w:hAnsi="仿宋_GB2312" w:eastAsia="仿宋_GB2312" w:cs="仿宋_GB2312"/>
          <w:color w:val="auto"/>
          <w:sz w:val="24"/>
          <w:szCs w:val="24"/>
          <w:u w:val="none"/>
          <w:lang w:eastAsia="zh-CN"/>
        </w:rPr>
        <w:t>代表</w:t>
      </w:r>
      <w:r>
        <w:rPr>
          <w:rFonts w:hint="eastAsia" w:ascii="仿宋_GB2312" w:hAnsi="仿宋_GB2312" w:eastAsia="仿宋_GB2312" w:cs="仿宋_GB2312"/>
          <w:color w:val="auto"/>
          <w:sz w:val="24"/>
          <w:szCs w:val="24"/>
          <w:u w:val="none"/>
        </w:rPr>
        <w:t>签字，加盖</w:t>
      </w:r>
      <w:r>
        <w:rPr>
          <w:rFonts w:hint="eastAsia" w:ascii="仿宋_GB2312" w:hAnsi="仿宋_GB2312" w:eastAsia="仿宋_GB2312" w:cs="仿宋_GB2312"/>
          <w:color w:val="auto"/>
          <w:sz w:val="24"/>
          <w:szCs w:val="24"/>
          <w:u w:val="none"/>
          <w:lang w:eastAsia="zh-CN"/>
        </w:rPr>
        <w:t>公章或</w:t>
      </w:r>
      <w:r>
        <w:rPr>
          <w:rFonts w:hint="eastAsia" w:ascii="仿宋_GB2312" w:hAnsi="仿宋_GB2312" w:eastAsia="仿宋_GB2312" w:cs="仿宋_GB2312"/>
          <w:color w:val="auto"/>
          <w:sz w:val="24"/>
          <w:szCs w:val="24"/>
          <w:u w:val="none"/>
        </w:rPr>
        <w:t>合同专用章后</w:t>
      </w:r>
      <w:r>
        <w:rPr>
          <w:rFonts w:hint="eastAsia" w:ascii="仿宋_GB2312" w:hAnsi="仿宋_GB2312" w:eastAsia="仿宋_GB2312" w:cs="仿宋_GB2312"/>
          <w:color w:val="auto"/>
          <w:sz w:val="24"/>
          <w:szCs w:val="24"/>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15.5</w:t>
      </w:r>
      <w:r>
        <w:rPr>
          <w:rFonts w:hint="eastAsia" w:ascii="仿宋_GB2312" w:hAnsi="仿宋_GB2312" w:eastAsia="仿宋_GB2312" w:cs="仿宋_GB2312"/>
          <w:color w:val="auto"/>
          <w:sz w:val="24"/>
          <w:szCs w:val="24"/>
        </w:rPr>
        <w:t>合同签订时间</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本合同于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15.6合同签订地点</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本合同在</w:t>
      </w:r>
      <w:r>
        <w:rPr>
          <w:rFonts w:hint="eastAsia" w:ascii="仿宋_GB2312" w:hAnsi="仿宋_GB2312" w:eastAsia="仿宋_GB2312" w:cs="仿宋_GB2312"/>
          <w:color w:val="auto"/>
          <w:sz w:val="24"/>
          <w:szCs w:val="24"/>
          <w:u w:val="single"/>
          <w:lang w:val="en-US" w:eastAsia="zh-CN"/>
        </w:rPr>
        <w:t xml:space="preserve"> 湖南省长沙市雨花区 </w:t>
      </w:r>
      <w:r>
        <w:rPr>
          <w:rFonts w:hint="eastAsia" w:ascii="仿宋_GB2312" w:hAnsi="仿宋_GB2312" w:eastAsia="仿宋_GB2312" w:cs="仿宋_GB2312"/>
          <w:color w:val="auto"/>
          <w:sz w:val="24"/>
          <w:szCs w:val="24"/>
          <w:lang w:val="en-US" w:eastAsia="zh-CN"/>
        </w:rPr>
        <w:t>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u w:val="none"/>
        </w:rPr>
        <w:t>本合同一式</w:t>
      </w:r>
      <w:r>
        <w:rPr>
          <w:rFonts w:hint="eastAsia" w:ascii="仿宋_GB2312" w:hAnsi="仿宋_GB2312" w:eastAsia="仿宋_GB2312" w:cs="仿宋_GB2312"/>
          <w:color w:val="auto"/>
          <w:sz w:val="24"/>
          <w:szCs w:val="24"/>
          <w:u w:val="none"/>
          <w:lang w:eastAsia="zh-CN"/>
        </w:rPr>
        <w:t>八</w:t>
      </w:r>
      <w:r>
        <w:rPr>
          <w:rFonts w:hint="eastAsia" w:ascii="仿宋_GB2312" w:hAnsi="仿宋_GB2312" w:eastAsia="仿宋_GB2312" w:cs="仿宋_GB2312"/>
          <w:color w:val="auto"/>
          <w:sz w:val="24"/>
          <w:szCs w:val="24"/>
          <w:u w:val="none"/>
        </w:rPr>
        <w:t>份（二正</w:t>
      </w:r>
      <w:r>
        <w:rPr>
          <w:rFonts w:hint="eastAsia" w:ascii="仿宋_GB2312" w:hAnsi="仿宋_GB2312" w:eastAsia="仿宋_GB2312" w:cs="仿宋_GB2312"/>
          <w:color w:val="auto"/>
          <w:sz w:val="24"/>
          <w:szCs w:val="24"/>
          <w:u w:val="none"/>
          <w:lang w:eastAsia="zh-CN"/>
        </w:rPr>
        <w:t>六</w:t>
      </w:r>
      <w:r>
        <w:rPr>
          <w:rFonts w:hint="eastAsia" w:ascii="仿宋_GB2312" w:hAnsi="仿宋_GB2312" w:eastAsia="仿宋_GB2312" w:cs="仿宋_GB2312"/>
          <w:color w:val="auto"/>
          <w:sz w:val="24"/>
          <w:szCs w:val="24"/>
          <w:u w:val="none"/>
        </w:rPr>
        <w:t>副），</w:t>
      </w:r>
      <w:r>
        <w:rPr>
          <w:rFonts w:hint="eastAsia" w:ascii="仿宋_GB2312" w:hAnsi="仿宋_GB2312" w:eastAsia="仿宋_GB2312" w:cs="仿宋_GB2312"/>
          <w:color w:val="auto"/>
          <w:sz w:val="24"/>
          <w:szCs w:val="24"/>
          <w:u w:val="none"/>
          <w:lang w:eastAsia="zh-CN"/>
        </w:rPr>
        <w:t>甲方</w:t>
      </w:r>
      <w:r>
        <w:rPr>
          <w:rFonts w:hint="eastAsia" w:ascii="仿宋_GB2312" w:hAnsi="仿宋_GB2312" w:eastAsia="仿宋_GB2312" w:cs="仿宋_GB2312"/>
          <w:color w:val="auto"/>
          <w:sz w:val="24"/>
          <w:szCs w:val="24"/>
          <w:u w:val="none"/>
        </w:rPr>
        <w:t>执</w:t>
      </w:r>
      <w:r>
        <w:rPr>
          <w:rFonts w:hint="eastAsia" w:ascii="仿宋_GB2312" w:hAnsi="仿宋_GB2312" w:eastAsia="仿宋_GB2312" w:cs="仿宋_GB2312"/>
          <w:color w:val="auto"/>
          <w:sz w:val="24"/>
          <w:szCs w:val="24"/>
          <w:u w:val="none"/>
          <w:lang w:eastAsia="zh-CN"/>
        </w:rPr>
        <w:t>六</w:t>
      </w:r>
      <w:r>
        <w:rPr>
          <w:rFonts w:hint="eastAsia" w:ascii="仿宋_GB2312" w:hAnsi="仿宋_GB2312" w:eastAsia="仿宋_GB2312" w:cs="仿宋_GB2312"/>
          <w:color w:val="auto"/>
          <w:sz w:val="24"/>
          <w:szCs w:val="24"/>
          <w:u w:val="none"/>
        </w:rPr>
        <w:t>份（一正</w:t>
      </w:r>
      <w:r>
        <w:rPr>
          <w:rFonts w:hint="eastAsia" w:ascii="仿宋_GB2312" w:hAnsi="仿宋_GB2312" w:eastAsia="仿宋_GB2312" w:cs="仿宋_GB2312"/>
          <w:color w:val="auto"/>
          <w:sz w:val="24"/>
          <w:szCs w:val="24"/>
          <w:u w:val="none"/>
          <w:lang w:eastAsia="zh-CN"/>
        </w:rPr>
        <w:t>五</w:t>
      </w:r>
      <w:r>
        <w:rPr>
          <w:rFonts w:hint="eastAsia" w:ascii="仿宋_GB2312" w:hAnsi="仿宋_GB2312" w:eastAsia="仿宋_GB2312" w:cs="仿宋_GB2312"/>
          <w:color w:val="auto"/>
          <w:sz w:val="24"/>
          <w:szCs w:val="24"/>
          <w:u w:val="none"/>
        </w:rPr>
        <w:t>副），</w:t>
      </w:r>
      <w:r>
        <w:rPr>
          <w:rFonts w:hint="eastAsia" w:ascii="仿宋_GB2312" w:hAnsi="仿宋_GB2312" w:eastAsia="仿宋_GB2312" w:cs="仿宋_GB2312"/>
          <w:color w:val="auto"/>
          <w:sz w:val="24"/>
          <w:szCs w:val="24"/>
          <w:u w:val="none"/>
          <w:lang w:eastAsia="zh-CN"/>
        </w:rPr>
        <w:t>乙方</w:t>
      </w:r>
      <w:r>
        <w:rPr>
          <w:rFonts w:hint="eastAsia" w:ascii="仿宋_GB2312" w:hAnsi="仿宋_GB2312" w:eastAsia="仿宋_GB2312" w:cs="仿宋_GB2312"/>
          <w:color w:val="auto"/>
          <w:sz w:val="24"/>
          <w:szCs w:val="24"/>
          <w:u w:val="none"/>
        </w:rPr>
        <w:t>执</w:t>
      </w:r>
      <w:r>
        <w:rPr>
          <w:rFonts w:hint="eastAsia" w:ascii="仿宋_GB2312" w:hAnsi="仿宋_GB2312" w:eastAsia="仿宋_GB2312" w:cs="仿宋_GB2312"/>
          <w:color w:val="auto"/>
          <w:sz w:val="24"/>
          <w:szCs w:val="24"/>
          <w:u w:val="none"/>
          <w:lang w:eastAsia="zh-CN"/>
        </w:rPr>
        <w:t>二</w:t>
      </w:r>
      <w:r>
        <w:rPr>
          <w:rFonts w:hint="eastAsia" w:ascii="仿宋_GB2312" w:hAnsi="仿宋_GB2312" w:eastAsia="仿宋_GB2312" w:cs="仿宋_GB2312"/>
          <w:color w:val="auto"/>
          <w:sz w:val="24"/>
          <w:szCs w:val="24"/>
          <w:u w:val="none"/>
        </w:rPr>
        <w:t>份（一正</w:t>
      </w:r>
      <w:r>
        <w:rPr>
          <w:rFonts w:hint="eastAsia" w:ascii="仿宋_GB2312" w:hAnsi="仿宋_GB2312" w:eastAsia="仿宋_GB2312" w:cs="仿宋_GB2312"/>
          <w:color w:val="auto"/>
          <w:sz w:val="24"/>
          <w:szCs w:val="24"/>
          <w:u w:val="none"/>
          <w:lang w:eastAsia="zh-CN"/>
        </w:rPr>
        <w:t>一</w:t>
      </w:r>
      <w:r>
        <w:rPr>
          <w:rFonts w:hint="eastAsia" w:ascii="仿宋_GB2312" w:hAnsi="仿宋_GB2312" w:eastAsia="仿宋_GB2312" w:cs="仿宋_GB2312"/>
          <w:color w:val="auto"/>
          <w:sz w:val="24"/>
          <w:szCs w:val="24"/>
          <w:u w:val="none"/>
        </w:rPr>
        <w:t>副）。合同正本和副本均具有同等法律效力，当合同副本与正本存有差异时，以合同正本为准。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15.8</w:t>
      </w:r>
      <w:r>
        <w:rPr>
          <w:rFonts w:hint="eastAsia" w:ascii="仿宋_GB2312" w:hAnsi="仿宋_GB2312" w:eastAsia="仿宋_GB2312" w:cs="仿宋_GB2312"/>
          <w:color w:val="auto"/>
          <w:sz w:val="24"/>
          <w:szCs w:val="24"/>
        </w:rPr>
        <w:t>“合同价格”系指</w:t>
      </w:r>
      <w:r>
        <w:rPr>
          <w:rFonts w:hint="eastAsia" w:ascii="仿宋_GB2312" w:hAnsi="仿宋_GB2312" w:eastAsia="仿宋_GB2312" w:cs="仿宋_GB2312"/>
          <w:color w:val="auto"/>
          <w:sz w:val="24"/>
          <w:szCs w:val="24"/>
          <w:lang w:eastAsia="zh-CN"/>
        </w:rPr>
        <w:t>甲方</w:t>
      </w:r>
      <w:r>
        <w:rPr>
          <w:rFonts w:hint="eastAsia" w:ascii="仿宋_GB2312" w:hAnsi="仿宋_GB2312" w:eastAsia="仿宋_GB2312" w:cs="仿宋_GB2312"/>
          <w:color w:val="auto"/>
          <w:sz w:val="24"/>
          <w:szCs w:val="24"/>
        </w:rPr>
        <w:t>用于支付</w:t>
      </w:r>
      <w:r>
        <w:rPr>
          <w:rFonts w:hint="eastAsia" w:ascii="仿宋_GB2312" w:hAnsi="仿宋_GB2312" w:eastAsia="仿宋_GB2312" w:cs="仿宋_GB2312"/>
          <w:color w:val="auto"/>
          <w:sz w:val="24"/>
          <w:szCs w:val="24"/>
          <w:lang w:eastAsia="zh-CN"/>
        </w:rPr>
        <w:t>乙方</w:t>
      </w:r>
      <w:r>
        <w:rPr>
          <w:rFonts w:hint="eastAsia" w:ascii="仿宋_GB2312" w:hAnsi="仿宋_GB2312" w:eastAsia="仿宋_GB2312" w:cs="仿宋_GB2312"/>
          <w:color w:val="auto"/>
          <w:sz w:val="24"/>
          <w:szCs w:val="24"/>
        </w:rPr>
        <w:t>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val="en-US" w:eastAsia="zh-CN"/>
        </w:rPr>
        <w:t>15.9双方约定的其他事项（本条约定与合同条款中其他约定不一致时，以本条为准）：</w:t>
      </w:r>
      <w:r>
        <w:rPr>
          <w:rFonts w:hint="eastAsia" w:ascii="仿宋_GB2312" w:hAnsi="仿宋_GB2312" w:eastAsia="仿宋_GB2312" w:cs="仿宋_GB2312"/>
          <w:color w:val="auto"/>
          <w:sz w:val="24"/>
          <w:szCs w:val="24"/>
          <w:u w:val="single"/>
          <w:lang w:val="en-US" w:eastAsia="zh-CN"/>
        </w:rPr>
        <w:t xml:space="preserve"> 15.9.1增加条款：12.5人员管理不到位的违约责任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single"/>
          <w:lang w:val="en-US" w:eastAsia="zh-CN"/>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single"/>
          <w:lang w:val="en-US" w:eastAsia="zh-CN"/>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u w:val="single"/>
          <w:lang w:val="en-US" w:eastAsia="zh-CN"/>
        </w:rPr>
        <w:t>15.9.2根据甲方需要，本合同执行过程中，甲方均使用合同章向乙方出具通知、函件等文件，甲方对使用合同章向乙方所发通知、函件等文件均予以认可。</w:t>
      </w:r>
    </w:p>
    <w:p>
      <w:pPr>
        <w:pStyle w:val="2"/>
        <w:outlineLvl w:val="9"/>
        <w:rPr>
          <w:rFonts w:hint="eastAsia"/>
          <w:color w:val="auto"/>
          <w:lang w:eastAsia="zh-CN"/>
        </w:rPr>
      </w:pPr>
    </w:p>
    <w:p>
      <w:pPr>
        <w:pStyle w:val="2"/>
        <w:outlineLvl w:val="9"/>
        <w:rPr>
          <w:rFonts w:hint="eastAsia"/>
          <w:color w:val="auto"/>
        </w:rPr>
      </w:pPr>
    </w:p>
    <w:p>
      <w:pPr>
        <w:adjustRightInd w:val="0"/>
        <w:snapToGrid w:val="0"/>
        <w:spacing w:line="360" w:lineRule="auto"/>
        <w:ind w:firstLine="630"/>
        <w:outlineLvl w:val="9"/>
        <w:rPr>
          <w:rFonts w:hint="eastAsia" w:ascii="仿宋_GB2312" w:hAnsi="仿宋_GB2312" w:eastAsia="仿宋_GB2312" w:cs="仿宋_GB2312"/>
          <w:color w:val="auto"/>
          <w:sz w:val="24"/>
          <w:szCs w:val="24"/>
        </w:rPr>
      </w:pPr>
    </w:p>
    <w:p>
      <w:pPr>
        <w:pStyle w:val="2"/>
        <w:outlineLvl w:val="9"/>
        <w:rPr>
          <w:rFonts w:hint="eastAsia" w:ascii="仿宋_GB2312" w:hAnsi="仿宋_GB2312" w:eastAsia="仿宋_GB2312" w:cs="仿宋_GB2312"/>
          <w:color w:val="auto"/>
          <w:sz w:val="24"/>
          <w:szCs w:val="24"/>
        </w:rPr>
      </w:pPr>
    </w:p>
    <w:p>
      <w:pPr>
        <w:outlineLvl w:val="9"/>
        <w:rPr>
          <w:rFonts w:hint="eastAsia" w:ascii="仿宋_GB2312" w:hAnsi="仿宋_GB2312" w:eastAsia="仿宋_GB2312" w:cs="仿宋_GB2312"/>
          <w:color w:val="auto"/>
          <w:sz w:val="24"/>
          <w:szCs w:val="24"/>
        </w:rPr>
      </w:pPr>
    </w:p>
    <w:p>
      <w:pPr>
        <w:pStyle w:val="2"/>
        <w:outlineLvl w:val="9"/>
        <w:rPr>
          <w:rFonts w:hint="eastAsia" w:ascii="仿宋_GB2312" w:hAnsi="仿宋_GB2312" w:eastAsia="仿宋_GB2312" w:cs="仿宋_GB2312"/>
          <w:color w:val="auto"/>
          <w:sz w:val="24"/>
          <w:szCs w:val="24"/>
        </w:rPr>
      </w:pPr>
    </w:p>
    <w:p>
      <w:pPr>
        <w:outlineLvl w:val="9"/>
        <w:rPr>
          <w:rFonts w:hint="eastAsia" w:ascii="仿宋_GB2312" w:hAnsi="仿宋_GB2312" w:eastAsia="仿宋_GB2312" w:cs="仿宋_GB2312"/>
          <w:color w:val="auto"/>
          <w:sz w:val="24"/>
          <w:szCs w:val="24"/>
        </w:rPr>
      </w:pPr>
    </w:p>
    <w:p>
      <w:pPr>
        <w:pStyle w:val="2"/>
        <w:outlineLvl w:val="9"/>
        <w:rPr>
          <w:rFonts w:hint="eastAsia" w:ascii="仿宋_GB2312" w:hAnsi="仿宋_GB2312" w:eastAsia="仿宋_GB2312" w:cs="仿宋_GB2312"/>
          <w:color w:val="auto"/>
          <w:sz w:val="24"/>
          <w:szCs w:val="24"/>
        </w:rPr>
      </w:pPr>
    </w:p>
    <w:p>
      <w:pPr>
        <w:outlineLvl w:val="9"/>
        <w:rPr>
          <w:rFonts w:hint="eastAsia"/>
          <w:color w:val="auto"/>
        </w:rPr>
      </w:pPr>
    </w:p>
    <w:p>
      <w:pPr>
        <w:adjustRightInd w:val="0"/>
        <w:snapToGrid w:val="0"/>
        <w:spacing w:line="360" w:lineRule="auto"/>
        <w:ind w:firstLine="630"/>
        <w:outlineLvl w:val="9"/>
        <w:rPr>
          <w:rFonts w:hint="eastAsia" w:ascii="仿宋_GB2312" w:hAnsi="仿宋_GB2312" w:eastAsia="仿宋_GB2312" w:cs="仿宋_GB2312"/>
          <w:color w:val="auto"/>
          <w:sz w:val="24"/>
          <w:szCs w:val="24"/>
        </w:rPr>
      </w:pPr>
    </w:p>
    <w:p>
      <w:pPr>
        <w:adjustRightInd w:val="0"/>
        <w:snapToGrid w:val="0"/>
        <w:spacing w:line="360" w:lineRule="auto"/>
        <w:ind w:firstLine="630"/>
        <w:outlineLvl w:val="9"/>
        <w:rPr>
          <w:rFonts w:hint="eastAsia" w:ascii="仿宋_GB2312" w:hAnsi="仿宋_GB2312" w:eastAsia="仿宋_GB2312" w:cs="仿宋_GB2312"/>
          <w:color w:val="auto"/>
          <w:sz w:val="24"/>
          <w:szCs w:val="24"/>
        </w:rPr>
      </w:pPr>
    </w:p>
    <w:p>
      <w:pPr>
        <w:adjustRightInd w:val="0"/>
        <w:snapToGrid w:val="0"/>
        <w:spacing w:line="360" w:lineRule="auto"/>
        <w:ind w:firstLine="630"/>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（以下无正文条款）</w:t>
      </w:r>
    </w:p>
    <w:p>
      <w:pPr>
        <w:adjustRightInd w:val="0"/>
        <w:snapToGrid w:val="0"/>
        <w:spacing w:line="360" w:lineRule="auto"/>
        <w:ind w:firstLine="630"/>
        <w:outlineLvl w:val="9"/>
        <w:rPr>
          <w:rFonts w:hint="eastAsia" w:ascii="仿宋" w:hAnsi="仿宋" w:eastAsia="仿宋" w:cs="仿宋"/>
          <w:color w:val="auto"/>
          <w:sz w:val="24"/>
          <w:szCs w:val="24"/>
        </w:rPr>
      </w:pPr>
    </w:p>
    <w:bookmarkEnd w:id="82"/>
    <w:tbl>
      <w:tblPr>
        <w:tblStyle w:val="47"/>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甲方：(盖章)</w:t>
            </w:r>
          </w:p>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乙方：（盖章）</w:t>
            </w:r>
          </w:p>
          <w:p>
            <w:pPr>
              <w:pStyle w:val="25"/>
              <w:snapToGrid w:val="0"/>
              <w:spacing w:line="360" w:lineRule="auto"/>
              <w:outlineLvl w:val="9"/>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法定代表人或其授权代表：</w:t>
            </w:r>
          </w:p>
        </w:tc>
        <w:tc>
          <w:tcPr>
            <w:tcW w:w="4194" w:type="dxa"/>
            <w:tcBorders>
              <w:top w:val="nil"/>
              <w:left w:val="nil"/>
              <w:bottom w:val="nil"/>
              <w:right w:val="nil"/>
            </w:tcBorders>
            <w:noWrap w:val="0"/>
            <w:vAlign w:val="top"/>
          </w:tcPr>
          <w:p>
            <w:pPr>
              <w:pStyle w:val="25"/>
              <w:snapToGrid w:val="0"/>
              <w:spacing w:line="360" w:lineRule="auto"/>
              <w:ind w:left="34" w:leftChars="16"/>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址：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编：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话： </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真： </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开户银行：</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号：</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税</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号：</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税</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号：</w:t>
            </w:r>
          </w:p>
        </w:tc>
      </w:tr>
    </w:tbl>
    <w:p>
      <w:pPr>
        <w:adjustRightInd w:val="0"/>
        <w:snapToGrid w:val="0"/>
        <w:spacing w:line="800" w:lineRule="exact"/>
        <w:outlineLvl w:val="9"/>
        <w:rPr>
          <w:rFonts w:hint="eastAsia" w:ascii="仿宋" w:hAnsi="仿宋" w:eastAsia="仿宋" w:cs="仿宋"/>
          <w:color w:val="auto"/>
          <w:sz w:val="32"/>
          <w:szCs w:val="32"/>
        </w:rPr>
        <w:sectPr>
          <w:headerReference r:id="rId10" w:type="default"/>
          <w:footerReference r:id="rId11" w:type="default"/>
          <w:pgSz w:w="11906" w:h="16838"/>
          <w:pgMar w:top="1418" w:right="1418" w:bottom="1418" w:left="1588" w:header="851" w:footer="992" w:gutter="0"/>
          <w:pgNumType w:fmt="decimal"/>
          <w:cols w:space="720" w:num="1"/>
          <w:docGrid w:type="lines" w:linePitch="312" w:charSpace="0"/>
        </w:sectPr>
      </w:pPr>
      <w:r>
        <w:rPr>
          <w:rFonts w:hint="eastAsia" w:ascii="仿宋" w:hAnsi="仿宋" w:eastAsia="仿宋" w:cs="仿宋"/>
          <w:color w:val="auto"/>
          <w:sz w:val="32"/>
          <w:szCs w:val="32"/>
        </w:rPr>
        <w:t xml:space="preserve"> </w:t>
      </w:r>
    </w:p>
    <w:p>
      <w:pPr>
        <w:pageBreakBefore w:val="0"/>
        <w:numPr>
          <w:ilvl w:val="0"/>
          <w:numId w:val="7"/>
        </w:numPr>
        <w:tabs>
          <w:tab w:val="left" w:pos="2799"/>
        </w:tabs>
        <w:kinsoku/>
        <w:overflowPunct/>
        <w:bidi w:val="0"/>
        <w:spacing w:line="400" w:lineRule="exact"/>
        <w:ind w:leftChars="0" w:right="0" w:rightChars="0"/>
        <w:jc w:val="center"/>
        <w:outlineLvl w:val="9"/>
        <w:rPr>
          <w:rFonts w:hint="eastAsia" w:ascii="仿宋" w:hAnsi="仿宋" w:eastAsia="仿宋" w:cs="仿宋"/>
          <w:b/>
          <w:bCs/>
          <w:color w:val="auto"/>
          <w:sz w:val="32"/>
          <w:szCs w:val="32"/>
          <w:lang w:val="en-US" w:eastAsia="zh-CN"/>
        </w:rPr>
      </w:pPr>
      <w:bookmarkStart w:id="93" w:name="_Toc10030"/>
      <w:r>
        <w:rPr>
          <w:rFonts w:hint="eastAsia" w:ascii="仿宋" w:hAnsi="仿宋" w:eastAsia="仿宋" w:cs="仿宋"/>
          <w:b/>
          <w:bCs/>
          <w:color w:val="auto"/>
          <w:sz w:val="32"/>
          <w:szCs w:val="32"/>
          <w:lang w:val="en-US" w:eastAsia="zh-CN"/>
        </w:rPr>
        <w:t>中选通知书</w:t>
      </w: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p>
    <w:p>
      <w:pPr>
        <w:pageBreakBefore w:val="0"/>
        <w:numPr>
          <w:ilvl w:val="0"/>
          <w:numId w:val="0"/>
        </w:numPr>
        <w:tabs>
          <w:tab w:val="left" w:pos="2799"/>
        </w:tabs>
        <w:kinsoku/>
        <w:overflowPunct/>
        <w:bidi w:val="0"/>
        <w:spacing w:line="400" w:lineRule="exact"/>
        <w:ind w:right="0" w:rightChars="0" w:firstLine="2570" w:firstLineChars="800"/>
        <w:jc w:val="both"/>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第三部分 合同附件</w:t>
      </w:r>
    </w:p>
    <w:bookmarkEnd w:id="93"/>
    <w:p>
      <w:pPr>
        <w:adjustRightInd w:val="0"/>
        <w:snapToGrid w:val="0"/>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24"/>
          <w:highlight w:val="none"/>
        </w:rPr>
        <w:t>附件1 廉政协议</w:t>
      </w:r>
    </w:p>
    <w:p>
      <w:pPr>
        <w:adjustRightInd w:val="0"/>
        <w:snapToGrid w:val="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廉政协议</w:t>
      </w:r>
    </w:p>
    <w:p>
      <w:pPr>
        <w:widowControl/>
        <w:snapToGrid w:val="0"/>
        <w:spacing w:line="360" w:lineRule="auto"/>
        <w:jc w:val="left"/>
        <w:rPr>
          <w:rFonts w:hint="eastAsia" w:ascii="仿宋_GB2312" w:hAnsi="仿宋_GB2312" w:eastAsia="仿宋_GB2312" w:cs="仿宋_GB2312"/>
          <w:color w:val="auto"/>
          <w:sz w:val="24"/>
          <w:highlight w:val="none"/>
          <w:lang w:bidi="en-US"/>
        </w:rPr>
      </w:pPr>
    </w:p>
    <w:p>
      <w:pPr>
        <w:pStyle w:val="13"/>
        <w:snapToGrid w:val="0"/>
        <w:spacing w:line="440" w:lineRule="exact"/>
        <w:ind w:firstLine="0"/>
        <w:jc w:val="lef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en-US" w:eastAsia="zh-CN"/>
        </w:rPr>
        <w:t>甲方</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pPr>
        <w:pStyle w:val="13"/>
        <w:snapToGrid w:val="0"/>
        <w:spacing w:line="440" w:lineRule="exact"/>
        <w:ind w:firstLine="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w:t>
      </w:r>
      <w:r>
        <w:rPr>
          <w:rFonts w:hint="eastAsia" w:ascii="仿宋_GB2312" w:hAnsi="仿宋_GB2312" w:eastAsia="仿宋_GB2312" w:cs="仿宋_GB2312"/>
          <w:color w:val="auto"/>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color w:val="auto"/>
          <w:sz w:val="24"/>
          <w:highlight w:val="none"/>
        </w:rPr>
      </w:pPr>
      <w:bookmarkStart w:id="94" w:name="_Toc59896701"/>
      <w:bookmarkStart w:id="95" w:name="_Toc59900969"/>
      <w:r>
        <w:rPr>
          <w:rFonts w:hint="eastAsia" w:ascii="仿宋_GB2312" w:hAnsi="仿宋_GB2312" w:eastAsia="仿宋_GB2312" w:cs="仿宋_GB2312"/>
          <w:color w:val="auto"/>
          <w:sz w:val="24"/>
          <w:highlight w:val="none"/>
        </w:rPr>
        <w:t xml:space="preserve">第一条 </w:t>
      </w:r>
      <w:bookmarkEnd w:id="94"/>
      <w:bookmarkEnd w:id="95"/>
      <w:r>
        <w:rPr>
          <w:rFonts w:hint="eastAsia" w:ascii="仿宋_GB2312" w:hAnsi="仿宋_GB2312" w:eastAsia="仿宋_GB2312" w:cs="仿宋_GB2312"/>
          <w:color w:val="auto"/>
          <w:sz w:val="24"/>
          <w:highlight w:val="none"/>
        </w:rPr>
        <w:t>共同责任</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（二）严格执行</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第二条 共同权利</w:t>
      </w:r>
    </w:p>
    <w:p>
      <w:pPr>
        <w:adjustRightInd w:val="0"/>
        <w:snapToGrid w:val="0"/>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color w:val="auto"/>
          <w:sz w:val="24"/>
          <w:highlight w:val="none"/>
        </w:rPr>
      </w:pPr>
      <w:bookmarkStart w:id="96" w:name="_Toc59896702"/>
      <w:bookmarkStart w:id="97" w:name="_Toc59900970"/>
      <w:r>
        <w:rPr>
          <w:rFonts w:hint="eastAsia" w:ascii="仿宋_GB2312" w:hAnsi="仿宋_GB2312" w:eastAsia="仿宋_GB2312" w:cs="仿宋_GB2312"/>
          <w:color w:val="auto"/>
          <w:sz w:val="24"/>
          <w:highlight w:val="none"/>
        </w:rPr>
        <w:t>第三条 甲方的义务</w:t>
      </w:r>
      <w:bookmarkEnd w:id="96"/>
      <w:bookmarkEnd w:id="97"/>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color w:val="auto"/>
          <w:sz w:val="24"/>
          <w:highlight w:val="none"/>
        </w:rPr>
      </w:pPr>
      <w:bookmarkStart w:id="98" w:name="_Toc59900971"/>
      <w:bookmarkStart w:id="99" w:name="_Toc59896703"/>
      <w:r>
        <w:rPr>
          <w:rFonts w:hint="eastAsia" w:ascii="仿宋_GB2312" w:hAnsi="仿宋_GB2312" w:eastAsia="仿宋_GB2312" w:cs="仿宋_GB2312"/>
          <w:color w:val="auto"/>
          <w:sz w:val="24"/>
          <w:highlight w:val="none"/>
        </w:rPr>
        <w:t>第四条 乙方义务</w:t>
      </w:r>
      <w:bookmarkEnd w:id="98"/>
      <w:bookmarkEnd w:id="99"/>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第五条 违约责任</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第八条 本协议作为主合同的附件，与主合同具有同等的法律效力，经合同双方签署立即生效。</w:t>
      </w:r>
    </w:p>
    <w:p>
      <w:pPr>
        <w:pStyle w:val="2"/>
        <w:rPr>
          <w:rFonts w:hint="eastAsia" w:eastAsia="宋体"/>
          <w:color w:val="auto"/>
          <w:lang w:val="en-US" w:eastAsia="zh-CN"/>
        </w:rPr>
      </w:pPr>
    </w:p>
    <w:p>
      <w:pPr>
        <w:snapToGrid w:val="0"/>
        <w:spacing w:line="440" w:lineRule="exact"/>
        <w:rPr>
          <w:rFonts w:hint="eastAsia" w:ascii="仿宋_GB2312" w:hAnsi="仿宋_GB2312" w:eastAsia="仿宋_GB2312" w:cs="仿宋_GB2312"/>
          <w:color w:val="auto"/>
          <w:sz w:val="24"/>
          <w:highlight w:val="none"/>
        </w:rPr>
        <w:sectPr>
          <w:footerReference r:id="rId12" w:type="default"/>
          <w:pgSz w:w="11906" w:h="16838"/>
          <w:pgMar w:top="1440" w:right="1800" w:bottom="1440" w:left="1800" w:header="851" w:footer="992" w:gutter="0"/>
          <w:pgNumType w:fmt="decimal"/>
          <w:cols w:space="720" w:num="1"/>
          <w:docGrid w:type="lines" w:linePitch="312" w:charSpace="0"/>
        </w:sectPr>
      </w:pP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（本页无正文）</w:t>
      </w: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snapToGrid w:val="0"/>
        <w:spacing w:line="360" w:lineRule="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（盖章）            </w:t>
      </w:r>
      <w:r>
        <w:rPr>
          <w:rFonts w:hint="eastAsia" w:ascii="仿宋_GB2312" w:hAnsi="仿宋_GB2312" w:eastAsia="仿宋_GB2312" w:cs="仿宋_GB2312"/>
          <w:color w:val="auto"/>
          <w:sz w:val="24"/>
          <w:highlight w:val="none"/>
        </w:rPr>
        <w:t xml:space="preserve">             乙方：</w:t>
      </w:r>
      <w:r>
        <w:rPr>
          <w:rFonts w:hint="eastAsia" w:ascii="仿宋_GB2312" w:hAnsi="仿宋_GB2312" w:eastAsia="仿宋_GB2312" w:cs="仿宋_GB2312"/>
          <w:color w:val="auto"/>
          <w:sz w:val="24"/>
          <w:highlight w:val="none"/>
          <w:u w:val="single"/>
        </w:rPr>
        <w:t xml:space="preserve"> （盖章）                 </w:t>
      </w:r>
    </w:p>
    <w:p>
      <w:pPr>
        <w:snapToGrid w:val="0"/>
        <w:spacing w:line="360" w:lineRule="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（签字）           </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或授权代理人：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或授权代理人：</w:t>
      </w:r>
      <w:r>
        <w:rPr>
          <w:rFonts w:hint="eastAsia" w:ascii="仿宋_GB2312" w:hAnsi="仿宋_GB2312" w:eastAsia="仿宋_GB2312" w:cs="仿宋_GB2312"/>
          <w:color w:val="auto"/>
          <w:sz w:val="24"/>
          <w:highlight w:val="none"/>
          <w:u w:val="single"/>
        </w:rPr>
        <w:t xml:space="preserve">（签字）           </w:t>
      </w:r>
    </w:p>
    <w:p>
      <w:pPr>
        <w:snapToGrid w:val="0"/>
        <w:spacing w:line="360" w:lineRule="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电话：</w:t>
      </w:r>
      <w:r>
        <w:rPr>
          <w:rFonts w:hint="eastAsia" w:ascii="仿宋_GB2312" w:hAnsi="仿宋_GB2312" w:eastAsia="仿宋_GB2312" w:cs="仿宋_GB2312"/>
          <w:color w:val="auto"/>
          <w:sz w:val="24"/>
          <w:highlight w:val="none"/>
          <w:u w:val="single"/>
        </w:rPr>
        <w:t xml:space="preserve">                          </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ageBreakBefore w:val="0"/>
        <w:tabs>
          <w:tab w:val="left" w:pos="2799"/>
        </w:tabs>
        <w:kinsoku/>
        <w:overflowPunct/>
        <w:bidi w:val="0"/>
        <w:spacing w:line="400" w:lineRule="exact"/>
        <w:ind w:left="0" w:leftChars="0" w:right="0" w:rightChars="0" w:firstLine="0" w:firstLineChars="0"/>
        <w:jc w:val="left"/>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bCs/>
          <w:color w:val="auto"/>
          <w:sz w:val="24"/>
          <w:szCs w:val="24"/>
          <w:u w:val="single"/>
        </w:rPr>
      </w:pPr>
      <w:r>
        <w:rPr>
          <w:rFonts w:hint="eastAsia" w:ascii="仿宋" w:hAnsi="仿宋" w:eastAsia="仿宋" w:cs="仿宋"/>
          <w:color w:val="auto"/>
        </w:rPr>
        <w:br w:type="page"/>
      </w:r>
      <w:r>
        <w:rPr>
          <w:rFonts w:hint="eastAsia" w:ascii="仿宋_GB2312" w:hAnsi="仿宋_GB2312" w:eastAsia="仿宋_GB2312" w:cs="仿宋_GB2312"/>
          <w:color w:val="auto"/>
          <w:sz w:val="24"/>
          <w:szCs w:val="24"/>
        </w:rPr>
        <w:t>附件</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：签约合同价格清单</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color w:val="auto"/>
          <w:sz w:val="24"/>
          <w:szCs w:val="24"/>
          <w:lang w:val="en-US" w:eastAsia="zh-CN"/>
        </w:rPr>
      </w:pPr>
      <w:bookmarkStart w:id="100" w:name="_Toc7255"/>
      <w:r>
        <w:rPr>
          <w:rFonts w:hint="eastAsia" w:ascii="仿宋_GB2312" w:hAnsi="仿宋_GB2312" w:eastAsia="仿宋_GB2312" w:cs="仿宋_GB2312"/>
          <w:color w:val="auto"/>
          <w:sz w:val="24"/>
          <w:szCs w:val="24"/>
          <w:lang w:eastAsia="zh-CN"/>
        </w:rPr>
        <w:t>附件</w:t>
      </w:r>
      <w:r>
        <w:rPr>
          <w:rFonts w:hint="eastAsia" w:ascii="仿宋_GB2312" w:hAnsi="仿宋_GB2312" w:eastAsia="仿宋_GB2312" w:cs="仿宋_GB2312"/>
          <w:color w:val="auto"/>
          <w:sz w:val="24"/>
          <w:szCs w:val="24"/>
          <w:lang w:val="en-US" w:eastAsia="zh-CN"/>
        </w:rPr>
        <w:t>3：用户需求书/技术规格书</w:t>
      </w:r>
    </w:p>
    <w:p>
      <w:pPr>
        <w:adjustRightInd w:val="0"/>
        <w:snapToGrid w:val="0"/>
        <w:spacing w:line="400" w:lineRule="exact"/>
        <w:jc w:val="center"/>
        <w:outlineLvl w:val="9"/>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eastAsia="zh-CN"/>
        </w:rPr>
        <w:t>第四部分</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rPr>
        <w:t>合同附录</w:t>
      </w:r>
      <w:bookmarkEnd w:id="100"/>
      <w:bookmarkStart w:id="101" w:name="_Toc451247264"/>
      <w:bookmarkStart w:id="102" w:name="_Toc460309156"/>
      <w:bookmarkStart w:id="103" w:name="_Toc411417807"/>
      <w:bookmarkStart w:id="104" w:name="_Toc437444976"/>
    </w:p>
    <w:bookmarkEnd w:id="101"/>
    <w:bookmarkEnd w:id="102"/>
    <w:bookmarkEnd w:id="103"/>
    <w:bookmarkEnd w:id="104"/>
    <w:p>
      <w:pPr>
        <w:pStyle w:val="13"/>
        <w:snapToGrid w:val="0"/>
        <w:spacing w:before="156" w:line="360" w:lineRule="auto"/>
        <w:ind w:firstLine="0"/>
        <w:outlineLvl w:val="9"/>
        <w:rPr>
          <w:rFonts w:hint="eastAsia" w:ascii="仿宋_GB2312" w:hAnsi="仿宋_GB2312" w:eastAsia="仿宋_GB2312" w:cs="仿宋_GB2312"/>
          <w:b/>
          <w:color w:val="auto"/>
          <w:sz w:val="24"/>
          <w:highlight w:val="none"/>
        </w:rPr>
      </w:pPr>
      <w:bookmarkStart w:id="105" w:name="_Toc6333"/>
      <w:r>
        <w:rPr>
          <w:rFonts w:hint="eastAsia" w:ascii="仿宋_GB2312" w:hAnsi="仿宋_GB2312" w:eastAsia="仿宋_GB2312" w:cs="仿宋_GB2312"/>
          <w:b/>
          <w:color w:val="auto"/>
          <w:sz w:val="24"/>
          <w:highlight w:val="none"/>
        </w:rPr>
        <w:t>附录1  履约保函（格式</w:t>
      </w:r>
      <w:bookmarkEnd w:id="105"/>
      <w:r>
        <w:rPr>
          <w:rFonts w:hint="eastAsia" w:ascii="仿宋_GB2312" w:hAnsi="仿宋_GB2312" w:eastAsia="仿宋_GB2312" w:cs="仿宋_GB2312"/>
          <w:b/>
          <w:color w:val="auto"/>
          <w:sz w:val="24"/>
          <w:highlight w:val="none"/>
        </w:rPr>
        <w:t>）</w:t>
      </w:r>
    </w:p>
    <w:p>
      <w:pPr>
        <w:jc w:val="center"/>
        <w:outlineLvl w:val="9"/>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 xml:space="preserve">                              保函编号：</w:t>
      </w:r>
    </w:p>
    <w:p>
      <w:pPr>
        <w:jc w:val="center"/>
        <w:outlineLvl w:val="9"/>
        <w:rPr>
          <w:rFonts w:hint="eastAsia" w:ascii="仿宋_GB2312" w:hAnsi="仿宋_GB2312" w:eastAsia="仿宋_GB2312" w:cs="仿宋_GB2312"/>
          <w:b/>
          <w:color w:val="auto"/>
          <w:sz w:val="24"/>
          <w:highlight w:val="none"/>
        </w:rPr>
      </w:pPr>
    </w:p>
    <w:p>
      <w:pPr>
        <w:jc w:val="center"/>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银行履约保函</w:t>
      </w:r>
    </w:p>
    <w:p>
      <w:pPr>
        <w:jc w:val="center"/>
        <w:outlineLvl w:val="9"/>
        <w:rPr>
          <w:rFonts w:hint="eastAsia" w:ascii="仿宋_GB2312" w:hAnsi="仿宋_GB2312" w:eastAsia="仿宋_GB2312" w:cs="仿宋_GB2312"/>
          <w:b/>
          <w:color w:val="auto"/>
          <w:sz w:val="24"/>
          <w:highlight w:val="none"/>
        </w:rPr>
      </w:pPr>
    </w:p>
    <w:p>
      <w:pPr>
        <w:adjustRightInd w:val="0"/>
        <w:snapToGrid w:val="0"/>
        <w:spacing w:line="360" w:lineRule="auto"/>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甲方（全称）：</w:t>
      </w:r>
      <w:r>
        <w:rPr>
          <w:rFonts w:hint="eastAsia" w:ascii="仿宋_GB2312" w:hAnsi="仿宋_GB2312" w:eastAsia="仿宋_GB2312" w:cs="仿宋_GB2312"/>
          <w:color w:val="auto"/>
          <w:sz w:val="24"/>
          <w:highlight w:val="none"/>
          <w:u w:val="single"/>
        </w:rPr>
        <w:t xml:space="preserve">                  </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鉴于甲方</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（以下简称“你方”）与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（乙方全称，以下简称“乙方”）于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日协商一致共同签订合同编号为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1、担保金额为人民币（大写）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元（小写：¥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2、担保期限为自本保函生效之日起至</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之日止。</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4、你方和乙方按合同约定变更合同时，我方承担本担保规定的义务不变。</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本保函自我方加盖公章之日起生效。</w:t>
      </w:r>
    </w:p>
    <w:p>
      <w:pPr>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rPr>
      </w:pPr>
    </w:p>
    <w:p>
      <w:pPr>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担保人（盖公章）：</w:t>
      </w:r>
    </w:p>
    <w:p>
      <w:pPr>
        <w:adjustRightInd w:val="0"/>
        <w:snapToGrid w:val="0"/>
        <w:spacing w:line="360" w:lineRule="auto"/>
        <w:ind w:firstLine="480" w:firstLineChars="20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签字：</w:t>
      </w:r>
    </w:p>
    <w:p>
      <w:pPr>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地址：</w:t>
      </w:r>
    </w:p>
    <w:p>
      <w:pPr>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邮政编码：</w:t>
      </w:r>
    </w:p>
    <w:p>
      <w:pPr>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电话：</w:t>
      </w:r>
    </w:p>
    <w:p>
      <w:pPr>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传真：</w:t>
      </w:r>
    </w:p>
    <w:p>
      <w:pPr>
        <w:adjustRightInd w:val="0"/>
        <w:snapToGrid w:val="0"/>
        <w:spacing w:line="360" w:lineRule="auto"/>
        <w:ind w:left="15" w:leftChars="7" w:firstLine="403" w:firstLineChars="168"/>
        <w:outlineLvl w:val="9"/>
        <w:rPr>
          <w:rFonts w:hint="eastAsia" w:ascii="仿宋" w:hAnsi="仿宋" w:eastAsia="仿宋" w:cs="仿宋"/>
          <w:color w:val="auto"/>
          <w:sz w:val="24"/>
        </w:rPr>
      </w:pPr>
      <w:r>
        <w:rPr>
          <w:rFonts w:hint="eastAsia" w:ascii="仿宋_GB2312" w:hAnsi="仿宋_GB2312" w:eastAsia="仿宋_GB2312" w:cs="仿宋_GB2312"/>
          <w:color w:val="auto"/>
          <w:sz w:val="24"/>
          <w:szCs w:val="20"/>
          <w:highlight w:val="none"/>
        </w:rPr>
        <w:t>时间：</w:t>
      </w:r>
    </w:p>
    <w:p>
      <w:pPr>
        <w:pStyle w:val="2"/>
        <w:outlineLvl w:val="9"/>
        <w:rPr>
          <w:rFonts w:hint="eastAsia"/>
          <w:color w:val="auto"/>
        </w:rPr>
        <w:sectPr>
          <w:headerReference r:id="rId13" w:type="default"/>
          <w:footerReference r:id="rId14" w:type="default"/>
          <w:pgSz w:w="11906" w:h="16838"/>
          <w:pgMar w:top="1191" w:right="1417" w:bottom="1191" w:left="1191" w:header="851" w:footer="851" w:gutter="0"/>
          <w:pgNumType w:fmt="decimal"/>
          <w:cols w:space="720" w:num="1"/>
          <w:docGrid w:linePitch="312" w:charSpace="0"/>
        </w:sectPr>
      </w:pPr>
    </w:p>
    <w:p>
      <w:pPr>
        <w:outlineLvl w:val="9"/>
        <w:rPr>
          <w:color w:val="auto"/>
        </w:rPr>
      </w:pPr>
    </w:p>
    <w:p>
      <w:pPr>
        <w:bidi w:val="0"/>
        <w:outlineLvl w:val="9"/>
        <w:rPr>
          <w:rFonts w:hint="eastAsia" w:ascii="宋体" w:hAnsi="宋体" w:eastAsia="宋体" w:cs="宋体"/>
          <w:color w:val="auto"/>
          <w:kern w:val="2"/>
          <w:sz w:val="21"/>
          <w:szCs w:val="24"/>
          <w:lang w:val="en-US" w:eastAsia="zh-CN" w:bidi="ar-SA"/>
        </w:rPr>
      </w:pPr>
    </w:p>
    <w:p>
      <w:pPr>
        <w:bidi w:val="0"/>
        <w:outlineLvl w:val="9"/>
        <w:rPr>
          <w:rFonts w:hint="eastAsia" w:ascii="宋体" w:hAnsi="宋体" w:eastAsia="宋体" w:cs="宋体"/>
          <w:color w:val="auto"/>
          <w:lang w:val="en-US" w:eastAsia="zh-CN"/>
        </w:rPr>
      </w:pPr>
    </w:p>
    <w:p>
      <w:pPr>
        <w:snapToGrid w:val="0"/>
        <w:spacing w:line="360" w:lineRule="auto"/>
        <w:jc w:val="center"/>
        <w:outlineLvl w:val="0"/>
        <w:rPr>
          <w:rFonts w:hint="eastAsia" w:ascii="宋体" w:hAnsi="宋体" w:eastAsia="宋体" w:cs="宋体"/>
          <w:bCs/>
          <w:color w:val="auto"/>
          <w:sz w:val="32"/>
          <w:szCs w:val="32"/>
        </w:rPr>
      </w:pPr>
      <w:bookmarkStart w:id="106" w:name="_Toc10326"/>
      <w:bookmarkStart w:id="107" w:name="_Toc11318"/>
      <w:r>
        <w:rPr>
          <w:rFonts w:hint="eastAsia" w:ascii="宋体" w:hAnsi="宋体" w:eastAsia="宋体" w:cs="宋体"/>
          <w:color w:val="auto"/>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131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eastAsia="宋体" w:cs="宋体"/>
          <w:b/>
          <w:color w:val="auto"/>
          <w:sz w:val="32"/>
          <w:szCs w:val="32"/>
        </w:rPr>
        <w:t>第七章</w:t>
      </w:r>
      <w:bookmarkStart w:id="108" w:name="_Toc14891079"/>
      <w:r>
        <w:rPr>
          <w:rFonts w:hint="eastAsia" w:ascii="宋体" w:hAnsi="宋体" w:eastAsia="宋体" w:cs="宋体"/>
          <w:b/>
          <w:color w:val="auto"/>
          <w:sz w:val="32"/>
          <w:szCs w:val="32"/>
        </w:rPr>
        <w:t xml:space="preserve">  </w:t>
      </w:r>
      <w:r>
        <w:rPr>
          <w:rFonts w:hint="eastAsia" w:ascii="宋体" w:hAnsi="宋体" w:eastAsia="宋体" w:cs="宋体"/>
          <w:b/>
          <w:bCs/>
          <w:color w:val="auto"/>
          <w:sz w:val="32"/>
          <w:szCs w:val="32"/>
        </w:rPr>
        <w:t>响应文件组成</w:t>
      </w:r>
      <w:bookmarkEnd w:id="77"/>
      <w:bookmarkEnd w:id="78"/>
      <w:bookmarkEnd w:id="79"/>
      <w:bookmarkEnd w:id="106"/>
      <w:bookmarkEnd w:id="107"/>
      <w:bookmarkEnd w:id="108"/>
    </w:p>
    <w:p>
      <w:pPr>
        <w:spacing w:line="360" w:lineRule="auto"/>
        <w:rPr>
          <w:rFonts w:hint="eastAsia" w:ascii="宋体" w:hAnsi="宋体" w:eastAsia="宋体" w:cs="宋体"/>
          <w:b/>
          <w:bCs/>
          <w:color w:val="auto"/>
          <w:sz w:val="52"/>
          <w:szCs w:val="52"/>
        </w:rPr>
      </w:pPr>
    </w:p>
    <w:p>
      <w:pPr>
        <w:pStyle w:val="2"/>
        <w:spacing w:line="360" w:lineRule="auto"/>
        <w:rPr>
          <w:rFonts w:hint="eastAsia" w:ascii="宋体" w:hAnsi="宋体" w:eastAsia="宋体" w:cs="宋体"/>
          <w:color w:val="auto"/>
        </w:rPr>
      </w:pPr>
    </w:p>
    <w:p>
      <w:pPr>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自主竞争性谈判</w:t>
      </w:r>
    </w:p>
    <w:p>
      <w:pPr>
        <w:adjustRightInd w:val="0"/>
        <w:snapToGrid w:val="0"/>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响应文件</w:t>
      </w:r>
    </w:p>
    <w:p>
      <w:pPr>
        <w:spacing w:line="360" w:lineRule="auto"/>
        <w:rPr>
          <w:rFonts w:hint="eastAsia" w:ascii="宋体" w:hAnsi="宋体" w:eastAsia="宋体" w:cs="宋体"/>
          <w:color w:val="auto"/>
          <w:sz w:val="28"/>
          <w:szCs w:val="28"/>
        </w:rPr>
      </w:pPr>
    </w:p>
    <w:p>
      <w:pPr>
        <w:pStyle w:val="25"/>
        <w:rPr>
          <w:rFonts w:hint="eastAsia" w:ascii="宋体" w:hAnsi="宋体" w:eastAsia="宋体" w:cs="宋体"/>
          <w:b w:val="0"/>
          <w:bCs/>
          <w:color w:val="auto"/>
          <w:sz w:val="32"/>
          <w:szCs w:val="32"/>
        </w:rPr>
      </w:pPr>
    </w:p>
    <w:p>
      <w:pPr>
        <w:pStyle w:val="25"/>
        <w:adjustRightInd w:val="0"/>
        <w:snapToGrid w:val="0"/>
        <w:spacing w:line="360" w:lineRule="auto"/>
        <w:ind w:firstLine="1285" w:firstLineChars="400"/>
        <w:rPr>
          <w:rFonts w:hint="eastAsia" w:ascii="宋体" w:hAnsi="宋体" w:eastAsia="宋体" w:cs="宋体"/>
          <w:b/>
          <w:bCs w:val="0"/>
          <w:color w:val="auto"/>
          <w:sz w:val="32"/>
          <w:szCs w:val="32"/>
          <w:u w:val="single"/>
        </w:rPr>
      </w:pPr>
      <w:r>
        <w:rPr>
          <w:rFonts w:hint="eastAsia" w:ascii="宋体" w:hAnsi="宋体" w:eastAsia="宋体" w:cs="宋体"/>
          <w:b/>
          <w:bCs w:val="0"/>
          <w:color w:val="auto"/>
          <w:sz w:val="32"/>
          <w:szCs w:val="32"/>
        </w:rPr>
        <w:t>谈判项目名称：</w:t>
      </w:r>
      <w:r>
        <w:rPr>
          <w:rFonts w:hint="eastAsia" w:ascii="宋体" w:hAnsi="宋体" w:eastAsia="宋体" w:cs="宋体"/>
          <w:b/>
          <w:bCs w:val="0"/>
          <w:color w:val="auto"/>
          <w:sz w:val="32"/>
          <w:szCs w:val="32"/>
          <w:u w:val="single"/>
        </w:rPr>
        <w:t xml:space="preserve">                      </w:t>
      </w:r>
    </w:p>
    <w:p>
      <w:pPr>
        <w:pStyle w:val="25"/>
        <w:adjustRightInd w:val="0"/>
        <w:snapToGrid w:val="0"/>
        <w:spacing w:line="360" w:lineRule="auto"/>
        <w:ind w:left="846" w:leftChars="403" w:firstLine="157" w:firstLineChars="49"/>
        <w:rPr>
          <w:rFonts w:hint="eastAsia" w:ascii="宋体" w:hAnsi="宋体" w:eastAsia="宋体" w:cs="宋体"/>
          <w:b/>
          <w:bCs w:val="0"/>
          <w:color w:val="auto"/>
          <w:sz w:val="32"/>
          <w:szCs w:val="32"/>
          <w:u w:val="single"/>
        </w:rPr>
      </w:pPr>
    </w:p>
    <w:p>
      <w:pPr>
        <w:pStyle w:val="25"/>
        <w:adjustRightInd w:val="0"/>
        <w:snapToGrid w:val="0"/>
        <w:spacing w:line="360" w:lineRule="auto"/>
        <w:ind w:firstLine="1285" w:firstLineChars="400"/>
        <w:rPr>
          <w:rFonts w:hint="eastAsia" w:ascii="宋体" w:hAnsi="宋体" w:eastAsia="宋体" w:cs="宋体"/>
          <w:b/>
          <w:bCs w:val="0"/>
          <w:color w:val="auto"/>
          <w:sz w:val="32"/>
          <w:szCs w:val="32"/>
          <w:u w:val="single"/>
          <w:lang w:val="en-US" w:eastAsia="zh-CN"/>
        </w:rPr>
      </w:pPr>
      <w:r>
        <w:rPr>
          <w:rFonts w:hint="eastAsia" w:ascii="宋体" w:hAnsi="宋体" w:eastAsia="宋体" w:cs="宋体"/>
          <w:b/>
          <w:bCs w:val="0"/>
          <w:color w:val="auto"/>
          <w:sz w:val="32"/>
          <w:szCs w:val="32"/>
        </w:rPr>
        <w:t>谈判单位名称：</w:t>
      </w:r>
      <w:r>
        <w:rPr>
          <w:rFonts w:hint="eastAsia" w:ascii="宋体" w:hAnsi="宋体" w:eastAsia="宋体" w:cs="宋体"/>
          <w:b/>
          <w:bCs w:val="0"/>
          <w:color w:val="auto"/>
          <w:sz w:val="32"/>
          <w:szCs w:val="32"/>
          <w:u w:val="single"/>
        </w:rPr>
        <w:t xml:space="preserve">    （加盖单位公章）</w:t>
      </w:r>
      <w:r>
        <w:rPr>
          <w:rFonts w:hint="eastAsia" w:ascii="宋体" w:hAnsi="宋体" w:eastAsia="宋体" w:cs="宋体"/>
          <w:b/>
          <w:bCs w:val="0"/>
          <w:color w:val="auto"/>
          <w:sz w:val="32"/>
          <w:szCs w:val="32"/>
          <w:u w:val="single"/>
          <w:lang w:val="en-US" w:eastAsia="zh-CN"/>
        </w:rPr>
        <w:t xml:space="preserve">  </w:t>
      </w:r>
    </w:p>
    <w:p>
      <w:pPr>
        <w:pStyle w:val="25"/>
        <w:adjustRightInd w:val="0"/>
        <w:snapToGrid w:val="0"/>
        <w:spacing w:line="360" w:lineRule="auto"/>
        <w:ind w:left="846" w:leftChars="403" w:firstLine="157" w:firstLineChars="49"/>
        <w:rPr>
          <w:rFonts w:hint="eastAsia" w:ascii="宋体" w:hAnsi="宋体" w:eastAsia="宋体" w:cs="宋体"/>
          <w:b/>
          <w:bCs w:val="0"/>
          <w:color w:val="auto"/>
          <w:sz w:val="32"/>
          <w:szCs w:val="32"/>
          <w:u w:val="single"/>
        </w:rPr>
      </w:pPr>
    </w:p>
    <w:p>
      <w:pPr>
        <w:pStyle w:val="25"/>
        <w:adjustRightInd w:val="0"/>
        <w:snapToGrid w:val="0"/>
        <w:spacing w:line="360" w:lineRule="auto"/>
        <w:ind w:firstLine="1285" w:firstLineChars="400"/>
        <w:rPr>
          <w:rFonts w:hint="eastAsia" w:ascii="宋体" w:hAnsi="宋体" w:eastAsia="宋体" w:cs="宋体"/>
          <w:b/>
          <w:bCs w:val="0"/>
          <w:color w:val="auto"/>
          <w:sz w:val="32"/>
          <w:szCs w:val="32"/>
          <w:u w:val="single"/>
        </w:rPr>
      </w:pPr>
      <w:r>
        <w:rPr>
          <w:rFonts w:hint="eastAsia" w:ascii="宋体" w:hAnsi="宋体" w:eastAsia="宋体" w:cs="宋体"/>
          <w:b/>
          <w:bCs w:val="0"/>
          <w:color w:val="auto"/>
          <w:sz w:val="32"/>
          <w:szCs w:val="32"/>
        </w:rPr>
        <w:t>谈判项目编号：</w:t>
      </w:r>
      <w:r>
        <w:rPr>
          <w:rFonts w:hint="eastAsia" w:ascii="宋体" w:hAnsi="宋体" w:eastAsia="宋体" w:cs="宋体"/>
          <w:b/>
          <w:bCs w:val="0"/>
          <w:color w:val="auto"/>
          <w:sz w:val="32"/>
          <w:szCs w:val="32"/>
          <w:u w:val="single"/>
        </w:rPr>
        <w:t xml:space="preserve">                      </w:t>
      </w:r>
    </w:p>
    <w:p>
      <w:pPr>
        <w:pStyle w:val="25"/>
        <w:adjustRightInd w:val="0"/>
        <w:snapToGrid w:val="0"/>
        <w:spacing w:line="360" w:lineRule="auto"/>
        <w:ind w:left="846" w:leftChars="403" w:firstLine="157" w:firstLineChars="49"/>
        <w:rPr>
          <w:rFonts w:hint="eastAsia" w:ascii="宋体" w:hAnsi="宋体" w:eastAsia="宋体" w:cs="宋体"/>
          <w:b/>
          <w:bCs/>
          <w:color w:val="auto"/>
          <w:sz w:val="32"/>
          <w:szCs w:val="32"/>
          <w:u w:val="single"/>
        </w:rPr>
      </w:pPr>
    </w:p>
    <w:p>
      <w:pPr>
        <w:pStyle w:val="25"/>
        <w:adjustRightInd w:val="0"/>
        <w:snapToGrid w:val="0"/>
        <w:spacing w:line="360" w:lineRule="auto"/>
        <w:ind w:left="846" w:leftChars="403" w:firstLine="157" w:firstLineChars="49"/>
        <w:rPr>
          <w:rFonts w:hint="eastAsia" w:ascii="宋体" w:hAnsi="宋体" w:eastAsia="宋体" w:cs="宋体"/>
          <w:b/>
          <w:bCs/>
          <w:color w:val="auto"/>
          <w:sz w:val="32"/>
          <w:szCs w:val="32"/>
          <w:u w:val="single"/>
        </w:rPr>
      </w:pPr>
    </w:p>
    <w:p>
      <w:pPr>
        <w:pStyle w:val="25"/>
        <w:adjustRightInd w:val="0"/>
        <w:snapToGrid w:val="0"/>
        <w:spacing w:line="360" w:lineRule="auto"/>
        <w:ind w:left="846" w:leftChars="403" w:firstLine="157" w:firstLineChars="49"/>
        <w:rPr>
          <w:rFonts w:hint="eastAsia" w:ascii="宋体" w:hAnsi="宋体" w:eastAsia="宋体" w:cs="宋体"/>
          <w:b/>
          <w:bCs/>
          <w:color w:val="auto"/>
          <w:sz w:val="32"/>
          <w:szCs w:val="32"/>
          <w:u w:val="single"/>
        </w:rPr>
      </w:pPr>
    </w:p>
    <w:p>
      <w:pPr>
        <w:pStyle w:val="25"/>
        <w:adjustRightInd w:val="0"/>
        <w:snapToGrid w:val="0"/>
        <w:spacing w:line="360" w:lineRule="auto"/>
        <w:ind w:left="846" w:leftChars="403" w:firstLine="157" w:firstLineChars="49"/>
        <w:rPr>
          <w:rFonts w:hint="eastAsia" w:ascii="宋体" w:hAnsi="宋体" w:eastAsia="宋体" w:cs="宋体"/>
          <w:b/>
          <w:bCs/>
          <w:color w:val="auto"/>
          <w:sz w:val="32"/>
          <w:szCs w:val="32"/>
          <w:u w:val="single"/>
        </w:rPr>
      </w:pPr>
    </w:p>
    <w:p>
      <w:pPr>
        <w:pStyle w:val="25"/>
        <w:adjustRightInd w:val="0"/>
        <w:snapToGrid w:val="0"/>
        <w:spacing w:line="360" w:lineRule="auto"/>
        <w:ind w:left="846" w:leftChars="403" w:firstLine="157" w:firstLineChars="49"/>
        <w:rPr>
          <w:rFonts w:hint="eastAsia" w:ascii="宋体" w:hAnsi="宋体" w:eastAsia="宋体" w:cs="宋体"/>
          <w:b/>
          <w:bCs/>
          <w:color w:val="auto"/>
          <w:sz w:val="32"/>
          <w:szCs w:val="32"/>
          <w:u w:val="single"/>
        </w:rPr>
      </w:pPr>
    </w:p>
    <w:p>
      <w:pPr>
        <w:pStyle w:val="25"/>
        <w:adjustRightInd w:val="0"/>
        <w:snapToGrid w:val="0"/>
        <w:spacing w:line="360" w:lineRule="auto"/>
        <w:rPr>
          <w:rFonts w:hint="eastAsia" w:ascii="宋体" w:hAnsi="宋体" w:eastAsia="宋体" w:cs="宋体"/>
          <w:b/>
          <w:bCs/>
          <w:color w:val="auto"/>
          <w:sz w:val="32"/>
          <w:szCs w:val="32"/>
          <w:u w:val="single"/>
        </w:rPr>
      </w:pPr>
    </w:p>
    <w:p>
      <w:pPr>
        <w:pStyle w:val="25"/>
        <w:adjustRightInd w:val="0"/>
        <w:snapToGrid w:val="0"/>
        <w:spacing w:line="360" w:lineRule="auto"/>
        <w:ind w:left="846" w:leftChars="403" w:firstLine="157" w:firstLineChars="49"/>
        <w:rPr>
          <w:rFonts w:hint="eastAsia" w:ascii="宋体" w:hAnsi="宋体" w:eastAsia="宋体" w:cs="宋体"/>
          <w:b/>
          <w:bCs/>
          <w:color w:val="auto"/>
          <w:sz w:val="32"/>
          <w:szCs w:val="32"/>
          <w:u w:val="single"/>
        </w:rPr>
      </w:pPr>
    </w:p>
    <w:p>
      <w:pPr>
        <w:pStyle w:val="25"/>
        <w:adjustRightInd w:val="0"/>
        <w:snapToGrid w:val="0"/>
        <w:spacing w:line="360" w:lineRule="auto"/>
        <w:jc w:val="center"/>
        <w:rPr>
          <w:rFonts w:hint="eastAsia" w:ascii="宋体" w:hAnsi="宋体" w:eastAsia="宋体" w:cs="宋体"/>
          <w:color w:val="auto"/>
        </w:rPr>
      </w:pPr>
      <w:r>
        <w:rPr>
          <w:rFonts w:hint="eastAsia" w:ascii="宋体" w:hAnsi="宋体" w:eastAsia="宋体" w:cs="宋体"/>
          <w:b/>
          <w:bCs/>
          <w:color w:val="auto"/>
          <w:sz w:val="32"/>
          <w:szCs w:val="32"/>
        </w:rPr>
        <w:t>日  期：</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pPr>
        <w:spacing w:line="360" w:lineRule="exact"/>
        <w:rPr>
          <w:rFonts w:hint="eastAsia" w:ascii="宋体" w:hAnsi="宋体" w:eastAsia="宋体" w:cs="宋体"/>
          <w:b/>
          <w:color w:val="auto"/>
        </w:rPr>
      </w:pPr>
    </w:p>
    <w:p>
      <w:pPr>
        <w:widowControl/>
        <w:spacing w:line="360" w:lineRule="auto"/>
        <w:jc w:val="center"/>
        <w:rPr>
          <w:rFonts w:hint="eastAsia" w:ascii="宋体" w:hAnsi="宋体" w:eastAsia="宋体" w:cs="宋体"/>
          <w:b/>
          <w:color w:val="auto"/>
          <w:sz w:val="32"/>
          <w:szCs w:val="32"/>
        </w:rPr>
      </w:pPr>
    </w:p>
    <w:p>
      <w:pPr>
        <w:widowControl/>
        <w:spacing w:line="360" w:lineRule="auto"/>
        <w:jc w:val="center"/>
        <w:rPr>
          <w:rFonts w:hint="eastAsia" w:ascii="宋体" w:hAnsi="宋体" w:eastAsia="宋体" w:cs="宋体"/>
          <w:b/>
          <w:bCs/>
          <w:color w:val="auto"/>
          <w:sz w:val="32"/>
          <w:szCs w:val="32"/>
        </w:rPr>
      </w:pPr>
      <w:r>
        <w:rPr>
          <w:rFonts w:hint="eastAsia" w:ascii="宋体" w:hAnsi="宋体" w:eastAsia="宋体" w:cs="宋体"/>
          <w:b/>
          <w:color w:val="auto"/>
          <w:sz w:val="32"/>
          <w:szCs w:val="32"/>
        </w:rPr>
        <w:t>目   录</w:t>
      </w:r>
    </w:p>
    <w:p>
      <w:pPr>
        <w:adjustRightInd w:val="0"/>
        <w:snapToGrid w:val="0"/>
        <w:spacing w:line="360" w:lineRule="auto"/>
        <w:ind w:firstLine="480" w:firstLineChars="200"/>
        <w:rPr>
          <w:rFonts w:hint="eastAsia" w:ascii="宋体" w:hAnsi="宋体" w:eastAsia="宋体" w:cs="宋体"/>
          <w:color w:val="auto"/>
          <w:sz w:val="24"/>
        </w:rPr>
      </w:pP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一、谈判承诺书</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二、法定代表人身份证明书</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三、授权委托书</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四、谈判单位资格条件证明文件</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五、不拖欠农民工工资承诺书</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六、报价一览表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七、报价汇总表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八、投标报价表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九、其他资料（如有）</w:t>
      </w:r>
    </w:p>
    <w:p>
      <w:pPr>
        <w:ind w:firstLine="480" w:firstLineChars="200"/>
        <w:jc w:val="center"/>
        <w:outlineLvl w:val="1"/>
        <w:rPr>
          <w:rFonts w:hint="eastAsia" w:ascii="宋体" w:hAnsi="宋体" w:eastAsia="宋体" w:cs="宋体"/>
          <w:b/>
          <w:color w:val="auto"/>
          <w:sz w:val="32"/>
          <w:szCs w:val="32"/>
        </w:rPr>
      </w:pPr>
      <w:r>
        <w:rPr>
          <w:rFonts w:hint="eastAsia" w:ascii="宋体" w:hAnsi="宋体" w:eastAsia="宋体" w:cs="宋体"/>
          <w:color w:val="auto"/>
          <w:sz w:val="24"/>
        </w:rPr>
        <w:br w:type="page"/>
      </w:r>
      <w:bookmarkStart w:id="109" w:name="_Toc18226"/>
      <w:bookmarkStart w:id="110" w:name="_Toc14530"/>
      <w:bookmarkStart w:id="111" w:name="_Toc32569"/>
      <w:bookmarkStart w:id="112" w:name="_Toc32600"/>
      <w:bookmarkStart w:id="113" w:name="_Toc28585"/>
      <w:r>
        <w:rPr>
          <w:rFonts w:hint="eastAsia" w:ascii="宋体" w:hAnsi="宋体" w:eastAsia="宋体" w:cs="宋体"/>
          <w:b/>
          <w:color w:val="auto"/>
          <w:sz w:val="32"/>
          <w:szCs w:val="32"/>
        </w:rPr>
        <w:t>一、谈判承诺书</w:t>
      </w:r>
      <w:bookmarkEnd w:id="109"/>
      <w:bookmarkEnd w:id="110"/>
      <w:bookmarkEnd w:id="111"/>
      <w:bookmarkEnd w:id="112"/>
      <w:bookmarkEnd w:id="113"/>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(采购单位)：</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我方已仔细研究了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项目名称)的竞争性谈判文件（谈判项目编号：         ）的全部内容，知悉参加竞争性谈判的风险，我方承诺接受谈判文件的全部条款且无任何异议。</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一、参与本项目竞争性谈判活动系本公司自愿行为。</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二、我方同意在谈判文件中规定的提交响应文件截止时间起</w:t>
      </w:r>
      <w:r>
        <w:rPr>
          <w:rFonts w:hint="eastAsia" w:ascii="宋体" w:hAnsi="宋体" w:eastAsia="宋体" w:cs="宋体"/>
          <w:color w:val="auto"/>
          <w:u w:val="single"/>
        </w:rPr>
        <w:t>180</w:t>
      </w:r>
      <w:r>
        <w:rPr>
          <w:rFonts w:hint="eastAsia" w:ascii="宋体" w:hAnsi="宋体" w:eastAsia="宋体" w:cs="宋体"/>
          <w:color w:val="auto"/>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int="eastAsia" w:ascii="宋体" w:hAnsi="宋体" w:eastAsia="宋体" w:cs="宋体"/>
          <w:bCs/>
          <w:color w:val="auto"/>
        </w:rPr>
      </w:pPr>
      <w:r>
        <w:rPr>
          <w:rFonts w:hint="eastAsia" w:ascii="宋体" w:hAnsi="宋体" w:eastAsia="宋体" w:cs="宋体"/>
          <w:color w:val="auto"/>
        </w:rPr>
        <w:t>三、我方提交的响应文件均为正本份和副本份，电子文件（包括响应文件全部内容）份，并保证响应文件提供的数据和材料是真实、准确的，</w:t>
      </w:r>
      <w:r>
        <w:rPr>
          <w:rFonts w:hint="eastAsia" w:ascii="宋体" w:hAnsi="宋体" w:eastAsia="宋体" w:cs="宋体"/>
          <w:b/>
          <w:bCs/>
          <w:color w:val="auto"/>
        </w:rPr>
        <w:t>均无复制、粘贴之情形</w:t>
      </w:r>
      <w:r>
        <w:rPr>
          <w:rFonts w:hint="eastAsia" w:ascii="宋体" w:hAnsi="宋体" w:eastAsia="宋体" w:cs="宋体"/>
          <w:bCs/>
          <w:color w:val="auto"/>
        </w:rPr>
        <w:t>，</w:t>
      </w:r>
      <w:r>
        <w:rPr>
          <w:rFonts w:hint="eastAsia" w:ascii="宋体" w:hAnsi="宋体" w:eastAsia="宋体" w:cs="宋体"/>
          <w:color w:val="auto"/>
        </w:rPr>
        <w:t>且无低于成本的恶意报价行为。否则，愿承担由此引起的一切</w:t>
      </w:r>
      <w:r>
        <w:rPr>
          <w:rFonts w:hint="eastAsia" w:ascii="宋体" w:hAnsi="宋体" w:eastAsia="宋体" w:cs="宋体"/>
          <w:bCs/>
          <w:color w:val="auto"/>
        </w:rPr>
        <w:t>法律责任。</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五、保证没有组织、参与围标、串标行为。</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七、我方承诺，若贵方需要，我方愿意提供任何与本次谈判有关的数据、情况和技术资料。</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九、我方承诺在参与本次竞争性谈判过程中，若出现本文件</w:t>
      </w:r>
      <w:r>
        <w:rPr>
          <w:rFonts w:hint="eastAsia" w:ascii="宋体" w:hAnsi="宋体" w:eastAsia="宋体" w:cs="宋体"/>
          <w:b/>
          <w:color w:val="auto"/>
        </w:rPr>
        <w:t>谈判须知正文</w:t>
      </w:r>
      <w:r>
        <w:rPr>
          <w:rFonts w:hint="eastAsia" w:ascii="宋体" w:hAnsi="宋体" w:eastAsia="宋体" w:cs="宋体"/>
          <w:color w:val="auto"/>
        </w:rPr>
        <w:t>第26条规定之情形，我方无条件接受条款规定作出的处罚。</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十、我方承诺完全响应本文件第四章“用户需求书”及第六章“合同格式条款”内的全部内容。</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十一、如有违反本承诺书内容的行为，愿意承担由此产生的法律责任及后果。</w:t>
      </w:r>
    </w:p>
    <w:p>
      <w:pPr>
        <w:adjustRightInd w:val="0"/>
        <w:snapToGrid w:val="0"/>
        <w:spacing w:line="360" w:lineRule="auto"/>
        <w:ind w:right="24"/>
        <w:rPr>
          <w:rFonts w:hint="eastAsia" w:ascii="宋体" w:hAnsi="宋体" w:eastAsia="宋体" w:cs="宋体"/>
          <w:bCs/>
          <w:color w:val="auto"/>
          <w:szCs w:val="21"/>
        </w:rPr>
      </w:pPr>
    </w:p>
    <w:p>
      <w:pPr>
        <w:pStyle w:val="25"/>
        <w:adjustRightInd w:val="0"/>
        <w:snapToGrid w:val="0"/>
        <w:spacing w:line="360" w:lineRule="auto"/>
        <w:rPr>
          <w:rFonts w:hint="eastAsia" w:ascii="宋体" w:hAnsi="宋体" w:eastAsia="宋体" w:cs="宋体"/>
          <w:color w:val="auto"/>
        </w:rPr>
      </w:pPr>
    </w:p>
    <w:p>
      <w:pPr>
        <w:pStyle w:val="25"/>
        <w:adjustRightInd w:val="0"/>
        <w:snapToGrid w:val="0"/>
        <w:spacing w:line="360" w:lineRule="auto"/>
        <w:rPr>
          <w:rFonts w:hint="eastAsia" w:ascii="宋体" w:hAnsi="宋体" w:eastAsia="宋体" w:cs="宋体"/>
          <w:color w:val="auto"/>
        </w:rPr>
      </w:pPr>
    </w:p>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谈判单位名称：</w:t>
      </w:r>
      <w:r>
        <w:rPr>
          <w:rFonts w:hint="eastAsia" w:ascii="宋体" w:hAnsi="宋体" w:eastAsia="宋体" w:cs="宋体"/>
          <w:color w:val="auto"/>
          <w:szCs w:val="21"/>
          <w:u w:val="single"/>
        </w:rPr>
        <w:t xml:space="preserve">    （盖单位章）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法定代表人(签字或盖章)：</w:t>
      </w:r>
      <w:r>
        <w:rPr>
          <w:rFonts w:hint="eastAsia" w:ascii="宋体" w:hAnsi="宋体" w:eastAsia="宋体" w:cs="宋体"/>
          <w:color w:val="auto"/>
          <w:szCs w:val="21"/>
          <w:u w:val="single"/>
        </w:rPr>
        <w:t xml:space="preserve">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 w:val="28"/>
          <w:szCs w:val="28"/>
        </w:rPr>
      </w:pPr>
    </w:p>
    <w:p>
      <w:pPr>
        <w:pStyle w:val="2"/>
        <w:rPr>
          <w:rFonts w:hint="eastAsia" w:ascii="宋体" w:hAnsi="宋体" w:eastAsia="宋体" w:cs="宋体"/>
          <w:bCs/>
          <w:color w:val="auto"/>
          <w:sz w:val="28"/>
          <w:szCs w:val="28"/>
        </w:rPr>
      </w:pPr>
    </w:p>
    <w:p>
      <w:pPr>
        <w:rPr>
          <w:rFonts w:hint="eastAsia" w:ascii="宋体" w:hAnsi="宋体" w:eastAsia="宋体" w:cs="宋体"/>
          <w:bCs/>
          <w:color w:val="auto"/>
          <w:sz w:val="28"/>
          <w:szCs w:val="28"/>
        </w:rPr>
      </w:pPr>
    </w:p>
    <w:p>
      <w:pPr>
        <w:pStyle w:val="2"/>
        <w:rPr>
          <w:rFonts w:hint="eastAsia" w:ascii="宋体" w:hAnsi="宋体" w:eastAsia="宋体" w:cs="宋体"/>
          <w:color w:val="auto"/>
        </w:rPr>
      </w:pPr>
    </w:p>
    <w:p>
      <w:pPr>
        <w:adjustRightInd w:val="0"/>
        <w:snapToGrid w:val="0"/>
        <w:spacing w:line="360" w:lineRule="auto"/>
        <w:ind w:right="24"/>
        <w:jc w:val="center"/>
        <w:outlineLvl w:val="1"/>
        <w:rPr>
          <w:rFonts w:hint="eastAsia" w:ascii="宋体" w:hAnsi="宋体" w:eastAsia="宋体" w:cs="宋体"/>
          <w:b/>
          <w:color w:val="auto"/>
          <w:sz w:val="32"/>
          <w:szCs w:val="32"/>
        </w:rPr>
      </w:pPr>
      <w:bookmarkStart w:id="114" w:name="_Toc24925"/>
      <w:bookmarkStart w:id="115" w:name="_Toc31277"/>
      <w:bookmarkStart w:id="116" w:name="_Toc24673"/>
      <w:bookmarkStart w:id="117" w:name="_Toc1313"/>
      <w:bookmarkStart w:id="118" w:name="_Toc3026"/>
      <w:r>
        <w:rPr>
          <w:rFonts w:hint="eastAsia" w:ascii="宋体" w:hAnsi="宋体" w:eastAsia="宋体" w:cs="宋体"/>
          <w:b/>
          <w:color w:val="auto"/>
          <w:sz w:val="32"/>
          <w:szCs w:val="32"/>
        </w:rPr>
        <w:t>二、法定代表人身份证明书</w:t>
      </w:r>
      <w:bookmarkEnd w:id="114"/>
      <w:bookmarkEnd w:id="115"/>
      <w:bookmarkEnd w:id="116"/>
      <w:bookmarkEnd w:id="117"/>
      <w:bookmarkEnd w:id="118"/>
    </w:p>
    <w:p>
      <w:pPr>
        <w:snapToGrid w:val="0"/>
        <w:spacing w:line="480" w:lineRule="auto"/>
        <w:rPr>
          <w:rFonts w:hint="eastAsia" w:ascii="宋体" w:hAnsi="宋体" w:eastAsia="宋体" w:cs="宋体"/>
          <w:color w:val="auto"/>
          <w:szCs w:val="21"/>
        </w:rPr>
      </w:pP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谈判单位</w:t>
      </w:r>
      <w:r>
        <w:rPr>
          <w:rFonts w:hint="eastAsia" w:ascii="宋体" w:hAnsi="宋体" w:eastAsia="宋体" w:cs="宋体"/>
          <w:color w:val="auto"/>
          <w:kern w:val="0"/>
          <w:szCs w:val="21"/>
        </w:rPr>
        <w:t>名称：</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b/>
          <w:bCs/>
          <w:color w:val="auto"/>
          <w:kern w:val="0"/>
          <w:szCs w:val="21"/>
          <w:u w:val="single"/>
        </w:rPr>
      </w:pPr>
      <w:r>
        <w:rPr>
          <w:rFonts w:hint="eastAsia" w:ascii="宋体" w:hAnsi="宋体" w:eastAsia="宋体" w:cs="宋体"/>
          <w:color w:val="auto"/>
          <w:kern w:val="0"/>
          <w:szCs w:val="21"/>
        </w:rPr>
        <w:t>注册号：</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注册地址：</w:t>
      </w:r>
      <w:r>
        <w:rPr>
          <w:rFonts w:hint="eastAsia" w:ascii="宋体" w:hAnsi="宋体" w:eastAsia="宋体" w:cs="宋体"/>
          <w:color w:val="auto"/>
          <w:kern w:val="0"/>
          <w:szCs w:val="21"/>
          <w:u w:val="single"/>
        </w:rPr>
        <w:t xml:space="preserve">                          </w:t>
      </w:r>
    </w:p>
    <w:p>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成立日期：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经营期限：</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经营范围：</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性别：</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系</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w:t>
      </w:r>
      <w:r>
        <w:rPr>
          <w:rFonts w:hint="eastAsia" w:ascii="宋体" w:hAnsi="宋体" w:eastAsia="宋体" w:cs="宋体"/>
          <w:color w:val="auto"/>
          <w:szCs w:val="21"/>
        </w:rPr>
        <w:t>谈判单位</w:t>
      </w:r>
      <w:r>
        <w:rPr>
          <w:rFonts w:hint="eastAsia" w:ascii="宋体" w:hAnsi="宋体" w:eastAsia="宋体" w:cs="宋体"/>
          <w:color w:val="auto"/>
          <w:kern w:val="0"/>
          <w:szCs w:val="21"/>
        </w:rPr>
        <w:t>名称）的法定代表人。</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特此证明。</w:t>
      </w:r>
    </w:p>
    <w:p>
      <w:pPr>
        <w:autoSpaceDE w:val="0"/>
        <w:autoSpaceDN w:val="0"/>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3360"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53120;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法定代表人身份证（反面）复印件</w:t>
                      </w:r>
                    </w:p>
                  </w:txbxContent>
                </v:textbox>
              </v:rect>
            </w:pict>
          </mc:Fallback>
        </mc:AlternateContent>
      </w:r>
      <w:r>
        <w:rPr>
          <w:rFonts w:hint="eastAsia" w:ascii="宋体" w:hAnsi="宋体" w:eastAsia="宋体" w:cs="宋体"/>
          <w:color w:val="auto"/>
          <w:szCs w:val="21"/>
        </w:rPr>
        <mc:AlternateContent>
          <mc:Choice Requires="wps">
            <w:drawing>
              <wp:anchor distT="0" distB="0" distL="114300" distR="114300" simplePos="0" relativeHeight="25166233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414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hint="eastAsia" w:ascii="宋体" w:hAnsi="宋体" w:eastAsia="宋体" w:cs="宋体"/>
          <w:color w:val="auto"/>
          <w:szCs w:val="21"/>
        </w:rPr>
      </w:pPr>
    </w:p>
    <w:p>
      <w:pPr>
        <w:autoSpaceDE w:val="0"/>
        <w:autoSpaceDN w:val="0"/>
        <w:adjustRightInd w:val="0"/>
        <w:snapToGrid w:val="0"/>
        <w:spacing w:line="360" w:lineRule="auto"/>
        <w:jc w:val="left"/>
        <w:rPr>
          <w:rFonts w:hint="eastAsia" w:ascii="宋体" w:hAnsi="宋体" w:eastAsia="宋体" w:cs="宋体"/>
          <w:color w:val="auto"/>
          <w:szCs w:val="21"/>
        </w:rPr>
      </w:pPr>
    </w:p>
    <w:p>
      <w:pPr>
        <w:autoSpaceDE w:val="0"/>
        <w:autoSpaceDN w:val="0"/>
        <w:adjustRightInd w:val="0"/>
        <w:snapToGrid w:val="0"/>
        <w:spacing w:line="360" w:lineRule="auto"/>
        <w:jc w:val="left"/>
        <w:rPr>
          <w:rFonts w:hint="eastAsia" w:ascii="宋体" w:hAnsi="宋体" w:eastAsia="宋体" w:cs="宋体"/>
          <w:color w:val="auto"/>
          <w:szCs w:val="21"/>
        </w:rPr>
      </w:pPr>
    </w:p>
    <w:p>
      <w:pPr>
        <w:autoSpaceDE w:val="0"/>
        <w:autoSpaceDN w:val="0"/>
        <w:adjustRightInd w:val="0"/>
        <w:snapToGrid w:val="0"/>
        <w:spacing w:line="360" w:lineRule="auto"/>
        <w:jc w:val="left"/>
        <w:rPr>
          <w:rFonts w:hint="eastAsia" w:ascii="宋体" w:hAnsi="宋体" w:eastAsia="宋体" w:cs="宋体"/>
          <w:color w:val="auto"/>
          <w:szCs w:val="21"/>
        </w:rPr>
      </w:pPr>
    </w:p>
    <w:p>
      <w:pPr>
        <w:autoSpaceDE w:val="0"/>
        <w:autoSpaceDN w:val="0"/>
        <w:adjustRightInd w:val="0"/>
        <w:snapToGrid w:val="0"/>
        <w:spacing w:line="360" w:lineRule="auto"/>
        <w:jc w:val="left"/>
        <w:rPr>
          <w:rFonts w:hint="eastAsia" w:ascii="宋体" w:hAnsi="宋体" w:eastAsia="宋体" w:cs="宋体"/>
          <w:color w:val="auto"/>
          <w:szCs w:val="21"/>
        </w:rPr>
      </w:pPr>
    </w:p>
    <w:p>
      <w:pPr>
        <w:autoSpaceDE w:val="0"/>
        <w:autoSpaceDN w:val="0"/>
        <w:adjustRightInd w:val="0"/>
        <w:snapToGrid w:val="0"/>
        <w:spacing w:line="360" w:lineRule="auto"/>
        <w:jc w:val="left"/>
        <w:rPr>
          <w:rFonts w:hint="eastAsia" w:ascii="宋体" w:hAnsi="宋体" w:eastAsia="宋体" w:cs="宋体"/>
          <w:b/>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5pt;height:96.15pt;width:185.5pt;z-index:251667456;mso-width-relative:page;mso-height-relative:page;" fillcolor="#FFFFFF" filled="t" stroked="t"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hint="eastAsia" w:ascii="宋体" w:hAnsi="宋体" w:eastAsia="宋体" w:cs="宋体"/>
          <w:b/>
          <w:color w:val="auto"/>
          <w:szCs w:val="21"/>
        </w:rPr>
      </w:pPr>
    </w:p>
    <w:p>
      <w:pPr>
        <w:autoSpaceDE w:val="0"/>
        <w:autoSpaceDN w:val="0"/>
        <w:adjustRightInd w:val="0"/>
        <w:snapToGrid w:val="0"/>
        <w:spacing w:line="360" w:lineRule="auto"/>
        <w:jc w:val="left"/>
        <w:rPr>
          <w:rFonts w:hint="eastAsia" w:ascii="宋体" w:hAnsi="宋体" w:eastAsia="宋体" w:cs="宋体"/>
          <w:b/>
          <w:color w:val="auto"/>
          <w:szCs w:val="21"/>
        </w:rPr>
      </w:pPr>
    </w:p>
    <w:p>
      <w:pPr>
        <w:autoSpaceDE w:val="0"/>
        <w:autoSpaceDN w:val="0"/>
        <w:adjustRightInd w:val="0"/>
        <w:snapToGrid w:val="0"/>
        <w:spacing w:line="360" w:lineRule="auto"/>
        <w:jc w:val="left"/>
        <w:rPr>
          <w:rFonts w:hint="eastAsia" w:ascii="宋体" w:hAnsi="宋体" w:eastAsia="宋体" w:cs="宋体"/>
          <w:b/>
          <w:color w:val="auto"/>
          <w:szCs w:val="21"/>
        </w:rPr>
      </w:pPr>
    </w:p>
    <w:p>
      <w:pPr>
        <w:autoSpaceDE w:val="0"/>
        <w:autoSpaceDN w:val="0"/>
        <w:adjustRightInd w:val="0"/>
        <w:snapToGrid w:val="0"/>
        <w:spacing w:line="360" w:lineRule="auto"/>
        <w:jc w:val="left"/>
        <w:rPr>
          <w:rFonts w:hint="eastAsia" w:ascii="宋体" w:hAnsi="宋体" w:eastAsia="宋体" w:cs="宋体"/>
          <w:b/>
          <w:color w:val="auto"/>
          <w:szCs w:val="21"/>
        </w:rPr>
      </w:pPr>
    </w:p>
    <w:p>
      <w:pPr>
        <w:autoSpaceDE w:val="0"/>
        <w:autoSpaceDN w:val="0"/>
        <w:adjustRightInd w:val="0"/>
        <w:snapToGrid w:val="0"/>
        <w:spacing w:line="360" w:lineRule="auto"/>
        <w:jc w:val="left"/>
        <w:rPr>
          <w:rFonts w:hint="eastAsia" w:ascii="宋体" w:hAnsi="宋体" w:eastAsia="宋体" w:cs="宋体"/>
          <w:b/>
          <w:color w:val="auto"/>
          <w:szCs w:val="21"/>
        </w:rPr>
      </w:pPr>
    </w:p>
    <w:p>
      <w:pPr>
        <w:autoSpaceDE w:val="0"/>
        <w:autoSpaceDN w:val="0"/>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b/>
          <w:color w:val="auto"/>
          <w:szCs w:val="21"/>
        </w:rPr>
        <w:t>备注：上述证件复印件可另附页，另附页时，证件复印件均须加盖单位公章。</w:t>
      </w:r>
    </w:p>
    <w:p>
      <w:pPr>
        <w:snapToGrid w:val="0"/>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谈判单位名称（盖单位章）：</w:t>
      </w:r>
      <w:r>
        <w:rPr>
          <w:rFonts w:hint="eastAsia" w:ascii="宋体" w:hAnsi="宋体" w:eastAsia="宋体" w:cs="宋体"/>
          <w:color w:val="auto"/>
          <w:u w:val="single"/>
        </w:rPr>
        <w:t xml:space="preserve">    （盖单位章）    </w:t>
      </w:r>
    </w:p>
    <w:p>
      <w:pPr>
        <w:spacing w:line="360" w:lineRule="auto"/>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jc w:val="center"/>
        <w:outlineLvl w:val="1"/>
        <w:rPr>
          <w:rFonts w:hint="eastAsia" w:ascii="宋体" w:hAnsi="宋体" w:eastAsia="宋体" w:cs="宋体"/>
          <w:b/>
          <w:color w:val="auto"/>
          <w:sz w:val="32"/>
          <w:szCs w:val="32"/>
        </w:rPr>
      </w:pPr>
      <w:r>
        <w:rPr>
          <w:rFonts w:hint="eastAsia" w:ascii="宋体" w:hAnsi="宋体" w:eastAsia="宋体" w:cs="宋体"/>
          <w:bCs/>
          <w:color w:val="auto"/>
          <w:sz w:val="24"/>
        </w:rPr>
        <w:br w:type="page"/>
      </w:r>
      <w:bookmarkStart w:id="119" w:name="_Toc21066"/>
      <w:bookmarkStart w:id="120" w:name="_Toc761"/>
      <w:bookmarkStart w:id="121" w:name="_Toc14170"/>
      <w:bookmarkStart w:id="122" w:name="_Toc32637"/>
      <w:bookmarkStart w:id="123" w:name="_Toc18823"/>
      <w:r>
        <w:rPr>
          <w:rFonts w:hint="eastAsia" w:ascii="宋体" w:hAnsi="宋体" w:eastAsia="宋体" w:cs="宋体"/>
          <w:b/>
          <w:color w:val="auto"/>
          <w:sz w:val="32"/>
          <w:szCs w:val="32"/>
        </w:rPr>
        <w:t>三、授权委托书</w:t>
      </w:r>
      <w:bookmarkEnd w:id="119"/>
      <w:bookmarkEnd w:id="120"/>
      <w:bookmarkEnd w:id="121"/>
      <w:bookmarkEnd w:id="122"/>
      <w:bookmarkEnd w:id="123"/>
    </w:p>
    <w:p>
      <w:pPr>
        <w:adjustRightInd w:val="0"/>
        <w:snapToGrid w:val="0"/>
        <w:spacing w:line="360" w:lineRule="auto"/>
        <w:jc w:val="center"/>
        <w:rPr>
          <w:rFonts w:hint="eastAsia" w:ascii="宋体" w:hAnsi="宋体" w:eastAsia="宋体" w:cs="宋体"/>
          <w:b/>
          <w:color w:val="auto"/>
          <w:sz w:val="28"/>
          <w:szCs w:val="28"/>
        </w:rPr>
      </w:pPr>
    </w:p>
    <w:p>
      <w:pPr>
        <w:autoSpaceDE w:val="0"/>
        <w:autoSpaceDN w:val="0"/>
        <w:adjustRightInd w:val="0"/>
        <w:snapToGrid w:val="0"/>
        <w:spacing w:before="120" w:beforeLines="50"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本人</w:t>
      </w:r>
      <w:r>
        <w:rPr>
          <w:rFonts w:hint="eastAsia" w:ascii="宋体" w:hAnsi="宋体" w:eastAsia="宋体" w:cs="宋体"/>
          <w:color w:val="auto"/>
          <w:kern w:val="0"/>
          <w:szCs w:val="21"/>
          <w:u w:val="single"/>
        </w:rPr>
        <w:t>（姓名、职务）</w:t>
      </w:r>
      <w:r>
        <w:rPr>
          <w:rFonts w:hint="eastAsia" w:ascii="宋体" w:hAnsi="宋体" w:eastAsia="宋体" w:cs="宋体"/>
          <w:color w:val="auto"/>
          <w:kern w:val="0"/>
          <w:szCs w:val="21"/>
        </w:rPr>
        <w:t>系</w:t>
      </w:r>
      <w:r>
        <w:rPr>
          <w:rFonts w:hint="eastAsia" w:ascii="宋体" w:hAnsi="宋体" w:eastAsia="宋体" w:cs="宋体"/>
          <w:color w:val="auto"/>
          <w:kern w:val="0"/>
          <w:szCs w:val="21"/>
          <w:u w:val="single"/>
        </w:rPr>
        <w:t>（</w:t>
      </w:r>
      <w:r>
        <w:rPr>
          <w:rFonts w:hint="eastAsia" w:ascii="宋体" w:hAnsi="宋体" w:eastAsia="宋体" w:cs="宋体"/>
          <w:color w:val="auto"/>
          <w:szCs w:val="21"/>
          <w:u w:val="single"/>
        </w:rPr>
        <w:t>谈判单位</w:t>
      </w:r>
      <w:r>
        <w:rPr>
          <w:rFonts w:hint="eastAsia" w:ascii="宋体" w:hAnsi="宋体" w:eastAsia="宋体" w:cs="宋体"/>
          <w:color w:val="auto"/>
          <w:kern w:val="0"/>
          <w:szCs w:val="21"/>
          <w:u w:val="single"/>
        </w:rPr>
        <w:t>名称）</w:t>
      </w:r>
      <w:r>
        <w:rPr>
          <w:rFonts w:hint="eastAsia" w:ascii="宋体" w:hAnsi="宋体" w:eastAsia="宋体" w:cs="宋体"/>
          <w:color w:val="auto"/>
          <w:kern w:val="0"/>
          <w:szCs w:val="21"/>
        </w:rPr>
        <w:t>的法定代表人，现授权</w:t>
      </w:r>
      <w:r>
        <w:rPr>
          <w:rFonts w:hint="eastAsia" w:ascii="宋体" w:hAnsi="宋体" w:eastAsia="宋体" w:cs="宋体"/>
          <w:color w:val="auto"/>
          <w:kern w:val="0"/>
          <w:szCs w:val="21"/>
          <w:u w:val="single"/>
        </w:rPr>
        <w:t>（姓名、职务）</w:t>
      </w:r>
      <w:r>
        <w:rPr>
          <w:rFonts w:hint="eastAsia" w:ascii="宋体" w:hAnsi="宋体" w:eastAsia="宋体" w:cs="宋体"/>
          <w:color w:val="auto"/>
          <w:kern w:val="0"/>
          <w:szCs w:val="21"/>
        </w:rPr>
        <w:t>为我方代理人。代理人根据授权，以我方名义签署、澄清、补正、修改、撤回、提交</w:t>
      </w:r>
      <w:r>
        <w:rPr>
          <w:rFonts w:hint="eastAsia" w:ascii="宋体" w:hAnsi="宋体" w:eastAsia="宋体" w:cs="宋体"/>
          <w:color w:val="auto"/>
          <w:kern w:val="0"/>
          <w:szCs w:val="21"/>
          <w:u w:val="single"/>
        </w:rPr>
        <w:t>（项目名称、</w:t>
      </w:r>
      <w:r>
        <w:rPr>
          <w:rFonts w:hint="eastAsia" w:ascii="宋体" w:hAnsi="宋体" w:eastAsia="宋体" w:cs="宋体"/>
          <w:color w:val="auto"/>
          <w:szCs w:val="21"/>
          <w:u w:val="single"/>
        </w:rPr>
        <w:t>项目</w:t>
      </w:r>
      <w:r>
        <w:rPr>
          <w:rFonts w:hint="eastAsia" w:ascii="宋体" w:hAnsi="宋体" w:eastAsia="宋体" w:cs="宋体"/>
          <w:color w:val="auto"/>
          <w:kern w:val="0"/>
          <w:szCs w:val="21"/>
          <w:u w:val="single"/>
        </w:rPr>
        <w:t>编号）</w:t>
      </w:r>
      <w:r>
        <w:rPr>
          <w:rFonts w:hint="eastAsia" w:ascii="宋体" w:hAnsi="宋体" w:eastAsia="宋体" w:cs="宋体"/>
          <w:color w:val="auto"/>
          <w:kern w:val="0"/>
          <w:szCs w:val="21"/>
        </w:rPr>
        <w:t>响应文件及与本谈判项目的有关事宜，其法律后果由我方承担。</w:t>
      </w:r>
    </w:p>
    <w:p>
      <w:pPr>
        <w:spacing w:line="360" w:lineRule="auto"/>
        <w:ind w:firstLine="435"/>
        <w:rPr>
          <w:rFonts w:hint="eastAsia" w:ascii="宋体" w:hAnsi="宋体" w:eastAsia="宋体" w:cs="宋体"/>
          <w:color w:val="auto"/>
          <w:kern w:val="0"/>
          <w:szCs w:val="21"/>
        </w:rPr>
      </w:pPr>
    </w:p>
    <w:p>
      <w:pPr>
        <w:spacing w:line="360" w:lineRule="auto"/>
        <w:ind w:firstLine="435"/>
        <w:rPr>
          <w:rFonts w:hint="eastAsia" w:ascii="宋体" w:hAnsi="宋体" w:eastAsia="宋体" w:cs="宋体"/>
          <w:color w:val="auto"/>
          <w:kern w:val="0"/>
          <w:szCs w:val="21"/>
        </w:rPr>
      </w:pPr>
    </w:p>
    <w:p>
      <w:pPr>
        <w:spacing w:line="360" w:lineRule="auto"/>
        <w:ind w:firstLine="435"/>
        <w:rPr>
          <w:rFonts w:hint="eastAsia" w:ascii="宋体" w:hAnsi="宋体" w:eastAsia="宋体" w:cs="宋体"/>
          <w:color w:val="auto"/>
          <w:kern w:val="0"/>
          <w:szCs w:val="21"/>
        </w:rPr>
      </w:pPr>
    </w:p>
    <w:p>
      <w:pPr>
        <w:spacing w:line="360" w:lineRule="auto"/>
        <w:ind w:firstLine="435"/>
        <w:rPr>
          <w:rFonts w:hint="eastAsia" w:ascii="宋体" w:hAnsi="宋体" w:eastAsia="宋体" w:cs="宋体"/>
          <w:color w:val="auto"/>
          <w:kern w:val="0"/>
          <w:szCs w:val="21"/>
        </w:rPr>
      </w:pPr>
      <w:r>
        <w:rPr>
          <w:rFonts w:hint="eastAsia" w:ascii="宋体" w:hAnsi="宋体" w:eastAsia="宋体" w:cs="宋体"/>
          <w:color w:val="auto"/>
          <w:kern w:val="0"/>
          <w:szCs w:val="21"/>
        </w:rPr>
        <w:t>代理人无转委托权。</w:t>
      </w:r>
    </w:p>
    <w:p>
      <w:pPr>
        <w:spacing w:line="360" w:lineRule="auto"/>
        <w:ind w:firstLine="435"/>
        <w:rPr>
          <w:rFonts w:hint="eastAsia" w:ascii="宋体" w:hAnsi="宋体" w:eastAsia="宋体" w:cs="宋体"/>
          <w:color w:val="auto"/>
          <w:szCs w:val="21"/>
        </w:rPr>
      </w:pPr>
      <w:r>
        <w:rPr>
          <w:rFonts w:hint="eastAsia" w:ascii="宋体" w:hAnsi="宋体" w:eastAsia="宋体" w:cs="宋体"/>
          <w:color w:val="auto"/>
          <w:szCs w:val="21"/>
        </w:rPr>
        <w:t>本授权书于    年   月   日签字生效，特此声明。</w:t>
      </w:r>
    </w:p>
    <w:p>
      <w:pPr>
        <w:adjustRightInd w:val="0"/>
        <w:snapToGrid w:val="0"/>
        <w:spacing w:before="120"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4384"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52096;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eastAsia="宋体" w:cs="宋体"/>
          <w:color w:val="auto"/>
          <w:szCs w:val="21"/>
        </w:rPr>
        <mc:AlternateContent>
          <mc:Choice Requires="wps">
            <w:drawing>
              <wp:anchor distT="0" distB="0" distL="114300" distR="114300" simplePos="0" relativeHeight="251666432"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50048;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v:textbox>
              </v:rect>
            </w:pict>
          </mc:Fallback>
        </mc:AlternateContent>
      </w:r>
      <w:r>
        <w:rPr>
          <w:rFonts w:hint="eastAsia" w:ascii="宋体" w:hAnsi="宋体" w:eastAsia="宋体" w:cs="宋体"/>
          <w:color w:val="auto"/>
          <w:szCs w:val="21"/>
        </w:rPr>
        <mc:AlternateContent>
          <mc:Choice Requires="wps">
            <w:drawing>
              <wp:anchor distT="0" distB="0" distL="114300" distR="114300" simplePos="0" relativeHeight="251665408"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51072;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utoSpaceDE w:val="0"/>
        <w:autoSpaceDN w:val="0"/>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b/>
          <w:color w:val="auto"/>
          <w:szCs w:val="21"/>
        </w:rPr>
        <w:t xml:space="preserve">备注：上述证件复印件可另附页，另附页时，证件复印件均须加盖单位公章。 </w:t>
      </w: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谈判单位名称（盖单位章）：</w:t>
      </w:r>
      <w:r>
        <w:rPr>
          <w:rFonts w:hint="eastAsia" w:ascii="宋体" w:hAnsi="宋体" w:eastAsia="宋体" w:cs="宋体"/>
          <w:color w:val="auto"/>
          <w:u w:val="single"/>
        </w:rPr>
        <w:t xml:space="preserve">    （盖单位章）    </w:t>
      </w: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法定代表人（亲笔签字）：</w:t>
      </w:r>
      <w:r>
        <w:rPr>
          <w:rFonts w:hint="eastAsia" w:ascii="宋体" w:hAnsi="宋体" w:eastAsia="宋体" w:cs="宋体"/>
          <w:color w:val="auto"/>
          <w:szCs w:val="21"/>
          <w:u w:val="single"/>
        </w:rPr>
        <w:t xml:space="preserve">                      </w:t>
      </w: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委托代理人（亲笔签字）：</w:t>
      </w:r>
      <w:r>
        <w:rPr>
          <w:rFonts w:hint="eastAsia" w:ascii="宋体" w:hAnsi="宋体" w:eastAsia="宋体" w:cs="宋体"/>
          <w:color w:val="auto"/>
          <w:szCs w:val="21"/>
          <w:u w:val="single"/>
        </w:rPr>
        <w:t xml:space="preserve">                      </w:t>
      </w:r>
    </w:p>
    <w:p>
      <w:pPr>
        <w:spacing w:line="360" w:lineRule="auto"/>
        <w:rPr>
          <w:rFonts w:hint="eastAsia" w:ascii="宋体" w:hAnsi="宋体" w:eastAsia="宋体" w:cs="宋体"/>
          <w:color w:val="auto"/>
          <w:szCs w:val="21"/>
        </w:rPr>
        <w:sectPr>
          <w:pgSz w:w="11906" w:h="16838"/>
          <w:pgMar w:top="1191" w:right="1417" w:bottom="1191" w:left="1191" w:header="851" w:footer="851" w:gutter="0"/>
          <w:pgNumType w:fmt="decimal"/>
          <w:cols w:space="720" w:num="1"/>
          <w:docGrid w:linePitch="312" w:charSpace="0"/>
        </w:sectPr>
      </w:pPr>
      <w:r>
        <w:rPr>
          <w:rFonts w:hint="eastAsia" w:ascii="宋体" w:hAnsi="宋体" w:eastAsia="宋体" w:cs="宋体"/>
          <w:color w:val="auto"/>
        </w:rPr>
        <w:t>日期</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jc w:val="center"/>
        <w:outlineLvl w:val="1"/>
        <w:rPr>
          <w:rFonts w:hint="eastAsia" w:ascii="宋体" w:hAnsi="宋体" w:eastAsia="宋体" w:cs="宋体"/>
          <w:b/>
          <w:color w:val="auto"/>
          <w:sz w:val="32"/>
          <w:szCs w:val="32"/>
        </w:rPr>
      </w:pPr>
      <w:bookmarkStart w:id="124" w:name="_Toc11357"/>
      <w:bookmarkStart w:id="125" w:name="_Toc15966"/>
      <w:bookmarkStart w:id="126" w:name="_Toc2295"/>
      <w:bookmarkStart w:id="127" w:name="_Toc18944"/>
      <w:bookmarkStart w:id="128" w:name="_Toc17636"/>
      <w:r>
        <w:rPr>
          <w:rFonts w:hint="eastAsia" w:ascii="宋体" w:hAnsi="宋体" w:eastAsia="宋体" w:cs="宋体"/>
          <w:b/>
          <w:color w:val="auto"/>
          <w:sz w:val="32"/>
          <w:szCs w:val="32"/>
        </w:rPr>
        <w:t>四、谈判单位资格证明文件</w:t>
      </w:r>
      <w:bookmarkEnd w:id="124"/>
      <w:bookmarkEnd w:id="125"/>
      <w:bookmarkEnd w:id="126"/>
      <w:bookmarkEnd w:id="127"/>
      <w:bookmarkEnd w:id="128"/>
    </w:p>
    <w:p>
      <w:pPr>
        <w:adjustRightInd w:val="0"/>
        <w:snapToGrid w:val="0"/>
        <w:spacing w:line="360" w:lineRule="auto"/>
        <w:rPr>
          <w:rFonts w:hint="eastAsia" w:ascii="宋体" w:hAnsi="宋体" w:eastAsia="宋体" w:cs="宋体"/>
          <w:bCs/>
          <w:color w:val="auto"/>
          <w:szCs w:val="21"/>
        </w:rPr>
      </w:pPr>
    </w:p>
    <w:p>
      <w:pPr>
        <w:adjustRightInd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根据本谈判文件</w:t>
      </w:r>
      <w:r>
        <w:rPr>
          <w:rFonts w:hint="eastAsia" w:ascii="宋体" w:hAnsi="宋体" w:eastAsia="宋体" w:cs="宋体"/>
          <w:b/>
          <w:bCs/>
          <w:color w:val="auto"/>
          <w:szCs w:val="21"/>
        </w:rPr>
        <w:t>前附表</w:t>
      </w:r>
      <w:r>
        <w:rPr>
          <w:rFonts w:hint="eastAsia" w:ascii="宋体" w:hAnsi="宋体" w:eastAsia="宋体" w:cs="宋体"/>
          <w:bCs/>
          <w:color w:val="auto"/>
          <w:szCs w:val="21"/>
        </w:rPr>
        <w:t>内的资格要求，本章节须附下列证明文件</w:t>
      </w:r>
      <w:r>
        <w:rPr>
          <w:rFonts w:hint="eastAsia" w:ascii="宋体" w:hAnsi="宋体" w:eastAsia="宋体" w:cs="宋体"/>
          <w:b/>
          <w:bCs w:val="0"/>
          <w:color w:val="auto"/>
          <w:szCs w:val="21"/>
        </w:rPr>
        <w:t>复印件</w:t>
      </w:r>
      <w:r>
        <w:rPr>
          <w:rFonts w:hint="eastAsia" w:ascii="宋体" w:hAnsi="宋体" w:eastAsia="宋体" w:cs="宋体"/>
          <w:bCs/>
          <w:color w:val="auto"/>
          <w:szCs w:val="21"/>
        </w:rPr>
        <w:t>：</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eastAsia="宋体" w:cs="宋体"/>
          <w:bCs/>
          <w:color w:val="auto"/>
          <w:szCs w:val="21"/>
        </w:rPr>
        <w:t>须</w:t>
      </w:r>
      <w:r>
        <w:rPr>
          <w:rFonts w:hint="eastAsia" w:ascii="宋体" w:hAnsi="宋体" w:cs="宋体"/>
          <w:color w:val="auto"/>
          <w:szCs w:val="21"/>
          <w:lang w:eastAsia="zh-CN"/>
        </w:rPr>
        <w:t>提供</w:t>
      </w:r>
      <w:r>
        <w:rPr>
          <w:rFonts w:hint="eastAsia" w:ascii="宋体" w:hAnsi="宋体" w:cs="宋体"/>
          <w:color w:val="auto"/>
          <w:szCs w:val="21"/>
        </w:rPr>
        <w:t>营业执照；</w:t>
      </w:r>
    </w:p>
    <w:p>
      <w:pPr>
        <w:adjustRightInd w:val="0"/>
        <w:snapToGrid w:val="0"/>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2.</w:t>
      </w:r>
      <w:r>
        <w:rPr>
          <w:rFonts w:hint="eastAsia" w:ascii="宋体" w:hAnsi="宋体" w:eastAsia="宋体" w:cs="宋体"/>
          <w:bCs/>
          <w:color w:val="auto"/>
          <w:szCs w:val="21"/>
        </w:rPr>
        <w:t>须</w:t>
      </w:r>
      <w:r>
        <w:rPr>
          <w:rFonts w:hint="eastAsia" w:ascii="宋体" w:hAnsi="宋体" w:cs="宋体"/>
          <w:color w:val="auto"/>
          <w:szCs w:val="21"/>
          <w:lang w:eastAsia="zh-CN"/>
        </w:rPr>
        <w:t>提供建筑工程施工总承包三级（含）以上资质证书，</w:t>
      </w:r>
      <w:r>
        <w:rPr>
          <w:rFonts w:hint="eastAsia" w:ascii="宋体" w:hAnsi="宋体" w:cs="宋体"/>
          <w:color w:val="auto"/>
          <w:szCs w:val="21"/>
        </w:rPr>
        <w:t>有效的施工企业《安全生产许可证》</w:t>
      </w:r>
      <w:r>
        <w:rPr>
          <w:rFonts w:hint="eastAsia" w:ascii="宋体" w:hAnsi="宋体" w:cs="宋体"/>
          <w:color w:val="auto"/>
          <w:szCs w:val="21"/>
          <w:lang w:eastAsia="zh-CN"/>
        </w:rPr>
        <w:t>；</w:t>
      </w:r>
    </w:p>
    <w:p>
      <w:pPr>
        <w:adjustRightInd w:val="0"/>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3.</w:t>
      </w:r>
      <w:r>
        <w:rPr>
          <w:rFonts w:hint="eastAsia" w:ascii="宋体" w:hAnsi="宋体" w:eastAsia="宋体" w:cs="宋体"/>
          <w:bCs/>
          <w:color w:val="auto"/>
          <w:szCs w:val="21"/>
        </w:rPr>
        <w:t>须</w:t>
      </w:r>
      <w:r>
        <w:rPr>
          <w:rFonts w:hint="eastAsia" w:ascii="宋体" w:hAnsi="宋体" w:cs="宋体"/>
          <w:color w:val="auto"/>
          <w:szCs w:val="21"/>
          <w:lang w:eastAsia="zh-CN"/>
        </w:rPr>
        <w:t>提供</w:t>
      </w:r>
      <w:r>
        <w:rPr>
          <w:rFonts w:hint="eastAsia" w:ascii="宋体" w:hAnsi="宋体" w:cs="宋体"/>
          <w:color w:val="auto"/>
          <w:szCs w:val="21"/>
        </w:rPr>
        <w:t>项目负责人</w:t>
      </w:r>
      <w:r>
        <w:rPr>
          <w:rFonts w:hint="eastAsia" w:ascii="宋体" w:hAnsi="宋体" w:eastAsia="宋体" w:cs="宋体"/>
          <w:color w:val="auto"/>
          <w:szCs w:val="21"/>
          <w:lang w:val="en-US" w:eastAsia="zh-CN"/>
        </w:rPr>
        <w:t>建筑工程专业</w:t>
      </w:r>
      <w:r>
        <w:rPr>
          <w:rFonts w:hint="eastAsia" w:ascii="宋体" w:hAnsi="宋体" w:eastAsia="宋体" w:cs="宋体"/>
          <w:color w:val="auto"/>
          <w:szCs w:val="21"/>
        </w:rPr>
        <w:t>贰</w:t>
      </w:r>
      <w:r>
        <w:rPr>
          <w:rFonts w:hint="eastAsia" w:ascii="宋体" w:hAnsi="宋体" w:eastAsia="宋体" w:cs="宋体"/>
          <w:color w:val="auto"/>
          <w:szCs w:val="21"/>
          <w:lang w:val="en-US" w:eastAsia="zh-CN"/>
        </w:rPr>
        <w:t>级及以上注册建造师执业资格证</w:t>
      </w:r>
      <w:r>
        <w:rPr>
          <w:rFonts w:hint="eastAsia" w:ascii="宋体" w:hAnsi="宋体" w:cs="宋体"/>
          <w:color w:val="auto"/>
          <w:szCs w:val="21"/>
          <w:lang w:val="en-US" w:eastAsia="zh-CN"/>
        </w:rPr>
        <w:t>、安全生产考核合格证书；</w:t>
      </w:r>
    </w:p>
    <w:p>
      <w:pPr>
        <w:adjustRightInd w:val="0"/>
        <w:snapToGrid w:val="0"/>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4.</w:t>
      </w:r>
      <w:r>
        <w:rPr>
          <w:rFonts w:hint="eastAsia" w:ascii="宋体" w:hAnsi="宋体" w:eastAsia="宋体" w:cs="宋体"/>
          <w:bCs/>
          <w:color w:val="auto"/>
          <w:szCs w:val="21"/>
        </w:rPr>
        <w:t>须</w:t>
      </w:r>
      <w:r>
        <w:rPr>
          <w:rFonts w:hint="eastAsia" w:ascii="宋体" w:hAnsi="宋体" w:cs="宋体"/>
          <w:color w:val="auto"/>
          <w:szCs w:val="21"/>
          <w:lang w:eastAsia="zh-CN"/>
        </w:rPr>
        <w:t>提供技术负责人</w:t>
      </w:r>
      <w:r>
        <w:rPr>
          <w:rFonts w:hint="eastAsia" w:ascii="宋体" w:hAnsi="宋体" w:eastAsia="宋体" w:cs="宋体"/>
          <w:color w:val="auto"/>
          <w:szCs w:val="21"/>
          <w:lang w:val="en-US" w:eastAsia="zh-CN"/>
        </w:rPr>
        <w:t>建筑工程相关专业中级及以上职称</w:t>
      </w:r>
      <w:r>
        <w:rPr>
          <w:rFonts w:hint="eastAsia" w:ascii="宋体" w:hAnsi="宋体" w:cs="宋体"/>
          <w:color w:val="auto"/>
          <w:szCs w:val="21"/>
          <w:lang w:eastAsia="zh-CN"/>
        </w:rPr>
        <w:t>；</w:t>
      </w:r>
    </w:p>
    <w:p>
      <w:pPr>
        <w:adjustRightInd w:val="0"/>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eastAsia="宋体" w:cs="宋体"/>
          <w:bCs/>
          <w:color w:val="auto"/>
          <w:szCs w:val="21"/>
        </w:rPr>
        <w:t>须</w:t>
      </w:r>
      <w:r>
        <w:rPr>
          <w:rFonts w:hint="eastAsia" w:ascii="宋体" w:hAnsi="宋体" w:cs="宋体"/>
          <w:color w:val="auto"/>
          <w:szCs w:val="21"/>
          <w:lang w:eastAsia="zh-CN"/>
        </w:rPr>
        <w:t>提供</w:t>
      </w:r>
      <w:r>
        <w:rPr>
          <w:rFonts w:hint="eastAsia" w:ascii="宋体" w:hAnsi="宋体" w:cs="宋体"/>
          <w:color w:val="auto"/>
          <w:szCs w:val="21"/>
          <w:lang w:val="en-US" w:eastAsia="zh-CN"/>
        </w:rPr>
        <w:t>施工员岗位资格证书；</w:t>
      </w:r>
    </w:p>
    <w:p>
      <w:pPr>
        <w:adjustRightInd w:val="0"/>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6.</w:t>
      </w:r>
      <w:r>
        <w:rPr>
          <w:rFonts w:hint="eastAsia" w:ascii="宋体" w:hAnsi="宋体" w:eastAsia="宋体" w:cs="宋体"/>
          <w:bCs/>
          <w:color w:val="auto"/>
          <w:szCs w:val="21"/>
        </w:rPr>
        <w:t>须</w:t>
      </w:r>
      <w:r>
        <w:rPr>
          <w:rFonts w:hint="eastAsia" w:ascii="宋体" w:hAnsi="宋体" w:cs="宋体"/>
          <w:color w:val="auto"/>
          <w:szCs w:val="21"/>
          <w:lang w:eastAsia="zh-CN"/>
        </w:rPr>
        <w:t>提供</w:t>
      </w:r>
      <w:r>
        <w:rPr>
          <w:rFonts w:hint="eastAsia" w:ascii="宋体" w:hAnsi="宋体" w:cs="宋体"/>
          <w:color w:val="auto"/>
          <w:szCs w:val="21"/>
          <w:lang w:val="en-US" w:eastAsia="zh-CN"/>
        </w:rPr>
        <w:t>专职安全生产管理人员安全生产考核合格证书；</w:t>
      </w:r>
    </w:p>
    <w:p>
      <w:pPr>
        <w:adjustRightInd w:val="0"/>
        <w:snapToGrid w:val="0"/>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7.</w:t>
      </w:r>
      <w:r>
        <w:rPr>
          <w:rFonts w:hint="eastAsia" w:ascii="宋体" w:hAnsi="宋体" w:cs="宋体"/>
          <w:color w:val="auto"/>
          <w:szCs w:val="21"/>
        </w:rPr>
        <w:t>湖南省外企业须按照湘建建【2015】190号文件要求办理省外入湘企业基本情况登记（以“湖南省住房和城乡建设网”查询为准）或具有入湘施工登记证（处于有效期内）</w:t>
      </w:r>
      <w:r>
        <w:rPr>
          <w:rFonts w:hint="eastAsia" w:ascii="宋体" w:hAnsi="宋体" w:cs="宋体"/>
          <w:color w:val="auto"/>
          <w:szCs w:val="21"/>
          <w:lang w:eastAsia="zh-CN"/>
        </w:rPr>
        <w:t>；</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谈判单位认为与本项目资格条件有关的其它证明文件（如有，格式自拟）。</w:t>
      </w:r>
    </w:p>
    <w:p>
      <w:pPr>
        <w:adjustRightInd w:val="0"/>
        <w:snapToGrid w:val="0"/>
        <w:spacing w:line="360" w:lineRule="auto"/>
        <w:ind w:firstLine="422" w:firstLineChars="200"/>
        <w:rPr>
          <w:rFonts w:hint="eastAsia" w:ascii="宋体" w:hAnsi="宋体" w:eastAsia="宋体" w:cs="宋体"/>
          <w:b/>
          <w:bCs/>
          <w:color w:val="auto"/>
          <w:szCs w:val="21"/>
          <w:lang w:eastAsia="zh-CN"/>
        </w:rPr>
      </w:pPr>
      <w:r>
        <w:rPr>
          <w:rFonts w:hint="eastAsia" w:ascii="宋体" w:hAnsi="宋体" w:eastAsia="宋体" w:cs="宋体"/>
          <w:b/>
          <w:bCs/>
          <w:color w:val="auto"/>
          <w:szCs w:val="21"/>
        </w:rPr>
        <w:t>备注：上述证明文件复印件均须加盖谈判单位公章。</w:t>
      </w:r>
    </w:p>
    <w:p>
      <w:pPr>
        <w:rPr>
          <w:rFonts w:hint="eastAsia" w:ascii="宋体" w:hAnsi="宋体" w:eastAsia="宋体" w:cs="宋体"/>
          <w:b/>
          <w:color w:val="auto"/>
          <w:sz w:val="32"/>
          <w:szCs w:val="32"/>
        </w:rPr>
      </w:pPr>
      <w:bookmarkStart w:id="129" w:name="_Toc30403"/>
      <w:bookmarkStart w:id="130" w:name="_Toc9230"/>
      <w:bookmarkStart w:id="131" w:name="_Toc7528"/>
      <w:bookmarkStart w:id="132" w:name="_Toc22672"/>
      <w:r>
        <w:rPr>
          <w:rFonts w:hint="eastAsia" w:ascii="宋体" w:hAnsi="宋体" w:eastAsia="宋体" w:cs="宋体"/>
          <w:b/>
          <w:color w:val="auto"/>
          <w:sz w:val="32"/>
          <w:szCs w:val="32"/>
        </w:rPr>
        <w:br w:type="page"/>
      </w:r>
    </w:p>
    <w:p>
      <w:pPr>
        <w:adjustRightInd w:val="0"/>
        <w:snapToGrid w:val="0"/>
        <w:spacing w:line="360" w:lineRule="auto"/>
        <w:ind w:right="24"/>
        <w:jc w:val="center"/>
        <w:outlineLvl w:val="1"/>
        <w:rPr>
          <w:rFonts w:hint="eastAsia" w:ascii="宋体" w:hAnsi="宋体" w:eastAsia="宋体" w:cs="宋体"/>
          <w:b/>
          <w:color w:val="auto"/>
          <w:sz w:val="32"/>
          <w:szCs w:val="32"/>
        </w:rPr>
      </w:pPr>
      <w:bookmarkStart w:id="133" w:name="_Toc13358"/>
      <w:r>
        <w:rPr>
          <w:rFonts w:hint="eastAsia" w:ascii="宋体" w:hAnsi="宋体" w:eastAsia="宋体" w:cs="宋体"/>
          <w:b/>
          <w:color w:val="auto"/>
          <w:sz w:val="32"/>
          <w:szCs w:val="32"/>
        </w:rPr>
        <w:t>五、</w:t>
      </w:r>
      <w:bookmarkEnd w:id="129"/>
      <w:bookmarkEnd w:id="130"/>
      <w:bookmarkEnd w:id="131"/>
      <w:r>
        <w:rPr>
          <w:rFonts w:hint="eastAsia" w:ascii="宋体" w:hAnsi="宋体" w:eastAsia="宋体" w:cs="宋体"/>
          <w:b/>
          <w:color w:val="auto"/>
          <w:sz w:val="32"/>
          <w:szCs w:val="32"/>
        </w:rPr>
        <w:t>不拖欠农民工工资承诺书</w:t>
      </w:r>
      <w:bookmarkEnd w:id="132"/>
      <w:bookmarkEnd w:id="133"/>
    </w:p>
    <w:p>
      <w:pPr>
        <w:adjustRightInd w:val="0"/>
        <w:snapToGrid w:val="0"/>
        <w:ind w:left="-88" w:leftChars="-42" w:firstLine="211" w:firstLineChars="100"/>
        <w:jc w:val="center"/>
        <w:rPr>
          <w:rFonts w:hint="eastAsia" w:ascii="宋体" w:hAnsi="宋体" w:eastAsia="宋体" w:cs="宋体"/>
          <w:b/>
          <w:bCs/>
          <w:color w:val="auto"/>
          <w:szCs w:val="21"/>
        </w:rPr>
      </w:pPr>
    </w:p>
    <w:p>
      <w:pPr>
        <w:ind w:firstLine="105" w:firstLineChars="50"/>
        <w:rPr>
          <w:rFonts w:hint="eastAsia" w:ascii="宋体" w:hAnsi="宋体" w:eastAsia="宋体" w:cs="宋体"/>
          <w:color w:val="auto"/>
          <w:u w:val="single"/>
        </w:rPr>
      </w:pPr>
      <w:r>
        <w:rPr>
          <w:rFonts w:hint="eastAsia" w:ascii="宋体" w:hAnsi="宋体" w:eastAsia="宋体" w:cs="宋体"/>
          <w:color w:val="auto"/>
        </w:rPr>
        <w:t>致：</w:t>
      </w:r>
      <w:r>
        <w:rPr>
          <w:rFonts w:hint="eastAsia" w:ascii="宋体" w:hAnsi="宋体" w:eastAsia="宋体" w:cs="宋体"/>
          <w:color w:val="auto"/>
          <w:u w:val="single"/>
        </w:rPr>
        <w:t xml:space="preserve">         （采购单位）        </w:t>
      </w:r>
    </w:p>
    <w:p>
      <w:pPr>
        <w:rPr>
          <w:rFonts w:hint="eastAsia" w:ascii="宋体" w:hAnsi="宋体" w:eastAsia="宋体" w:cs="宋体"/>
          <w:color w:val="auto"/>
        </w:rPr>
      </w:pPr>
    </w:p>
    <w:p>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根据贵方的</w:t>
      </w:r>
      <w:r>
        <w:rPr>
          <w:rFonts w:hint="eastAsia" w:ascii="宋体" w:hAnsi="宋体" w:eastAsia="宋体" w:cs="宋体"/>
          <w:color w:val="auto"/>
          <w:u w:val="single"/>
        </w:rPr>
        <w:t xml:space="preserve">                      </w:t>
      </w:r>
      <w:r>
        <w:rPr>
          <w:rFonts w:hint="eastAsia" w:ascii="宋体" w:hAnsi="宋体" w:eastAsia="宋体" w:cs="宋体"/>
          <w:color w:val="auto"/>
        </w:rPr>
        <w:t>项目谈判文件，一旦我方中选，我方保证按长建发【2004】54号（关于印发《防止发生拖欠工程款行为联动实施办法》）文件精神执行，及时足额支付民工工资。</w:t>
      </w:r>
    </w:p>
    <w:p>
      <w:pPr>
        <w:spacing w:line="360" w:lineRule="auto"/>
        <w:rPr>
          <w:rFonts w:hint="eastAsia" w:ascii="宋体" w:hAnsi="宋体" w:eastAsia="宋体" w:cs="宋体"/>
          <w:color w:val="auto"/>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u w:val="single"/>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邮编：</w:t>
      </w:r>
      <w:r>
        <w:rPr>
          <w:rFonts w:hint="eastAsia" w:ascii="宋体" w:hAnsi="宋体" w:eastAsia="宋体" w:cs="宋体"/>
          <w:color w:val="auto"/>
          <w:szCs w:val="21"/>
          <w:u w:val="single"/>
        </w:rPr>
        <w:t xml:space="preserve">                          </w:t>
      </w: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传真：</w:t>
      </w:r>
      <w:r>
        <w:rPr>
          <w:rFonts w:hint="eastAsia" w:ascii="宋体" w:hAnsi="宋体" w:eastAsia="宋体" w:cs="宋体"/>
          <w:color w:val="auto"/>
          <w:szCs w:val="21"/>
          <w:u w:val="single"/>
        </w:rPr>
        <w:t xml:space="preserve">                          </w:t>
      </w: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adjustRightInd w:val="0"/>
        <w:snapToGrid w:val="0"/>
        <w:rPr>
          <w:rFonts w:hint="eastAsia" w:ascii="宋体" w:hAnsi="宋体" w:eastAsia="宋体" w:cs="宋体"/>
          <w:color w:val="auto"/>
          <w:szCs w:val="21"/>
        </w:rPr>
      </w:pPr>
    </w:p>
    <w:p>
      <w:pPr>
        <w:pStyle w:val="27"/>
        <w:adjustRightInd w:val="0"/>
        <w:snapToGrid w:val="0"/>
        <w:spacing w:line="360" w:lineRule="auto"/>
        <w:rPr>
          <w:rFonts w:hint="eastAsia" w:ascii="宋体" w:hAnsi="宋体" w:eastAsia="宋体" w:cs="宋体"/>
          <w:bCs/>
          <w:color w:val="auto"/>
          <w:sz w:val="21"/>
          <w:szCs w:val="21"/>
        </w:rPr>
      </w:pPr>
      <w:r>
        <w:rPr>
          <w:rFonts w:hint="eastAsia" w:ascii="宋体" w:hAnsi="宋体" w:eastAsia="宋体" w:cs="宋体"/>
          <w:color w:val="auto"/>
          <w:sz w:val="21"/>
          <w:szCs w:val="21"/>
        </w:rPr>
        <w:t>谈判单位名称：</w:t>
      </w:r>
      <w:r>
        <w:rPr>
          <w:rFonts w:hint="eastAsia" w:ascii="宋体" w:hAnsi="宋体" w:eastAsia="宋体" w:cs="宋体"/>
          <w:color w:val="auto"/>
          <w:sz w:val="21"/>
          <w:szCs w:val="21"/>
          <w:u w:val="single"/>
        </w:rPr>
        <w:t xml:space="preserve">    （盖单位章）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法定代表人或其委托代理人(签字或盖章)：</w:t>
      </w:r>
      <w:r>
        <w:rPr>
          <w:rFonts w:hint="eastAsia" w:ascii="宋体" w:hAnsi="宋体" w:eastAsia="宋体" w:cs="宋体"/>
          <w:color w:val="auto"/>
          <w:szCs w:val="21"/>
          <w:u w:val="single"/>
        </w:rPr>
        <w:t xml:space="preserve">               </w:t>
      </w:r>
    </w:p>
    <w:p>
      <w:pPr>
        <w:spacing w:line="360" w:lineRule="exact"/>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jc w:val="center"/>
        <w:outlineLvl w:val="1"/>
        <w:rPr>
          <w:rFonts w:hint="eastAsia" w:ascii="宋体" w:hAnsi="宋体" w:eastAsia="宋体" w:cs="宋体"/>
          <w:b/>
          <w:color w:val="auto"/>
          <w:sz w:val="28"/>
          <w:szCs w:val="28"/>
        </w:rPr>
      </w:pPr>
      <w:r>
        <w:rPr>
          <w:rFonts w:hint="eastAsia" w:ascii="宋体" w:hAnsi="宋体" w:eastAsia="宋体" w:cs="宋体"/>
          <w:color w:val="auto"/>
          <w:sz w:val="24"/>
        </w:rPr>
        <w:br w:type="page"/>
      </w:r>
      <w:bookmarkStart w:id="134" w:name="_Toc17198"/>
      <w:bookmarkStart w:id="135" w:name="_Toc5387"/>
      <w:bookmarkStart w:id="136" w:name="_Toc25553"/>
      <w:bookmarkStart w:id="137" w:name="_Toc15835"/>
      <w:bookmarkStart w:id="138" w:name="_Toc2911"/>
      <w:r>
        <w:rPr>
          <w:rFonts w:hint="eastAsia" w:ascii="黑体" w:hAnsi="宋体" w:eastAsia="黑体" w:cs="Times New Roman"/>
          <w:b/>
          <w:color w:val="auto"/>
          <w:sz w:val="32"/>
          <w:szCs w:val="32"/>
          <w:lang w:val="en-US" w:eastAsia="zh-CN"/>
        </w:rPr>
        <w:t>六、报价一览表</w:t>
      </w:r>
      <w:bookmarkEnd w:id="134"/>
      <w:bookmarkEnd w:id="135"/>
      <w:bookmarkEnd w:id="136"/>
      <w:bookmarkEnd w:id="137"/>
      <w:bookmarkEnd w:id="138"/>
    </w:p>
    <w:p>
      <w:pPr>
        <w:adjustRightInd w:val="0"/>
        <w:snapToGrid w:val="0"/>
        <w:jc w:val="right"/>
        <w:rPr>
          <w:rFonts w:hint="eastAsia" w:ascii="宋体" w:hAnsi="宋体" w:eastAsia="宋体" w:cs="宋体"/>
          <w:color w:val="auto"/>
          <w:sz w:val="24"/>
        </w:rPr>
      </w:pPr>
    </w:p>
    <w:tbl>
      <w:tblPr>
        <w:tblStyle w:val="47"/>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6"/>
        <w:gridCol w:w="1910"/>
        <w:gridCol w:w="2409"/>
        <w:gridCol w:w="21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6"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424"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项目编号</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工期承诺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保修承诺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质量等级</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拟任项目负责人</w:t>
            </w:r>
          </w:p>
        </w:tc>
        <w:tc>
          <w:tcPr>
            <w:tcW w:w="1910"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注册专业及等级</w:t>
            </w:r>
          </w:p>
        </w:tc>
        <w:tc>
          <w:tcPr>
            <w:tcW w:w="2105"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b/>
                <w:bCs/>
                <w:color w:val="auto"/>
                <w:szCs w:val="21"/>
              </w:rPr>
              <w:t>报价</w:t>
            </w:r>
          </w:p>
        </w:tc>
        <w:tc>
          <w:tcPr>
            <w:tcW w:w="1910"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hint="eastAsia" w:ascii="宋体" w:hAnsi="宋体" w:eastAsia="宋体" w:cs="宋体"/>
                <w:color w:val="auto"/>
                <w:szCs w:val="21"/>
              </w:rPr>
            </w:pP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tc>
        <w:tc>
          <w:tcPr>
            <w:tcW w:w="4514" w:type="dxa"/>
            <w:gridSpan w:val="2"/>
            <w:tcBorders>
              <w:top w:val="single" w:color="auto" w:sz="6" w:space="0"/>
              <w:left w:val="single" w:color="auto" w:sz="6" w:space="0"/>
              <w:bottom w:val="single" w:color="auto" w:sz="6" w:space="0"/>
              <w:right w:val="single" w:color="auto" w:sz="12" w:space="0"/>
            </w:tcBorders>
            <w:vAlign w:val="center"/>
          </w:tcPr>
          <w:p>
            <w:pPr>
              <w:widowControl/>
              <w:ind w:left="-88" w:leftChars="-42"/>
              <w:jc w:val="center"/>
              <w:rPr>
                <w:rFonts w:hint="eastAsia" w:ascii="宋体" w:hAnsi="宋体" w:eastAsia="宋体" w:cs="宋体"/>
                <w:color w:val="auto"/>
                <w:szCs w:val="21"/>
              </w:rPr>
            </w:pPr>
            <w:r>
              <w:rPr>
                <w:rFonts w:hint="eastAsia" w:ascii="宋体" w:hAnsi="宋体" w:eastAsia="宋体" w:cs="宋体"/>
                <w:color w:val="auto"/>
                <w:szCs w:val="21"/>
              </w:rPr>
              <w:t>小写：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2096"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备  注</w:t>
            </w:r>
          </w:p>
        </w:tc>
        <w:tc>
          <w:tcPr>
            <w:tcW w:w="6424" w:type="dxa"/>
            <w:gridSpan w:val="3"/>
            <w:tcBorders>
              <w:top w:val="single" w:color="auto" w:sz="6" w:space="0"/>
              <w:left w:val="single" w:color="auto" w:sz="6" w:space="0"/>
              <w:bottom w:val="single" w:color="auto" w:sz="12" w:space="0"/>
              <w:right w:val="single" w:color="auto" w:sz="12" w:space="0"/>
            </w:tcBorders>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r>
    </w:tbl>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注：1.所有报价保留小数点后两位，小数点后第三位“四舍五入”。</w:t>
      </w:r>
    </w:p>
    <w:p>
      <w:pPr>
        <w:adjustRightInd w:val="0"/>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2.本表内“谈判总报价”是包含了所有隐含的管理费、税金和利润等其他费用的报价。</w:t>
      </w:r>
    </w:p>
    <w:p>
      <w:pPr>
        <w:pStyle w:val="2"/>
        <w:ind w:left="0" w:leftChars="0" w:firstLine="422" w:firstLineChars="200"/>
        <w:rPr>
          <w:rFonts w:hint="eastAsia" w:ascii="宋体" w:hAnsi="宋体" w:eastAsia="宋体" w:cs="宋体"/>
          <w:color w:val="auto"/>
        </w:rPr>
      </w:pPr>
      <w:r>
        <w:rPr>
          <w:rFonts w:hint="eastAsia" w:ascii="宋体" w:hAnsi="宋体" w:eastAsia="宋体" w:cs="宋体"/>
          <w:b/>
          <w:color w:val="auto"/>
          <w:szCs w:val="21"/>
        </w:rPr>
        <w:t>3.本项目设置最高限价，谈判单位所报总价不能超过最高限价，不超过最高限价的</w:t>
      </w:r>
      <w:r>
        <w:rPr>
          <w:rFonts w:hint="eastAsia" w:ascii="宋体" w:hAnsi="宋体" w:cs="宋体"/>
          <w:b/>
          <w:color w:val="auto"/>
          <w:szCs w:val="21"/>
          <w:highlight w:val="none"/>
        </w:rPr>
        <w:t>谈判总报</w:t>
      </w:r>
      <w:r>
        <w:rPr>
          <w:rFonts w:hint="eastAsia" w:ascii="宋体" w:hAnsi="宋体" w:eastAsia="宋体" w:cs="宋体"/>
          <w:b/>
          <w:color w:val="auto"/>
          <w:szCs w:val="21"/>
        </w:rPr>
        <w:t>价为有效报价。</w:t>
      </w:r>
    </w:p>
    <w:p>
      <w:pPr>
        <w:adjustRightInd w:val="0"/>
        <w:snapToGrid w:val="0"/>
        <w:spacing w:line="360" w:lineRule="auto"/>
        <w:ind w:left="-88" w:leftChars="-42"/>
        <w:rPr>
          <w:rFonts w:hint="eastAsia" w:ascii="宋体" w:hAnsi="宋体" w:eastAsia="宋体" w:cs="宋体"/>
          <w:color w:val="auto"/>
          <w:szCs w:val="21"/>
        </w:rPr>
      </w:pPr>
    </w:p>
    <w:p>
      <w:pPr>
        <w:adjustRightInd w:val="0"/>
        <w:snapToGrid w:val="0"/>
        <w:spacing w:line="360" w:lineRule="auto"/>
        <w:ind w:left="-88" w:leftChars="-42"/>
        <w:rPr>
          <w:rFonts w:hint="eastAsia" w:ascii="宋体" w:hAnsi="宋体" w:eastAsia="宋体" w:cs="宋体"/>
          <w:color w:val="auto"/>
          <w:szCs w:val="21"/>
        </w:rPr>
      </w:pPr>
    </w:p>
    <w:p>
      <w:pPr>
        <w:adjustRightInd w:val="0"/>
        <w:snapToGrid w:val="0"/>
        <w:spacing w:line="360" w:lineRule="auto"/>
        <w:ind w:left="-88" w:leftChars="-42"/>
        <w:rPr>
          <w:rFonts w:hint="eastAsia" w:ascii="宋体" w:hAnsi="宋体" w:eastAsia="宋体" w:cs="宋体"/>
          <w:color w:val="auto"/>
          <w:szCs w:val="21"/>
        </w:rPr>
      </w:pPr>
    </w:p>
    <w:p>
      <w:pPr>
        <w:pStyle w:val="27"/>
        <w:adjustRightInd w:val="0"/>
        <w:snapToGrid w:val="0"/>
        <w:spacing w:line="360" w:lineRule="auto"/>
        <w:rPr>
          <w:rFonts w:hint="eastAsia" w:ascii="宋体" w:hAnsi="宋体" w:eastAsia="宋体" w:cs="宋体"/>
          <w:bCs/>
          <w:color w:val="auto"/>
          <w:sz w:val="21"/>
          <w:szCs w:val="21"/>
        </w:rPr>
      </w:pPr>
      <w:bookmarkStart w:id="139" w:name="_Toc5231"/>
      <w:r>
        <w:rPr>
          <w:rFonts w:hint="eastAsia" w:ascii="宋体" w:hAnsi="宋体" w:eastAsia="宋体" w:cs="宋体"/>
          <w:color w:val="auto"/>
          <w:sz w:val="21"/>
          <w:szCs w:val="21"/>
        </w:rPr>
        <w:t>谈判单位名称：</w:t>
      </w:r>
      <w:r>
        <w:rPr>
          <w:rFonts w:hint="eastAsia" w:ascii="宋体" w:hAnsi="宋体" w:eastAsia="宋体" w:cs="宋体"/>
          <w:color w:val="auto"/>
          <w:sz w:val="21"/>
          <w:szCs w:val="21"/>
          <w:u w:val="single"/>
        </w:rPr>
        <w:t xml:space="preserve">    （盖单位章）</w:t>
      </w:r>
      <w:bookmarkEnd w:id="139"/>
      <w:r>
        <w:rPr>
          <w:rFonts w:hint="eastAsia" w:ascii="宋体" w:hAnsi="宋体" w:eastAsia="宋体" w:cs="宋体"/>
          <w:color w:val="auto"/>
          <w:sz w:val="21"/>
          <w:szCs w:val="21"/>
          <w:u w:val="single"/>
        </w:rPr>
        <w:t xml:space="preserve">    </w:t>
      </w:r>
    </w:p>
    <w:p>
      <w:pPr>
        <w:adjustRightInd w:val="0"/>
        <w:snapToGrid w:val="0"/>
        <w:spacing w:line="360" w:lineRule="auto"/>
        <w:rPr>
          <w:rFonts w:hint="eastAsia" w:ascii="宋体" w:hAnsi="宋体" w:eastAsia="宋体" w:cs="宋体"/>
          <w:color w:val="auto"/>
          <w:szCs w:val="21"/>
        </w:rPr>
      </w:pPr>
      <w:bookmarkStart w:id="140" w:name="_Toc28605"/>
      <w:r>
        <w:rPr>
          <w:rFonts w:hint="eastAsia" w:ascii="宋体" w:hAnsi="宋体" w:eastAsia="宋体" w:cs="宋体"/>
          <w:color w:val="auto"/>
          <w:szCs w:val="21"/>
        </w:rPr>
        <w:t>法定代表人或其委托代理人(签字或盖章)：</w:t>
      </w:r>
      <w:bookmarkEnd w:id="140"/>
      <w:r>
        <w:rPr>
          <w:rFonts w:hint="eastAsia" w:ascii="宋体" w:hAnsi="宋体" w:eastAsia="宋体" w:cs="宋体"/>
          <w:color w:val="auto"/>
          <w:szCs w:val="21"/>
          <w:u w:val="single"/>
        </w:rPr>
        <w:t xml:space="preserve">               </w:t>
      </w:r>
    </w:p>
    <w:p>
      <w:pPr>
        <w:spacing w:line="360" w:lineRule="auto"/>
        <w:rPr>
          <w:rFonts w:hint="eastAsia" w:ascii="宋体" w:hAnsi="宋体" w:eastAsia="宋体" w:cs="宋体"/>
          <w:color w:val="auto"/>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jc w:val="center"/>
        <w:rPr>
          <w:rFonts w:hint="eastAsia" w:ascii="宋体" w:hAnsi="宋体" w:eastAsia="宋体" w:cs="宋体"/>
          <w:b/>
          <w:bCs/>
          <w:color w:val="auto"/>
          <w:sz w:val="32"/>
          <w:szCs w:val="32"/>
        </w:rPr>
      </w:pPr>
    </w:p>
    <w:p>
      <w:pPr>
        <w:adjustRightInd w:val="0"/>
        <w:snapToGrid w:val="0"/>
        <w:jc w:val="center"/>
        <w:rPr>
          <w:rFonts w:hint="eastAsia" w:ascii="宋体" w:hAnsi="宋体" w:eastAsia="宋体" w:cs="宋体"/>
          <w:b/>
          <w:bCs/>
          <w:color w:val="auto"/>
          <w:sz w:val="32"/>
          <w:szCs w:val="32"/>
        </w:rPr>
      </w:pPr>
    </w:p>
    <w:p>
      <w:pPr>
        <w:adjustRightInd w:val="0"/>
        <w:snapToGrid w:val="0"/>
        <w:jc w:val="center"/>
        <w:rPr>
          <w:rFonts w:hint="eastAsia" w:ascii="宋体" w:hAnsi="宋体" w:eastAsia="宋体" w:cs="宋体"/>
          <w:b/>
          <w:bCs/>
          <w:color w:val="auto"/>
          <w:sz w:val="32"/>
          <w:szCs w:val="32"/>
        </w:rPr>
        <w:sectPr>
          <w:pgSz w:w="11906" w:h="16838"/>
          <w:pgMar w:top="1191" w:right="1417" w:bottom="1191" w:left="1191"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color w:val="auto"/>
          <w:sz w:val="32"/>
          <w:szCs w:val="32"/>
        </w:rPr>
      </w:pPr>
      <w:bookmarkStart w:id="141" w:name="_Toc26804"/>
      <w:bookmarkStart w:id="142" w:name="_Toc28059"/>
      <w:bookmarkStart w:id="143" w:name="_Toc31505"/>
      <w:bookmarkStart w:id="144" w:name="_Toc24230"/>
      <w:r>
        <w:rPr>
          <w:rFonts w:hint="eastAsia" w:ascii="宋体" w:hAnsi="宋体" w:eastAsia="宋体" w:cs="宋体"/>
          <w:b/>
          <w:color w:val="auto"/>
          <w:sz w:val="32"/>
          <w:szCs w:val="32"/>
        </w:rPr>
        <w:t>七、</w:t>
      </w:r>
      <w:bookmarkEnd w:id="141"/>
      <w:bookmarkEnd w:id="142"/>
      <w:r>
        <w:rPr>
          <w:rFonts w:hint="eastAsia" w:ascii="宋体" w:hAnsi="宋体" w:eastAsia="宋体" w:cs="宋体"/>
          <w:b/>
          <w:color w:val="auto"/>
          <w:sz w:val="32"/>
          <w:szCs w:val="32"/>
        </w:rPr>
        <w:t>报价汇总表</w:t>
      </w:r>
      <w:bookmarkEnd w:id="143"/>
      <w:bookmarkEnd w:id="144"/>
    </w:p>
    <w:p>
      <w:pPr>
        <w:spacing w:line="360" w:lineRule="exact"/>
        <w:ind w:firstLine="630" w:firstLineChars="300"/>
        <w:jc w:val="left"/>
        <w:rPr>
          <w:rFonts w:hint="eastAsia" w:ascii="宋体" w:hAnsi="宋体" w:eastAsia="宋体" w:cs="宋体"/>
          <w:color w:val="auto"/>
        </w:rPr>
      </w:pPr>
      <w:r>
        <w:rPr>
          <w:rFonts w:hint="eastAsia" w:ascii="宋体" w:hAnsi="宋体" w:eastAsia="宋体" w:cs="宋体"/>
          <w:bCs/>
          <w:color w:val="auto"/>
        </w:rPr>
        <w:t>项目</w:t>
      </w:r>
      <w:r>
        <w:rPr>
          <w:rFonts w:hint="eastAsia" w:ascii="宋体" w:hAnsi="宋体" w:eastAsia="宋体" w:cs="宋体"/>
          <w:color w:val="auto"/>
        </w:rPr>
        <w:t>名称：                                                        金额单位：元</w:t>
      </w:r>
    </w:p>
    <w:tbl>
      <w:tblPr>
        <w:tblStyle w:val="47"/>
        <w:tblW w:w="83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790"/>
        <w:gridCol w:w="303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8" w:hRule="atLeast"/>
          <w:jc w:val="center"/>
        </w:trPr>
        <w:tc>
          <w:tcPr>
            <w:tcW w:w="790" w:type="dxa"/>
            <w:vAlign w:val="center"/>
          </w:tcPr>
          <w:p>
            <w:pPr>
              <w:tabs>
                <w:tab w:val="left" w:pos="403"/>
                <w:tab w:val="center" w:pos="3781"/>
              </w:tabs>
              <w:spacing w:line="420" w:lineRule="exact"/>
              <w:ind w:right="-5206" w:rightChars="-2479" w:firstLine="105" w:firstLineChars="50"/>
              <w:rPr>
                <w:rFonts w:hint="eastAsia" w:ascii="宋体" w:hAnsi="宋体" w:eastAsia="宋体" w:cs="宋体"/>
                <w:b/>
                <w:color w:val="auto"/>
                <w:szCs w:val="21"/>
              </w:rPr>
            </w:pPr>
            <w:r>
              <w:rPr>
                <w:rFonts w:hint="eastAsia" w:ascii="宋体" w:hAnsi="宋体" w:eastAsia="宋体" w:cs="宋体"/>
                <w:b/>
                <w:color w:val="auto"/>
                <w:szCs w:val="21"/>
              </w:rPr>
              <w:t>序 号</w:t>
            </w:r>
          </w:p>
        </w:tc>
        <w:tc>
          <w:tcPr>
            <w:tcW w:w="3033" w:type="dxa"/>
            <w:vAlign w:val="center"/>
          </w:tcPr>
          <w:p>
            <w:pPr>
              <w:tabs>
                <w:tab w:val="left" w:pos="403"/>
                <w:tab w:val="center" w:pos="3781"/>
              </w:tabs>
              <w:spacing w:line="420" w:lineRule="exact"/>
              <w:ind w:right="-5206" w:rightChars="-2479" w:firstLine="1054" w:firstLineChars="500"/>
              <w:rPr>
                <w:rFonts w:hint="eastAsia" w:ascii="宋体" w:hAnsi="宋体" w:eastAsia="宋体" w:cs="宋体"/>
                <w:b/>
                <w:bCs/>
                <w:color w:val="auto"/>
                <w:szCs w:val="21"/>
              </w:rPr>
            </w:pPr>
            <w:r>
              <w:rPr>
                <w:rFonts w:hint="eastAsia" w:ascii="宋体" w:hAnsi="宋体" w:eastAsia="宋体" w:cs="宋体"/>
                <w:b/>
                <w:bCs/>
                <w:color w:val="auto"/>
                <w:szCs w:val="21"/>
              </w:rPr>
              <w:t>费用名称</w:t>
            </w:r>
          </w:p>
        </w:tc>
        <w:tc>
          <w:tcPr>
            <w:tcW w:w="4516" w:type="dxa"/>
            <w:vAlign w:val="center"/>
          </w:tcPr>
          <w:p>
            <w:pPr>
              <w:tabs>
                <w:tab w:val="left" w:pos="403"/>
                <w:tab w:val="center" w:pos="3781"/>
              </w:tabs>
              <w:spacing w:line="420" w:lineRule="exact"/>
              <w:ind w:firstLine="316" w:firstLineChars="150"/>
              <w:jc w:val="center"/>
              <w:rPr>
                <w:rFonts w:hint="eastAsia" w:ascii="宋体" w:hAnsi="宋体" w:eastAsia="宋体" w:cs="宋体"/>
                <w:b/>
                <w:bCs/>
                <w:color w:val="auto"/>
                <w:szCs w:val="21"/>
              </w:rPr>
            </w:pPr>
            <w:r>
              <w:rPr>
                <w:rFonts w:hint="eastAsia" w:ascii="宋体" w:hAnsi="宋体" w:eastAsia="宋体" w:cs="宋体"/>
                <w:b/>
                <w:bCs/>
                <w:color w:val="auto"/>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eastAsia="zh-CN" w:bidi="ar"/>
              </w:rPr>
              <w:t>一</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分部分项费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二</w:t>
            </w:r>
          </w:p>
        </w:tc>
        <w:tc>
          <w:tcPr>
            <w:tcW w:w="3033" w:type="dxa"/>
            <w:vAlign w:val="center"/>
          </w:tcPr>
          <w:p>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kern w:val="0"/>
                <w:szCs w:val="21"/>
                <w:lang w:val="en-US" w:eastAsia="zh-CN" w:bidi="ar"/>
              </w:rPr>
              <w:t>1</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单价措施项目费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总价措施项目费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kern w:val="0"/>
                <w:szCs w:val="21"/>
                <w:lang w:val="en-US" w:eastAsia="zh-CN" w:bidi="ar"/>
              </w:rPr>
              <w:t>3</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绿色施工安全防护措施项目费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3.1</w:t>
            </w:r>
          </w:p>
        </w:tc>
        <w:tc>
          <w:tcPr>
            <w:tcW w:w="3033" w:type="dxa"/>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其中安全生产费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bidi="ar"/>
              </w:rPr>
              <w:t>三</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其他项目费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75" w:hRule="atLeast"/>
          <w:jc w:val="center"/>
        </w:trPr>
        <w:tc>
          <w:tcPr>
            <w:tcW w:w="790"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bidi="ar"/>
              </w:rPr>
              <w:t>四</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销项税额</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10" w:hRule="atLeast"/>
          <w:jc w:val="center"/>
        </w:trPr>
        <w:tc>
          <w:tcPr>
            <w:tcW w:w="3823" w:type="dxa"/>
            <w:gridSpan w:val="2"/>
            <w:vMerge w:val="restart"/>
            <w:vAlign w:val="center"/>
          </w:tcPr>
          <w:p>
            <w:pPr>
              <w:tabs>
                <w:tab w:val="left" w:pos="403"/>
                <w:tab w:val="center" w:pos="3781"/>
              </w:tabs>
              <w:spacing w:line="420" w:lineRule="exact"/>
              <w:ind w:right="-5206" w:rightChars="-2479" w:firstLine="735" w:firstLineChars="350"/>
              <w:rPr>
                <w:rFonts w:hint="eastAsia" w:ascii="宋体" w:hAnsi="宋体" w:eastAsia="宋体" w:cs="宋体"/>
                <w:color w:val="auto"/>
                <w:szCs w:val="21"/>
              </w:rPr>
            </w:pPr>
            <w:r>
              <w:rPr>
                <w:rFonts w:hint="eastAsia" w:ascii="宋体" w:hAnsi="宋体" w:eastAsia="宋体" w:cs="宋体"/>
                <w:color w:val="auto"/>
                <w:szCs w:val="21"/>
              </w:rPr>
              <w:t>总  报  价</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3823" w:type="dxa"/>
            <w:gridSpan w:val="2"/>
            <w:vMerge w:val="continue"/>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bl>
    <w:p>
      <w:pPr>
        <w:adjustRightInd w:val="0"/>
        <w:snapToGrid w:val="0"/>
        <w:spacing w:line="360" w:lineRule="auto"/>
        <w:ind w:left="-88" w:leftChars="-42"/>
        <w:rPr>
          <w:rFonts w:hint="eastAsia" w:ascii="宋体" w:hAnsi="宋体" w:eastAsia="宋体" w:cs="宋体"/>
          <w:b/>
          <w:color w:val="auto"/>
          <w:szCs w:val="21"/>
        </w:rPr>
      </w:pPr>
      <w:r>
        <w:rPr>
          <w:rFonts w:hint="eastAsia" w:ascii="宋体" w:hAnsi="宋体" w:eastAsia="宋体" w:cs="宋体"/>
          <w:b/>
          <w:color w:val="auto"/>
          <w:szCs w:val="21"/>
        </w:rPr>
        <w:t>注：本表后附注册造价工程师注册证书影印件。如谈判单位委托工程造价咨询机构编制报价文件的，还应附委托合同。</w:t>
      </w:r>
    </w:p>
    <w:p>
      <w:pPr>
        <w:pStyle w:val="45"/>
        <w:rPr>
          <w:rFonts w:hint="eastAsia" w:ascii="宋体" w:hAnsi="宋体" w:eastAsia="宋体" w:cs="宋体"/>
          <w:b/>
          <w:color w:val="auto"/>
          <w:szCs w:val="21"/>
        </w:rPr>
      </w:pPr>
    </w:p>
    <w:p>
      <w:pPr>
        <w:pStyle w:val="45"/>
        <w:rPr>
          <w:rFonts w:hint="eastAsia" w:ascii="宋体" w:hAnsi="宋体" w:eastAsia="宋体" w:cs="宋体"/>
          <w:b/>
          <w:color w:val="auto"/>
          <w:szCs w:val="21"/>
        </w:rPr>
      </w:pPr>
    </w:p>
    <w:p>
      <w:pPr>
        <w:pStyle w:val="45"/>
        <w:rPr>
          <w:rFonts w:hint="eastAsia" w:ascii="宋体" w:hAnsi="宋体" w:eastAsia="宋体" w:cs="宋体"/>
          <w:b/>
          <w:color w:val="auto"/>
          <w:szCs w:val="21"/>
        </w:rPr>
      </w:pPr>
    </w:p>
    <w:p>
      <w:pPr>
        <w:pStyle w:val="27"/>
        <w:adjustRightInd w:val="0"/>
        <w:snapToGrid w:val="0"/>
        <w:spacing w:line="360" w:lineRule="auto"/>
        <w:rPr>
          <w:rFonts w:hint="eastAsia" w:ascii="宋体" w:hAnsi="宋体" w:eastAsia="宋体" w:cs="宋体"/>
          <w:bCs/>
          <w:color w:val="auto"/>
          <w:sz w:val="21"/>
          <w:szCs w:val="21"/>
        </w:rPr>
      </w:pPr>
      <w:r>
        <w:rPr>
          <w:rFonts w:hint="eastAsia" w:ascii="宋体" w:hAnsi="宋体" w:eastAsia="宋体" w:cs="宋体"/>
          <w:color w:val="auto"/>
          <w:sz w:val="21"/>
          <w:szCs w:val="21"/>
        </w:rPr>
        <w:t>谈判单位名称：</w:t>
      </w:r>
      <w:r>
        <w:rPr>
          <w:rFonts w:hint="eastAsia" w:ascii="宋体" w:hAnsi="宋体" w:eastAsia="宋体" w:cs="宋体"/>
          <w:color w:val="auto"/>
          <w:sz w:val="21"/>
          <w:szCs w:val="21"/>
          <w:u w:val="single"/>
        </w:rPr>
        <w:t xml:space="preserve">    （盖单位章）    </w:t>
      </w:r>
    </w:p>
    <w:p>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法定代表人或其委托代理人(签字或盖章)：</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注册造价工程师：(签字并加盖注册造价师执业专用章。如谈判单位委托他人编制报价文件的，由被委托人的注册造价工程师签字并加盖注册造价师执业专用章。)</w:t>
      </w:r>
    </w:p>
    <w:p>
      <w:pPr>
        <w:spacing w:line="360" w:lineRule="auto"/>
        <w:rPr>
          <w:rFonts w:hint="eastAsia" w:ascii="宋体" w:hAnsi="宋体" w:eastAsia="宋体" w:cs="宋体"/>
          <w:color w:val="auto"/>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jc w:val="center"/>
        <w:rPr>
          <w:rFonts w:hint="eastAsia" w:ascii="宋体" w:hAnsi="宋体" w:eastAsia="宋体" w:cs="宋体"/>
          <w:b/>
          <w:color w:val="auto"/>
          <w:sz w:val="32"/>
          <w:szCs w:val="32"/>
        </w:rPr>
        <w:sectPr>
          <w:pgSz w:w="11906" w:h="16838"/>
          <w:pgMar w:top="1191" w:right="1417" w:bottom="1191" w:left="1191"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黑体" w:hAnsi="宋体" w:eastAsia="黑体" w:cs="Times New Roman"/>
          <w:b/>
          <w:color w:val="auto"/>
          <w:sz w:val="32"/>
          <w:szCs w:val="32"/>
          <w:lang w:val="en-US" w:eastAsia="zh-CN"/>
        </w:rPr>
      </w:pPr>
      <w:bookmarkStart w:id="145" w:name="_Toc9077"/>
      <w:bookmarkStart w:id="146" w:name="_Toc27585"/>
      <w:bookmarkStart w:id="147" w:name="_Toc22739"/>
      <w:bookmarkStart w:id="148" w:name="_Toc9594"/>
      <w:bookmarkStart w:id="149" w:name="_Toc24283"/>
      <w:r>
        <w:rPr>
          <w:rFonts w:hint="eastAsia" w:ascii="宋体" w:hAnsi="宋体" w:eastAsia="宋体" w:cs="宋体"/>
          <w:b/>
          <w:color w:val="auto"/>
          <w:sz w:val="32"/>
          <w:szCs w:val="32"/>
        </w:rPr>
        <w:t>八、</w:t>
      </w:r>
      <w:bookmarkEnd w:id="145"/>
      <w:bookmarkEnd w:id="146"/>
      <w:bookmarkEnd w:id="147"/>
      <w:r>
        <w:rPr>
          <w:rFonts w:hint="eastAsia" w:ascii="宋体" w:hAnsi="宋体" w:eastAsia="宋体" w:cs="宋体"/>
          <w:b/>
          <w:color w:val="auto"/>
          <w:sz w:val="32"/>
          <w:szCs w:val="32"/>
        </w:rPr>
        <w:t>投标报价表</w:t>
      </w:r>
      <w:bookmarkEnd w:id="148"/>
      <w:bookmarkEnd w:id="149"/>
      <w:r>
        <w:rPr>
          <w:rFonts w:hint="eastAsia" w:ascii="宋体" w:hAnsi="宋体" w:eastAsia="宋体" w:cs="宋体"/>
          <w:b w:val="0"/>
          <w:bCs w:val="0"/>
          <w:color w:val="auto"/>
          <w:kern w:val="2"/>
          <w:sz w:val="21"/>
          <w:szCs w:val="21"/>
          <w:lang w:val="en-US" w:eastAsia="zh-CN" w:bidi="ar-SA"/>
        </w:rPr>
        <w:t xml:space="preserve"> </w:t>
      </w:r>
    </w:p>
    <w:p>
      <w:pPr>
        <w:adjustRightInd w:val="0"/>
        <w:snapToGrid w:val="0"/>
        <w:spacing w:before="156" w:beforeLines="50" w:line="360" w:lineRule="auto"/>
        <w:ind w:firstLine="482" w:firstLineChars="200"/>
        <w:jc w:val="left"/>
        <w:rPr>
          <w:rFonts w:ascii="宋体" w:hAnsi="宋体" w:eastAsia="宋体" w:cs="宋体"/>
          <w:b/>
          <w:bCs/>
          <w:color w:val="auto"/>
          <w:sz w:val="24"/>
          <w:szCs w:val="24"/>
        </w:rPr>
      </w:pPr>
      <w:r>
        <w:rPr>
          <w:rFonts w:ascii="宋体" w:hAnsi="宋体" w:eastAsia="宋体" w:cs="宋体"/>
          <w:b/>
          <w:bCs/>
          <w:color w:val="auto"/>
          <w:sz w:val="24"/>
          <w:szCs w:val="24"/>
        </w:rPr>
        <w:t>采用CSPK计价软件全费用模版且湘建价﹝2020﹞56号文规定的投标报价格式（其中投标报价表格E8投标总价扉页总金额与E18工程量清单计价表(全清单)总金额保持一致），并且提交计价文件电子版。具体投标报价表格：</w:t>
      </w:r>
    </w:p>
    <w:p>
      <w:pPr>
        <w:adjustRightInd w:val="0"/>
        <w:snapToGrid w:val="0"/>
        <w:spacing w:before="156"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1、E8投标总价扉页</w:t>
      </w:r>
    </w:p>
    <w:p>
      <w:pPr>
        <w:adjustRightInd w:val="0"/>
        <w:snapToGrid w:val="0"/>
        <w:spacing w:before="156" w:beforeLines="50"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2、E1</w:t>
      </w:r>
      <w:r>
        <w:rPr>
          <w:rFonts w:hint="eastAsia" w:ascii="宋体" w:hAnsi="宋体" w:eastAsia="宋体" w:cs="宋体"/>
          <w:color w:val="auto"/>
          <w:szCs w:val="21"/>
          <w:lang w:val="en-US" w:eastAsia="zh-CN"/>
        </w:rPr>
        <w:t>2建设项目投标报价汇总表</w:t>
      </w:r>
    </w:p>
    <w:p>
      <w:pPr>
        <w:adjustRightInd w:val="0"/>
        <w:snapToGrid w:val="0"/>
        <w:spacing w:before="156"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E13单项工程</w:t>
      </w:r>
      <w:r>
        <w:rPr>
          <w:rFonts w:hint="eastAsia" w:ascii="宋体" w:hAnsi="宋体" w:eastAsia="宋体" w:cs="宋体"/>
          <w:color w:val="auto"/>
          <w:szCs w:val="21"/>
          <w:lang w:val="en-US" w:eastAsia="zh-CN"/>
        </w:rPr>
        <w:t>投标报价</w:t>
      </w:r>
      <w:r>
        <w:rPr>
          <w:rFonts w:hint="eastAsia" w:ascii="宋体" w:hAnsi="宋体" w:eastAsia="宋体" w:cs="宋体"/>
          <w:color w:val="auto"/>
          <w:szCs w:val="21"/>
        </w:rPr>
        <w:t>汇总表</w:t>
      </w:r>
    </w:p>
    <w:p>
      <w:pPr>
        <w:pStyle w:val="45"/>
        <w:rPr>
          <w:rFonts w:hint="eastAsia" w:ascii="宋体" w:hAnsi="宋体" w:eastAsia="宋体" w:cs="宋体"/>
          <w:color w:val="auto"/>
          <w:lang w:val="en-US" w:eastAsia="zh-CN"/>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E18工程量清单计价表（全清单</w:t>
      </w:r>
      <w:r>
        <w:rPr>
          <w:rFonts w:hint="eastAsia" w:ascii="宋体" w:hAnsi="宋体" w:eastAsia="宋体" w:cs="宋体"/>
          <w:color w:val="auto"/>
          <w:szCs w:val="21"/>
          <w:lang w:eastAsia="zh-CN"/>
        </w:rPr>
        <w:t>）</w:t>
      </w:r>
    </w:p>
    <w:p>
      <w:pPr>
        <w:adjustRightInd w:val="0"/>
        <w:snapToGrid w:val="0"/>
        <w:spacing w:before="156"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、E18工程量清单计价表（全清单</w:t>
      </w:r>
      <w:r>
        <w:rPr>
          <w:rFonts w:hint="eastAsia" w:ascii="宋体" w:hAnsi="宋体" w:eastAsia="宋体" w:cs="宋体"/>
          <w:color w:val="auto"/>
          <w:szCs w:val="21"/>
          <w:lang w:eastAsia="zh-CN"/>
        </w:rPr>
        <w:t>子目</w:t>
      </w:r>
      <w:r>
        <w:rPr>
          <w:rFonts w:hint="eastAsia" w:ascii="宋体" w:hAnsi="宋体" w:eastAsia="宋体" w:cs="宋体"/>
          <w:color w:val="auto"/>
          <w:szCs w:val="21"/>
        </w:rPr>
        <w:t>）</w:t>
      </w:r>
    </w:p>
    <w:p>
      <w:pPr>
        <w:adjustRightInd w:val="0"/>
        <w:snapToGrid w:val="0"/>
        <w:spacing w:before="156" w:beforeLines="50"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、E2</w:t>
      </w:r>
      <w:r>
        <w:rPr>
          <w:rFonts w:hint="eastAsia" w:ascii="宋体" w:hAnsi="宋体" w:eastAsia="宋体" w:cs="宋体"/>
          <w:color w:val="auto"/>
          <w:szCs w:val="21"/>
          <w:lang w:val="en-US" w:eastAsia="zh-CN"/>
        </w:rPr>
        <w:t>0总价措施项目清单计费表</w:t>
      </w:r>
    </w:p>
    <w:p>
      <w:pPr>
        <w:adjustRightInd w:val="0"/>
        <w:snapToGrid w:val="0"/>
        <w:spacing w:before="156"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E21绿色施工安全防护计价表</w:t>
      </w:r>
    </w:p>
    <w:p>
      <w:pPr>
        <w:adjustRightInd w:val="0"/>
        <w:snapToGrid w:val="0"/>
        <w:spacing w:before="156" w:beforeLines="50"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、E2</w:t>
      </w:r>
      <w:r>
        <w:rPr>
          <w:rFonts w:hint="eastAsia" w:ascii="宋体" w:hAnsi="宋体" w:eastAsia="宋体" w:cs="宋体"/>
          <w:color w:val="auto"/>
          <w:szCs w:val="21"/>
          <w:lang w:val="en-US" w:eastAsia="zh-CN"/>
        </w:rPr>
        <w:t>3其他项目清单与计价汇总表</w:t>
      </w:r>
    </w:p>
    <w:p>
      <w:pPr>
        <w:adjustRightInd w:val="0"/>
        <w:snapToGrid w:val="0"/>
        <w:spacing w:before="156" w:beforeLines="50" w:line="360" w:lineRule="auto"/>
        <w:ind w:firstLine="420" w:firstLineChars="200"/>
        <w:jc w:val="left"/>
        <w:rPr>
          <w:rFonts w:hint="eastAsia" w:ascii="宋体" w:hAnsi="宋体" w:eastAsia="宋体" w:cs="宋体"/>
          <w:color w:val="auto"/>
        </w:rPr>
      </w:pPr>
      <w:r>
        <w:rPr>
          <w:rFonts w:hint="eastAsia" w:ascii="宋体" w:hAnsi="宋体" w:eastAsia="宋体" w:cs="宋体"/>
          <w:color w:val="auto"/>
          <w:szCs w:val="21"/>
          <w:lang w:val="en-US" w:eastAsia="zh-CN"/>
        </w:rPr>
        <w:t>9、</w:t>
      </w:r>
      <w:r>
        <w:rPr>
          <w:rFonts w:hint="eastAsia" w:ascii="宋体" w:hAnsi="宋体" w:eastAsia="宋体" w:cs="宋体"/>
          <w:color w:val="auto"/>
          <w:szCs w:val="21"/>
        </w:rPr>
        <w:t>E40人工、材料、机械汇总表</w:t>
      </w:r>
    </w:p>
    <w:p>
      <w:pPr>
        <w:adjustRightInd w:val="0"/>
        <w:snapToGrid w:val="0"/>
        <w:spacing w:before="156" w:beforeLines="50" w:line="360"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10</w:t>
      </w:r>
      <w:r>
        <w:rPr>
          <w:rFonts w:hint="eastAsia" w:ascii="宋体" w:hAnsi="宋体" w:eastAsia="宋体" w:cs="宋体"/>
          <w:color w:val="auto"/>
          <w:szCs w:val="21"/>
        </w:rPr>
        <w:t>、不可竞争费表</w:t>
      </w:r>
      <w:r>
        <w:rPr>
          <w:rFonts w:hint="eastAsia" w:ascii="宋体" w:hAnsi="宋体" w:eastAsia="宋体" w:cs="宋体"/>
          <w:color w:val="auto"/>
          <w:szCs w:val="21"/>
          <w:lang w:eastAsia="zh-CN"/>
        </w:rPr>
        <w:t>（投标）</w:t>
      </w:r>
    </w:p>
    <w:p>
      <w:pPr>
        <w:rPr>
          <w:rFonts w:hint="eastAsia" w:ascii="宋体" w:hAnsi="宋体" w:eastAsia="宋体" w:cs="宋体"/>
          <w:color w:val="auto"/>
          <w:szCs w:val="21"/>
        </w:rPr>
      </w:pPr>
      <w:r>
        <w:rPr>
          <w:rFonts w:hint="eastAsia" w:ascii="宋体" w:hAnsi="宋体" w:eastAsia="宋体" w:cs="宋体"/>
          <w:color w:val="auto"/>
          <w:szCs w:val="21"/>
        </w:rPr>
        <w:br w:type="page"/>
      </w:r>
    </w:p>
    <w:p>
      <w:pPr>
        <w:adjustRightInd w:val="0"/>
        <w:snapToGrid w:val="0"/>
        <w:spacing w:line="360" w:lineRule="auto"/>
        <w:ind w:right="24"/>
        <w:jc w:val="center"/>
        <w:outlineLvl w:val="1"/>
        <w:rPr>
          <w:rFonts w:hint="eastAsia" w:ascii="宋体" w:hAnsi="宋体" w:eastAsia="宋体" w:cs="宋体"/>
          <w:b/>
          <w:color w:val="auto"/>
          <w:sz w:val="32"/>
          <w:szCs w:val="32"/>
        </w:rPr>
      </w:pPr>
      <w:bookmarkStart w:id="150" w:name="_Toc17334"/>
      <w:bookmarkStart w:id="151" w:name="_Toc8906"/>
      <w:r>
        <w:rPr>
          <w:rFonts w:hint="eastAsia" w:ascii="宋体" w:hAnsi="宋体" w:eastAsia="宋体" w:cs="宋体"/>
          <w:b/>
          <w:color w:val="auto"/>
          <w:sz w:val="32"/>
          <w:szCs w:val="32"/>
        </w:rPr>
        <w:t>九、其他资料（如有）</w:t>
      </w:r>
      <w:bookmarkEnd w:id="150"/>
      <w:bookmarkEnd w:id="151"/>
    </w:p>
    <w:p>
      <w:pPr>
        <w:adjustRightInd w:val="0"/>
        <w:snapToGrid w:val="0"/>
        <w:spacing w:before="156" w:beforeLines="5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谈判单位认为需要提供的其他报价资料，格式自拟。</w:t>
      </w:r>
    </w:p>
    <w:p>
      <w:pPr>
        <w:pStyle w:val="2"/>
        <w:rPr>
          <w:rFonts w:hint="eastAsia" w:ascii="宋体" w:hAnsi="宋体" w:eastAsia="宋体" w:cs="宋体"/>
          <w:color w:val="auto"/>
        </w:rPr>
      </w:pPr>
    </w:p>
    <w:sectPr>
      <w:pgSz w:w="11906" w:h="16838"/>
      <w:pgMar w:top="1191" w:right="1417" w:bottom="1191" w:left="119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12</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93A88"/>
    <w:multiLevelType w:val="singleLevel"/>
    <w:tmpl w:val="FE293A88"/>
    <w:lvl w:ilvl="0" w:tentative="0">
      <w:start w:val="3"/>
      <w:numFmt w:val="chineseCounting"/>
      <w:pStyle w:val="359"/>
      <w:suff w:val="nothing"/>
      <w:lvlText w:val="%1、"/>
      <w:lvlJc w:val="left"/>
      <w:rPr>
        <w:rFonts w:hint="eastAsia"/>
      </w:rPr>
    </w:lvl>
  </w:abstractNum>
  <w:abstractNum w:abstractNumId="1">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5F18EFC"/>
    <w:multiLevelType w:val="singleLevel"/>
    <w:tmpl w:val="15F18EFC"/>
    <w:lvl w:ilvl="0" w:tentative="0">
      <w:start w:val="2"/>
      <w:numFmt w:val="chineseCounting"/>
      <w:suff w:val="space"/>
      <w:lvlText w:val="第%1部分"/>
      <w:lvlJc w:val="left"/>
      <w:rPr>
        <w:rFonts w:hint="eastAsia"/>
      </w:rPr>
    </w:lvl>
  </w:abstractNum>
  <w:abstractNum w:abstractNumId="4">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3BA9B3E"/>
    <w:multiLevelType w:val="singleLevel"/>
    <w:tmpl w:val="63BA9B3E"/>
    <w:lvl w:ilvl="0" w:tentative="0">
      <w:start w:val="6"/>
      <w:numFmt w:val="chineseCounting"/>
      <w:suff w:val="space"/>
      <w:lvlText w:val="第%1章"/>
      <w:lvlJc w:val="left"/>
      <w:rPr>
        <w:rFonts w:hint="eastAsia"/>
      </w:rPr>
    </w:lvl>
  </w:abstractNum>
  <w:abstractNum w:abstractNumId="6">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4"/>
  </w:num>
  <w:num w:numId="5">
    <w:abstractNumId w:val="6"/>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274C6"/>
    <w:rsid w:val="00034CF0"/>
    <w:rsid w:val="00035CEB"/>
    <w:rsid w:val="00052640"/>
    <w:rsid w:val="00063195"/>
    <w:rsid w:val="00063D15"/>
    <w:rsid w:val="00074928"/>
    <w:rsid w:val="00091C9D"/>
    <w:rsid w:val="000C106E"/>
    <w:rsid w:val="000D4DB5"/>
    <w:rsid w:val="000E1CBA"/>
    <w:rsid w:val="000E7968"/>
    <w:rsid w:val="00115FE6"/>
    <w:rsid w:val="00116BAE"/>
    <w:rsid w:val="001453A1"/>
    <w:rsid w:val="00156787"/>
    <w:rsid w:val="00162D59"/>
    <w:rsid w:val="00186162"/>
    <w:rsid w:val="001C23BF"/>
    <w:rsid w:val="001C5373"/>
    <w:rsid w:val="001D6D72"/>
    <w:rsid w:val="002069C8"/>
    <w:rsid w:val="002139EB"/>
    <w:rsid w:val="0022188F"/>
    <w:rsid w:val="00222DFA"/>
    <w:rsid w:val="00230A1A"/>
    <w:rsid w:val="002314A3"/>
    <w:rsid w:val="002504FF"/>
    <w:rsid w:val="002523FD"/>
    <w:rsid w:val="0025312F"/>
    <w:rsid w:val="00255546"/>
    <w:rsid w:val="002608D4"/>
    <w:rsid w:val="00286014"/>
    <w:rsid w:val="002A0BE4"/>
    <w:rsid w:val="002B1D56"/>
    <w:rsid w:val="002C1CE4"/>
    <w:rsid w:val="002F262C"/>
    <w:rsid w:val="003102A2"/>
    <w:rsid w:val="00331810"/>
    <w:rsid w:val="00380064"/>
    <w:rsid w:val="00381105"/>
    <w:rsid w:val="00381BB4"/>
    <w:rsid w:val="00387430"/>
    <w:rsid w:val="003958B2"/>
    <w:rsid w:val="0039632C"/>
    <w:rsid w:val="003B1109"/>
    <w:rsid w:val="003D080C"/>
    <w:rsid w:val="003D6204"/>
    <w:rsid w:val="003E5113"/>
    <w:rsid w:val="003F1C64"/>
    <w:rsid w:val="003F46A7"/>
    <w:rsid w:val="004014FD"/>
    <w:rsid w:val="00423B85"/>
    <w:rsid w:val="004263EB"/>
    <w:rsid w:val="0044519B"/>
    <w:rsid w:val="00452FD8"/>
    <w:rsid w:val="00453EE9"/>
    <w:rsid w:val="00473865"/>
    <w:rsid w:val="00475B14"/>
    <w:rsid w:val="0048093D"/>
    <w:rsid w:val="004929D5"/>
    <w:rsid w:val="00495DBC"/>
    <w:rsid w:val="00495F57"/>
    <w:rsid w:val="004978CA"/>
    <w:rsid w:val="004B3D80"/>
    <w:rsid w:val="004B41B1"/>
    <w:rsid w:val="00504DED"/>
    <w:rsid w:val="00526589"/>
    <w:rsid w:val="00545140"/>
    <w:rsid w:val="0055214F"/>
    <w:rsid w:val="005556A5"/>
    <w:rsid w:val="0056117D"/>
    <w:rsid w:val="0056143E"/>
    <w:rsid w:val="0058754B"/>
    <w:rsid w:val="005B1968"/>
    <w:rsid w:val="005B61D8"/>
    <w:rsid w:val="005C5FED"/>
    <w:rsid w:val="005C688B"/>
    <w:rsid w:val="005E6BBB"/>
    <w:rsid w:val="006236CD"/>
    <w:rsid w:val="00641E72"/>
    <w:rsid w:val="0068504A"/>
    <w:rsid w:val="0068515F"/>
    <w:rsid w:val="00687C87"/>
    <w:rsid w:val="006B6300"/>
    <w:rsid w:val="006C3B60"/>
    <w:rsid w:val="006C57DE"/>
    <w:rsid w:val="006D0A13"/>
    <w:rsid w:val="006E025D"/>
    <w:rsid w:val="006F5FAC"/>
    <w:rsid w:val="0070019E"/>
    <w:rsid w:val="00702C2B"/>
    <w:rsid w:val="0070784A"/>
    <w:rsid w:val="00711760"/>
    <w:rsid w:val="00730CC6"/>
    <w:rsid w:val="00740D0D"/>
    <w:rsid w:val="00793ABB"/>
    <w:rsid w:val="0079784E"/>
    <w:rsid w:val="007C13AE"/>
    <w:rsid w:val="007D0446"/>
    <w:rsid w:val="007D38B0"/>
    <w:rsid w:val="007F3811"/>
    <w:rsid w:val="00802770"/>
    <w:rsid w:val="00803931"/>
    <w:rsid w:val="0081382B"/>
    <w:rsid w:val="00841713"/>
    <w:rsid w:val="00842E06"/>
    <w:rsid w:val="008511F3"/>
    <w:rsid w:val="0086685E"/>
    <w:rsid w:val="008B6242"/>
    <w:rsid w:val="008B71AF"/>
    <w:rsid w:val="008C7C9F"/>
    <w:rsid w:val="00915948"/>
    <w:rsid w:val="00923E97"/>
    <w:rsid w:val="0092736B"/>
    <w:rsid w:val="0094549A"/>
    <w:rsid w:val="0099304F"/>
    <w:rsid w:val="009A5642"/>
    <w:rsid w:val="009B5270"/>
    <w:rsid w:val="009C10AF"/>
    <w:rsid w:val="009D41D7"/>
    <w:rsid w:val="009D7D4A"/>
    <w:rsid w:val="009E03FD"/>
    <w:rsid w:val="009E1396"/>
    <w:rsid w:val="009E2384"/>
    <w:rsid w:val="00A05813"/>
    <w:rsid w:val="00A22C74"/>
    <w:rsid w:val="00A34DC1"/>
    <w:rsid w:val="00A41E73"/>
    <w:rsid w:val="00A618F2"/>
    <w:rsid w:val="00A61CCE"/>
    <w:rsid w:val="00A87E8F"/>
    <w:rsid w:val="00A92B7C"/>
    <w:rsid w:val="00AA1709"/>
    <w:rsid w:val="00AA6716"/>
    <w:rsid w:val="00AB013C"/>
    <w:rsid w:val="00AD758B"/>
    <w:rsid w:val="00AF11ED"/>
    <w:rsid w:val="00B01BA0"/>
    <w:rsid w:val="00B45A8A"/>
    <w:rsid w:val="00B74689"/>
    <w:rsid w:val="00B82298"/>
    <w:rsid w:val="00B832A9"/>
    <w:rsid w:val="00B92FA2"/>
    <w:rsid w:val="00BB4BA0"/>
    <w:rsid w:val="00BC3E36"/>
    <w:rsid w:val="00BC79F2"/>
    <w:rsid w:val="00BE15B5"/>
    <w:rsid w:val="00BF3B1E"/>
    <w:rsid w:val="00C0069B"/>
    <w:rsid w:val="00C20479"/>
    <w:rsid w:val="00C21D69"/>
    <w:rsid w:val="00C532E5"/>
    <w:rsid w:val="00C57914"/>
    <w:rsid w:val="00C6008B"/>
    <w:rsid w:val="00C758E3"/>
    <w:rsid w:val="00C8315A"/>
    <w:rsid w:val="00C94925"/>
    <w:rsid w:val="00CB534B"/>
    <w:rsid w:val="00CC1ED5"/>
    <w:rsid w:val="00CE51F2"/>
    <w:rsid w:val="00CE631C"/>
    <w:rsid w:val="00CE703D"/>
    <w:rsid w:val="00CF0192"/>
    <w:rsid w:val="00CF040C"/>
    <w:rsid w:val="00CF51C2"/>
    <w:rsid w:val="00D164FE"/>
    <w:rsid w:val="00D31733"/>
    <w:rsid w:val="00D43330"/>
    <w:rsid w:val="00D45257"/>
    <w:rsid w:val="00D45708"/>
    <w:rsid w:val="00D52894"/>
    <w:rsid w:val="00D6362F"/>
    <w:rsid w:val="00D84A7F"/>
    <w:rsid w:val="00DA51BD"/>
    <w:rsid w:val="00DF363F"/>
    <w:rsid w:val="00E32EEF"/>
    <w:rsid w:val="00E74692"/>
    <w:rsid w:val="00E77817"/>
    <w:rsid w:val="00E944EE"/>
    <w:rsid w:val="00EA3AF6"/>
    <w:rsid w:val="00EB059B"/>
    <w:rsid w:val="00EF6911"/>
    <w:rsid w:val="00F37996"/>
    <w:rsid w:val="00F410E0"/>
    <w:rsid w:val="00F579E9"/>
    <w:rsid w:val="00FA6734"/>
    <w:rsid w:val="00FC4118"/>
    <w:rsid w:val="00FE3699"/>
    <w:rsid w:val="01403F6F"/>
    <w:rsid w:val="014D6F55"/>
    <w:rsid w:val="01553A81"/>
    <w:rsid w:val="01932790"/>
    <w:rsid w:val="01A43531"/>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3B62B8"/>
    <w:rsid w:val="03727DAF"/>
    <w:rsid w:val="03D41287"/>
    <w:rsid w:val="03F31A5E"/>
    <w:rsid w:val="03FC0CEA"/>
    <w:rsid w:val="04240981"/>
    <w:rsid w:val="042B3AFB"/>
    <w:rsid w:val="0445397B"/>
    <w:rsid w:val="0471407F"/>
    <w:rsid w:val="04CA33E5"/>
    <w:rsid w:val="04E70891"/>
    <w:rsid w:val="04EE0D07"/>
    <w:rsid w:val="054E6891"/>
    <w:rsid w:val="059024C4"/>
    <w:rsid w:val="05990F81"/>
    <w:rsid w:val="05AE71FF"/>
    <w:rsid w:val="05D62C3D"/>
    <w:rsid w:val="05EB6762"/>
    <w:rsid w:val="05F777CC"/>
    <w:rsid w:val="061842D1"/>
    <w:rsid w:val="067428EB"/>
    <w:rsid w:val="06C11238"/>
    <w:rsid w:val="06D605B3"/>
    <w:rsid w:val="070C68F7"/>
    <w:rsid w:val="07187D53"/>
    <w:rsid w:val="072B22BC"/>
    <w:rsid w:val="074C43F1"/>
    <w:rsid w:val="07523F65"/>
    <w:rsid w:val="07650D5D"/>
    <w:rsid w:val="07A76048"/>
    <w:rsid w:val="07B16F85"/>
    <w:rsid w:val="07CC31F0"/>
    <w:rsid w:val="082211DD"/>
    <w:rsid w:val="08232382"/>
    <w:rsid w:val="082F5114"/>
    <w:rsid w:val="083D23B2"/>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DD12FA"/>
    <w:rsid w:val="0AE24958"/>
    <w:rsid w:val="0B0459F0"/>
    <w:rsid w:val="0B4432D5"/>
    <w:rsid w:val="0B590F4A"/>
    <w:rsid w:val="0B59535A"/>
    <w:rsid w:val="0B8511E8"/>
    <w:rsid w:val="0BAA700E"/>
    <w:rsid w:val="0BC61F4B"/>
    <w:rsid w:val="0BEB10E2"/>
    <w:rsid w:val="0C156CFF"/>
    <w:rsid w:val="0C1A66D1"/>
    <w:rsid w:val="0C361670"/>
    <w:rsid w:val="0C411CD0"/>
    <w:rsid w:val="0C5B1FA9"/>
    <w:rsid w:val="0C8E4136"/>
    <w:rsid w:val="0CA062F8"/>
    <w:rsid w:val="0CED2457"/>
    <w:rsid w:val="0D2C1377"/>
    <w:rsid w:val="0D5C5AB2"/>
    <w:rsid w:val="0D614F04"/>
    <w:rsid w:val="0D6A4C3D"/>
    <w:rsid w:val="0D89223D"/>
    <w:rsid w:val="0DCC335E"/>
    <w:rsid w:val="0DF87606"/>
    <w:rsid w:val="0E04554D"/>
    <w:rsid w:val="0E0C0187"/>
    <w:rsid w:val="0E246F20"/>
    <w:rsid w:val="0E413AE2"/>
    <w:rsid w:val="0E94477A"/>
    <w:rsid w:val="0EA14E22"/>
    <w:rsid w:val="0EBC2000"/>
    <w:rsid w:val="0F143C2E"/>
    <w:rsid w:val="0F340DCE"/>
    <w:rsid w:val="0F3918CC"/>
    <w:rsid w:val="0F397095"/>
    <w:rsid w:val="0F513287"/>
    <w:rsid w:val="0FD663C6"/>
    <w:rsid w:val="10190CBD"/>
    <w:rsid w:val="102D14D1"/>
    <w:rsid w:val="104E0318"/>
    <w:rsid w:val="10952434"/>
    <w:rsid w:val="10A750E5"/>
    <w:rsid w:val="10D71799"/>
    <w:rsid w:val="11342822"/>
    <w:rsid w:val="113C4B1F"/>
    <w:rsid w:val="115D2B41"/>
    <w:rsid w:val="1183006F"/>
    <w:rsid w:val="118640B3"/>
    <w:rsid w:val="12321665"/>
    <w:rsid w:val="126C7EC0"/>
    <w:rsid w:val="1277417D"/>
    <w:rsid w:val="12A242AB"/>
    <w:rsid w:val="12BC14D4"/>
    <w:rsid w:val="12BE7F96"/>
    <w:rsid w:val="12DA4361"/>
    <w:rsid w:val="12E70400"/>
    <w:rsid w:val="12F17558"/>
    <w:rsid w:val="12F745E0"/>
    <w:rsid w:val="12F96D8F"/>
    <w:rsid w:val="1342515B"/>
    <w:rsid w:val="1356443E"/>
    <w:rsid w:val="1360694E"/>
    <w:rsid w:val="136253A7"/>
    <w:rsid w:val="136544CD"/>
    <w:rsid w:val="136B6B81"/>
    <w:rsid w:val="13A934D3"/>
    <w:rsid w:val="13B923AB"/>
    <w:rsid w:val="13C0328F"/>
    <w:rsid w:val="13C5215F"/>
    <w:rsid w:val="13C719E1"/>
    <w:rsid w:val="13D5488F"/>
    <w:rsid w:val="13DC2553"/>
    <w:rsid w:val="13FA25BC"/>
    <w:rsid w:val="142D4C56"/>
    <w:rsid w:val="144162BD"/>
    <w:rsid w:val="1444419D"/>
    <w:rsid w:val="145C45D5"/>
    <w:rsid w:val="149B2B25"/>
    <w:rsid w:val="14B6139F"/>
    <w:rsid w:val="15340E77"/>
    <w:rsid w:val="157939BE"/>
    <w:rsid w:val="15832312"/>
    <w:rsid w:val="15C01930"/>
    <w:rsid w:val="15E2161B"/>
    <w:rsid w:val="161C194F"/>
    <w:rsid w:val="162E1686"/>
    <w:rsid w:val="16387566"/>
    <w:rsid w:val="165E1B64"/>
    <w:rsid w:val="167D6633"/>
    <w:rsid w:val="16C7330C"/>
    <w:rsid w:val="16CE41FA"/>
    <w:rsid w:val="16E77616"/>
    <w:rsid w:val="16F862E2"/>
    <w:rsid w:val="16FC2249"/>
    <w:rsid w:val="17253717"/>
    <w:rsid w:val="17327D92"/>
    <w:rsid w:val="173A56D7"/>
    <w:rsid w:val="176159C8"/>
    <w:rsid w:val="17740B65"/>
    <w:rsid w:val="17915F08"/>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766F7A"/>
    <w:rsid w:val="19AF7B16"/>
    <w:rsid w:val="19B175FE"/>
    <w:rsid w:val="19BA2DA6"/>
    <w:rsid w:val="19E17184"/>
    <w:rsid w:val="19F937A0"/>
    <w:rsid w:val="19FB2C3C"/>
    <w:rsid w:val="1A1B5EE6"/>
    <w:rsid w:val="1A290861"/>
    <w:rsid w:val="1A351A94"/>
    <w:rsid w:val="1A3B188F"/>
    <w:rsid w:val="1A4F4961"/>
    <w:rsid w:val="1A527E86"/>
    <w:rsid w:val="1A6B0EEF"/>
    <w:rsid w:val="1A856415"/>
    <w:rsid w:val="1A864FC7"/>
    <w:rsid w:val="1A967D50"/>
    <w:rsid w:val="1A970FB3"/>
    <w:rsid w:val="1AAB45F6"/>
    <w:rsid w:val="1AD55B53"/>
    <w:rsid w:val="1AF205C1"/>
    <w:rsid w:val="1B106349"/>
    <w:rsid w:val="1B133EBD"/>
    <w:rsid w:val="1B791B76"/>
    <w:rsid w:val="1B9E744F"/>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5E5C12"/>
    <w:rsid w:val="1E6749FD"/>
    <w:rsid w:val="1E7277E4"/>
    <w:rsid w:val="1EB05FC3"/>
    <w:rsid w:val="1EB57C64"/>
    <w:rsid w:val="1ED25A6D"/>
    <w:rsid w:val="1EE456C8"/>
    <w:rsid w:val="1EEF0AE0"/>
    <w:rsid w:val="1EFA23B0"/>
    <w:rsid w:val="1F2809C8"/>
    <w:rsid w:val="1F2F00D5"/>
    <w:rsid w:val="1F375C0D"/>
    <w:rsid w:val="1F3D0CE1"/>
    <w:rsid w:val="1F541C2F"/>
    <w:rsid w:val="1F8F3CFA"/>
    <w:rsid w:val="1FA7260B"/>
    <w:rsid w:val="1FC34021"/>
    <w:rsid w:val="1FEE3736"/>
    <w:rsid w:val="1FF45180"/>
    <w:rsid w:val="2034266D"/>
    <w:rsid w:val="20441BF7"/>
    <w:rsid w:val="20567811"/>
    <w:rsid w:val="207B20B8"/>
    <w:rsid w:val="20C87EE6"/>
    <w:rsid w:val="20D4307C"/>
    <w:rsid w:val="20DF6696"/>
    <w:rsid w:val="21156537"/>
    <w:rsid w:val="215026B3"/>
    <w:rsid w:val="218469C1"/>
    <w:rsid w:val="21FB5F50"/>
    <w:rsid w:val="21FB6487"/>
    <w:rsid w:val="22611A5A"/>
    <w:rsid w:val="22620C72"/>
    <w:rsid w:val="22622A21"/>
    <w:rsid w:val="227D6B75"/>
    <w:rsid w:val="22836C14"/>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3B5B6F"/>
    <w:rsid w:val="2661226B"/>
    <w:rsid w:val="26636987"/>
    <w:rsid w:val="26CF4594"/>
    <w:rsid w:val="271E4DAB"/>
    <w:rsid w:val="272A5BFE"/>
    <w:rsid w:val="27320D1C"/>
    <w:rsid w:val="274759C4"/>
    <w:rsid w:val="274B7559"/>
    <w:rsid w:val="280F4204"/>
    <w:rsid w:val="28166B73"/>
    <w:rsid w:val="282442D9"/>
    <w:rsid w:val="284367B5"/>
    <w:rsid w:val="28483142"/>
    <w:rsid w:val="284C2446"/>
    <w:rsid w:val="285718A5"/>
    <w:rsid w:val="28F865CB"/>
    <w:rsid w:val="29053276"/>
    <w:rsid w:val="29212087"/>
    <w:rsid w:val="29250E1B"/>
    <w:rsid w:val="29307899"/>
    <w:rsid w:val="293E4CC1"/>
    <w:rsid w:val="29443F92"/>
    <w:rsid w:val="2951346C"/>
    <w:rsid w:val="29565677"/>
    <w:rsid w:val="295A53EB"/>
    <w:rsid w:val="295A5ED0"/>
    <w:rsid w:val="297F7543"/>
    <w:rsid w:val="29803AA3"/>
    <w:rsid w:val="298711FA"/>
    <w:rsid w:val="29884B07"/>
    <w:rsid w:val="298957C4"/>
    <w:rsid w:val="29DF4E52"/>
    <w:rsid w:val="2A131CCB"/>
    <w:rsid w:val="2A1D6A45"/>
    <w:rsid w:val="2A3D7EBF"/>
    <w:rsid w:val="2A4E2CE7"/>
    <w:rsid w:val="2A6F6EBA"/>
    <w:rsid w:val="2A830C79"/>
    <w:rsid w:val="2AD11736"/>
    <w:rsid w:val="2AF1787D"/>
    <w:rsid w:val="2B1029CF"/>
    <w:rsid w:val="2B3D0710"/>
    <w:rsid w:val="2B424E87"/>
    <w:rsid w:val="2B5F0E77"/>
    <w:rsid w:val="2B7F64C1"/>
    <w:rsid w:val="2BA3212D"/>
    <w:rsid w:val="2BD575BF"/>
    <w:rsid w:val="2BE7007A"/>
    <w:rsid w:val="2BEF05F1"/>
    <w:rsid w:val="2BFE408A"/>
    <w:rsid w:val="2C1D78F3"/>
    <w:rsid w:val="2C234403"/>
    <w:rsid w:val="2C393680"/>
    <w:rsid w:val="2CDF0482"/>
    <w:rsid w:val="2CEF66A7"/>
    <w:rsid w:val="2D22640D"/>
    <w:rsid w:val="2D2F70B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52AFB"/>
    <w:rsid w:val="2F6C2DFA"/>
    <w:rsid w:val="300C3711"/>
    <w:rsid w:val="3022617D"/>
    <w:rsid w:val="30464B56"/>
    <w:rsid w:val="306B39B6"/>
    <w:rsid w:val="307C2C0D"/>
    <w:rsid w:val="30967620"/>
    <w:rsid w:val="309F2085"/>
    <w:rsid w:val="30BD1FE5"/>
    <w:rsid w:val="30CD3170"/>
    <w:rsid w:val="30E74D92"/>
    <w:rsid w:val="30F36C74"/>
    <w:rsid w:val="30F9318B"/>
    <w:rsid w:val="31272F44"/>
    <w:rsid w:val="31936105"/>
    <w:rsid w:val="31B658D4"/>
    <w:rsid w:val="31E557D1"/>
    <w:rsid w:val="31E67461"/>
    <w:rsid w:val="32316E69"/>
    <w:rsid w:val="325B404D"/>
    <w:rsid w:val="32887E5F"/>
    <w:rsid w:val="32922EE0"/>
    <w:rsid w:val="329E5AD1"/>
    <w:rsid w:val="32CC51E5"/>
    <w:rsid w:val="32E6051A"/>
    <w:rsid w:val="32F33B15"/>
    <w:rsid w:val="330D7A25"/>
    <w:rsid w:val="33400487"/>
    <w:rsid w:val="33412321"/>
    <w:rsid w:val="3342483F"/>
    <w:rsid w:val="33527222"/>
    <w:rsid w:val="33A718ED"/>
    <w:rsid w:val="33AA3E3F"/>
    <w:rsid w:val="33F552DA"/>
    <w:rsid w:val="34086FF6"/>
    <w:rsid w:val="3471044B"/>
    <w:rsid w:val="34AC6BE3"/>
    <w:rsid w:val="34EB329F"/>
    <w:rsid w:val="34FE1F7D"/>
    <w:rsid w:val="35270865"/>
    <w:rsid w:val="35552D23"/>
    <w:rsid w:val="35C42A65"/>
    <w:rsid w:val="3609516B"/>
    <w:rsid w:val="36116C06"/>
    <w:rsid w:val="361B7BDC"/>
    <w:rsid w:val="364221AD"/>
    <w:rsid w:val="365E0A2C"/>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DF2765"/>
    <w:rsid w:val="37F43335"/>
    <w:rsid w:val="388D5F91"/>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5D40FA"/>
    <w:rsid w:val="3BAB26D3"/>
    <w:rsid w:val="3BC12A35"/>
    <w:rsid w:val="3BD009CC"/>
    <w:rsid w:val="3BF45BDB"/>
    <w:rsid w:val="3C2B1FE6"/>
    <w:rsid w:val="3C2F7C35"/>
    <w:rsid w:val="3C6F5314"/>
    <w:rsid w:val="3C78361D"/>
    <w:rsid w:val="3C8779B9"/>
    <w:rsid w:val="3C8B2C2B"/>
    <w:rsid w:val="3C940215"/>
    <w:rsid w:val="3C9F058C"/>
    <w:rsid w:val="3CC97C4F"/>
    <w:rsid w:val="3CCA29EB"/>
    <w:rsid w:val="3CCC5DBF"/>
    <w:rsid w:val="3CF75C7B"/>
    <w:rsid w:val="3D497E6A"/>
    <w:rsid w:val="3D634958"/>
    <w:rsid w:val="3D641A15"/>
    <w:rsid w:val="3D6C6B53"/>
    <w:rsid w:val="3D7F44F5"/>
    <w:rsid w:val="3D8C6BB2"/>
    <w:rsid w:val="3D987150"/>
    <w:rsid w:val="3D9E333B"/>
    <w:rsid w:val="3DBC00BF"/>
    <w:rsid w:val="3DCB1A6B"/>
    <w:rsid w:val="3DED30AA"/>
    <w:rsid w:val="3E2D5980"/>
    <w:rsid w:val="3E3102BB"/>
    <w:rsid w:val="3E604692"/>
    <w:rsid w:val="3E614AA5"/>
    <w:rsid w:val="3E6609DD"/>
    <w:rsid w:val="3E8557A1"/>
    <w:rsid w:val="3EB02545"/>
    <w:rsid w:val="3EB21D54"/>
    <w:rsid w:val="3EF82544"/>
    <w:rsid w:val="3F18661A"/>
    <w:rsid w:val="3F276077"/>
    <w:rsid w:val="3F7512EA"/>
    <w:rsid w:val="3F9730B9"/>
    <w:rsid w:val="3FC55901"/>
    <w:rsid w:val="3FC9458D"/>
    <w:rsid w:val="3FD033AD"/>
    <w:rsid w:val="3FE71A20"/>
    <w:rsid w:val="401F021A"/>
    <w:rsid w:val="40247604"/>
    <w:rsid w:val="404148A6"/>
    <w:rsid w:val="40572AB6"/>
    <w:rsid w:val="405D3459"/>
    <w:rsid w:val="4068264C"/>
    <w:rsid w:val="407728FD"/>
    <w:rsid w:val="40CA0DB3"/>
    <w:rsid w:val="410603FC"/>
    <w:rsid w:val="410D06B8"/>
    <w:rsid w:val="418842A8"/>
    <w:rsid w:val="41A274B6"/>
    <w:rsid w:val="41C034AF"/>
    <w:rsid w:val="41C70A28"/>
    <w:rsid w:val="41E77EA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4D34CE"/>
    <w:rsid w:val="4458707E"/>
    <w:rsid w:val="44667276"/>
    <w:rsid w:val="44A37922"/>
    <w:rsid w:val="44B63420"/>
    <w:rsid w:val="44B71DE6"/>
    <w:rsid w:val="44BE70AA"/>
    <w:rsid w:val="44DB6B8D"/>
    <w:rsid w:val="45160574"/>
    <w:rsid w:val="45420D01"/>
    <w:rsid w:val="45454B23"/>
    <w:rsid w:val="45795B69"/>
    <w:rsid w:val="45D9171A"/>
    <w:rsid w:val="45F8252B"/>
    <w:rsid w:val="46153B79"/>
    <w:rsid w:val="46362CFF"/>
    <w:rsid w:val="4655670F"/>
    <w:rsid w:val="465E48A1"/>
    <w:rsid w:val="46CD6A3D"/>
    <w:rsid w:val="46D23AA8"/>
    <w:rsid w:val="46D446A7"/>
    <w:rsid w:val="46DD6BE8"/>
    <w:rsid w:val="47165D61"/>
    <w:rsid w:val="474547E3"/>
    <w:rsid w:val="475D1752"/>
    <w:rsid w:val="47767BD4"/>
    <w:rsid w:val="477D0471"/>
    <w:rsid w:val="478F59C9"/>
    <w:rsid w:val="47BB384E"/>
    <w:rsid w:val="47EA68ED"/>
    <w:rsid w:val="47FB44E3"/>
    <w:rsid w:val="486C3041"/>
    <w:rsid w:val="488A747A"/>
    <w:rsid w:val="488C68A7"/>
    <w:rsid w:val="489640A7"/>
    <w:rsid w:val="489E300A"/>
    <w:rsid w:val="48A8092A"/>
    <w:rsid w:val="4955748F"/>
    <w:rsid w:val="49694B92"/>
    <w:rsid w:val="49737357"/>
    <w:rsid w:val="49B7786C"/>
    <w:rsid w:val="49E51E3A"/>
    <w:rsid w:val="4A0366CF"/>
    <w:rsid w:val="4A256483"/>
    <w:rsid w:val="4A340A78"/>
    <w:rsid w:val="4A38641F"/>
    <w:rsid w:val="4A66688A"/>
    <w:rsid w:val="4A800E57"/>
    <w:rsid w:val="4A8D4A10"/>
    <w:rsid w:val="4A9F5D83"/>
    <w:rsid w:val="4AB52052"/>
    <w:rsid w:val="4AF72E5E"/>
    <w:rsid w:val="4AF859CC"/>
    <w:rsid w:val="4B657DEC"/>
    <w:rsid w:val="4B8152D3"/>
    <w:rsid w:val="4B835116"/>
    <w:rsid w:val="4B965649"/>
    <w:rsid w:val="4B9A084B"/>
    <w:rsid w:val="4B9B59EA"/>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A57DC0"/>
    <w:rsid w:val="4DB579D1"/>
    <w:rsid w:val="4DBD70EB"/>
    <w:rsid w:val="4E44138D"/>
    <w:rsid w:val="4E6E459C"/>
    <w:rsid w:val="4E98618A"/>
    <w:rsid w:val="4E9D352C"/>
    <w:rsid w:val="4EB95E17"/>
    <w:rsid w:val="4ED45410"/>
    <w:rsid w:val="4F6B02B8"/>
    <w:rsid w:val="4F72409C"/>
    <w:rsid w:val="4F765628"/>
    <w:rsid w:val="4FA43165"/>
    <w:rsid w:val="4FB6214D"/>
    <w:rsid w:val="4FFA2095"/>
    <w:rsid w:val="505B71CF"/>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C04BD"/>
    <w:rsid w:val="551D6AF9"/>
    <w:rsid w:val="55313DB7"/>
    <w:rsid w:val="55A60ADC"/>
    <w:rsid w:val="55B32567"/>
    <w:rsid w:val="55D857C5"/>
    <w:rsid w:val="56253A26"/>
    <w:rsid w:val="5638334C"/>
    <w:rsid w:val="564F0990"/>
    <w:rsid w:val="56780FF9"/>
    <w:rsid w:val="56870578"/>
    <w:rsid w:val="569241C0"/>
    <w:rsid w:val="56944288"/>
    <w:rsid w:val="56A33B67"/>
    <w:rsid w:val="56A40E03"/>
    <w:rsid w:val="56E20A0E"/>
    <w:rsid w:val="57053D37"/>
    <w:rsid w:val="5712602C"/>
    <w:rsid w:val="5737516A"/>
    <w:rsid w:val="57392A49"/>
    <w:rsid w:val="57431AE0"/>
    <w:rsid w:val="57730A91"/>
    <w:rsid w:val="5780384C"/>
    <w:rsid w:val="57901141"/>
    <w:rsid w:val="57A27BD5"/>
    <w:rsid w:val="57A91214"/>
    <w:rsid w:val="57C762A2"/>
    <w:rsid w:val="57E71A09"/>
    <w:rsid w:val="5812512F"/>
    <w:rsid w:val="58451B93"/>
    <w:rsid w:val="587179A2"/>
    <w:rsid w:val="587249A9"/>
    <w:rsid w:val="587747DC"/>
    <w:rsid w:val="58876FB5"/>
    <w:rsid w:val="588C140C"/>
    <w:rsid w:val="58B21650"/>
    <w:rsid w:val="58C00F3E"/>
    <w:rsid w:val="59103E6F"/>
    <w:rsid w:val="59373C72"/>
    <w:rsid w:val="5945207E"/>
    <w:rsid w:val="595B4F2E"/>
    <w:rsid w:val="596D221D"/>
    <w:rsid w:val="59A237B5"/>
    <w:rsid w:val="59A77712"/>
    <w:rsid w:val="59CB276C"/>
    <w:rsid w:val="5A1C6E47"/>
    <w:rsid w:val="5A5D5516"/>
    <w:rsid w:val="5A72604D"/>
    <w:rsid w:val="5A7F77CE"/>
    <w:rsid w:val="5AA20C09"/>
    <w:rsid w:val="5ABC5F71"/>
    <w:rsid w:val="5AD20F31"/>
    <w:rsid w:val="5AF81EC0"/>
    <w:rsid w:val="5B0E4DAE"/>
    <w:rsid w:val="5B0E6862"/>
    <w:rsid w:val="5B4D14FF"/>
    <w:rsid w:val="5B58464F"/>
    <w:rsid w:val="5B8509D1"/>
    <w:rsid w:val="5B90297B"/>
    <w:rsid w:val="5BBF7D4C"/>
    <w:rsid w:val="5BCC476D"/>
    <w:rsid w:val="5C11606C"/>
    <w:rsid w:val="5C11763B"/>
    <w:rsid w:val="5C237623"/>
    <w:rsid w:val="5C4B3D62"/>
    <w:rsid w:val="5C4E0A2D"/>
    <w:rsid w:val="5C524815"/>
    <w:rsid w:val="5C64452B"/>
    <w:rsid w:val="5C7719CE"/>
    <w:rsid w:val="5C8E79BD"/>
    <w:rsid w:val="5CA6604A"/>
    <w:rsid w:val="5D2719C9"/>
    <w:rsid w:val="5D285026"/>
    <w:rsid w:val="5D3C3298"/>
    <w:rsid w:val="5D472272"/>
    <w:rsid w:val="5D5C0E3F"/>
    <w:rsid w:val="5D5E619D"/>
    <w:rsid w:val="5D696511"/>
    <w:rsid w:val="5D697358"/>
    <w:rsid w:val="5D742A37"/>
    <w:rsid w:val="5D747A99"/>
    <w:rsid w:val="5D9249ED"/>
    <w:rsid w:val="5DA1646B"/>
    <w:rsid w:val="5DD7329D"/>
    <w:rsid w:val="5DD938EA"/>
    <w:rsid w:val="5DDC5DDB"/>
    <w:rsid w:val="5DF04FFA"/>
    <w:rsid w:val="5E063C72"/>
    <w:rsid w:val="5E0C15D4"/>
    <w:rsid w:val="5E19167C"/>
    <w:rsid w:val="5E3C01D4"/>
    <w:rsid w:val="5E6F443D"/>
    <w:rsid w:val="5E70354F"/>
    <w:rsid w:val="5E8C7523"/>
    <w:rsid w:val="5E94632E"/>
    <w:rsid w:val="5E9C2B92"/>
    <w:rsid w:val="5EB82786"/>
    <w:rsid w:val="5EB94C72"/>
    <w:rsid w:val="5EE869CF"/>
    <w:rsid w:val="5F111534"/>
    <w:rsid w:val="5F2541B1"/>
    <w:rsid w:val="5F804106"/>
    <w:rsid w:val="5F8E0C9A"/>
    <w:rsid w:val="5F9A4C50"/>
    <w:rsid w:val="5FA16F7E"/>
    <w:rsid w:val="5FBC6FFC"/>
    <w:rsid w:val="5FD2151E"/>
    <w:rsid w:val="5FD91B32"/>
    <w:rsid w:val="5FDE3D1C"/>
    <w:rsid w:val="5FEB36B0"/>
    <w:rsid w:val="5FEE5C03"/>
    <w:rsid w:val="60070235"/>
    <w:rsid w:val="60247960"/>
    <w:rsid w:val="60337FBD"/>
    <w:rsid w:val="60557909"/>
    <w:rsid w:val="606D4A01"/>
    <w:rsid w:val="608B596D"/>
    <w:rsid w:val="60B20DDE"/>
    <w:rsid w:val="60CF6017"/>
    <w:rsid w:val="60EC58A1"/>
    <w:rsid w:val="60F765D6"/>
    <w:rsid w:val="612334DA"/>
    <w:rsid w:val="619B0A4D"/>
    <w:rsid w:val="61BA2E6A"/>
    <w:rsid w:val="61BC5698"/>
    <w:rsid w:val="61C05E29"/>
    <w:rsid w:val="61E220CA"/>
    <w:rsid w:val="621F3A28"/>
    <w:rsid w:val="622919DE"/>
    <w:rsid w:val="623817CD"/>
    <w:rsid w:val="623C244B"/>
    <w:rsid w:val="625671C6"/>
    <w:rsid w:val="626D5F1F"/>
    <w:rsid w:val="628D5A05"/>
    <w:rsid w:val="629635F2"/>
    <w:rsid w:val="62996194"/>
    <w:rsid w:val="62B26831"/>
    <w:rsid w:val="62DB156F"/>
    <w:rsid w:val="62E35C5C"/>
    <w:rsid w:val="6308602C"/>
    <w:rsid w:val="63655BF1"/>
    <w:rsid w:val="6381414F"/>
    <w:rsid w:val="63891E91"/>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AE0F57"/>
    <w:rsid w:val="65B37579"/>
    <w:rsid w:val="65DB5C3D"/>
    <w:rsid w:val="65DC330D"/>
    <w:rsid w:val="65E935AE"/>
    <w:rsid w:val="666631F7"/>
    <w:rsid w:val="66780DEE"/>
    <w:rsid w:val="668E1E21"/>
    <w:rsid w:val="66926F8C"/>
    <w:rsid w:val="66966882"/>
    <w:rsid w:val="66AB117E"/>
    <w:rsid w:val="66D269D6"/>
    <w:rsid w:val="66E42710"/>
    <w:rsid w:val="66F269C9"/>
    <w:rsid w:val="67285BDC"/>
    <w:rsid w:val="679409F7"/>
    <w:rsid w:val="67C1521F"/>
    <w:rsid w:val="67D368B0"/>
    <w:rsid w:val="67FB2FC2"/>
    <w:rsid w:val="67FF3225"/>
    <w:rsid w:val="6838125F"/>
    <w:rsid w:val="684E7153"/>
    <w:rsid w:val="68942469"/>
    <w:rsid w:val="689A4745"/>
    <w:rsid w:val="68A270B1"/>
    <w:rsid w:val="69522C18"/>
    <w:rsid w:val="69560D87"/>
    <w:rsid w:val="695B1409"/>
    <w:rsid w:val="69624B7D"/>
    <w:rsid w:val="69967C55"/>
    <w:rsid w:val="69A85914"/>
    <w:rsid w:val="69A85C19"/>
    <w:rsid w:val="69B54893"/>
    <w:rsid w:val="69F0666F"/>
    <w:rsid w:val="69FA018D"/>
    <w:rsid w:val="6A25465E"/>
    <w:rsid w:val="6A3133B9"/>
    <w:rsid w:val="6A572716"/>
    <w:rsid w:val="6A87076D"/>
    <w:rsid w:val="6A9454E3"/>
    <w:rsid w:val="6ACE133C"/>
    <w:rsid w:val="6ACF2D0F"/>
    <w:rsid w:val="6AF841C2"/>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5671AA"/>
    <w:rsid w:val="6EF06A3A"/>
    <w:rsid w:val="6F1E4017"/>
    <w:rsid w:val="6F231086"/>
    <w:rsid w:val="6F2C1077"/>
    <w:rsid w:val="6F4412DE"/>
    <w:rsid w:val="6F4A3EE7"/>
    <w:rsid w:val="6FB01FF6"/>
    <w:rsid w:val="6FE27E45"/>
    <w:rsid w:val="702D3037"/>
    <w:rsid w:val="70854008"/>
    <w:rsid w:val="709D7B68"/>
    <w:rsid w:val="70D76F56"/>
    <w:rsid w:val="70EE0B58"/>
    <w:rsid w:val="71662747"/>
    <w:rsid w:val="71F327E9"/>
    <w:rsid w:val="72525910"/>
    <w:rsid w:val="7272141E"/>
    <w:rsid w:val="729A51BF"/>
    <w:rsid w:val="72B463D3"/>
    <w:rsid w:val="72C31F67"/>
    <w:rsid w:val="730B58EC"/>
    <w:rsid w:val="730F2443"/>
    <w:rsid w:val="738A19B2"/>
    <w:rsid w:val="743F0998"/>
    <w:rsid w:val="74460C31"/>
    <w:rsid w:val="745948C9"/>
    <w:rsid w:val="747814E9"/>
    <w:rsid w:val="74782083"/>
    <w:rsid w:val="74864594"/>
    <w:rsid w:val="7499444F"/>
    <w:rsid w:val="74F00783"/>
    <w:rsid w:val="74F21A8E"/>
    <w:rsid w:val="74F62654"/>
    <w:rsid w:val="75092D2E"/>
    <w:rsid w:val="751F35C6"/>
    <w:rsid w:val="75206347"/>
    <w:rsid w:val="752673FA"/>
    <w:rsid w:val="753A3211"/>
    <w:rsid w:val="75445278"/>
    <w:rsid w:val="755743E2"/>
    <w:rsid w:val="755A18B2"/>
    <w:rsid w:val="756D2420"/>
    <w:rsid w:val="75AD064B"/>
    <w:rsid w:val="75AD468E"/>
    <w:rsid w:val="75C114FE"/>
    <w:rsid w:val="75C3529A"/>
    <w:rsid w:val="75D33B60"/>
    <w:rsid w:val="75EB0030"/>
    <w:rsid w:val="767A1884"/>
    <w:rsid w:val="7681376B"/>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BD1BF0"/>
    <w:rsid w:val="78C70562"/>
    <w:rsid w:val="78F24020"/>
    <w:rsid w:val="790D667D"/>
    <w:rsid w:val="792279DB"/>
    <w:rsid w:val="797C1AA1"/>
    <w:rsid w:val="79DA473E"/>
    <w:rsid w:val="7A934CC7"/>
    <w:rsid w:val="7AB93CAD"/>
    <w:rsid w:val="7ADD5745"/>
    <w:rsid w:val="7AFB7263"/>
    <w:rsid w:val="7B062FF2"/>
    <w:rsid w:val="7B06618E"/>
    <w:rsid w:val="7B1E69AF"/>
    <w:rsid w:val="7B4771D3"/>
    <w:rsid w:val="7B4969DA"/>
    <w:rsid w:val="7B4B57FE"/>
    <w:rsid w:val="7B521BB7"/>
    <w:rsid w:val="7B8A7BFE"/>
    <w:rsid w:val="7BBA7BC4"/>
    <w:rsid w:val="7BF444AB"/>
    <w:rsid w:val="7BFE0356"/>
    <w:rsid w:val="7C050FEE"/>
    <w:rsid w:val="7C1F696C"/>
    <w:rsid w:val="7C241FA4"/>
    <w:rsid w:val="7C2F7F24"/>
    <w:rsid w:val="7C4F6127"/>
    <w:rsid w:val="7C557027"/>
    <w:rsid w:val="7C774202"/>
    <w:rsid w:val="7CB763AB"/>
    <w:rsid w:val="7CF32D47"/>
    <w:rsid w:val="7CF47DC4"/>
    <w:rsid w:val="7D14654C"/>
    <w:rsid w:val="7D2D7E4F"/>
    <w:rsid w:val="7D3D1C6F"/>
    <w:rsid w:val="7D703C18"/>
    <w:rsid w:val="7D70416C"/>
    <w:rsid w:val="7D7D2444"/>
    <w:rsid w:val="7DB53173"/>
    <w:rsid w:val="7DBD0485"/>
    <w:rsid w:val="7DC17AA5"/>
    <w:rsid w:val="7DF00948"/>
    <w:rsid w:val="7DF35877"/>
    <w:rsid w:val="7E076D9A"/>
    <w:rsid w:val="7E3760A4"/>
    <w:rsid w:val="7E3F400C"/>
    <w:rsid w:val="7E3F5C67"/>
    <w:rsid w:val="7E485A8B"/>
    <w:rsid w:val="7E710432"/>
    <w:rsid w:val="7E734DC4"/>
    <w:rsid w:val="7E784FFE"/>
    <w:rsid w:val="7E835EDA"/>
    <w:rsid w:val="7F0D36A8"/>
    <w:rsid w:val="7F0D6F9B"/>
    <w:rsid w:val="7F1F2EC8"/>
    <w:rsid w:val="7F267E5E"/>
    <w:rsid w:val="7F511034"/>
    <w:rsid w:val="7F7B44E1"/>
    <w:rsid w:val="7F940460"/>
    <w:rsid w:val="7FB12B06"/>
    <w:rsid w:val="7FC963AF"/>
    <w:rsid w:val="7FD928E9"/>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jc w:val="center"/>
      <w:outlineLvl w:val="0"/>
    </w:pPr>
    <w:rPr>
      <w:b/>
      <w:bCs/>
      <w:kern w:val="0"/>
      <w:sz w:val="24"/>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4"/>
    <w:qFormat/>
    <w:uiPriority w:val="99"/>
    <w:pPr>
      <w:widowControl/>
      <w:ind w:firstLine="420"/>
      <w:jc w:val="left"/>
    </w:pPr>
    <w:rPr>
      <w:kern w:val="0"/>
      <w:sz w:val="20"/>
      <w:szCs w:val="20"/>
    </w:rPr>
  </w:style>
  <w:style w:type="paragraph" w:styleId="14">
    <w:name w:val="Document Map"/>
    <w:basedOn w:val="1"/>
    <w:link w:val="128"/>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0"/>
    <w:unhideWhenUsed/>
    <w:qFormat/>
    <w:uiPriority w:val="99"/>
    <w:pPr>
      <w:jc w:val="left"/>
    </w:pPr>
  </w:style>
  <w:style w:type="paragraph" w:styleId="17">
    <w:name w:val="Salutation"/>
    <w:basedOn w:val="1"/>
    <w:next w:val="1"/>
    <w:link w:val="115"/>
    <w:qFormat/>
    <w:uiPriority w:val="0"/>
    <w:rPr>
      <w:rFonts w:ascii="仿宋_GB2312" w:eastAsia="仿宋_GB2312"/>
      <w:sz w:val="24"/>
    </w:rPr>
  </w:style>
  <w:style w:type="paragraph" w:styleId="18">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8"/>
    <w:qFormat/>
    <w:uiPriority w:val="99"/>
    <w:pPr>
      <w:spacing w:after="120"/>
    </w:pPr>
  </w:style>
  <w:style w:type="paragraph" w:styleId="20">
    <w:name w:val="Body Text Indent"/>
    <w:basedOn w:val="1"/>
    <w:next w:val="1"/>
    <w:link w:val="98"/>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7"/>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0"/>
    <w:qFormat/>
    <w:uiPriority w:val="0"/>
    <w:rPr>
      <w:rFonts w:ascii="Calibri" w:hAnsi="Calibri" w:cs="黑体"/>
      <w:sz w:val="24"/>
      <w:szCs w:val="22"/>
    </w:rPr>
  </w:style>
  <w:style w:type="paragraph" w:styleId="28">
    <w:name w:val="Body Text Indent 2"/>
    <w:basedOn w:val="1"/>
    <w:link w:val="102"/>
    <w:qFormat/>
    <w:uiPriority w:val="0"/>
    <w:pPr>
      <w:spacing w:after="120" w:line="480" w:lineRule="auto"/>
      <w:ind w:left="420" w:leftChars="200"/>
    </w:pPr>
  </w:style>
  <w:style w:type="paragraph" w:styleId="29">
    <w:name w:val="Balloon Text"/>
    <w:basedOn w:val="1"/>
    <w:link w:val="97"/>
    <w:qFormat/>
    <w:uiPriority w:val="0"/>
    <w:rPr>
      <w:rFonts w:ascii="Calibri" w:hAnsi="Calibri" w:cs="黑体"/>
      <w:sz w:val="18"/>
      <w:szCs w:val="18"/>
    </w:rPr>
  </w:style>
  <w:style w:type="paragraph" w:styleId="30">
    <w:name w:val="footer"/>
    <w:basedOn w:val="1"/>
    <w:link w:val="63"/>
    <w:unhideWhenUsed/>
    <w:qFormat/>
    <w:uiPriority w:val="0"/>
    <w:pPr>
      <w:tabs>
        <w:tab w:val="center" w:pos="4153"/>
        <w:tab w:val="right" w:pos="8306"/>
      </w:tabs>
      <w:snapToGrid w:val="0"/>
      <w:jc w:val="left"/>
    </w:pPr>
    <w:rPr>
      <w:sz w:val="18"/>
      <w:szCs w:val="18"/>
    </w:rPr>
  </w:style>
  <w:style w:type="paragraph" w:styleId="3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5"/>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3"/>
    <w:qFormat/>
    <w:uiPriority w:val="0"/>
    <w:pPr>
      <w:spacing w:after="120" w:line="480" w:lineRule="auto"/>
    </w:p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1"/>
    <w:qFormat/>
    <w:uiPriority w:val="0"/>
    <w:pPr>
      <w:spacing w:before="240" w:after="60"/>
      <w:jc w:val="center"/>
      <w:outlineLvl w:val="0"/>
    </w:pPr>
    <w:rPr>
      <w:rFonts w:ascii="Cambria" w:hAnsi="Cambria"/>
      <w:b/>
      <w:sz w:val="32"/>
    </w:rPr>
  </w:style>
  <w:style w:type="paragraph" w:styleId="44">
    <w:name w:val="annotation subject"/>
    <w:basedOn w:val="16"/>
    <w:next w:val="16"/>
    <w:link w:val="87"/>
    <w:qFormat/>
    <w:uiPriority w:val="0"/>
    <w:rPr>
      <w:rFonts w:ascii="Calibri" w:hAnsi="Calibri" w:cs="黑体"/>
      <w:b/>
      <w:bCs/>
    </w:rPr>
  </w:style>
  <w:style w:type="paragraph" w:styleId="45">
    <w:name w:val="Body Text First Indent"/>
    <w:basedOn w:val="19"/>
    <w:link w:val="176"/>
    <w:unhideWhenUsed/>
    <w:qFormat/>
    <w:uiPriority w:val="0"/>
    <w:pPr>
      <w:spacing w:line="500" w:lineRule="exact"/>
      <w:ind w:firstLine="420" w:firstLineChars="200"/>
    </w:pPr>
  </w:style>
  <w:style w:type="paragraph" w:styleId="46">
    <w:name w:val="Body Text First Indent 2"/>
    <w:basedOn w:val="20"/>
    <w:qFormat/>
    <w:uiPriority w:val="99"/>
    <w:pPr>
      <w:ind w:firstLine="420"/>
    </w:pPr>
    <w:rPr>
      <w:rFonts w:ascii="宋体" w:hAnsi="宋体"/>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1"/>
    <w:qFormat/>
    <w:uiPriority w:val="0"/>
    <w:rPr>
      <w:sz w:val="18"/>
      <w:szCs w:val="18"/>
    </w:rPr>
  </w:style>
  <w:style w:type="character" w:customStyle="1" w:styleId="63">
    <w:name w:val="页脚 字符"/>
    <w:basedOn w:val="49"/>
    <w:link w:val="30"/>
    <w:qFormat/>
    <w:uiPriority w:val="0"/>
    <w:rPr>
      <w:sz w:val="18"/>
      <w:szCs w:val="18"/>
    </w:rPr>
  </w:style>
  <w:style w:type="character" w:customStyle="1" w:styleId="64">
    <w:name w:val="标题 1 字符"/>
    <w:basedOn w:val="49"/>
    <w:link w:val="3"/>
    <w:qFormat/>
    <w:uiPriority w:val="0"/>
    <w:rPr>
      <w:rFonts w:ascii="Times New Roman" w:hAnsi="Times New Roman" w:eastAsia="宋体" w:cs="Times New Roman"/>
      <w:b/>
      <w:bCs/>
      <w:kern w:val="0"/>
      <w:sz w:val="24"/>
      <w:szCs w:val="20"/>
    </w:rPr>
  </w:style>
  <w:style w:type="character" w:customStyle="1" w:styleId="65">
    <w:name w:val="标题 2 字符"/>
    <w:basedOn w:val="49"/>
    <w:link w:val="4"/>
    <w:qFormat/>
    <w:uiPriority w:val="0"/>
    <w:rPr>
      <w:rFonts w:ascii="Arial" w:hAnsi="Arial" w:eastAsia="宋体" w:cs="Times New Roman"/>
      <w:b/>
      <w:bCs/>
      <w:kern w:val="0"/>
      <w:sz w:val="24"/>
      <w:szCs w:val="32"/>
    </w:rPr>
  </w:style>
  <w:style w:type="character" w:customStyle="1" w:styleId="66">
    <w:name w:val="标题 3 字符"/>
    <w:basedOn w:val="49"/>
    <w:link w:val="5"/>
    <w:qFormat/>
    <w:uiPriority w:val="0"/>
    <w:rPr>
      <w:rFonts w:ascii="Times New Roman" w:hAnsi="Times New Roman" w:eastAsia="宋体" w:cs="Times New Roman"/>
      <w:b/>
      <w:bCs/>
      <w:kern w:val="0"/>
      <w:sz w:val="32"/>
      <w:szCs w:val="32"/>
    </w:rPr>
  </w:style>
  <w:style w:type="character" w:customStyle="1" w:styleId="67">
    <w:name w:val="标题 4 字符"/>
    <w:basedOn w:val="49"/>
    <w:link w:val="6"/>
    <w:qFormat/>
    <w:uiPriority w:val="0"/>
    <w:rPr>
      <w:rFonts w:ascii="Arial" w:hAnsi="Arial" w:eastAsia="黑体" w:cs="Times New Roman"/>
      <w:b/>
      <w:bCs/>
      <w:kern w:val="0"/>
      <w:sz w:val="28"/>
      <w:szCs w:val="28"/>
    </w:rPr>
  </w:style>
  <w:style w:type="character" w:customStyle="1" w:styleId="68">
    <w:name w:val="标题 5 字符"/>
    <w:basedOn w:val="49"/>
    <w:link w:val="7"/>
    <w:qFormat/>
    <w:uiPriority w:val="0"/>
    <w:rPr>
      <w:rFonts w:ascii="Times New Roman" w:hAnsi="Times New Roman" w:eastAsia="宋体" w:cs="Times New Roman"/>
      <w:b/>
      <w:bCs/>
      <w:kern w:val="0"/>
      <w:sz w:val="28"/>
      <w:szCs w:val="28"/>
    </w:rPr>
  </w:style>
  <w:style w:type="character" w:customStyle="1" w:styleId="69">
    <w:name w:val="标题 6 字符"/>
    <w:basedOn w:val="49"/>
    <w:link w:val="8"/>
    <w:qFormat/>
    <w:uiPriority w:val="0"/>
    <w:rPr>
      <w:rFonts w:ascii="Arial" w:hAnsi="Arial" w:eastAsia="黑体" w:cs="Times New Roman"/>
      <w:b/>
      <w:bCs/>
      <w:kern w:val="0"/>
      <w:sz w:val="24"/>
      <w:szCs w:val="24"/>
    </w:rPr>
  </w:style>
  <w:style w:type="character" w:customStyle="1" w:styleId="70">
    <w:name w:val="标题 7 字符"/>
    <w:basedOn w:val="49"/>
    <w:link w:val="9"/>
    <w:qFormat/>
    <w:uiPriority w:val="0"/>
    <w:rPr>
      <w:rFonts w:ascii="Times New Roman" w:hAnsi="Times New Roman" w:eastAsia="宋体" w:cs="Times New Roman"/>
      <w:b/>
      <w:bCs/>
      <w:kern w:val="0"/>
      <w:sz w:val="24"/>
      <w:szCs w:val="24"/>
    </w:rPr>
  </w:style>
  <w:style w:type="character" w:customStyle="1" w:styleId="71">
    <w:name w:val="标题 8 字符"/>
    <w:basedOn w:val="49"/>
    <w:link w:val="10"/>
    <w:qFormat/>
    <w:uiPriority w:val="0"/>
    <w:rPr>
      <w:rFonts w:ascii="Arial" w:hAnsi="Arial" w:eastAsia="黑体" w:cs="Times New Roman"/>
      <w:kern w:val="0"/>
      <w:sz w:val="24"/>
      <w:szCs w:val="24"/>
    </w:rPr>
  </w:style>
  <w:style w:type="character" w:customStyle="1" w:styleId="72">
    <w:name w:val="标题 9 字符"/>
    <w:basedOn w:val="49"/>
    <w:link w:val="11"/>
    <w:qFormat/>
    <w:uiPriority w:val="0"/>
    <w:rPr>
      <w:rFonts w:ascii="Arial" w:hAnsi="Arial" w:eastAsia="黑体" w:cs="Times New Roman"/>
      <w:kern w:val="0"/>
      <w:sz w:val="20"/>
      <w:szCs w:val="21"/>
    </w:rPr>
  </w:style>
  <w:style w:type="character" w:customStyle="1" w:styleId="73">
    <w:name w:val="正文文本 2 字符"/>
    <w:basedOn w:val="49"/>
    <w:link w:val="39"/>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29"/>
    <w:qFormat/>
    <w:locked/>
    <w:uiPriority w:val="0"/>
    <w:rPr>
      <w:rFonts w:ascii="Calibri" w:hAnsi="Calibri" w:eastAsia="宋体" w:cs="黑体"/>
      <w:sz w:val="18"/>
      <w:szCs w:val="18"/>
    </w:rPr>
  </w:style>
  <w:style w:type="character" w:customStyle="1" w:styleId="98">
    <w:name w:val="正文文本缩进 字符"/>
    <w:basedOn w:val="49"/>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3"/>
    <w:qFormat/>
    <w:uiPriority w:val="0"/>
    <w:rPr>
      <w:rFonts w:ascii="Cambria" w:hAnsi="Cambria" w:eastAsia="宋体" w:cs="Times New Roman"/>
      <w:b/>
      <w:sz w:val="32"/>
      <w:szCs w:val="24"/>
    </w:rPr>
  </w:style>
  <w:style w:type="character" w:customStyle="1" w:styleId="102">
    <w:name w:val="正文文本缩进 2 字符"/>
    <w:basedOn w:val="49"/>
    <w:link w:val="28"/>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5"/>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6"/>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0"/>
    <w:qFormat/>
    <w:uiPriority w:val="0"/>
    <w:rPr>
      <w:rFonts w:ascii="Arial" w:hAnsi="Arial" w:eastAsia="宋体" w:cs="Arial"/>
      <w:kern w:val="0"/>
      <w:sz w:val="24"/>
      <w:szCs w:val="24"/>
    </w:rPr>
  </w:style>
  <w:style w:type="character" w:customStyle="1" w:styleId="115">
    <w:name w:val="称呼 字符"/>
    <w:basedOn w:val="49"/>
    <w:link w:val="17"/>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19"/>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6"/>
    <w:qFormat/>
    <w:uiPriority w:val="0"/>
    <w:rPr>
      <w:rFonts w:ascii="Calibri" w:hAnsi="Calibri" w:eastAsia="宋体" w:cs="黑体"/>
      <w:sz w:val="16"/>
      <w:szCs w:val="16"/>
    </w:rPr>
  </w:style>
  <w:style w:type="character" w:customStyle="1" w:styleId="126">
    <w:name w:val="副标题 字符"/>
    <w:basedOn w:val="49"/>
    <w:link w:val="34"/>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4"/>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7"/>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5"/>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4"/>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3"/>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4"/>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4"/>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51"/>
    <w:basedOn w:val="49"/>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46D4E0-4D09-4150-A3FD-AC3F5F835ACC}">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2324</Words>
  <Characters>13247</Characters>
  <Lines>110</Lines>
  <Paragraphs>31</Paragraphs>
  <TotalTime>7</TotalTime>
  <ScaleCrop>false</ScaleCrop>
  <LinksUpToDate>false</LinksUpToDate>
  <CharactersWithSpaces>15540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Administrator</cp:lastModifiedBy>
  <cp:lastPrinted>2021-11-25T06:54:00Z</cp:lastPrinted>
  <dcterms:modified xsi:type="dcterms:W3CDTF">2021-11-25T07:06:33Z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98586BCB19DB4CE9BA720FEE7BB15296</vt:lpwstr>
  </property>
</Properties>
</file>