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Ansi="宋体" w:cs="宋体"/>
          <w:b/>
          <w:color w:val="auto"/>
          <w:sz w:val="52"/>
          <w:szCs w:val="52"/>
          <w:highlight w:val="none"/>
        </w:rPr>
      </w:pPr>
    </w:p>
    <w:p>
      <w:pPr>
        <w:pStyle w:val="26"/>
        <w:jc w:val="center"/>
        <w:rPr>
          <w:rFonts w:hAnsi="宋体" w:cs="宋体"/>
          <w:b/>
          <w:bCs/>
          <w:color w:val="auto"/>
          <w:sz w:val="52"/>
          <w:szCs w:val="52"/>
          <w:highlight w:val="none"/>
        </w:rPr>
      </w:pPr>
      <w:r>
        <w:rPr>
          <w:rFonts w:hint="eastAsia" w:hAnsi="宋体" w:cs="宋体"/>
          <w:b/>
          <w:color w:val="auto"/>
          <w:sz w:val="52"/>
          <w:szCs w:val="52"/>
          <w:highlight w:val="none"/>
        </w:rPr>
        <w:t>长沙市轨道交通运营有限公司</w:t>
      </w:r>
    </w:p>
    <w:p>
      <w:pPr>
        <w:pStyle w:val="26"/>
        <w:adjustRightInd w:val="0"/>
        <w:snapToGrid w:val="0"/>
        <w:spacing w:line="360" w:lineRule="auto"/>
        <w:jc w:val="center"/>
        <w:rPr>
          <w:rFonts w:hAnsi="宋体" w:cs="宋体"/>
          <w:b/>
          <w:color w:val="auto"/>
          <w:sz w:val="52"/>
          <w:szCs w:val="52"/>
          <w:highlight w:val="none"/>
        </w:rPr>
      </w:pPr>
      <w:r>
        <w:rPr>
          <w:rFonts w:hint="eastAsia" w:hAnsi="宋体" w:cs="宋体"/>
          <w:b/>
          <w:color w:val="auto"/>
          <w:sz w:val="52"/>
          <w:szCs w:val="52"/>
          <w:highlight w:val="none"/>
        </w:rPr>
        <w:t>自主竞争性谈判文件</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color w:val="auto"/>
          <w:sz w:val="32"/>
          <w:szCs w:val="32"/>
          <w:highlight w:val="none"/>
        </w:rPr>
      </w:pPr>
    </w:p>
    <w:p>
      <w:pPr>
        <w:spacing w:line="360" w:lineRule="auto"/>
        <w:ind w:left="2249" w:hanging="2249" w:hangingChars="700"/>
        <w:jc w:val="left"/>
        <w:rPr>
          <w:rFonts w:ascii="宋体" w:hAnsi="宋体" w:cs="Courier New"/>
          <w:b/>
          <w:color w:val="auto"/>
          <w:sz w:val="32"/>
          <w:szCs w:val="21"/>
          <w:highlight w:val="none"/>
          <w:u w:val="single"/>
        </w:rPr>
      </w:pPr>
      <w:r>
        <w:rPr>
          <w:rFonts w:hint="eastAsia" w:ascii="宋体" w:hAnsi="宋体" w:cs="宋体"/>
          <w:b/>
          <w:color w:val="auto"/>
          <w:sz w:val="32"/>
          <w:szCs w:val="21"/>
          <w:highlight w:val="none"/>
        </w:rPr>
        <w:t>谈判项目名称：</w:t>
      </w:r>
      <w:r>
        <w:rPr>
          <w:rFonts w:hint="eastAsia" w:ascii="宋体" w:hAnsi="宋体" w:cs="宋体"/>
          <w:b/>
          <w:color w:val="auto"/>
          <w:sz w:val="32"/>
          <w:szCs w:val="21"/>
          <w:highlight w:val="none"/>
          <w:u w:val="single"/>
        </w:rPr>
        <w:t>长沙市轨道交通2号线运营期大客流车站公共区卫生间提质改造项目</w:t>
      </w:r>
    </w:p>
    <w:p>
      <w:pPr>
        <w:pStyle w:val="2"/>
        <w:rPr>
          <w:color w:val="auto"/>
          <w:highlight w:val="none"/>
        </w:rPr>
      </w:pPr>
    </w:p>
    <w:p>
      <w:pPr>
        <w:pStyle w:val="26"/>
        <w:adjustRightInd w:val="0"/>
        <w:snapToGrid w:val="0"/>
        <w:spacing w:line="360" w:lineRule="auto"/>
        <w:rPr>
          <w:rFonts w:hAnsi="宋体" w:cs="宋体"/>
          <w:b/>
          <w:color w:val="auto"/>
          <w:sz w:val="32"/>
          <w:highlight w:val="none"/>
        </w:rPr>
      </w:pPr>
      <w:r>
        <w:rPr>
          <w:rFonts w:hint="eastAsia" w:hAnsi="宋体" w:cs="宋体"/>
          <w:b/>
          <w:color w:val="auto"/>
          <w:sz w:val="32"/>
          <w:highlight w:val="none"/>
        </w:rPr>
        <w:t>采购单位名称：</w:t>
      </w:r>
      <w:r>
        <w:rPr>
          <w:rFonts w:hint="eastAsia" w:hAnsi="宋体"/>
          <w:b/>
          <w:color w:val="auto"/>
          <w:sz w:val="32"/>
          <w:highlight w:val="none"/>
          <w:u w:val="single"/>
        </w:rPr>
        <w:t>长沙市轨道交通运营有限公司</w:t>
      </w:r>
    </w:p>
    <w:p>
      <w:pPr>
        <w:pStyle w:val="26"/>
        <w:adjustRightInd w:val="0"/>
        <w:snapToGrid w:val="0"/>
        <w:spacing w:line="360" w:lineRule="auto"/>
        <w:ind w:firstLine="643" w:firstLineChars="200"/>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u w:val="single"/>
        </w:rPr>
      </w:pPr>
      <w:r>
        <w:rPr>
          <w:rFonts w:hint="eastAsia" w:hAnsi="宋体" w:cs="宋体"/>
          <w:b/>
          <w:color w:val="auto"/>
          <w:sz w:val="32"/>
          <w:highlight w:val="none"/>
        </w:rPr>
        <w:t>谈判项目编号：</w:t>
      </w:r>
      <w:r>
        <w:rPr>
          <w:rFonts w:hint="eastAsia" w:hAnsi="宋体" w:cs="宋体"/>
          <w:b/>
          <w:color w:val="auto"/>
          <w:sz w:val="32"/>
          <w:highlight w:val="none"/>
          <w:u w:val="single"/>
        </w:rPr>
        <w:t>长轨运工采【2020】005号</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Cs/>
          <w:color w:val="auto"/>
          <w:sz w:val="32"/>
          <w:highlight w:val="none"/>
        </w:rPr>
      </w:pPr>
    </w:p>
    <w:p>
      <w:pPr>
        <w:pStyle w:val="26"/>
        <w:adjustRightInd w:val="0"/>
        <w:snapToGrid w:val="0"/>
        <w:spacing w:line="360" w:lineRule="auto"/>
        <w:rPr>
          <w:rFonts w:hAnsi="宋体" w:cs="宋体"/>
          <w:bCs/>
          <w:color w:val="auto"/>
          <w:sz w:val="32"/>
          <w:highlight w:val="none"/>
        </w:rPr>
      </w:pPr>
    </w:p>
    <w:p>
      <w:pPr>
        <w:pStyle w:val="26"/>
        <w:adjustRightInd w:val="0"/>
        <w:snapToGrid w:val="0"/>
        <w:spacing w:line="360" w:lineRule="auto"/>
        <w:jc w:val="center"/>
        <w:rPr>
          <w:rFonts w:hAnsi="宋体" w:cs="宋体"/>
          <w:bCs/>
          <w:color w:val="auto"/>
          <w:sz w:val="32"/>
          <w:highlight w:val="none"/>
        </w:rPr>
      </w:pPr>
      <w:r>
        <w:rPr>
          <w:rFonts w:hint="eastAsia" w:hAnsi="宋体" w:cs="宋体"/>
          <w:b/>
          <w:color w:val="auto"/>
          <w:sz w:val="32"/>
          <w:highlight w:val="none"/>
        </w:rPr>
        <w:t>二〇二一年一月</w:t>
      </w:r>
    </w:p>
    <w:p>
      <w:pPr>
        <w:pStyle w:val="26"/>
        <w:adjustRightInd w:val="0"/>
        <w:snapToGrid w:val="0"/>
        <w:spacing w:line="360" w:lineRule="auto"/>
        <w:jc w:val="center"/>
        <w:rPr>
          <w:rFonts w:hAnsi="宋体" w:cs="宋体"/>
          <w:b/>
          <w:color w:val="auto"/>
          <w:sz w:val="32"/>
          <w:highlight w:val="none"/>
        </w:rPr>
      </w:pPr>
    </w:p>
    <w:p>
      <w:pPr>
        <w:pStyle w:val="26"/>
        <w:adjustRightInd w:val="0"/>
        <w:snapToGrid w:val="0"/>
        <w:spacing w:line="360" w:lineRule="auto"/>
        <w:jc w:val="center"/>
        <w:rPr>
          <w:rFonts w:hAnsi="宋体" w:cs="宋体"/>
          <w:b/>
          <w:color w:val="auto"/>
          <w:sz w:val="32"/>
          <w:highlight w:val="none"/>
        </w:rPr>
        <w:sectPr>
          <w:pgSz w:w="11906" w:h="16838"/>
          <w:pgMar w:top="1191" w:right="1417" w:bottom="1191" w:left="1191" w:header="851" w:footer="850" w:gutter="0"/>
          <w:pgNumType w:start="0"/>
          <w:cols w:space="0" w:num="1"/>
          <w:docGrid w:linePitch="312" w:charSpace="0"/>
        </w:sectPr>
      </w:pPr>
    </w:p>
    <w:p>
      <w:pPr>
        <w:jc w:val="center"/>
        <w:rPr>
          <w:rFonts w:ascii="宋体" w:hAnsi="宋体" w:cs="宋体"/>
          <w:b/>
          <w:bCs/>
          <w:color w:val="auto"/>
          <w:sz w:val="32"/>
          <w:szCs w:val="32"/>
          <w:highlight w:val="none"/>
        </w:rPr>
      </w:pPr>
      <w:bookmarkStart w:id="0" w:name="_Toc14891064"/>
      <w:r>
        <w:rPr>
          <w:rFonts w:hint="eastAsia" w:ascii="宋体" w:hAnsi="宋体" w:cs="宋体"/>
          <w:b/>
          <w:bCs/>
          <w:color w:val="auto"/>
          <w:sz w:val="32"/>
          <w:szCs w:val="32"/>
          <w:highlight w:val="none"/>
        </w:rPr>
        <w:t>目   录</w:t>
      </w:r>
    </w:p>
    <w:p>
      <w:pPr>
        <w:spacing w:line="360" w:lineRule="auto"/>
        <w:jc w:val="center"/>
        <w:rPr>
          <w:rFonts w:ascii="宋体" w:hAnsi="宋体" w:cs="宋体"/>
          <w:b/>
          <w:bCs/>
          <w:color w:val="auto"/>
          <w:szCs w:val="21"/>
          <w:highlight w:val="none"/>
        </w:rPr>
      </w:pPr>
    </w:p>
    <w:p>
      <w:pPr>
        <w:pStyle w:val="3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_Toc31327 </w:instrText>
      </w:r>
      <w:r>
        <w:rPr>
          <w:rFonts w:hint="eastAsia" w:ascii="宋体" w:hAnsi="宋体" w:eastAsia="宋体" w:cs="宋体"/>
          <w:highlight w:val="none"/>
        </w:rPr>
        <w:fldChar w:fldCharType="separate"/>
      </w:r>
      <w:r>
        <w:rPr>
          <w:rFonts w:hint="eastAsia" w:ascii="宋体" w:hAnsi="宋体" w:eastAsia="宋体" w:cs="宋体"/>
          <w:szCs w:val="32"/>
          <w:highlight w:val="none"/>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_Toc31327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_Toc20371 </w:instrText>
      </w:r>
      <w:r>
        <w:rPr>
          <w:rFonts w:hint="eastAsia" w:ascii="宋体" w:hAnsi="宋体" w:eastAsia="宋体" w:cs="宋体"/>
          <w:highlight w:val="none"/>
        </w:rPr>
        <w:fldChar w:fldCharType="separate"/>
      </w:r>
      <w:r>
        <w:rPr>
          <w:rFonts w:hint="eastAsia" w:ascii="宋体" w:hAnsi="宋体" w:eastAsia="宋体" w:cs="宋体"/>
          <w:szCs w:val="32"/>
          <w:highlight w:val="none"/>
        </w:rPr>
        <w:t>第二章  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_Toc20371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_Toc17952 </w:instrText>
      </w:r>
      <w:r>
        <w:rPr>
          <w:rFonts w:hint="eastAsia" w:ascii="宋体" w:hAnsi="宋体" w:eastAsia="宋体" w:cs="宋体"/>
          <w:highlight w:val="none"/>
        </w:rPr>
        <w:fldChar w:fldCharType="separate"/>
      </w:r>
      <w:r>
        <w:rPr>
          <w:rFonts w:hint="eastAsia" w:ascii="宋体" w:hAnsi="宋体" w:eastAsia="宋体" w:cs="宋体"/>
          <w:szCs w:val="32"/>
          <w:highlight w:val="none"/>
        </w:rPr>
        <w:t>谈判须知前附表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_Toc17952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_Toc8877 </w:instrText>
      </w:r>
      <w:r>
        <w:rPr>
          <w:rFonts w:hint="eastAsia" w:ascii="宋体" w:hAnsi="宋体" w:eastAsia="宋体" w:cs="宋体"/>
          <w:highlight w:val="none"/>
        </w:rPr>
        <w:fldChar w:fldCharType="separate"/>
      </w:r>
      <w:r>
        <w:rPr>
          <w:rFonts w:hint="eastAsia" w:ascii="宋体" w:hAnsi="宋体" w:eastAsia="宋体" w:cs="宋体"/>
          <w:szCs w:val="32"/>
          <w:highlight w:val="none"/>
        </w:rPr>
        <w:t>谈判须知正文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_Toc8877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_Toc9304 </w:instrText>
      </w:r>
      <w:r>
        <w:rPr>
          <w:rFonts w:hint="eastAsia" w:ascii="宋体" w:hAnsi="宋体" w:eastAsia="宋体" w:cs="宋体"/>
          <w:highlight w:val="none"/>
        </w:rPr>
        <w:fldChar w:fldCharType="separate"/>
      </w:r>
      <w:r>
        <w:rPr>
          <w:rFonts w:hint="eastAsia" w:ascii="宋体" w:hAnsi="宋体" w:eastAsia="宋体" w:cs="宋体"/>
          <w:szCs w:val="21"/>
          <w:highlight w:val="none"/>
        </w:rPr>
        <w:t>一、说明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_Toc9304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_Toc4500 </w:instrText>
      </w:r>
      <w:r>
        <w:rPr>
          <w:rFonts w:hint="eastAsia" w:ascii="宋体" w:hAnsi="宋体" w:eastAsia="宋体" w:cs="宋体"/>
          <w:highlight w:val="none"/>
        </w:rPr>
        <w:fldChar w:fldCharType="separate"/>
      </w:r>
      <w:r>
        <w:rPr>
          <w:rFonts w:hint="eastAsia" w:ascii="宋体" w:hAnsi="宋体" w:eastAsia="宋体" w:cs="宋体"/>
          <w:szCs w:val="21"/>
          <w:highlight w:val="none"/>
        </w:rPr>
        <w:t>二、谈判文件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_Toc4500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_Toc22314 </w:instrText>
      </w:r>
      <w:r>
        <w:rPr>
          <w:rFonts w:hint="eastAsia" w:ascii="宋体" w:hAnsi="宋体" w:eastAsia="宋体" w:cs="宋体"/>
          <w:highlight w:val="none"/>
        </w:rPr>
        <w:fldChar w:fldCharType="separate"/>
      </w:r>
      <w:r>
        <w:rPr>
          <w:rFonts w:hint="eastAsia" w:ascii="宋体" w:hAnsi="宋体" w:eastAsia="宋体" w:cs="宋体"/>
          <w:szCs w:val="21"/>
          <w:highlight w:val="none"/>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_Toc22314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_Toc7569 </w:instrText>
      </w:r>
      <w:r>
        <w:rPr>
          <w:rFonts w:hint="eastAsia" w:ascii="宋体" w:hAnsi="宋体" w:eastAsia="宋体" w:cs="宋体"/>
          <w:highlight w:val="none"/>
        </w:rPr>
        <w:fldChar w:fldCharType="separate"/>
      </w:r>
      <w:r>
        <w:rPr>
          <w:rFonts w:hint="eastAsia" w:ascii="宋体" w:hAnsi="宋体" w:eastAsia="宋体" w:cs="宋体"/>
          <w:szCs w:val="21"/>
          <w:highlight w:val="none"/>
        </w:rPr>
        <w:t>四、响应文件的递交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_Toc7569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_Toc3350 </w:instrText>
      </w:r>
      <w:r>
        <w:rPr>
          <w:rFonts w:hint="eastAsia" w:ascii="宋体" w:hAnsi="宋体" w:eastAsia="宋体" w:cs="宋体"/>
          <w:highlight w:val="none"/>
        </w:rPr>
        <w:fldChar w:fldCharType="separate"/>
      </w:r>
      <w:r>
        <w:rPr>
          <w:rFonts w:hint="eastAsia" w:ascii="宋体" w:hAnsi="宋体" w:eastAsia="宋体" w:cs="宋体"/>
          <w:szCs w:val="21"/>
          <w:highlight w:val="none"/>
        </w:rPr>
        <w:t>五、响应文件的评审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_Toc3350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_Toc24783 </w:instrText>
      </w:r>
      <w:r>
        <w:rPr>
          <w:rFonts w:hint="eastAsia" w:ascii="宋体" w:hAnsi="宋体" w:eastAsia="宋体" w:cs="宋体"/>
          <w:highlight w:val="none"/>
        </w:rPr>
        <w:fldChar w:fldCharType="separate"/>
      </w:r>
      <w:r>
        <w:rPr>
          <w:rFonts w:hint="eastAsia" w:ascii="宋体" w:hAnsi="宋体" w:eastAsia="宋体" w:cs="宋体"/>
          <w:szCs w:val="21"/>
          <w:highlight w:val="none"/>
        </w:rPr>
        <w:t>六、响应文件的澄清、说明及补正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_Toc24783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_Toc32635 </w:instrText>
      </w:r>
      <w:r>
        <w:rPr>
          <w:rFonts w:hint="eastAsia" w:ascii="宋体" w:hAnsi="宋体" w:eastAsia="宋体" w:cs="宋体"/>
          <w:highlight w:val="none"/>
        </w:rPr>
        <w:fldChar w:fldCharType="separate"/>
      </w:r>
      <w:r>
        <w:rPr>
          <w:rFonts w:hint="eastAsia" w:ascii="宋体" w:hAnsi="宋体" w:eastAsia="宋体" w:cs="宋体"/>
          <w:szCs w:val="21"/>
          <w:highlight w:val="none"/>
        </w:rPr>
        <w:t>七、中选结果与授予合同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_Toc32635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_Toc5089 </w:instrText>
      </w:r>
      <w:r>
        <w:rPr>
          <w:rFonts w:hint="eastAsia" w:ascii="宋体" w:hAnsi="宋体" w:eastAsia="宋体" w:cs="宋体"/>
          <w:highlight w:val="none"/>
        </w:rPr>
        <w:fldChar w:fldCharType="separate"/>
      </w:r>
      <w:r>
        <w:rPr>
          <w:rFonts w:hint="eastAsia" w:ascii="宋体" w:hAnsi="宋体" w:eastAsia="宋体" w:cs="宋体"/>
          <w:szCs w:val="21"/>
          <w:highlight w:val="none"/>
        </w:rPr>
        <w:t>八、其他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_Toc5089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_Toc2972 </w:instrText>
      </w:r>
      <w:r>
        <w:rPr>
          <w:rFonts w:hint="eastAsia" w:ascii="宋体" w:hAnsi="宋体" w:eastAsia="宋体" w:cs="宋体"/>
          <w:highlight w:val="none"/>
        </w:rPr>
        <w:fldChar w:fldCharType="separate"/>
      </w:r>
      <w:r>
        <w:rPr>
          <w:rFonts w:hint="eastAsia" w:ascii="宋体" w:hAnsi="宋体" w:eastAsia="宋体" w:cs="宋体"/>
          <w:szCs w:val="32"/>
          <w:highlight w:val="none"/>
        </w:rPr>
        <w:t>第三章  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_Toc2972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_Toc13076 </w:instrText>
      </w:r>
      <w:r>
        <w:rPr>
          <w:rFonts w:hint="eastAsia" w:ascii="宋体" w:hAnsi="宋体" w:eastAsia="宋体" w:cs="宋体"/>
          <w:highlight w:val="none"/>
        </w:rPr>
        <w:fldChar w:fldCharType="separate"/>
      </w:r>
      <w:r>
        <w:rPr>
          <w:rFonts w:hint="eastAsia" w:ascii="宋体" w:hAnsi="宋体" w:eastAsia="宋体" w:cs="宋体"/>
          <w:szCs w:val="32"/>
          <w:highlight w:val="none"/>
        </w:rPr>
        <w:t>第四章  用户需求书（另册）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_Toc13076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_Toc18526 </w:instrText>
      </w:r>
      <w:r>
        <w:rPr>
          <w:rFonts w:hint="eastAsia" w:ascii="宋体" w:hAnsi="宋体" w:eastAsia="宋体" w:cs="宋体"/>
          <w:highlight w:val="none"/>
        </w:rPr>
        <w:fldChar w:fldCharType="separate"/>
      </w:r>
      <w:r>
        <w:rPr>
          <w:rFonts w:hint="eastAsia" w:ascii="宋体" w:hAnsi="宋体" w:eastAsia="宋体" w:cs="宋体"/>
          <w:szCs w:val="32"/>
          <w:highlight w:val="none"/>
        </w:rPr>
        <w:t>第五章  最高限价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_Toc18526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_Toc32348 </w:instrText>
      </w:r>
      <w:r>
        <w:rPr>
          <w:rFonts w:hint="eastAsia" w:ascii="宋体" w:hAnsi="宋体" w:eastAsia="宋体" w:cs="宋体"/>
          <w:highlight w:val="none"/>
        </w:rPr>
        <w:fldChar w:fldCharType="separate"/>
      </w:r>
      <w:r>
        <w:rPr>
          <w:rFonts w:hint="eastAsia" w:ascii="宋体" w:hAnsi="宋体" w:eastAsia="宋体" w:cs="宋体"/>
          <w:szCs w:val="32"/>
          <w:highlight w:val="none"/>
        </w:rPr>
        <w:t>第六章  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_Toc32348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_Toc877 </w:instrText>
      </w:r>
      <w:r>
        <w:rPr>
          <w:rFonts w:hint="eastAsia" w:ascii="宋体" w:hAnsi="宋体" w:eastAsia="宋体" w:cs="宋体"/>
          <w:highlight w:val="none"/>
        </w:rPr>
        <w:fldChar w:fldCharType="separate"/>
      </w:r>
      <w:r>
        <w:rPr>
          <w:rFonts w:hint="eastAsia" w:ascii="宋体" w:hAnsi="宋体" w:eastAsia="宋体" w:cs="宋体"/>
          <w:szCs w:val="32"/>
          <w:highlight w:val="none"/>
        </w:rPr>
        <w:t>第七章  响应文件组成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_Toc877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_Toc22863 </w:instrText>
      </w:r>
      <w:r>
        <w:rPr>
          <w:rFonts w:hint="eastAsia" w:ascii="宋体" w:hAnsi="宋体" w:eastAsia="宋体" w:cs="宋体"/>
          <w:highlight w:val="none"/>
        </w:rPr>
        <w:fldChar w:fldCharType="separate"/>
      </w:r>
      <w:r>
        <w:rPr>
          <w:rFonts w:hint="eastAsia" w:ascii="宋体" w:hAnsi="宋体" w:eastAsia="宋体" w:cs="宋体"/>
          <w:szCs w:val="32"/>
          <w:highlight w:val="none"/>
        </w:rPr>
        <w:t>一、谈判承诺书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_Toc22863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_Toc19034 </w:instrText>
      </w:r>
      <w:r>
        <w:rPr>
          <w:rFonts w:hint="eastAsia" w:ascii="宋体" w:hAnsi="宋体" w:eastAsia="宋体" w:cs="宋体"/>
          <w:highlight w:val="none"/>
        </w:rPr>
        <w:fldChar w:fldCharType="separate"/>
      </w:r>
      <w:r>
        <w:rPr>
          <w:rFonts w:hint="eastAsia" w:ascii="宋体" w:hAnsi="宋体" w:eastAsia="宋体" w:cs="宋体"/>
          <w:szCs w:val="32"/>
          <w:highlight w:val="none"/>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_Toc19034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_Toc337 </w:instrText>
      </w:r>
      <w:r>
        <w:rPr>
          <w:rFonts w:hint="eastAsia" w:ascii="宋体" w:hAnsi="宋体" w:eastAsia="宋体" w:cs="宋体"/>
          <w:highlight w:val="none"/>
        </w:rPr>
        <w:fldChar w:fldCharType="separate"/>
      </w:r>
      <w:r>
        <w:rPr>
          <w:rFonts w:hint="eastAsia" w:ascii="宋体" w:hAnsi="宋体" w:eastAsia="宋体" w:cs="宋体"/>
          <w:szCs w:val="32"/>
          <w:highlight w:val="none"/>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_Toc337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_Toc22266 </w:instrText>
      </w:r>
      <w:r>
        <w:rPr>
          <w:rFonts w:hint="eastAsia" w:ascii="宋体" w:hAnsi="宋体" w:eastAsia="宋体" w:cs="宋体"/>
          <w:highlight w:val="none"/>
        </w:rPr>
        <w:fldChar w:fldCharType="separate"/>
      </w:r>
      <w:r>
        <w:rPr>
          <w:rFonts w:hint="eastAsia" w:ascii="宋体" w:hAnsi="宋体" w:eastAsia="宋体" w:cs="宋体"/>
          <w:szCs w:val="32"/>
          <w:highlight w:val="none"/>
        </w:rPr>
        <w:t>四、谈判单位资格条件证明文件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_Toc22266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_Toc14114 </w:instrText>
      </w:r>
      <w:r>
        <w:rPr>
          <w:rFonts w:hint="eastAsia" w:ascii="宋体" w:hAnsi="宋体" w:eastAsia="宋体" w:cs="宋体"/>
          <w:highlight w:val="none"/>
        </w:rPr>
        <w:fldChar w:fldCharType="separate"/>
      </w:r>
      <w:r>
        <w:rPr>
          <w:rFonts w:hint="eastAsia" w:ascii="宋体" w:hAnsi="宋体" w:eastAsia="宋体" w:cs="宋体"/>
          <w:szCs w:val="32"/>
          <w:highlight w:val="none"/>
        </w:rPr>
        <w:t>五、不拖欠农民工工资承诺书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_Toc14114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_Toc3298 </w:instrText>
      </w:r>
      <w:r>
        <w:rPr>
          <w:rFonts w:hint="eastAsia" w:ascii="宋体" w:hAnsi="宋体" w:eastAsia="宋体" w:cs="宋体"/>
          <w:highlight w:val="none"/>
        </w:rPr>
        <w:fldChar w:fldCharType="separate"/>
      </w:r>
      <w:r>
        <w:rPr>
          <w:rFonts w:hint="eastAsia" w:ascii="宋体" w:hAnsi="宋体" w:eastAsia="宋体" w:cs="宋体"/>
          <w:szCs w:val="32"/>
          <w:highlight w:val="none"/>
        </w:rPr>
        <w:t>六、报价一览表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_Toc3298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_Toc13673 </w:instrText>
      </w:r>
      <w:r>
        <w:rPr>
          <w:rFonts w:hint="eastAsia" w:ascii="宋体" w:hAnsi="宋体" w:eastAsia="宋体" w:cs="宋体"/>
          <w:highlight w:val="none"/>
        </w:rPr>
        <w:fldChar w:fldCharType="separate"/>
      </w:r>
      <w:r>
        <w:rPr>
          <w:rFonts w:hint="eastAsia" w:ascii="宋体" w:hAnsi="宋体" w:eastAsia="宋体" w:cs="宋体"/>
          <w:szCs w:val="32"/>
          <w:highlight w:val="none"/>
        </w:rPr>
        <w:t>七、报价汇总表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_Toc13673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_Toc22832 </w:instrText>
      </w:r>
      <w:r>
        <w:rPr>
          <w:rFonts w:hint="eastAsia" w:ascii="宋体" w:hAnsi="宋体" w:eastAsia="宋体" w:cs="宋体"/>
          <w:highlight w:val="none"/>
        </w:rPr>
        <w:fldChar w:fldCharType="separate"/>
      </w:r>
      <w:r>
        <w:rPr>
          <w:rFonts w:hint="eastAsia" w:ascii="宋体" w:hAnsi="宋体" w:eastAsia="宋体" w:cs="宋体"/>
          <w:szCs w:val="32"/>
          <w:highlight w:val="none"/>
        </w:rPr>
        <w:t>八、投标报价表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_Toc22832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38"/>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_Toc1465 </w:instrText>
      </w:r>
      <w:r>
        <w:rPr>
          <w:rFonts w:hint="eastAsia" w:ascii="宋体" w:hAnsi="宋体" w:eastAsia="宋体" w:cs="宋体"/>
          <w:highlight w:val="none"/>
        </w:rPr>
        <w:fldChar w:fldCharType="separate"/>
      </w:r>
      <w:r>
        <w:rPr>
          <w:rFonts w:hint="eastAsia" w:ascii="宋体" w:hAnsi="宋体" w:eastAsia="宋体" w:cs="宋体"/>
          <w:szCs w:val="32"/>
          <w:highlight w:val="none"/>
        </w:rPr>
        <w:t>九、其他资料（如有）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_Toc1465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highlight w:val="none"/>
        </w:rPr>
      </w:pPr>
      <w:r>
        <w:rPr>
          <w:rFonts w:hint="eastAsia" w:ascii="宋体" w:hAnsi="宋体" w:eastAsia="宋体" w:cs="宋体"/>
          <w:color w:val="auto"/>
          <w:highlight w:val="none"/>
        </w:rPr>
        <w:fldChar w:fldCharType="end"/>
      </w:r>
    </w:p>
    <w:p>
      <w:pPr>
        <w:pStyle w:val="4"/>
        <w:keepNext w:val="0"/>
        <w:rPr>
          <w:rFonts w:ascii="宋体" w:hAnsi="宋体" w:cs="宋体"/>
          <w:color w:val="auto"/>
          <w:sz w:val="32"/>
          <w:szCs w:val="32"/>
          <w:highlight w:val="none"/>
        </w:rPr>
        <w:sectPr>
          <w:footerReference r:id="rId3" w:type="default"/>
          <w:pgSz w:w="11906" w:h="16838"/>
          <w:pgMar w:top="1191" w:right="1417" w:bottom="1191" w:left="1191" w:header="851" w:footer="850" w:gutter="0"/>
          <w:pgNumType w:fmt="decimal" w:start="1"/>
          <w:cols w:space="0" w:num="1"/>
          <w:docGrid w:linePitch="312" w:charSpace="0"/>
        </w:sectPr>
      </w:pPr>
      <w:bookmarkStart w:id="1" w:name="_Toc29614"/>
      <w:bookmarkStart w:id="2" w:name="_Toc5016"/>
    </w:p>
    <w:p>
      <w:pPr>
        <w:pStyle w:val="4"/>
        <w:keepNext w:val="0"/>
        <w:spacing w:line="360" w:lineRule="auto"/>
        <w:rPr>
          <w:rFonts w:ascii="宋体" w:hAnsi="宋体" w:cs="宋体"/>
          <w:color w:val="auto"/>
          <w:sz w:val="32"/>
          <w:szCs w:val="32"/>
          <w:highlight w:val="none"/>
        </w:rPr>
      </w:pPr>
      <w:bookmarkStart w:id="3" w:name="_Toc31327"/>
      <w:bookmarkStart w:id="4" w:name="_Toc13376"/>
      <w:r>
        <w:rPr>
          <w:rFonts w:hint="eastAsia" w:ascii="宋体" w:hAnsi="宋体" w:cs="宋体"/>
          <w:color w:val="auto"/>
          <w:sz w:val="32"/>
          <w:szCs w:val="32"/>
          <w:highlight w:val="none"/>
        </w:rPr>
        <w:t>第一章  谈判邀请公告</w:t>
      </w:r>
      <w:bookmarkEnd w:id="0"/>
      <w:bookmarkEnd w:id="1"/>
      <w:bookmarkEnd w:id="2"/>
      <w:bookmarkEnd w:id="3"/>
      <w:bookmarkEnd w:id="4"/>
    </w:p>
    <w:p>
      <w:pPr>
        <w:pStyle w:val="4"/>
        <w:keepNext w:val="0"/>
        <w:spacing w:line="360" w:lineRule="auto"/>
        <w:rPr>
          <w:rFonts w:hint="eastAsia" w:hAnsi="宋体" w:cs="宋体"/>
          <w:bCs/>
          <w:iCs/>
          <w:color w:val="auto"/>
          <w:highlight w:val="none"/>
          <w:u w:val="single"/>
        </w:rPr>
      </w:pPr>
      <w:bookmarkStart w:id="5" w:name="_Toc5145"/>
      <w:bookmarkStart w:id="6" w:name="_Toc6753"/>
      <w:bookmarkStart w:id="7" w:name="_Toc8914"/>
      <w:bookmarkStart w:id="8" w:name="_Toc14891065"/>
      <w:r>
        <w:rPr>
          <w:rFonts w:hint="eastAsia" w:ascii="宋体" w:hAnsi="宋体" w:cs="宋体"/>
          <w:color w:val="auto"/>
          <w:sz w:val="30"/>
          <w:szCs w:val="30"/>
          <w:highlight w:val="none"/>
        </w:rPr>
        <w:t>造项目谈判邀请公告</w:t>
      </w:r>
    </w:p>
    <w:p>
      <w:pPr>
        <w:pStyle w:val="26"/>
        <w:adjustRightInd w:val="0"/>
        <w:snapToGrid w:val="0"/>
        <w:spacing w:line="360" w:lineRule="auto"/>
        <w:ind w:firstLine="420" w:firstLineChars="200"/>
        <w:rPr>
          <w:rFonts w:hAnsi="宋体" w:cs="宋体"/>
          <w:iCs/>
          <w:color w:val="auto"/>
          <w:highlight w:val="none"/>
        </w:rPr>
      </w:pPr>
      <w:r>
        <w:rPr>
          <w:rFonts w:hint="eastAsia" w:hAnsi="宋体" w:cs="宋体"/>
          <w:bCs/>
          <w:iCs/>
          <w:color w:val="auto"/>
          <w:highlight w:val="none"/>
          <w:u w:val="single"/>
        </w:rPr>
        <w:t>湖南新泉工程造价咨询有限公司</w:t>
      </w:r>
      <w:r>
        <w:rPr>
          <w:rFonts w:hint="eastAsia" w:hAnsi="宋体" w:cs="宋体"/>
          <w:color w:val="auto"/>
          <w:highlight w:val="none"/>
        </w:rPr>
        <w:t>受</w:t>
      </w:r>
      <w:r>
        <w:rPr>
          <w:rFonts w:hint="eastAsia" w:hAnsi="宋体" w:cs="宋体"/>
          <w:color w:val="auto"/>
          <w:highlight w:val="none"/>
          <w:u w:val="single"/>
        </w:rPr>
        <w:t>长沙市轨道交通运营有限公司</w:t>
      </w:r>
      <w:r>
        <w:rPr>
          <w:rFonts w:hint="eastAsia" w:hAnsi="宋体" w:cs="宋体"/>
          <w:color w:val="auto"/>
          <w:highlight w:val="none"/>
        </w:rPr>
        <w:t>的委托，</w:t>
      </w:r>
      <w:r>
        <w:rPr>
          <w:rFonts w:hint="eastAsia" w:hAnsi="宋体" w:cs="宋体"/>
          <w:iCs/>
          <w:color w:val="auto"/>
          <w:highlight w:val="none"/>
        </w:rPr>
        <w:t>对</w:t>
      </w:r>
      <w:r>
        <w:rPr>
          <w:rFonts w:hint="eastAsia" w:hAnsi="宋体" w:cs="宋体"/>
          <w:color w:val="auto"/>
          <w:highlight w:val="none"/>
          <w:u w:val="single"/>
        </w:rPr>
        <w:t>长沙市轨道交通2号线运营期大客流车站公共区卫生间提质改造项目</w:t>
      </w:r>
      <w:r>
        <w:rPr>
          <w:rFonts w:hint="eastAsia" w:hAnsi="宋体" w:cs="宋体"/>
          <w:iCs/>
          <w:color w:val="auto"/>
          <w:highlight w:val="none"/>
        </w:rPr>
        <w:t>进行自主竞争性谈判采购，现发布公告，邀请符合条件的单位参与谈判采购活动。</w:t>
      </w:r>
    </w:p>
    <w:p>
      <w:pPr>
        <w:pStyle w:val="26"/>
        <w:adjustRightInd w:val="0"/>
        <w:snapToGrid w:val="0"/>
        <w:spacing w:line="360" w:lineRule="auto"/>
        <w:ind w:firstLine="422" w:firstLineChars="200"/>
        <w:rPr>
          <w:rFonts w:hAnsi="宋体" w:cs="宋体"/>
          <w:b/>
          <w:iCs/>
          <w:color w:val="auto"/>
          <w:highlight w:val="none"/>
        </w:rPr>
      </w:pPr>
      <w:r>
        <w:rPr>
          <w:rFonts w:hint="eastAsia" w:hAnsi="宋体" w:cs="宋体"/>
          <w:b/>
          <w:iCs/>
          <w:color w:val="auto"/>
          <w:highlight w:val="none"/>
        </w:rPr>
        <w:t>一、项目概况</w:t>
      </w:r>
    </w:p>
    <w:p>
      <w:pPr>
        <w:pStyle w:val="26"/>
        <w:adjustRightInd w:val="0"/>
        <w:snapToGrid w:val="0"/>
        <w:spacing w:line="360" w:lineRule="auto"/>
        <w:ind w:firstLine="420" w:firstLineChars="200"/>
        <w:rPr>
          <w:rFonts w:hAnsi="宋体" w:cs="宋体"/>
          <w:b/>
          <w:iCs/>
          <w:color w:val="auto"/>
          <w:highlight w:val="none"/>
        </w:rPr>
      </w:pPr>
      <w:r>
        <w:rPr>
          <w:rFonts w:hint="eastAsia" w:hAnsi="宋体" w:cs="宋体"/>
          <w:iCs/>
          <w:color w:val="auto"/>
          <w:highlight w:val="none"/>
        </w:rPr>
        <w:t>1.项目名称:</w:t>
      </w:r>
      <w:r>
        <w:rPr>
          <w:rFonts w:hint="eastAsia"/>
          <w:color w:val="auto"/>
          <w:highlight w:val="none"/>
        </w:rPr>
        <w:t xml:space="preserve"> </w:t>
      </w:r>
      <w:r>
        <w:rPr>
          <w:rFonts w:hint="eastAsia" w:hAnsi="宋体" w:cs="宋体"/>
          <w:color w:val="auto"/>
          <w:highlight w:val="none"/>
        </w:rPr>
        <w:t>长沙市轨道交通2号线运营期大客流车站公共区卫生间提质改造项目</w:t>
      </w:r>
    </w:p>
    <w:p>
      <w:pPr>
        <w:pStyle w:val="26"/>
        <w:adjustRightInd w:val="0"/>
        <w:snapToGrid w:val="0"/>
        <w:spacing w:line="360" w:lineRule="auto"/>
        <w:ind w:firstLine="420" w:firstLineChars="200"/>
        <w:rPr>
          <w:rFonts w:hAnsi="宋体" w:cs="宋体"/>
          <w:iCs/>
          <w:color w:val="auto"/>
          <w:highlight w:val="none"/>
        </w:rPr>
      </w:pPr>
      <w:r>
        <w:rPr>
          <w:rFonts w:hint="eastAsia" w:hAnsi="宋体" w:cs="宋体"/>
          <w:iCs/>
          <w:color w:val="auto"/>
          <w:highlight w:val="none"/>
        </w:rPr>
        <w:t>2.最高限价:</w:t>
      </w:r>
      <w:r>
        <w:rPr>
          <w:rFonts w:hint="eastAsia" w:hAnsi="宋体" w:cs="宋体"/>
          <w:bCs/>
          <w:color w:val="auto"/>
          <w:highlight w:val="none"/>
        </w:rPr>
        <w:t xml:space="preserve"> </w:t>
      </w:r>
      <w:r>
        <w:rPr>
          <w:rFonts w:hAnsi="宋体" w:cs="宋体"/>
          <w:bCs/>
          <w:color w:val="auto"/>
          <w:highlight w:val="none"/>
        </w:rPr>
        <w:t>622062.67</w:t>
      </w:r>
      <w:r>
        <w:rPr>
          <w:rFonts w:hint="eastAsia" w:hAnsi="宋体" w:cs="Times New Roman"/>
          <w:iCs/>
          <w:color w:val="auto"/>
          <w:szCs w:val="24"/>
          <w:highlight w:val="none"/>
        </w:rPr>
        <w:t>元</w:t>
      </w:r>
    </w:p>
    <w:p>
      <w:pPr>
        <w:snapToGrid w:val="0"/>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3.</w:t>
      </w:r>
      <w:r>
        <w:rPr>
          <w:rFonts w:hint="eastAsia" w:ascii="宋体" w:hAnsi="宋体" w:cs="宋体"/>
          <w:bCs/>
          <w:color w:val="auto"/>
          <w:szCs w:val="21"/>
          <w:highlight w:val="none"/>
        </w:rPr>
        <w:t>标段划分：共划分</w:t>
      </w:r>
      <w:r>
        <w:rPr>
          <w:rFonts w:hint="eastAsia" w:ascii="宋体" w:hAnsi="宋体" w:cs="宋体"/>
          <w:color w:val="auto"/>
          <w:szCs w:val="21"/>
          <w:highlight w:val="none"/>
        </w:rPr>
        <w:t>1个标段。</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4.质保期：</w:t>
      </w:r>
      <w:r>
        <w:rPr>
          <w:rFonts w:hint="eastAsia" w:ascii="宋体" w:hAnsi="宋体" w:cs="宋体"/>
          <w:color w:val="auto"/>
          <w:szCs w:val="21"/>
          <w:highlight w:val="none"/>
        </w:rPr>
        <w:t>项目通过竣工验收并交付使用，视作进入质保期，质保期为24个月。如质保期内出现重大质量缺陷，质保期从该质量缺陷修复后起重新计算。重大质量缺陷的认定依照国家、省、市相关规定执行。（具体详见用户需求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5.施工工期：</w:t>
      </w:r>
      <w:r>
        <w:rPr>
          <w:rFonts w:hint="eastAsia" w:ascii="宋体" w:hAnsi="宋体" w:cs="宋体"/>
          <w:color w:val="auto"/>
          <w:szCs w:val="21"/>
          <w:highlight w:val="none"/>
        </w:rPr>
        <w:t>本项目施工工期为</w:t>
      </w:r>
      <w:r>
        <w:rPr>
          <w:rFonts w:hint="eastAsia" w:ascii="宋体" w:hAnsi="宋体" w:cs="宋体"/>
          <w:bCs/>
          <w:color w:val="auto"/>
          <w:szCs w:val="21"/>
          <w:highlight w:val="none"/>
        </w:rPr>
        <w:t>35</w:t>
      </w:r>
      <w:r>
        <w:rPr>
          <w:rFonts w:hint="eastAsia" w:ascii="宋体" w:hAnsi="宋体" w:cs="宋体"/>
          <w:color w:val="auto"/>
          <w:szCs w:val="21"/>
          <w:highlight w:val="none"/>
        </w:rPr>
        <w:t>天内完成此项目所有施工，具备验收条件。（实际施工工期以采购单位发出的开工通知起算，总计35天）（具体详见用户需求书）</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iCs/>
          <w:color w:val="auto"/>
          <w:szCs w:val="21"/>
          <w:highlight w:val="none"/>
        </w:rPr>
        <w:t>采购范围：</w:t>
      </w:r>
      <w:r>
        <w:rPr>
          <w:rFonts w:hint="eastAsia" w:ascii="宋体" w:hAnsi="宋体" w:cs="宋体"/>
          <w:color w:val="auto"/>
          <w:szCs w:val="21"/>
          <w:highlight w:val="none"/>
        </w:rPr>
        <w:t>本项目主要为</w:t>
      </w:r>
      <w:r>
        <w:rPr>
          <w:rFonts w:hint="eastAsia" w:ascii="宋体" w:hAnsi="宋体" w:cs="仿宋_GB2312"/>
          <w:color w:val="auto"/>
          <w:highlight w:val="none"/>
          <w:shd w:val="clear" w:color="050000" w:fill="auto"/>
        </w:rPr>
        <w:t>长沙市轨道交通2号线长沙火车南站、万家丽广场站、五一广场站、橘子洲站、</w:t>
      </w:r>
      <w:r>
        <w:rPr>
          <w:rFonts w:hint="eastAsia" w:ascii="宋体" w:hAnsi="宋体" w:cs="微软雅黑"/>
          <w:color w:val="auto"/>
          <w:highlight w:val="none"/>
          <w:shd w:val="clear" w:color="050000" w:fill="auto"/>
        </w:rPr>
        <w:t>溁</w:t>
      </w:r>
      <w:r>
        <w:rPr>
          <w:rFonts w:hint="eastAsia" w:ascii="宋体" w:hAnsi="宋体" w:cs="仿宋_GB2312"/>
          <w:color w:val="auto"/>
          <w:highlight w:val="none"/>
          <w:shd w:val="clear" w:color="050000" w:fill="auto"/>
        </w:rPr>
        <w:t>湾镇站、望城坡（汽车</w:t>
      </w:r>
      <w:r>
        <w:rPr>
          <w:rFonts w:ascii="宋体" w:hAnsi="宋体" w:cs="仿宋_GB2312"/>
          <w:color w:val="auto"/>
          <w:highlight w:val="none"/>
          <w:shd w:val="clear" w:color="050000" w:fill="auto"/>
        </w:rPr>
        <w:t>西站）</w:t>
      </w:r>
      <w:r>
        <w:rPr>
          <w:rFonts w:ascii="宋体" w:hAnsi="宋体" w:cs="仿宋_GB2312"/>
          <w:bCs/>
          <w:color w:val="auto"/>
          <w:highlight w:val="none"/>
        </w:rPr>
        <w:t>共计</w:t>
      </w:r>
      <w:r>
        <w:rPr>
          <w:rFonts w:hint="eastAsia" w:ascii="宋体" w:hAnsi="宋体" w:cs="仿宋_GB2312"/>
          <w:bCs/>
          <w:color w:val="auto"/>
          <w:highlight w:val="none"/>
        </w:rPr>
        <w:t>6个</w:t>
      </w:r>
      <w:r>
        <w:rPr>
          <w:rFonts w:ascii="宋体" w:hAnsi="宋体" w:cs="仿宋_GB2312"/>
          <w:bCs/>
          <w:color w:val="auto"/>
          <w:highlight w:val="none"/>
        </w:rPr>
        <w:t>大客流车站</w:t>
      </w:r>
      <w:r>
        <w:rPr>
          <w:rFonts w:hint="eastAsia" w:ascii="宋体" w:hAnsi="宋体" w:cs="仿宋_GB2312"/>
          <w:color w:val="auto"/>
          <w:highlight w:val="none"/>
          <w:shd w:val="clear" w:color="050000" w:fill="auto"/>
        </w:rPr>
        <w:t>公共区卫生间改造。</w:t>
      </w:r>
      <w:r>
        <w:rPr>
          <w:rFonts w:hint="eastAsia" w:ascii="宋体" w:hAnsi="宋体" w:cs="宋体"/>
          <w:color w:val="auto"/>
          <w:szCs w:val="21"/>
          <w:highlight w:val="none"/>
        </w:rPr>
        <w:t>（具体详见用户需求书）</w:t>
      </w:r>
    </w:p>
    <w:p>
      <w:pPr>
        <w:snapToGrid w:val="0"/>
        <w:spacing w:line="360" w:lineRule="auto"/>
        <w:ind w:firstLine="422" w:firstLineChars="200"/>
        <w:rPr>
          <w:rFonts w:hAnsi="宋体" w:cs="宋体"/>
          <w:b/>
          <w:iCs/>
          <w:color w:val="auto"/>
          <w:highlight w:val="none"/>
        </w:rPr>
      </w:pPr>
      <w:r>
        <w:rPr>
          <w:rFonts w:hint="eastAsia" w:hAnsi="宋体" w:cs="宋体"/>
          <w:b/>
          <w:iCs/>
          <w:color w:val="auto"/>
          <w:highlight w:val="none"/>
        </w:rPr>
        <w:t>二、资格要求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谈判单位须为具有独立法人资格、自主经营、独立核算的公司。</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谈判单位须具有建筑工程施工总承包三级（含）以上或建筑装修装饰工程专业承包二级（含）以上或建筑机电安装工程专业承包三级（含）以上资质，须具有有效的施工企业《安全生产许可证》。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3.本项目现场施工部关键岗位人员最低配备按《湖南省建设工程施工项目部和现场监理部关键岗位人员配备管理办法》湘建建〔2015〕57号文执行，详见附表。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4.湖南省外企业须按照湘建建【2015】190号文件要求办理省外入湘企业基本情况登记（以“湖南省住房和城乡建设网”查询为准）或具有入湘施工登记证（处于有效期内）。</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5.本次谈判不接受联合体形式参与谈判。</w:t>
      </w:r>
    </w:p>
    <w:p>
      <w:pPr>
        <w:pStyle w:val="2"/>
        <w:spacing w:after="0" w:line="360" w:lineRule="auto"/>
        <w:rPr>
          <w:rFonts w:ascii="宋体" w:hAnsi="宋体" w:cs="宋体"/>
          <w:color w:val="auto"/>
          <w:szCs w:val="21"/>
          <w:highlight w:val="none"/>
        </w:rPr>
      </w:pPr>
      <w:r>
        <w:rPr>
          <w:rFonts w:hint="eastAsia" w:ascii="宋体" w:hAnsi="宋体" w:cs="宋体"/>
          <w:color w:val="auto"/>
          <w:szCs w:val="21"/>
          <w:highlight w:val="none"/>
        </w:rPr>
        <w:t>6.被长沙市轨道交通集团函告禁止在一定期限内参与轨道公司项目投标或谈判的单位按函告内容执行。</w:t>
      </w:r>
    </w:p>
    <w:p>
      <w:pPr>
        <w:spacing w:line="360" w:lineRule="auto"/>
        <w:ind w:firstLine="422" w:firstLineChars="200"/>
        <w:rPr>
          <w:rFonts w:ascii="宋体" w:hAnsi="宋体" w:cs="宋体"/>
          <w:b/>
          <w:bCs/>
          <w:iCs/>
          <w:color w:val="auto"/>
          <w:szCs w:val="21"/>
          <w:highlight w:val="none"/>
        </w:rPr>
      </w:pPr>
      <w:r>
        <w:rPr>
          <w:rFonts w:hint="eastAsia" w:ascii="宋体" w:hAnsi="宋体" w:cs="宋体"/>
          <w:b/>
          <w:bCs/>
          <w:color w:val="auto"/>
          <w:szCs w:val="21"/>
          <w:highlight w:val="none"/>
        </w:rPr>
        <w:t>三、</w:t>
      </w:r>
      <w:r>
        <w:rPr>
          <w:rFonts w:hint="eastAsia" w:ascii="宋体" w:hAnsi="宋体" w:cs="宋体"/>
          <w:b/>
          <w:bCs/>
          <w:iCs/>
          <w:color w:val="auto"/>
          <w:szCs w:val="21"/>
          <w:highlight w:val="none"/>
        </w:rPr>
        <w:t>评审办法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iCs/>
          <w:color w:val="auto"/>
          <w:szCs w:val="21"/>
          <w:highlight w:val="none"/>
        </w:rPr>
        <w:t>本项目评审办法采用</w:t>
      </w:r>
      <w:r>
        <w:rPr>
          <w:rFonts w:hint="eastAsia" w:ascii="宋体" w:hAnsi="宋体" w:cs="宋体"/>
          <w:bCs/>
          <w:color w:val="auto"/>
          <w:szCs w:val="21"/>
          <w:highlight w:val="none"/>
        </w:rPr>
        <w:t>经符合性审查合格后的最低价法。</w:t>
      </w:r>
    </w:p>
    <w:p>
      <w:pPr>
        <w:tabs>
          <w:tab w:val="left" w:pos="1629"/>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四、自主竞争性谈判文件的获取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凡有意参加谈判的单位，请于本公告发布之日起登录长沙市轨道交通集团有限公司官方网站</w:t>
      </w:r>
      <w:r>
        <w:rPr>
          <w:rFonts w:hint="eastAsia" w:ascii="宋体" w:hAnsi="宋体" w:cs="宋体"/>
          <w:color w:val="auto"/>
          <w:kern w:val="0"/>
          <w:szCs w:val="21"/>
          <w:highlight w:val="none"/>
        </w:rPr>
        <w:t>（http://www.hncsmtr.com/）</w:t>
      </w:r>
      <w:r>
        <w:rPr>
          <w:rFonts w:hint="eastAsia" w:ascii="宋体" w:hAnsi="宋体" w:cs="宋体"/>
          <w:color w:val="auto"/>
          <w:szCs w:val="21"/>
          <w:highlight w:val="none"/>
        </w:rPr>
        <w:t>获取自主竞争性谈判文件。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w:t>
      </w:r>
      <w:r>
        <w:rPr>
          <w:rFonts w:hint="eastAsia" w:ascii="宋体" w:hAnsi="宋体" w:cs="宋体"/>
          <w:b/>
          <w:bCs/>
          <w:iCs/>
          <w:color w:val="auto"/>
          <w:szCs w:val="21"/>
          <w:highlight w:val="none"/>
        </w:rPr>
        <w:t>谈判文件的</w:t>
      </w:r>
      <w:r>
        <w:rPr>
          <w:rFonts w:hint="eastAsia" w:ascii="宋体" w:hAnsi="宋体" w:cs="宋体"/>
          <w:b/>
          <w:bCs/>
          <w:color w:val="auto"/>
          <w:szCs w:val="21"/>
          <w:highlight w:val="none"/>
        </w:rPr>
        <w:t>澄清与答疑</w:t>
      </w:r>
    </w:p>
    <w:p>
      <w:pPr>
        <w:spacing w:line="360" w:lineRule="auto"/>
        <w:ind w:firstLine="420" w:firstLineChars="200"/>
        <w:rPr>
          <w:rFonts w:ascii="宋体" w:hAnsi="宋体" w:cs="宋体"/>
          <w:iCs/>
          <w:color w:val="auto"/>
          <w:szCs w:val="21"/>
          <w:highlight w:val="none"/>
        </w:rPr>
      </w:pPr>
      <w:r>
        <w:rPr>
          <w:rFonts w:hint="eastAsia" w:ascii="宋体" w:hAnsi="宋体" w:cs="宋体"/>
          <w:color w:val="auto"/>
          <w:szCs w:val="21"/>
          <w:highlight w:val="none"/>
        </w:rPr>
        <w:t>1.</w:t>
      </w:r>
      <w:r>
        <w:rPr>
          <w:rFonts w:hint="eastAsia" w:ascii="宋体" w:hAnsi="宋体" w:cs="宋体"/>
          <w:iCs/>
          <w:color w:val="auto"/>
          <w:szCs w:val="21"/>
          <w:highlight w:val="none"/>
        </w:rPr>
        <w:t>本项目不组织答疑会和现场踏勘。</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2.谈判单位若对谈判文件有任何疑问，</w:t>
      </w:r>
      <w:r>
        <w:rPr>
          <w:rFonts w:hint="eastAsia" w:ascii="宋体" w:hAnsi="宋体" w:cs="宋体"/>
          <w:color w:val="auto"/>
          <w:szCs w:val="21"/>
          <w:highlight w:val="none"/>
        </w:rPr>
        <w:t>应于</w:t>
      </w:r>
      <w:r>
        <w:rPr>
          <w:rFonts w:hint="eastAsia" w:ascii="宋体" w:hAnsi="宋体" w:cs="宋体"/>
          <w:color w:val="auto"/>
          <w:szCs w:val="21"/>
          <w:highlight w:val="none"/>
          <w:u w:val="none"/>
        </w:rPr>
        <w:t xml:space="preserve">2021年 1 月 </w:t>
      </w:r>
      <w:r>
        <w:rPr>
          <w:rFonts w:hint="eastAsia" w:ascii="宋体" w:hAnsi="宋体" w:cs="宋体"/>
          <w:color w:val="auto"/>
          <w:szCs w:val="21"/>
          <w:highlight w:val="none"/>
          <w:u w:val="none"/>
          <w:lang w:val="en-US" w:eastAsia="zh-CN"/>
        </w:rPr>
        <w:t>18</w:t>
      </w:r>
      <w:r>
        <w:rPr>
          <w:rFonts w:hint="eastAsia" w:ascii="宋体" w:hAnsi="宋体" w:cs="宋体"/>
          <w:color w:val="auto"/>
          <w:szCs w:val="21"/>
          <w:highlight w:val="none"/>
          <w:u w:val="none"/>
        </w:rPr>
        <w:t xml:space="preserve"> 日</w:t>
      </w:r>
      <w:r>
        <w:rPr>
          <w:rFonts w:hint="eastAsia" w:ascii="宋体" w:hAnsi="宋体" w:cs="宋体"/>
          <w:iCs/>
          <w:color w:val="auto"/>
          <w:szCs w:val="21"/>
          <w:highlight w:val="none"/>
          <w:u w:val="none"/>
        </w:rPr>
        <w:t>17：00时</w:t>
      </w:r>
      <w:r>
        <w:rPr>
          <w:rFonts w:hint="eastAsia" w:ascii="宋体" w:hAnsi="宋体" w:cs="宋体"/>
          <w:iCs/>
          <w:color w:val="auto"/>
          <w:szCs w:val="21"/>
          <w:highlight w:val="none"/>
        </w:rPr>
        <w:t>（含）前（节假日除外）以书面形式（经法定代表人签字或盖章，并加盖单位公章）递交至采购代理机构。</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color w:val="auto"/>
          <w:kern w:val="0"/>
          <w:szCs w:val="21"/>
          <w:highlight w:val="none"/>
        </w:rPr>
      </w:pPr>
      <w:r>
        <w:rPr>
          <w:rFonts w:hint="eastAsia" w:ascii="宋体" w:hAnsi="宋体" w:cs="宋体"/>
          <w:iCs/>
          <w:color w:val="auto"/>
          <w:szCs w:val="21"/>
          <w:highlight w:val="none"/>
        </w:rPr>
        <w:t>4.</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宋体" w:hAnsi="宋体" w:cs="宋体"/>
          <w:b/>
          <w:bCs/>
          <w:iCs/>
          <w:color w:val="auto"/>
          <w:szCs w:val="21"/>
          <w:highlight w:val="none"/>
        </w:rPr>
      </w:pPr>
      <w:r>
        <w:rPr>
          <w:rFonts w:hint="eastAsia" w:ascii="宋体" w:hAnsi="宋体" w:cs="宋体"/>
          <w:b/>
          <w:bCs/>
          <w:color w:val="auto"/>
          <w:kern w:val="0"/>
          <w:szCs w:val="21"/>
          <w:highlight w:val="none"/>
        </w:rPr>
        <w:t>六、</w:t>
      </w:r>
      <w:r>
        <w:rPr>
          <w:rFonts w:hint="eastAsia" w:ascii="宋体" w:hAnsi="宋体" w:cs="宋体"/>
          <w:b/>
          <w:bCs/>
          <w:iCs/>
          <w:color w:val="auto"/>
          <w:szCs w:val="21"/>
          <w:highlight w:val="none"/>
        </w:rPr>
        <w:t>响应文件的递交</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1.响应文件递交的截止时间及谈判时间为</w:t>
      </w:r>
      <w:r>
        <w:rPr>
          <w:rFonts w:hint="eastAsia" w:ascii="宋体" w:hAnsi="宋体" w:cs="宋体"/>
          <w:color w:val="auto"/>
          <w:szCs w:val="21"/>
          <w:highlight w:val="none"/>
        </w:rPr>
        <w:t xml:space="preserve">2021年 1 月 </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 xml:space="preserve"> 日</w:t>
      </w:r>
      <w:r>
        <w:rPr>
          <w:rFonts w:hint="eastAsia" w:ascii="宋体" w:hAnsi="宋体" w:cs="宋体"/>
          <w:bCs/>
          <w:color w:val="auto"/>
          <w:szCs w:val="21"/>
          <w:highlight w:val="none"/>
        </w:rPr>
        <w:t xml:space="preserve"> 14 时 30 分，地点为</w:t>
      </w:r>
      <w:r>
        <w:rPr>
          <w:rFonts w:hint="eastAsia" w:ascii="宋体" w:hAnsi="宋体" w:cs="宋体"/>
          <w:color w:val="auto"/>
          <w:szCs w:val="21"/>
          <w:highlight w:val="none"/>
        </w:rPr>
        <w:t>长沙市劳动东路二段48号长沙市轨道交通运营有限公司综合楼910室。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2.逾期送达的或者未送达指定地点的或者未密封的响应文件，采购单位或采购代理机构将予以</w:t>
      </w:r>
      <w:r>
        <w:rPr>
          <w:rFonts w:hint="eastAsia" w:ascii="宋体" w:hAnsi="宋体" w:cs="宋体"/>
          <w:b/>
          <w:bCs/>
          <w:color w:val="auto"/>
          <w:szCs w:val="21"/>
          <w:highlight w:val="none"/>
        </w:rPr>
        <w:t>拒收</w:t>
      </w:r>
      <w:r>
        <w:rPr>
          <w:rFonts w:hint="eastAsia" w:ascii="宋体" w:hAnsi="宋体" w:cs="宋体"/>
          <w:color w:val="auto"/>
          <w:szCs w:val="21"/>
          <w:highlight w:val="none"/>
        </w:rPr>
        <w:t>。</w:t>
      </w:r>
    </w:p>
    <w:p>
      <w:pPr>
        <w:spacing w:line="360" w:lineRule="auto"/>
        <w:ind w:firstLine="422" w:firstLineChars="200"/>
        <w:rPr>
          <w:rFonts w:ascii="宋体" w:hAnsi="宋体" w:cs="宋体"/>
          <w:b/>
          <w:color w:val="auto"/>
          <w:szCs w:val="21"/>
          <w:highlight w:val="none"/>
        </w:rPr>
      </w:pPr>
      <w:r>
        <w:rPr>
          <w:rFonts w:hint="eastAsia" w:ascii="宋体" w:hAnsi="宋体" w:cs="宋体"/>
          <w:b/>
          <w:iCs/>
          <w:color w:val="auto"/>
          <w:szCs w:val="21"/>
          <w:highlight w:val="none"/>
        </w:rPr>
        <w:t>七、采购单位及其委托的采购代理机构的名称、地址和联系方式</w:t>
      </w:r>
    </w:p>
    <w:p>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bCs/>
          <w:color w:val="auto"/>
          <w:szCs w:val="21"/>
          <w:highlight w:val="none"/>
        </w:rPr>
        <w:t>采购单位：</w:t>
      </w:r>
      <w:r>
        <w:rPr>
          <w:rFonts w:hint="eastAsia" w:ascii="宋体" w:hAnsi="宋体"/>
          <w:iCs/>
          <w:color w:val="auto"/>
          <w:highlight w:val="none"/>
        </w:rPr>
        <w:t>长沙市轨道交通运营有限公司</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地  址：长沙市劳动东路二段48号长沙市轨道交通运营有限公司综合楼910室。</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联系人：沈工</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电  话：</w:t>
      </w:r>
      <w:r>
        <w:rPr>
          <w:rFonts w:hint="eastAsia" w:ascii="宋体" w:hAnsi="宋体" w:cs="宋体"/>
          <w:color w:val="auto"/>
          <w:szCs w:val="21"/>
          <w:highlight w:val="none"/>
        </w:rPr>
        <w:t>0731-</w:t>
      </w:r>
      <w:r>
        <w:rPr>
          <w:rFonts w:hint="eastAsia" w:ascii="宋体" w:hAnsi="宋体" w:cs="宋体"/>
          <w:bCs/>
          <w:color w:val="auto"/>
          <w:szCs w:val="21"/>
          <w:highlight w:val="none"/>
        </w:rPr>
        <w:t>8685</w:t>
      </w:r>
      <w:r>
        <w:rPr>
          <w:rFonts w:ascii="宋体" w:hAnsi="宋体" w:cs="宋体"/>
          <w:bCs/>
          <w:color w:val="auto"/>
          <w:szCs w:val="21"/>
          <w:highlight w:val="none"/>
        </w:rPr>
        <w:t>2373</w:t>
      </w:r>
      <w:bookmarkStart w:id="157" w:name="_GoBack"/>
      <w:bookmarkEnd w:id="157"/>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监督举报电话：</w:t>
      </w:r>
      <w:r>
        <w:rPr>
          <w:rFonts w:hint="eastAsia" w:ascii="宋体" w:hAnsi="宋体" w:cs="宋体"/>
          <w:color w:val="auto"/>
          <w:szCs w:val="21"/>
          <w:highlight w:val="none"/>
        </w:rPr>
        <w:t>0731-86852247</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联系人：文工</w:t>
      </w:r>
    </w:p>
    <w:p>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采购代理机构：</w:t>
      </w:r>
      <w:r>
        <w:rPr>
          <w:rFonts w:hint="eastAsia" w:ascii="宋体" w:hAnsi="宋体" w:cs="宋体"/>
          <w:b/>
          <w:bCs/>
          <w:iCs/>
          <w:color w:val="auto"/>
          <w:szCs w:val="21"/>
          <w:highlight w:val="none"/>
        </w:rPr>
        <w:t>湖南新泉工程造价咨询有限公司</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联系电话：0731-85410207</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联系人：何女士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地址：长沙市芙蓉中路三段420号华升大厦1518房         </w:t>
      </w:r>
    </w:p>
    <w:p>
      <w:pPr>
        <w:spacing w:after="120"/>
        <w:ind w:firstLine="210" w:firstLineChars="100"/>
        <w:rPr>
          <w:color w:val="auto"/>
          <w:highlight w:val="none"/>
        </w:rPr>
      </w:pPr>
    </w:p>
    <w:p>
      <w:pPr>
        <w:wordWrap w:val="0"/>
        <w:adjustRightInd w:val="0"/>
        <w:snapToGrid w:val="0"/>
        <w:spacing w:line="360" w:lineRule="auto"/>
        <w:ind w:firstLine="4401" w:firstLineChars="2096"/>
        <w:jc w:val="right"/>
        <w:rPr>
          <w:rFonts w:ascii="宋体" w:hAnsi="宋体" w:cs="宋体"/>
          <w:color w:val="auto"/>
          <w:szCs w:val="21"/>
          <w:highlight w:val="none"/>
        </w:rPr>
      </w:pPr>
      <w:r>
        <w:rPr>
          <w:rFonts w:hint="eastAsia" w:ascii="宋体" w:hAnsi="宋体" w:cs="宋体"/>
          <w:color w:val="auto"/>
          <w:szCs w:val="21"/>
          <w:highlight w:val="none"/>
        </w:rPr>
        <w:t>2021年1月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p>
    <w:p>
      <w:pPr>
        <w:wordWrap w:val="0"/>
        <w:adjustRightInd w:val="0"/>
        <w:snapToGrid w:val="0"/>
        <w:spacing w:line="360" w:lineRule="auto"/>
        <w:ind w:firstLine="4401" w:firstLineChars="2096"/>
        <w:jc w:val="right"/>
        <w:rPr>
          <w:rFonts w:ascii="宋体" w:hAnsi="宋体" w:cs="宋体"/>
          <w:color w:val="auto"/>
          <w:szCs w:val="21"/>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400" w:lineRule="atLeast"/>
        <w:jc w:val="left"/>
        <w:rPr>
          <w:color w:val="auto"/>
          <w:highlight w:val="none"/>
        </w:rPr>
      </w:pPr>
    </w:p>
    <w:p>
      <w:pPr>
        <w:adjustRightInd w:val="0"/>
        <w:snapToGrid w:val="0"/>
        <w:spacing w:line="400" w:lineRule="atLeast"/>
        <w:jc w:val="left"/>
        <w:rPr>
          <w:rFonts w:ascii="宋体" w:hAnsi="宋体" w:cs="宋体"/>
          <w:bCs/>
          <w:color w:val="auto"/>
          <w:szCs w:val="21"/>
          <w:highlight w:val="none"/>
        </w:rPr>
      </w:pPr>
      <w:r>
        <w:rPr>
          <w:rFonts w:hint="eastAsia" w:ascii="宋体" w:hAnsi="宋体" w:cs="宋体"/>
          <w:bCs/>
          <w:color w:val="auto"/>
          <w:szCs w:val="21"/>
          <w:highlight w:val="none"/>
        </w:rPr>
        <w:t>附表：</w:t>
      </w:r>
    </w:p>
    <w:p>
      <w:pPr>
        <w:adjustRightInd w:val="0"/>
        <w:snapToGrid w:val="0"/>
        <w:spacing w:line="400" w:lineRule="atLeast"/>
        <w:jc w:val="center"/>
        <w:rPr>
          <w:rFonts w:ascii="宋体" w:hAnsi="宋体" w:cs="宋体"/>
          <w:bCs/>
          <w:color w:val="auto"/>
          <w:szCs w:val="21"/>
          <w:highlight w:val="none"/>
        </w:rPr>
      </w:pPr>
      <w:r>
        <w:rPr>
          <w:rFonts w:hint="eastAsia" w:ascii="宋体" w:hAnsi="宋体" w:cs="宋体"/>
          <w:bCs/>
          <w:color w:val="auto"/>
          <w:szCs w:val="21"/>
          <w:highlight w:val="none"/>
        </w:rPr>
        <w:t>关键岗位人员最低配备要求表</w:t>
      </w:r>
    </w:p>
    <w:tbl>
      <w:tblPr>
        <w:tblStyle w:val="46"/>
        <w:tblpPr w:leftFromText="180" w:rightFromText="180" w:vertAnchor="text" w:horzAnchor="page" w:tblpX="1789" w:tblpY="413"/>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9"/>
        <w:gridCol w:w="60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2469"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关键岗位人员最低配备要求</w:t>
            </w:r>
          </w:p>
        </w:tc>
        <w:tc>
          <w:tcPr>
            <w:tcW w:w="6053"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其他要求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9" w:hRule="atLeast"/>
        </w:trPr>
        <w:tc>
          <w:tcPr>
            <w:tcW w:w="2469" w:type="dxa"/>
            <w:vAlign w:val="center"/>
          </w:tcPr>
          <w:p>
            <w:pPr>
              <w:ind w:right="101" w:rightChars="48" w:firstLine="315" w:firstLineChars="150"/>
              <w:jc w:val="left"/>
              <w:rPr>
                <w:rFonts w:ascii="宋体" w:hAnsi="宋体" w:cs="宋体"/>
                <w:color w:val="auto"/>
                <w:szCs w:val="21"/>
                <w:highlight w:val="none"/>
              </w:rPr>
            </w:pPr>
            <w:r>
              <w:rPr>
                <w:rFonts w:hint="eastAsia" w:ascii="宋体" w:hAnsi="宋体" w:cs="宋体"/>
                <w:color w:val="auto"/>
                <w:szCs w:val="21"/>
                <w:highlight w:val="none"/>
              </w:rPr>
              <w:t>现场施工部关键岗位人员按湘建建【2015】57号文最低配备如下：</w:t>
            </w:r>
          </w:p>
          <w:p>
            <w:pPr>
              <w:ind w:right="101" w:rightChars="48" w:firstLine="315" w:firstLineChars="150"/>
              <w:jc w:val="left"/>
              <w:rPr>
                <w:rFonts w:ascii="宋体" w:hAnsi="宋体" w:cs="宋体"/>
                <w:color w:val="auto"/>
                <w:szCs w:val="21"/>
                <w:highlight w:val="none"/>
              </w:rPr>
            </w:pPr>
            <w:r>
              <w:rPr>
                <w:rFonts w:hint="eastAsia" w:ascii="宋体" w:hAnsi="宋体" w:cs="宋体"/>
                <w:color w:val="auto"/>
                <w:szCs w:val="21"/>
                <w:highlight w:val="none"/>
              </w:rPr>
              <w:t>项目负责人1人、</w:t>
            </w:r>
          </w:p>
          <w:p>
            <w:pPr>
              <w:ind w:right="101" w:rightChars="48"/>
              <w:jc w:val="left"/>
              <w:rPr>
                <w:rFonts w:ascii="宋体" w:hAnsi="宋体" w:cs="宋体"/>
                <w:color w:val="auto"/>
                <w:szCs w:val="21"/>
                <w:highlight w:val="none"/>
              </w:rPr>
            </w:pPr>
            <w:r>
              <w:rPr>
                <w:rFonts w:hint="eastAsia" w:ascii="宋体" w:hAnsi="宋体" w:cs="宋体"/>
                <w:color w:val="auto"/>
                <w:szCs w:val="21"/>
                <w:highlight w:val="none"/>
              </w:rPr>
              <w:t>施工员1人、安全员1人</w:t>
            </w:r>
          </w:p>
        </w:tc>
        <w:tc>
          <w:tcPr>
            <w:tcW w:w="6053" w:type="dxa"/>
            <w:vAlign w:val="center"/>
          </w:tcPr>
          <w:p>
            <w:pPr>
              <w:widowControl/>
              <w:spacing w:line="375" w:lineRule="atLeast"/>
              <w:rPr>
                <w:rFonts w:ascii="宋体" w:hAnsi="宋体" w:cs="宋体"/>
                <w:color w:val="auto"/>
                <w:kern w:val="0"/>
                <w:szCs w:val="21"/>
                <w:highlight w:val="none"/>
              </w:rPr>
            </w:pPr>
            <w:r>
              <w:rPr>
                <w:rFonts w:hint="eastAsia" w:ascii="宋体" w:hAnsi="宋体" w:cs="宋体"/>
                <w:bCs/>
                <w:iCs/>
                <w:color w:val="auto"/>
                <w:szCs w:val="21"/>
                <w:highlight w:val="none"/>
              </w:rPr>
              <w:t>拟任项目负责人应附注册建造师证、B类安全生产考核合格证；</w:t>
            </w:r>
          </w:p>
          <w:p>
            <w:pPr>
              <w:ind w:right="101" w:rightChars="48"/>
              <w:jc w:val="left"/>
              <w:rPr>
                <w:rFonts w:ascii="宋体" w:hAnsi="宋体" w:cs="宋体"/>
                <w:color w:val="auto"/>
                <w:szCs w:val="21"/>
                <w:highlight w:val="none"/>
              </w:rPr>
            </w:pPr>
            <w:r>
              <w:rPr>
                <w:rFonts w:hint="eastAsia" w:ascii="宋体" w:hAnsi="宋体" w:cs="宋体"/>
                <w:color w:val="auto"/>
                <w:szCs w:val="21"/>
                <w:highlight w:val="none"/>
              </w:rPr>
              <w:t>安全员应附</w:t>
            </w:r>
            <w:bookmarkStart w:id="9" w:name="OLE_LINK25"/>
            <w:r>
              <w:rPr>
                <w:rFonts w:hint="eastAsia" w:ascii="宋体" w:hAnsi="宋体" w:cs="宋体"/>
                <w:color w:val="auto"/>
                <w:szCs w:val="21"/>
                <w:highlight w:val="none"/>
              </w:rPr>
              <w:t>C类安全生产考核合格</w:t>
            </w:r>
            <w:bookmarkEnd w:id="9"/>
            <w:r>
              <w:rPr>
                <w:rFonts w:hint="eastAsia" w:ascii="宋体" w:hAnsi="宋体" w:cs="宋体"/>
                <w:color w:val="auto"/>
                <w:szCs w:val="21"/>
                <w:highlight w:val="none"/>
              </w:rPr>
              <w:t>证；</w:t>
            </w:r>
          </w:p>
          <w:p>
            <w:pPr>
              <w:ind w:right="101" w:rightChars="48"/>
              <w:jc w:val="left"/>
              <w:rPr>
                <w:rFonts w:ascii="宋体" w:hAnsi="宋体" w:cs="宋体"/>
                <w:color w:val="auto"/>
                <w:szCs w:val="21"/>
                <w:highlight w:val="none"/>
              </w:rPr>
            </w:pPr>
            <w:r>
              <w:rPr>
                <w:rFonts w:hint="eastAsia" w:ascii="宋体" w:hAnsi="宋体" w:cs="宋体"/>
                <w:color w:val="auto"/>
                <w:szCs w:val="21"/>
                <w:highlight w:val="none"/>
              </w:rPr>
              <w:t>施工员应附身份证、执业资质证或上岗证书。</w:t>
            </w:r>
          </w:p>
          <w:p>
            <w:pPr>
              <w:spacing w:after="120"/>
              <w:rPr>
                <w:rFonts w:ascii="宋体" w:hAnsi="宋体" w:cs="宋体"/>
                <w:color w:val="auto"/>
                <w:kern w:val="0"/>
                <w:szCs w:val="21"/>
                <w:highlight w:val="none"/>
              </w:rPr>
            </w:pPr>
          </w:p>
          <w:p>
            <w:pPr>
              <w:ind w:right="101" w:rightChars="48"/>
              <w:jc w:val="left"/>
              <w:rPr>
                <w:rFonts w:ascii="宋体" w:hAnsi="宋体" w:cs="宋体"/>
                <w:b/>
                <w:color w:val="auto"/>
                <w:szCs w:val="21"/>
                <w:highlight w:val="none"/>
              </w:rPr>
            </w:pPr>
            <w:r>
              <w:rPr>
                <w:rFonts w:hint="eastAsia" w:ascii="宋体" w:hAnsi="宋体" w:cs="宋体"/>
                <w:b/>
                <w:color w:val="auto"/>
                <w:szCs w:val="21"/>
                <w:highlight w:val="none"/>
              </w:rPr>
              <w:t>项目负责人、安全员提供由劳动保障部门出具的谈判响应文件递交截止时间前半年内连续三个月的社保证明。</w:t>
            </w:r>
          </w:p>
          <w:p>
            <w:pPr>
              <w:ind w:right="101" w:rightChars="48"/>
              <w:jc w:val="left"/>
              <w:rPr>
                <w:rFonts w:ascii="宋体" w:hAnsi="宋体" w:cs="宋体"/>
                <w:color w:val="auto"/>
                <w:szCs w:val="21"/>
                <w:highlight w:val="none"/>
              </w:rPr>
            </w:pPr>
            <w:r>
              <w:rPr>
                <w:rFonts w:hint="eastAsia" w:ascii="宋体" w:hAnsi="宋体" w:cs="宋体"/>
                <w:color w:val="auto"/>
                <w:szCs w:val="21"/>
                <w:highlight w:val="none"/>
              </w:rPr>
              <w:t>岗位资格证书注明了单位名称的，应与本人执业单位一致。</w:t>
            </w:r>
          </w:p>
        </w:tc>
      </w:tr>
    </w:tbl>
    <w:p>
      <w:pPr>
        <w:adjustRightInd w:val="0"/>
        <w:snapToGrid w:val="0"/>
        <w:spacing w:line="360" w:lineRule="auto"/>
        <w:rPr>
          <w:rFonts w:ascii="宋体" w:hAnsi="宋体" w:cs="宋体"/>
          <w:bCs/>
          <w:color w:val="auto"/>
          <w:szCs w:val="21"/>
          <w:highlight w:val="none"/>
        </w:rPr>
      </w:pPr>
    </w:p>
    <w:p>
      <w:pPr>
        <w:spacing w:after="120" w:line="560" w:lineRule="exact"/>
        <w:rPr>
          <w:rFonts w:ascii="宋体" w:hAnsi="宋体" w:cs="宋体"/>
          <w:color w:val="auto"/>
          <w:kern w:val="0"/>
          <w:szCs w:val="21"/>
          <w:highlight w:val="none"/>
        </w:rPr>
      </w:pPr>
      <w:r>
        <w:rPr>
          <w:rFonts w:hint="eastAsia" w:ascii="宋体" w:hAnsi="宋体" w:cs="宋体"/>
          <w:bCs/>
          <w:color w:val="auto"/>
          <w:kern w:val="0"/>
          <w:szCs w:val="21"/>
          <w:highlight w:val="none"/>
        </w:rPr>
        <w:t>注：</w:t>
      </w:r>
      <w:r>
        <w:rPr>
          <w:rFonts w:hint="eastAsia" w:ascii="宋体" w:hAnsi="宋体" w:cs="宋体"/>
          <w:color w:val="auto"/>
          <w:kern w:val="0"/>
          <w:szCs w:val="21"/>
          <w:highlight w:val="none"/>
        </w:rPr>
        <w:t>在项目实施过程中，施工项目部关键岗位人员配备应按</w:t>
      </w:r>
      <w:r>
        <w:rPr>
          <w:rFonts w:hint="eastAsia" w:ascii="宋体" w:hAnsi="宋体" w:cs="宋体"/>
          <w:bCs/>
          <w:color w:val="auto"/>
          <w:kern w:val="0"/>
          <w:szCs w:val="21"/>
          <w:highlight w:val="none"/>
        </w:rPr>
        <w:t>《湖南省建设工程施工项目部和现场监理部关键岗位人员配备管理办法》（湘建建【2015】57号文）</w:t>
      </w:r>
      <w:r>
        <w:rPr>
          <w:rFonts w:hint="eastAsia" w:ascii="宋体" w:hAnsi="宋体" w:cs="宋体"/>
          <w:color w:val="auto"/>
          <w:kern w:val="0"/>
          <w:szCs w:val="21"/>
          <w:highlight w:val="none"/>
        </w:rPr>
        <w:t>的规定执行。</w:t>
      </w:r>
    </w:p>
    <w:p>
      <w:pPr>
        <w:pStyle w:val="2"/>
        <w:rPr>
          <w:color w:val="auto"/>
          <w:highlight w:val="none"/>
        </w:rPr>
      </w:pPr>
    </w:p>
    <w:p>
      <w:pPr>
        <w:pStyle w:val="4"/>
        <w:keepNext w:val="0"/>
        <w:spacing w:after="240"/>
        <w:rPr>
          <w:rFonts w:ascii="宋体" w:hAnsi="宋体" w:cs="宋体"/>
          <w:bCs w:val="0"/>
          <w:color w:val="auto"/>
          <w:sz w:val="32"/>
          <w:szCs w:val="32"/>
          <w:highlight w:val="none"/>
        </w:rPr>
        <w:sectPr>
          <w:footerReference r:id="rId4" w:type="default"/>
          <w:pgSz w:w="11906" w:h="16838"/>
          <w:pgMar w:top="1191" w:right="1417" w:bottom="1191" w:left="1191" w:header="851" w:footer="850" w:gutter="0"/>
          <w:pgNumType w:fmt="decimal"/>
          <w:cols w:space="0" w:num="1"/>
          <w:docGrid w:linePitch="312" w:charSpace="0"/>
        </w:sectPr>
      </w:pPr>
    </w:p>
    <w:p>
      <w:pPr>
        <w:pStyle w:val="4"/>
        <w:keepNext w:val="0"/>
        <w:spacing w:line="360" w:lineRule="auto"/>
        <w:rPr>
          <w:rFonts w:ascii="宋体" w:hAnsi="宋体" w:cs="宋体"/>
          <w:color w:val="auto"/>
          <w:sz w:val="32"/>
          <w:szCs w:val="32"/>
          <w:highlight w:val="none"/>
        </w:rPr>
      </w:pPr>
      <w:bookmarkStart w:id="10" w:name="_Toc20371"/>
      <w:r>
        <w:rPr>
          <w:rFonts w:hint="eastAsia" w:ascii="宋体" w:hAnsi="宋体" w:cs="宋体"/>
          <w:color w:val="auto"/>
          <w:sz w:val="32"/>
          <w:szCs w:val="32"/>
          <w:highlight w:val="none"/>
        </w:rPr>
        <w:t>第二章  谈判须知</w:t>
      </w:r>
      <w:bookmarkEnd w:id="5"/>
      <w:bookmarkEnd w:id="6"/>
      <w:bookmarkEnd w:id="7"/>
      <w:bookmarkEnd w:id="8"/>
      <w:bookmarkEnd w:id="10"/>
    </w:p>
    <w:p>
      <w:pPr>
        <w:adjustRightInd w:val="0"/>
        <w:snapToGrid w:val="0"/>
        <w:spacing w:line="360" w:lineRule="auto"/>
        <w:ind w:right="23"/>
        <w:jc w:val="center"/>
        <w:outlineLvl w:val="1"/>
        <w:rPr>
          <w:rFonts w:ascii="宋体" w:hAnsi="宋体" w:cs="宋体"/>
          <w:b/>
          <w:color w:val="auto"/>
          <w:sz w:val="32"/>
          <w:szCs w:val="32"/>
          <w:highlight w:val="none"/>
        </w:rPr>
      </w:pPr>
      <w:bookmarkStart w:id="11" w:name="_Toc5430"/>
      <w:bookmarkStart w:id="12" w:name="_Toc14891066"/>
      <w:bookmarkStart w:id="13" w:name="_Toc6617"/>
      <w:bookmarkStart w:id="14" w:name="_Toc9591"/>
      <w:bookmarkStart w:id="15" w:name="_Toc17952"/>
      <w:r>
        <w:rPr>
          <w:rFonts w:hint="eastAsia" w:ascii="宋体" w:hAnsi="宋体" w:cs="宋体"/>
          <w:b/>
          <w:color w:val="auto"/>
          <w:sz w:val="32"/>
          <w:szCs w:val="32"/>
          <w:highlight w:val="none"/>
        </w:rPr>
        <w:t>谈判须知前附表</w:t>
      </w:r>
      <w:bookmarkEnd w:id="11"/>
      <w:bookmarkEnd w:id="12"/>
      <w:bookmarkEnd w:id="13"/>
      <w:bookmarkEnd w:id="14"/>
      <w:bookmarkEnd w:id="15"/>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5"/>
        <w:gridCol w:w="77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70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707"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长沙市轨道交通2号线运营期大客流车站公共区卫生间提质改造项目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707" w:type="dxa"/>
            <w:vAlign w:val="center"/>
          </w:tcPr>
          <w:p>
            <w:pPr>
              <w:adjustRightInd w:val="0"/>
              <w:snapToGrid w:val="0"/>
              <w:spacing w:line="360" w:lineRule="auto"/>
              <w:jc w:val="left"/>
              <w:rPr>
                <w:rFonts w:ascii="宋体" w:hAnsi="宋体" w:cs="宋体"/>
                <w:iCs/>
                <w:color w:val="auto"/>
                <w:szCs w:val="21"/>
                <w:highlight w:val="none"/>
              </w:rPr>
            </w:pPr>
            <w:r>
              <w:rPr>
                <w:rFonts w:hint="eastAsia" w:ascii="宋体" w:hAnsi="宋体"/>
                <w:iCs/>
                <w:color w:val="auto"/>
                <w:highlight w:val="none"/>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采购代理机构</w:t>
            </w:r>
          </w:p>
        </w:tc>
        <w:tc>
          <w:tcPr>
            <w:tcW w:w="7707" w:type="dxa"/>
            <w:vAlign w:val="center"/>
          </w:tcPr>
          <w:p>
            <w:pPr>
              <w:adjustRightInd w:val="0"/>
              <w:snapToGrid w:val="0"/>
              <w:spacing w:line="360" w:lineRule="auto"/>
              <w:jc w:val="left"/>
              <w:rPr>
                <w:rFonts w:ascii="宋体" w:hAnsi="宋体" w:cs="宋体"/>
                <w:iCs/>
                <w:color w:val="auto"/>
                <w:szCs w:val="21"/>
                <w:highlight w:val="none"/>
              </w:rPr>
            </w:pPr>
            <w:r>
              <w:rPr>
                <w:rFonts w:hint="eastAsia" w:ascii="宋体" w:hAnsi="宋体" w:cs="宋体"/>
                <w:bCs/>
                <w:iCs/>
                <w:color w:val="auto"/>
                <w:szCs w:val="21"/>
                <w:highlight w:val="none"/>
              </w:rPr>
              <w:t>湖南新泉工程造价咨询有限公司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最高限价</w:t>
            </w:r>
          </w:p>
        </w:tc>
        <w:tc>
          <w:tcPr>
            <w:tcW w:w="7707" w:type="dxa"/>
            <w:vAlign w:val="center"/>
          </w:tcPr>
          <w:p>
            <w:pPr>
              <w:adjustRightInd w:val="0"/>
              <w:snapToGrid w:val="0"/>
              <w:spacing w:line="360" w:lineRule="auto"/>
              <w:jc w:val="left"/>
              <w:rPr>
                <w:rFonts w:ascii="宋体" w:hAnsi="宋体" w:cs="宋体"/>
                <w:iCs/>
                <w:color w:val="auto"/>
                <w:szCs w:val="21"/>
                <w:highlight w:val="none"/>
              </w:rPr>
            </w:pPr>
            <w:r>
              <w:rPr>
                <w:rFonts w:ascii="宋体" w:hAnsi="宋体" w:cs="宋体"/>
                <w:color w:val="auto"/>
                <w:szCs w:val="21"/>
                <w:highlight w:val="none"/>
              </w:rPr>
              <w:t>622062.67</w:t>
            </w:r>
            <w:r>
              <w:rPr>
                <w:rFonts w:hint="eastAsia" w:ascii="宋体" w:hAnsi="宋体" w:cs="宋体"/>
                <w:color w:val="auto"/>
                <w:szCs w:val="21"/>
                <w:highlight w:val="none"/>
              </w:rPr>
              <w:t>元，不超过最高限价的谈判报价为有效报价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707" w:type="dxa"/>
            <w:vAlign w:val="center"/>
          </w:tcPr>
          <w:p>
            <w:pPr>
              <w:adjustRightInd w:val="0"/>
              <w:snapToGrid w:val="0"/>
              <w:spacing w:line="360" w:lineRule="auto"/>
              <w:jc w:val="left"/>
              <w:rPr>
                <w:rFonts w:ascii="宋体" w:hAnsi="宋体" w:cs="宋体"/>
                <w:iCs/>
                <w:color w:val="auto"/>
                <w:szCs w:val="21"/>
                <w:highlight w:val="none"/>
              </w:rPr>
            </w:pPr>
            <w:r>
              <w:rPr>
                <w:rFonts w:hint="eastAsia" w:ascii="宋体" w:hAnsi="宋体" w:cs="宋体"/>
                <w:bCs/>
                <w:color w:val="auto"/>
                <w:szCs w:val="21"/>
                <w:highlight w:val="none"/>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707"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谈判单位须为具有独立法人资格、自主经营、独立核算的公司</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2.谈判单位须具有建筑工程施工总承包三级（含）以上或建筑装修装饰工程专业承包二级（含）以上或建筑机电安装工程专业承包三级（含）以上资质，须具有有效的施工企业《安全生产许可证》。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3.本项目现场施工部关键岗位人员最低配备按《湖南省建设工程施工项目部和现场监理部关键岗位人员配备管理办法》湘建建〔2015〕57号文执行。</w:t>
            </w:r>
          </w:p>
          <w:p>
            <w:pPr>
              <w:spacing w:line="360" w:lineRule="auto"/>
              <w:rPr>
                <w:rFonts w:ascii="宋体" w:hAnsi="宋体" w:cs="宋体"/>
                <w:b/>
                <w:bCs/>
                <w:color w:val="auto"/>
                <w:szCs w:val="21"/>
                <w:highlight w:val="none"/>
              </w:rPr>
            </w:pPr>
            <w:r>
              <w:rPr>
                <w:rFonts w:hint="eastAsia" w:ascii="宋体" w:hAnsi="宋体" w:cs="宋体"/>
                <w:color w:val="auto"/>
                <w:szCs w:val="21"/>
                <w:highlight w:val="none"/>
              </w:rPr>
              <w:t>4.湖南省外企业须按照湘建建【2015】190号文件要求办理省外入湘企业基本情况登记（以“湖南省住房和城乡建设网”查询为准）或具有入湘施工登记证（处于有效期内）。</w:t>
            </w:r>
          </w:p>
          <w:p>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5.本次谈判不接受联合体形式参与谈判。</w:t>
            </w:r>
          </w:p>
          <w:p>
            <w:pPr>
              <w:pStyle w:val="2"/>
              <w:spacing w:after="0"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6.被长沙市轨道交通集团函告禁止在一定期限内参与轨道公司项目投标或谈判的单位按函告内容执行。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谈判答疑文件递交截止时间</w:t>
            </w:r>
          </w:p>
        </w:tc>
        <w:tc>
          <w:tcPr>
            <w:tcW w:w="7707" w:type="dxa"/>
            <w:vAlign w:val="center"/>
          </w:tcPr>
          <w:p>
            <w:pPr>
              <w:pStyle w:val="26"/>
              <w:adjustRightInd w:val="0"/>
              <w:snapToGrid w:val="0"/>
              <w:spacing w:line="360" w:lineRule="auto"/>
              <w:rPr>
                <w:rFonts w:hAnsi="宋体" w:cs="宋体"/>
                <w:color w:val="auto"/>
                <w:highlight w:val="none"/>
              </w:rPr>
            </w:pPr>
            <w:r>
              <w:rPr>
                <w:rFonts w:hint="eastAsia" w:hAnsi="宋体" w:cs="宋体"/>
                <w:color w:val="auto"/>
                <w:highlight w:val="none"/>
              </w:rPr>
              <w:t xml:space="preserve">2021年 </w:t>
            </w:r>
            <w:r>
              <w:rPr>
                <w:rFonts w:hint="eastAsia" w:hAnsi="宋体" w:cs="宋体"/>
                <w:color w:val="auto"/>
                <w:highlight w:val="none"/>
                <w:lang w:val="en-US" w:eastAsia="zh-CN"/>
              </w:rPr>
              <w:t>1</w:t>
            </w:r>
            <w:r>
              <w:rPr>
                <w:rFonts w:hint="eastAsia" w:hAnsi="宋体" w:cs="宋体"/>
                <w:color w:val="auto"/>
                <w:highlight w:val="none"/>
              </w:rPr>
              <w:t xml:space="preserve"> 月 </w:t>
            </w:r>
            <w:r>
              <w:rPr>
                <w:rFonts w:hint="eastAsia" w:hAnsi="宋体" w:cs="宋体"/>
                <w:color w:val="auto"/>
                <w:highlight w:val="none"/>
                <w:lang w:val="en-US" w:eastAsia="zh-CN"/>
              </w:rPr>
              <w:t>18</w:t>
            </w:r>
            <w:r>
              <w:rPr>
                <w:rFonts w:hint="eastAsia" w:hAnsi="宋体" w:cs="宋体"/>
                <w:color w:val="auto"/>
                <w:highlight w:val="none"/>
              </w:rPr>
              <w:t xml:space="preserve"> 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谈判答疑文件递交方式及地点</w:t>
            </w:r>
          </w:p>
        </w:tc>
        <w:tc>
          <w:tcPr>
            <w:tcW w:w="7707" w:type="dxa"/>
            <w:vAlign w:val="center"/>
          </w:tcPr>
          <w:p>
            <w:pPr>
              <w:pStyle w:val="26"/>
              <w:adjustRightInd w:val="0"/>
              <w:snapToGrid w:val="0"/>
              <w:spacing w:line="360" w:lineRule="auto"/>
              <w:rPr>
                <w:rFonts w:hAnsi="宋体" w:cs="宋体"/>
                <w:iCs/>
                <w:color w:val="auto"/>
                <w:highlight w:val="none"/>
              </w:rPr>
            </w:pPr>
            <w:r>
              <w:rPr>
                <w:rFonts w:hint="eastAsia" w:hAnsi="宋体" w:cs="宋体"/>
                <w:color w:val="auto"/>
                <w:highlight w:val="none"/>
              </w:rPr>
              <w:t>谈判答疑文件应以书面形式递交至</w:t>
            </w:r>
            <w:r>
              <w:rPr>
                <w:rFonts w:hint="eastAsia" w:hAnsi="宋体" w:cs="宋体"/>
                <w:bCs/>
                <w:iCs/>
                <w:color w:val="auto"/>
                <w:highlight w:val="none"/>
              </w:rPr>
              <w:t>长沙市芙蓉中路三段420号华升大厦1518房（湖南新泉工程造价咨询有限公司）</w:t>
            </w:r>
            <w:r>
              <w:rPr>
                <w:rFonts w:hint="eastAsia"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响应文件的递交截止及谈判时间</w:t>
            </w:r>
          </w:p>
        </w:tc>
        <w:tc>
          <w:tcPr>
            <w:tcW w:w="7707"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2021年 </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 月 </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 xml:space="preserve"> 日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响应文件的递交及谈判地点</w:t>
            </w:r>
          </w:p>
        </w:tc>
        <w:tc>
          <w:tcPr>
            <w:tcW w:w="7707"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长沙市</w:t>
            </w:r>
            <w:r>
              <w:rPr>
                <w:rFonts w:hint="eastAsia" w:ascii="宋体" w:hAnsi="宋体" w:cs="宋体"/>
                <w:iCs/>
                <w:color w:val="auto"/>
                <w:szCs w:val="21"/>
                <w:highlight w:val="none"/>
              </w:rPr>
              <w:t>劳动东路二段48号</w:t>
            </w:r>
            <w:r>
              <w:rPr>
                <w:rFonts w:hint="eastAsia" w:ascii="宋体" w:hAnsi="宋体" w:cs="宋体"/>
                <w:color w:val="auto"/>
                <w:szCs w:val="21"/>
                <w:highlight w:val="none"/>
              </w:rPr>
              <w:t>长沙市轨道交通运营有限公司</w:t>
            </w:r>
            <w:r>
              <w:rPr>
                <w:rFonts w:hint="eastAsia" w:ascii="宋体" w:hAnsi="宋体" w:cs="宋体"/>
                <w:iCs/>
                <w:color w:val="auto"/>
                <w:szCs w:val="21"/>
                <w:highlight w:val="none"/>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谈判现场验证须提交的资料</w:t>
            </w:r>
          </w:p>
        </w:tc>
        <w:tc>
          <w:tcPr>
            <w:tcW w:w="7707"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iCs/>
                <w:color w:val="auto"/>
                <w:szCs w:val="21"/>
                <w:highlight w:val="none"/>
              </w:rPr>
              <w:t>1.谈判单位代表是谈判单位法定代表人参加的，法定代表人须提供法定代表人身份证明书原件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（格式详见本文件第七章）</w:t>
            </w:r>
            <w:r>
              <w:rPr>
                <w:rFonts w:hint="eastAsia" w:ascii="宋体" w:hAnsi="宋体" w:cs="宋体"/>
                <w:color w:val="auto"/>
                <w:szCs w:val="21"/>
                <w:highlight w:val="none"/>
              </w:rPr>
              <w:t>及本人身份证原件。</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color w:val="auto"/>
                <w:szCs w:val="21"/>
                <w:highlight w:val="none"/>
              </w:rPr>
              <w:t>2.谈判单位代表是由谈判单位法定代表人授权的委托代理人参加的，其授权委托代理人须提供授权委托书原件</w:t>
            </w:r>
            <w:r>
              <w:rPr>
                <w:rFonts w:hint="eastAsia" w:ascii="宋体" w:hAnsi="宋体" w:cs="宋体"/>
                <w:b/>
                <w:color w:val="auto"/>
                <w:szCs w:val="21"/>
                <w:highlight w:val="none"/>
              </w:rPr>
              <w:t>（格式详见本文件</w:t>
            </w:r>
            <w:r>
              <w:rPr>
                <w:rFonts w:hint="eastAsia" w:ascii="宋体" w:hAnsi="宋体" w:cs="宋体"/>
                <w:b/>
                <w:bCs/>
                <w:iCs/>
                <w:color w:val="auto"/>
                <w:szCs w:val="21"/>
                <w:highlight w:val="none"/>
              </w:rPr>
              <w:t>第七章</w:t>
            </w:r>
            <w:r>
              <w:rPr>
                <w:rFonts w:hint="eastAsia" w:ascii="宋体" w:hAnsi="宋体" w:cs="宋体"/>
                <w:b/>
                <w:color w:val="auto"/>
                <w:szCs w:val="21"/>
                <w:highlight w:val="none"/>
              </w:rPr>
              <w:t>）</w:t>
            </w:r>
            <w:r>
              <w:rPr>
                <w:rFonts w:hint="eastAsia" w:ascii="宋体" w:hAnsi="宋体" w:cs="宋体"/>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707"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响应文件份数</w:t>
            </w:r>
          </w:p>
        </w:tc>
        <w:tc>
          <w:tcPr>
            <w:tcW w:w="7707"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响应文件纸质文件一式三份（其中正本一份，副本两份），电子文件（U盘或光盘）一份。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707"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707" w:type="dxa"/>
            <w:vAlign w:val="center"/>
          </w:tcPr>
          <w:p>
            <w:pPr>
              <w:pStyle w:val="2"/>
              <w:adjustRightInd w:val="0"/>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1.本工程无预付款，在工程竣工验收合格移交竣工资料后，支付至实际竣工计量金额的70%，但支付金额不得超过签约合同价的70%；</w:t>
            </w:r>
          </w:p>
          <w:p>
            <w:pPr>
              <w:pStyle w:val="2"/>
              <w:adjustRightInd w:val="0"/>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工程竣工结算经甲方审定后，支付至合同价格的97%（开具合同价格100%、合法有效的增值税专用发票原件），剩下的3%作为工程质量保证金，在已办理结算的前提下，保修期满后如无任何质量问题甲方一次性无息付清；</w:t>
            </w:r>
          </w:p>
          <w:p>
            <w:pPr>
              <w:pStyle w:val="2"/>
              <w:adjustRightInd w:val="0"/>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3.本合同以人民币结算，并采用银行转账方式支付。</w:t>
            </w:r>
          </w:p>
          <w:p>
            <w:pPr>
              <w:pStyle w:val="2"/>
              <w:adjustRightInd w:val="0"/>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4.所有支付均在收到乙方提供的以下资料后支付：</w:t>
            </w:r>
          </w:p>
          <w:p>
            <w:pPr>
              <w:pStyle w:val="2"/>
              <w:adjustRightInd w:val="0"/>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（1）经甲方审批同意的支付申请和相关资料；</w:t>
            </w:r>
          </w:p>
          <w:p>
            <w:pPr>
              <w:pStyle w:val="2"/>
              <w:adjustRightInd w:val="0"/>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（2）相应的税务发票原件；</w:t>
            </w:r>
          </w:p>
          <w:p>
            <w:pPr>
              <w:pStyle w:val="2"/>
              <w:adjustRightInd w:val="0"/>
              <w:snapToGrid w:val="0"/>
              <w:spacing w:after="0"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（3）本合同约定的其他结算资料。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707"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5"/>
                <w:rFonts w:hint="eastAsia" w:ascii="宋体" w:hAnsi="宋体" w:cs="宋体"/>
                <w:color w:val="auto"/>
                <w:szCs w:val="21"/>
                <w:highlight w:val="none"/>
                <w:u w:val="none"/>
              </w:rPr>
              <w:t>http://www.hncsmtr.com/</w:t>
            </w:r>
            <w:r>
              <w:rPr>
                <w:rStyle w:val="55"/>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采购代理服务费</w:t>
            </w:r>
          </w:p>
        </w:tc>
        <w:tc>
          <w:tcPr>
            <w:tcW w:w="7707"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其他规定</w:t>
            </w:r>
          </w:p>
        </w:tc>
        <w:tc>
          <w:tcPr>
            <w:tcW w:w="7707" w:type="dxa"/>
            <w:vAlign w:val="center"/>
          </w:tcPr>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违约条款：</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1.乙方因自身原因未能按合同要求完成工程施工的，每延误一天应向甲方交纳500元的违约金。</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3.在施工过程中，乙方存在质量安全隐患及不文明行为情况，且未根据相关部门要求及时整改的，乙方应向甲方交纳2000元/次·处的违约金，且甲方有权对乙方予以通报批评。</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4.乙方在施工过程中，发生一般等级及以上质量安全责任事故的，按照国家相关规定调查处理，由乙方承担相应的责任和损失，乙方应向甲方交纳1万元/次的违约金。</w:t>
            </w:r>
          </w:p>
        </w:tc>
      </w:tr>
    </w:tbl>
    <w:p>
      <w:pPr>
        <w:jc w:val="center"/>
        <w:rPr>
          <w:rFonts w:ascii="宋体" w:hAnsi="宋体" w:cs="宋体"/>
          <w:color w:val="auto"/>
          <w:sz w:val="30"/>
          <w:szCs w:val="30"/>
          <w:highlight w:val="none"/>
        </w:rPr>
      </w:pPr>
      <w:bookmarkStart w:id="16" w:name="_Toc14891067"/>
    </w:p>
    <w:p>
      <w:pPr>
        <w:widowControl/>
        <w:jc w:val="left"/>
        <w:rPr>
          <w:rFonts w:ascii="宋体" w:hAnsi="宋体" w:cs="宋体"/>
          <w:color w:val="auto"/>
          <w:highlight w:val="none"/>
        </w:rPr>
        <w:sectPr>
          <w:pgSz w:w="11906" w:h="16838"/>
          <w:pgMar w:top="1191" w:right="1417" w:bottom="1191" w:left="1191" w:header="851" w:footer="850" w:gutter="0"/>
          <w:pgNumType w:fmt="decimal"/>
          <w:cols w:space="0" w:num="1"/>
          <w:docGrid w:linePitch="312" w:charSpace="0"/>
        </w:sectPr>
      </w:pPr>
    </w:p>
    <w:p>
      <w:pPr>
        <w:pStyle w:val="14"/>
        <w:rPr>
          <w:rFonts w:ascii="宋体" w:hAnsi="宋体" w:cs="宋体"/>
          <w:color w:val="auto"/>
          <w:highlight w:val="none"/>
        </w:rPr>
      </w:pPr>
    </w:p>
    <w:p>
      <w:pPr>
        <w:adjustRightInd w:val="0"/>
        <w:snapToGrid w:val="0"/>
        <w:spacing w:line="360" w:lineRule="auto"/>
        <w:ind w:right="23"/>
        <w:jc w:val="center"/>
        <w:outlineLvl w:val="1"/>
        <w:rPr>
          <w:rFonts w:ascii="宋体" w:hAnsi="宋体" w:cs="宋体"/>
          <w:b/>
          <w:color w:val="auto"/>
          <w:sz w:val="32"/>
          <w:szCs w:val="32"/>
          <w:highlight w:val="none"/>
        </w:rPr>
      </w:pPr>
      <w:bookmarkStart w:id="17" w:name="_Toc16939"/>
      <w:bookmarkStart w:id="18" w:name="_Toc26157"/>
      <w:bookmarkStart w:id="19" w:name="_Toc30640"/>
      <w:bookmarkStart w:id="20" w:name="_Toc8877"/>
      <w:r>
        <w:rPr>
          <w:rFonts w:hint="eastAsia" w:ascii="宋体" w:hAnsi="宋体" w:cs="宋体"/>
          <w:b/>
          <w:color w:val="auto"/>
          <w:sz w:val="32"/>
          <w:szCs w:val="32"/>
          <w:highlight w:val="none"/>
        </w:rPr>
        <w:t>谈判须知正文</w:t>
      </w:r>
      <w:bookmarkEnd w:id="16"/>
      <w:bookmarkEnd w:id="17"/>
      <w:bookmarkEnd w:id="18"/>
      <w:bookmarkEnd w:id="19"/>
      <w:bookmarkEnd w:id="20"/>
    </w:p>
    <w:p>
      <w:pPr>
        <w:pStyle w:val="5"/>
        <w:keepNext w:val="0"/>
        <w:keepLines w:val="0"/>
        <w:rPr>
          <w:rFonts w:ascii="宋体" w:hAnsi="宋体" w:cs="宋体"/>
          <w:color w:val="auto"/>
          <w:sz w:val="21"/>
          <w:szCs w:val="21"/>
          <w:highlight w:val="none"/>
        </w:rPr>
      </w:pPr>
      <w:bookmarkStart w:id="21" w:name="_Toc14891068"/>
      <w:bookmarkStart w:id="22" w:name="_Toc25658"/>
      <w:bookmarkStart w:id="23" w:name="_Toc9304"/>
      <w:bookmarkStart w:id="24" w:name="_Toc14891069"/>
      <w:r>
        <w:rPr>
          <w:rFonts w:hint="eastAsia" w:ascii="宋体" w:hAnsi="宋体" w:cs="宋体"/>
          <w:color w:val="auto"/>
          <w:sz w:val="21"/>
          <w:szCs w:val="21"/>
          <w:highlight w:val="none"/>
        </w:rPr>
        <w:t>一、说明</w:t>
      </w:r>
      <w:bookmarkEnd w:id="21"/>
      <w:bookmarkEnd w:id="22"/>
      <w:bookmarkEnd w:id="23"/>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3.3“采购代理机构”是指接受采购人委托，代理采购项目的机构。本采购项目的采购代理机构名称见</w:t>
      </w:r>
      <w:r>
        <w:rPr>
          <w:rFonts w:hint="eastAsia" w:ascii="宋体" w:hAnsi="宋体" w:cs="宋体"/>
          <w:b/>
          <w:bCs/>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3.4“谈判</w:t>
      </w:r>
      <w:r>
        <w:rPr>
          <w:rFonts w:hint="eastAsia" w:ascii="宋体" w:hAnsi="宋体" w:cs="宋体"/>
          <w:b/>
          <w:bCs/>
          <w:color w:val="auto"/>
          <w:szCs w:val="21"/>
          <w:highlight w:val="none"/>
        </w:rPr>
        <w:t>评审</w:t>
      </w:r>
      <w:r>
        <w:rPr>
          <w:rFonts w:hint="eastAsia" w:ascii="宋体" w:hAnsi="宋体" w:cs="宋体"/>
          <w:color w:val="auto"/>
          <w:szCs w:val="21"/>
          <w:highlight w:val="none"/>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（1）与采购单位（或本项目采购代理机构）存在利害关系且可能影响采购公正性；</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5.2采购代理服务费由中选单位全额承担。本项目采购代理服务费以中选价为基数，按谈判须知</w:t>
      </w:r>
      <w:r>
        <w:rPr>
          <w:rFonts w:hint="eastAsia" w:ascii="宋体" w:hAnsi="宋体" w:cs="宋体"/>
          <w:b/>
          <w:bCs/>
          <w:color w:val="auto"/>
          <w:szCs w:val="21"/>
          <w:highlight w:val="none"/>
        </w:rPr>
        <w:t>《采购代理服务费收费标准》（详见本须知附件）</w:t>
      </w:r>
      <w:r>
        <w:rPr>
          <w:rFonts w:hint="eastAsia" w:ascii="宋体" w:hAnsi="宋体" w:cs="宋体"/>
          <w:color w:val="auto"/>
          <w:szCs w:val="21"/>
          <w:highlight w:val="none"/>
        </w:rPr>
        <w:t>向中选单位收取。</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cs="宋体"/>
          <w:b/>
          <w:bCs/>
          <w:color w:val="auto"/>
          <w:highlight w:val="none"/>
        </w:rPr>
        <w:t>谈判单位代表</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26"/>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5"/>
        <w:keepNext w:val="0"/>
        <w:keepLines w:val="0"/>
        <w:rPr>
          <w:rFonts w:ascii="宋体" w:hAnsi="宋体" w:cs="宋体"/>
          <w:color w:val="auto"/>
          <w:sz w:val="21"/>
          <w:szCs w:val="21"/>
          <w:highlight w:val="none"/>
        </w:rPr>
      </w:pPr>
      <w:bookmarkStart w:id="25" w:name="_Toc4500"/>
      <w:r>
        <w:rPr>
          <w:rFonts w:hint="eastAsia" w:ascii="宋体" w:hAnsi="宋体" w:cs="宋体"/>
          <w:color w:val="auto"/>
          <w:sz w:val="21"/>
          <w:szCs w:val="21"/>
          <w:highlight w:val="none"/>
        </w:rPr>
        <w:t>二、谈判文件</w:t>
      </w:r>
      <w:bookmarkEnd w:id="24"/>
      <w:bookmarkEnd w:id="25"/>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第四章 用户需求书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第五章 最高限价</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合同格式条款</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第七章 响应文件组成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向采购代理机构提出，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w:t>
      </w:r>
      <w:r>
        <w:rPr>
          <w:rFonts w:hint="eastAsia" w:hAnsi="宋体" w:cs="宋体"/>
          <w:color w:val="auto"/>
          <w:kern w:val="0"/>
          <w:highlight w:val="none"/>
        </w:rPr>
        <w:t>谈判单位递交响应文件截止时间、谈判会议</w:t>
      </w:r>
      <w:r>
        <w:rPr>
          <w:rFonts w:hint="eastAsia" w:hAnsi="宋体" w:cs="宋体"/>
          <w:color w:val="auto"/>
          <w:highlight w:val="none"/>
        </w:rPr>
        <w:t>时间及地点见</w:t>
      </w:r>
      <w:r>
        <w:rPr>
          <w:rFonts w:hint="eastAsia" w:hAnsi="宋体" w:cs="宋体"/>
          <w:b/>
          <w:color w:val="auto"/>
          <w:highlight w:val="none"/>
        </w:rPr>
        <w:t>前附表</w:t>
      </w:r>
      <w:r>
        <w:rPr>
          <w:rFonts w:hint="eastAsia" w:hAnsi="宋体" w:cs="宋体"/>
          <w:color w:val="auto"/>
          <w:highlight w:val="none"/>
        </w:rPr>
        <w:t>。</w:t>
      </w:r>
    </w:p>
    <w:p>
      <w:pPr>
        <w:pStyle w:val="5"/>
        <w:keepNext w:val="0"/>
        <w:keepLines w:val="0"/>
        <w:rPr>
          <w:rFonts w:ascii="宋体" w:hAnsi="宋体" w:cs="宋体"/>
          <w:color w:val="auto"/>
          <w:sz w:val="21"/>
          <w:szCs w:val="21"/>
          <w:highlight w:val="none"/>
        </w:rPr>
      </w:pPr>
      <w:bookmarkStart w:id="26" w:name="_Toc14891070"/>
      <w:bookmarkStart w:id="27" w:name="_Toc22314"/>
      <w:r>
        <w:rPr>
          <w:rFonts w:hint="eastAsia" w:ascii="宋体" w:hAnsi="宋体" w:cs="宋体"/>
          <w:color w:val="auto"/>
          <w:sz w:val="21"/>
          <w:szCs w:val="21"/>
          <w:highlight w:val="none"/>
        </w:rPr>
        <w:t>三、响应文件</w:t>
      </w:r>
      <w:bookmarkEnd w:id="26"/>
      <w:bookmarkEnd w:id="27"/>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（1）谈判承诺书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（2）法定代表人身份证明书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（3）授权委托书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（4）谈判单位资格条件证明文件</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（5）不拖欠农民工工资承诺书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（6）报价一览表</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（7）报价汇总表</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（8）投标报价表</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（9）其他资料（如有）</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12.报价要求</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12.4 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12.5 人工工资单价按湘建价﹝2019﹞130号文执行。人工工资单价在施工期间若发生政策性调整，按相应文件的人工工资单价（综合工资单价）进行调差，人工调差执行投标报价优惠率并计税金。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12.6绿色施工安全防护措施费用按湘建价﹝2020﹞56号文件的要求，谈判单位应在投标文件对绿色施工安全防护措施费用单独列项，单独报价，不得低于文件规定的费率标准。</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12.7销项税额必须严格按标准执行，不得折扣、优惠；</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12.8 材料价格调整问题:见合同条款。</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12.9 工程量的变更调整：见合同条款。</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12.10 本项目设置最高限价，谈判单位所报总价不能超过最高限价，不超过最高限价的报价为有效报价。本项目最高限价</w:t>
      </w:r>
      <w:r>
        <w:rPr>
          <w:rFonts w:hint="eastAsia" w:ascii="宋体" w:hAnsi="宋体" w:cs="宋体"/>
          <w:color w:val="auto"/>
          <w:highlight w:val="none"/>
        </w:rPr>
        <w:t>见</w:t>
      </w:r>
      <w:r>
        <w:rPr>
          <w:rFonts w:hint="eastAsia" w:ascii="宋体" w:hAnsi="宋体" w:cs="宋体"/>
          <w:b/>
          <w:color w:val="auto"/>
          <w:highlight w:val="none"/>
        </w:rPr>
        <w:t>前附表</w:t>
      </w:r>
      <w:r>
        <w:rPr>
          <w:rFonts w:hint="eastAsia" w:ascii="宋体" w:hAnsi="宋体" w:cs="宋体"/>
          <w:color w:val="auto"/>
          <w:highlight w:val="none"/>
        </w:rPr>
        <w:t>。</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12.11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ascii="宋体" w:hAnsi="宋体" w:cs="宋体"/>
          <w:b/>
          <w:bCs/>
          <w:color w:val="auto"/>
          <w:szCs w:val="21"/>
          <w:highlight w:val="none"/>
        </w:rPr>
      </w:pPr>
      <w:r>
        <w:rPr>
          <w:rFonts w:hint="eastAsia" w:ascii="宋体" w:hAnsi="宋体" w:cs="宋体"/>
          <w:color w:val="auto"/>
          <w:szCs w:val="21"/>
          <w:highlight w:val="none"/>
        </w:rPr>
        <w:t>12.12 谈判单位投标前请进行必要的现场踏勘，了解项目实际情况，产生的费用自行承担。</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12.13 谈判单位应按谈判文件规定的要求、责任范围和合同条件，以</w:t>
      </w:r>
      <w:r>
        <w:rPr>
          <w:rFonts w:hint="eastAsia" w:ascii="宋体" w:hAnsi="宋体" w:cs="宋体"/>
          <w:bCs/>
          <w:color w:val="auto"/>
          <w:szCs w:val="21"/>
          <w:highlight w:val="none"/>
        </w:rPr>
        <w:t>人民币</w:t>
      </w:r>
      <w:r>
        <w:rPr>
          <w:rFonts w:hint="eastAsia" w:ascii="宋体" w:hAnsi="宋体" w:cs="宋体"/>
          <w:color w:val="auto"/>
          <w:szCs w:val="21"/>
          <w:highlight w:val="none"/>
        </w:rPr>
        <w:t>报价，以元为单位，保留小数点后两位。</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12.14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12.15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12.16 最低报价不能作为中选的保证。</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12.17本项目为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14.响应文件的编制</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14.1响应文件应按</w:t>
      </w:r>
      <w:r>
        <w:rPr>
          <w:rFonts w:hint="eastAsia" w:hAnsi="宋体" w:cs="宋体"/>
          <w:b/>
          <w:bCs/>
          <w:color w:val="auto"/>
          <w:sz w:val="21"/>
          <w:szCs w:val="21"/>
          <w:highlight w:val="none"/>
        </w:rPr>
        <w:t>第七章</w:t>
      </w:r>
      <w:r>
        <w:rPr>
          <w:rFonts w:hint="eastAsia" w:hAnsi="宋体" w:cs="宋体"/>
          <w:color w:val="auto"/>
          <w:sz w:val="21"/>
          <w:szCs w:val="21"/>
          <w:highlight w:val="none"/>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14.2响应文件应用不褪色的材料书写或打印（建议双面打印），并按</w:t>
      </w:r>
      <w:r>
        <w:rPr>
          <w:rFonts w:hint="eastAsia" w:hAnsi="宋体" w:cs="宋体"/>
          <w:b/>
          <w:bCs/>
          <w:color w:val="auto"/>
          <w:highlight w:val="none"/>
        </w:rPr>
        <w:t>第七章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第七章</w:t>
      </w:r>
      <w:r>
        <w:rPr>
          <w:rFonts w:hint="eastAsia" w:hAnsi="宋体" w:cs="宋体"/>
          <w:color w:val="auto"/>
          <w:highlight w:val="none"/>
        </w:rPr>
        <w:t>“响应文件格式”的要求。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pStyle w:val="5"/>
        <w:keepNext w:val="0"/>
        <w:keepLines w:val="0"/>
        <w:rPr>
          <w:rFonts w:ascii="宋体" w:hAnsi="宋体" w:cs="宋体"/>
          <w:color w:val="auto"/>
          <w:sz w:val="21"/>
          <w:szCs w:val="21"/>
          <w:highlight w:val="none"/>
        </w:rPr>
      </w:pPr>
      <w:bookmarkStart w:id="28" w:name="_Toc14891071"/>
      <w:bookmarkStart w:id="29" w:name="_Toc7569"/>
      <w:r>
        <w:rPr>
          <w:rFonts w:hint="eastAsia" w:ascii="宋体" w:hAnsi="宋体" w:cs="宋体"/>
          <w:color w:val="auto"/>
          <w:sz w:val="21"/>
          <w:szCs w:val="21"/>
          <w:highlight w:val="none"/>
        </w:rPr>
        <w:t>四、响应文件的递交</w:t>
      </w:r>
      <w:bookmarkEnd w:id="28"/>
      <w:bookmarkEnd w:id="29"/>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15.1谈判单位须将响应文件一正两副与电子文件一起密封包装。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16.1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w:t>
            </w:r>
            <w:r>
              <w:rPr>
                <w:rFonts w:hint="eastAsia" w:ascii="宋体" w:hAnsi="宋体" w:cs="宋体"/>
                <w:color w:val="auto"/>
                <w:szCs w:val="21"/>
                <w:highlight w:val="none"/>
                <w:u w:val="single"/>
              </w:rPr>
              <w:t>（填写单位名称并加盖单位公章）</w:t>
            </w:r>
          </w:p>
          <w:p>
            <w:pPr>
              <w:spacing w:line="360" w:lineRule="auto"/>
              <w:ind w:firstLine="840" w:firstLineChars="400"/>
              <w:rPr>
                <w:rFonts w:ascii="宋体" w:hAnsi="宋体" w:cs="宋体"/>
                <w:color w:val="auto"/>
                <w:szCs w:val="21"/>
                <w:highlight w:val="none"/>
              </w:rPr>
            </w:pPr>
            <w:r>
              <w:rPr>
                <w:rFonts w:hint="eastAsia" w:ascii="宋体" w:hAnsi="宋体" w:cs="宋体"/>
                <w:bCs/>
                <w:color w:val="auto"/>
                <w:szCs w:val="21"/>
                <w:highlight w:val="none"/>
              </w:rPr>
              <w:t>年  月  日</w:t>
            </w:r>
          </w:p>
        </w:tc>
      </w:tr>
    </w:tbl>
    <w:p>
      <w:pPr>
        <w:adjustRightInd w:val="0"/>
        <w:snapToGrid w:val="0"/>
        <w:spacing w:line="360" w:lineRule="auto"/>
        <w:ind w:firstLine="413" w:firstLineChars="196"/>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17.响应文件的递交</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17.1谈判单位应按要求在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在截止时间后送达的响应文件，采购单位应当拒收。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17.2采购单位在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规定的谈判时间和地点，组织谈判单位签到并接收谈判文件。</w:t>
      </w:r>
    </w:p>
    <w:p>
      <w:pPr>
        <w:pStyle w:val="5"/>
        <w:keepNext w:val="0"/>
        <w:keepLines w:val="0"/>
        <w:rPr>
          <w:rFonts w:ascii="宋体" w:hAnsi="宋体" w:cs="宋体"/>
          <w:color w:val="auto"/>
          <w:sz w:val="21"/>
          <w:szCs w:val="21"/>
          <w:highlight w:val="none"/>
        </w:rPr>
      </w:pPr>
      <w:bookmarkStart w:id="30" w:name="_Toc14891072"/>
      <w:bookmarkStart w:id="31" w:name="_Toc3350"/>
      <w:r>
        <w:rPr>
          <w:rFonts w:hint="eastAsia" w:ascii="宋体" w:hAnsi="宋体" w:cs="宋体"/>
          <w:color w:val="auto"/>
          <w:sz w:val="21"/>
          <w:szCs w:val="21"/>
          <w:highlight w:val="none"/>
        </w:rPr>
        <w:t>五、响应文件的评审</w:t>
      </w:r>
      <w:bookmarkEnd w:id="30"/>
      <w:bookmarkEnd w:id="31"/>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18.</w:t>
      </w:r>
      <w:r>
        <w:rPr>
          <w:rFonts w:hint="eastAsia" w:ascii="宋体" w:hAnsi="宋体" w:cs="宋体"/>
          <w:bCs/>
          <w:color w:val="auto"/>
          <w:szCs w:val="21"/>
          <w:highlight w:val="none"/>
        </w:rPr>
        <w:t>评审由谈判评审小组负责，谈判评审小组应按照本谈判文件第三章“评审办法及标准”的内容和程序对响应文件进行评审。</w:t>
      </w:r>
    </w:p>
    <w:p>
      <w:pPr>
        <w:pStyle w:val="5"/>
        <w:keepNext w:val="0"/>
        <w:keepLines w:val="0"/>
        <w:rPr>
          <w:rFonts w:ascii="宋体" w:hAnsi="宋体" w:cs="宋体"/>
          <w:color w:val="auto"/>
          <w:sz w:val="21"/>
          <w:szCs w:val="21"/>
          <w:highlight w:val="none"/>
        </w:rPr>
      </w:pPr>
      <w:bookmarkStart w:id="32" w:name="_Toc14891073"/>
      <w:bookmarkStart w:id="33" w:name="_Toc24783"/>
      <w:r>
        <w:rPr>
          <w:rFonts w:hint="eastAsia" w:ascii="宋体" w:hAnsi="宋体" w:cs="宋体"/>
          <w:color w:val="auto"/>
          <w:sz w:val="21"/>
          <w:szCs w:val="21"/>
          <w:highlight w:val="none"/>
        </w:rPr>
        <w:t>六、响应文件的澄清、说明及补正</w:t>
      </w:r>
      <w:bookmarkEnd w:id="32"/>
      <w:bookmarkEnd w:id="33"/>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19.澄清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20.说明及补正</w:t>
      </w:r>
    </w:p>
    <w:p>
      <w:pPr>
        <w:widowControl/>
        <w:adjustRightInd w:val="0"/>
        <w:snapToGrid w:val="0"/>
        <w:spacing w:line="360" w:lineRule="auto"/>
        <w:ind w:firstLine="420" w:firstLineChars="200"/>
        <w:rPr>
          <w:rFonts w:ascii="宋体" w:hAnsi="宋体" w:cs="宋体"/>
          <w:color w:val="auto"/>
          <w:kern w:val="0"/>
          <w:szCs w:val="21"/>
          <w:highlight w:val="none"/>
        </w:rPr>
      </w:pPr>
      <w:bookmarkStart w:id="34" w:name="_Toc14891074"/>
      <w:r>
        <w:rPr>
          <w:rFonts w:hint="eastAsia" w:ascii="宋体" w:hAnsi="宋体" w:cs="宋体"/>
          <w:color w:val="auto"/>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kern w:val="0"/>
          <w:szCs w:val="21"/>
          <w:highlight w:val="none"/>
        </w:rPr>
        <w:t>20.3与谈判文件有重大偏离的响应文件将被拒绝。重大偏离指谈判总报价、谈判有效期、施工工期明显不能满足谈判文件的要求。这些偏离不允许在响应文件递交截止时间之后修正。</w:t>
      </w:r>
    </w:p>
    <w:p>
      <w:pPr>
        <w:pStyle w:val="5"/>
        <w:keepNext w:val="0"/>
        <w:keepLines w:val="0"/>
        <w:rPr>
          <w:rFonts w:ascii="宋体" w:hAnsi="宋体" w:cs="宋体"/>
          <w:color w:val="auto"/>
          <w:sz w:val="21"/>
          <w:szCs w:val="21"/>
          <w:highlight w:val="none"/>
        </w:rPr>
      </w:pPr>
      <w:bookmarkStart w:id="35" w:name="_Toc32635"/>
      <w:r>
        <w:rPr>
          <w:rFonts w:hint="eastAsia" w:ascii="宋体" w:hAnsi="宋体" w:cs="宋体"/>
          <w:color w:val="auto"/>
          <w:sz w:val="21"/>
          <w:szCs w:val="21"/>
          <w:highlight w:val="none"/>
        </w:rPr>
        <w:t>七、中选结果与授予合同</w:t>
      </w:r>
      <w:bookmarkEnd w:id="34"/>
      <w:bookmarkEnd w:id="35"/>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21.中选信息的公布</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21.1中选单位确定后，采购单位应将结果信息在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22.评审结果异议</w:t>
      </w:r>
    </w:p>
    <w:p>
      <w:pPr>
        <w:pStyle w:val="26"/>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22.1谈判单位对评审结果有异议的，应当在结果公示期间提出。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23.中选通知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24.2中选单位应当在中选通知书发出后及时与采购单位签订合同。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25.1对采购单位的纪律要求</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25.2对谈判单位的纪律要求</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356"/>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6" w:name="page32"/>
      <w:bookmarkEnd w:id="36"/>
      <w:r>
        <w:rPr>
          <w:rFonts w:hint="eastAsia" w:hAnsi="宋体" w:cs="宋体"/>
          <w:color w:val="auto"/>
          <w:sz w:val="21"/>
          <w:szCs w:val="21"/>
          <w:highlight w:val="none"/>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25.4对与评审活动有关的工作人员的纪律要求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color w:val="auto"/>
          <w:sz w:val="21"/>
          <w:szCs w:val="21"/>
          <w:highlight w:val="none"/>
        </w:rPr>
      </w:pPr>
      <w:bookmarkStart w:id="37" w:name="_Toc14891075"/>
      <w:bookmarkStart w:id="38" w:name="_Toc5089"/>
      <w:r>
        <w:rPr>
          <w:rFonts w:hint="eastAsia" w:ascii="宋体" w:hAnsi="宋体" w:cs="宋体"/>
          <w:color w:val="auto"/>
          <w:sz w:val="21"/>
          <w:szCs w:val="21"/>
          <w:highlight w:val="none"/>
        </w:rPr>
        <w:t>八、其他</w:t>
      </w:r>
      <w:bookmarkEnd w:id="37"/>
      <w:bookmarkEnd w:id="38"/>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宋体" w:hAnsi="宋体" w:cs="宋体"/>
          <w:b/>
          <w:color w:val="auto"/>
          <w:sz w:val="32"/>
          <w:szCs w:val="32"/>
          <w:highlight w:val="none"/>
        </w:rPr>
        <w:sectPr>
          <w:pgSz w:w="11906" w:h="16838"/>
          <w:pgMar w:top="1191" w:right="1417" w:bottom="1191" w:left="1191" w:header="851" w:footer="850" w:gutter="0"/>
          <w:pgNumType w:fmt="decimal"/>
          <w:cols w:space="0" w:num="1"/>
          <w:docGrid w:linePitch="312" w:charSpace="0"/>
        </w:sectPr>
      </w:pP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附件：采购代理服务费收费标准</w:t>
      </w:r>
    </w:p>
    <w:tbl>
      <w:tblPr>
        <w:tblStyle w:val="47"/>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olor w:val="auto"/>
                <w:szCs w:val="21"/>
                <w:highlight w:val="none"/>
              </w:rPr>
            </w:pPr>
            <w:r>
              <w:rPr>
                <w:rFonts w:hint="eastAsia" w:ascii="宋体" w:hAnsi="宋体"/>
                <w:color w:val="auto"/>
                <w:szCs w:val="21"/>
                <w:highlight w:val="none"/>
              </w:rPr>
              <w:t>汇率</w:t>
            </w:r>
          </w:p>
          <w:p>
            <w:pPr>
              <w:adjustRightInd w:val="0"/>
              <w:snapToGrid w:val="0"/>
              <w:rPr>
                <w:rFonts w:ascii="宋体" w:hAnsi="宋体"/>
                <w:color w:val="auto"/>
                <w:szCs w:val="21"/>
                <w:highlight w:val="none"/>
              </w:rPr>
            </w:pPr>
            <w:r>
              <w:rPr>
                <w:rFonts w:hint="eastAsia" w:ascii="宋体" w:hAnsi="宋体"/>
                <w:color w:val="auto"/>
                <w:szCs w:val="21"/>
                <w:highlight w:val="none"/>
              </w:rPr>
              <w:t>中</w:t>
            </w:r>
            <w:r>
              <w:rPr>
                <w:rFonts w:ascii="宋体" w:hAnsi="宋体"/>
                <w:color w:val="auto"/>
                <w:szCs w:val="21"/>
                <w:highlight w:val="none"/>
              </w:rPr>
              <w:t>选金额</w:t>
            </w:r>
          </w:p>
        </w:tc>
        <w:tc>
          <w:tcPr>
            <w:tcW w:w="2451" w:type="dxa"/>
            <w:tcBorders>
              <w:top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货物</w:t>
            </w:r>
            <w:r>
              <w:rPr>
                <w:rFonts w:ascii="宋体" w:hAnsi="宋体"/>
                <w:color w:val="auto"/>
                <w:szCs w:val="21"/>
                <w:highlight w:val="none"/>
              </w:rPr>
              <w:t>采购</w:t>
            </w:r>
          </w:p>
        </w:tc>
        <w:tc>
          <w:tcPr>
            <w:tcW w:w="2325" w:type="dxa"/>
            <w:tcBorders>
              <w:top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服务</w:t>
            </w:r>
            <w:r>
              <w:rPr>
                <w:rFonts w:ascii="宋体" w:hAnsi="宋体"/>
                <w:color w:val="auto"/>
                <w:szCs w:val="21"/>
                <w:highlight w:val="none"/>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工程</w:t>
            </w:r>
            <w:r>
              <w:rPr>
                <w:rFonts w:ascii="宋体" w:hAnsi="宋体"/>
                <w:color w:val="auto"/>
                <w:szCs w:val="21"/>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100万</w:t>
            </w:r>
            <w:r>
              <w:rPr>
                <w:rFonts w:ascii="宋体" w:hAnsi="宋体"/>
                <w:color w:val="auto"/>
                <w:szCs w:val="21"/>
                <w:highlight w:val="none"/>
              </w:rPr>
              <w:t>元以下</w:t>
            </w:r>
          </w:p>
        </w:tc>
        <w:tc>
          <w:tcPr>
            <w:tcW w:w="2451"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1.5%</w:t>
            </w:r>
          </w:p>
        </w:tc>
        <w:tc>
          <w:tcPr>
            <w:tcW w:w="2325"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1.5%</w:t>
            </w:r>
          </w:p>
        </w:tc>
        <w:tc>
          <w:tcPr>
            <w:tcW w:w="2367" w:type="dxa"/>
            <w:tcBorders>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100～400万</w:t>
            </w:r>
            <w:r>
              <w:rPr>
                <w:rFonts w:ascii="宋体" w:hAnsi="宋体"/>
                <w:color w:val="auto"/>
                <w:szCs w:val="21"/>
                <w:highlight w:val="none"/>
              </w:rPr>
              <w:t>元</w:t>
            </w:r>
          </w:p>
        </w:tc>
        <w:tc>
          <w:tcPr>
            <w:tcW w:w="2451"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1.1%</w:t>
            </w:r>
          </w:p>
        </w:tc>
        <w:tc>
          <w:tcPr>
            <w:tcW w:w="2325"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0.8%</w:t>
            </w:r>
          </w:p>
        </w:tc>
        <w:tc>
          <w:tcPr>
            <w:tcW w:w="2367" w:type="dxa"/>
            <w:tcBorders>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采购代理</w:t>
            </w:r>
            <w:r>
              <w:rPr>
                <w:rFonts w:ascii="宋体" w:hAnsi="宋体"/>
                <w:color w:val="auto"/>
                <w:szCs w:val="21"/>
                <w:highlight w:val="none"/>
              </w:rPr>
              <w:t>服务费的收费标准为：以中选价为基数，按《</w:t>
            </w:r>
            <w:r>
              <w:rPr>
                <w:rFonts w:hint="eastAsia" w:ascii="宋体" w:hAnsi="宋体"/>
                <w:color w:val="auto"/>
                <w:szCs w:val="21"/>
                <w:highlight w:val="none"/>
              </w:rPr>
              <w:t>采购</w:t>
            </w:r>
            <w:r>
              <w:rPr>
                <w:rFonts w:ascii="宋体" w:hAnsi="宋体"/>
                <w:color w:val="auto"/>
                <w:szCs w:val="21"/>
                <w:highlight w:val="none"/>
              </w:rPr>
              <w:t>代理服务收费汇率表》</w:t>
            </w:r>
            <w:r>
              <w:rPr>
                <w:rFonts w:hint="eastAsia" w:ascii="宋体" w:hAnsi="宋体"/>
                <w:color w:val="auto"/>
                <w:szCs w:val="21"/>
                <w:highlight w:val="none"/>
              </w:rPr>
              <w:t>进行</w:t>
            </w:r>
            <w:r>
              <w:rPr>
                <w:rFonts w:ascii="宋体" w:hAnsi="宋体"/>
                <w:color w:val="auto"/>
                <w:szCs w:val="21"/>
                <w:highlight w:val="none"/>
              </w:rPr>
              <w:t>计算后，向中选单位收取。服务</w:t>
            </w:r>
            <w:r>
              <w:rPr>
                <w:rFonts w:hint="eastAsia" w:ascii="宋体" w:hAnsi="宋体"/>
                <w:color w:val="auto"/>
                <w:szCs w:val="21"/>
                <w:highlight w:val="none"/>
              </w:rPr>
              <w:t>费</w:t>
            </w:r>
            <w:r>
              <w:rPr>
                <w:rFonts w:ascii="宋体" w:hAnsi="宋体"/>
                <w:color w:val="auto"/>
                <w:szCs w:val="21"/>
                <w:highlight w:val="none"/>
              </w:rPr>
              <w:t>超过</w:t>
            </w:r>
            <w:r>
              <w:rPr>
                <w:rFonts w:hint="eastAsia" w:ascii="宋体" w:hAnsi="宋体"/>
                <w:color w:val="auto"/>
                <w:szCs w:val="21"/>
                <w:highlight w:val="none"/>
              </w:rPr>
              <w:t>2万</w:t>
            </w:r>
            <w:r>
              <w:rPr>
                <w:rFonts w:ascii="宋体" w:hAnsi="宋体"/>
                <w:color w:val="auto"/>
                <w:szCs w:val="21"/>
                <w:highlight w:val="none"/>
              </w:rPr>
              <w:t>元的，按</w:t>
            </w:r>
            <w:r>
              <w:rPr>
                <w:rFonts w:hint="eastAsia" w:ascii="宋体" w:hAnsi="宋体"/>
                <w:color w:val="auto"/>
                <w:szCs w:val="21"/>
                <w:highlight w:val="none"/>
              </w:rPr>
              <w:t>2万</w:t>
            </w:r>
            <w:r>
              <w:rPr>
                <w:rFonts w:ascii="宋体" w:hAnsi="宋体"/>
                <w:color w:val="auto"/>
                <w:szCs w:val="21"/>
                <w:highlight w:val="none"/>
              </w:rPr>
              <w:t>元</w:t>
            </w:r>
            <w:r>
              <w:rPr>
                <w:rFonts w:hint="eastAsia" w:ascii="宋体" w:hAnsi="宋体"/>
                <w:color w:val="auto"/>
                <w:szCs w:val="21"/>
                <w:highlight w:val="none"/>
              </w:rPr>
              <w:t>计</w:t>
            </w:r>
            <w:r>
              <w:rPr>
                <w:rFonts w:ascii="宋体" w:hAnsi="宋体"/>
                <w:color w:val="auto"/>
                <w:szCs w:val="21"/>
                <w:highlight w:val="none"/>
              </w:rPr>
              <w:t>取，服务费低于</w:t>
            </w:r>
            <w:r>
              <w:rPr>
                <w:rFonts w:hint="eastAsia" w:ascii="宋体" w:hAnsi="宋体"/>
                <w:color w:val="auto"/>
                <w:szCs w:val="21"/>
                <w:highlight w:val="none"/>
              </w:rPr>
              <w:t>5000元</w:t>
            </w:r>
            <w:r>
              <w:rPr>
                <w:rFonts w:ascii="宋体" w:hAnsi="宋体"/>
                <w:color w:val="auto"/>
                <w:szCs w:val="21"/>
                <w:highlight w:val="none"/>
              </w:rPr>
              <w:t>的，按</w:t>
            </w:r>
            <w:r>
              <w:rPr>
                <w:rFonts w:hint="eastAsia" w:ascii="宋体" w:hAnsi="宋体"/>
                <w:color w:val="auto"/>
                <w:szCs w:val="21"/>
                <w:highlight w:val="none"/>
              </w:rPr>
              <w:t>5000元</w:t>
            </w:r>
            <w:r>
              <w:rPr>
                <w:rFonts w:ascii="宋体" w:hAnsi="宋体"/>
                <w:color w:val="auto"/>
                <w:szCs w:val="21"/>
                <w:highlight w:val="none"/>
              </w:rPr>
              <w:t>计取。</w:t>
            </w:r>
          </w:p>
        </w:tc>
      </w:tr>
    </w:tbl>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100万元×1.0%＝1万元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（300-100）万元×0.7%＝1.4万元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合计收费＝1+1.4＝2.4（万元）</w:t>
      </w:r>
    </w:p>
    <w:p>
      <w:pPr>
        <w:adjustRightInd w:val="0"/>
        <w:snapToGrid w:val="0"/>
        <w:spacing w:line="360" w:lineRule="auto"/>
        <w:ind w:firstLine="420" w:firstLineChars="200"/>
        <w:jc w:val="left"/>
        <w:rPr>
          <w:rFonts w:ascii="宋体" w:hAnsi="宋体" w:cs="宋体"/>
          <w:b/>
          <w:color w:val="auto"/>
          <w:szCs w:val="21"/>
          <w:highlight w:val="none"/>
        </w:rPr>
        <w:sectPr>
          <w:footerReference r:id="rId5" w:type="default"/>
          <w:pgSz w:w="11906" w:h="16838"/>
          <w:pgMar w:top="1191" w:right="1417" w:bottom="1191" w:left="1191" w:header="851" w:footer="850" w:gutter="0"/>
          <w:pgNumType w:fmt="decimal"/>
          <w:cols w:space="0" w:num="1"/>
          <w:docGrid w:linePitch="312" w:charSpace="0"/>
        </w:sectPr>
      </w:pPr>
      <w:r>
        <w:rPr>
          <w:rFonts w:hint="eastAsia" w:ascii="宋体" w:hAnsi="宋体" w:cs="宋体"/>
          <w:color w:val="auto"/>
          <w:szCs w:val="21"/>
          <w:highlight w:val="none"/>
        </w:rPr>
        <w:t>本项目采购代理服务费为2万元</w:t>
      </w:r>
    </w:p>
    <w:p>
      <w:pPr>
        <w:pStyle w:val="4"/>
        <w:keepNext w:val="0"/>
        <w:spacing w:line="360" w:lineRule="auto"/>
        <w:rPr>
          <w:rFonts w:ascii="宋体" w:hAnsi="宋体" w:cs="宋体"/>
          <w:color w:val="auto"/>
          <w:sz w:val="32"/>
          <w:szCs w:val="32"/>
          <w:highlight w:val="none"/>
        </w:rPr>
      </w:pPr>
      <w:bookmarkStart w:id="39" w:name="_Toc5567"/>
      <w:bookmarkStart w:id="40" w:name="_Toc28427"/>
      <w:bookmarkStart w:id="41" w:name="_Toc4275"/>
      <w:bookmarkStart w:id="42" w:name="_Toc2972"/>
      <w:r>
        <w:rPr>
          <w:rFonts w:hint="eastAsia" w:ascii="宋体" w:hAnsi="宋体" w:cs="宋体"/>
          <w:color w:val="auto"/>
          <w:sz w:val="32"/>
          <w:szCs w:val="32"/>
          <w:highlight w:val="none"/>
        </w:rPr>
        <w:t>第三章  评审办法及标准</w:t>
      </w:r>
      <w:bookmarkEnd w:id="39"/>
      <w:bookmarkEnd w:id="40"/>
      <w:bookmarkEnd w:id="41"/>
      <w:bookmarkEnd w:id="42"/>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1.本项目采用经符合性审查合格后的</w:t>
      </w:r>
      <w:r>
        <w:rPr>
          <w:rFonts w:hint="eastAsia" w:ascii="宋体" w:hAnsi="宋体" w:cs="宋体"/>
          <w:b/>
          <w:bCs/>
          <w:color w:val="auto"/>
          <w:szCs w:val="21"/>
          <w:highlight w:val="none"/>
          <w:u w:val="single"/>
        </w:rPr>
        <w:t>最低价法</w:t>
      </w:r>
      <w:r>
        <w:rPr>
          <w:rFonts w:hint="eastAsia" w:ascii="宋体" w:hAnsi="宋体" w:cs="宋体"/>
          <w:color w:val="auto"/>
          <w:szCs w:val="21"/>
          <w:highlight w:val="none"/>
        </w:rPr>
        <w:t>。</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2.2谈判程序分为：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3.1.2参与谈判的代表身份经验证不合格的，视为无效响应，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3.2.唱价阶段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符合性审查分为对谈判单位资格的符合性审查及报价的符合性审查。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4.1资格的符合性审查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w:t>
      </w:r>
      <w:r>
        <w:rPr>
          <w:rFonts w:hint="eastAsia" w:ascii="宋体" w:hAnsi="宋体" w:cs="宋体"/>
          <w:bCs/>
          <w:color w:val="auto"/>
          <w:szCs w:val="21"/>
          <w:highlight w:val="none"/>
        </w:rPr>
        <w:t>小组</w:t>
      </w:r>
      <w:r>
        <w:rPr>
          <w:rFonts w:hint="eastAsia" w:ascii="宋体" w:hAnsi="宋体" w:cs="宋体"/>
          <w:color w:val="auto"/>
          <w:szCs w:val="21"/>
          <w:highlight w:val="none"/>
        </w:rPr>
        <w:t>根据本谈判文件</w:t>
      </w:r>
      <w:r>
        <w:rPr>
          <w:rFonts w:hint="eastAsia" w:ascii="宋体" w:hAnsi="宋体" w:cs="宋体"/>
          <w:b/>
          <w:color w:val="auto"/>
          <w:szCs w:val="21"/>
          <w:highlight w:val="none"/>
        </w:rPr>
        <w:t>前附表</w:t>
      </w:r>
      <w:r>
        <w:rPr>
          <w:rFonts w:hint="eastAsia" w:ascii="宋体" w:hAnsi="宋体" w:cs="宋体"/>
          <w:color w:val="auto"/>
          <w:szCs w:val="21"/>
          <w:highlight w:val="none"/>
        </w:rPr>
        <w:t>内规定的谈判单位资格要求，对谈判单位进行符合性审查。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4.2报价的符合性审查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4.3有下列情形之一的，为符合性审查不合格，视为无效响应，不进入下一阶段：</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（1）未按照谈判文件规定要求签署盖章的。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（3）未带加盖谈判单位公章的营业执照副本复印件的。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（4）不满足资格条件要求的。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（5）不满足用户需求书要求的。</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（6）超过</w:t>
      </w:r>
      <w:r>
        <w:rPr>
          <w:rFonts w:hint="eastAsia" w:ascii="宋体" w:hAnsi="宋体"/>
          <w:color w:val="auto"/>
          <w:szCs w:val="21"/>
          <w:highlight w:val="none"/>
        </w:rPr>
        <w:t>最高限价的</w:t>
      </w:r>
      <w:r>
        <w:rPr>
          <w:rFonts w:hint="eastAsia" w:ascii="宋体" w:hAnsi="宋体" w:cs="宋体"/>
          <w:color w:val="auto"/>
          <w:kern w:val="0"/>
          <w:szCs w:val="21"/>
          <w:highlight w:val="none"/>
        </w:rPr>
        <w:t>。</w:t>
      </w:r>
    </w:p>
    <w:p>
      <w:pPr>
        <w:adjustRightInd w:val="0"/>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olor w:val="auto"/>
          <w:szCs w:val="21"/>
          <w:highlight w:val="none"/>
        </w:rPr>
        <w:t>（8）被长沙市轨道交通集团函告禁止在一定期限内参与轨道公司项目投标或谈判的单位按函告内容执行。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5.</w:t>
      </w:r>
      <w:r>
        <w:rPr>
          <w:rFonts w:hint="eastAsia" w:ascii="宋体" w:hAnsi="宋体" w:cs="宋体"/>
          <w:b/>
          <w:bCs/>
          <w:color w:val="auto"/>
          <w:szCs w:val="21"/>
          <w:highlight w:val="none"/>
        </w:rPr>
        <w:t>详细评审阶段</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6.推荐中选单位</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6.1</w:t>
      </w:r>
      <w:r>
        <w:rPr>
          <w:rFonts w:hint="eastAsia" w:ascii="宋体" w:hAnsi="宋体" w:cs="宋体"/>
          <w:color w:val="auto"/>
          <w:kern w:val="0"/>
          <w:szCs w:val="21"/>
          <w:highlight w:val="none"/>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6.2全部评审结束后，若出现报价得分相同的情形，则采用现场抽签方式确定中选单位。</w:t>
      </w:r>
    </w:p>
    <w:p>
      <w:pPr>
        <w:rPr>
          <w:rFonts w:ascii="宋体" w:hAnsi="宋体" w:cs="宋体"/>
          <w:bCs/>
          <w:color w:val="auto"/>
          <w:szCs w:val="21"/>
          <w:highlight w:val="none"/>
        </w:rPr>
        <w:sectPr>
          <w:pgSz w:w="11906" w:h="16838"/>
          <w:pgMar w:top="1191" w:right="1417" w:bottom="1191" w:left="1191" w:header="851" w:footer="850" w:gutter="0"/>
          <w:pgNumType w:fmt="decimal"/>
          <w:cols w:space="0" w:num="1"/>
          <w:docGrid w:linePitch="312" w:charSpace="0"/>
        </w:sectPr>
      </w:pPr>
      <w:r>
        <w:rPr>
          <w:rFonts w:hint="eastAsia" w:ascii="宋体" w:hAnsi="宋体" w:cs="宋体"/>
          <w:color w:val="auto"/>
          <w:kern w:val="0"/>
          <w:szCs w:val="21"/>
          <w:highlight w:val="none"/>
        </w:rPr>
        <w:br w:type="page"/>
      </w:r>
    </w:p>
    <w:p>
      <w:pPr>
        <w:pStyle w:val="4"/>
        <w:keepNext w:val="0"/>
        <w:spacing w:line="360" w:lineRule="auto"/>
        <w:rPr>
          <w:rFonts w:ascii="宋体" w:hAnsi="宋体" w:cs="宋体"/>
          <w:color w:val="auto"/>
          <w:sz w:val="32"/>
          <w:szCs w:val="32"/>
          <w:highlight w:val="none"/>
        </w:rPr>
      </w:pPr>
      <w:bookmarkStart w:id="43" w:name="_Toc14891077"/>
      <w:bookmarkStart w:id="44" w:name="_Toc17997"/>
      <w:bookmarkStart w:id="45" w:name="_Toc23442"/>
      <w:bookmarkStart w:id="46" w:name="_Toc17562"/>
      <w:bookmarkStart w:id="47" w:name="_Toc13076"/>
      <w:r>
        <w:rPr>
          <w:rFonts w:hint="eastAsia" w:ascii="宋体" w:hAnsi="宋体" w:cs="宋体"/>
          <w:color w:val="auto"/>
          <w:sz w:val="32"/>
          <w:szCs w:val="32"/>
          <w:highlight w:val="none"/>
        </w:rPr>
        <w:t xml:space="preserve">第四章  </w:t>
      </w:r>
      <w:bookmarkEnd w:id="43"/>
      <w:bookmarkEnd w:id="44"/>
      <w:bookmarkEnd w:id="45"/>
      <w:bookmarkEnd w:id="46"/>
      <w:r>
        <w:rPr>
          <w:rFonts w:hint="eastAsia" w:ascii="宋体" w:hAnsi="宋体" w:cs="宋体"/>
          <w:color w:val="auto"/>
          <w:sz w:val="32"/>
          <w:szCs w:val="32"/>
          <w:highlight w:val="none"/>
        </w:rPr>
        <w:t>用户需求书（另册）</w:t>
      </w:r>
      <w:bookmarkEnd w:id="47"/>
    </w:p>
    <w:p>
      <w:pPr>
        <w:pStyle w:val="4"/>
        <w:keepNext w:val="0"/>
        <w:spacing w:line="360" w:lineRule="auto"/>
        <w:rPr>
          <w:rFonts w:ascii="宋体" w:hAnsi="宋体" w:cs="宋体"/>
          <w:color w:val="auto"/>
          <w:sz w:val="32"/>
          <w:szCs w:val="32"/>
          <w:highlight w:val="none"/>
        </w:rPr>
        <w:sectPr>
          <w:headerReference r:id="rId6" w:type="default"/>
          <w:footerReference r:id="rId7" w:type="default"/>
          <w:endnotePr>
            <w:numFmt w:val="decimal"/>
          </w:endnotePr>
          <w:pgSz w:w="11906" w:h="16838"/>
          <w:pgMar w:top="1191" w:right="1417" w:bottom="1191" w:left="1191" w:header="851" w:footer="850" w:gutter="0"/>
          <w:pgNumType w:fmt="decimal"/>
          <w:cols w:space="0" w:num="1"/>
          <w:docGrid w:linePitch="312" w:charSpace="0"/>
        </w:sectPr>
      </w:pPr>
    </w:p>
    <w:p>
      <w:pPr>
        <w:pStyle w:val="4"/>
        <w:keepNext w:val="0"/>
        <w:spacing w:line="360" w:lineRule="auto"/>
        <w:rPr>
          <w:rFonts w:ascii="宋体" w:hAnsi="宋体" w:cs="宋体"/>
          <w:color w:val="auto"/>
          <w:sz w:val="32"/>
          <w:szCs w:val="32"/>
          <w:highlight w:val="none"/>
        </w:rPr>
      </w:pPr>
      <w:bookmarkStart w:id="48" w:name="_Toc18526"/>
      <w:r>
        <w:rPr>
          <w:rFonts w:hint="eastAsia" w:ascii="宋体" w:hAnsi="宋体" w:cs="宋体"/>
          <w:color w:val="auto"/>
          <w:sz w:val="32"/>
          <w:szCs w:val="32"/>
          <w:highlight w:val="none"/>
        </w:rPr>
        <w:t xml:space="preserve">第五章  </w:t>
      </w:r>
      <w:bookmarkStart w:id="49" w:name="_Toc14891078"/>
      <w:bookmarkStart w:id="50" w:name="_Toc17441"/>
      <w:bookmarkStart w:id="51" w:name="_Toc22262"/>
      <w:bookmarkStart w:id="52" w:name="_Toc13521"/>
      <w:r>
        <w:rPr>
          <w:rFonts w:hint="eastAsia" w:ascii="宋体" w:hAnsi="宋体" w:cs="宋体"/>
          <w:color w:val="auto"/>
          <w:sz w:val="32"/>
          <w:szCs w:val="32"/>
          <w:highlight w:val="none"/>
        </w:rPr>
        <w:t>最高限价</w:t>
      </w:r>
      <w:bookmarkEnd w:id="48"/>
    </w:p>
    <w:p>
      <w:pPr>
        <w:pStyle w:val="4"/>
        <w:keepNext w:val="0"/>
        <w:spacing w:line="360" w:lineRule="auto"/>
        <w:rPr>
          <w:rFonts w:ascii="宋体" w:hAnsi="宋体" w:cs="宋体"/>
          <w:color w:val="auto"/>
          <w:sz w:val="32"/>
          <w:szCs w:val="32"/>
          <w:highlight w:val="none"/>
        </w:rPr>
      </w:pPr>
    </w:p>
    <w:tbl>
      <w:tblPr>
        <w:tblStyle w:val="46"/>
        <w:tblW w:w="10122" w:type="dxa"/>
        <w:tblInd w:w="93" w:type="dxa"/>
        <w:tblLayout w:type="autofit"/>
        <w:tblCellMar>
          <w:top w:w="0" w:type="dxa"/>
          <w:left w:w="108" w:type="dxa"/>
          <w:bottom w:w="0" w:type="dxa"/>
          <w:right w:w="108" w:type="dxa"/>
        </w:tblCellMar>
      </w:tblPr>
      <w:tblGrid>
        <w:gridCol w:w="1280"/>
        <w:gridCol w:w="1150"/>
        <w:gridCol w:w="1005"/>
        <w:gridCol w:w="1005"/>
        <w:gridCol w:w="222"/>
        <w:gridCol w:w="898"/>
        <w:gridCol w:w="692"/>
        <w:gridCol w:w="768"/>
        <w:gridCol w:w="327"/>
        <w:gridCol w:w="1095"/>
        <w:gridCol w:w="38"/>
        <w:gridCol w:w="800"/>
        <w:gridCol w:w="842"/>
      </w:tblGrid>
      <w:tr>
        <w:tblPrEx>
          <w:tblCellMar>
            <w:top w:w="0" w:type="dxa"/>
            <w:left w:w="108" w:type="dxa"/>
            <w:bottom w:w="0" w:type="dxa"/>
            <w:right w:w="108" w:type="dxa"/>
          </w:tblCellMar>
        </w:tblPrEx>
        <w:trPr>
          <w:trHeight w:val="1170" w:hRule="atLeast"/>
        </w:trPr>
        <w:tc>
          <w:tcPr>
            <w:tcW w:w="2430" w:type="dxa"/>
            <w:gridSpan w:val="2"/>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4917" w:type="dxa"/>
            <w:gridSpan w:val="7"/>
            <w:tcBorders>
              <w:top w:val="nil"/>
              <w:left w:val="nil"/>
              <w:bottom w:val="single" w:color="000000" w:sz="4" w:space="0"/>
              <w:right w:val="nil"/>
            </w:tcBorders>
            <w:shd w:val="clear" w:color="auto" w:fill="auto"/>
            <w:vAlign w:val="bottom"/>
          </w:tcPr>
          <w:p>
            <w:pPr>
              <w:widowControl/>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长沙市轨道交通2号线运营期大客流车站公共区卫生间提质改造项目</w:t>
            </w:r>
          </w:p>
        </w:tc>
        <w:tc>
          <w:tcPr>
            <w:tcW w:w="2775" w:type="dxa"/>
            <w:gridSpan w:val="4"/>
            <w:tcBorders>
              <w:top w:val="nil"/>
              <w:left w:val="nil"/>
              <w:bottom w:val="nil"/>
              <w:right w:val="nil"/>
            </w:tcBorders>
            <w:shd w:val="clear" w:color="auto" w:fill="auto"/>
            <w:noWrap/>
            <w:vAlign w:val="bottom"/>
          </w:tcPr>
          <w:p>
            <w:pPr>
              <w:widowControl/>
              <w:jc w:val="left"/>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工程</w:t>
            </w:r>
          </w:p>
        </w:tc>
      </w:tr>
      <w:tr>
        <w:tblPrEx>
          <w:tblCellMar>
            <w:top w:w="0" w:type="dxa"/>
            <w:left w:w="108" w:type="dxa"/>
            <w:bottom w:w="0" w:type="dxa"/>
            <w:right w:w="108" w:type="dxa"/>
          </w:tblCellMar>
        </w:tblPrEx>
        <w:trPr>
          <w:trHeight w:val="1410" w:hRule="atLeast"/>
        </w:trPr>
        <w:tc>
          <w:tcPr>
            <w:tcW w:w="8442" w:type="dxa"/>
            <w:gridSpan w:val="10"/>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 xml:space="preserve">   招标控制价</w:t>
            </w: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915" w:hRule="atLeast"/>
        </w:trPr>
        <w:tc>
          <w:tcPr>
            <w:tcW w:w="3435" w:type="dxa"/>
            <w:gridSpan w:val="3"/>
            <w:tcBorders>
              <w:top w:val="nil"/>
              <w:left w:val="nil"/>
              <w:bottom w:val="nil"/>
              <w:right w:val="nil"/>
            </w:tcBorders>
            <w:shd w:val="clear" w:color="auto" w:fill="auto"/>
            <w:noWrap/>
            <w:vAlign w:val="bottom"/>
          </w:tcPr>
          <w:p>
            <w:pPr>
              <w:widowControl/>
              <w:jc w:val="right"/>
              <w:rPr>
                <w:rFonts w:ascii="宋体" w:hAnsi="宋体" w:cs="宋体"/>
                <w:color w:val="auto"/>
                <w:kern w:val="0"/>
                <w:sz w:val="24"/>
                <w:highlight w:val="none"/>
              </w:rPr>
            </w:pPr>
            <w:r>
              <w:rPr>
                <w:rFonts w:hint="eastAsia" w:ascii="宋体" w:hAnsi="宋体" w:cs="宋体"/>
                <w:color w:val="auto"/>
                <w:kern w:val="0"/>
                <w:sz w:val="24"/>
                <w:highlight w:val="none"/>
              </w:rPr>
              <w:t>招标控制价（小写）：</w:t>
            </w:r>
          </w:p>
        </w:tc>
        <w:tc>
          <w:tcPr>
            <w:tcW w:w="5007" w:type="dxa"/>
            <w:gridSpan w:val="7"/>
            <w:tcBorders>
              <w:top w:val="nil"/>
              <w:left w:val="nil"/>
              <w:bottom w:val="single" w:color="000000" w:sz="4" w:space="0"/>
              <w:right w:val="nil"/>
            </w:tcBorders>
            <w:shd w:val="clear" w:color="auto" w:fill="auto"/>
            <w:noWrap/>
            <w:vAlign w:val="bottom"/>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622062.67</w:t>
            </w: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990" w:hRule="atLeast"/>
        </w:trPr>
        <w:tc>
          <w:tcPr>
            <w:tcW w:w="3435" w:type="dxa"/>
            <w:gridSpan w:val="3"/>
            <w:tcBorders>
              <w:top w:val="nil"/>
              <w:left w:val="nil"/>
              <w:bottom w:val="nil"/>
              <w:right w:val="nil"/>
            </w:tcBorders>
            <w:shd w:val="clear" w:color="auto" w:fill="auto"/>
            <w:noWrap/>
            <w:vAlign w:val="bottom"/>
          </w:tcPr>
          <w:p>
            <w:pPr>
              <w:widowControl/>
              <w:jc w:val="right"/>
              <w:rPr>
                <w:rFonts w:ascii="宋体" w:hAnsi="宋体" w:cs="宋体"/>
                <w:color w:val="auto"/>
                <w:kern w:val="0"/>
                <w:sz w:val="24"/>
                <w:highlight w:val="none"/>
              </w:rPr>
            </w:pPr>
            <w:r>
              <w:rPr>
                <w:rFonts w:hint="eastAsia" w:ascii="宋体" w:hAnsi="宋体" w:cs="宋体"/>
                <w:color w:val="auto"/>
                <w:kern w:val="0"/>
                <w:sz w:val="24"/>
                <w:highlight w:val="none"/>
              </w:rPr>
              <w:t>（大写）：</w:t>
            </w:r>
          </w:p>
        </w:tc>
        <w:tc>
          <w:tcPr>
            <w:tcW w:w="5007" w:type="dxa"/>
            <w:gridSpan w:val="7"/>
            <w:tcBorders>
              <w:top w:val="single" w:color="000000" w:sz="4" w:space="0"/>
              <w:left w:val="nil"/>
              <w:bottom w:val="single" w:color="000000" w:sz="4" w:space="0"/>
              <w:right w:val="nil"/>
            </w:tcBorders>
            <w:shd w:val="clear" w:color="auto" w:fill="auto"/>
            <w:vAlign w:val="bottom"/>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陆拾贰万贰仟零陆拾贰元陆角柒分</w:t>
            </w: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1680" w:hRule="atLeast"/>
        </w:trPr>
        <w:tc>
          <w:tcPr>
            <w:tcW w:w="2430" w:type="dxa"/>
            <w:gridSpan w:val="2"/>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招  标  人：</w:t>
            </w:r>
          </w:p>
        </w:tc>
        <w:tc>
          <w:tcPr>
            <w:tcW w:w="2010" w:type="dxa"/>
            <w:gridSpan w:val="2"/>
            <w:tcBorders>
              <w:top w:val="nil"/>
              <w:left w:val="nil"/>
              <w:bottom w:val="single" w:color="000000" w:sz="4" w:space="0"/>
              <w:right w:val="nil"/>
            </w:tcBorders>
            <w:shd w:val="clear" w:color="auto" w:fill="auto"/>
            <w:noWrap/>
            <w:vAlign w:val="bottom"/>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22"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590" w:type="dxa"/>
            <w:gridSpan w:val="2"/>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造价咨询人：</w:t>
            </w:r>
          </w:p>
        </w:tc>
        <w:tc>
          <w:tcPr>
            <w:tcW w:w="2190" w:type="dxa"/>
            <w:gridSpan w:val="3"/>
            <w:tcBorders>
              <w:top w:val="single" w:color="000000" w:sz="4" w:space="0"/>
              <w:left w:val="nil"/>
              <w:bottom w:val="single" w:color="000000" w:sz="4" w:space="0"/>
              <w:right w:val="nil"/>
            </w:tcBorders>
            <w:shd w:val="clear" w:color="auto" w:fill="auto"/>
            <w:noWrap/>
            <w:vAlign w:val="bottom"/>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90" w:hRule="atLeast"/>
        </w:trPr>
        <w:tc>
          <w:tcPr>
            <w:tcW w:w="2430" w:type="dxa"/>
            <w:gridSpan w:val="2"/>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2010" w:type="dxa"/>
            <w:gridSpan w:val="2"/>
            <w:tcBorders>
              <w:top w:val="single" w:color="000000" w:sz="4" w:space="0"/>
              <w:left w:val="nil"/>
              <w:bottom w:val="nil"/>
              <w:right w:val="nil"/>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(单位盖章)</w:t>
            </w:r>
          </w:p>
        </w:tc>
        <w:tc>
          <w:tcPr>
            <w:tcW w:w="222" w:type="dxa"/>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1590" w:type="dxa"/>
            <w:gridSpan w:val="2"/>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2190" w:type="dxa"/>
            <w:gridSpan w:val="3"/>
            <w:tcBorders>
              <w:top w:val="single" w:color="000000" w:sz="4" w:space="0"/>
              <w:left w:val="nil"/>
              <w:bottom w:val="nil"/>
              <w:right w:val="nil"/>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(单位资质专用章)</w:t>
            </w: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1470" w:hRule="atLeast"/>
        </w:trPr>
        <w:tc>
          <w:tcPr>
            <w:tcW w:w="2430" w:type="dxa"/>
            <w:gridSpan w:val="2"/>
            <w:tcBorders>
              <w:top w:val="nil"/>
              <w:left w:val="nil"/>
              <w:bottom w:val="nil"/>
              <w:right w:val="nil"/>
            </w:tcBorders>
            <w:shd w:val="clear" w:color="auto" w:fill="auto"/>
            <w:vAlign w:val="bottom"/>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法定代表人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 或其授权人：</w:t>
            </w:r>
          </w:p>
        </w:tc>
        <w:tc>
          <w:tcPr>
            <w:tcW w:w="2010" w:type="dxa"/>
            <w:gridSpan w:val="2"/>
            <w:tcBorders>
              <w:top w:val="nil"/>
              <w:left w:val="nil"/>
              <w:bottom w:val="single" w:color="000000" w:sz="4" w:space="0"/>
              <w:right w:val="nil"/>
            </w:tcBorders>
            <w:shd w:val="clear" w:color="auto" w:fill="auto"/>
            <w:noWrap/>
            <w:vAlign w:val="bottom"/>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22" w:type="dxa"/>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1590" w:type="dxa"/>
            <w:gridSpan w:val="2"/>
            <w:tcBorders>
              <w:top w:val="nil"/>
              <w:left w:val="nil"/>
              <w:bottom w:val="nil"/>
              <w:right w:val="nil"/>
            </w:tcBorders>
            <w:shd w:val="clear" w:color="auto" w:fill="auto"/>
            <w:vAlign w:val="bottom"/>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法定代表人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或其授权人 ：</w:t>
            </w:r>
          </w:p>
        </w:tc>
        <w:tc>
          <w:tcPr>
            <w:tcW w:w="2190" w:type="dxa"/>
            <w:gridSpan w:val="3"/>
            <w:tcBorders>
              <w:top w:val="nil"/>
              <w:left w:val="nil"/>
              <w:bottom w:val="single" w:color="000000" w:sz="4" w:space="0"/>
              <w:right w:val="nil"/>
            </w:tcBorders>
            <w:shd w:val="clear" w:color="auto" w:fill="auto"/>
            <w:noWrap/>
            <w:vAlign w:val="bottom"/>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90" w:hRule="atLeast"/>
        </w:trPr>
        <w:tc>
          <w:tcPr>
            <w:tcW w:w="2430" w:type="dxa"/>
            <w:gridSpan w:val="2"/>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2010" w:type="dxa"/>
            <w:gridSpan w:val="2"/>
            <w:tcBorders>
              <w:top w:val="single" w:color="000000" w:sz="4" w:space="0"/>
              <w:left w:val="nil"/>
              <w:bottom w:val="nil"/>
              <w:right w:val="nil"/>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(签字或盖章)</w:t>
            </w:r>
          </w:p>
        </w:tc>
        <w:tc>
          <w:tcPr>
            <w:tcW w:w="222" w:type="dxa"/>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1590" w:type="dxa"/>
            <w:gridSpan w:val="2"/>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2190" w:type="dxa"/>
            <w:gridSpan w:val="3"/>
            <w:tcBorders>
              <w:top w:val="single" w:color="000000" w:sz="4" w:space="0"/>
              <w:left w:val="nil"/>
              <w:bottom w:val="nil"/>
              <w:right w:val="nil"/>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(签字或盖章)</w:t>
            </w: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1500" w:hRule="atLeast"/>
        </w:trPr>
        <w:tc>
          <w:tcPr>
            <w:tcW w:w="2430" w:type="dxa"/>
            <w:gridSpan w:val="2"/>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编  制  人：</w:t>
            </w:r>
          </w:p>
        </w:tc>
        <w:tc>
          <w:tcPr>
            <w:tcW w:w="2010" w:type="dxa"/>
            <w:gridSpan w:val="2"/>
            <w:tcBorders>
              <w:top w:val="nil"/>
              <w:left w:val="nil"/>
              <w:bottom w:val="single" w:color="000000" w:sz="4" w:space="0"/>
              <w:right w:val="nil"/>
            </w:tcBorders>
            <w:shd w:val="clear" w:color="auto" w:fill="auto"/>
            <w:noWrap/>
            <w:vAlign w:val="bottom"/>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22" w:type="dxa"/>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1590" w:type="dxa"/>
            <w:gridSpan w:val="2"/>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复  核  人 ：</w:t>
            </w:r>
          </w:p>
        </w:tc>
        <w:tc>
          <w:tcPr>
            <w:tcW w:w="2190" w:type="dxa"/>
            <w:gridSpan w:val="3"/>
            <w:tcBorders>
              <w:top w:val="nil"/>
              <w:left w:val="nil"/>
              <w:bottom w:val="single" w:color="000000" w:sz="4" w:space="0"/>
              <w:right w:val="nil"/>
            </w:tcBorders>
            <w:shd w:val="clear" w:color="auto" w:fill="auto"/>
            <w:noWrap/>
            <w:vAlign w:val="bottom"/>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90" w:hRule="atLeast"/>
        </w:trPr>
        <w:tc>
          <w:tcPr>
            <w:tcW w:w="2430" w:type="dxa"/>
            <w:gridSpan w:val="2"/>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2010" w:type="dxa"/>
            <w:gridSpan w:val="2"/>
            <w:tcBorders>
              <w:top w:val="single" w:color="000000" w:sz="4" w:space="0"/>
              <w:left w:val="nil"/>
              <w:bottom w:val="nil"/>
              <w:right w:val="nil"/>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(造价人员签字盖专用章)</w:t>
            </w:r>
          </w:p>
        </w:tc>
        <w:tc>
          <w:tcPr>
            <w:tcW w:w="222" w:type="dxa"/>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1590" w:type="dxa"/>
            <w:gridSpan w:val="2"/>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2190" w:type="dxa"/>
            <w:gridSpan w:val="3"/>
            <w:tcBorders>
              <w:top w:val="single" w:color="000000" w:sz="4" w:space="0"/>
              <w:left w:val="nil"/>
              <w:bottom w:val="nil"/>
              <w:right w:val="nil"/>
            </w:tcBorders>
            <w:shd w:val="clear" w:color="auto" w:fill="auto"/>
            <w:noWrap/>
            <w:vAlign w:val="bottom"/>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(造价工程师签字盖专用章)</w:t>
            </w: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1830" w:hRule="atLeast"/>
        </w:trPr>
        <w:tc>
          <w:tcPr>
            <w:tcW w:w="2430" w:type="dxa"/>
            <w:gridSpan w:val="2"/>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编 制 时 间：</w:t>
            </w:r>
          </w:p>
        </w:tc>
        <w:tc>
          <w:tcPr>
            <w:tcW w:w="2010" w:type="dxa"/>
            <w:gridSpan w:val="2"/>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p>
        </w:tc>
        <w:tc>
          <w:tcPr>
            <w:tcW w:w="222" w:type="dxa"/>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1590" w:type="dxa"/>
            <w:gridSpan w:val="2"/>
            <w:tcBorders>
              <w:top w:val="nil"/>
              <w:left w:val="nil"/>
              <w:bottom w:val="nil"/>
              <w:right w:val="nil"/>
            </w:tcBorders>
            <w:shd w:val="clear" w:color="auto" w:fill="auto"/>
            <w:noWrap/>
            <w:vAlign w:val="bottom"/>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复核 时 间：</w:t>
            </w:r>
          </w:p>
        </w:tc>
        <w:tc>
          <w:tcPr>
            <w:tcW w:w="2190" w:type="dxa"/>
            <w:gridSpan w:val="3"/>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1830" w:hRule="atLeast"/>
        </w:trPr>
        <w:tc>
          <w:tcPr>
            <w:tcW w:w="2430" w:type="dxa"/>
            <w:gridSpan w:val="2"/>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p>
        </w:tc>
        <w:tc>
          <w:tcPr>
            <w:tcW w:w="2010" w:type="dxa"/>
            <w:gridSpan w:val="2"/>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p>
        </w:tc>
        <w:tc>
          <w:tcPr>
            <w:tcW w:w="222" w:type="dxa"/>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c>
          <w:tcPr>
            <w:tcW w:w="1590" w:type="dxa"/>
            <w:gridSpan w:val="2"/>
            <w:tcBorders>
              <w:top w:val="nil"/>
              <w:left w:val="nil"/>
              <w:bottom w:val="nil"/>
              <w:right w:val="nil"/>
            </w:tcBorders>
            <w:shd w:val="clear" w:color="auto" w:fill="auto"/>
            <w:noWrap/>
            <w:vAlign w:val="bottom"/>
          </w:tcPr>
          <w:p>
            <w:pPr>
              <w:widowControl/>
              <w:jc w:val="center"/>
              <w:rPr>
                <w:rFonts w:ascii="宋体" w:hAnsi="宋体" w:cs="宋体"/>
                <w:color w:val="auto"/>
                <w:kern w:val="0"/>
                <w:sz w:val="24"/>
                <w:highlight w:val="none"/>
              </w:rPr>
            </w:pPr>
          </w:p>
        </w:tc>
        <w:tc>
          <w:tcPr>
            <w:tcW w:w="2190" w:type="dxa"/>
            <w:gridSpan w:val="3"/>
            <w:tcBorders>
              <w:top w:val="nil"/>
              <w:left w:val="nil"/>
              <w:bottom w:val="nil"/>
              <w:right w:val="nil"/>
            </w:tcBorders>
            <w:shd w:val="clear" w:color="auto" w:fill="auto"/>
            <w:noWrap/>
            <w:vAlign w:val="bottom"/>
          </w:tcPr>
          <w:p>
            <w:pPr>
              <w:widowControl/>
              <w:jc w:val="left"/>
              <w:rPr>
                <w:rFonts w:ascii="宋体" w:hAnsi="宋体" w:cs="宋体"/>
                <w:color w:val="auto"/>
                <w:kern w:val="0"/>
                <w:sz w:val="24"/>
                <w:highlight w:val="none"/>
              </w:rPr>
            </w:pPr>
          </w:p>
        </w:tc>
        <w:tc>
          <w:tcPr>
            <w:tcW w:w="1680" w:type="dxa"/>
            <w:gridSpan w:val="3"/>
            <w:tcBorders>
              <w:top w:val="nil"/>
              <w:left w:val="nil"/>
              <w:bottom w:val="nil"/>
              <w:right w:val="nil"/>
            </w:tcBorders>
            <w:shd w:val="clear" w:color="auto" w:fill="auto"/>
            <w:noWrap/>
          </w:tcPr>
          <w:p>
            <w:pPr>
              <w:widowControl/>
              <w:jc w:val="left"/>
              <w:rPr>
                <w:rFonts w:ascii="宋体" w:hAnsi="宋体" w:cs="宋体"/>
                <w:color w:val="auto"/>
                <w:kern w:val="0"/>
                <w:sz w:val="18"/>
                <w:szCs w:val="18"/>
                <w:highlight w:val="none"/>
              </w:rPr>
            </w:pPr>
          </w:p>
        </w:tc>
      </w:tr>
      <w:tr>
        <w:tblPrEx>
          <w:tblCellMar>
            <w:top w:w="0" w:type="dxa"/>
            <w:left w:w="108" w:type="dxa"/>
            <w:bottom w:w="0" w:type="dxa"/>
            <w:right w:w="108" w:type="dxa"/>
          </w:tblCellMar>
        </w:tblPrEx>
        <w:trPr>
          <w:gridAfter w:val="1"/>
          <w:wAfter w:w="842" w:type="dxa"/>
          <w:trHeight w:val="389" w:hRule="atLeast"/>
        </w:trPr>
        <w:tc>
          <w:tcPr>
            <w:tcW w:w="9280" w:type="dxa"/>
            <w:gridSpan w:val="12"/>
            <w:vMerge w:val="restart"/>
            <w:tcBorders>
              <w:top w:val="nil"/>
              <w:left w:val="nil"/>
              <w:bottom w:val="nil"/>
              <w:right w:val="nil"/>
            </w:tcBorders>
            <w:shd w:val="clear" w:color="auto" w:fill="auto"/>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E.13 单项工程 招标控制价 汇总表</w:t>
            </w:r>
          </w:p>
        </w:tc>
      </w:tr>
      <w:tr>
        <w:tblPrEx>
          <w:tblCellMar>
            <w:top w:w="0" w:type="dxa"/>
            <w:left w:w="108" w:type="dxa"/>
            <w:bottom w:w="0" w:type="dxa"/>
            <w:right w:w="108" w:type="dxa"/>
          </w:tblCellMar>
        </w:tblPrEx>
        <w:trPr>
          <w:gridAfter w:val="1"/>
          <w:wAfter w:w="842" w:type="dxa"/>
          <w:trHeight w:val="389" w:hRule="atLeast"/>
        </w:trPr>
        <w:tc>
          <w:tcPr>
            <w:tcW w:w="9280" w:type="dxa"/>
            <w:gridSpan w:val="12"/>
            <w:vMerge w:val="continue"/>
            <w:tcBorders>
              <w:top w:val="nil"/>
              <w:left w:val="nil"/>
              <w:bottom w:val="nil"/>
              <w:right w:val="nil"/>
            </w:tcBorders>
            <w:vAlign w:val="center"/>
          </w:tcPr>
          <w:p>
            <w:pPr>
              <w:widowControl/>
              <w:jc w:val="left"/>
              <w:rPr>
                <w:rFonts w:ascii="宋体" w:hAnsi="宋体" w:cs="宋体"/>
                <w:b/>
                <w:bCs/>
                <w:color w:val="auto"/>
                <w:kern w:val="0"/>
                <w:sz w:val="30"/>
                <w:szCs w:val="30"/>
                <w:highlight w:val="none"/>
              </w:rPr>
            </w:pPr>
          </w:p>
        </w:tc>
      </w:tr>
      <w:tr>
        <w:tblPrEx>
          <w:tblCellMar>
            <w:top w:w="0" w:type="dxa"/>
            <w:left w:w="108" w:type="dxa"/>
            <w:bottom w:w="0" w:type="dxa"/>
            <w:right w:w="108" w:type="dxa"/>
          </w:tblCellMar>
        </w:tblPrEx>
        <w:trPr>
          <w:gridAfter w:val="1"/>
          <w:wAfter w:w="842" w:type="dxa"/>
          <w:trHeight w:val="540" w:hRule="atLeast"/>
        </w:trPr>
        <w:tc>
          <w:tcPr>
            <w:tcW w:w="8480" w:type="dxa"/>
            <w:gridSpan w:val="11"/>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800" w:type="dxa"/>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第1页 共1页</w:t>
            </w:r>
          </w:p>
        </w:tc>
      </w:tr>
      <w:tr>
        <w:tblPrEx>
          <w:tblCellMar>
            <w:top w:w="0" w:type="dxa"/>
            <w:left w:w="108" w:type="dxa"/>
            <w:bottom w:w="0" w:type="dxa"/>
            <w:right w:w="108" w:type="dxa"/>
          </w:tblCellMar>
        </w:tblPrEx>
        <w:trPr>
          <w:gridAfter w:val="1"/>
          <w:wAfter w:w="842" w:type="dxa"/>
          <w:trHeight w:val="390" w:hRule="atLeast"/>
        </w:trPr>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4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单项工程名称</w:t>
            </w:r>
          </w:p>
        </w:tc>
        <w:tc>
          <w:tcPr>
            <w:tcW w:w="1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c>
          <w:tcPr>
            <w:tcW w:w="226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其中:(元)</w:t>
            </w:r>
          </w:p>
        </w:tc>
      </w:tr>
      <w:tr>
        <w:tblPrEx>
          <w:tblCellMar>
            <w:top w:w="0" w:type="dxa"/>
            <w:left w:w="108" w:type="dxa"/>
            <w:bottom w:w="0" w:type="dxa"/>
            <w:right w:w="108" w:type="dxa"/>
          </w:tblCellMar>
        </w:tblPrEx>
        <w:trPr>
          <w:gridAfter w:val="1"/>
          <w:wAfter w:w="842" w:type="dxa"/>
          <w:trHeight w:val="540" w:hRule="atLeast"/>
        </w:trPr>
        <w:tc>
          <w:tcPr>
            <w:tcW w:w="12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4280" w:type="dxa"/>
            <w:gridSpan w:val="5"/>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46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绿色施工安全防护措施项目费</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暂估价</w:t>
            </w:r>
          </w:p>
        </w:tc>
      </w:tr>
      <w:tr>
        <w:tblPrEx>
          <w:tblCellMar>
            <w:top w:w="0" w:type="dxa"/>
            <w:left w:w="108" w:type="dxa"/>
            <w:bottom w:w="0" w:type="dxa"/>
            <w:right w:w="108" w:type="dxa"/>
          </w:tblCellMar>
        </w:tblPrEx>
        <w:trPr>
          <w:gridAfter w:val="1"/>
          <w:wAfter w:w="842" w:type="dxa"/>
          <w:trHeight w:val="540"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42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长沙市轨道交通2号线运营期大客流车站公共区卫生间提质改造项目</w:t>
            </w:r>
          </w:p>
        </w:tc>
        <w:tc>
          <w:tcPr>
            <w:tcW w:w="14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622062.67</w:t>
            </w:r>
          </w:p>
        </w:tc>
        <w:tc>
          <w:tcPr>
            <w:tcW w:w="14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24047.17</w:t>
            </w:r>
          </w:p>
        </w:tc>
        <w:tc>
          <w:tcPr>
            <w:tcW w:w="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gridAfter w:val="1"/>
          <w:wAfter w:w="842" w:type="dxa"/>
          <w:trHeight w:val="360"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42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一、卫生间地面改造升级工程</w:t>
            </w:r>
          </w:p>
        </w:tc>
        <w:tc>
          <w:tcPr>
            <w:tcW w:w="14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203576.52</w:t>
            </w:r>
          </w:p>
        </w:tc>
        <w:tc>
          <w:tcPr>
            <w:tcW w:w="14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9440.91</w:t>
            </w:r>
          </w:p>
        </w:tc>
        <w:tc>
          <w:tcPr>
            <w:tcW w:w="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gridAfter w:val="1"/>
          <w:wAfter w:w="842" w:type="dxa"/>
          <w:trHeight w:val="360"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42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二、卫生间墙面改造升级工程</w:t>
            </w:r>
          </w:p>
        </w:tc>
        <w:tc>
          <w:tcPr>
            <w:tcW w:w="14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182034.13</w:t>
            </w:r>
          </w:p>
        </w:tc>
        <w:tc>
          <w:tcPr>
            <w:tcW w:w="14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8440.33</w:t>
            </w:r>
          </w:p>
        </w:tc>
        <w:tc>
          <w:tcPr>
            <w:tcW w:w="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gridAfter w:val="1"/>
          <w:wAfter w:w="842" w:type="dxa"/>
          <w:trHeight w:val="360"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42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三、卫生间天花及设施拆装工程</w:t>
            </w:r>
          </w:p>
        </w:tc>
        <w:tc>
          <w:tcPr>
            <w:tcW w:w="14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19869.21</w:t>
            </w:r>
          </w:p>
        </w:tc>
        <w:tc>
          <w:tcPr>
            <w:tcW w:w="14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924.88</w:t>
            </w:r>
          </w:p>
        </w:tc>
        <w:tc>
          <w:tcPr>
            <w:tcW w:w="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gridAfter w:val="1"/>
          <w:wAfter w:w="842" w:type="dxa"/>
          <w:trHeight w:val="360"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42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四、卫生间洁具设备设施改造升级工程</w:t>
            </w:r>
          </w:p>
        </w:tc>
        <w:tc>
          <w:tcPr>
            <w:tcW w:w="14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184098.95</w:t>
            </w:r>
          </w:p>
        </w:tc>
        <w:tc>
          <w:tcPr>
            <w:tcW w:w="14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3896.91</w:t>
            </w:r>
          </w:p>
        </w:tc>
        <w:tc>
          <w:tcPr>
            <w:tcW w:w="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gridAfter w:val="1"/>
          <w:wAfter w:w="842" w:type="dxa"/>
          <w:trHeight w:val="360"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42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五、水电改造升级工程</w:t>
            </w:r>
          </w:p>
        </w:tc>
        <w:tc>
          <w:tcPr>
            <w:tcW w:w="14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24384.50</w:t>
            </w:r>
          </w:p>
        </w:tc>
        <w:tc>
          <w:tcPr>
            <w:tcW w:w="14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967.14</w:t>
            </w:r>
          </w:p>
        </w:tc>
        <w:tc>
          <w:tcPr>
            <w:tcW w:w="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gridAfter w:val="1"/>
          <w:wAfter w:w="842" w:type="dxa"/>
          <w:trHeight w:val="360"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42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六、零星包干工程</w:t>
            </w:r>
          </w:p>
        </w:tc>
        <w:tc>
          <w:tcPr>
            <w:tcW w:w="14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8099.36</w:t>
            </w:r>
          </w:p>
        </w:tc>
        <w:tc>
          <w:tcPr>
            <w:tcW w:w="14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377.00</w:t>
            </w:r>
          </w:p>
        </w:tc>
        <w:tc>
          <w:tcPr>
            <w:tcW w:w="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gridAfter w:val="1"/>
          <w:wAfter w:w="842" w:type="dxa"/>
          <w:trHeight w:val="360" w:hRule="atLeast"/>
        </w:trPr>
        <w:tc>
          <w:tcPr>
            <w:tcW w:w="12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2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gridAfter w:val="1"/>
          <w:wAfter w:w="842" w:type="dxa"/>
          <w:trHeight w:val="360" w:hRule="atLeast"/>
        </w:trPr>
        <w:tc>
          <w:tcPr>
            <w:tcW w:w="5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  计</w:t>
            </w:r>
          </w:p>
        </w:tc>
        <w:tc>
          <w:tcPr>
            <w:tcW w:w="14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622062.67</w:t>
            </w:r>
          </w:p>
        </w:tc>
        <w:tc>
          <w:tcPr>
            <w:tcW w:w="14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24047.17</w:t>
            </w:r>
          </w:p>
        </w:tc>
        <w:tc>
          <w:tcPr>
            <w:tcW w:w="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gridAfter w:val="1"/>
          <w:wAfter w:w="842" w:type="dxa"/>
          <w:trHeight w:val="360" w:hRule="atLeast"/>
        </w:trPr>
        <w:tc>
          <w:tcPr>
            <w:tcW w:w="9280" w:type="dxa"/>
            <w:gridSpan w:val="12"/>
            <w:tcBorders>
              <w:top w:val="single" w:color="000000" w:sz="8" w:space="0"/>
              <w:left w:val="nil"/>
              <w:bottom w:val="nil"/>
              <w:right w:val="nil"/>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注：本表适用于单项工程招标控制价或投标报价的汇总。暂估价包括分部分项工程中的暂估价和专业工程暂估价。</w:t>
            </w: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firstLineChars="0"/>
        <w:rPr>
          <w:color w:val="auto"/>
          <w:highlight w:val="none"/>
        </w:rPr>
        <w:sectPr>
          <w:endnotePr>
            <w:numFmt w:val="decimal"/>
          </w:endnotePr>
          <w:pgSz w:w="11906" w:h="16838"/>
          <w:pgMar w:top="1191" w:right="1418" w:bottom="1191" w:left="1191" w:header="851" w:footer="851" w:gutter="0"/>
          <w:pgNumType w:fmt="decimal"/>
          <w:cols w:space="0" w:num="1"/>
          <w:docGrid w:linePitch="312" w:charSpace="0"/>
        </w:sectPr>
      </w:pPr>
    </w:p>
    <w:tbl>
      <w:tblPr>
        <w:tblStyle w:val="46"/>
        <w:tblW w:w="13840" w:type="dxa"/>
        <w:tblInd w:w="93" w:type="dxa"/>
        <w:tblLayout w:type="autofit"/>
        <w:tblCellMar>
          <w:top w:w="0" w:type="dxa"/>
          <w:left w:w="108" w:type="dxa"/>
          <w:bottom w:w="0" w:type="dxa"/>
          <w:right w:w="108" w:type="dxa"/>
        </w:tblCellMar>
      </w:tblPr>
      <w:tblGrid>
        <w:gridCol w:w="880"/>
        <w:gridCol w:w="1440"/>
        <w:gridCol w:w="2140"/>
        <w:gridCol w:w="3220"/>
        <w:gridCol w:w="880"/>
        <w:gridCol w:w="1220"/>
        <w:gridCol w:w="1220"/>
        <w:gridCol w:w="1580"/>
        <w:gridCol w:w="1260"/>
      </w:tblGrid>
      <w:tr>
        <w:tblPrEx>
          <w:tblCellMar>
            <w:top w:w="0" w:type="dxa"/>
            <w:left w:w="108" w:type="dxa"/>
            <w:bottom w:w="0" w:type="dxa"/>
            <w:right w:w="108" w:type="dxa"/>
          </w:tblCellMar>
        </w:tblPrEx>
        <w:trPr>
          <w:trHeight w:val="555" w:hRule="atLeast"/>
        </w:trPr>
        <w:tc>
          <w:tcPr>
            <w:tcW w:w="13840" w:type="dxa"/>
            <w:gridSpan w:val="9"/>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E.18 分部分项工程项目清单与措施项目清单计价表</w:t>
            </w:r>
          </w:p>
        </w:tc>
      </w:tr>
      <w:tr>
        <w:tblPrEx>
          <w:tblCellMar>
            <w:top w:w="0" w:type="dxa"/>
            <w:left w:w="108" w:type="dxa"/>
            <w:bottom w:w="0" w:type="dxa"/>
            <w:right w:w="108" w:type="dxa"/>
          </w:tblCellMar>
        </w:tblPrEx>
        <w:trPr>
          <w:trHeight w:val="315" w:hRule="atLeast"/>
        </w:trPr>
        <w:tc>
          <w:tcPr>
            <w:tcW w:w="9780" w:type="dxa"/>
            <w:gridSpan w:val="6"/>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220" w:type="dxa"/>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标段:</w:t>
            </w:r>
          </w:p>
        </w:tc>
        <w:tc>
          <w:tcPr>
            <w:tcW w:w="284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第1页 共5页</w:t>
            </w:r>
          </w:p>
        </w:tc>
      </w:tr>
      <w:tr>
        <w:trPr>
          <w:trHeight w:val="255"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项目编码</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3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项目特征描述</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计量单位</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工程量</w:t>
            </w:r>
          </w:p>
        </w:tc>
        <w:tc>
          <w:tcPr>
            <w:tcW w:w="40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r>
      <w:tr>
        <w:tblPrEx>
          <w:tblCellMar>
            <w:top w:w="0" w:type="dxa"/>
            <w:left w:w="108" w:type="dxa"/>
            <w:bottom w:w="0" w:type="dxa"/>
            <w:right w:w="108" w:type="dxa"/>
          </w:tblCellMar>
        </w:tblPrEx>
        <w:trPr>
          <w:trHeight w:val="255"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3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综合单价</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w:t>
            </w:r>
          </w:p>
        </w:tc>
        <w:tc>
          <w:tcPr>
            <w:tcW w:w="12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其中:暂估价</w:t>
            </w:r>
          </w:p>
        </w:tc>
      </w:tr>
      <w:tr>
        <w:tblPrEx>
          <w:tblCellMar>
            <w:top w:w="0" w:type="dxa"/>
            <w:left w:w="108" w:type="dxa"/>
            <w:bottom w:w="0" w:type="dxa"/>
            <w:right w:w="108" w:type="dxa"/>
          </w:tblCellMar>
        </w:tblPrEx>
        <w:trPr>
          <w:trHeight w:val="8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长沙市轨道交通2号线运营期大客流车站公共区卫生间提质改造项目</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622062.67</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一、卫生间地面改造升级工程</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203576.52</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8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011602001001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原地面拆除</w:t>
            </w:r>
          </w:p>
        </w:tc>
        <w:tc>
          <w:tcPr>
            <w:tcW w:w="3220" w:type="dxa"/>
            <w:tcBorders>
              <w:top w:val="nil"/>
              <w:left w:val="nil"/>
              <w:bottom w:val="single" w:color="000000" w:sz="4" w:space="0"/>
              <w:right w:val="single" w:color="000000" w:sz="4" w:space="0"/>
            </w:tcBorders>
            <w:shd w:val="clear" w:color="auto" w:fill="auto"/>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1.结构形式:拆除原有300*300mm地面瓷砖（约10mm），100mm厚砂浆层，防水层，总计拆除厚度约120mm。</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33.4</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533.66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17824.24</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285"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011102003001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地面瓷砖更换</w:t>
            </w:r>
          </w:p>
        </w:tc>
        <w:tc>
          <w:tcPr>
            <w:tcW w:w="3220" w:type="dxa"/>
            <w:tcBorders>
              <w:top w:val="nil"/>
              <w:left w:val="nil"/>
              <w:bottom w:val="single" w:color="000000" w:sz="4" w:space="0"/>
              <w:right w:val="single" w:color="000000" w:sz="4" w:space="0"/>
            </w:tcBorders>
            <w:shd w:val="clear" w:color="auto" w:fill="auto"/>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1.防水、粘结层厚度、材料种类:涂刷JS柔性防水涂料两遍,采用100mm厚砂浆层对基层地面进行找平处理 </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2.面层材料品种、规格、颜色:400*400mm防滑地面玻化砖，厚度≥10mm，颜色根据现场确定。</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3.品牌要求：斯米克陶瓷、新中源瓷砖、大将军陶瓷、马可波罗陶瓷等一线品牌。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4．地面瓷砖进行美缝处理（宽约2mm），美缝剂采用德高、立邦、雨虹等一线品牌。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5．地面瓷砖进行防滑处理，处理后达到国家技术指标GB、COF≥0.6，并出具防滑处理后的检测报告。</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278.34</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651.40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181310.68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1455"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040501017001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定制排水沟（含304不锈钢盖板）</w:t>
            </w:r>
          </w:p>
        </w:tc>
        <w:tc>
          <w:tcPr>
            <w:tcW w:w="3220" w:type="dxa"/>
            <w:tcBorders>
              <w:top w:val="nil"/>
              <w:left w:val="nil"/>
              <w:bottom w:val="single" w:color="000000" w:sz="4" w:space="0"/>
              <w:right w:val="single" w:color="000000" w:sz="4" w:space="0"/>
            </w:tcBorders>
            <w:shd w:val="clear" w:color="auto" w:fill="auto"/>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1.规格：宽约15cm,高约8~10cm（可根据现场实际适当调整），坡度采用0.5%，排水沟上采用304不锈钢材质的盖板（厚度不少于2mm，含支座），要求盖板平整美观。</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2.详见用户需求书等</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40</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111.04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4441.60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二、卫生间墙面改造升级工程</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182034.13</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15" w:hRule="atLeast"/>
        </w:trPr>
        <w:tc>
          <w:tcPr>
            <w:tcW w:w="8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120"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本页小计</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203576.52</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0" w:hRule="atLeast"/>
        </w:trPr>
        <w:tc>
          <w:tcPr>
            <w:tcW w:w="8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4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21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3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8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5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555" w:hRule="atLeast"/>
        </w:trPr>
        <w:tc>
          <w:tcPr>
            <w:tcW w:w="13840" w:type="dxa"/>
            <w:gridSpan w:val="9"/>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E.18 分部分项工程项目清单与措施项目清单计价表</w:t>
            </w:r>
          </w:p>
        </w:tc>
      </w:tr>
      <w:tr>
        <w:tblPrEx>
          <w:tblCellMar>
            <w:top w:w="0" w:type="dxa"/>
            <w:left w:w="108" w:type="dxa"/>
            <w:bottom w:w="0" w:type="dxa"/>
            <w:right w:w="108" w:type="dxa"/>
          </w:tblCellMar>
        </w:tblPrEx>
        <w:trPr>
          <w:trHeight w:val="315" w:hRule="atLeast"/>
        </w:trPr>
        <w:tc>
          <w:tcPr>
            <w:tcW w:w="9780" w:type="dxa"/>
            <w:gridSpan w:val="6"/>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220" w:type="dxa"/>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标段:</w:t>
            </w:r>
          </w:p>
        </w:tc>
        <w:tc>
          <w:tcPr>
            <w:tcW w:w="284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第2页 共5页</w:t>
            </w:r>
          </w:p>
        </w:tc>
      </w:tr>
      <w:tr>
        <w:tblPrEx>
          <w:tblCellMar>
            <w:top w:w="0" w:type="dxa"/>
            <w:left w:w="108" w:type="dxa"/>
            <w:bottom w:w="0" w:type="dxa"/>
            <w:right w:w="108" w:type="dxa"/>
          </w:tblCellMar>
        </w:tblPrEx>
        <w:trPr>
          <w:trHeight w:val="255"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项目编码</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3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项目特征描述</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计量单位</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工程量</w:t>
            </w:r>
          </w:p>
        </w:tc>
        <w:tc>
          <w:tcPr>
            <w:tcW w:w="40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r>
      <w:tr>
        <w:tblPrEx>
          <w:tblCellMar>
            <w:top w:w="0" w:type="dxa"/>
            <w:left w:w="108" w:type="dxa"/>
            <w:bottom w:w="0" w:type="dxa"/>
            <w:right w:w="108" w:type="dxa"/>
          </w:tblCellMar>
        </w:tblPrEx>
        <w:trPr>
          <w:trHeight w:val="255"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3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综合单价</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w:t>
            </w:r>
          </w:p>
        </w:tc>
        <w:tc>
          <w:tcPr>
            <w:tcW w:w="12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其中:暂估价</w:t>
            </w:r>
          </w:p>
        </w:tc>
      </w:tr>
      <w:tr>
        <w:tblPrEx>
          <w:tblCellMar>
            <w:top w:w="0" w:type="dxa"/>
            <w:left w:w="108" w:type="dxa"/>
            <w:bottom w:w="0" w:type="dxa"/>
            <w:right w:w="108" w:type="dxa"/>
          </w:tblCellMar>
        </w:tblPrEx>
        <w:trPr>
          <w:trHeight w:val="8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011602001001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原墙面拆除</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1.结构形式:拆除原有300*600*10mm通体墙面瓷砖及30mm厚结合层，总计拆除厚度约40mm。</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31.49</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467.88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14733.54</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26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011102003001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墙面瓷砖更换</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1．品种、规格、颜色：采用400*800mm墙面瓷砖，颜色根据现场确定。</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2．采用约20mm厚瓷砖水泥胶（要求德高、立邦等一线品牌）重新铺贴新的400*800mm墙面瓷砖。</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3.瓷砖品牌要求：斯米克陶瓷、新中源瓷砖、大将军陶瓷、马可波罗陶瓷等一线品牌。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4．地面瓷砖进行美缝处理（宽约2mm），美缝剂采用采用德高、立邦、雨虹等一线品牌。</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787.32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185.61</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146134.47</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8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010903002001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墙面防水</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1.防护材料种类:对卫生间墙面约1米高范围内进行防水处理，采用涂刷JS柔性防水涂料涂刷二遍。</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219.52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96.42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21166.12</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三、卫生间天花及设施拆装工程</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19869.21</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8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011606003001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天花拆除及恢复</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墙面瓷砖铺贴前拆除现有天花，铺贴完成后对天花恢复原样，天花收边角线更换，保证天花收边角线紧贴、美观。</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269.34</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73.77</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19869.21</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四、卫生间洁具设备设施改造升级工程</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184098.95</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1695"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031004006001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1.蹲式大便器带卧式脚踏冲洗阀。</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2.品牌要求：浪鲸、伊奈、乐家、九牧、科勒、TOTO等一线品牌。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3.材质:蹲便器为陶瓷材质；脚踏阀为地面式，本体铜铸，表面镀铬，冲洗为延时自闭式，配套所有五金配件。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4.附属内容：含管道安装。</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组</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541.82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23298.26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15" w:hRule="atLeast"/>
        </w:trPr>
        <w:tc>
          <w:tcPr>
            <w:tcW w:w="8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120"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本页小计</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225201.60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0" w:hRule="atLeast"/>
        </w:trPr>
        <w:tc>
          <w:tcPr>
            <w:tcW w:w="8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4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21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3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8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5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555" w:hRule="atLeast"/>
        </w:trPr>
        <w:tc>
          <w:tcPr>
            <w:tcW w:w="13840" w:type="dxa"/>
            <w:gridSpan w:val="9"/>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E.18 分部分项工程项目清单与措施项目清单计价表</w:t>
            </w:r>
          </w:p>
        </w:tc>
      </w:tr>
      <w:tr>
        <w:tblPrEx>
          <w:tblCellMar>
            <w:top w:w="0" w:type="dxa"/>
            <w:left w:w="108" w:type="dxa"/>
            <w:bottom w:w="0" w:type="dxa"/>
            <w:right w:w="108" w:type="dxa"/>
          </w:tblCellMar>
        </w:tblPrEx>
        <w:trPr>
          <w:trHeight w:val="315" w:hRule="atLeast"/>
        </w:trPr>
        <w:tc>
          <w:tcPr>
            <w:tcW w:w="9780" w:type="dxa"/>
            <w:gridSpan w:val="6"/>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220" w:type="dxa"/>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标段:</w:t>
            </w:r>
          </w:p>
        </w:tc>
        <w:tc>
          <w:tcPr>
            <w:tcW w:w="284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第3页 共5页</w:t>
            </w:r>
          </w:p>
        </w:tc>
      </w:tr>
      <w:tr>
        <w:tblPrEx>
          <w:tblCellMar>
            <w:top w:w="0" w:type="dxa"/>
            <w:left w:w="108" w:type="dxa"/>
            <w:bottom w:w="0" w:type="dxa"/>
            <w:right w:w="108" w:type="dxa"/>
          </w:tblCellMar>
        </w:tblPrEx>
        <w:trPr>
          <w:trHeight w:val="255"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项目编码</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3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项目特征描述</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计量单位</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工程量</w:t>
            </w:r>
          </w:p>
        </w:tc>
        <w:tc>
          <w:tcPr>
            <w:tcW w:w="40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r>
      <w:tr>
        <w:tblPrEx>
          <w:tblCellMar>
            <w:top w:w="0" w:type="dxa"/>
            <w:left w:w="108" w:type="dxa"/>
            <w:bottom w:w="0" w:type="dxa"/>
            <w:right w:w="108" w:type="dxa"/>
          </w:tblCellMar>
        </w:tblPrEx>
        <w:trPr>
          <w:trHeight w:val="255"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3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综合单价</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w:t>
            </w:r>
          </w:p>
        </w:tc>
        <w:tc>
          <w:tcPr>
            <w:tcW w:w="12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其中:暂估价</w:t>
            </w:r>
          </w:p>
        </w:tc>
      </w:tr>
      <w:tr>
        <w:tblPrEx>
          <w:tblCellMar>
            <w:top w:w="0" w:type="dxa"/>
            <w:left w:w="108" w:type="dxa"/>
            <w:bottom w:w="0" w:type="dxa"/>
            <w:right w:w="108" w:type="dxa"/>
          </w:tblCellMar>
        </w:tblPrEx>
        <w:trPr>
          <w:trHeight w:val="192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031004007001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感应挂墙式小便器</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1.壁挂式带感应器小便器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 品牌要求：浪鲸、伊奈、乐家、九牧、科勒、TOTO等一线品牌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3.材质:陶瓷</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4.类型:约390*360*770mm长方型，后排水，配套所有五金配件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5.附属内容：含管道安装</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6.其他:详见用户需求书等</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1370.44</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26038.36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1245"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FD0205013001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自动感应水龙头</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1.品牌、材质、规格：拆安及更换成一线品牌（TOTO、科勒、九牧等）自动感应水龙头 ，主体黄铜材质，PVD电镀、水管口径G1/2,单冷感应水龙头，前端配缓冲过滤网（含配套进水管、控制盒等）</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613.42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16562.34</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MH01102001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角阀</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1.种类:闸阀</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2.材质及规格:不锈钢DN15</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96.03</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3361.05</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1245"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031004004001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拖布池</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1.拖布池成套含普通水龙头</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2.材质:陶瓷</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3.规格:约470*440*680mm,配套所有五金配件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4.附属内容：含管道安装）</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组</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520.41</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9367.38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1455"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031004006002</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1.落地式坐便器</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 品牌要求：浪鲸、伊奈、乐家、九牧、科勒、TOTO等一线品牌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3.规格:约705*385*770mm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4.材质:陶瓷，配套所有五金配件</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5.附属内容:含管道安装</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组</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1059.88</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7419.16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8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010809004001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人造石英石台板</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1.材质:人造石英石</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2.厚度:厚度不少于1cm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3.形式:洗手水槽、小便池台板</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27.1</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1371.26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37161.15</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15" w:hRule="atLeast"/>
        </w:trPr>
        <w:tc>
          <w:tcPr>
            <w:tcW w:w="8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120"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本页小计</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99909.44</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0" w:hRule="atLeast"/>
        </w:trPr>
        <w:tc>
          <w:tcPr>
            <w:tcW w:w="8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4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21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3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8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5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555" w:hRule="atLeast"/>
        </w:trPr>
        <w:tc>
          <w:tcPr>
            <w:tcW w:w="13840" w:type="dxa"/>
            <w:gridSpan w:val="9"/>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E.18 分部分项工程项目清单与措施项目清单计价表</w:t>
            </w:r>
          </w:p>
        </w:tc>
      </w:tr>
      <w:tr>
        <w:tblPrEx>
          <w:tblCellMar>
            <w:top w:w="0" w:type="dxa"/>
            <w:left w:w="108" w:type="dxa"/>
            <w:bottom w:w="0" w:type="dxa"/>
            <w:right w:w="108" w:type="dxa"/>
          </w:tblCellMar>
        </w:tblPrEx>
        <w:trPr>
          <w:trHeight w:val="315" w:hRule="atLeast"/>
        </w:trPr>
        <w:tc>
          <w:tcPr>
            <w:tcW w:w="9780" w:type="dxa"/>
            <w:gridSpan w:val="6"/>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220" w:type="dxa"/>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标段:</w:t>
            </w:r>
          </w:p>
        </w:tc>
        <w:tc>
          <w:tcPr>
            <w:tcW w:w="284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第4页 共5页</w:t>
            </w:r>
          </w:p>
        </w:tc>
      </w:tr>
      <w:tr>
        <w:tblPrEx>
          <w:tblCellMar>
            <w:top w:w="0" w:type="dxa"/>
            <w:left w:w="108" w:type="dxa"/>
            <w:bottom w:w="0" w:type="dxa"/>
            <w:right w:w="108" w:type="dxa"/>
          </w:tblCellMar>
        </w:tblPrEx>
        <w:trPr>
          <w:trHeight w:val="255"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项目编码</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3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项目特征描述</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计量单位</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工程量</w:t>
            </w:r>
          </w:p>
        </w:tc>
        <w:tc>
          <w:tcPr>
            <w:tcW w:w="40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r>
      <w:tr>
        <w:tblPrEx>
          <w:tblCellMar>
            <w:top w:w="0" w:type="dxa"/>
            <w:left w:w="108" w:type="dxa"/>
            <w:bottom w:w="0" w:type="dxa"/>
            <w:right w:w="108" w:type="dxa"/>
          </w:tblCellMar>
        </w:tblPrEx>
        <w:trPr>
          <w:trHeight w:val="255"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3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综合单价</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w:t>
            </w:r>
          </w:p>
        </w:tc>
        <w:tc>
          <w:tcPr>
            <w:tcW w:w="12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其中:暂估价</w:t>
            </w:r>
          </w:p>
        </w:tc>
      </w:tr>
      <w:tr>
        <w:tblPrEx>
          <w:tblCellMar>
            <w:top w:w="0" w:type="dxa"/>
            <w:left w:w="108" w:type="dxa"/>
            <w:bottom w:w="0" w:type="dxa"/>
            <w:right w:w="108" w:type="dxa"/>
          </w:tblCellMar>
        </w:tblPrEx>
        <w:trPr>
          <w:trHeight w:val="1695"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031004003001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瓷质洗手盆（台下盘）</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1.材质:陶瓷制品</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2．品牌要求：浪鲸、伊奈、乐家、九牧、科勒、TOTO等一线品牌</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3.规格、类型:约475*395*210m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4.组装形式:台下盆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5.含配套下水管材料等，颜色根据现场确定。</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组</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468.87</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12659.49</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011505010001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高端水银镜</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1.镜面玻璃、防雾</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2.品种、规格:玻璃材质、厚度5mm</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31.72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245.29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7780.60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1245"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FD0205014001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地漏</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1.不锈钢成品地漏 </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2.材质:304#不锈钢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3.型号、规格:100*100*50mm（含开孔孔径不少于50mm）</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4.附属内容：含管道安装</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28</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155.99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4367.72</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FC0403002001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原卫生间检修门拆装</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1.材质：304不锈钢</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2.规格:600*500*20mm</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樘</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41</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104.56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4286.96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19</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FD0205004001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立柱洗手盆（含栏杆）拆装</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残疾人卫生间立柱洗手盆（含栏杆）原有位置拆装(不含采购）</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210.20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1261.20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FC0209002001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隔断拆装（含小便器、蹲便隔断)</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1.骨架、边框材料种类、规格:抗倍特12mm(仅安装不含采购）</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190</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153.26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29119.40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8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FC0603007001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防水纸盒安装</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1.防水免打孔取纸盒，美观、具备防水功能（颜色现场确定）</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2、详见用户需求书</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117.99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1415.88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五、水电改造升级工程</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24384.50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031001006001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PVC DN110</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PVC材质、DN110含弯头、辅材</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146</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73.16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10681.36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23</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031001006002</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PVC DN75</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PVC材质，规格DN75含弯头、辅材</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70</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54.21</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3794.70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24</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031001006003</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PVC DN50</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PVC材质，规格DN50含弯头、辅材</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96</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38.09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3656.64</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15" w:hRule="atLeast"/>
        </w:trPr>
        <w:tc>
          <w:tcPr>
            <w:tcW w:w="88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120"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本页小计</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79023.95</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0" w:hRule="atLeast"/>
        </w:trPr>
        <w:tc>
          <w:tcPr>
            <w:tcW w:w="8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4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21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3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8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5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555" w:hRule="atLeast"/>
        </w:trPr>
        <w:tc>
          <w:tcPr>
            <w:tcW w:w="13840" w:type="dxa"/>
            <w:gridSpan w:val="9"/>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E.18 分部分项工程项目清单与措施项目清单计价表</w:t>
            </w:r>
          </w:p>
        </w:tc>
      </w:tr>
      <w:tr>
        <w:tblPrEx>
          <w:tblCellMar>
            <w:top w:w="0" w:type="dxa"/>
            <w:left w:w="108" w:type="dxa"/>
            <w:bottom w:w="0" w:type="dxa"/>
            <w:right w:w="108" w:type="dxa"/>
          </w:tblCellMar>
        </w:tblPrEx>
        <w:trPr>
          <w:trHeight w:val="315" w:hRule="atLeast"/>
        </w:trPr>
        <w:tc>
          <w:tcPr>
            <w:tcW w:w="9780" w:type="dxa"/>
            <w:gridSpan w:val="6"/>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220" w:type="dxa"/>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标段:</w:t>
            </w:r>
          </w:p>
        </w:tc>
        <w:tc>
          <w:tcPr>
            <w:tcW w:w="284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第5页 共5页</w:t>
            </w:r>
          </w:p>
        </w:tc>
      </w:tr>
      <w:tr>
        <w:tblPrEx>
          <w:tblCellMar>
            <w:top w:w="0" w:type="dxa"/>
            <w:left w:w="108" w:type="dxa"/>
            <w:bottom w:w="0" w:type="dxa"/>
            <w:right w:w="108" w:type="dxa"/>
          </w:tblCellMar>
        </w:tblPrEx>
        <w:trPr>
          <w:trHeight w:val="255"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项目编码</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3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项目特征描述</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计量单位</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工程量</w:t>
            </w:r>
          </w:p>
        </w:tc>
        <w:tc>
          <w:tcPr>
            <w:tcW w:w="40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r>
      <w:tr>
        <w:tblPrEx>
          <w:tblCellMar>
            <w:top w:w="0" w:type="dxa"/>
            <w:left w:w="108" w:type="dxa"/>
            <w:bottom w:w="0" w:type="dxa"/>
            <w:right w:w="108" w:type="dxa"/>
          </w:tblCellMar>
        </w:tblPrEx>
        <w:trPr>
          <w:trHeight w:val="255"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21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3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18"/>
                <w:szCs w:val="18"/>
                <w:highlight w:val="none"/>
              </w:rPr>
            </w:pP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综合单价</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w:t>
            </w:r>
          </w:p>
        </w:tc>
        <w:tc>
          <w:tcPr>
            <w:tcW w:w="12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其中:暂估价</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031001001001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DN20镀锌钢管</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70</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60.72</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4250.40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26</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MH02050001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低烟无卤阻燃三芯2.5mm²电缆</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140</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7.97</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1115.80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8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27</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FD0314010001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五孔插座</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1.五孔插座10A，插座带防溅盒、金属连杆，开度90度，要求一线品牌（公牛、西门子、施耐德等）</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40.09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721.62</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8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28</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030404034001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开关盒</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1.名称：一线品牌（公牛、西门子、施耐德等）开关盒</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2.安装方式:暗装</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9.11</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163.98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10"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六、零星包干工程</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8099.36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1455" w:hRule="atLeast"/>
        </w:trPr>
        <w:tc>
          <w:tcPr>
            <w:tcW w:w="8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29</w:t>
            </w:r>
          </w:p>
        </w:tc>
        <w:tc>
          <w:tcPr>
            <w:tcW w:w="14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FC0203001001</w:t>
            </w:r>
          </w:p>
        </w:tc>
        <w:tc>
          <w:tcPr>
            <w:tcW w:w="2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零星包干</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包含：电源线开槽（开槽深度约20~50mm,长度10*6=60m）、措施项（搭拆作业平台）（约5*6=30㎡）、钢筋混凝土开孔（开孔直径50mm,深度400mm,总计约8*6=48个）,成品保护（约250㎡）等零星工程均采用包干形式</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8099.36</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8099.36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15" w:hRule="atLeast"/>
        </w:trPr>
        <w:tc>
          <w:tcPr>
            <w:tcW w:w="880" w:type="dxa"/>
            <w:tcBorders>
              <w:top w:val="nil"/>
              <w:left w:val="single" w:color="000000" w:sz="4" w:space="0"/>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120"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本页小计</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14351.16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15" w:hRule="atLeast"/>
        </w:trPr>
        <w:tc>
          <w:tcPr>
            <w:tcW w:w="880" w:type="dxa"/>
            <w:tcBorders>
              <w:top w:val="nil"/>
              <w:left w:val="single" w:color="000000" w:sz="4" w:space="0"/>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120"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　　计</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622062.67</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CellMar>
            <w:top w:w="0" w:type="dxa"/>
            <w:left w:w="108" w:type="dxa"/>
            <w:bottom w:w="0" w:type="dxa"/>
            <w:right w:w="108" w:type="dxa"/>
          </w:tblCellMar>
        </w:tblPrEx>
        <w:trPr>
          <w:trHeight w:val="315" w:hRule="atLeast"/>
        </w:trPr>
        <w:tc>
          <w:tcPr>
            <w:tcW w:w="13840" w:type="dxa"/>
            <w:gridSpan w:val="9"/>
            <w:tcBorders>
              <w:top w:val="single" w:color="000000" w:sz="8" w:space="0"/>
              <w:left w:val="nil"/>
              <w:bottom w:val="nil"/>
              <w:right w:val="nil"/>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注:1.本表工程量清单项目综合的消耗量标准与E.19综合单价分析表综合的内容应相同;2.此表用于竣工结算时无暂估价栏。</w:t>
            </w: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firstLineChars="0"/>
        <w:rPr>
          <w:color w:val="auto"/>
          <w:highlight w:val="none"/>
        </w:rPr>
      </w:pPr>
    </w:p>
    <w:p>
      <w:pPr>
        <w:pStyle w:val="2"/>
        <w:rPr>
          <w:color w:val="auto"/>
          <w:highlight w:val="none"/>
        </w:rPr>
        <w:sectPr>
          <w:endnotePr>
            <w:numFmt w:val="decimal"/>
          </w:endnotePr>
          <w:pgSz w:w="16838" w:h="11906" w:orient="landscape"/>
          <w:pgMar w:top="1191" w:right="1191" w:bottom="1418" w:left="1191" w:header="851" w:footer="851" w:gutter="0"/>
          <w:pgNumType w:fmt="decimal"/>
          <w:cols w:space="0" w:num="1"/>
          <w:docGrid w:linePitch="312" w:charSpace="0"/>
        </w:sectPr>
      </w:pPr>
    </w:p>
    <w:tbl>
      <w:tblPr>
        <w:tblStyle w:val="46"/>
        <w:tblW w:w="8860" w:type="dxa"/>
        <w:tblInd w:w="93" w:type="dxa"/>
        <w:tblLayout w:type="autofit"/>
        <w:tblCellMar>
          <w:top w:w="0" w:type="dxa"/>
          <w:left w:w="108" w:type="dxa"/>
          <w:bottom w:w="0" w:type="dxa"/>
          <w:right w:w="108" w:type="dxa"/>
        </w:tblCellMar>
      </w:tblPr>
      <w:tblGrid>
        <w:gridCol w:w="800"/>
        <w:gridCol w:w="1386"/>
        <w:gridCol w:w="2280"/>
        <w:gridCol w:w="740"/>
        <w:gridCol w:w="1116"/>
        <w:gridCol w:w="1060"/>
        <w:gridCol w:w="1060"/>
        <w:gridCol w:w="640"/>
      </w:tblGrid>
      <w:tr>
        <w:tblPrEx>
          <w:tblCellMar>
            <w:top w:w="0" w:type="dxa"/>
            <w:left w:w="108" w:type="dxa"/>
            <w:bottom w:w="0" w:type="dxa"/>
            <w:right w:w="108" w:type="dxa"/>
          </w:tblCellMar>
        </w:tblPrEx>
        <w:trPr>
          <w:trHeight w:val="630" w:hRule="atLeast"/>
        </w:trPr>
        <w:tc>
          <w:tcPr>
            <w:tcW w:w="8860" w:type="dxa"/>
            <w:gridSpan w:val="8"/>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E.40 人工、材料、机械汇总表</w:t>
            </w:r>
          </w:p>
        </w:tc>
      </w:tr>
      <w:tr>
        <w:tblPrEx>
          <w:tblCellMar>
            <w:top w:w="0" w:type="dxa"/>
            <w:left w:w="108" w:type="dxa"/>
            <w:bottom w:w="0" w:type="dxa"/>
            <w:right w:w="108" w:type="dxa"/>
          </w:tblCellMar>
        </w:tblPrEx>
        <w:trPr>
          <w:trHeight w:val="330" w:hRule="atLeast"/>
        </w:trPr>
        <w:tc>
          <w:tcPr>
            <w:tcW w:w="6100" w:type="dxa"/>
            <w:gridSpan w:val="5"/>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060" w:type="dxa"/>
            <w:tcBorders>
              <w:top w:val="nil"/>
              <w:left w:val="nil"/>
              <w:bottom w:val="single" w:color="000000" w:sz="8" w:space="0"/>
              <w:right w:val="nil"/>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标段：</w:t>
            </w:r>
          </w:p>
        </w:tc>
        <w:tc>
          <w:tcPr>
            <w:tcW w:w="170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第1页 共5页</w:t>
            </w:r>
          </w:p>
        </w:tc>
      </w:tr>
      <w:tr>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编码</w:t>
            </w:r>
          </w:p>
        </w:tc>
        <w:tc>
          <w:tcPr>
            <w:tcW w:w="22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名称(材料、机械规格型号)</w:t>
            </w:r>
          </w:p>
        </w:tc>
        <w:tc>
          <w:tcPr>
            <w:tcW w:w="7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合价(元)</w:t>
            </w:r>
          </w:p>
        </w:tc>
        <w:tc>
          <w:tcPr>
            <w:tcW w:w="6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价格系数</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人工</w:t>
            </w:r>
          </w:p>
        </w:tc>
        <w:tc>
          <w:tcPr>
            <w:tcW w:w="7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6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00020</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人工费(修缮、长株潭地区)</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工日</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85.570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140.000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11979.80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H00001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人工费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8149.696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8149.70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H00011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人工费(建筑)</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129696.821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129696.82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H00013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人工费(安装)</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9273.275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9273.28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H00014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人工费(市政)</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764.850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764.85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主材</w:t>
            </w:r>
          </w:p>
        </w:tc>
        <w:tc>
          <w:tcPr>
            <w:tcW w:w="7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6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WJJ030702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陶瓷片密封龙头 DN15</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18.18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132.802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2414.34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WJJ030703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混合冷热水龙头</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27.27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44.267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1207.16</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WJJ030706.2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DN15自动感应水龙头</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27.27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545.374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14872.35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WJJ030720</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铸铁地漏</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28.28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17.707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500.75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WJJ030723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立式水嘴 DN15</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WJJ030735</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小便器冲水连接管 DN15</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19.19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17.707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339.80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WJJ030736</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不锈钢冲洗管 DN32</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43.43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17.707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769.02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WJJ030738</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小便器排水附件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19.19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35.414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679.59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WJJ030747</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连体坐便器水箱配件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17.707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125.19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WJJ170301.1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DN20镀锌钢管</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69.37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8.221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570.29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WJJ172568.1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塑料排水管PVC DN110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138.70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18.462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2560.68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WJJ172568.2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塑料排水管PVC DN75</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68.6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9.724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667.07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WJJ172568.3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塑料排水管PVC DN50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97.152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5.981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581.07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WJJ180926.1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塑料排水管PVC DN110粘接管件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168.776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7.118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1201.35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WJJ180926.2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塑料排水管PVC DN75粘接管件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61.95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4.035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249.97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WJJ180926.3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塑料排水管PVC DN50粘接管件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66.24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1.844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122.15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WJJ181507.1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DN20镀锌钢管接头零件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84.7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8.853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749.85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WJJ190013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低压螺纹阀门</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35.35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48.694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1721.33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WJJ210902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洗脸盆</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27.27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148.738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4056.09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WJJ210903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洗脸盆排水附件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27.27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15.936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434.57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WJJ211301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成品拖布池</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18.18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216.910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3943.42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WJJ211501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瓷蹲式大便器</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43.43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230.088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9992.72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WJJ211504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连体式水箱坐便器</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719.788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5088.90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WJJ211701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挂式小便器</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19.19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1044.248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20039.12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WJJ211703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感应小便阀(感应器)</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19.19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61.974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1189.28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WJJ212501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蹲便器脚踏冲洗阀</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43.43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26.560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1153.50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WJJ212502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蹲便器脚踏开关</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43.43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8.853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384.49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WJJ213101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坐便器盖板</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32.758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231.60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WJJ222501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除污器 DN32</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43.43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4.427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192.26</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WJJ264103.1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插座 10A 5孔</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18.36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18.592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341.35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WJJ280304.1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低烟无卤阻燃三芯2.5mm²电缆</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162.4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5.295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859.91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WJJ291107.1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开关盒</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18.36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1.151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21.13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所有材料(含配合比分解)</w:t>
            </w:r>
          </w:p>
        </w:tc>
        <w:tc>
          <w:tcPr>
            <w:tcW w:w="7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6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500"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  页  小  计</w:t>
            </w:r>
          </w:p>
        </w:tc>
        <w:tc>
          <w:tcPr>
            <w:tcW w:w="7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237124.75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0" w:hRule="atLeast"/>
        </w:trPr>
        <w:tc>
          <w:tcPr>
            <w:tcW w:w="80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22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7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6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540" w:hRule="atLeast"/>
        </w:trPr>
        <w:tc>
          <w:tcPr>
            <w:tcW w:w="8860" w:type="dxa"/>
            <w:gridSpan w:val="8"/>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E.40 人工、材料、机械汇总表</w:t>
            </w:r>
          </w:p>
        </w:tc>
      </w:tr>
      <w:tr>
        <w:tblPrEx>
          <w:tblCellMar>
            <w:top w:w="0" w:type="dxa"/>
            <w:left w:w="108" w:type="dxa"/>
            <w:bottom w:w="0" w:type="dxa"/>
            <w:right w:w="108" w:type="dxa"/>
          </w:tblCellMar>
        </w:tblPrEx>
        <w:trPr>
          <w:trHeight w:val="330" w:hRule="atLeast"/>
        </w:trPr>
        <w:tc>
          <w:tcPr>
            <w:tcW w:w="6100" w:type="dxa"/>
            <w:gridSpan w:val="5"/>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060" w:type="dxa"/>
            <w:tcBorders>
              <w:top w:val="nil"/>
              <w:left w:val="nil"/>
              <w:bottom w:val="single" w:color="000000" w:sz="8" w:space="0"/>
              <w:right w:val="nil"/>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标段：</w:t>
            </w:r>
          </w:p>
        </w:tc>
        <w:tc>
          <w:tcPr>
            <w:tcW w:w="170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第2页 共5页</w:t>
            </w:r>
          </w:p>
        </w:tc>
      </w:tr>
      <w:tr>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编码</w:t>
            </w:r>
          </w:p>
        </w:tc>
        <w:tc>
          <w:tcPr>
            <w:tcW w:w="22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名称(材料、机械规格型号)</w:t>
            </w:r>
          </w:p>
        </w:tc>
        <w:tc>
          <w:tcPr>
            <w:tcW w:w="7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合价(元)</w:t>
            </w:r>
          </w:p>
        </w:tc>
        <w:tc>
          <w:tcPr>
            <w:tcW w:w="6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价格系数</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01030100003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冷拔低碳钢丝 Φ1.6</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0.126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4.660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01210100002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热轧等边角钢 40×3</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658.961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4.001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2636.50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01510900001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方筒型铝合金 600mm×600mm×0.5mm 含配件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274.727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17.050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4684.10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02010100002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橡胶板 1mm-3mm</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0.429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02130300002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聚四氟乙烯生料带 宽20mm</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346.04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152.26</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03010300020</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螺钉 装饰用</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87.274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11.35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03010700007</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膨胀螺栓 M6-12×50-120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366.68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212.67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03010700012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膨胀螺栓 M8×55</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861.888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0.270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232.71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03010700016</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膨胀螺栓 M8×80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251.293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0.390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98.00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03010900010</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镀锌锁紧螺母 DN15-20×3</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18.54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0.220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4.08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03071100001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存水弯 DN50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18.18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4.430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80.54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03071500001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排水栓带链堵</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18.18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26.550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482.68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03071900001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角阀（带铜活）</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67.67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31.580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2137.02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03072300002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大便器排水接头</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15.930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112.63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03072300003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大便器胶皮碗 配喉箍</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45.15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03110100006</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尼龙砂轮片 Φ400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片</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0.245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8.690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03110100007</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尼龙砂轮片 Φ500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片</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0.210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13.860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2.91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03110700008</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铁砂布</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张</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6.162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0.970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5.98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03130100019</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低碳钢焊条 综合</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17.831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5.200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92.72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03130600008</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合金钢钻头</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4.309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4.420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19.05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03130600019</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冲击钻头 Φ8-16</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3.916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7.700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30.15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03130700001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锯条 综合</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55.639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32.27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03130700007</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石料切割锯片</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片</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3.410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35.400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120.71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03210100033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铁钉</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0.988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6.42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03210500010</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钢板网 厚0.8mm 菱形10mm×20mm</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36.214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8.430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305.28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03210700001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镀锌铁丝 综合</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13.467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5.350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72.05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03210700012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镀锌铁丝 Φ3.5</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0.624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5.350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3.34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03210700020</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镀锌铁丝 Φ2.8-4.0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0.315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5.350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04010100001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普通硅酸盐水泥(P·O) 42.5级</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0.516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10.11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04010400001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白水泥</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106.566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0.714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76.09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04030500001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中净砂(过筛)</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0.387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203.790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78.87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04090100003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石灰膏</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0.796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370.390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294.83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04131100001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多孔粉煤灰砖 240×115×53</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千块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0.688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5700.000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3921.60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04230100002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脱模剂</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2.600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050211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竹架板(侧编)</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0.006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05030100002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杉木锯材</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0.296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1830.000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541.68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05030700001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模板木材 松木</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0.428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1111.060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475.53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05050100001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普通胶合板 3mm</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102.056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10.380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1059.34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06550300001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镜面车边玻璃 成品</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32.672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105.000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3430.56</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500"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  页  小  计</w:t>
            </w:r>
          </w:p>
        </w:tc>
        <w:tc>
          <w:tcPr>
            <w:tcW w:w="7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21492.22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0" w:hRule="atLeast"/>
        </w:trPr>
        <w:tc>
          <w:tcPr>
            <w:tcW w:w="80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22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7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6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630" w:hRule="atLeast"/>
        </w:trPr>
        <w:tc>
          <w:tcPr>
            <w:tcW w:w="8860" w:type="dxa"/>
            <w:gridSpan w:val="8"/>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E.40 人工、材料、机械汇总表</w:t>
            </w:r>
          </w:p>
        </w:tc>
      </w:tr>
      <w:tr>
        <w:tblPrEx>
          <w:tblCellMar>
            <w:top w:w="0" w:type="dxa"/>
            <w:left w:w="108" w:type="dxa"/>
            <w:bottom w:w="0" w:type="dxa"/>
            <w:right w:w="108" w:type="dxa"/>
          </w:tblCellMar>
        </w:tblPrEx>
        <w:trPr>
          <w:trHeight w:val="330" w:hRule="atLeast"/>
        </w:trPr>
        <w:tc>
          <w:tcPr>
            <w:tcW w:w="6100" w:type="dxa"/>
            <w:gridSpan w:val="5"/>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060" w:type="dxa"/>
            <w:tcBorders>
              <w:top w:val="nil"/>
              <w:left w:val="nil"/>
              <w:bottom w:val="single" w:color="000000" w:sz="8" w:space="0"/>
              <w:right w:val="nil"/>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标段：</w:t>
            </w:r>
          </w:p>
        </w:tc>
        <w:tc>
          <w:tcPr>
            <w:tcW w:w="170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第3页 共5页</w:t>
            </w:r>
          </w:p>
        </w:tc>
      </w:tr>
      <w:tr>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编码</w:t>
            </w:r>
          </w:p>
        </w:tc>
        <w:tc>
          <w:tcPr>
            <w:tcW w:w="22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名称(材料、机械规格型号)</w:t>
            </w:r>
          </w:p>
        </w:tc>
        <w:tc>
          <w:tcPr>
            <w:tcW w:w="7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合价(元)</w:t>
            </w:r>
          </w:p>
        </w:tc>
        <w:tc>
          <w:tcPr>
            <w:tcW w:w="6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价格系数</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07050100002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陶瓷地砖 400×400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285.299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112.439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32078.73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07050100004.1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陶瓷地砖 400×800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7.873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72.598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571.56</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08010000007</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大理石板（弧形） δ20mm 成品</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29.395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619.743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18217.35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13011300003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酚醛调和漆 各种颜色</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0.188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13.230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13031100009</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聚合物水泥基防水涂料</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1071.916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10.540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11297.99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13031100017</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双组分聚氨酯防水涂料</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699.468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11191.49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13050100003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防火涂料稀释剂</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1.183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10.150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12.01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13050300002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醇酸防锈漆 红丹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3.453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12.430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42.92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13050300005</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酚醛防锈漆 C53-1</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0.230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9.960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2.29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13350500002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瓷砖美缝材料</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1065.660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15984.90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13350500003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嵌缝膏</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24.00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14030300001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9.920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11.80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14050100005</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油漆溶剂油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1.602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8.200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13.14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14212100001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环氧树脂 综合</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684.00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14311500001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丙酮</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7.421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6.600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48.98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14410000004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玻璃胶 350g</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8.926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10.710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95.60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14410000005</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瓷砖胶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8747.215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5.840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51083.74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14410000031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粘接剂</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4.900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14.060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68.89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14410000033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防水密封胶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35.93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7.050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253.31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14430300013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双面强力弹性胶带</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244.368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522.95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17010500018</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焊接钢管 DN100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28.28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46.440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1313.32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17190300003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金属软管 DN15（L＝500mm）</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67.67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157.67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18030100001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透气帽(铅丝球) DN50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2.496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5.160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12.88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18030100002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透气帽(铅丝球) DN75</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7.370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25.80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18030100004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透气帽(铅丝球) DN110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10.860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79.28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18110100001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塑料嵌铜螺纹管件 DN15</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85.85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5.200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446.42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18150100005</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排水连接件 DN50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18.90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213.19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18250300004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钢制管卡 DN20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18.20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18250700004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塑料管卡 50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0.210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18250700006</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塑料管卡 75</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0.320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7.39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18250700007</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塑料管卡 110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48.18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24.09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21311100001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不锈钢卫生纸盒</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12.12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97.388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1180.34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28032100003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铜芯聚氯乙烯绝缘电线 BV-2.5mm²</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13.734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1.368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18.79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29062300003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塑料护口（钢管用） DN15-20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18.54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0.110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34110100002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t</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34.087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4.400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149.98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34110200001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kW·h</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5.696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0.620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35010200001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模板竹胶合板 15mm双面覆膜</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56.850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136.44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35030700001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支撑钢管及扣件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3.449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6.235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21.50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36010100004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不锈钢箅盖 成品</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362.070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2194.14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500"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  页  小  计</w:t>
            </w:r>
          </w:p>
        </w:tc>
        <w:tc>
          <w:tcPr>
            <w:tcW w:w="7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148223.22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0" w:hRule="atLeast"/>
        </w:trPr>
        <w:tc>
          <w:tcPr>
            <w:tcW w:w="80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22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7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6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630" w:hRule="atLeast"/>
        </w:trPr>
        <w:tc>
          <w:tcPr>
            <w:tcW w:w="8860" w:type="dxa"/>
            <w:gridSpan w:val="8"/>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E.40 人工、材料、机械汇总表</w:t>
            </w:r>
          </w:p>
        </w:tc>
      </w:tr>
      <w:tr>
        <w:tblPrEx>
          <w:tblCellMar>
            <w:top w:w="0" w:type="dxa"/>
            <w:left w:w="108" w:type="dxa"/>
            <w:bottom w:w="0" w:type="dxa"/>
            <w:right w:w="108" w:type="dxa"/>
          </w:tblCellMar>
        </w:tblPrEx>
        <w:trPr>
          <w:trHeight w:val="330" w:hRule="atLeast"/>
        </w:trPr>
        <w:tc>
          <w:tcPr>
            <w:tcW w:w="6100" w:type="dxa"/>
            <w:gridSpan w:val="5"/>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060" w:type="dxa"/>
            <w:tcBorders>
              <w:top w:val="nil"/>
              <w:left w:val="nil"/>
              <w:bottom w:val="single" w:color="000000" w:sz="8" w:space="0"/>
              <w:right w:val="nil"/>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标段：</w:t>
            </w:r>
          </w:p>
        </w:tc>
        <w:tc>
          <w:tcPr>
            <w:tcW w:w="170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第4页 共5页</w:t>
            </w:r>
          </w:p>
        </w:tc>
      </w:tr>
      <w:tr>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编码</w:t>
            </w:r>
          </w:p>
        </w:tc>
        <w:tc>
          <w:tcPr>
            <w:tcW w:w="22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名称(材料、机械规格型号)</w:t>
            </w:r>
          </w:p>
        </w:tc>
        <w:tc>
          <w:tcPr>
            <w:tcW w:w="7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合价(元)</w:t>
            </w:r>
          </w:p>
        </w:tc>
        <w:tc>
          <w:tcPr>
            <w:tcW w:w="6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价格系数</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410506</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膨胀螺栓</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套</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178.190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85.53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410522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其他材料费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80010100005</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预拌干混地面砂浆 DS M15.0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33.511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589.520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19755.40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80010200003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预拌干混抹灰砂浆 DP M20.0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1.456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605.310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881.33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80010500001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白水泥砂浆 1∶2</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0.005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638.940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3.19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88010500001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其他材料费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6321.990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6321.99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C01918</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地脚</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个</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89.052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35.62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C0220508</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焊接钢管</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0.027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3.230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C0322701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防锈漆</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0.003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12.240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C03260</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密封油膏</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6.458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3.740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24.15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C0533704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直角扣件</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0.003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4.800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C0533705</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脚手架底座</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0.003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3.900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C06056</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其它材料费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3.668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3.67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C06098</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软填料</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kg</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3.014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7.750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23.36</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CP_BC03562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石方挖运外弃(智能环保车运输)</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64.89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75.830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4920.61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CP_BC03563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石方运输每增减 1km</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584.01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4.160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2429.48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CP_BC03586</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渣土处置费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64.89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3.400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220.63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补ZM001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地面瓷砖防滑处理</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278.34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68.000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18927.12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配合比(合计不汇总)</w:t>
            </w:r>
          </w:p>
        </w:tc>
        <w:tc>
          <w:tcPr>
            <w:tcW w:w="7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6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80010100005</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预拌干混地面砂浆 DS M15.0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33.511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589.520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19755.40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80010200003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预拌干混抹灰砂浆 DP M20.0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1.456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605.310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881.33</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80010500001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白水泥砂浆 1∶2</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0.005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638.940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3.19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机械</w:t>
            </w:r>
          </w:p>
        </w:tc>
        <w:tc>
          <w:tcPr>
            <w:tcW w:w="7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640" w:type="dxa"/>
            <w:tcBorders>
              <w:top w:val="nil"/>
              <w:left w:val="nil"/>
              <w:bottom w:val="single" w:color="000000" w:sz="4" w:space="0"/>
              <w:right w:val="single" w:color="000000" w:sz="4" w:space="0"/>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410993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其他机械费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59.274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59.27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J3-21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汽车式起重机 提升质量(t) 12</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0.041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1131.250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46.38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J4-6</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载重汽车 装载质量(t) 8</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0.049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566.160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27.74</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J6-14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干混砂浆罐式搅拌机 200(L)</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6.550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236.270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1547.57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J7-102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岩石切割机 功率(kW) 3</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16.092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48.590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781.91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J7-117</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砂轮切割机 砂轮直径（mm） 400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43.120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3.02</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143</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J7-118</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砂轮切割机 砂轮直径（mm） 500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53.920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22.65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144</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J7-12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木工圆锯机 直径(mm) 500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0.003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28.490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0.09</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145</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J7-124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电锤 520W</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14.889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8.570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127.60</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146</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J7-13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木工圆锯机 直径(mm) 600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38.250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3.06</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147</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J7-18</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木工四面压刨床 刨削宽度(mm) 300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0.480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97.410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46.76</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54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148</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J7-77</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管子切断套丝机 管径(mm) 159</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0.553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25.470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14.08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149</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J8-32</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试压泵 压力(MPa) 30</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0.007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24.540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0.17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150</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J9-4</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交流弧焊机 容量(kV·A) 42</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7.614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133.800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1018.75</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500"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  页  小  计</w:t>
            </w:r>
          </w:p>
        </w:tc>
        <w:tc>
          <w:tcPr>
            <w:tcW w:w="7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57334.88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0" w:hRule="atLeast"/>
        </w:trPr>
        <w:tc>
          <w:tcPr>
            <w:tcW w:w="80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22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228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7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106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c>
          <w:tcPr>
            <w:tcW w:w="640" w:type="dxa"/>
            <w:tcBorders>
              <w:top w:val="single" w:color="000000" w:sz="8" w:space="0"/>
              <w:left w:val="nil"/>
              <w:bottom w:val="nil"/>
              <w:right w:val="nil"/>
            </w:tcBorders>
            <w:shd w:val="clear" w:color="auto" w:fill="auto"/>
            <w:noWrap/>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w:t>
            </w:r>
          </w:p>
        </w:tc>
      </w:tr>
      <w:tr>
        <w:tblPrEx>
          <w:tblCellMar>
            <w:top w:w="0" w:type="dxa"/>
            <w:left w:w="108" w:type="dxa"/>
            <w:bottom w:w="0" w:type="dxa"/>
            <w:right w:w="108" w:type="dxa"/>
          </w:tblCellMar>
        </w:tblPrEx>
        <w:trPr>
          <w:trHeight w:val="630" w:hRule="atLeast"/>
        </w:trPr>
        <w:tc>
          <w:tcPr>
            <w:tcW w:w="8860" w:type="dxa"/>
            <w:gridSpan w:val="8"/>
            <w:tcBorders>
              <w:top w:val="nil"/>
              <w:left w:val="nil"/>
              <w:bottom w:val="nil"/>
              <w:right w:val="nil"/>
            </w:tcBorders>
            <w:shd w:val="clear" w:color="auto" w:fill="auto"/>
            <w:noWrap/>
            <w:vAlign w:val="center"/>
          </w:tcPr>
          <w:p>
            <w:pPr>
              <w:widowControl/>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E.40 人工、材料、机械汇总表</w:t>
            </w:r>
          </w:p>
        </w:tc>
      </w:tr>
      <w:tr>
        <w:tblPrEx>
          <w:tblCellMar>
            <w:top w:w="0" w:type="dxa"/>
            <w:left w:w="108" w:type="dxa"/>
            <w:bottom w:w="0" w:type="dxa"/>
            <w:right w:w="108" w:type="dxa"/>
          </w:tblCellMar>
        </w:tblPrEx>
        <w:trPr>
          <w:trHeight w:val="330" w:hRule="atLeast"/>
        </w:trPr>
        <w:tc>
          <w:tcPr>
            <w:tcW w:w="6100" w:type="dxa"/>
            <w:gridSpan w:val="5"/>
            <w:tcBorders>
              <w:top w:val="nil"/>
              <w:left w:val="nil"/>
              <w:bottom w:val="single" w:color="000000" w:sz="8" w:space="0"/>
              <w:right w:val="nil"/>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工程名称:长沙市轨道交通2号线运营期大客流车站公共区卫生间提质改造项目</w:t>
            </w:r>
          </w:p>
        </w:tc>
        <w:tc>
          <w:tcPr>
            <w:tcW w:w="1060" w:type="dxa"/>
            <w:tcBorders>
              <w:top w:val="nil"/>
              <w:left w:val="nil"/>
              <w:bottom w:val="single" w:color="000000" w:sz="8" w:space="0"/>
              <w:right w:val="nil"/>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标段：</w:t>
            </w:r>
          </w:p>
        </w:tc>
        <w:tc>
          <w:tcPr>
            <w:tcW w:w="1700" w:type="dxa"/>
            <w:gridSpan w:val="2"/>
            <w:tcBorders>
              <w:top w:val="nil"/>
              <w:left w:val="nil"/>
              <w:bottom w:val="single" w:color="000000" w:sz="8" w:space="0"/>
              <w:right w:val="nil"/>
            </w:tcBorders>
            <w:shd w:val="clear" w:color="auto" w:fill="auto"/>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第5页 共5页</w:t>
            </w:r>
          </w:p>
        </w:tc>
      </w:tr>
      <w:tr>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编码</w:t>
            </w:r>
          </w:p>
        </w:tc>
        <w:tc>
          <w:tcPr>
            <w:tcW w:w="22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名称(材料、机械规格型号)</w:t>
            </w:r>
          </w:p>
        </w:tc>
        <w:tc>
          <w:tcPr>
            <w:tcW w:w="7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0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合价(元)</w:t>
            </w:r>
          </w:p>
        </w:tc>
        <w:tc>
          <w:tcPr>
            <w:tcW w:w="6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价格系数</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151</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JX001</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其他机械费</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236.165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236.17</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152</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JX003</w:t>
            </w:r>
          </w:p>
        </w:tc>
        <w:tc>
          <w:tcPr>
            <w:tcW w:w="22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吊装机械（综合）</w:t>
            </w: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台班</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0.014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614.700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8.61</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500"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  页  小  计</w:t>
            </w:r>
          </w:p>
        </w:tc>
        <w:tc>
          <w:tcPr>
            <w:tcW w:w="7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244.78</w:t>
            </w:r>
          </w:p>
        </w:tc>
        <w:tc>
          <w:tcPr>
            <w:tcW w:w="6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330" w:hRule="atLeast"/>
        </w:trPr>
        <w:tc>
          <w:tcPr>
            <w:tcW w:w="8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3500"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          计</w:t>
            </w:r>
          </w:p>
        </w:tc>
        <w:tc>
          <w:tcPr>
            <w:tcW w:w="7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元</w:t>
            </w:r>
          </w:p>
        </w:tc>
        <w:tc>
          <w:tcPr>
            <w:tcW w:w="1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464419.85</w:t>
            </w:r>
          </w:p>
        </w:tc>
        <w:tc>
          <w:tcPr>
            <w:tcW w:w="6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bl>
    <w:p>
      <w:pPr>
        <w:pStyle w:val="2"/>
        <w:rPr>
          <w:color w:val="auto"/>
          <w:highlight w:val="none"/>
        </w:rPr>
        <w:sectPr>
          <w:endnotePr>
            <w:numFmt w:val="decimal"/>
          </w:endnotePr>
          <w:pgSz w:w="11906" w:h="16838"/>
          <w:pgMar w:top="1191" w:right="1418" w:bottom="1191" w:left="1191" w:header="851" w:footer="851" w:gutter="0"/>
          <w:pgNumType w:fmt="decimal"/>
          <w:cols w:space="0" w:num="1"/>
          <w:docGrid w:linePitch="312" w:charSpace="0"/>
        </w:sectPr>
      </w:pPr>
    </w:p>
    <w:p>
      <w:pPr>
        <w:pStyle w:val="4"/>
        <w:keepNext w:val="0"/>
        <w:spacing w:line="360" w:lineRule="auto"/>
        <w:rPr>
          <w:rFonts w:ascii="宋体" w:hAnsi="宋体" w:cs="宋体"/>
          <w:b w:val="0"/>
          <w:bCs w:val="0"/>
          <w:color w:val="auto"/>
          <w:sz w:val="32"/>
          <w:szCs w:val="32"/>
          <w:highlight w:val="none"/>
        </w:rPr>
      </w:pPr>
      <w:bookmarkStart w:id="53" w:name="_Toc32348"/>
      <w:r>
        <w:rPr>
          <w:rFonts w:hint="eastAsia" w:ascii="宋体" w:hAnsi="宋体" w:cs="宋体"/>
          <w:color w:val="auto"/>
          <w:sz w:val="32"/>
          <w:szCs w:val="32"/>
          <w:highlight w:val="none"/>
        </w:rPr>
        <w:t>第六章  合同格式条款</w:t>
      </w:r>
      <w:bookmarkEnd w:id="49"/>
      <w:bookmarkEnd w:id="50"/>
      <w:bookmarkEnd w:id="51"/>
      <w:bookmarkEnd w:id="52"/>
      <w:bookmarkEnd w:id="53"/>
      <w:bookmarkStart w:id="54" w:name="_Toc29654"/>
      <w:bookmarkStart w:id="55" w:name="_Toc20891"/>
      <w:bookmarkStart w:id="56" w:name="_Toc5097"/>
    </w:p>
    <w:p>
      <w:pPr>
        <w:widowControl/>
        <w:jc w:val="left"/>
        <w:rPr>
          <w:rFonts w:ascii="宋体" w:hAnsi="宋体" w:cs="宋体"/>
          <w:b/>
          <w:bCs/>
          <w:color w:val="auto"/>
          <w:kern w:val="0"/>
          <w:sz w:val="32"/>
          <w:szCs w:val="32"/>
          <w:highlight w:val="none"/>
        </w:rPr>
      </w:pPr>
    </w:p>
    <w:p>
      <w:pPr>
        <w:adjustRightInd w:val="0"/>
        <w:snapToGrid w:val="0"/>
        <w:spacing w:line="360" w:lineRule="auto"/>
        <w:ind w:firstLine="2880" w:firstLineChars="1200"/>
        <w:jc w:val="right"/>
        <w:rPr>
          <w:rFonts w:ascii="仿宋" w:hAnsi="仿宋" w:eastAsia="仿宋" w:cs="仿宋"/>
          <w:color w:val="auto"/>
          <w:sz w:val="22"/>
          <w:szCs w:val="18"/>
          <w:highlight w:val="none"/>
        </w:rPr>
      </w:pPr>
      <w:r>
        <w:rPr>
          <w:rFonts w:hint="eastAsia" w:ascii="仿宋" w:hAnsi="仿宋" w:eastAsia="仿宋" w:cs="仿宋"/>
          <w:color w:val="auto"/>
          <w:sz w:val="24"/>
          <w:highlight w:val="none"/>
        </w:rPr>
        <w:t>合同编号:长轨运  工合[20  ]  号</w:t>
      </w: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jc w:val="center"/>
        <w:rPr>
          <w:rFonts w:ascii="仿宋" w:hAnsi="仿宋" w:eastAsia="仿宋" w:cs="仿宋"/>
          <w:b/>
          <w:color w:val="auto"/>
          <w:sz w:val="48"/>
          <w:szCs w:val="48"/>
          <w:highlight w:val="none"/>
        </w:rPr>
      </w:pPr>
      <w:r>
        <w:rPr>
          <w:rFonts w:hint="eastAsia" w:ascii="仿宋" w:hAnsi="仿宋" w:eastAsia="仿宋" w:cs="仿宋"/>
          <w:b/>
          <w:color w:val="auto"/>
          <w:spacing w:val="20"/>
          <w:sz w:val="52"/>
          <w:szCs w:val="52"/>
          <w:highlight w:val="none"/>
        </w:rPr>
        <w:t>工程项目合同</w:t>
      </w:r>
      <w:r>
        <w:rPr>
          <w:rFonts w:hint="eastAsia" w:ascii="仿宋" w:hAnsi="仿宋" w:eastAsia="仿宋" w:cs="仿宋"/>
          <w:b/>
          <w:color w:val="auto"/>
          <w:spacing w:val="20"/>
          <w:sz w:val="48"/>
          <w:szCs w:val="48"/>
          <w:highlight w:val="none"/>
        </w:rPr>
        <w:t xml:space="preserve"> </w:t>
      </w:r>
    </w:p>
    <w:p>
      <w:pPr>
        <w:adjustRightInd w:val="0"/>
        <w:snapToGrid w:val="0"/>
        <w:spacing w:line="360" w:lineRule="auto"/>
        <w:ind w:firstLine="421" w:firstLineChars="233"/>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ind w:firstLine="421" w:firstLineChars="233"/>
        <w:rPr>
          <w:rFonts w:ascii="仿宋" w:hAnsi="仿宋" w:eastAsia="仿宋" w:cs="仿宋"/>
          <w:b/>
          <w:color w:val="auto"/>
          <w:sz w:val="18"/>
          <w:szCs w:val="18"/>
          <w:highlight w:val="none"/>
        </w:rPr>
      </w:pPr>
    </w:p>
    <w:p>
      <w:pPr>
        <w:adjustRightInd w:val="0"/>
        <w:snapToGrid w:val="0"/>
        <w:spacing w:line="360" w:lineRule="auto"/>
        <w:ind w:firstLine="421" w:firstLineChars="233"/>
        <w:rPr>
          <w:rFonts w:ascii="仿宋" w:hAnsi="仿宋" w:eastAsia="仿宋" w:cs="仿宋"/>
          <w:b/>
          <w:color w:val="auto"/>
          <w:sz w:val="18"/>
          <w:szCs w:val="18"/>
          <w:highlight w:val="none"/>
        </w:rPr>
      </w:pPr>
    </w:p>
    <w:p>
      <w:pPr>
        <w:adjustRightInd w:val="0"/>
        <w:snapToGrid w:val="0"/>
        <w:spacing w:line="360" w:lineRule="auto"/>
        <w:ind w:firstLine="655" w:firstLineChars="233"/>
        <w:jc w:val="left"/>
        <w:rPr>
          <w:rFonts w:ascii="仿宋" w:hAnsi="仿宋" w:eastAsia="仿宋" w:cs="仿宋"/>
          <w:b/>
          <w:color w:val="auto"/>
          <w:sz w:val="28"/>
          <w:szCs w:val="28"/>
          <w:highlight w:val="none"/>
          <w:u w:val="dotted"/>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u w:val="dotted"/>
        </w:rPr>
        <w:t>长沙市轨道交通 2 号线运营期大客流车站公共区卫生间提质改造项目</w:t>
      </w:r>
    </w:p>
    <w:p>
      <w:pPr>
        <w:adjustRightInd w:val="0"/>
        <w:snapToGrid w:val="0"/>
        <w:spacing w:line="360" w:lineRule="auto"/>
        <w:ind w:firstLine="655" w:firstLineChars="233"/>
        <w:jc w:val="left"/>
        <w:rPr>
          <w:rFonts w:ascii="仿宋" w:hAnsi="仿宋" w:eastAsia="仿宋" w:cs="仿宋"/>
          <w:b/>
          <w:color w:val="auto"/>
          <w:sz w:val="28"/>
          <w:szCs w:val="28"/>
          <w:highlight w:val="none"/>
        </w:rPr>
      </w:pPr>
    </w:p>
    <w:p>
      <w:pPr>
        <w:adjustRightInd w:val="0"/>
        <w:snapToGrid w:val="0"/>
        <w:spacing w:line="360" w:lineRule="auto"/>
        <w:ind w:firstLine="655" w:firstLineChars="233"/>
        <w:jc w:val="left"/>
        <w:rPr>
          <w:rFonts w:ascii="仿宋" w:hAnsi="仿宋" w:eastAsia="仿宋" w:cs="仿宋"/>
          <w:b/>
          <w:color w:val="auto"/>
          <w:sz w:val="28"/>
          <w:szCs w:val="28"/>
          <w:highlight w:val="none"/>
        </w:rPr>
      </w:pPr>
    </w:p>
    <w:p>
      <w:pPr>
        <w:adjustRightInd w:val="0"/>
        <w:snapToGrid w:val="0"/>
        <w:spacing w:line="360" w:lineRule="auto"/>
        <w:ind w:firstLine="655" w:firstLineChars="233"/>
        <w:jc w:val="left"/>
        <w:rPr>
          <w:rFonts w:ascii="仿宋" w:hAnsi="仿宋" w:eastAsia="仿宋" w:cs="仿宋"/>
          <w:b/>
          <w:color w:val="auto"/>
          <w:sz w:val="28"/>
          <w:szCs w:val="28"/>
          <w:highlight w:val="none"/>
        </w:rPr>
      </w:pPr>
    </w:p>
    <w:p>
      <w:pPr>
        <w:adjustRightInd w:val="0"/>
        <w:snapToGrid w:val="0"/>
        <w:spacing w:line="360" w:lineRule="auto"/>
        <w:ind w:firstLine="655" w:firstLineChars="233"/>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工程地点：</w:t>
      </w:r>
      <w:r>
        <w:rPr>
          <w:rFonts w:hint="eastAsia" w:ascii="仿宋" w:hAnsi="仿宋" w:eastAsia="仿宋" w:cs="仿宋"/>
          <w:b/>
          <w:color w:val="auto"/>
          <w:sz w:val="28"/>
          <w:szCs w:val="28"/>
          <w:highlight w:val="none"/>
          <w:u w:val="dotted"/>
        </w:rPr>
        <w:t>湖南省长沙市</w:t>
      </w:r>
      <w:r>
        <w:rPr>
          <w:rFonts w:hint="eastAsia" w:ascii="仿宋" w:hAnsi="仿宋" w:eastAsia="仿宋" w:cs="仿宋"/>
          <w:b/>
          <w:color w:val="auto"/>
          <w:sz w:val="28"/>
          <w:szCs w:val="28"/>
          <w:highlight w:val="none"/>
        </w:rPr>
        <w:t xml:space="preserve">    </w:t>
      </w:r>
    </w:p>
    <w:p>
      <w:pPr>
        <w:adjustRightInd w:val="0"/>
        <w:snapToGrid w:val="0"/>
        <w:spacing w:line="360" w:lineRule="auto"/>
        <w:ind w:firstLine="655" w:firstLineChars="233"/>
        <w:jc w:val="left"/>
        <w:rPr>
          <w:rFonts w:ascii="仿宋" w:hAnsi="仿宋" w:eastAsia="仿宋" w:cs="仿宋"/>
          <w:b/>
          <w:color w:val="auto"/>
          <w:sz w:val="28"/>
          <w:szCs w:val="28"/>
          <w:highlight w:val="none"/>
        </w:rPr>
      </w:pPr>
    </w:p>
    <w:p>
      <w:pPr>
        <w:adjustRightInd w:val="0"/>
        <w:snapToGrid w:val="0"/>
        <w:spacing w:line="360" w:lineRule="auto"/>
        <w:jc w:val="left"/>
        <w:rPr>
          <w:rFonts w:ascii="仿宋" w:hAnsi="仿宋" w:eastAsia="仿宋" w:cs="仿宋"/>
          <w:b/>
          <w:color w:val="auto"/>
          <w:sz w:val="28"/>
          <w:szCs w:val="28"/>
          <w:highlight w:val="none"/>
        </w:rPr>
      </w:pPr>
    </w:p>
    <w:p>
      <w:pPr>
        <w:adjustRightInd w:val="0"/>
        <w:snapToGrid w:val="0"/>
        <w:spacing w:line="360" w:lineRule="auto"/>
        <w:ind w:firstLine="655" w:firstLineChars="233"/>
        <w:jc w:val="left"/>
        <w:rPr>
          <w:rFonts w:ascii="仿宋" w:hAnsi="仿宋" w:eastAsia="仿宋" w:cs="仿宋"/>
          <w:b/>
          <w:color w:val="auto"/>
          <w:sz w:val="28"/>
          <w:szCs w:val="28"/>
          <w:highlight w:val="none"/>
        </w:rPr>
      </w:pPr>
    </w:p>
    <w:p>
      <w:pPr>
        <w:adjustRightInd w:val="0"/>
        <w:snapToGrid w:val="0"/>
        <w:spacing w:line="360" w:lineRule="auto"/>
        <w:ind w:firstLine="655" w:firstLineChars="233"/>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甲方：</w:t>
      </w:r>
      <w:r>
        <w:rPr>
          <w:rFonts w:hint="eastAsia" w:ascii="仿宋" w:hAnsi="仿宋" w:eastAsia="仿宋" w:cs="仿宋"/>
          <w:b/>
          <w:color w:val="auto"/>
          <w:sz w:val="28"/>
          <w:szCs w:val="28"/>
          <w:highlight w:val="none"/>
          <w:u w:val="dotted"/>
        </w:rPr>
        <w:t xml:space="preserve">                                  </w:t>
      </w:r>
      <w:r>
        <w:rPr>
          <w:rFonts w:hint="eastAsia" w:ascii="仿宋" w:hAnsi="仿宋" w:eastAsia="仿宋" w:cs="仿宋"/>
          <w:b/>
          <w:color w:val="auto"/>
          <w:sz w:val="28"/>
          <w:szCs w:val="28"/>
          <w:highlight w:val="none"/>
        </w:rPr>
        <w:t xml:space="preserve">    </w:t>
      </w:r>
    </w:p>
    <w:p>
      <w:pPr>
        <w:adjustRightInd w:val="0"/>
        <w:snapToGrid w:val="0"/>
        <w:spacing w:line="360" w:lineRule="auto"/>
        <w:ind w:firstLine="655" w:firstLineChars="233"/>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adjustRightInd w:val="0"/>
        <w:snapToGrid w:val="0"/>
        <w:spacing w:line="360" w:lineRule="auto"/>
        <w:jc w:val="left"/>
        <w:rPr>
          <w:rFonts w:ascii="仿宋" w:hAnsi="仿宋" w:eastAsia="仿宋" w:cs="仿宋"/>
          <w:b/>
          <w:color w:val="auto"/>
          <w:sz w:val="28"/>
          <w:szCs w:val="28"/>
          <w:highlight w:val="none"/>
        </w:rPr>
      </w:pPr>
    </w:p>
    <w:p>
      <w:pPr>
        <w:adjustRightInd w:val="0"/>
        <w:snapToGrid w:val="0"/>
        <w:spacing w:line="360" w:lineRule="auto"/>
        <w:ind w:firstLine="655" w:firstLineChars="233"/>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adjustRightInd w:val="0"/>
        <w:snapToGrid w:val="0"/>
        <w:spacing w:line="360" w:lineRule="auto"/>
        <w:ind w:firstLine="655" w:firstLineChars="233"/>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w:t>
      </w:r>
      <w:r>
        <w:rPr>
          <w:rFonts w:hint="eastAsia" w:ascii="仿宋" w:hAnsi="仿宋" w:eastAsia="仿宋" w:cs="仿宋"/>
          <w:b/>
          <w:color w:val="auto"/>
          <w:sz w:val="28"/>
          <w:szCs w:val="28"/>
          <w:highlight w:val="none"/>
          <w:u w:val="dotted"/>
        </w:rPr>
        <w:t xml:space="preserve">                                  </w:t>
      </w:r>
      <w:r>
        <w:rPr>
          <w:rFonts w:hint="eastAsia" w:ascii="仿宋" w:hAnsi="仿宋" w:eastAsia="仿宋" w:cs="仿宋"/>
          <w:b/>
          <w:color w:val="auto"/>
          <w:sz w:val="28"/>
          <w:szCs w:val="28"/>
          <w:highlight w:val="none"/>
        </w:rPr>
        <w:t xml:space="preserve">    </w:t>
      </w:r>
    </w:p>
    <w:p>
      <w:pPr>
        <w:adjustRightInd w:val="0"/>
        <w:snapToGrid w:val="0"/>
        <w:spacing w:line="360" w:lineRule="auto"/>
        <w:ind w:firstLine="655" w:firstLineChars="233"/>
        <w:jc w:val="left"/>
        <w:rPr>
          <w:rFonts w:ascii="仿宋" w:hAnsi="仿宋" w:eastAsia="仿宋" w:cs="仿宋"/>
          <w:b/>
          <w:color w:val="auto"/>
          <w:sz w:val="28"/>
          <w:szCs w:val="28"/>
          <w:highlight w:val="none"/>
        </w:rPr>
      </w:pPr>
    </w:p>
    <w:p>
      <w:pPr>
        <w:adjustRightInd w:val="0"/>
        <w:snapToGrid w:val="0"/>
        <w:spacing w:line="360" w:lineRule="auto"/>
        <w:rPr>
          <w:rFonts w:ascii="仿宋" w:hAnsi="仿宋" w:eastAsia="仿宋" w:cs="仿宋"/>
          <w:b/>
          <w:color w:val="auto"/>
          <w:sz w:val="24"/>
          <w:highlight w:val="none"/>
        </w:rPr>
        <w:sectPr>
          <w:headerReference r:id="rId8" w:type="default"/>
          <w:footerReference r:id="rId9" w:type="default"/>
          <w:endnotePr>
            <w:numFmt w:val="decimal"/>
          </w:endnotePr>
          <w:pgSz w:w="11906" w:h="16838"/>
          <w:pgMar w:top="1440" w:right="1440" w:bottom="1440" w:left="1440" w:header="851" w:footer="851" w:gutter="0"/>
          <w:pgNumType w:fmt="decimal"/>
          <w:cols w:space="720" w:num="1"/>
          <w:docGrid w:linePitch="312" w:charSpace="0"/>
        </w:sectPr>
      </w:pPr>
    </w:p>
    <w:p>
      <w:pPr>
        <w:tabs>
          <w:tab w:val="left" w:pos="2799"/>
        </w:tabs>
        <w:adjustRightInd w:val="0"/>
        <w:snapToGrid w:val="0"/>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第一部分 合同协议书</w:t>
      </w:r>
    </w:p>
    <w:p>
      <w:pPr>
        <w:adjustRightInd w:val="0"/>
        <w:snapToGrid w:val="0"/>
        <w:spacing w:line="360" w:lineRule="auto"/>
        <w:rPr>
          <w:rFonts w:ascii="仿宋_GB2312" w:hAnsi="仿宋_GB2312" w:eastAsia="仿宋_GB2312" w:cs="仿宋_GB2312"/>
          <w:b/>
          <w:color w:val="auto"/>
          <w:sz w:val="24"/>
          <w:highlight w:val="none"/>
          <w:u w:val="dotted"/>
        </w:rPr>
      </w:pPr>
      <w:r>
        <w:rPr>
          <w:rFonts w:hint="eastAsia" w:ascii="仿宋_GB2312" w:hAnsi="仿宋_GB2312" w:eastAsia="仿宋_GB2312" w:cs="仿宋_GB2312"/>
          <w:b/>
          <w:color w:val="auto"/>
          <w:sz w:val="24"/>
          <w:highlight w:val="none"/>
        </w:rPr>
        <w:t>甲方（全称）:</w:t>
      </w:r>
      <w:r>
        <w:rPr>
          <w:rFonts w:hint="eastAsia" w:ascii="仿宋_GB2312" w:hAnsi="仿宋_GB2312" w:eastAsia="仿宋_GB2312" w:cs="仿宋_GB2312"/>
          <w:bCs/>
          <w:snapToGrid w:val="0"/>
          <w:color w:val="auto"/>
          <w:kern w:val="0"/>
          <w:sz w:val="24"/>
          <w:highlight w:val="none"/>
          <w:u w:val="single"/>
        </w:rPr>
        <w:t xml:space="preserve">                       </w:t>
      </w:r>
      <w:r>
        <w:rPr>
          <w:rFonts w:hint="eastAsia" w:ascii="仿宋_GB2312" w:hAnsi="仿宋_GB2312" w:eastAsia="仿宋_GB2312" w:cs="仿宋_GB2312"/>
          <w:bCs/>
          <w:snapToGrid w:val="0"/>
          <w:color w:val="auto"/>
          <w:kern w:val="0"/>
          <w:sz w:val="24"/>
          <w:highlight w:val="none"/>
        </w:rPr>
        <w:t>（以下简称甲方）</w:t>
      </w:r>
    </w:p>
    <w:p>
      <w:pPr>
        <w:adjustRightInd w:val="0"/>
        <w:snapToGrid w:val="0"/>
        <w:spacing w:line="360" w:lineRule="auto"/>
        <w:rPr>
          <w:rFonts w:ascii="仿宋_GB2312" w:hAnsi="仿宋_GB2312" w:eastAsia="仿宋_GB2312" w:cs="仿宋_GB2312"/>
          <w:b/>
          <w:color w:val="auto"/>
          <w:sz w:val="24"/>
          <w:highlight w:val="none"/>
          <w:u w:val="dotted"/>
        </w:rPr>
      </w:pPr>
      <w:r>
        <w:rPr>
          <w:rFonts w:hint="eastAsia" w:ascii="仿宋_GB2312" w:hAnsi="仿宋_GB2312" w:eastAsia="仿宋_GB2312" w:cs="仿宋_GB2312"/>
          <w:b/>
          <w:color w:val="auto"/>
          <w:sz w:val="24"/>
          <w:highlight w:val="none"/>
        </w:rPr>
        <w:t>乙方（全称）</w:t>
      </w:r>
      <w:r>
        <w:rPr>
          <w:rFonts w:hint="eastAsia" w:ascii="仿宋_GB2312" w:hAnsi="仿宋_GB2312" w:eastAsia="仿宋_GB2312" w:cs="仿宋_GB2312"/>
          <w:bCs/>
          <w:snapToGrid w:val="0"/>
          <w:color w:val="auto"/>
          <w:kern w:val="0"/>
          <w:sz w:val="24"/>
          <w:highlight w:val="none"/>
        </w:rPr>
        <w:t>:</w:t>
      </w:r>
      <w:r>
        <w:rPr>
          <w:rFonts w:hint="eastAsia" w:ascii="仿宋_GB2312" w:hAnsi="仿宋_GB2312" w:eastAsia="仿宋_GB2312" w:cs="仿宋_GB2312"/>
          <w:bCs/>
          <w:snapToGrid w:val="0"/>
          <w:color w:val="auto"/>
          <w:kern w:val="0"/>
          <w:sz w:val="24"/>
          <w:highlight w:val="none"/>
          <w:u w:val="single"/>
        </w:rPr>
        <w:t xml:space="preserve">                       </w:t>
      </w:r>
      <w:r>
        <w:rPr>
          <w:rFonts w:hint="eastAsia" w:ascii="仿宋_GB2312" w:hAnsi="仿宋_GB2312" w:eastAsia="仿宋_GB2312" w:cs="仿宋_GB2312"/>
          <w:bCs/>
          <w:snapToGrid w:val="0"/>
          <w:color w:val="auto"/>
          <w:kern w:val="0"/>
          <w:sz w:val="24"/>
          <w:highlight w:val="none"/>
        </w:rPr>
        <w:t>（以下简称乙方）</w:t>
      </w:r>
    </w:p>
    <w:p>
      <w:pPr>
        <w:adjustRightInd w:val="0"/>
        <w:snapToGrid w:val="0"/>
        <w:spacing w:line="360" w:lineRule="auto"/>
        <w:ind w:firstLine="480" w:firstLineChars="200"/>
        <w:rPr>
          <w:rFonts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sz w:val="24"/>
          <w:highlight w:val="none"/>
        </w:rPr>
        <w:t>依据《中华人民共和国民法典》、《中华人民共和国建筑法》及其他有关法律、行政法规，遵循平等、自愿、公平和诚实信用原则，双方就</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工程施工及有关事项协商一致，于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日在</w:t>
      </w:r>
      <w:r>
        <w:rPr>
          <w:rFonts w:hint="eastAsia" w:ascii="仿宋_GB2312" w:hAnsi="仿宋_GB2312" w:eastAsia="仿宋_GB2312" w:cs="仿宋_GB2312"/>
          <w:color w:val="auto"/>
          <w:sz w:val="24"/>
          <w:highlight w:val="none"/>
          <w:u w:val="single"/>
        </w:rPr>
        <w:t>湖南省长沙市雨花区</w:t>
      </w:r>
      <w:r>
        <w:rPr>
          <w:rFonts w:hint="eastAsia" w:ascii="仿宋_GB2312" w:hAnsi="仿宋_GB2312" w:eastAsia="仿宋_GB2312" w:cs="仿宋_GB2312"/>
          <w:color w:val="auto"/>
          <w:sz w:val="24"/>
          <w:highlight w:val="none"/>
        </w:rPr>
        <w:t>共同签订如下协议：</w:t>
      </w:r>
    </w:p>
    <w:p>
      <w:pPr>
        <w:adjustRightInd w:val="0"/>
        <w:snapToGrid w:val="0"/>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1、工程概况</w:t>
      </w:r>
    </w:p>
    <w:p>
      <w:pPr>
        <w:adjustRightInd w:val="0"/>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1.1工程名称：</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p>
    <w:p>
      <w:pPr>
        <w:adjustRightInd w:val="0"/>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1.2工程地点：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p>
    <w:p>
      <w:pPr>
        <w:adjustRightInd w:val="0"/>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1.3工程内容：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，具体工程内容以施工图纸和工程量清单为准。</w:t>
      </w:r>
    </w:p>
    <w:p>
      <w:pPr>
        <w:adjustRightInd w:val="0"/>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1.4工程承包范围：</w:t>
      </w:r>
      <w:r>
        <w:rPr>
          <w:rFonts w:hint="eastAsia" w:ascii="仿宋_GB2312" w:hAnsi="仿宋_GB2312" w:eastAsia="仿宋_GB2312" w:cs="仿宋_GB2312"/>
          <w:color w:val="auto"/>
          <w:sz w:val="24"/>
          <w:highlight w:val="none"/>
          <w:u w:val="single"/>
        </w:rPr>
        <w:t xml:space="preserve">                           </w:t>
      </w:r>
      <w:bookmarkStart w:id="57" w:name="_Toc414154001"/>
      <w:r>
        <w:rPr>
          <w:rFonts w:hint="eastAsia" w:ascii="仿宋_GB2312" w:hAnsi="仿宋_GB2312" w:eastAsia="仿宋_GB2312" w:cs="仿宋_GB2312"/>
          <w:color w:val="auto"/>
          <w:sz w:val="24"/>
          <w:highlight w:val="none"/>
        </w:rPr>
        <w:t>。</w:t>
      </w:r>
    </w:p>
    <w:bookmarkEnd w:id="57"/>
    <w:p>
      <w:pPr>
        <w:adjustRightInd w:val="0"/>
        <w:snapToGrid w:val="0"/>
        <w:spacing w:line="360" w:lineRule="auto"/>
        <w:rPr>
          <w:rFonts w:ascii="仿宋_GB2312" w:hAnsi="仿宋_GB2312" w:eastAsia="仿宋_GB2312" w:cs="仿宋_GB2312"/>
          <w:b/>
          <w:bCs/>
          <w:color w:val="auto"/>
          <w:sz w:val="24"/>
          <w:highlight w:val="none"/>
        </w:rPr>
      </w:pPr>
      <w:bookmarkStart w:id="58" w:name="_Toc414154003"/>
      <w:r>
        <w:rPr>
          <w:rFonts w:hint="eastAsia" w:ascii="仿宋_GB2312" w:hAnsi="仿宋_GB2312" w:eastAsia="仿宋_GB2312" w:cs="仿宋_GB2312"/>
          <w:b/>
          <w:bCs/>
          <w:color w:val="auto"/>
          <w:sz w:val="24"/>
          <w:highlight w:val="none"/>
        </w:rPr>
        <w:t>2、合同工期</w:t>
      </w:r>
    </w:p>
    <w:p>
      <w:pPr>
        <w:adjustRightInd w:val="0"/>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p>
    <w:p>
      <w:pPr>
        <w:adjustRightInd w:val="0"/>
        <w:snapToGrid w:val="0"/>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3、签约合同价与合同形式</w:t>
      </w:r>
    </w:p>
    <w:p>
      <w:pPr>
        <w:adjustRightInd w:val="0"/>
        <w:snapToGrid w:val="0"/>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3.1签约合同价为：人民币（大写）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宋体" w:hAnsi="宋体" w:cs="宋体"/>
          <w:color w:val="auto"/>
          <w:sz w:val="24"/>
          <w:highlight w:val="none"/>
        </w:rPr>
        <w:t>¥</w:t>
      </w:r>
      <w:r>
        <w:rPr>
          <w:rFonts w:hint="eastAsia" w:ascii="仿宋_GB2312" w:hAnsi="仿宋_GB2312" w:eastAsia="仿宋_GB2312" w:cs="仿宋_GB2312"/>
          <w:color w:val="auto"/>
          <w:sz w:val="24"/>
          <w:highlight w:val="none"/>
          <w:u w:val="single"/>
        </w:rPr>
        <w:t xml:space="preserve">             元 </w:t>
      </w:r>
      <w:r>
        <w:rPr>
          <w:rFonts w:hint="eastAsia" w:ascii="仿宋_GB2312" w:hAnsi="仿宋_GB2312" w:eastAsia="仿宋_GB2312" w:cs="仿宋_GB2312"/>
          <w:color w:val="auto"/>
          <w:sz w:val="24"/>
          <w:highlight w:val="none"/>
        </w:rPr>
        <w:t>）。</w:t>
      </w:r>
    </w:p>
    <w:p>
      <w:pPr>
        <w:adjustRightInd w:val="0"/>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3.2合同价格方式：</w:t>
      </w:r>
    </w:p>
    <w:p>
      <w:pPr>
        <w:adjustRightInd w:val="0"/>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sym w:font="Wingdings 2" w:char="0052"/>
      </w:r>
      <w:r>
        <w:rPr>
          <w:rFonts w:hint="eastAsia" w:ascii="仿宋_GB2312" w:hAnsi="仿宋_GB2312" w:eastAsia="仿宋_GB2312" w:cs="仿宋_GB2312"/>
          <w:color w:val="auto"/>
          <w:sz w:val="24"/>
          <w:highlight w:val="none"/>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color w:val="auto"/>
          <w:sz w:val="24"/>
          <w:highlight w:val="none"/>
          <w:shd w:val="clear" w:color="050000" w:fill="auto"/>
        </w:rPr>
        <w:t>（水电费除外）</w:t>
      </w:r>
      <w:r>
        <w:rPr>
          <w:rFonts w:hint="eastAsia" w:ascii="仿宋_GB2312" w:hAnsi="仿宋_GB2312" w:eastAsia="仿宋_GB2312" w:cs="仿宋_GB2312"/>
          <w:color w:val="auto"/>
          <w:sz w:val="24"/>
          <w:highlight w:val="none"/>
        </w:rPr>
        <w:t>。乙方根据工程数量与价格表资料以及相应的经乙方和甲方共同签字确认原始测量验收资料和工程数量计算资料作为结算依据。最终结算价格不得超过签约合同价。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8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sym w:font="Wingdings 2" w:char="00A3"/>
      </w:r>
      <w:r>
        <w:rPr>
          <w:rFonts w:hint="eastAsia" w:ascii="仿宋_GB2312" w:hAnsi="仿宋_GB2312" w:eastAsia="仿宋_GB2312" w:cs="仿宋_GB2312"/>
          <w:color w:val="auto"/>
          <w:sz w:val="24"/>
          <w:highlight w:val="none"/>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4、合同文件构成</w:t>
      </w:r>
    </w:p>
    <w:p>
      <w:pPr>
        <w:adjustRightInd w:val="0"/>
        <w:snapToGrid w:val="0"/>
        <w:spacing w:line="360"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（1）本合同书；</w:t>
      </w:r>
    </w:p>
    <w:p>
      <w:pPr>
        <w:adjustRightInd w:val="0"/>
        <w:snapToGrid w:val="0"/>
        <w:spacing w:line="360"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（2）技术标准和要求；</w:t>
      </w:r>
    </w:p>
    <w:p>
      <w:pPr>
        <w:adjustRightInd w:val="0"/>
        <w:snapToGrid w:val="0"/>
        <w:spacing w:line="360"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（3）图纸；</w:t>
      </w:r>
    </w:p>
    <w:p>
      <w:pPr>
        <w:adjustRightInd w:val="0"/>
        <w:snapToGrid w:val="0"/>
        <w:spacing w:line="360"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（4）已标价工程量清单（</w:t>
      </w:r>
      <w:r>
        <w:rPr>
          <w:rFonts w:hint="eastAsia" w:ascii="仿宋_GB2312" w:hAnsi="仿宋_GB2312" w:eastAsia="仿宋_GB2312" w:cs="仿宋_GB2312"/>
          <w:color w:val="auto"/>
          <w:sz w:val="24"/>
          <w:highlight w:val="none"/>
          <w:u w:val="single"/>
        </w:rPr>
        <w:t>工程数量与价格表</w:t>
      </w:r>
      <w:r>
        <w:rPr>
          <w:rFonts w:hint="eastAsia" w:ascii="仿宋_GB2312" w:hAnsi="仿宋_GB2312" w:eastAsia="仿宋_GB2312" w:cs="仿宋_GB2312"/>
          <w:color w:val="auto"/>
          <w:sz w:val="24"/>
          <w:highlight w:val="none"/>
        </w:rPr>
        <w:t>）或预算书；</w:t>
      </w:r>
    </w:p>
    <w:p>
      <w:pPr>
        <w:adjustRightInd w:val="0"/>
        <w:snapToGrid w:val="0"/>
        <w:spacing w:line="360"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（5）竞谈判文件及其</w:t>
      </w:r>
      <w:r>
        <w:rPr>
          <w:rFonts w:hint="eastAsia" w:ascii="仿宋_GB2312" w:hAnsi="仿宋_GB2312" w:eastAsia="仿宋_GB2312" w:cs="仿宋_GB2312"/>
          <w:bCs/>
          <w:color w:val="auto"/>
          <w:sz w:val="24"/>
          <w:highlight w:val="none"/>
          <w:lang w:bidi="ar"/>
        </w:rPr>
        <w:t>澄清与答疑文件及其它补充资料（如有）</w:t>
      </w:r>
      <w:r>
        <w:rPr>
          <w:rFonts w:hint="eastAsia" w:ascii="仿宋_GB2312" w:hAnsi="仿宋_GB2312" w:eastAsia="仿宋_GB2312" w:cs="仿宋_GB2312"/>
          <w:color w:val="auto"/>
          <w:sz w:val="24"/>
          <w:highlight w:val="none"/>
        </w:rPr>
        <w:t>；</w:t>
      </w:r>
    </w:p>
    <w:p>
      <w:pPr>
        <w:adjustRightInd w:val="0"/>
        <w:snapToGrid w:val="0"/>
        <w:spacing w:line="360"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（6）竞谈响应文件</w:t>
      </w:r>
      <w:r>
        <w:rPr>
          <w:rFonts w:hint="eastAsia" w:ascii="仿宋_GB2312" w:hAnsi="仿宋_GB2312" w:eastAsia="仿宋_GB2312" w:cs="仿宋_GB2312"/>
          <w:bCs/>
          <w:color w:val="auto"/>
          <w:sz w:val="24"/>
          <w:highlight w:val="none"/>
          <w:lang w:bidi="ar"/>
        </w:rPr>
        <w:t>及其它补充资料（如有）</w:t>
      </w:r>
      <w:r>
        <w:rPr>
          <w:rFonts w:hint="eastAsia" w:ascii="仿宋_GB2312" w:hAnsi="仿宋_GB2312" w:eastAsia="仿宋_GB2312" w:cs="仿宋_GB2312"/>
          <w:color w:val="auto"/>
          <w:sz w:val="24"/>
          <w:highlight w:val="none"/>
        </w:rPr>
        <w:t>；</w:t>
      </w:r>
    </w:p>
    <w:p>
      <w:pPr>
        <w:adjustRightInd w:val="0"/>
        <w:snapToGrid w:val="0"/>
        <w:spacing w:line="360"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（7）其他合同文件。</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在合同订立及履行过程中形成的与合同有关的文件均构成合同文件组成部分。上述各项合同文件包括合同当事人就该项合同文件所作出的补充和修改，属于同一类内容的文件，应以最新签署的为准。</w:t>
      </w:r>
    </w:p>
    <w:p>
      <w:pPr>
        <w:adjustRightInd w:val="0"/>
        <w:snapToGrid w:val="0"/>
        <w:spacing w:line="360" w:lineRule="auto"/>
        <w:outlineLvl w:val="1"/>
        <w:rPr>
          <w:rFonts w:ascii="仿宋_GB2312" w:hAnsi="仿宋_GB2312" w:eastAsia="仿宋_GB2312" w:cs="仿宋_GB2312"/>
          <w:color w:val="auto"/>
          <w:kern w:val="28"/>
          <w:sz w:val="24"/>
          <w:highlight w:val="none"/>
        </w:rPr>
      </w:pPr>
      <w:bookmarkStart w:id="59" w:name="_Toc18904"/>
      <w:bookmarkStart w:id="60" w:name="_Toc28671"/>
      <w:bookmarkStart w:id="61" w:name="_Toc414154011"/>
      <w:r>
        <w:rPr>
          <w:rFonts w:hint="eastAsia" w:ascii="仿宋_GB2312" w:hAnsi="仿宋_GB2312" w:eastAsia="仿宋_GB2312" w:cs="仿宋_GB2312"/>
          <w:b/>
          <w:color w:val="auto"/>
          <w:sz w:val="24"/>
          <w:highlight w:val="none"/>
        </w:rPr>
        <w:t>5、缺陷责任期和工程保修期</w:t>
      </w:r>
      <w:bookmarkEnd w:id="59"/>
      <w:bookmarkEnd w:id="60"/>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5.1缺陷责任期：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5.2工程保修期：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5.3在工程移交甲方后，因乙方原因产生的质量缺陷，乙方应承担质量缺陷责任和保修义务。缺陷责任期届满，乙方仍应按合同约定的工程各部位保修年限承担保修义务。</w:t>
      </w:r>
    </w:p>
    <w:bookmarkEnd w:id="61"/>
    <w:p>
      <w:pPr>
        <w:adjustRightInd w:val="0"/>
        <w:snapToGrid w:val="0"/>
        <w:spacing w:line="360" w:lineRule="auto"/>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6、工程质量</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 本工程质量标准必须符合现行国家有关工程施工质量验收规范和标准的要求。</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6.2乙方应向甲方提交工程质量保证体系及措施文件，建立完善的质量检查制度，并提交相应的工程质量文件。</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6.3因乙方原因造成工程质量未达到合同约定标准的，甲方有权要求乙方返工直至工程质量达到合同约定的标准为止，并由乙方承担由此增加的费用和（或）延误的工期。</w:t>
      </w:r>
    </w:p>
    <w:p>
      <w:pPr>
        <w:adjustRightInd w:val="0"/>
        <w:snapToGrid w:val="0"/>
        <w:spacing w:line="360" w:lineRule="auto"/>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7、材料和工程设备</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7.1乙方负责采购的材料、工程设备须符合设计和有关标准要求，乙方应提供产品合格证明及出厂证明，对材料、工程设备质量负责，并负责妥善保管。</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pPr>
        <w:adjustRightInd w:val="0"/>
        <w:snapToGrid w:val="0"/>
        <w:spacing w:line="360" w:lineRule="auto"/>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8、验收</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8.1 乙方应确保所完成施工的质量，应符合本合同约定的质量标准。乙方施工完毕，应7天内向甲方提交完工报告，通知甲方验收。</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8.2 乙方在工程完毕交付验收前提供相关技术资料（包括但不限于系统原理图、安装图纸、产品使用说明书、维护保养手册、竣工图）4份，以上技术资料同时提交电子版。竣工资料乙方应根据甲方相关规章制度准备齐全。</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8.3 乙方应配合甲方对其工程进行竣工验收，验收时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pPr>
        <w:adjustRightInd w:val="0"/>
        <w:snapToGrid w:val="0"/>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9、</w:t>
      </w:r>
      <w:bookmarkStart w:id="62" w:name="_Toc414154013"/>
      <w:r>
        <w:rPr>
          <w:rFonts w:hint="eastAsia" w:ascii="仿宋_GB2312" w:hAnsi="仿宋_GB2312" w:eastAsia="仿宋_GB2312" w:cs="仿宋_GB2312"/>
          <w:b/>
          <w:color w:val="auto"/>
          <w:sz w:val="24"/>
          <w:highlight w:val="none"/>
        </w:rPr>
        <w:t>安全生产与文明施工</w:t>
      </w:r>
      <w:bookmarkEnd w:id="62"/>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9.1乙方应按法律规定和合同约定，制定安全生产文明施工管理制度，采取有效的环境保护措施，做好开工前的安全技术交底，办理工伤保险，确保工程及人员、材料、设备和设施的安全。</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甲方或当地公安部门。</w:t>
      </w:r>
    </w:p>
    <w:p>
      <w:pPr>
        <w:adjustRightInd w:val="0"/>
        <w:snapToGrid w:val="0"/>
        <w:spacing w:line="360" w:lineRule="auto"/>
        <w:outlineLvl w:val="1"/>
        <w:rPr>
          <w:rFonts w:ascii="仿宋_GB2312" w:hAnsi="仿宋_GB2312" w:eastAsia="仿宋_GB2312" w:cs="仿宋_GB2312"/>
          <w:b/>
          <w:color w:val="auto"/>
          <w:sz w:val="24"/>
          <w:highlight w:val="none"/>
        </w:rPr>
      </w:pPr>
      <w:bookmarkStart w:id="63" w:name="_Toc414154014"/>
      <w:bookmarkStart w:id="64" w:name="_Toc26341"/>
      <w:bookmarkStart w:id="65" w:name="_Toc16559"/>
      <w:r>
        <w:rPr>
          <w:rFonts w:hint="eastAsia" w:ascii="仿宋_GB2312" w:hAnsi="仿宋_GB2312" w:eastAsia="仿宋_GB2312" w:cs="仿宋_GB2312"/>
          <w:b/>
          <w:color w:val="auto"/>
          <w:sz w:val="24"/>
          <w:highlight w:val="none"/>
        </w:rPr>
        <w:t>10、</w:t>
      </w:r>
      <w:bookmarkEnd w:id="63"/>
      <w:r>
        <w:rPr>
          <w:rFonts w:hint="eastAsia" w:ascii="仿宋_GB2312" w:hAnsi="仿宋_GB2312" w:eastAsia="仿宋_GB2312" w:cs="仿宋_GB2312"/>
          <w:b/>
          <w:color w:val="auto"/>
          <w:sz w:val="24"/>
          <w:highlight w:val="none"/>
        </w:rPr>
        <w:t>变更估价与材料调差</w:t>
      </w:r>
      <w:bookmarkEnd w:id="64"/>
      <w:bookmarkEnd w:id="65"/>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10.1变更估价：合同中有相同单价的，采用合同单价；合同中有类似单价的，则参照类似合同单价；合同中无相同或类似单价的，则在变更计价时执行招标控制价采用的消耗量标准，缺项部分借用其他定额，取费相应执行招标控制价采用的有关规定，并执行合同优惠率 (招标控制价-中标总价）/招标控制价× 百分之百，人工工日单价按 招标控制价审定时的综合人工工资单价计取。</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10.2材料调差：已标价工程量清单或预算书中载明的材料、工程设备单价，在合同履行期间无论涨、跌，均不做任何调整。</w:t>
      </w:r>
    </w:p>
    <w:p>
      <w:pPr>
        <w:adjustRightInd w:val="0"/>
        <w:snapToGrid w:val="0"/>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11、价款支付</w:t>
      </w:r>
    </w:p>
    <w:p>
      <w:pPr>
        <w:adjustRightInd w:val="0"/>
        <w:snapToGrid w:val="0"/>
        <w:spacing w:line="360" w:lineRule="auto"/>
        <w:ind w:firstLine="480"/>
        <w:rPr>
          <w:rFonts w:ascii="仿宋_GB2312" w:hAnsi="仿宋_GB2312" w:eastAsia="仿宋_GB2312" w:cs="仿宋_GB2312"/>
          <w:color w:val="auto"/>
          <w:kern w:val="28"/>
          <w:sz w:val="24"/>
          <w:highlight w:val="none"/>
        </w:rPr>
      </w:pPr>
      <w:bookmarkStart w:id="66" w:name="_Toc479247487"/>
      <w:r>
        <w:rPr>
          <w:rFonts w:hint="eastAsia" w:ascii="仿宋_GB2312" w:hAnsi="仿宋_GB2312" w:eastAsia="仿宋_GB2312" w:cs="仿宋_GB2312"/>
          <w:color w:val="auto"/>
          <w:kern w:val="28"/>
          <w:sz w:val="24"/>
          <w:highlight w:val="none"/>
        </w:rPr>
        <w:t>11.1本工程无预付款</w:t>
      </w:r>
      <w:bookmarkEnd w:id="66"/>
      <w:bookmarkStart w:id="67" w:name="_Toc479247488"/>
      <w:r>
        <w:rPr>
          <w:rFonts w:hint="eastAsia" w:ascii="仿宋_GB2312" w:hAnsi="仿宋_GB2312" w:eastAsia="仿宋_GB2312" w:cs="仿宋_GB2312"/>
          <w:color w:val="auto"/>
          <w:kern w:val="28"/>
          <w:sz w:val="24"/>
          <w:highlight w:val="none"/>
        </w:rPr>
        <w:t>，在工程竣工验收合格移交竣工资料后，支付至实际竣工计量金额的70%，但支付金额不得超过签约合同价的70%；</w:t>
      </w:r>
      <w:bookmarkEnd w:id="67"/>
    </w:p>
    <w:p>
      <w:pPr>
        <w:adjustRightInd w:val="0"/>
        <w:snapToGrid w:val="0"/>
        <w:spacing w:line="360" w:lineRule="auto"/>
        <w:ind w:firstLine="480"/>
        <w:rPr>
          <w:rFonts w:ascii="仿宋_GB2312" w:hAnsi="仿宋_GB2312" w:eastAsia="仿宋_GB2312" w:cs="仿宋_GB2312"/>
          <w:color w:val="auto"/>
          <w:kern w:val="28"/>
          <w:sz w:val="24"/>
          <w:highlight w:val="none"/>
        </w:rPr>
      </w:pPr>
      <w:bookmarkStart w:id="68" w:name="_Toc479247489"/>
      <w:r>
        <w:rPr>
          <w:rFonts w:hint="eastAsia" w:ascii="仿宋_GB2312" w:hAnsi="仿宋_GB2312" w:eastAsia="仿宋_GB2312" w:cs="仿宋_GB2312"/>
          <w:color w:val="auto"/>
          <w:kern w:val="28"/>
          <w:sz w:val="24"/>
          <w:highlight w:val="none"/>
        </w:rPr>
        <w:t>11.2工程竣工结算经甲方审定后，支付至合同价格的97%（开具合同价格100%、合法有效的增值税专用发票原件），剩下的3%作为工程质量保证金，在已办理结算的前提下，保修期满后如无任何质量问题甲方一次性无息付清；</w:t>
      </w:r>
      <w:bookmarkEnd w:id="68"/>
    </w:p>
    <w:p>
      <w:pPr>
        <w:adjustRightInd w:val="0"/>
        <w:snapToGrid w:val="0"/>
        <w:spacing w:line="360" w:lineRule="auto"/>
        <w:ind w:firstLine="480"/>
        <w:rPr>
          <w:rFonts w:ascii="仿宋_GB2312" w:hAnsi="仿宋_GB2312" w:eastAsia="仿宋_GB2312" w:cs="仿宋_GB2312"/>
          <w:color w:val="auto"/>
          <w:kern w:val="28"/>
          <w:sz w:val="24"/>
          <w:highlight w:val="none"/>
        </w:rPr>
      </w:pPr>
      <w:bookmarkStart w:id="69" w:name="_Toc479247490"/>
      <w:r>
        <w:rPr>
          <w:rFonts w:hint="eastAsia" w:ascii="仿宋_GB2312" w:hAnsi="仿宋_GB2312" w:eastAsia="仿宋_GB2312" w:cs="仿宋_GB2312"/>
          <w:color w:val="auto"/>
          <w:kern w:val="28"/>
          <w:sz w:val="24"/>
          <w:highlight w:val="none"/>
        </w:rPr>
        <w:t>11.3本合同以人民币结算，并采用银行转账方式支付。</w:t>
      </w:r>
      <w:bookmarkEnd w:id="69"/>
    </w:p>
    <w:p>
      <w:pPr>
        <w:adjustRightInd w:val="0"/>
        <w:snapToGrid w:val="0"/>
        <w:spacing w:line="360" w:lineRule="auto"/>
        <w:ind w:firstLine="480"/>
        <w:rPr>
          <w:rFonts w:ascii="仿宋_GB2312" w:hAnsi="仿宋_GB2312" w:eastAsia="仿宋_GB2312" w:cs="仿宋_GB2312"/>
          <w:color w:val="auto"/>
          <w:kern w:val="28"/>
          <w:sz w:val="24"/>
          <w:highlight w:val="none"/>
        </w:rPr>
      </w:pPr>
      <w:bookmarkStart w:id="70" w:name="_Toc479247491"/>
      <w:r>
        <w:rPr>
          <w:rFonts w:hint="eastAsia" w:ascii="仿宋_GB2312" w:hAnsi="仿宋_GB2312" w:eastAsia="仿宋_GB2312" w:cs="仿宋_GB2312"/>
          <w:color w:val="auto"/>
          <w:kern w:val="28"/>
          <w:sz w:val="24"/>
          <w:highlight w:val="none"/>
        </w:rPr>
        <w:t>11.4所有支付均在收到乙方提供的以下资料后支付：</w:t>
      </w:r>
      <w:bookmarkEnd w:id="70"/>
    </w:p>
    <w:p>
      <w:pPr>
        <w:adjustRightInd w:val="0"/>
        <w:snapToGrid w:val="0"/>
        <w:spacing w:line="360" w:lineRule="auto"/>
        <w:ind w:firstLine="480"/>
        <w:rPr>
          <w:rFonts w:ascii="仿宋_GB2312" w:hAnsi="仿宋_GB2312" w:eastAsia="仿宋_GB2312" w:cs="仿宋_GB2312"/>
          <w:color w:val="auto"/>
          <w:kern w:val="28"/>
          <w:sz w:val="24"/>
          <w:highlight w:val="none"/>
        </w:rPr>
      </w:pPr>
      <w:bookmarkStart w:id="71" w:name="_Toc479247492"/>
      <w:r>
        <w:rPr>
          <w:rFonts w:hint="eastAsia" w:ascii="仿宋_GB2312" w:hAnsi="仿宋_GB2312" w:eastAsia="仿宋_GB2312" w:cs="仿宋_GB2312"/>
          <w:color w:val="auto"/>
          <w:kern w:val="28"/>
          <w:sz w:val="24"/>
          <w:highlight w:val="none"/>
        </w:rPr>
        <w:t>（1）经甲方审批同意的支付申请和相关资料；</w:t>
      </w:r>
      <w:bookmarkEnd w:id="71"/>
    </w:p>
    <w:p>
      <w:pPr>
        <w:adjustRightInd w:val="0"/>
        <w:snapToGrid w:val="0"/>
        <w:spacing w:line="360" w:lineRule="auto"/>
        <w:ind w:firstLine="480"/>
        <w:rPr>
          <w:rFonts w:ascii="仿宋_GB2312" w:hAnsi="仿宋_GB2312" w:eastAsia="仿宋_GB2312" w:cs="仿宋_GB2312"/>
          <w:color w:val="auto"/>
          <w:kern w:val="28"/>
          <w:sz w:val="24"/>
          <w:highlight w:val="none"/>
        </w:rPr>
      </w:pPr>
      <w:bookmarkStart w:id="72" w:name="_Toc479247493"/>
      <w:r>
        <w:rPr>
          <w:rFonts w:hint="eastAsia" w:ascii="仿宋_GB2312" w:hAnsi="仿宋_GB2312" w:eastAsia="仿宋_GB2312" w:cs="仿宋_GB2312"/>
          <w:color w:val="auto"/>
          <w:kern w:val="28"/>
          <w:sz w:val="24"/>
          <w:highlight w:val="none"/>
        </w:rPr>
        <w:t>（2）相应的税务发票原件；</w:t>
      </w:r>
      <w:bookmarkEnd w:id="72"/>
    </w:p>
    <w:p>
      <w:pPr>
        <w:adjustRightInd w:val="0"/>
        <w:snapToGrid w:val="0"/>
        <w:spacing w:line="360" w:lineRule="auto"/>
        <w:ind w:firstLine="480"/>
        <w:rPr>
          <w:rFonts w:ascii="仿宋_GB2312" w:hAnsi="仿宋_GB2312" w:eastAsia="仿宋_GB2312" w:cs="仿宋_GB2312"/>
          <w:color w:val="auto"/>
          <w:kern w:val="28"/>
          <w:sz w:val="24"/>
          <w:highlight w:val="none"/>
        </w:rPr>
      </w:pPr>
      <w:bookmarkStart w:id="73" w:name="_Toc479247494"/>
      <w:r>
        <w:rPr>
          <w:rFonts w:hint="eastAsia" w:ascii="仿宋_GB2312" w:hAnsi="仿宋_GB2312" w:eastAsia="仿宋_GB2312" w:cs="仿宋_GB2312"/>
          <w:color w:val="auto"/>
          <w:kern w:val="28"/>
          <w:sz w:val="24"/>
          <w:highlight w:val="none"/>
        </w:rPr>
        <w:t>（3）本合同约定的其他结算资料。</w:t>
      </w:r>
      <w:bookmarkEnd w:id="73"/>
    </w:p>
    <w:p>
      <w:pPr>
        <w:adjustRightInd w:val="0"/>
        <w:snapToGrid w:val="0"/>
        <w:spacing w:line="360" w:lineRule="auto"/>
        <w:ind w:firstLine="480"/>
        <w:rPr>
          <w:rFonts w:ascii="仿宋_GB2312" w:hAnsi="仿宋_GB2312" w:eastAsia="仿宋_GB2312" w:cs="仿宋_GB2312"/>
          <w:color w:val="auto"/>
          <w:kern w:val="28"/>
          <w:sz w:val="24"/>
          <w:highlight w:val="none"/>
        </w:rPr>
      </w:pPr>
      <w:r>
        <w:rPr>
          <w:rFonts w:hint="eastAsia" w:ascii="仿宋_GB2312" w:hAnsi="仿宋_GB2312" w:eastAsia="仿宋_GB2312" w:cs="仿宋_GB2312"/>
          <w:color w:val="auto"/>
          <w:kern w:val="28"/>
          <w:sz w:val="24"/>
          <w:highlight w:val="none"/>
        </w:rPr>
        <w:t>乙方未按约定提供上述材料的，甲方有权不予支付本合同约定价款，且不构成违约。</w:t>
      </w:r>
    </w:p>
    <w:p>
      <w:pPr>
        <w:adjustRightInd w:val="0"/>
        <w:snapToGrid w:val="0"/>
        <w:spacing w:line="360" w:lineRule="auto"/>
        <w:ind w:firstLine="480"/>
        <w:rPr>
          <w:rFonts w:ascii="仿宋_GB2312" w:hAnsi="仿宋_GB2312" w:eastAsia="仿宋_GB2312" w:cs="仿宋_GB2312"/>
          <w:color w:val="auto"/>
          <w:kern w:val="28"/>
          <w:sz w:val="24"/>
          <w:highlight w:val="none"/>
        </w:rPr>
      </w:pPr>
      <w:r>
        <w:rPr>
          <w:rFonts w:hint="eastAsia" w:ascii="仿宋_GB2312" w:hAnsi="仿宋_GB2312" w:eastAsia="仿宋_GB2312" w:cs="仿宋_GB2312"/>
          <w:color w:val="auto"/>
          <w:kern w:val="28"/>
          <w:sz w:val="24"/>
          <w:highlight w:val="none"/>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adjustRightInd w:val="0"/>
        <w:snapToGrid w:val="0"/>
        <w:spacing w:line="360" w:lineRule="auto"/>
        <w:outlineLvl w:val="1"/>
        <w:rPr>
          <w:rFonts w:ascii="仿宋_GB2312" w:hAnsi="仿宋_GB2312" w:eastAsia="仿宋_GB2312" w:cs="仿宋_GB2312"/>
          <w:b/>
          <w:bCs/>
          <w:color w:val="auto"/>
          <w:kern w:val="28"/>
          <w:sz w:val="24"/>
          <w:highlight w:val="none"/>
        </w:rPr>
      </w:pPr>
      <w:bookmarkStart w:id="74" w:name="_Toc414154016"/>
      <w:bookmarkStart w:id="75" w:name="_Toc14950"/>
      <w:bookmarkStart w:id="76" w:name="_Toc31880"/>
      <w:r>
        <w:rPr>
          <w:rFonts w:hint="eastAsia" w:ascii="仿宋_GB2312" w:hAnsi="仿宋_GB2312" w:eastAsia="仿宋_GB2312" w:cs="仿宋_GB2312"/>
          <w:b/>
          <w:color w:val="auto"/>
          <w:sz w:val="24"/>
          <w:highlight w:val="none"/>
        </w:rPr>
        <w:t>12、违约</w:t>
      </w:r>
      <w:bookmarkEnd w:id="74"/>
      <w:r>
        <w:rPr>
          <w:rFonts w:hint="eastAsia" w:ascii="仿宋_GB2312" w:hAnsi="仿宋_GB2312" w:eastAsia="仿宋_GB2312" w:cs="仿宋_GB2312"/>
          <w:b/>
          <w:color w:val="auto"/>
          <w:sz w:val="24"/>
          <w:highlight w:val="none"/>
        </w:rPr>
        <w:t>责任</w:t>
      </w:r>
      <w:bookmarkEnd w:id="75"/>
      <w:bookmarkEnd w:id="76"/>
    </w:p>
    <w:p>
      <w:pPr>
        <w:adjustRightInd w:val="0"/>
        <w:snapToGrid w:val="0"/>
        <w:spacing w:line="360" w:lineRule="auto"/>
        <w:ind w:firstLine="480"/>
        <w:rPr>
          <w:rFonts w:ascii="仿宋_GB2312" w:hAnsi="仿宋_GB2312" w:eastAsia="仿宋_GB2312"/>
          <w:color w:val="auto"/>
          <w:sz w:val="24"/>
          <w:highlight w:val="none"/>
        </w:rPr>
      </w:pPr>
      <w:r>
        <w:rPr>
          <w:rFonts w:hint="eastAsia" w:ascii="仿宋_GB2312" w:hAnsi="仿宋_GB2312" w:eastAsia="仿宋_GB2312" w:cs="仿宋_GB2312"/>
          <w:color w:val="auto"/>
          <w:sz w:val="24"/>
          <w:highlight w:val="none"/>
        </w:rPr>
        <w:t>12.1</w:t>
      </w:r>
      <w:r>
        <w:rPr>
          <w:rFonts w:hint="eastAsia" w:ascii="仿宋_GB2312" w:hAnsi="仿宋_GB2312" w:eastAsia="仿宋_GB2312"/>
          <w:color w:val="auto"/>
          <w:sz w:val="24"/>
          <w:highlight w:val="none"/>
        </w:rPr>
        <w:t>乙方因自身</w:t>
      </w:r>
      <w:r>
        <w:rPr>
          <w:rFonts w:hint="eastAsia" w:ascii="仿宋_GB2312" w:hAnsi="仿宋_GB2312" w:eastAsia="仿宋_GB2312" w:cs="仿宋_GB2312"/>
          <w:color w:val="auto"/>
          <w:kern w:val="28"/>
          <w:sz w:val="24"/>
          <w:highlight w:val="none"/>
        </w:rPr>
        <w:t>原因</w:t>
      </w:r>
      <w:r>
        <w:rPr>
          <w:rFonts w:hint="eastAsia" w:ascii="仿宋_GB2312" w:hAnsi="仿宋_GB2312" w:eastAsia="仿宋_GB2312"/>
          <w:color w:val="auto"/>
          <w:sz w:val="24"/>
          <w:highlight w:val="none"/>
        </w:rPr>
        <w:t>未能按合同要求完成工程施工的，每延误一天应向甲方交纳500元的违约金。</w:t>
      </w:r>
    </w:p>
    <w:p>
      <w:pPr>
        <w:adjustRightInd w:val="0"/>
        <w:snapToGrid w:val="0"/>
        <w:spacing w:line="360" w:lineRule="auto"/>
        <w:ind w:firstLine="48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pPr>
        <w:adjustRightInd w:val="0"/>
        <w:snapToGrid w:val="0"/>
        <w:spacing w:line="360" w:lineRule="auto"/>
        <w:ind w:firstLine="48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12.3在施工过程中，</w:t>
      </w:r>
      <w:r>
        <w:rPr>
          <w:rFonts w:hint="eastAsia" w:ascii="仿宋_GB2312" w:hAnsi="仿宋_GB2312" w:eastAsia="仿宋_GB2312" w:cs="仿宋_GB2312"/>
          <w:color w:val="auto"/>
          <w:kern w:val="28"/>
          <w:sz w:val="24"/>
          <w:highlight w:val="none"/>
        </w:rPr>
        <w:t>乙方</w:t>
      </w:r>
      <w:r>
        <w:rPr>
          <w:rFonts w:hint="eastAsia" w:ascii="仿宋_GB2312" w:hAnsi="仿宋_GB2312" w:eastAsia="仿宋_GB2312"/>
          <w:color w:val="auto"/>
          <w:sz w:val="24"/>
          <w:highlight w:val="none"/>
        </w:rPr>
        <w:t>存在质量安全隐患及不文明行为情况，且未根据相关部门要求及时整改的，乙方应向甲方交纳2000元/次·处的违约金，且甲方有权对乙方予以通报批评。</w:t>
      </w:r>
    </w:p>
    <w:p>
      <w:pPr>
        <w:adjustRightInd w:val="0"/>
        <w:snapToGrid w:val="0"/>
        <w:spacing w:line="360" w:lineRule="auto"/>
        <w:ind w:firstLine="480"/>
        <w:rPr>
          <w:rFonts w:ascii="Calibri" w:hAnsi="Calibri" w:eastAsia="仿宋_GB2312"/>
          <w:color w:val="auto"/>
          <w:highlight w:val="none"/>
        </w:rPr>
      </w:pPr>
      <w:r>
        <w:rPr>
          <w:rFonts w:hint="eastAsia" w:ascii="仿宋_GB2312" w:hAnsi="仿宋_GB2312" w:eastAsia="仿宋_GB2312"/>
          <w:color w:val="auto"/>
          <w:sz w:val="24"/>
          <w:highlight w:val="none"/>
        </w:rPr>
        <w:t>12.4乙方在施工过程中，发生一般等级及以上质量安全责任事故的，按照国家相关规定调查处理，由乙方承担相应的责任和损失，乙方应向甲方交纳1万元/次的违约金。</w:t>
      </w:r>
    </w:p>
    <w:p>
      <w:pPr>
        <w:adjustRightInd w:val="0"/>
        <w:snapToGrid w:val="0"/>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13、甲方的权利义务</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13.1甲方应遵守法律，并办理法律规定由甲方办理的许可、批准或备案，并协助乙方办理法律规定的应由乙方办理的有关施工证件和批件。</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13.2甲方应书面通知乙方其派驻施工现场的甲方代表的姓名、职务、联系方式及授权范围等事项。甲方代表在甲方的授权范围内，负责处理合同履行过程中与甲方有关的具体事宜。</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13.4甲方应按合同约定向乙方及时支付合同价款，并组织竣工验收。</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13.6合同履约过程中，乙方出现以下违约行为的，甲方有权单方解除合同：</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（1）乙方进行转包或违法分包的。</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（2）乙方的违约行为产生的违约金累计达到签约合同价的10%的。</w:t>
      </w:r>
    </w:p>
    <w:p>
      <w:pPr>
        <w:adjustRightInd w:val="0"/>
        <w:snapToGrid w:val="0"/>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14、乙方的权利义务</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14.1乙方应按照法律规定及合同约定组织完成工程施工，确保工程质量和安全，不进行转包及违法分包。</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14.2乙方应办理法律规定由乙方办理的许可和批准，并将办理结果书面报送甲方留存。</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14.3乙方应按合同约定的工作内容和施工进度要求，编制施工组织设计和施工措施计划，并对所有施工作业和施工方法的完备性和安全可靠性负责。</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14.4乙方应将甲方按合同约定支付的各项价款专用于合同工程，且应及时支付其雇用人员工资，确保民工工资及时足额发放，并及时向分包人支付合同价款。</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14.6乙方应按照法律规定和合同约定编制竣工资料，完成竣工资料立卷及归档，并向甲方提交用于存档的不少于4套竣工资料，相关费用已含在签约合同价中。</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14.7乙方应自行解决施工所需的通讯、场内道路以及施工、办公、生活所需的临时房屋、办公设备、施工设备等设施、设备，相关费用已含在签约合同价中。</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14.9乙方指派</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为本工程的项目负责人，具体处理本工程施工过程中的各项事务。</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14.10因政策变化、不可抗力及合同当事人之外的原因导致合同暂停，乙方应妥善做好已完工程、已购材料和工程设备的保护。</w:t>
      </w:r>
    </w:p>
    <w:p>
      <w:pPr>
        <w:adjustRightInd w:val="0"/>
        <w:snapToGrid w:val="0"/>
        <w:spacing w:line="360" w:lineRule="auto"/>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15、补充条款</w:t>
      </w:r>
    </w:p>
    <w:p>
      <w:pPr>
        <w:adjustRightInd w:val="0"/>
        <w:snapToGrid w:val="0"/>
        <w:spacing w:line="360" w:lineRule="auto"/>
        <w:ind w:firstLine="482" w:firstLineChars="200"/>
        <w:rPr>
          <w:rFonts w:ascii="仿宋_GB2312" w:hAnsi="仿宋_GB2312" w:eastAsia="仿宋_GB2312" w:cs="仿宋_GB2312"/>
          <w:b/>
          <w:i/>
          <w:color w:val="auto"/>
          <w:sz w:val="24"/>
          <w:highlight w:val="none"/>
        </w:rPr>
      </w:pPr>
      <w:r>
        <w:rPr>
          <w:rFonts w:hint="eastAsia" w:ascii="仿宋_GB2312" w:hAnsi="仿宋_GB2312" w:eastAsia="仿宋_GB2312" w:cs="仿宋_GB2312"/>
          <w:b/>
          <w:color w:val="auto"/>
          <w:sz w:val="24"/>
          <w:highlight w:val="none"/>
          <w:u w:val="single"/>
        </w:rPr>
        <w:t xml:space="preserve">    </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
          <w:color w:val="auto"/>
          <w:sz w:val="24"/>
          <w:highlight w:val="none"/>
          <w:u w:val="single"/>
        </w:rPr>
        <w:t xml:space="preserve">              </w:t>
      </w:r>
      <w:r>
        <w:rPr>
          <w:rFonts w:hint="eastAsia" w:ascii="仿宋_GB2312" w:hAnsi="仿宋_GB2312" w:eastAsia="仿宋_GB2312" w:cs="仿宋_GB2312"/>
          <w:b/>
          <w:color w:val="auto"/>
          <w:sz w:val="24"/>
          <w:highlight w:val="none"/>
        </w:rPr>
        <w:t>。</w:t>
      </w:r>
    </w:p>
    <w:p>
      <w:pPr>
        <w:adjustRightInd w:val="0"/>
        <w:snapToGrid w:val="0"/>
        <w:spacing w:line="360" w:lineRule="auto"/>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16、其他</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16.1合同当事人应在颁发工程接收证书后 7 天内完成工程的移交。工程移交前，乙方应负责工程照管、成品保护、保管等，并承担与之有关的各项费用。</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16.2因合同及合同有关事项产生的争议，合同当事人可以向有</w:t>
      </w:r>
      <w:r>
        <w:rPr>
          <w:rFonts w:hint="eastAsia" w:ascii="仿宋_GB2312" w:hAnsi="仿宋_GB2312" w:eastAsia="仿宋_GB2312" w:cs="仿宋_GB2312"/>
          <w:color w:val="auto"/>
          <w:sz w:val="24"/>
          <w:highlight w:val="none"/>
          <w:u w:val="single"/>
        </w:rPr>
        <w:t>本合同签订地（长沙市雨花区）的人民法院</w:t>
      </w:r>
      <w:r>
        <w:rPr>
          <w:rFonts w:hint="eastAsia" w:ascii="仿宋_GB2312" w:hAnsi="仿宋_GB2312" w:eastAsia="仿宋_GB2312" w:cs="仿宋_GB2312"/>
          <w:color w:val="auto"/>
          <w:sz w:val="24"/>
          <w:highlight w:val="none"/>
        </w:rPr>
        <w:t>起诉。</w:t>
      </w:r>
    </w:p>
    <w:p>
      <w:pPr>
        <w:adjustRightInd w:val="0"/>
        <w:snapToGrid w:val="0"/>
        <w:spacing w:line="360" w:lineRule="auto"/>
        <w:ind w:left="15" w:leftChars="7"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16.3合同未尽事宜，合同当事人另行签订补充协议，补充协议是合同的组成部分。</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16.4本合同自 双方法定代表人或授权代表签字，加盖公章或合同专用章后生效。</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16.5本合同一式八份（二正六副），甲方执六份（一正五副），乙方执二份（一正一副）。合同正本和副本均具有同等法律效力，当合同副本与正本存有差异时，以合同正本为准。</w:t>
      </w:r>
    </w:p>
    <w:p>
      <w:pPr>
        <w:adjustRightInd w:val="0"/>
        <w:snapToGrid w:val="0"/>
        <w:spacing w:line="360" w:lineRule="auto"/>
        <w:ind w:firstLine="64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16.6“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pPr>
        <w:ind w:left="420" w:leftChars="200"/>
        <w:rPr>
          <w:rFonts w:ascii="Calibri" w:hAnsi="Calibri"/>
          <w:color w:val="auto"/>
          <w:highlight w:val="none"/>
        </w:rPr>
      </w:pPr>
    </w:p>
    <w:p>
      <w:pPr>
        <w:adjustRightInd w:val="0"/>
        <w:snapToGrid w:val="0"/>
        <w:spacing w:line="360"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（以下无正文条款）</w:t>
      </w:r>
    </w:p>
    <w:p>
      <w:pPr>
        <w:adjustRightInd w:val="0"/>
        <w:snapToGrid w:val="0"/>
        <w:spacing w:line="360" w:lineRule="auto"/>
        <w:ind w:firstLine="630"/>
        <w:rPr>
          <w:rFonts w:ascii="仿宋" w:hAnsi="仿宋" w:eastAsia="仿宋" w:cs="仿宋"/>
          <w:color w:val="auto"/>
          <w:sz w:val="24"/>
          <w:highlight w:val="none"/>
        </w:rPr>
      </w:pPr>
    </w:p>
    <w:bookmarkEnd w:id="58"/>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tcPr>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甲方：(盖章)</w:t>
            </w:r>
          </w:p>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4194" w:type="dxa"/>
            <w:tcBorders>
              <w:top w:val="nil"/>
              <w:left w:val="nil"/>
              <w:bottom w:val="nil"/>
              <w:right w:val="nil"/>
            </w:tcBorders>
          </w:tcPr>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乙方：（盖章）</w:t>
            </w:r>
          </w:p>
          <w:p>
            <w:pPr>
              <w:snapToGrid w:val="0"/>
              <w:spacing w:line="360" w:lineRule="auto"/>
              <w:rPr>
                <w:rFonts w:ascii="仿宋_GB2312" w:hAnsi="仿宋_GB2312" w:eastAsia="仿宋_GB2312" w:cs="仿宋_GB2312"/>
                <w:color w:val="auto"/>
                <w:sz w:val="24"/>
                <w:highlight w:val="none"/>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法定代表人或其授权代表：</w:t>
            </w:r>
          </w:p>
        </w:tc>
        <w:tc>
          <w:tcPr>
            <w:tcW w:w="4194" w:type="dxa"/>
            <w:tcBorders>
              <w:top w:val="nil"/>
              <w:left w:val="nil"/>
              <w:bottom w:val="nil"/>
              <w:right w:val="nil"/>
            </w:tcBorders>
          </w:tcPr>
          <w:p>
            <w:pPr>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tcPr>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p>
        </w:tc>
        <w:tc>
          <w:tcPr>
            <w:tcW w:w="4194" w:type="dxa"/>
            <w:tcBorders>
              <w:top w:val="nil"/>
              <w:left w:val="nil"/>
              <w:bottom w:val="nil"/>
              <w:right w:val="nil"/>
            </w:tcBorders>
          </w:tcPr>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tcPr>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    编： </w:t>
            </w:r>
          </w:p>
        </w:tc>
        <w:tc>
          <w:tcPr>
            <w:tcW w:w="4194" w:type="dxa"/>
            <w:tcBorders>
              <w:top w:val="nil"/>
              <w:left w:val="nil"/>
              <w:bottom w:val="nil"/>
              <w:right w:val="nil"/>
            </w:tcBorders>
          </w:tcPr>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    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电    话： </w:t>
            </w:r>
          </w:p>
        </w:tc>
        <w:tc>
          <w:tcPr>
            <w:tcW w:w="4194"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电    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传    真： </w:t>
            </w:r>
          </w:p>
        </w:tc>
        <w:tc>
          <w:tcPr>
            <w:tcW w:w="4194"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传    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c>
          <w:tcPr>
            <w:tcW w:w="4194"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    号：</w:t>
            </w:r>
          </w:p>
        </w:tc>
        <w:tc>
          <w:tcPr>
            <w:tcW w:w="4194"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    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税    号：</w:t>
            </w:r>
          </w:p>
        </w:tc>
        <w:tc>
          <w:tcPr>
            <w:tcW w:w="4194" w:type="dxa"/>
            <w:tcBorders>
              <w:top w:val="nil"/>
              <w:left w:val="nil"/>
              <w:bottom w:val="nil"/>
              <w:right w:val="nil"/>
            </w:tcBorders>
          </w:tcPr>
          <w:p>
            <w:pPr>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税    号：</w:t>
            </w:r>
          </w:p>
        </w:tc>
      </w:tr>
    </w:tbl>
    <w:p>
      <w:pPr>
        <w:adjustRightInd w:val="0"/>
        <w:snapToGrid w:val="0"/>
        <w:spacing w:line="800" w:lineRule="exact"/>
        <w:rPr>
          <w:rFonts w:ascii="仿宋" w:hAnsi="仿宋" w:eastAsia="仿宋" w:cs="仿宋"/>
          <w:color w:val="auto"/>
          <w:sz w:val="32"/>
          <w:szCs w:val="32"/>
          <w:highlight w:val="none"/>
        </w:rPr>
        <w:sectPr>
          <w:headerReference r:id="rId10" w:type="default"/>
          <w:footerReference r:id="rId11" w:type="default"/>
          <w:pgSz w:w="11906" w:h="16838"/>
          <w:pgMar w:top="1418" w:right="1418" w:bottom="1418" w:left="1588" w:header="851" w:footer="992" w:gutter="0"/>
          <w:pgNumType w:fmt="decimal"/>
          <w:cols w:space="720" w:num="1"/>
          <w:docGrid w:linePitch="312" w:charSpace="0"/>
        </w:sectPr>
      </w:pPr>
      <w:r>
        <w:rPr>
          <w:rFonts w:hint="eastAsia" w:ascii="仿宋" w:hAnsi="仿宋" w:eastAsia="仿宋" w:cs="仿宋"/>
          <w:color w:val="auto"/>
          <w:sz w:val="32"/>
          <w:szCs w:val="32"/>
          <w:highlight w:val="none"/>
        </w:rPr>
        <w:t xml:space="preserve"> </w:t>
      </w:r>
    </w:p>
    <w:p>
      <w:pPr>
        <w:tabs>
          <w:tab w:val="left" w:pos="2799"/>
        </w:tabs>
        <w:spacing w:line="400" w:lineRule="exact"/>
        <w:jc w:val="center"/>
        <w:rPr>
          <w:rFonts w:ascii="仿宋" w:hAnsi="仿宋" w:eastAsia="仿宋" w:cs="仿宋"/>
          <w:b/>
          <w:bCs/>
          <w:color w:val="auto"/>
          <w:sz w:val="32"/>
          <w:szCs w:val="32"/>
          <w:highlight w:val="none"/>
        </w:rPr>
      </w:pPr>
      <w:bookmarkStart w:id="77" w:name="_Toc10030"/>
      <w:r>
        <w:rPr>
          <w:rFonts w:hint="eastAsia" w:ascii="仿宋" w:hAnsi="仿宋" w:eastAsia="仿宋" w:cs="仿宋"/>
          <w:b/>
          <w:bCs/>
          <w:color w:val="auto"/>
          <w:sz w:val="32"/>
          <w:szCs w:val="32"/>
          <w:highlight w:val="none"/>
        </w:rPr>
        <w:t>第二部分 中选通知书</w:t>
      </w:r>
      <w:r>
        <w:rPr>
          <w:rFonts w:hint="eastAsia" w:ascii="仿宋" w:hAnsi="仿宋" w:eastAsia="仿宋" w:cs="仿宋"/>
          <w:color w:val="auto"/>
          <w:sz w:val="32"/>
          <w:szCs w:val="32"/>
          <w:highlight w:val="none"/>
        </w:rPr>
        <w:br w:type="page"/>
      </w:r>
      <w:r>
        <w:rPr>
          <w:rFonts w:hint="eastAsia" w:ascii="仿宋" w:hAnsi="仿宋" w:eastAsia="仿宋" w:cs="仿宋"/>
          <w:b/>
          <w:bCs/>
          <w:color w:val="auto"/>
          <w:sz w:val="32"/>
          <w:szCs w:val="32"/>
          <w:highlight w:val="none"/>
        </w:rPr>
        <w:t>第三部分 合同附件</w:t>
      </w:r>
    </w:p>
    <w:bookmarkEnd w:id="77"/>
    <w:p>
      <w:pPr>
        <w:adjustRightInd w:val="0"/>
        <w:snapToGrid w:val="0"/>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附件1：廉政合同</w:t>
      </w:r>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根据国家法律、法规以及有关工程建设、廉政建设的规定，为做好工程建设中的党风廉政建设，保证工程建设高效优质，保证建设资金的安全和有效使用以及投资效益，</w:t>
      </w:r>
    </w:p>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建设工程的项目法人</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color w:val="auto"/>
          <w:sz w:val="24"/>
          <w:highlight w:val="none"/>
        </w:rPr>
        <w:t>(以下称“甲方”)与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(以下称“乙方”)，特订立如下合同。</w:t>
      </w:r>
    </w:p>
    <w:p>
      <w:pPr>
        <w:adjustRightInd w:val="0"/>
        <w:snapToGrid w:val="0"/>
        <w:spacing w:line="360" w:lineRule="auto"/>
        <w:ind w:firstLine="510"/>
        <w:rPr>
          <w:rFonts w:ascii="仿宋_GB2312" w:hAnsi="仿宋_GB2312" w:eastAsia="仿宋_GB2312" w:cs="仿宋_GB2312"/>
          <w:b/>
          <w:color w:val="auto"/>
          <w:sz w:val="24"/>
          <w:highlight w:val="none"/>
        </w:rPr>
      </w:pPr>
      <w:bookmarkStart w:id="78" w:name="_Toc59896701"/>
      <w:bookmarkStart w:id="79" w:name="_Toc59900969"/>
      <w:r>
        <w:rPr>
          <w:rFonts w:hint="eastAsia" w:ascii="仿宋_GB2312" w:hAnsi="仿宋_GB2312" w:eastAsia="仿宋_GB2312" w:cs="仿宋_GB2312"/>
          <w:b/>
          <w:color w:val="auto"/>
          <w:sz w:val="24"/>
          <w:highlight w:val="none"/>
        </w:rPr>
        <w:t>第一条 合同双方的权利和义务</w:t>
      </w:r>
      <w:bookmarkEnd w:id="78"/>
      <w:bookmarkEnd w:id="79"/>
    </w:p>
    <w:p>
      <w:pPr>
        <w:tabs>
          <w:tab w:val="left" w:pos="2115"/>
        </w:tabs>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tabs>
          <w:tab w:val="left" w:pos="2115"/>
        </w:tabs>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合同文件（以下简称“主合同”），自觉按合同办事。</w:t>
      </w:r>
    </w:p>
    <w:p>
      <w:pPr>
        <w:tabs>
          <w:tab w:val="left" w:pos="2115"/>
        </w:tabs>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tabs>
          <w:tab w:val="left" w:pos="2115"/>
        </w:tabs>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（四）建立健全廉政制度，开展廉政教育，设立廉政告示牌，公布举报电话，监督并认真查处违法违纪行为。</w:t>
      </w:r>
    </w:p>
    <w:p>
      <w:pPr>
        <w:tabs>
          <w:tab w:val="left" w:pos="2115"/>
        </w:tabs>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tabs>
          <w:tab w:val="left" w:pos="2115"/>
        </w:tabs>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（六）发现对方严重违反本合同义务条款的行为，有向其上级有关部门举报、建议给予处理并要求告知处理结果的权利。</w:t>
      </w:r>
    </w:p>
    <w:p>
      <w:pPr>
        <w:adjustRightInd w:val="0"/>
        <w:snapToGrid w:val="0"/>
        <w:spacing w:line="360" w:lineRule="auto"/>
        <w:ind w:firstLine="510"/>
        <w:rPr>
          <w:rFonts w:ascii="仿宋_GB2312" w:hAnsi="仿宋_GB2312" w:eastAsia="仿宋_GB2312" w:cs="仿宋_GB2312"/>
          <w:b/>
          <w:color w:val="auto"/>
          <w:sz w:val="24"/>
          <w:highlight w:val="none"/>
        </w:rPr>
      </w:pPr>
      <w:bookmarkStart w:id="80" w:name="_Toc59900970"/>
      <w:bookmarkStart w:id="81" w:name="_Toc59896702"/>
      <w:r>
        <w:rPr>
          <w:rFonts w:hint="eastAsia" w:ascii="仿宋_GB2312" w:hAnsi="仿宋_GB2312" w:eastAsia="仿宋_GB2312" w:cs="仿宋_GB2312"/>
          <w:b/>
          <w:color w:val="auto"/>
          <w:sz w:val="24"/>
          <w:highlight w:val="none"/>
        </w:rPr>
        <w:t>第二条 甲方的义务</w:t>
      </w:r>
      <w:bookmarkEnd w:id="80"/>
      <w:bookmarkEnd w:id="81"/>
    </w:p>
    <w:p>
      <w:pPr>
        <w:tabs>
          <w:tab w:val="left" w:pos="0"/>
          <w:tab w:val="left" w:pos="2115"/>
        </w:tabs>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（一）甲方及其工作人员不得索要或接受乙方的礼金、有价证券和贵重物品，不得在乙方报销任何应由甲方或个人支付的费用等。</w:t>
      </w:r>
    </w:p>
    <w:p>
      <w:pPr>
        <w:tabs>
          <w:tab w:val="left" w:pos="0"/>
          <w:tab w:val="left" w:pos="2115"/>
        </w:tabs>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（二）甲方工作人员不得参加乙方安排的超标准宴请和娱乐活动；不得接受乙方提供的通讯工具、交通工具和高档办公用品等。</w:t>
      </w:r>
    </w:p>
    <w:p>
      <w:pPr>
        <w:tabs>
          <w:tab w:val="left" w:pos="0"/>
          <w:tab w:val="left" w:pos="2115"/>
        </w:tabs>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（三）甲方及其工作人员不得要求或者接受乙方为其住房装修、婚丧嫁娶活动、配偶子女的工作安排以及出国出境、旅游等提供方便等。</w:t>
      </w:r>
    </w:p>
    <w:p>
      <w:pPr>
        <w:adjustRightInd w:val="0"/>
        <w:snapToGrid w:val="0"/>
        <w:spacing w:line="360" w:lineRule="auto"/>
        <w:ind w:firstLine="510"/>
        <w:rPr>
          <w:rFonts w:ascii="仿宋_GB2312" w:hAnsi="仿宋_GB2312" w:eastAsia="仿宋_GB2312" w:cs="仿宋_GB2312"/>
          <w:b/>
          <w:color w:val="auto"/>
          <w:sz w:val="24"/>
          <w:highlight w:val="none"/>
        </w:rPr>
      </w:pPr>
      <w:bookmarkStart w:id="82" w:name="_Toc59900971"/>
      <w:bookmarkStart w:id="83" w:name="_Toc59896703"/>
      <w:r>
        <w:rPr>
          <w:rFonts w:hint="eastAsia" w:ascii="仿宋_GB2312" w:hAnsi="仿宋_GB2312" w:eastAsia="仿宋_GB2312" w:cs="仿宋_GB2312"/>
          <w:b/>
          <w:color w:val="auto"/>
          <w:sz w:val="24"/>
          <w:highlight w:val="none"/>
        </w:rPr>
        <w:t>第三条 乙方的义务</w:t>
      </w:r>
      <w:bookmarkEnd w:id="82"/>
      <w:bookmarkEnd w:id="83"/>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（一）乙方不得以任何理由向甲方及其工作人员行贿或馈赠礼金、有价证券、贵重礼品。</w:t>
      </w:r>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（三）乙方不得以任何理由安排甲方工作人员参加超标准宴请及娱乐活动。</w:t>
      </w:r>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（四）乙方不得为甲方单位和个人购置或提供通讯工具、交通工具和高档办公用品等。</w:t>
      </w:r>
    </w:p>
    <w:p>
      <w:pPr>
        <w:adjustRightInd w:val="0"/>
        <w:snapToGrid w:val="0"/>
        <w:spacing w:line="360" w:lineRule="auto"/>
        <w:ind w:firstLine="51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第四条 违约责任</w:t>
      </w:r>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参加甲方组织建设工程项目招标活动的处罚。</w:t>
      </w:r>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第五条</w:t>
      </w:r>
      <w:r>
        <w:rPr>
          <w:rFonts w:hint="eastAsia" w:ascii="仿宋_GB2312" w:hAnsi="仿宋_GB2312" w:eastAsia="仿宋_GB2312" w:cs="仿宋_GB2312"/>
          <w:color w:val="auto"/>
          <w:sz w:val="24"/>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第六条</w:t>
      </w:r>
      <w:r>
        <w:rPr>
          <w:rFonts w:hint="eastAsia" w:ascii="仿宋_GB2312" w:hAnsi="仿宋_GB2312" w:eastAsia="仿宋_GB2312" w:cs="仿宋_GB2312"/>
          <w:color w:val="auto"/>
          <w:sz w:val="24"/>
          <w:highlight w:val="none"/>
        </w:rPr>
        <w:t xml:space="preserve"> 本合同有效期为合同双方签署之日起至该工程项目竣工验收合格之日止。</w:t>
      </w:r>
    </w:p>
    <w:p>
      <w:pPr>
        <w:adjustRightInd w:val="0"/>
        <w:snapToGrid w:val="0"/>
        <w:spacing w:line="360" w:lineRule="auto"/>
        <w:ind w:firstLine="51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第七条</w:t>
      </w:r>
      <w:r>
        <w:rPr>
          <w:rFonts w:hint="eastAsia" w:ascii="仿宋_GB2312" w:hAnsi="仿宋_GB2312" w:eastAsia="仿宋_GB2312" w:cs="仿宋_GB2312"/>
          <w:color w:val="auto"/>
          <w:sz w:val="24"/>
          <w:highlight w:val="none"/>
        </w:rPr>
        <w:t xml:space="preserve"> 本合同作为主合同的附件，与主合同具有同等的法律效力，经合同双方法定代表人或授权代理人签字盖章立即生效。</w:t>
      </w:r>
    </w:p>
    <w:p>
      <w:pPr>
        <w:adjustRightInd w:val="0"/>
        <w:snapToGrid w:val="0"/>
        <w:spacing w:line="360" w:lineRule="auto"/>
        <w:ind w:firstLine="482"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第八条</w:t>
      </w:r>
      <w:r>
        <w:rPr>
          <w:rFonts w:hint="eastAsia" w:ascii="仿宋_GB2312" w:hAnsi="仿宋_GB2312" w:eastAsia="仿宋_GB2312" w:cs="仿宋_GB2312"/>
          <w:color w:val="auto"/>
          <w:sz w:val="24"/>
          <w:highlight w:val="none"/>
        </w:rPr>
        <w:t xml:space="preserve"> 发现有违反相关要求的，可通过以下途径举报：</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（1）监督举报电话（限短信方式）：15367896029，15874975219。</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（2）举报邮箱：yygsjbyx2015@163.com。</w:t>
      </w:r>
    </w:p>
    <w:p>
      <w:pPr>
        <w:adjustRightInd w:val="0"/>
        <w:snapToGrid w:val="0"/>
        <w:spacing w:line="360" w:lineRule="auto"/>
        <w:ind w:firstLine="480" w:firstLineChars="200"/>
        <w:rPr>
          <w:rFonts w:ascii="仿宋_GB2312" w:hAnsi="仿宋_GB2312" w:eastAsia="仿宋_GB2312" w:cs="仿宋_GB2312"/>
          <w:color w:val="auto"/>
          <w:sz w:val="24"/>
          <w:highlight w:val="none"/>
        </w:rPr>
      </w:pPr>
    </w:p>
    <w:p>
      <w:pPr>
        <w:adjustRightInd w:val="0"/>
        <w:snapToGrid w:val="0"/>
        <w:spacing w:line="360" w:lineRule="auto"/>
        <w:ind w:firstLine="480" w:firstLineChars="200"/>
        <w:rPr>
          <w:rFonts w:ascii="仿宋_GB2312" w:hAnsi="仿宋_GB2312" w:eastAsia="仿宋_GB2312" w:cs="仿宋_GB2312"/>
          <w:bCs/>
          <w:color w:val="auto"/>
          <w:sz w:val="24"/>
          <w:highlight w:val="none"/>
          <w:u w:val="single"/>
        </w:rPr>
      </w:pPr>
      <w:r>
        <w:rPr>
          <w:rFonts w:hint="eastAsia" w:ascii="仿宋_GB2312" w:hAnsi="仿宋_GB2312" w:eastAsia="仿宋_GB2312" w:cs="仿宋_GB2312"/>
          <w:bCs/>
          <w:color w:val="auto"/>
          <w:sz w:val="24"/>
          <w:highlight w:val="none"/>
        </w:rPr>
        <w:t>甲方单位：</w:t>
      </w:r>
      <w:r>
        <w:rPr>
          <w:rFonts w:hint="eastAsia" w:ascii="仿宋_GB2312" w:hAnsi="仿宋_GB2312" w:eastAsia="仿宋_GB2312" w:cs="仿宋_GB2312"/>
          <w:bCs/>
          <w:color w:val="auto"/>
          <w:sz w:val="24"/>
          <w:highlight w:val="none"/>
          <w:u w:val="single"/>
        </w:rPr>
        <w:t xml:space="preserve">  （盖章）   </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pacing w:val="31"/>
          <w:sz w:val="24"/>
          <w:highlight w:val="none"/>
        </w:rPr>
        <w:t xml:space="preserve"> </w:t>
      </w:r>
      <w:r>
        <w:rPr>
          <w:rFonts w:hint="eastAsia" w:ascii="仿宋_GB2312" w:hAnsi="仿宋_GB2312" w:eastAsia="仿宋_GB2312" w:cs="仿宋_GB2312"/>
          <w:bCs/>
          <w:color w:val="auto"/>
          <w:sz w:val="24"/>
          <w:highlight w:val="none"/>
        </w:rPr>
        <w:t xml:space="preserve"> 乙方单位：</w:t>
      </w:r>
      <w:r>
        <w:rPr>
          <w:rFonts w:hint="eastAsia" w:ascii="仿宋_GB2312" w:hAnsi="仿宋_GB2312" w:eastAsia="仿宋_GB2312" w:cs="仿宋_GB2312"/>
          <w:bCs/>
          <w:color w:val="auto"/>
          <w:sz w:val="24"/>
          <w:highlight w:val="none"/>
          <w:u w:val="single"/>
        </w:rPr>
        <w:t xml:space="preserve"> （盖章）    </w:t>
      </w:r>
    </w:p>
    <w:p>
      <w:pPr>
        <w:adjustRightInd w:val="0"/>
        <w:snapToGrid w:val="0"/>
        <w:spacing w:line="360" w:lineRule="auto"/>
        <w:ind w:firstLine="480" w:firstLineChars="200"/>
        <w:rPr>
          <w:rFonts w:ascii="仿宋_GB2312" w:hAnsi="仿宋_GB2312" w:eastAsia="仿宋_GB2312" w:cs="仿宋_GB2312"/>
          <w:bCs/>
          <w:color w:val="auto"/>
          <w:sz w:val="24"/>
          <w:highlight w:val="none"/>
          <w:u w:val="single"/>
        </w:rPr>
      </w:pPr>
      <w:r>
        <w:rPr>
          <w:rFonts w:hint="eastAsia" w:ascii="仿宋_GB2312" w:hAnsi="仿宋_GB2312" w:eastAsia="仿宋_GB2312" w:cs="仿宋_GB2312"/>
          <w:bCs/>
          <w:color w:val="auto"/>
          <w:sz w:val="24"/>
          <w:highlight w:val="none"/>
        </w:rPr>
        <w:t>法定代表人或授权代表（签字）：    法定代表人或授权代表（签字）：</w:t>
      </w:r>
    </w:p>
    <w:p>
      <w:pPr>
        <w:adjustRightInd w:val="0"/>
        <w:snapToGrid w:val="0"/>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z w:val="24"/>
          <w:highlight w:val="none"/>
          <w:u w:val="single"/>
        </w:rPr>
        <w:t xml:space="preserve">                         </w:t>
      </w:r>
    </w:p>
    <w:p>
      <w:pPr>
        <w:adjustRightInd w:val="0"/>
        <w:snapToGrid w:val="0"/>
        <w:spacing w:line="360" w:lineRule="auto"/>
        <w:ind w:firstLine="480" w:firstLineChars="200"/>
        <w:rPr>
          <w:rFonts w:ascii="仿宋_GB2312" w:hAnsi="仿宋_GB2312" w:eastAsia="仿宋_GB2312" w:cs="仿宋_GB2312"/>
          <w:bCs/>
          <w:color w:val="auto"/>
          <w:sz w:val="24"/>
          <w:highlight w:val="none"/>
          <w:u w:val="single"/>
        </w:rPr>
      </w:pPr>
      <w:r>
        <w:rPr>
          <w:rFonts w:hint="eastAsia" w:ascii="仿宋_GB2312" w:hAnsi="仿宋_GB2312" w:eastAsia="仿宋_GB2312" w:cs="仿宋_GB2312"/>
          <w:bCs/>
          <w:color w:val="auto"/>
          <w:sz w:val="24"/>
          <w:highlight w:val="none"/>
        </w:rPr>
        <w:t>电  话：</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w w:val="110"/>
          <w:sz w:val="24"/>
          <w:highlight w:val="none"/>
        </w:rPr>
        <w:t xml:space="preserve">    </w:t>
      </w:r>
      <w:r>
        <w:rPr>
          <w:rFonts w:hint="eastAsia" w:ascii="仿宋_GB2312" w:hAnsi="仿宋_GB2312" w:eastAsia="仿宋_GB2312" w:cs="仿宋_GB2312"/>
          <w:bCs/>
          <w:color w:val="auto"/>
          <w:sz w:val="24"/>
          <w:highlight w:val="none"/>
        </w:rPr>
        <w:t xml:space="preserve">  电  话：</w:t>
      </w:r>
      <w:r>
        <w:rPr>
          <w:rFonts w:hint="eastAsia" w:ascii="仿宋_GB2312" w:hAnsi="仿宋_GB2312" w:eastAsia="仿宋_GB2312" w:cs="仿宋_GB2312"/>
          <w:bCs/>
          <w:color w:val="auto"/>
          <w:sz w:val="24"/>
          <w:highlight w:val="none"/>
          <w:u w:val="single"/>
        </w:rPr>
        <w:t xml:space="preserve">                  </w:t>
      </w:r>
    </w:p>
    <w:p>
      <w:pPr>
        <w:adjustRightInd w:val="0"/>
        <w:snapToGrid w:val="0"/>
        <w:spacing w:line="360" w:lineRule="auto"/>
        <w:jc w:val="left"/>
        <w:outlineLvl w:val="0"/>
        <w:rPr>
          <w:rFonts w:ascii="仿宋_GB2312" w:hAnsi="仿宋_GB2312" w:eastAsia="仿宋_GB2312" w:cs="仿宋_GB2312"/>
          <w:bCs/>
          <w:color w:val="auto"/>
          <w:sz w:val="24"/>
          <w:highlight w:val="none"/>
          <w:u w:val="single"/>
        </w:rPr>
      </w:pPr>
      <w:r>
        <w:rPr>
          <w:rFonts w:hint="eastAsia" w:ascii="仿宋_GB2312" w:hAnsi="仿宋_GB2312" w:eastAsia="仿宋_GB2312" w:cs="仿宋_GB2312"/>
          <w:bCs/>
          <w:color w:val="auto"/>
          <w:sz w:val="24"/>
          <w:highlight w:val="none"/>
        </w:rPr>
        <w:t xml:space="preserve">    </w:t>
      </w:r>
      <w:bookmarkStart w:id="84" w:name="_Toc480198331"/>
      <w:bookmarkStart w:id="85" w:name="_Toc480198174"/>
      <w:bookmarkStart w:id="86" w:name="_Toc480198262"/>
      <w:bookmarkStart w:id="87" w:name="_Toc934"/>
      <w:bookmarkStart w:id="88" w:name="_Toc29914"/>
      <w:bookmarkStart w:id="89" w:name="_Toc479247504"/>
      <w:bookmarkStart w:id="90" w:name="_Toc9011"/>
      <w:r>
        <w:rPr>
          <w:rFonts w:hint="eastAsia" w:ascii="仿宋_GB2312" w:hAnsi="仿宋_GB2312" w:eastAsia="仿宋_GB2312" w:cs="仿宋_GB2312"/>
          <w:bCs/>
          <w:color w:val="auto"/>
          <w:sz w:val="24"/>
          <w:highlight w:val="none"/>
        </w:rPr>
        <w:t>甲方监督单位：</w:t>
      </w:r>
      <w:r>
        <w:rPr>
          <w:rFonts w:hint="eastAsia" w:ascii="仿宋_GB2312" w:hAnsi="仿宋_GB2312" w:eastAsia="仿宋_GB2312" w:cs="仿宋_GB2312"/>
          <w:bCs/>
          <w:color w:val="auto"/>
          <w:sz w:val="24"/>
          <w:highlight w:val="none"/>
          <w:u w:val="single"/>
        </w:rPr>
        <w:t xml:space="preserve">（盖章） </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w w:val="110"/>
          <w:sz w:val="24"/>
          <w:highlight w:val="none"/>
        </w:rPr>
        <w:t xml:space="preserve">    </w:t>
      </w:r>
      <w:r>
        <w:rPr>
          <w:rFonts w:hint="eastAsia" w:ascii="仿宋_GB2312" w:hAnsi="仿宋_GB2312" w:eastAsia="仿宋_GB2312" w:cs="仿宋_GB2312"/>
          <w:bCs/>
          <w:color w:val="auto"/>
          <w:sz w:val="24"/>
          <w:highlight w:val="none"/>
        </w:rPr>
        <w:t xml:space="preserve">   乙方监督单位：</w:t>
      </w:r>
      <w:r>
        <w:rPr>
          <w:rFonts w:hint="eastAsia" w:ascii="仿宋_GB2312" w:hAnsi="仿宋_GB2312" w:eastAsia="仿宋_GB2312" w:cs="仿宋_GB2312"/>
          <w:bCs/>
          <w:color w:val="auto"/>
          <w:sz w:val="24"/>
          <w:highlight w:val="none"/>
          <w:u w:val="single"/>
        </w:rPr>
        <w:t>（盖章）</w:t>
      </w:r>
      <w:bookmarkEnd w:id="84"/>
      <w:bookmarkEnd w:id="85"/>
      <w:bookmarkEnd w:id="86"/>
      <w:bookmarkEnd w:id="87"/>
      <w:bookmarkEnd w:id="88"/>
      <w:bookmarkEnd w:id="89"/>
      <w:bookmarkEnd w:id="90"/>
      <w:r>
        <w:rPr>
          <w:rFonts w:hint="eastAsia" w:ascii="仿宋_GB2312" w:hAnsi="仿宋_GB2312" w:eastAsia="仿宋_GB2312" w:cs="仿宋_GB2312"/>
          <w:bCs/>
          <w:color w:val="auto"/>
          <w:sz w:val="24"/>
          <w:highlight w:val="none"/>
          <w:u w:val="single"/>
        </w:rPr>
        <w:t xml:space="preserve"> </w:t>
      </w:r>
    </w:p>
    <w:p>
      <w:pPr>
        <w:tabs>
          <w:tab w:val="left" w:pos="2799"/>
        </w:tabs>
        <w:spacing w:line="400" w:lineRule="exact"/>
        <w:jc w:val="left"/>
        <w:rPr>
          <w:rFonts w:ascii="仿宋" w:hAnsi="仿宋" w:eastAsia="仿宋" w:cs="仿宋"/>
          <w:color w:val="auto"/>
          <w:highlight w:val="none"/>
        </w:rPr>
      </w:pPr>
    </w:p>
    <w:p>
      <w:pPr>
        <w:adjustRightInd w:val="0"/>
        <w:snapToGrid w:val="0"/>
        <w:spacing w:line="360" w:lineRule="auto"/>
        <w:jc w:val="left"/>
        <w:outlineLvl w:val="0"/>
        <w:rPr>
          <w:rFonts w:ascii="仿宋_GB2312" w:hAnsi="仿宋_GB2312" w:eastAsia="仿宋_GB2312" w:cs="仿宋_GB2312"/>
          <w:bCs/>
          <w:color w:val="auto"/>
          <w:sz w:val="24"/>
          <w:highlight w:val="none"/>
          <w:u w:val="single"/>
        </w:rPr>
      </w:pPr>
      <w:r>
        <w:rPr>
          <w:rFonts w:hint="eastAsia" w:ascii="仿宋" w:hAnsi="仿宋" w:eastAsia="仿宋" w:cs="仿宋"/>
          <w:color w:val="auto"/>
          <w:highlight w:val="none"/>
        </w:rPr>
        <w:br w:type="page"/>
      </w:r>
      <w:bookmarkStart w:id="91" w:name="_Toc18378"/>
      <w:bookmarkStart w:id="92" w:name="_Toc13502"/>
      <w:r>
        <w:rPr>
          <w:rFonts w:hint="eastAsia" w:ascii="仿宋_GB2312" w:hAnsi="仿宋_GB2312" w:eastAsia="仿宋_GB2312" w:cs="仿宋_GB2312"/>
          <w:color w:val="auto"/>
          <w:sz w:val="24"/>
          <w:highlight w:val="none"/>
        </w:rPr>
        <w:t>附件2：</w:t>
      </w:r>
      <w:bookmarkStart w:id="93" w:name="_Toc2376"/>
      <w:r>
        <w:rPr>
          <w:rFonts w:hint="eastAsia" w:ascii="仿宋_GB2312" w:hAnsi="仿宋_GB2312" w:eastAsia="仿宋_GB2312" w:cs="仿宋_GB2312"/>
          <w:color w:val="auto"/>
          <w:sz w:val="24"/>
          <w:highlight w:val="none"/>
        </w:rPr>
        <w:t>工程数量与价格表</w:t>
      </w:r>
      <w:bookmarkEnd w:id="91"/>
      <w:bookmarkEnd w:id="92"/>
      <w:bookmarkEnd w:id="93"/>
    </w:p>
    <w:p>
      <w:pPr>
        <w:adjustRightInd w:val="0"/>
        <w:snapToGrid w:val="0"/>
        <w:spacing w:line="360" w:lineRule="auto"/>
        <w:jc w:val="left"/>
        <w:outlineLvl w:val="0"/>
        <w:rPr>
          <w:rFonts w:ascii="仿宋_GB2312" w:hAnsi="仿宋_GB2312" w:eastAsia="仿宋_GB2312" w:cs="仿宋_GB2312"/>
          <w:color w:val="auto"/>
          <w:sz w:val="24"/>
          <w:highlight w:val="none"/>
        </w:rPr>
      </w:pPr>
      <w:bookmarkStart w:id="94" w:name="_Toc9348"/>
      <w:bookmarkStart w:id="95" w:name="_Toc29422"/>
      <w:bookmarkStart w:id="96" w:name="_Toc7255"/>
      <w:r>
        <w:rPr>
          <w:rFonts w:hint="eastAsia" w:ascii="仿宋_GB2312" w:hAnsi="仿宋_GB2312" w:eastAsia="仿宋_GB2312" w:cs="仿宋_GB2312"/>
          <w:color w:val="auto"/>
          <w:sz w:val="24"/>
          <w:highlight w:val="none"/>
        </w:rPr>
        <w:t>附件3：用户需求书/技术规格书（如果有）</w:t>
      </w:r>
      <w:bookmarkEnd w:id="94"/>
      <w:bookmarkEnd w:id="95"/>
    </w:p>
    <w:p>
      <w:pPr>
        <w:adjustRightInd w:val="0"/>
        <w:snapToGrid w:val="0"/>
        <w:spacing w:line="400" w:lineRule="exact"/>
        <w:jc w:val="center"/>
        <w:outlineLvl w:val="0"/>
        <w:rPr>
          <w:rFonts w:ascii="仿宋_GB2312" w:hAnsi="仿宋_GB2312" w:eastAsia="仿宋_GB2312" w:cs="仿宋_GB2312"/>
          <w:b/>
          <w:color w:val="auto"/>
          <w:sz w:val="32"/>
          <w:szCs w:val="32"/>
          <w:highlight w:val="none"/>
        </w:rPr>
      </w:pPr>
      <w:bookmarkStart w:id="97" w:name="_Toc14436"/>
      <w:bookmarkStart w:id="98" w:name="_Toc5529"/>
      <w:r>
        <w:rPr>
          <w:rFonts w:hint="eastAsia" w:ascii="仿宋_GB2312" w:hAnsi="仿宋_GB2312" w:eastAsia="仿宋_GB2312" w:cs="仿宋_GB2312"/>
          <w:b/>
          <w:color w:val="auto"/>
          <w:sz w:val="32"/>
          <w:szCs w:val="32"/>
          <w:highlight w:val="none"/>
        </w:rPr>
        <w:t>第四部分 合同附录</w:t>
      </w:r>
      <w:bookmarkEnd w:id="96"/>
      <w:bookmarkEnd w:id="97"/>
      <w:bookmarkEnd w:id="98"/>
      <w:bookmarkStart w:id="99" w:name="_Toc411417807"/>
      <w:bookmarkStart w:id="100" w:name="_Toc437444976"/>
      <w:bookmarkStart w:id="101" w:name="_Toc460309156"/>
      <w:bookmarkStart w:id="102" w:name="_Toc451247264"/>
    </w:p>
    <w:p>
      <w:pPr>
        <w:adjustRightInd w:val="0"/>
        <w:snapToGrid w:val="0"/>
        <w:spacing w:line="400" w:lineRule="exact"/>
        <w:jc w:val="left"/>
        <w:outlineLvl w:val="0"/>
        <w:rPr>
          <w:rFonts w:ascii="仿宋_GB2312" w:hAnsi="仿宋_GB2312" w:eastAsia="仿宋_GB2312" w:cs="仿宋_GB2312"/>
          <w:bCs/>
          <w:color w:val="auto"/>
          <w:sz w:val="24"/>
          <w:highlight w:val="none"/>
        </w:rPr>
      </w:pPr>
      <w:bookmarkStart w:id="103" w:name="_Toc8935"/>
      <w:bookmarkStart w:id="104" w:name="_Toc16006"/>
      <w:bookmarkStart w:id="105" w:name="_Toc13525"/>
      <w:r>
        <w:rPr>
          <w:rFonts w:hint="eastAsia" w:ascii="仿宋_GB2312" w:hAnsi="仿宋_GB2312" w:eastAsia="仿宋_GB2312" w:cs="仿宋_GB2312"/>
          <w:bCs/>
          <w:color w:val="auto"/>
          <w:sz w:val="24"/>
          <w:highlight w:val="none"/>
        </w:rPr>
        <w:t>附录1：</w:t>
      </w:r>
      <w:bookmarkEnd w:id="99"/>
      <w:bookmarkEnd w:id="100"/>
      <w:bookmarkEnd w:id="101"/>
      <w:bookmarkEnd w:id="102"/>
      <w:r>
        <w:rPr>
          <w:rFonts w:hint="eastAsia" w:ascii="仿宋_GB2312" w:hAnsi="仿宋_GB2312" w:eastAsia="仿宋_GB2312" w:cs="仿宋_GB2312"/>
          <w:bCs/>
          <w:color w:val="auto"/>
          <w:sz w:val="24"/>
          <w:highlight w:val="none"/>
        </w:rPr>
        <w:t>授权委托书(格式)</w:t>
      </w:r>
      <w:bookmarkEnd w:id="103"/>
      <w:bookmarkEnd w:id="104"/>
      <w:bookmarkEnd w:id="105"/>
    </w:p>
    <w:p>
      <w:pPr>
        <w:spacing w:line="400" w:lineRule="exact"/>
        <w:ind w:firstLine="482" w:firstLineChars="200"/>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授权委托书</w:t>
      </w:r>
    </w:p>
    <w:p>
      <w:pPr>
        <w:spacing w:line="400" w:lineRule="exact"/>
        <w:ind w:firstLine="482" w:firstLineChars="200"/>
        <w:rPr>
          <w:rFonts w:ascii="仿宋_GB2312" w:hAnsi="仿宋_GB2312" w:eastAsia="仿宋_GB2312" w:cs="仿宋_GB2312"/>
          <w:b/>
          <w:color w:val="auto"/>
          <w:sz w:val="24"/>
          <w:highlight w:val="none"/>
        </w:rPr>
      </w:pPr>
    </w:p>
    <w:p>
      <w:pPr>
        <w:snapToGrid w:val="0"/>
        <w:spacing w:line="40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本授权书声明：注册于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（国家名称）的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（乙方全称）在下面签字的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（法定代表人姓名、职务）代表本公司授权在下面签字的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（被授权人的姓名、职务）为本公司的合法代表，就合同编号为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项目的签约、执行和质量保证期服务、售后服务期服务等，并以本公司名义处理一切与之有关的事务。</w:t>
      </w:r>
    </w:p>
    <w:p>
      <w:pPr>
        <w:snapToGrid w:val="0"/>
        <w:spacing w:line="40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本授权书于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日签字生效，特此声明。</w:t>
      </w:r>
    </w:p>
    <w:p>
      <w:pPr>
        <w:snapToGrid w:val="0"/>
        <w:spacing w:line="400" w:lineRule="exact"/>
        <w:ind w:firstLine="480" w:firstLineChars="200"/>
        <w:rPr>
          <w:rFonts w:ascii="仿宋_GB2312" w:hAnsi="仿宋_GB2312" w:eastAsia="仿宋_GB2312" w:cs="仿宋_GB2312"/>
          <w:color w:val="auto"/>
          <w:sz w:val="24"/>
          <w:highlight w:val="none"/>
        </w:rPr>
      </w:pPr>
    </w:p>
    <w:p>
      <w:pPr>
        <w:snapToGrid w:val="0"/>
        <w:spacing w:line="40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法定代表人签字：</w:t>
      </w:r>
      <w:r>
        <w:rPr>
          <w:rFonts w:hint="eastAsia" w:ascii="仿宋_GB2312" w:hAnsi="仿宋_GB2312" w:eastAsia="仿宋_GB2312" w:cs="仿宋_GB2312"/>
          <w:color w:val="auto"/>
          <w:sz w:val="24"/>
          <w:highlight w:val="none"/>
          <w:u w:val="single"/>
        </w:rPr>
        <w:t xml:space="preserve">                            </w:t>
      </w:r>
    </w:p>
    <w:p>
      <w:pPr>
        <w:snapToGrid w:val="0"/>
        <w:spacing w:line="40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授权代表（被授权人，即授权代理人）签字：</w:t>
      </w:r>
      <w:r>
        <w:rPr>
          <w:rFonts w:hint="eastAsia" w:ascii="仿宋_GB2312" w:hAnsi="仿宋_GB2312" w:eastAsia="仿宋_GB2312" w:cs="仿宋_GB2312"/>
          <w:color w:val="auto"/>
          <w:sz w:val="24"/>
          <w:highlight w:val="none"/>
          <w:u w:val="single"/>
        </w:rPr>
        <w:t xml:space="preserve">                    </w:t>
      </w:r>
    </w:p>
    <w:p>
      <w:pPr>
        <w:snapToGrid w:val="0"/>
        <w:spacing w:line="40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乙方全称（公章）：</w:t>
      </w:r>
      <w:r>
        <w:rPr>
          <w:rFonts w:hint="eastAsia" w:ascii="仿宋_GB2312" w:hAnsi="仿宋_GB2312" w:eastAsia="仿宋_GB2312" w:cs="仿宋_GB2312"/>
          <w:color w:val="auto"/>
          <w:sz w:val="24"/>
          <w:highlight w:val="none"/>
          <w:u w:val="single"/>
        </w:rPr>
        <w:t xml:space="preserve">                            </w:t>
      </w:r>
    </w:p>
    <w:p>
      <w:pPr>
        <w:snapToGrid w:val="0"/>
        <w:spacing w:line="40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乙方地址：</w:t>
      </w:r>
      <w:r>
        <w:rPr>
          <w:rFonts w:hint="eastAsia" w:ascii="仿宋_GB2312" w:hAnsi="仿宋_GB2312" w:eastAsia="仿宋_GB2312" w:cs="仿宋_GB2312"/>
          <w:color w:val="auto"/>
          <w:sz w:val="24"/>
          <w:highlight w:val="none"/>
          <w:u w:val="single"/>
        </w:rPr>
        <w:t xml:space="preserve">                            </w:t>
      </w:r>
    </w:p>
    <w:p>
      <w:pPr>
        <w:snapToGrid w:val="0"/>
        <w:spacing w:line="40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     话：</w:t>
      </w:r>
      <w:r>
        <w:rPr>
          <w:rFonts w:hint="eastAsia" w:ascii="仿宋_GB2312" w:hAnsi="仿宋_GB2312" w:eastAsia="仿宋_GB2312" w:cs="仿宋_GB2312"/>
          <w:color w:val="auto"/>
          <w:sz w:val="24"/>
          <w:highlight w:val="none"/>
          <w:u w:val="single"/>
        </w:rPr>
        <w:t xml:space="preserve">                            </w:t>
      </w:r>
    </w:p>
    <w:p>
      <w:pPr>
        <w:snapToGrid w:val="0"/>
        <w:spacing w:line="40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     真：</w:t>
      </w:r>
      <w:r>
        <w:rPr>
          <w:rFonts w:hint="eastAsia" w:ascii="仿宋_GB2312" w:hAnsi="仿宋_GB2312" w:eastAsia="仿宋_GB2312" w:cs="仿宋_GB2312"/>
          <w:color w:val="auto"/>
          <w:sz w:val="24"/>
          <w:highlight w:val="none"/>
          <w:u w:val="single"/>
        </w:rPr>
        <w:t xml:space="preserve">                            </w:t>
      </w:r>
    </w:p>
    <w:p>
      <w:pPr>
        <w:spacing w:line="400" w:lineRule="exact"/>
        <w:ind w:firstLine="480" w:firstLineChars="200"/>
        <w:rPr>
          <w:rFonts w:ascii="仿宋_GB2312" w:hAnsi="仿宋_GB2312" w:eastAsia="仿宋_GB2312" w:cs="仿宋_GB2312"/>
          <w:color w:val="auto"/>
          <w:sz w:val="24"/>
          <w:highlight w:val="none"/>
          <w:u w:val="single"/>
        </w:rPr>
      </w:pPr>
    </w:p>
    <w:p>
      <w:pPr>
        <w:snapToGrid w:val="0"/>
        <w:spacing w:line="400" w:lineRule="exact"/>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w:t>
      </w:r>
      <w:r>
        <w:rPr>
          <w:rFonts w:hint="eastAsia" w:ascii="仿宋_GB2312" w:hAnsi="仿宋_GB2312" w:eastAsia="仿宋_GB2312" w:cs="仿宋_GB2312"/>
          <w:color w:val="auto"/>
          <w:sz w:val="24"/>
          <w:highlight w:val="none"/>
        </w:rPr>
        <w:t>授权人的法定代表人证明材料复印件（加盖单位公章）、授权人和被授权人的身份证彩色影印件（加盖单位公章）</w:t>
      </w:r>
    </w:p>
    <w:p>
      <w:pPr>
        <w:snapToGrid w:val="0"/>
        <w:spacing w:before="260" w:after="260" w:line="400" w:lineRule="exact"/>
        <w:outlineLvl w:val="1"/>
        <w:rPr>
          <w:rFonts w:ascii="仿宋_GB2312" w:hAnsi="仿宋_GB2312" w:eastAsia="仿宋_GB2312" w:cs="仿宋_GB2312"/>
          <w:bCs/>
          <w:color w:val="auto"/>
          <w:sz w:val="24"/>
          <w:highlight w:val="none"/>
        </w:rPr>
      </w:pPr>
      <w:bookmarkStart w:id="106" w:name="_Toc319826226"/>
      <w:bookmarkStart w:id="107" w:name="_Toc437444977"/>
      <w:bookmarkStart w:id="108" w:name="_Toc460309157"/>
      <w:bookmarkStart w:id="109" w:name="_Toc451247265"/>
    </w:p>
    <w:p>
      <w:pPr>
        <w:snapToGrid w:val="0"/>
        <w:spacing w:before="260" w:after="260" w:line="400" w:lineRule="exact"/>
        <w:outlineLvl w:val="1"/>
        <w:rPr>
          <w:rFonts w:ascii="仿宋_GB2312" w:hAnsi="仿宋_GB2312" w:eastAsia="仿宋_GB2312" w:cs="仿宋_GB2312"/>
          <w:bCs/>
          <w:color w:val="auto"/>
          <w:sz w:val="24"/>
          <w:highlight w:val="none"/>
        </w:rPr>
      </w:pPr>
    </w:p>
    <w:p>
      <w:pPr>
        <w:snapToGrid w:val="0"/>
        <w:spacing w:before="260" w:after="260" w:line="400" w:lineRule="exact"/>
        <w:outlineLvl w:val="1"/>
        <w:rPr>
          <w:rFonts w:ascii="仿宋_GB2312" w:hAnsi="仿宋_GB2312" w:eastAsia="仿宋_GB2312" w:cs="仿宋_GB2312"/>
          <w:bCs/>
          <w:color w:val="auto"/>
          <w:sz w:val="24"/>
          <w:highlight w:val="none"/>
        </w:rPr>
      </w:pPr>
    </w:p>
    <w:p>
      <w:pPr>
        <w:snapToGrid w:val="0"/>
        <w:spacing w:before="260" w:after="260" w:line="400" w:lineRule="exact"/>
        <w:outlineLvl w:val="1"/>
        <w:rPr>
          <w:rFonts w:ascii="仿宋_GB2312" w:hAnsi="仿宋_GB2312" w:eastAsia="仿宋_GB2312" w:cs="仿宋_GB2312"/>
          <w:bCs/>
          <w:color w:val="auto"/>
          <w:sz w:val="24"/>
          <w:highlight w:val="none"/>
        </w:rPr>
      </w:pPr>
    </w:p>
    <w:p>
      <w:pPr>
        <w:snapToGrid w:val="0"/>
        <w:spacing w:before="260" w:after="260" w:line="400" w:lineRule="exact"/>
        <w:outlineLvl w:val="1"/>
        <w:rPr>
          <w:rFonts w:ascii="仿宋_GB2312" w:hAnsi="仿宋_GB2312" w:eastAsia="仿宋_GB2312" w:cs="仿宋_GB2312"/>
          <w:bCs/>
          <w:color w:val="auto"/>
          <w:sz w:val="24"/>
          <w:highlight w:val="none"/>
        </w:rPr>
      </w:pPr>
    </w:p>
    <w:p>
      <w:pPr>
        <w:snapToGrid w:val="0"/>
        <w:spacing w:before="260" w:after="260" w:line="400" w:lineRule="exact"/>
        <w:outlineLvl w:val="1"/>
        <w:rPr>
          <w:rFonts w:ascii="仿宋_GB2312" w:hAnsi="仿宋_GB2312" w:eastAsia="仿宋_GB2312" w:cs="仿宋_GB2312"/>
          <w:bCs/>
          <w:color w:val="auto"/>
          <w:sz w:val="24"/>
          <w:highlight w:val="none"/>
        </w:rPr>
      </w:pPr>
    </w:p>
    <w:p>
      <w:pPr>
        <w:snapToGrid w:val="0"/>
        <w:spacing w:before="260" w:after="260" w:line="400" w:lineRule="exact"/>
        <w:outlineLvl w:val="1"/>
        <w:rPr>
          <w:rFonts w:ascii="仿宋_GB2312" w:hAnsi="仿宋_GB2312" w:eastAsia="仿宋_GB2312" w:cs="仿宋_GB2312"/>
          <w:bCs/>
          <w:color w:val="auto"/>
          <w:sz w:val="24"/>
          <w:highlight w:val="none"/>
        </w:rPr>
      </w:pPr>
    </w:p>
    <w:bookmarkEnd w:id="106"/>
    <w:bookmarkEnd w:id="107"/>
    <w:bookmarkEnd w:id="108"/>
    <w:bookmarkEnd w:id="109"/>
    <w:p>
      <w:pPr>
        <w:adjustRightInd w:val="0"/>
        <w:snapToGrid w:val="0"/>
        <w:spacing w:line="360" w:lineRule="auto"/>
        <w:outlineLvl w:val="1"/>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br w:type="page"/>
      </w:r>
      <w:bookmarkStart w:id="110" w:name="_Toc7428"/>
      <w:bookmarkStart w:id="111" w:name="_Toc454978190"/>
      <w:bookmarkStart w:id="112" w:name="_Toc2612"/>
      <w:bookmarkStart w:id="113" w:name="_Toc447089455"/>
      <w:bookmarkStart w:id="114" w:name="_Toc2496"/>
      <w:bookmarkStart w:id="115" w:name="_Toc26377"/>
      <w:bookmarkStart w:id="116" w:name="_Toc9365"/>
      <w:r>
        <w:rPr>
          <w:rFonts w:hint="eastAsia" w:ascii="仿宋_GB2312" w:hAnsi="仿宋_GB2312" w:eastAsia="仿宋_GB2312" w:cs="仿宋_GB2312"/>
          <w:bCs/>
          <w:color w:val="auto"/>
          <w:sz w:val="24"/>
          <w:highlight w:val="none"/>
        </w:rPr>
        <w:t>附录2 银行履约保函（格式）</w:t>
      </w:r>
      <w:bookmarkEnd w:id="110"/>
      <w:bookmarkEnd w:id="111"/>
      <w:bookmarkEnd w:id="112"/>
      <w:bookmarkEnd w:id="113"/>
      <w:bookmarkEnd w:id="114"/>
      <w:bookmarkEnd w:id="115"/>
      <w:bookmarkEnd w:id="116"/>
    </w:p>
    <w:p>
      <w:pPr>
        <w:snapToGrid w:val="0"/>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银行履约保函</w:t>
      </w:r>
    </w:p>
    <w:p>
      <w:pPr>
        <w:snapToGrid w:val="0"/>
        <w:spacing w:line="360" w:lineRule="auto"/>
        <w:ind w:right="480"/>
        <w:jc w:val="left"/>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                                              保函编号：</w:t>
      </w:r>
      <w:r>
        <w:rPr>
          <w:rFonts w:hint="eastAsia" w:ascii="仿宋_GB2312" w:hAnsi="仿宋_GB2312" w:eastAsia="仿宋_GB2312" w:cs="仿宋_GB2312"/>
          <w:color w:val="auto"/>
          <w:sz w:val="24"/>
          <w:highlight w:val="none"/>
          <w:u w:val="single"/>
        </w:rPr>
        <w:t xml:space="preserve">             </w:t>
      </w:r>
    </w:p>
    <w:p>
      <w:pPr>
        <w:snapToGrid w:val="0"/>
        <w:spacing w:line="360" w:lineRule="auto"/>
        <w:ind w:right="480"/>
        <w:rPr>
          <w:rFonts w:ascii="仿宋_GB2312" w:hAnsi="仿宋_GB2312" w:eastAsia="仿宋_GB2312" w:cs="仿宋_GB2312"/>
          <w:color w:val="auto"/>
          <w:sz w:val="24"/>
          <w:highlight w:val="none"/>
        </w:rPr>
      </w:pPr>
    </w:p>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（甲方名称）：</w:t>
      </w:r>
    </w:p>
    <w:p>
      <w:pPr>
        <w:adjustRightInd w:val="0"/>
        <w:snapToGrid w:val="0"/>
        <w:spacing w:line="360" w:lineRule="auto"/>
        <w:ind w:left="15" w:leftChars="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鉴于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（甲方名称，以下简称“你方”）与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（乙方名称，以下简称“乙方”）于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日协商一致共同签订合同编号为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合同》（以下简称“合同”）。 我方愿意无条件地、不可撤销地就乙方履行与你方签订的合同，向你方提供连带责任担保。</w:t>
      </w:r>
    </w:p>
    <w:p>
      <w:pPr>
        <w:adjustRightInd w:val="0"/>
        <w:snapToGrid w:val="0"/>
        <w:spacing w:line="360" w:lineRule="auto"/>
        <w:ind w:left="15" w:leftChars="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1.担保金额为人民币（大写）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元（小写：</w:t>
      </w:r>
      <w:r>
        <w:rPr>
          <w:rFonts w:hint="eastAsia" w:ascii="宋体" w:hAnsi="宋体" w:cs="宋体"/>
          <w:color w:val="auto"/>
          <w:sz w:val="24"/>
          <w:highlight w:val="none"/>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p>
    <w:p>
      <w:pPr>
        <w:adjustRightInd w:val="0"/>
        <w:snapToGrid w:val="0"/>
        <w:spacing w:line="360" w:lineRule="auto"/>
        <w:ind w:left="15" w:leftChars="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2. 担保有效期自本保函生效之日起至合同约定工期期满止。</w:t>
      </w:r>
    </w:p>
    <w:p>
      <w:pPr>
        <w:adjustRightInd w:val="0"/>
        <w:snapToGrid w:val="0"/>
        <w:spacing w:line="360" w:lineRule="auto"/>
        <w:ind w:left="15" w:leftChars="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4.你方和乙方按合同约定变更合同时，我方承担本担保规定的义务不变。</w:t>
      </w:r>
    </w:p>
    <w:p>
      <w:pPr>
        <w:adjustRightInd w:val="0"/>
        <w:snapToGrid w:val="0"/>
        <w:spacing w:line="360" w:lineRule="auto"/>
        <w:ind w:left="15" w:leftChars="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6.本保函自我方法定代表人或授权代理人签字并加盖公章之日起生效。</w:t>
      </w:r>
    </w:p>
    <w:p>
      <w:pPr>
        <w:adjustRightInd w:val="0"/>
        <w:snapToGrid w:val="0"/>
        <w:spacing w:line="360" w:lineRule="auto"/>
        <w:ind w:left="15" w:leftChars="7" w:firstLine="403" w:firstLineChars="168"/>
        <w:rPr>
          <w:rFonts w:ascii="仿宋_GB2312" w:hAnsi="仿宋_GB2312" w:eastAsia="仿宋_GB2312" w:cs="仿宋_GB2312"/>
          <w:color w:val="auto"/>
          <w:sz w:val="24"/>
          <w:highlight w:val="none"/>
        </w:rPr>
      </w:pPr>
    </w:p>
    <w:p>
      <w:pPr>
        <w:adjustRightInd w:val="0"/>
        <w:snapToGrid w:val="0"/>
        <w:spacing w:line="360" w:lineRule="auto"/>
        <w:ind w:left="15" w:leftChars="7" w:firstLine="403" w:firstLineChars="168"/>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担保人：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（盖单位章）</w:t>
      </w:r>
    </w:p>
    <w:p>
      <w:pPr>
        <w:adjustRightInd w:val="0"/>
        <w:snapToGrid w:val="0"/>
        <w:spacing w:line="360" w:lineRule="auto"/>
        <w:ind w:left="15" w:leftChars="7" w:firstLine="403" w:firstLineChars="168"/>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法定代表人或授权代理人：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（签字）</w:t>
      </w:r>
    </w:p>
    <w:p>
      <w:pPr>
        <w:adjustRightInd w:val="0"/>
        <w:snapToGrid w:val="0"/>
        <w:spacing w:line="360" w:lineRule="auto"/>
        <w:ind w:left="15" w:leftChars="7" w:firstLine="403" w:firstLineChars="168"/>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 xml:space="preserve">           </w:t>
      </w:r>
    </w:p>
    <w:p>
      <w:pPr>
        <w:adjustRightInd w:val="0"/>
        <w:snapToGrid w:val="0"/>
        <w:spacing w:line="360" w:lineRule="auto"/>
        <w:ind w:left="15" w:leftChars="7" w:firstLine="403" w:firstLineChars="168"/>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邮政编码： </w:t>
      </w:r>
      <w:r>
        <w:rPr>
          <w:rFonts w:hint="eastAsia" w:ascii="仿宋_GB2312" w:hAnsi="仿宋_GB2312" w:eastAsia="仿宋_GB2312" w:cs="仿宋_GB2312"/>
          <w:color w:val="auto"/>
          <w:sz w:val="24"/>
          <w:highlight w:val="none"/>
          <w:u w:val="single"/>
        </w:rPr>
        <w:t xml:space="preserve">          </w:t>
      </w:r>
    </w:p>
    <w:p>
      <w:pPr>
        <w:adjustRightInd w:val="0"/>
        <w:snapToGrid w:val="0"/>
        <w:spacing w:line="360" w:lineRule="auto"/>
        <w:ind w:left="15" w:leftChars="7" w:firstLine="403" w:firstLineChars="168"/>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电话： </w:t>
      </w:r>
      <w:r>
        <w:rPr>
          <w:rFonts w:hint="eastAsia" w:ascii="仿宋_GB2312" w:hAnsi="仿宋_GB2312" w:eastAsia="仿宋_GB2312" w:cs="仿宋_GB2312"/>
          <w:color w:val="auto"/>
          <w:sz w:val="24"/>
          <w:highlight w:val="none"/>
          <w:u w:val="single"/>
        </w:rPr>
        <w:t xml:space="preserve">          </w:t>
      </w:r>
    </w:p>
    <w:p>
      <w:pPr>
        <w:adjustRightInd w:val="0"/>
        <w:snapToGrid w:val="0"/>
        <w:spacing w:line="360" w:lineRule="auto"/>
        <w:ind w:left="15" w:leftChars="7" w:firstLine="403" w:firstLineChars="168"/>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传真：</w:t>
      </w:r>
      <w:r>
        <w:rPr>
          <w:rFonts w:hint="eastAsia" w:ascii="仿宋_GB2312" w:hAnsi="仿宋_GB2312" w:eastAsia="仿宋_GB2312" w:cs="仿宋_GB2312"/>
          <w:color w:val="auto"/>
          <w:sz w:val="24"/>
          <w:highlight w:val="none"/>
          <w:u w:val="single"/>
        </w:rPr>
        <w:t xml:space="preserve">           </w:t>
      </w:r>
    </w:p>
    <w:p>
      <w:pPr>
        <w:adjustRightInd w:val="0"/>
        <w:snapToGrid w:val="0"/>
        <w:spacing w:line="360" w:lineRule="auto"/>
        <w:ind w:left="15" w:leftChars="7" w:firstLine="403" w:firstLineChars="168"/>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4"/>
        <w:keepNext w:val="0"/>
        <w:spacing w:line="360" w:lineRule="auto"/>
        <w:rPr>
          <w:rFonts w:ascii="宋体" w:hAnsi="宋体" w:cs="宋体"/>
          <w:color w:val="auto"/>
          <w:sz w:val="32"/>
          <w:szCs w:val="32"/>
          <w:highlight w:val="none"/>
        </w:rPr>
        <w:sectPr>
          <w:headerReference r:id="rId12" w:type="default"/>
          <w:footerReference r:id="rId13" w:type="default"/>
          <w:pgSz w:w="11906" w:h="16838"/>
          <w:pgMar w:top="1191" w:right="1417" w:bottom="1191" w:left="1191" w:header="851" w:footer="850" w:gutter="0"/>
          <w:pgNumType w:fmt="decimal"/>
          <w:cols w:space="0" w:num="1"/>
          <w:docGrid w:linePitch="312" w:charSpace="0"/>
        </w:sectPr>
      </w:pPr>
    </w:p>
    <w:p>
      <w:pPr>
        <w:pStyle w:val="4"/>
        <w:keepNext w:val="0"/>
        <w:spacing w:line="360" w:lineRule="auto"/>
        <w:rPr>
          <w:rFonts w:ascii="宋体" w:hAnsi="宋体" w:cs="宋体"/>
          <w:color w:val="auto"/>
          <w:sz w:val="32"/>
          <w:szCs w:val="32"/>
          <w:highlight w:val="none"/>
        </w:rPr>
      </w:pPr>
      <w:bookmarkStart w:id="117" w:name="_Toc877"/>
      <w:r>
        <w:rPr>
          <w:rFonts w:hint="eastAsia" w:ascii="宋体" w:hAnsi="宋体" w:cs="宋体"/>
          <w:color w:val="auto"/>
          <w:sz w:val="32"/>
          <w:szCs w:val="32"/>
          <w:highlight w:val="none"/>
        </w:rPr>
        <mc:AlternateContent>
          <mc:Choice Requires="wps">
            <w:drawing>
              <wp:anchor distT="0" distB="0" distL="114300" distR="114300" simplePos="0" relativeHeight="25166950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950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color w:val="auto"/>
          <w:sz w:val="32"/>
          <w:szCs w:val="32"/>
          <w:highlight w:val="none"/>
        </w:rPr>
        <w:t>第七章</w:t>
      </w:r>
      <w:bookmarkStart w:id="118" w:name="_Toc14891079"/>
      <w:r>
        <w:rPr>
          <w:rFonts w:hint="eastAsia" w:ascii="宋体" w:hAnsi="宋体" w:cs="宋体"/>
          <w:color w:val="auto"/>
          <w:sz w:val="32"/>
          <w:szCs w:val="32"/>
          <w:highlight w:val="none"/>
        </w:rPr>
        <w:t xml:space="preserve">  响应文件组成</w:t>
      </w:r>
      <w:bookmarkEnd w:id="54"/>
      <w:bookmarkEnd w:id="55"/>
      <w:bookmarkEnd w:id="56"/>
      <w:bookmarkEnd w:id="117"/>
      <w:bookmarkEnd w:id="118"/>
    </w:p>
    <w:p>
      <w:pPr>
        <w:spacing w:line="360" w:lineRule="auto"/>
        <w:rPr>
          <w:rFonts w:ascii="宋体" w:hAnsi="宋体" w:cs="宋体"/>
          <w:b/>
          <w:bCs/>
          <w:color w:val="auto"/>
          <w:sz w:val="52"/>
          <w:szCs w:val="52"/>
          <w:highlight w:val="none"/>
        </w:rPr>
      </w:pPr>
    </w:p>
    <w:p>
      <w:pPr>
        <w:pStyle w:val="14"/>
        <w:spacing w:line="360" w:lineRule="auto"/>
        <w:rPr>
          <w:rFonts w:ascii="宋体" w:hAnsi="宋体" w:cs="宋体"/>
          <w:color w:val="auto"/>
          <w:highlight w:val="none"/>
        </w:rPr>
      </w:pPr>
    </w:p>
    <w:p>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自主竞争性谈判</w:t>
      </w:r>
    </w:p>
    <w:p>
      <w:pPr>
        <w:adjustRightInd w:val="0"/>
        <w:snapToGrid w:val="0"/>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响应文件</w:t>
      </w:r>
    </w:p>
    <w:p>
      <w:pPr>
        <w:spacing w:line="360" w:lineRule="auto"/>
        <w:rPr>
          <w:rFonts w:ascii="宋体" w:hAnsi="宋体" w:cs="宋体"/>
          <w:color w:val="auto"/>
          <w:sz w:val="28"/>
          <w:szCs w:val="28"/>
          <w:highlight w:val="none"/>
        </w:rPr>
      </w:pPr>
    </w:p>
    <w:p>
      <w:pPr>
        <w:pStyle w:val="26"/>
        <w:rPr>
          <w:rFonts w:hAnsi="宋体" w:cs="宋体"/>
          <w:b/>
          <w:color w:val="auto"/>
          <w:sz w:val="32"/>
          <w:szCs w:val="32"/>
          <w:highlight w:val="non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谈判项目名称：</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谈判单位名称：</w:t>
      </w:r>
      <w:r>
        <w:rPr>
          <w:rFonts w:hint="eastAsia" w:hAnsi="宋体" w:cs="宋体"/>
          <w:b/>
          <w:bCs/>
          <w:color w:val="auto"/>
          <w:sz w:val="32"/>
          <w:szCs w:val="32"/>
          <w:highlight w:val="none"/>
          <w:u w:val="single"/>
        </w:rPr>
        <w:t xml:space="preserve">      （加盖单位公章）</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谈判项目编号：</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jc w:val="center"/>
        <w:rPr>
          <w:rFonts w:hAnsi="宋体" w:cs="宋体"/>
          <w:color w:val="auto"/>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spacing w:line="360" w:lineRule="exact"/>
        <w:rPr>
          <w:rFonts w:ascii="宋体" w:hAnsi="宋体" w:cs="宋体"/>
          <w:b/>
          <w:color w:val="auto"/>
          <w:highlight w:val="none"/>
        </w:rPr>
      </w:pPr>
    </w:p>
    <w:p>
      <w:pPr>
        <w:adjustRightInd w:val="0"/>
        <w:snapToGrid w:val="0"/>
        <w:spacing w:line="360" w:lineRule="auto"/>
        <w:jc w:val="center"/>
        <w:outlineLvl w:val="0"/>
        <w:rPr>
          <w:rFonts w:ascii="宋体" w:hAnsi="宋体" w:cs="宋体"/>
          <w:b/>
          <w:color w:val="auto"/>
          <w:sz w:val="32"/>
          <w:szCs w:val="32"/>
          <w:highlight w:val="none"/>
        </w:rPr>
        <w:sectPr>
          <w:pgSz w:w="11906" w:h="16838"/>
          <w:pgMar w:top="1191" w:right="1417" w:bottom="1191" w:left="1191" w:header="851" w:footer="850" w:gutter="0"/>
          <w:pgNumType w:fmt="decimal"/>
          <w:cols w:space="0" w:num="1"/>
          <w:docGrid w:linePitch="312" w:charSpace="0"/>
        </w:sectPr>
      </w:pPr>
    </w:p>
    <w:p>
      <w:pPr>
        <w:widowControl/>
        <w:spacing w:line="360" w:lineRule="auto"/>
        <w:jc w:val="center"/>
        <w:rPr>
          <w:rFonts w:ascii="宋体" w:hAnsi="宋体" w:cs="宋体"/>
          <w:b/>
          <w:bCs/>
          <w:color w:val="auto"/>
          <w:sz w:val="32"/>
          <w:szCs w:val="32"/>
          <w:highlight w:val="none"/>
        </w:rPr>
      </w:pPr>
      <w:r>
        <w:rPr>
          <w:rFonts w:hint="eastAsia" w:ascii="宋体" w:hAnsi="宋体" w:cs="宋体"/>
          <w:b/>
          <w:color w:val="auto"/>
          <w:sz w:val="32"/>
          <w:szCs w:val="32"/>
          <w:highlight w:val="none"/>
        </w:rPr>
        <w:t>目   录</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一、谈判承诺书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三、授权委托书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四、谈判单位资格条件证明文件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五、不拖欠农民工工资承诺书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六、报价一览表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七、报价汇总表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八、投标报价表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九、其他资料（如有）</w:t>
      </w:r>
    </w:p>
    <w:p>
      <w:pPr>
        <w:ind w:firstLine="480" w:firstLineChars="200"/>
        <w:jc w:val="center"/>
        <w:outlineLvl w:val="1"/>
        <w:rPr>
          <w:rFonts w:ascii="宋体" w:hAnsi="宋体" w:cs="宋体"/>
          <w:b/>
          <w:color w:val="auto"/>
          <w:sz w:val="32"/>
          <w:szCs w:val="32"/>
          <w:highlight w:val="none"/>
        </w:rPr>
      </w:pPr>
      <w:r>
        <w:rPr>
          <w:rFonts w:hint="eastAsia" w:ascii="宋体" w:hAnsi="宋体" w:cs="宋体"/>
          <w:color w:val="auto"/>
          <w:sz w:val="24"/>
          <w:highlight w:val="none"/>
        </w:rPr>
        <w:br w:type="page"/>
      </w:r>
      <w:bookmarkStart w:id="119" w:name="_Toc14530"/>
      <w:bookmarkStart w:id="120" w:name="_Toc32600"/>
      <w:bookmarkStart w:id="121" w:name="_Toc32569"/>
      <w:bookmarkStart w:id="122" w:name="_Toc22863"/>
      <w:r>
        <w:rPr>
          <w:rFonts w:hint="eastAsia" w:ascii="宋体" w:hAnsi="宋体" w:cs="宋体"/>
          <w:b/>
          <w:color w:val="auto"/>
          <w:sz w:val="32"/>
          <w:szCs w:val="32"/>
          <w:highlight w:val="none"/>
        </w:rPr>
        <w:t>一、谈判承诺书</w:t>
      </w:r>
      <w:bookmarkEnd w:id="119"/>
      <w:bookmarkEnd w:id="120"/>
      <w:bookmarkEnd w:id="121"/>
      <w:bookmarkEnd w:id="122"/>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(采购单位)：</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的竞争性谈判文件（谈判项目编号：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szCs w:val="21"/>
          <w:highlight w:val="none"/>
        </w:rPr>
        <w:t>知悉参加竞争性谈判的风险，我方承诺接受谈判文件的全部条款且无任何异议。</w:t>
      </w:r>
    </w:p>
    <w:p>
      <w:pPr>
        <w:pStyle w:val="26"/>
        <w:adjustRightInd w:val="0"/>
        <w:snapToGrid w:val="0"/>
        <w:spacing w:line="360" w:lineRule="auto"/>
        <w:ind w:firstLine="420" w:firstLineChars="200"/>
        <w:rPr>
          <w:rFonts w:hAnsi="宋体"/>
          <w:color w:val="auto"/>
          <w:highlight w:val="none"/>
        </w:rPr>
      </w:pPr>
      <w:r>
        <w:rPr>
          <w:rFonts w:hint="eastAsia" w:hAnsi="宋体"/>
          <w:color w:val="auto"/>
          <w:highlight w:val="none"/>
        </w:rPr>
        <w:t>一、</w:t>
      </w:r>
      <w:r>
        <w:rPr>
          <w:rFonts w:hint="eastAsia"/>
          <w:color w:val="auto"/>
          <w:highlight w:val="none"/>
        </w:rPr>
        <w:t>参与本项目竞争性谈判活动系本公司自愿行为。</w:t>
      </w:r>
    </w:p>
    <w:p>
      <w:pPr>
        <w:pStyle w:val="26"/>
        <w:adjustRightInd w:val="0"/>
        <w:snapToGrid w:val="0"/>
        <w:spacing w:line="360" w:lineRule="auto"/>
        <w:ind w:firstLine="420" w:firstLineChars="200"/>
        <w:rPr>
          <w:rFonts w:hAnsi="宋体"/>
          <w:color w:val="auto"/>
          <w:highlight w:val="none"/>
        </w:rPr>
      </w:pPr>
      <w:r>
        <w:rPr>
          <w:rFonts w:hint="eastAsia" w:hAnsi="宋体"/>
          <w:color w:val="auto"/>
          <w:highlight w:val="none"/>
        </w:rPr>
        <w:t>二、我方同意在谈判文件中规定的提交响应文件截止时间起</w:t>
      </w:r>
      <w:r>
        <w:rPr>
          <w:rFonts w:hint="eastAsia" w:hAnsi="宋体"/>
          <w:color w:val="auto"/>
          <w:highlight w:val="none"/>
          <w:u w:val="single"/>
        </w:rPr>
        <w:t>180</w:t>
      </w:r>
      <w:r>
        <w:rPr>
          <w:rFonts w:hint="eastAsia" w:hAnsi="宋体"/>
          <w:color w:val="auto"/>
          <w:highlight w:val="none"/>
        </w:rPr>
        <w:t>日历天内(响应文件有效期)遵守本响应文件中的承诺且在此期限期满之前均具有法律约束力。</w:t>
      </w:r>
    </w:p>
    <w:p>
      <w:pPr>
        <w:pStyle w:val="26"/>
        <w:adjustRightInd w:val="0"/>
        <w:snapToGrid w:val="0"/>
        <w:spacing w:line="360" w:lineRule="auto"/>
        <w:ind w:firstLine="420" w:firstLineChars="200"/>
        <w:rPr>
          <w:rFonts w:hAnsi="宋体"/>
          <w:bCs/>
          <w:color w:val="auto"/>
          <w:highlight w:val="none"/>
        </w:rPr>
      </w:pPr>
      <w:r>
        <w:rPr>
          <w:rFonts w:hint="eastAsia" w:hAnsi="宋体"/>
          <w:color w:val="auto"/>
          <w:highlight w:val="none"/>
        </w:rPr>
        <w:t>三、我方提交的响应文件均为正本</w:t>
      </w:r>
      <w:r>
        <w:rPr>
          <w:rFonts w:hint="eastAsia" w:hAnsi="宋体"/>
          <w:color w:val="auto"/>
          <w:highlight w:val="none"/>
          <w:u w:val="single"/>
        </w:rPr>
        <w:t xml:space="preserve">   </w:t>
      </w:r>
      <w:r>
        <w:rPr>
          <w:rFonts w:hint="eastAsia" w:hAnsi="宋体"/>
          <w:color w:val="auto"/>
          <w:highlight w:val="none"/>
        </w:rPr>
        <w:t>份和副本</w:t>
      </w:r>
      <w:r>
        <w:rPr>
          <w:rFonts w:hint="eastAsia" w:hAnsi="宋体"/>
          <w:color w:val="auto"/>
          <w:highlight w:val="none"/>
          <w:u w:val="single"/>
        </w:rPr>
        <w:t xml:space="preserve">   </w:t>
      </w:r>
      <w:r>
        <w:rPr>
          <w:rFonts w:hint="eastAsia" w:hAnsi="宋体"/>
          <w:color w:val="auto"/>
          <w:highlight w:val="none"/>
        </w:rPr>
        <w:t>份，电子文件（包括响应文件全部内容）</w:t>
      </w:r>
      <w:r>
        <w:rPr>
          <w:rFonts w:hint="eastAsia" w:hAnsi="宋体"/>
          <w:color w:val="auto"/>
          <w:highlight w:val="none"/>
          <w:u w:val="single"/>
        </w:rPr>
        <w:t xml:space="preserve">   </w:t>
      </w:r>
      <w:r>
        <w:rPr>
          <w:rFonts w:hint="eastAsia" w:hAnsi="宋体"/>
          <w:color w:val="auto"/>
          <w:highlight w:val="none"/>
        </w:rPr>
        <w:t>份，并保证响应文件提供的数据和材料是真实、准确的，</w:t>
      </w:r>
      <w:r>
        <w:rPr>
          <w:rFonts w:hint="eastAsia" w:hAnsi="宋体"/>
          <w:b/>
          <w:bCs/>
          <w:color w:val="auto"/>
          <w:highlight w:val="none"/>
        </w:rPr>
        <w:t>均无复制、粘贴之情形，</w:t>
      </w:r>
      <w:r>
        <w:rPr>
          <w:rFonts w:hint="eastAsia" w:hAnsi="宋体"/>
          <w:color w:val="auto"/>
          <w:highlight w:val="none"/>
        </w:rPr>
        <w:t>且无低于成本的恶意报价行为。否则，愿承担由此引起的一切</w:t>
      </w:r>
      <w:r>
        <w:rPr>
          <w:rFonts w:hint="eastAsia" w:hAnsi="宋体"/>
          <w:bCs/>
          <w:color w:val="auto"/>
          <w:highlight w:val="none"/>
        </w:rPr>
        <w:t>法律责任。</w:t>
      </w:r>
    </w:p>
    <w:p>
      <w:pPr>
        <w:pStyle w:val="26"/>
        <w:adjustRightInd w:val="0"/>
        <w:snapToGrid w:val="0"/>
        <w:spacing w:line="360" w:lineRule="auto"/>
        <w:ind w:firstLine="420" w:firstLineChars="200"/>
        <w:rPr>
          <w:rFonts w:hAnsi="宋体"/>
          <w:color w:val="auto"/>
          <w:highlight w:val="none"/>
        </w:rPr>
      </w:pPr>
      <w:r>
        <w:rPr>
          <w:rFonts w:hint="eastAsia" w:hAnsi="宋体"/>
          <w:color w:val="auto"/>
          <w:highlight w:val="none"/>
        </w:rPr>
        <w:t>四、</w:t>
      </w:r>
      <w:r>
        <w:rPr>
          <w:rFonts w:hint="eastAsia"/>
          <w:color w:val="auto"/>
          <w:highlight w:val="none"/>
        </w:rPr>
        <w:t>遵守贵司各项管理制度和谈判现场纪律，服从现场工作人员管理，自觉维护贵司谈判活动秩序。</w:t>
      </w:r>
    </w:p>
    <w:p>
      <w:pPr>
        <w:pStyle w:val="26"/>
        <w:adjustRightInd w:val="0"/>
        <w:snapToGrid w:val="0"/>
        <w:spacing w:line="360" w:lineRule="auto"/>
        <w:ind w:firstLine="420" w:firstLineChars="200"/>
        <w:rPr>
          <w:color w:val="auto"/>
          <w:highlight w:val="none"/>
        </w:rPr>
      </w:pPr>
      <w:r>
        <w:rPr>
          <w:rFonts w:hint="eastAsia" w:hAnsi="宋体"/>
          <w:color w:val="auto"/>
          <w:highlight w:val="none"/>
        </w:rPr>
        <w:t>五、</w:t>
      </w:r>
      <w:r>
        <w:rPr>
          <w:rFonts w:hint="eastAsia"/>
          <w:color w:val="auto"/>
          <w:highlight w:val="none"/>
        </w:rPr>
        <w:t>保证没有组织、参与围标、串标行为。</w:t>
      </w:r>
    </w:p>
    <w:p>
      <w:pPr>
        <w:pStyle w:val="26"/>
        <w:adjustRightInd w:val="0"/>
        <w:snapToGrid w:val="0"/>
        <w:spacing w:line="360" w:lineRule="auto"/>
        <w:ind w:firstLine="420" w:firstLineChars="200"/>
        <w:rPr>
          <w:color w:val="auto"/>
          <w:highlight w:val="none"/>
        </w:rPr>
      </w:pPr>
      <w:r>
        <w:rPr>
          <w:rFonts w:hint="eastAsia"/>
          <w:color w:val="auto"/>
          <w:highlight w:val="none"/>
        </w:rPr>
        <w:t>六、不与采购单位或采购代理机构或谈判评审小组成员私下联络和串通以牟取中选；不以他人名义参与谈判或者以其他方式弄虚作假骗取中选；不在谈判结束后进行虚假、恶意质疑和投诉。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hAnsi="宋体"/>
          <w:color w:val="auto"/>
          <w:highlight w:val="none"/>
        </w:rPr>
      </w:pPr>
      <w:r>
        <w:rPr>
          <w:rFonts w:hint="eastAsia"/>
          <w:color w:val="auto"/>
          <w:highlight w:val="none"/>
        </w:rPr>
        <w:t>七、</w:t>
      </w:r>
      <w:r>
        <w:rPr>
          <w:rFonts w:hint="eastAsia" w:hAnsi="宋体"/>
          <w:color w:val="auto"/>
          <w:highlight w:val="none"/>
        </w:rPr>
        <w:t>我方承诺，若贵方需要，我方愿意提供任何与本次谈判有关的数据、情况和技术资料。</w:t>
      </w:r>
    </w:p>
    <w:p>
      <w:pPr>
        <w:pStyle w:val="26"/>
        <w:adjustRightInd w:val="0"/>
        <w:snapToGrid w:val="0"/>
        <w:spacing w:line="360" w:lineRule="auto"/>
        <w:ind w:firstLine="420" w:firstLineChars="200"/>
        <w:rPr>
          <w:rFonts w:hAnsi="宋体"/>
          <w:color w:val="auto"/>
          <w:highlight w:val="none"/>
        </w:rPr>
      </w:pPr>
      <w:r>
        <w:rPr>
          <w:rFonts w:hint="eastAsia" w:hAnsi="宋体"/>
          <w:color w:val="auto"/>
          <w:highlight w:val="none"/>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hAnsi="宋体"/>
          <w:color w:val="auto"/>
          <w:highlight w:val="none"/>
        </w:rPr>
      </w:pPr>
      <w:r>
        <w:rPr>
          <w:rFonts w:hint="eastAsia" w:hAnsi="宋体"/>
          <w:color w:val="auto"/>
          <w:highlight w:val="none"/>
        </w:rPr>
        <w:t>九、我方承诺在参与本次竞争性谈判过程中，若出现本文件第26条规定之情形，我方无条件接受条款规定作出的处罚。</w:t>
      </w:r>
    </w:p>
    <w:p>
      <w:pPr>
        <w:pStyle w:val="26"/>
        <w:adjustRightInd w:val="0"/>
        <w:snapToGrid w:val="0"/>
        <w:spacing w:line="360" w:lineRule="auto"/>
        <w:ind w:firstLine="420" w:firstLineChars="200"/>
        <w:rPr>
          <w:color w:val="auto"/>
          <w:highlight w:val="none"/>
        </w:rPr>
      </w:pPr>
      <w:r>
        <w:rPr>
          <w:rFonts w:hint="eastAsia" w:hAnsi="宋体"/>
          <w:color w:val="auto"/>
          <w:highlight w:val="none"/>
        </w:rPr>
        <w:t>十、我方承诺完全响应本文件第四章“用户需求书”及第六章“合同格式条款”内的全部内容。</w:t>
      </w:r>
    </w:p>
    <w:p>
      <w:pPr>
        <w:adjustRightInd w:val="0"/>
        <w:snapToGrid w:val="0"/>
        <w:spacing w:line="360" w:lineRule="auto"/>
        <w:ind w:right="24" w:firstLine="420" w:firstLineChars="200"/>
        <w:rPr>
          <w:rFonts w:ascii="宋体" w:hAnsi="宋体" w:cs="宋体"/>
          <w:bCs/>
          <w:color w:val="auto"/>
          <w:szCs w:val="21"/>
          <w:highlight w:val="none"/>
        </w:rPr>
      </w:pPr>
      <w:r>
        <w:rPr>
          <w:rFonts w:hint="eastAsia"/>
          <w:color w:val="auto"/>
          <w:szCs w:val="21"/>
          <w:highlight w:val="none"/>
        </w:rPr>
        <w:t>十一、如有违反本承诺书内容的行为，愿意承担由此产生的法律责任及后果。</w:t>
      </w:r>
    </w:p>
    <w:p>
      <w:pPr>
        <w:pStyle w:val="26"/>
        <w:adjustRightInd w:val="0"/>
        <w:snapToGrid w:val="0"/>
        <w:spacing w:line="360" w:lineRule="auto"/>
        <w:rPr>
          <w:rFonts w:hAnsi="宋体" w:cs="宋体"/>
          <w:color w:val="auto"/>
          <w:highlight w:val="none"/>
        </w:rPr>
      </w:pPr>
    </w:p>
    <w:p>
      <w:pPr>
        <w:pStyle w:val="26"/>
        <w:adjustRightInd w:val="0"/>
        <w:snapToGrid w:val="0"/>
        <w:spacing w:line="360" w:lineRule="auto"/>
        <w:rPr>
          <w:rFonts w:hAnsi="宋体" w:cs="宋体"/>
          <w:color w:val="auto"/>
          <w:highlight w:val="none"/>
        </w:rPr>
      </w:pP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谈判单位名称：</w:t>
      </w:r>
      <w:r>
        <w:rPr>
          <w:rFonts w:hint="eastAsia" w:ascii="宋体" w:hAnsi="宋体" w:cs="宋体"/>
          <w:color w:val="auto"/>
          <w:szCs w:val="21"/>
          <w:highlight w:val="none"/>
          <w:u w:val="single"/>
        </w:rPr>
        <w:t xml:space="preserve">    （盖单位章）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14"/>
        <w:ind w:left="0" w:leftChars="0"/>
        <w:rPr>
          <w:rFonts w:ascii="宋体" w:hAnsi="宋体" w:cs="宋体"/>
          <w:color w:val="auto"/>
          <w:highlight w:val="none"/>
        </w:rPr>
      </w:pPr>
    </w:p>
    <w:p>
      <w:pPr>
        <w:adjustRightInd w:val="0"/>
        <w:snapToGrid w:val="0"/>
        <w:spacing w:line="360" w:lineRule="auto"/>
        <w:ind w:right="24"/>
        <w:jc w:val="center"/>
        <w:outlineLvl w:val="1"/>
        <w:rPr>
          <w:rFonts w:ascii="宋体" w:hAnsi="宋体" w:cs="宋体"/>
          <w:b/>
          <w:color w:val="auto"/>
          <w:sz w:val="32"/>
          <w:szCs w:val="32"/>
          <w:highlight w:val="none"/>
        </w:rPr>
        <w:sectPr>
          <w:pgSz w:w="11906" w:h="16838"/>
          <w:pgMar w:top="1191" w:right="1417" w:bottom="1191" w:left="1191" w:header="851" w:footer="850" w:gutter="0"/>
          <w:pgNumType w:fmt="decimal"/>
          <w:cols w:space="0" w:num="1"/>
          <w:docGrid w:linePitch="312" w:charSpace="0"/>
        </w:sectPr>
      </w:pPr>
      <w:bookmarkStart w:id="123" w:name="_Toc3026"/>
      <w:bookmarkStart w:id="124" w:name="_Toc1313"/>
      <w:bookmarkStart w:id="125" w:name="_Toc31277"/>
    </w:p>
    <w:p>
      <w:pPr>
        <w:adjustRightInd w:val="0"/>
        <w:snapToGrid w:val="0"/>
        <w:spacing w:line="360" w:lineRule="auto"/>
        <w:ind w:right="23"/>
        <w:jc w:val="center"/>
        <w:outlineLvl w:val="1"/>
        <w:rPr>
          <w:rFonts w:ascii="宋体" w:hAnsi="宋体" w:cs="宋体"/>
          <w:b/>
          <w:color w:val="auto"/>
          <w:sz w:val="32"/>
          <w:szCs w:val="32"/>
          <w:highlight w:val="none"/>
        </w:rPr>
      </w:pPr>
      <w:bookmarkStart w:id="126" w:name="_Toc19034"/>
      <w:r>
        <w:rPr>
          <w:rFonts w:hint="eastAsia" w:ascii="宋体" w:hAnsi="宋体" w:cs="宋体"/>
          <w:b/>
          <w:color w:val="auto"/>
          <w:sz w:val="32"/>
          <w:szCs w:val="32"/>
          <w:highlight w:val="none"/>
        </w:rPr>
        <w:t>二、法定代表人身份证明书</w:t>
      </w:r>
      <w:bookmarkEnd w:id="123"/>
      <w:bookmarkEnd w:id="124"/>
      <w:bookmarkEnd w:id="125"/>
      <w:bookmarkEnd w:id="126"/>
    </w:p>
    <w:p>
      <w:pPr>
        <w:snapToGrid w:val="0"/>
        <w:spacing w:line="480" w:lineRule="auto"/>
        <w:rPr>
          <w:rFonts w:ascii="宋体" w:hAnsi="宋体" w:cs="宋体"/>
          <w:color w:val="auto"/>
          <w:szCs w:val="21"/>
          <w:highlight w:val="none"/>
        </w:rPr>
      </w:pP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87942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pt;margin-top:10.65pt;height:96.15pt;width:185.5pt;z-index:-25143705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857920"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45856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858944;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snapToGrid w:val="0"/>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r>
        <w:rPr>
          <w:rFonts w:hint="eastAsia" w:ascii="宋体" w:hAnsi="宋体" w:cs="宋体"/>
          <w:bCs/>
          <w:color w:val="auto"/>
          <w:sz w:val="24"/>
          <w:highlight w:val="none"/>
        </w:rPr>
        <w:br w:type="page"/>
      </w:r>
      <w:bookmarkStart w:id="127" w:name="_Toc337"/>
      <w:bookmarkStart w:id="128" w:name="_Toc761"/>
      <w:bookmarkStart w:id="129" w:name="_Toc14170"/>
      <w:bookmarkStart w:id="130" w:name="_Toc21066"/>
      <w:r>
        <w:rPr>
          <w:rFonts w:hint="eastAsia" w:ascii="宋体" w:hAnsi="宋体" w:cs="宋体"/>
          <w:b/>
          <w:color w:val="auto"/>
          <w:sz w:val="32"/>
          <w:szCs w:val="32"/>
          <w:highlight w:val="none"/>
        </w:rPr>
        <w:t>三、授权委托书</w:t>
      </w:r>
      <w:bookmarkEnd w:id="127"/>
      <w:bookmarkEnd w:id="128"/>
      <w:bookmarkEnd w:id="129"/>
      <w:bookmarkEnd w:id="130"/>
    </w:p>
    <w:p>
      <w:pPr>
        <w:adjustRightInd w:val="0"/>
        <w:snapToGrid w:val="0"/>
        <w:spacing w:line="360" w:lineRule="auto"/>
        <w:jc w:val="center"/>
        <w:rPr>
          <w:rFonts w:ascii="宋体" w:hAnsi="宋体" w:cs="宋体"/>
          <w:b/>
          <w:color w:val="auto"/>
          <w:sz w:val="28"/>
          <w:szCs w:val="28"/>
          <w:highlight w:val="none"/>
        </w:rPr>
      </w:pPr>
    </w:p>
    <w:p>
      <w:pPr>
        <w:autoSpaceDE w:val="0"/>
        <w:autoSpaceDN w:val="0"/>
        <w:adjustRightInd w:val="0"/>
        <w:snapToGrid w:val="0"/>
        <w:spacing w:before="120" w:beforeLines="50" w:line="360" w:lineRule="auto"/>
        <w:ind w:firstLine="420" w:firstLineChars="200"/>
        <w:rPr>
          <w:rFonts w:ascii="宋体" w:hAnsi="宋体" w:cs="宋体"/>
          <w:color w:val="auto"/>
          <w:kern w:val="0"/>
          <w:szCs w:val="21"/>
          <w:highlight w:val="none"/>
        </w:rPr>
      </w:pPr>
      <w:bookmarkStart w:id="131" w:name="_Toc18944"/>
      <w:bookmarkStart w:id="132" w:name="_Toc2295"/>
      <w:bookmarkStart w:id="133" w:name="_Toc11357"/>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35"/>
        <w:rPr>
          <w:rFonts w:ascii="宋体" w:hAnsi="宋体" w:cs="宋体"/>
          <w:color w:val="auto"/>
          <w:kern w:val="0"/>
          <w:szCs w:val="21"/>
          <w:highlight w:val="none"/>
        </w:rPr>
      </w:pPr>
    </w:p>
    <w:p>
      <w:pPr>
        <w:spacing w:line="360" w:lineRule="auto"/>
        <w:ind w:firstLine="435"/>
        <w:rPr>
          <w:rFonts w:ascii="宋体" w:hAnsi="宋体" w:cs="宋体"/>
          <w:color w:val="auto"/>
          <w:kern w:val="0"/>
          <w:szCs w:val="21"/>
          <w:highlight w:val="none"/>
        </w:rPr>
      </w:pPr>
    </w:p>
    <w:p>
      <w:pPr>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35"/>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35"/>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2021760" behindDoc="1" locked="0" layoutInCell="1" allowOverlap="1">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3.3pt;height:96.15pt;width:185.5pt;z-index:-251294720;mso-width-relative:page;mso-height-relative:page;" fillcolor="#FFFFFF" filled="t" stroked="t" coordsize="21600,21600" o:gfxdata="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rs0r3WAAAACQEAAA8AAAAAAAAAAQAgAAAAIgAA&#10;AGRycy9kb3ducmV2LnhtbFBLAQIUABQAAAAIAIdO4kDW1EtL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2043264" behindDoc="1" locked="0" layoutInCell="1" allowOverlap="1">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3.8pt;margin-top:2.45pt;height:96.15pt;width:185.5pt;z-index:-251273216;mso-width-relative:page;mso-height-relative:page;" fillcolor="#FFFFFF" filled="t" stroked="t" coordsize="21600,21600" o:gfxdata="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48ejdcAAAAJAQAADwAAAAAAAAABACAAAAAi&#10;AAAAZHJzL2Rvd25yZXYueG1sUEsBAhQAFAAAAAgAh07iQIEbT3Z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2150784" behindDoc="1" locked="0" layoutInCell="1" allowOverlap="1">
                <wp:simplePos x="0" y="0"/>
                <wp:positionH relativeFrom="column">
                  <wp:posOffset>2969260</wp:posOffset>
                </wp:positionH>
                <wp:positionV relativeFrom="paragraph">
                  <wp:posOffset>143510</wp:posOffset>
                </wp:positionV>
                <wp:extent cx="2355850" cy="1221105"/>
                <wp:effectExtent l="4445" t="4445" r="209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委托代理人身份证（反面）复印件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3.8pt;margin-top:11.3pt;height:96.15pt;width:185.5pt;z-index:-251165696;mso-width-relative:page;mso-height-relative:page;" fillcolor="#FFFFFF" filled="t" stroked="t" coordsize="21600,21600" o:gfxdata="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LQaJR2AAAAAoBAAAPAAAAAAAAAAEAIAAA&#10;ACIAAABkcnMvZG93bnJldi54bWxQSwECFAAUAAAACACHTuJAJFoLsUUCAACUBAAADgAAAAAAAAAB&#10;ACAAAAAn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2022784" behindDoc="0" locked="0" layoutInCell="1" allowOverlap="1">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2pt;margin-top:12.05pt;height:96.15pt;width:185.5pt;z-index:252022784;mso-width-relative:page;mso-height-relative:page;" fillcolor="#FFFFFF" filled="t" stroked="t" coordsize="21600,21600" o:gfxdata="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rVwVdkAAAAKAQAADwAAAAAAAAABACAA&#10;AAAiAAAAZHJzL2Rvd25yZXYueG1sUEsBAhQAFAAAAAgAh07iQItGiStFAgAAlgQAAA4AAAAAAAAA&#10;AQAgAAAAKAEAAGRycy9lMm9Eb2MueG1sUEsFBgAAAAAGAAYAWQEAAN8FA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mc:Fallback>
        </mc:AlternateContent>
      </w:r>
    </w:p>
    <w:p>
      <w:pPr>
        <w:spacing w:line="360" w:lineRule="auto"/>
        <w:ind w:firstLine="435"/>
        <w:rPr>
          <w:rFonts w:ascii="宋体" w:hAnsi="宋体"/>
          <w:color w:val="auto"/>
          <w:szCs w:val="21"/>
          <w:highlight w:val="none"/>
        </w:rPr>
      </w:pPr>
    </w:p>
    <w:p>
      <w:pPr>
        <w:adjustRightInd w:val="0"/>
        <w:snapToGrid w:val="0"/>
        <w:spacing w:before="120" w:beforeLines="50" w:line="360" w:lineRule="auto"/>
        <w:ind w:firstLine="420" w:firstLineChars="20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2237824" behindDoc="0" locked="0" layoutInCell="1" allowOverlap="1">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2pt;margin-top:14.95pt;height:96.15pt;width:185.5pt;z-index:252237824;mso-width-relative:page;mso-height-relative:page;" fillcolor="#FFFFFF" filled="t" stroked="t" coordsize="21600,21600" o:gfxdata="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egKBA2AAAAAoBAAAPAAAAAAAAAAEAIAAA&#10;ACIAAABkcnMvZG93bnJldi54bWxQSwECFAAUAAAACACHTuJAIRQvcUUCAACWBAAADgAAAAAAAAAB&#10;ACAAAAAn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营业执照复印件</w:t>
                      </w:r>
                    </w:p>
                    <w:p/>
                  </w:txbxContent>
                </v:textbox>
              </v:rect>
            </w:pict>
          </mc:Fallback>
        </mc:AlternateConten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 xml:space="preserve">备注：上述证件复印件可另附页，另附页时，证件复印件均须加盖单位公章。 </w: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法定代表人（亲笔签字）：</w:t>
      </w:r>
      <w:r>
        <w:rPr>
          <w:rFonts w:hint="eastAsia" w:ascii="宋体" w:hAnsi="宋体"/>
          <w:color w:val="auto"/>
          <w:szCs w:val="21"/>
          <w:highlight w:val="none"/>
          <w:u w:val="single"/>
        </w:rPr>
        <w:t xml:space="preserve">               </w:t>
      </w:r>
    </w:p>
    <w:p>
      <w:pPr>
        <w:adjustRightInd w:val="0"/>
        <w:snapToGrid w:val="0"/>
        <w:spacing w:line="360" w:lineRule="auto"/>
        <w:ind w:right="420"/>
        <w:jc w:val="left"/>
        <w:rPr>
          <w:rFonts w:ascii="宋体" w:hAnsi="宋体"/>
          <w:color w:val="auto"/>
          <w:szCs w:val="21"/>
          <w:highlight w:val="none"/>
        </w:rPr>
      </w:pPr>
      <w:r>
        <w:rPr>
          <w:rFonts w:hint="eastAsia" w:ascii="宋体" w:hAnsi="宋体"/>
          <w:color w:val="auto"/>
          <w:szCs w:val="21"/>
          <w:highlight w:val="none"/>
        </w:rPr>
        <w:t>委托代理人（亲笔签字）：</w:t>
      </w:r>
      <w:r>
        <w:rPr>
          <w:rFonts w:hint="eastAsia" w:ascii="宋体" w:hAnsi="宋体"/>
          <w:color w:val="auto"/>
          <w:szCs w:val="21"/>
          <w:highlight w:val="none"/>
          <w:u w:val="single"/>
        </w:rPr>
        <w:t xml:space="preserve">               </w:t>
      </w:r>
    </w:p>
    <w:p>
      <w:pPr>
        <w:adjustRightInd w:val="0"/>
        <w:snapToGrid w:val="0"/>
        <w:spacing w:line="360" w:lineRule="auto"/>
        <w:ind w:right="24"/>
        <w:jc w:val="left"/>
        <w:outlineLvl w:val="1"/>
        <w:rPr>
          <w:rFonts w:ascii="宋体" w:hAnsi="宋体"/>
          <w:color w:val="auto"/>
          <w:szCs w:val="21"/>
          <w:highlight w:val="none"/>
        </w:rPr>
        <w:sectPr>
          <w:pgSz w:w="11906" w:h="16838"/>
          <w:pgMar w:top="1191" w:right="1417" w:bottom="1191" w:left="1191" w:header="851" w:footer="850" w:gutter="0"/>
          <w:pgNumType w:fmt="decimal"/>
          <w:cols w:space="0" w:num="1"/>
        </w:sectPr>
      </w:pPr>
      <w:bookmarkStart w:id="134" w:name="_Toc22422"/>
      <w:bookmarkStart w:id="135" w:name="_Toc2708"/>
      <w:bookmarkStart w:id="136" w:name="_Toc29051"/>
      <w:bookmarkStart w:id="137" w:name="_Toc8551"/>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134"/>
      <w:bookmarkEnd w:id="135"/>
      <w:bookmarkEnd w:id="136"/>
      <w:bookmarkEnd w:id="137"/>
    </w:p>
    <w:p>
      <w:pPr>
        <w:adjustRightInd w:val="0"/>
        <w:snapToGrid w:val="0"/>
        <w:spacing w:line="360" w:lineRule="auto"/>
        <w:ind w:right="23"/>
        <w:jc w:val="center"/>
        <w:outlineLvl w:val="1"/>
        <w:rPr>
          <w:rFonts w:ascii="宋体" w:hAnsi="宋体" w:cs="宋体"/>
          <w:b/>
          <w:color w:val="auto"/>
          <w:sz w:val="32"/>
          <w:szCs w:val="32"/>
          <w:highlight w:val="none"/>
        </w:rPr>
      </w:pPr>
      <w:bookmarkStart w:id="138" w:name="_Toc22266"/>
      <w:r>
        <w:rPr>
          <w:rFonts w:hint="eastAsia" w:ascii="宋体" w:hAnsi="宋体" w:cs="宋体"/>
          <w:b/>
          <w:color w:val="auto"/>
          <w:sz w:val="32"/>
          <w:szCs w:val="32"/>
          <w:highlight w:val="none"/>
        </w:rPr>
        <w:t>四、谈判单位资格条件证明文件</w:t>
      </w:r>
      <w:bookmarkEnd w:id="131"/>
      <w:bookmarkEnd w:id="132"/>
      <w:bookmarkEnd w:id="133"/>
      <w:bookmarkEnd w:id="138"/>
    </w:p>
    <w:p>
      <w:pPr>
        <w:adjustRightInd w:val="0"/>
        <w:snapToGrid w:val="0"/>
        <w:spacing w:line="360" w:lineRule="auto"/>
        <w:rPr>
          <w:rFonts w:ascii="宋体" w:hAnsi="宋体" w:cs="宋体"/>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r>
        <w:rPr>
          <w:rFonts w:hint="eastAsia" w:ascii="宋体" w:hAnsi="宋体"/>
          <w:b/>
          <w:color w:val="auto"/>
          <w:szCs w:val="21"/>
          <w:highlight w:val="none"/>
        </w:rPr>
        <w:t>复印件</w:t>
      </w:r>
      <w:r>
        <w:rPr>
          <w:rFonts w:hint="eastAsia" w:ascii="宋体" w:hAnsi="宋体"/>
          <w:bCs/>
          <w:color w:val="auto"/>
          <w:szCs w:val="21"/>
          <w:highlight w:val="none"/>
        </w:rPr>
        <w:t>：</w:t>
      </w:r>
    </w:p>
    <w:p>
      <w:pPr>
        <w:spacing w:line="360" w:lineRule="auto"/>
        <w:ind w:firstLine="420" w:firstLineChars="200"/>
        <w:rPr>
          <w:rFonts w:ascii="宋体" w:hAnsi="宋体" w:cs="宋体"/>
          <w:iCs/>
          <w:color w:val="auto"/>
          <w:highlight w:val="none"/>
        </w:rPr>
      </w:pPr>
      <w:r>
        <w:rPr>
          <w:rFonts w:hint="eastAsia" w:ascii="宋体" w:hAnsi="宋体" w:cs="宋体"/>
          <w:iCs/>
          <w:color w:val="auto"/>
          <w:highlight w:val="none"/>
        </w:rPr>
        <w:t>1.谈判单位营业执照</w:t>
      </w:r>
      <w:r>
        <w:rPr>
          <w:rFonts w:hint="eastAsia" w:ascii="宋体" w:hAnsi="宋体" w:cs="宋体"/>
          <w:color w:val="auto"/>
          <w:szCs w:val="21"/>
          <w:highlight w:val="none"/>
        </w:rPr>
        <w:t>副本。</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2.谈判单位须具有建筑工程施工总承包三级（含）以上或建筑装修装饰工程专业承包二级（含）以上或建筑机电安装工程专业承包三级（含）以上资质。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3.须提供有效的施工企业《安全生产许可证》。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4.委托代理人、项目负责人、安全员须提供由劳动保障部门出具的谈判响应文件递交截止时间前半年内连续三个月的本单位社保证明。</w:t>
      </w:r>
    </w:p>
    <w:p>
      <w:pPr>
        <w:pStyle w:val="2"/>
        <w:spacing w:after="0" w:line="360" w:lineRule="auto"/>
        <w:rPr>
          <w:rFonts w:ascii="宋体" w:hAnsi="宋体" w:cs="宋体"/>
          <w:color w:val="auto"/>
          <w:szCs w:val="21"/>
          <w:highlight w:val="none"/>
        </w:rPr>
      </w:pPr>
      <w:r>
        <w:rPr>
          <w:rFonts w:hint="eastAsia"/>
          <w:color w:val="auto"/>
          <w:highlight w:val="none"/>
        </w:rPr>
        <w:t>5.</w:t>
      </w:r>
      <w:r>
        <w:rPr>
          <w:rFonts w:hint="eastAsia" w:ascii="宋体" w:hAnsi="宋体" w:cs="宋体"/>
          <w:color w:val="auto"/>
          <w:szCs w:val="21"/>
          <w:highlight w:val="none"/>
        </w:rPr>
        <w:t xml:space="preserve"> 拟任项目负责人应附注册建造师证、B类安全生产考核合格证。</w:t>
      </w:r>
    </w:p>
    <w:p>
      <w:pPr>
        <w:pStyle w:val="2"/>
        <w:spacing w:after="0" w:line="360" w:lineRule="auto"/>
        <w:rPr>
          <w:rFonts w:ascii="宋体" w:hAnsi="宋体" w:cs="宋体"/>
          <w:color w:val="auto"/>
          <w:szCs w:val="21"/>
          <w:highlight w:val="none"/>
        </w:rPr>
      </w:pPr>
      <w:r>
        <w:rPr>
          <w:rFonts w:hint="eastAsia" w:ascii="宋体" w:hAnsi="宋体" w:cs="宋体"/>
          <w:color w:val="auto"/>
          <w:szCs w:val="21"/>
          <w:highlight w:val="none"/>
        </w:rPr>
        <w:t>6.安全员应附C类安全生产考核合格证。</w:t>
      </w:r>
    </w:p>
    <w:p>
      <w:pPr>
        <w:pStyle w:val="2"/>
        <w:spacing w:after="0" w:line="360" w:lineRule="auto"/>
        <w:rPr>
          <w:rFonts w:ascii="宋体" w:hAnsi="宋体" w:cs="宋体"/>
          <w:color w:val="auto"/>
          <w:szCs w:val="21"/>
          <w:highlight w:val="none"/>
        </w:rPr>
      </w:pPr>
      <w:r>
        <w:rPr>
          <w:rFonts w:hint="eastAsia" w:ascii="宋体" w:hAnsi="宋体" w:cs="宋体"/>
          <w:color w:val="auto"/>
          <w:szCs w:val="21"/>
          <w:highlight w:val="none"/>
        </w:rPr>
        <w:t>7.施工员应附身份证、执业资质证或上岗证书。</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8.湖南省外企业须按照湘建建【2015】190号文件要求办理省外入湘企业基本情况登记（以“湖南省住房和城乡建设网”查询为准）或具有入湘施工登记证（处于有效期内）。</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kern w:val="0"/>
          <w:szCs w:val="21"/>
          <w:highlight w:val="none"/>
        </w:rPr>
        <w:t>谈判单位认为与本项目资格条件有关的其它证明文件（如有，格式自拟）。</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1、上述证明文件复印件均须加盖谈判单位公章。</w:t>
      </w:r>
    </w:p>
    <w:p>
      <w:pPr>
        <w:adjustRightInd w:val="0"/>
        <w:snapToGrid w:val="0"/>
        <w:spacing w:line="360" w:lineRule="auto"/>
        <w:ind w:firstLine="422" w:firstLineChars="200"/>
        <w:rPr>
          <w:rFonts w:ascii="宋体" w:hAnsi="宋体"/>
          <w:b/>
          <w:bCs/>
          <w:color w:val="auto"/>
          <w:szCs w:val="21"/>
          <w:highlight w:val="none"/>
        </w:rPr>
        <w:sectPr>
          <w:pgSz w:w="11906" w:h="16838"/>
          <w:pgMar w:top="1191" w:right="1417" w:bottom="1191" w:left="1191" w:header="851" w:footer="850" w:gutter="0"/>
          <w:pgNumType w:fmt="decimal"/>
          <w:cols w:space="0" w:num="1"/>
        </w:sectPr>
      </w:pPr>
      <w:r>
        <w:rPr>
          <w:rFonts w:hint="eastAsia" w:ascii="宋体" w:hAnsi="宋体"/>
          <w:b/>
          <w:bCs/>
          <w:color w:val="auto"/>
          <w:szCs w:val="21"/>
          <w:highlight w:val="none"/>
        </w:rPr>
        <w:t>2、上述证明文件如须递交原件的，应用文件袋单独包装，在响应文件递交的同时一并提交。</w:t>
      </w:r>
    </w:p>
    <w:p>
      <w:pPr>
        <w:adjustRightInd w:val="0"/>
        <w:snapToGrid w:val="0"/>
        <w:spacing w:line="360" w:lineRule="auto"/>
        <w:ind w:right="23"/>
        <w:jc w:val="center"/>
        <w:outlineLvl w:val="1"/>
        <w:rPr>
          <w:rFonts w:hint="eastAsia" w:ascii="宋体" w:hAnsi="宋体" w:cs="宋体"/>
          <w:b/>
          <w:color w:val="auto"/>
          <w:sz w:val="32"/>
          <w:szCs w:val="32"/>
          <w:highlight w:val="none"/>
        </w:rPr>
      </w:pPr>
      <w:bookmarkStart w:id="139" w:name="_Toc9230"/>
      <w:bookmarkStart w:id="140" w:name="_Toc7528"/>
      <w:bookmarkStart w:id="141" w:name="_Toc30403"/>
      <w:bookmarkStart w:id="142" w:name="_Toc14114"/>
      <w:r>
        <w:rPr>
          <w:rFonts w:hint="eastAsia" w:ascii="宋体" w:hAnsi="宋体" w:cs="宋体"/>
          <w:b/>
          <w:color w:val="auto"/>
          <w:sz w:val="32"/>
          <w:szCs w:val="32"/>
          <w:highlight w:val="none"/>
        </w:rPr>
        <w:t>五、</w:t>
      </w:r>
      <w:bookmarkEnd w:id="139"/>
      <w:bookmarkEnd w:id="140"/>
      <w:bookmarkEnd w:id="141"/>
      <w:r>
        <w:rPr>
          <w:rFonts w:hint="eastAsia" w:ascii="宋体" w:hAnsi="宋体" w:cs="宋体"/>
          <w:b/>
          <w:color w:val="auto"/>
          <w:sz w:val="32"/>
          <w:szCs w:val="32"/>
          <w:highlight w:val="none"/>
        </w:rPr>
        <w:t>不拖欠农民工工资承诺书</w:t>
      </w:r>
      <w:bookmarkEnd w:id="142"/>
    </w:p>
    <w:p>
      <w:pPr>
        <w:adjustRightInd w:val="0"/>
        <w:snapToGrid w:val="0"/>
        <w:ind w:left="-88" w:leftChars="-42" w:firstLine="211" w:firstLineChars="100"/>
        <w:jc w:val="center"/>
        <w:rPr>
          <w:rFonts w:ascii="宋体" w:hAnsi="宋体" w:cs="宋体"/>
          <w:b/>
          <w:bCs/>
          <w:color w:val="auto"/>
          <w:szCs w:val="21"/>
          <w:highlight w:val="none"/>
        </w:rPr>
      </w:pPr>
    </w:p>
    <w:p>
      <w:pPr>
        <w:ind w:firstLine="105" w:firstLineChars="50"/>
        <w:rPr>
          <w:rFonts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（采购单位）        </w:t>
      </w:r>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根据贵方的</w:t>
      </w:r>
      <w:r>
        <w:rPr>
          <w:rFonts w:hint="eastAsia" w:ascii="宋体" w:hAnsi="宋体" w:cs="宋体"/>
          <w:color w:val="auto"/>
          <w:highlight w:val="none"/>
          <w:u w:val="single"/>
        </w:rPr>
        <w:t xml:space="preserve">                      </w:t>
      </w:r>
      <w:r>
        <w:rPr>
          <w:rFonts w:hint="eastAsia" w:ascii="宋体" w:hAnsi="宋体" w:cs="宋体"/>
          <w:color w:val="auto"/>
          <w:highlight w:val="none"/>
        </w:rPr>
        <w:t>项目谈判文件，一旦我方中选，我方保证按长建发【2004】54号（关于印发《防止发生拖欠工程款行为联动实施办法》）文件精神执行，及时足额支付民工工资。</w:t>
      </w:r>
    </w:p>
    <w:p>
      <w:pPr>
        <w:spacing w:line="360" w:lineRule="auto"/>
        <w:rPr>
          <w:rFonts w:ascii="宋体" w:hAnsi="宋体" w:cs="宋体"/>
          <w:color w:val="auto"/>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3"/>
        <w:spacing w:before="37"/>
        <w:jc w:val="center"/>
        <w:outlineLvl w:val="1"/>
        <w:rPr>
          <w:rFonts w:ascii="宋体" w:hAnsi="宋体" w:cs="宋体"/>
          <w:bCs/>
          <w:color w:val="auto"/>
          <w:sz w:val="32"/>
          <w:szCs w:val="32"/>
          <w:highlight w:val="none"/>
        </w:rPr>
      </w:pPr>
      <w:r>
        <w:rPr>
          <w:rFonts w:hint="eastAsia" w:ascii="宋体" w:hAnsi="宋体" w:cs="宋体"/>
          <w:color w:val="auto"/>
          <w:sz w:val="24"/>
          <w:highlight w:val="none"/>
        </w:rPr>
        <w:br w:type="page"/>
      </w:r>
      <w:bookmarkStart w:id="143" w:name="_Toc15835"/>
      <w:bookmarkStart w:id="144" w:name="_Toc25553"/>
      <w:bookmarkStart w:id="145" w:name="_Toc5387"/>
    </w:p>
    <w:p>
      <w:pPr>
        <w:adjustRightInd w:val="0"/>
        <w:snapToGrid w:val="0"/>
        <w:spacing w:line="360" w:lineRule="auto"/>
        <w:ind w:right="23"/>
        <w:jc w:val="center"/>
        <w:outlineLvl w:val="1"/>
        <w:rPr>
          <w:rFonts w:hint="eastAsia" w:ascii="宋体" w:hAnsi="宋体" w:cs="宋体"/>
          <w:b/>
          <w:color w:val="auto"/>
          <w:sz w:val="32"/>
          <w:szCs w:val="32"/>
          <w:highlight w:val="none"/>
        </w:rPr>
      </w:pPr>
      <w:bookmarkStart w:id="146" w:name="_Toc3298"/>
      <w:r>
        <w:rPr>
          <w:rFonts w:hint="eastAsia" w:ascii="宋体" w:hAnsi="宋体" w:cs="宋体"/>
          <w:b/>
          <w:color w:val="auto"/>
          <w:sz w:val="32"/>
          <w:szCs w:val="32"/>
          <w:highlight w:val="none"/>
        </w:rPr>
        <w:t>六、报价一览表</w:t>
      </w:r>
      <w:bookmarkEnd w:id="143"/>
      <w:bookmarkEnd w:id="144"/>
      <w:bookmarkEnd w:id="145"/>
      <w:bookmarkEnd w:id="146"/>
    </w:p>
    <w:p>
      <w:pPr>
        <w:adjustRightInd w:val="0"/>
        <w:snapToGrid w:val="0"/>
        <w:jc w:val="right"/>
        <w:rPr>
          <w:rFonts w:ascii="宋体" w:hAnsi="宋体" w:cs="宋体"/>
          <w:color w:val="auto"/>
          <w:sz w:val="24"/>
          <w:highlight w:val="none"/>
        </w:rPr>
      </w:pPr>
    </w:p>
    <w:tbl>
      <w:tblPr>
        <w:tblStyle w:val="46"/>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2855"/>
        <w:gridCol w:w="2170"/>
        <w:gridCol w:w="1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项目编号</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工期承诺</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保修承诺</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质量等级</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拟任项目负责人</w:t>
            </w:r>
          </w:p>
        </w:tc>
        <w:tc>
          <w:tcPr>
            <w:tcW w:w="2855"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c>
          <w:tcPr>
            <w:tcW w:w="2170" w:type="dxa"/>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注册专业及等级</w:t>
            </w:r>
          </w:p>
        </w:tc>
        <w:tc>
          <w:tcPr>
            <w:tcW w:w="1399"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tabs>
                <w:tab w:val="left" w:pos="403"/>
                <w:tab w:val="center" w:pos="3781"/>
              </w:tabs>
              <w:spacing w:line="420" w:lineRule="exact"/>
              <w:jc w:val="center"/>
              <w:rPr>
                <w:rFonts w:ascii="宋体" w:hAnsi="宋体" w:cs="宋体"/>
                <w:b/>
                <w:color w:val="auto"/>
                <w:szCs w:val="21"/>
                <w:highlight w:val="none"/>
              </w:rPr>
            </w:pPr>
            <w:r>
              <w:rPr>
                <w:rFonts w:hint="eastAsia" w:ascii="宋体" w:hAnsi="宋体" w:cs="宋体"/>
                <w:b/>
                <w:color w:val="auto"/>
                <w:szCs w:val="21"/>
                <w:highlight w:val="none"/>
              </w:rPr>
              <w:t>谈判总报价</w:t>
            </w:r>
          </w:p>
        </w:tc>
        <w:tc>
          <w:tcPr>
            <w:tcW w:w="28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c>
          <w:tcPr>
            <w:tcW w:w="3569" w:type="dxa"/>
            <w:gridSpan w:val="2"/>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注：1.所有报价保留小数点后2位，小数点后第3位“四舍五入”。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2.本表内“谈判总报价”是包含了所有隐含的管理费、税金和利润等其他费用的报价。</w:t>
      </w:r>
    </w:p>
    <w:p>
      <w:pPr>
        <w:pStyle w:val="14"/>
        <w:ind w:left="0" w:leftChars="0" w:firstLine="422" w:firstLineChars="200"/>
        <w:rPr>
          <w:rFonts w:ascii="宋体" w:hAnsi="宋体" w:cs="宋体"/>
          <w:color w:val="auto"/>
          <w:highlight w:val="none"/>
        </w:rPr>
      </w:pPr>
      <w:r>
        <w:rPr>
          <w:rFonts w:hint="eastAsia" w:ascii="宋体" w:hAnsi="宋体"/>
          <w:b/>
          <w:color w:val="auto"/>
          <w:szCs w:val="21"/>
          <w:highlight w:val="none"/>
        </w:rPr>
        <w:t>3.本项目设置</w:t>
      </w:r>
      <w:r>
        <w:rPr>
          <w:rFonts w:hint="eastAsia" w:ascii="宋体" w:hAnsi="宋体" w:cs="宋体"/>
          <w:b/>
          <w:color w:val="auto"/>
          <w:szCs w:val="21"/>
          <w:highlight w:val="none"/>
        </w:rPr>
        <w:t>最高限价</w:t>
      </w:r>
      <w:r>
        <w:rPr>
          <w:rFonts w:hint="eastAsia" w:ascii="宋体" w:hAnsi="宋体"/>
          <w:b/>
          <w:color w:val="auto"/>
          <w:szCs w:val="21"/>
          <w:highlight w:val="none"/>
        </w:rPr>
        <w:t>，谈判单位所报总价不能超过</w:t>
      </w:r>
      <w:r>
        <w:rPr>
          <w:rFonts w:hint="eastAsia" w:ascii="宋体" w:hAnsi="宋体" w:cs="宋体"/>
          <w:b/>
          <w:color w:val="auto"/>
          <w:szCs w:val="21"/>
          <w:highlight w:val="none"/>
        </w:rPr>
        <w:t>最高限价</w:t>
      </w:r>
      <w:r>
        <w:rPr>
          <w:rFonts w:hint="eastAsia" w:ascii="宋体" w:hAnsi="宋体"/>
          <w:b/>
          <w:color w:val="auto"/>
          <w:szCs w:val="21"/>
          <w:highlight w:val="none"/>
        </w:rPr>
        <w:t>，不超过</w:t>
      </w:r>
      <w:r>
        <w:rPr>
          <w:rFonts w:hint="eastAsia" w:ascii="宋体" w:hAnsi="宋体" w:cs="宋体"/>
          <w:b/>
          <w:color w:val="auto"/>
          <w:szCs w:val="21"/>
          <w:highlight w:val="none"/>
        </w:rPr>
        <w:t>最高限价</w:t>
      </w:r>
      <w:r>
        <w:rPr>
          <w:rFonts w:hint="eastAsia" w:ascii="宋体" w:hAnsi="宋体"/>
          <w:b/>
          <w:color w:val="auto"/>
          <w:szCs w:val="21"/>
          <w:highlight w:val="none"/>
        </w:rPr>
        <w:t>的报价为有效报价。</w:t>
      </w:r>
    </w:p>
    <w:p>
      <w:pPr>
        <w:adjustRightInd w:val="0"/>
        <w:snapToGrid w:val="0"/>
        <w:spacing w:line="360" w:lineRule="auto"/>
        <w:ind w:left="-88" w:leftChars="-42"/>
        <w:rPr>
          <w:rFonts w:ascii="宋体" w:hAnsi="宋体" w:cs="宋体"/>
          <w:color w:val="auto"/>
          <w:szCs w:val="21"/>
          <w:highlight w:val="none"/>
        </w:rPr>
      </w:pPr>
    </w:p>
    <w:p>
      <w:pPr>
        <w:adjustRightInd w:val="0"/>
        <w:snapToGrid w:val="0"/>
        <w:spacing w:line="360" w:lineRule="auto"/>
        <w:ind w:left="-88" w:leftChars="-42"/>
        <w:rPr>
          <w:rFonts w:ascii="宋体" w:hAnsi="宋体" w:cs="宋体"/>
          <w:color w:val="auto"/>
          <w:szCs w:val="21"/>
          <w:highlight w:val="none"/>
        </w:rPr>
      </w:pPr>
    </w:p>
    <w:p>
      <w:pPr>
        <w:adjustRightInd w:val="0"/>
        <w:snapToGrid w:val="0"/>
        <w:spacing w:line="360" w:lineRule="auto"/>
        <w:ind w:left="-88" w:leftChars="-42"/>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bookmarkStart w:id="147" w:name="_Toc5231"/>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w:t>
      </w:r>
      <w:bookmarkEnd w:id="147"/>
      <w:r>
        <w:rPr>
          <w:rFonts w:hint="eastAsia" w:ascii="宋体" w:hAnsi="宋体" w:cs="宋体"/>
          <w:color w:val="auto"/>
          <w:sz w:val="21"/>
          <w:szCs w:val="21"/>
          <w:highlight w:val="none"/>
          <w:u w:val="single"/>
        </w:rPr>
        <w:t xml:space="preserve">    </w:t>
      </w:r>
    </w:p>
    <w:p>
      <w:pPr>
        <w:adjustRightInd w:val="0"/>
        <w:snapToGrid w:val="0"/>
        <w:spacing w:line="360" w:lineRule="auto"/>
        <w:rPr>
          <w:rFonts w:ascii="宋体" w:hAnsi="宋体" w:cs="宋体"/>
          <w:color w:val="auto"/>
          <w:szCs w:val="21"/>
          <w:highlight w:val="none"/>
        </w:rPr>
      </w:pPr>
      <w:bookmarkStart w:id="148" w:name="_Toc28605"/>
      <w:r>
        <w:rPr>
          <w:rFonts w:hint="eastAsia" w:ascii="宋体" w:hAnsi="宋体" w:cs="宋体"/>
          <w:color w:val="auto"/>
          <w:szCs w:val="21"/>
          <w:highlight w:val="none"/>
        </w:rPr>
        <w:t>法定代表人或其委托代理人(签字或盖章)：</w:t>
      </w:r>
      <w:bookmarkEnd w:id="148"/>
      <w:r>
        <w:rPr>
          <w:rFonts w:hint="eastAsia" w:ascii="宋体" w:hAnsi="宋体" w:cs="宋体"/>
          <w:color w:val="auto"/>
          <w:szCs w:val="21"/>
          <w:highlight w:val="none"/>
          <w:u w:val="single"/>
        </w:rPr>
        <w:t xml:space="preserve">               </w:t>
      </w:r>
    </w:p>
    <w:p>
      <w:pPr>
        <w:spacing w:line="360" w:lineRule="auto"/>
        <w:rPr>
          <w:rFonts w:ascii="宋体" w:hAnsi="宋体" w:cs="宋体"/>
          <w:color w:val="auto"/>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jc w:val="center"/>
        <w:rPr>
          <w:rFonts w:ascii="宋体" w:hAnsi="宋体" w:cs="宋体"/>
          <w:b/>
          <w:bCs/>
          <w:color w:val="auto"/>
          <w:sz w:val="32"/>
          <w:szCs w:val="32"/>
          <w:highlight w:val="none"/>
        </w:rPr>
      </w:pPr>
    </w:p>
    <w:p>
      <w:pPr>
        <w:adjustRightInd w:val="0"/>
        <w:snapToGrid w:val="0"/>
        <w:jc w:val="center"/>
        <w:rPr>
          <w:rFonts w:ascii="宋体" w:hAnsi="宋体" w:cs="宋体"/>
          <w:b/>
          <w:bCs/>
          <w:color w:val="auto"/>
          <w:sz w:val="32"/>
          <w:szCs w:val="32"/>
          <w:highlight w:val="none"/>
        </w:rPr>
      </w:pPr>
    </w:p>
    <w:p>
      <w:pPr>
        <w:adjustRightInd w:val="0"/>
        <w:snapToGrid w:val="0"/>
        <w:jc w:val="center"/>
        <w:rPr>
          <w:rFonts w:ascii="宋体" w:hAnsi="宋体" w:cs="宋体"/>
          <w:b/>
          <w:bCs/>
          <w:color w:val="auto"/>
          <w:sz w:val="32"/>
          <w:szCs w:val="32"/>
          <w:highlight w:val="none"/>
        </w:rPr>
        <w:sectPr>
          <w:pgSz w:w="11906" w:h="16838"/>
          <w:pgMar w:top="1191" w:right="1417" w:bottom="1191" w:left="1191" w:header="851" w:footer="850" w:gutter="0"/>
          <w:pgNumType w:fmt="decimal"/>
          <w:cols w:space="0" w:num="1"/>
          <w:docGrid w:linePitch="312" w:charSpace="0"/>
        </w:sectPr>
      </w:pPr>
    </w:p>
    <w:p>
      <w:pPr>
        <w:adjustRightInd w:val="0"/>
        <w:snapToGrid w:val="0"/>
        <w:spacing w:line="360" w:lineRule="auto"/>
        <w:ind w:right="23"/>
        <w:jc w:val="center"/>
        <w:outlineLvl w:val="1"/>
        <w:rPr>
          <w:rFonts w:hint="eastAsia" w:ascii="宋体" w:hAnsi="宋体" w:cs="宋体"/>
          <w:b/>
          <w:color w:val="auto"/>
          <w:sz w:val="32"/>
          <w:szCs w:val="32"/>
          <w:highlight w:val="none"/>
        </w:rPr>
      </w:pPr>
      <w:bookmarkStart w:id="149" w:name="_Toc26804"/>
      <w:bookmarkStart w:id="150" w:name="_Toc28059"/>
      <w:bookmarkStart w:id="151" w:name="_Toc13673"/>
      <w:r>
        <w:rPr>
          <w:rFonts w:hint="eastAsia" w:ascii="宋体" w:hAnsi="宋体" w:cs="宋体"/>
          <w:b/>
          <w:color w:val="auto"/>
          <w:sz w:val="32"/>
          <w:szCs w:val="32"/>
          <w:highlight w:val="none"/>
        </w:rPr>
        <w:t>七、</w:t>
      </w:r>
      <w:bookmarkEnd w:id="149"/>
      <w:bookmarkEnd w:id="150"/>
      <w:r>
        <w:rPr>
          <w:rFonts w:hint="eastAsia" w:ascii="宋体" w:hAnsi="宋体" w:cs="宋体"/>
          <w:b/>
          <w:color w:val="auto"/>
          <w:sz w:val="32"/>
          <w:szCs w:val="32"/>
          <w:highlight w:val="none"/>
        </w:rPr>
        <w:t>报价汇总表</w:t>
      </w:r>
      <w:bookmarkEnd w:id="151"/>
    </w:p>
    <w:p>
      <w:pPr>
        <w:spacing w:line="360" w:lineRule="exact"/>
        <w:ind w:firstLine="630" w:firstLineChars="300"/>
        <w:jc w:val="left"/>
        <w:rPr>
          <w:rFonts w:ascii="宋体" w:hAnsi="宋体" w:cs="宋体"/>
          <w:color w:val="auto"/>
          <w:highlight w:val="none"/>
        </w:rPr>
      </w:pPr>
      <w:r>
        <w:rPr>
          <w:rFonts w:hint="eastAsia" w:ascii="宋体" w:hAnsi="宋体" w:cs="宋体"/>
          <w:bCs/>
          <w:color w:val="auto"/>
          <w:highlight w:val="none"/>
        </w:rPr>
        <w:t>项目</w:t>
      </w:r>
      <w:r>
        <w:rPr>
          <w:rFonts w:hint="eastAsia" w:ascii="宋体" w:hAnsi="宋体" w:cs="宋体"/>
          <w:color w:val="auto"/>
          <w:highlight w:val="none"/>
        </w:rPr>
        <w:t>名称：                                             金额单位：元</w:t>
      </w:r>
    </w:p>
    <w:tbl>
      <w:tblPr>
        <w:tblStyle w:val="46"/>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650"/>
        <w:gridCol w:w="317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45" w:hRule="atLeast"/>
          <w:jc w:val="center"/>
        </w:trPr>
        <w:tc>
          <w:tcPr>
            <w:tcW w:w="650" w:type="dxa"/>
            <w:vAlign w:val="center"/>
          </w:tcPr>
          <w:p>
            <w:pPr>
              <w:tabs>
                <w:tab w:val="left" w:pos="403"/>
                <w:tab w:val="center" w:pos="3781"/>
              </w:tabs>
              <w:spacing w:line="420" w:lineRule="exact"/>
              <w:ind w:right="-5206" w:rightChars="-2479" w:firstLine="105" w:firstLineChars="50"/>
              <w:rPr>
                <w:rFonts w:ascii="宋体" w:hAnsi="宋体" w:cs="宋体"/>
                <w:b/>
                <w:color w:val="auto"/>
                <w:szCs w:val="21"/>
                <w:highlight w:val="none"/>
              </w:rPr>
            </w:pPr>
            <w:r>
              <w:rPr>
                <w:rFonts w:hint="eastAsia" w:ascii="宋体" w:hAnsi="宋体" w:cs="宋体"/>
                <w:b/>
                <w:color w:val="auto"/>
                <w:szCs w:val="21"/>
                <w:highlight w:val="none"/>
              </w:rPr>
              <w:t>序 号</w:t>
            </w:r>
          </w:p>
        </w:tc>
        <w:tc>
          <w:tcPr>
            <w:tcW w:w="3173" w:type="dxa"/>
            <w:vAlign w:val="center"/>
          </w:tcPr>
          <w:p>
            <w:pPr>
              <w:tabs>
                <w:tab w:val="left" w:pos="403"/>
                <w:tab w:val="center" w:pos="3781"/>
              </w:tabs>
              <w:spacing w:line="420" w:lineRule="exact"/>
              <w:ind w:right="-5206" w:rightChars="-2479" w:firstLine="1054" w:firstLineChars="500"/>
              <w:rPr>
                <w:rFonts w:ascii="宋体" w:hAnsi="宋体" w:cs="宋体"/>
                <w:b/>
                <w:bCs/>
                <w:color w:val="auto"/>
                <w:szCs w:val="21"/>
                <w:highlight w:val="none"/>
              </w:rPr>
            </w:pPr>
            <w:r>
              <w:rPr>
                <w:rFonts w:hint="eastAsia" w:ascii="宋体" w:hAnsi="宋体" w:cs="宋体"/>
                <w:b/>
                <w:bCs/>
                <w:color w:val="auto"/>
                <w:szCs w:val="21"/>
                <w:highlight w:val="none"/>
              </w:rPr>
              <w:t>费用名称</w:t>
            </w:r>
          </w:p>
        </w:tc>
        <w:tc>
          <w:tcPr>
            <w:tcW w:w="4516" w:type="dxa"/>
            <w:vAlign w:val="center"/>
          </w:tcPr>
          <w:p>
            <w:pPr>
              <w:tabs>
                <w:tab w:val="left" w:pos="403"/>
                <w:tab w:val="center" w:pos="3781"/>
              </w:tabs>
              <w:spacing w:line="420" w:lineRule="exact"/>
              <w:ind w:firstLine="316" w:firstLineChars="150"/>
              <w:jc w:val="center"/>
              <w:rPr>
                <w:rFonts w:ascii="宋体" w:hAnsi="宋体" w:cs="宋体"/>
                <w:b/>
                <w:bCs/>
                <w:color w:val="auto"/>
                <w:szCs w:val="21"/>
                <w:highlight w:val="none"/>
              </w:rPr>
            </w:pPr>
            <w:r>
              <w:rPr>
                <w:rFonts w:hint="eastAsia" w:ascii="宋体" w:hAnsi="宋体" w:cs="宋体"/>
                <w:b/>
                <w:bCs/>
                <w:color w:val="auto"/>
                <w:szCs w:val="21"/>
                <w:highlight w:val="none"/>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分部分项费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2.1</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单价措施项目费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2.2</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总价措施项目费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2.3</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绿色施工安全防护措施项目费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其他项目费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3.1</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暂列金</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3.2</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专业暂估</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3.3</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分部分项暂估</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650"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3173" w:type="dxa"/>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销项税额</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ascii="宋体" w:hAnsi="宋体" w:cs="宋体"/>
                <w:color w:val="auto"/>
                <w:szCs w:val="21"/>
                <w:highlight w:val="none"/>
              </w:rPr>
            </w:pPr>
            <w:r>
              <w:rPr>
                <w:rFonts w:hint="eastAsia" w:ascii="宋体" w:hAnsi="宋体" w:cs="宋体"/>
                <w:color w:val="auto"/>
                <w:szCs w:val="21"/>
                <w:highlight w:val="none"/>
              </w:rPr>
              <w:t>总  报  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r>
              <w:rPr>
                <w:rFonts w:hint="eastAsia" w:ascii="宋体" w:hAnsi="宋体" w:cs="宋体"/>
                <w:color w:val="auto"/>
                <w:szCs w:val="21"/>
                <w:highlight w:val="none"/>
              </w:rPr>
              <w:t>（小写）：</w:t>
            </w:r>
          </w:p>
        </w:tc>
      </w:tr>
    </w:tbl>
    <w:p>
      <w:pPr>
        <w:spacing w:line="360" w:lineRule="auto"/>
        <w:rPr>
          <w:rFonts w:ascii="宋体" w:hAnsi="宋体" w:cs="宋体"/>
          <w:color w:val="auto"/>
          <w:szCs w:val="21"/>
          <w:highlight w:val="none"/>
        </w:rPr>
      </w:pPr>
      <w:r>
        <w:rPr>
          <w:rFonts w:hint="eastAsia" w:ascii="宋体" w:hAnsi="宋体" w:cs="宋体"/>
          <w:b/>
          <w:color w:val="auto"/>
          <w:szCs w:val="21"/>
          <w:highlight w:val="none"/>
        </w:rPr>
        <w:t>注：本表后附注册造价工程师注册证书影印件。如谈判单位委托工程造价咨询机构编制报价文件的，还应附委托合同。</w:t>
      </w:r>
    </w:p>
    <w:p>
      <w:pPr>
        <w:pStyle w:val="28"/>
        <w:adjustRightInd w:val="0"/>
        <w:snapToGrid w:val="0"/>
        <w:spacing w:line="360" w:lineRule="auto"/>
        <w:rPr>
          <w:rFonts w:ascii="宋体" w:hAnsi="宋体" w:cs="宋体"/>
          <w:color w:val="auto"/>
          <w:sz w:val="21"/>
          <w:szCs w:val="21"/>
          <w:highlight w:val="none"/>
        </w:rPr>
      </w:pPr>
      <w:bookmarkStart w:id="152" w:name="_Toc9077"/>
      <w:bookmarkStart w:id="153" w:name="_Toc27585"/>
      <w:bookmarkStart w:id="154" w:name="_Toc22739"/>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注册造价工程师：(签字并加盖注册造价师执业专用章。如谈判单位委托他人编制报价文件的，由被委托人的注册造价工程师签字并加盖注册造价师执业专用章。)</w:t>
      </w:r>
    </w:p>
    <w:p>
      <w:pPr>
        <w:spacing w:line="360" w:lineRule="auto"/>
        <w:rPr>
          <w:rFonts w:ascii="宋体" w:hAnsi="宋体" w:cs="宋体"/>
          <w:color w:val="auto"/>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jc w:val="center"/>
        <w:outlineLvl w:val="1"/>
        <w:rPr>
          <w:rFonts w:ascii="宋体" w:hAnsi="宋体" w:cs="宋体"/>
          <w:b/>
          <w:color w:val="auto"/>
          <w:sz w:val="32"/>
          <w:szCs w:val="32"/>
          <w:highlight w:val="none"/>
        </w:rPr>
        <w:sectPr>
          <w:pgSz w:w="11906" w:h="16838"/>
          <w:pgMar w:top="1191" w:right="1417" w:bottom="1191" w:left="1191" w:header="851" w:footer="850" w:gutter="0"/>
          <w:pgNumType w:fmt="decimal"/>
          <w:cols w:space="0" w:num="1"/>
          <w:docGrid w:linePitch="312" w:charSpace="0"/>
        </w:sectPr>
      </w:pPr>
    </w:p>
    <w:p>
      <w:pPr>
        <w:adjustRightInd w:val="0"/>
        <w:snapToGrid w:val="0"/>
        <w:spacing w:line="360" w:lineRule="auto"/>
        <w:ind w:right="23"/>
        <w:jc w:val="center"/>
        <w:outlineLvl w:val="1"/>
        <w:rPr>
          <w:rFonts w:hint="eastAsia" w:ascii="宋体" w:hAnsi="宋体" w:cs="宋体"/>
          <w:b/>
          <w:color w:val="auto"/>
          <w:sz w:val="32"/>
          <w:szCs w:val="32"/>
          <w:highlight w:val="none"/>
        </w:rPr>
      </w:pPr>
      <w:bookmarkStart w:id="155" w:name="_Toc22832"/>
      <w:r>
        <w:rPr>
          <w:rFonts w:hint="eastAsia" w:ascii="宋体" w:hAnsi="宋体" w:cs="宋体"/>
          <w:b/>
          <w:color w:val="auto"/>
          <w:sz w:val="32"/>
          <w:szCs w:val="32"/>
          <w:highlight w:val="none"/>
        </w:rPr>
        <w:t>八、</w:t>
      </w:r>
      <w:bookmarkEnd w:id="152"/>
      <w:bookmarkEnd w:id="153"/>
      <w:bookmarkEnd w:id="154"/>
      <w:r>
        <w:rPr>
          <w:rFonts w:hint="eastAsia" w:ascii="宋体" w:hAnsi="宋体" w:cs="宋体"/>
          <w:b/>
          <w:color w:val="auto"/>
          <w:sz w:val="32"/>
          <w:szCs w:val="32"/>
          <w:highlight w:val="none"/>
        </w:rPr>
        <w:t>投标报价表</w:t>
      </w:r>
      <w:bookmarkEnd w:id="155"/>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采用CSPK计价软件、2020年湘建价【2020】56号文规定</w:t>
      </w:r>
      <w:r>
        <w:rPr>
          <w:rFonts w:hint="eastAsia" w:ascii="宋体" w:hAnsi="宋体" w:cs="宋体"/>
          <w:color w:val="auto"/>
          <w:szCs w:val="21"/>
          <w:highlight w:val="none"/>
          <w:lang w:eastAsia="zh-CN"/>
        </w:rPr>
        <w:t>（全费用）</w:t>
      </w:r>
      <w:r>
        <w:rPr>
          <w:rFonts w:hint="eastAsia" w:ascii="宋体" w:hAnsi="宋体" w:cs="宋体"/>
          <w:color w:val="auto"/>
          <w:szCs w:val="21"/>
          <w:highlight w:val="none"/>
        </w:rPr>
        <w:t>的投标报价格式。具体投标报价表格（包含但不限于以下表格）：</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1、E8投标总价扉页</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2、E13单项工程投标报价汇总表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3、E18工程量清单计价表（全清单）</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4、E40人工、材料、机械汇总表</w:t>
      </w:r>
    </w:p>
    <w:p>
      <w:pPr>
        <w:adjustRightInd w:val="0"/>
        <w:snapToGrid w:val="0"/>
        <w:spacing w:before="120"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E21绿色施工安全防护计价表</w:t>
      </w:r>
    </w:p>
    <w:p>
      <w:pPr>
        <w:adjustRightInd w:val="0"/>
        <w:snapToGrid w:val="0"/>
        <w:spacing w:before="120" w:beforeLines="50"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不可竞争费表</w:t>
      </w: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sectPr>
          <w:pgSz w:w="11906" w:h="16838"/>
          <w:pgMar w:top="1191" w:right="1417" w:bottom="1191" w:left="1191" w:header="851" w:footer="850" w:gutter="0"/>
          <w:pgNumType w:fmt="decimal"/>
          <w:cols w:space="0" w:num="1"/>
          <w:docGrid w:linePitch="312" w:charSpace="0"/>
        </w:sectPr>
      </w:pPr>
    </w:p>
    <w:p>
      <w:pPr>
        <w:pStyle w:val="2"/>
        <w:rPr>
          <w:rFonts w:ascii="宋体" w:hAnsi="宋体" w:cs="宋体"/>
          <w:color w:val="auto"/>
          <w:szCs w:val="21"/>
          <w:highlight w:val="none"/>
        </w:rPr>
      </w:pPr>
    </w:p>
    <w:p>
      <w:pPr>
        <w:adjustRightInd w:val="0"/>
        <w:snapToGrid w:val="0"/>
        <w:spacing w:line="360" w:lineRule="auto"/>
        <w:ind w:right="23"/>
        <w:jc w:val="center"/>
        <w:outlineLvl w:val="1"/>
        <w:rPr>
          <w:rFonts w:ascii="宋体" w:hAnsi="宋体" w:cs="宋体"/>
          <w:color w:val="auto"/>
          <w:szCs w:val="21"/>
          <w:highlight w:val="none"/>
        </w:rPr>
      </w:pPr>
      <w:bookmarkStart w:id="156" w:name="_Toc1465"/>
      <w:r>
        <w:rPr>
          <w:rFonts w:hint="eastAsia" w:ascii="宋体" w:hAnsi="宋体" w:cs="宋体"/>
          <w:b/>
          <w:color w:val="auto"/>
          <w:sz w:val="32"/>
          <w:szCs w:val="32"/>
          <w:highlight w:val="none"/>
        </w:rPr>
        <w:t>九、其他资料（如有）</w:t>
      </w:r>
      <w:bookmarkEnd w:id="156"/>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谈判单位认为需要提供的其他报价资料，格式自拟。</w:t>
      </w:r>
    </w:p>
    <w:p>
      <w:pPr>
        <w:pStyle w:val="14"/>
        <w:rPr>
          <w:rFonts w:ascii="宋体" w:hAnsi="宋体" w:cs="宋体"/>
          <w:color w:val="auto"/>
          <w:highlight w:val="none"/>
        </w:rPr>
      </w:pPr>
    </w:p>
    <w:sectPr>
      <w:pgSz w:w="11906" w:h="16838"/>
      <w:pgMar w:top="1191" w:right="1417" w:bottom="1191" w:left="1191" w:header="851" w:footer="85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sdt>
      <w:sdtPr>
        <w:id w:val="1582722262"/>
        <w:showingPlcHdr/>
      </w:sdtPr>
      <w:sdtContent>
        <w:r>
          <w:t xml:space="preserve">     </w:t>
        </w:r>
      </w:sdtContent>
    </w:sdt>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_x0000_s2050" o:spid="_x0000_s205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1.25pt" joinstyle="miter"/>
          <v:imagedata o:title=""/>
          <o:lock v:ext="edit"/>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93A88"/>
    <w:multiLevelType w:val="singleLevel"/>
    <w:tmpl w:val="FE293A88"/>
    <w:lvl w:ilvl="0" w:tentative="0">
      <w:start w:val="3"/>
      <w:numFmt w:val="chineseCounting"/>
      <w:pStyle w:val="358"/>
      <w:suff w:val="nothing"/>
      <w:lvlText w:val="%1、"/>
      <w:lvlJc w:val="left"/>
      <w:rPr>
        <w:rFonts w:hint="eastAsia"/>
      </w:rPr>
    </w:lvl>
  </w:abstractNum>
  <w:abstractNum w:abstractNumId="1">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0B54"/>
    <w:rsid w:val="000274C6"/>
    <w:rsid w:val="00036195"/>
    <w:rsid w:val="0004667B"/>
    <w:rsid w:val="00047139"/>
    <w:rsid w:val="0004724A"/>
    <w:rsid w:val="00052640"/>
    <w:rsid w:val="00063D15"/>
    <w:rsid w:val="00074928"/>
    <w:rsid w:val="0007765E"/>
    <w:rsid w:val="00091C9D"/>
    <w:rsid w:val="000979A2"/>
    <w:rsid w:val="000A1C46"/>
    <w:rsid w:val="000B5905"/>
    <w:rsid w:val="000C106E"/>
    <w:rsid w:val="000E0579"/>
    <w:rsid w:val="000E7968"/>
    <w:rsid w:val="00115FE6"/>
    <w:rsid w:val="00116299"/>
    <w:rsid w:val="00116BAE"/>
    <w:rsid w:val="0014465B"/>
    <w:rsid w:val="001453A1"/>
    <w:rsid w:val="00146FB5"/>
    <w:rsid w:val="00156543"/>
    <w:rsid w:val="00162D59"/>
    <w:rsid w:val="00185F03"/>
    <w:rsid w:val="00186162"/>
    <w:rsid w:val="001A1D9D"/>
    <w:rsid w:val="001A6CE7"/>
    <w:rsid w:val="001C0B53"/>
    <w:rsid w:val="001C23BF"/>
    <w:rsid w:val="001C2C46"/>
    <w:rsid w:val="001D6D72"/>
    <w:rsid w:val="00206121"/>
    <w:rsid w:val="002069C8"/>
    <w:rsid w:val="002139EB"/>
    <w:rsid w:val="0022188F"/>
    <w:rsid w:val="00222DFA"/>
    <w:rsid w:val="00230A1A"/>
    <w:rsid w:val="002314A3"/>
    <w:rsid w:val="00240CA6"/>
    <w:rsid w:val="0024445D"/>
    <w:rsid w:val="002504FF"/>
    <w:rsid w:val="002523FD"/>
    <w:rsid w:val="0025312F"/>
    <w:rsid w:val="00255546"/>
    <w:rsid w:val="00265F5E"/>
    <w:rsid w:val="002712AE"/>
    <w:rsid w:val="00286014"/>
    <w:rsid w:val="002A2021"/>
    <w:rsid w:val="002B1D56"/>
    <w:rsid w:val="002C0ECA"/>
    <w:rsid w:val="002F262C"/>
    <w:rsid w:val="003102A2"/>
    <w:rsid w:val="00331810"/>
    <w:rsid w:val="003457B8"/>
    <w:rsid w:val="0034671F"/>
    <w:rsid w:val="00365CF2"/>
    <w:rsid w:val="00380064"/>
    <w:rsid w:val="00381105"/>
    <w:rsid w:val="00381BB4"/>
    <w:rsid w:val="003849C6"/>
    <w:rsid w:val="003958B2"/>
    <w:rsid w:val="0039632C"/>
    <w:rsid w:val="003B1109"/>
    <w:rsid w:val="003D080C"/>
    <w:rsid w:val="003D3D49"/>
    <w:rsid w:val="003D4F31"/>
    <w:rsid w:val="003D6204"/>
    <w:rsid w:val="003F269A"/>
    <w:rsid w:val="003F46A7"/>
    <w:rsid w:val="004014FD"/>
    <w:rsid w:val="00412F96"/>
    <w:rsid w:val="00423B85"/>
    <w:rsid w:val="004263EB"/>
    <w:rsid w:val="00430F5F"/>
    <w:rsid w:val="00442422"/>
    <w:rsid w:val="00453EE9"/>
    <w:rsid w:val="00457329"/>
    <w:rsid w:val="00457A5C"/>
    <w:rsid w:val="00473865"/>
    <w:rsid w:val="004756A2"/>
    <w:rsid w:val="0048093D"/>
    <w:rsid w:val="004929D5"/>
    <w:rsid w:val="00495DBC"/>
    <w:rsid w:val="00495F57"/>
    <w:rsid w:val="004978CA"/>
    <w:rsid w:val="004A1E5B"/>
    <w:rsid w:val="004B3D80"/>
    <w:rsid w:val="004B41B1"/>
    <w:rsid w:val="00504DED"/>
    <w:rsid w:val="00506E02"/>
    <w:rsid w:val="00522ABF"/>
    <w:rsid w:val="00526589"/>
    <w:rsid w:val="00545140"/>
    <w:rsid w:val="0055214F"/>
    <w:rsid w:val="005556A5"/>
    <w:rsid w:val="0056117D"/>
    <w:rsid w:val="0056143E"/>
    <w:rsid w:val="0058754B"/>
    <w:rsid w:val="005C32E9"/>
    <w:rsid w:val="005C415F"/>
    <w:rsid w:val="005C688B"/>
    <w:rsid w:val="005D360C"/>
    <w:rsid w:val="005E01F7"/>
    <w:rsid w:val="005E6BBB"/>
    <w:rsid w:val="0060073E"/>
    <w:rsid w:val="00602C51"/>
    <w:rsid w:val="006100DB"/>
    <w:rsid w:val="00624A23"/>
    <w:rsid w:val="00626A85"/>
    <w:rsid w:val="006312D7"/>
    <w:rsid w:val="00632DBC"/>
    <w:rsid w:val="00641E72"/>
    <w:rsid w:val="00642F27"/>
    <w:rsid w:val="006436E2"/>
    <w:rsid w:val="00652F23"/>
    <w:rsid w:val="00655D86"/>
    <w:rsid w:val="0068504A"/>
    <w:rsid w:val="0068515F"/>
    <w:rsid w:val="00687C87"/>
    <w:rsid w:val="006B6300"/>
    <w:rsid w:val="006D0A13"/>
    <w:rsid w:val="006E025D"/>
    <w:rsid w:val="006F0105"/>
    <w:rsid w:val="006F0E76"/>
    <w:rsid w:val="006F5FAC"/>
    <w:rsid w:val="0070784A"/>
    <w:rsid w:val="00716E24"/>
    <w:rsid w:val="00730CC6"/>
    <w:rsid w:val="00740D0D"/>
    <w:rsid w:val="00741B28"/>
    <w:rsid w:val="00793ABB"/>
    <w:rsid w:val="0079784E"/>
    <w:rsid w:val="007D0446"/>
    <w:rsid w:val="007F3811"/>
    <w:rsid w:val="007F7E90"/>
    <w:rsid w:val="00802770"/>
    <w:rsid w:val="0081382B"/>
    <w:rsid w:val="00842E06"/>
    <w:rsid w:val="008511F3"/>
    <w:rsid w:val="00857295"/>
    <w:rsid w:val="00865375"/>
    <w:rsid w:val="008772B9"/>
    <w:rsid w:val="008B6242"/>
    <w:rsid w:val="008C7C9F"/>
    <w:rsid w:val="00915948"/>
    <w:rsid w:val="00923E97"/>
    <w:rsid w:val="00951280"/>
    <w:rsid w:val="00974F35"/>
    <w:rsid w:val="00976733"/>
    <w:rsid w:val="00976E8A"/>
    <w:rsid w:val="00982F52"/>
    <w:rsid w:val="00991A24"/>
    <w:rsid w:val="009A5642"/>
    <w:rsid w:val="009A7A73"/>
    <w:rsid w:val="009B2B6B"/>
    <w:rsid w:val="009B5270"/>
    <w:rsid w:val="009C10AF"/>
    <w:rsid w:val="009D41D7"/>
    <w:rsid w:val="009D7D4A"/>
    <w:rsid w:val="009E03FD"/>
    <w:rsid w:val="009E2384"/>
    <w:rsid w:val="00A1706F"/>
    <w:rsid w:val="00A32F8B"/>
    <w:rsid w:val="00A34DC1"/>
    <w:rsid w:val="00A40A56"/>
    <w:rsid w:val="00A41E73"/>
    <w:rsid w:val="00A618F2"/>
    <w:rsid w:val="00A61CCE"/>
    <w:rsid w:val="00A92028"/>
    <w:rsid w:val="00A92B7C"/>
    <w:rsid w:val="00A97DE2"/>
    <w:rsid w:val="00AA1709"/>
    <w:rsid w:val="00AB013C"/>
    <w:rsid w:val="00AC2477"/>
    <w:rsid w:val="00AD758B"/>
    <w:rsid w:val="00AE6612"/>
    <w:rsid w:val="00AF11ED"/>
    <w:rsid w:val="00AF77EA"/>
    <w:rsid w:val="00B01BA0"/>
    <w:rsid w:val="00B10770"/>
    <w:rsid w:val="00B74689"/>
    <w:rsid w:val="00B82298"/>
    <w:rsid w:val="00B832A9"/>
    <w:rsid w:val="00B92FA2"/>
    <w:rsid w:val="00B967B5"/>
    <w:rsid w:val="00BB1FAB"/>
    <w:rsid w:val="00BD6D7B"/>
    <w:rsid w:val="00BE0D46"/>
    <w:rsid w:val="00BE15B5"/>
    <w:rsid w:val="00BF1D53"/>
    <w:rsid w:val="00C0069B"/>
    <w:rsid w:val="00C0097E"/>
    <w:rsid w:val="00C0237A"/>
    <w:rsid w:val="00C07D55"/>
    <w:rsid w:val="00C20479"/>
    <w:rsid w:val="00C21D69"/>
    <w:rsid w:val="00C34FA3"/>
    <w:rsid w:val="00C3740A"/>
    <w:rsid w:val="00C43A4D"/>
    <w:rsid w:val="00C464D4"/>
    <w:rsid w:val="00C532E5"/>
    <w:rsid w:val="00C57914"/>
    <w:rsid w:val="00C6008B"/>
    <w:rsid w:val="00C758E3"/>
    <w:rsid w:val="00C831E0"/>
    <w:rsid w:val="00C9602F"/>
    <w:rsid w:val="00CA0AB7"/>
    <w:rsid w:val="00CB534B"/>
    <w:rsid w:val="00CE51F2"/>
    <w:rsid w:val="00CE631C"/>
    <w:rsid w:val="00CE703D"/>
    <w:rsid w:val="00CF0192"/>
    <w:rsid w:val="00CF040C"/>
    <w:rsid w:val="00D032FD"/>
    <w:rsid w:val="00D06536"/>
    <w:rsid w:val="00D164FE"/>
    <w:rsid w:val="00D31733"/>
    <w:rsid w:val="00D43330"/>
    <w:rsid w:val="00D45708"/>
    <w:rsid w:val="00D476D6"/>
    <w:rsid w:val="00D50F66"/>
    <w:rsid w:val="00D5525D"/>
    <w:rsid w:val="00D6362F"/>
    <w:rsid w:val="00D64034"/>
    <w:rsid w:val="00D6532E"/>
    <w:rsid w:val="00D84A7F"/>
    <w:rsid w:val="00D87724"/>
    <w:rsid w:val="00DA51BD"/>
    <w:rsid w:val="00DD50DD"/>
    <w:rsid w:val="00DE5A1D"/>
    <w:rsid w:val="00DF363F"/>
    <w:rsid w:val="00E27521"/>
    <w:rsid w:val="00E30F3C"/>
    <w:rsid w:val="00E32EEF"/>
    <w:rsid w:val="00E33084"/>
    <w:rsid w:val="00E426D0"/>
    <w:rsid w:val="00E6665E"/>
    <w:rsid w:val="00E74692"/>
    <w:rsid w:val="00E77817"/>
    <w:rsid w:val="00E84C36"/>
    <w:rsid w:val="00E9295B"/>
    <w:rsid w:val="00E944EE"/>
    <w:rsid w:val="00ED1044"/>
    <w:rsid w:val="00EF6911"/>
    <w:rsid w:val="00F21E2F"/>
    <w:rsid w:val="00F2232F"/>
    <w:rsid w:val="00F31086"/>
    <w:rsid w:val="00F37996"/>
    <w:rsid w:val="00F410E0"/>
    <w:rsid w:val="00F42F37"/>
    <w:rsid w:val="00F52571"/>
    <w:rsid w:val="00F579E9"/>
    <w:rsid w:val="00F6052A"/>
    <w:rsid w:val="00F77BB4"/>
    <w:rsid w:val="00FA310D"/>
    <w:rsid w:val="00FA6734"/>
    <w:rsid w:val="00FD22E9"/>
    <w:rsid w:val="00FE0F05"/>
    <w:rsid w:val="00FE3699"/>
    <w:rsid w:val="00FE5E7B"/>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990F81"/>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B10E2"/>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D663C6"/>
    <w:rsid w:val="10190CBD"/>
    <w:rsid w:val="102D14D1"/>
    <w:rsid w:val="104E0318"/>
    <w:rsid w:val="10A750E5"/>
    <w:rsid w:val="11342822"/>
    <w:rsid w:val="115D2B41"/>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142AB4"/>
    <w:rsid w:val="18613676"/>
    <w:rsid w:val="1871686D"/>
    <w:rsid w:val="18735165"/>
    <w:rsid w:val="188542AB"/>
    <w:rsid w:val="1888103C"/>
    <w:rsid w:val="18940F06"/>
    <w:rsid w:val="189E1726"/>
    <w:rsid w:val="18AE213F"/>
    <w:rsid w:val="18EF3A7F"/>
    <w:rsid w:val="191C7D65"/>
    <w:rsid w:val="19266EAE"/>
    <w:rsid w:val="193E61A9"/>
    <w:rsid w:val="19B175FE"/>
    <w:rsid w:val="19BA2DA6"/>
    <w:rsid w:val="19BF6C48"/>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A7260B"/>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AE5F02"/>
    <w:rsid w:val="22BB792D"/>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406EF"/>
    <w:rsid w:val="285718A5"/>
    <w:rsid w:val="28F865CB"/>
    <w:rsid w:val="29053276"/>
    <w:rsid w:val="29212087"/>
    <w:rsid w:val="29250E1B"/>
    <w:rsid w:val="293E4CC1"/>
    <w:rsid w:val="29443F92"/>
    <w:rsid w:val="295A53EB"/>
    <w:rsid w:val="29803AA3"/>
    <w:rsid w:val="29884B07"/>
    <w:rsid w:val="298957C4"/>
    <w:rsid w:val="29DF4E52"/>
    <w:rsid w:val="2A1D6A45"/>
    <w:rsid w:val="2A4E2CE7"/>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93694"/>
    <w:rsid w:val="2F6C2DFA"/>
    <w:rsid w:val="2FA502D9"/>
    <w:rsid w:val="2FC7694E"/>
    <w:rsid w:val="300C3711"/>
    <w:rsid w:val="3022617D"/>
    <w:rsid w:val="30464B56"/>
    <w:rsid w:val="306B39B6"/>
    <w:rsid w:val="307C2C0D"/>
    <w:rsid w:val="308132C2"/>
    <w:rsid w:val="30967620"/>
    <w:rsid w:val="309F2085"/>
    <w:rsid w:val="30B20FA8"/>
    <w:rsid w:val="30BD1FE5"/>
    <w:rsid w:val="30E74D92"/>
    <w:rsid w:val="30F36C74"/>
    <w:rsid w:val="30F9318B"/>
    <w:rsid w:val="31272F44"/>
    <w:rsid w:val="31936105"/>
    <w:rsid w:val="31B658D4"/>
    <w:rsid w:val="31E67461"/>
    <w:rsid w:val="32316E69"/>
    <w:rsid w:val="325B404D"/>
    <w:rsid w:val="32887E5F"/>
    <w:rsid w:val="32922EE0"/>
    <w:rsid w:val="329E5AD1"/>
    <w:rsid w:val="32CC51E5"/>
    <w:rsid w:val="32E6051A"/>
    <w:rsid w:val="32F33B15"/>
    <w:rsid w:val="3342483F"/>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67CAA"/>
    <w:rsid w:val="3789705A"/>
    <w:rsid w:val="37963F54"/>
    <w:rsid w:val="379A6B89"/>
    <w:rsid w:val="379B6A7D"/>
    <w:rsid w:val="37BF2E3D"/>
    <w:rsid w:val="37C67DE8"/>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8872A1"/>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0E70FE"/>
    <w:rsid w:val="44107E1A"/>
    <w:rsid w:val="4428525F"/>
    <w:rsid w:val="444A0170"/>
    <w:rsid w:val="4458707E"/>
    <w:rsid w:val="44667276"/>
    <w:rsid w:val="44A37922"/>
    <w:rsid w:val="44B63420"/>
    <w:rsid w:val="44B71DE6"/>
    <w:rsid w:val="44BE70AA"/>
    <w:rsid w:val="44DB6B8D"/>
    <w:rsid w:val="45160574"/>
    <w:rsid w:val="45746EDE"/>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EA68ED"/>
    <w:rsid w:val="47FB44E3"/>
    <w:rsid w:val="488A747A"/>
    <w:rsid w:val="488C68A7"/>
    <w:rsid w:val="489640A7"/>
    <w:rsid w:val="489E300A"/>
    <w:rsid w:val="48A8092A"/>
    <w:rsid w:val="4955748F"/>
    <w:rsid w:val="49694B92"/>
    <w:rsid w:val="49737357"/>
    <w:rsid w:val="49E51E3A"/>
    <w:rsid w:val="4A0366CF"/>
    <w:rsid w:val="4A256483"/>
    <w:rsid w:val="4A38641F"/>
    <w:rsid w:val="4A66688A"/>
    <w:rsid w:val="4A800E57"/>
    <w:rsid w:val="4A8D4A10"/>
    <w:rsid w:val="4A9F5D83"/>
    <w:rsid w:val="4AB52052"/>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765628"/>
    <w:rsid w:val="4FA43165"/>
    <w:rsid w:val="4FB6214D"/>
    <w:rsid w:val="4FFA2095"/>
    <w:rsid w:val="50645753"/>
    <w:rsid w:val="50A93BA8"/>
    <w:rsid w:val="50E40335"/>
    <w:rsid w:val="50E65CE2"/>
    <w:rsid w:val="511E0033"/>
    <w:rsid w:val="51202751"/>
    <w:rsid w:val="51311E06"/>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4370C6"/>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13556A"/>
    <w:rsid w:val="5B4D14FF"/>
    <w:rsid w:val="5B58464F"/>
    <w:rsid w:val="5B8509D1"/>
    <w:rsid w:val="5B90297B"/>
    <w:rsid w:val="5C11606C"/>
    <w:rsid w:val="5C11763B"/>
    <w:rsid w:val="5C2D250F"/>
    <w:rsid w:val="5C4B3D62"/>
    <w:rsid w:val="5C4E0A2D"/>
    <w:rsid w:val="5C524815"/>
    <w:rsid w:val="5C64452B"/>
    <w:rsid w:val="5C7719CE"/>
    <w:rsid w:val="5C8E79BD"/>
    <w:rsid w:val="5CA6604A"/>
    <w:rsid w:val="5D2719C9"/>
    <w:rsid w:val="5D285026"/>
    <w:rsid w:val="5D5C0E3F"/>
    <w:rsid w:val="5D5E619D"/>
    <w:rsid w:val="5D697358"/>
    <w:rsid w:val="5D747A99"/>
    <w:rsid w:val="5D7F608F"/>
    <w:rsid w:val="5D9249ED"/>
    <w:rsid w:val="5DA1646B"/>
    <w:rsid w:val="5DD7329D"/>
    <w:rsid w:val="5DDC5DDB"/>
    <w:rsid w:val="5DDD5460"/>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4F92F17"/>
    <w:rsid w:val="650401CF"/>
    <w:rsid w:val="65205814"/>
    <w:rsid w:val="653D52DC"/>
    <w:rsid w:val="655373D5"/>
    <w:rsid w:val="659D4F4E"/>
    <w:rsid w:val="65A300A1"/>
    <w:rsid w:val="65DB5C3D"/>
    <w:rsid w:val="65DC330D"/>
    <w:rsid w:val="65E935AE"/>
    <w:rsid w:val="666631F7"/>
    <w:rsid w:val="66780DEE"/>
    <w:rsid w:val="668E1E21"/>
    <w:rsid w:val="66926F8C"/>
    <w:rsid w:val="66966882"/>
    <w:rsid w:val="66AB117E"/>
    <w:rsid w:val="66D269D6"/>
    <w:rsid w:val="66F269C9"/>
    <w:rsid w:val="67285BDC"/>
    <w:rsid w:val="67B85177"/>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D45FBD"/>
    <w:rsid w:val="6EF06A3A"/>
    <w:rsid w:val="6F231086"/>
    <w:rsid w:val="6F2C1077"/>
    <w:rsid w:val="6F4412DE"/>
    <w:rsid w:val="6F4A3EE7"/>
    <w:rsid w:val="6FB01FF6"/>
    <w:rsid w:val="6FE27E45"/>
    <w:rsid w:val="702D3037"/>
    <w:rsid w:val="70854008"/>
    <w:rsid w:val="70EE0B58"/>
    <w:rsid w:val="71662747"/>
    <w:rsid w:val="71F327E9"/>
    <w:rsid w:val="72525910"/>
    <w:rsid w:val="7272141E"/>
    <w:rsid w:val="729A51BF"/>
    <w:rsid w:val="72B463D3"/>
    <w:rsid w:val="72C31F67"/>
    <w:rsid w:val="730F2443"/>
    <w:rsid w:val="738A19B2"/>
    <w:rsid w:val="74144DEF"/>
    <w:rsid w:val="742F5851"/>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B7207"/>
    <w:rsid w:val="756D2420"/>
    <w:rsid w:val="75AD468E"/>
    <w:rsid w:val="75C114FE"/>
    <w:rsid w:val="75C3529A"/>
    <w:rsid w:val="75D33B60"/>
    <w:rsid w:val="75EB0030"/>
    <w:rsid w:val="767A1884"/>
    <w:rsid w:val="767F69F2"/>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00C6E"/>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9"/>
    <w:pPr>
      <w:keepNext/>
      <w:jc w:val="center"/>
      <w:outlineLvl w:val="0"/>
    </w:pPr>
    <w:rPr>
      <w:b/>
      <w:bCs/>
      <w:kern w:val="0"/>
      <w:sz w:val="24"/>
      <w:szCs w:val="20"/>
    </w:rPr>
  </w:style>
  <w:style w:type="paragraph" w:styleId="5">
    <w:name w:val="heading 2"/>
    <w:basedOn w:val="1"/>
    <w:next w:val="1"/>
    <w:link w:val="64"/>
    <w:qFormat/>
    <w:uiPriority w:val="9"/>
    <w:pPr>
      <w:keepNext/>
      <w:keepLines/>
      <w:spacing w:line="360" w:lineRule="auto"/>
      <w:outlineLvl w:val="1"/>
    </w:pPr>
    <w:rPr>
      <w:rFonts w:ascii="Arial" w:hAnsi="Arial"/>
      <w:b/>
      <w:bCs/>
      <w:kern w:val="0"/>
      <w:sz w:val="24"/>
      <w:szCs w:val="32"/>
    </w:rPr>
  </w:style>
  <w:style w:type="paragraph" w:styleId="6">
    <w:name w:val="heading 3"/>
    <w:basedOn w:val="1"/>
    <w:next w:val="1"/>
    <w:link w:val="65"/>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75"/>
    <w:unhideWhenUsed/>
    <w:qFormat/>
    <w:uiPriority w:val="99"/>
    <w:pPr>
      <w:spacing w:line="500" w:lineRule="exact"/>
      <w:ind w:firstLine="420" w:firstLineChars="200"/>
    </w:pPr>
  </w:style>
  <w:style w:type="paragraph" w:styleId="3">
    <w:name w:val="Body Text"/>
    <w:basedOn w:val="1"/>
    <w:link w:val="117"/>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3"/>
    <w:qFormat/>
    <w:uiPriority w:val="99"/>
    <w:pPr>
      <w:widowControl/>
      <w:ind w:firstLine="420"/>
      <w:jc w:val="left"/>
    </w:pPr>
    <w:rPr>
      <w:kern w:val="0"/>
      <w:sz w:val="20"/>
      <w:szCs w:val="20"/>
    </w:rPr>
  </w:style>
  <w:style w:type="paragraph" w:styleId="16">
    <w:name w:val="Document Map"/>
    <w:basedOn w:val="1"/>
    <w:link w:val="127"/>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09"/>
    <w:unhideWhenUsed/>
    <w:qFormat/>
    <w:uiPriority w:val="99"/>
    <w:pPr>
      <w:jc w:val="left"/>
    </w:pPr>
  </w:style>
  <w:style w:type="paragraph" w:styleId="19">
    <w:name w:val="Salutation"/>
    <w:basedOn w:val="1"/>
    <w:next w:val="1"/>
    <w:link w:val="114"/>
    <w:qFormat/>
    <w:uiPriority w:val="0"/>
    <w:rPr>
      <w:rFonts w:ascii="仿宋_GB2312" w:eastAsia="仿宋_GB2312"/>
      <w:sz w:val="24"/>
    </w:rPr>
  </w:style>
  <w:style w:type="paragraph" w:styleId="20">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97"/>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6"/>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39"/>
    <w:qFormat/>
    <w:uiPriority w:val="0"/>
    <w:rPr>
      <w:rFonts w:ascii="Calibri" w:hAnsi="Calibri" w:cs="黑体"/>
      <w:sz w:val="24"/>
      <w:szCs w:val="22"/>
    </w:rPr>
  </w:style>
  <w:style w:type="paragraph" w:styleId="29">
    <w:name w:val="Body Text Indent 2"/>
    <w:basedOn w:val="1"/>
    <w:link w:val="101"/>
    <w:qFormat/>
    <w:uiPriority w:val="0"/>
    <w:pPr>
      <w:spacing w:after="120" w:line="480" w:lineRule="auto"/>
      <w:ind w:left="420" w:leftChars="200"/>
    </w:pPr>
  </w:style>
  <w:style w:type="paragraph" w:styleId="30">
    <w:name w:val="Balloon Text"/>
    <w:basedOn w:val="1"/>
    <w:link w:val="96"/>
    <w:qFormat/>
    <w:uiPriority w:val="0"/>
    <w:rPr>
      <w:rFonts w:ascii="Calibri" w:hAnsi="Calibri" w:cs="黑体"/>
      <w:sz w:val="18"/>
      <w:szCs w:val="18"/>
    </w:rPr>
  </w:style>
  <w:style w:type="paragraph" w:styleId="31">
    <w:name w:val="footer"/>
    <w:basedOn w:val="1"/>
    <w:link w:val="62"/>
    <w:unhideWhenUsed/>
    <w:qFormat/>
    <w:uiPriority w:val="99"/>
    <w:pPr>
      <w:tabs>
        <w:tab w:val="center" w:pos="4153"/>
        <w:tab w:val="right" w:pos="8306"/>
      </w:tabs>
      <w:snapToGrid w:val="0"/>
      <w:jc w:val="left"/>
    </w:pPr>
    <w:rPr>
      <w:sz w:val="18"/>
      <w:szCs w:val="18"/>
    </w:rPr>
  </w:style>
  <w:style w:type="paragraph" w:styleId="32">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link w:val="36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4"/>
    <w:qFormat/>
    <w:uiPriority w:val="0"/>
    <w:pPr>
      <w:spacing w:after="120"/>
      <w:ind w:left="420" w:leftChars="200"/>
    </w:pPr>
    <w:rPr>
      <w:rFonts w:ascii="Calibri" w:hAnsi="Calibri" w:cs="黑体"/>
      <w:sz w:val="16"/>
      <w:szCs w:val="16"/>
    </w:rPr>
  </w:style>
  <w:style w:type="paragraph" w:styleId="38">
    <w:name w:val="toc 2"/>
    <w:basedOn w:val="1"/>
    <w:next w:val="1"/>
    <w:link w:val="366"/>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2"/>
    <w:qFormat/>
    <w:uiPriority w:val="0"/>
    <w:pPr>
      <w:spacing w:after="120" w:line="480" w:lineRule="auto"/>
    </w:pPr>
  </w:style>
  <w:style w:type="paragraph" w:styleId="41">
    <w:name w:val="HTML Preformatted"/>
    <w:basedOn w:val="1"/>
    <w:link w:val="11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0"/>
    <w:qFormat/>
    <w:uiPriority w:val="0"/>
    <w:pPr>
      <w:spacing w:before="240" w:after="60"/>
      <w:jc w:val="center"/>
      <w:outlineLvl w:val="0"/>
    </w:pPr>
    <w:rPr>
      <w:rFonts w:ascii="Cambria" w:hAnsi="Cambria"/>
      <w:b/>
      <w:sz w:val="32"/>
    </w:rPr>
  </w:style>
  <w:style w:type="paragraph" w:styleId="45">
    <w:name w:val="annotation subject"/>
    <w:basedOn w:val="18"/>
    <w:next w:val="18"/>
    <w:link w:val="86"/>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2"/>
    <w:qFormat/>
    <w:uiPriority w:val="0"/>
    <w:rPr>
      <w:sz w:val="18"/>
      <w:szCs w:val="18"/>
    </w:rPr>
  </w:style>
  <w:style w:type="character" w:customStyle="1" w:styleId="62">
    <w:name w:val="页脚 Char"/>
    <w:basedOn w:val="48"/>
    <w:link w:val="31"/>
    <w:qFormat/>
    <w:uiPriority w:val="99"/>
    <w:rPr>
      <w:sz w:val="18"/>
      <w:szCs w:val="18"/>
    </w:rPr>
  </w:style>
  <w:style w:type="character" w:customStyle="1" w:styleId="63">
    <w:name w:val="标题 1 Char1"/>
    <w:basedOn w:val="48"/>
    <w:link w:val="4"/>
    <w:qFormat/>
    <w:uiPriority w:val="0"/>
    <w:rPr>
      <w:rFonts w:ascii="Times New Roman" w:hAnsi="Times New Roman" w:eastAsia="宋体" w:cs="Times New Roman"/>
      <w:b/>
      <w:bCs/>
      <w:kern w:val="0"/>
      <w:sz w:val="24"/>
      <w:szCs w:val="20"/>
    </w:rPr>
  </w:style>
  <w:style w:type="character" w:customStyle="1" w:styleId="64">
    <w:name w:val="标题 2 Char1"/>
    <w:basedOn w:val="48"/>
    <w:link w:val="5"/>
    <w:qFormat/>
    <w:uiPriority w:val="0"/>
    <w:rPr>
      <w:rFonts w:ascii="Arial" w:hAnsi="Arial" w:eastAsia="宋体" w:cs="Times New Roman"/>
      <w:b/>
      <w:bCs/>
      <w:kern w:val="0"/>
      <w:sz w:val="24"/>
      <w:szCs w:val="32"/>
    </w:rPr>
  </w:style>
  <w:style w:type="character" w:customStyle="1" w:styleId="65">
    <w:name w:val="标题 3 Char1"/>
    <w:basedOn w:val="48"/>
    <w:link w:val="6"/>
    <w:qFormat/>
    <w:uiPriority w:val="0"/>
    <w:rPr>
      <w:rFonts w:ascii="Times New Roman" w:hAnsi="Times New Roman" w:eastAsia="宋体" w:cs="Times New Roman"/>
      <w:b/>
      <w:bCs/>
      <w:kern w:val="0"/>
      <w:sz w:val="32"/>
      <w:szCs w:val="32"/>
    </w:rPr>
  </w:style>
  <w:style w:type="character" w:customStyle="1" w:styleId="66">
    <w:name w:val="标题 4 Char1"/>
    <w:basedOn w:val="48"/>
    <w:link w:val="7"/>
    <w:qFormat/>
    <w:uiPriority w:val="0"/>
    <w:rPr>
      <w:rFonts w:ascii="Arial" w:hAnsi="Arial" w:eastAsia="黑体" w:cs="Times New Roman"/>
      <w:b/>
      <w:bCs/>
      <w:kern w:val="0"/>
      <w:sz w:val="28"/>
      <w:szCs w:val="28"/>
    </w:rPr>
  </w:style>
  <w:style w:type="character" w:customStyle="1" w:styleId="67">
    <w:name w:val="标题 5 Char1"/>
    <w:basedOn w:val="48"/>
    <w:link w:val="8"/>
    <w:qFormat/>
    <w:uiPriority w:val="0"/>
    <w:rPr>
      <w:rFonts w:ascii="Times New Roman" w:hAnsi="Times New Roman" w:eastAsia="宋体" w:cs="Times New Roman"/>
      <w:b/>
      <w:bCs/>
      <w:kern w:val="0"/>
      <w:sz w:val="28"/>
      <w:szCs w:val="28"/>
    </w:rPr>
  </w:style>
  <w:style w:type="character" w:customStyle="1" w:styleId="68">
    <w:name w:val="标题 6 Char1"/>
    <w:basedOn w:val="48"/>
    <w:link w:val="9"/>
    <w:qFormat/>
    <w:uiPriority w:val="0"/>
    <w:rPr>
      <w:rFonts w:ascii="Arial" w:hAnsi="Arial" w:eastAsia="黑体" w:cs="Times New Roman"/>
      <w:b/>
      <w:bCs/>
      <w:kern w:val="0"/>
      <w:sz w:val="24"/>
      <w:szCs w:val="24"/>
    </w:rPr>
  </w:style>
  <w:style w:type="character" w:customStyle="1" w:styleId="69">
    <w:name w:val="标题 7 Char1"/>
    <w:basedOn w:val="48"/>
    <w:link w:val="10"/>
    <w:qFormat/>
    <w:uiPriority w:val="0"/>
    <w:rPr>
      <w:rFonts w:ascii="Times New Roman" w:hAnsi="Times New Roman" w:eastAsia="宋体" w:cs="Times New Roman"/>
      <w:b/>
      <w:bCs/>
      <w:kern w:val="0"/>
      <w:sz w:val="24"/>
      <w:szCs w:val="24"/>
    </w:rPr>
  </w:style>
  <w:style w:type="character" w:customStyle="1" w:styleId="70">
    <w:name w:val="标题 8 Char1"/>
    <w:basedOn w:val="48"/>
    <w:link w:val="11"/>
    <w:qFormat/>
    <w:uiPriority w:val="0"/>
    <w:rPr>
      <w:rFonts w:ascii="Arial" w:hAnsi="Arial" w:eastAsia="黑体" w:cs="Times New Roman"/>
      <w:kern w:val="0"/>
      <w:sz w:val="24"/>
      <w:szCs w:val="24"/>
    </w:rPr>
  </w:style>
  <w:style w:type="character" w:customStyle="1" w:styleId="71">
    <w:name w:val="标题 9 Char1"/>
    <w:basedOn w:val="48"/>
    <w:link w:val="12"/>
    <w:qFormat/>
    <w:uiPriority w:val="0"/>
    <w:rPr>
      <w:rFonts w:ascii="Arial" w:hAnsi="Arial" w:eastAsia="黑体" w:cs="Times New Roman"/>
      <w:kern w:val="0"/>
      <w:sz w:val="20"/>
      <w:szCs w:val="21"/>
    </w:rPr>
  </w:style>
  <w:style w:type="character" w:customStyle="1" w:styleId="72">
    <w:name w:val="正文文本 2 Char"/>
    <w:basedOn w:val="48"/>
    <w:link w:val="40"/>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5"/>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30"/>
    <w:qFormat/>
    <w:locked/>
    <w:uiPriority w:val="0"/>
    <w:rPr>
      <w:rFonts w:ascii="Calibri" w:hAnsi="Calibri" w:eastAsia="宋体" w:cs="黑体"/>
      <w:sz w:val="18"/>
      <w:szCs w:val="18"/>
    </w:rPr>
  </w:style>
  <w:style w:type="character" w:customStyle="1" w:styleId="97">
    <w:name w:val="正文文本缩进 Char"/>
    <w:basedOn w:val="48"/>
    <w:link w:val="21"/>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4"/>
    <w:qFormat/>
    <w:uiPriority w:val="0"/>
    <w:rPr>
      <w:rFonts w:ascii="Cambria" w:hAnsi="Cambria" w:eastAsia="宋体" w:cs="Times New Roman"/>
      <w:b/>
      <w:sz w:val="32"/>
      <w:szCs w:val="24"/>
    </w:rPr>
  </w:style>
  <w:style w:type="character" w:customStyle="1" w:styleId="101">
    <w:name w:val="正文文本缩进 2 Char"/>
    <w:basedOn w:val="48"/>
    <w:link w:val="29"/>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6"/>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8"/>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1"/>
    <w:qFormat/>
    <w:uiPriority w:val="99"/>
    <w:rPr>
      <w:rFonts w:ascii="Arial" w:hAnsi="Arial" w:eastAsia="宋体" w:cs="Arial"/>
      <w:kern w:val="0"/>
      <w:sz w:val="24"/>
      <w:szCs w:val="24"/>
    </w:rPr>
  </w:style>
  <w:style w:type="character" w:customStyle="1" w:styleId="114">
    <w:name w:val="称呼 Char"/>
    <w:basedOn w:val="48"/>
    <w:link w:val="19"/>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3"/>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9"/>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7"/>
    <w:qFormat/>
    <w:uiPriority w:val="0"/>
    <w:rPr>
      <w:rFonts w:ascii="Calibri" w:hAnsi="Calibri" w:eastAsia="宋体" w:cs="黑体"/>
      <w:sz w:val="16"/>
      <w:szCs w:val="16"/>
    </w:rPr>
  </w:style>
  <w:style w:type="character" w:customStyle="1" w:styleId="125">
    <w:name w:val="副标题 Char"/>
    <w:basedOn w:val="48"/>
    <w:link w:val="35"/>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6"/>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8"/>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20"/>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2"/>
    <w:qFormat/>
    <w:uiPriority w:val="99"/>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3"/>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6"/>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4"/>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4"/>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4"/>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5"/>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5"/>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4"/>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7"/>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6"/>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6"/>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4"/>
    <w:next w:val="1"/>
    <w:qFormat/>
    <w:uiPriority w:val="39"/>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34"/>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 w:type="character" w:customStyle="1" w:styleId="365">
    <w:name w:val="fontstyle01"/>
    <w:qFormat/>
    <w:uiPriority w:val="0"/>
    <w:rPr>
      <w:rFonts w:hint="eastAsia" w:ascii="宋体" w:hAnsi="宋体" w:eastAsia="宋体"/>
      <w:color w:val="000000"/>
      <w:sz w:val="22"/>
      <w:szCs w:val="22"/>
    </w:rPr>
  </w:style>
  <w:style w:type="character" w:customStyle="1" w:styleId="366">
    <w:name w:val="目录 2 Char"/>
    <w:link w:val="38"/>
    <w:qFormat/>
    <w:uiPriority w:val="39"/>
    <w:rPr>
      <w:kern w:val="2"/>
      <w:sz w:val="21"/>
      <w:szCs w:val="24"/>
    </w:rPr>
  </w:style>
  <w:style w:type="character" w:customStyle="1" w:styleId="367">
    <w:name w:val="目录 1 Char"/>
    <w:link w:val="33"/>
    <w:qFormat/>
    <w:uiPriority w:val="39"/>
    <w:rPr>
      <w:kern w:val="2"/>
      <w:sz w:val="21"/>
      <w:szCs w:val="24"/>
    </w:rPr>
  </w:style>
  <w:style w:type="paragraph" w:customStyle="1" w:styleId="368">
    <w:name w:val="xl65"/>
    <w:basedOn w:val="1"/>
    <w:qFormat/>
    <w:uiPriority w:val="0"/>
    <w:pPr>
      <w:widowControl/>
      <w:spacing w:before="100" w:beforeAutospacing="1" w:after="100" w:afterAutospacing="1"/>
      <w:jc w:val="left"/>
      <w:textAlignment w:val="top"/>
    </w:pPr>
    <w:rPr>
      <w:rFonts w:ascii="宋体" w:hAnsi="宋体" w:cs="宋体"/>
      <w:kern w:val="0"/>
      <w:sz w:val="18"/>
      <w:szCs w:val="18"/>
    </w:rPr>
  </w:style>
  <w:style w:type="paragraph" w:customStyle="1" w:styleId="369">
    <w:name w:val="xl66"/>
    <w:basedOn w:val="1"/>
    <w:qFormat/>
    <w:uiPriority w:val="0"/>
    <w:pPr>
      <w:widowControl/>
      <w:pBdr>
        <w:bottom w:val="single" w:color="000000" w:sz="8" w:space="0"/>
      </w:pBdr>
      <w:spacing w:before="100" w:beforeAutospacing="1" w:after="100" w:afterAutospacing="1"/>
      <w:jc w:val="left"/>
    </w:pPr>
    <w:rPr>
      <w:rFonts w:ascii="宋体" w:hAnsi="宋体" w:cs="宋体"/>
      <w:color w:val="000000"/>
      <w:kern w:val="0"/>
      <w:sz w:val="18"/>
      <w:szCs w:val="18"/>
    </w:rPr>
  </w:style>
  <w:style w:type="paragraph" w:customStyle="1" w:styleId="37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7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kern w:val="0"/>
      <w:sz w:val="18"/>
      <w:szCs w:val="18"/>
    </w:rPr>
  </w:style>
  <w:style w:type="paragraph" w:customStyle="1" w:styleId="37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37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374">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375">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376">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37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378">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79">
    <w:name w:val="xl76"/>
    <w:basedOn w:val="1"/>
    <w:qFormat/>
    <w:uiPriority w:val="0"/>
    <w:pPr>
      <w:widowControl/>
      <w:pBdr>
        <w:top w:val="single" w:color="000000" w:sz="8" w:space="0"/>
      </w:pBdr>
      <w:spacing w:before="100" w:beforeAutospacing="1" w:after="100" w:afterAutospacing="1"/>
      <w:jc w:val="left"/>
      <w:textAlignment w:val="top"/>
    </w:pPr>
    <w:rPr>
      <w:rFonts w:ascii="宋体" w:hAnsi="宋体" w:cs="宋体"/>
      <w:kern w:val="0"/>
      <w:sz w:val="18"/>
      <w:szCs w:val="18"/>
    </w:rPr>
  </w:style>
  <w:style w:type="paragraph" w:customStyle="1" w:styleId="380">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8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82">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383">
    <w:name w:val="xl80"/>
    <w:basedOn w:val="1"/>
    <w:qFormat/>
    <w:uiPriority w:val="0"/>
    <w:pPr>
      <w:widowControl/>
      <w:spacing w:before="100" w:beforeAutospacing="1" w:after="100" w:afterAutospacing="1"/>
      <w:jc w:val="center"/>
    </w:pPr>
    <w:rPr>
      <w:rFonts w:ascii="宋体" w:hAnsi="宋体" w:cs="宋体"/>
      <w:b/>
      <w:bCs/>
      <w:kern w:val="0"/>
      <w:sz w:val="30"/>
      <w:szCs w:val="30"/>
    </w:rPr>
  </w:style>
  <w:style w:type="paragraph" w:customStyle="1" w:styleId="384">
    <w:name w:val="xl81"/>
    <w:basedOn w:val="1"/>
    <w:qFormat/>
    <w:uiPriority w:val="0"/>
    <w:pPr>
      <w:widowControl/>
      <w:pBdr>
        <w:bottom w:val="single" w:color="000000" w:sz="8" w:space="0"/>
      </w:pBdr>
      <w:spacing w:before="100" w:beforeAutospacing="1" w:after="100" w:afterAutospacing="1"/>
      <w:jc w:val="left"/>
    </w:pPr>
    <w:rPr>
      <w:rFonts w:ascii="宋体" w:hAnsi="宋体" w:cs="宋体"/>
      <w:color w:val="000000"/>
      <w:kern w:val="0"/>
      <w:sz w:val="18"/>
      <w:szCs w:val="18"/>
    </w:rPr>
  </w:style>
  <w:style w:type="paragraph" w:customStyle="1" w:styleId="385">
    <w:name w:val="xl82"/>
    <w:basedOn w:val="1"/>
    <w:qFormat/>
    <w:uiPriority w:val="0"/>
    <w:pPr>
      <w:widowControl/>
      <w:pBdr>
        <w:bottom w:val="single" w:color="000000" w:sz="8" w:space="0"/>
      </w:pBdr>
      <w:spacing w:before="100" w:beforeAutospacing="1" w:after="100" w:afterAutospacing="1"/>
      <w:jc w:val="right"/>
    </w:pPr>
    <w:rPr>
      <w:rFonts w:ascii="宋体" w:hAnsi="宋体" w:cs="宋体"/>
      <w:color w:val="000000"/>
      <w:kern w:val="0"/>
      <w:sz w:val="18"/>
      <w:szCs w:val="18"/>
    </w:rPr>
  </w:style>
  <w:style w:type="paragraph" w:customStyle="1" w:styleId="386">
    <w:name w:val="xl8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387">
    <w:name w:val="xl8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B9AD0D-1021-437A-B6AE-633E0F66F37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5603</Words>
  <Characters>31939</Characters>
  <Lines>266</Lines>
  <Paragraphs>74</Paragraphs>
  <TotalTime>18</TotalTime>
  <ScaleCrop>false</ScaleCrop>
  <LinksUpToDate>false</LinksUpToDate>
  <CharactersWithSpaces>37468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2020-11-27T00:54:00Z</dcterms:created>
  <dc:creator>李 毅</dc:creator>
  <cp:lastModifiedBy>justbeyourself1419340238</cp:lastModifiedBy>
  <cp:lastPrinted>2021-01-12T07:34:00Z</cp:lastPrinted>
  <dcterms:modified xsi:type="dcterms:W3CDTF">2021-01-12T08:47:30Z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