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宋体"/>
          <w:b/>
          <w:sz w:val="52"/>
          <w:szCs w:val="52"/>
          <w:highlight w:val="none"/>
          <w:shd w:val="clear" w:color="060000" w:fill="auto"/>
        </w:rPr>
      </w:pPr>
      <w:r>
        <w:rPr>
          <w:rFonts w:hint="eastAsia" w:ascii="仿宋_GB2312" w:hAnsi="宋体" w:eastAsia="仿宋_GB2312" w:cs="宋体"/>
          <w:b/>
          <w:sz w:val="52"/>
          <w:szCs w:val="52"/>
          <w:highlight w:val="none"/>
          <w:shd w:val="clear" w:color="060000" w:fill="auto"/>
        </w:rPr>
        <w:t>长沙市轨道交通</w:t>
      </w:r>
      <w:r>
        <w:rPr>
          <w:rFonts w:hint="eastAsia" w:ascii="仿宋_GB2312" w:hAnsi="宋体" w:eastAsia="仿宋_GB2312" w:cs="宋体"/>
          <w:b/>
          <w:sz w:val="52"/>
          <w:szCs w:val="52"/>
          <w:highlight w:val="none"/>
          <w:shd w:val="clear" w:color="060000" w:fill="auto"/>
          <w:lang w:val="en-US" w:eastAsia="zh-CN"/>
        </w:rPr>
        <w:t>5</w:t>
      </w:r>
      <w:r>
        <w:rPr>
          <w:rFonts w:hint="eastAsia" w:ascii="仿宋_GB2312" w:hAnsi="宋体" w:eastAsia="仿宋_GB2312" w:cs="宋体"/>
          <w:b/>
          <w:sz w:val="52"/>
          <w:szCs w:val="52"/>
          <w:highlight w:val="none"/>
          <w:shd w:val="clear" w:color="060000" w:fill="auto"/>
        </w:rPr>
        <w:t>号线</w:t>
      </w:r>
      <w:r>
        <w:rPr>
          <w:rFonts w:hint="eastAsia" w:ascii="仿宋_GB2312" w:hAnsi="宋体" w:eastAsia="仿宋_GB2312" w:cs="宋体"/>
          <w:b/>
          <w:sz w:val="52"/>
          <w:szCs w:val="52"/>
          <w:highlight w:val="none"/>
          <w:shd w:val="clear" w:color="060000" w:fill="auto"/>
          <w:lang w:val="en-US" w:eastAsia="zh-CN"/>
        </w:rPr>
        <w:t>机电安装</w:t>
      </w:r>
      <w:r>
        <w:rPr>
          <w:rFonts w:hint="eastAsia" w:ascii="仿宋_GB2312" w:hAnsi="宋体" w:eastAsia="仿宋_GB2312" w:cs="宋体"/>
          <w:b/>
          <w:sz w:val="52"/>
          <w:szCs w:val="52"/>
          <w:highlight w:val="none"/>
          <w:shd w:val="clear" w:color="060000" w:fill="auto"/>
        </w:rPr>
        <w:t>工程遗留问题整改</w:t>
      </w:r>
      <w:r>
        <w:rPr>
          <w:rFonts w:hint="eastAsia" w:ascii="仿宋_GB2312" w:hAnsi="宋体" w:eastAsia="仿宋_GB2312" w:cs="宋体"/>
          <w:b/>
          <w:sz w:val="52"/>
          <w:szCs w:val="52"/>
          <w:highlight w:val="none"/>
          <w:shd w:val="clear" w:color="060000" w:fill="auto"/>
          <w:lang w:val="en-US" w:eastAsia="zh-CN"/>
        </w:rPr>
        <w:t>工程</w:t>
      </w:r>
      <w:r>
        <w:rPr>
          <w:rFonts w:hint="eastAsia" w:ascii="仿宋_GB2312" w:hAnsi="宋体" w:eastAsia="仿宋_GB2312" w:cs="宋体"/>
          <w:b/>
          <w:sz w:val="52"/>
          <w:szCs w:val="52"/>
          <w:highlight w:val="none"/>
          <w:shd w:val="clear" w:color="060000" w:fill="auto"/>
        </w:rPr>
        <w:t>项目</w:t>
      </w:r>
    </w:p>
    <w:p>
      <w:pPr>
        <w:ind w:firstLine="1044" w:firstLineChars="200"/>
        <w:jc w:val="left"/>
        <w:rPr>
          <w:rFonts w:ascii="仿宋_GB2312" w:hAnsi="宋体" w:eastAsia="仿宋_GB2312" w:cs="宋体"/>
          <w:b/>
          <w:sz w:val="52"/>
          <w:szCs w:val="52"/>
          <w:highlight w:val="none"/>
          <w:shd w:val="clear" w:color="060000" w:fill="auto"/>
        </w:rPr>
      </w:pPr>
    </w:p>
    <w:p>
      <w:pPr>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jc w:val="center"/>
        <w:rPr>
          <w:rFonts w:ascii="仿宋_GB2312" w:hAnsi="宋体" w:eastAsia="仿宋_GB2312" w:cs="宋体"/>
          <w:b/>
          <w:sz w:val="52"/>
          <w:szCs w:val="52"/>
          <w:highlight w:val="none"/>
          <w:shd w:val="clear" w:color="060000" w:fill="auto"/>
        </w:rPr>
      </w:pPr>
      <w:r>
        <w:rPr>
          <w:rFonts w:hint="eastAsia" w:ascii="仿宋_GB2312" w:hAnsi="宋体" w:eastAsia="仿宋_GB2312" w:cs="宋体"/>
          <w:b/>
          <w:sz w:val="52"/>
          <w:szCs w:val="52"/>
          <w:highlight w:val="none"/>
          <w:shd w:val="clear" w:color="060000" w:fill="auto"/>
        </w:rPr>
        <w:t>用户需求书</w:t>
      </w: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jc w:val="center"/>
        <w:rPr>
          <w:rFonts w:ascii="仿宋_GB2312" w:hAnsi="宋体" w:eastAsia="仿宋_GB2312" w:cs="宋体"/>
          <w:b/>
          <w:sz w:val="52"/>
          <w:szCs w:val="52"/>
          <w:highlight w:val="none"/>
          <w:shd w:val="clear" w:color="060000" w:fill="auto"/>
        </w:rPr>
      </w:pPr>
      <w:r>
        <w:rPr>
          <w:rFonts w:hint="eastAsia" w:ascii="仿宋_GB2312" w:hAnsi="宋体" w:eastAsia="仿宋_GB2312" w:cs="宋体"/>
          <w:b/>
          <w:sz w:val="52"/>
          <w:szCs w:val="52"/>
          <w:highlight w:val="none"/>
          <w:shd w:val="clear" w:color="060000" w:fill="auto"/>
        </w:rPr>
        <w:t>编制时间：2021年</w:t>
      </w:r>
      <w:r>
        <w:rPr>
          <w:rFonts w:hint="eastAsia" w:ascii="仿宋_GB2312" w:hAnsi="宋体" w:eastAsia="仿宋_GB2312" w:cs="宋体"/>
          <w:b/>
          <w:sz w:val="52"/>
          <w:szCs w:val="52"/>
          <w:highlight w:val="none"/>
          <w:shd w:val="clear" w:color="060000" w:fill="auto"/>
          <w:lang w:val="en-US" w:eastAsia="zh-CN"/>
        </w:rPr>
        <w:t>10</w:t>
      </w:r>
      <w:r>
        <w:rPr>
          <w:rFonts w:hint="eastAsia" w:ascii="仿宋_GB2312" w:hAnsi="宋体" w:eastAsia="仿宋_GB2312" w:cs="宋体"/>
          <w:b/>
          <w:sz w:val="52"/>
          <w:szCs w:val="52"/>
          <w:highlight w:val="none"/>
          <w:shd w:val="clear" w:color="060000" w:fill="auto"/>
        </w:rPr>
        <w:t>月</w:t>
      </w:r>
    </w:p>
    <w:p>
      <w:pPr>
        <w:ind w:firstLine="1044" w:firstLineChars="200"/>
        <w:jc w:val="left"/>
        <w:rPr>
          <w:rFonts w:ascii="仿宋_GB2312" w:hAnsi="宋体" w:eastAsia="仿宋_GB2312" w:cs="宋体"/>
          <w:b/>
          <w:sz w:val="52"/>
          <w:szCs w:val="52"/>
          <w:highlight w:val="none"/>
          <w:shd w:val="clear" w:color="060000" w:fill="auto"/>
        </w:rPr>
      </w:pPr>
    </w:p>
    <w:p>
      <w:pPr>
        <w:ind w:firstLine="1044" w:firstLineChars="200"/>
        <w:jc w:val="left"/>
        <w:rPr>
          <w:rFonts w:ascii="仿宋_GB2312" w:hAnsi="宋体" w:eastAsia="仿宋_GB2312" w:cs="宋体"/>
          <w:b/>
          <w:sz w:val="52"/>
          <w:szCs w:val="52"/>
          <w:highlight w:val="none"/>
          <w:shd w:val="clear" w:color="060000" w:fill="auto"/>
        </w:rPr>
      </w:pPr>
    </w:p>
    <w:p>
      <w:pPr>
        <w:ind w:firstLine="480" w:firstLineChars="200"/>
        <w:jc w:val="left"/>
        <w:rPr>
          <w:rFonts w:ascii="仿宋_GB2312" w:hAnsi="宋体" w:eastAsia="仿宋_GB2312"/>
          <w:szCs w:val="24"/>
          <w:highlight w:val="none"/>
        </w:rPr>
        <w:sectPr>
          <w:pgSz w:w="11906" w:h="16838"/>
          <w:pgMar w:top="1440" w:right="1800" w:bottom="1440" w:left="1800" w:header="851" w:footer="992" w:gutter="0"/>
          <w:cols w:space="425" w:num="1"/>
          <w:docGrid w:type="lines" w:linePitch="312" w:charSpace="0"/>
        </w:sectPr>
      </w:pPr>
    </w:p>
    <w:sdt>
      <w:sdtPr>
        <w:rPr>
          <w:rFonts w:hint="eastAsia" w:ascii="仿宋_GB2312" w:hAnsi="Times New Roman" w:eastAsia="仿宋_GB2312" w:cs="Times New Roman"/>
          <w:color w:val="auto"/>
          <w:kern w:val="2"/>
          <w:sz w:val="24"/>
          <w:szCs w:val="22"/>
          <w:highlight w:val="none"/>
          <w:lang w:val="zh-CN"/>
        </w:rPr>
        <w:id w:val="-1671791700"/>
        <w:docPartObj>
          <w:docPartGallery w:val="Table of Contents"/>
          <w:docPartUnique/>
        </w:docPartObj>
      </w:sdtPr>
      <w:sdtEndPr>
        <w:rPr>
          <w:rFonts w:hint="eastAsia" w:ascii="仿宋_GB2312" w:eastAsia="仿宋_GB2312" w:cs="Times New Roman" w:hAnsiTheme="minorEastAsia"/>
          <w:bCs/>
          <w:color w:val="auto"/>
          <w:kern w:val="2"/>
          <w:sz w:val="24"/>
          <w:szCs w:val="24"/>
          <w:highlight w:val="none"/>
          <w:lang w:val="zh-CN"/>
        </w:rPr>
      </w:sdtEndPr>
      <w:sdtContent>
        <w:p>
          <w:pPr>
            <w:pStyle w:val="37"/>
            <w:jc w:val="center"/>
            <w:rPr>
              <w:rFonts w:ascii="仿宋_GB2312" w:eastAsia="仿宋_GB2312"/>
              <w:b/>
              <w:color w:val="auto"/>
              <w:highlight w:val="none"/>
            </w:rPr>
          </w:pPr>
          <w:r>
            <w:rPr>
              <w:rFonts w:hint="eastAsia" w:ascii="仿宋_GB2312" w:eastAsia="仿宋_GB2312"/>
              <w:b/>
              <w:color w:val="auto"/>
              <w:highlight w:val="none"/>
              <w:lang w:val="zh-CN"/>
            </w:rPr>
            <w:t>目 录</w:t>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rFonts w:hint="eastAsia" w:ascii="仿宋_GB2312" w:eastAsia="仿宋_GB2312" w:hAnsiTheme="minorEastAsia"/>
              <w:b w:val="0"/>
              <w:bCs w:val="0"/>
              <w:caps w:val="0"/>
              <w:highlight w:val="none"/>
            </w:rPr>
            <w:fldChar w:fldCharType="begin"/>
          </w:r>
          <w:r>
            <w:rPr>
              <w:rFonts w:hint="eastAsia" w:ascii="仿宋_GB2312" w:eastAsia="仿宋_GB2312" w:hAnsiTheme="minorEastAsia"/>
              <w:b w:val="0"/>
              <w:bCs w:val="0"/>
              <w:caps w:val="0"/>
              <w:highlight w:val="none"/>
            </w:rPr>
            <w:instrText xml:space="preserve"> TOC \o "1-3" \h \z \u </w:instrText>
          </w:r>
          <w:r>
            <w:rPr>
              <w:rFonts w:hint="eastAsia" w:ascii="仿宋_GB2312" w:eastAsia="仿宋_GB2312" w:hAnsiTheme="minorEastAsia"/>
              <w:b w:val="0"/>
              <w:bCs w:val="0"/>
              <w:caps w:val="0"/>
              <w:highlight w:val="none"/>
            </w:rPr>
            <w:fldChar w:fldCharType="separate"/>
          </w:r>
          <w:r>
            <w:rPr>
              <w:highlight w:val="none"/>
            </w:rPr>
            <w:fldChar w:fldCharType="begin"/>
          </w:r>
          <w:r>
            <w:rPr>
              <w:highlight w:val="none"/>
            </w:rPr>
            <w:instrText xml:space="preserve"> HYPERLINK \l "_Toc73544697" </w:instrText>
          </w:r>
          <w:r>
            <w:rPr>
              <w:highlight w:val="none"/>
            </w:rPr>
            <w:fldChar w:fldCharType="separate"/>
          </w:r>
          <w:r>
            <w:rPr>
              <w:rStyle w:val="24"/>
              <w:rFonts w:hint="eastAsia" w:ascii="仿宋_GB2312" w:eastAsia="仿宋_GB2312"/>
              <w:b w:val="0"/>
              <w:highlight w:val="none"/>
            </w:rPr>
            <w:t>1.</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总体</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_Toc73544697 \h </w:instrText>
          </w:r>
          <w:r>
            <w:rPr>
              <w:rFonts w:hint="eastAsia" w:ascii="仿宋_GB2312" w:eastAsia="仿宋_GB2312"/>
              <w:b w:val="0"/>
              <w:highlight w:val="none"/>
            </w:rPr>
            <w:fldChar w:fldCharType="separate"/>
          </w:r>
          <w:r>
            <w:rPr>
              <w:rFonts w:hint="eastAsia" w:ascii="仿宋_GB2312" w:eastAsia="仿宋_GB2312"/>
              <w:b w:val="0"/>
              <w:highlight w:val="none"/>
            </w:rPr>
            <w:t>2</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"_Toc73544698" </w:instrText>
          </w:r>
          <w:r>
            <w:rPr>
              <w:highlight w:val="none"/>
            </w:rPr>
            <w:fldChar w:fldCharType="separate"/>
          </w:r>
          <w:r>
            <w:rPr>
              <w:rStyle w:val="24"/>
              <w:rFonts w:hint="eastAsia" w:ascii="仿宋_GB2312" w:eastAsia="仿宋_GB2312"/>
              <w:b w:val="0"/>
              <w:sz w:val="24"/>
              <w:szCs w:val="24"/>
              <w:highlight w:val="none"/>
            </w:rPr>
            <w:t>1.1</w:t>
          </w:r>
          <w:r>
            <w:rPr>
              <w:rFonts w:hint="eastAsia" w:ascii="仿宋_GB2312" w:eastAsia="仿宋_GB2312" w:cstheme="minorBidi"/>
              <w:b w:val="0"/>
              <w:bCs w:val="0"/>
              <w:sz w:val="24"/>
              <w:szCs w:val="24"/>
              <w:highlight w:val="none"/>
            </w:rPr>
            <w:tab/>
          </w:r>
          <w:r>
            <w:rPr>
              <w:rStyle w:val="24"/>
              <w:rFonts w:hint="eastAsia" w:ascii="仿宋_GB2312" w:eastAsia="仿宋_GB2312"/>
              <w:b w:val="0"/>
              <w:sz w:val="24"/>
              <w:szCs w:val="24"/>
              <w:highlight w:val="none"/>
            </w:rPr>
            <w:t>项目说明</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_Toc73544698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"_Toc73544699" </w:instrText>
          </w:r>
          <w:r>
            <w:rPr>
              <w:highlight w:val="none"/>
            </w:rPr>
            <w:fldChar w:fldCharType="separate"/>
          </w:r>
          <w:r>
            <w:rPr>
              <w:rStyle w:val="24"/>
              <w:rFonts w:hint="eastAsia" w:ascii="仿宋_GB2312" w:eastAsia="仿宋_GB2312"/>
              <w:b w:val="0"/>
              <w:sz w:val="24"/>
              <w:szCs w:val="24"/>
              <w:highlight w:val="none"/>
            </w:rPr>
            <w:t>1.2</w:t>
          </w:r>
          <w:r>
            <w:rPr>
              <w:rFonts w:hint="eastAsia" w:ascii="仿宋_GB2312" w:eastAsia="仿宋_GB2312" w:cstheme="minorBidi"/>
              <w:b w:val="0"/>
              <w:bCs w:val="0"/>
              <w:sz w:val="24"/>
              <w:szCs w:val="24"/>
              <w:highlight w:val="none"/>
            </w:rPr>
            <w:tab/>
          </w:r>
          <w:r>
            <w:rPr>
              <w:rStyle w:val="24"/>
              <w:rFonts w:hint="eastAsia" w:ascii="仿宋_GB2312" w:eastAsia="仿宋_GB2312"/>
              <w:b w:val="0"/>
              <w:sz w:val="24"/>
              <w:szCs w:val="24"/>
              <w:highlight w:val="none"/>
            </w:rPr>
            <w:t>工程概况</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_Toc73544699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"_Toc73544700" </w:instrText>
          </w:r>
          <w:r>
            <w:rPr>
              <w:highlight w:val="none"/>
            </w:rPr>
            <w:fldChar w:fldCharType="separate"/>
          </w:r>
          <w:r>
            <w:rPr>
              <w:rStyle w:val="24"/>
              <w:rFonts w:hint="eastAsia" w:ascii="仿宋_GB2312" w:eastAsia="仿宋_GB2312"/>
              <w:b w:val="0"/>
              <w:sz w:val="24"/>
              <w:szCs w:val="24"/>
              <w:highlight w:val="none"/>
            </w:rPr>
            <w:t>1.3</w:t>
          </w:r>
          <w:r>
            <w:rPr>
              <w:rFonts w:hint="eastAsia" w:ascii="仿宋_GB2312" w:eastAsia="仿宋_GB2312" w:cstheme="minorBidi"/>
              <w:b w:val="0"/>
              <w:bCs w:val="0"/>
              <w:sz w:val="24"/>
              <w:szCs w:val="24"/>
              <w:highlight w:val="none"/>
            </w:rPr>
            <w:tab/>
          </w:r>
          <w:r>
            <w:rPr>
              <w:rStyle w:val="24"/>
              <w:rFonts w:hint="eastAsia" w:ascii="仿宋_GB2312" w:eastAsia="仿宋_GB2312"/>
              <w:b w:val="0"/>
              <w:sz w:val="24"/>
              <w:szCs w:val="24"/>
              <w:highlight w:val="none"/>
            </w:rPr>
            <w:t>工程施工地点及范围</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_Toc73544700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left" w:pos="720"/>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"_Toc73544701" </w:instrText>
          </w:r>
          <w:r>
            <w:rPr>
              <w:highlight w:val="none"/>
            </w:rPr>
            <w:fldChar w:fldCharType="separate"/>
          </w:r>
          <w:r>
            <w:rPr>
              <w:rStyle w:val="24"/>
              <w:rFonts w:hint="eastAsia" w:ascii="仿宋_GB2312" w:eastAsia="仿宋_GB2312"/>
              <w:b w:val="0"/>
              <w:sz w:val="24"/>
              <w:szCs w:val="24"/>
              <w:highlight w:val="none"/>
            </w:rPr>
            <w:t>1.4</w:t>
          </w:r>
          <w:r>
            <w:rPr>
              <w:rFonts w:hint="eastAsia" w:ascii="仿宋_GB2312" w:eastAsia="仿宋_GB2312" w:cstheme="minorBidi"/>
              <w:b w:val="0"/>
              <w:bCs w:val="0"/>
              <w:sz w:val="24"/>
              <w:szCs w:val="24"/>
              <w:highlight w:val="none"/>
            </w:rPr>
            <w:tab/>
          </w:r>
          <w:r>
            <w:rPr>
              <w:rStyle w:val="24"/>
              <w:rFonts w:hint="eastAsia" w:ascii="仿宋_GB2312" w:eastAsia="仿宋_GB2312"/>
              <w:b w:val="0"/>
              <w:sz w:val="24"/>
              <w:szCs w:val="24"/>
              <w:highlight w:val="none"/>
            </w:rPr>
            <w:t>环境及条件</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_Toc73544701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2</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"_Toc73544702" </w:instrText>
          </w:r>
          <w:r>
            <w:rPr>
              <w:highlight w:val="none"/>
            </w:rPr>
            <w:fldChar w:fldCharType="separate"/>
          </w:r>
          <w:r>
            <w:rPr>
              <w:rStyle w:val="24"/>
              <w:rFonts w:hint="eastAsia" w:ascii="仿宋_GB2312" w:eastAsia="仿宋_GB2312"/>
              <w:b w:val="0"/>
              <w:highlight w:val="none"/>
            </w:rPr>
            <w:t>2.</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工程内容</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_Toc73544702 \h </w:instrText>
          </w:r>
          <w:r>
            <w:rPr>
              <w:rFonts w:hint="eastAsia" w:ascii="仿宋_GB2312" w:eastAsia="仿宋_GB2312"/>
              <w:b w:val="0"/>
              <w:highlight w:val="none"/>
            </w:rPr>
            <w:fldChar w:fldCharType="separate"/>
          </w:r>
          <w:r>
            <w:rPr>
              <w:rFonts w:hint="eastAsia" w:ascii="仿宋_GB2312" w:eastAsia="仿宋_GB2312"/>
              <w:b w:val="0"/>
              <w:highlight w:val="none"/>
            </w:rPr>
            <w:t>3</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"_Toc73544703" </w:instrText>
          </w:r>
          <w:r>
            <w:rPr>
              <w:highlight w:val="none"/>
            </w:rPr>
            <w:fldChar w:fldCharType="separate"/>
          </w:r>
          <w:r>
            <w:rPr>
              <w:rStyle w:val="24"/>
              <w:rFonts w:hint="eastAsia" w:ascii="仿宋_GB2312" w:eastAsia="仿宋_GB2312"/>
              <w:b w:val="0"/>
              <w:sz w:val="24"/>
              <w:szCs w:val="24"/>
              <w:highlight w:val="none"/>
            </w:rPr>
            <w:t>2.1主要工程内容</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_Toc73544703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3</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"_Toc73544704" </w:instrText>
          </w:r>
          <w:r>
            <w:rPr>
              <w:highlight w:val="none"/>
            </w:rPr>
            <w:fldChar w:fldCharType="separate"/>
          </w:r>
          <w:r>
            <w:rPr>
              <w:rStyle w:val="24"/>
              <w:rFonts w:hint="eastAsia" w:ascii="仿宋_GB2312" w:eastAsia="仿宋_GB2312"/>
              <w:b w:val="0"/>
              <w:sz w:val="24"/>
              <w:szCs w:val="24"/>
              <w:highlight w:val="none"/>
            </w:rPr>
            <w:t>2.2设备/材料选用标准</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_Toc73544704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5</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"_Toc73544705" </w:instrText>
          </w:r>
          <w:r>
            <w:rPr>
              <w:highlight w:val="none"/>
            </w:rPr>
            <w:fldChar w:fldCharType="separate"/>
          </w:r>
          <w:r>
            <w:rPr>
              <w:rStyle w:val="24"/>
              <w:rFonts w:hint="eastAsia" w:ascii="仿宋_GB2312" w:eastAsia="仿宋_GB2312"/>
              <w:b w:val="0"/>
              <w:highlight w:val="none"/>
            </w:rPr>
            <w:t>3.</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工程技术要求</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_Toc73544705 \h </w:instrText>
          </w:r>
          <w:r>
            <w:rPr>
              <w:rFonts w:hint="eastAsia" w:ascii="仿宋_GB2312" w:eastAsia="仿宋_GB2312"/>
              <w:b w:val="0"/>
              <w:highlight w:val="none"/>
            </w:rPr>
            <w:fldChar w:fldCharType="separate"/>
          </w:r>
          <w:r>
            <w:rPr>
              <w:rFonts w:hint="eastAsia" w:ascii="仿宋_GB2312" w:eastAsia="仿宋_GB2312"/>
              <w:b w:val="0"/>
              <w:highlight w:val="none"/>
            </w:rPr>
            <w:t>6</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"_Toc73544706" </w:instrText>
          </w:r>
          <w:r>
            <w:rPr>
              <w:highlight w:val="none"/>
            </w:rPr>
            <w:fldChar w:fldCharType="separate"/>
          </w:r>
          <w:r>
            <w:rPr>
              <w:rStyle w:val="24"/>
              <w:rFonts w:hint="eastAsia" w:ascii="仿宋_GB2312" w:eastAsia="仿宋_GB2312"/>
              <w:b w:val="0"/>
              <w:sz w:val="24"/>
              <w:szCs w:val="24"/>
              <w:highlight w:val="none"/>
            </w:rPr>
            <w:t>3.1技术标准和要求</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_Toc73544706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6</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"_Toc73544707" </w:instrText>
          </w:r>
          <w:r>
            <w:rPr>
              <w:highlight w:val="none"/>
            </w:rPr>
            <w:fldChar w:fldCharType="separate"/>
          </w:r>
          <w:r>
            <w:rPr>
              <w:rStyle w:val="24"/>
              <w:rFonts w:hint="eastAsia" w:ascii="仿宋_GB2312" w:hAnsi="宋体" w:eastAsia="仿宋_GB2312" w:cs="仿宋_GB2312"/>
              <w:b w:val="0"/>
              <w:sz w:val="24"/>
              <w:szCs w:val="24"/>
              <w:highlight w:val="none"/>
              <w:shd w:val="clear" w:color="050000" w:fill="auto"/>
            </w:rPr>
            <w:t>3.2执行参考标准</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_Toc73544707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10</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"_Toc73544708" </w:instrText>
          </w:r>
          <w:r>
            <w:rPr>
              <w:highlight w:val="none"/>
            </w:rPr>
            <w:fldChar w:fldCharType="separate"/>
          </w:r>
          <w:r>
            <w:rPr>
              <w:rStyle w:val="24"/>
              <w:rFonts w:hint="eastAsia" w:ascii="仿宋_GB2312" w:eastAsia="仿宋_GB2312"/>
              <w:b w:val="0"/>
              <w:highlight w:val="none"/>
            </w:rPr>
            <w:t>4.</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工程量清单</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_Toc73544708 \h </w:instrText>
          </w:r>
          <w:r>
            <w:rPr>
              <w:rFonts w:hint="eastAsia" w:ascii="仿宋_GB2312" w:eastAsia="仿宋_GB2312"/>
              <w:b w:val="0"/>
              <w:highlight w:val="none"/>
            </w:rPr>
            <w:fldChar w:fldCharType="separate"/>
          </w:r>
          <w:r>
            <w:rPr>
              <w:rFonts w:hint="eastAsia" w:ascii="仿宋_GB2312" w:eastAsia="仿宋_GB2312"/>
              <w:b w:val="0"/>
              <w:highlight w:val="none"/>
            </w:rPr>
            <w:t>11</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"_Toc73544710" </w:instrText>
          </w:r>
          <w:r>
            <w:rPr>
              <w:highlight w:val="none"/>
            </w:rPr>
            <w:fldChar w:fldCharType="separate"/>
          </w:r>
          <w:r>
            <w:rPr>
              <w:rStyle w:val="24"/>
              <w:rFonts w:hint="eastAsia" w:ascii="仿宋_GB2312" w:eastAsia="仿宋_GB2312"/>
              <w:b w:val="0"/>
              <w:highlight w:val="none"/>
            </w:rPr>
            <w:t>5.</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施工管理</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_Toc73544710 \h </w:instrText>
          </w:r>
          <w:r>
            <w:rPr>
              <w:rFonts w:hint="eastAsia" w:ascii="仿宋_GB2312" w:eastAsia="仿宋_GB2312"/>
              <w:b w:val="0"/>
              <w:highlight w:val="none"/>
            </w:rPr>
            <w:fldChar w:fldCharType="separate"/>
          </w:r>
          <w:r>
            <w:rPr>
              <w:rFonts w:hint="eastAsia" w:ascii="仿宋_GB2312" w:eastAsia="仿宋_GB2312"/>
              <w:b w:val="0"/>
              <w:highlight w:val="none"/>
            </w:rPr>
            <w:t>15</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"_Toc73544711" </w:instrText>
          </w:r>
          <w:r>
            <w:rPr>
              <w:highlight w:val="none"/>
            </w:rPr>
            <w:fldChar w:fldCharType="separate"/>
          </w:r>
          <w:r>
            <w:rPr>
              <w:rStyle w:val="24"/>
              <w:rFonts w:hint="eastAsia" w:ascii="仿宋_GB2312" w:eastAsia="仿宋_GB2312"/>
              <w:b w:val="0"/>
              <w:sz w:val="24"/>
              <w:szCs w:val="24"/>
              <w:highlight w:val="none"/>
            </w:rPr>
            <w:t>5.1一般要求</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_Toc73544711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15</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"_Toc73544712" </w:instrText>
          </w:r>
          <w:r>
            <w:rPr>
              <w:highlight w:val="none"/>
            </w:rPr>
            <w:fldChar w:fldCharType="separate"/>
          </w:r>
          <w:r>
            <w:rPr>
              <w:rStyle w:val="24"/>
              <w:rFonts w:hint="eastAsia" w:ascii="仿宋_GB2312" w:eastAsia="仿宋_GB2312"/>
              <w:b w:val="0"/>
              <w:sz w:val="24"/>
              <w:szCs w:val="24"/>
              <w:highlight w:val="none"/>
            </w:rPr>
            <w:t>5.2安全文明生产</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_Toc73544712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15</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"_Toc73544713" </w:instrText>
          </w:r>
          <w:r>
            <w:rPr>
              <w:highlight w:val="none"/>
            </w:rPr>
            <w:fldChar w:fldCharType="separate"/>
          </w:r>
          <w:r>
            <w:rPr>
              <w:rStyle w:val="24"/>
              <w:rFonts w:hint="eastAsia" w:ascii="仿宋_GB2312" w:eastAsia="仿宋_GB2312"/>
              <w:b w:val="0"/>
              <w:sz w:val="24"/>
              <w:szCs w:val="24"/>
              <w:highlight w:val="none"/>
            </w:rPr>
            <w:t>5.3项目组织机构及人员要求</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_Toc73544713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16</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"_Toc73544714" </w:instrText>
          </w:r>
          <w:r>
            <w:rPr>
              <w:highlight w:val="none"/>
            </w:rPr>
            <w:fldChar w:fldCharType="separate"/>
          </w:r>
          <w:r>
            <w:rPr>
              <w:rStyle w:val="24"/>
              <w:rFonts w:hint="eastAsia" w:ascii="仿宋_GB2312" w:eastAsia="仿宋_GB2312"/>
              <w:b w:val="0"/>
              <w:sz w:val="24"/>
              <w:szCs w:val="24"/>
              <w:highlight w:val="none"/>
            </w:rPr>
            <w:t>5.4施工准备</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_Toc73544714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17</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"_Toc73544715" </w:instrText>
          </w:r>
          <w:r>
            <w:rPr>
              <w:highlight w:val="none"/>
            </w:rPr>
            <w:fldChar w:fldCharType="separate"/>
          </w:r>
          <w:r>
            <w:rPr>
              <w:rStyle w:val="24"/>
              <w:rFonts w:hint="eastAsia" w:ascii="仿宋_GB2312" w:eastAsia="仿宋_GB2312"/>
              <w:b w:val="0"/>
              <w:sz w:val="24"/>
              <w:szCs w:val="24"/>
              <w:highlight w:val="none"/>
            </w:rPr>
            <w:t>5.5工期及进度管理</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_Toc73544715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17</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"_Toc73544716" </w:instrText>
          </w:r>
          <w:r>
            <w:rPr>
              <w:highlight w:val="none"/>
            </w:rPr>
            <w:fldChar w:fldCharType="separate"/>
          </w:r>
          <w:r>
            <w:rPr>
              <w:rStyle w:val="24"/>
              <w:rFonts w:hint="eastAsia" w:ascii="仿宋_GB2312" w:eastAsia="仿宋_GB2312"/>
              <w:b w:val="0"/>
              <w:sz w:val="24"/>
              <w:szCs w:val="24"/>
              <w:highlight w:val="none"/>
            </w:rPr>
            <w:t>5.6成品保护</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_Toc73544716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17</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"_Toc73544717" </w:instrText>
          </w:r>
          <w:r>
            <w:rPr>
              <w:highlight w:val="none"/>
            </w:rPr>
            <w:fldChar w:fldCharType="separate"/>
          </w:r>
          <w:r>
            <w:rPr>
              <w:rStyle w:val="24"/>
              <w:rFonts w:hint="eastAsia" w:ascii="仿宋_GB2312" w:eastAsia="仿宋_GB2312"/>
              <w:b w:val="0"/>
              <w:highlight w:val="none"/>
            </w:rPr>
            <w:t>6.</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工程验收与交付</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_Toc73544717 \h </w:instrText>
          </w:r>
          <w:r>
            <w:rPr>
              <w:rFonts w:hint="eastAsia" w:ascii="仿宋_GB2312" w:eastAsia="仿宋_GB2312"/>
              <w:b w:val="0"/>
              <w:highlight w:val="none"/>
            </w:rPr>
            <w:fldChar w:fldCharType="separate"/>
          </w:r>
          <w:r>
            <w:rPr>
              <w:rFonts w:hint="eastAsia" w:ascii="仿宋_GB2312" w:eastAsia="仿宋_GB2312"/>
              <w:b w:val="0"/>
              <w:highlight w:val="none"/>
            </w:rPr>
            <w:t>17</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"_Toc73544718" </w:instrText>
          </w:r>
          <w:r>
            <w:rPr>
              <w:highlight w:val="none"/>
            </w:rPr>
            <w:fldChar w:fldCharType="separate"/>
          </w:r>
          <w:r>
            <w:rPr>
              <w:rStyle w:val="24"/>
              <w:rFonts w:hint="eastAsia" w:ascii="仿宋_GB2312" w:eastAsia="仿宋_GB2312"/>
              <w:b w:val="0"/>
              <w:sz w:val="24"/>
              <w:szCs w:val="24"/>
              <w:highlight w:val="none"/>
            </w:rPr>
            <w:t>6.1验收标准</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_Toc73544718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17</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"_Toc73544719" </w:instrText>
          </w:r>
          <w:r>
            <w:rPr>
              <w:highlight w:val="none"/>
            </w:rPr>
            <w:fldChar w:fldCharType="separate"/>
          </w:r>
          <w:r>
            <w:rPr>
              <w:rStyle w:val="24"/>
              <w:rFonts w:hint="eastAsia" w:ascii="仿宋_GB2312" w:eastAsia="仿宋_GB2312"/>
              <w:b w:val="0"/>
              <w:sz w:val="24"/>
              <w:szCs w:val="24"/>
              <w:highlight w:val="none"/>
            </w:rPr>
            <w:t>6.2验收程序</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_Toc73544719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18</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4"/>
            <w:tabs>
              <w:tab w:val="left" w:pos="480"/>
              <w:tab w:val="right" w:leader="dot" w:pos="8948"/>
            </w:tabs>
            <w:spacing w:before="0" w:line="240" w:lineRule="auto"/>
            <w:rPr>
              <w:rFonts w:ascii="仿宋_GB2312" w:eastAsia="仿宋_GB2312" w:hAnsiTheme="minorHAnsi" w:cstheme="minorBidi"/>
              <w:b w:val="0"/>
              <w:bCs w:val="0"/>
              <w:caps w:val="0"/>
              <w:highlight w:val="none"/>
            </w:rPr>
          </w:pPr>
          <w:r>
            <w:rPr>
              <w:highlight w:val="none"/>
            </w:rPr>
            <w:fldChar w:fldCharType="begin"/>
          </w:r>
          <w:r>
            <w:rPr>
              <w:highlight w:val="none"/>
            </w:rPr>
            <w:instrText xml:space="preserve"> HYPERLINK \l "_Toc73544720" </w:instrText>
          </w:r>
          <w:r>
            <w:rPr>
              <w:highlight w:val="none"/>
            </w:rPr>
            <w:fldChar w:fldCharType="separate"/>
          </w:r>
          <w:r>
            <w:rPr>
              <w:rStyle w:val="24"/>
              <w:rFonts w:hint="eastAsia" w:ascii="仿宋_GB2312" w:eastAsia="仿宋_GB2312"/>
              <w:b w:val="0"/>
              <w:highlight w:val="none"/>
            </w:rPr>
            <w:t>7.</w:t>
          </w:r>
          <w:r>
            <w:rPr>
              <w:rFonts w:hint="eastAsia" w:ascii="仿宋_GB2312" w:eastAsia="仿宋_GB2312" w:hAnsiTheme="minorHAnsi" w:cstheme="minorBidi"/>
              <w:b w:val="0"/>
              <w:bCs w:val="0"/>
              <w:caps w:val="0"/>
              <w:highlight w:val="none"/>
            </w:rPr>
            <w:tab/>
          </w:r>
          <w:r>
            <w:rPr>
              <w:rStyle w:val="24"/>
              <w:rFonts w:hint="eastAsia" w:ascii="仿宋_GB2312" w:eastAsia="仿宋_GB2312"/>
              <w:b w:val="0"/>
              <w:highlight w:val="none"/>
            </w:rPr>
            <w:t>质保期服务</w:t>
          </w:r>
          <w:r>
            <w:rPr>
              <w:rFonts w:hint="eastAsia" w:ascii="仿宋_GB2312" w:eastAsia="仿宋_GB2312"/>
              <w:b w:val="0"/>
              <w:highlight w:val="none"/>
            </w:rPr>
            <w:tab/>
          </w:r>
          <w:r>
            <w:rPr>
              <w:rFonts w:hint="eastAsia" w:ascii="仿宋_GB2312" w:eastAsia="仿宋_GB2312"/>
              <w:b w:val="0"/>
              <w:highlight w:val="none"/>
            </w:rPr>
            <w:fldChar w:fldCharType="begin"/>
          </w:r>
          <w:r>
            <w:rPr>
              <w:rFonts w:hint="eastAsia" w:ascii="仿宋_GB2312" w:eastAsia="仿宋_GB2312"/>
              <w:b w:val="0"/>
              <w:highlight w:val="none"/>
            </w:rPr>
            <w:instrText xml:space="preserve"> PAGEREF _Toc73544720 \h </w:instrText>
          </w:r>
          <w:r>
            <w:rPr>
              <w:rFonts w:hint="eastAsia" w:ascii="仿宋_GB2312" w:eastAsia="仿宋_GB2312"/>
              <w:b w:val="0"/>
              <w:highlight w:val="none"/>
            </w:rPr>
            <w:fldChar w:fldCharType="separate"/>
          </w:r>
          <w:r>
            <w:rPr>
              <w:rFonts w:hint="eastAsia" w:ascii="仿宋_GB2312" w:eastAsia="仿宋_GB2312"/>
              <w:b w:val="0"/>
              <w:highlight w:val="none"/>
            </w:rPr>
            <w:t>18</w:t>
          </w:r>
          <w:r>
            <w:rPr>
              <w:rFonts w:hint="eastAsia" w:ascii="仿宋_GB2312" w:eastAsia="仿宋_GB2312"/>
              <w:b w:val="0"/>
              <w:highlight w:val="none"/>
            </w:rPr>
            <w:fldChar w:fldCharType="end"/>
          </w:r>
          <w:r>
            <w:rPr>
              <w:rFonts w:hint="eastAsia" w:ascii="仿宋_GB2312" w:eastAsia="仿宋_GB2312"/>
              <w:b w:val="0"/>
              <w:highlight w:val="none"/>
            </w:rPr>
            <w:fldChar w:fldCharType="end"/>
          </w:r>
        </w:p>
        <w:p>
          <w:pPr>
            <w:pStyle w:val="17"/>
            <w:tabs>
              <w:tab w:val="right" w:leader="dot" w:pos="8948"/>
            </w:tabs>
            <w:spacing w:before="0" w:line="240" w:lineRule="auto"/>
            <w:rPr>
              <w:rFonts w:ascii="仿宋_GB2312" w:eastAsia="仿宋_GB2312" w:cstheme="minorBidi"/>
              <w:b w:val="0"/>
              <w:bCs w:val="0"/>
              <w:sz w:val="24"/>
              <w:szCs w:val="24"/>
              <w:highlight w:val="none"/>
            </w:rPr>
          </w:pPr>
          <w:r>
            <w:rPr>
              <w:highlight w:val="none"/>
            </w:rPr>
            <w:fldChar w:fldCharType="begin"/>
          </w:r>
          <w:r>
            <w:rPr>
              <w:highlight w:val="none"/>
            </w:rPr>
            <w:instrText xml:space="preserve"> HYPERLINK \l "_Toc73544721" </w:instrText>
          </w:r>
          <w:r>
            <w:rPr>
              <w:highlight w:val="none"/>
            </w:rPr>
            <w:fldChar w:fldCharType="separate"/>
          </w:r>
          <w:r>
            <w:rPr>
              <w:rStyle w:val="24"/>
              <w:rFonts w:hint="eastAsia" w:ascii="仿宋_GB2312" w:eastAsia="仿宋_GB2312"/>
              <w:b w:val="0"/>
              <w:sz w:val="24"/>
              <w:szCs w:val="24"/>
              <w:highlight w:val="none"/>
            </w:rPr>
            <w:t>7.1 质保期</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_Toc73544721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18</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pStyle w:val="17"/>
            <w:tabs>
              <w:tab w:val="right" w:leader="dot" w:pos="8948"/>
            </w:tabs>
            <w:spacing w:before="0" w:line="240" w:lineRule="auto"/>
            <w:rPr>
              <w:rFonts w:eastAsiaTheme="minorEastAsia" w:cstheme="minorBidi"/>
              <w:b w:val="0"/>
              <w:bCs w:val="0"/>
              <w:sz w:val="21"/>
              <w:szCs w:val="22"/>
              <w:highlight w:val="none"/>
            </w:rPr>
          </w:pPr>
          <w:r>
            <w:rPr>
              <w:highlight w:val="none"/>
            </w:rPr>
            <w:fldChar w:fldCharType="begin"/>
          </w:r>
          <w:r>
            <w:rPr>
              <w:highlight w:val="none"/>
            </w:rPr>
            <w:instrText xml:space="preserve"> HYPERLINK \l "_Toc73544722" </w:instrText>
          </w:r>
          <w:r>
            <w:rPr>
              <w:highlight w:val="none"/>
            </w:rPr>
            <w:fldChar w:fldCharType="separate"/>
          </w:r>
          <w:r>
            <w:rPr>
              <w:rStyle w:val="24"/>
              <w:rFonts w:hint="eastAsia" w:ascii="仿宋_GB2312" w:eastAsia="仿宋_GB2312"/>
              <w:b w:val="0"/>
              <w:sz w:val="24"/>
              <w:szCs w:val="24"/>
              <w:highlight w:val="none"/>
            </w:rPr>
            <w:t>7.2 质保期的要求</w:t>
          </w:r>
          <w:r>
            <w:rPr>
              <w:rFonts w:hint="eastAsia" w:ascii="仿宋_GB2312" w:eastAsia="仿宋_GB2312"/>
              <w:b w:val="0"/>
              <w:sz w:val="24"/>
              <w:szCs w:val="24"/>
              <w:highlight w:val="none"/>
            </w:rPr>
            <w:tab/>
          </w:r>
          <w:r>
            <w:rPr>
              <w:rFonts w:hint="eastAsia" w:ascii="仿宋_GB2312" w:eastAsia="仿宋_GB2312"/>
              <w:b w:val="0"/>
              <w:sz w:val="24"/>
              <w:szCs w:val="24"/>
              <w:highlight w:val="none"/>
            </w:rPr>
            <w:fldChar w:fldCharType="begin"/>
          </w:r>
          <w:r>
            <w:rPr>
              <w:rFonts w:hint="eastAsia" w:ascii="仿宋_GB2312" w:eastAsia="仿宋_GB2312"/>
              <w:b w:val="0"/>
              <w:sz w:val="24"/>
              <w:szCs w:val="24"/>
              <w:highlight w:val="none"/>
            </w:rPr>
            <w:instrText xml:space="preserve"> PAGEREF _Toc73544722 \h </w:instrText>
          </w:r>
          <w:r>
            <w:rPr>
              <w:rFonts w:hint="eastAsia" w:ascii="仿宋_GB2312" w:eastAsia="仿宋_GB2312"/>
              <w:b w:val="0"/>
              <w:sz w:val="24"/>
              <w:szCs w:val="24"/>
              <w:highlight w:val="none"/>
            </w:rPr>
            <w:fldChar w:fldCharType="separate"/>
          </w:r>
          <w:r>
            <w:rPr>
              <w:rFonts w:hint="eastAsia" w:ascii="仿宋_GB2312" w:eastAsia="仿宋_GB2312"/>
              <w:b w:val="0"/>
              <w:sz w:val="24"/>
              <w:szCs w:val="24"/>
              <w:highlight w:val="none"/>
            </w:rPr>
            <w:t>18</w:t>
          </w:r>
          <w:r>
            <w:rPr>
              <w:rFonts w:hint="eastAsia" w:ascii="仿宋_GB2312" w:eastAsia="仿宋_GB2312"/>
              <w:b w:val="0"/>
              <w:sz w:val="24"/>
              <w:szCs w:val="24"/>
              <w:highlight w:val="none"/>
            </w:rPr>
            <w:fldChar w:fldCharType="end"/>
          </w:r>
          <w:r>
            <w:rPr>
              <w:rFonts w:hint="eastAsia" w:ascii="仿宋_GB2312" w:eastAsia="仿宋_GB2312"/>
              <w:b w:val="0"/>
              <w:sz w:val="24"/>
              <w:szCs w:val="24"/>
              <w:highlight w:val="none"/>
            </w:rPr>
            <w:fldChar w:fldCharType="end"/>
          </w:r>
        </w:p>
        <w:p>
          <w:pPr>
            <w:rPr>
              <w:rFonts w:ascii="仿宋_GB2312" w:eastAsia="仿宋_GB2312" w:hAnsiTheme="minorEastAsia"/>
              <w:szCs w:val="24"/>
              <w:highlight w:val="none"/>
            </w:rPr>
          </w:pPr>
          <w:r>
            <w:rPr>
              <w:rFonts w:hint="eastAsia" w:ascii="仿宋_GB2312" w:eastAsia="仿宋_GB2312" w:hAnsiTheme="minorEastAsia"/>
              <w:bCs/>
              <w:caps/>
              <w:szCs w:val="24"/>
              <w:highlight w:val="none"/>
            </w:rPr>
            <w:fldChar w:fldCharType="end"/>
          </w:r>
        </w:p>
      </w:sdtContent>
    </w:sdt>
    <w:p>
      <w:pPr>
        <w:ind w:firstLine="482" w:firstLineChars="200"/>
        <w:jc w:val="center"/>
        <w:rPr>
          <w:rFonts w:ascii="仿宋_GB2312" w:hAnsi="宋体" w:eastAsia="仿宋_GB2312"/>
          <w:b/>
          <w:szCs w:val="24"/>
          <w:highlight w:val="none"/>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tabs>
          <w:tab w:val="left" w:pos="1440"/>
        </w:tabs>
        <w:ind w:left="494" w:leftChars="206" w:right="864" w:rightChars="360" w:firstLine="480" w:firstLineChars="200"/>
        <w:jc w:val="left"/>
        <w:rPr>
          <w:rFonts w:ascii="仿宋_GB2312" w:hAnsi="宋体" w:eastAsia="仿宋_GB2312"/>
          <w:szCs w:val="24"/>
          <w:highlight w:val="none"/>
          <w:shd w:val="clear" w:color="060000" w:fill="auto"/>
        </w:rPr>
      </w:pPr>
    </w:p>
    <w:p>
      <w:pPr>
        <w:pStyle w:val="2"/>
        <w:numPr>
          <w:ilvl w:val="0"/>
          <w:numId w:val="1"/>
        </w:numPr>
        <w:ind w:left="0" w:firstLine="0"/>
        <w:rPr>
          <w:rFonts w:ascii="仿宋_GB2312" w:eastAsia="仿宋_GB2312"/>
          <w:highlight w:val="none"/>
        </w:rPr>
      </w:pPr>
      <w:bookmarkStart w:id="0" w:name="_Toc73544697"/>
      <w:bookmarkStart w:id="1" w:name="_Toc536513578"/>
      <w:bookmarkStart w:id="2" w:name="_Toc2196737"/>
      <w:bookmarkStart w:id="3" w:name="_Toc54860649"/>
      <w:r>
        <w:rPr>
          <w:rFonts w:hint="eastAsia" w:ascii="仿宋_GB2312" w:eastAsia="仿宋_GB2312"/>
          <w:highlight w:val="none"/>
        </w:rPr>
        <w:t>总体</w:t>
      </w:r>
      <w:bookmarkEnd w:id="0"/>
      <w:bookmarkEnd w:id="1"/>
      <w:bookmarkEnd w:id="2"/>
      <w:bookmarkEnd w:id="3"/>
    </w:p>
    <w:p>
      <w:pPr>
        <w:pStyle w:val="3"/>
        <w:numPr>
          <w:ilvl w:val="1"/>
          <w:numId w:val="2"/>
        </w:numPr>
        <w:ind w:left="0" w:firstLine="0"/>
        <w:rPr>
          <w:rFonts w:ascii="仿宋_GB2312" w:eastAsia="仿宋_GB2312"/>
          <w:sz w:val="24"/>
          <w:highlight w:val="none"/>
        </w:rPr>
      </w:pPr>
      <w:bookmarkStart w:id="4" w:name="_Toc536513579"/>
      <w:bookmarkStart w:id="5" w:name="_Toc2196738"/>
      <w:bookmarkStart w:id="6" w:name="_Toc54860650"/>
      <w:bookmarkStart w:id="7" w:name="_Toc73544698"/>
      <w:r>
        <w:rPr>
          <w:rFonts w:hint="eastAsia" w:ascii="仿宋_GB2312" w:eastAsia="仿宋_GB2312"/>
          <w:sz w:val="24"/>
          <w:highlight w:val="none"/>
        </w:rPr>
        <w:t>项目说明</w:t>
      </w:r>
      <w:bookmarkEnd w:id="4"/>
      <w:bookmarkEnd w:id="5"/>
      <w:bookmarkEnd w:id="6"/>
      <w:bookmarkEnd w:id="7"/>
    </w:p>
    <w:p>
      <w:pPr>
        <w:jc w:val="left"/>
        <w:rPr>
          <w:rFonts w:hint="eastAsia"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1.1.1本用户需求书适用于长沙市轨道交通</w:t>
      </w:r>
      <w:r>
        <w:rPr>
          <w:rFonts w:hint="eastAsia" w:ascii="仿宋_GB2312" w:hAnsi="宋体" w:eastAsia="仿宋_GB2312" w:cs="仿宋_GB2312"/>
          <w:szCs w:val="24"/>
          <w:highlight w:val="none"/>
          <w:shd w:val="clear" w:color="050000" w:fill="auto"/>
          <w:lang w:val="en-US" w:eastAsia="zh-CN"/>
        </w:rPr>
        <w:t>5</w:t>
      </w:r>
      <w:r>
        <w:rPr>
          <w:rFonts w:hint="eastAsia" w:ascii="仿宋_GB2312" w:hAnsi="宋体" w:eastAsia="仿宋_GB2312" w:cs="仿宋_GB2312"/>
          <w:szCs w:val="24"/>
          <w:highlight w:val="none"/>
          <w:shd w:val="clear" w:color="050000" w:fill="auto"/>
        </w:rPr>
        <w:t>号线运营期全线车站公共区、设备区、轨行区、车辆段遗留问题整改项目施工及管理。</w:t>
      </w:r>
    </w:p>
    <w:p>
      <w:pPr>
        <w:jc w:val="left"/>
        <w:rPr>
          <w:rFonts w:hint="eastAsia"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1.1.2本用户需求书并未充分引述有关标准和规范的条文，提出的是最低限度的技术要求，谈判单位应提供符合本需求书和工业制造标准的优质产品。</w:t>
      </w:r>
    </w:p>
    <w:p>
      <w:pPr>
        <w:jc w:val="left"/>
        <w:rPr>
          <w:rFonts w:hint="eastAsia"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1.1.3本需求书所使用的标准如与谈判单位所执行的标准不一致时，谈判单位可以采用相应的国际标准替代，但谈判单位应确认替代标准不低于需求书所列标准，并在响应文件中加以说明。</w:t>
      </w:r>
    </w:p>
    <w:p>
      <w:pPr>
        <w:pStyle w:val="3"/>
        <w:numPr>
          <w:ilvl w:val="1"/>
          <w:numId w:val="2"/>
        </w:numPr>
        <w:ind w:left="0" w:firstLine="0"/>
        <w:rPr>
          <w:rFonts w:ascii="仿宋_GB2312" w:eastAsia="仿宋_GB2312"/>
          <w:sz w:val="24"/>
          <w:highlight w:val="none"/>
        </w:rPr>
      </w:pPr>
      <w:bookmarkStart w:id="8" w:name="_Toc536513580"/>
      <w:bookmarkStart w:id="9" w:name="_Toc2196739"/>
      <w:bookmarkStart w:id="10" w:name="_Toc73544699"/>
      <w:bookmarkStart w:id="11" w:name="_Toc54860651"/>
      <w:r>
        <w:rPr>
          <w:rFonts w:hint="eastAsia" w:ascii="仿宋_GB2312" w:eastAsia="仿宋_GB2312"/>
          <w:sz w:val="24"/>
          <w:highlight w:val="none"/>
        </w:rPr>
        <w:t>工程概况</w:t>
      </w:r>
      <w:bookmarkEnd w:id="8"/>
      <w:bookmarkEnd w:id="9"/>
      <w:bookmarkEnd w:id="10"/>
      <w:bookmarkEnd w:id="11"/>
    </w:p>
    <w:p>
      <w:pPr>
        <w:ind w:firstLine="480" w:firstLineChars="200"/>
        <w:jc w:val="left"/>
        <w:rPr>
          <w:rFonts w:ascii="仿宋_GB2312" w:hAnsi="宋体" w:eastAsia="仿宋_GB2312" w:cs="仿宋_GB2312"/>
          <w:bCs/>
          <w:szCs w:val="24"/>
          <w:highlight w:val="none"/>
        </w:rPr>
      </w:pPr>
      <w:bookmarkStart w:id="12" w:name="_Toc2196740"/>
      <w:bookmarkStart w:id="13" w:name="_Toc536513581"/>
      <w:bookmarkStart w:id="14" w:name="_Toc54860652"/>
      <w:r>
        <w:rPr>
          <w:rFonts w:hint="eastAsia" w:ascii="仿宋_GB2312" w:hAnsi="宋体" w:eastAsia="仿宋_GB2312" w:cs="仿宋_GB2312"/>
          <w:bCs/>
          <w:szCs w:val="24"/>
          <w:highlight w:val="none"/>
        </w:rPr>
        <w:t>本项目拟对</w:t>
      </w:r>
      <w:r>
        <w:rPr>
          <w:rFonts w:hint="eastAsia" w:ascii="仿宋_GB2312" w:hAnsi="宋体" w:eastAsia="仿宋_GB2312" w:cs="仿宋_GB2312"/>
          <w:szCs w:val="24"/>
          <w:highlight w:val="none"/>
        </w:rPr>
        <w:t>长沙市轨道交通</w:t>
      </w:r>
      <w:r>
        <w:rPr>
          <w:rFonts w:hint="eastAsia" w:ascii="仿宋_GB2312" w:hAnsi="宋体" w:eastAsia="仿宋_GB2312" w:cs="仿宋_GB2312"/>
          <w:szCs w:val="24"/>
          <w:highlight w:val="none"/>
          <w:lang w:val="en-US" w:eastAsia="zh-CN"/>
        </w:rPr>
        <w:t>5</w:t>
      </w:r>
      <w:r>
        <w:rPr>
          <w:rFonts w:hint="eastAsia" w:ascii="仿宋_GB2312" w:hAnsi="宋体" w:eastAsia="仿宋_GB2312" w:cs="仿宋_GB2312"/>
          <w:szCs w:val="24"/>
          <w:highlight w:val="none"/>
        </w:rPr>
        <w:t>号线全线</w:t>
      </w:r>
      <w:r>
        <w:rPr>
          <w:rFonts w:hint="eastAsia" w:ascii="仿宋_GB2312" w:hAnsi="宋体" w:eastAsia="仿宋_GB2312" w:cs="仿宋_GB2312"/>
          <w:bCs/>
          <w:szCs w:val="24"/>
          <w:highlight w:val="none"/>
        </w:rPr>
        <w:t>车站公共区、设备区、轨行区、车辆段的机电安装工程遗留问题（</w:t>
      </w:r>
      <w:r>
        <w:rPr>
          <w:rFonts w:hint="eastAsia" w:ascii="仿宋_GB2312" w:hAnsi="宋体" w:eastAsia="仿宋_GB2312" w:cs="仿宋_GB2312"/>
          <w:color w:val="auto"/>
          <w:szCs w:val="24"/>
          <w:highlight w:val="none"/>
        </w:rPr>
        <w:t>如</w:t>
      </w:r>
      <w:r>
        <w:rPr>
          <w:rFonts w:hint="eastAsia" w:ascii="仿宋_GB2312" w:hAnsi="宋体" w:eastAsia="仿宋_GB2312" w:cs="仿宋_GB2312"/>
          <w:color w:val="auto"/>
          <w:szCs w:val="24"/>
          <w:highlight w:val="none"/>
          <w:lang w:val="en-US" w:eastAsia="zh-CN"/>
        </w:rPr>
        <w:t>消防电源模块安装</w:t>
      </w:r>
      <w:r>
        <w:rPr>
          <w:rFonts w:hint="eastAsia" w:ascii="仿宋_GB2312" w:hAnsi="宋体" w:eastAsia="仿宋_GB2312" w:cs="仿宋_GB2312"/>
          <w:color w:val="auto"/>
          <w:szCs w:val="24"/>
          <w:highlight w:val="none"/>
        </w:rPr>
        <w:t>、冷凝水管整改、保温棉整改、</w:t>
      </w:r>
      <w:r>
        <w:rPr>
          <w:rFonts w:hint="eastAsia" w:ascii="仿宋_GB2312" w:hAnsi="宋体" w:eastAsia="仿宋_GB2312" w:cs="仿宋_GB2312"/>
          <w:color w:val="auto"/>
          <w:szCs w:val="24"/>
          <w:highlight w:val="none"/>
          <w:lang w:eastAsia="zh-CN"/>
        </w:rPr>
        <w:t>潜污泵</w:t>
      </w:r>
      <w:r>
        <w:rPr>
          <w:rFonts w:hint="eastAsia" w:ascii="仿宋_GB2312" w:hAnsi="宋体" w:eastAsia="仿宋_GB2312" w:cs="仿宋_GB2312"/>
          <w:color w:val="auto"/>
          <w:szCs w:val="24"/>
          <w:highlight w:val="none"/>
        </w:rPr>
        <w:t>整改、</w:t>
      </w:r>
      <w:r>
        <w:rPr>
          <w:rFonts w:hint="eastAsia" w:ascii="仿宋_GB2312" w:hAnsi="宋体" w:eastAsia="仿宋_GB2312" w:cs="仿宋_GB2312"/>
          <w:color w:val="auto"/>
          <w:szCs w:val="24"/>
          <w:highlight w:val="none"/>
          <w:lang w:val="en-US" w:eastAsia="zh-CN"/>
        </w:rPr>
        <w:t>风管整改、风口整改</w:t>
      </w:r>
      <w:r>
        <w:rPr>
          <w:rFonts w:hint="eastAsia" w:ascii="仿宋_GB2312" w:hAnsi="宋体" w:eastAsia="仿宋_GB2312" w:cs="仿宋_GB2312"/>
          <w:color w:val="auto"/>
          <w:szCs w:val="24"/>
          <w:highlight w:val="none"/>
        </w:rPr>
        <w:t>等</w:t>
      </w:r>
      <w:r>
        <w:rPr>
          <w:rFonts w:hint="eastAsia" w:ascii="仿宋_GB2312" w:hAnsi="宋体" w:eastAsia="仿宋_GB2312" w:cs="仿宋_GB2312"/>
          <w:bCs/>
          <w:szCs w:val="24"/>
          <w:highlight w:val="none"/>
        </w:rPr>
        <w:t>）进行</w:t>
      </w:r>
      <w:r>
        <w:rPr>
          <w:rFonts w:ascii="仿宋_GB2312" w:hAnsi="宋体" w:eastAsia="仿宋_GB2312" w:cs="仿宋_GB2312"/>
          <w:bCs/>
          <w:szCs w:val="24"/>
          <w:highlight w:val="none"/>
        </w:rPr>
        <w:t>整改</w:t>
      </w:r>
      <w:r>
        <w:rPr>
          <w:rFonts w:hint="eastAsia" w:ascii="仿宋_GB2312" w:hAnsi="宋体" w:eastAsia="仿宋_GB2312" w:cs="仿宋_GB2312"/>
          <w:szCs w:val="24"/>
          <w:highlight w:val="none"/>
          <w:shd w:val="clear" w:color="050000" w:fill="auto"/>
        </w:rPr>
        <w:t>。</w:t>
      </w:r>
    </w:p>
    <w:p>
      <w:pPr>
        <w:pStyle w:val="3"/>
        <w:numPr>
          <w:ilvl w:val="1"/>
          <w:numId w:val="2"/>
        </w:numPr>
        <w:ind w:left="0" w:firstLine="0"/>
        <w:rPr>
          <w:rFonts w:ascii="仿宋_GB2312" w:eastAsia="仿宋_GB2312"/>
          <w:sz w:val="24"/>
          <w:highlight w:val="none"/>
        </w:rPr>
      </w:pPr>
      <w:bookmarkStart w:id="15" w:name="_Toc73544700"/>
      <w:r>
        <w:rPr>
          <w:rFonts w:hint="eastAsia" w:ascii="仿宋_GB2312" w:eastAsia="仿宋_GB2312"/>
          <w:sz w:val="24"/>
          <w:highlight w:val="none"/>
        </w:rPr>
        <w:t>工程施工地点及范围</w:t>
      </w:r>
      <w:bookmarkEnd w:id="12"/>
      <w:bookmarkEnd w:id="13"/>
      <w:bookmarkEnd w:id="14"/>
      <w:bookmarkEnd w:id="15"/>
    </w:p>
    <w:p>
      <w:pPr>
        <w:ind w:firstLine="480" w:firstLineChars="200"/>
        <w:jc w:val="left"/>
        <w:rPr>
          <w:rFonts w:ascii="仿宋_GB2312" w:hAnsi="宋体" w:eastAsia="仿宋_GB2312" w:cs="仿宋_GB2312"/>
          <w:szCs w:val="24"/>
          <w:highlight w:val="none"/>
        </w:rPr>
      </w:pPr>
      <w:r>
        <w:rPr>
          <w:rFonts w:hint="eastAsia" w:ascii="仿宋_GB2312" w:hAnsi="宋体" w:eastAsia="仿宋_GB2312" w:cs="仿宋_GB2312"/>
          <w:szCs w:val="24"/>
          <w:highlight w:val="none"/>
          <w:shd w:val="clear" w:color="050000" w:fill="auto"/>
        </w:rPr>
        <w:t>本项目</w:t>
      </w:r>
      <w:r>
        <w:rPr>
          <w:rFonts w:hint="eastAsia" w:ascii="仿宋_GB2312" w:hAnsi="宋体" w:eastAsia="仿宋_GB2312" w:cs="仿宋_GB2312"/>
          <w:szCs w:val="24"/>
          <w:highlight w:val="none"/>
        </w:rPr>
        <w:t>施工地点：长沙市轨道交通</w:t>
      </w:r>
      <w:r>
        <w:rPr>
          <w:rFonts w:hint="eastAsia" w:ascii="仿宋_GB2312" w:hAnsi="宋体" w:eastAsia="仿宋_GB2312" w:cs="仿宋_GB2312"/>
          <w:szCs w:val="24"/>
          <w:highlight w:val="none"/>
          <w:lang w:val="en-US" w:eastAsia="zh-CN"/>
        </w:rPr>
        <w:t>5</w:t>
      </w:r>
      <w:r>
        <w:rPr>
          <w:rFonts w:hint="eastAsia" w:ascii="仿宋_GB2312" w:hAnsi="宋体" w:eastAsia="仿宋_GB2312" w:cs="仿宋_GB2312"/>
          <w:szCs w:val="24"/>
          <w:highlight w:val="none"/>
        </w:rPr>
        <w:t>号线全线</w:t>
      </w:r>
      <w:r>
        <w:rPr>
          <w:rFonts w:hint="eastAsia" w:ascii="仿宋_GB2312" w:hAnsi="宋体" w:eastAsia="仿宋_GB2312" w:cs="仿宋_GB2312"/>
          <w:bCs/>
          <w:szCs w:val="24"/>
          <w:highlight w:val="none"/>
        </w:rPr>
        <w:t>车站公共区、设备区、轨行区、车辆段。</w:t>
      </w:r>
    </w:p>
    <w:p>
      <w:pPr>
        <w:pStyle w:val="3"/>
        <w:numPr>
          <w:ilvl w:val="1"/>
          <w:numId w:val="2"/>
        </w:numPr>
        <w:ind w:left="0" w:firstLine="0"/>
        <w:rPr>
          <w:rFonts w:ascii="仿宋_GB2312" w:eastAsia="仿宋_GB2312"/>
          <w:sz w:val="24"/>
          <w:highlight w:val="none"/>
        </w:rPr>
      </w:pPr>
      <w:bookmarkStart w:id="16" w:name="_Toc73544701"/>
      <w:bookmarkStart w:id="17" w:name="_Toc536513583"/>
      <w:bookmarkStart w:id="18" w:name="_Toc54860653"/>
      <w:bookmarkStart w:id="19" w:name="_Toc2196743"/>
      <w:r>
        <w:rPr>
          <w:rFonts w:hint="eastAsia" w:ascii="仿宋_GB2312" w:eastAsia="仿宋_GB2312"/>
          <w:sz w:val="24"/>
          <w:highlight w:val="none"/>
        </w:rPr>
        <w:t>环境及条件</w:t>
      </w:r>
      <w:bookmarkEnd w:id="16"/>
      <w:bookmarkEnd w:id="17"/>
      <w:bookmarkEnd w:id="18"/>
      <w:bookmarkEnd w:id="19"/>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1.4.1施工限制条件</w:t>
      </w:r>
    </w:p>
    <w:p>
      <w:pPr>
        <w:ind w:firstLine="480" w:firstLineChars="200"/>
        <w:jc w:val="left"/>
        <w:rPr>
          <w:rFonts w:ascii="仿宋_GB2312" w:hAnsi="宋体" w:eastAsia="仿宋_GB2312" w:cs="仿宋_GB2312"/>
          <w:bCs/>
          <w:szCs w:val="24"/>
          <w:highlight w:val="none"/>
        </w:rPr>
      </w:pPr>
      <w:r>
        <w:rPr>
          <w:rFonts w:hint="eastAsia" w:ascii="仿宋_GB2312" w:hAnsi="宋体" w:eastAsia="仿宋_GB2312" w:cs="仿宋_GB2312"/>
          <w:bCs/>
          <w:szCs w:val="24"/>
          <w:highlight w:val="none"/>
        </w:rPr>
        <w:t>本项目地点主要在</w:t>
      </w:r>
      <w:r>
        <w:rPr>
          <w:rFonts w:hint="eastAsia" w:ascii="仿宋_GB2312" w:hAnsi="宋体" w:eastAsia="仿宋_GB2312" w:cs="仿宋_GB2312"/>
          <w:szCs w:val="24"/>
          <w:highlight w:val="none"/>
        </w:rPr>
        <w:t>长沙市轨道交通</w:t>
      </w:r>
      <w:r>
        <w:rPr>
          <w:rFonts w:hint="eastAsia" w:ascii="仿宋_GB2312" w:hAnsi="宋体" w:eastAsia="仿宋_GB2312" w:cs="仿宋_GB2312"/>
          <w:szCs w:val="24"/>
          <w:highlight w:val="none"/>
          <w:lang w:val="en-US" w:eastAsia="zh-CN"/>
        </w:rPr>
        <w:t>5</w:t>
      </w:r>
      <w:r>
        <w:rPr>
          <w:rFonts w:hint="eastAsia" w:ascii="仿宋_GB2312" w:hAnsi="宋体" w:eastAsia="仿宋_GB2312" w:cs="仿宋_GB2312"/>
          <w:szCs w:val="24"/>
          <w:highlight w:val="none"/>
        </w:rPr>
        <w:t>号线全线</w:t>
      </w:r>
      <w:r>
        <w:rPr>
          <w:rFonts w:hint="eastAsia" w:ascii="仿宋_GB2312" w:hAnsi="宋体" w:eastAsia="仿宋_GB2312" w:cs="仿宋_GB2312"/>
          <w:bCs/>
          <w:szCs w:val="24"/>
          <w:highlight w:val="none"/>
        </w:rPr>
        <w:t>车站公共区、设备区、轨行区、车辆段，施工计划及时间需严格依照车站内施工相关要求执行。</w:t>
      </w:r>
    </w:p>
    <w:p>
      <w:pPr>
        <w:ind w:firstLine="480" w:firstLineChars="200"/>
        <w:jc w:val="left"/>
        <w:rPr>
          <w:rFonts w:ascii="仿宋_GB2312" w:hAnsi="宋体" w:eastAsia="仿宋_GB2312" w:cs="仿宋_GB2312"/>
          <w:bCs/>
          <w:szCs w:val="24"/>
          <w:highlight w:val="none"/>
        </w:rPr>
      </w:pPr>
      <w:r>
        <w:rPr>
          <w:rFonts w:hint="eastAsia" w:ascii="仿宋_GB2312" w:hAnsi="宋体" w:eastAsia="仿宋_GB2312" w:cs="仿宋_GB2312"/>
          <w:bCs/>
          <w:szCs w:val="24"/>
          <w:highlight w:val="none"/>
        </w:rPr>
        <w:t>本项目部分内容需地铁</w:t>
      </w:r>
      <w:r>
        <w:rPr>
          <w:rFonts w:ascii="仿宋_GB2312" w:hAnsi="宋体" w:eastAsia="仿宋_GB2312" w:cs="仿宋_GB2312"/>
          <w:bCs/>
          <w:szCs w:val="24"/>
          <w:highlight w:val="none"/>
        </w:rPr>
        <w:t>停运后实施，</w:t>
      </w:r>
      <w:r>
        <w:rPr>
          <w:rFonts w:hint="eastAsia" w:ascii="仿宋_GB2312" w:hAnsi="宋体" w:eastAsia="仿宋_GB2312" w:cs="仿宋_GB2312"/>
          <w:bCs/>
          <w:szCs w:val="24"/>
          <w:highlight w:val="none"/>
        </w:rPr>
        <w:t>作业时间约为00:00-05:00，涉及轨行区作业时，作业时间约为01:30-03:30；具体作业时间根据采购单位批准的时间为准。</w:t>
      </w:r>
    </w:p>
    <w:p>
      <w:pPr>
        <w:jc w:val="left"/>
        <w:rPr>
          <w:rFonts w:ascii="仿宋_GB2312" w:hAnsi="宋体" w:eastAsia="仿宋_GB2312" w:cs="仿宋_GB2312"/>
          <w:bCs/>
          <w:szCs w:val="24"/>
          <w:highlight w:val="none"/>
        </w:rPr>
      </w:pPr>
      <w:bookmarkStart w:id="20" w:name="_Toc3457_WPSOffice_Level3"/>
      <w:bookmarkStart w:id="21" w:name="_Toc12402_WPSOffice_Level3"/>
      <w:r>
        <w:rPr>
          <w:rFonts w:hint="eastAsia" w:ascii="仿宋_GB2312" w:hAnsi="宋体" w:eastAsia="仿宋_GB2312" w:cs="仿宋_GB2312"/>
          <w:bCs/>
          <w:szCs w:val="24"/>
          <w:highlight w:val="none"/>
        </w:rPr>
        <w:t>1.4.2 具体施工限制条件包括但不限于以下几点：</w:t>
      </w:r>
      <w:bookmarkEnd w:id="20"/>
      <w:bookmarkEnd w:id="21"/>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所有作业必须严格执行请销点流程，在进行动火作业时严格按照《运营公司动火作业管理办法》执行，所有作业均需要按照长沙地铁施工作业计划实施。</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所有施工人员必须进行运营公司相关的安全教育，方可进行作业。</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lang w:eastAsia="zh-CN"/>
        </w:rPr>
        <w:t>凡现场施工的，都需要穿戴劳动防护用品，</w:t>
      </w:r>
      <w:r>
        <w:rPr>
          <w:rFonts w:hint="eastAsia" w:ascii="仿宋_GB2312" w:hAnsi="仿宋_GB2312" w:eastAsia="仿宋_GB2312" w:cs="仿宋_GB2312"/>
          <w:highlight w:val="none"/>
          <w:shd w:val="clear" w:color="050000" w:fill="auto"/>
        </w:rPr>
        <w:t>2m以上的高空作业，必须系好安全带，安全带必须先挂牢后再作业，高空作业时不得抛掷传递工具、零部件和材料等。</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施工进场重型材料</w:t>
      </w:r>
      <w:r>
        <w:rPr>
          <w:rFonts w:hint="eastAsia" w:ascii="仿宋_GB2312" w:hAnsi="仿宋_GB2312" w:eastAsia="仿宋_GB2312" w:cs="仿宋_GB2312"/>
          <w:highlight w:val="none"/>
          <w:shd w:val="clear" w:color="050000" w:fill="auto"/>
          <w:lang w:eastAsia="zh-CN"/>
        </w:rPr>
        <w:t>不允许</w:t>
      </w:r>
      <w:r>
        <w:rPr>
          <w:rFonts w:hint="eastAsia" w:ascii="仿宋_GB2312" w:hAnsi="仿宋_GB2312" w:eastAsia="仿宋_GB2312" w:cs="仿宋_GB2312"/>
          <w:highlight w:val="none"/>
          <w:shd w:val="clear" w:color="050000" w:fill="auto"/>
        </w:rPr>
        <w:t>通过垂直电梯及电扶梯进行运输，需通过人工搬运至车站施工作业地点。</w:t>
      </w:r>
    </w:p>
    <w:p>
      <w:pPr>
        <w:keepNext w:val="0"/>
        <w:keepLines w:val="0"/>
        <w:pageBreakBefore w:val="0"/>
        <w:widowControl w:val="0"/>
        <w:numPr>
          <w:ilvl w:val="0"/>
          <w:numId w:val="3"/>
        </w:numPr>
        <w:kinsoku/>
        <w:wordWrap/>
        <w:overflowPunct/>
        <w:topLinePunct w:val="0"/>
        <w:autoSpaceDE/>
        <w:autoSpaceDN/>
        <w:bidi w:val="0"/>
        <w:adjustRightInd/>
        <w:snapToGrid/>
        <w:ind w:left="0" w:firstLine="480" w:firstLineChars="200"/>
        <w:textAlignment w:val="auto"/>
        <w:outlineLvl w:val="9"/>
        <w:rPr>
          <w:rFonts w:hint="eastAsia"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施工所产生的垃圾应及时进行清理外运（不得存放于出入口周边），做好工完料清，保障设备设施质量</w:t>
      </w:r>
      <w:r>
        <w:rPr>
          <w:rFonts w:hint="eastAsia" w:ascii="仿宋_GB2312" w:hAnsi="仿宋_GB2312" w:eastAsia="仿宋_GB2312" w:cs="仿宋_GB2312"/>
          <w:highlight w:val="none"/>
          <w:shd w:val="clear" w:color="050000" w:fill="auto"/>
          <w:lang w:eastAsia="zh-CN"/>
        </w:rPr>
        <w:t>；</w:t>
      </w:r>
      <w:r>
        <w:rPr>
          <w:rFonts w:hint="eastAsia" w:ascii="仿宋_GB2312" w:hAnsi="仿宋_GB2312" w:eastAsia="仿宋_GB2312" w:cs="仿宋_GB2312"/>
          <w:highlight w:val="none"/>
          <w:shd w:val="clear" w:color="050000" w:fill="auto"/>
          <w:lang w:val="en-US" w:eastAsia="zh-CN"/>
        </w:rPr>
        <w:t>建筑垃圾外运，运距按1000米包干计取；建筑垃圾出站，运距综合考虑。</w:t>
      </w:r>
    </w:p>
    <w:p>
      <w:pPr>
        <w:pStyle w:val="2"/>
        <w:numPr>
          <w:ilvl w:val="0"/>
          <w:numId w:val="1"/>
        </w:numPr>
        <w:ind w:left="0" w:firstLine="0"/>
        <w:rPr>
          <w:rFonts w:ascii="仿宋_GB2312" w:eastAsia="仿宋_GB2312"/>
          <w:highlight w:val="none"/>
        </w:rPr>
      </w:pPr>
      <w:bookmarkStart w:id="22" w:name="_Toc73544702"/>
      <w:bookmarkStart w:id="23" w:name="_Toc2196744"/>
      <w:bookmarkStart w:id="24" w:name="_Toc536513584"/>
      <w:bookmarkStart w:id="25" w:name="_Toc54860654"/>
      <w:r>
        <w:rPr>
          <w:rFonts w:hint="eastAsia" w:ascii="仿宋_GB2312" w:eastAsia="仿宋_GB2312"/>
          <w:highlight w:val="none"/>
        </w:rPr>
        <w:t>工程内容</w:t>
      </w:r>
      <w:bookmarkEnd w:id="22"/>
      <w:bookmarkEnd w:id="23"/>
      <w:bookmarkEnd w:id="24"/>
      <w:bookmarkEnd w:id="25"/>
    </w:p>
    <w:p>
      <w:pPr>
        <w:pStyle w:val="3"/>
        <w:rPr>
          <w:rFonts w:ascii="仿宋_GB2312" w:eastAsia="仿宋_GB2312"/>
          <w:sz w:val="24"/>
          <w:highlight w:val="none"/>
        </w:rPr>
      </w:pPr>
      <w:bookmarkStart w:id="26" w:name="_Toc73544703"/>
      <w:bookmarkStart w:id="27" w:name="_Toc536513585"/>
      <w:bookmarkStart w:id="28" w:name="_Toc2196745"/>
      <w:bookmarkStart w:id="29" w:name="_Toc54860655"/>
      <w:r>
        <w:rPr>
          <w:rFonts w:hint="eastAsia" w:ascii="仿宋_GB2312" w:eastAsia="仿宋_GB2312"/>
          <w:sz w:val="24"/>
          <w:highlight w:val="none"/>
        </w:rPr>
        <w:t>2.1主要工程内容</w:t>
      </w:r>
      <w:bookmarkEnd w:id="26"/>
      <w:bookmarkEnd w:id="27"/>
      <w:bookmarkEnd w:id="28"/>
      <w:bookmarkEnd w:id="29"/>
    </w:p>
    <w:p>
      <w:pPr>
        <w:ind w:firstLine="480" w:firstLineChars="200"/>
        <w:jc w:val="left"/>
        <w:rPr>
          <w:rFonts w:hint="eastAsia" w:ascii="仿宋_GB2312" w:hAnsi="宋体" w:eastAsia="仿宋_GB2312" w:cs="仿宋_GB2312"/>
          <w:szCs w:val="24"/>
          <w:highlight w:val="none"/>
          <w:shd w:val="clear" w:color="050000" w:fill="auto"/>
        </w:rPr>
      </w:pPr>
      <w:bookmarkStart w:id="30" w:name="_Toc16841"/>
      <w:bookmarkStart w:id="31" w:name="_Toc2196746"/>
      <w:r>
        <w:rPr>
          <w:rFonts w:hint="eastAsia" w:ascii="仿宋_GB2312" w:hAnsi="宋体" w:eastAsia="仿宋_GB2312" w:cs="仿宋_GB2312"/>
          <w:bCs/>
          <w:szCs w:val="24"/>
          <w:highlight w:val="none"/>
        </w:rPr>
        <w:t>本项目拟对</w:t>
      </w:r>
      <w:r>
        <w:rPr>
          <w:rFonts w:hint="eastAsia" w:ascii="仿宋_GB2312" w:hAnsi="宋体" w:eastAsia="仿宋_GB2312" w:cs="仿宋_GB2312"/>
          <w:szCs w:val="24"/>
          <w:highlight w:val="none"/>
        </w:rPr>
        <w:t>长沙市轨道交通</w:t>
      </w:r>
      <w:r>
        <w:rPr>
          <w:rFonts w:hint="eastAsia" w:ascii="仿宋_GB2312" w:hAnsi="宋体" w:eastAsia="仿宋_GB2312" w:cs="仿宋_GB2312"/>
          <w:szCs w:val="24"/>
          <w:highlight w:val="none"/>
          <w:lang w:val="en-US" w:eastAsia="zh-CN"/>
        </w:rPr>
        <w:t>5</w:t>
      </w:r>
      <w:r>
        <w:rPr>
          <w:rFonts w:hint="eastAsia" w:ascii="仿宋_GB2312" w:hAnsi="宋体" w:eastAsia="仿宋_GB2312" w:cs="仿宋_GB2312"/>
          <w:szCs w:val="24"/>
          <w:highlight w:val="none"/>
        </w:rPr>
        <w:t>号线全线</w:t>
      </w:r>
      <w:r>
        <w:rPr>
          <w:rFonts w:hint="eastAsia" w:ascii="仿宋_GB2312" w:hAnsi="宋体" w:eastAsia="仿宋_GB2312" w:cs="仿宋_GB2312"/>
          <w:bCs/>
          <w:szCs w:val="24"/>
          <w:highlight w:val="none"/>
        </w:rPr>
        <w:t>车站公共区、设备区、轨行区、车辆段的机电安装工程遗留问题（</w:t>
      </w:r>
      <w:r>
        <w:rPr>
          <w:rFonts w:hint="eastAsia" w:ascii="仿宋_GB2312" w:hAnsi="宋体" w:eastAsia="仿宋_GB2312" w:cs="仿宋_GB2312"/>
          <w:color w:val="auto"/>
          <w:szCs w:val="24"/>
          <w:highlight w:val="none"/>
        </w:rPr>
        <w:t>如</w:t>
      </w:r>
      <w:r>
        <w:rPr>
          <w:rFonts w:hint="eastAsia" w:ascii="仿宋_GB2312" w:hAnsi="宋体" w:eastAsia="仿宋_GB2312" w:cs="仿宋_GB2312"/>
          <w:color w:val="auto"/>
          <w:szCs w:val="24"/>
          <w:highlight w:val="none"/>
          <w:lang w:val="en-US" w:eastAsia="zh-CN"/>
        </w:rPr>
        <w:t>消防电源模块安装</w:t>
      </w:r>
      <w:r>
        <w:rPr>
          <w:rFonts w:hint="eastAsia" w:ascii="仿宋_GB2312" w:hAnsi="宋体" w:eastAsia="仿宋_GB2312" w:cs="仿宋_GB2312"/>
          <w:color w:val="auto"/>
          <w:szCs w:val="24"/>
          <w:highlight w:val="none"/>
        </w:rPr>
        <w:t>、冷凝水管整改、保温棉整改、</w:t>
      </w:r>
      <w:r>
        <w:rPr>
          <w:rFonts w:hint="eastAsia" w:ascii="仿宋_GB2312" w:hAnsi="宋体" w:eastAsia="仿宋_GB2312" w:cs="仿宋_GB2312"/>
          <w:color w:val="auto"/>
          <w:szCs w:val="24"/>
          <w:highlight w:val="none"/>
          <w:lang w:eastAsia="zh-CN"/>
        </w:rPr>
        <w:t>潜污泵</w:t>
      </w:r>
      <w:r>
        <w:rPr>
          <w:rFonts w:hint="eastAsia" w:ascii="仿宋_GB2312" w:hAnsi="宋体" w:eastAsia="仿宋_GB2312" w:cs="仿宋_GB2312"/>
          <w:color w:val="auto"/>
          <w:szCs w:val="24"/>
          <w:highlight w:val="none"/>
        </w:rPr>
        <w:t>整改、</w:t>
      </w:r>
      <w:r>
        <w:rPr>
          <w:rFonts w:hint="eastAsia" w:ascii="仿宋_GB2312" w:hAnsi="宋体" w:eastAsia="仿宋_GB2312" w:cs="仿宋_GB2312"/>
          <w:color w:val="auto"/>
          <w:szCs w:val="24"/>
          <w:highlight w:val="none"/>
          <w:lang w:val="en-US" w:eastAsia="zh-CN"/>
        </w:rPr>
        <w:t>风管整改、风口整改</w:t>
      </w:r>
      <w:r>
        <w:rPr>
          <w:rFonts w:hint="eastAsia" w:ascii="仿宋_GB2312" w:hAnsi="宋体" w:eastAsia="仿宋_GB2312" w:cs="仿宋_GB2312"/>
          <w:color w:val="auto"/>
          <w:szCs w:val="24"/>
          <w:highlight w:val="none"/>
        </w:rPr>
        <w:t>等</w:t>
      </w:r>
      <w:r>
        <w:rPr>
          <w:rFonts w:hint="eastAsia" w:ascii="仿宋_GB2312" w:hAnsi="宋体" w:eastAsia="仿宋_GB2312" w:cs="仿宋_GB2312"/>
          <w:bCs/>
          <w:szCs w:val="24"/>
          <w:highlight w:val="none"/>
        </w:rPr>
        <w:t>）进行</w:t>
      </w:r>
      <w:r>
        <w:rPr>
          <w:rFonts w:ascii="仿宋_GB2312" w:hAnsi="宋体" w:eastAsia="仿宋_GB2312" w:cs="仿宋_GB2312"/>
          <w:bCs/>
          <w:szCs w:val="24"/>
          <w:highlight w:val="none"/>
        </w:rPr>
        <w:t>整改</w:t>
      </w:r>
      <w:r>
        <w:rPr>
          <w:rFonts w:hint="eastAsia" w:ascii="仿宋_GB2312" w:hAnsi="宋体" w:eastAsia="仿宋_GB2312" w:cs="仿宋_GB2312"/>
          <w:szCs w:val="24"/>
          <w:highlight w:val="none"/>
          <w:shd w:val="clear" w:color="050000" w:fill="auto"/>
        </w:rPr>
        <w:t>。</w:t>
      </w:r>
    </w:p>
    <w:p>
      <w:pPr>
        <w:numPr>
          <w:ilvl w:val="255"/>
          <w:numId w:val="0"/>
        </w:numPr>
        <w:ind w:right="456" w:rightChars="19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b/>
          <w:bCs/>
          <w:szCs w:val="24"/>
          <w:highlight w:val="none"/>
          <w:shd w:val="clear" w:color="050000" w:fill="auto"/>
        </w:rPr>
        <w:t>2.1.1防火堵洞(隔板)、孔洞封堵</w:t>
      </w:r>
    </w:p>
    <w:p>
      <w:pPr>
        <w:ind w:left="420"/>
        <w:jc w:val="left"/>
        <w:rPr>
          <w:rFonts w:hint="eastAsia"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1） 矿物岩棉填实孔洞（填充厚度约200mm）；</w:t>
      </w:r>
    </w:p>
    <w:p>
      <w:pPr>
        <w:ind w:left="420"/>
        <w:jc w:val="left"/>
        <w:rPr>
          <w:rFonts w:hint="eastAsia" w:ascii="仿宋_GB2312" w:hAnsi="宋体" w:eastAsia="仿宋_GB2312" w:cs="仿宋_GB2312"/>
          <w:szCs w:val="24"/>
          <w:highlight w:val="none"/>
          <w:shd w:val="clear" w:color="050000" w:fill="auto"/>
          <w:lang w:eastAsia="zh-CN"/>
        </w:rPr>
      </w:pPr>
      <w:r>
        <w:rPr>
          <w:rFonts w:hint="eastAsia" w:ascii="仿宋_GB2312" w:hAnsi="宋体" w:eastAsia="仿宋_GB2312" w:cs="仿宋_GB2312"/>
          <w:szCs w:val="24"/>
          <w:highlight w:val="none"/>
          <w:shd w:val="clear" w:color="050000" w:fill="auto"/>
        </w:rPr>
        <w:t>2）孔洞两侧用20mm厚防火泥填实（</w:t>
      </w:r>
      <w:r>
        <w:rPr>
          <w:rFonts w:hint="eastAsia" w:ascii="仿宋_GB2312" w:hAnsi="宋体" w:eastAsia="仿宋_GB2312" w:cs="仿宋_GB2312"/>
          <w:szCs w:val="24"/>
          <w:highlight w:val="none"/>
          <w:shd w:val="clear" w:color="050000" w:fill="auto"/>
          <w:lang w:eastAsia="zh-CN"/>
        </w:rPr>
        <w:t>防火泥性能参数不低于3M、 喜利得、STI等品牌</w:t>
      </w:r>
      <w:r>
        <w:rPr>
          <w:rFonts w:hint="eastAsia" w:ascii="仿宋_GB2312" w:hAnsi="宋体" w:eastAsia="仿宋_GB2312" w:cs="仿宋_GB2312"/>
          <w:szCs w:val="24"/>
          <w:highlight w:val="none"/>
          <w:shd w:val="clear" w:color="050000" w:fill="auto"/>
        </w:rPr>
        <w:t>，防火泥约80㎏/㎡）</w:t>
      </w:r>
      <w:r>
        <w:rPr>
          <w:rFonts w:hint="eastAsia" w:ascii="仿宋_GB2312" w:hAnsi="宋体" w:eastAsia="仿宋_GB2312" w:cs="仿宋_GB2312"/>
          <w:szCs w:val="24"/>
          <w:highlight w:val="none"/>
          <w:shd w:val="clear" w:color="050000" w:fill="auto"/>
          <w:lang w:eastAsia="zh-CN"/>
        </w:rPr>
        <w:t>；</w:t>
      </w:r>
    </w:p>
    <w:p>
      <w:pPr>
        <w:ind w:left="420"/>
        <w:jc w:val="left"/>
        <w:rPr>
          <w:rFonts w:hint="eastAsia"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3）封堵后必须满足不透光、不漏烟、不漏油。</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 xml:space="preserve">2.1.2挡水棚制作安装 </w:t>
      </w:r>
    </w:p>
    <w:p>
      <w:pPr>
        <w:ind w:left="420"/>
        <w:jc w:val="left"/>
        <w:rPr>
          <w:rFonts w:hint="eastAsia"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1）现场测量尺寸制作挡水棚，挡水棚采用304不锈钢，厚</w:t>
      </w:r>
      <w:r>
        <w:rPr>
          <w:rFonts w:hint="eastAsia" w:ascii="仿宋_GB2312" w:hAnsi="宋体" w:eastAsia="仿宋_GB2312" w:cs="仿宋_GB2312"/>
          <w:color w:val="auto"/>
          <w:szCs w:val="24"/>
          <w:highlight w:val="none"/>
          <w:shd w:val="clear" w:color="050000" w:fill="auto"/>
          <w:lang w:val="en-US" w:eastAsia="zh-CN"/>
        </w:rPr>
        <w:t>1.5</w:t>
      </w:r>
      <w:r>
        <w:rPr>
          <w:rFonts w:hint="eastAsia" w:ascii="仿宋_GB2312" w:hAnsi="宋体" w:eastAsia="仿宋_GB2312" w:cs="仿宋_GB2312"/>
          <w:color w:val="auto"/>
          <w:szCs w:val="24"/>
          <w:highlight w:val="none"/>
          <w:shd w:val="clear" w:color="050000" w:fill="auto"/>
        </w:rPr>
        <w:t>mm材料；</w:t>
      </w:r>
    </w:p>
    <w:p>
      <w:pPr>
        <w:ind w:left="420"/>
        <w:jc w:val="left"/>
        <w:rPr>
          <w:rFonts w:hint="eastAsia"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2）挡水棚采用L50*5mm热镀锌角钢进行固定；</w:t>
      </w:r>
    </w:p>
    <w:p>
      <w:pPr>
        <w:ind w:left="420"/>
        <w:jc w:val="left"/>
        <w:rPr>
          <w:rFonts w:hint="eastAsia"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3）在上下接缝处打玻璃胶。</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3</w:t>
      </w:r>
      <w:r>
        <w:rPr>
          <w:rFonts w:hint="eastAsia" w:ascii="仿宋_GB2312" w:hAnsi="宋体" w:eastAsia="仿宋_GB2312" w:cs="仿宋_GB2312"/>
          <w:b/>
          <w:bCs/>
          <w:color w:val="auto"/>
          <w:szCs w:val="24"/>
          <w:highlight w:val="none"/>
          <w:shd w:val="clear" w:color="050000" w:fill="auto"/>
          <w:lang w:eastAsia="zh-CN"/>
        </w:rPr>
        <w:t>气压排水装置控制箱安装</w:t>
      </w:r>
    </w:p>
    <w:p>
      <w:pPr>
        <w:ind w:left="420"/>
        <w:jc w:val="left"/>
        <w:rPr>
          <w:rFonts w:hint="eastAsia" w:ascii="仿宋_GB2312" w:hAnsi="宋体" w:eastAsia="仿宋_GB2312" w:cs="仿宋_GB2312"/>
          <w:color w:val="auto"/>
          <w:szCs w:val="24"/>
          <w:highlight w:val="none"/>
          <w:shd w:val="clear" w:color="050000" w:fill="auto"/>
          <w:lang w:eastAsia="zh-CN"/>
        </w:rPr>
      </w:pPr>
      <w:r>
        <w:rPr>
          <w:rFonts w:hint="eastAsia" w:ascii="仿宋_GB2312" w:hAnsi="宋体" w:eastAsia="仿宋_GB2312" w:cs="仿宋_GB2312"/>
          <w:color w:val="auto"/>
          <w:szCs w:val="24"/>
          <w:highlight w:val="none"/>
          <w:shd w:val="clear" w:color="050000" w:fill="auto"/>
        </w:rPr>
        <w:t>1）拆除控制箱（约900mm*400mm）及管道（UPVC材质,DN32,约10米)</w:t>
      </w:r>
      <w:r>
        <w:rPr>
          <w:rFonts w:hint="eastAsia" w:ascii="仿宋_GB2312" w:hAnsi="宋体" w:eastAsia="仿宋_GB2312" w:cs="仿宋_GB2312"/>
          <w:color w:val="auto"/>
          <w:szCs w:val="24"/>
          <w:highlight w:val="none"/>
          <w:shd w:val="clear" w:color="050000" w:fill="auto"/>
          <w:lang w:eastAsia="zh-CN"/>
        </w:rPr>
        <w:t>；</w:t>
      </w:r>
    </w:p>
    <w:p>
      <w:pPr>
        <w:ind w:left="420"/>
        <w:jc w:val="left"/>
        <w:rPr>
          <w:rFonts w:hint="eastAsia" w:ascii="仿宋_GB2312" w:hAnsi="宋体" w:eastAsia="仿宋_GB2312" w:cs="仿宋_GB2312"/>
          <w:color w:val="auto"/>
          <w:szCs w:val="24"/>
          <w:highlight w:val="none"/>
          <w:shd w:val="clear" w:color="050000" w:fill="auto"/>
          <w:lang w:eastAsia="zh-CN"/>
        </w:rPr>
      </w:pPr>
      <w:r>
        <w:rPr>
          <w:rFonts w:hint="eastAsia" w:ascii="仿宋_GB2312" w:hAnsi="宋体" w:eastAsia="仿宋_GB2312" w:cs="仿宋_GB2312"/>
          <w:color w:val="auto"/>
          <w:szCs w:val="24"/>
          <w:highlight w:val="none"/>
          <w:shd w:val="clear" w:color="050000" w:fill="auto"/>
        </w:rPr>
        <w:t>2)指定安装位置重新</w:t>
      </w:r>
      <w:r>
        <w:rPr>
          <w:rFonts w:hint="eastAsia" w:ascii="仿宋_GB2312" w:hAnsi="宋体" w:eastAsia="仿宋_GB2312" w:cs="仿宋_GB2312"/>
          <w:color w:val="auto"/>
          <w:szCs w:val="24"/>
          <w:highlight w:val="none"/>
          <w:shd w:val="clear" w:color="050000" w:fill="auto"/>
          <w:lang w:val="en-US" w:eastAsia="zh-CN"/>
        </w:rPr>
        <w:t>挂墙</w:t>
      </w:r>
      <w:r>
        <w:rPr>
          <w:rFonts w:hint="eastAsia" w:ascii="仿宋_GB2312" w:hAnsi="宋体" w:eastAsia="仿宋_GB2312" w:cs="仿宋_GB2312"/>
          <w:color w:val="auto"/>
          <w:szCs w:val="24"/>
          <w:highlight w:val="none"/>
          <w:shd w:val="clear" w:color="050000" w:fill="auto"/>
        </w:rPr>
        <w:t>安装控制箱片</w:t>
      </w:r>
      <w:r>
        <w:rPr>
          <w:rFonts w:hint="eastAsia" w:ascii="仿宋_GB2312" w:hAnsi="宋体" w:eastAsia="仿宋_GB2312" w:cs="仿宋_GB2312"/>
          <w:color w:val="auto"/>
          <w:szCs w:val="24"/>
          <w:highlight w:val="none"/>
          <w:shd w:val="clear" w:color="050000" w:fill="auto"/>
          <w:lang w:eastAsia="zh-CN"/>
        </w:rPr>
        <w:t>；</w:t>
      </w:r>
    </w:p>
    <w:p>
      <w:pPr>
        <w:ind w:left="420"/>
        <w:jc w:val="left"/>
        <w:rPr>
          <w:rFonts w:hint="eastAsia" w:ascii="仿宋_GB2312" w:hAnsi="宋体" w:eastAsia="仿宋_GB2312" w:cs="仿宋_GB2312"/>
          <w:color w:val="auto"/>
          <w:szCs w:val="24"/>
          <w:highlight w:val="none"/>
          <w:shd w:val="clear" w:color="050000" w:fill="auto"/>
          <w:lang w:eastAsia="zh-CN"/>
        </w:rPr>
      </w:pPr>
      <w:r>
        <w:rPr>
          <w:rFonts w:hint="eastAsia" w:ascii="仿宋_GB2312" w:hAnsi="宋体" w:eastAsia="仿宋_GB2312" w:cs="仿宋_GB2312"/>
          <w:color w:val="auto"/>
          <w:szCs w:val="24"/>
          <w:highlight w:val="none"/>
          <w:shd w:val="clear" w:color="050000" w:fill="auto"/>
        </w:rPr>
        <w:t>3)重新安装管道；（DN32,UPVC管道直接，耐压1.6</w:t>
      </w:r>
      <w:r>
        <w:rPr>
          <w:rFonts w:hint="eastAsia" w:ascii="仿宋_GB2312" w:hAnsi="宋体" w:eastAsia="仿宋_GB2312" w:cs="仿宋_GB2312"/>
          <w:color w:val="auto"/>
          <w:szCs w:val="24"/>
          <w:highlight w:val="none"/>
          <w:shd w:val="clear" w:color="050000" w:fill="auto"/>
          <w:lang w:eastAsia="zh-CN"/>
        </w:rPr>
        <w:t>MPa</w:t>
      </w:r>
      <w:r>
        <w:rPr>
          <w:rFonts w:hint="eastAsia" w:ascii="仿宋_GB2312" w:hAnsi="宋体" w:eastAsia="仿宋_GB2312" w:cs="仿宋_GB2312"/>
          <w:color w:val="auto"/>
          <w:szCs w:val="24"/>
          <w:highlight w:val="none"/>
          <w:shd w:val="clear" w:color="050000" w:fill="auto"/>
        </w:rPr>
        <w:t>，约10米)</w:t>
      </w:r>
      <w:r>
        <w:rPr>
          <w:rFonts w:hint="eastAsia" w:ascii="仿宋_GB2312" w:hAnsi="宋体" w:eastAsia="仿宋_GB2312" w:cs="仿宋_GB2312"/>
          <w:color w:val="auto"/>
          <w:szCs w:val="24"/>
          <w:highlight w:val="none"/>
          <w:shd w:val="clear" w:color="050000" w:fill="auto"/>
          <w:lang w:eastAsia="zh-CN"/>
        </w:rPr>
        <w:t>；</w:t>
      </w:r>
    </w:p>
    <w:p>
      <w:pPr>
        <w:ind w:left="420"/>
        <w:jc w:val="left"/>
        <w:rPr>
          <w:rFonts w:hint="eastAsia" w:ascii="仿宋_GB2312" w:hAnsi="宋体" w:eastAsia="仿宋_GB2312" w:cs="仿宋_GB2312"/>
          <w:color w:val="auto"/>
          <w:szCs w:val="24"/>
          <w:highlight w:val="none"/>
          <w:shd w:val="clear" w:color="050000" w:fill="auto"/>
          <w:lang w:eastAsia="zh-CN"/>
        </w:rPr>
      </w:pPr>
      <w:r>
        <w:rPr>
          <w:rFonts w:hint="eastAsia" w:ascii="仿宋_GB2312" w:hAnsi="宋体" w:eastAsia="仿宋_GB2312" w:cs="仿宋_GB2312"/>
          <w:color w:val="auto"/>
          <w:szCs w:val="24"/>
          <w:highlight w:val="none"/>
          <w:shd w:val="clear" w:color="050000" w:fill="auto"/>
          <w:lang w:val="en-US" w:eastAsia="zh-CN"/>
        </w:rPr>
        <w:t>4</w:t>
      </w:r>
      <w:r>
        <w:rPr>
          <w:rFonts w:hint="eastAsia" w:ascii="仿宋_GB2312" w:hAnsi="宋体" w:eastAsia="仿宋_GB2312" w:cs="仿宋_GB2312"/>
          <w:color w:val="auto"/>
          <w:szCs w:val="24"/>
          <w:highlight w:val="none"/>
          <w:shd w:val="clear" w:color="050000" w:fill="auto"/>
        </w:rPr>
        <w:t>)运行测试</w:t>
      </w:r>
      <w:r>
        <w:rPr>
          <w:rFonts w:hint="eastAsia" w:ascii="仿宋_GB2312" w:hAnsi="宋体" w:eastAsia="仿宋_GB2312" w:cs="仿宋_GB2312"/>
          <w:color w:val="auto"/>
          <w:szCs w:val="24"/>
          <w:highlight w:val="none"/>
          <w:shd w:val="clear" w:color="050000" w:fill="auto"/>
          <w:lang w:eastAsia="zh-CN"/>
        </w:rPr>
        <w:t>。</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4</w:t>
      </w:r>
      <w:r>
        <w:rPr>
          <w:rFonts w:hint="eastAsia" w:ascii="仿宋_GB2312" w:hAnsi="宋体" w:eastAsia="仿宋_GB2312" w:cs="仿宋_GB2312"/>
          <w:b/>
          <w:bCs/>
          <w:color w:val="auto"/>
          <w:szCs w:val="24"/>
          <w:highlight w:val="none"/>
          <w:shd w:val="clear" w:color="050000" w:fill="auto"/>
        </w:rPr>
        <w:t>消防水管整改</w:t>
      </w:r>
    </w:p>
    <w:p>
      <w:pPr>
        <w:ind w:left="420"/>
        <w:jc w:val="left"/>
        <w:rPr>
          <w:rFonts w:hint="eastAsia"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1）管路泄水后拆除卡箍（配套DN150消防涂塑钢管）；</w:t>
      </w:r>
    </w:p>
    <w:p>
      <w:pPr>
        <w:ind w:left="420"/>
        <w:jc w:val="left"/>
        <w:rPr>
          <w:rFonts w:hint="eastAsia"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2）更换卡箍（配套DN150消防涂塑钢管）芯；</w:t>
      </w:r>
    </w:p>
    <w:p>
      <w:pPr>
        <w:ind w:left="420"/>
        <w:jc w:val="left"/>
        <w:rPr>
          <w:rFonts w:hint="eastAsia" w:ascii="仿宋_GB2312" w:hAnsi="宋体" w:eastAsia="仿宋_GB2312" w:cs="仿宋_GB2312"/>
          <w:color w:val="auto"/>
          <w:szCs w:val="24"/>
          <w:highlight w:val="none"/>
          <w:shd w:val="clear" w:color="050000" w:fill="auto"/>
          <w:lang w:eastAsia="zh-CN"/>
        </w:rPr>
      </w:pPr>
      <w:r>
        <w:rPr>
          <w:rFonts w:hint="eastAsia" w:ascii="仿宋_GB2312" w:hAnsi="宋体" w:eastAsia="仿宋_GB2312" w:cs="仿宋_GB2312"/>
          <w:color w:val="auto"/>
          <w:szCs w:val="24"/>
          <w:highlight w:val="none"/>
          <w:shd w:val="clear" w:color="050000" w:fill="auto"/>
        </w:rPr>
        <w:t>3）通水测试</w:t>
      </w:r>
      <w:r>
        <w:rPr>
          <w:rFonts w:hint="eastAsia" w:ascii="仿宋_GB2312" w:hAnsi="宋体" w:eastAsia="仿宋_GB2312" w:cs="仿宋_GB2312"/>
          <w:color w:val="auto"/>
          <w:szCs w:val="24"/>
          <w:highlight w:val="none"/>
          <w:shd w:val="clear" w:color="050000" w:fill="auto"/>
          <w:lang w:eastAsia="zh-CN"/>
        </w:rPr>
        <w:t>。</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5加装</w:t>
      </w:r>
      <w:r>
        <w:rPr>
          <w:rFonts w:hint="eastAsia" w:ascii="仿宋_GB2312" w:hAnsi="宋体" w:eastAsia="仿宋_GB2312" w:cs="仿宋_GB2312"/>
          <w:b/>
          <w:bCs/>
          <w:color w:val="auto"/>
          <w:szCs w:val="24"/>
          <w:highlight w:val="none"/>
          <w:shd w:val="clear" w:color="050000" w:fill="auto"/>
        </w:rPr>
        <w:t>潜水泵</w:t>
      </w:r>
    </w:p>
    <w:p>
      <w:pPr>
        <w:numPr>
          <w:ilvl w:val="0"/>
          <w:numId w:val="4"/>
        </w:num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加装潜污泵：技术参数不低于现场同型号水泵要求（现场为上海连成潜污泵，型号为（50WQ(II)15-22-2.2），且工况匹配；</w:t>
      </w:r>
    </w:p>
    <w:p>
      <w:pPr>
        <w:numPr>
          <w:ilvl w:val="0"/>
          <w:numId w:val="4"/>
        </w:num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安装测试</w:t>
      </w:r>
      <w:r>
        <w:rPr>
          <w:rFonts w:hint="eastAsia" w:ascii="仿宋_GB2312" w:hAnsi="宋体" w:eastAsia="仿宋_GB2312" w:cs="仿宋_GB2312"/>
          <w:color w:val="auto"/>
          <w:szCs w:val="24"/>
          <w:highlight w:val="none"/>
          <w:shd w:val="clear" w:color="050000" w:fill="auto"/>
          <w:lang w:eastAsia="zh-CN"/>
        </w:rPr>
        <w:t>。</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6</w:t>
      </w:r>
      <w:r>
        <w:rPr>
          <w:rFonts w:hint="eastAsia" w:ascii="仿宋_GB2312" w:hAnsi="宋体" w:eastAsia="仿宋_GB2312" w:cs="仿宋_GB2312"/>
          <w:b/>
          <w:bCs/>
          <w:color w:val="auto"/>
          <w:szCs w:val="24"/>
          <w:highlight w:val="none"/>
          <w:shd w:val="clear" w:color="050000" w:fill="auto"/>
        </w:rPr>
        <w:t>线缆线路及其附件类遗留问题整改</w:t>
      </w:r>
    </w:p>
    <w:p>
      <w:pPr>
        <w:numPr>
          <w:ilvl w:val="0"/>
          <w:numId w:val="5"/>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包括现场电缆电线、矿物绝缘电缆、母线槽、地线及跨接地线类线缆线路问题及其附件问题的整改</w:t>
      </w:r>
      <w:r>
        <w:rPr>
          <w:rFonts w:hint="eastAsia" w:ascii="仿宋_GB2312" w:hAnsi="宋体" w:eastAsia="仿宋_GB2312" w:cs="仿宋_GB2312"/>
          <w:color w:val="auto"/>
          <w:szCs w:val="24"/>
          <w:highlight w:val="none"/>
          <w:shd w:val="clear" w:color="050000" w:fill="auto"/>
          <w:lang w:eastAsia="zh-CN"/>
        </w:rPr>
        <w:t>；</w:t>
      </w:r>
    </w:p>
    <w:p>
      <w:pPr>
        <w:numPr>
          <w:ilvl w:val="0"/>
          <w:numId w:val="5"/>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根据现场实际，按要求对线缆线路未放线，未按图施工接线，附件缺失或安装不符合要求等情形制定整改方案</w:t>
      </w:r>
      <w:r>
        <w:rPr>
          <w:rFonts w:hint="eastAsia" w:ascii="仿宋_GB2312" w:hAnsi="宋体" w:eastAsia="仿宋_GB2312" w:cs="仿宋_GB2312"/>
          <w:color w:val="auto"/>
          <w:szCs w:val="24"/>
          <w:highlight w:val="none"/>
          <w:shd w:val="clear" w:color="050000" w:fill="auto"/>
          <w:lang w:eastAsia="zh-CN"/>
        </w:rPr>
        <w:t>；</w:t>
      </w:r>
    </w:p>
    <w:p>
      <w:pPr>
        <w:numPr>
          <w:ilvl w:val="0"/>
          <w:numId w:val="5"/>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根据现场实际，准备符合要求的电缆、线管、线缆头、线槽、桥架盖板、支架、插座、疏散指示、标识牌、线号管等备件材料，并按要求和方案整改。</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7</w:t>
      </w:r>
      <w:r>
        <w:rPr>
          <w:rFonts w:hint="eastAsia" w:ascii="仿宋_GB2312" w:hAnsi="宋体" w:eastAsia="仿宋_GB2312" w:cs="仿宋_GB2312"/>
          <w:b/>
          <w:bCs/>
          <w:color w:val="auto"/>
          <w:szCs w:val="24"/>
          <w:highlight w:val="none"/>
          <w:shd w:val="clear" w:color="050000" w:fill="auto"/>
        </w:rPr>
        <w:t>配电箱（柜）本体及其箱体内外附件类遗留问题整改</w:t>
      </w:r>
    </w:p>
    <w:p>
      <w:pPr>
        <w:numPr>
          <w:ilvl w:val="0"/>
          <w:numId w:val="6"/>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包括配电箱、检修箱、环控电控柜、EPS电源柜、智能疏散主机柜、防淹门控制柜、蓄电池柜、消防设备电源主机柜等配电箱（柜）及其箱体内外附件类问题整改；</w:t>
      </w:r>
    </w:p>
    <w:p>
      <w:pPr>
        <w:numPr>
          <w:ilvl w:val="0"/>
          <w:numId w:val="6"/>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根据现场实际，按要求对箱（柜）体开裂、箱（柜）检修空间不足、箱（柜）体内元器件缺失或损坏、箱（柜）体安装不符合要求或安装未完成等情形制定整改措施</w:t>
      </w:r>
      <w:r>
        <w:rPr>
          <w:rFonts w:hint="eastAsia" w:ascii="仿宋_GB2312" w:hAnsi="宋体" w:eastAsia="仿宋_GB2312" w:cs="仿宋_GB2312"/>
          <w:color w:val="auto"/>
          <w:szCs w:val="24"/>
          <w:highlight w:val="none"/>
          <w:shd w:val="clear" w:color="050000" w:fill="auto"/>
          <w:lang w:eastAsia="zh-CN"/>
        </w:rPr>
        <w:t>；</w:t>
      </w:r>
    </w:p>
    <w:p>
      <w:pPr>
        <w:numPr>
          <w:ilvl w:val="0"/>
          <w:numId w:val="6"/>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根据现场实际，准备箱（柜）、指示灯、继电器、接触器、断路器、标识牌等备件材料，并按要求整改。</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8</w:t>
      </w:r>
      <w:r>
        <w:rPr>
          <w:rFonts w:hint="eastAsia" w:ascii="仿宋_GB2312" w:hAnsi="宋体" w:eastAsia="仿宋_GB2312" w:cs="仿宋_GB2312"/>
          <w:b/>
          <w:bCs/>
          <w:color w:val="auto"/>
          <w:szCs w:val="24"/>
          <w:highlight w:val="none"/>
          <w:shd w:val="clear" w:color="050000" w:fill="auto"/>
        </w:rPr>
        <w:t>风管整改</w:t>
      </w:r>
    </w:p>
    <w:p>
      <w:pPr>
        <w:numPr>
          <w:ilvl w:val="0"/>
          <w:numId w:val="7"/>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拆除风管（</w:t>
      </w:r>
      <w:r>
        <w:rPr>
          <w:rFonts w:hint="eastAsia" w:ascii="仿宋_GB2312" w:hAnsi="宋体" w:eastAsia="仿宋_GB2312" w:cs="仿宋_GB2312"/>
          <w:color w:val="auto"/>
          <w:szCs w:val="24"/>
          <w:highlight w:val="none"/>
          <w:shd w:val="clear" w:color="050000" w:fill="auto"/>
          <w:lang w:val="en-US" w:eastAsia="zh-CN"/>
        </w:rPr>
        <w:t>圆弧形风管直径约2600mm，圆弧约90度</w:t>
      </w:r>
      <w:r>
        <w:rPr>
          <w:rFonts w:hint="eastAsia" w:ascii="仿宋_GB2312" w:hAnsi="宋体" w:eastAsia="仿宋_GB2312" w:cs="仿宋_GB2312"/>
          <w:color w:val="auto"/>
          <w:szCs w:val="24"/>
          <w:highlight w:val="none"/>
          <w:shd w:val="clear" w:color="050000" w:fill="auto"/>
        </w:rPr>
        <w:t>）、支吊架；</w:t>
      </w:r>
    </w:p>
    <w:p>
      <w:pPr>
        <w:numPr>
          <w:ilvl w:val="0"/>
          <w:numId w:val="7"/>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制作安装新风管：根据拆除风管制作同等大小风管，材质为厚度25mm的双面彩钢酚醛风管，含支吊架等；</w:t>
      </w:r>
    </w:p>
    <w:p>
      <w:pPr>
        <w:numPr>
          <w:ilvl w:val="0"/>
          <w:numId w:val="7"/>
        </w:numPr>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清理恢复现场。</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w:t>
      </w:r>
      <w:r>
        <w:rPr>
          <w:rFonts w:hint="eastAsia" w:ascii="仿宋_GB2312" w:hAnsi="宋体" w:eastAsia="仿宋_GB2312" w:cs="仿宋_GB2312"/>
          <w:b/>
          <w:bCs/>
          <w:color w:val="auto"/>
          <w:szCs w:val="24"/>
          <w:highlight w:val="none"/>
          <w:shd w:val="clear" w:color="050000" w:fill="auto"/>
          <w:lang w:val="en-US" w:eastAsia="zh-CN"/>
        </w:rPr>
        <w:t>9</w:t>
      </w:r>
      <w:r>
        <w:rPr>
          <w:rFonts w:hint="eastAsia" w:ascii="仿宋_GB2312" w:hAnsi="宋体" w:eastAsia="仿宋_GB2312" w:cs="仿宋_GB2312"/>
          <w:b/>
          <w:bCs/>
          <w:color w:val="auto"/>
          <w:szCs w:val="24"/>
          <w:highlight w:val="none"/>
          <w:shd w:val="clear" w:color="050000" w:fill="auto"/>
        </w:rPr>
        <w:t>冷媒</w:t>
      </w:r>
      <w:r>
        <w:rPr>
          <w:rFonts w:hint="eastAsia" w:ascii="仿宋_GB2312" w:hAnsi="宋体" w:eastAsia="仿宋_GB2312" w:cs="仿宋_GB2312"/>
          <w:b/>
          <w:bCs/>
          <w:color w:val="auto"/>
          <w:szCs w:val="24"/>
          <w:highlight w:val="none"/>
          <w:shd w:val="clear" w:color="050000" w:fill="auto"/>
          <w:lang w:eastAsia="zh-CN"/>
        </w:rPr>
        <w:t>排放</w:t>
      </w:r>
      <w:r>
        <w:rPr>
          <w:rFonts w:hint="eastAsia" w:ascii="仿宋_GB2312" w:hAnsi="宋体" w:eastAsia="仿宋_GB2312" w:cs="仿宋_GB2312"/>
          <w:b/>
          <w:bCs/>
          <w:color w:val="auto"/>
          <w:szCs w:val="24"/>
          <w:highlight w:val="none"/>
          <w:shd w:val="clear" w:color="050000" w:fill="auto"/>
        </w:rPr>
        <w:t>管整改</w:t>
      </w:r>
    </w:p>
    <w:p>
      <w:pPr>
        <w:ind w:left="420"/>
        <w:jc w:val="left"/>
        <w:rPr>
          <w:rFonts w:hint="eastAsia"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1）安全阀后端处加装DN25的金属活接，另外铺设DN25和DN50镀锌钢管双管，</w:t>
      </w:r>
      <w:r>
        <w:rPr>
          <w:rFonts w:hint="eastAsia" w:ascii="仿宋_GB2312" w:hAnsi="宋体" w:eastAsia="仿宋_GB2312" w:cs="仿宋_GB2312"/>
          <w:color w:val="auto"/>
          <w:szCs w:val="24"/>
          <w:highlight w:val="none"/>
          <w:shd w:val="clear" w:color="050000" w:fill="auto"/>
          <w:lang w:val="en-US" w:eastAsia="zh-CN"/>
        </w:rPr>
        <w:t>采用螺纹连接，</w:t>
      </w:r>
      <w:r>
        <w:rPr>
          <w:rFonts w:hint="eastAsia" w:ascii="仿宋_GB2312" w:hAnsi="宋体" w:eastAsia="仿宋_GB2312" w:cs="仿宋_GB2312"/>
          <w:color w:val="auto"/>
          <w:szCs w:val="24"/>
          <w:highlight w:val="none"/>
          <w:shd w:val="clear" w:color="050000" w:fill="auto"/>
        </w:rPr>
        <w:t>含支吊架等；</w:t>
      </w:r>
    </w:p>
    <w:p>
      <w:pPr>
        <w:ind w:left="420"/>
        <w:jc w:val="left"/>
        <w:rPr>
          <w:rFonts w:hint="eastAsia"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 xml:space="preserve">）穿墙处（约3处，墙厚约300mm）打孔尺寸为直径70mm，并做好封堵:                       </w:t>
      </w:r>
    </w:p>
    <w:p>
      <w:pPr>
        <w:ind w:left="420"/>
        <w:jc w:val="left"/>
        <w:rPr>
          <w:rFonts w:ascii="仿宋_GB2312" w:hAnsi="宋体" w:eastAsia="仿宋_GB2312" w:cs="仿宋_GB2312"/>
          <w:color w:val="auto"/>
          <w:szCs w:val="24"/>
          <w:highlight w:val="none"/>
          <w:shd w:val="clear" w:color="050000" w:fill="auto"/>
        </w:rPr>
      </w:pPr>
      <w:r>
        <w:rPr>
          <w:rFonts w:hint="eastAsia" w:ascii="仿宋_GB2312" w:hAnsi="宋体" w:eastAsia="仿宋_GB2312" w:cs="仿宋_GB2312"/>
          <w:color w:val="auto"/>
          <w:szCs w:val="24"/>
          <w:highlight w:val="none"/>
          <w:shd w:val="clear" w:color="050000" w:fill="auto"/>
        </w:rPr>
        <w:t>孔洞两侧用20mm厚防火泥填实（</w:t>
      </w:r>
      <w:r>
        <w:rPr>
          <w:rFonts w:hint="eastAsia" w:ascii="仿宋_GB2312" w:hAnsi="宋体" w:eastAsia="仿宋_GB2312" w:cs="仿宋_GB2312"/>
          <w:color w:val="auto"/>
          <w:szCs w:val="24"/>
          <w:highlight w:val="none"/>
          <w:shd w:val="clear" w:color="050000" w:fill="auto"/>
          <w:lang w:eastAsia="zh-CN"/>
        </w:rPr>
        <w:t>防火泥性能参数不低于3M、 喜利得、STI等品牌</w:t>
      </w:r>
      <w:r>
        <w:rPr>
          <w:rFonts w:hint="eastAsia" w:ascii="仿宋_GB2312" w:hAnsi="宋体" w:eastAsia="仿宋_GB2312" w:cs="仿宋_GB2312"/>
          <w:color w:val="auto"/>
          <w:szCs w:val="24"/>
          <w:highlight w:val="none"/>
          <w:shd w:val="clear" w:color="050000" w:fill="auto"/>
        </w:rPr>
        <w:t>）；</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2.1.1</w:t>
      </w:r>
      <w:r>
        <w:rPr>
          <w:rFonts w:hint="eastAsia" w:ascii="仿宋_GB2312" w:hAnsi="宋体" w:eastAsia="仿宋_GB2312" w:cs="仿宋_GB2312"/>
          <w:b/>
          <w:bCs/>
          <w:color w:val="auto"/>
          <w:szCs w:val="24"/>
          <w:highlight w:val="none"/>
          <w:shd w:val="clear" w:color="050000" w:fill="auto"/>
          <w:lang w:val="en-US" w:eastAsia="zh-CN"/>
        </w:rPr>
        <w:t>0</w:t>
      </w:r>
      <w:r>
        <w:rPr>
          <w:rFonts w:hint="eastAsia" w:ascii="仿宋_GB2312" w:hAnsi="宋体" w:eastAsia="仿宋_GB2312" w:cs="仿宋_GB2312"/>
          <w:b/>
          <w:bCs/>
          <w:color w:val="auto"/>
          <w:szCs w:val="24"/>
          <w:highlight w:val="none"/>
          <w:shd w:val="clear" w:color="050000" w:fill="auto"/>
        </w:rPr>
        <w:t>风管保温整改</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rPr>
        <w:t>）采用铝镁质保温棉进行保温，50mm厚，用量为0.5m³并按其工艺进行施工；</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）采用2mm厚304不锈钢接水槽，用量1㎡；</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3</w:t>
      </w:r>
      <w:r>
        <w:rPr>
          <w:rFonts w:hint="eastAsia" w:ascii="仿宋_GB2312" w:hAnsi="宋体" w:eastAsia="仿宋_GB2312" w:cs="仿宋_GB2312"/>
          <w:color w:val="auto"/>
          <w:szCs w:val="24"/>
          <w:highlight w:val="none"/>
          <w:shd w:val="clear" w:color="050000" w:fill="auto"/>
        </w:rPr>
        <w:t>）接水槽四周采用镀锌螺纹φ10的进行吊装，顶部利用40*40*4角钢、膨胀螺栓M10进行固定，角钢与螺纹杆采用焊接连接，并进行防锈处理。</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2.1.1</w:t>
      </w:r>
      <w:r>
        <w:rPr>
          <w:rFonts w:hint="eastAsia" w:ascii="仿宋_GB2312" w:hAnsi="宋体" w:eastAsia="仿宋_GB2312" w:cs="仿宋_GB2312"/>
          <w:b/>
          <w:bCs/>
          <w:color w:val="auto"/>
          <w:szCs w:val="24"/>
          <w:highlight w:val="none"/>
          <w:shd w:val="clear" w:color="050000" w:fill="auto"/>
          <w:lang w:val="en-US" w:eastAsia="zh-CN"/>
        </w:rPr>
        <w:t>1VRV排水管</w:t>
      </w:r>
      <w:r>
        <w:rPr>
          <w:rFonts w:hint="eastAsia" w:ascii="仿宋_GB2312" w:hAnsi="宋体" w:eastAsia="仿宋_GB2312" w:cs="仿宋_GB2312"/>
          <w:b/>
          <w:bCs/>
          <w:color w:val="auto"/>
          <w:szCs w:val="24"/>
          <w:highlight w:val="none"/>
          <w:shd w:val="clear" w:color="050000" w:fill="auto"/>
        </w:rPr>
        <w:t>整改</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rPr>
        <w:t>）采用DN25镀锌钢管套丝连接；</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）安装DN25镀锌钢管管道；</w:t>
      </w:r>
    </w:p>
    <w:p>
      <w:pPr>
        <w:ind w:left="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3</w:t>
      </w:r>
      <w:r>
        <w:rPr>
          <w:rFonts w:hint="eastAsia" w:ascii="仿宋_GB2312" w:hAnsi="宋体" w:eastAsia="仿宋_GB2312" w:cs="仿宋_GB2312"/>
          <w:color w:val="auto"/>
          <w:szCs w:val="24"/>
          <w:highlight w:val="none"/>
          <w:shd w:val="clear" w:color="050000" w:fill="auto"/>
        </w:rPr>
        <w:t>）加装橡塑保温棉20mm厚，外包锡箔胶带。</w:t>
      </w:r>
    </w:p>
    <w:p>
      <w:pPr>
        <w:ind w:right="456" w:rightChars="190"/>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2.1.1</w:t>
      </w:r>
      <w:r>
        <w:rPr>
          <w:rFonts w:hint="eastAsia" w:ascii="仿宋_GB2312" w:hAnsi="宋体" w:eastAsia="仿宋_GB2312" w:cs="仿宋_GB2312"/>
          <w:b/>
          <w:bCs/>
          <w:color w:val="auto"/>
          <w:szCs w:val="24"/>
          <w:highlight w:val="none"/>
          <w:shd w:val="clear" w:color="050000" w:fill="auto"/>
          <w:lang w:val="en-US" w:eastAsia="zh-CN"/>
        </w:rPr>
        <w:t>2</w:t>
      </w:r>
      <w:r>
        <w:rPr>
          <w:rFonts w:hint="eastAsia" w:ascii="仿宋_GB2312" w:hAnsi="宋体" w:eastAsia="仿宋_GB2312" w:cs="仿宋_GB2312"/>
          <w:b/>
          <w:bCs/>
          <w:color w:val="auto"/>
          <w:szCs w:val="24"/>
          <w:highlight w:val="none"/>
          <w:shd w:val="clear" w:color="050000" w:fill="auto"/>
          <w:lang w:eastAsia="zh-CN"/>
        </w:rPr>
        <w:t>桥架盖板</w:t>
      </w:r>
      <w:r>
        <w:rPr>
          <w:rFonts w:hint="eastAsia" w:ascii="仿宋_GB2312" w:hAnsi="宋体" w:eastAsia="仿宋_GB2312" w:cs="仿宋_GB2312"/>
          <w:b/>
          <w:bCs/>
          <w:color w:val="auto"/>
          <w:szCs w:val="24"/>
          <w:highlight w:val="none"/>
          <w:shd w:val="clear" w:color="050000" w:fill="auto"/>
        </w:rPr>
        <w:t>整改</w:t>
      </w:r>
    </w:p>
    <w:p>
      <w:pPr>
        <w:numPr>
          <w:ilvl w:val="255"/>
          <w:numId w:val="0"/>
        </w:numPr>
        <w:ind w:right="456" w:rightChars="190"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rPr>
        <w:t>）安装镀锌桥架盖板：防火喷塑水平桥架盖板，规格约为500mm宽，1.5mm厚；</w:t>
      </w:r>
    </w:p>
    <w:p>
      <w:pPr>
        <w:ind w:firstLine="420"/>
        <w:jc w:val="left"/>
        <w:rPr>
          <w:rFonts w:hint="eastAsia" w:ascii="仿宋_GB2312" w:hAnsi="宋体" w:eastAsia="仿宋_GB2312" w:cs="仿宋_GB2312"/>
          <w:color w:val="auto"/>
          <w:szCs w:val="24"/>
          <w:highlight w:val="none"/>
          <w:shd w:val="clear" w:color="050000" w:fill="auto"/>
          <w:lang w:eastAsia="zh-CN"/>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）安装桥架盖板跨接线</w:t>
      </w:r>
      <w:r>
        <w:rPr>
          <w:rFonts w:hint="eastAsia" w:ascii="仿宋_GB2312" w:hAnsi="宋体" w:eastAsia="仿宋_GB2312" w:cs="仿宋_GB2312"/>
          <w:color w:val="auto"/>
          <w:szCs w:val="24"/>
          <w:highlight w:val="none"/>
          <w:shd w:val="clear" w:color="050000" w:fill="auto"/>
          <w:lang w:eastAsia="zh-CN"/>
        </w:rPr>
        <w:t>。</w:t>
      </w:r>
    </w:p>
    <w:p>
      <w:pPr>
        <w:ind w:right="456" w:rightChars="190"/>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2.1.1</w:t>
      </w:r>
      <w:r>
        <w:rPr>
          <w:rFonts w:hint="eastAsia" w:ascii="仿宋_GB2312" w:hAnsi="宋体" w:eastAsia="仿宋_GB2312" w:cs="仿宋_GB2312"/>
          <w:b/>
          <w:bCs/>
          <w:color w:val="auto"/>
          <w:szCs w:val="24"/>
          <w:highlight w:val="none"/>
          <w:shd w:val="clear" w:color="050000" w:fill="auto"/>
          <w:lang w:val="en-US" w:eastAsia="zh-CN"/>
        </w:rPr>
        <w:t>3</w:t>
      </w:r>
      <w:r>
        <w:rPr>
          <w:rFonts w:hint="eastAsia" w:ascii="仿宋_GB2312" w:hAnsi="宋体" w:eastAsia="仿宋_GB2312" w:cs="仿宋_GB2312"/>
          <w:b/>
          <w:bCs/>
          <w:color w:val="auto"/>
          <w:szCs w:val="24"/>
          <w:highlight w:val="none"/>
          <w:shd w:val="clear" w:color="050000" w:fill="auto"/>
          <w:lang w:eastAsia="zh-CN"/>
        </w:rPr>
        <w:t>电动蝶阀更换</w:t>
      </w:r>
      <w:r>
        <w:rPr>
          <w:rFonts w:hint="eastAsia" w:ascii="仿宋_GB2312" w:hAnsi="宋体" w:eastAsia="仿宋_GB2312" w:cs="仿宋_GB2312"/>
          <w:b/>
          <w:bCs/>
          <w:color w:val="auto"/>
          <w:szCs w:val="24"/>
          <w:highlight w:val="none"/>
          <w:shd w:val="clear" w:color="050000" w:fill="auto"/>
        </w:rPr>
        <w:t>整改</w:t>
      </w:r>
    </w:p>
    <w:p>
      <w:pPr>
        <w:numPr>
          <w:ilvl w:val="255"/>
          <w:numId w:val="0"/>
        </w:numPr>
        <w:ind w:right="456" w:rightChars="190"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rPr>
        <w:t>）拆除原电动蝶阀阀体；</w:t>
      </w:r>
    </w:p>
    <w:p>
      <w:pPr>
        <w:ind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）重新安装新的电动蝶阀：尺寸DN150,采用一体化启动器和按钮盘的电动执行机构，不单独设现场控制箱，提供220V供电端子和24V控制端子，满足FAS的控制（开、关）、显示（开、关）等功能要求；</w:t>
      </w:r>
    </w:p>
    <w:p>
      <w:pPr>
        <w:ind w:firstLine="420"/>
        <w:jc w:val="left"/>
        <w:rPr>
          <w:rFonts w:hint="eastAsia" w:ascii="仿宋_GB2312" w:hAnsi="宋体" w:eastAsia="仿宋_GB2312" w:cs="仿宋_GB2312"/>
          <w:color w:val="auto"/>
          <w:szCs w:val="24"/>
          <w:highlight w:val="none"/>
          <w:shd w:val="clear" w:color="050000" w:fill="auto"/>
          <w:lang w:eastAsia="zh-CN"/>
        </w:rPr>
      </w:pPr>
      <w:r>
        <w:rPr>
          <w:rFonts w:ascii="仿宋_GB2312" w:hAnsi="宋体" w:eastAsia="仿宋_GB2312" w:cs="仿宋_GB2312"/>
          <w:color w:val="auto"/>
          <w:szCs w:val="24"/>
          <w:highlight w:val="none"/>
          <w:shd w:val="clear" w:color="050000" w:fill="auto"/>
        </w:rPr>
        <w:t>3</w:t>
      </w:r>
      <w:r>
        <w:rPr>
          <w:rFonts w:hint="eastAsia" w:ascii="仿宋_GB2312" w:hAnsi="宋体" w:eastAsia="仿宋_GB2312" w:cs="仿宋_GB2312"/>
          <w:color w:val="auto"/>
          <w:szCs w:val="24"/>
          <w:highlight w:val="none"/>
          <w:shd w:val="clear" w:color="050000" w:fill="auto"/>
        </w:rPr>
        <w:t>）设备功能测试</w:t>
      </w:r>
      <w:r>
        <w:rPr>
          <w:rFonts w:hint="eastAsia" w:ascii="仿宋_GB2312" w:hAnsi="宋体" w:eastAsia="仿宋_GB2312" w:cs="仿宋_GB2312"/>
          <w:color w:val="auto"/>
          <w:szCs w:val="24"/>
          <w:highlight w:val="none"/>
          <w:shd w:val="clear" w:color="050000" w:fill="auto"/>
          <w:lang w:eastAsia="zh-CN"/>
        </w:rPr>
        <w:t>。</w:t>
      </w:r>
    </w:p>
    <w:p>
      <w:pPr>
        <w:jc w:val="left"/>
        <w:rPr>
          <w:rFonts w:ascii="仿宋_GB2312" w:hAnsi="宋体" w:eastAsia="仿宋_GB2312" w:cs="仿宋_GB2312"/>
          <w:b/>
          <w:bCs/>
          <w:color w:val="auto"/>
          <w:szCs w:val="24"/>
          <w:highlight w:val="none"/>
          <w:shd w:val="clear" w:color="050000" w:fill="auto"/>
        </w:rPr>
      </w:pPr>
      <w:r>
        <w:rPr>
          <w:rFonts w:hint="eastAsia" w:ascii="仿宋_GB2312" w:hAnsi="宋体" w:eastAsia="仿宋_GB2312" w:cs="仿宋_GB2312"/>
          <w:b/>
          <w:bCs/>
          <w:color w:val="auto"/>
          <w:szCs w:val="24"/>
          <w:highlight w:val="none"/>
          <w:shd w:val="clear" w:color="050000" w:fill="auto"/>
        </w:rPr>
        <w:t>2.1.1</w:t>
      </w:r>
      <w:r>
        <w:rPr>
          <w:rFonts w:hint="eastAsia" w:ascii="仿宋_GB2312" w:hAnsi="宋体" w:eastAsia="仿宋_GB2312" w:cs="仿宋_GB2312"/>
          <w:b/>
          <w:bCs/>
          <w:color w:val="auto"/>
          <w:szCs w:val="24"/>
          <w:highlight w:val="none"/>
          <w:shd w:val="clear" w:color="050000" w:fill="auto"/>
          <w:lang w:val="en-US" w:eastAsia="zh-CN"/>
        </w:rPr>
        <w:t>4</w:t>
      </w:r>
      <w:r>
        <w:rPr>
          <w:rFonts w:hint="eastAsia" w:ascii="仿宋_GB2312" w:hAnsi="宋体" w:eastAsia="仿宋_GB2312" w:cs="仿宋_GB2312"/>
          <w:b/>
          <w:bCs/>
          <w:color w:val="auto"/>
          <w:szCs w:val="24"/>
          <w:highlight w:val="none"/>
          <w:shd w:val="clear" w:color="050000" w:fill="auto"/>
        </w:rPr>
        <w:t>线缆敷设整改</w:t>
      </w:r>
    </w:p>
    <w:p>
      <w:pPr>
        <w:ind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1</w:t>
      </w:r>
      <w:r>
        <w:rPr>
          <w:rFonts w:hint="eastAsia" w:ascii="仿宋_GB2312" w:hAnsi="宋体" w:eastAsia="仿宋_GB2312" w:cs="仿宋_GB2312"/>
          <w:color w:val="auto"/>
          <w:szCs w:val="24"/>
          <w:highlight w:val="none"/>
          <w:shd w:val="clear" w:color="050000" w:fill="auto"/>
        </w:rPr>
        <w:t>）敷设镀锌线管；</w:t>
      </w:r>
    </w:p>
    <w:p>
      <w:pPr>
        <w:ind w:firstLine="420"/>
        <w:jc w:val="left"/>
        <w:rPr>
          <w:rFonts w:ascii="仿宋_GB2312" w:hAnsi="宋体" w:eastAsia="仿宋_GB2312" w:cs="仿宋_GB2312"/>
          <w:color w:val="auto"/>
          <w:szCs w:val="24"/>
          <w:highlight w:val="none"/>
          <w:shd w:val="clear" w:color="050000" w:fill="auto"/>
        </w:rPr>
      </w:pPr>
      <w:r>
        <w:rPr>
          <w:rFonts w:ascii="仿宋_GB2312" w:hAnsi="宋体" w:eastAsia="仿宋_GB2312" w:cs="仿宋_GB2312"/>
          <w:color w:val="auto"/>
          <w:szCs w:val="24"/>
          <w:highlight w:val="none"/>
          <w:shd w:val="clear" w:color="050000" w:fill="auto"/>
        </w:rPr>
        <w:t>2</w:t>
      </w:r>
      <w:r>
        <w:rPr>
          <w:rFonts w:hint="eastAsia" w:ascii="仿宋_GB2312" w:hAnsi="宋体" w:eastAsia="仿宋_GB2312" w:cs="仿宋_GB2312"/>
          <w:color w:val="auto"/>
          <w:szCs w:val="24"/>
          <w:highlight w:val="none"/>
          <w:shd w:val="clear" w:color="050000" w:fill="auto"/>
        </w:rPr>
        <w:t>）按指定规格敷设电线；</w:t>
      </w:r>
    </w:p>
    <w:p>
      <w:pPr>
        <w:ind w:firstLine="420"/>
        <w:jc w:val="left"/>
        <w:rPr>
          <w:rFonts w:hint="eastAsia" w:ascii="仿宋_GB2312" w:hAnsi="宋体" w:eastAsia="仿宋_GB2312" w:cs="仿宋_GB2312"/>
          <w:color w:val="auto"/>
          <w:szCs w:val="24"/>
          <w:highlight w:val="none"/>
          <w:shd w:val="clear" w:color="050000" w:fill="auto"/>
          <w:lang w:eastAsia="zh-CN"/>
        </w:rPr>
      </w:pPr>
      <w:r>
        <w:rPr>
          <w:rFonts w:ascii="仿宋_GB2312" w:hAnsi="宋体" w:eastAsia="仿宋_GB2312" w:cs="仿宋_GB2312"/>
          <w:color w:val="auto"/>
          <w:szCs w:val="24"/>
          <w:highlight w:val="none"/>
          <w:shd w:val="clear" w:color="050000" w:fill="auto"/>
        </w:rPr>
        <w:t>3</w:t>
      </w:r>
      <w:r>
        <w:rPr>
          <w:rFonts w:hint="eastAsia" w:ascii="仿宋_GB2312" w:hAnsi="宋体" w:eastAsia="仿宋_GB2312" w:cs="仿宋_GB2312"/>
          <w:color w:val="auto"/>
          <w:szCs w:val="24"/>
          <w:highlight w:val="none"/>
          <w:shd w:val="clear" w:color="050000" w:fill="auto"/>
        </w:rPr>
        <w:t>）接线通电测试</w:t>
      </w:r>
      <w:r>
        <w:rPr>
          <w:rFonts w:hint="eastAsia" w:ascii="仿宋_GB2312" w:hAnsi="宋体" w:eastAsia="仿宋_GB2312" w:cs="仿宋_GB2312"/>
          <w:color w:val="auto"/>
          <w:szCs w:val="24"/>
          <w:highlight w:val="none"/>
          <w:shd w:val="clear" w:color="050000" w:fill="auto"/>
          <w:lang w:eastAsia="zh-CN"/>
        </w:rPr>
        <w:t>。</w:t>
      </w:r>
    </w:p>
    <w:p>
      <w:pPr>
        <w:jc w:val="left"/>
        <w:rPr>
          <w:rFonts w:ascii="仿宋_GB2312" w:hAnsi="宋体" w:eastAsia="仿宋_GB2312" w:cs="仿宋_GB2312"/>
          <w:b/>
          <w:bCs/>
          <w:szCs w:val="24"/>
          <w:highlight w:val="none"/>
          <w:shd w:val="clear" w:color="050000" w:fill="auto"/>
        </w:rPr>
      </w:pPr>
      <w:r>
        <w:rPr>
          <w:rFonts w:hint="eastAsia" w:ascii="仿宋_GB2312" w:hAnsi="宋体" w:eastAsia="仿宋_GB2312" w:cs="仿宋_GB2312"/>
          <w:b/>
          <w:bCs/>
          <w:szCs w:val="24"/>
          <w:highlight w:val="none"/>
          <w:shd w:val="clear" w:color="050000" w:fill="auto"/>
        </w:rPr>
        <w:t>2</w:t>
      </w:r>
      <w:r>
        <w:rPr>
          <w:rFonts w:ascii="仿宋_GB2312" w:hAnsi="宋体" w:eastAsia="仿宋_GB2312" w:cs="仿宋_GB2312"/>
          <w:b/>
          <w:bCs/>
          <w:szCs w:val="24"/>
          <w:highlight w:val="none"/>
          <w:shd w:val="clear" w:color="050000" w:fill="auto"/>
        </w:rPr>
        <w:t>.1.</w:t>
      </w:r>
      <w:r>
        <w:rPr>
          <w:rFonts w:hint="eastAsia" w:ascii="仿宋_GB2312" w:hAnsi="宋体" w:eastAsia="仿宋_GB2312" w:cs="仿宋_GB2312"/>
          <w:b/>
          <w:bCs/>
          <w:szCs w:val="24"/>
          <w:highlight w:val="none"/>
          <w:shd w:val="clear" w:color="050000" w:fill="auto"/>
          <w:lang w:val="en-US" w:eastAsia="zh-CN"/>
        </w:rPr>
        <w:t>15</w:t>
      </w:r>
      <w:r>
        <w:rPr>
          <w:rFonts w:hint="eastAsia" w:ascii="仿宋_GB2312" w:hAnsi="宋体" w:eastAsia="仿宋_GB2312" w:cs="仿宋_GB2312"/>
          <w:b/>
          <w:bCs/>
          <w:szCs w:val="24"/>
          <w:highlight w:val="none"/>
          <w:shd w:val="clear" w:color="050000" w:fill="auto"/>
        </w:rPr>
        <w:t>其它</w:t>
      </w:r>
    </w:p>
    <w:p>
      <w:pPr>
        <w:ind w:firstLine="420"/>
        <w:jc w:val="left"/>
        <w:rPr>
          <w:rFonts w:ascii="仿宋_GB2312" w:hAnsi="宋体" w:eastAsia="仿宋_GB2312" w:cs="仿宋_GB2312"/>
          <w:bCs/>
          <w:szCs w:val="24"/>
          <w:highlight w:val="none"/>
          <w:shd w:val="clear" w:color="050000" w:fill="auto"/>
        </w:rPr>
      </w:pPr>
      <w:r>
        <w:rPr>
          <w:rFonts w:ascii="仿宋_GB2312" w:hAnsi="宋体" w:eastAsia="仿宋_GB2312" w:cs="仿宋_GB2312"/>
          <w:bCs/>
          <w:szCs w:val="24"/>
          <w:highlight w:val="none"/>
          <w:shd w:val="clear" w:color="050000" w:fill="auto"/>
        </w:rPr>
        <w:t>1</w:t>
      </w:r>
      <w:r>
        <w:rPr>
          <w:rFonts w:hint="eastAsia" w:ascii="仿宋_GB2312" w:hAnsi="宋体" w:eastAsia="仿宋_GB2312" w:cs="仿宋_GB2312"/>
          <w:bCs/>
          <w:szCs w:val="24"/>
          <w:highlight w:val="none"/>
          <w:shd w:val="clear" w:color="050000" w:fill="auto"/>
        </w:rPr>
        <w:t>）</w:t>
      </w:r>
      <w:r>
        <w:rPr>
          <w:rFonts w:ascii="仿宋_GB2312" w:hAnsi="宋体" w:eastAsia="仿宋_GB2312" w:cs="仿宋_GB2312"/>
          <w:bCs/>
          <w:szCs w:val="24"/>
          <w:highlight w:val="none"/>
          <w:shd w:val="clear" w:color="050000" w:fill="auto"/>
        </w:rPr>
        <w:t>施工内</w:t>
      </w:r>
      <w:r>
        <w:rPr>
          <w:rFonts w:hint="eastAsia" w:ascii="仿宋_GB2312" w:hAnsi="宋体" w:eastAsia="仿宋_GB2312" w:cs="仿宋_GB2312"/>
          <w:bCs/>
          <w:szCs w:val="24"/>
          <w:highlight w:val="none"/>
          <w:shd w:val="clear" w:color="050000" w:fill="auto"/>
        </w:rPr>
        <w:t>容</w:t>
      </w:r>
      <w:r>
        <w:rPr>
          <w:rFonts w:ascii="仿宋_GB2312" w:hAnsi="宋体" w:eastAsia="仿宋_GB2312" w:cs="仿宋_GB2312"/>
          <w:bCs/>
          <w:szCs w:val="24"/>
          <w:highlight w:val="none"/>
          <w:shd w:val="clear" w:color="050000" w:fill="auto"/>
        </w:rPr>
        <w:t>具体详见工程量清单；</w:t>
      </w:r>
    </w:p>
    <w:p>
      <w:pPr>
        <w:ind w:firstLine="420"/>
        <w:jc w:val="left"/>
        <w:rPr>
          <w:rFonts w:ascii="仿宋_GB2312" w:hAnsi="宋体" w:eastAsia="仿宋_GB2312" w:cs="仿宋_GB2312"/>
          <w:bCs/>
          <w:szCs w:val="24"/>
          <w:highlight w:val="none"/>
          <w:shd w:val="clear" w:color="050000" w:fill="auto"/>
        </w:rPr>
      </w:pPr>
      <w:r>
        <w:rPr>
          <w:rFonts w:hint="eastAsia" w:ascii="仿宋_GB2312" w:hAnsi="宋体" w:eastAsia="仿宋_GB2312" w:cs="仿宋_GB2312"/>
          <w:bCs/>
          <w:szCs w:val="24"/>
          <w:highlight w:val="none"/>
          <w:shd w:val="clear" w:color="050000" w:fill="auto"/>
        </w:rPr>
        <w:t>2）各项工程内容</w:t>
      </w:r>
      <w:r>
        <w:rPr>
          <w:rFonts w:ascii="仿宋_GB2312" w:hAnsi="宋体" w:eastAsia="仿宋_GB2312" w:cs="仿宋_GB2312"/>
          <w:bCs/>
          <w:szCs w:val="24"/>
          <w:highlight w:val="none"/>
          <w:shd w:val="clear" w:color="050000" w:fill="auto"/>
        </w:rPr>
        <w:t>均包含</w:t>
      </w:r>
      <w:r>
        <w:rPr>
          <w:rFonts w:hint="eastAsia" w:ascii="仿宋_GB2312" w:hAnsi="宋体" w:eastAsia="仿宋_GB2312" w:cs="仿宋_GB2312"/>
          <w:bCs/>
          <w:szCs w:val="24"/>
          <w:highlight w:val="none"/>
          <w:shd w:val="clear" w:color="050000" w:fill="auto"/>
        </w:rPr>
        <w:t>夜间</w:t>
      </w:r>
      <w:r>
        <w:rPr>
          <w:rFonts w:ascii="仿宋_GB2312" w:hAnsi="宋体" w:eastAsia="仿宋_GB2312" w:cs="仿宋_GB2312"/>
          <w:bCs/>
          <w:szCs w:val="24"/>
          <w:highlight w:val="none"/>
          <w:shd w:val="clear" w:color="050000" w:fill="auto"/>
        </w:rPr>
        <w:t>施工作业、高空作业</w:t>
      </w:r>
      <w:r>
        <w:rPr>
          <w:rFonts w:hint="eastAsia" w:ascii="仿宋_GB2312" w:hAnsi="宋体" w:eastAsia="仿宋_GB2312" w:cs="仿宋_GB2312"/>
          <w:bCs/>
          <w:szCs w:val="24"/>
          <w:highlight w:val="none"/>
          <w:shd w:val="clear" w:color="050000" w:fill="auto"/>
          <w:lang w:val="en-US" w:eastAsia="zh-CN"/>
        </w:rPr>
        <w:t>(如有)</w:t>
      </w:r>
      <w:r>
        <w:rPr>
          <w:rFonts w:ascii="仿宋_GB2312" w:hAnsi="宋体" w:eastAsia="仿宋_GB2312" w:cs="仿宋_GB2312"/>
          <w:bCs/>
          <w:szCs w:val="24"/>
          <w:highlight w:val="none"/>
          <w:shd w:val="clear" w:color="050000" w:fill="auto"/>
        </w:rPr>
        <w:t>、成品保护、垃圾清运等</w:t>
      </w:r>
      <w:r>
        <w:rPr>
          <w:rFonts w:hint="eastAsia" w:ascii="仿宋_GB2312" w:hAnsi="宋体" w:eastAsia="仿宋_GB2312" w:cs="仿宋_GB2312"/>
          <w:bCs/>
          <w:szCs w:val="24"/>
          <w:highlight w:val="none"/>
          <w:shd w:val="clear" w:color="050000" w:fill="auto"/>
        </w:rPr>
        <w:t>附属</w:t>
      </w:r>
      <w:r>
        <w:rPr>
          <w:rFonts w:ascii="仿宋_GB2312" w:hAnsi="宋体" w:eastAsia="仿宋_GB2312" w:cs="仿宋_GB2312"/>
          <w:bCs/>
          <w:szCs w:val="24"/>
          <w:highlight w:val="none"/>
          <w:shd w:val="clear" w:color="050000" w:fill="auto"/>
        </w:rPr>
        <w:t>零星</w:t>
      </w:r>
      <w:r>
        <w:rPr>
          <w:rFonts w:hint="eastAsia" w:ascii="仿宋_GB2312" w:hAnsi="宋体" w:eastAsia="仿宋_GB2312" w:cs="仿宋_GB2312"/>
          <w:bCs/>
          <w:szCs w:val="24"/>
          <w:highlight w:val="none"/>
          <w:shd w:val="clear" w:color="050000" w:fill="auto"/>
        </w:rPr>
        <w:t>工程。</w:t>
      </w:r>
    </w:p>
    <w:bookmarkEnd w:id="30"/>
    <w:bookmarkEnd w:id="31"/>
    <w:p>
      <w:pPr>
        <w:pStyle w:val="3"/>
        <w:rPr>
          <w:rFonts w:ascii="仿宋_GB2312" w:eastAsia="仿宋_GB2312"/>
          <w:sz w:val="24"/>
          <w:highlight w:val="none"/>
        </w:rPr>
      </w:pPr>
      <w:bookmarkStart w:id="32" w:name="_Toc73544704"/>
      <w:bookmarkStart w:id="33" w:name="_Toc536513587"/>
      <w:bookmarkStart w:id="34" w:name="_Toc54860657"/>
      <w:bookmarkStart w:id="35" w:name="_Toc2196748"/>
      <w:r>
        <w:rPr>
          <w:rFonts w:hint="eastAsia" w:ascii="仿宋_GB2312" w:eastAsia="仿宋_GB2312"/>
          <w:sz w:val="24"/>
          <w:highlight w:val="none"/>
        </w:rPr>
        <w:t>2.2设备/材料选用标准</w:t>
      </w:r>
      <w:bookmarkEnd w:id="32"/>
      <w:bookmarkEnd w:id="33"/>
      <w:bookmarkEnd w:id="34"/>
      <w:bookmarkEnd w:id="35"/>
    </w:p>
    <w:p>
      <w:pPr>
        <w:pStyle w:val="30"/>
        <w:ind w:left="6" w:firstLine="0" w:firstLineChars="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2.2.1设备/材料选用标准应遵守国家的现行相关规程规范，严格按照国家标准与行业标准执行。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2.2.2</w:t>
      </w:r>
      <w:r>
        <w:rPr>
          <w:rFonts w:hint="eastAsia" w:ascii="仿宋_GB2312" w:hAnsi="仿宋_GB2312" w:eastAsia="仿宋_GB2312" w:cs="仿宋_GB2312"/>
          <w:highlight w:val="none"/>
        </w:rPr>
        <w:t>项目主要材料</w:t>
      </w:r>
      <w:r>
        <w:rPr>
          <w:rFonts w:hint="eastAsia" w:ascii="仿宋_GB2312" w:hAnsi="仿宋_GB2312" w:eastAsia="仿宋_GB2312" w:cs="仿宋_GB2312"/>
          <w:highlight w:val="none"/>
          <w:lang w:eastAsia="zh-CN"/>
        </w:rPr>
        <w:t>需</w:t>
      </w:r>
      <w:r>
        <w:rPr>
          <w:rFonts w:hint="eastAsia" w:ascii="仿宋_GB2312" w:hAnsi="仿宋_GB2312" w:eastAsia="仿宋_GB2312" w:cs="仿宋_GB2312"/>
          <w:highlight w:val="none"/>
        </w:rPr>
        <w:t>采用</w:t>
      </w:r>
      <w:r>
        <w:rPr>
          <w:rFonts w:hint="eastAsia" w:ascii="仿宋_GB2312" w:hAnsi="仿宋_GB2312" w:eastAsia="仿宋_GB2312" w:cs="仿宋_GB2312"/>
          <w:highlight w:val="none"/>
          <w:lang w:eastAsia="zh-CN"/>
        </w:rPr>
        <w:t>符合标准的合格</w:t>
      </w:r>
      <w:r>
        <w:rPr>
          <w:rFonts w:hint="eastAsia" w:ascii="仿宋_GB2312" w:hAnsi="仿宋_GB2312" w:eastAsia="仿宋_GB2312" w:cs="仿宋_GB2312"/>
          <w:highlight w:val="none"/>
        </w:rPr>
        <w:t>产品。</w:t>
      </w:r>
    </w:p>
    <w:p>
      <w:pPr>
        <w:pStyle w:val="2"/>
        <w:numPr>
          <w:ilvl w:val="0"/>
          <w:numId w:val="1"/>
        </w:numPr>
        <w:ind w:left="0" w:firstLine="0"/>
        <w:rPr>
          <w:rFonts w:eastAsia="华文仿宋"/>
          <w:highlight w:val="none"/>
        </w:rPr>
      </w:pPr>
      <w:bookmarkStart w:id="36" w:name="_Toc2196749"/>
      <w:bookmarkStart w:id="37" w:name="_Toc536513588"/>
      <w:bookmarkStart w:id="38" w:name="_Toc73544705"/>
      <w:bookmarkStart w:id="39" w:name="_Toc54860658"/>
      <w:r>
        <w:rPr>
          <w:rFonts w:hint="eastAsia" w:eastAsia="华文仿宋"/>
          <w:highlight w:val="none"/>
        </w:rPr>
        <w:t>工程技术要求</w:t>
      </w:r>
      <w:bookmarkEnd w:id="36"/>
      <w:bookmarkEnd w:id="37"/>
      <w:bookmarkEnd w:id="38"/>
      <w:bookmarkEnd w:id="39"/>
    </w:p>
    <w:p>
      <w:pPr>
        <w:pStyle w:val="3"/>
        <w:rPr>
          <w:rFonts w:eastAsia="华文仿宋"/>
          <w:sz w:val="24"/>
          <w:highlight w:val="none"/>
        </w:rPr>
      </w:pPr>
      <w:bookmarkStart w:id="40" w:name="_Toc2196750"/>
      <w:bookmarkStart w:id="41" w:name="_Toc536513589"/>
      <w:bookmarkStart w:id="42" w:name="_Toc54860659"/>
      <w:bookmarkStart w:id="43" w:name="_Toc73544706"/>
      <w:r>
        <w:rPr>
          <w:rFonts w:hint="eastAsia" w:eastAsia="华文仿宋"/>
          <w:sz w:val="24"/>
          <w:highlight w:val="none"/>
        </w:rPr>
        <w:t>3.1</w:t>
      </w:r>
      <w:bookmarkEnd w:id="40"/>
      <w:bookmarkEnd w:id="41"/>
      <w:bookmarkEnd w:id="42"/>
      <w:r>
        <w:rPr>
          <w:rFonts w:hint="eastAsia" w:eastAsia="华文仿宋"/>
          <w:sz w:val="24"/>
          <w:highlight w:val="none"/>
        </w:rPr>
        <w:t>技术标准</w:t>
      </w:r>
      <w:r>
        <w:rPr>
          <w:rFonts w:eastAsia="华文仿宋"/>
          <w:sz w:val="24"/>
          <w:highlight w:val="none"/>
        </w:rPr>
        <w:t>和要求</w:t>
      </w:r>
      <w:bookmarkEnd w:id="43"/>
    </w:p>
    <w:p>
      <w:pPr>
        <w:jc w:val="left"/>
        <w:rPr>
          <w:rFonts w:ascii="仿宋_GB2312" w:hAnsi="宋体" w:eastAsia="仿宋_GB2312" w:cs="宋体"/>
          <w:b/>
          <w:bCs/>
          <w:szCs w:val="24"/>
          <w:highlight w:val="none"/>
        </w:rPr>
      </w:pPr>
      <w:bookmarkStart w:id="44" w:name="_Toc2196752"/>
      <w:bookmarkStart w:id="45" w:name="_Toc54860661"/>
      <w:bookmarkStart w:id="46" w:name="_Toc536513591"/>
      <w:r>
        <w:rPr>
          <w:rFonts w:hint="eastAsia" w:ascii="仿宋_GB2312" w:hAnsi="宋体" w:eastAsia="仿宋_GB2312" w:cs="宋体"/>
          <w:b/>
          <w:bCs/>
          <w:szCs w:val="24"/>
          <w:highlight w:val="none"/>
        </w:rPr>
        <w:t>3.</w:t>
      </w:r>
      <w:r>
        <w:rPr>
          <w:rFonts w:ascii="仿宋_GB2312" w:hAnsi="宋体" w:eastAsia="仿宋_GB2312" w:cs="宋体"/>
          <w:b/>
          <w:bCs/>
          <w:szCs w:val="24"/>
          <w:highlight w:val="none"/>
        </w:rPr>
        <w:t>1</w:t>
      </w:r>
      <w:r>
        <w:rPr>
          <w:rFonts w:hint="eastAsia" w:ascii="仿宋_GB2312" w:hAnsi="宋体" w:eastAsia="仿宋_GB2312" w:cs="宋体"/>
          <w:b/>
          <w:bCs/>
          <w:szCs w:val="24"/>
          <w:highlight w:val="none"/>
        </w:rPr>
        <w:t>.1潜污泵安装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3.1.1.1潜污泵安装前应将水池内所有建筑垃圾清理干净，以免造成水泵堵塞。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3.1.1.2</w:t>
      </w:r>
      <w:r>
        <w:rPr>
          <w:rFonts w:hint="eastAsia" w:ascii="仿宋_GB2312" w:hAnsi="仿宋_GB2312" w:eastAsia="仿宋_GB2312" w:cs="仿宋_GB2312"/>
          <w:highlight w:val="none"/>
          <w:lang w:eastAsia="zh-CN"/>
        </w:rPr>
        <w:t>安装</w:t>
      </w:r>
      <w:r>
        <w:rPr>
          <w:rFonts w:hint="eastAsia" w:ascii="仿宋_GB2312" w:hAnsi="仿宋_GB2312" w:eastAsia="仿宋_GB2312" w:cs="仿宋_GB2312"/>
          <w:highlight w:val="none"/>
        </w:rPr>
        <w:t>基础</w:t>
      </w:r>
      <w:r>
        <w:rPr>
          <w:rFonts w:hint="eastAsia" w:ascii="仿宋_GB2312" w:hAnsi="仿宋_GB2312" w:eastAsia="仿宋_GB2312" w:cs="仿宋_GB2312"/>
          <w:highlight w:val="none"/>
          <w:lang w:eastAsia="zh-CN"/>
        </w:rPr>
        <w:t>应满足水泵安装要求</w:t>
      </w:r>
      <w:r>
        <w:rPr>
          <w:rFonts w:hint="eastAsia" w:ascii="仿宋_GB2312" w:hAnsi="仿宋_GB2312" w:eastAsia="仿宋_GB2312" w:cs="仿宋_GB2312"/>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自动耦合装置中的两根导轨应垂直安装并保持互相平行。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自动耦合装置中的螺栓、螺母等所有联接件安装时应紧固。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潜污泵</w:t>
      </w:r>
      <w:r>
        <w:rPr>
          <w:rFonts w:hint="eastAsia" w:ascii="仿宋_GB2312" w:hAnsi="仿宋_GB2312" w:eastAsia="仿宋_GB2312" w:cs="仿宋_GB2312"/>
          <w:highlight w:val="none"/>
          <w:lang w:eastAsia="zh-CN"/>
        </w:rPr>
        <w:t>安装完成后密封良好，无倾斜漏水现象。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6水泵进出水</w:t>
      </w:r>
      <w:r>
        <w:rPr>
          <w:rFonts w:hint="eastAsia" w:ascii="仿宋_GB2312" w:hAnsi="仿宋_GB2312" w:eastAsia="仿宋_GB2312" w:cs="仿宋_GB2312"/>
          <w:highlight w:val="none"/>
        </w:rPr>
        <w:t>口</w:t>
      </w:r>
      <w:r>
        <w:rPr>
          <w:rFonts w:hint="eastAsia" w:ascii="仿宋_GB2312" w:hAnsi="仿宋_GB2312" w:eastAsia="仿宋_GB2312" w:cs="仿宋_GB2312"/>
          <w:highlight w:val="none"/>
          <w:lang w:eastAsia="zh-CN"/>
        </w:rPr>
        <w:t>与</w:t>
      </w:r>
      <w:r>
        <w:rPr>
          <w:rFonts w:hint="eastAsia" w:ascii="仿宋_GB2312" w:hAnsi="仿宋_GB2312" w:eastAsia="仿宋_GB2312" w:cs="仿宋_GB2312"/>
          <w:highlight w:val="none"/>
        </w:rPr>
        <w:t>自动耦合</w:t>
      </w:r>
      <w:r>
        <w:rPr>
          <w:rFonts w:hint="eastAsia" w:ascii="仿宋_GB2312" w:hAnsi="仿宋_GB2312" w:eastAsia="仿宋_GB2312" w:cs="仿宋_GB2312"/>
          <w:highlight w:val="none"/>
          <w:lang w:eastAsia="zh-CN"/>
        </w:rPr>
        <w:t>装置</w:t>
      </w:r>
      <w:r>
        <w:rPr>
          <w:rFonts w:hint="eastAsia" w:ascii="仿宋_GB2312" w:hAnsi="仿宋_GB2312" w:eastAsia="仿宋_GB2312" w:cs="仿宋_GB2312"/>
          <w:highlight w:val="none"/>
        </w:rPr>
        <w:t>密封可靠。</w:t>
      </w:r>
    </w:p>
    <w:p>
      <w:pPr>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3.1.1.</w:t>
      </w:r>
      <w:r>
        <w:rPr>
          <w:rFonts w:hint="eastAsia" w:ascii="仿宋_GB2312" w:hAnsi="仿宋_GB2312" w:eastAsia="仿宋_GB2312" w:cs="仿宋_GB2312"/>
          <w:highlight w:val="none"/>
          <w:lang w:val="en-US" w:eastAsia="zh-CN"/>
        </w:rPr>
        <w:t>6水泵安装完成后各项使用功能测试正常。</w:t>
      </w:r>
    </w:p>
    <w:p>
      <w:pPr>
        <w:jc w:val="left"/>
        <w:rPr>
          <w:rFonts w:ascii="仿宋_GB2312" w:hAnsi="宋体" w:eastAsia="仿宋_GB2312" w:cs="宋体"/>
          <w:b/>
          <w:bCs/>
          <w:szCs w:val="24"/>
          <w:highlight w:val="none"/>
        </w:rPr>
      </w:pPr>
      <w:r>
        <w:rPr>
          <w:rFonts w:hint="eastAsia" w:ascii="仿宋_GB2312" w:hAnsi="宋体" w:eastAsia="仿宋_GB2312" w:cs="宋体"/>
          <w:b/>
          <w:bCs/>
          <w:szCs w:val="24"/>
          <w:highlight w:val="none"/>
        </w:rPr>
        <w:t>3.1.2管道安装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3.1.2.1明装钢管成排安装时，直线部分应互相平行。曲线部分，当管道水平或垂直平行时，应与直线部分保持等距，管道水平上下并行时，曲率半径应相等。</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3.1.2.</w:t>
      </w:r>
      <w:r>
        <w:rPr>
          <w:rFonts w:hint="eastAsia" w:ascii="仿宋_GB2312" w:hAnsi="仿宋_GB2312" w:eastAsia="仿宋_GB2312" w:cs="仿宋_GB2312"/>
          <w:highlight w:val="none"/>
          <w:lang w:val="en-US" w:eastAsia="zh-CN"/>
        </w:rPr>
        <w:t>2管道</w:t>
      </w:r>
      <w:r>
        <w:rPr>
          <w:rFonts w:hint="eastAsia" w:ascii="仿宋_GB2312" w:hAnsi="仿宋_GB2312" w:eastAsia="仿宋_GB2312" w:cs="仿宋_GB2312"/>
          <w:highlight w:val="none"/>
        </w:rPr>
        <w:t>支架</w:t>
      </w:r>
      <w:r>
        <w:rPr>
          <w:rFonts w:hint="eastAsia" w:ascii="仿宋_GB2312" w:hAnsi="仿宋_GB2312" w:eastAsia="仿宋_GB2312" w:cs="仿宋_GB2312"/>
          <w:highlight w:val="none"/>
          <w:lang w:eastAsia="zh-CN"/>
        </w:rPr>
        <w:t>安装</w:t>
      </w:r>
      <w:r>
        <w:rPr>
          <w:rFonts w:hint="eastAsia" w:ascii="仿宋_GB2312" w:hAnsi="仿宋_GB2312" w:eastAsia="仿宋_GB2312" w:cs="仿宋_GB2312"/>
          <w:highlight w:val="none"/>
        </w:rPr>
        <w:t>间距</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弯曲钢管、弯曲半径</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坡度应符合相关规范的规定。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各种管道接口应该符合要求，连接平整、严密牢固。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管道的连接应可靠，无漏水，管道无掉漆。</w:t>
      </w:r>
    </w:p>
    <w:p>
      <w:pPr>
        <w:jc w:val="left"/>
        <w:rPr>
          <w:rFonts w:hint="eastAsia" w:ascii="仿宋_GB2312" w:hAnsi="宋体" w:eastAsia="仿宋_GB2312" w:cs="宋体"/>
          <w:b/>
          <w:bCs/>
          <w:szCs w:val="24"/>
          <w:highlight w:val="none"/>
        </w:rPr>
      </w:pPr>
      <w:bookmarkStart w:id="47" w:name="_Toc2976"/>
      <w:bookmarkStart w:id="48" w:name="_Toc66215620"/>
      <w:r>
        <w:rPr>
          <w:rFonts w:hint="eastAsia" w:ascii="仿宋_GB2312" w:hAnsi="宋体" w:eastAsia="仿宋_GB2312" w:cs="宋体"/>
          <w:b/>
          <w:bCs/>
          <w:szCs w:val="24"/>
          <w:highlight w:val="none"/>
        </w:rPr>
        <w:t>3.1.3消防水泵接合器及室外消火栓安装</w:t>
      </w:r>
      <w:bookmarkEnd w:id="47"/>
      <w:bookmarkEnd w:id="48"/>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3.1.3.1消防水泵接合器及室外消火栓位置标志应明显，并应按照国家标准图集安装。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3.1.3.2其余各项应符合《建筑给水排水及采暖工程施工质量验收规范》GB50242-2002中有关规定。</w:t>
      </w:r>
    </w:p>
    <w:p>
      <w:pPr>
        <w:jc w:val="left"/>
        <w:rPr>
          <w:rFonts w:ascii="仿宋_GB2312" w:hAnsi="宋体" w:eastAsia="仿宋_GB2312" w:cs="宋体"/>
          <w:b/>
          <w:bCs/>
          <w:szCs w:val="24"/>
          <w:highlight w:val="none"/>
        </w:rPr>
      </w:pPr>
      <w:bookmarkStart w:id="49" w:name="_Toc32184"/>
      <w:bookmarkStart w:id="50" w:name="_Toc66215621"/>
      <w:r>
        <w:rPr>
          <w:rFonts w:hint="eastAsia" w:ascii="仿宋_GB2312" w:hAnsi="宋体" w:eastAsia="仿宋_GB2312" w:cs="宋体"/>
          <w:b/>
          <w:bCs/>
          <w:szCs w:val="24"/>
          <w:highlight w:val="none"/>
        </w:rPr>
        <w:t>3.1.4室内消火栓安装</w:t>
      </w:r>
      <w:bookmarkEnd w:id="49"/>
      <w:bookmarkEnd w:id="50"/>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3.1.4.1消火栓箱安装应符合《建筑给水排水及采暖工程施工质量验收规范》GB50242-2002和《室内消火栓安装》15S202中有关规定。</w:t>
      </w:r>
    </w:p>
    <w:p>
      <w:pPr>
        <w:jc w:val="left"/>
        <w:rPr>
          <w:rFonts w:ascii="仿宋_GB2312" w:hAnsi="宋体" w:eastAsia="仿宋_GB2312" w:cs="宋体"/>
          <w:b/>
          <w:bCs/>
          <w:szCs w:val="24"/>
          <w:highlight w:val="none"/>
        </w:rPr>
      </w:pPr>
      <w:bookmarkStart w:id="51" w:name="_Toc2468"/>
      <w:bookmarkStart w:id="52" w:name="_Toc66215622"/>
      <w:r>
        <w:rPr>
          <w:rFonts w:hint="eastAsia" w:ascii="仿宋_GB2312" w:hAnsi="宋体" w:eastAsia="仿宋_GB2312" w:cs="宋体"/>
          <w:b/>
          <w:bCs/>
          <w:szCs w:val="24"/>
          <w:highlight w:val="none"/>
        </w:rPr>
        <w:t>3.1.5阀门、管件</w:t>
      </w:r>
      <w:bookmarkEnd w:id="51"/>
      <w:bookmarkEnd w:id="52"/>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3.1.5.1阀门、管件等在安装前均应进行检查，并清除管内、管口杂物。</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3.1.5.2阀门安装位置、方向应符合要求，阀门、管件的连接应牢固、紧密，不得有渗漏现象。安装后，阀门与管道中心线应垂直，操作机构灵活、准确；有传动装置的阀门，指示机构指示的位置应正确，传动可靠，无卡涩现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3.1.5.3阀门安装应保证其型号、规格符合要求，表面洁净，朝向正确，启闭灵活。</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3.1.5.4管件表面不得有裂纹、重皮和麻面。</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3.1.5.5电动蝶阀采用一体化启动器和按钮盘的电动执行机构，不单独设现场控制箱，提供220V 供电端子和24V 控制端子，满足FAS 的控制（开、关）。</w:t>
      </w:r>
    </w:p>
    <w:p>
      <w:pPr>
        <w:jc w:val="left"/>
        <w:rPr>
          <w:rFonts w:ascii="仿宋_GB2312" w:hAnsi="宋体" w:eastAsia="仿宋_GB2312" w:cs="宋体"/>
          <w:b/>
          <w:bCs/>
          <w:szCs w:val="24"/>
          <w:highlight w:val="none"/>
        </w:rPr>
      </w:pPr>
      <w:bookmarkStart w:id="53" w:name="_Toc391456652"/>
      <w:bookmarkStart w:id="54" w:name="_Toc66215623"/>
      <w:bookmarkStart w:id="55" w:name="_Toc7051"/>
      <w:r>
        <w:rPr>
          <w:rFonts w:hint="eastAsia" w:ascii="仿宋_GB2312" w:hAnsi="宋体" w:eastAsia="仿宋_GB2312" w:cs="宋体"/>
          <w:b/>
          <w:bCs/>
          <w:szCs w:val="24"/>
          <w:highlight w:val="none"/>
        </w:rPr>
        <w:t>3.1.6管道支、吊、托架制作安装</w:t>
      </w:r>
      <w:bookmarkEnd w:id="53"/>
      <w:bookmarkEnd w:id="54"/>
      <w:bookmarkEnd w:id="55"/>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所有支、吊、托架（不含区间）均参照《室内管道支架和吊架》（03S402）施工。但DN150 涂塑钢管给水管设在站台板以下及道床边墙处时，其固定支架的距离不宜大于2m，并和主体结构固定，转弯处应有固定措施。所有管道支、吊、托架均须做热镀锌处理。</w:t>
      </w:r>
    </w:p>
    <w:p>
      <w:pPr>
        <w:jc w:val="left"/>
        <w:rPr>
          <w:rFonts w:ascii="仿宋_GB2312" w:hAnsi="宋体" w:eastAsia="仿宋_GB2312" w:cs="宋体"/>
          <w:b/>
          <w:bCs/>
          <w:szCs w:val="24"/>
          <w:highlight w:val="none"/>
        </w:rPr>
      </w:pPr>
      <w:bookmarkStart w:id="56" w:name="_Toc66215625"/>
      <w:r>
        <w:rPr>
          <w:rFonts w:hint="eastAsia" w:ascii="仿宋_GB2312" w:hAnsi="宋体" w:eastAsia="仿宋_GB2312" w:cs="宋体"/>
          <w:b/>
          <w:bCs/>
          <w:szCs w:val="24"/>
          <w:highlight w:val="none"/>
        </w:rPr>
        <w:t>3.1.7接水槽、挡雨棚、护栏安装</w:t>
      </w:r>
      <w:bookmarkEnd w:id="56"/>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3.1.7.1安装前现场测量实际尺寸，材料加工在车站外加工好后现场安装。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3.1.7.2接水槽、挡雨棚、护栏材料全部采用不锈钢</w:t>
      </w:r>
      <w:r>
        <w:rPr>
          <w:rFonts w:hint="eastAsia" w:ascii="仿宋_GB2312" w:hAnsi="仿宋_GB2312" w:eastAsia="仿宋_GB2312" w:cs="仿宋_GB2312"/>
          <w:highlight w:val="none"/>
          <w:lang w:val="en-US" w:eastAsia="zh-CN"/>
        </w:rPr>
        <w:t>材质</w:t>
      </w:r>
      <w:r>
        <w:rPr>
          <w:rFonts w:hint="eastAsia" w:ascii="仿宋_GB2312" w:hAnsi="仿宋_GB2312" w:eastAsia="仿宋_GB2312" w:cs="仿宋_GB2312"/>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3.1.7.</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接水槽、挡雨棚、护栏</w:t>
      </w:r>
      <w:r>
        <w:rPr>
          <w:rFonts w:hint="eastAsia" w:ascii="仿宋_GB2312" w:hAnsi="仿宋_GB2312" w:eastAsia="仿宋_GB2312" w:cs="仿宋_GB2312"/>
          <w:highlight w:val="none"/>
          <w:lang w:eastAsia="zh-CN"/>
        </w:rPr>
        <w:t>安装牢固可靠。</w:t>
      </w:r>
    </w:p>
    <w:p>
      <w:pPr>
        <w:jc w:val="left"/>
        <w:rPr>
          <w:rFonts w:ascii="宋体" w:hAnsi="宋体"/>
          <w:kern w:val="0"/>
          <w:szCs w:val="24"/>
          <w:highlight w:val="none"/>
        </w:rPr>
      </w:pPr>
      <w:r>
        <w:rPr>
          <w:rFonts w:hint="eastAsia" w:ascii="仿宋_GB2312" w:hAnsi="宋体" w:eastAsia="仿宋_GB2312" w:cs="宋体"/>
          <w:b/>
          <w:bCs/>
          <w:szCs w:val="24"/>
          <w:highlight w:val="none"/>
        </w:rPr>
        <w:t>3.1.8低压配电箱（柜）的安装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3.1.8.1盘面器件应有标注颜色应正确、清晰，内部设备元件齐全完整，一次接线应标注回路名称。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3.1.8.2配电柜的上方</w:t>
      </w:r>
      <w:r>
        <w:rPr>
          <w:rFonts w:hint="eastAsia" w:ascii="仿宋_GB2312" w:hAnsi="仿宋_GB2312" w:eastAsia="仿宋_GB2312" w:cs="仿宋_GB2312"/>
          <w:highlight w:val="none"/>
          <w:lang w:eastAsia="zh-CN"/>
        </w:rPr>
        <w:t>原则上</w:t>
      </w:r>
      <w:r>
        <w:rPr>
          <w:rFonts w:hint="eastAsia" w:ascii="仿宋_GB2312" w:hAnsi="仿宋_GB2312" w:eastAsia="仿宋_GB2312" w:cs="仿宋_GB2312"/>
          <w:highlight w:val="none"/>
        </w:rPr>
        <w:t>不应敷设管道，柜底座周围应采取封闭措施，并能防止鼠、蛇等小动物进入柜内。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3.1.8.3二次回路接线</w:t>
      </w:r>
      <w:r>
        <w:rPr>
          <w:rFonts w:hint="eastAsia" w:ascii="仿宋_GB2312" w:hAnsi="仿宋_GB2312" w:eastAsia="仿宋_GB2312" w:cs="仿宋_GB2312"/>
          <w:highlight w:val="none"/>
          <w:lang w:eastAsia="zh-CN"/>
        </w:rPr>
        <w:t>规范</w:t>
      </w:r>
      <w:r>
        <w:rPr>
          <w:rFonts w:hint="eastAsia" w:ascii="仿宋_GB2312" w:hAnsi="仿宋_GB2312" w:eastAsia="仿宋_GB2312" w:cs="仿宋_GB2312"/>
          <w:highlight w:val="none"/>
        </w:rPr>
        <w:t>正确，连接可靠，电缆芯线和所配导线的端部均应标明其回路编号。</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3.1.8.4引进柜内的控制电缆应排列整齐，避免交叉，电缆型号、规格应符合</w:t>
      </w:r>
      <w:r>
        <w:rPr>
          <w:rFonts w:hint="eastAsia" w:ascii="仿宋_GB2312" w:hAnsi="仿宋_GB2312" w:eastAsia="仿宋_GB2312" w:cs="仿宋_GB2312"/>
          <w:highlight w:val="none"/>
          <w:lang w:val="en-US" w:eastAsia="zh-CN"/>
        </w:rPr>
        <w:t>规范</w:t>
      </w:r>
      <w:r>
        <w:rPr>
          <w:rFonts w:hint="eastAsia" w:ascii="仿宋_GB2312" w:hAnsi="仿宋_GB2312" w:eastAsia="仿宋_GB2312" w:cs="仿宋_GB2312"/>
          <w:highlight w:val="none"/>
        </w:rPr>
        <w:t>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3.1.8.5盘、柜及盘、柜内设备与各构件间连接应牢固。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3.1.8.6端子箱安装应牢固，封闭良好，并应能防潮、防尘。安装的位置应便于检查；成列安装时，应排列整齐。</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配电箱的安装应执行《建筑电气工程施工质量验收规范》（GB50303）等标准。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动力箱、配电箱、电控箱（柜）的金属外壳的接地另一端应与的</w:t>
      </w:r>
      <w:r>
        <w:rPr>
          <w:rFonts w:hint="eastAsia" w:ascii="仿宋_GB2312" w:hAnsi="仿宋_GB2312" w:eastAsia="仿宋_GB2312" w:cs="仿宋_GB2312"/>
          <w:highlight w:val="none"/>
          <w:lang w:eastAsia="zh-CN"/>
        </w:rPr>
        <w:t>主</w:t>
      </w:r>
      <w:r>
        <w:rPr>
          <w:rFonts w:hint="eastAsia" w:ascii="仿宋_GB2312" w:hAnsi="仿宋_GB2312" w:eastAsia="仿宋_GB2312" w:cs="仿宋_GB2312"/>
          <w:highlight w:val="none"/>
        </w:rPr>
        <w:t xml:space="preserve">接地线相连接。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3.1.8.</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所有配电箱的电缆均采用下进下出接线方式。</w:t>
      </w:r>
    </w:p>
    <w:p>
      <w:pPr>
        <w:jc w:val="left"/>
        <w:rPr>
          <w:rFonts w:ascii="仿宋_GB2312" w:hAnsi="宋体" w:eastAsia="仿宋_GB2312" w:cs="宋体"/>
          <w:b/>
          <w:bCs/>
          <w:szCs w:val="24"/>
          <w:highlight w:val="none"/>
        </w:rPr>
      </w:pPr>
      <w:r>
        <w:rPr>
          <w:rFonts w:hint="eastAsia" w:ascii="仿宋_GB2312" w:hAnsi="宋体" w:eastAsia="仿宋_GB2312" w:cs="宋体"/>
          <w:b/>
          <w:bCs/>
          <w:szCs w:val="24"/>
          <w:highlight w:val="none"/>
        </w:rPr>
        <w:t>3.1.9电缆线路敷设</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3.1.9.1电缆线路敷设执行《电气装置工程电缆线路施工及验收规范》（GB50168）。</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电缆敷设前应检查电缆支架、桥架、吊架、托架等预埋件的牢固，预留孔、洞、槽正确、电缆夹层、沟、隧道、电缆井无杂物和积水，</w:t>
      </w:r>
      <w:r>
        <w:rPr>
          <w:rFonts w:hint="eastAsia" w:ascii="仿宋_GB2312" w:hAnsi="仿宋_GB2312" w:eastAsia="仿宋_GB2312" w:cs="仿宋_GB2312"/>
          <w:highlight w:val="none"/>
          <w:lang w:eastAsia="zh-CN"/>
        </w:rPr>
        <w:t>敷设</w:t>
      </w:r>
      <w:r>
        <w:rPr>
          <w:rFonts w:hint="eastAsia" w:ascii="仿宋_GB2312" w:hAnsi="仿宋_GB2312" w:eastAsia="仿宋_GB2312" w:cs="仿宋_GB2312"/>
          <w:highlight w:val="none"/>
        </w:rPr>
        <w:t>路径畅通，电缆滚动前，应检查电缆盘牢固，滚动应顺着电缆盘上的箭头指示或电缆缠紧方向，再穿过站台板、轨道、建筑物时应穿管防护。</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3.1.9.4电缆爬升、转弯、进行电缆支架、进柜前刚性固定。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3.1.9.5区间电缆每个悬挂点处固定。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3.1.9.6电缆标牌字迹清晰、准确，标牌规格统一，挂装牢固。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3.1.9.7电缆敷设完毕后对电缆路径上的沟、槽、管、洞进行封堵。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3.1.9.8封堵材料应防火及防鼠。</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3.1.9.9电缆桥架全长均应有良好的接地。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3.1.9.10电缆的各项参数须符合有关技术指标的要求。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bookmarkStart w:id="57" w:name="_Toc325917441"/>
      <w:r>
        <w:rPr>
          <w:rFonts w:hint="eastAsia" w:ascii="仿宋_GB2312" w:hAnsi="仿宋_GB2312" w:eastAsia="仿宋_GB2312" w:cs="仿宋_GB2312"/>
          <w:highlight w:val="none"/>
        </w:rPr>
        <w:t>3.1.9.11</w:t>
      </w:r>
      <w:bookmarkEnd w:id="57"/>
      <w:r>
        <w:rPr>
          <w:rFonts w:hint="eastAsia" w:ascii="仿宋_GB2312" w:hAnsi="仿宋_GB2312" w:eastAsia="仿宋_GB2312" w:cs="仿宋_GB2312"/>
          <w:highlight w:val="none"/>
        </w:rPr>
        <w:t>从桥架、支架引至设备、墙外表面或屋内行人容易接近处和其他可能受到机械损伤的地方，电缆应有一定机械强度的保护管保护，水泵房出线及部分风机电缆采用穿镀锌钢管敷设方式。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3.1.9.12电缆终端头与电缆接头的制作：应严格遵守制作工艺规程，电缆终端头应按整改需要安装在指定位置，带电部分对地净距离应满足室内配电装置最小安全净距的要求。并牢固地固定在支架或框架上。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3.1.9.13电缆芯线连接时，其连接管和线鼻子的规格应与线芯规格相符。</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3.1.9.14电缆管线穿越站厅、站台、风道、风室时，其孔洞应采用防火材料封堵。</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3.1.9.15电线管路中间加装接线盒，应符合国标《建筑电气工程施工质量验收规范》</w:t>
      </w:r>
      <w:r>
        <w:rPr>
          <w:rFonts w:hint="eastAsia" w:ascii="仿宋_GB2312" w:hAnsi="仿宋_GB2312" w:eastAsia="仿宋_GB2312" w:cs="仿宋_GB2312"/>
          <w:highlight w:val="none"/>
          <w:lang w:eastAsia="zh-CN"/>
        </w:rPr>
        <w:t>。</w:t>
      </w:r>
    </w:p>
    <w:p>
      <w:pPr>
        <w:jc w:val="left"/>
        <w:rPr>
          <w:rFonts w:ascii="仿宋_GB2312" w:hAnsi="宋体" w:eastAsia="仿宋_GB2312" w:cs="宋体"/>
          <w:b/>
          <w:bCs/>
          <w:szCs w:val="24"/>
          <w:highlight w:val="none"/>
        </w:rPr>
      </w:pPr>
      <w:bookmarkStart w:id="58" w:name="_Toc391456663"/>
      <w:r>
        <w:rPr>
          <w:rFonts w:hint="eastAsia" w:ascii="仿宋_GB2312" w:hAnsi="宋体" w:eastAsia="仿宋_GB2312" w:cs="宋体"/>
          <w:b/>
          <w:bCs/>
          <w:szCs w:val="24"/>
          <w:highlight w:val="none"/>
        </w:rPr>
        <w:t>3.1.10接地装置安装</w:t>
      </w:r>
      <w:bookmarkEnd w:id="58"/>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3.1.10.1接地试验端子的安装位置、数量应符合检修要求。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3.1.10.2接地电缆、接地线、接地扁钢不应用作其他用途。</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3.1.10.3接地线及其连接应保证牢固、可靠、安全、接触良好。</w:t>
      </w:r>
    </w:p>
    <w:p>
      <w:pPr>
        <w:jc w:val="left"/>
        <w:rPr>
          <w:rFonts w:ascii="仿宋_GB2312" w:hAnsi="宋体" w:eastAsia="仿宋_GB2312" w:cs="宋体"/>
          <w:bCs/>
          <w:color w:val="ED7D31" w:themeColor="accent2"/>
          <w:szCs w:val="24"/>
          <w:highlight w:val="none"/>
          <w14:textFill>
            <w14:solidFill>
              <w14:schemeClr w14:val="accent2"/>
            </w14:solidFill>
          </w14:textFill>
        </w:rPr>
      </w:pPr>
      <w:bookmarkStart w:id="59" w:name="_Toc391456643"/>
      <w:r>
        <w:rPr>
          <w:rFonts w:hint="eastAsia" w:ascii="仿宋_GB2312" w:hAnsi="宋体" w:eastAsia="仿宋_GB2312" w:cs="宋体"/>
          <w:b/>
          <w:bCs/>
          <w:szCs w:val="24"/>
          <w:highlight w:val="none"/>
        </w:rPr>
        <w:t>3.1.11防火卷帘安装问题整改技术标准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3.1.11.1防火卷帘</w:t>
      </w:r>
      <w:r>
        <w:rPr>
          <w:rFonts w:hint="eastAsia" w:ascii="仿宋_GB2312" w:hAnsi="仿宋_GB2312" w:eastAsia="仿宋_GB2312" w:cs="仿宋_GB2312"/>
          <w:highlight w:val="none"/>
          <w:lang w:eastAsia="zh-CN"/>
        </w:rPr>
        <w:t>安装应符合《GB 50877-2014 防火卷帘防火门防火窗施工及验收规范》相关规定。</w:t>
      </w:r>
      <w:r>
        <w:rPr>
          <w:rFonts w:hint="eastAsia" w:ascii="仿宋_GB2312" w:hAnsi="仿宋_GB2312" w:eastAsia="仿宋_GB2312" w:cs="仿宋_GB2312"/>
          <w:highlight w:val="none"/>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3.1.11.2</w:t>
      </w:r>
      <w:r>
        <w:rPr>
          <w:rFonts w:hint="eastAsia" w:ascii="仿宋_GB2312" w:hAnsi="仿宋_GB2312" w:eastAsia="仿宋_GB2312" w:cs="仿宋_GB2312"/>
          <w:highlight w:val="none"/>
          <w:lang w:eastAsia="zh-CN"/>
        </w:rPr>
        <w:t>防火卷帘安装整改完成后应进行手动和联动测试，动作灵活，运行正常。</w:t>
      </w:r>
    </w:p>
    <w:p>
      <w:pPr>
        <w:jc w:val="left"/>
        <w:rPr>
          <w:rFonts w:ascii="仿宋_GB2312" w:hAnsi="宋体" w:eastAsia="仿宋_GB2312" w:cs="宋体"/>
          <w:b/>
          <w:bCs/>
          <w:szCs w:val="24"/>
          <w:highlight w:val="none"/>
        </w:rPr>
      </w:pPr>
      <w:r>
        <w:rPr>
          <w:rFonts w:hint="eastAsia" w:ascii="仿宋_GB2312" w:hAnsi="宋体" w:eastAsia="仿宋_GB2312" w:cs="宋体"/>
          <w:b/>
          <w:bCs/>
          <w:szCs w:val="24"/>
          <w:highlight w:val="none"/>
        </w:rPr>
        <w:t>3.1.12风管及部件安装</w:t>
      </w:r>
      <w:bookmarkEnd w:id="59"/>
      <w:r>
        <w:rPr>
          <w:rFonts w:hint="eastAsia" w:ascii="仿宋_GB2312" w:hAnsi="宋体" w:eastAsia="仿宋_GB2312" w:cs="宋体"/>
          <w:b/>
          <w:bCs/>
          <w:szCs w:val="24"/>
          <w:highlight w:val="none"/>
        </w:rPr>
        <w:t>问题整改技术要求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3.1.12.1风管制作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1）制作风管</w:t>
      </w:r>
      <w:r>
        <w:rPr>
          <w:rFonts w:hint="eastAsia" w:ascii="仿宋_GB2312" w:hAnsi="仿宋_GB2312" w:eastAsia="仿宋_GB2312" w:cs="仿宋_GB2312"/>
          <w:highlight w:val="none"/>
          <w:lang w:val="en-US" w:eastAsia="zh-CN"/>
        </w:rPr>
        <w:t>要求</w:t>
      </w:r>
      <w:r>
        <w:rPr>
          <w:rFonts w:hint="eastAsia" w:ascii="仿宋_GB2312" w:hAnsi="仿宋_GB2312" w:eastAsia="仿宋_GB2312" w:cs="仿宋_GB2312"/>
          <w:highlight w:val="none"/>
        </w:rPr>
        <w:t>严格按照国标GB50243-20</w:t>
      </w:r>
      <w:r>
        <w:rPr>
          <w:rFonts w:hint="eastAsia" w:ascii="仿宋_GB2312" w:hAnsi="仿宋_GB2312" w:eastAsia="仿宋_GB2312" w:cs="仿宋_GB2312"/>
          <w:highlight w:val="none"/>
          <w:lang w:val="en-US" w:eastAsia="zh-CN"/>
        </w:rPr>
        <w:t>16</w:t>
      </w:r>
      <w:r>
        <w:rPr>
          <w:rFonts w:hint="eastAsia" w:ascii="仿宋_GB2312" w:hAnsi="仿宋_GB2312" w:eastAsia="仿宋_GB2312" w:cs="仿宋_GB2312"/>
          <w:highlight w:val="none"/>
        </w:rPr>
        <w:t>的规定执行。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）复合板材的内外覆面层粘贴应牢固，表面平整无破损，内部绝</w:t>
      </w:r>
      <w:r>
        <w:rPr>
          <w:rFonts w:hint="eastAsia" w:ascii="仿宋_GB2312" w:hAnsi="仿宋_GB2312" w:eastAsia="仿宋_GB2312" w:cs="仿宋_GB2312"/>
          <w:highlight w:val="none"/>
          <w:lang w:eastAsia="zh-CN"/>
        </w:rPr>
        <w:t>热材料不得外露</w:t>
      </w:r>
      <w:r>
        <w:rPr>
          <w:rFonts w:hint="eastAsia" w:ascii="仿宋_GB2312" w:hAnsi="仿宋_GB2312" w:eastAsia="仿宋_GB2312" w:cs="仿宋_GB2312"/>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）风管表面应平整，圆弧均匀，不得有横向拼接缝，并尽量减少纵向拼接缝，纵向接缝应错开。咬口缝应紧密，宽度均匀。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）柔性短管长度一般为150～250 mm，其接缝处应严密和牢固，安装时应注意松紧要适当，不得扭曲，并不得作为异径管使用。柔性短管应按不同系统采用不同的材质。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3.1.12.2风管及部件安装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1）风管安装尺寸和位置应符合</w:t>
      </w:r>
      <w:r>
        <w:rPr>
          <w:rFonts w:hint="eastAsia" w:ascii="仿宋_GB2312" w:hAnsi="仿宋_GB2312" w:eastAsia="仿宋_GB2312" w:cs="仿宋_GB2312"/>
          <w:highlight w:val="none"/>
          <w:lang w:val="en-US" w:eastAsia="zh-CN"/>
        </w:rPr>
        <w:t>规范</w:t>
      </w:r>
      <w:r>
        <w:rPr>
          <w:rFonts w:hint="eastAsia" w:ascii="仿宋_GB2312" w:hAnsi="仿宋_GB2312" w:eastAsia="仿宋_GB2312" w:cs="仿宋_GB2312"/>
          <w:highlight w:val="none"/>
        </w:rPr>
        <w:t>要求，且法兰不得设置在墙洞内。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2）风管法兰连接时，应垫合适的法兰垫料</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垫料要与法兰齐平，不得凸入管内。</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3）风管法兰的连接</w:t>
      </w:r>
      <w:r>
        <w:rPr>
          <w:rFonts w:hint="eastAsia" w:ascii="仿宋_GB2312" w:hAnsi="仿宋_GB2312" w:eastAsia="仿宋_GB2312" w:cs="仿宋_GB2312"/>
          <w:highlight w:val="none"/>
          <w:lang w:val="en-US" w:eastAsia="zh-CN"/>
        </w:rPr>
        <w:t>紧固</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不</w:t>
      </w:r>
      <w:r>
        <w:rPr>
          <w:rFonts w:hint="eastAsia" w:ascii="仿宋_GB2312" w:hAnsi="仿宋_GB2312" w:eastAsia="仿宋_GB2312" w:cs="仿宋_GB2312"/>
          <w:highlight w:val="none"/>
        </w:rPr>
        <w:t>漏风。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）保温安装要求</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保温材料下料要准确，切割面要平齐</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保温材料敷设平整、密实。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rPr>
        <w:t>3.1.12.3风口安装要求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安装风口前检查有无损坏、表面有无划痕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检查活动件是否灵活，叶片是否平直，与边框有无摩擦。风口安装要确保牢固可靠</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风口安装后应对风口活动件再次进行检查</w:t>
      </w:r>
      <w:r>
        <w:rPr>
          <w:rFonts w:hint="eastAsia" w:ascii="仿宋_GB2312" w:hAnsi="仿宋_GB2312" w:eastAsia="仿宋_GB2312" w:cs="仿宋_GB2312"/>
          <w:highlight w:val="none"/>
          <w:lang w:eastAsia="zh-CN"/>
        </w:rPr>
        <w:t>。</w:t>
      </w:r>
    </w:p>
    <w:p>
      <w:pPr>
        <w:jc w:val="left"/>
        <w:rPr>
          <w:rFonts w:hint="eastAsia" w:ascii="仿宋_GB2312" w:hAnsi="宋体" w:eastAsia="仿宋_GB2312" w:cs="宋体"/>
          <w:b/>
          <w:bCs/>
          <w:szCs w:val="24"/>
          <w:highlight w:val="none"/>
        </w:rPr>
      </w:pPr>
      <w:bookmarkStart w:id="60" w:name="_Toc391456647"/>
      <w:r>
        <w:rPr>
          <w:rFonts w:hint="eastAsia" w:ascii="仿宋_GB2312" w:hAnsi="宋体" w:eastAsia="仿宋_GB2312" w:cs="宋体"/>
          <w:b/>
          <w:bCs/>
          <w:szCs w:val="24"/>
          <w:highlight w:val="none"/>
        </w:rPr>
        <w:t>3.1.1</w:t>
      </w:r>
      <w:r>
        <w:rPr>
          <w:rFonts w:hint="eastAsia" w:ascii="仿宋_GB2312" w:hAnsi="宋体" w:eastAsia="仿宋_GB2312" w:cs="宋体"/>
          <w:b/>
          <w:bCs/>
          <w:szCs w:val="24"/>
          <w:highlight w:val="none"/>
          <w:lang w:val="en-US" w:eastAsia="zh-CN"/>
        </w:rPr>
        <w:t>3</w:t>
      </w:r>
      <w:r>
        <w:rPr>
          <w:rFonts w:hint="eastAsia" w:ascii="仿宋_GB2312" w:hAnsi="宋体" w:eastAsia="仿宋_GB2312" w:cs="宋体"/>
          <w:b/>
          <w:bCs/>
          <w:szCs w:val="24"/>
          <w:highlight w:val="none"/>
        </w:rPr>
        <w:t>多联空调系统</w:t>
      </w:r>
      <w:bookmarkEnd w:id="60"/>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3.1.13.1</w:t>
      </w:r>
      <w:r>
        <w:rPr>
          <w:rFonts w:hint="eastAsia" w:ascii="仿宋_GB2312" w:hAnsi="仿宋_GB2312" w:eastAsia="仿宋_GB2312" w:cs="仿宋_GB2312"/>
          <w:highlight w:val="none"/>
        </w:rPr>
        <w:t>冷媒管需安装于独立线槽内，冷媒管保温材料外层线槽技术要求：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1）线槽选用热镀锌金属线槽。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）支架材料应平直，无显著扭曲，全部配件应进行防腐处理。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）金属线槽应加盖板。</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3.1.13.2</w:t>
      </w:r>
      <w:r>
        <w:rPr>
          <w:rFonts w:hint="eastAsia" w:ascii="仿宋_GB2312" w:hAnsi="仿宋_GB2312" w:eastAsia="仿宋_GB2312" w:cs="仿宋_GB2312"/>
          <w:highlight w:val="none"/>
        </w:rPr>
        <w:t>对水平安装的冷媒管的支吊间距应符合国家现行相关标准的规定和要求，支吊应安全、稳固、可靠；</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3.1.13.3</w:t>
      </w:r>
      <w:r>
        <w:rPr>
          <w:rFonts w:hint="eastAsia" w:ascii="仿宋_GB2312" w:hAnsi="仿宋_GB2312" w:eastAsia="仿宋_GB2312" w:cs="仿宋_GB2312"/>
          <w:highlight w:val="none"/>
        </w:rPr>
        <w:t>当管道穿越墙或楼板时，应使用套管，套管材料应符合国家现行相关标准的规定。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仿宋_GB2312" w:eastAsia="仿宋_GB2312" w:cs="仿宋_GB2312"/>
          <w:highlight w:val="none"/>
        </w:rPr>
      </w:pPr>
      <w:r>
        <w:rPr>
          <w:rFonts w:hint="eastAsia" w:ascii="仿宋_GB2312" w:hAnsi="仿宋_GB2312" w:eastAsia="仿宋_GB2312" w:cs="仿宋_GB2312"/>
          <w:highlight w:val="none"/>
          <w:lang w:eastAsia="zh-CN"/>
        </w:rPr>
        <w:t>3.1.13</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凝结水排放</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仿宋_GB2312" w:hAnsi="仿宋_GB2312" w:eastAsia="仿宋_GB2312" w:cs="仿宋_GB2312"/>
          <w:highlight w:val="none"/>
        </w:rPr>
      </w:pPr>
      <w:r>
        <w:rPr>
          <w:rFonts w:hint="eastAsia" w:ascii="仿宋_GB2312" w:hAnsi="仿宋_GB2312" w:eastAsia="仿宋_GB2312" w:cs="仿宋_GB2312"/>
          <w:highlight w:val="none"/>
        </w:rPr>
        <w:t>1）凝结水排放采用镀锌钢管。</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仿宋_GB2312" w:hAnsi="仿宋_GB2312" w:eastAsia="仿宋_GB2312" w:cs="仿宋_GB2312"/>
          <w:highlight w:val="none"/>
        </w:rPr>
      </w:pPr>
      <w:r>
        <w:rPr>
          <w:rFonts w:hint="eastAsia" w:ascii="仿宋_GB2312" w:hAnsi="仿宋_GB2312" w:eastAsia="仿宋_GB2312" w:cs="仿宋_GB2312"/>
          <w:highlight w:val="none"/>
        </w:rPr>
        <w:t>2）所有冷凝水管</w:t>
      </w:r>
      <w:r>
        <w:rPr>
          <w:rFonts w:hint="eastAsia" w:ascii="仿宋_GB2312" w:hAnsi="仿宋_GB2312" w:eastAsia="仿宋_GB2312" w:cs="仿宋_GB2312"/>
          <w:highlight w:val="none"/>
          <w:lang w:eastAsia="zh-CN"/>
        </w:rPr>
        <w:t>安装</w:t>
      </w:r>
      <w:r>
        <w:rPr>
          <w:rFonts w:hint="eastAsia" w:ascii="仿宋_GB2312" w:hAnsi="仿宋_GB2312" w:eastAsia="仿宋_GB2312" w:cs="仿宋_GB2312"/>
          <w:highlight w:val="none"/>
        </w:rPr>
        <w:t>坡度</w:t>
      </w:r>
      <w:r>
        <w:rPr>
          <w:rFonts w:hint="eastAsia" w:ascii="仿宋_GB2312" w:hAnsi="仿宋_GB2312" w:eastAsia="仿宋_GB2312" w:cs="仿宋_GB2312"/>
          <w:highlight w:val="none"/>
          <w:lang w:eastAsia="zh-CN"/>
        </w:rPr>
        <w:t>满足要求</w:t>
      </w:r>
      <w:r>
        <w:rPr>
          <w:rFonts w:hint="eastAsia" w:ascii="仿宋_GB2312" w:hAnsi="仿宋_GB2312" w:eastAsia="仿宋_GB2312" w:cs="仿宋_GB2312"/>
          <w:highlight w:val="none"/>
        </w:rPr>
        <w:t>，水平管长度根据现场情况尽可能短，排水立管</w:t>
      </w:r>
      <w:r>
        <w:rPr>
          <w:rFonts w:hint="eastAsia" w:ascii="仿宋_GB2312" w:hAnsi="仿宋_GB2312" w:eastAsia="仿宋_GB2312" w:cs="仿宋_GB2312"/>
          <w:highlight w:val="none"/>
          <w:lang w:val="en-US" w:eastAsia="zh-CN"/>
        </w:rPr>
        <w:t>根据现场实际情况安装</w:t>
      </w:r>
      <w:r>
        <w:rPr>
          <w:rFonts w:hint="eastAsia" w:ascii="仿宋_GB2312" w:hAnsi="仿宋_GB2312" w:eastAsia="仿宋_GB2312" w:cs="仿宋_GB2312"/>
          <w:highlight w:val="none"/>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仿宋_GB2312" w:hAnsi="仿宋_GB2312" w:eastAsia="仿宋_GB2312" w:cs="仿宋_GB2312"/>
          <w:highlight w:val="none"/>
        </w:rPr>
      </w:pPr>
      <w:r>
        <w:rPr>
          <w:rFonts w:hint="eastAsia" w:ascii="仿宋_GB2312" w:hAnsi="仿宋_GB2312" w:eastAsia="仿宋_GB2312" w:cs="仿宋_GB2312"/>
          <w:highlight w:val="none"/>
        </w:rPr>
        <w:t>3）室内机冷凝水管应安装存水弯头以方便排水及易于日后清洗。</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ind w:firstLine="480" w:firstLineChars="200"/>
        <w:jc w:val="left"/>
        <w:textAlignment w:val="auto"/>
        <w:outlineLvl w:val="9"/>
        <w:rPr>
          <w:rFonts w:ascii="宋体" w:hAnsi="宋体" w:cs="宋体"/>
          <w:bCs/>
          <w:szCs w:val="24"/>
          <w:highlight w:val="none"/>
        </w:rPr>
      </w:pPr>
      <w:r>
        <w:rPr>
          <w:rFonts w:hint="eastAsia" w:ascii="仿宋_GB2312" w:hAnsi="仿宋_GB2312" w:eastAsia="仿宋_GB2312" w:cs="仿宋_GB2312"/>
          <w:highlight w:val="none"/>
        </w:rPr>
        <w:t>4）冷凝水管应绝热保温，并避免穿越电气设备。</w:t>
      </w:r>
    </w:p>
    <w:p>
      <w:pPr>
        <w:jc w:val="left"/>
        <w:rPr>
          <w:rFonts w:ascii="仿宋_GB2312" w:hAnsi="宋体" w:eastAsia="仿宋_GB2312" w:cs="宋体"/>
          <w:szCs w:val="24"/>
          <w:highlight w:val="none"/>
        </w:rPr>
      </w:pPr>
      <w:r>
        <w:rPr>
          <w:rFonts w:hint="eastAsia" w:ascii="仿宋_GB2312" w:hAnsi="宋体" w:eastAsia="仿宋_GB2312" w:cs="宋体"/>
          <w:b/>
          <w:bCs/>
          <w:szCs w:val="24"/>
          <w:highlight w:val="none"/>
        </w:rPr>
        <w:t>3.1.1</w:t>
      </w:r>
      <w:r>
        <w:rPr>
          <w:rFonts w:hint="eastAsia" w:ascii="仿宋_GB2312" w:hAnsi="宋体" w:eastAsia="仿宋_GB2312" w:cs="宋体"/>
          <w:b/>
          <w:bCs/>
          <w:szCs w:val="24"/>
          <w:highlight w:val="none"/>
          <w:lang w:val="en-US" w:eastAsia="zh-CN"/>
        </w:rPr>
        <w:t>4</w:t>
      </w:r>
      <w:r>
        <w:rPr>
          <w:rFonts w:hint="eastAsia" w:ascii="仿宋_GB2312" w:hAnsi="宋体" w:eastAsia="仿宋_GB2312" w:cs="宋体"/>
          <w:b/>
          <w:bCs/>
          <w:szCs w:val="24"/>
          <w:highlight w:val="none"/>
        </w:rPr>
        <w:t>其它</w:t>
      </w:r>
    </w:p>
    <w:p>
      <w:pPr>
        <w:ind w:firstLine="480" w:firstLineChars="200"/>
        <w:jc w:val="left"/>
        <w:rPr>
          <w:rFonts w:ascii="仿宋_GB2312" w:hAnsi="宋体" w:eastAsia="仿宋_GB2312" w:cs="宋体"/>
          <w:szCs w:val="24"/>
          <w:highlight w:val="none"/>
        </w:rPr>
      </w:pPr>
      <w:r>
        <w:rPr>
          <w:rFonts w:hint="eastAsia" w:ascii="仿宋_GB2312" w:hAnsi="宋体" w:eastAsia="仿宋_GB2312" w:cs="宋体"/>
          <w:szCs w:val="24"/>
          <w:highlight w:val="none"/>
        </w:rPr>
        <w:t>其它</w:t>
      </w:r>
      <w:r>
        <w:rPr>
          <w:rFonts w:ascii="仿宋_GB2312" w:hAnsi="宋体" w:eastAsia="仿宋_GB2312" w:cs="宋体"/>
          <w:szCs w:val="24"/>
          <w:highlight w:val="none"/>
        </w:rPr>
        <w:t>详见工程量清单。</w:t>
      </w:r>
    </w:p>
    <w:p>
      <w:pPr>
        <w:jc w:val="left"/>
        <w:outlineLvl w:val="1"/>
        <w:rPr>
          <w:rFonts w:ascii="仿宋_GB2312" w:hAnsi="宋体" w:eastAsia="仿宋_GB2312" w:cs="仿宋_GB2312"/>
          <w:b/>
          <w:bCs/>
          <w:szCs w:val="24"/>
          <w:highlight w:val="none"/>
          <w:shd w:val="clear" w:color="050000" w:fill="auto"/>
        </w:rPr>
      </w:pPr>
      <w:bookmarkStart w:id="61" w:name="_Toc73544707"/>
      <w:r>
        <w:rPr>
          <w:rFonts w:hint="eastAsia" w:ascii="仿宋_GB2312" w:hAnsi="宋体" w:eastAsia="仿宋_GB2312" w:cs="仿宋_GB2312"/>
          <w:b/>
          <w:bCs/>
          <w:szCs w:val="24"/>
          <w:highlight w:val="none"/>
          <w:shd w:val="clear" w:color="050000" w:fill="auto"/>
        </w:rPr>
        <w:t>3.2执行参考标准</w:t>
      </w:r>
      <w:bookmarkEnd w:id="44"/>
      <w:bookmarkEnd w:id="45"/>
      <w:bookmarkEnd w:id="46"/>
      <w:bookmarkEnd w:id="61"/>
    </w:p>
    <w:p>
      <w:pPr>
        <w:ind w:firstLine="480" w:firstLineChars="200"/>
        <w:rPr>
          <w:rFonts w:ascii="仿宋_GB2312" w:hAnsi="宋体" w:eastAsia="仿宋_GB2312" w:cs="宋体"/>
          <w:color w:val="000000"/>
          <w:szCs w:val="24"/>
          <w:highlight w:val="none"/>
        </w:rPr>
      </w:pPr>
      <w:r>
        <w:rPr>
          <w:rFonts w:hint="eastAsia" w:ascii="仿宋_GB2312" w:hAnsi="宋体" w:eastAsia="仿宋_GB2312" w:cs="仿宋_GB2312"/>
          <w:szCs w:val="24"/>
          <w:highlight w:val="none"/>
          <w:shd w:val="clear" w:color="050000" w:fill="auto"/>
        </w:rPr>
        <w:t>施工及竣工验收中应遵守国家的现行相关规程规范，主要有：</w:t>
      </w:r>
    </w:p>
    <w:tbl>
      <w:tblPr>
        <w:tblStyle w:val="22"/>
        <w:tblW w:w="8728" w:type="dxa"/>
        <w:tblInd w:w="0" w:type="dxa"/>
        <w:tblLayout w:type="fixed"/>
        <w:tblCellMar>
          <w:top w:w="15" w:type="dxa"/>
          <w:left w:w="15" w:type="dxa"/>
          <w:bottom w:w="15" w:type="dxa"/>
          <w:right w:w="15" w:type="dxa"/>
        </w:tblCellMar>
      </w:tblPr>
      <w:tblGrid>
        <w:gridCol w:w="880"/>
        <w:gridCol w:w="3408"/>
        <w:gridCol w:w="4440"/>
      </w:tblGrid>
      <w:tr>
        <w:tblPrEx>
          <w:tblCellMar>
            <w:top w:w="15" w:type="dxa"/>
            <w:left w:w="15" w:type="dxa"/>
            <w:bottom w:w="15" w:type="dxa"/>
            <w:right w:w="15" w:type="dxa"/>
          </w:tblCellMar>
        </w:tblPrEx>
        <w:trPr>
          <w:trHeight w:val="307" w:hRule="atLeast"/>
        </w:trPr>
        <w:tc>
          <w:tcPr>
            <w:tcW w:w="87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000000"/>
                <w:highlight w:val="none"/>
              </w:rPr>
            </w:pPr>
            <w:r>
              <w:rPr>
                <w:rFonts w:hint="eastAsia" w:ascii="仿宋_GB2312" w:hAnsi="宋体" w:eastAsia="仿宋_GB2312" w:cs="宋体"/>
                <w:b/>
                <w:color w:val="000000"/>
                <w:kern w:val="0"/>
                <w:highlight w:val="none"/>
                <w:lang w:bidi="ar"/>
              </w:rPr>
              <w:t>标准汇总表</w:t>
            </w:r>
          </w:p>
        </w:tc>
      </w:tr>
      <w:tr>
        <w:tblPrEx>
          <w:tblCellMar>
            <w:top w:w="15" w:type="dxa"/>
            <w:left w:w="15" w:type="dxa"/>
            <w:bottom w:w="15" w:type="dxa"/>
            <w:right w:w="15" w:type="dxa"/>
          </w:tblCellMar>
        </w:tblPrEx>
        <w:trPr>
          <w:trHeight w:val="286"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41" w:firstLineChars="100"/>
              <w:textAlignment w:val="center"/>
              <w:rPr>
                <w:rFonts w:ascii="仿宋_GB2312" w:hAnsi="宋体" w:eastAsia="仿宋_GB2312" w:cs="宋体"/>
                <w:b/>
                <w:color w:val="000000"/>
                <w:highlight w:val="none"/>
              </w:rPr>
            </w:pPr>
            <w:r>
              <w:rPr>
                <w:rFonts w:hint="eastAsia" w:ascii="仿宋_GB2312" w:hAnsi="宋体" w:eastAsia="仿宋_GB2312" w:cs="宋体"/>
                <w:b/>
                <w:color w:val="000000"/>
                <w:kern w:val="0"/>
                <w:highlight w:val="none"/>
                <w:lang w:bidi="ar"/>
              </w:rPr>
              <w:t>序号</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000000"/>
                <w:highlight w:val="none"/>
              </w:rPr>
            </w:pPr>
            <w:r>
              <w:rPr>
                <w:rFonts w:hint="eastAsia" w:ascii="仿宋_GB2312" w:hAnsi="宋体" w:eastAsia="仿宋_GB2312" w:cs="宋体"/>
                <w:b/>
                <w:color w:val="000000"/>
                <w:kern w:val="0"/>
                <w:highlight w:val="none"/>
                <w:lang w:bidi="ar"/>
              </w:rPr>
              <w:t>标准代号</w:t>
            </w:r>
          </w:p>
        </w:tc>
        <w:tc>
          <w:tcPr>
            <w:tcW w:w="44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000000"/>
                <w:highlight w:val="none"/>
              </w:rPr>
            </w:pPr>
            <w:r>
              <w:rPr>
                <w:rFonts w:hint="eastAsia" w:ascii="仿宋_GB2312" w:hAnsi="宋体" w:eastAsia="仿宋_GB2312" w:cs="宋体"/>
                <w:b/>
                <w:color w:val="000000"/>
                <w:kern w:val="0"/>
                <w:highlight w:val="none"/>
                <w:lang w:bidi="ar"/>
              </w:rPr>
              <w:t>标准名称</w:t>
            </w:r>
          </w:p>
        </w:tc>
      </w:tr>
      <w:tr>
        <w:tblPrEx>
          <w:tblCellMar>
            <w:top w:w="15" w:type="dxa"/>
            <w:left w:w="15" w:type="dxa"/>
            <w:bottom w:w="15" w:type="dxa"/>
            <w:right w:w="15" w:type="dxa"/>
          </w:tblCellMar>
        </w:tblPrEx>
        <w:trPr>
          <w:trHeight w:val="510" w:hRule="atLeast"/>
        </w:trPr>
        <w:tc>
          <w:tcPr>
            <w:tcW w:w="880"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w:t>
            </w:r>
          </w:p>
        </w:tc>
        <w:tc>
          <w:tcPr>
            <w:tcW w:w="3408" w:type="dxa"/>
            <w:tcBorders>
              <w:top w:val="single" w:color="auto"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50157-2013</w:t>
            </w:r>
          </w:p>
        </w:tc>
        <w:tc>
          <w:tcPr>
            <w:tcW w:w="4440" w:type="dxa"/>
            <w:tcBorders>
              <w:top w:val="single" w:color="auto"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《地铁设计规范》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2</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GB50299-2018</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《地下铁道工程施工及验收规范》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3</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GB50243-2016</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《通风与空调工程施工质量验收规范》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4</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50235-2010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《工业金属管道工程施工规范》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5</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50274-2010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《制冷设备、空气分离设备安装工程施工及验收规范》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6</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50274-2010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《风机、压缩机、泵安装工程施工及验收规范》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7</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GB50242-2002</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《建筑给水排水及采暖工程施工质量验收规范》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8</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50236-2011</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《现场设备、工业管道焊接工程施工规范》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9</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GB50411-2007</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《建筑节能工程施工质量验收规范》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10</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GB50016-2014（2018年版）</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《建筑设计防火规范》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11</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GB50268-2008</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《给排水管道施工及验收规范》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12</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GB50974-2014</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《消防给水及消火栓系统技术规范》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13</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GB50015-2019</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《建筑给水排水设计规范》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14</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GB50490-2009</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《城市轨道交通技术规范》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15</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50149-2010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《电气装置安装工程母线装置施工及验收规范》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16</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50168-2006</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《电气装置安装工程电缆线路施工及验收规范》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17</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50169-2006</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《电气装置安装工程接地装置施工及验收规范》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18</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50171-2012</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《电气装置安装工程盘、柜及二次回路结线施工及验收规范》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19</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GB 50254-2014</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《电气装置安装工程低压电器施工及验收规范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rPr>
              <w:t>20</w:t>
            </w:r>
          </w:p>
        </w:tc>
        <w:tc>
          <w:tcPr>
            <w:tcW w:w="3408"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lang w:val="zh-CN"/>
              </w:rPr>
              <w:t>GB50057-2010</w:t>
            </w:r>
          </w:p>
        </w:tc>
        <w:tc>
          <w:tcPr>
            <w:tcW w:w="444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1"/>
                <w:szCs w:val="21"/>
                <w:highlight w:val="none"/>
                <w:shd w:val="clear" w:color="050000" w:fill="auto"/>
              </w:rPr>
            </w:pPr>
            <w:r>
              <w:rPr>
                <w:rFonts w:hint="eastAsia" w:ascii="仿宋_GB2312" w:hAnsi="宋体" w:eastAsia="仿宋_GB2312" w:cs="仿宋_GB2312"/>
                <w:sz w:val="21"/>
                <w:szCs w:val="21"/>
                <w:highlight w:val="none"/>
                <w:shd w:val="clear" w:color="050000" w:fill="auto"/>
                <w:lang w:val="zh-CN"/>
              </w:rPr>
              <w:t>《建筑物防雷设计规范》</w:t>
            </w:r>
          </w:p>
        </w:tc>
      </w:tr>
    </w:tbl>
    <w:p>
      <w:pPr>
        <w:ind w:firstLine="480" w:firstLineChars="200"/>
        <w:rPr>
          <w:rFonts w:ascii="仿宋_GB2312" w:hAnsi="宋体" w:eastAsia="仿宋_GB2312" w:cs="仿宋_GB2312"/>
          <w:szCs w:val="24"/>
          <w:highlight w:val="none"/>
          <w:shd w:val="clear" w:color="050000" w:fill="auto"/>
        </w:rPr>
      </w:pPr>
      <w:r>
        <w:rPr>
          <w:rFonts w:hint="eastAsia" w:ascii="仿宋_GB2312" w:hAnsi="仿宋_GB2312" w:eastAsia="仿宋_GB2312" w:cs="仿宋_GB2312"/>
          <w:szCs w:val="24"/>
          <w:highlight w:val="none"/>
          <w:shd w:val="clear" w:color="050000" w:fill="auto"/>
        </w:rPr>
        <w:t>上述标准和规范如有不涉及之处或未能达到国际和国家最新标准时，谈判单位提供的产品需符合最新版本的国际、国家标准和规范，并提供所采用的国际、国家标准和规范以及所采用版本的有关技术资料。</w:t>
      </w:r>
    </w:p>
    <w:p>
      <w:pPr>
        <w:pStyle w:val="2"/>
        <w:numPr>
          <w:ilvl w:val="0"/>
          <w:numId w:val="1"/>
        </w:numPr>
        <w:ind w:left="0" w:firstLine="0"/>
        <w:rPr>
          <w:rFonts w:ascii="仿宋_GB2312" w:eastAsia="仿宋_GB2312"/>
          <w:b w:val="0"/>
          <w:bCs w:val="0"/>
          <w:color w:val="000000"/>
          <w:kern w:val="2"/>
          <w:sz w:val="24"/>
          <w:szCs w:val="21"/>
          <w:highlight w:val="none"/>
        </w:rPr>
      </w:pPr>
      <w:bookmarkStart w:id="62" w:name="_Toc54860662"/>
      <w:bookmarkStart w:id="63" w:name="_Toc2196753"/>
      <w:bookmarkStart w:id="64" w:name="_Toc73544708"/>
      <w:bookmarkStart w:id="65" w:name="_Toc536513592"/>
      <w:r>
        <w:rPr>
          <w:rFonts w:hint="eastAsia" w:eastAsia="华文仿宋"/>
          <w:highlight w:val="none"/>
        </w:rPr>
        <w:t>工程量清单</w:t>
      </w:r>
      <w:bookmarkEnd w:id="62"/>
      <w:bookmarkEnd w:id="63"/>
      <w:bookmarkEnd w:id="64"/>
      <w:bookmarkEnd w:id="65"/>
      <w:bookmarkStart w:id="66" w:name="_Toc54860664"/>
      <w:bookmarkStart w:id="67" w:name="_Toc536513593"/>
      <w:bookmarkStart w:id="68" w:name="_Toc2196754"/>
    </w:p>
    <w:p>
      <w:pPr>
        <w:rPr>
          <w:highlight w:val="none"/>
        </w:rPr>
      </w:pPr>
    </w:p>
    <w:tbl>
      <w:tblPr>
        <w:tblStyle w:val="22"/>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74"/>
        <w:gridCol w:w="708"/>
        <w:gridCol w:w="993"/>
        <w:gridCol w:w="35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1" w:type="dxa"/>
            <w:vAlign w:val="center"/>
          </w:tcPr>
          <w:p>
            <w:pPr>
              <w:spacing w:line="240" w:lineRule="auto"/>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序号</w:t>
            </w:r>
          </w:p>
        </w:tc>
        <w:tc>
          <w:tcPr>
            <w:tcW w:w="1574" w:type="dxa"/>
            <w:vAlign w:val="center"/>
          </w:tcPr>
          <w:p>
            <w:pPr>
              <w:spacing w:line="240" w:lineRule="auto"/>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工程内容</w:t>
            </w:r>
          </w:p>
        </w:tc>
        <w:tc>
          <w:tcPr>
            <w:tcW w:w="708" w:type="dxa"/>
            <w:vAlign w:val="center"/>
          </w:tcPr>
          <w:p>
            <w:pPr>
              <w:spacing w:line="240" w:lineRule="auto"/>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单位</w:t>
            </w:r>
          </w:p>
        </w:tc>
        <w:tc>
          <w:tcPr>
            <w:tcW w:w="993" w:type="dxa"/>
            <w:vAlign w:val="center"/>
          </w:tcPr>
          <w:p>
            <w:pPr>
              <w:spacing w:line="240" w:lineRule="auto"/>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数量</w:t>
            </w:r>
          </w:p>
        </w:tc>
        <w:tc>
          <w:tcPr>
            <w:tcW w:w="3543" w:type="dxa"/>
            <w:vAlign w:val="center"/>
          </w:tcPr>
          <w:p>
            <w:pPr>
              <w:spacing w:line="240" w:lineRule="auto"/>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标准（或要求）</w:t>
            </w:r>
          </w:p>
        </w:tc>
        <w:tc>
          <w:tcPr>
            <w:tcW w:w="1043" w:type="dxa"/>
            <w:vAlign w:val="center"/>
          </w:tcPr>
          <w:p>
            <w:pPr>
              <w:spacing w:line="240" w:lineRule="auto"/>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auto"/>
                <w:sz w:val="21"/>
                <w:szCs w:val="21"/>
                <w:highlight w:val="none"/>
                <w:lang w:val="en-US" w:eastAsia="zh-CN"/>
              </w:rPr>
              <w:t>电动蝶阀更换</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Cs/>
                <w:sz w:val="21"/>
                <w:szCs w:val="21"/>
                <w:highlight w:val="none"/>
                <w:lang w:val="en-US" w:eastAsia="zh-CN"/>
              </w:rPr>
              <w:t>个</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40</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1、拆除原电动蝶阀阀体；</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2、重新安装新的电动蝶阀：尺寸DN150（法兰连接）,采用一体化启动器和按钮盘的电动执行机构，不单独设现场控制箱，提供220V供电端子和24V控制端子，满足FAS的控制（开、关）、显示（开、关）等功能要求；</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3、设备功能测试。</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4、含基础清理、垃圾清运、夜间施工降效、高空作业（如有）等措施费。</w:t>
            </w:r>
          </w:p>
        </w:tc>
        <w:tc>
          <w:tcPr>
            <w:tcW w:w="1043" w:type="dxa"/>
            <w:vAlign w:val="center"/>
          </w:tcPr>
          <w:p>
            <w:pPr>
              <w:spacing w:line="240" w:lineRule="auto"/>
              <w:jc w:val="left"/>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Cs/>
                <w:sz w:val="21"/>
                <w:szCs w:val="21"/>
                <w:highlight w:val="none"/>
                <w:lang w:eastAsia="zh-CN"/>
              </w:rPr>
              <w:t>1:30-3:30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2</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气压排水控制箱安装</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台</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auto"/>
                <w:sz w:val="21"/>
                <w:szCs w:val="21"/>
                <w:highlight w:val="none"/>
                <w:lang w:val="en-US" w:eastAsia="zh-CN"/>
              </w:rPr>
              <w:t>2</w:t>
            </w:r>
          </w:p>
        </w:tc>
        <w:tc>
          <w:tcPr>
            <w:tcW w:w="3543" w:type="dxa"/>
            <w:vAlign w:val="center"/>
          </w:tcPr>
          <w:p>
            <w:pPr>
              <w:numPr>
                <w:ilvl w:val="0"/>
                <w:numId w:val="8"/>
              </w:num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拆除控制箱（约900mm*400mm）及管道（UPVC材质,DN32,约10米)；                                 2、指定安装位置重新挂墙安装控制箱；                  </w:t>
            </w:r>
          </w:p>
          <w:p>
            <w:pPr>
              <w:numPr>
                <w:ilvl w:val="0"/>
                <w:numId w:val="0"/>
              </w:num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3、重新安装管道；（DN32,UPVC管道直接，耐压1.6MPa，约10米，胶接)</w:t>
            </w:r>
          </w:p>
          <w:p>
            <w:pPr>
              <w:numPr>
                <w:ilvl w:val="0"/>
                <w:numId w:val="0"/>
              </w:num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4、运行测试；</w:t>
            </w:r>
          </w:p>
          <w:p>
            <w:pPr>
              <w:numPr>
                <w:ilvl w:val="0"/>
                <w:numId w:val="0"/>
              </w:num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5、含基础清理、垃圾清运、夜间施工降效、高空作业（如有）等措施费。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1:30-3:30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3</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消防水管整改</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处</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1、管路泄水后拆除卡箍（配套DN150消防涂塑钢管）；                                    </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2、更换卡箍（配套DN150消防涂塑钢管）；</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3、通水测试。</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w:t>
            </w:r>
          </w:p>
        </w:tc>
        <w:tc>
          <w:tcPr>
            <w:tcW w:w="1574" w:type="dxa"/>
            <w:vAlign w:val="center"/>
          </w:tcPr>
          <w:p>
            <w:pPr>
              <w:spacing w:line="240" w:lineRule="auto"/>
              <w:jc w:val="center"/>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挡水棚</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42.5</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1、制作挡水棚，挡水棚采用304不锈钢，厚度不低于1.5mm；</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2、挡水棚采用L50*5mm热镀锌角钢进行固定；</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3、在上下接缝处打玻璃胶   </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5</w:t>
            </w:r>
          </w:p>
        </w:tc>
        <w:tc>
          <w:tcPr>
            <w:tcW w:w="1574" w:type="dxa"/>
            <w:vAlign w:val="center"/>
          </w:tcPr>
          <w:p>
            <w:pPr>
              <w:spacing w:line="240" w:lineRule="auto"/>
              <w:jc w:val="center"/>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val="en-US" w:eastAsia="zh-CN"/>
              </w:rPr>
              <w:t>加装潜污泵</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台</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1、加装潜污泵：技术参数不低于现场同型号水泵要求（现场为上海连成潜污泵，（耦合安装），型号为（50WQ(II)15-22-2.2），且工况匹配；                      </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2、安装测试；</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3、含基础清理、垃圾清运、夜间施工降效、高空作业（如有）等措施费。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6</w:t>
            </w:r>
          </w:p>
        </w:tc>
        <w:tc>
          <w:tcPr>
            <w:tcW w:w="1574" w:type="dxa"/>
            <w:vAlign w:val="center"/>
          </w:tcPr>
          <w:p>
            <w:pPr>
              <w:spacing w:line="240" w:lineRule="auto"/>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潜污泵更换</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组(一组两台）</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1、清淤并拆除原潜污泵（上海连成潜污泵，（耦合安装），型号为（50WQ(II)15-16-1.5）；</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2、安装新的潜污泵：技术参数不低于现场同型号水泵要求（现场为上海连成潜污泵，型号为（50WQ(II)15-16-1.5），且工况匹配；                      </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2、安装测试；</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3、含基础清理、垃圾清运、夜间施工降效、高空作业（如有）等措施费。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7</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防火堵洞(隔板)、孔洞封堵</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1.7</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1、矿物岩棉填实孔洞（填充厚度约200mm）；</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2、孔洞两侧用20mm厚防火泥填实（防火泥性能参数不低于3M、 喜利得、STI等品牌，防火泥约80㎏/㎡）。</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3、含基础清理、垃圾清运、夜间施工降效、高空作业（如有）等措施费。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8</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消防电源模块整改</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块</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67</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1、消防电源监控模块控制线安装；                         </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2、模块安装后跟监控主机进行联调(模块型号为：LN8M-3-2V电压/电流信号传感器，监视3路电压，电压等级220V，品牌为乐鸟)。</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3、控制线为4*2.5低烟无卤阻燃铜芯电缆，每块按100米包干。</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9</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风管整改</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Cs/>
                <w:sz w:val="21"/>
                <w:szCs w:val="21"/>
                <w:highlight w:val="none"/>
                <w:lang w:eastAsia="zh-CN"/>
              </w:rPr>
              <w:t>㎡</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3</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1、拆除风管（圆弧形风管直径约2600mm，圆弧约90度）、支吊架。</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2、制作安装新风管（圆弧形风管直径约2600mm、高度为1000mm）：根据拆除风管制作同等大小风管，材质为厚度25mm的双面彩钢酚醛风管，含支吊架等；  </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3、含基础清理、垃圾清运、夜间施工降效、高空作业（如有）等措施费。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10</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风口整改</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处</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5</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1、拆除尺寸500mm*500mm原风口。                                    2、采用25mm厚尺寸为900mm*900mm双面彩钢酚醛板嵌入打胶封堵原风口孔洞，并用铆钉加固。</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3、在风管合适位置新开尺寸500mm*500mm孔洞，并安装风口。</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11</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冷媒排放管整改</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m</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180</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1、安全阀后端处加装DN25的金属活接，另外铺设DN25和DN50镀锌钢管双管，</w:t>
            </w:r>
            <w:r>
              <w:rPr>
                <w:rFonts w:hint="eastAsia" w:ascii="仿宋_GB2312" w:hAnsi="仿宋_GB2312" w:eastAsia="仿宋_GB2312" w:cs="仿宋_GB2312"/>
                <w:bCs/>
                <w:color w:val="auto"/>
                <w:sz w:val="21"/>
                <w:szCs w:val="21"/>
                <w:highlight w:val="none"/>
                <w:lang w:val="en-US" w:eastAsia="zh-CN"/>
              </w:rPr>
              <w:t>采用螺纹连接</w:t>
            </w:r>
            <w:r>
              <w:rPr>
                <w:rFonts w:hint="eastAsia" w:ascii="仿宋_GB2312" w:hAnsi="仿宋_GB2312" w:eastAsia="仿宋_GB2312" w:cs="仿宋_GB2312"/>
                <w:bCs/>
                <w:sz w:val="21"/>
                <w:szCs w:val="21"/>
                <w:highlight w:val="none"/>
                <w:lang w:val="en-US" w:eastAsia="zh-CN"/>
              </w:rPr>
              <w:t>，含支吊架等。</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2、穿墙处（约3处，墙厚约300mm）打孔尺寸为直径70mm，并做好封堵:                       </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孔洞两侧用20mm厚防火泥填实（防火泥性能参数不低于3M、 喜利得、STI等品牌）。   </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3、含基础清理、垃圾清运、夜间施工降效、高空作业（如有）等措施费。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12</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VRV排水管整改</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m</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10</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1、采用DN25镀锌钢管套丝连接。</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2、安装DN25镀锌钢管管道。</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3、加装橡塑保温棉20mm厚，外包锡箔胶带。</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13</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水管保温</w:t>
            </w:r>
          </w:p>
        </w:tc>
        <w:tc>
          <w:tcPr>
            <w:tcW w:w="708" w:type="dxa"/>
            <w:vAlign w:val="center"/>
          </w:tcPr>
          <w:p>
            <w:pPr>
              <w:spacing w:line="240" w:lineRule="auto"/>
              <w:jc w:val="center"/>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m³</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0.75</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1、DN150冷冻水管加装50mm泡沫玻璃保温（品牌如德和科技），按规范施工。                               </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2、含基础清理、垃圾清运、夜间施工降效、高空作业（如有）等措施费。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14</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桥架盖板</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m</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6</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1、安装镀锌桥架盖板：防火喷塑水平桥架盖板，规格约为500mm宽，1.5mm厚；</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2、安装桥架盖板跨接线。                       </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3、含含基础清理、垃圾清运、夜间施工降效、高空作业（如有）等措施费。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15</w:t>
            </w:r>
          </w:p>
        </w:tc>
        <w:tc>
          <w:tcPr>
            <w:tcW w:w="1574" w:type="dxa"/>
            <w:vAlign w:val="center"/>
          </w:tcPr>
          <w:p>
            <w:pPr>
              <w:spacing w:line="240" w:lineRule="auto"/>
              <w:jc w:val="center"/>
              <w:rPr>
                <w:rFonts w:hint="default" w:ascii="仿宋_GB2312" w:hAnsi="仿宋_GB2312" w:eastAsia="仿宋_GB2312" w:cs="仿宋_GB2312"/>
                <w:bCs/>
                <w:sz w:val="21"/>
                <w:szCs w:val="21"/>
                <w:highlight w:val="none"/>
                <w:lang w:val="en-US"/>
              </w:rPr>
            </w:pPr>
            <w:r>
              <w:rPr>
                <w:rFonts w:hint="eastAsia" w:ascii="仿宋_GB2312" w:hAnsi="仿宋_GB2312" w:eastAsia="仿宋_GB2312" w:cs="仿宋_GB2312"/>
                <w:bCs/>
                <w:color w:val="auto"/>
                <w:sz w:val="21"/>
                <w:szCs w:val="21"/>
                <w:highlight w:val="none"/>
                <w:lang w:val="en-US" w:eastAsia="zh-CN"/>
              </w:rPr>
              <w:t>混合风室风阀整改</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处</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1、拆除1500mm*600mm风阀。</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2、拆除1500mm*600mm*1000mm镀锌风管</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 制作1.5mm厚镀锌钢板制作变径风管，尺寸为1500mm*600mm*1300mm风管及1500mm*600mm*800mm。</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4、制作尺寸为1500mm*600mm法兰个4个</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5、将法兰与风管铆接连接</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6、将1500mm*600mm*1300mm风管与风管连接</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7、在1500mm*600mm*1300mm风管下方开1100*400的孔洞</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8、将1500mm*600mm*800mm安装在1500mm*600mm*1300mm风管下方</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9、将风阀安装在1500mm*600mm*800mm的风管上</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10、采用50mm*50mm*4、8mm厚热镀锌角钢做横档支架，长度为1700mm，数量为4组。</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10、用φ10的镀锌螺纹钢做吊杆，M10的膨胀螺栓进行固定，并采用上下螺母固定支吊架。</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11、矿物岩棉填实孔洞，封堵面积为0.5㎡；</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12、孔洞两侧用20mm厚防火泥填实（防火泥性能参数不低于3M、 喜利得、STI等品牌）</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13、搭设脚手架。</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14、处理施工遗留垃圾。</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15、含基础清理、垃圾清运、夜间施工降效、高空作业（如有）等措施费。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16</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多联机加装线控器</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台</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5</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1、安装室内机线控器，型号为美的KJR-90W</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2、敷设RVVP3*1.0mm²屏蔽多股线缆，长度为每台15m</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3、对多联机内外机调试       </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00:00-05:00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17</w:t>
            </w:r>
          </w:p>
        </w:tc>
        <w:tc>
          <w:tcPr>
            <w:tcW w:w="1574"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风管保温整改</w:t>
            </w:r>
          </w:p>
        </w:tc>
        <w:tc>
          <w:tcPr>
            <w:tcW w:w="708"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处</w:t>
            </w:r>
          </w:p>
        </w:tc>
        <w:tc>
          <w:tcPr>
            <w:tcW w:w="993" w:type="dxa"/>
            <w:vAlign w:val="center"/>
          </w:tcPr>
          <w:p>
            <w:pPr>
              <w:spacing w:line="240" w:lineRule="auto"/>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w:t>
            </w:r>
          </w:p>
        </w:tc>
        <w:tc>
          <w:tcPr>
            <w:tcW w:w="3543" w:type="dxa"/>
            <w:vAlign w:val="center"/>
          </w:tcPr>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1、采用铝镁质保温棉进行保温，50mm厚，用量为0.5m³并按其工艺进行施工。</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2、采用2mm厚304不锈钢接水槽，用量1㎡。                        </w:t>
            </w:r>
          </w:p>
          <w:p>
            <w:pPr>
              <w:spacing w:line="240" w:lineRule="auto"/>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 xml:space="preserve">3、接水槽四周采用镀锌螺纹φ10的进行吊装，顶部利用40*40*4角钢、膨胀螺栓M10进行固定，角钢与螺纹杆采用焊接连接，并进行防锈处理。            </w:t>
            </w:r>
          </w:p>
          <w:p>
            <w:pPr>
              <w:spacing w:line="240" w:lineRule="auto"/>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4、含基础清理、垃圾清运、夜间施工降效、高空作业（如有）等措施费。</w:t>
            </w:r>
          </w:p>
        </w:tc>
        <w:tc>
          <w:tcPr>
            <w:tcW w:w="104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00:00-05:00</w:t>
            </w:r>
          </w:p>
        </w:tc>
      </w:tr>
    </w:tbl>
    <w:p>
      <w:pPr>
        <w:rPr>
          <w:rFonts w:ascii="仿宋_GB2312" w:eastAsia="仿宋_GB2312"/>
          <w:highlight w:val="none"/>
        </w:rPr>
      </w:pPr>
    </w:p>
    <w:p>
      <w:pPr>
        <w:pStyle w:val="2"/>
        <w:numPr>
          <w:ilvl w:val="0"/>
          <w:numId w:val="1"/>
        </w:numPr>
        <w:ind w:left="0" w:firstLine="0"/>
        <w:rPr>
          <w:rFonts w:eastAsia="华文仿宋"/>
          <w:highlight w:val="none"/>
        </w:rPr>
      </w:pPr>
      <w:bookmarkStart w:id="69" w:name="_Toc73544710"/>
      <w:r>
        <w:rPr>
          <w:rFonts w:hint="eastAsia" w:eastAsia="华文仿宋"/>
          <w:highlight w:val="none"/>
        </w:rPr>
        <w:t>施工管理</w:t>
      </w:r>
      <w:bookmarkEnd w:id="66"/>
      <w:bookmarkEnd w:id="67"/>
      <w:bookmarkEnd w:id="68"/>
      <w:bookmarkEnd w:id="69"/>
    </w:p>
    <w:p>
      <w:pPr>
        <w:pStyle w:val="3"/>
        <w:rPr>
          <w:rFonts w:eastAsia="华文仿宋"/>
          <w:sz w:val="24"/>
          <w:highlight w:val="none"/>
        </w:rPr>
      </w:pPr>
      <w:bookmarkStart w:id="70" w:name="_Toc54860665"/>
      <w:bookmarkStart w:id="71" w:name="_Toc536513594"/>
      <w:bookmarkStart w:id="72" w:name="_Toc73544711"/>
      <w:bookmarkStart w:id="73" w:name="_Toc2196755"/>
      <w:r>
        <w:rPr>
          <w:rFonts w:hint="eastAsia" w:eastAsia="华文仿宋"/>
          <w:sz w:val="24"/>
          <w:highlight w:val="none"/>
        </w:rPr>
        <w:t>5.1一般要求</w:t>
      </w:r>
      <w:bookmarkEnd w:id="70"/>
      <w:bookmarkEnd w:id="71"/>
      <w:bookmarkEnd w:id="72"/>
      <w:bookmarkEnd w:id="73"/>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rPr>
        <w:t>5.</w:t>
      </w:r>
      <w:r>
        <w:rPr>
          <w:rFonts w:hint="eastAsia" w:ascii="仿宋_GB2312" w:hAnsi="宋体" w:eastAsia="仿宋_GB2312" w:cs="仿宋_GB2312"/>
          <w:szCs w:val="24"/>
          <w:highlight w:val="none"/>
          <w:shd w:val="clear" w:color="050000" w:fill="auto"/>
        </w:rPr>
        <w:t>1.1本工程是提质整改工程，为不影响正常运营客服质量，施工单位需根据现场实际情况，编制项目施工方案，并根据施工方案组织工程施工。</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5.1.2 施工过程中，施工单位须服从现场管理部门的管理，并严格遵守运营公司相关施工管理制度要求。</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rPr>
        <w:t>5.</w:t>
      </w:r>
      <w:r>
        <w:rPr>
          <w:rFonts w:hint="eastAsia" w:ascii="仿宋_GB2312" w:hAnsi="宋体" w:eastAsia="仿宋_GB2312" w:cs="仿宋_GB2312"/>
          <w:szCs w:val="24"/>
          <w:highlight w:val="none"/>
          <w:shd w:val="clear" w:color="050000" w:fill="auto"/>
        </w:rPr>
        <w:t>1.3施工过程中，如果需要停用相关设备，需要跟设备管理部门进行沟通，获得允许之后才能停用相关设备，且设备操作由采购单位人员来完成。</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5.1.4所有施工方案及技术要求如与现场情况相冲突，应以现场情况为准，由采购单位和谈判单位共同确定技术方案，所确定技术方案不能违反国家及行业技术标准和规范。</w:t>
      </w:r>
    </w:p>
    <w:p>
      <w:pPr>
        <w:pStyle w:val="3"/>
        <w:rPr>
          <w:rFonts w:eastAsia="华文仿宋"/>
          <w:sz w:val="24"/>
          <w:highlight w:val="none"/>
        </w:rPr>
      </w:pPr>
      <w:bookmarkStart w:id="74" w:name="_Toc54860666"/>
      <w:bookmarkStart w:id="75" w:name="_Toc536513595"/>
      <w:bookmarkStart w:id="76" w:name="_Toc2196756"/>
      <w:bookmarkStart w:id="77" w:name="_Toc73544712"/>
      <w:r>
        <w:rPr>
          <w:rFonts w:hint="eastAsia" w:eastAsia="华文仿宋"/>
          <w:sz w:val="24"/>
          <w:highlight w:val="none"/>
        </w:rPr>
        <w:t>5.2安全文明生产</w:t>
      </w:r>
      <w:bookmarkEnd w:id="74"/>
      <w:bookmarkEnd w:id="75"/>
      <w:bookmarkEnd w:id="76"/>
      <w:bookmarkEnd w:id="77"/>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5.2.1在工程最终验收之前的整个施工期内，谈判单位必须制定并采取一切必要的措施，保证工程现场施工安全，维护工地正常生产、生活秩序。谈判单位必须遵守国家颁布的有关安全规程，对于不符合我国法律、法令、安全规程及本合同规定的事故隐患，采购单位有权进行干预，如发生重大安全事故，谈判单位必须按国家的有关法规及时通知采购单位和有关上级主管部门，并按《工程建设重大事故报告和调查程序规定》执行。谈判单位应对因违反安全规程造成的责任事故承担责任，而不应为此增加采购单位支付费用或延迟施工进度。</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5.2.2谈判单位各项临时设施，堆放大宗货物、成品、半成品和机具设备，不得侵占紧急疏散通道及安全防护等设施。</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5.2.3施工现场的用电线路、用电设施的安装和使用必须符合相关安装规范和安全操作规程并按照施工组织设计进行架设，严禁任意拉线接电。</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5.2.4施工机械进场必须经过安全检查，经检查合格的方能使用。施工机械操作人员必须建立责任制，并依照有关规定持证上岗，禁止无证人员操作。</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5.2.5凡属谈判单位雇用的现场工作人员，谈判单位必须根据作业种类和特点并按照国家的劳动保护法发给相应的劳保用品。</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5.2.6谈判单位应当做好施工现场安全保卫工作，采取必要的防盗措施，在现场周边设立维护设施。非施工人员不得擅自进入施工现场。</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5.2.7谈判单位应当严格依照《中华人民共和国消防条例》的规定，在施工现场建立并执行防火管理制度，设置符合消防要求的消防设施，使用易燃易爆器材时，谈判单位应当采取特殊的消防安全措施。</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5.2.8施工现场发生的工程建设重大事故的处理，依照《工程建设重大事故报告和调查程序规定》执行。</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5.2.9为加强地铁工程现场文明施工管理，提高文明施工水平，创建文明工地；维护市容整洁和城市安全，使文明施工规范化、标准化、制度化：谈判单位应当认真贯彻文明施工的要求，推行现代管理方法，科学组织施工，做好整个正线现场文明施工的各项管理工作并承担责任。</w:t>
      </w:r>
    </w:p>
    <w:p>
      <w:pPr>
        <w:pStyle w:val="3"/>
        <w:rPr>
          <w:rFonts w:eastAsia="华文仿宋"/>
          <w:sz w:val="24"/>
          <w:highlight w:val="none"/>
        </w:rPr>
      </w:pPr>
      <w:bookmarkStart w:id="78" w:name="_Toc536513596"/>
      <w:bookmarkStart w:id="79" w:name="_Toc2196757"/>
      <w:bookmarkStart w:id="80" w:name="_Toc73544713"/>
      <w:bookmarkStart w:id="81" w:name="_Toc54860667"/>
      <w:r>
        <w:rPr>
          <w:rFonts w:hint="eastAsia" w:eastAsia="华文仿宋"/>
          <w:sz w:val="24"/>
          <w:highlight w:val="none"/>
        </w:rPr>
        <w:t>5.3项目组织机构及人员要求</w:t>
      </w:r>
      <w:bookmarkEnd w:id="78"/>
      <w:bookmarkEnd w:id="79"/>
      <w:bookmarkEnd w:id="80"/>
      <w:bookmarkEnd w:id="81"/>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5.3.1项目组织机构</w:t>
      </w:r>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谈判单位应根据本项目的具体情况，需在长沙成立相应的项目组，配备固定的管理人员、制定项目计划，并服从采购单位单位的管理，使整个项目得以顺利实施。谈判单位至少需在响应文件中明确项目负责人、施工员、安全员。</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5.3.2项目基本要求</w:t>
      </w:r>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谈判单位为本项目提供完整的施工安装的劳动力、设备、工具和器材。除特别声明，谈判单位的费用应包含：为完成本用户需求文件要求的在实施过程中所有可能发生的费用，项目实施过程中所需的一切人工、物耗、临设、工具、设备、保安、保险、货物运杂费和所有可能发生的相关费用（不含水电费）均由谈判单位承担，所有费用计入投标总价。</w:t>
      </w:r>
    </w:p>
    <w:p>
      <w:pPr>
        <w:pStyle w:val="30"/>
        <w:numPr>
          <w:ilvl w:val="0"/>
          <w:numId w:val="9"/>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谈判单位应对本项目的施工及安装的质量和施工工期负责，对其施工及安装人员引起的工期延误负完全责任。</w:t>
      </w:r>
    </w:p>
    <w:p>
      <w:pPr>
        <w:pStyle w:val="30"/>
        <w:numPr>
          <w:ilvl w:val="0"/>
          <w:numId w:val="9"/>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谈判单位必须完成各阶段的工作，应承诺能够确保提供的设备、材料满足本项目及用户需求书的所有要求。</w:t>
      </w:r>
    </w:p>
    <w:p>
      <w:pPr>
        <w:pStyle w:val="30"/>
        <w:numPr>
          <w:ilvl w:val="0"/>
          <w:numId w:val="9"/>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谈判单位应在本项目的土建条件和工程环境下提供本项目所有设备设施的施工及安装工作。未经允许，不得破坏本项目现场任何相关条件。</w:t>
      </w:r>
    </w:p>
    <w:p>
      <w:pPr>
        <w:pStyle w:val="30"/>
        <w:numPr>
          <w:ilvl w:val="0"/>
          <w:numId w:val="9"/>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谈判单位在本项目所有的施工安装作业必须接受质量监督和检查。</w:t>
      </w:r>
    </w:p>
    <w:p>
      <w:pPr>
        <w:pStyle w:val="30"/>
        <w:numPr>
          <w:ilvl w:val="0"/>
          <w:numId w:val="9"/>
        </w:numPr>
        <w:spacing w:line="500" w:lineRule="exact"/>
        <w:ind w:left="0" w:firstLine="0" w:firstLineChars="0"/>
        <w:rPr>
          <w:rFonts w:ascii="仿宋_GB2312" w:hAnsi="仿宋_GB2312" w:eastAsia="仿宋_GB2312" w:cs="仿宋_GB2312"/>
          <w:highlight w:val="none"/>
          <w:shd w:val="clear" w:color="050000" w:fill="auto"/>
        </w:rPr>
      </w:pPr>
      <w:r>
        <w:rPr>
          <w:rFonts w:hint="eastAsia" w:ascii="仿宋_GB2312" w:hAnsi="仿宋_GB2312" w:eastAsia="仿宋_GB2312" w:cs="仿宋_GB2312"/>
          <w:highlight w:val="none"/>
          <w:shd w:val="clear" w:color="050000" w:fill="auto"/>
        </w:rPr>
        <w:t>谈判单位应执行采购单位制定的有关施工管理制度。</w:t>
      </w:r>
    </w:p>
    <w:p>
      <w:pPr>
        <w:pStyle w:val="3"/>
        <w:rPr>
          <w:rFonts w:eastAsia="华文仿宋"/>
          <w:sz w:val="24"/>
          <w:highlight w:val="none"/>
        </w:rPr>
      </w:pPr>
      <w:bookmarkStart w:id="82" w:name="_Toc2196758"/>
      <w:bookmarkStart w:id="83" w:name="_Toc73544714"/>
      <w:bookmarkStart w:id="84" w:name="_Toc54860668"/>
      <w:bookmarkStart w:id="85" w:name="_Toc536513597"/>
      <w:r>
        <w:rPr>
          <w:rFonts w:hint="eastAsia" w:eastAsia="华文仿宋"/>
          <w:sz w:val="24"/>
          <w:highlight w:val="none"/>
        </w:rPr>
        <w:t>5.4施工准备</w:t>
      </w:r>
      <w:bookmarkEnd w:id="82"/>
      <w:bookmarkEnd w:id="83"/>
      <w:bookmarkEnd w:id="84"/>
      <w:bookmarkEnd w:id="85"/>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谈判单位在正式开工之前，应做好以下施工技术准备工作：</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5.4.1熟悉施工现场、文件及技术交底。</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5.4.2组建施工管理机构和相应的专业施工队伍，并进行进场前的教育。</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5.4.3编制设备和材料供应计划并做好供应安排。</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5.4.4组织施工及工程机械设备和货物进场。</w:t>
      </w:r>
    </w:p>
    <w:p>
      <w:pPr>
        <w:pStyle w:val="3"/>
        <w:rPr>
          <w:rFonts w:eastAsia="华文仿宋"/>
          <w:sz w:val="24"/>
          <w:highlight w:val="none"/>
        </w:rPr>
      </w:pPr>
      <w:bookmarkStart w:id="86" w:name="_Toc73544715"/>
      <w:bookmarkStart w:id="87" w:name="_Toc2196759"/>
      <w:bookmarkStart w:id="88" w:name="_Toc54860669"/>
      <w:bookmarkStart w:id="89" w:name="_Toc536513598"/>
      <w:r>
        <w:rPr>
          <w:rFonts w:hint="eastAsia" w:eastAsia="华文仿宋"/>
          <w:sz w:val="24"/>
          <w:highlight w:val="none"/>
        </w:rPr>
        <w:t>5.5工期及进度管理</w:t>
      </w:r>
      <w:bookmarkEnd w:id="86"/>
      <w:bookmarkEnd w:id="87"/>
      <w:bookmarkEnd w:id="88"/>
      <w:bookmarkEnd w:id="89"/>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5.5.1 工期</w:t>
      </w:r>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以采购单位发出的开工通知日期起算，总计</w:t>
      </w:r>
      <w:r>
        <w:rPr>
          <w:rFonts w:hint="eastAsia" w:ascii="仿宋_GB2312" w:hAnsi="宋体" w:eastAsia="仿宋_GB2312" w:cs="仿宋_GB2312"/>
          <w:szCs w:val="24"/>
          <w:highlight w:val="none"/>
          <w:shd w:val="clear" w:color="050000" w:fill="auto"/>
          <w:lang w:val="en-US" w:eastAsia="zh-CN"/>
        </w:rPr>
        <w:t>365天</w:t>
      </w:r>
      <w:bookmarkStart w:id="140" w:name="_GoBack"/>
      <w:bookmarkEnd w:id="140"/>
      <w:r>
        <w:rPr>
          <w:rFonts w:hint="eastAsia" w:ascii="仿宋_GB2312" w:hAnsi="宋体" w:eastAsia="仿宋_GB2312" w:cs="仿宋_GB2312"/>
          <w:szCs w:val="24"/>
          <w:highlight w:val="none"/>
          <w:shd w:val="clear" w:color="050000" w:fill="auto"/>
        </w:rPr>
        <w:t>内完成此项目所有施工</w:t>
      </w:r>
      <w:r>
        <w:rPr>
          <w:rFonts w:hint="eastAsia" w:ascii="仿宋_GB2312" w:hAnsi="宋体" w:eastAsia="仿宋_GB2312" w:cs="仿宋_GB2312"/>
          <w:szCs w:val="24"/>
          <w:highlight w:val="none"/>
          <w:shd w:val="clear" w:color="050000" w:fill="auto"/>
          <w:lang w:val="en-US" w:eastAsia="zh-CN"/>
        </w:rPr>
        <w:t>（含竣工验收）</w:t>
      </w:r>
      <w:r>
        <w:rPr>
          <w:rFonts w:hint="eastAsia" w:ascii="仿宋_GB2312" w:hAnsi="宋体" w:eastAsia="仿宋_GB2312" w:cs="仿宋_GB2312"/>
          <w:szCs w:val="24"/>
          <w:highlight w:val="none"/>
          <w:shd w:val="clear" w:color="050000" w:fill="auto"/>
        </w:rPr>
        <w:t>，或达到项目总金额则自行终止。</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5.5.2 工程进度</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5.5.2.1谈判单位在收到开工通知后，应立即组织相关人员开工，不延迟施工进度。</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5.5.2.2为达到工期目标，谈判单位必须采取一切措施保证如期完成，不得延误。采购单位单位可要求谈判单位加快进度或修改原施工计划，谈判单位不得因此而向采购单位单位提出任何的补偿。</w:t>
      </w:r>
    </w:p>
    <w:p>
      <w:pPr>
        <w:pStyle w:val="3"/>
        <w:rPr>
          <w:rFonts w:eastAsia="华文仿宋"/>
          <w:sz w:val="24"/>
          <w:highlight w:val="none"/>
        </w:rPr>
      </w:pPr>
      <w:bookmarkStart w:id="90" w:name="_Toc2196760"/>
      <w:bookmarkStart w:id="91" w:name="_Toc73544716"/>
      <w:bookmarkStart w:id="92" w:name="_Toc54860670"/>
      <w:bookmarkStart w:id="93" w:name="_Toc536513599"/>
      <w:r>
        <w:rPr>
          <w:rFonts w:hint="eastAsia" w:eastAsia="华文仿宋"/>
          <w:sz w:val="24"/>
          <w:highlight w:val="none"/>
        </w:rPr>
        <w:t>5.6成品保护</w:t>
      </w:r>
      <w:bookmarkEnd w:id="90"/>
      <w:bookmarkEnd w:id="91"/>
      <w:bookmarkEnd w:id="92"/>
      <w:bookmarkEnd w:id="93"/>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施工期间以及施工结束后需对已安装设备设施进行成品保护。</w:t>
      </w:r>
    </w:p>
    <w:p>
      <w:pPr>
        <w:pStyle w:val="2"/>
        <w:numPr>
          <w:ilvl w:val="0"/>
          <w:numId w:val="1"/>
        </w:numPr>
        <w:ind w:left="0" w:firstLine="0"/>
        <w:rPr>
          <w:rFonts w:eastAsia="华文仿宋"/>
          <w:highlight w:val="none"/>
        </w:rPr>
      </w:pPr>
      <w:bookmarkStart w:id="94" w:name="_Toc2196764"/>
      <w:bookmarkEnd w:id="94"/>
      <w:bookmarkStart w:id="95" w:name="_Toc2196765"/>
      <w:bookmarkEnd w:id="95"/>
      <w:bookmarkStart w:id="96" w:name="_Toc2196763"/>
      <w:bookmarkEnd w:id="96"/>
      <w:bookmarkStart w:id="97" w:name="_Toc2196762"/>
      <w:bookmarkEnd w:id="97"/>
      <w:bookmarkStart w:id="98" w:name="_Toc2196766"/>
      <w:bookmarkEnd w:id="98"/>
      <w:bookmarkStart w:id="99" w:name="_Toc2196768"/>
      <w:bookmarkEnd w:id="99"/>
      <w:bookmarkStart w:id="100" w:name="_Toc2196761"/>
      <w:bookmarkEnd w:id="100"/>
      <w:bookmarkStart w:id="101" w:name="_Toc536513601"/>
      <w:bookmarkStart w:id="102" w:name="_Toc2196769"/>
      <w:bookmarkStart w:id="103" w:name="_Toc73544717"/>
      <w:bookmarkStart w:id="104" w:name="_Toc54860672"/>
      <w:r>
        <w:rPr>
          <w:rFonts w:hint="eastAsia" w:eastAsia="华文仿宋"/>
          <w:highlight w:val="none"/>
        </w:rPr>
        <w:t>工程验收与交付</w:t>
      </w:r>
      <w:bookmarkEnd w:id="101"/>
      <w:bookmarkEnd w:id="102"/>
      <w:bookmarkEnd w:id="103"/>
      <w:bookmarkEnd w:id="104"/>
    </w:p>
    <w:p>
      <w:pPr>
        <w:pStyle w:val="3"/>
        <w:rPr>
          <w:rFonts w:eastAsia="华文仿宋"/>
          <w:sz w:val="24"/>
          <w:highlight w:val="none"/>
        </w:rPr>
      </w:pPr>
      <w:r>
        <w:rPr>
          <w:rFonts w:hint="eastAsia" w:eastAsia="华文仿宋"/>
          <w:sz w:val="24"/>
          <w:highlight w:val="none"/>
        </w:rPr>
        <w:t xml:space="preserve"> </w:t>
      </w:r>
      <w:bookmarkStart w:id="105" w:name="_Toc536513602"/>
      <w:bookmarkStart w:id="106" w:name="_Toc2196770"/>
      <w:bookmarkStart w:id="107" w:name="_Toc54860673"/>
      <w:bookmarkStart w:id="108" w:name="_Toc73544718"/>
      <w:r>
        <w:rPr>
          <w:rFonts w:eastAsia="华文仿宋"/>
          <w:sz w:val="24"/>
          <w:highlight w:val="none"/>
        </w:rPr>
        <w:t>6.1</w:t>
      </w:r>
      <w:r>
        <w:rPr>
          <w:rFonts w:hint="eastAsia" w:eastAsia="华文仿宋"/>
          <w:sz w:val="24"/>
          <w:highlight w:val="none"/>
        </w:rPr>
        <w:t>验收标准</w:t>
      </w:r>
      <w:bookmarkEnd w:id="105"/>
      <w:bookmarkEnd w:id="106"/>
      <w:bookmarkEnd w:id="107"/>
      <w:bookmarkEnd w:id="108"/>
    </w:p>
    <w:p>
      <w:pPr>
        <w:pStyle w:val="30"/>
        <w:numPr>
          <w:ilvl w:val="255"/>
          <w:numId w:val="0"/>
        </w:numPr>
        <w:ind w:firstLine="480" w:firstLineChars="200"/>
        <w:jc w:val="left"/>
        <w:rPr>
          <w:rFonts w:ascii="仿宋_GB2312" w:hAnsi="宋体" w:eastAsia="仿宋_GB2312" w:cs="仿宋_GB2312"/>
          <w:szCs w:val="24"/>
          <w:highlight w:val="none"/>
          <w:shd w:val="clear" w:color="050000" w:fill="auto"/>
        </w:rPr>
      </w:pPr>
      <w:bookmarkStart w:id="109" w:name="_Toc2196771"/>
      <w:bookmarkStart w:id="110" w:name="_Toc10916"/>
      <w:bookmarkStart w:id="111" w:name="_Toc8050713"/>
      <w:bookmarkStart w:id="112" w:name="_Toc30978"/>
      <w:bookmarkStart w:id="113" w:name="_Toc4084"/>
      <w:r>
        <w:rPr>
          <w:rFonts w:hint="eastAsia" w:ascii="仿宋_GB2312" w:hAnsi="宋体" w:eastAsia="仿宋_GB2312" w:cs="仿宋_GB2312"/>
          <w:szCs w:val="24"/>
          <w:highlight w:val="none"/>
          <w:shd w:val="clear" w:color="050000" w:fill="auto"/>
        </w:rPr>
        <w:t>在满足技术要求的基础上，按照本需求书第3条工程技术要求对该项目进行验收，其它未尽事宜以国家或行业现行标准为准。</w:t>
      </w:r>
      <w:bookmarkEnd w:id="109"/>
      <w:bookmarkEnd w:id="110"/>
      <w:bookmarkEnd w:id="111"/>
      <w:bookmarkEnd w:id="112"/>
      <w:bookmarkEnd w:id="113"/>
    </w:p>
    <w:p>
      <w:pPr>
        <w:pStyle w:val="3"/>
        <w:rPr>
          <w:rFonts w:eastAsia="华文仿宋"/>
          <w:sz w:val="24"/>
          <w:highlight w:val="none"/>
        </w:rPr>
      </w:pPr>
      <w:bookmarkStart w:id="114" w:name="_Toc2196772"/>
      <w:bookmarkEnd w:id="114"/>
      <w:bookmarkStart w:id="115" w:name="_Toc2196780"/>
      <w:bookmarkEnd w:id="115"/>
      <w:bookmarkStart w:id="116" w:name="_Toc2196776"/>
      <w:bookmarkEnd w:id="116"/>
      <w:bookmarkStart w:id="117" w:name="_Toc2196777"/>
      <w:bookmarkEnd w:id="117"/>
      <w:bookmarkStart w:id="118" w:name="_Toc2196773"/>
      <w:bookmarkEnd w:id="118"/>
      <w:bookmarkStart w:id="119" w:name="_Toc2196781"/>
      <w:bookmarkEnd w:id="119"/>
      <w:bookmarkStart w:id="120" w:name="_Toc2196779"/>
      <w:bookmarkEnd w:id="120"/>
      <w:bookmarkStart w:id="121" w:name="_Toc2196778"/>
      <w:bookmarkEnd w:id="121"/>
      <w:bookmarkStart w:id="122" w:name="_Toc2196774"/>
      <w:bookmarkEnd w:id="122"/>
      <w:bookmarkStart w:id="123" w:name="_Toc2196775"/>
      <w:bookmarkEnd w:id="123"/>
      <w:bookmarkStart w:id="124" w:name="_Toc2196782"/>
      <w:bookmarkStart w:id="125" w:name="_Toc54860674"/>
      <w:bookmarkStart w:id="126" w:name="_Toc536513603"/>
      <w:bookmarkStart w:id="127" w:name="_Toc73544719"/>
      <w:r>
        <w:rPr>
          <w:rFonts w:hint="eastAsia" w:eastAsia="华文仿宋"/>
          <w:sz w:val="24"/>
          <w:highlight w:val="none"/>
        </w:rPr>
        <w:t>6.2验收程序</w:t>
      </w:r>
      <w:bookmarkEnd w:id="124"/>
      <w:bookmarkEnd w:id="125"/>
      <w:bookmarkEnd w:id="126"/>
      <w:bookmarkEnd w:id="127"/>
    </w:p>
    <w:p>
      <w:pPr>
        <w:pStyle w:val="30"/>
        <w:numPr>
          <w:ilvl w:val="255"/>
          <w:numId w:val="0"/>
        </w:numPr>
        <w:ind w:left="6" w:firstLine="480" w:firstLineChars="200"/>
        <w:jc w:val="left"/>
        <w:rPr>
          <w:rFonts w:ascii="仿宋_GB2312" w:hAnsi="宋体" w:eastAsia="仿宋_GB2312" w:cs="仿宋_GB2312"/>
          <w:szCs w:val="24"/>
          <w:highlight w:val="none"/>
          <w:shd w:val="clear" w:color="050000" w:fill="auto"/>
        </w:rPr>
      </w:pPr>
      <w:r>
        <w:rPr>
          <w:rFonts w:hint="eastAsia" w:ascii="仿宋_GB2312" w:hAnsi="仿宋_GB2312" w:eastAsia="仿宋_GB2312" w:cs="仿宋_GB2312"/>
          <w:highlight w:val="none"/>
          <w:shd w:val="clear" w:color="050000" w:fill="auto"/>
        </w:rPr>
        <w:t>工程施工完成之后，由中选单位自行组织对工程进行全面自检，自检完成之后，向采购单位提出验收申请，由采购单位组织对工程进行竣工验收。</w:t>
      </w:r>
    </w:p>
    <w:p>
      <w:pPr>
        <w:pStyle w:val="2"/>
        <w:numPr>
          <w:ilvl w:val="0"/>
          <w:numId w:val="1"/>
        </w:numPr>
        <w:ind w:left="0" w:firstLine="0"/>
        <w:rPr>
          <w:rFonts w:eastAsia="华文仿宋"/>
          <w:highlight w:val="none"/>
        </w:rPr>
      </w:pPr>
      <w:r>
        <w:rPr>
          <w:rFonts w:hint="eastAsia" w:eastAsia="华文仿宋"/>
          <w:highlight w:val="none"/>
        </w:rPr>
        <w:t xml:space="preserve"> </w:t>
      </w:r>
      <w:bookmarkStart w:id="128" w:name="_Toc2196784"/>
      <w:bookmarkStart w:id="129" w:name="_Toc54860675"/>
      <w:bookmarkStart w:id="130" w:name="_Toc73544720"/>
      <w:bookmarkStart w:id="131" w:name="_Toc536513604"/>
      <w:r>
        <w:rPr>
          <w:rFonts w:hint="eastAsia" w:eastAsia="华文仿宋"/>
          <w:highlight w:val="none"/>
        </w:rPr>
        <w:t>质保期服务</w:t>
      </w:r>
      <w:bookmarkEnd w:id="128"/>
      <w:bookmarkEnd w:id="129"/>
      <w:bookmarkEnd w:id="130"/>
      <w:bookmarkEnd w:id="131"/>
    </w:p>
    <w:p>
      <w:pPr>
        <w:pStyle w:val="3"/>
        <w:rPr>
          <w:rFonts w:eastAsia="华文仿宋"/>
          <w:sz w:val="24"/>
          <w:highlight w:val="none"/>
        </w:rPr>
      </w:pPr>
      <w:bookmarkStart w:id="132" w:name="_Toc54860676"/>
      <w:bookmarkStart w:id="133" w:name="_Toc536513605"/>
      <w:bookmarkStart w:id="134" w:name="_Toc2196785"/>
      <w:bookmarkStart w:id="135" w:name="_Toc73544721"/>
      <w:r>
        <w:rPr>
          <w:rFonts w:hint="eastAsia" w:eastAsia="华文仿宋"/>
          <w:sz w:val="24"/>
          <w:highlight w:val="none"/>
        </w:rPr>
        <w:t>7.1 质保期</w:t>
      </w:r>
      <w:bookmarkEnd w:id="132"/>
      <w:bookmarkEnd w:id="133"/>
      <w:bookmarkEnd w:id="134"/>
      <w:bookmarkEnd w:id="135"/>
    </w:p>
    <w:p>
      <w:pPr>
        <w:ind w:firstLine="480" w:firstLineChars="200"/>
        <w:jc w:val="left"/>
        <w:rPr>
          <w:rFonts w:ascii="仿宋_GB2312" w:hAnsi="宋体" w:eastAsia="仿宋_GB2312" w:cs="仿宋_GB2312"/>
          <w:szCs w:val="24"/>
          <w:highlight w:val="none"/>
          <w:shd w:val="clear" w:color="050000" w:fill="auto"/>
        </w:rPr>
      </w:pPr>
      <w:r>
        <w:rPr>
          <w:rFonts w:hint="eastAsia" w:ascii="仿宋_GB2312" w:hAnsi="仿宋_GB2312" w:eastAsia="仿宋_GB2312" w:cs="仿宋_GB2312"/>
          <w:highlight w:val="none"/>
          <w:shd w:val="clear" w:color="050000" w:fill="auto"/>
        </w:rPr>
        <w:t>项目通过竣工验收并交付使用，视作进入质保期，质保期为</w:t>
      </w:r>
      <w:r>
        <w:rPr>
          <w:rFonts w:hint="eastAsia" w:ascii="仿宋_GB2312" w:hAnsi="仿宋_GB2312" w:eastAsia="仿宋_GB2312" w:cs="仿宋_GB2312"/>
          <w:highlight w:val="none"/>
          <w:u w:val="single"/>
          <w:shd w:val="clear" w:color="050000" w:fill="auto"/>
          <w:lang w:val="en-US" w:eastAsia="zh-CN"/>
        </w:rPr>
        <w:t>24</w:t>
      </w:r>
      <w:r>
        <w:rPr>
          <w:rFonts w:hint="eastAsia" w:ascii="仿宋_GB2312" w:hAnsi="仿宋_GB2312" w:eastAsia="仿宋_GB2312" w:cs="仿宋_GB2312"/>
          <w:highlight w:val="none"/>
          <w:u w:val="single"/>
          <w:shd w:val="clear" w:color="050000" w:fill="auto"/>
        </w:rPr>
        <w:t>个月</w:t>
      </w:r>
      <w:r>
        <w:rPr>
          <w:rFonts w:hint="eastAsia" w:ascii="仿宋_GB2312" w:hAnsi="仿宋_GB2312" w:eastAsia="仿宋_GB2312" w:cs="仿宋_GB2312"/>
          <w:highlight w:val="none"/>
          <w:shd w:val="clear" w:color="050000" w:fill="auto"/>
        </w:rPr>
        <w:t>。如质保期内出现重大质量缺陷，质保期从该质量缺陷修复后起重新计算。重大质量缺陷的认定依照国家、省、市相关规定执行。</w:t>
      </w:r>
    </w:p>
    <w:p>
      <w:pPr>
        <w:pStyle w:val="3"/>
        <w:rPr>
          <w:rFonts w:eastAsia="华文仿宋"/>
          <w:sz w:val="24"/>
          <w:highlight w:val="none"/>
        </w:rPr>
      </w:pPr>
      <w:bookmarkStart w:id="136" w:name="_Toc2196786"/>
      <w:bookmarkStart w:id="137" w:name="_Toc73544722"/>
      <w:bookmarkStart w:id="138" w:name="_Toc536513606"/>
      <w:bookmarkStart w:id="139" w:name="_Toc54860677"/>
      <w:r>
        <w:rPr>
          <w:rFonts w:hint="eastAsia" w:eastAsia="华文仿宋"/>
          <w:sz w:val="24"/>
          <w:highlight w:val="none"/>
        </w:rPr>
        <w:t>7.2 质保期的要求</w:t>
      </w:r>
      <w:bookmarkEnd w:id="136"/>
      <w:bookmarkEnd w:id="137"/>
      <w:bookmarkEnd w:id="138"/>
      <w:bookmarkEnd w:id="139"/>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7.2.1质保期内，对由于安装不良、材料缺陷等引起的缺陷谈判单位应负责修补。</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7.2.2质保期内采购单位在任何时间内发现本采购项目有缺陷，可要求谈判单位立即修复，谈判单位必须在收到采购单位的通知后</w:t>
      </w:r>
      <w:r>
        <w:rPr>
          <w:rFonts w:hint="eastAsia" w:ascii="仿宋_GB2312" w:hAnsi="宋体" w:eastAsia="仿宋_GB2312" w:cs="仿宋_GB2312"/>
          <w:szCs w:val="24"/>
          <w:highlight w:val="none"/>
          <w:shd w:val="clear" w:color="050000" w:fill="auto"/>
          <w:lang w:val="en-US" w:eastAsia="zh-CN"/>
        </w:rPr>
        <w:t>72</w:t>
      </w:r>
      <w:r>
        <w:rPr>
          <w:rFonts w:hint="eastAsia" w:ascii="仿宋_GB2312" w:hAnsi="宋体" w:eastAsia="仿宋_GB2312" w:cs="仿宋_GB2312"/>
          <w:szCs w:val="24"/>
          <w:highlight w:val="none"/>
          <w:shd w:val="clear" w:color="050000" w:fill="auto"/>
        </w:rPr>
        <w:t>小时内派人员到现场免费修复，否则采购单位可自行组织修复，由此产生的一切费用由谈判单位承担。</w:t>
      </w:r>
    </w:p>
    <w:p>
      <w:pPr>
        <w:jc w:val="left"/>
        <w:rPr>
          <w:rFonts w:ascii="仿宋_GB2312" w:hAnsi="宋体" w:eastAsia="仿宋_GB2312" w:cs="仿宋_GB2312"/>
          <w:szCs w:val="24"/>
          <w:highlight w:val="none"/>
          <w:shd w:val="clear" w:color="050000" w:fill="auto"/>
        </w:rPr>
      </w:pPr>
      <w:r>
        <w:rPr>
          <w:rFonts w:hint="eastAsia" w:ascii="仿宋_GB2312" w:hAnsi="宋体" w:eastAsia="仿宋_GB2312" w:cs="仿宋_GB2312"/>
          <w:szCs w:val="24"/>
          <w:highlight w:val="none"/>
          <w:shd w:val="clear" w:color="050000" w:fill="auto"/>
        </w:rPr>
        <w:t>7.2.3在质保期内，当发生故障时，谈判单位应负责抢修，其费用已包括在投标总价内。</w:t>
      </w:r>
    </w:p>
    <w:sectPr>
      <w:footerReference r:id="rId5" w:type="default"/>
      <w:pgSz w:w="11906" w:h="16838"/>
      <w:pgMar w:top="1440" w:right="1474" w:bottom="1440" w:left="1474" w:header="851" w:footer="99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5528610"/>
    </w:sdtPr>
    <w:sdtContent>
      <w:p>
        <w:pPr>
          <w:pStyle w:val="12"/>
          <w:jc w:val="center"/>
        </w:pPr>
        <w:r>
          <w:fldChar w:fldCharType="begin"/>
        </w:r>
        <w:r>
          <w:instrText xml:space="preserve">PAGE   \* MERGEFORMAT</w:instrText>
        </w:r>
        <w:r>
          <w:fldChar w:fldCharType="separate"/>
        </w:r>
        <w:r>
          <w:rPr>
            <w:lang w:val="zh-CN"/>
          </w:rPr>
          <w:t>7</w:t>
        </w:r>
        <w: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67A20"/>
    <w:multiLevelType w:val="singleLevel"/>
    <w:tmpl w:val="86A67A20"/>
    <w:lvl w:ilvl="0" w:tentative="0">
      <w:start w:val="1"/>
      <w:numFmt w:val="decimal"/>
      <w:suff w:val="nothing"/>
      <w:lvlText w:val="%1、"/>
      <w:lvlJc w:val="left"/>
    </w:lvl>
  </w:abstractNum>
  <w:abstractNum w:abstractNumId="1">
    <w:nsid w:val="93FEF593"/>
    <w:multiLevelType w:val="singleLevel"/>
    <w:tmpl w:val="93FEF593"/>
    <w:lvl w:ilvl="0" w:tentative="0">
      <w:start w:val="1"/>
      <w:numFmt w:val="decimal"/>
      <w:suff w:val="nothing"/>
      <w:lvlText w:val="%1）"/>
      <w:lvlJc w:val="left"/>
      <w:pPr>
        <w:ind w:left="360" w:firstLine="0"/>
      </w:pPr>
    </w:lvl>
  </w:abstractNum>
  <w:abstractNum w:abstractNumId="2">
    <w:nsid w:val="940A27B8"/>
    <w:multiLevelType w:val="singleLevel"/>
    <w:tmpl w:val="940A27B8"/>
    <w:lvl w:ilvl="0" w:tentative="0">
      <w:start w:val="1"/>
      <w:numFmt w:val="decimal"/>
      <w:lvlText w:val="%1)"/>
      <w:lvlJc w:val="left"/>
      <w:pPr>
        <w:ind w:left="425" w:hanging="425"/>
      </w:pPr>
      <w:rPr>
        <w:rFonts w:hint="default"/>
      </w:rPr>
    </w:lvl>
  </w:abstractNum>
  <w:abstractNum w:abstractNumId="3">
    <w:nsid w:val="AA612D45"/>
    <w:multiLevelType w:val="singleLevel"/>
    <w:tmpl w:val="AA612D45"/>
    <w:lvl w:ilvl="0" w:tentative="0">
      <w:start w:val="1"/>
      <w:numFmt w:val="decimal"/>
      <w:suff w:val="nothing"/>
      <w:lvlText w:val="%1）"/>
      <w:lvlJc w:val="left"/>
      <w:pPr>
        <w:ind w:left="360" w:firstLine="0"/>
      </w:pPr>
    </w:lvl>
  </w:abstractNum>
  <w:abstractNum w:abstractNumId="4">
    <w:nsid w:val="C9A11220"/>
    <w:multiLevelType w:val="singleLevel"/>
    <w:tmpl w:val="C9A11220"/>
    <w:lvl w:ilvl="0" w:tentative="0">
      <w:start w:val="1"/>
      <w:numFmt w:val="decimal"/>
      <w:suff w:val="nothing"/>
      <w:lvlText w:val="%1）"/>
      <w:lvlJc w:val="left"/>
    </w:lvl>
  </w:abstractNum>
  <w:abstractNum w:abstractNumId="5">
    <w:nsid w:val="15B21495"/>
    <w:multiLevelType w:val="multilevel"/>
    <w:tmpl w:val="15B214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4756B2"/>
    <w:multiLevelType w:val="multilevel"/>
    <w:tmpl w:val="254756B2"/>
    <w:lvl w:ilvl="0" w:tentative="0">
      <w:start w:val="1"/>
      <w:numFmt w:val="decimal"/>
      <w:lvlText w:val="1.%1"/>
      <w:lvlJc w:val="left"/>
      <w:pPr>
        <w:ind w:left="420" w:hanging="420"/>
      </w:pPr>
      <w:rPr>
        <w:rFonts w:hint="default"/>
      </w:rPr>
    </w:lvl>
    <w:lvl w:ilvl="1" w:tentative="0">
      <w:start w:val="1"/>
      <w:numFmt w:val="decimal"/>
      <w:lvlText w:val="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9050B89"/>
    <w:multiLevelType w:val="multilevel"/>
    <w:tmpl w:val="49050B89"/>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8">
    <w:nsid w:val="6F486565"/>
    <w:multiLevelType w:val="singleLevel"/>
    <w:tmpl w:val="6F486565"/>
    <w:lvl w:ilvl="0" w:tentative="0">
      <w:start w:val="1"/>
      <w:numFmt w:val="decimal"/>
      <w:suff w:val="nothing"/>
      <w:lvlText w:val="%1）"/>
      <w:lvlJc w:val="left"/>
      <w:pPr>
        <w:ind w:left="360" w:firstLine="0"/>
      </w:pPr>
    </w:lvl>
  </w:abstractNum>
  <w:num w:numId="1">
    <w:abstractNumId w:val="7"/>
  </w:num>
  <w:num w:numId="2">
    <w:abstractNumId w:val="6"/>
  </w:num>
  <w:num w:numId="3">
    <w:abstractNumId w:val="2"/>
  </w:num>
  <w:num w:numId="4">
    <w:abstractNumId w:val="4"/>
  </w:num>
  <w:num w:numId="5">
    <w:abstractNumId w:val="3"/>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2167FE"/>
    <w:rsid w:val="00002BA9"/>
    <w:rsid w:val="00002E4C"/>
    <w:rsid w:val="00002EE7"/>
    <w:rsid w:val="0000642F"/>
    <w:rsid w:val="00013387"/>
    <w:rsid w:val="00013A32"/>
    <w:rsid w:val="000153E9"/>
    <w:rsid w:val="00017922"/>
    <w:rsid w:val="000209C7"/>
    <w:rsid w:val="00020E05"/>
    <w:rsid w:val="0002754D"/>
    <w:rsid w:val="00041AE2"/>
    <w:rsid w:val="00046351"/>
    <w:rsid w:val="00046B39"/>
    <w:rsid w:val="00052A02"/>
    <w:rsid w:val="00052C46"/>
    <w:rsid w:val="00052FF1"/>
    <w:rsid w:val="000634B5"/>
    <w:rsid w:val="0006750A"/>
    <w:rsid w:val="00071173"/>
    <w:rsid w:val="000831AC"/>
    <w:rsid w:val="00084982"/>
    <w:rsid w:val="00086092"/>
    <w:rsid w:val="000A702F"/>
    <w:rsid w:val="000A7D10"/>
    <w:rsid w:val="000B084F"/>
    <w:rsid w:val="000B18B6"/>
    <w:rsid w:val="000B2905"/>
    <w:rsid w:val="000B474C"/>
    <w:rsid w:val="000C465E"/>
    <w:rsid w:val="000D1FB5"/>
    <w:rsid w:val="000E1FDF"/>
    <w:rsid w:val="000F7477"/>
    <w:rsid w:val="0010152E"/>
    <w:rsid w:val="00101799"/>
    <w:rsid w:val="00110B18"/>
    <w:rsid w:val="00110B56"/>
    <w:rsid w:val="001143A6"/>
    <w:rsid w:val="00114EC8"/>
    <w:rsid w:val="001164BC"/>
    <w:rsid w:val="00122A59"/>
    <w:rsid w:val="0012464B"/>
    <w:rsid w:val="00124F39"/>
    <w:rsid w:val="00127F95"/>
    <w:rsid w:val="001402AB"/>
    <w:rsid w:val="00140772"/>
    <w:rsid w:val="00141FE7"/>
    <w:rsid w:val="0014396E"/>
    <w:rsid w:val="00157FF2"/>
    <w:rsid w:val="00160FF5"/>
    <w:rsid w:val="00161EDB"/>
    <w:rsid w:val="001641C0"/>
    <w:rsid w:val="0016747A"/>
    <w:rsid w:val="0017197F"/>
    <w:rsid w:val="00172D4E"/>
    <w:rsid w:val="00180B21"/>
    <w:rsid w:val="00183051"/>
    <w:rsid w:val="0018314E"/>
    <w:rsid w:val="00183F3C"/>
    <w:rsid w:val="00184104"/>
    <w:rsid w:val="001917DE"/>
    <w:rsid w:val="00194DA2"/>
    <w:rsid w:val="00195BD6"/>
    <w:rsid w:val="00197FBE"/>
    <w:rsid w:val="001A207B"/>
    <w:rsid w:val="001A20DD"/>
    <w:rsid w:val="001A3C1A"/>
    <w:rsid w:val="001A62AA"/>
    <w:rsid w:val="001B7D27"/>
    <w:rsid w:val="001D7827"/>
    <w:rsid w:val="001E0798"/>
    <w:rsid w:val="001E273C"/>
    <w:rsid w:val="001E7055"/>
    <w:rsid w:val="00200DFC"/>
    <w:rsid w:val="00201AED"/>
    <w:rsid w:val="00202253"/>
    <w:rsid w:val="002040AD"/>
    <w:rsid w:val="00204F78"/>
    <w:rsid w:val="00207B37"/>
    <w:rsid w:val="00213EF1"/>
    <w:rsid w:val="00220F44"/>
    <w:rsid w:val="00231348"/>
    <w:rsid w:val="00234F77"/>
    <w:rsid w:val="002452DC"/>
    <w:rsid w:val="00245E11"/>
    <w:rsid w:val="002473D4"/>
    <w:rsid w:val="002508E4"/>
    <w:rsid w:val="00251C3A"/>
    <w:rsid w:val="0025232E"/>
    <w:rsid w:val="00252C4C"/>
    <w:rsid w:val="002570CC"/>
    <w:rsid w:val="00257304"/>
    <w:rsid w:val="00260227"/>
    <w:rsid w:val="002632F9"/>
    <w:rsid w:val="00263BEF"/>
    <w:rsid w:val="00265F88"/>
    <w:rsid w:val="002660EA"/>
    <w:rsid w:val="00275EC2"/>
    <w:rsid w:val="00276CBC"/>
    <w:rsid w:val="002809A5"/>
    <w:rsid w:val="00282499"/>
    <w:rsid w:val="00283081"/>
    <w:rsid w:val="00284055"/>
    <w:rsid w:val="002869A1"/>
    <w:rsid w:val="00287CD0"/>
    <w:rsid w:val="00291491"/>
    <w:rsid w:val="00297ADA"/>
    <w:rsid w:val="002A2279"/>
    <w:rsid w:val="002A456D"/>
    <w:rsid w:val="002A5290"/>
    <w:rsid w:val="002B2911"/>
    <w:rsid w:val="002B535B"/>
    <w:rsid w:val="002B615C"/>
    <w:rsid w:val="002B67C7"/>
    <w:rsid w:val="002C197F"/>
    <w:rsid w:val="002D383F"/>
    <w:rsid w:val="002E5193"/>
    <w:rsid w:val="002E76B3"/>
    <w:rsid w:val="002F08C4"/>
    <w:rsid w:val="002F3BAA"/>
    <w:rsid w:val="00301FAE"/>
    <w:rsid w:val="003035D5"/>
    <w:rsid w:val="00303948"/>
    <w:rsid w:val="003076D7"/>
    <w:rsid w:val="0031182E"/>
    <w:rsid w:val="00314F83"/>
    <w:rsid w:val="00315442"/>
    <w:rsid w:val="00315F32"/>
    <w:rsid w:val="00316F71"/>
    <w:rsid w:val="003173C5"/>
    <w:rsid w:val="003308C2"/>
    <w:rsid w:val="00340FA6"/>
    <w:rsid w:val="003440FC"/>
    <w:rsid w:val="00350E6B"/>
    <w:rsid w:val="00351A8F"/>
    <w:rsid w:val="00356045"/>
    <w:rsid w:val="00356FDE"/>
    <w:rsid w:val="00360A33"/>
    <w:rsid w:val="003711B7"/>
    <w:rsid w:val="00372927"/>
    <w:rsid w:val="00374AAA"/>
    <w:rsid w:val="00376553"/>
    <w:rsid w:val="003874CE"/>
    <w:rsid w:val="00387A63"/>
    <w:rsid w:val="003A0999"/>
    <w:rsid w:val="003A2D9E"/>
    <w:rsid w:val="003A330D"/>
    <w:rsid w:val="003A4078"/>
    <w:rsid w:val="003A6C2F"/>
    <w:rsid w:val="003A7FE7"/>
    <w:rsid w:val="003B10E5"/>
    <w:rsid w:val="003B123D"/>
    <w:rsid w:val="003B4129"/>
    <w:rsid w:val="003B73A3"/>
    <w:rsid w:val="003D5807"/>
    <w:rsid w:val="003E4E16"/>
    <w:rsid w:val="003E6592"/>
    <w:rsid w:val="003E7F39"/>
    <w:rsid w:val="003F0F59"/>
    <w:rsid w:val="003F2EE9"/>
    <w:rsid w:val="003F4B76"/>
    <w:rsid w:val="004045BD"/>
    <w:rsid w:val="004133EF"/>
    <w:rsid w:val="00417FC7"/>
    <w:rsid w:val="00422C1E"/>
    <w:rsid w:val="00425CE5"/>
    <w:rsid w:val="00432015"/>
    <w:rsid w:val="00433BF8"/>
    <w:rsid w:val="00433FD8"/>
    <w:rsid w:val="00435318"/>
    <w:rsid w:val="004364A5"/>
    <w:rsid w:val="00440B73"/>
    <w:rsid w:val="00441066"/>
    <w:rsid w:val="004420F4"/>
    <w:rsid w:val="004451A0"/>
    <w:rsid w:val="0044525C"/>
    <w:rsid w:val="00445392"/>
    <w:rsid w:val="00447938"/>
    <w:rsid w:val="00452478"/>
    <w:rsid w:val="00452CD2"/>
    <w:rsid w:val="0046267C"/>
    <w:rsid w:val="0046626F"/>
    <w:rsid w:val="00470EAB"/>
    <w:rsid w:val="00471D09"/>
    <w:rsid w:val="004743F9"/>
    <w:rsid w:val="00476213"/>
    <w:rsid w:val="00483C66"/>
    <w:rsid w:val="00484FBA"/>
    <w:rsid w:val="00486714"/>
    <w:rsid w:val="00493866"/>
    <w:rsid w:val="004939C8"/>
    <w:rsid w:val="00496845"/>
    <w:rsid w:val="00497657"/>
    <w:rsid w:val="004A2DBE"/>
    <w:rsid w:val="004A3428"/>
    <w:rsid w:val="004A4358"/>
    <w:rsid w:val="004B4A85"/>
    <w:rsid w:val="004B6B93"/>
    <w:rsid w:val="004C3E42"/>
    <w:rsid w:val="004C466D"/>
    <w:rsid w:val="004C4F43"/>
    <w:rsid w:val="004C6291"/>
    <w:rsid w:val="004C6352"/>
    <w:rsid w:val="004D32BC"/>
    <w:rsid w:val="004D4324"/>
    <w:rsid w:val="004D6AC6"/>
    <w:rsid w:val="004D77F0"/>
    <w:rsid w:val="004E2D16"/>
    <w:rsid w:val="004E703B"/>
    <w:rsid w:val="004F3015"/>
    <w:rsid w:val="004F31FF"/>
    <w:rsid w:val="005017CD"/>
    <w:rsid w:val="00501B5F"/>
    <w:rsid w:val="00505139"/>
    <w:rsid w:val="00512AE7"/>
    <w:rsid w:val="005168CC"/>
    <w:rsid w:val="0051755D"/>
    <w:rsid w:val="005205DF"/>
    <w:rsid w:val="005221E8"/>
    <w:rsid w:val="005233F2"/>
    <w:rsid w:val="005245F8"/>
    <w:rsid w:val="00527892"/>
    <w:rsid w:val="00541721"/>
    <w:rsid w:val="00542CEE"/>
    <w:rsid w:val="00545233"/>
    <w:rsid w:val="00545673"/>
    <w:rsid w:val="00547853"/>
    <w:rsid w:val="005500D2"/>
    <w:rsid w:val="00552A71"/>
    <w:rsid w:val="00553ED8"/>
    <w:rsid w:val="005548D0"/>
    <w:rsid w:val="00557666"/>
    <w:rsid w:val="00562134"/>
    <w:rsid w:val="00563266"/>
    <w:rsid w:val="005714E9"/>
    <w:rsid w:val="0057182D"/>
    <w:rsid w:val="005752D3"/>
    <w:rsid w:val="00577CB1"/>
    <w:rsid w:val="00580624"/>
    <w:rsid w:val="00582187"/>
    <w:rsid w:val="005838EA"/>
    <w:rsid w:val="00583E5B"/>
    <w:rsid w:val="00585988"/>
    <w:rsid w:val="00585C24"/>
    <w:rsid w:val="00586F75"/>
    <w:rsid w:val="00591E97"/>
    <w:rsid w:val="00592020"/>
    <w:rsid w:val="005957CF"/>
    <w:rsid w:val="005B4684"/>
    <w:rsid w:val="005B66AF"/>
    <w:rsid w:val="005B7C2D"/>
    <w:rsid w:val="005C43B3"/>
    <w:rsid w:val="005D28EC"/>
    <w:rsid w:val="005D3ED0"/>
    <w:rsid w:val="005D43AF"/>
    <w:rsid w:val="005D4BE9"/>
    <w:rsid w:val="005E6101"/>
    <w:rsid w:val="005E669F"/>
    <w:rsid w:val="005E71B3"/>
    <w:rsid w:val="005E7228"/>
    <w:rsid w:val="005E7F79"/>
    <w:rsid w:val="005F0420"/>
    <w:rsid w:val="005F1F58"/>
    <w:rsid w:val="005F2394"/>
    <w:rsid w:val="005F4FC6"/>
    <w:rsid w:val="00601AC0"/>
    <w:rsid w:val="006023C7"/>
    <w:rsid w:val="006037AF"/>
    <w:rsid w:val="00605C18"/>
    <w:rsid w:val="00606198"/>
    <w:rsid w:val="00620901"/>
    <w:rsid w:val="00621B3D"/>
    <w:rsid w:val="00633D09"/>
    <w:rsid w:val="0064775B"/>
    <w:rsid w:val="00650DAC"/>
    <w:rsid w:val="00657A4B"/>
    <w:rsid w:val="00660B7C"/>
    <w:rsid w:val="00661D2A"/>
    <w:rsid w:val="00663A36"/>
    <w:rsid w:val="00665B9F"/>
    <w:rsid w:val="006716EA"/>
    <w:rsid w:val="00671A1F"/>
    <w:rsid w:val="006811AD"/>
    <w:rsid w:val="006813C5"/>
    <w:rsid w:val="006826D2"/>
    <w:rsid w:val="00684720"/>
    <w:rsid w:val="006932E7"/>
    <w:rsid w:val="0069365B"/>
    <w:rsid w:val="00696261"/>
    <w:rsid w:val="00696D59"/>
    <w:rsid w:val="006A4208"/>
    <w:rsid w:val="006A5690"/>
    <w:rsid w:val="006B119C"/>
    <w:rsid w:val="006B42EB"/>
    <w:rsid w:val="006C0E11"/>
    <w:rsid w:val="006C2E69"/>
    <w:rsid w:val="006C49B8"/>
    <w:rsid w:val="006C5270"/>
    <w:rsid w:val="006D2E57"/>
    <w:rsid w:val="006D6C36"/>
    <w:rsid w:val="006D6C4E"/>
    <w:rsid w:val="006D7E61"/>
    <w:rsid w:val="006E241B"/>
    <w:rsid w:val="006F2CC6"/>
    <w:rsid w:val="007004C1"/>
    <w:rsid w:val="0070541C"/>
    <w:rsid w:val="00707CC9"/>
    <w:rsid w:val="0071595E"/>
    <w:rsid w:val="00721F22"/>
    <w:rsid w:val="00736791"/>
    <w:rsid w:val="00740520"/>
    <w:rsid w:val="00745214"/>
    <w:rsid w:val="007568FE"/>
    <w:rsid w:val="00765F88"/>
    <w:rsid w:val="00772EB0"/>
    <w:rsid w:val="00780504"/>
    <w:rsid w:val="007824E5"/>
    <w:rsid w:val="0078786C"/>
    <w:rsid w:val="00793341"/>
    <w:rsid w:val="00793A12"/>
    <w:rsid w:val="00795F06"/>
    <w:rsid w:val="00796972"/>
    <w:rsid w:val="00796A1D"/>
    <w:rsid w:val="00797904"/>
    <w:rsid w:val="007A368F"/>
    <w:rsid w:val="007A6C33"/>
    <w:rsid w:val="007A76C3"/>
    <w:rsid w:val="007B0C11"/>
    <w:rsid w:val="007C2F03"/>
    <w:rsid w:val="007E0E56"/>
    <w:rsid w:val="007E2A95"/>
    <w:rsid w:val="007E49F3"/>
    <w:rsid w:val="007F00F3"/>
    <w:rsid w:val="007F4994"/>
    <w:rsid w:val="007F654D"/>
    <w:rsid w:val="007F7FE5"/>
    <w:rsid w:val="0080673C"/>
    <w:rsid w:val="0081265A"/>
    <w:rsid w:val="00813400"/>
    <w:rsid w:val="00817E3C"/>
    <w:rsid w:val="00825B71"/>
    <w:rsid w:val="00832910"/>
    <w:rsid w:val="00836F61"/>
    <w:rsid w:val="00843422"/>
    <w:rsid w:val="00844D80"/>
    <w:rsid w:val="00854DA2"/>
    <w:rsid w:val="00862886"/>
    <w:rsid w:val="00867566"/>
    <w:rsid w:val="0087024F"/>
    <w:rsid w:val="00871364"/>
    <w:rsid w:val="008713FD"/>
    <w:rsid w:val="008757F7"/>
    <w:rsid w:val="00877BF3"/>
    <w:rsid w:val="00880445"/>
    <w:rsid w:val="0088116E"/>
    <w:rsid w:val="00881D4B"/>
    <w:rsid w:val="00885303"/>
    <w:rsid w:val="00886968"/>
    <w:rsid w:val="00887434"/>
    <w:rsid w:val="00890B59"/>
    <w:rsid w:val="00891102"/>
    <w:rsid w:val="0089125E"/>
    <w:rsid w:val="008A09A6"/>
    <w:rsid w:val="008A1C76"/>
    <w:rsid w:val="008B0049"/>
    <w:rsid w:val="008B4400"/>
    <w:rsid w:val="008B7C37"/>
    <w:rsid w:val="008C1536"/>
    <w:rsid w:val="008C72D7"/>
    <w:rsid w:val="008D141C"/>
    <w:rsid w:val="008D78C8"/>
    <w:rsid w:val="008F32EC"/>
    <w:rsid w:val="008F3D92"/>
    <w:rsid w:val="008F5319"/>
    <w:rsid w:val="0090013A"/>
    <w:rsid w:val="009002A6"/>
    <w:rsid w:val="00906D74"/>
    <w:rsid w:val="00912715"/>
    <w:rsid w:val="00914F48"/>
    <w:rsid w:val="00915B7B"/>
    <w:rsid w:val="00922ADA"/>
    <w:rsid w:val="00927A21"/>
    <w:rsid w:val="00934857"/>
    <w:rsid w:val="00935136"/>
    <w:rsid w:val="009379D0"/>
    <w:rsid w:val="00941088"/>
    <w:rsid w:val="009457BC"/>
    <w:rsid w:val="00946252"/>
    <w:rsid w:val="00951A20"/>
    <w:rsid w:val="00954A0C"/>
    <w:rsid w:val="00957771"/>
    <w:rsid w:val="00960B21"/>
    <w:rsid w:val="00964741"/>
    <w:rsid w:val="00967312"/>
    <w:rsid w:val="0097227A"/>
    <w:rsid w:val="00973675"/>
    <w:rsid w:val="00976721"/>
    <w:rsid w:val="00982EE7"/>
    <w:rsid w:val="00984E79"/>
    <w:rsid w:val="00986025"/>
    <w:rsid w:val="0098778D"/>
    <w:rsid w:val="00992980"/>
    <w:rsid w:val="009943E2"/>
    <w:rsid w:val="00995B41"/>
    <w:rsid w:val="00996CEA"/>
    <w:rsid w:val="009A3C3D"/>
    <w:rsid w:val="009A45B0"/>
    <w:rsid w:val="009A61F0"/>
    <w:rsid w:val="009A6552"/>
    <w:rsid w:val="009B18F9"/>
    <w:rsid w:val="009B56DE"/>
    <w:rsid w:val="009C4E3F"/>
    <w:rsid w:val="009C646E"/>
    <w:rsid w:val="009D1057"/>
    <w:rsid w:val="009D116A"/>
    <w:rsid w:val="009D1617"/>
    <w:rsid w:val="009D1E3A"/>
    <w:rsid w:val="009D2F3E"/>
    <w:rsid w:val="009D517D"/>
    <w:rsid w:val="009D54E0"/>
    <w:rsid w:val="009D57B3"/>
    <w:rsid w:val="009D59C6"/>
    <w:rsid w:val="009D61F5"/>
    <w:rsid w:val="009D6660"/>
    <w:rsid w:val="009D767C"/>
    <w:rsid w:val="009F4B79"/>
    <w:rsid w:val="009F726A"/>
    <w:rsid w:val="009F740B"/>
    <w:rsid w:val="00A00889"/>
    <w:rsid w:val="00A031CA"/>
    <w:rsid w:val="00A104B1"/>
    <w:rsid w:val="00A127E8"/>
    <w:rsid w:val="00A14DEA"/>
    <w:rsid w:val="00A17132"/>
    <w:rsid w:val="00A17B8F"/>
    <w:rsid w:val="00A22422"/>
    <w:rsid w:val="00A37432"/>
    <w:rsid w:val="00A501C5"/>
    <w:rsid w:val="00A52EE9"/>
    <w:rsid w:val="00A54150"/>
    <w:rsid w:val="00A5489F"/>
    <w:rsid w:val="00A57C97"/>
    <w:rsid w:val="00A60121"/>
    <w:rsid w:val="00A613D2"/>
    <w:rsid w:val="00A63DDE"/>
    <w:rsid w:val="00A65693"/>
    <w:rsid w:val="00A65D01"/>
    <w:rsid w:val="00A716D1"/>
    <w:rsid w:val="00A72167"/>
    <w:rsid w:val="00A74F5E"/>
    <w:rsid w:val="00A822E4"/>
    <w:rsid w:val="00A83E2E"/>
    <w:rsid w:val="00A8491E"/>
    <w:rsid w:val="00A85C3A"/>
    <w:rsid w:val="00A860E6"/>
    <w:rsid w:val="00A90A00"/>
    <w:rsid w:val="00A90F43"/>
    <w:rsid w:val="00AA0521"/>
    <w:rsid w:val="00AA2AAA"/>
    <w:rsid w:val="00AA2EF0"/>
    <w:rsid w:val="00AA4B9C"/>
    <w:rsid w:val="00AB1F1E"/>
    <w:rsid w:val="00AB2BA7"/>
    <w:rsid w:val="00AB5243"/>
    <w:rsid w:val="00AC2893"/>
    <w:rsid w:val="00AC3652"/>
    <w:rsid w:val="00AC3E58"/>
    <w:rsid w:val="00AC40ED"/>
    <w:rsid w:val="00AD3BD8"/>
    <w:rsid w:val="00AD4345"/>
    <w:rsid w:val="00AD64A8"/>
    <w:rsid w:val="00AD685E"/>
    <w:rsid w:val="00AE0CA0"/>
    <w:rsid w:val="00AE13C4"/>
    <w:rsid w:val="00AE734A"/>
    <w:rsid w:val="00AF03F6"/>
    <w:rsid w:val="00AF35E6"/>
    <w:rsid w:val="00AF46D3"/>
    <w:rsid w:val="00B00652"/>
    <w:rsid w:val="00B14332"/>
    <w:rsid w:val="00B1787D"/>
    <w:rsid w:val="00B20753"/>
    <w:rsid w:val="00B21037"/>
    <w:rsid w:val="00B23231"/>
    <w:rsid w:val="00B374DB"/>
    <w:rsid w:val="00B40223"/>
    <w:rsid w:val="00B4379D"/>
    <w:rsid w:val="00B475CA"/>
    <w:rsid w:val="00B54D4C"/>
    <w:rsid w:val="00B55CDD"/>
    <w:rsid w:val="00B574ED"/>
    <w:rsid w:val="00B63D05"/>
    <w:rsid w:val="00B663FC"/>
    <w:rsid w:val="00B74598"/>
    <w:rsid w:val="00B74A24"/>
    <w:rsid w:val="00B75EBE"/>
    <w:rsid w:val="00B76D91"/>
    <w:rsid w:val="00B80187"/>
    <w:rsid w:val="00B80B95"/>
    <w:rsid w:val="00B91293"/>
    <w:rsid w:val="00BA36F1"/>
    <w:rsid w:val="00BA377F"/>
    <w:rsid w:val="00BA75BA"/>
    <w:rsid w:val="00BB0824"/>
    <w:rsid w:val="00BB184C"/>
    <w:rsid w:val="00BB40A4"/>
    <w:rsid w:val="00BB447D"/>
    <w:rsid w:val="00BB6FCE"/>
    <w:rsid w:val="00BC248B"/>
    <w:rsid w:val="00BC3416"/>
    <w:rsid w:val="00BD2848"/>
    <w:rsid w:val="00BD28FD"/>
    <w:rsid w:val="00BD3064"/>
    <w:rsid w:val="00BD6492"/>
    <w:rsid w:val="00BD7A6B"/>
    <w:rsid w:val="00BE5479"/>
    <w:rsid w:val="00BE6F77"/>
    <w:rsid w:val="00BE781C"/>
    <w:rsid w:val="00BF0184"/>
    <w:rsid w:val="00BF3357"/>
    <w:rsid w:val="00C02CCF"/>
    <w:rsid w:val="00C066E4"/>
    <w:rsid w:val="00C077FC"/>
    <w:rsid w:val="00C11166"/>
    <w:rsid w:val="00C117CA"/>
    <w:rsid w:val="00C12CD4"/>
    <w:rsid w:val="00C1731A"/>
    <w:rsid w:val="00C23C5C"/>
    <w:rsid w:val="00C24050"/>
    <w:rsid w:val="00C3370C"/>
    <w:rsid w:val="00C42E3C"/>
    <w:rsid w:val="00C43623"/>
    <w:rsid w:val="00C437CC"/>
    <w:rsid w:val="00C554A6"/>
    <w:rsid w:val="00C555BA"/>
    <w:rsid w:val="00C60487"/>
    <w:rsid w:val="00C61456"/>
    <w:rsid w:val="00C62322"/>
    <w:rsid w:val="00C670B2"/>
    <w:rsid w:val="00C67E7E"/>
    <w:rsid w:val="00C7598D"/>
    <w:rsid w:val="00C80FA8"/>
    <w:rsid w:val="00C81708"/>
    <w:rsid w:val="00C81E71"/>
    <w:rsid w:val="00C8303B"/>
    <w:rsid w:val="00C854FB"/>
    <w:rsid w:val="00C877BD"/>
    <w:rsid w:val="00C903BC"/>
    <w:rsid w:val="00CA104A"/>
    <w:rsid w:val="00CA444B"/>
    <w:rsid w:val="00CA50FD"/>
    <w:rsid w:val="00CC5588"/>
    <w:rsid w:val="00CC5AB3"/>
    <w:rsid w:val="00CE0591"/>
    <w:rsid w:val="00CE17D4"/>
    <w:rsid w:val="00CE6FD4"/>
    <w:rsid w:val="00CF6204"/>
    <w:rsid w:val="00D01C58"/>
    <w:rsid w:val="00D079AF"/>
    <w:rsid w:val="00D13272"/>
    <w:rsid w:val="00D1343B"/>
    <w:rsid w:val="00D136C2"/>
    <w:rsid w:val="00D2079D"/>
    <w:rsid w:val="00D24D3A"/>
    <w:rsid w:val="00D253FD"/>
    <w:rsid w:val="00D30805"/>
    <w:rsid w:val="00D41B24"/>
    <w:rsid w:val="00D5017A"/>
    <w:rsid w:val="00D51914"/>
    <w:rsid w:val="00D5292C"/>
    <w:rsid w:val="00D53411"/>
    <w:rsid w:val="00D56BE2"/>
    <w:rsid w:val="00D57C83"/>
    <w:rsid w:val="00D62094"/>
    <w:rsid w:val="00D62AC1"/>
    <w:rsid w:val="00D66362"/>
    <w:rsid w:val="00D7186D"/>
    <w:rsid w:val="00D776F0"/>
    <w:rsid w:val="00D8099D"/>
    <w:rsid w:val="00D80C74"/>
    <w:rsid w:val="00D815F8"/>
    <w:rsid w:val="00D81F9C"/>
    <w:rsid w:val="00D833FC"/>
    <w:rsid w:val="00DA0139"/>
    <w:rsid w:val="00DA138A"/>
    <w:rsid w:val="00DA670C"/>
    <w:rsid w:val="00DB4EE9"/>
    <w:rsid w:val="00DB63E7"/>
    <w:rsid w:val="00DC0059"/>
    <w:rsid w:val="00DC07CD"/>
    <w:rsid w:val="00DD3774"/>
    <w:rsid w:val="00DD469C"/>
    <w:rsid w:val="00DE17EF"/>
    <w:rsid w:val="00DE309B"/>
    <w:rsid w:val="00DE56FA"/>
    <w:rsid w:val="00DE7B1F"/>
    <w:rsid w:val="00DF33C6"/>
    <w:rsid w:val="00DF5DF0"/>
    <w:rsid w:val="00E02560"/>
    <w:rsid w:val="00E04F62"/>
    <w:rsid w:val="00E070EC"/>
    <w:rsid w:val="00E20590"/>
    <w:rsid w:val="00E2227D"/>
    <w:rsid w:val="00E22CC1"/>
    <w:rsid w:val="00E24620"/>
    <w:rsid w:val="00E258FD"/>
    <w:rsid w:val="00E2741C"/>
    <w:rsid w:val="00E32263"/>
    <w:rsid w:val="00E334D5"/>
    <w:rsid w:val="00E33729"/>
    <w:rsid w:val="00E35D66"/>
    <w:rsid w:val="00E36E5D"/>
    <w:rsid w:val="00E41CAB"/>
    <w:rsid w:val="00E4469C"/>
    <w:rsid w:val="00E47BBE"/>
    <w:rsid w:val="00E505B4"/>
    <w:rsid w:val="00E521E3"/>
    <w:rsid w:val="00E5625D"/>
    <w:rsid w:val="00E602AD"/>
    <w:rsid w:val="00E65FFC"/>
    <w:rsid w:val="00E66F98"/>
    <w:rsid w:val="00E674ED"/>
    <w:rsid w:val="00E75100"/>
    <w:rsid w:val="00E7609E"/>
    <w:rsid w:val="00E772B8"/>
    <w:rsid w:val="00E80554"/>
    <w:rsid w:val="00E87C1B"/>
    <w:rsid w:val="00E9451F"/>
    <w:rsid w:val="00EA4561"/>
    <w:rsid w:val="00EB039D"/>
    <w:rsid w:val="00EB33CD"/>
    <w:rsid w:val="00EB386B"/>
    <w:rsid w:val="00EB7BC5"/>
    <w:rsid w:val="00EC0A8B"/>
    <w:rsid w:val="00EC4168"/>
    <w:rsid w:val="00EC48D0"/>
    <w:rsid w:val="00EC6D2E"/>
    <w:rsid w:val="00ED0F2A"/>
    <w:rsid w:val="00ED1E24"/>
    <w:rsid w:val="00ED2D4C"/>
    <w:rsid w:val="00ED3967"/>
    <w:rsid w:val="00EE21A8"/>
    <w:rsid w:val="00EE29A9"/>
    <w:rsid w:val="00EE641C"/>
    <w:rsid w:val="00EF0F4B"/>
    <w:rsid w:val="00EF1863"/>
    <w:rsid w:val="00EF1A46"/>
    <w:rsid w:val="00EF2D93"/>
    <w:rsid w:val="00EF6777"/>
    <w:rsid w:val="00F03C03"/>
    <w:rsid w:val="00F178A8"/>
    <w:rsid w:val="00F21A8A"/>
    <w:rsid w:val="00F21E8F"/>
    <w:rsid w:val="00F3549F"/>
    <w:rsid w:val="00F35D71"/>
    <w:rsid w:val="00F3608C"/>
    <w:rsid w:val="00F40006"/>
    <w:rsid w:val="00F42201"/>
    <w:rsid w:val="00F42E61"/>
    <w:rsid w:val="00F4574D"/>
    <w:rsid w:val="00F47715"/>
    <w:rsid w:val="00F47BDB"/>
    <w:rsid w:val="00F564A1"/>
    <w:rsid w:val="00F62254"/>
    <w:rsid w:val="00F66358"/>
    <w:rsid w:val="00F66965"/>
    <w:rsid w:val="00F710EF"/>
    <w:rsid w:val="00F714BF"/>
    <w:rsid w:val="00F74E24"/>
    <w:rsid w:val="00F902F8"/>
    <w:rsid w:val="00F968C3"/>
    <w:rsid w:val="00FA4256"/>
    <w:rsid w:val="00FB4E28"/>
    <w:rsid w:val="00FB6673"/>
    <w:rsid w:val="00FC008B"/>
    <w:rsid w:val="00FC1E63"/>
    <w:rsid w:val="00FC3CF4"/>
    <w:rsid w:val="00FC77C0"/>
    <w:rsid w:val="00FC79EE"/>
    <w:rsid w:val="00FD077E"/>
    <w:rsid w:val="00FD42B7"/>
    <w:rsid w:val="00FD5285"/>
    <w:rsid w:val="00FD5BE3"/>
    <w:rsid w:val="00FE264E"/>
    <w:rsid w:val="00FE5A94"/>
    <w:rsid w:val="00FF244E"/>
    <w:rsid w:val="00FF63CD"/>
    <w:rsid w:val="00FF7B4E"/>
    <w:rsid w:val="01E41AD7"/>
    <w:rsid w:val="03DA7C05"/>
    <w:rsid w:val="04302564"/>
    <w:rsid w:val="047265E0"/>
    <w:rsid w:val="04A52CD2"/>
    <w:rsid w:val="050A664E"/>
    <w:rsid w:val="05203D9E"/>
    <w:rsid w:val="05623940"/>
    <w:rsid w:val="05B84911"/>
    <w:rsid w:val="061D5007"/>
    <w:rsid w:val="064A0041"/>
    <w:rsid w:val="06641598"/>
    <w:rsid w:val="067B1CC3"/>
    <w:rsid w:val="070B1EE5"/>
    <w:rsid w:val="07306824"/>
    <w:rsid w:val="07473CFF"/>
    <w:rsid w:val="0834796E"/>
    <w:rsid w:val="08A6382B"/>
    <w:rsid w:val="08C10185"/>
    <w:rsid w:val="091B36F6"/>
    <w:rsid w:val="09597455"/>
    <w:rsid w:val="099A36A4"/>
    <w:rsid w:val="09C444EC"/>
    <w:rsid w:val="0A016C00"/>
    <w:rsid w:val="0A131AFF"/>
    <w:rsid w:val="0A51002C"/>
    <w:rsid w:val="0A5D2DED"/>
    <w:rsid w:val="0A79702C"/>
    <w:rsid w:val="0A9473F4"/>
    <w:rsid w:val="0AAD5C3D"/>
    <w:rsid w:val="0ACF6F17"/>
    <w:rsid w:val="0B834729"/>
    <w:rsid w:val="0BE839AE"/>
    <w:rsid w:val="0C2632A4"/>
    <w:rsid w:val="0C2853EB"/>
    <w:rsid w:val="0D023A81"/>
    <w:rsid w:val="0D3539D4"/>
    <w:rsid w:val="0D735573"/>
    <w:rsid w:val="0DF35EDD"/>
    <w:rsid w:val="0E500CF0"/>
    <w:rsid w:val="0EE03AE4"/>
    <w:rsid w:val="0F10397D"/>
    <w:rsid w:val="0F27465B"/>
    <w:rsid w:val="0F3444AA"/>
    <w:rsid w:val="101F0E3E"/>
    <w:rsid w:val="10643E2C"/>
    <w:rsid w:val="109B07A8"/>
    <w:rsid w:val="10F158B6"/>
    <w:rsid w:val="11067C64"/>
    <w:rsid w:val="11576419"/>
    <w:rsid w:val="11A520DA"/>
    <w:rsid w:val="125279D5"/>
    <w:rsid w:val="12694D81"/>
    <w:rsid w:val="12C6429D"/>
    <w:rsid w:val="12E745E1"/>
    <w:rsid w:val="14154501"/>
    <w:rsid w:val="14D94990"/>
    <w:rsid w:val="152B24C5"/>
    <w:rsid w:val="15796D4F"/>
    <w:rsid w:val="160A5242"/>
    <w:rsid w:val="163D6C12"/>
    <w:rsid w:val="16C15F6A"/>
    <w:rsid w:val="16C312BD"/>
    <w:rsid w:val="1705307A"/>
    <w:rsid w:val="177C3D5F"/>
    <w:rsid w:val="17C75E1B"/>
    <w:rsid w:val="17C84219"/>
    <w:rsid w:val="17CC1774"/>
    <w:rsid w:val="1899404E"/>
    <w:rsid w:val="18A9307F"/>
    <w:rsid w:val="18CF6848"/>
    <w:rsid w:val="18F6120F"/>
    <w:rsid w:val="19413B16"/>
    <w:rsid w:val="19903CCE"/>
    <w:rsid w:val="19981718"/>
    <w:rsid w:val="199A2DCE"/>
    <w:rsid w:val="19AE3507"/>
    <w:rsid w:val="19E47DBE"/>
    <w:rsid w:val="1A2E5675"/>
    <w:rsid w:val="1A302166"/>
    <w:rsid w:val="1A6A17DE"/>
    <w:rsid w:val="1A930A86"/>
    <w:rsid w:val="1B3A105D"/>
    <w:rsid w:val="1B3E4ACD"/>
    <w:rsid w:val="1B684EE4"/>
    <w:rsid w:val="1B776CE7"/>
    <w:rsid w:val="1C185954"/>
    <w:rsid w:val="1C573248"/>
    <w:rsid w:val="1CB2256B"/>
    <w:rsid w:val="1CC91068"/>
    <w:rsid w:val="1CE96333"/>
    <w:rsid w:val="1D1971C1"/>
    <w:rsid w:val="1D8D4B2C"/>
    <w:rsid w:val="1DCD5C7E"/>
    <w:rsid w:val="1DD25B0A"/>
    <w:rsid w:val="1F0720B4"/>
    <w:rsid w:val="1F271A30"/>
    <w:rsid w:val="20502409"/>
    <w:rsid w:val="20D53997"/>
    <w:rsid w:val="22171B0F"/>
    <w:rsid w:val="222B5DB1"/>
    <w:rsid w:val="22B466F3"/>
    <w:rsid w:val="22BE4EA6"/>
    <w:rsid w:val="22F561AC"/>
    <w:rsid w:val="22FC3EBD"/>
    <w:rsid w:val="231379EA"/>
    <w:rsid w:val="235A0438"/>
    <w:rsid w:val="23EB2568"/>
    <w:rsid w:val="240B1CD8"/>
    <w:rsid w:val="245949E7"/>
    <w:rsid w:val="24913D18"/>
    <w:rsid w:val="249F159D"/>
    <w:rsid w:val="24DC1669"/>
    <w:rsid w:val="25127DBC"/>
    <w:rsid w:val="2582550B"/>
    <w:rsid w:val="25BF6EFC"/>
    <w:rsid w:val="25F91641"/>
    <w:rsid w:val="262B01F5"/>
    <w:rsid w:val="265508AF"/>
    <w:rsid w:val="269068D0"/>
    <w:rsid w:val="26D459F1"/>
    <w:rsid w:val="27351AE9"/>
    <w:rsid w:val="27B3595C"/>
    <w:rsid w:val="28106ACF"/>
    <w:rsid w:val="2837028A"/>
    <w:rsid w:val="286E7330"/>
    <w:rsid w:val="28E27BD1"/>
    <w:rsid w:val="2920730D"/>
    <w:rsid w:val="296E06FC"/>
    <w:rsid w:val="29854E19"/>
    <w:rsid w:val="299E33CC"/>
    <w:rsid w:val="2A307185"/>
    <w:rsid w:val="2A444AE0"/>
    <w:rsid w:val="2AED4774"/>
    <w:rsid w:val="2AFE26FE"/>
    <w:rsid w:val="2B3C2E55"/>
    <w:rsid w:val="2B8A7A58"/>
    <w:rsid w:val="2D327532"/>
    <w:rsid w:val="2D974D26"/>
    <w:rsid w:val="2DB84529"/>
    <w:rsid w:val="2E0E1FD8"/>
    <w:rsid w:val="2EB84D97"/>
    <w:rsid w:val="2EC13AD9"/>
    <w:rsid w:val="2ED33A2D"/>
    <w:rsid w:val="2F4405D5"/>
    <w:rsid w:val="2F6F76EE"/>
    <w:rsid w:val="2F830AB9"/>
    <w:rsid w:val="2FCD7BA6"/>
    <w:rsid w:val="2FDF689F"/>
    <w:rsid w:val="2FE37B69"/>
    <w:rsid w:val="2FFE442F"/>
    <w:rsid w:val="30137BA2"/>
    <w:rsid w:val="30510D47"/>
    <w:rsid w:val="30881846"/>
    <w:rsid w:val="30B84D02"/>
    <w:rsid w:val="30C02C23"/>
    <w:rsid w:val="30C826C0"/>
    <w:rsid w:val="30F44060"/>
    <w:rsid w:val="34102DE4"/>
    <w:rsid w:val="351A0CF5"/>
    <w:rsid w:val="352F3EE2"/>
    <w:rsid w:val="358B772C"/>
    <w:rsid w:val="35B95C70"/>
    <w:rsid w:val="36601043"/>
    <w:rsid w:val="36DF1A6A"/>
    <w:rsid w:val="3730650C"/>
    <w:rsid w:val="374E5712"/>
    <w:rsid w:val="37623615"/>
    <w:rsid w:val="376E2FAB"/>
    <w:rsid w:val="3797048A"/>
    <w:rsid w:val="3856472F"/>
    <w:rsid w:val="38622166"/>
    <w:rsid w:val="38C81EAD"/>
    <w:rsid w:val="39114DD2"/>
    <w:rsid w:val="398C2CCC"/>
    <w:rsid w:val="3A017EEB"/>
    <w:rsid w:val="3A0C520C"/>
    <w:rsid w:val="3A293FB3"/>
    <w:rsid w:val="3A686301"/>
    <w:rsid w:val="3AB6326A"/>
    <w:rsid w:val="3BE619A0"/>
    <w:rsid w:val="3CB770A8"/>
    <w:rsid w:val="3D31384B"/>
    <w:rsid w:val="3DC728EA"/>
    <w:rsid w:val="3DF95C53"/>
    <w:rsid w:val="3E280D3E"/>
    <w:rsid w:val="3EDD5F46"/>
    <w:rsid w:val="3F012452"/>
    <w:rsid w:val="3F423F31"/>
    <w:rsid w:val="3FFF52EE"/>
    <w:rsid w:val="401E0D76"/>
    <w:rsid w:val="403D0B43"/>
    <w:rsid w:val="40B676AD"/>
    <w:rsid w:val="40C2430C"/>
    <w:rsid w:val="418E45FA"/>
    <w:rsid w:val="41D4208E"/>
    <w:rsid w:val="42970255"/>
    <w:rsid w:val="43761402"/>
    <w:rsid w:val="43B746D8"/>
    <w:rsid w:val="43BE7671"/>
    <w:rsid w:val="43C82375"/>
    <w:rsid w:val="443A2387"/>
    <w:rsid w:val="44E675D0"/>
    <w:rsid w:val="454A1E41"/>
    <w:rsid w:val="454C78AD"/>
    <w:rsid w:val="461042EF"/>
    <w:rsid w:val="4613277E"/>
    <w:rsid w:val="463878D6"/>
    <w:rsid w:val="467513B5"/>
    <w:rsid w:val="467929C3"/>
    <w:rsid w:val="46954DEA"/>
    <w:rsid w:val="46BB2CFD"/>
    <w:rsid w:val="47282F60"/>
    <w:rsid w:val="4745399A"/>
    <w:rsid w:val="47E42812"/>
    <w:rsid w:val="4882648B"/>
    <w:rsid w:val="48AB68EF"/>
    <w:rsid w:val="48C520DA"/>
    <w:rsid w:val="48CA5E67"/>
    <w:rsid w:val="49286743"/>
    <w:rsid w:val="49660B8B"/>
    <w:rsid w:val="496E611E"/>
    <w:rsid w:val="49863768"/>
    <w:rsid w:val="49887A9F"/>
    <w:rsid w:val="49B66034"/>
    <w:rsid w:val="49BE15B4"/>
    <w:rsid w:val="49F333BD"/>
    <w:rsid w:val="4A0003E4"/>
    <w:rsid w:val="4AE56E6E"/>
    <w:rsid w:val="4C60633E"/>
    <w:rsid w:val="4D0218AD"/>
    <w:rsid w:val="4D0846EC"/>
    <w:rsid w:val="4D0F2F55"/>
    <w:rsid w:val="4D291F10"/>
    <w:rsid w:val="4D8000B0"/>
    <w:rsid w:val="4DD93FA0"/>
    <w:rsid w:val="4E1403C3"/>
    <w:rsid w:val="4ED7779A"/>
    <w:rsid w:val="4F357530"/>
    <w:rsid w:val="4F54644B"/>
    <w:rsid w:val="4FC21F5E"/>
    <w:rsid w:val="4FE67DCA"/>
    <w:rsid w:val="50103436"/>
    <w:rsid w:val="50207F71"/>
    <w:rsid w:val="50B30190"/>
    <w:rsid w:val="51292B84"/>
    <w:rsid w:val="512E2FCA"/>
    <w:rsid w:val="516D2C0F"/>
    <w:rsid w:val="51AA0619"/>
    <w:rsid w:val="51BF1C3D"/>
    <w:rsid w:val="529D320A"/>
    <w:rsid w:val="53597478"/>
    <w:rsid w:val="548417C3"/>
    <w:rsid w:val="549E011C"/>
    <w:rsid w:val="54A62783"/>
    <w:rsid w:val="54CE3F69"/>
    <w:rsid w:val="54CE52FC"/>
    <w:rsid w:val="54D54D41"/>
    <w:rsid w:val="55556E99"/>
    <w:rsid w:val="559176FD"/>
    <w:rsid w:val="5677540D"/>
    <w:rsid w:val="569A3001"/>
    <w:rsid w:val="56B772C4"/>
    <w:rsid w:val="572167FE"/>
    <w:rsid w:val="5777223C"/>
    <w:rsid w:val="57810BFC"/>
    <w:rsid w:val="579170D7"/>
    <w:rsid w:val="579708E3"/>
    <w:rsid w:val="57977F27"/>
    <w:rsid w:val="57BB37B7"/>
    <w:rsid w:val="581E2BC6"/>
    <w:rsid w:val="5869630A"/>
    <w:rsid w:val="58BD3FD4"/>
    <w:rsid w:val="591773CA"/>
    <w:rsid w:val="59391529"/>
    <w:rsid w:val="596D21E0"/>
    <w:rsid w:val="598F2973"/>
    <w:rsid w:val="5B335138"/>
    <w:rsid w:val="5B900C7D"/>
    <w:rsid w:val="5B954B15"/>
    <w:rsid w:val="5C5724A7"/>
    <w:rsid w:val="5C9364A8"/>
    <w:rsid w:val="5C9C4759"/>
    <w:rsid w:val="5CAA3817"/>
    <w:rsid w:val="5D4D3DB9"/>
    <w:rsid w:val="5D570B51"/>
    <w:rsid w:val="5DED2BB2"/>
    <w:rsid w:val="5E471646"/>
    <w:rsid w:val="5F59768E"/>
    <w:rsid w:val="607A43DE"/>
    <w:rsid w:val="60833E3B"/>
    <w:rsid w:val="60A7305F"/>
    <w:rsid w:val="60CE4DF6"/>
    <w:rsid w:val="60F93349"/>
    <w:rsid w:val="61217CEA"/>
    <w:rsid w:val="61C56478"/>
    <w:rsid w:val="62690336"/>
    <w:rsid w:val="627543A6"/>
    <w:rsid w:val="6356169A"/>
    <w:rsid w:val="64587FCF"/>
    <w:rsid w:val="64FC4FE8"/>
    <w:rsid w:val="65695C2D"/>
    <w:rsid w:val="65786118"/>
    <w:rsid w:val="65846C4A"/>
    <w:rsid w:val="65984653"/>
    <w:rsid w:val="660C05C3"/>
    <w:rsid w:val="660E1789"/>
    <w:rsid w:val="66287A1D"/>
    <w:rsid w:val="665E28AB"/>
    <w:rsid w:val="66680B45"/>
    <w:rsid w:val="67B36FAD"/>
    <w:rsid w:val="67EB039C"/>
    <w:rsid w:val="684F20B9"/>
    <w:rsid w:val="6874189E"/>
    <w:rsid w:val="694219FA"/>
    <w:rsid w:val="6A5918F1"/>
    <w:rsid w:val="6A696F0E"/>
    <w:rsid w:val="6A6C2ADC"/>
    <w:rsid w:val="6A792161"/>
    <w:rsid w:val="6A8328D9"/>
    <w:rsid w:val="6ABA2161"/>
    <w:rsid w:val="6ABA6B4C"/>
    <w:rsid w:val="6BB07BBC"/>
    <w:rsid w:val="6BB715E7"/>
    <w:rsid w:val="6C2E30C5"/>
    <w:rsid w:val="6C5E30CC"/>
    <w:rsid w:val="6C6852F3"/>
    <w:rsid w:val="6CA72E2E"/>
    <w:rsid w:val="6CDC2A23"/>
    <w:rsid w:val="6D2E0CEB"/>
    <w:rsid w:val="6DA0337F"/>
    <w:rsid w:val="6E0812A0"/>
    <w:rsid w:val="6E3259D2"/>
    <w:rsid w:val="6E91617F"/>
    <w:rsid w:val="6E9F33A8"/>
    <w:rsid w:val="6EF27A88"/>
    <w:rsid w:val="6FA85866"/>
    <w:rsid w:val="6FAF3A98"/>
    <w:rsid w:val="71732881"/>
    <w:rsid w:val="71B05951"/>
    <w:rsid w:val="71C13A20"/>
    <w:rsid w:val="71CA36F7"/>
    <w:rsid w:val="720806B0"/>
    <w:rsid w:val="72617DDE"/>
    <w:rsid w:val="72C86328"/>
    <w:rsid w:val="72CA2EFB"/>
    <w:rsid w:val="72DA221A"/>
    <w:rsid w:val="72F704CC"/>
    <w:rsid w:val="732837D4"/>
    <w:rsid w:val="737800F0"/>
    <w:rsid w:val="73905A09"/>
    <w:rsid w:val="740570F1"/>
    <w:rsid w:val="742B4CB3"/>
    <w:rsid w:val="759302F9"/>
    <w:rsid w:val="75B96117"/>
    <w:rsid w:val="75D30719"/>
    <w:rsid w:val="765A05E9"/>
    <w:rsid w:val="76CC4F72"/>
    <w:rsid w:val="76D85960"/>
    <w:rsid w:val="770A75B0"/>
    <w:rsid w:val="772342A8"/>
    <w:rsid w:val="77684396"/>
    <w:rsid w:val="77847197"/>
    <w:rsid w:val="77A12368"/>
    <w:rsid w:val="77C821D6"/>
    <w:rsid w:val="78CC247B"/>
    <w:rsid w:val="7984337A"/>
    <w:rsid w:val="798F7E86"/>
    <w:rsid w:val="7A5B7465"/>
    <w:rsid w:val="7AD15AC6"/>
    <w:rsid w:val="7B296C74"/>
    <w:rsid w:val="7B9B153C"/>
    <w:rsid w:val="7BB52F8C"/>
    <w:rsid w:val="7BF32BEA"/>
    <w:rsid w:val="7C202BCD"/>
    <w:rsid w:val="7C2A2360"/>
    <w:rsid w:val="7C6E54E2"/>
    <w:rsid w:val="7CF2422D"/>
    <w:rsid w:val="7D585054"/>
    <w:rsid w:val="7D643441"/>
    <w:rsid w:val="7D6904E2"/>
    <w:rsid w:val="7DB84A7D"/>
    <w:rsid w:val="7DCD7F6D"/>
    <w:rsid w:val="7E022528"/>
    <w:rsid w:val="7EC10C65"/>
    <w:rsid w:val="7F024F7A"/>
    <w:rsid w:val="7F565D50"/>
    <w:rsid w:val="7F7424E7"/>
    <w:rsid w:val="7F7D3A3F"/>
    <w:rsid w:val="7FA17129"/>
    <w:rsid w:val="7FFC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9"/>
    <w:pPr>
      <w:keepNext/>
      <w:keepLines/>
      <w:spacing w:line="180" w:lineRule="auto"/>
      <w:outlineLvl w:val="0"/>
    </w:pPr>
    <w:rPr>
      <w:b/>
      <w:bCs/>
      <w:kern w:val="44"/>
      <w:sz w:val="36"/>
      <w:szCs w:val="44"/>
    </w:rPr>
  </w:style>
  <w:style w:type="paragraph" w:styleId="3">
    <w:name w:val="heading 2"/>
    <w:basedOn w:val="2"/>
    <w:next w:val="1"/>
    <w:qFormat/>
    <w:uiPriority w:val="9"/>
    <w:pPr>
      <w:spacing w:line="415" w:lineRule="auto"/>
      <w:outlineLvl w:val="1"/>
    </w:pPr>
    <w:rPr>
      <w:rFonts w:ascii="Cambria" w:hAnsi="Cambria"/>
      <w:sz w:val="28"/>
      <w:szCs w:val="32"/>
    </w:rPr>
  </w:style>
  <w:style w:type="paragraph" w:styleId="4">
    <w:name w:val="heading 3"/>
    <w:basedOn w:val="1"/>
    <w:next w:val="1"/>
    <w:link w:val="26"/>
    <w:qFormat/>
    <w:uiPriority w:val="9"/>
    <w:pPr>
      <w:keepNext/>
      <w:keepLines/>
      <w:spacing w:line="415" w:lineRule="auto"/>
      <w:outlineLvl w:val="2"/>
    </w:pPr>
    <w:rPr>
      <w:bCs/>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00"/>
      <w:jc w:val="left"/>
    </w:pPr>
    <w:rPr>
      <w:rFonts w:asciiTheme="minorHAnsi" w:hAnsiTheme="minorHAnsi"/>
      <w:sz w:val="20"/>
      <w:szCs w:val="20"/>
    </w:rPr>
  </w:style>
  <w:style w:type="paragraph" w:styleId="6">
    <w:name w:val="annotation text"/>
    <w:basedOn w:val="1"/>
    <w:link w:val="31"/>
    <w:qFormat/>
    <w:uiPriority w:val="99"/>
    <w:pPr>
      <w:jc w:val="left"/>
    </w:pPr>
  </w:style>
  <w:style w:type="paragraph" w:styleId="7">
    <w:name w:val="toc 5"/>
    <w:basedOn w:val="1"/>
    <w:next w:val="1"/>
    <w:qFormat/>
    <w:uiPriority w:val="0"/>
    <w:pPr>
      <w:ind w:left="720"/>
      <w:jc w:val="left"/>
    </w:pPr>
    <w:rPr>
      <w:rFonts w:asciiTheme="minorHAnsi" w:hAnsiTheme="minorHAnsi"/>
      <w:sz w:val="20"/>
      <w:szCs w:val="20"/>
    </w:rPr>
  </w:style>
  <w:style w:type="paragraph" w:styleId="8">
    <w:name w:val="toc 3"/>
    <w:basedOn w:val="1"/>
    <w:next w:val="1"/>
    <w:unhideWhenUsed/>
    <w:qFormat/>
    <w:uiPriority w:val="39"/>
    <w:pPr>
      <w:ind w:left="240"/>
      <w:jc w:val="left"/>
    </w:pPr>
    <w:rPr>
      <w:rFonts w:asciiTheme="minorHAnsi" w:hAnsiTheme="minorHAnsi"/>
      <w:sz w:val="20"/>
      <w:szCs w:val="20"/>
    </w:rPr>
  </w:style>
  <w:style w:type="paragraph" w:styleId="9">
    <w:name w:val="toc 8"/>
    <w:basedOn w:val="1"/>
    <w:next w:val="1"/>
    <w:qFormat/>
    <w:uiPriority w:val="0"/>
    <w:pPr>
      <w:ind w:left="1440"/>
      <w:jc w:val="left"/>
    </w:pPr>
    <w:rPr>
      <w:rFonts w:asciiTheme="minorHAnsi" w:hAnsiTheme="minorHAnsi"/>
      <w:sz w:val="20"/>
      <w:szCs w:val="20"/>
    </w:rPr>
  </w:style>
  <w:style w:type="paragraph" w:styleId="10">
    <w:name w:val="Date"/>
    <w:basedOn w:val="1"/>
    <w:next w:val="1"/>
    <w:link w:val="39"/>
    <w:qFormat/>
    <w:uiPriority w:val="0"/>
    <w:pPr>
      <w:ind w:left="100" w:leftChars="2500"/>
    </w:pPr>
  </w:style>
  <w:style w:type="paragraph" w:styleId="11">
    <w:name w:val="Balloon Text"/>
    <w:basedOn w:val="1"/>
    <w:link w:val="29"/>
    <w:qFormat/>
    <w:uiPriority w:val="0"/>
    <w:pPr>
      <w:spacing w:line="240" w:lineRule="auto"/>
    </w:pPr>
    <w:rPr>
      <w:sz w:val="18"/>
      <w:szCs w:val="18"/>
    </w:rPr>
  </w:style>
  <w:style w:type="paragraph" w:styleId="12">
    <w:name w:val="footer"/>
    <w:basedOn w:val="1"/>
    <w:link w:val="3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link w:val="34"/>
    <w:qFormat/>
    <w:uiPriority w:val="39"/>
    <w:pPr>
      <w:spacing w:before="360"/>
      <w:jc w:val="left"/>
    </w:pPr>
    <w:rPr>
      <w:rFonts w:asciiTheme="majorHAnsi" w:hAnsiTheme="majorHAnsi"/>
      <w:b/>
      <w:bCs/>
      <w:caps/>
      <w:szCs w:val="24"/>
    </w:rPr>
  </w:style>
  <w:style w:type="paragraph" w:styleId="15">
    <w:name w:val="toc 4"/>
    <w:basedOn w:val="1"/>
    <w:next w:val="1"/>
    <w:qFormat/>
    <w:uiPriority w:val="0"/>
    <w:pPr>
      <w:ind w:left="480"/>
      <w:jc w:val="left"/>
    </w:pPr>
    <w:rPr>
      <w:rFonts w:asciiTheme="minorHAnsi" w:hAnsiTheme="minorHAnsi"/>
      <w:sz w:val="20"/>
      <w:szCs w:val="20"/>
    </w:rPr>
  </w:style>
  <w:style w:type="paragraph" w:styleId="16">
    <w:name w:val="toc 6"/>
    <w:basedOn w:val="1"/>
    <w:next w:val="1"/>
    <w:qFormat/>
    <w:uiPriority w:val="0"/>
    <w:pPr>
      <w:ind w:left="960"/>
      <w:jc w:val="left"/>
    </w:pPr>
    <w:rPr>
      <w:rFonts w:asciiTheme="minorHAnsi" w:hAnsiTheme="minorHAnsi"/>
      <w:sz w:val="20"/>
      <w:szCs w:val="20"/>
    </w:rPr>
  </w:style>
  <w:style w:type="paragraph" w:styleId="17">
    <w:name w:val="toc 2"/>
    <w:basedOn w:val="1"/>
    <w:next w:val="1"/>
    <w:link w:val="33"/>
    <w:qFormat/>
    <w:uiPriority w:val="39"/>
    <w:pPr>
      <w:spacing w:before="240"/>
      <w:jc w:val="left"/>
    </w:pPr>
    <w:rPr>
      <w:rFonts w:asciiTheme="minorHAnsi" w:hAnsiTheme="minorHAnsi"/>
      <w:b/>
      <w:bCs/>
      <w:sz w:val="20"/>
      <w:szCs w:val="20"/>
    </w:rPr>
  </w:style>
  <w:style w:type="paragraph" w:styleId="18">
    <w:name w:val="toc 9"/>
    <w:basedOn w:val="1"/>
    <w:next w:val="1"/>
    <w:qFormat/>
    <w:uiPriority w:val="0"/>
    <w:pPr>
      <w:ind w:left="1680"/>
      <w:jc w:val="left"/>
    </w:pPr>
    <w:rPr>
      <w:rFonts w:asciiTheme="minorHAnsi" w:hAnsiTheme="minorHAnsi"/>
      <w:sz w:val="20"/>
      <w:szCs w:val="20"/>
    </w:rPr>
  </w:style>
  <w:style w:type="paragraph" w:styleId="19">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Cs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1">
    <w:name w:val="annotation subject"/>
    <w:basedOn w:val="6"/>
    <w:next w:val="6"/>
    <w:link w:val="32"/>
    <w:qFormat/>
    <w:uiPriority w:val="0"/>
    <w:rPr>
      <w:b/>
      <w:bCs/>
    </w:r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qFormat/>
    <w:uiPriority w:val="0"/>
    <w:rPr>
      <w:sz w:val="21"/>
      <w:szCs w:val="21"/>
    </w:rPr>
  </w:style>
  <w:style w:type="character" w:customStyle="1" w:styleId="26">
    <w:name w:val="标题 3 字符"/>
    <w:basedOn w:val="23"/>
    <w:link w:val="4"/>
    <w:qFormat/>
    <w:uiPriority w:val="9"/>
    <w:rPr>
      <w:bCs/>
      <w:sz w:val="24"/>
      <w:szCs w:val="32"/>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批注框文本 字符"/>
    <w:basedOn w:val="23"/>
    <w:link w:val="11"/>
    <w:qFormat/>
    <w:uiPriority w:val="0"/>
    <w:rPr>
      <w:kern w:val="2"/>
      <w:sz w:val="18"/>
      <w:szCs w:val="18"/>
    </w:rPr>
  </w:style>
  <w:style w:type="paragraph" w:styleId="30">
    <w:name w:val="List Paragraph"/>
    <w:basedOn w:val="1"/>
    <w:unhideWhenUsed/>
    <w:qFormat/>
    <w:uiPriority w:val="34"/>
    <w:pPr>
      <w:ind w:firstLine="420" w:firstLineChars="200"/>
    </w:pPr>
  </w:style>
  <w:style w:type="character" w:customStyle="1" w:styleId="31">
    <w:name w:val="批注文字 字符"/>
    <w:basedOn w:val="23"/>
    <w:link w:val="6"/>
    <w:qFormat/>
    <w:uiPriority w:val="99"/>
    <w:rPr>
      <w:kern w:val="2"/>
      <w:sz w:val="24"/>
      <w:szCs w:val="22"/>
    </w:rPr>
  </w:style>
  <w:style w:type="character" w:customStyle="1" w:styleId="32">
    <w:name w:val="批注主题 字符"/>
    <w:basedOn w:val="31"/>
    <w:link w:val="21"/>
    <w:qFormat/>
    <w:uiPriority w:val="0"/>
    <w:rPr>
      <w:b/>
      <w:bCs/>
      <w:kern w:val="2"/>
      <w:sz w:val="24"/>
      <w:szCs w:val="22"/>
    </w:rPr>
  </w:style>
  <w:style w:type="character" w:customStyle="1" w:styleId="33">
    <w:name w:val="目录 2 字符"/>
    <w:link w:val="17"/>
    <w:qFormat/>
    <w:uiPriority w:val="39"/>
    <w:rPr>
      <w:rFonts w:asciiTheme="minorHAnsi" w:hAnsiTheme="minorHAnsi"/>
      <w:b/>
      <w:bCs/>
      <w:kern w:val="2"/>
    </w:rPr>
  </w:style>
  <w:style w:type="character" w:customStyle="1" w:styleId="34">
    <w:name w:val="目录 1 字符"/>
    <w:link w:val="14"/>
    <w:qFormat/>
    <w:uiPriority w:val="39"/>
    <w:rPr>
      <w:rFonts w:asciiTheme="majorHAnsi" w:hAnsiTheme="majorHAnsi"/>
      <w:b/>
      <w:bCs/>
      <w:caps/>
      <w:kern w:val="2"/>
      <w:sz w:val="24"/>
      <w:szCs w:val="24"/>
    </w:rPr>
  </w:style>
  <w:style w:type="paragraph" w:customStyle="1" w:styleId="35">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6">
    <w:name w:val="HTML 预设格式 字符"/>
    <w:basedOn w:val="23"/>
    <w:link w:val="19"/>
    <w:qFormat/>
    <w:uiPriority w:val="99"/>
    <w:rPr>
      <w:rFonts w:ascii="宋体" w:hAnsi="宋体" w:cs="宋体"/>
      <w:sz w:val="24"/>
      <w:szCs w:val="24"/>
    </w:rPr>
  </w:style>
  <w:style w:type="paragraph" w:customStyle="1" w:styleId="37">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页脚 字符"/>
    <w:basedOn w:val="23"/>
    <w:link w:val="12"/>
    <w:qFormat/>
    <w:uiPriority w:val="99"/>
    <w:rPr>
      <w:kern w:val="2"/>
      <w:sz w:val="18"/>
      <w:szCs w:val="22"/>
    </w:rPr>
  </w:style>
  <w:style w:type="character" w:customStyle="1" w:styleId="39">
    <w:name w:val="日期 字符"/>
    <w:basedOn w:val="23"/>
    <w:link w:val="10"/>
    <w:qFormat/>
    <w:uiPriority w:val="0"/>
    <w:rPr>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E05A-B272-4BBA-8895-80BC11C6F1D7}">
  <ds:schemaRefs/>
</ds:datastoreItem>
</file>

<file path=docProps/app.xml><?xml version="1.0" encoding="utf-8"?>
<Properties xmlns="http://schemas.openxmlformats.org/officeDocument/2006/extended-properties" xmlns:vt="http://schemas.openxmlformats.org/officeDocument/2006/docPropsVTypes">
  <Template>Normal</Template>
  <Pages>1</Pages>
  <Words>3785</Words>
  <Characters>21576</Characters>
  <Lines>179</Lines>
  <Paragraphs>50</Paragraphs>
  <TotalTime>18</TotalTime>
  <ScaleCrop>false</ScaleCrop>
  <LinksUpToDate>false</LinksUpToDate>
  <CharactersWithSpaces>25311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2021-06-03T00:53:00Z</dcterms:created>
  <dc:creator>南极兔 吉祥</dc:creator>
  <cp:lastModifiedBy>姚振邦</cp:lastModifiedBy>
  <cp:lastPrinted>2021-10-27T08:59:00Z</cp:lastPrinted>
  <dcterms:modified xsi:type="dcterms:W3CDTF">2021-11-10T00:45:15Z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AFBB064C988341969EC148AB3A350AB2</vt:lpwstr>
  </property>
</Properties>
</file>