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cs="宋体" w:asciiTheme="majorEastAsia" w:hAnsiTheme="majorEastAsia" w:eastAsiaTheme="majorEastAsia"/>
          <w:b/>
          <w:color w:val="auto"/>
          <w:sz w:val="52"/>
          <w:szCs w:val="52"/>
        </w:rPr>
      </w:pPr>
      <w:r>
        <w:rPr>
          <w:rFonts w:hint="eastAsia" w:cs="宋体" w:asciiTheme="majorEastAsia" w:hAnsiTheme="majorEastAsia" w:eastAsiaTheme="majorEastAsia"/>
          <w:b/>
          <w:color w:val="auto"/>
          <w:sz w:val="52"/>
          <w:szCs w:val="52"/>
          <w:lang w:val="en-US" w:eastAsia="zh-CN"/>
        </w:rPr>
        <w:t xml:space="preserve">长沙市轨道交通 </w:t>
      </w:r>
      <w:r>
        <w:rPr>
          <w:rFonts w:hint="default" w:cs="宋体" w:asciiTheme="majorEastAsia" w:hAnsiTheme="majorEastAsia" w:eastAsiaTheme="majorEastAsia"/>
          <w:b/>
          <w:color w:val="auto"/>
          <w:sz w:val="52"/>
          <w:szCs w:val="52"/>
          <w:lang w:val="en-US" w:eastAsia="zh-CN"/>
        </w:rPr>
        <w:t>1</w:t>
      </w:r>
      <w:r>
        <w:rPr>
          <w:rFonts w:hint="eastAsia" w:cs="宋体" w:asciiTheme="majorEastAsia" w:hAnsiTheme="majorEastAsia" w:eastAsiaTheme="majorEastAsia"/>
          <w:b/>
          <w:color w:val="auto"/>
          <w:sz w:val="52"/>
          <w:szCs w:val="52"/>
          <w:lang w:val="en-US" w:eastAsia="zh-CN"/>
        </w:rPr>
        <w:t>、</w:t>
      </w:r>
      <w:r>
        <w:rPr>
          <w:rFonts w:hint="default" w:cs="宋体" w:asciiTheme="majorEastAsia" w:hAnsiTheme="majorEastAsia" w:eastAsiaTheme="majorEastAsia"/>
          <w:b/>
          <w:color w:val="auto"/>
          <w:sz w:val="52"/>
          <w:szCs w:val="52"/>
          <w:lang w:val="en-US" w:eastAsia="zh-CN"/>
        </w:rPr>
        <w:t>2</w:t>
      </w:r>
      <w:r>
        <w:rPr>
          <w:rFonts w:hint="eastAsia" w:cs="宋体" w:asciiTheme="majorEastAsia" w:hAnsiTheme="majorEastAsia" w:eastAsiaTheme="majorEastAsia"/>
          <w:b/>
          <w:color w:val="auto"/>
          <w:sz w:val="52"/>
          <w:szCs w:val="52"/>
          <w:lang w:val="en-US" w:eastAsia="zh-CN"/>
        </w:rPr>
        <w:t>、</w:t>
      </w:r>
      <w:r>
        <w:rPr>
          <w:rFonts w:hint="default" w:cs="宋体" w:asciiTheme="majorEastAsia" w:hAnsiTheme="majorEastAsia" w:eastAsiaTheme="majorEastAsia"/>
          <w:b/>
          <w:color w:val="auto"/>
          <w:sz w:val="52"/>
          <w:szCs w:val="52"/>
          <w:lang w:val="en-US" w:eastAsia="zh-CN"/>
        </w:rPr>
        <w:t>3</w:t>
      </w:r>
      <w:r>
        <w:rPr>
          <w:rFonts w:hint="eastAsia" w:cs="宋体" w:asciiTheme="majorEastAsia" w:hAnsiTheme="majorEastAsia" w:eastAsiaTheme="majorEastAsia"/>
          <w:b/>
          <w:color w:val="auto"/>
          <w:sz w:val="52"/>
          <w:szCs w:val="52"/>
          <w:lang w:val="en-US" w:eastAsia="zh-CN"/>
        </w:rPr>
        <w:t>、</w:t>
      </w:r>
      <w:r>
        <w:rPr>
          <w:rFonts w:hint="default" w:cs="宋体" w:asciiTheme="majorEastAsia" w:hAnsiTheme="majorEastAsia" w:eastAsiaTheme="majorEastAsia"/>
          <w:b/>
          <w:color w:val="auto"/>
          <w:sz w:val="52"/>
          <w:szCs w:val="52"/>
          <w:lang w:val="en-US" w:eastAsia="zh-CN"/>
        </w:rPr>
        <w:t>4</w:t>
      </w:r>
      <w:r>
        <w:rPr>
          <w:rFonts w:hint="eastAsia" w:cs="宋体" w:asciiTheme="majorEastAsia" w:hAnsiTheme="majorEastAsia" w:eastAsiaTheme="majorEastAsia"/>
          <w:b/>
          <w:color w:val="auto"/>
          <w:sz w:val="52"/>
          <w:szCs w:val="52"/>
          <w:lang w:val="en-US" w:eastAsia="zh-CN"/>
        </w:rPr>
        <w:t>、</w:t>
      </w:r>
      <w:r>
        <w:rPr>
          <w:rFonts w:hint="default" w:cs="宋体" w:asciiTheme="majorEastAsia" w:hAnsiTheme="majorEastAsia" w:eastAsiaTheme="majorEastAsia"/>
          <w:b/>
          <w:color w:val="auto"/>
          <w:sz w:val="52"/>
          <w:szCs w:val="52"/>
          <w:lang w:val="en-US" w:eastAsia="zh-CN"/>
        </w:rPr>
        <w:t xml:space="preserve">5 </w:t>
      </w:r>
      <w:r>
        <w:rPr>
          <w:rFonts w:hint="eastAsia" w:cs="宋体" w:asciiTheme="majorEastAsia" w:hAnsiTheme="majorEastAsia" w:eastAsiaTheme="majorEastAsia"/>
          <w:b/>
          <w:color w:val="auto"/>
          <w:sz w:val="52"/>
          <w:szCs w:val="52"/>
          <w:lang w:val="en-US" w:eastAsia="zh-CN"/>
        </w:rPr>
        <w:t>号线运营期</w:t>
      </w:r>
      <w:r>
        <w:rPr>
          <w:rFonts w:hint="default" w:cs="宋体" w:asciiTheme="majorEastAsia" w:hAnsiTheme="majorEastAsia" w:eastAsiaTheme="majorEastAsia"/>
          <w:b/>
          <w:color w:val="auto"/>
          <w:sz w:val="52"/>
          <w:szCs w:val="52"/>
          <w:lang w:val="en-US" w:eastAsia="zh-CN"/>
        </w:rPr>
        <w:t>2022</w:t>
      </w:r>
      <w:r>
        <w:rPr>
          <w:rFonts w:hint="eastAsia" w:cs="宋体" w:asciiTheme="majorEastAsia" w:hAnsiTheme="majorEastAsia" w:eastAsiaTheme="majorEastAsia"/>
          <w:b/>
          <w:color w:val="auto"/>
          <w:sz w:val="52"/>
          <w:szCs w:val="52"/>
          <w:lang w:val="en-US" w:eastAsia="zh-CN"/>
        </w:rPr>
        <w:t>年公务用车保险定点服务项目</w:t>
      </w:r>
      <w:r>
        <w:rPr>
          <w:rFonts w:hint="eastAsia" w:cs="宋体" w:asciiTheme="majorEastAsia" w:hAnsiTheme="majorEastAsia" w:eastAsiaTheme="majorEastAsia"/>
          <w:b/>
          <w:color w:val="auto"/>
          <w:sz w:val="52"/>
          <w:szCs w:val="52"/>
        </w:rPr>
        <w:t>用户需求书</w:t>
      </w:r>
    </w:p>
    <w:p>
      <w:pPr>
        <w:spacing w:line="360" w:lineRule="auto"/>
        <w:jc w:val="center"/>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rPr>
          <w:rFonts w:ascii="黑体" w:hAnsi="黑体" w:eastAsia="黑体"/>
          <w:color w:val="auto"/>
          <w:sz w:val="32"/>
          <w:szCs w:val="32"/>
        </w:rPr>
      </w:pPr>
    </w:p>
    <w:p>
      <w:pPr>
        <w:spacing w:line="360" w:lineRule="auto"/>
        <w:jc w:val="center"/>
        <w:rPr>
          <w:rFonts w:asciiTheme="majorEastAsia" w:hAnsiTheme="majorEastAsia" w:eastAsiaTheme="majorEastAsia"/>
          <w:color w:val="auto"/>
          <w:sz w:val="44"/>
          <w:szCs w:val="44"/>
        </w:rPr>
      </w:pPr>
      <w:r>
        <w:rPr>
          <w:rFonts w:hint="eastAsia" w:asciiTheme="majorEastAsia" w:hAnsiTheme="majorEastAsia" w:eastAsiaTheme="majorEastAsia"/>
          <w:color w:val="auto"/>
          <w:sz w:val="44"/>
          <w:szCs w:val="44"/>
        </w:rPr>
        <w:t>编制时间：20</w:t>
      </w:r>
      <w:r>
        <w:rPr>
          <w:rFonts w:hint="eastAsia" w:asciiTheme="majorEastAsia" w:hAnsiTheme="majorEastAsia" w:eastAsiaTheme="majorEastAsia"/>
          <w:color w:val="auto"/>
          <w:sz w:val="44"/>
          <w:szCs w:val="44"/>
          <w:lang w:val="en-US" w:eastAsia="zh-CN"/>
        </w:rPr>
        <w:t>21</w:t>
      </w:r>
      <w:r>
        <w:rPr>
          <w:rFonts w:hint="eastAsia" w:asciiTheme="majorEastAsia" w:hAnsiTheme="majorEastAsia" w:eastAsiaTheme="majorEastAsia"/>
          <w:color w:val="auto"/>
          <w:sz w:val="44"/>
          <w:szCs w:val="44"/>
        </w:rPr>
        <w:t>年</w:t>
      </w:r>
      <w:r>
        <w:rPr>
          <w:rFonts w:hint="eastAsia" w:asciiTheme="majorEastAsia" w:hAnsiTheme="majorEastAsia" w:eastAsiaTheme="majorEastAsia"/>
          <w:color w:val="auto"/>
          <w:sz w:val="44"/>
          <w:szCs w:val="44"/>
          <w:lang w:val="en-US" w:eastAsia="zh-CN"/>
        </w:rPr>
        <w:t>9</w:t>
      </w:r>
      <w:r>
        <w:rPr>
          <w:rFonts w:hint="eastAsia" w:asciiTheme="majorEastAsia" w:hAnsiTheme="majorEastAsia" w:eastAsiaTheme="majorEastAsia"/>
          <w:color w:val="auto"/>
          <w:sz w:val="44"/>
          <w:szCs w:val="44"/>
        </w:rPr>
        <w:t>月</w:t>
      </w:r>
    </w:p>
    <w:p>
      <w:pPr>
        <w:widowControl w:val="0"/>
        <w:adjustRightInd/>
        <w:snapToGrid/>
        <w:jc w:val="both"/>
        <w:rPr>
          <w:rFonts w:asciiTheme="minorEastAsia" w:hAnsiTheme="minorEastAsia" w:eastAsiaTheme="minorEastAsia" w:cstheme="minorEastAsia"/>
          <w:b/>
          <w:bCs/>
          <w:color w:val="auto"/>
          <w:kern w:val="2"/>
          <w:sz w:val="28"/>
          <w:szCs w:val="28"/>
        </w:rPr>
        <w:sectPr>
          <w:pgSz w:w="11906" w:h="16838"/>
          <w:pgMar w:top="1440" w:right="1800" w:bottom="1440" w:left="1800" w:header="851" w:footer="992" w:gutter="0"/>
          <w:cols w:space="425" w:num="1"/>
          <w:docGrid w:type="lines" w:linePitch="312" w:charSpace="0"/>
        </w:sectPr>
      </w:pPr>
    </w:p>
    <w:p>
      <w:pPr>
        <w:pStyle w:val="8"/>
        <w:tabs>
          <w:tab w:val="right" w:leader="dot" w:pos="8306"/>
        </w:tabs>
        <w:jc w:val="center"/>
        <w:rPr>
          <w:rFonts w:asciiTheme="minorEastAsia" w:hAnsiTheme="minorEastAsia" w:eastAsiaTheme="minorEastAsia" w:cstheme="minorEastAsia"/>
          <w:b/>
          <w:bCs/>
          <w:color w:val="auto"/>
          <w:kern w:val="2"/>
          <w:sz w:val="28"/>
          <w:szCs w:val="28"/>
        </w:rPr>
      </w:pPr>
      <w:r>
        <w:rPr>
          <w:rFonts w:hint="eastAsia" w:ascii="Calibri Light" w:hAnsi="Calibri Light" w:eastAsia="宋体" w:cs="Times New Roman"/>
          <w:b/>
          <w:bCs/>
          <w:color w:val="auto"/>
          <w:sz w:val="36"/>
          <w:szCs w:val="36"/>
        </w:rPr>
        <w:t>目录</w:t>
      </w:r>
    </w:p>
    <w:p>
      <w:pPr>
        <w:pStyle w:val="8"/>
        <w:tabs>
          <w:tab w:val="left" w:pos="840"/>
          <w:tab w:val="right" w:leader="dot" w:pos="8296"/>
        </w:tabs>
        <w:rPr>
          <w:color w:val="auto"/>
          <w:kern w:val="2"/>
          <w:sz w:val="21"/>
        </w:rPr>
      </w:pPr>
      <w:r>
        <w:rPr>
          <w:rFonts w:hint="eastAsia" w:asciiTheme="minorEastAsia" w:hAnsiTheme="minorEastAsia" w:eastAsiaTheme="minorEastAsia" w:cstheme="minorEastAsia"/>
          <w:b/>
          <w:bCs/>
          <w:color w:val="auto"/>
          <w:kern w:val="2"/>
          <w:sz w:val="28"/>
          <w:szCs w:val="28"/>
        </w:rPr>
        <w:fldChar w:fldCharType="begin"/>
      </w:r>
      <w:r>
        <w:rPr>
          <w:rFonts w:hint="eastAsia" w:asciiTheme="minorEastAsia" w:hAnsiTheme="minorEastAsia" w:eastAsiaTheme="minorEastAsia" w:cstheme="minorEastAsia"/>
          <w:b/>
          <w:bCs/>
          <w:color w:val="auto"/>
          <w:kern w:val="2"/>
          <w:sz w:val="28"/>
          <w:szCs w:val="28"/>
        </w:rPr>
        <w:instrText xml:space="preserve">TOC \o "1-3" \h \u </w:instrText>
      </w:r>
      <w:r>
        <w:rPr>
          <w:rFonts w:hint="eastAsia" w:asciiTheme="minorEastAsia" w:hAnsiTheme="minorEastAsia" w:eastAsiaTheme="minorEastAsia" w:cstheme="minorEastAsia"/>
          <w:b/>
          <w:bCs/>
          <w:color w:val="auto"/>
          <w:kern w:val="2"/>
          <w:sz w:val="28"/>
          <w:szCs w:val="28"/>
        </w:rPr>
        <w:fldChar w:fldCharType="separate"/>
      </w:r>
    </w:p>
    <w:sdt>
      <w:sdtPr>
        <w:rPr>
          <w:rFonts w:asciiTheme="minorHAnsi" w:hAnsiTheme="minorHAnsi" w:eastAsiaTheme="minorEastAsia" w:cstheme="minorBidi"/>
          <w:b w:val="0"/>
          <w:bCs w:val="0"/>
          <w:color w:val="auto"/>
          <w:sz w:val="22"/>
          <w:szCs w:val="22"/>
          <w:lang w:val="zh-CN"/>
        </w:rPr>
        <w:id w:val="109590282"/>
        <w:docPartObj>
          <w:docPartGallery w:val="Table of Contents"/>
          <w:docPartUnique/>
        </w:docPartObj>
      </w:sdtPr>
      <w:sdtEndPr>
        <w:rPr>
          <w:rFonts w:asciiTheme="minorHAnsi" w:hAnsiTheme="minorHAnsi" w:eastAsiaTheme="minorEastAsia" w:cstheme="minorBidi"/>
          <w:b w:val="0"/>
          <w:bCs w:val="0"/>
          <w:color w:val="auto"/>
          <w:sz w:val="22"/>
          <w:szCs w:val="22"/>
          <w:lang w:val="en-US"/>
        </w:rPr>
      </w:sdtEndPr>
      <w:sdtContent>
        <w:p>
          <w:pPr>
            <w:pStyle w:val="19"/>
            <w:rPr>
              <w:color w:val="auto"/>
            </w:rPr>
          </w:pPr>
        </w:p>
        <w:p>
          <w:pPr>
            <w:pStyle w:val="8"/>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"_Toc16168668" </w:instrText>
          </w:r>
          <w:r>
            <w:rPr>
              <w:color w:val="auto"/>
            </w:rPr>
            <w:fldChar w:fldCharType="separate"/>
          </w:r>
          <w:r>
            <w:rPr>
              <w:rStyle w:val="13"/>
              <w:rFonts w:hint="eastAsia" w:ascii="黑体" w:hAnsi="黑体" w:eastAsia="黑体" w:cs="仿宋_GB2312"/>
              <w:color w:val="auto"/>
            </w:rPr>
            <w:t>一、项目概况及招标范围</w:t>
          </w:r>
          <w:r>
            <w:rPr>
              <w:color w:val="auto"/>
            </w:rPr>
            <w:tab/>
          </w:r>
          <w:r>
            <w:rPr>
              <w:color w:val="auto"/>
            </w:rPr>
            <w:fldChar w:fldCharType="begin"/>
          </w:r>
          <w:r>
            <w:rPr>
              <w:color w:val="auto"/>
            </w:rPr>
            <w:instrText xml:space="preserve"> PAGEREF _Toc16168668 \h </w:instrText>
          </w:r>
          <w:r>
            <w:rPr>
              <w:color w:val="auto"/>
            </w:rPr>
            <w:fldChar w:fldCharType="separate"/>
          </w:r>
          <w:r>
            <w:rPr>
              <w:color w:val="auto"/>
            </w:rPr>
            <w:t>3</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"_Toc16168669" </w:instrText>
          </w:r>
          <w:r>
            <w:rPr>
              <w:color w:val="auto"/>
            </w:rPr>
            <w:fldChar w:fldCharType="separate"/>
          </w:r>
          <w:r>
            <w:rPr>
              <w:rStyle w:val="13"/>
              <w:rFonts w:hint="eastAsia" w:ascii="楷体" w:hAnsi="楷体" w:eastAsia="楷体" w:cs="仿宋_GB2312"/>
              <w:color w:val="auto"/>
            </w:rPr>
            <w:t>（一）项目概况</w:t>
          </w:r>
          <w:r>
            <w:rPr>
              <w:color w:val="auto"/>
            </w:rPr>
            <w:tab/>
          </w:r>
          <w:r>
            <w:rPr>
              <w:color w:val="auto"/>
            </w:rPr>
            <w:fldChar w:fldCharType="begin"/>
          </w:r>
          <w:r>
            <w:rPr>
              <w:color w:val="auto"/>
            </w:rPr>
            <w:instrText xml:space="preserve"> PAGEREF _Toc16168669 \h </w:instrText>
          </w:r>
          <w:r>
            <w:rPr>
              <w:color w:val="auto"/>
            </w:rPr>
            <w:fldChar w:fldCharType="separate"/>
          </w:r>
          <w:r>
            <w:rPr>
              <w:color w:val="auto"/>
            </w:rPr>
            <w:t>3</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"_Toc16168670" </w:instrText>
          </w:r>
          <w:r>
            <w:rPr>
              <w:color w:val="auto"/>
            </w:rPr>
            <w:fldChar w:fldCharType="separate"/>
          </w:r>
          <w:r>
            <w:rPr>
              <w:rStyle w:val="13"/>
              <w:rFonts w:hint="eastAsia" w:ascii="楷体" w:hAnsi="楷体" w:eastAsia="楷体" w:cs="仿宋_GB2312"/>
              <w:color w:val="auto"/>
            </w:rPr>
            <w:t>（二）招标范围</w:t>
          </w:r>
          <w:r>
            <w:rPr>
              <w:color w:val="auto"/>
            </w:rPr>
            <w:tab/>
          </w:r>
          <w:r>
            <w:rPr>
              <w:color w:val="auto"/>
            </w:rPr>
            <w:fldChar w:fldCharType="begin"/>
          </w:r>
          <w:r>
            <w:rPr>
              <w:color w:val="auto"/>
            </w:rPr>
            <w:instrText xml:space="preserve"> PAGEREF _Toc16168670 \h </w:instrText>
          </w:r>
          <w:r>
            <w:rPr>
              <w:color w:val="auto"/>
            </w:rPr>
            <w:fldChar w:fldCharType="separate"/>
          </w:r>
          <w:r>
            <w:rPr>
              <w:color w:val="auto"/>
            </w:rPr>
            <w:t>3</w:t>
          </w:r>
          <w:r>
            <w:rPr>
              <w:color w:val="auto"/>
            </w:rPr>
            <w:fldChar w:fldCharType="end"/>
          </w:r>
          <w:r>
            <w:rPr>
              <w:color w:val="auto"/>
            </w:rPr>
            <w:fldChar w:fldCharType="end"/>
          </w:r>
        </w:p>
        <w:p>
          <w:pPr>
            <w:pStyle w:val="8"/>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"_Toc16168671" </w:instrText>
          </w:r>
          <w:r>
            <w:rPr>
              <w:color w:val="auto"/>
            </w:rPr>
            <w:fldChar w:fldCharType="separate"/>
          </w:r>
          <w:r>
            <w:rPr>
              <w:rStyle w:val="13"/>
              <w:rFonts w:hint="eastAsia" w:ascii="黑体" w:hAnsi="黑体" w:eastAsia="黑体" w:cs="仿宋_GB2312"/>
              <w:color w:val="auto"/>
            </w:rPr>
            <w:t>二、项目计划</w:t>
          </w:r>
          <w:r>
            <w:rPr>
              <w:color w:val="auto"/>
            </w:rPr>
            <w:tab/>
          </w:r>
          <w:r>
            <w:rPr>
              <w:color w:val="auto"/>
            </w:rPr>
            <w:fldChar w:fldCharType="begin"/>
          </w:r>
          <w:r>
            <w:rPr>
              <w:color w:val="auto"/>
            </w:rPr>
            <w:instrText xml:space="preserve"> PAGEREF _Toc16168671 \h </w:instrText>
          </w:r>
          <w:r>
            <w:rPr>
              <w:color w:val="auto"/>
            </w:rPr>
            <w:fldChar w:fldCharType="separate"/>
          </w:r>
          <w:r>
            <w:rPr>
              <w:color w:val="auto"/>
            </w:rPr>
            <w:t>3</w:t>
          </w:r>
          <w:r>
            <w:rPr>
              <w:color w:val="auto"/>
            </w:rPr>
            <w:fldChar w:fldCharType="end"/>
          </w:r>
          <w:r>
            <w:rPr>
              <w:color w:val="auto"/>
            </w:rPr>
            <w:fldChar w:fldCharType="end"/>
          </w:r>
        </w:p>
        <w:p>
          <w:pPr>
            <w:pStyle w:val="8"/>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"_Toc16168672" </w:instrText>
          </w:r>
          <w:r>
            <w:rPr>
              <w:color w:val="auto"/>
            </w:rPr>
            <w:fldChar w:fldCharType="separate"/>
          </w:r>
          <w:r>
            <w:rPr>
              <w:rStyle w:val="13"/>
              <w:rFonts w:hint="eastAsia" w:ascii="黑体" w:hAnsi="黑体" w:eastAsia="黑体" w:cs="仿宋_GB2312"/>
              <w:color w:val="auto"/>
            </w:rPr>
            <w:t>三、相关技术标准及规范</w:t>
          </w:r>
          <w:r>
            <w:rPr>
              <w:color w:val="auto"/>
            </w:rPr>
            <w:tab/>
          </w:r>
          <w:r>
            <w:rPr>
              <w:color w:val="auto"/>
            </w:rPr>
            <w:fldChar w:fldCharType="begin"/>
          </w:r>
          <w:r>
            <w:rPr>
              <w:color w:val="auto"/>
            </w:rPr>
            <w:instrText xml:space="preserve"> PAGEREF _Toc16168672 \h </w:instrText>
          </w:r>
          <w:r>
            <w:rPr>
              <w:color w:val="auto"/>
            </w:rPr>
            <w:fldChar w:fldCharType="separate"/>
          </w:r>
          <w:r>
            <w:rPr>
              <w:color w:val="auto"/>
            </w:rPr>
            <w:t>3</w:t>
          </w:r>
          <w:r>
            <w:rPr>
              <w:color w:val="auto"/>
            </w:rPr>
            <w:fldChar w:fldCharType="end"/>
          </w:r>
          <w:r>
            <w:rPr>
              <w:color w:val="auto"/>
            </w:rPr>
            <w:fldChar w:fldCharType="end"/>
          </w:r>
        </w:p>
        <w:p>
          <w:pPr>
            <w:pStyle w:val="8"/>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"_Toc16168673" </w:instrText>
          </w:r>
          <w:r>
            <w:rPr>
              <w:color w:val="auto"/>
            </w:rPr>
            <w:fldChar w:fldCharType="separate"/>
          </w:r>
          <w:r>
            <w:rPr>
              <w:rStyle w:val="13"/>
              <w:rFonts w:hint="eastAsia" w:ascii="黑体" w:hAnsi="黑体" w:eastAsia="黑体" w:cs="仿宋_GB2312"/>
              <w:color w:val="auto"/>
            </w:rPr>
            <w:t>四、项目管控要求</w:t>
          </w:r>
          <w:r>
            <w:rPr>
              <w:color w:val="auto"/>
            </w:rPr>
            <w:tab/>
          </w:r>
          <w:r>
            <w:rPr>
              <w:color w:val="auto"/>
            </w:rPr>
            <w:fldChar w:fldCharType="begin"/>
          </w:r>
          <w:r>
            <w:rPr>
              <w:color w:val="auto"/>
            </w:rPr>
            <w:instrText xml:space="preserve"> PAGEREF _Toc16168673 \h </w:instrText>
          </w:r>
          <w:r>
            <w:rPr>
              <w:color w:val="auto"/>
            </w:rPr>
            <w:fldChar w:fldCharType="separate"/>
          </w:r>
          <w:r>
            <w:rPr>
              <w:color w:val="auto"/>
            </w:rPr>
            <w:t>4</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"_Toc16168674" </w:instrText>
          </w:r>
          <w:r>
            <w:rPr>
              <w:color w:val="auto"/>
            </w:rPr>
            <w:fldChar w:fldCharType="separate"/>
          </w:r>
          <w:r>
            <w:rPr>
              <w:rStyle w:val="13"/>
              <w:rFonts w:hint="eastAsia" w:ascii="楷体" w:hAnsi="楷体" w:eastAsia="楷体" w:cs="仿宋_GB2312"/>
              <w:color w:val="auto"/>
            </w:rPr>
            <w:t>（一）人员配备要求</w:t>
          </w:r>
          <w:r>
            <w:rPr>
              <w:color w:val="auto"/>
            </w:rPr>
            <w:tab/>
          </w:r>
          <w:r>
            <w:rPr>
              <w:color w:val="auto"/>
            </w:rPr>
            <w:fldChar w:fldCharType="begin"/>
          </w:r>
          <w:r>
            <w:rPr>
              <w:color w:val="auto"/>
            </w:rPr>
            <w:instrText xml:space="preserve"> PAGEREF _Toc16168674 \h </w:instrText>
          </w:r>
          <w:r>
            <w:rPr>
              <w:color w:val="auto"/>
            </w:rPr>
            <w:fldChar w:fldCharType="separate"/>
          </w:r>
          <w:r>
            <w:rPr>
              <w:color w:val="auto"/>
            </w:rPr>
            <w:t>4</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"_Toc16168675" </w:instrText>
          </w:r>
          <w:r>
            <w:rPr>
              <w:color w:val="auto"/>
            </w:rPr>
            <w:fldChar w:fldCharType="separate"/>
          </w:r>
          <w:r>
            <w:rPr>
              <w:rStyle w:val="13"/>
              <w:rFonts w:hint="eastAsia" w:ascii="楷体" w:hAnsi="楷体" w:eastAsia="楷体" w:cs="仿宋_GB2312"/>
              <w:color w:val="auto"/>
            </w:rPr>
            <w:t>（二）其他</w:t>
          </w:r>
          <w:r>
            <w:rPr>
              <w:color w:val="auto"/>
            </w:rPr>
            <w:tab/>
          </w:r>
          <w:r>
            <w:rPr>
              <w:color w:val="auto"/>
            </w:rPr>
            <w:fldChar w:fldCharType="begin"/>
          </w:r>
          <w:r>
            <w:rPr>
              <w:color w:val="auto"/>
            </w:rPr>
            <w:instrText xml:space="preserve"> PAGEREF _Toc16168675 \h </w:instrText>
          </w:r>
          <w:r>
            <w:rPr>
              <w:color w:val="auto"/>
            </w:rPr>
            <w:fldChar w:fldCharType="separate"/>
          </w:r>
          <w:r>
            <w:rPr>
              <w:color w:val="auto"/>
            </w:rPr>
            <w:t>4</w:t>
          </w:r>
          <w:r>
            <w:rPr>
              <w:color w:val="auto"/>
            </w:rPr>
            <w:fldChar w:fldCharType="end"/>
          </w:r>
          <w:r>
            <w:rPr>
              <w:color w:val="auto"/>
            </w:rPr>
            <w:fldChar w:fldCharType="end"/>
          </w:r>
        </w:p>
        <w:p>
          <w:pPr>
            <w:pStyle w:val="8"/>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"_Toc16168676" </w:instrText>
          </w:r>
          <w:r>
            <w:rPr>
              <w:color w:val="auto"/>
            </w:rPr>
            <w:fldChar w:fldCharType="separate"/>
          </w:r>
          <w:r>
            <w:rPr>
              <w:rStyle w:val="13"/>
              <w:rFonts w:hint="eastAsia" w:ascii="黑体" w:hAnsi="黑体" w:eastAsia="黑体" w:cs="仿宋_GB2312"/>
              <w:color w:val="auto"/>
            </w:rPr>
            <w:t>五、项目实施要求</w:t>
          </w:r>
          <w:r>
            <w:rPr>
              <w:color w:val="auto"/>
            </w:rPr>
            <w:tab/>
          </w:r>
          <w:r>
            <w:rPr>
              <w:color w:val="auto"/>
            </w:rPr>
            <w:fldChar w:fldCharType="begin"/>
          </w:r>
          <w:r>
            <w:rPr>
              <w:color w:val="auto"/>
            </w:rPr>
            <w:instrText xml:space="preserve"> PAGEREF _Toc16168676 \h </w:instrText>
          </w:r>
          <w:r>
            <w:rPr>
              <w:color w:val="auto"/>
            </w:rPr>
            <w:fldChar w:fldCharType="separate"/>
          </w:r>
          <w:r>
            <w:rPr>
              <w:color w:val="auto"/>
            </w:rPr>
            <w:t>4</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"_Toc16168677" </w:instrText>
          </w:r>
          <w:r>
            <w:rPr>
              <w:color w:val="auto"/>
            </w:rPr>
            <w:fldChar w:fldCharType="separate"/>
          </w:r>
          <w:r>
            <w:rPr>
              <w:rStyle w:val="13"/>
              <w:rFonts w:hint="eastAsia" w:ascii="楷体" w:hAnsi="楷体" w:eastAsia="楷体" w:cs="仿宋_GB2312"/>
              <w:color w:val="auto"/>
            </w:rPr>
            <w:t>（一）工作时间和范围</w:t>
          </w:r>
          <w:r>
            <w:rPr>
              <w:color w:val="auto"/>
            </w:rPr>
            <w:tab/>
          </w:r>
          <w:r>
            <w:rPr>
              <w:color w:val="auto"/>
            </w:rPr>
            <w:fldChar w:fldCharType="begin"/>
          </w:r>
          <w:r>
            <w:rPr>
              <w:color w:val="auto"/>
            </w:rPr>
            <w:instrText xml:space="preserve"> PAGEREF _Toc16168677 \h </w:instrText>
          </w:r>
          <w:r>
            <w:rPr>
              <w:color w:val="auto"/>
            </w:rPr>
            <w:fldChar w:fldCharType="separate"/>
          </w:r>
          <w:r>
            <w:rPr>
              <w:color w:val="auto"/>
            </w:rPr>
            <w:t>4</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"_Toc16168678" </w:instrText>
          </w:r>
          <w:r>
            <w:rPr>
              <w:color w:val="auto"/>
            </w:rPr>
            <w:fldChar w:fldCharType="separate"/>
          </w:r>
          <w:r>
            <w:rPr>
              <w:rStyle w:val="13"/>
              <w:rFonts w:hint="eastAsia" w:ascii="楷体" w:hAnsi="楷体" w:eastAsia="楷体" w:cs="仿宋_GB2312"/>
              <w:color w:val="auto"/>
            </w:rPr>
            <w:t>（二）服务标准、流程及操作要求</w:t>
          </w:r>
          <w:r>
            <w:rPr>
              <w:color w:val="auto"/>
            </w:rPr>
            <w:tab/>
          </w:r>
          <w:r>
            <w:rPr>
              <w:color w:val="auto"/>
            </w:rPr>
            <w:fldChar w:fldCharType="begin"/>
          </w:r>
          <w:r>
            <w:rPr>
              <w:color w:val="auto"/>
            </w:rPr>
            <w:instrText xml:space="preserve"> PAGEREF _Toc16168678 \h </w:instrText>
          </w:r>
          <w:r>
            <w:rPr>
              <w:color w:val="auto"/>
            </w:rPr>
            <w:fldChar w:fldCharType="separate"/>
          </w:r>
          <w:r>
            <w:rPr>
              <w:color w:val="auto"/>
            </w:rPr>
            <w:t>4</w:t>
          </w:r>
          <w:r>
            <w:rPr>
              <w:color w:val="auto"/>
            </w:rPr>
            <w:fldChar w:fldCharType="end"/>
          </w:r>
          <w:r>
            <w:rPr>
              <w:color w:val="auto"/>
            </w:rPr>
            <w:fldChar w:fldCharType="end"/>
          </w:r>
        </w:p>
        <w:p>
          <w:pPr>
            <w:pStyle w:val="8"/>
            <w:tabs>
              <w:tab w:val="right" w:leader="dot" w:pos="8296"/>
            </w:tabs>
            <w:rPr>
              <w:rFonts w:asciiTheme="minorHAnsi" w:hAnsiTheme="minorHAnsi" w:eastAsiaTheme="minorEastAsia"/>
              <w:color w:val="auto"/>
              <w:kern w:val="2"/>
              <w:sz w:val="21"/>
            </w:rPr>
          </w:pPr>
          <w:r>
            <w:rPr>
              <w:color w:val="auto"/>
            </w:rPr>
            <w:fldChar w:fldCharType="begin"/>
          </w:r>
          <w:r>
            <w:rPr>
              <w:color w:val="auto"/>
            </w:rPr>
            <w:instrText xml:space="preserve"> HYPERLINK \l "_Toc16168679" </w:instrText>
          </w:r>
          <w:r>
            <w:rPr>
              <w:color w:val="auto"/>
            </w:rPr>
            <w:fldChar w:fldCharType="separate"/>
          </w:r>
          <w:r>
            <w:rPr>
              <w:rStyle w:val="13"/>
              <w:rFonts w:hint="eastAsia" w:ascii="黑体" w:hAnsi="黑体" w:eastAsia="黑体" w:cs="仿宋_GB2312"/>
              <w:color w:val="auto"/>
            </w:rPr>
            <w:t>六、考核标准</w:t>
          </w:r>
          <w:r>
            <w:rPr>
              <w:color w:val="auto"/>
            </w:rPr>
            <w:tab/>
          </w:r>
          <w:r>
            <w:rPr>
              <w:color w:val="auto"/>
            </w:rPr>
            <w:fldChar w:fldCharType="begin"/>
          </w:r>
          <w:r>
            <w:rPr>
              <w:color w:val="auto"/>
            </w:rPr>
            <w:instrText xml:space="preserve"> PAGEREF _Toc16168679 \h </w:instrText>
          </w:r>
          <w:r>
            <w:rPr>
              <w:color w:val="auto"/>
            </w:rPr>
            <w:fldChar w:fldCharType="separate"/>
          </w:r>
          <w:r>
            <w:rPr>
              <w:color w:val="auto"/>
            </w:rPr>
            <w:t>5</w:t>
          </w:r>
          <w:r>
            <w:rPr>
              <w:color w:val="auto"/>
            </w:rPr>
            <w:fldChar w:fldCharType="end"/>
          </w:r>
          <w:r>
            <w:rPr>
              <w:color w:val="auto"/>
            </w:rPr>
            <w:fldChar w:fldCharType="end"/>
          </w:r>
        </w:p>
        <w:p>
          <w:pPr>
            <w:pStyle w:val="9"/>
            <w:tabs>
              <w:tab w:val="right" w:leader="dot" w:pos="8296"/>
            </w:tabs>
            <w:rPr>
              <w:color w:val="auto"/>
              <w:kern w:val="2"/>
              <w:sz w:val="21"/>
            </w:rPr>
          </w:pPr>
          <w:r>
            <w:rPr>
              <w:color w:val="auto"/>
            </w:rPr>
            <w:fldChar w:fldCharType="begin"/>
          </w:r>
          <w:r>
            <w:rPr>
              <w:color w:val="auto"/>
            </w:rPr>
            <w:instrText xml:space="preserve"> HYPERLINK \l "_Toc16168680" </w:instrText>
          </w:r>
          <w:r>
            <w:rPr>
              <w:color w:val="auto"/>
            </w:rPr>
            <w:fldChar w:fldCharType="separate"/>
          </w:r>
          <w:r>
            <w:rPr>
              <w:rStyle w:val="13"/>
              <w:rFonts w:hint="eastAsia" w:ascii="楷体" w:hAnsi="楷体" w:eastAsia="楷体" w:cs="仿宋_GB2312"/>
              <w:color w:val="auto"/>
            </w:rPr>
            <w:t>（一）质量考核标准</w:t>
          </w:r>
          <w:r>
            <w:rPr>
              <w:color w:val="auto"/>
            </w:rPr>
            <w:tab/>
          </w:r>
          <w:r>
            <w:rPr>
              <w:color w:val="auto"/>
            </w:rPr>
            <w:fldChar w:fldCharType="begin"/>
          </w:r>
          <w:r>
            <w:rPr>
              <w:color w:val="auto"/>
            </w:rPr>
            <w:instrText xml:space="preserve"> PAGEREF _Toc16168680 \h </w:instrText>
          </w:r>
          <w:r>
            <w:rPr>
              <w:color w:val="auto"/>
            </w:rPr>
            <w:fldChar w:fldCharType="separate"/>
          </w:r>
          <w:r>
            <w:rPr>
              <w:color w:val="auto"/>
            </w:rPr>
            <w:t>5</w:t>
          </w:r>
          <w:r>
            <w:rPr>
              <w:color w:val="auto"/>
            </w:rPr>
            <w:fldChar w:fldCharType="end"/>
          </w:r>
          <w:r>
            <w:rPr>
              <w:color w:val="auto"/>
            </w:rPr>
            <w:fldChar w:fldCharType="end"/>
          </w:r>
          <w:r>
            <w:rPr>
              <w:color w:val="auto"/>
            </w:rPr>
            <w:fldChar w:fldCharType="end"/>
          </w:r>
        </w:p>
      </w:sdtContent>
    </w:sdt>
    <w:p>
      <w:pPr>
        <w:pStyle w:val="8"/>
        <w:tabs>
          <w:tab w:val="left" w:pos="840"/>
          <w:tab w:val="right" w:leader="dot" w:pos="8296"/>
        </w:tabs>
        <w:rPr>
          <w:color w:val="auto"/>
          <w:kern w:val="2"/>
          <w:sz w:val="21"/>
        </w:rPr>
      </w:pPr>
    </w:p>
    <w:p>
      <w:pPr>
        <w:spacing w:after="0"/>
        <w:jc w:val="center"/>
        <w:rPr>
          <w:rFonts w:ascii="仿宋_GB2312" w:hAnsi="仿宋_GB2312" w:eastAsia="仿宋_GB2312" w:cs="仿宋_GB2312"/>
          <w:color w:val="auto"/>
          <w:sz w:val="30"/>
          <w:szCs w:val="30"/>
        </w:rPr>
        <w:sectPr>
          <w:pgSz w:w="11906" w:h="16838"/>
          <w:pgMar w:top="1440" w:right="1800" w:bottom="1440" w:left="1800" w:header="708" w:footer="708" w:gutter="0"/>
          <w:cols w:space="708" w:num="1"/>
          <w:docGrid w:linePitch="360" w:charSpace="0"/>
        </w:sectPr>
      </w:pPr>
      <w:r>
        <w:rPr>
          <w:rFonts w:hint="eastAsia" w:asciiTheme="minorEastAsia" w:hAnsiTheme="minorEastAsia" w:eastAsiaTheme="minorEastAsia" w:cstheme="minorEastAsia"/>
          <w:bCs/>
          <w:color w:val="auto"/>
          <w:kern w:val="2"/>
          <w:szCs w:val="28"/>
        </w:rPr>
        <w:fldChar w:fldCharType="end"/>
      </w:r>
    </w:p>
    <w:p>
      <w:pPr>
        <w:pStyle w:val="20"/>
        <w:numPr>
          <w:ilvl w:val="0"/>
          <w:numId w:val="1"/>
        </w:numPr>
        <w:spacing w:after="0" w:line="560" w:lineRule="exact"/>
        <w:ind w:left="1361" w:firstLineChars="0"/>
        <w:jc w:val="both"/>
        <w:outlineLvl w:val="0"/>
        <w:rPr>
          <w:rFonts w:ascii="黑体" w:hAnsi="黑体" w:eastAsia="黑体" w:cs="仿宋_GB2312"/>
          <w:color w:val="auto"/>
          <w:sz w:val="32"/>
          <w:szCs w:val="32"/>
        </w:rPr>
      </w:pPr>
      <w:bookmarkStart w:id="0" w:name="_Toc12868011"/>
      <w:bookmarkStart w:id="1" w:name="_Toc16168668"/>
      <w:r>
        <w:rPr>
          <w:rFonts w:hint="eastAsia" w:ascii="黑体" w:hAnsi="黑体" w:eastAsia="黑体" w:cs="仿宋_GB2312"/>
          <w:color w:val="auto"/>
          <w:sz w:val="32"/>
          <w:szCs w:val="32"/>
        </w:rPr>
        <w:t>项目概况及招标范围</w:t>
      </w:r>
      <w:bookmarkEnd w:id="0"/>
      <w:bookmarkEnd w:id="1"/>
    </w:p>
    <w:p>
      <w:pPr>
        <w:pStyle w:val="20"/>
        <w:numPr>
          <w:ilvl w:val="0"/>
          <w:numId w:val="2"/>
        </w:numPr>
        <w:spacing w:after="0" w:line="560" w:lineRule="exact"/>
        <w:ind w:left="1718" w:hanging="1077" w:firstLineChars="0"/>
        <w:jc w:val="both"/>
        <w:outlineLvl w:val="1"/>
        <w:rPr>
          <w:rFonts w:ascii="楷体" w:hAnsi="楷体" w:eastAsia="楷体" w:cs="仿宋_GB2312"/>
          <w:color w:val="auto"/>
          <w:sz w:val="32"/>
          <w:szCs w:val="32"/>
        </w:rPr>
      </w:pPr>
      <w:bookmarkStart w:id="2" w:name="_Toc12868012"/>
      <w:bookmarkStart w:id="3" w:name="_Toc16168669"/>
      <w:r>
        <w:rPr>
          <w:rFonts w:hint="eastAsia" w:ascii="楷体" w:hAnsi="楷体" w:eastAsia="楷体" w:cs="仿宋_GB2312"/>
          <w:color w:val="auto"/>
          <w:sz w:val="32"/>
          <w:szCs w:val="32"/>
        </w:rPr>
        <w:t>项目概况</w:t>
      </w:r>
      <w:bookmarkEnd w:id="2"/>
      <w:bookmarkEnd w:id="3"/>
    </w:p>
    <w:p>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hint="eastAsia" w:ascii="仿宋_GB2312" w:hAnsi="仿宋" w:eastAsia="仿宋_GB2312" w:cs="仿宋_GB2312"/>
          <w:color w:val="auto"/>
          <w:sz w:val="32"/>
          <w:szCs w:val="32"/>
        </w:rPr>
      </w:pPr>
      <w:r>
        <w:rPr>
          <w:rFonts w:hint="eastAsia" w:ascii="仿宋_GB2312" w:hAnsi="仿宋_GB2312" w:eastAsia="仿宋_GB2312" w:cs="仿宋_GB2312"/>
          <w:color w:val="auto"/>
          <w:sz w:val="32"/>
          <w:szCs w:val="32"/>
        </w:rPr>
        <w:t>本次参与保险招标的所有车辆类型均为非营业性车辆，</w:t>
      </w:r>
      <w:r>
        <w:rPr>
          <w:rFonts w:ascii="仿宋_GB2312" w:hAnsi="仿宋_GB2312" w:eastAsia="仿宋_GB2312" w:cs="仿宋_GB2312"/>
          <w:color w:val="auto"/>
          <w:sz w:val="32"/>
          <w:szCs w:val="32"/>
        </w:rPr>
        <w:t>我司现有</w:t>
      </w:r>
      <w:r>
        <w:rPr>
          <w:rFonts w:hint="eastAsia" w:ascii="仿宋_GB2312" w:hAnsi="仿宋_GB2312" w:eastAsia="仿宋_GB2312" w:cs="仿宋_GB2312"/>
          <w:color w:val="auto"/>
          <w:sz w:val="32"/>
          <w:szCs w:val="32"/>
        </w:rPr>
        <w:t>车辆</w:t>
      </w:r>
      <w:r>
        <w:rPr>
          <w:rFonts w:hint="eastAsia" w:ascii="仿宋_GB2312" w:hAnsi="仿宋_GB2312" w:eastAsia="仿宋_GB2312" w:cs="仿宋_GB2312"/>
          <w:color w:val="auto"/>
          <w:sz w:val="32"/>
          <w:szCs w:val="32"/>
          <w:lang w:val="en-US" w:eastAsia="zh-CN"/>
        </w:rPr>
        <w:t>68</w:t>
      </w:r>
      <w:r>
        <w:rPr>
          <w:rFonts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车型包括</w:t>
      </w:r>
      <w:r>
        <w:rPr>
          <w:rFonts w:hint="eastAsia" w:ascii="仿宋_GB2312" w:hAnsi="仿宋" w:eastAsia="仿宋_GB2312" w:cs="仿宋_GB2312"/>
          <w:color w:val="auto"/>
          <w:sz w:val="32"/>
          <w:szCs w:val="32"/>
        </w:rPr>
        <w:t>但不限于东风、长城、日产、</w:t>
      </w:r>
      <w:r>
        <w:rPr>
          <w:rFonts w:hint="eastAsia" w:ascii="仿宋_GB2312" w:hAnsi="仿宋" w:eastAsia="仿宋_GB2312" w:cs="仿宋_GB2312"/>
          <w:color w:val="auto"/>
          <w:sz w:val="32"/>
          <w:szCs w:val="32"/>
          <w:lang w:val="en-US" w:eastAsia="zh-CN"/>
        </w:rPr>
        <w:t>现代、</w:t>
      </w:r>
      <w:r>
        <w:rPr>
          <w:rFonts w:hint="eastAsia" w:ascii="仿宋_GB2312" w:hAnsi="仿宋" w:eastAsia="仿宋_GB2312" w:cs="仿宋_GB2312"/>
          <w:color w:val="auto"/>
          <w:sz w:val="32"/>
          <w:szCs w:val="32"/>
        </w:rPr>
        <w:t>金旅、依维柯</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大通</w:t>
      </w:r>
      <w:r>
        <w:rPr>
          <w:rFonts w:hint="eastAsia" w:ascii="仿宋_GB2312" w:hAnsi="仿宋" w:eastAsia="仿宋_GB2312" w:cs="仿宋_GB2312"/>
          <w:color w:val="auto"/>
          <w:sz w:val="32"/>
          <w:szCs w:val="32"/>
        </w:rPr>
        <w:t>等品牌以及地铁救援抢险特种车辆</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购买月份分别为1月份9台、3月份4台、4月份10台、5月2台、6月份1台、7月份7台、8月份3台、9月份5台、10月份2台、11月份24台、12月份1台，总计68台。</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定点保险公司在定点期间应严格按定点投标承诺的优惠价格及服务条款进行服务，并与公司签订定点保险服务采购合同，履行自己的权利和义务。</w:t>
      </w:r>
    </w:p>
    <w:p>
      <w:pPr>
        <w:pStyle w:val="20"/>
        <w:numPr>
          <w:ilvl w:val="0"/>
          <w:numId w:val="2"/>
        </w:numPr>
        <w:spacing w:after="0" w:line="560" w:lineRule="exact"/>
        <w:ind w:left="1718" w:hanging="1077" w:firstLineChars="0"/>
        <w:jc w:val="both"/>
        <w:outlineLvl w:val="1"/>
        <w:rPr>
          <w:rFonts w:ascii="楷体" w:hAnsi="楷体" w:eastAsia="楷体" w:cs="仿宋_GB2312"/>
          <w:color w:val="auto"/>
          <w:sz w:val="32"/>
          <w:szCs w:val="32"/>
        </w:rPr>
      </w:pPr>
      <w:bookmarkStart w:id="4" w:name="_Toc12868013"/>
      <w:bookmarkStart w:id="5" w:name="_Toc16168670"/>
      <w:r>
        <w:rPr>
          <w:rFonts w:hint="eastAsia" w:ascii="楷体" w:hAnsi="楷体" w:eastAsia="楷体" w:cs="仿宋_GB2312"/>
          <w:color w:val="auto"/>
          <w:sz w:val="32"/>
          <w:szCs w:val="32"/>
        </w:rPr>
        <w:t>招标范围</w:t>
      </w:r>
      <w:bookmarkEnd w:id="4"/>
      <w:bookmarkEnd w:id="5"/>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本次车辆招标的险种有：车船使用税、机动车交通事故责任强制保险、车辆损失险、第三者责任险（100万元）、车上人员责任险（10万元/座）。</w:t>
      </w:r>
    </w:p>
    <w:p>
      <w:pPr>
        <w:pStyle w:val="20"/>
        <w:numPr>
          <w:ilvl w:val="0"/>
          <w:numId w:val="1"/>
        </w:numPr>
        <w:spacing w:after="0" w:line="560" w:lineRule="exact"/>
        <w:ind w:left="1361" w:firstLineChars="0"/>
        <w:jc w:val="both"/>
        <w:outlineLvl w:val="0"/>
        <w:rPr>
          <w:rFonts w:ascii="黑体" w:hAnsi="黑体" w:eastAsia="黑体" w:cs="仿宋_GB2312"/>
          <w:color w:val="auto"/>
          <w:sz w:val="32"/>
          <w:szCs w:val="32"/>
        </w:rPr>
      </w:pPr>
      <w:bookmarkStart w:id="6" w:name="_Toc12868014"/>
      <w:bookmarkStart w:id="7" w:name="_Toc16168671"/>
      <w:r>
        <w:rPr>
          <w:rFonts w:hint="eastAsia" w:ascii="黑体" w:hAnsi="黑体" w:eastAsia="黑体" w:cs="仿宋_GB2312"/>
          <w:color w:val="auto"/>
          <w:sz w:val="32"/>
          <w:szCs w:val="32"/>
        </w:rPr>
        <w:t>项目计划</w:t>
      </w:r>
      <w:bookmarkEnd w:id="6"/>
      <w:bookmarkEnd w:id="7"/>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本项目服务期限为20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年至20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年，总计12个月（实际服务时间以采购单位发出的进场通知起算，总计12个月）。</w:t>
      </w:r>
    </w:p>
    <w:p>
      <w:pPr>
        <w:pStyle w:val="20"/>
        <w:numPr>
          <w:ilvl w:val="0"/>
          <w:numId w:val="1"/>
        </w:numPr>
        <w:spacing w:after="0" w:line="560" w:lineRule="exact"/>
        <w:ind w:left="1361" w:firstLineChars="0"/>
        <w:jc w:val="both"/>
        <w:outlineLvl w:val="0"/>
        <w:rPr>
          <w:rFonts w:ascii="黑体" w:hAnsi="黑体" w:eastAsia="黑体" w:cs="仿宋_GB2312"/>
          <w:color w:val="auto"/>
          <w:sz w:val="32"/>
          <w:szCs w:val="32"/>
        </w:rPr>
      </w:pPr>
      <w:bookmarkStart w:id="8" w:name="_Toc16168672"/>
      <w:bookmarkStart w:id="9" w:name="_Toc12868015"/>
      <w:r>
        <w:rPr>
          <w:rFonts w:hint="eastAsia" w:ascii="黑体" w:hAnsi="黑体" w:eastAsia="黑体" w:cs="仿宋_GB2312"/>
          <w:color w:val="auto"/>
          <w:sz w:val="32"/>
          <w:szCs w:val="32"/>
        </w:rPr>
        <w:t>相关技术标准及规范</w:t>
      </w:r>
      <w:bookmarkEnd w:id="8"/>
      <w:bookmarkEnd w:id="9"/>
    </w:p>
    <w:p>
      <w:pPr>
        <w:spacing w:after="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应严格按照下列技术标准及规范等相关标准（包括以下国内技术标准、规范及同行业相关经验，但不限于以下内容）执行，以下标准如有更新，须按最新标准执行：</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475"/>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3"/>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标准汇总报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24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标准代号</w:t>
            </w:r>
          </w:p>
        </w:tc>
        <w:tc>
          <w:tcPr>
            <w:tcW w:w="5664"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4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中国通用法律</w:t>
            </w:r>
          </w:p>
        </w:tc>
        <w:tc>
          <w:tcPr>
            <w:tcW w:w="5664"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中华人民共和国保险法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4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长政发【2015】16号</w:t>
            </w:r>
          </w:p>
        </w:tc>
        <w:tc>
          <w:tcPr>
            <w:tcW w:w="5664"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长沙市城市道路交通事故快处快赔实施办法</w:t>
            </w:r>
          </w:p>
        </w:tc>
      </w:tr>
    </w:tbl>
    <w:p>
      <w:pPr>
        <w:pStyle w:val="20"/>
        <w:numPr>
          <w:ilvl w:val="0"/>
          <w:numId w:val="1"/>
        </w:numPr>
        <w:spacing w:after="0" w:line="560" w:lineRule="exact"/>
        <w:ind w:left="1361" w:firstLineChars="0"/>
        <w:jc w:val="both"/>
        <w:outlineLvl w:val="0"/>
        <w:rPr>
          <w:rFonts w:ascii="黑体" w:hAnsi="黑体" w:eastAsia="黑体" w:cs="仿宋_GB2312"/>
          <w:color w:val="auto"/>
          <w:sz w:val="32"/>
          <w:szCs w:val="32"/>
        </w:rPr>
      </w:pPr>
      <w:bookmarkStart w:id="10" w:name="_Toc16168673"/>
      <w:bookmarkStart w:id="11" w:name="_Toc12868016"/>
      <w:r>
        <w:rPr>
          <w:rFonts w:hint="eastAsia" w:ascii="黑体" w:hAnsi="黑体" w:eastAsia="黑体" w:cs="仿宋_GB2312"/>
          <w:color w:val="auto"/>
          <w:sz w:val="32"/>
          <w:szCs w:val="32"/>
        </w:rPr>
        <w:t>项目管控要求</w:t>
      </w:r>
      <w:bookmarkEnd w:id="10"/>
      <w:bookmarkEnd w:id="11"/>
    </w:p>
    <w:p>
      <w:pPr>
        <w:pStyle w:val="20"/>
        <w:spacing w:after="0" w:line="560" w:lineRule="exact"/>
        <w:ind w:firstLine="640"/>
        <w:jc w:val="both"/>
        <w:outlineLvl w:val="1"/>
        <w:rPr>
          <w:rFonts w:ascii="楷体" w:hAnsi="楷体" w:eastAsia="楷体" w:cs="仿宋_GB2312"/>
          <w:color w:val="auto"/>
          <w:sz w:val="32"/>
          <w:szCs w:val="32"/>
        </w:rPr>
      </w:pPr>
      <w:bookmarkStart w:id="12" w:name="_Toc12868017"/>
      <w:bookmarkStart w:id="13" w:name="_Toc16168674"/>
      <w:r>
        <w:rPr>
          <w:rFonts w:hint="eastAsia" w:ascii="楷体" w:hAnsi="楷体" w:eastAsia="楷体" w:cs="仿宋_GB2312"/>
          <w:color w:val="auto"/>
          <w:sz w:val="32"/>
          <w:szCs w:val="32"/>
        </w:rPr>
        <w:t>（一）人员配备要求</w:t>
      </w:r>
      <w:bookmarkEnd w:id="12"/>
      <w:bookmarkEnd w:id="13"/>
    </w:p>
    <w:p>
      <w:pPr>
        <w:keepNext w:val="0"/>
        <w:keepLines w:val="0"/>
        <w:pageBreakBefore w:val="0"/>
        <w:widowControl/>
        <w:numPr>
          <w:ilvl w:val="0"/>
          <w:numId w:val="4"/>
        </w:numPr>
        <w:kinsoku/>
        <w:wordWrap/>
        <w:overflowPunct/>
        <w:topLinePunct w:val="0"/>
        <w:autoSpaceDE/>
        <w:autoSpaceDN/>
        <w:bidi w:val="0"/>
        <w:adjustRightInd w:val="0"/>
        <w:snapToGrid w:val="0"/>
        <w:spacing w:after="0" w:line="560" w:lineRule="exact"/>
        <w:ind w:left="0" w:leftChars="0" w:firstLine="480" w:firstLineChars="200"/>
        <w:jc w:val="left"/>
        <w:textAlignment w:val="auto"/>
        <w:rPr>
          <w:rFonts w:ascii="仿宋_GB2312" w:hAnsi="仿宋_GB2312" w:eastAsia="仿宋_GB2312" w:cs="仿宋_GB2312"/>
          <w:color w:val="auto"/>
          <w:sz w:val="32"/>
          <w:szCs w:val="32"/>
        </w:rPr>
      </w:pPr>
      <w:r>
        <w:rPr>
          <w:rFonts w:ascii="宋体" w:hAnsi="宋体" w:eastAsia="宋体" w:cs="宋体"/>
          <w:sz w:val="24"/>
          <w:szCs w:val="24"/>
        </w:rPr>
        <w:t>★</w:t>
      </w:r>
      <w:r>
        <w:rPr>
          <w:rFonts w:hint="eastAsia" w:ascii="仿宋_GB2312" w:hAnsi="仿宋_GB2312" w:eastAsia="仿宋_GB2312" w:cs="仿宋_GB2312"/>
          <w:color w:val="auto"/>
          <w:sz w:val="32"/>
          <w:szCs w:val="32"/>
          <w:u w:val="single"/>
          <w:lang w:eastAsia="zh-CN"/>
        </w:rPr>
        <w:t>谈判单位</w:t>
      </w:r>
      <w:r>
        <w:rPr>
          <w:rFonts w:hint="eastAsia" w:ascii="仿宋_GB2312" w:hAnsi="仿宋_GB2312" w:eastAsia="仿宋_GB2312" w:cs="仿宋_GB2312"/>
          <w:color w:val="auto"/>
          <w:sz w:val="32"/>
          <w:szCs w:val="32"/>
          <w:u w:val="single"/>
        </w:rPr>
        <w:t>为本项目设立专项服务小组，服务小组人数不少于3人</w:t>
      </w:r>
      <w:r>
        <w:rPr>
          <w:rFonts w:hint="eastAsia" w:ascii="仿宋_GB2312" w:hAnsi="仿宋_GB2312" w:eastAsia="仿宋_GB2312" w:cs="仿宋_GB2312"/>
          <w:color w:val="auto"/>
          <w:sz w:val="32"/>
          <w:szCs w:val="32"/>
        </w:rPr>
        <w:t>，负责与</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归口管理</w:t>
      </w:r>
      <w:r>
        <w:rPr>
          <w:rFonts w:hint="eastAsia" w:ascii="仿宋_GB2312" w:hAnsi="仿宋_GB2312" w:eastAsia="仿宋_GB2312" w:cs="仿宋_GB2312"/>
          <w:color w:val="auto"/>
          <w:sz w:val="32"/>
          <w:szCs w:val="32"/>
        </w:rPr>
        <w:t>部门联系，提供承保上门服务。包括但不限于：上门解释条款、上门收取投保资料、上门指导填写投保单、上门送达保单、发票及其他保险凭证等服务。</w:t>
      </w:r>
    </w:p>
    <w:p>
      <w:pPr>
        <w:keepNext w:val="0"/>
        <w:keepLines w:val="0"/>
        <w:pageBreakBefore w:val="0"/>
        <w:widowControl/>
        <w:numPr>
          <w:ilvl w:val="0"/>
          <w:numId w:val="4"/>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原则上不得随意更换专项服务小组成员、24小时报案电话和传真；如需更换，应书面报经</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同意后方可更换。</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outlineLvl w:val="1"/>
        <w:rPr>
          <w:rFonts w:ascii="楷体" w:hAnsi="楷体" w:eastAsia="楷体" w:cs="仿宋_GB2312"/>
          <w:color w:val="auto"/>
          <w:sz w:val="32"/>
          <w:szCs w:val="32"/>
        </w:rPr>
      </w:pPr>
      <w:bookmarkStart w:id="14" w:name="_Toc16168675"/>
      <w:bookmarkStart w:id="15" w:name="_Toc12868020"/>
      <w:r>
        <w:rPr>
          <w:rFonts w:hint="eastAsia" w:ascii="楷体" w:hAnsi="楷体" w:eastAsia="楷体" w:cs="仿宋_GB2312"/>
          <w:color w:val="auto"/>
          <w:sz w:val="32"/>
          <w:szCs w:val="32"/>
        </w:rPr>
        <w:t>（二）其他</w:t>
      </w:r>
      <w:bookmarkEnd w:id="14"/>
      <w:bookmarkEnd w:id="15"/>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应确保24小时报案电话和传真畅通，随时接受被</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的出险报案。</w:t>
      </w:r>
    </w:p>
    <w:p>
      <w:pPr>
        <w:spacing w:after="0" w:line="560" w:lineRule="exact"/>
        <w:ind w:firstLine="640" w:firstLineChars="200"/>
        <w:jc w:val="both"/>
        <w:outlineLvl w:val="0"/>
        <w:rPr>
          <w:rFonts w:ascii="黑体" w:hAnsi="黑体" w:eastAsia="黑体" w:cs="仿宋_GB2312"/>
          <w:color w:val="auto"/>
          <w:sz w:val="32"/>
          <w:szCs w:val="32"/>
        </w:rPr>
      </w:pPr>
      <w:bookmarkStart w:id="16" w:name="_Toc16168676"/>
      <w:bookmarkStart w:id="17" w:name="_Toc12868021"/>
      <w:r>
        <w:rPr>
          <w:rFonts w:hint="eastAsia" w:ascii="黑体" w:hAnsi="黑体" w:eastAsia="黑体" w:cs="仿宋_GB2312"/>
          <w:color w:val="auto"/>
          <w:sz w:val="32"/>
          <w:szCs w:val="32"/>
        </w:rPr>
        <w:t>五、项目实施要求</w:t>
      </w:r>
      <w:bookmarkEnd w:id="16"/>
      <w:bookmarkEnd w:id="17"/>
    </w:p>
    <w:p>
      <w:pPr>
        <w:numPr>
          <w:ilvl w:val="0"/>
          <w:numId w:val="5"/>
        </w:numPr>
        <w:spacing w:after="0" w:line="560" w:lineRule="exact"/>
        <w:ind w:left="0" w:leftChars="0" w:firstLine="420" w:firstLineChars="0"/>
        <w:jc w:val="both"/>
        <w:outlineLvl w:val="1"/>
        <w:rPr>
          <w:rFonts w:ascii="仿宋_GB2312" w:hAnsi="仿宋_GB2312" w:eastAsia="仿宋_GB2312" w:cs="仿宋_GB2312"/>
          <w:color w:val="auto"/>
          <w:sz w:val="32"/>
          <w:szCs w:val="32"/>
        </w:rPr>
      </w:pPr>
      <w:bookmarkStart w:id="18" w:name="_Toc12868023"/>
      <w:bookmarkStart w:id="19" w:name="_Toc16168677"/>
      <w:r>
        <w:rPr>
          <w:rFonts w:hint="eastAsia" w:ascii="楷体" w:hAnsi="楷体" w:eastAsia="楷体" w:cs="仿宋_GB2312"/>
          <w:color w:val="auto"/>
          <w:sz w:val="32"/>
          <w:szCs w:val="32"/>
        </w:rPr>
        <w:t>工作时间和范围</w:t>
      </w:r>
      <w:bookmarkEnd w:id="18"/>
      <w:bookmarkEnd w:id="19"/>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设立24小时全天候服务专线，受理承保车辆的事故报案和理赔报案。</w:t>
      </w:r>
    </w:p>
    <w:p>
      <w:pPr>
        <w:numPr>
          <w:ilvl w:val="0"/>
          <w:numId w:val="5"/>
        </w:numPr>
        <w:spacing w:after="0" w:line="560" w:lineRule="exact"/>
        <w:ind w:left="0" w:leftChars="0" w:firstLine="420" w:firstLineChars="0"/>
        <w:jc w:val="both"/>
        <w:outlineLvl w:val="1"/>
        <w:rPr>
          <w:rFonts w:ascii="楷体" w:hAnsi="楷体" w:eastAsia="楷体" w:cs="仿宋_GB2312"/>
          <w:color w:val="auto"/>
          <w:sz w:val="32"/>
          <w:szCs w:val="32"/>
        </w:rPr>
      </w:pPr>
      <w:bookmarkStart w:id="20" w:name="_Toc16168678"/>
      <w:bookmarkStart w:id="21" w:name="_Toc12868024"/>
      <w:r>
        <w:rPr>
          <w:rFonts w:hint="eastAsia" w:ascii="楷体" w:hAnsi="楷体" w:eastAsia="楷体" w:cs="仿宋_GB2312"/>
          <w:color w:val="auto"/>
          <w:sz w:val="32"/>
          <w:szCs w:val="32"/>
        </w:rPr>
        <w:t>服务标准、流程及操作要求</w:t>
      </w:r>
      <w:bookmarkEnd w:id="20"/>
      <w:bookmarkEnd w:id="21"/>
    </w:p>
    <w:p>
      <w:pPr>
        <w:keepNext w:val="0"/>
        <w:keepLines w:val="0"/>
        <w:pageBreakBefore w:val="0"/>
        <w:widowControl/>
        <w:numPr>
          <w:ilvl w:val="0"/>
          <w:numId w:val="6"/>
        </w:numPr>
        <w:kinsoku/>
        <w:wordWrap/>
        <w:overflowPunct/>
        <w:topLinePunct w:val="0"/>
        <w:autoSpaceDE/>
        <w:autoSpaceDN/>
        <w:bidi w:val="0"/>
        <w:adjustRightInd w:val="0"/>
        <w:snapToGrid w:val="0"/>
        <w:spacing w:after="0" w:line="560" w:lineRule="exact"/>
        <w:ind w:left="0" w:leftChars="0" w:firstLine="480" w:firstLineChars="200"/>
        <w:jc w:val="left"/>
        <w:textAlignment w:val="auto"/>
        <w:rPr>
          <w:rFonts w:ascii="仿宋_GB2312" w:hAnsi="仿宋_GB2312" w:eastAsia="仿宋_GB2312" w:cs="仿宋_GB2312"/>
          <w:color w:val="auto"/>
          <w:sz w:val="32"/>
          <w:szCs w:val="32"/>
        </w:rPr>
      </w:pPr>
      <w:r>
        <w:rPr>
          <w:rFonts w:ascii="宋体" w:hAnsi="宋体" w:eastAsia="宋体" w:cs="宋体"/>
          <w:sz w:val="24"/>
          <w:szCs w:val="24"/>
        </w:rPr>
        <w:t>★</w:t>
      </w:r>
      <w:r>
        <w:rPr>
          <w:rFonts w:hint="eastAsia" w:ascii="仿宋_GB2312" w:hAnsi="仿宋_GB2312" w:eastAsia="仿宋_GB2312" w:cs="仿宋_GB2312"/>
          <w:color w:val="auto"/>
          <w:sz w:val="32"/>
          <w:szCs w:val="32"/>
          <w:u w:val="single"/>
        </w:rPr>
        <w:t>新增车辆按照</w:t>
      </w:r>
      <w:r>
        <w:rPr>
          <w:rFonts w:hint="eastAsia" w:ascii="仿宋_GB2312" w:hAnsi="仿宋_GB2312" w:eastAsia="仿宋_GB2312" w:cs="仿宋_GB2312"/>
          <w:color w:val="auto"/>
          <w:sz w:val="32"/>
          <w:szCs w:val="32"/>
          <w:u w:val="single"/>
          <w:lang w:val="en-US" w:eastAsia="zh-CN"/>
        </w:rPr>
        <w:t>中标的自主定价系数</w:t>
      </w:r>
      <w:r>
        <w:rPr>
          <w:rFonts w:hint="eastAsia" w:ascii="仿宋_GB2312" w:hAnsi="仿宋_GB2312" w:eastAsia="仿宋_GB2312" w:cs="仿宋_GB2312"/>
          <w:color w:val="auto"/>
          <w:sz w:val="32"/>
          <w:szCs w:val="32"/>
          <w:u w:val="single"/>
        </w:rPr>
        <w:t>执行</w:t>
      </w:r>
      <w:r>
        <w:rPr>
          <w:rFonts w:hint="eastAsia" w:ascii="仿宋_GB2312" w:hAnsi="仿宋_GB2312" w:eastAsia="仿宋_GB2312" w:cs="仿宋_GB2312"/>
          <w:color w:val="auto"/>
          <w:sz w:val="32"/>
          <w:szCs w:val="32"/>
        </w:rPr>
        <w:t>。</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60" w:lineRule="exact"/>
        <w:ind w:left="0" w:leftChars="0" w:firstLine="480" w:firstLineChars="200"/>
        <w:jc w:val="left"/>
        <w:textAlignment w:val="auto"/>
        <w:rPr>
          <w:rFonts w:ascii="仿宋_GB2312" w:hAnsi="仿宋_GB2312" w:eastAsia="仿宋_GB2312" w:cs="仿宋_GB2312"/>
          <w:color w:val="auto"/>
          <w:sz w:val="32"/>
          <w:szCs w:val="32"/>
          <w:u w:val="single"/>
        </w:rPr>
      </w:pPr>
      <w:r>
        <w:rPr>
          <w:rFonts w:ascii="宋体" w:hAnsi="宋体" w:eastAsia="宋体" w:cs="宋体"/>
          <w:sz w:val="24"/>
          <w:szCs w:val="24"/>
        </w:rPr>
        <w:t>★</w:t>
      </w:r>
      <w:r>
        <w:rPr>
          <w:rFonts w:hint="eastAsia" w:ascii="仿宋_GB2312" w:hAnsi="仿宋_GB2312" w:eastAsia="仿宋_GB2312" w:cs="仿宋_GB2312"/>
          <w:color w:val="auto"/>
          <w:sz w:val="32"/>
          <w:szCs w:val="32"/>
          <w:u w:val="single"/>
        </w:rPr>
        <w:t>每年需对</w:t>
      </w:r>
      <w:r>
        <w:rPr>
          <w:rFonts w:hint="eastAsia" w:ascii="仿宋_GB2312" w:hAnsi="仿宋_GB2312" w:eastAsia="仿宋_GB2312" w:cs="仿宋_GB2312"/>
          <w:color w:val="auto"/>
          <w:sz w:val="32"/>
          <w:szCs w:val="32"/>
          <w:u w:val="single"/>
          <w:lang w:eastAsia="zh-CN"/>
        </w:rPr>
        <w:t>采购单位</w:t>
      </w:r>
      <w:r>
        <w:rPr>
          <w:rFonts w:hint="eastAsia" w:ascii="仿宋_GB2312" w:hAnsi="仿宋_GB2312" w:eastAsia="仿宋_GB2312" w:cs="仿宋_GB2312"/>
          <w:color w:val="auto"/>
          <w:sz w:val="32"/>
          <w:szCs w:val="32"/>
          <w:u w:val="single"/>
        </w:rPr>
        <w:t>无偿提供两次车险知识培训。</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在定点保险期间，须在本月末提前向</w:t>
      </w:r>
      <w:r>
        <w:rPr>
          <w:rFonts w:hint="eastAsia" w:ascii="仿宋_GB2312" w:hAnsi="仿宋_GB2312" w:eastAsia="仿宋_GB2312" w:cs="仿宋_GB2312"/>
          <w:color w:val="auto"/>
          <w:sz w:val="32"/>
          <w:szCs w:val="32"/>
          <w:lang w:eastAsia="zh-CN"/>
        </w:rPr>
        <w:t>采购单位</w:t>
      </w:r>
      <w:r>
        <w:rPr>
          <w:rFonts w:hint="eastAsia" w:ascii="仿宋_GB2312" w:hAnsi="仿宋_GB2312" w:eastAsia="仿宋_GB2312" w:cs="仿宋_GB2312"/>
          <w:color w:val="auto"/>
          <w:sz w:val="32"/>
          <w:szCs w:val="32"/>
        </w:rPr>
        <w:t>提供下月购置保险车辆的保单及发票。</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提供上门办理承保和理赔的一切手续，并列明具体的服务内容、办理程序和具体措施。</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提供防灾防损、安全检查、安全培训等风险防范方面的具体服务内容。</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提供保险提示、提醒服务等具体服务内容。</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建立完整、系统的承保和理赔车辆数据库，建立用户档案和定期回访制度，不断改进服务质量。</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及时提供事故车辆的零部件报价、正常维修的零部件报价和相关技术咨询服务。</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对保险车辆发生伤人事故的抢救等提供担保服务，并列明具体内容。</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无偿提供援油、故障排除、拖车等救助服务，并列明具体内容。</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提供用户服务手册。《手册》应写明承诺服务项目和措施等主要内容。</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560" w:lineRule="exact"/>
        <w:ind w:left="0" w:leftChars="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鉴于我司的付款要求（先开保单后付款）能做好应对措施。</w:t>
      </w:r>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outlineLvl w:val="0"/>
        <w:rPr>
          <w:rFonts w:ascii="黑体" w:hAnsi="黑体" w:eastAsia="黑体" w:cs="仿宋_GB2312"/>
          <w:color w:val="auto"/>
          <w:sz w:val="32"/>
          <w:szCs w:val="32"/>
        </w:rPr>
      </w:pPr>
      <w:bookmarkStart w:id="22" w:name="_Toc16168679"/>
      <w:bookmarkStart w:id="23" w:name="_Toc12868027"/>
      <w:r>
        <w:rPr>
          <w:rFonts w:hint="eastAsia" w:ascii="黑体" w:hAnsi="黑体" w:eastAsia="黑体" w:cs="仿宋_GB2312"/>
          <w:color w:val="auto"/>
          <w:sz w:val="32"/>
          <w:szCs w:val="32"/>
        </w:rPr>
        <w:t>六、考核标准</w:t>
      </w:r>
      <w:bookmarkEnd w:id="22"/>
      <w:bookmarkEnd w:id="23"/>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outlineLvl w:val="1"/>
        <w:rPr>
          <w:rFonts w:ascii="楷体" w:hAnsi="楷体" w:eastAsia="楷体" w:cs="仿宋_GB2312"/>
          <w:color w:val="auto"/>
          <w:sz w:val="32"/>
          <w:szCs w:val="32"/>
        </w:rPr>
      </w:pPr>
      <w:bookmarkStart w:id="24" w:name="_Toc12868028"/>
      <w:bookmarkStart w:id="25" w:name="_Toc16168680"/>
      <w:bookmarkStart w:id="26" w:name="_Toc3921"/>
      <w:r>
        <w:rPr>
          <w:rFonts w:hint="eastAsia" w:ascii="楷体" w:hAnsi="楷体" w:eastAsia="楷体" w:cs="仿宋_GB2312"/>
          <w:color w:val="auto"/>
          <w:sz w:val="32"/>
          <w:szCs w:val="32"/>
        </w:rPr>
        <w:t>（一）质量考核标准</w:t>
      </w:r>
      <w:bookmarkEnd w:id="24"/>
      <w:bookmarkEnd w:id="25"/>
    </w:p>
    <w:p>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谈判单位</w:t>
      </w:r>
      <w:r>
        <w:rPr>
          <w:rFonts w:hint="eastAsia" w:ascii="仿宋_GB2312" w:hAnsi="仿宋_GB2312" w:eastAsia="仿宋_GB2312" w:cs="仿宋_GB2312"/>
          <w:color w:val="auto"/>
          <w:sz w:val="32"/>
          <w:szCs w:val="32"/>
        </w:rPr>
        <w:t>须按以下标准执行（包括但不限于），具体详见下表：</w:t>
      </w:r>
      <w:bookmarkEnd w:id="26"/>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050"/>
        <w:gridCol w:w="1455"/>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4"/>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质量考核标准表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考核内容</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处罚结果</w:t>
            </w:r>
          </w:p>
        </w:tc>
        <w:tc>
          <w:tcPr>
            <w:tcW w:w="267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未按要求设立专项服务小组，并未按要求履行职责的。</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谈判单位</w:t>
            </w:r>
            <w:r>
              <w:rPr>
                <w:rFonts w:hint="eastAsia" w:asciiTheme="minorEastAsia" w:hAnsiTheme="minorEastAsia" w:eastAsiaTheme="minorEastAsia" w:cstheme="minorEastAsia"/>
                <w:color w:val="auto"/>
                <w:sz w:val="21"/>
                <w:szCs w:val="21"/>
              </w:rPr>
              <w:t>随意更换专项服务小组人员，未向</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报备，或报备资料不符合。</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未按要求对</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无偿提供两次车险知识培训。</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未按要求在月末向</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提供下月购置保险车辆的保单及发票。</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未按要求无偿提供援油、故障排除、拖车等救助服务。</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未及时提供事故车辆的零部件报价、正常维修的零部件报价和相关技术咨询服务。</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4050" w:type="dxa"/>
            <w:vAlign w:val="center"/>
          </w:tcPr>
          <w:p>
            <w:pPr>
              <w:spacing w:after="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未按要求提供上门办理承保和理赔的</w:t>
            </w:r>
            <w:r>
              <w:rPr>
                <w:rFonts w:hint="eastAsia" w:asciiTheme="minorEastAsia" w:hAnsiTheme="minorEastAsia" w:eastAsiaTheme="minorEastAsia" w:cstheme="minorEastAsia"/>
                <w:color w:val="auto"/>
                <w:sz w:val="21"/>
                <w:szCs w:val="21"/>
                <w:lang w:eastAsia="zh-CN"/>
              </w:rPr>
              <w:t>。</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车辆未按照</w:t>
            </w:r>
            <w:r>
              <w:rPr>
                <w:rFonts w:hint="eastAsia" w:asciiTheme="minorEastAsia" w:hAnsiTheme="minorEastAsia" w:eastAsiaTheme="minorEastAsia" w:cstheme="minorEastAsia"/>
                <w:color w:val="auto"/>
                <w:sz w:val="21"/>
                <w:szCs w:val="21"/>
                <w:lang w:val="en-US" w:eastAsia="zh-CN"/>
              </w:rPr>
              <w:t>中标的</w:t>
            </w:r>
            <w:bookmarkStart w:id="29" w:name="_GoBack"/>
            <w:bookmarkEnd w:id="29"/>
            <w:r>
              <w:rPr>
                <w:rFonts w:hint="eastAsia" w:asciiTheme="minorEastAsia" w:hAnsiTheme="minorEastAsia" w:eastAsiaTheme="minorEastAsia" w:cstheme="minorEastAsia"/>
                <w:color w:val="auto"/>
                <w:sz w:val="21"/>
                <w:szCs w:val="21"/>
                <w:lang w:val="en-US" w:eastAsia="zh-CN"/>
              </w:rPr>
              <w:t>自主定价系数</w:t>
            </w:r>
            <w:r>
              <w:rPr>
                <w:rFonts w:hint="eastAsia" w:asciiTheme="minorEastAsia" w:hAnsiTheme="minorEastAsia" w:eastAsiaTheme="minorEastAsia" w:cstheme="minorEastAsia"/>
                <w:color w:val="auto"/>
                <w:sz w:val="21"/>
                <w:szCs w:val="21"/>
              </w:rPr>
              <w:t>执行的。</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pPr>
              <w:spacing w:after="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4050"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未能响应</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的出险报案。</w:t>
            </w:r>
          </w:p>
        </w:tc>
        <w:tc>
          <w:tcPr>
            <w:tcW w:w="145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25分/次</w:t>
            </w:r>
          </w:p>
        </w:tc>
        <w:tc>
          <w:tcPr>
            <w:tcW w:w="267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超过</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次，</w:t>
            </w:r>
            <w:r>
              <w:rPr>
                <w:rFonts w:hint="eastAsia" w:asciiTheme="minorEastAsia" w:hAnsiTheme="minorEastAsia" w:eastAsiaTheme="minorEastAsia" w:cstheme="minorEastAsia"/>
                <w:color w:val="auto"/>
                <w:sz w:val="21"/>
                <w:szCs w:val="21"/>
                <w:lang w:eastAsia="zh-CN"/>
              </w:rPr>
              <w:t>采购单位</w:t>
            </w:r>
            <w:r>
              <w:rPr>
                <w:rFonts w:hint="eastAsia" w:asciiTheme="minorEastAsia" w:hAnsiTheme="minorEastAsia" w:eastAsiaTheme="minorEastAsia" w:cstheme="minorEastAsia"/>
                <w:color w:val="auto"/>
                <w:sz w:val="21"/>
                <w:szCs w:val="21"/>
              </w:rPr>
              <w:t>有权视情况解除合同</w:t>
            </w:r>
          </w:p>
        </w:tc>
      </w:tr>
    </w:tbl>
    <w:p>
      <w:pPr>
        <w:spacing w:after="0" w:line="560" w:lineRule="exact"/>
        <w:ind w:firstLine="640" w:firstLineChars="200"/>
        <w:jc w:val="both"/>
        <w:outlineLvl w:val="2"/>
        <w:rPr>
          <w:rFonts w:ascii="楷体_GB2312" w:hAnsi="宋体" w:eastAsia="楷体_GB2312" w:cs="宋体"/>
          <w:bCs/>
          <w:color w:val="auto"/>
          <w:sz w:val="32"/>
          <w:szCs w:val="32"/>
        </w:rPr>
      </w:pPr>
      <w:bookmarkStart w:id="27" w:name="_Toc12868029"/>
      <w:bookmarkStart w:id="28" w:name="_Toc16168681"/>
      <w:r>
        <w:rPr>
          <w:rFonts w:hint="eastAsia" w:ascii="仿宋_GB2312" w:hAnsi="宋体" w:eastAsia="仿宋_GB2312" w:cs="宋体"/>
          <w:color w:val="auto"/>
          <w:sz w:val="32"/>
          <w:szCs w:val="32"/>
        </w:rPr>
        <w:t>2.考核支付表</w:t>
      </w:r>
      <w:bookmarkEnd w:id="27"/>
      <w:bookmarkEnd w:id="28"/>
    </w:p>
    <w:p>
      <w:pPr>
        <w:spacing w:after="0" w:line="560" w:lineRule="exact"/>
        <w:ind w:firstLine="640" w:firstLineChars="200"/>
        <w:jc w:val="both"/>
        <w:rPr>
          <w:rFonts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谈判单位</w:t>
      </w:r>
      <w:r>
        <w:rPr>
          <w:rFonts w:hint="eastAsia" w:ascii="仿宋_GB2312" w:hAnsi="宋体" w:eastAsia="仿宋_GB2312" w:cs="宋体"/>
          <w:color w:val="auto"/>
          <w:sz w:val="32"/>
          <w:szCs w:val="32"/>
        </w:rPr>
        <w:t>每季度的检查考评得分为以100分为基础分减去</w:t>
      </w:r>
      <w:r>
        <w:rPr>
          <w:rFonts w:hint="eastAsia" w:ascii="仿宋_GB2312" w:hAnsi="宋体" w:eastAsia="仿宋_GB2312" w:cs="宋体"/>
          <w:color w:val="auto"/>
          <w:sz w:val="32"/>
          <w:szCs w:val="32"/>
          <w:lang w:eastAsia="zh-CN"/>
        </w:rPr>
        <w:t>谈判单位</w:t>
      </w:r>
      <w:r>
        <w:rPr>
          <w:rFonts w:hint="eastAsia" w:ascii="仿宋_GB2312" w:hAnsi="宋体" w:eastAsia="仿宋_GB2312" w:cs="宋体"/>
          <w:color w:val="auto"/>
          <w:sz w:val="32"/>
          <w:szCs w:val="32"/>
        </w:rPr>
        <w:t>当季度的日常检查扣分、不定期检查扣分及其他情况扣分后的分数，具体详见下表：</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4675"/>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60" w:type="dxa"/>
            <w:gridSpan w:val="3"/>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考核支付表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考核等级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考核标准及应用（基础分100分）</w:t>
            </w:r>
          </w:p>
        </w:tc>
        <w:tc>
          <w:tcPr>
            <w:tcW w:w="231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综合考评≥90分，支付比例100%</w:t>
            </w:r>
          </w:p>
        </w:tc>
        <w:tc>
          <w:tcPr>
            <w:tcW w:w="2319" w:type="dxa"/>
            <w:vAlign w:val="center"/>
          </w:tcPr>
          <w:p>
            <w:pPr>
              <w:spacing w:after="0"/>
              <w:jc w:val="center"/>
              <w:rPr>
                <w:rFonts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80分≤综合考评分＜90分，支付比例95%</w:t>
            </w:r>
          </w:p>
        </w:tc>
        <w:tc>
          <w:tcPr>
            <w:tcW w:w="231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扣履约担保金的5%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60分≤综合考评分＜80分，支付比例90%</w:t>
            </w:r>
          </w:p>
        </w:tc>
        <w:tc>
          <w:tcPr>
            <w:tcW w:w="231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扣履约担保金的10%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6"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D级</w:t>
            </w:r>
          </w:p>
        </w:tc>
        <w:tc>
          <w:tcPr>
            <w:tcW w:w="4675"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综合考评分＜60分，支付比例80%</w:t>
            </w:r>
          </w:p>
        </w:tc>
        <w:tc>
          <w:tcPr>
            <w:tcW w:w="2319" w:type="dxa"/>
            <w:vAlign w:val="center"/>
          </w:tcPr>
          <w:p>
            <w:pPr>
              <w:spacing w:after="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扣履约担保金的20%</w:t>
            </w:r>
          </w:p>
        </w:tc>
      </w:tr>
    </w:tbl>
    <w:p>
      <w:pPr>
        <w:spacing w:after="0" w:line="560" w:lineRule="exact"/>
        <w:jc w:val="both"/>
        <w:rPr>
          <w:rFonts w:ascii="仿宋_GB2312" w:hAnsi="仿宋_GB2312" w:eastAsia="仿宋_GB2312" w:cs="仿宋_GB2312"/>
          <w:color w:val="auto"/>
          <w:sz w:val="32"/>
          <w:szCs w:val="32"/>
        </w:rPr>
      </w:pPr>
    </w:p>
    <w:sectPr>
      <w:pgSz w:w="11906" w:h="16838"/>
      <w:pgMar w:top="2098" w:right="1474" w:bottom="1985" w:left="1588" w:header="0" w:footer="158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92C62"/>
    <w:multiLevelType w:val="singleLevel"/>
    <w:tmpl w:val="D3692C62"/>
    <w:lvl w:ilvl="0" w:tentative="0">
      <w:start w:val="1"/>
      <w:numFmt w:val="chineseCounting"/>
      <w:suff w:val="nothing"/>
      <w:lvlText w:val="（%1）"/>
      <w:lvlJc w:val="left"/>
      <w:pPr>
        <w:ind w:left="0" w:firstLine="420"/>
      </w:pPr>
      <w:rPr>
        <w:rFonts w:hint="eastAsia"/>
      </w:rPr>
    </w:lvl>
  </w:abstractNum>
  <w:abstractNum w:abstractNumId="1">
    <w:nsid w:val="F5DC6E69"/>
    <w:multiLevelType w:val="singleLevel"/>
    <w:tmpl w:val="F5DC6E69"/>
    <w:lvl w:ilvl="0" w:tentative="0">
      <w:start w:val="1"/>
      <w:numFmt w:val="decimal"/>
      <w:suff w:val="nothing"/>
      <w:lvlText w:val="%1．"/>
      <w:lvlJc w:val="left"/>
      <w:pPr>
        <w:ind w:left="0" w:firstLine="400"/>
      </w:pPr>
      <w:rPr>
        <w:rFonts w:hint="default"/>
      </w:rPr>
    </w:lvl>
  </w:abstractNum>
  <w:abstractNum w:abstractNumId="2">
    <w:nsid w:val="42311F2F"/>
    <w:multiLevelType w:val="multilevel"/>
    <w:tmpl w:val="42311F2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D7B6353"/>
    <w:multiLevelType w:val="multilevel"/>
    <w:tmpl w:val="6D7B635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88FCDFE"/>
    <w:multiLevelType w:val="singleLevel"/>
    <w:tmpl w:val="788FCDFE"/>
    <w:lvl w:ilvl="0" w:tentative="0">
      <w:start w:val="1"/>
      <w:numFmt w:val="decimal"/>
      <w:suff w:val="nothing"/>
      <w:lvlText w:val="%1．"/>
      <w:lvlJc w:val="left"/>
      <w:pPr>
        <w:ind w:left="-200" w:firstLine="400"/>
      </w:pPr>
      <w:rPr>
        <w:rFonts w:hint="default"/>
      </w:rPr>
    </w:lvl>
  </w:abstractNum>
  <w:abstractNum w:abstractNumId="5">
    <w:nsid w:val="7CDED323"/>
    <w:multiLevelType w:val="singleLevel"/>
    <w:tmpl w:val="7CDED323"/>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118D9"/>
    <w:rsid w:val="0002505A"/>
    <w:rsid w:val="000575A2"/>
    <w:rsid w:val="00070349"/>
    <w:rsid w:val="000833F2"/>
    <w:rsid w:val="000916FA"/>
    <w:rsid w:val="000921AD"/>
    <w:rsid w:val="000A4ECA"/>
    <w:rsid w:val="000B0757"/>
    <w:rsid w:val="000C44D0"/>
    <w:rsid w:val="000C7A16"/>
    <w:rsid w:val="000F3C83"/>
    <w:rsid w:val="00100ADE"/>
    <w:rsid w:val="00101885"/>
    <w:rsid w:val="00103959"/>
    <w:rsid w:val="00114B8F"/>
    <w:rsid w:val="00127393"/>
    <w:rsid w:val="00167268"/>
    <w:rsid w:val="001708C9"/>
    <w:rsid w:val="00176491"/>
    <w:rsid w:val="001D5ACA"/>
    <w:rsid w:val="001E6188"/>
    <w:rsid w:val="00215492"/>
    <w:rsid w:val="00242E68"/>
    <w:rsid w:val="00256F69"/>
    <w:rsid w:val="00256F70"/>
    <w:rsid w:val="00264C1F"/>
    <w:rsid w:val="002E1B17"/>
    <w:rsid w:val="003011EC"/>
    <w:rsid w:val="003035BE"/>
    <w:rsid w:val="00306BED"/>
    <w:rsid w:val="0031665C"/>
    <w:rsid w:val="00323B43"/>
    <w:rsid w:val="003566FA"/>
    <w:rsid w:val="00361A0E"/>
    <w:rsid w:val="003B508F"/>
    <w:rsid w:val="003D03D7"/>
    <w:rsid w:val="003D37D8"/>
    <w:rsid w:val="003D471F"/>
    <w:rsid w:val="003E0561"/>
    <w:rsid w:val="00407726"/>
    <w:rsid w:val="0041064C"/>
    <w:rsid w:val="00410AB4"/>
    <w:rsid w:val="00413B8A"/>
    <w:rsid w:val="00416A04"/>
    <w:rsid w:val="00422A28"/>
    <w:rsid w:val="00426133"/>
    <w:rsid w:val="004358AB"/>
    <w:rsid w:val="00443E0D"/>
    <w:rsid w:val="00463183"/>
    <w:rsid w:val="004709DC"/>
    <w:rsid w:val="004A1EE6"/>
    <w:rsid w:val="004E786B"/>
    <w:rsid w:val="004F1866"/>
    <w:rsid w:val="005007A7"/>
    <w:rsid w:val="005058C2"/>
    <w:rsid w:val="00510F1C"/>
    <w:rsid w:val="0052743B"/>
    <w:rsid w:val="005341A3"/>
    <w:rsid w:val="00535C4E"/>
    <w:rsid w:val="00550B43"/>
    <w:rsid w:val="0055193E"/>
    <w:rsid w:val="00561DBB"/>
    <w:rsid w:val="00583502"/>
    <w:rsid w:val="005837FF"/>
    <w:rsid w:val="0059003A"/>
    <w:rsid w:val="00592D42"/>
    <w:rsid w:val="005A6551"/>
    <w:rsid w:val="005B0FA5"/>
    <w:rsid w:val="005B5EC7"/>
    <w:rsid w:val="005E285B"/>
    <w:rsid w:val="006021C8"/>
    <w:rsid w:val="0061451E"/>
    <w:rsid w:val="006165F4"/>
    <w:rsid w:val="00620821"/>
    <w:rsid w:val="006349A3"/>
    <w:rsid w:val="00642720"/>
    <w:rsid w:val="00687349"/>
    <w:rsid w:val="006C268B"/>
    <w:rsid w:val="006C7657"/>
    <w:rsid w:val="006D3099"/>
    <w:rsid w:val="006D55B6"/>
    <w:rsid w:val="00701B41"/>
    <w:rsid w:val="0072314B"/>
    <w:rsid w:val="0073392B"/>
    <w:rsid w:val="00742E6C"/>
    <w:rsid w:val="00743083"/>
    <w:rsid w:val="00745D79"/>
    <w:rsid w:val="007551B5"/>
    <w:rsid w:val="00770E7D"/>
    <w:rsid w:val="00775822"/>
    <w:rsid w:val="0079099D"/>
    <w:rsid w:val="007B500B"/>
    <w:rsid w:val="007C29B8"/>
    <w:rsid w:val="007C581D"/>
    <w:rsid w:val="007D7838"/>
    <w:rsid w:val="007E0DFF"/>
    <w:rsid w:val="007F5173"/>
    <w:rsid w:val="007F626F"/>
    <w:rsid w:val="0080038C"/>
    <w:rsid w:val="00845AC9"/>
    <w:rsid w:val="00865062"/>
    <w:rsid w:val="00882B32"/>
    <w:rsid w:val="008925F7"/>
    <w:rsid w:val="008A73A8"/>
    <w:rsid w:val="008B1DC9"/>
    <w:rsid w:val="008B7726"/>
    <w:rsid w:val="008C13B7"/>
    <w:rsid w:val="008C5BDD"/>
    <w:rsid w:val="008F33ED"/>
    <w:rsid w:val="009176F3"/>
    <w:rsid w:val="00925D0F"/>
    <w:rsid w:val="00930E1F"/>
    <w:rsid w:val="009351E7"/>
    <w:rsid w:val="009549EC"/>
    <w:rsid w:val="00954DC7"/>
    <w:rsid w:val="009842B5"/>
    <w:rsid w:val="009843DD"/>
    <w:rsid w:val="0099474E"/>
    <w:rsid w:val="00996354"/>
    <w:rsid w:val="009972B9"/>
    <w:rsid w:val="00997CA0"/>
    <w:rsid w:val="00A06A1F"/>
    <w:rsid w:val="00A11C34"/>
    <w:rsid w:val="00A20625"/>
    <w:rsid w:val="00A34289"/>
    <w:rsid w:val="00A447CB"/>
    <w:rsid w:val="00A55F15"/>
    <w:rsid w:val="00A735C6"/>
    <w:rsid w:val="00A73FA1"/>
    <w:rsid w:val="00A75EBB"/>
    <w:rsid w:val="00A968CF"/>
    <w:rsid w:val="00AA6509"/>
    <w:rsid w:val="00AC0A0B"/>
    <w:rsid w:val="00AD56B1"/>
    <w:rsid w:val="00AF4B66"/>
    <w:rsid w:val="00AF5129"/>
    <w:rsid w:val="00AF70DE"/>
    <w:rsid w:val="00B219DA"/>
    <w:rsid w:val="00B5124F"/>
    <w:rsid w:val="00B55C91"/>
    <w:rsid w:val="00B75115"/>
    <w:rsid w:val="00BA6276"/>
    <w:rsid w:val="00BC4803"/>
    <w:rsid w:val="00BD0886"/>
    <w:rsid w:val="00BD60A2"/>
    <w:rsid w:val="00BF4451"/>
    <w:rsid w:val="00C20CD6"/>
    <w:rsid w:val="00C316F9"/>
    <w:rsid w:val="00C40824"/>
    <w:rsid w:val="00C44488"/>
    <w:rsid w:val="00C67EE5"/>
    <w:rsid w:val="00C870E1"/>
    <w:rsid w:val="00C871A3"/>
    <w:rsid w:val="00C91144"/>
    <w:rsid w:val="00CA0F33"/>
    <w:rsid w:val="00CA1392"/>
    <w:rsid w:val="00CB742D"/>
    <w:rsid w:val="00CC1221"/>
    <w:rsid w:val="00CD3B38"/>
    <w:rsid w:val="00CF75F7"/>
    <w:rsid w:val="00D30144"/>
    <w:rsid w:val="00D31D50"/>
    <w:rsid w:val="00D44EC1"/>
    <w:rsid w:val="00D551AC"/>
    <w:rsid w:val="00D553AD"/>
    <w:rsid w:val="00D858A4"/>
    <w:rsid w:val="00D87A6E"/>
    <w:rsid w:val="00DA1FAF"/>
    <w:rsid w:val="00DA31C6"/>
    <w:rsid w:val="00DB569B"/>
    <w:rsid w:val="00DB7769"/>
    <w:rsid w:val="00DC001C"/>
    <w:rsid w:val="00DC6DE8"/>
    <w:rsid w:val="00DD50F9"/>
    <w:rsid w:val="00E40B48"/>
    <w:rsid w:val="00E56F5D"/>
    <w:rsid w:val="00E93DE1"/>
    <w:rsid w:val="00E9548A"/>
    <w:rsid w:val="00ED4BAD"/>
    <w:rsid w:val="00ED75F5"/>
    <w:rsid w:val="00EE1BB0"/>
    <w:rsid w:val="00EE561E"/>
    <w:rsid w:val="00F11332"/>
    <w:rsid w:val="00F16138"/>
    <w:rsid w:val="00F32D69"/>
    <w:rsid w:val="00F3475B"/>
    <w:rsid w:val="00F44225"/>
    <w:rsid w:val="00F54046"/>
    <w:rsid w:val="00F609B5"/>
    <w:rsid w:val="00F61B60"/>
    <w:rsid w:val="00F62EFC"/>
    <w:rsid w:val="00F65E27"/>
    <w:rsid w:val="00F93F9C"/>
    <w:rsid w:val="00FA2B53"/>
    <w:rsid w:val="00FA4ABC"/>
    <w:rsid w:val="00FB151B"/>
    <w:rsid w:val="00FB28BD"/>
    <w:rsid w:val="00FD2FCA"/>
    <w:rsid w:val="00FD7729"/>
    <w:rsid w:val="00FE108C"/>
    <w:rsid w:val="00FF75B7"/>
    <w:rsid w:val="0109164E"/>
    <w:rsid w:val="020E5689"/>
    <w:rsid w:val="02401CC3"/>
    <w:rsid w:val="0255531F"/>
    <w:rsid w:val="03B075CB"/>
    <w:rsid w:val="08005F74"/>
    <w:rsid w:val="081F6351"/>
    <w:rsid w:val="096C2387"/>
    <w:rsid w:val="0A014D91"/>
    <w:rsid w:val="0D3D1ADE"/>
    <w:rsid w:val="0D4E22A6"/>
    <w:rsid w:val="0D8761A1"/>
    <w:rsid w:val="0DE1341B"/>
    <w:rsid w:val="114146A1"/>
    <w:rsid w:val="11F917C7"/>
    <w:rsid w:val="144F0C2C"/>
    <w:rsid w:val="145D10CD"/>
    <w:rsid w:val="157823F1"/>
    <w:rsid w:val="163803E9"/>
    <w:rsid w:val="174A4C07"/>
    <w:rsid w:val="178A26B7"/>
    <w:rsid w:val="18033A7C"/>
    <w:rsid w:val="18C36E9B"/>
    <w:rsid w:val="192621D1"/>
    <w:rsid w:val="19562344"/>
    <w:rsid w:val="1B9D7637"/>
    <w:rsid w:val="1C0970A3"/>
    <w:rsid w:val="1DCB7157"/>
    <w:rsid w:val="1DCE579C"/>
    <w:rsid w:val="248152D0"/>
    <w:rsid w:val="25276842"/>
    <w:rsid w:val="26E8714F"/>
    <w:rsid w:val="27961059"/>
    <w:rsid w:val="2D386231"/>
    <w:rsid w:val="2D8924A3"/>
    <w:rsid w:val="36D811F0"/>
    <w:rsid w:val="37283C7D"/>
    <w:rsid w:val="38597E1E"/>
    <w:rsid w:val="38FF2CDC"/>
    <w:rsid w:val="39F23DF1"/>
    <w:rsid w:val="3B5373FB"/>
    <w:rsid w:val="3B980B26"/>
    <w:rsid w:val="3D0649E3"/>
    <w:rsid w:val="3D987F64"/>
    <w:rsid w:val="3EEA6F4E"/>
    <w:rsid w:val="41BD339C"/>
    <w:rsid w:val="42920B46"/>
    <w:rsid w:val="42F446DF"/>
    <w:rsid w:val="43741B0B"/>
    <w:rsid w:val="439F6D70"/>
    <w:rsid w:val="4B332D99"/>
    <w:rsid w:val="4CEB5E46"/>
    <w:rsid w:val="50F07B15"/>
    <w:rsid w:val="51DB6D0D"/>
    <w:rsid w:val="521765FF"/>
    <w:rsid w:val="53365140"/>
    <w:rsid w:val="5578787F"/>
    <w:rsid w:val="55F97B2B"/>
    <w:rsid w:val="561653EC"/>
    <w:rsid w:val="59DB5767"/>
    <w:rsid w:val="5AF043D6"/>
    <w:rsid w:val="5BB03D14"/>
    <w:rsid w:val="5DD72873"/>
    <w:rsid w:val="5DEC4AAD"/>
    <w:rsid w:val="5E134AA4"/>
    <w:rsid w:val="627D0A62"/>
    <w:rsid w:val="63205AF1"/>
    <w:rsid w:val="645A4332"/>
    <w:rsid w:val="69332AD1"/>
    <w:rsid w:val="6CC24738"/>
    <w:rsid w:val="6E7F561A"/>
    <w:rsid w:val="707B1DA3"/>
    <w:rsid w:val="71470CB8"/>
    <w:rsid w:val="730D55AC"/>
    <w:rsid w:val="748245CE"/>
    <w:rsid w:val="74E81499"/>
    <w:rsid w:val="74F13375"/>
    <w:rsid w:val="75043EC4"/>
    <w:rsid w:val="751E3FEA"/>
    <w:rsid w:val="7721296A"/>
    <w:rsid w:val="7816516C"/>
    <w:rsid w:val="78443059"/>
    <w:rsid w:val="7A123FB5"/>
    <w:rsid w:val="7A2E54E7"/>
    <w:rsid w:val="7BE24BEE"/>
    <w:rsid w:val="7D2565E9"/>
    <w:rsid w:val="7F495458"/>
    <w:rsid w:val="7F6260BC"/>
    <w:rsid w:val="7FC00783"/>
    <w:rsid w:val="7FC76846"/>
    <w:rsid w:val="7FFC7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toc 3"/>
    <w:basedOn w:val="1"/>
    <w:next w:val="1"/>
    <w:unhideWhenUsed/>
    <w:qFormat/>
    <w:uiPriority w:val="39"/>
    <w:pPr>
      <w:adjustRightInd/>
      <w:snapToGrid/>
      <w:spacing w:after="100" w:line="276" w:lineRule="auto"/>
      <w:ind w:left="440"/>
    </w:pPr>
    <w:rPr>
      <w:rFonts w:asciiTheme="minorHAnsi" w:hAnsiTheme="minorHAnsi" w:eastAsiaTheme="minorEastAsia"/>
    </w:rPr>
  </w:style>
  <w:style w:type="paragraph" w:styleId="5">
    <w:name w:val="Balloon Text"/>
    <w:basedOn w:val="1"/>
    <w:link w:val="17"/>
    <w:unhideWhenUsed/>
    <w:qFormat/>
    <w:uiPriority w:val="99"/>
    <w:pPr>
      <w:spacing w:after="0"/>
    </w:pPr>
    <w:rPr>
      <w:sz w:val="18"/>
      <w:szCs w:val="18"/>
    </w:rPr>
  </w:style>
  <w:style w:type="paragraph" w:styleId="6">
    <w:name w:val="footer"/>
    <w:basedOn w:val="1"/>
    <w:link w:val="16"/>
    <w:unhideWhenUsed/>
    <w:qFormat/>
    <w:uiPriority w:val="99"/>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qFormat/>
    <w:uiPriority w:val="39"/>
  </w:style>
  <w:style w:type="paragraph" w:styleId="9">
    <w:name w:val="toc 2"/>
    <w:basedOn w:val="1"/>
    <w:next w:val="1"/>
    <w:unhideWhenUsed/>
    <w:qFormat/>
    <w:uiPriority w:val="39"/>
    <w:pPr>
      <w:adjustRightInd/>
      <w:snapToGrid/>
      <w:spacing w:after="100" w:line="276" w:lineRule="auto"/>
      <w:ind w:left="220"/>
    </w:pPr>
    <w:rPr>
      <w:rFonts w:asciiTheme="minorHAnsi" w:hAnsiTheme="minorHAnsi" w:eastAsiaTheme="minorEastAsia"/>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rPr>
  </w:style>
  <w:style w:type="paragraph" w:customStyle="1" w:styleId="14">
    <w:name w:val="列出段落1"/>
    <w:basedOn w:val="1"/>
    <w:qFormat/>
    <w:uiPriority w:val="34"/>
    <w:pPr>
      <w:ind w:firstLine="420" w:firstLineChars="200"/>
    </w:pPr>
  </w:style>
  <w:style w:type="character" w:customStyle="1" w:styleId="15">
    <w:name w:val="页眉 Char"/>
    <w:basedOn w:val="12"/>
    <w:link w:val="7"/>
    <w:qFormat/>
    <w:uiPriority w:val="99"/>
    <w:rPr>
      <w:rFonts w:ascii="Tahoma" w:hAnsi="Tahoma"/>
      <w:sz w:val="18"/>
      <w:szCs w:val="18"/>
    </w:rPr>
  </w:style>
  <w:style w:type="character" w:customStyle="1" w:styleId="16">
    <w:name w:val="页脚 Char"/>
    <w:basedOn w:val="12"/>
    <w:link w:val="6"/>
    <w:qFormat/>
    <w:uiPriority w:val="99"/>
    <w:rPr>
      <w:rFonts w:ascii="Tahoma" w:hAnsi="Tahoma"/>
      <w:sz w:val="18"/>
      <w:szCs w:val="18"/>
    </w:rPr>
  </w:style>
  <w:style w:type="character" w:customStyle="1" w:styleId="17">
    <w:name w:val="批注框文本 Char"/>
    <w:basedOn w:val="12"/>
    <w:link w:val="5"/>
    <w:semiHidden/>
    <w:qFormat/>
    <w:uiPriority w:val="99"/>
    <w:rPr>
      <w:rFonts w:ascii="Tahoma" w:hAnsi="Tahoma"/>
      <w:sz w:val="18"/>
      <w:szCs w:val="18"/>
    </w:rPr>
  </w:style>
  <w:style w:type="character" w:customStyle="1" w:styleId="18">
    <w:name w:val="标题 1 Char"/>
    <w:basedOn w:val="12"/>
    <w:link w:val="3"/>
    <w:qFormat/>
    <w:uiPriority w:val="9"/>
    <w:rPr>
      <w:rFonts w:ascii="Tahoma" w:hAnsi="Tahoma" w:eastAsia="微软雅黑" w:cstheme="minorBidi"/>
      <w:b/>
      <w:bCs/>
      <w:kern w:val="44"/>
      <w:sz w:val="44"/>
      <w:szCs w:val="44"/>
    </w:rPr>
  </w:style>
  <w:style w:type="paragraph" w:customStyle="1" w:styleId="19">
    <w:name w:val="TOC 标题1"/>
    <w:basedOn w:val="3"/>
    <w:next w:val="1"/>
    <w:semiHidden/>
    <w:unhideWhenUsed/>
    <w:qFormat/>
    <w:uiPriority w:val="39"/>
    <w:pPr>
      <w:adjustRightInd/>
      <w:snapToGrid/>
      <w:spacing w:before="480" w:after="0" w:line="276" w:lineRule="auto"/>
      <w:outlineLvl w:val="9"/>
    </w:pPr>
    <w:rPr>
      <w:rFonts w:asciiTheme="majorHAnsi" w:hAnsiTheme="majorHAnsi" w:eastAsiaTheme="majorEastAsia" w:cstheme="majorBidi"/>
      <w:color w:val="366091" w:themeColor="accent1" w:themeShade="BF"/>
      <w:kern w:val="0"/>
      <w:sz w:val="28"/>
      <w:szCs w:val="28"/>
    </w:rPr>
  </w:style>
  <w:style w:type="paragraph" w:styleId="20">
    <w:name w:val="List Paragraph"/>
    <w:basedOn w:val="1"/>
    <w:unhideWhenUsed/>
    <w:qFormat/>
    <w:uiPriority w:val="99"/>
    <w:pPr>
      <w:ind w:firstLine="420" w:firstLineChars="200"/>
    </w:pPr>
  </w:style>
  <w:style w:type="paragraph" w:customStyle="1" w:styleId="21">
    <w:name w:val="纯文本1"/>
    <w:basedOn w:val="1"/>
    <w:qFormat/>
    <w:uiPriority w:val="99"/>
    <w:pPr>
      <w:tabs>
        <w:tab w:val="left" w:pos="120"/>
      </w:tabs>
      <w:snapToGrid/>
      <w:spacing w:after="0"/>
      <w:textAlignment w:val="baseline"/>
    </w:pPr>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4AF34-CEA0-47FB-A70E-0D0676FBDF9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430</Words>
  <Characters>2456</Characters>
  <Lines>20</Lines>
  <Paragraphs>5</Paragraphs>
  <TotalTime>211</TotalTime>
  <ScaleCrop>false</ScaleCrop>
  <LinksUpToDate>false</LinksUpToDate>
  <CharactersWithSpaces>2881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2019-06-26T08:32:00Z</dcterms:created>
  <dc:creator>Administrator</dc:creator>
  <cp:lastModifiedBy>吴超</cp:lastModifiedBy>
  <cp:lastPrinted>2021-07-08T01:53:00Z</cp:lastPrinted>
  <dcterms:modified xsi:type="dcterms:W3CDTF">2021-09-24T00:49:19Z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83B5BA70439E46FE951A840019C21E38</vt:lpwstr>
  </property>
</Properties>
</file>