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120"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firstLine="321" w:firstLineChars="100"/>
        <w:rPr>
          <w:rFonts w:hint="eastAsia"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 1、2、3、4、5 号线运</w:t>
      </w:r>
    </w:p>
    <w:p>
      <w:pPr>
        <w:spacing w:line="360" w:lineRule="auto"/>
        <w:ind w:firstLine="2721" w:firstLineChars="847"/>
        <w:rPr>
          <w:rFonts w:ascii="宋体" w:hAnsi="宋体" w:cs="Courier New"/>
          <w:b/>
          <w:sz w:val="32"/>
          <w:szCs w:val="21"/>
        </w:rPr>
      </w:pPr>
      <w:r>
        <w:rPr>
          <w:rFonts w:hint="eastAsia" w:ascii="宋体" w:hAnsi="宋体" w:cs="Courier New"/>
          <w:b/>
          <w:sz w:val="32"/>
          <w:szCs w:val="21"/>
          <w:u w:val="single"/>
        </w:rPr>
        <w:t>营期2022年公务用车保险定点服务项目</w:t>
      </w:r>
    </w:p>
    <w:p>
      <w:pPr>
        <w:spacing w:line="360" w:lineRule="auto"/>
        <w:ind w:left="2240" w:firstLine="321" w:firstLineChars="100"/>
        <w:jc w:val="left"/>
        <w:rPr>
          <w:rFonts w:ascii="宋体" w:hAnsi="宋体" w:cs="Courier New"/>
          <w:b/>
          <w:sz w:val="32"/>
          <w:szCs w:val="21"/>
        </w:rPr>
      </w:pPr>
    </w:p>
    <w:p>
      <w:pPr>
        <w:pStyle w:val="25"/>
        <w:adjustRightInd w:val="0"/>
        <w:snapToGrid w:val="0"/>
        <w:spacing w:line="360" w:lineRule="auto"/>
        <w:ind w:firstLine="315" w:firstLineChars="98"/>
        <w:rPr>
          <w:rFonts w:hAnsi="宋体"/>
          <w:b/>
          <w:sz w:val="32"/>
          <w:u w:val="single"/>
        </w:rPr>
      </w:pPr>
      <w:r>
        <w:rPr>
          <w:rFonts w:hint="eastAsia" w:hAnsi="宋体"/>
          <w:b/>
          <w:sz w:val="32"/>
        </w:rPr>
        <w:t>采购单位名称：</w:t>
      </w:r>
      <w:r>
        <w:rPr>
          <w:rFonts w:hint="eastAsia" w:hAnsi="宋体"/>
          <w:b/>
          <w:sz w:val="32"/>
          <w:u w:val="single"/>
        </w:rPr>
        <w:t>长沙市轨道交通一号线建设发展有限公司</w:t>
      </w:r>
    </w:p>
    <w:p>
      <w:pPr>
        <w:pStyle w:val="25"/>
        <w:adjustRightInd w:val="0"/>
        <w:snapToGrid w:val="0"/>
        <w:spacing w:line="360" w:lineRule="auto"/>
        <w:ind w:firstLine="2409" w:firstLineChars="750"/>
        <w:rPr>
          <w:rFonts w:hAnsi="宋体"/>
          <w:b/>
          <w:sz w:val="32"/>
          <w:u w:val="single"/>
        </w:rPr>
      </w:pPr>
      <w:r>
        <w:rPr>
          <w:rFonts w:hint="eastAsia" w:hAnsi="宋体"/>
          <w:b/>
          <w:sz w:val="32"/>
          <w:u w:val="single"/>
        </w:rPr>
        <w:t>长沙市轨道交通运营有限公司</w:t>
      </w:r>
    </w:p>
    <w:p>
      <w:pPr>
        <w:pStyle w:val="25"/>
        <w:adjustRightInd w:val="0"/>
        <w:snapToGrid w:val="0"/>
        <w:spacing w:line="360" w:lineRule="auto"/>
        <w:ind w:firstLine="2409" w:firstLineChars="750"/>
        <w:rPr>
          <w:rFonts w:hAnsi="宋体"/>
          <w:b/>
          <w:sz w:val="32"/>
          <w:u w:val="single"/>
        </w:rPr>
      </w:pPr>
      <w:r>
        <w:rPr>
          <w:rFonts w:hint="eastAsia" w:hAnsi="宋体"/>
          <w:b/>
          <w:sz w:val="32"/>
          <w:u w:val="single"/>
        </w:rPr>
        <w:t>长沙市轨道交通三号线建设发展有限公司</w:t>
      </w:r>
    </w:p>
    <w:p>
      <w:pPr>
        <w:pStyle w:val="25"/>
        <w:adjustRightInd w:val="0"/>
        <w:snapToGrid w:val="0"/>
        <w:spacing w:line="360" w:lineRule="auto"/>
        <w:ind w:left="2392" w:leftChars="1139"/>
        <w:rPr>
          <w:rFonts w:hAnsi="宋体"/>
          <w:b/>
          <w:sz w:val="32"/>
          <w:u w:val="single"/>
        </w:rPr>
      </w:pPr>
      <w:r>
        <w:rPr>
          <w:rFonts w:hint="eastAsia" w:hAnsi="宋体"/>
          <w:b/>
          <w:sz w:val="32"/>
          <w:u w:val="single"/>
        </w:rPr>
        <w:t>长沙市轨道交通四号线建设发展有限公司长沙市轨道交通五号线建设发展有限公司</w:t>
      </w:r>
    </w:p>
    <w:p>
      <w:pPr>
        <w:pStyle w:val="25"/>
        <w:adjustRightInd w:val="0"/>
        <w:snapToGrid w:val="0"/>
        <w:spacing w:line="360" w:lineRule="auto"/>
        <w:ind w:firstLine="321" w:firstLineChars="100"/>
        <w:rPr>
          <w:rFonts w:hAnsi="宋体"/>
          <w:b/>
          <w:sz w:val="32"/>
        </w:rPr>
      </w:pPr>
    </w:p>
    <w:p>
      <w:pPr>
        <w:pStyle w:val="25"/>
        <w:adjustRightInd w:val="0"/>
        <w:snapToGrid w:val="0"/>
        <w:spacing w:line="360" w:lineRule="auto"/>
        <w:ind w:firstLine="321" w:firstLineChars="100"/>
        <w:rPr>
          <w:rFonts w:hAnsi="宋体"/>
          <w:b/>
          <w:color w:val="auto"/>
          <w:sz w:val="32"/>
          <w:u w:val="single"/>
        </w:rPr>
      </w:pPr>
      <w:r>
        <w:rPr>
          <w:rFonts w:hint="eastAsia" w:hAnsi="宋体"/>
          <w:b/>
          <w:color w:val="auto"/>
          <w:sz w:val="32"/>
        </w:rPr>
        <w:t>谈判项目编号：</w:t>
      </w:r>
      <w:r>
        <w:rPr>
          <w:rFonts w:hint="eastAsia" w:hAnsi="宋体"/>
          <w:b/>
          <w:color w:val="auto"/>
          <w:sz w:val="32"/>
          <w:u w:val="single"/>
        </w:rPr>
        <w:t>长轨运服采【2021】</w:t>
      </w:r>
      <w:r>
        <w:rPr>
          <w:rFonts w:hint="eastAsia" w:hAnsi="宋体"/>
          <w:b/>
          <w:color w:val="auto"/>
          <w:sz w:val="32"/>
          <w:u w:val="single"/>
          <w:lang w:val="en-US" w:eastAsia="zh-CN"/>
        </w:rPr>
        <w:t>21</w:t>
      </w:r>
      <w:r>
        <w:rPr>
          <w:rFonts w:hint="eastAsia" w:hAnsi="宋体"/>
          <w:b/>
          <w:color w:val="auto"/>
          <w:sz w:val="32"/>
          <w:u w:val="single"/>
        </w:rPr>
        <w:t>号</w:t>
      </w:r>
    </w:p>
    <w:p>
      <w:pPr>
        <w:pStyle w:val="25"/>
        <w:adjustRightInd w:val="0"/>
        <w:snapToGrid w:val="0"/>
        <w:spacing w:before="120" w:beforeLines="50" w:line="360" w:lineRule="auto"/>
        <w:rPr>
          <w:b/>
          <w:sz w:val="32"/>
          <w:szCs w:val="32"/>
        </w:rPr>
      </w:pPr>
    </w:p>
    <w:p>
      <w:pPr>
        <w:pStyle w:val="25"/>
        <w:adjustRightInd w:val="0"/>
        <w:snapToGrid w:val="0"/>
        <w:spacing w:line="360" w:lineRule="auto"/>
        <w:rPr>
          <w:rFonts w:hint="eastAsia"/>
          <w:b/>
          <w:sz w:val="32"/>
          <w:szCs w:val="32"/>
        </w:rPr>
      </w:pPr>
    </w:p>
    <w:p>
      <w:pPr>
        <w:pStyle w:val="25"/>
        <w:adjustRightInd w:val="0"/>
        <w:snapToGrid w:val="0"/>
        <w:spacing w:line="360" w:lineRule="auto"/>
        <w:rPr>
          <w:rFonts w:ascii="仿宋_GB2312" w:hAnsi="宋体" w:eastAsia="仿宋_GB2312"/>
          <w:bCs/>
          <w:sz w:val="32"/>
        </w:rPr>
      </w:pPr>
    </w:p>
    <w:p>
      <w:pPr>
        <w:pStyle w:val="25"/>
        <w:adjustRightInd w:val="0"/>
        <w:snapToGrid w:val="0"/>
        <w:spacing w:line="360" w:lineRule="auto"/>
        <w:jc w:val="center"/>
        <w:rPr>
          <w:rFonts w:hAnsi="宋体"/>
          <w:bCs/>
          <w:sz w:val="32"/>
        </w:rPr>
      </w:pPr>
      <w:r>
        <w:rPr>
          <w:rFonts w:hint="eastAsia" w:hAnsi="宋体"/>
          <w:b/>
          <w:sz w:val="32"/>
        </w:rPr>
        <w:t>二〇二一年</w:t>
      </w:r>
      <w:r>
        <w:rPr>
          <w:rFonts w:hint="eastAsia" w:hAnsi="宋体"/>
          <w:b/>
          <w:sz w:val="32"/>
          <w:lang w:val="en-US" w:eastAsia="zh-CN"/>
        </w:rPr>
        <w:t>十</w:t>
      </w:r>
      <w:r>
        <w:rPr>
          <w:rFonts w:hint="eastAsia" w:hAnsi="宋体"/>
          <w:b/>
          <w:sz w:val="32"/>
        </w:rPr>
        <w:t>月</w:t>
      </w:r>
    </w:p>
    <w:p>
      <w:pPr>
        <w:pStyle w:val="25"/>
        <w:adjustRightInd w:val="0"/>
        <w:snapToGrid w:val="0"/>
        <w:spacing w:line="360" w:lineRule="auto"/>
        <w:jc w:val="center"/>
        <w:rPr>
          <w:rFonts w:hAnsi="宋体"/>
          <w:b/>
          <w:sz w:val="32"/>
        </w:rPr>
      </w:pPr>
    </w:p>
    <w:p>
      <w:pPr>
        <w:pStyle w:val="25"/>
        <w:adjustRightInd w:val="0"/>
        <w:snapToGrid w:val="0"/>
        <w:spacing w:line="360" w:lineRule="auto"/>
        <w:jc w:val="center"/>
        <w:rPr>
          <w:rFonts w:hAnsi="宋体"/>
          <w:b/>
          <w:sz w:val="32"/>
        </w:rPr>
        <w:sectPr>
          <w:pgSz w:w="11906" w:h="16838"/>
          <w:pgMar w:top="1440" w:right="1797" w:bottom="1440" w:left="1797" w:header="851" w:footer="851" w:gutter="0"/>
          <w:pgNumType w:start="1"/>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2"/>
        <w:tabs>
          <w:tab w:val="right" w:leader="dot" w:pos="8312"/>
        </w:tabs>
        <w:spacing w:line="360" w:lineRule="auto"/>
        <w:rPr>
          <w:rFonts w:ascii="宋体" w:hAnsi="宋体" w:cs="宋体"/>
        </w:rPr>
      </w:pPr>
      <w:r>
        <w:fldChar w:fldCharType="begin"/>
      </w:r>
      <w:r>
        <w:instrText xml:space="preserve">TOC \o "1-2" \h \u </w:instrText>
      </w:r>
      <w:r>
        <w:fldChar w:fldCharType="separate"/>
      </w:r>
      <w:r>
        <w:fldChar w:fldCharType="begin"/>
      </w:r>
      <w:r>
        <w:instrText xml:space="preserve"> HYPERLINK \l "_Toc3621"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_Toc3621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"_Toc10483"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_Toc10483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"_Toc28089"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_Toc28089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"_Toc31558"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_Toc31558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"_Toc11440"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_Toc11440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"_Toc303"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"_Toc9387"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_Toc9387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"_Toc1468"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_Toc1468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"_Toc13483"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_Toc13483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"_Toc21358"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_Toc21358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"_Toc20130"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_Toc20130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"_Toc2045"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_Toc2045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"_Toc1719"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_Toc1719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"_Toc18202"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_Toc18202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"_Toc19554"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_Toc19554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"_Toc18525" </w:instrText>
      </w:r>
      <w:r>
        <w:fldChar w:fldCharType="separate"/>
      </w:r>
      <w:r>
        <w:rPr>
          <w:rFonts w:hint="eastAsia" w:ascii="宋体" w:hAnsi="宋体" w:cs="宋体"/>
          <w:szCs w:val="32"/>
        </w:rPr>
        <w:t xml:space="preserve">第六章  </w:t>
      </w:r>
      <w:r>
        <w:rPr>
          <w:rFonts w:hint="eastAsia" w:ascii="宋体" w:hAnsi="宋体" w:cs="宋体"/>
          <w:bCs/>
          <w:szCs w:val="32"/>
        </w:rPr>
        <w:t>响应文件组成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_Toc18525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"_Toc7657" </w:instrText>
      </w:r>
      <w:r>
        <w:fldChar w:fldCharType="separate"/>
      </w:r>
      <w:r>
        <w:rPr>
          <w:rFonts w:hint="eastAsia" w:ascii="宋体" w:hAnsi="宋体" w:cs="宋体"/>
          <w:szCs w:val="32"/>
        </w:rPr>
        <w:t>一、谈判承诺书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_Toc7657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"_Toc10496" </w:instrText>
      </w:r>
      <w:r>
        <w:fldChar w:fldCharType="separate"/>
      </w:r>
      <w:r>
        <w:rPr>
          <w:rFonts w:hint="eastAsia" w:ascii="宋体" w:hAnsi="宋体" w:cs="宋体"/>
          <w:szCs w:val="32"/>
        </w:rPr>
        <w:t>二、法定代表人身份证明书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_Toc10496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"_Toc27642"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_Toc27642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"_Toc8191"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_Toc8191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"_Toc20484" </w:instrText>
      </w:r>
      <w:r>
        <w:fldChar w:fldCharType="separate"/>
      </w:r>
      <w:r>
        <w:rPr>
          <w:rFonts w:hint="eastAsia" w:ascii="宋体" w:hAnsi="宋体" w:cs="宋体"/>
          <w:szCs w:val="32"/>
        </w:rPr>
        <w:t>五、实质性条款（标注“★”符号）响应表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_Toc20484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"_Toc21225" </w:instrText>
      </w:r>
      <w:r>
        <w:fldChar w:fldCharType="separate"/>
      </w:r>
      <w:r>
        <w:rPr>
          <w:rFonts w:hint="eastAsia" w:ascii="宋体" w:hAnsi="宋体" w:cs="宋体"/>
          <w:szCs w:val="32"/>
        </w:rPr>
        <w:t>六、报价一览表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_Toc21225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pPr>
      <w:r>
        <w:fldChar w:fldCharType="begin"/>
      </w:r>
      <w:r>
        <w:instrText xml:space="preserve"> HYPERLINK \l "_Toc27918" </w:instrText>
      </w:r>
      <w:r>
        <w:fldChar w:fldCharType="separate"/>
      </w:r>
      <w:r>
        <w:rPr>
          <w:rFonts w:hint="eastAsia"/>
          <w:lang w:val="en-US" w:eastAsia="zh-CN"/>
        </w:rPr>
        <w:t>七</w:t>
      </w:r>
      <w:r>
        <w:rPr>
          <w:rFonts w:hint="eastAsia" w:ascii="宋体" w:hAnsi="宋体" w:cs="宋体"/>
          <w:szCs w:val="32"/>
        </w:rPr>
        <w:t>、其他资料（如有）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_Toc27918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pPr>
        <w:spacing w:line="360" w:lineRule="auto"/>
      </w:pPr>
      <w:r>
        <w:fldChar w:fldCharType="end"/>
      </w:r>
    </w:p>
    <w:p>
      <w:pPr>
        <w:pStyle w:val="3"/>
        <w:keepNext w:val="0"/>
        <w:rPr>
          <w:rFonts w:ascii="宋体" w:hAnsi="宋体" w:cs="宋体"/>
          <w:sz w:val="32"/>
          <w:szCs w:val="32"/>
        </w:rPr>
        <w:sectPr>
          <w:footerReference r:id="rId3" w:type="default"/>
          <w:pgSz w:w="11906" w:h="16838"/>
          <w:pgMar w:top="1440" w:right="1797" w:bottom="1440" w:left="1797" w:header="851" w:footer="851" w:gutter="0"/>
          <w:cols w:space="720" w:num="1"/>
          <w:docGrid w:linePitch="312" w:charSpace="0"/>
        </w:sectPr>
      </w:pPr>
      <w:bookmarkStart w:id="1" w:name="_Toc5016"/>
      <w:bookmarkStart w:id="2" w:name="_Toc29614"/>
    </w:p>
    <w:p>
      <w:pPr>
        <w:pStyle w:val="3"/>
        <w:keepNext w:val="0"/>
        <w:spacing w:line="360" w:lineRule="auto"/>
        <w:rPr>
          <w:rFonts w:ascii="宋体" w:hAnsi="宋体" w:cs="宋体"/>
          <w:sz w:val="32"/>
          <w:szCs w:val="32"/>
        </w:rPr>
      </w:pPr>
      <w:bookmarkStart w:id="3" w:name="_Toc13376"/>
      <w:bookmarkStart w:id="4" w:name="_Toc3621"/>
      <w:r>
        <w:rPr>
          <w:rFonts w:hint="eastAsia" w:ascii="宋体" w:hAnsi="宋体" w:cs="宋体"/>
          <w:sz w:val="32"/>
          <w:szCs w:val="32"/>
        </w:rPr>
        <w:t>第一章  谈判邀请公告</w:t>
      </w:r>
      <w:bookmarkEnd w:id="0"/>
      <w:bookmarkEnd w:id="1"/>
      <w:bookmarkEnd w:id="2"/>
      <w:bookmarkEnd w:id="3"/>
      <w:bookmarkEnd w:id="4"/>
    </w:p>
    <w:p>
      <w:pPr>
        <w:spacing w:line="360" w:lineRule="auto"/>
        <w:ind w:firstLine="420" w:firstLineChars="200"/>
        <w:jc w:val="left"/>
        <w:rPr>
          <w:rFonts w:ascii="宋体" w:hAnsi="宋体" w:cs="宋体"/>
          <w:iCs/>
          <w:szCs w:val="21"/>
        </w:rPr>
      </w:pPr>
      <w:r>
        <w:rPr>
          <w:rFonts w:hint="eastAsia" w:ascii="宋体" w:hAnsi="宋体" w:cs="宋体"/>
          <w:bCs/>
          <w:iCs/>
          <w:szCs w:val="21"/>
          <w:u w:val="single"/>
        </w:rPr>
        <w:t>新泉工程咨询有限公司</w:t>
      </w:r>
      <w:r>
        <w:rPr>
          <w:rFonts w:hint="eastAsia" w:ascii="宋体" w:hAnsi="宋体" w:cs="宋体"/>
          <w:szCs w:val="21"/>
        </w:rPr>
        <w:t>受</w:t>
      </w:r>
      <w:r>
        <w:rPr>
          <w:rFonts w:hint="eastAsia" w:hAnsi="宋体"/>
          <w:iCs/>
          <w:u w:val="single"/>
        </w:rPr>
        <w:t>长沙市轨道交通一号线建设发展有限公司、长沙市轨道交通运营有限公司、长沙市轨道交通三号线建设发展有限公司、长沙市轨道交通四号线建设发展有限公司、长沙市轨道交通五号线建设发展有限公司</w:t>
      </w:r>
      <w:r>
        <w:rPr>
          <w:rFonts w:hint="eastAsia" w:ascii="宋体" w:hAnsi="宋体" w:cs="宋体"/>
          <w:szCs w:val="21"/>
        </w:rPr>
        <w:t>的委托，</w:t>
      </w:r>
      <w:r>
        <w:rPr>
          <w:rFonts w:hint="eastAsia" w:ascii="宋体" w:hAnsi="宋体" w:cs="宋体"/>
          <w:iCs/>
          <w:szCs w:val="21"/>
        </w:rPr>
        <w:t>对</w:t>
      </w:r>
      <w:r>
        <w:rPr>
          <w:rFonts w:hint="eastAsia" w:ascii="宋体" w:hAnsi="宋体" w:cs="宋体"/>
          <w:iCs/>
          <w:szCs w:val="21"/>
          <w:u w:val="single"/>
        </w:rPr>
        <w:t>长沙市轨道交通 1、2、3、4、5 号线运营期2022年公务用车保险定点服务</w:t>
      </w:r>
      <w:r>
        <w:rPr>
          <w:rFonts w:hint="eastAsia" w:ascii="宋体" w:hAnsi="宋体" w:cs="宋体"/>
          <w:iCs/>
          <w:szCs w:val="21"/>
        </w:rPr>
        <w:t>项目进行自主竞争性谈判采购，现发布公告，邀请符合条件的单位参与谈判采购活动。</w:t>
      </w:r>
    </w:p>
    <w:p>
      <w:pPr>
        <w:pStyle w:val="25"/>
        <w:adjustRightInd w:val="0"/>
        <w:snapToGrid w:val="0"/>
        <w:spacing w:line="360" w:lineRule="auto"/>
        <w:ind w:firstLine="422" w:firstLineChars="200"/>
        <w:rPr>
          <w:rFonts w:hAnsi="宋体" w:cs="宋体"/>
          <w:b/>
          <w:iCs/>
          <w:color w:val="auto"/>
        </w:rPr>
      </w:pPr>
      <w:r>
        <w:rPr>
          <w:rFonts w:hint="eastAsia" w:hAnsi="宋体" w:cs="宋体"/>
          <w:b/>
          <w:iCs/>
          <w:color w:val="auto"/>
        </w:rPr>
        <w:t>一、项目概况</w:t>
      </w:r>
    </w:p>
    <w:p>
      <w:pPr>
        <w:pStyle w:val="25"/>
        <w:adjustRightInd w:val="0"/>
        <w:snapToGrid w:val="0"/>
        <w:spacing w:line="360" w:lineRule="auto"/>
        <w:ind w:firstLine="420" w:firstLineChars="200"/>
        <w:rPr>
          <w:rFonts w:hAnsi="宋体" w:cs="宋体"/>
          <w:iCs/>
          <w:color w:val="auto"/>
        </w:rPr>
      </w:pPr>
      <w:r>
        <w:rPr>
          <w:rFonts w:hint="eastAsia" w:hAnsi="宋体" w:cs="宋体"/>
          <w:iCs/>
          <w:color w:val="auto"/>
        </w:rPr>
        <w:t>1.项目名称：长沙市轨道交通 1、2、3、4、5 号线运营期2022年公务用车保险定点服务项目</w:t>
      </w:r>
    </w:p>
    <w:p>
      <w:pPr>
        <w:pStyle w:val="25"/>
        <w:adjustRightInd w:val="0"/>
        <w:snapToGrid w:val="0"/>
        <w:spacing w:line="360" w:lineRule="auto"/>
        <w:ind w:firstLine="420" w:firstLineChars="200"/>
        <w:rPr>
          <w:rFonts w:hAnsi="宋体" w:cs="宋体"/>
          <w:iCs/>
          <w:color w:val="auto"/>
        </w:rPr>
      </w:pPr>
      <w:r>
        <w:rPr>
          <w:rFonts w:hint="eastAsia" w:hAnsi="宋体" w:cs="宋体"/>
          <w:iCs/>
          <w:color w:val="auto"/>
        </w:rPr>
        <w:t>2</w:t>
      </w:r>
      <w:r>
        <w:rPr>
          <w:rFonts w:hAnsi="宋体" w:cs="宋体"/>
          <w:iCs/>
          <w:color w:val="auto"/>
        </w:rPr>
        <w:t>.</w:t>
      </w:r>
      <w:r>
        <w:rPr>
          <w:rFonts w:hint="eastAsia" w:hAnsi="宋体" w:cs="宋体"/>
          <w:iCs/>
          <w:color w:val="auto"/>
        </w:rPr>
        <w:t>项目编号：长轨运服采【2021】</w:t>
      </w:r>
      <w:r>
        <w:rPr>
          <w:rFonts w:hint="eastAsia" w:hAnsi="宋体" w:cs="宋体"/>
          <w:iCs/>
          <w:color w:val="auto"/>
          <w:lang w:val="en-US" w:eastAsia="zh-CN"/>
        </w:rPr>
        <w:t>21</w:t>
      </w:r>
      <w:r>
        <w:rPr>
          <w:rFonts w:hint="eastAsia" w:hAnsi="宋体" w:cs="宋体"/>
          <w:iCs/>
          <w:color w:val="auto"/>
        </w:rPr>
        <w:t>号</w:t>
      </w:r>
    </w:p>
    <w:p>
      <w:pPr>
        <w:pStyle w:val="25"/>
        <w:adjustRightInd w:val="0"/>
        <w:snapToGrid w:val="0"/>
        <w:spacing w:line="360" w:lineRule="auto"/>
        <w:ind w:firstLine="420" w:firstLineChars="200"/>
        <w:rPr>
          <w:rFonts w:hAnsi="宋体" w:cs="宋体"/>
          <w:iCs/>
        </w:rPr>
      </w:pPr>
      <w:r>
        <w:rPr>
          <w:rFonts w:hAnsi="宋体" w:cs="宋体"/>
          <w:iCs/>
        </w:rPr>
        <w:t>3</w:t>
      </w:r>
      <w:r>
        <w:rPr>
          <w:rFonts w:hint="eastAsia" w:hAnsi="宋体" w:cs="宋体"/>
          <w:iCs/>
        </w:rPr>
        <w:t>.最高限价：41.2万元</w:t>
      </w:r>
    </w:p>
    <w:p>
      <w:pPr>
        <w:snapToGrid w:val="0"/>
        <w:spacing w:line="360" w:lineRule="auto"/>
        <w:ind w:firstLine="420" w:firstLineChars="200"/>
        <w:rPr>
          <w:rFonts w:ascii="宋体" w:hAnsi="宋体" w:cs="宋体"/>
          <w:iCs/>
          <w:szCs w:val="21"/>
        </w:rPr>
      </w:pPr>
      <w:r>
        <w:rPr>
          <w:rFonts w:ascii="宋体" w:hAnsi="宋体" w:cs="宋体"/>
          <w:iCs/>
          <w:szCs w:val="21"/>
        </w:rPr>
        <w:t>4</w:t>
      </w:r>
      <w:r>
        <w:rPr>
          <w:rFonts w:hint="eastAsia" w:ascii="宋体" w:hAnsi="宋体" w:cs="宋体"/>
          <w:iCs/>
          <w:szCs w:val="21"/>
        </w:rPr>
        <w:t>.</w:t>
      </w:r>
      <w:r>
        <w:rPr>
          <w:rFonts w:hint="eastAsia" w:ascii="宋体" w:hAnsi="宋体" w:cs="宋体"/>
          <w:bCs/>
          <w:szCs w:val="21"/>
        </w:rPr>
        <w:t>标段划分：共划分1</w:t>
      </w:r>
      <w:r>
        <w:rPr>
          <w:rFonts w:hint="eastAsia" w:ascii="宋体" w:hAnsi="宋体" w:cs="宋体"/>
          <w:szCs w:val="21"/>
        </w:rPr>
        <w:t>个标段。</w:t>
      </w:r>
    </w:p>
    <w:p>
      <w:pPr>
        <w:snapToGrid w:val="0"/>
        <w:spacing w:line="360" w:lineRule="auto"/>
        <w:ind w:firstLine="420" w:firstLineChars="200"/>
        <w:rPr>
          <w:rFonts w:ascii="宋体" w:hAnsi="宋体" w:cs="宋体"/>
          <w:bCs/>
          <w:szCs w:val="21"/>
        </w:rPr>
      </w:pPr>
      <w:r>
        <w:rPr>
          <w:rFonts w:ascii="宋体" w:hAnsi="宋体" w:cs="宋体"/>
          <w:bCs/>
          <w:szCs w:val="21"/>
        </w:rPr>
        <w:t>5</w:t>
      </w:r>
      <w:r>
        <w:rPr>
          <w:rFonts w:hint="eastAsia" w:ascii="宋体" w:hAnsi="宋体" w:cs="宋体"/>
          <w:bCs/>
          <w:szCs w:val="21"/>
        </w:rPr>
        <w:t>.服务期限：</w:t>
      </w:r>
      <w:r>
        <w:rPr>
          <w:rFonts w:hint="eastAsia" w:ascii="宋体" w:hAnsi="宋体" w:cs="宋体"/>
          <w:color w:val="000000"/>
          <w:szCs w:val="21"/>
        </w:rPr>
        <w:t>本项目服务期限为2022年至2023年，总计12个月（实际服务时间以采购单位发出的进场通知起算，总计12个月）。（具体详见用户需求书）</w:t>
      </w:r>
    </w:p>
    <w:p>
      <w:pPr>
        <w:snapToGrid w:val="0"/>
        <w:spacing w:line="360" w:lineRule="auto"/>
        <w:ind w:firstLine="420" w:firstLineChars="200"/>
        <w:rPr>
          <w:rFonts w:ascii="宋体" w:hAnsi="宋体" w:cs="宋体"/>
          <w:bCs/>
          <w:szCs w:val="21"/>
        </w:rPr>
      </w:pPr>
      <w:r>
        <w:rPr>
          <w:rFonts w:ascii="宋体" w:hAnsi="宋体" w:cs="宋体"/>
          <w:bCs/>
          <w:szCs w:val="21"/>
        </w:rPr>
        <w:t>6</w:t>
      </w:r>
      <w:r>
        <w:rPr>
          <w:rFonts w:hint="eastAsia" w:ascii="宋体" w:hAnsi="宋体" w:cs="宋体"/>
          <w:bCs/>
          <w:szCs w:val="21"/>
        </w:rPr>
        <w:t>.</w:t>
      </w:r>
      <w:r>
        <w:rPr>
          <w:rFonts w:hint="eastAsia" w:ascii="宋体" w:hAnsi="宋体" w:cs="宋体"/>
          <w:iCs/>
          <w:szCs w:val="21"/>
        </w:rPr>
        <w:t>采购范围：</w:t>
      </w:r>
      <w:r>
        <w:rPr>
          <w:rFonts w:hint="eastAsia" w:ascii="宋体" w:hAnsi="宋体" w:cs="宋体"/>
          <w:color w:val="000000"/>
          <w:szCs w:val="21"/>
        </w:rPr>
        <w:t>本项目主要为长沙市轨道交通 1、2、3、4、5 号线公务车的车船使用税、机动车交通事故责任强制保险、车辆损失险、第三者责任险（100万元）、车上人员责任险（10万元/座）。（具体详见用户需求书）</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jc w:val="left"/>
        <w:rPr>
          <w:rFonts w:ascii="宋体" w:hAnsi="宋体" w:cs="宋体"/>
          <w:szCs w:val="21"/>
        </w:rPr>
      </w:pPr>
      <w:r>
        <w:rPr>
          <w:rFonts w:hint="eastAsia" w:ascii="宋体" w:hAnsi="宋体" w:cs="宋体"/>
          <w:szCs w:val="21"/>
        </w:rPr>
        <w:t>1.谈判单位须入围长沙市2020—2022年长沙市机关事业单位公务车辆定点保险服务单位名单。</w:t>
      </w:r>
    </w:p>
    <w:p>
      <w:pPr>
        <w:widowControl/>
        <w:spacing w:line="360" w:lineRule="auto"/>
        <w:ind w:firstLine="420" w:firstLineChars="200"/>
        <w:rPr>
          <w:rFonts w:ascii="宋体" w:hAnsi="宋体" w:cs="宋体"/>
          <w:szCs w:val="21"/>
        </w:rPr>
      </w:pPr>
      <w:r>
        <w:rPr>
          <w:rFonts w:hint="eastAsia" w:ascii="宋体" w:hAnsi="宋体" w:cs="宋体"/>
          <w:szCs w:val="21"/>
        </w:rPr>
        <w:t>2.本项目不接受联合体形式参与谈判。</w:t>
      </w:r>
    </w:p>
    <w:p>
      <w:pPr>
        <w:spacing w:line="360" w:lineRule="auto"/>
        <w:ind w:firstLine="420" w:firstLineChars="200"/>
        <w:jc w:val="left"/>
        <w:rPr>
          <w:rFonts w:ascii="宋体" w:hAnsi="宋体" w:cs="宋体"/>
          <w:szCs w:val="21"/>
        </w:rPr>
      </w:pPr>
      <w:r>
        <w:rPr>
          <w:rFonts w:hint="eastAsia" w:ascii="宋体" w:hAnsi="宋体" w:cs="宋体"/>
          <w:szCs w:val="21"/>
        </w:rPr>
        <w:t>3.</w:t>
      </w:r>
      <w:bookmarkStart w:id="5" w:name="_Hlk75876024"/>
      <w:r>
        <w:rPr>
          <w:rFonts w:hint="eastAsia" w:ascii="宋体" w:hAnsi="宋体" w:cs="宋体"/>
        </w:rPr>
        <w:t>被长沙市轨道交通集团有限公司及长沙市轨道交通运营有限公司函告禁止在一定期限内参与投标的单位按函告内容执行</w:t>
      </w:r>
      <w:bookmarkEnd w:id="5"/>
      <w:r>
        <w:rPr>
          <w:rFonts w:hint="eastAsia" w:ascii="宋体" w:hAnsi="宋体" w:cs="宋体"/>
        </w:rPr>
        <w:t>。</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bookmarkStart w:id="6" w:name="_Hlk75876044"/>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bookmarkEnd w:id="6"/>
      <w:r>
        <w:rPr>
          <w:rFonts w:hint="eastAsia" w:ascii="宋体" w:hAnsi="宋体" w:cs="宋体"/>
          <w:szCs w:val="21"/>
        </w:rPr>
        <w:t>。</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u w:val="single"/>
        </w:rPr>
        <w:t>2021</w:t>
      </w:r>
      <w:r>
        <w:rPr>
          <w:rFonts w:hint="eastAsia" w:ascii="宋体" w:hAnsi="宋体" w:cs="宋体"/>
          <w:szCs w:val="21"/>
        </w:rPr>
        <w:t>年</w:t>
      </w:r>
      <w:r>
        <w:rPr>
          <w:rFonts w:hint="eastAsia" w:ascii="宋体" w:hAnsi="宋体" w:cs="宋体"/>
          <w:szCs w:val="21"/>
          <w:u w:val="single"/>
          <w:lang w:val="en-US" w:eastAsia="zh-CN"/>
        </w:rPr>
        <w:t>10</w:t>
      </w:r>
      <w:r>
        <w:rPr>
          <w:rFonts w:hint="eastAsia" w:ascii="宋体" w:hAnsi="宋体" w:cs="宋体"/>
          <w:szCs w:val="21"/>
        </w:rPr>
        <w:t>月</w:t>
      </w:r>
      <w:r>
        <w:rPr>
          <w:rFonts w:hint="eastAsia" w:ascii="宋体" w:hAnsi="宋体" w:cs="宋体"/>
          <w:szCs w:val="21"/>
          <w:u w:val="single"/>
          <w:lang w:val="en-US" w:eastAsia="zh-CN"/>
        </w:rPr>
        <w:t>22</w:t>
      </w:r>
      <w:r>
        <w:rPr>
          <w:rFonts w:hint="eastAsia" w:ascii="宋体" w:hAnsi="宋体" w:cs="宋体"/>
          <w:szCs w:val="21"/>
        </w:rPr>
        <w:t>日</w:t>
      </w:r>
      <w:r>
        <w:rPr>
          <w:rFonts w:hint="eastAsia" w:ascii="宋体" w:hAnsi="宋体" w:cs="宋体"/>
          <w:iCs/>
          <w:szCs w:val="21"/>
        </w:rPr>
        <w:t>17：00时（含）前（节假日除外）以书面形式（经法定代表人签字或盖章，并加盖谈判单位公章）递交至采购代理机构。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才采购代理机构不负任何责任。</w:t>
      </w:r>
    </w:p>
    <w:p>
      <w:pPr>
        <w:spacing w:line="360" w:lineRule="auto"/>
        <w:ind w:firstLine="422" w:firstLineChars="200"/>
        <w:rPr>
          <w:rFonts w:ascii="宋体" w:hAnsi="宋体" w:cs="宋体"/>
          <w:b/>
          <w:bCs/>
          <w:iCs/>
          <w:szCs w:val="21"/>
        </w:rPr>
      </w:pPr>
      <w:r>
        <w:rPr>
          <w:rFonts w:hint="eastAsia" w:ascii="宋体" w:hAnsi="宋体" w:cs="宋体"/>
          <w:b/>
          <w:bCs/>
          <w:kern w:val="0"/>
          <w:szCs w:val="21"/>
        </w:rPr>
        <w:t>六、</w:t>
      </w:r>
      <w:r>
        <w:rPr>
          <w:rFonts w:hint="eastAsia" w:ascii="宋体" w:hAnsi="宋体" w:cs="宋体"/>
          <w:b/>
          <w:bCs/>
          <w:iCs/>
          <w:szCs w:val="21"/>
        </w:rPr>
        <w:t>响应文件的递交</w:t>
      </w:r>
    </w:p>
    <w:p>
      <w:pPr>
        <w:spacing w:line="360" w:lineRule="auto"/>
        <w:ind w:firstLine="420" w:firstLineChars="200"/>
        <w:rPr>
          <w:rFonts w:ascii="宋体" w:hAnsi="宋体" w:cs="宋体"/>
          <w:bCs/>
          <w:szCs w:val="21"/>
        </w:rPr>
      </w:pPr>
      <w:r>
        <w:rPr>
          <w:rFonts w:hint="eastAsia" w:ascii="宋体" w:hAnsi="宋体" w:cs="宋体"/>
          <w:bCs/>
          <w:szCs w:val="21"/>
        </w:rPr>
        <w:t>1.响应文件递交的截止时间及谈判时间为</w:t>
      </w:r>
      <w:r>
        <w:rPr>
          <w:rFonts w:hint="eastAsia" w:ascii="宋体" w:hAnsi="宋体" w:cs="宋体"/>
          <w:bCs/>
          <w:szCs w:val="21"/>
          <w:u w:val="single"/>
        </w:rPr>
        <w:t>2021</w:t>
      </w:r>
      <w:r>
        <w:rPr>
          <w:rFonts w:hint="eastAsia" w:ascii="宋体" w:hAnsi="宋体" w:cs="宋体"/>
          <w:bCs/>
          <w:szCs w:val="21"/>
        </w:rPr>
        <w:t>年</w:t>
      </w:r>
      <w:r>
        <w:rPr>
          <w:rFonts w:hint="eastAsia" w:ascii="宋体" w:hAnsi="宋体" w:cs="宋体"/>
          <w:bCs/>
          <w:szCs w:val="21"/>
          <w:u w:val="single"/>
          <w:lang w:val="en-US" w:eastAsia="zh-CN"/>
        </w:rPr>
        <w:t>10</w:t>
      </w:r>
      <w:r>
        <w:rPr>
          <w:rFonts w:hint="eastAsia" w:ascii="宋体" w:hAnsi="宋体" w:cs="宋体"/>
          <w:bCs/>
          <w:szCs w:val="21"/>
        </w:rPr>
        <w:t>月</w:t>
      </w:r>
      <w:r>
        <w:rPr>
          <w:rFonts w:hint="eastAsia" w:ascii="宋体" w:hAnsi="宋体" w:cs="宋体"/>
          <w:bCs/>
          <w:szCs w:val="21"/>
          <w:u w:val="single"/>
          <w:lang w:val="en-US" w:eastAsia="zh-CN"/>
        </w:rPr>
        <w:t>28</w:t>
      </w:r>
      <w:r>
        <w:rPr>
          <w:rFonts w:hint="eastAsia" w:ascii="宋体" w:hAnsi="宋体" w:cs="宋体"/>
          <w:bCs/>
          <w:szCs w:val="21"/>
        </w:rPr>
        <w:t>日 14 时 30 分，地点为</w:t>
      </w:r>
      <w:r>
        <w:rPr>
          <w:rFonts w:hint="eastAsia" w:ascii="宋体" w:hAnsi="宋体" w:cs="宋体"/>
          <w:szCs w:val="21"/>
        </w:rPr>
        <w:t>长沙市劳动东路二段48号黄兴车辆段综合楼9楼910室。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rPr>
          <w:rFonts w:ascii="宋体" w:hAnsi="宋体" w:cs="宋体"/>
          <w:b/>
          <w:szCs w:val="21"/>
        </w:rPr>
      </w:pPr>
      <w:r>
        <w:rPr>
          <w:rFonts w:hint="eastAsia" w:ascii="宋体" w:hAnsi="宋体" w:cs="宋体"/>
          <w:b/>
          <w:iCs/>
          <w:szCs w:val="21"/>
        </w:rPr>
        <w:t>七、采购单位及其委托的采购代理机构的名称、地址和联系方法</w:t>
      </w:r>
    </w:p>
    <w:p>
      <w:pPr>
        <w:spacing w:line="360" w:lineRule="auto"/>
        <w:ind w:firstLine="422" w:firstLineChars="200"/>
        <w:rPr>
          <w:rFonts w:ascii="宋体" w:hAnsi="宋体"/>
          <w:szCs w:val="21"/>
        </w:rPr>
      </w:pPr>
      <w:r>
        <w:rPr>
          <w:rFonts w:hint="eastAsia" w:ascii="宋体" w:hAnsi="宋体" w:cs="宋体"/>
          <w:b/>
          <w:bCs/>
          <w:szCs w:val="21"/>
        </w:rPr>
        <w:t>采购单位：</w:t>
      </w:r>
      <w:r>
        <w:rPr>
          <w:rFonts w:hint="eastAsia" w:ascii="宋体" w:hAnsi="宋体"/>
          <w:szCs w:val="21"/>
        </w:rPr>
        <w:t>长沙市轨道交通一号线建设发展有限公司</w:t>
      </w:r>
    </w:p>
    <w:p>
      <w:pPr>
        <w:spacing w:line="360" w:lineRule="auto"/>
        <w:ind w:left="420" w:leftChars="200" w:firstLine="1050" w:firstLineChars="500"/>
        <w:rPr>
          <w:rFonts w:ascii="宋体" w:hAnsi="宋体"/>
          <w:szCs w:val="21"/>
        </w:rPr>
      </w:pPr>
      <w:r>
        <w:rPr>
          <w:rFonts w:hint="eastAsia" w:ascii="宋体" w:hAnsi="宋体"/>
          <w:szCs w:val="21"/>
        </w:rPr>
        <w:t>长沙市轨道交通运营有限公司</w:t>
      </w:r>
    </w:p>
    <w:p>
      <w:pPr>
        <w:spacing w:line="360" w:lineRule="auto"/>
        <w:ind w:left="420" w:leftChars="200" w:firstLine="1050" w:firstLineChars="500"/>
        <w:rPr>
          <w:rFonts w:ascii="宋体" w:hAnsi="宋体"/>
          <w:szCs w:val="21"/>
        </w:rPr>
      </w:pPr>
      <w:r>
        <w:rPr>
          <w:rFonts w:hint="eastAsia" w:ascii="宋体" w:hAnsi="宋体"/>
          <w:szCs w:val="21"/>
        </w:rPr>
        <w:t>长沙市轨道交通三号线建设发展有限公司</w:t>
      </w:r>
    </w:p>
    <w:p>
      <w:pPr>
        <w:spacing w:line="360" w:lineRule="auto"/>
        <w:ind w:left="420" w:leftChars="200" w:firstLine="1050" w:firstLineChars="500"/>
        <w:rPr>
          <w:rFonts w:hAnsi="宋体"/>
          <w:iCs/>
        </w:rPr>
      </w:pPr>
      <w:r>
        <w:rPr>
          <w:rFonts w:hint="eastAsia" w:hAnsi="宋体"/>
          <w:iCs/>
        </w:rPr>
        <w:t>长沙市轨道交通四号线建设发展有限公司</w:t>
      </w:r>
    </w:p>
    <w:p>
      <w:pPr>
        <w:spacing w:line="360" w:lineRule="auto"/>
        <w:ind w:left="420" w:leftChars="200" w:firstLine="1050" w:firstLineChars="500"/>
        <w:rPr>
          <w:rFonts w:ascii="宋体" w:hAnsi="宋体"/>
          <w:szCs w:val="21"/>
        </w:rPr>
      </w:pPr>
      <w:r>
        <w:rPr>
          <w:rFonts w:hint="eastAsia" w:hAnsi="宋体"/>
          <w:iCs/>
        </w:rPr>
        <w:t>长沙市轨道交通五号线建设发展有限公司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联系人：奉工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w:t>
      </w:r>
      <w:r>
        <w:rPr>
          <w:rFonts w:hint="eastAsia" w:ascii="宋体" w:hAnsi="宋体" w:cs="宋体"/>
          <w:szCs w:val="21"/>
        </w:rPr>
        <w:t>0731-</w:t>
      </w:r>
      <w:r>
        <w:rPr>
          <w:rFonts w:hint="eastAsia" w:ascii="宋体" w:hAnsi="宋体"/>
          <w:szCs w:val="21"/>
        </w:rPr>
        <w:t>86852347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cs="宋体"/>
          <w:szCs w:val="21"/>
        </w:rPr>
        <w:t>0731-86852247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bCs/>
          <w:iCs/>
          <w:szCs w:val="21"/>
        </w:rPr>
        <w:t>新泉工程咨询有限公司</w:t>
      </w:r>
      <w:r>
        <w:rPr>
          <w:rFonts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联系电话：0731-85226831</w:t>
      </w:r>
    </w:p>
    <w:p>
      <w:pPr>
        <w:spacing w:line="360" w:lineRule="auto"/>
        <w:ind w:firstLine="420" w:firstLineChars="200"/>
        <w:rPr>
          <w:rFonts w:ascii="宋体" w:hAnsi="宋体" w:cs="宋体"/>
          <w:szCs w:val="21"/>
        </w:rPr>
      </w:pPr>
      <w:r>
        <w:rPr>
          <w:rFonts w:hint="eastAsia" w:ascii="宋体" w:hAnsi="宋体" w:cs="宋体"/>
          <w:szCs w:val="21"/>
        </w:rPr>
        <w:t>联系人：何女士、殷女士</w:t>
      </w:r>
    </w:p>
    <w:p>
      <w:pPr>
        <w:spacing w:line="360" w:lineRule="auto"/>
        <w:ind w:firstLine="420" w:firstLineChars="200"/>
        <w:rPr>
          <w:rFonts w:ascii="宋体" w:hAnsi="宋体" w:cs="宋体"/>
          <w:szCs w:val="21"/>
        </w:rPr>
      </w:pPr>
      <w:r>
        <w:rPr>
          <w:rFonts w:hint="eastAsia" w:ascii="宋体" w:hAnsi="宋体" w:cs="宋体"/>
          <w:szCs w:val="21"/>
        </w:rPr>
        <w:t>地址：长沙市岳麓区潇湘南路一段208号柏宁地王广场北栋19楼</w:t>
      </w:r>
    </w:p>
    <w:p>
      <w:pPr>
        <w:pStyle w:val="2"/>
        <w:rPr>
          <w:rFonts w:ascii="宋体" w:hAnsi="宋体" w:cs="宋体"/>
          <w:highlight w:val="yellow"/>
        </w:rPr>
      </w:pPr>
    </w:p>
    <w:p>
      <w:pPr>
        <w:pStyle w:val="25"/>
        <w:wordWrap w:val="0"/>
        <w:adjustRightInd w:val="0"/>
        <w:snapToGrid w:val="0"/>
        <w:spacing w:line="360" w:lineRule="auto"/>
        <w:jc w:val="right"/>
        <w:rPr>
          <w:rFonts w:hAnsi="宋体"/>
        </w:rPr>
      </w:pPr>
      <w:r>
        <w:rPr>
          <w:rFonts w:hint="eastAsia" w:hAnsi="宋体" w:cs="宋体"/>
          <w:u w:val="single"/>
        </w:rPr>
        <w:t>2021</w:t>
      </w:r>
      <w:r>
        <w:rPr>
          <w:rFonts w:hint="eastAsia" w:hAnsi="宋体" w:cs="宋体"/>
        </w:rPr>
        <w:t>年</w:t>
      </w:r>
      <w:r>
        <w:rPr>
          <w:rFonts w:hint="eastAsia" w:hAnsi="宋体" w:cs="宋体"/>
          <w:u w:val="single"/>
          <w:lang w:val="en-US" w:eastAsia="zh-CN"/>
        </w:rPr>
        <w:t>10</w:t>
      </w:r>
      <w:r>
        <w:rPr>
          <w:rFonts w:hint="eastAsia" w:hAnsi="宋体" w:cs="宋体"/>
        </w:rPr>
        <w:t>月</w:t>
      </w:r>
      <w:r>
        <w:rPr>
          <w:rFonts w:hint="eastAsia" w:hAnsi="宋体" w:cs="宋体"/>
          <w:u w:val="single"/>
          <w:lang w:val="en-US" w:eastAsia="zh-CN"/>
        </w:rPr>
        <w:t>18</w:t>
      </w:r>
      <w:r>
        <w:rPr>
          <w:rFonts w:hint="eastAsia" w:hAnsi="宋体" w:cs="宋体"/>
        </w:rPr>
        <w:t>日</w:t>
      </w: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7" w:name="_Toc10483"/>
      <w:bookmarkStart w:id="8" w:name="_Toc14891065"/>
      <w:bookmarkStart w:id="9" w:name="_Toc6753"/>
      <w:bookmarkStart w:id="10" w:name="_Toc8914"/>
      <w:bookmarkStart w:id="11" w:name="_Toc5145"/>
      <w:r>
        <w:rPr>
          <w:rFonts w:hint="eastAsia" w:ascii="宋体" w:hAnsi="宋体" w:cs="宋体"/>
          <w:bCs w:val="0"/>
          <w:sz w:val="32"/>
          <w:szCs w:val="32"/>
        </w:rPr>
        <w:t>第二章  谈判须知</w:t>
      </w:r>
      <w:bookmarkEnd w:id="7"/>
      <w:bookmarkEnd w:id="8"/>
      <w:bookmarkEnd w:id="9"/>
      <w:bookmarkEnd w:id="10"/>
      <w:bookmarkEnd w:id="11"/>
    </w:p>
    <w:p>
      <w:pPr>
        <w:pStyle w:val="4"/>
        <w:keepNext w:val="0"/>
        <w:keepLines w:val="0"/>
        <w:jc w:val="center"/>
        <w:rPr>
          <w:rFonts w:ascii="宋体" w:hAnsi="宋体" w:cs="宋体"/>
          <w:sz w:val="32"/>
        </w:rPr>
      </w:pPr>
      <w:bookmarkStart w:id="12" w:name="_Toc14891066"/>
      <w:bookmarkStart w:id="13" w:name="_Toc28089"/>
      <w:bookmarkStart w:id="14" w:name="_Toc5430"/>
      <w:bookmarkStart w:id="15" w:name="_Toc9591"/>
      <w:bookmarkStart w:id="16" w:name="_Toc6617"/>
      <w:r>
        <w:rPr>
          <w:rFonts w:hint="eastAsia" w:ascii="宋体" w:hAnsi="宋体" w:cs="宋体"/>
          <w:sz w:val="32"/>
        </w:rPr>
        <w:t>谈判须知前附表</w:t>
      </w:r>
      <w:bookmarkEnd w:id="12"/>
      <w:bookmarkEnd w:id="13"/>
      <w:bookmarkEnd w:id="14"/>
      <w:bookmarkEnd w:id="15"/>
      <w:bookmarkEnd w:id="16"/>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09"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长沙市轨道交通 1、2、3、4、5 号线运营期2022年公务用车保险定点服务项目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09" w:type="dxa"/>
            <w:vAlign w:val="center"/>
          </w:tcPr>
          <w:p>
            <w:pPr>
              <w:adjustRightInd w:val="0"/>
              <w:snapToGrid w:val="0"/>
              <w:spacing w:line="360" w:lineRule="auto"/>
              <w:jc w:val="left"/>
              <w:rPr>
                <w:rFonts w:ascii="宋体" w:hAnsi="宋体" w:cs="宋体"/>
                <w:iCs/>
                <w:szCs w:val="21"/>
              </w:rPr>
            </w:pPr>
            <w:r>
              <w:rPr>
                <w:rFonts w:hint="eastAsia" w:hAnsi="宋体"/>
                <w:iCs/>
              </w:rPr>
              <w:t>长沙市轨道交通一号线建设发展有限公司、长沙市轨道交通运营有限公司、长沙市轨道交通三号线建设发展有限公司、长沙市轨道交通四号线建设发展有限公司、长沙市轨道交通五号线建设发展有限公司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09"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rPr>
              <w:t>新泉工程咨询有限公司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adjustRightInd w:val="0"/>
              <w:snapToGrid w:val="0"/>
              <w:spacing w:line="360" w:lineRule="auto"/>
              <w:jc w:val="center"/>
              <w:rPr>
                <w:rFonts w:ascii="宋体" w:hAnsi="宋体" w:cs="宋体"/>
                <w:b/>
                <w:color w:val="FF0000"/>
                <w:szCs w:val="21"/>
              </w:rPr>
            </w:pPr>
            <w:r>
              <w:rPr>
                <w:rFonts w:hint="eastAsia" w:ascii="宋体" w:hAnsi="宋体" w:cs="宋体"/>
                <w:b/>
                <w:szCs w:val="21"/>
              </w:rPr>
              <w:t>最高限价</w:t>
            </w:r>
          </w:p>
        </w:tc>
        <w:tc>
          <w:tcPr>
            <w:tcW w:w="7709" w:type="dxa"/>
            <w:vAlign w:val="center"/>
          </w:tcPr>
          <w:p>
            <w:pPr>
              <w:adjustRightInd w:val="0"/>
              <w:snapToGrid w:val="0"/>
              <w:spacing w:line="360" w:lineRule="auto"/>
              <w:jc w:val="left"/>
              <w:rPr>
                <w:rFonts w:ascii="宋体" w:hAnsi="宋体" w:cs="宋体"/>
                <w:iCs/>
                <w:color w:val="FF0000"/>
                <w:szCs w:val="21"/>
              </w:rPr>
            </w:pPr>
            <w:r>
              <w:rPr>
                <w:rFonts w:hint="eastAsia" w:ascii="宋体" w:hAnsi="宋体" w:cs="宋体"/>
                <w:szCs w:val="21"/>
              </w:rPr>
              <w:t>41.2万元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09" w:type="dxa"/>
            <w:vAlign w:val="center"/>
          </w:tcPr>
          <w:p>
            <w:pPr>
              <w:adjustRightInd w:val="0"/>
              <w:snapToGrid w:val="0"/>
              <w:spacing w:line="360" w:lineRule="auto"/>
              <w:jc w:val="left"/>
              <w:rPr>
                <w:rFonts w:ascii="宋体" w:hAnsi="宋体" w:cs="宋体"/>
                <w:iCs/>
                <w:color w:val="FF0000"/>
                <w:szCs w:val="21"/>
              </w:rPr>
            </w:pPr>
            <w:r>
              <w:rPr>
                <w:rFonts w:hint="eastAsia" w:ascii="宋体" w:hAnsi="宋体" w:cs="宋体"/>
                <w:bCs/>
                <w:szCs w:val="21"/>
              </w:rPr>
              <w:t>经符合性审查合格后的最低价法</w:t>
            </w:r>
            <w:r>
              <w:rPr>
                <w:rFonts w:ascii="宋体" w:hAnsi="宋体" w:cs="宋体"/>
                <w:iCs/>
                <w:color w:val="FF000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15" w:hRule="atLeast"/>
          <w:jc w:val="center"/>
        </w:trPr>
        <w:tc>
          <w:tcPr>
            <w:tcW w:w="1943" w:type="dxa"/>
            <w:vAlign w:val="center"/>
          </w:tcPr>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资格要求</w:t>
            </w:r>
          </w:p>
        </w:tc>
        <w:tc>
          <w:tcPr>
            <w:tcW w:w="7709" w:type="dxa"/>
            <w:vAlign w:val="center"/>
          </w:tcPr>
          <w:p>
            <w:pPr>
              <w:spacing w:line="360" w:lineRule="auto"/>
              <w:jc w:val="left"/>
              <w:rPr>
                <w:rFonts w:hint="eastAsia" w:ascii="宋体" w:hAnsi="宋体" w:eastAsia="宋体" w:cs="宋体"/>
                <w:szCs w:val="21"/>
                <w:lang w:eastAsia="zh-CN"/>
              </w:rPr>
            </w:pPr>
            <w:r>
              <w:rPr>
                <w:rFonts w:hint="eastAsia" w:ascii="宋体" w:hAnsi="宋体" w:cs="宋体"/>
                <w:szCs w:val="21"/>
              </w:rPr>
              <w:t>1.谈判单位须入围长沙市2020—2022年长沙市机关事业单位公务车辆定点保险服务单位名单</w:t>
            </w:r>
            <w:r>
              <w:rPr>
                <w:rFonts w:hint="eastAsia" w:ascii="宋体" w:hAnsi="宋体" w:cs="宋体"/>
                <w:szCs w:val="21"/>
                <w:lang w:eastAsia="zh-CN"/>
              </w:rPr>
              <w:t>；</w:t>
            </w:r>
          </w:p>
          <w:p>
            <w:pPr>
              <w:widowControl/>
              <w:spacing w:line="360" w:lineRule="auto"/>
              <w:rPr>
                <w:rFonts w:hint="eastAsia" w:ascii="宋体" w:hAnsi="宋体" w:eastAsia="宋体" w:cs="宋体"/>
                <w:szCs w:val="21"/>
                <w:lang w:eastAsia="zh-CN"/>
              </w:rPr>
            </w:pPr>
            <w:r>
              <w:rPr>
                <w:rFonts w:hint="eastAsia" w:ascii="宋体" w:hAnsi="宋体" w:cs="宋体"/>
                <w:szCs w:val="21"/>
              </w:rPr>
              <w:t>2.本项目不接受联合体形式参与谈判</w:t>
            </w:r>
            <w:r>
              <w:rPr>
                <w:rFonts w:hint="eastAsia" w:ascii="宋体" w:hAnsi="宋体" w:cs="宋体"/>
                <w:szCs w:val="21"/>
                <w:lang w:eastAsia="zh-CN"/>
              </w:rPr>
              <w:t>；</w:t>
            </w:r>
          </w:p>
          <w:p>
            <w:pPr>
              <w:spacing w:line="360" w:lineRule="auto"/>
              <w:jc w:val="left"/>
              <w:rPr>
                <w:rFonts w:ascii="宋体" w:hAnsi="宋体" w:cs="宋体"/>
                <w:szCs w:val="21"/>
              </w:rPr>
            </w:pPr>
            <w:r>
              <w:rPr>
                <w:rFonts w:hint="eastAsia" w:ascii="宋体" w:hAnsi="宋体" w:cs="宋体"/>
                <w:szCs w:val="21"/>
              </w:rPr>
              <w:t>3.</w:t>
            </w:r>
            <w:r>
              <w:rPr>
                <w:rFonts w:hint="eastAsia" w:ascii="宋体" w:hAnsi="宋体" w:cs="宋体"/>
              </w:rPr>
              <w:t>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943" w:type="dxa"/>
            <w:vAlign w:val="center"/>
          </w:tcPr>
          <w:p>
            <w:pPr>
              <w:spacing w:line="400" w:lineRule="exact"/>
              <w:jc w:val="center"/>
              <w:rPr>
                <w:rFonts w:ascii="宋体" w:hAnsi="宋体"/>
                <w:b/>
                <w:bCs/>
                <w:szCs w:val="21"/>
              </w:rPr>
            </w:pPr>
            <w:r>
              <w:rPr>
                <w:rFonts w:ascii="宋体" w:hAnsi="宋体"/>
                <w:b/>
                <w:bCs/>
                <w:szCs w:val="21"/>
              </w:rPr>
              <w:t>实质性要求和</w:t>
            </w:r>
            <w:r>
              <w:rPr>
                <w:rStyle w:val="364"/>
                <w:rFonts w:hint="default"/>
                <w:b/>
                <w:bCs/>
                <w:color w:val="auto"/>
                <w:sz w:val="21"/>
                <w:szCs w:val="21"/>
              </w:rPr>
              <w:t>条款</w:t>
            </w:r>
          </w:p>
        </w:tc>
        <w:tc>
          <w:tcPr>
            <w:tcW w:w="7709" w:type="dxa"/>
            <w:vAlign w:val="center"/>
          </w:tcPr>
          <w:p>
            <w:pPr>
              <w:spacing w:line="400" w:lineRule="exact"/>
              <w:rPr>
                <w:rFonts w:ascii="宋体" w:hAnsi="宋体"/>
                <w:b/>
                <w:bCs/>
                <w:szCs w:val="21"/>
              </w:rPr>
            </w:pPr>
            <w:r>
              <w:rPr>
                <w:rStyle w:val="364"/>
                <w:rFonts w:hint="default"/>
                <w:b/>
                <w:bCs/>
                <w:color w:val="auto"/>
                <w:sz w:val="21"/>
                <w:szCs w:val="21"/>
              </w:rPr>
              <w:t>谈判文件中标注“★”符号的条款。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09" w:type="dxa"/>
            <w:vAlign w:val="center"/>
          </w:tcPr>
          <w:p>
            <w:pPr>
              <w:pStyle w:val="25"/>
              <w:adjustRightInd w:val="0"/>
              <w:snapToGrid w:val="0"/>
              <w:spacing w:line="360" w:lineRule="auto"/>
              <w:rPr>
                <w:rFonts w:hAnsi="宋体" w:cs="宋体"/>
                <w:color w:val="000000"/>
              </w:rPr>
            </w:pPr>
            <w:r>
              <w:rPr>
                <w:rFonts w:hint="eastAsia" w:hAnsi="宋体" w:cs="宋体"/>
                <w:u w:val="single"/>
              </w:rPr>
              <w:t>2021</w:t>
            </w:r>
            <w:r>
              <w:rPr>
                <w:rFonts w:hint="eastAsia" w:hAnsi="宋体" w:cs="宋体"/>
              </w:rPr>
              <w:t>年</w:t>
            </w:r>
            <w:r>
              <w:rPr>
                <w:rFonts w:hint="eastAsia" w:hAnsi="宋体" w:cs="宋体"/>
                <w:u w:val="single"/>
                <w:lang w:val="en-US" w:eastAsia="zh-CN"/>
              </w:rPr>
              <w:t>10</w:t>
            </w:r>
            <w:r>
              <w:rPr>
                <w:rFonts w:hint="eastAsia" w:hAnsi="宋体" w:cs="宋体"/>
              </w:rPr>
              <w:t>月</w:t>
            </w:r>
            <w:r>
              <w:rPr>
                <w:rFonts w:hint="eastAsia" w:hAnsi="宋体" w:cs="宋体"/>
                <w:u w:val="single"/>
                <w:lang w:val="en-US" w:eastAsia="zh-CN"/>
              </w:rPr>
              <w:t>22</w:t>
            </w:r>
            <w:bookmarkStart w:id="112" w:name="_GoBack"/>
            <w:bookmarkEnd w:id="112"/>
            <w:r>
              <w:rPr>
                <w:rFonts w:hint="eastAsia" w:hAnsi="宋体" w:cs="宋体"/>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09" w:type="dxa"/>
            <w:vAlign w:val="center"/>
          </w:tcPr>
          <w:p>
            <w:pPr>
              <w:pStyle w:val="25"/>
              <w:adjustRightInd w:val="0"/>
              <w:snapToGrid w:val="0"/>
              <w:spacing w:line="360" w:lineRule="auto"/>
              <w:rPr>
                <w:rFonts w:hAnsi="宋体" w:cs="宋体"/>
                <w:iCs/>
                <w:color w:val="FF0000"/>
              </w:rPr>
            </w:pPr>
            <w:r>
              <w:rPr>
                <w:rFonts w:hint="eastAsia" w:hAnsi="宋体" w:cs="宋体"/>
              </w:rPr>
              <w:t>谈判答疑文件应以书面形式递交至</w:t>
            </w:r>
            <w:r>
              <w:rPr>
                <w:rFonts w:hint="eastAsia" w:hAnsi="宋体" w:cs="宋体"/>
                <w:iCs/>
              </w:rPr>
              <w:t>新泉工程咨询有限公司（</w:t>
            </w:r>
            <w:r>
              <w:rPr>
                <w:rFonts w:hint="eastAsia" w:hAnsi="宋体" w:cs="宋体"/>
              </w:rPr>
              <w:t>长沙市岳麓区潇湘南路一段208号柏宁地王广场北栋19楼1918室）。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u w:val="single"/>
              </w:rPr>
              <w:t>2021</w:t>
            </w:r>
            <w:r>
              <w:rPr>
                <w:rFonts w:hint="eastAsia" w:ascii="宋体" w:hAnsi="宋体" w:cs="宋体"/>
                <w:szCs w:val="21"/>
              </w:rPr>
              <w:t>年</w:t>
            </w:r>
            <w:r>
              <w:rPr>
                <w:rFonts w:hint="eastAsia" w:ascii="宋体" w:hAnsi="宋体" w:cs="宋体"/>
                <w:szCs w:val="21"/>
                <w:u w:val="single"/>
                <w:lang w:val="en-US" w:eastAsia="zh-CN"/>
              </w:rPr>
              <w:t>10</w:t>
            </w:r>
            <w:r>
              <w:rPr>
                <w:rFonts w:hint="eastAsia" w:ascii="宋体" w:hAnsi="宋体" w:cs="宋体"/>
                <w:szCs w:val="21"/>
              </w:rPr>
              <w:t>月</w:t>
            </w:r>
            <w:r>
              <w:rPr>
                <w:rFonts w:hint="eastAsia" w:ascii="宋体" w:hAnsi="宋体" w:cs="宋体"/>
                <w:szCs w:val="21"/>
                <w:u w:val="single"/>
                <w:lang w:val="en-US" w:eastAsia="zh-CN"/>
              </w:rPr>
              <w:t>28</w:t>
            </w:r>
            <w:r>
              <w:rPr>
                <w:rFonts w:hint="eastAsia" w:ascii="宋体" w:hAnsi="宋体" w:cs="宋体"/>
                <w:szCs w:val="21"/>
              </w:rPr>
              <w:t>日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09"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价格承包内容</w:t>
            </w:r>
          </w:p>
        </w:tc>
        <w:tc>
          <w:tcPr>
            <w:tcW w:w="7709" w:type="dxa"/>
            <w:vAlign w:val="center"/>
          </w:tcPr>
          <w:p>
            <w:pPr>
              <w:adjustRightInd w:val="0"/>
              <w:snapToGrid w:val="0"/>
              <w:spacing w:line="360" w:lineRule="auto"/>
              <w:rPr>
                <w:rFonts w:ascii="宋体" w:hAnsi="宋体" w:cs="宋体"/>
                <w:color w:val="auto"/>
                <w:szCs w:val="21"/>
              </w:rPr>
            </w:pPr>
            <w:r>
              <w:rPr>
                <w:rFonts w:hint="eastAsia" w:ascii="宋体" w:hAnsi="宋体" w:cs="宋体"/>
                <w:color w:val="auto"/>
                <w:szCs w:val="21"/>
              </w:rPr>
              <w:t>承保人在本合同约定的保险期限内，应严格按投标/竞谈/谈判承诺的优惠价格及服务条款进行服务，非不可抗力不得擅自对协议内容进行调整。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adjustRightInd w:val="0"/>
              <w:snapToGrid w:val="0"/>
              <w:spacing w:line="360" w:lineRule="auto"/>
              <w:jc w:val="center"/>
              <w:rPr>
                <w:rFonts w:ascii="宋体" w:hAnsi="宋体" w:cs="宋体"/>
                <w:b/>
                <w:color w:val="FF0000"/>
                <w:szCs w:val="21"/>
              </w:rPr>
            </w:pPr>
            <w:r>
              <w:rPr>
                <w:rFonts w:hint="eastAsia" w:ascii="宋体" w:hAnsi="宋体" w:cs="宋体"/>
                <w:b/>
                <w:szCs w:val="21"/>
              </w:rPr>
              <w:t>项目支付方式</w:t>
            </w:r>
          </w:p>
        </w:tc>
        <w:tc>
          <w:tcPr>
            <w:tcW w:w="7709" w:type="dxa"/>
            <w:vAlign w:val="center"/>
          </w:tcPr>
          <w:p>
            <w:pPr>
              <w:spacing w:line="360" w:lineRule="auto"/>
              <w:rPr>
                <w:rFonts w:ascii="宋体" w:hAnsi="宋体" w:cs="宋体"/>
                <w:color w:val="000000"/>
              </w:rPr>
            </w:pPr>
            <w:r>
              <w:rPr>
                <w:rFonts w:hint="eastAsia" w:ascii="宋体" w:hAnsi="宋体" w:cs="宋体"/>
                <w:color w:val="000000"/>
                <w:szCs w:val="21"/>
              </w:rPr>
              <w:t>1、结算方式是每月结算一次。承保人每月末需向投保人提供下月购置保险车辆的缴费通知单，投保人收到承保人支付请求并附相关单据且证实其完整无误后10个工作日内，支付当月保费。同时在支付保费后7个工作日内提交保单及增值税发票。</w:t>
            </w:r>
          </w:p>
          <w:p>
            <w:pPr>
              <w:spacing w:line="360" w:lineRule="auto"/>
              <w:rPr>
                <w:rFonts w:ascii="宋体" w:hAnsi="宋体" w:cs="宋体"/>
                <w:color w:val="000000"/>
              </w:rPr>
            </w:pPr>
            <w:r>
              <w:rPr>
                <w:rFonts w:hint="eastAsia" w:ascii="宋体" w:hAnsi="宋体" w:cs="宋体"/>
                <w:color w:val="000000"/>
                <w:szCs w:val="21"/>
              </w:rPr>
              <w:t>2、保险费用的结算一律采用转账方式办理，不使用现金。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w:t>
            </w:r>
          </w:p>
        </w:tc>
      </w:tr>
    </w:tbl>
    <w:p>
      <w:pPr>
        <w:pStyle w:val="4"/>
        <w:keepNext w:val="0"/>
        <w:keepLines w:val="0"/>
        <w:jc w:val="center"/>
        <w:rPr>
          <w:rFonts w:ascii="黑体" w:hAnsi="黑体" w:eastAsia="黑体"/>
          <w:sz w:val="30"/>
          <w:szCs w:val="30"/>
        </w:rPr>
      </w:pPr>
      <w:bookmarkStart w:id="17" w:name="_Toc14891067"/>
    </w:p>
    <w:p>
      <w:pPr>
        <w:widowControl/>
        <w:jc w:val="left"/>
      </w:pPr>
      <w:r>
        <w:br w:type="page"/>
      </w:r>
    </w:p>
    <w:p>
      <w:pPr>
        <w:pStyle w:val="4"/>
        <w:keepNext w:val="0"/>
        <w:keepLines w:val="0"/>
        <w:jc w:val="center"/>
        <w:rPr>
          <w:rFonts w:ascii="宋体" w:hAnsi="宋体" w:cs="宋体"/>
          <w:sz w:val="32"/>
        </w:rPr>
      </w:pPr>
      <w:bookmarkStart w:id="18" w:name="_Toc16939"/>
      <w:bookmarkStart w:id="19" w:name="_Toc26157"/>
      <w:bookmarkStart w:id="20" w:name="_Toc30640"/>
      <w:bookmarkStart w:id="21" w:name="_Toc31558"/>
      <w:bookmarkStart w:id="22" w:name="_Hlk71364110"/>
      <w:r>
        <w:rPr>
          <w:rFonts w:hint="eastAsia" w:ascii="宋体" w:hAnsi="宋体" w:cs="宋体"/>
          <w:sz w:val="32"/>
        </w:rPr>
        <w:t>谈判须知正文</w:t>
      </w:r>
      <w:bookmarkEnd w:id="17"/>
      <w:bookmarkEnd w:id="18"/>
      <w:bookmarkEnd w:id="19"/>
      <w:bookmarkEnd w:id="20"/>
      <w:bookmarkEnd w:id="21"/>
    </w:p>
    <w:bookmarkEnd w:id="22"/>
    <w:p>
      <w:pPr>
        <w:pStyle w:val="4"/>
        <w:keepNext w:val="0"/>
        <w:keepLines w:val="0"/>
        <w:rPr>
          <w:rFonts w:ascii="宋体" w:hAnsi="宋体" w:cs="宋体"/>
          <w:sz w:val="21"/>
          <w:szCs w:val="21"/>
        </w:rPr>
      </w:pPr>
      <w:bookmarkStart w:id="23" w:name="_Toc14891068"/>
      <w:bookmarkStart w:id="24" w:name="_Toc11440"/>
      <w:r>
        <w:rPr>
          <w:rFonts w:hint="eastAsia" w:ascii="宋体" w:hAnsi="宋体" w:cs="宋体"/>
          <w:sz w:val="21"/>
          <w:szCs w:val="21"/>
        </w:rPr>
        <w:t>一、说明</w:t>
      </w:r>
      <w:bookmarkEnd w:id="23"/>
      <w:bookmarkEnd w:id="24"/>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3.3“采购代理机构”是指接受采购单位委托，代理采购项目的机构。本采购项目的采购代理机构名称见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4"/>
        <w:keepNext w:val="0"/>
        <w:keepLines w:val="0"/>
        <w:rPr>
          <w:rFonts w:ascii="宋体" w:hAnsi="宋体" w:cs="宋体"/>
          <w:sz w:val="21"/>
          <w:szCs w:val="21"/>
        </w:rPr>
      </w:pPr>
      <w:bookmarkStart w:id="25" w:name="_Toc303"/>
      <w:bookmarkStart w:id="26" w:name="_Toc14891069"/>
      <w:r>
        <w:rPr>
          <w:rFonts w:hint="eastAsia" w:ascii="宋体" w:hAnsi="宋体" w:cs="宋体"/>
          <w:sz w:val="21"/>
          <w:szCs w:val="21"/>
        </w:rPr>
        <w:t>二、谈判文件</w:t>
      </w:r>
      <w:bookmarkEnd w:id="25"/>
      <w:bookmarkEnd w:id="2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w:t>
      </w:r>
    </w:p>
    <w:p>
      <w:pPr>
        <w:pStyle w:val="25"/>
        <w:adjustRightInd w:val="0"/>
        <w:snapToGrid w:val="0"/>
        <w:spacing w:line="360" w:lineRule="auto"/>
        <w:ind w:firstLine="420" w:firstLineChars="200"/>
        <w:rPr>
          <w:rFonts w:hAnsi="宋体" w:cs="宋体"/>
        </w:rPr>
      </w:pPr>
      <w:r>
        <w:rPr>
          <w:rFonts w:hint="eastAsia" w:hAnsi="宋体" w:cs="宋体"/>
        </w:rPr>
        <w:t>第五章 合同格式条款</w:t>
      </w:r>
    </w:p>
    <w:p>
      <w:pPr>
        <w:pStyle w:val="25"/>
        <w:adjustRightInd w:val="0"/>
        <w:snapToGrid w:val="0"/>
        <w:spacing w:line="360" w:lineRule="auto"/>
        <w:ind w:firstLine="420" w:firstLineChars="200"/>
        <w:rPr>
          <w:rFonts w:hAnsi="宋体" w:cs="宋体"/>
        </w:rPr>
      </w:pPr>
      <w:r>
        <w:rPr>
          <w:rFonts w:hint="eastAsia" w:hAnsi="宋体" w:cs="宋体"/>
        </w:rPr>
        <w:t>第六章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4"/>
        <w:keepNext w:val="0"/>
        <w:keepLines w:val="0"/>
        <w:rPr>
          <w:rFonts w:ascii="宋体" w:hAnsi="宋体" w:cs="宋体"/>
          <w:sz w:val="21"/>
          <w:szCs w:val="21"/>
        </w:rPr>
      </w:pPr>
      <w:bookmarkStart w:id="27" w:name="_Toc14891070"/>
      <w:bookmarkStart w:id="28" w:name="_Toc9387"/>
      <w:r>
        <w:rPr>
          <w:rFonts w:hint="eastAsia" w:ascii="宋体" w:hAnsi="宋体" w:cs="宋体"/>
          <w:sz w:val="21"/>
          <w:szCs w:val="21"/>
        </w:rPr>
        <w:t>三、响应文件</w:t>
      </w:r>
      <w:bookmarkEnd w:id="27"/>
      <w:bookmarkEnd w:id="2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29"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29"/>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Ansi="宋体"/>
          <w:b/>
          <w:bCs/>
          <w:szCs w:val="21"/>
        </w:rPr>
      </w:pPr>
      <w:r>
        <w:rPr>
          <w:rFonts w:hint="eastAsia" w:ascii="宋体" w:hAnsi="宋体"/>
          <w:b/>
          <w:bCs/>
          <w:szCs w:val="21"/>
        </w:rPr>
        <w:t>10.6</w:t>
      </w:r>
      <w:r>
        <w:rPr>
          <w:rFonts w:hint="eastAsia" w:hAnsi="宋体"/>
          <w:b/>
          <w:bCs/>
          <w:szCs w:val="21"/>
        </w:rPr>
        <w:t>响应</w:t>
      </w:r>
      <w:r>
        <w:rPr>
          <w:rFonts w:hAnsi="宋体"/>
          <w:b/>
          <w:bCs/>
          <w:szCs w:val="21"/>
        </w:rPr>
        <w:t>文件应当对</w:t>
      </w:r>
      <w:r>
        <w:rPr>
          <w:rFonts w:hint="eastAsia" w:hAnsi="宋体"/>
          <w:b/>
          <w:bCs/>
          <w:szCs w:val="21"/>
        </w:rPr>
        <w:t>谈判</w:t>
      </w:r>
      <w:r>
        <w:rPr>
          <w:rFonts w:hAnsi="宋体"/>
          <w:b/>
          <w:bCs/>
          <w:szCs w:val="21"/>
        </w:rPr>
        <w:t>文件的实质性要求和条件作出满足性或更有利于</w:t>
      </w:r>
      <w:r>
        <w:rPr>
          <w:rFonts w:hint="eastAsia" w:hAnsi="宋体"/>
          <w:b/>
          <w:bCs/>
          <w:szCs w:val="21"/>
        </w:rPr>
        <w:t>采购单位</w:t>
      </w:r>
      <w:r>
        <w:rPr>
          <w:rFonts w:hAnsi="宋体"/>
          <w:b/>
          <w:bCs/>
          <w:szCs w:val="21"/>
        </w:rPr>
        <w:t>的响应，</w:t>
      </w:r>
      <w:bookmarkStart w:id="30" w:name="page22"/>
      <w:bookmarkEnd w:id="30"/>
      <w:r>
        <w:rPr>
          <w:rFonts w:hAnsi="宋体"/>
          <w:b/>
          <w:bCs/>
          <w:szCs w:val="21"/>
        </w:rPr>
        <w:t>否则，</w:t>
      </w:r>
      <w:r>
        <w:rPr>
          <w:rFonts w:hint="eastAsia" w:hAnsi="宋体"/>
          <w:b/>
          <w:bCs/>
          <w:szCs w:val="21"/>
        </w:rPr>
        <w:t>谈判单位</w:t>
      </w:r>
      <w:r>
        <w:rPr>
          <w:rFonts w:hAnsi="宋体"/>
          <w:b/>
          <w:bCs/>
          <w:szCs w:val="21"/>
        </w:rPr>
        <w:t>的投标将被否决。实质性要求和条件见</w:t>
      </w:r>
      <w:r>
        <w:rPr>
          <w:rFonts w:hint="eastAsia" w:hAnsi="宋体"/>
          <w:b/>
          <w:bCs/>
          <w:szCs w:val="21"/>
        </w:rPr>
        <w:t>谈判</w:t>
      </w:r>
      <w:r>
        <w:rPr>
          <w:rFonts w:hAnsi="宋体"/>
          <w:b/>
          <w:bCs/>
          <w:szCs w:val="21"/>
        </w:rPr>
        <w:t>须知前附表。</w:t>
      </w:r>
    </w:p>
    <w:p>
      <w:pPr>
        <w:pStyle w:val="356"/>
        <w:jc w:val="both"/>
        <w:rPr>
          <w:rFonts w:hAnsi="宋体"/>
          <w:b/>
          <w:bCs/>
          <w:sz w:val="21"/>
          <w:szCs w:val="21"/>
        </w:rPr>
      </w:pPr>
      <w:r>
        <w:rPr>
          <w:rFonts w:hint="eastAsia" w:hAnsi="宋体"/>
          <w:b/>
          <w:bCs/>
          <w:sz w:val="21"/>
          <w:szCs w:val="21"/>
        </w:rPr>
        <w:t>10.7响应</w:t>
      </w:r>
      <w:r>
        <w:rPr>
          <w:rFonts w:hAnsi="宋体"/>
          <w:b/>
          <w:bCs/>
          <w:sz w:val="21"/>
          <w:szCs w:val="21"/>
        </w:rPr>
        <w:t>文件</w:t>
      </w:r>
      <w:r>
        <w:rPr>
          <w:rFonts w:hint="eastAsia" w:hAnsi="宋体"/>
          <w:b/>
          <w:bCs/>
          <w:sz w:val="21"/>
          <w:szCs w:val="21"/>
        </w:rPr>
        <w:t>对谈判</w:t>
      </w:r>
      <w:r>
        <w:rPr>
          <w:rFonts w:hAnsi="宋体"/>
          <w:b/>
          <w:bCs/>
          <w:sz w:val="21"/>
          <w:szCs w:val="21"/>
        </w:rPr>
        <w:t>文件</w:t>
      </w:r>
      <w:r>
        <w:rPr>
          <w:rFonts w:hint="eastAsia" w:hAnsi="宋体"/>
          <w:b/>
          <w:bCs/>
          <w:sz w:val="21"/>
          <w:szCs w:val="21"/>
        </w:rPr>
        <w:t>标注“★”符号</w:t>
      </w:r>
      <w:r>
        <w:rPr>
          <w:rFonts w:hAnsi="宋体"/>
          <w:b/>
          <w:bCs/>
          <w:sz w:val="21"/>
          <w:szCs w:val="21"/>
        </w:rPr>
        <w:t>的实质性要求和条件</w:t>
      </w:r>
      <w:r>
        <w:rPr>
          <w:rFonts w:hint="eastAsia" w:hAnsi="宋体"/>
          <w:b/>
          <w:bCs/>
          <w:sz w:val="21"/>
          <w:szCs w:val="21"/>
        </w:rPr>
        <w:t>的</w:t>
      </w:r>
      <w:r>
        <w:rPr>
          <w:rFonts w:hAnsi="宋体"/>
          <w:b/>
          <w:bCs/>
          <w:sz w:val="21"/>
          <w:szCs w:val="21"/>
        </w:rPr>
        <w:t>响应，均须</w:t>
      </w:r>
      <w:r>
        <w:rPr>
          <w:rFonts w:hint="eastAsia" w:hAnsi="宋体"/>
          <w:b/>
          <w:bCs/>
          <w:sz w:val="21"/>
          <w:szCs w:val="21"/>
        </w:rPr>
        <w:t>按谈判</w:t>
      </w:r>
      <w:r>
        <w:rPr>
          <w:rFonts w:hAnsi="宋体"/>
          <w:b/>
          <w:bCs/>
          <w:sz w:val="21"/>
          <w:szCs w:val="21"/>
        </w:rPr>
        <w:t>文件要求在</w:t>
      </w:r>
      <w:r>
        <w:rPr>
          <w:rFonts w:hint="eastAsia" w:hAnsi="宋体"/>
          <w:b/>
          <w:bCs/>
          <w:sz w:val="21"/>
          <w:szCs w:val="21"/>
        </w:rPr>
        <w:t>响应</w:t>
      </w:r>
      <w:r>
        <w:rPr>
          <w:rFonts w:hAnsi="宋体"/>
          <w:b/>
          <w:bCs/>
          <w:sz w:val="21"/>
          <w:szCs w:val="21"/>
        </w:rPr>
        <w:t>文件的《</w:t>
      </w:r>
      <w:r>
        <w:rPr>
          <w:rFonts w:hint="eastAsia" w:hAnsi="宋体"/>
          <w:b/>
          <w:bCs/>
          <w:sz w:val="21"/>
          <w:szCs w:val="21"/>
        </w:rPr>
        <w:t>实质性条款（标注“★”符号）响应表</w:t>
      </w:r>
      <w:r>
        <w:rPr>
          <w:rFonts w:hAnsi="宋体"/>
          <w:b/>
          <w:bCs/>
          <w:sz w:val="21"/>
          <w:szCs w:val="21"/>
        </w:rPr>
        <w:t>》</w:t>
      </w:r>
      <w:r>
        <w:rPr>
          <w:rFonts w:hint="eastAsia" w:hAnsi="宋体"/>
          <w:b/>
          <w:bCs/>
          <w:sz w:val="21"/>
          <w:szCs w:val="21"/>
        </w:rPr>
        <w:t>中</w:t>
      </w:r>
      <w:r>
        <w:rPr>
          <w:rFonts w:hAnsi="宋体"/>
          <w:b/>
          <w:bCs/>
          <w:sz w:val="21"/>
          <w:szCs w:val="21"/>
        </w:rPr>
        <w:t>列明，《</w:t>
      </w:r>
      <w:r>
        <w:rPr>
          <w:rFonts w:hint="eastAsia" w:hAnsi="宋体"/>
          <w:b/>
          <w:bCs/>
          <w:sz w:val="21"/>
          <w:szCs w:val="21"/>
        </w:rPr>
        <w:t>实质性条款（标注“★”符号）响应表</w:t>
      </w:r>
      <w:r>
        <w:rPr>
          <w:rFonts w:hAnsi="宋体"/>
          <w:b/>
          <w:bCs/>
          <w:sz w:val="21"/>
          <w:szCs w:val="21"/>
        </w:rPr>
        <w:t>》</w:t>
      </w:r>
      <w:r>
        <w:rPr>
          <w:rFonts w:hint="eastAsia" w:hAnsi="宋体"/>
          <w:b/>
          <w:bCs/>
          <w:sz w:val="21"/>
          <w:szCs w:val="21"/>
        </w:rPr>
        <w:t>中缺项</w:t>
      </w:r>
      <w:r>
        <w:rPr>
          <w:rFonts w:hAnsi="宋体"/>
          <w:b/>
          <w:bCs/>
          <w:sz w:val="21"/>
          <w:szCs w:val="21"/>
        </w:rPr>
        <w:t>、漏项</w:t>
      </w:r>
      <w:r>
        <w:rPr>
          <w:rFonts w:hint="eastAsia" w:hAnsi="宋体"/>
          <w:b/>
          <w:bCs/>
          <w:sz w:val="21"/>
          <w:szCs w:val="21"/>
        </w:rPr>
        <w:t>或者任意</w:t>
      </w:r>
      <w:r>
        <w:rPr>
          <w:rFonts w:hAnsi="宋体"/>
          <w:b/>
          <w:bCs/>
          <w:sz w:val="21"/>
          <w:szCs w:val="21"/>
        </w:rPr>
        <w:t>一项</w:t>
      </w:r>
      <w:r>
        <w:rPr>
          <w:rFonts w:hint="eastAsia" w:hAnsi="宋体"/>
          <w:b/>
          <w:bCs/>
          <w:sz w:val="21"/>
          <w:szCs w:val="21"/>
        </w:rPr>
        <w:t>不响应谈判</w:t>
      </w:r>
      <w:r>
        <w:rPr>
          <w:rFonts w:hAnsi="宋体"/>
          <w:b/>
          <w:bCs/>
          <w:sz w:val="21"/>
          <w:szCs w:val="21"/>
        </w:rPr>
        <w:t>文件的，</w:t>
      </w:r>
      <w:r>
        <w:rPr>
          <w:rFonts w:hint="eastAsia" w:hAnsi="宋体"/>
          <w:b/>
          <w:bCs/>
          <w:sz w:val="21"/>
          <w:szCs w:val="21"/>
        </w:rPr>
        <w:t>投标</w:t>
      </w:r>
      <w:r>
        <w:rPr>
          <w:rFonts w:hAnsi="宋体"/>
          <w:b/>
          <w:bCs/>
          <w:sz w:val="21"/>
          <w:szCs w:val="21"/>
        </w:rPr>
        <w:t>将被否决。</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11.1响应文件应包括下列内容：</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（1）谈判承诺书</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（2）法定代表人身份证明书</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（3）授权委托书</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（4）谈判单位资格条件证明文件</w:t>
      </w:r>
    </w:p>
    <w:p>
      <w:pPr>
        <w:pStyle w:val="25"/>
        <w:adjustRightInd w:val="0"/>
        <w:snapToGrid w:val="0"/>
        <w:spacing w:line="360" w:lineRule="auto"/>
        <w:ind w:firstLine="422" w:firstLineChars="200"/>
        <w:rPr>
          <w:rFonts w:hAnsi="宋体" w:cs="宋体"/>
          <w:b/>
          <w:bCs/>
          <w:color w:val="auto"/>
        </w:rPr>
      </w:pPr>
      <w:r>
        <w:rPr>
          <w:rFonts w:hint="eastAsia" w:hAnsi="宋体" w:cs="宋体"/>
          <w:b/>
          <w:bCs/>
          <w:color w:val="auto"/>
        </w:rPr>
        <w:t>（5）</w:t>
      </w:r>
      <w:r>
        <w:rPr>
          <w:rFonts w:hint="eastAsia" w:hAnsi="宋体"/>
          <w:b/>
          <w:bCs/>
          <w:color w:val="auto"/>
        </w:rPr>
        <w:t>实质性条款（标注“★”符号）响应表</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（6）报价一览表</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w:t>
      </w:r>
      <w:r>
        <w:rPr>
          <w:rFonts w:hint="eastAsia" w:hAnsi="宋体" w:cs="宋体"/>
          <w:color w:val="auto"/>
          <w:lang w:val="en-US" w:eastAsia="zh-CN"/>
        </w:rPr>
        <w:t>7</w:t>
      </w:r>
      <w:r>
        <w:rPr>
          <w:rFonts w:hint="eastAsia" w:hAnsi="宋体" w:cs="宋体"/>
          <w:color w:val="auto"/>
        </w:rPr>
        <w:t>）其他资料（如有）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szCs w:val="21"/>
        </w:rPr>
        <w:t>12.1谈判单位应按第六章“响应文件格式”的要求在报价文件中进行报价。</w:t>
      </w:r>
      <w:r>
        <w:rPr>
          <w:rFonts w:hint="eastAsia" w:ascii="宋体" w:hAnsi="宋体" w:cs="宋体"/>
          <w:color w:val="auto"/>
          <w:szCs w:val="21"/>
        </w:rPr>
        <w:t>谈判时需明确税费，税率必须符合国家政策法规规定，合同支付时服务单位需开具经</w:t>
      </w:r>
      <w:r>
        <w:rPr>
          <w:rFonts w:hint="eastAsia" w:ascii="宋体" w:hAnsi="宋体" w:cs="宋体"/>
          <w:b/>
          <w:color w:val="auto"/>
          <w:szCs w:val="21"/>
        </w:rPr>
        <w:t>采购单位</w:t>
      </w:r>
      <w:r>
        <w:rPr>
          <w:rFonts w:hint="eastAsia" w:ascii="宋体" w:hAnsi="宋体" w:cs="宋体"/>
          <w:color w:val="auto"/>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3</w:t>
      </w:r>
      <w:r>
        <w:rPr>
          <w:rFonts w:hint="eastAsia" w:ascii="宋体" w:hAnsi="宋体" w:cs="宋体"/>
          <w:szCs w:val="21"/>
        </w:rPr>
        <w:t>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4</w:t>
      </w:r>
      <w:r>
        <w:rPr>
          <w:rFonts w:hint="eastAsia" w:ascii="宋体" w:hAnsi="宋体" w:cs="宋体"/>
          <w:szCs w:val="21"/>
        </w:rPr>
        <w:t>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5"/>
        <w:adjustRightInd w:val="0"/>
        <w:snapToGrid w:val="0"/>
        <w:spacing w:line="360" w:lineRule="auto"/>
        <w:ind w:firstLine="420" w:firstLineChars="200"/>
        <w:rPr>
          <w:rFonts w:hAnsi="宋体" w:cs="宋体"/>
        </w:rPr>
      </w:pPr>
      <w:r>
        <w:rPr>
          <w:rFonts w:hint="eastAsia" w:hAnsi="宋体" w:cs="宋体"/>
        </w:rPr>
        <w:t>12.</w:t>
      </w:r>
      <w:r>
        <w:rPr>
          <w:rFonts w:hint="eastAsia" w:hAnsi="宋体" w:cs="宋体"/>
          <w:lang w:val="en-US" w:eastAsia="zh-CN"/>
        </w:rPr>
        <w:t>5</w:t>
      </w:r>
      <w:r>
        <w:rPr>
          <w:rFonts w:hint="eastAsia" w:hAnsi="宋体" w:cs="宋体"/>
        </w:rPr>
        <w:t>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w:t>
      </w:r>
      <w:r>
        <w:rPr>
          <w:rFonts w:hint="eastAsia" w:ascii="宋体" w:hAnsi="宋体" w:cs="宋体"/>
          <w:bCs/>
          <w:szCs w:val="21"/>
          <w:lang w:val="en-US" w:eastAsia="zh-CN"/>
        </w:rPr>
        <w:t>6</w:t>
      </w:r>
      <w:r>
        <w:rPr>
          <w:rFonts w:hint="eastAsia" w:ascii="宋体" w:hAnsi="宋体" w:cs="宋体"/>
          <w:bCs/>
          <w:szCs w:val="21"/>
        </w:rPr>
        <w:t>最低报价不能作为中选的保证。</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rPr>
      </w:pPr>
      <w:bookmarkStart w:id="31" w:name="_Toc1468"/>
      <w:bookmarkStart w:id="32" w:name="_Toc14891071"/>
      <w:r>
        <w:rPr>
          <w:rFonts w:hint="eastAsia" w:ascii="宋体" w:hAnsi="宋体" w:cs="宋体"/>
          <w:sz w:val="21"/>
          <w:szCs w:val="21"/>
        </w:rPr>
        <w:t>四、响应文件的递交</w:t>
      </w:r>
      <w:bookmarkEnd w:id="31"/>
      <w:bookmarkEnd w:id="32"/>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4"/>
        <w:keepNext w:val="0"/>
        <w:keepLines w:val="0"/>
        <w:rPr>
          <w:rFonts w:ascii="宋体" w:hAnsi="宋体" w:cs="宋体"/>
          <w:sz w:val="21"/>
          <w:szCs w:val="21"/>
        </w:rPr>
      </w:pPr>
      <w:bookmarkStart w:id="33" w:name="_Toc14891072"/>
      <w:bookmarkStart w:id="34" w:name="_Toc13483"/>
      <w:r>
        <w:rPr>
          <w:rFonts w:hint="eastAsia" w:ascii="宋体" w:hAnsi="宋体" w:cs="宋体"/>
          <w:sz w:val="21"/>
          <w:szCs w:val="21"/>
        </w:rPr>
        <w:t>五、响应文件的评审</w:t>
      </w:r>
      <w:bookmarkEnd w:id="33"/>
      <w:bookmarkEnd w:id="34"/>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18.评审由谈判评审小组负责，谈判评审小组应按照本谈判文件第三章“评审办法及标准”的内容和程序对响应文件进行评审。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rPr>
      </w:pPr>
      <w:bookmarkStart w:id="35" w:name="_Toc21358"/>
      <w:bookmarkStart w:id="36" w:name="_Toc14891073"/>
      <w:r>
        <w:rPr>
          <w:rFonts w:hint="eastAsia" w:ascii="宋体" w:hAnsi="宋体" w:cs="宋体"/>
          <w:sz w:val="21"/>
          <w:szCs w:val="21"/>
        </w:rPr>
        <w:t>六、响应文件的澄清、说明及补正</w:t>
      </w:r>
      <w:bookmarkEnd w:id="35"/>
      <w:bookmarkEnd w:id="36"/>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20.3与谈判文件有重大偏离的响应文件将被拒绝。重大偏离指谈判总报价、谈判有效期、服务期明显不能满足谈判文件的要求。这些偏离不允许在响应文件递交截止时间之后修正。</w:t>
      </w:r>
    </w:p>
    <w:p>
      <w:pPr>
        <w:pStyle w:val="4"/>
        <w:keepNext w:val="0"/>
        <w:keepLines w:val="0"/>
        <w:rPr>
          <w:rFonts w:ascii="宋体" w:hAnsi="宋体" w:cs="宋体"/>
          <w:sz w:val="21"/>
          <w:szCs w:val="21"/>
        </w:rPr>
      </w:pPr>
      <w:bookmarkStart w:id="37" w:name="_Toc14891074"/>
      <w:bookmarkStart w:id="38" w:name="_Toc20130"/>
      <w:r>
        <w:rPr>
          <w:rFonts w:hint="eastAsia" w:ascii="宋体" w:hAnsi="宋体" w:cs="宋体"/>
          <w:sz w:val="21"/>
          <w:szCs w:val="21"/>
        </w:rPr>
        <w:t>七、中选结果与授予合同</w:t>
      </w:r>
      <w:bookmarkEnd w:id="37"/>
      <w:bookmarkEnd w:id="3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9" w:name="page32"/>
      <w:bookmarkEnd w:id="39"/>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rPr>
      </w:pPr>
      <w:bookmarkStart w:id="40" w:name="_Toc14891075"/>
      <w:bookmarkStart w:id="41" w:name="_Toc2045"/>
      <w:r>
        <w:rPr>
          <w:rFonts w:hint="eastAsia" w:ascii="宋体" w:hAnsi="宋体" w:cs="宋体"/>
          <w:sz w:val="21"/>
          <w:szCs w:val="21"/>
        </w:rPr>
        <w:t>八、其他</w:t>
      </w:r>
      <w:bookmarkEnd w:id="40"/>
      <w:bookmarkEnd w:id="41"/>
    </w:p>
    <w:p>
      <w:pPr>
        <w:adjustRightInd w:val="0"/>
        <w:snapToGrid w:val="0"/>
        <w:spacing w:line="360" w:lineRule="auto"/>
        <w:ind w:firstLine="420" w:firstLineChars="200"/>
        <w:rPr>
          <w:rFonts w:hAnsi="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footerReference r:id="rId4" w:type="default"/>
          <w:pgSz w:w="11906" w:h="16838"/>
          <w:pgMar w:top="1440" w:right="849" w:bottom="1440" w:left="1797" w:header="851" w:footer="851" w:gutter="0"/>
          <w:cols w:space="720" w:num="1"/>
          <w:docGrid w:linePitch="312" w:charSpace="0"/>
        </w:sectPr>
      </w:pPr>
    </w:p>
    <w:p>
      <w:pPr>
        <w:adjustRightInd w:val="0"/>
        <w:snapToGrid w:val="0"/>
        <w:spacing w:line="360" w:lineRule="auto"/>
        <w:jc w:val="left"/>
        <w:rPr>
          <w:rFonts w:ascii="宋体" w:hAnsi="宋体" w:cs="宋体"/>
          <w:b/>
          <w:bCs/>
          <w:szCs w:val="21"/>
        </w:rPr>
      </w:pPr>
      <w:r>
        <w:rPr>
          <w:rFonts w:hint="eastAsia" w:ascii="宋体" w:hAnsi="宋体" w:cs="宋体"/>
          <w:b/>
          <w:bCs/>
          <w:szCs w:val="21"/>
        </w:rPr>
        <w:t>附件：采购代理服务费收费标准</w:t>
      </w:r>
    </w:p>
    <w:p>
      <w:pPr>
        <w:pStyle w:val="2"/>
        <w:jc w:val="center"/>
      </w:pPr>
      <w:r>
        <w:rPr>
          <w:rFonts w:hint="eastAsia" w:ascii="宋体" w:hAnsi="宋体" w:cs="宋体"/>
          <w:b/>
          <w:szCs w:val="21"/>
        </w:rPr>
        <w:t>采购代理服务费收费参照汇率表</w:t>
      </w:r>
    </w:p>
    <w:tbl>
      <w:tblPr>
        <w:tblStyle w:val="47"/>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rPr>
            </w:pPr>
            <w:r>
              <w:rPr>
                <w:rFonts w:hint="eastAsia" w:ascii="宋体" w:hAnsi="宋体"/>
                <w:szCs w:val="21"/>
              </w:rPr>
              <w:t>汇率</w:t>
            </w:r>
          </w:p>
          <w:p>
            <w:pPr>
              <w:adjustRightInd w:val="0"/>
              <w:snapToGrid w:val="0"/>
              <w:rPr>
                <w:rFonts w:ascii="宋体" w:hAnsi="宋体"/>
                <w:szCs w:val="21"/>
              </w:rPr>
            </w:pPr>
            <w:r>
              <w:rPr>
                <w:rFonts w:hint="eastAsia" w:ascii="宋体" w:hAnsi="宋体"/>
                <w:szCs w:val="21"/>
              </w:rPr>
              <w:t>中</w:t>
            </w:r>
            <w:r>
              <w:rPr>
                <w:rFonts w:ascii="宋体" w:hAnsi="宋体"/>
                <w:szCs w:val="21"/>
              </w:rPr>
              <w:t>选金额</w:t>
            </w:r>
          </w:p>
        </w:tc>
        <w:tc>
          <w:tcPr>
            <w:tcW w:w="2451"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服务</w:t>
            </w:r>
            <w:r>
              <w:rPr>
                <w:rFonts w:ascii="宋体" w:hAnsi="宋体"/>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100万</w:t>
            </w:r>
            <w:r>
              <w:rPr>
                <w:rFonts w:ascii="宋体" w:hAnsi="宋体"/>
                <w:szCs w:val="21"/>
              </w:rPr>
              <w:t>元以下</w:t>
            </w:r>
          </w:p>
        </w:tc>
        <w:tc>
          <w:tcPr>
            <w:tcW w:w="2451" w:type="dxa"/>
            <w:vAlign w:val="center"/>
          </w:tcPr>
          <w:p>
            <w:pPr>
              <w:adjustRightInd w:val="0"/>
              <w:snapToGrid w:val="0"/>
              <w:jc w:val="center"/>
              <w:rPr>
                <w:rFonts w:ascii="宋体" w:hAnsi="宋体"/>
                <w:szCs w:val="21"/>
              </w:rPr>
            </w:pPr>
            <w:r>
              <w:rPr>
                <w:rFonts w:hint="eastAsia" w:ascii="宋体" w:hAnsi="宋体"/>
                <w:szCs w:val="21"/>
              </w:rPr>
              <w:t>1.5%</w:t>
            </w:r>
          </w:p>
        </w:tc>
        <w:tc>
          <w:tcPr>
            <w:tcW w:w="2325" w:type="dxa"/>
            <w:vAlign w:val="center"/>
          </w:tcPr>
          <w:p>
            <w:pPr>
              <w:adjustRightInd w:val="0"/>
              <w:snapToGrid w:val="0"/>
              <w:jc w:val="center"/>
              <w:rPr>
                <w:rFonts w:ascii="宋体" w:hAnsi="宋体"/>
                <w:szCs w:val="21"/>
              </w:rPr>
            </w:pPr>
            <w:r>
              <w:rPr>
                <w:rFonts w:hint="eastAsia" w:ascii="宋体" w:hAnsi="宋体"/>
                <w:szCs w:val="21"/>
              </w:rPr>
              <w:t>1.5%</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100～400万</w:t>
            </w:r>
            <w:r>
              <w:rPr>
                <w:rFonts w:ascii="宋体" w:hAnsi="宋体"/>
                <w:szCs w:val="21"/>
              </w:rPr>
              <w:t>元</w:t>
            </w:r>
          </w:p>
        </w:tc>
        <w:tc>
          <w:tcPr>
            <w:tcW w:w="2451" w:type="dxa"/>
            <w:vAlign w:val="center"/>
          </w:tcPr>
          <w:p>
            <w:pPr>
              <w:adjustRightInd w:val="0"/>
              <w:snapToGrid w:val="0"/>
              <w:jc w:val="center"/>
              <w:rPr>
                <w:rFonts w:ascii="宋体" w:hAnsi="宋体"/>
                <w:szCs w:val="21"/>
              </w:rPr>
            </w:pPr>
            <w:r>
              <w:rPr>
                <w:rFonts w:hint="eastAsia" w:ascii="宋体" w:hAnsi="宋体"/>
                <w:szCs w:val="21"/>
              </w:rPr>
              <w:t>1.1%</w:t>
            </w:r>
          </w:p>
        </w:tc>
        <w:tc>
          <w:tcPr>
            <w:tcW w:w="2325" w:type="dxa"/>
            <w:vAlign w:val="center"/>
          </w:tcPr>
          <w:p>
            <w:pPr>
              <w:adjustRightInd w:val="0"/>
              <w:snapToGrid w:val="0"/>
              <w:jc w:val="center"/>
              <w:rPr>
                <w:rFonts w:ascii="宋体" w:hAnsi="宋体"/>
                <w:szCs w:val="21"/>
              </w:rPr>
            </w:pPr>
            <w:r>
              <w:rPr>
                <w:rFonts w:hint="eastAsia" w:ascii="宋体" w:hAnsi="宋体"/>
                <w:szCs w:val="21"/>
              </w:rPr>
              <w:t>0.8%</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w:t>
            </w:r>
            <w:r>
              <w:rPr>
                <w:rFonts w:hint="eastAsia" w:ascii="宋体" w:hAnsi="宋体"/>
                <w:szCs w:val="21"/>
              </w:rPr>
              <w:t>费</w:t>
            </w:r>
            <w:r>
              <w:rPr>
                <w:rFonts w:ascii="宋体" w:hAnsi="宋体"/>
                <w:szCs w:val="21"/>
              </w:rPr>
              <w:t>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440" w:right="1797" w:bottom="1440" w:left="1797" w:header="851" w:footer="851" w:gutter="0"/>
          <w:cols w:space="720" w:num="1"/>
          <w:docGrid w:linePitch="312" w:charSpace="0"/>
        </w:sectPr>
      </w:pPr>
      <w:r>
        <w:rPr>
          <w:rFonts w:hint="eastAsia" w:ascii="宋体" w:hAnsi="宋体" w:cs="宋体"/>
          <w:szCs w:val="21"/>
        </w:rPr>
        <w:t>本项目采购代理服务费为2万元</w:t>
      </w:r>
    </w:p>
    <w:p>
      <w:pPr>
        <w:pStyle w:val="3"/>
        <w:keepNext w:val="0"/>
        <w:spacing w:line="360" w:lineRule="auto"/>
        <w:rPr>
          <w:rFonts w:ascii="宋体" w:hAnsi="宋体" w:cs="宋体"/>
          <w:bCs w:val="0"/>
          <w:sz w:val="32"/>
          <w:szCs w:val="32"/>
        </w:rPr>
      </w:pPr>
      <w:bookmarkStart w:id="42" w:name="_Toc4275"/>
      <w:bookmarkStart w:id="43" w:name="_Toc28427"/>
      <w:bookmarkStart w:id="44" w:name="_Toc1719"/>
      <w:bookmarkStart w:id="45" w:name="_Toc5567"/>
      <w:r>
        <w:rPr>
          <w:rFonts w:hint="eastAsia" w:ascii="宋体" w:hAnsi="宋体" w:cs="宋体"/>
          <w:bCs w:val="0"/>
          <w:sz w:val="32"/>
          <w:szCs w:val="32"/>
        </w:rPr>
        <w:t>第三章  评审办法及标准</w:t>
      </w:r>
      <w:bookmarkEnd w:id="42"/>
      <w:bookmarkEnd w:id="43"/>
      <w:bookmarkEnd w:id="44"/>
      <w:bookmarkEnd w:id="45"/>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督员、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w:t>
      </w:r>
      <w:r>
        <w:t>相关资料</w:t>
      </w:r>
      <w:r>
        <w:rPr>
          <w:rFonts w:hint="eastAsia" w:ascii="宋体" w:hAnsi="宋体" w:cs="宋体"/>
          <w:szCs w:val="21"/>
        </w:rPr>
        <w:t>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（4）不满足用户需求书要求的。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w:t>
      </w:r>
      <w:r>
        <w:rPr>
          <w:rFonts w:hint="eastAsia" w:ascii="宋体" w:hAnsi="宋体" w:cs="宋体"/>
          <w:color w:val="auto"/>
          <w:kern w:val="0"/>
          <w:szCs w:val="21"/>
        </w:rPr>
        <w:t>超过</w:t>
      </w:r>
      <w:r>
        <w:rPr>
          <w:rFonts w:hint="eastAsia" w:ascii="宋体" w:hAnsi="宋体" w:cs="宋体"/>
          <w:color w:val="auto"/>
          <w:kern w:val="0"/>
          <w:szCs w:val="21"/>
          <w:lang w:val="en-US" w:eastAsia="zh-CN"/>
        </w:rPr>
        <w:t>自主定价系数范围[0.65-1.35]的</w:t>
      </w:r>
      <w:r>
        <w:rPr>
          <w:rFonts w:hint="eastAsia" w:ascii="宋体" w:hAnsi="宋体" w:cs="宋体"/>
          <w:color w:val="auto"/>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w:t>
      </w:r>
    </w:p>
    <w:p>
      <w:pPr>
        <w:widowControl/>
        <w:adjustRightInd w:val="0"/>
        <w:snapToGrid w:val="0"/>
        <w:spacing w:line="360" w:lineRule="auto"/>
        <w:ind w:firstLine="422" w:firstLineChars="200"/>
        <w:rPr>
          <w:rFonts w:hint="eastAsia" w:ascii="宋体" w:hAnsi="宋体" w:cs="宋体"/>
          <w:kern w:val="0"/>
          <w:szCs w:val="21"/>
        </w:rPr>
      </w:pPr>
      <w:r>
        <w:rPr>
          <w:rFonts w:hint="eastAsia" w:ascii="宋体" w:hAnsi="宋体" w:cs="宋体"/>
          <w:b/>
          <w:bCs/>
          <w:szCs w:val="21"/>
          <w:lang w:val="en-US" w:eastAsia="zh-CN"/>
        </w:rPr>
        <w:t>5</w:t>
      </w:r>
      <w:r>
        <w:rPr>
          <w:rFonts w:hint="eastAsia" w:ascii="宋体" w:hAnsi="宋体" w:cs="宋体"/>
          <w:b/>
          <w:bCs/>
          <w:szCs w:val="21"/>
        </w:rPr>
        <w:t>.推荐中选单位</w:t>
      </w:r>
    </w:p>
    <w:p>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.1谈判评审小组应当在全部评审结束后，按照</w:t>
      </w:r>
      <w:r>
        <w:rPr>
          <w:rFonts w:hint="eastAsia" w:ascii="宋体" w:hAnsi="宋体" w:cs="宋体"/>
          <w:kern w:val="0"/>
          <w:szCs w:val="21"/>
          <w:lang w:val="en-US" w:eastAsia="zh-CN"/>
        </w:rPr>
        <w:t>自主定价系数</w:t>
      </w:r>
      <w:r>
        <w:rPr>
          <w:rFonts w:hint="eastAsia" w:ascii="宋体" w:hAnsi="宋体" w:cs="宋体"/>
          <w:kern w:val="0"/>
          <w:szCs w:val="21"/>
        </w:rPr>
        <w:t>由低到高顺序推荐1名中选单位，并填写评审报告。</w:t>
      </w:r>
    </w:p>
    <w:p>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.2全部评审结束后，若出现</w:t>
      </w:r>
      <w:r>
        <w:rPr>
          <w:rFonts w:hint="eastAsia" w:ascii="宋体" w:hAnsi="宋体" w:cs="宋体"/>
          <w:kern w:val="0"/>
          <w:szCs w:val="21"/>
          <w:lang w:val="en-US" w:eastAsia="zh-CN"/>
        </w:rPr>
        <w:t>自主定价系数</w:t>
      </w:r>
      <w:r>
        <w:rPr>
          <w:rFonts w:hint="eastAsia" w:ascii="宋体" w:hAnsi="宋体" w:cs="宋体"/>
          <w:kern w:val="0"/>
          <w:szCs w:val="21"/>
        </w:rPr>
        <w:t>相同的情形，则采用现场抽签方式确定中选单位。</w:t>
      </w:r>
    </w:p>
    <w:p>
      <w:pPr>
        <w:rPr>
          <w:rFonts w:ascii="宋体" w:hAnsi="宋体"/>
          <w:bCs/>
          <w:szCs w:val="21"/>
        </w:rPr>
        <w:sectPr>
          <w:pgSz w:w="11906" w:h="16838"/>
          <w:pgMar w:top="1440" w:right="1797" w:bottom="1440" w:left="1797" w:header="851" w:footer="851" w:gutter="0"/>
          <w:cols w:space="720" w:num="1"/>
          <w:docGrid w:linePitch="312" w:charSpace="0"/>
        </w:sectPr>
      </w:pPr>
      <w:r>
        <w:rPr>
          <w:rFonts w:hint="eastAsia" w:ascii="宋体" w:hAnsi="宋体" w:cs="宋体"/>
          <w:kern w:val="0"/>
          <w:szCs w:val="21"/>
        </w:rPr>
        <w:br w:type="page"/>
      </w:r>
    </w:p>
    <w:p>
      <w:pPr>
        <w:pStyle w:val="3"/>
        <w:keepNext w:val="0"/>
        <w:rPr>
          <w:rFonts w:ascii="宋体" w:hAnsi="宋体" w:cs="宋体"/>
          <w:bCs w:val="0"/>
          <w:sz w:val="32"/>
          <w:szCs w:val="32"/>
        </w:rPr>
      </w:pPr>
      <w:bookmarkStart w:id="46" w:name="_Toc17562"/>
      <w:bookmarkStart w:id="47" w:name="_Toc14891077"/>
      <w:bookmarkStart w:id="48" w:name="_Toc23442"/>
      <w:bookmarkStart w:id="49" w:name="_Toc18202"/>
      <w:bookmarkStart w:id="50" w:name="_Toc17997"/>
      <w:r>
        <w:rPr>
          <w:rFonts w:hint="eastAsia" w:ascii="宋体" w:hAnsi="宋体" w:cs="宋体"/>
          <w:bCs w:val="0"/>
          <w:sz w:val="32"/>
          <w:szCs w:val="32"/>
        </w:rPr>
        <w:t>第四章  用户需求书</w:t>
      </w:r>
      <w:bookmarkEnd w:id="46"/>
      <w:bookmarkEnd w:id="47"/>
      <w:bookmarkEnd w:id="48"/>
      <w:bookmarkEnd w:id="49"/>
      <w:bookmarkEnd w:id="50"/>
      <w:r>
        <w:rPr>
          <w:rFonts w:hint="eastAsia" w:ascii="宋体" w:hAnsi="宋体" w:cs="宋体"/>
          <w:bCs w:val="0"/>
          <w:sz w:val="32"/>
          <w:szCs w:val="32"/>
        </w:rPr>
        <w:t>（另册）</w:t>
      </w:r>
    </w:p>
    <w:p>
      <w:p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pStyle w:val="3"/>
        <w:keepNext w:val="0"/>
        <w:numPr>
          <w:ilvl w:val="0"/>
          <w:numId w:val="6"/>
        </w:numPr>
        <w:rPr>
          <w:rFonts w:hint="eastAsia" w:ascii="宋体" w:hAnsi="宋体" w:cs="宋体"/>
          <w:bCs w:val="0"/>
          <w:sz w:val="32"/>
          <w:szCs w:val="32"/>
        </w:rPr>
      </w:pPr>
      <w:bookmarkStart w:id="51" w:name="_Toc19554"/>
      <w:bookmarkStart w:id="52" w:name="_Toc14891078"/>
      <w:bookmarkStart w:id="53" w:name="_Toc22262"/>
      <w:bookmarkStart w:id="54" w:name="_Toc13521"/>
      <w:bookmarkStart w:id="55" w:name="_Toc17441"/>
      <w:r>
        <w:rPr>
          <w:rFonts w:hint="eastAsia" w:ascii="宋体" w:hAnsi="宋体" w:cs="宋体"/>
          <w:bCs w:val="0"/>
          <w:sz w:val="32"/>
          <w:szCs w:val="32"/>
        </w:rPr>
        <w:t xml:space="preserve"> 合同格式条款</w:t>
      </w:r>
      <w:bookmarkEnd w:id="51"/>
      <w:bookmarkEnd w:id="52"/>
      <w:bookmarkEnd w:id="53"/>
      <w:bookmarkEnd w:id="54"/>
      <w:bookmarkEnd w:id="55"/>
    </w:p>
    <w:p>
      <w:pPr>
        <w:widowControl w:val="0"/>
        <w:numPr>
          <w:ilvl w:val="0"/>
          <w:numId w:val="0"/>
        </w:numPr>
        <w:jc w:val="both"/>
        <w:rPr>
          <w:rFonts w:hint="eastAsia"/>
        </w:rPr>
      </w:pPr>
    </w:p>
    <w:p>
      <w:pPr>
        <w:keepNext w:val="0"/>
        <w:keepLines w:val="0"/>
        <w:widowControl w:val="0"/>
        <w:suppressLineNumbers w:val="0"/>
        <w:spacing w:before="0" w:beforeAutospacing="0" w:after="0" w:afterAutospacing="0" w:line="360" w:lineRule="auto"/>
        <w:ind w:left="0" w:right="0" w:firstLine="0"/>
        <w:jc w:val="left"/>
        <w:rPr>
          <w:rFonts w:hint="eastAsia" w:ascii="仿宋_GB2312" w:hAnsi="仿宋_GB2312" w:eastAsia="仿宋_GB2312" w:cs="仿宋_GB2312"/>
          <w:b/>
          <w:bCs w:val="0"/>
          <w:sz w:val="24"/>
          <w:szCs w:val="20"/>
          <w:lang w:val="en-US"/>
        </w:rPr>
      </w:pPr>
      <w:r>
        <w:rPr>
          <w:rFonts w:hint="eastAsia" w:ascii="仿宋_GB2312" w:hAnsi="仿宋_GB2312" w:eastAsia="仿宋_GB2312" w:cs="仿宋_GB2312"/>
          <w:b/>
          <w:bCs w:val="0"/>
          <w:kern w:val="2"/>
          <w:sz w:val="24"/>
          <w:szCs w:val="20"/>
          <w:lang w:val="en-US" w:eastAsia="zh-CN" w:bidi="ar"/>
        </w:rPr>
        <w:t>版本号：CSGDHT-CLBX2018-20201215</w:t>
      </w:r>
      <w:r>
        <w:rPr>
          <w:rFonts w:hint="eastAsia" w:ascii="仿宋_GB2312" w:hAnsi="仿宋_GB2312" w:eastAsia="仿宋_GB2312" w:cs="仿宋_GB2312"/>
          <w:b/>
          <w:bCs w:val="0"/>
          <w:kern w:val="2"/>
          <w:sz w:val="24"/>
          <w:szCs w:val="20"/>
          <w:lang w:val="en-US" w:eastAsia="zh-CN" w:bidi="ar"/>
        </w:rPr>
        <w:tab/>
      </w:r>
    </w:p>
    <w:p>
      <w:pPr>
        <w:keepNext w:val="0"/>
        <w:keepLines w:val="0"/>
        <w:widowControl w:val="0"/>
        <w:suppressLineNumbers w:val="0"/>
        <w:tabs>
          <w:tab w:val="center" w:pos="4153"/>
          <w:tab w:val="right" w:pos="8306"/>
        </w:tabs>
        <w:adjustRightInd w:val="0"/>
        <w:snapToGrid w:val="0"/>
        <w:spacing w:before="0" w:beforeAutospacing="0" w:after="0" w:afterAutospacing="0" w:line="360" w:lineRule="auto"/>
        <w:ind w:left="0" w:right="0" w:firstLine="0"/>
        <w:jc w:val="both"/>
        <w:rPr>
          <w:rFonts w:hint="eastAsia" w:ascii="仿宋_GB2312" w:hAnsi="仿宋_GB2312" w:eastAsia="仿宋_GB2312" w:cs="仿宋_GB2312"/>
          <w:b/>
          <w:bCs w:val="0"/>
          <w:sz w:val="24"/>
          <w:szCs w:val="20"/>
          <w:lang w:val="en-US"/>
        </w:rPr>
      </w:pPr>
    </w:p>
    <w:p>
      <w:pPr>
        <w:keepNext w:val="0"/>
        <w:keepLines w:val="0"/>
        <w:widowControl w:val="0"/>
        <w:suppressLineNumbers w:val="0"/>
        <w:tabs>
          <w:tab w:val="center" w:pos="4153"/>
          <w:tab w:val="right" w:pos="8306"/>
        </w:tabs>
        <w:adjustRightInd w:val="0"/>
        <w:snapToGrid w:val="0"/>
        <w:spacing w:before="0" w:beforeAutospacing="0" w:after="0" w:afterAutospacing="0" w:line="360" w:lineRule="auto"/>
        <w:ind w:left="0" w:right="0" w:firstLine="0"/>
        <w:jc w:val="right"/>
        <w:rPr>
          <w:rFonts w:hint="eastAsia" w:ascii="仿宋_GB2312" w:hAnsi="仿宋_GB2312" w:eastAsia="仿宋_GB2312" w:cs="仿宋_GB2312"/>
          <w:b/>
          <w:bCs w:val="0"/>
          <w:sz w:val="52"/>
          <w:szCs w:val="52"/>
          <w:lang w:val="en-US"/>
        </w:rPr>
      </w:pPr>
      <w:r>
        <w:rPr>
          <w:rFonts w:hint="eastAsia" w:ascii="仿宋_GB2312" w:hAnsi="仿宋_GB2312" w:eastAsia="仿宋_GB2312" w:cs="仿宋_GB2312"/>
          <w:b/>
          <w:bCs w:val="0"/>
          <w:kern w:val="2"/>
          <w:sz w:val="24"/>
          <w:szCs w:val="20"/>
          <w:lang w:val="en-US" w:eastAsia="zh-CN" w:bidi="ar"/>
        </w:rPr>
        <w:t>合同编号：</w:t>
      </w:r>
      <w:r>
        <w:rPr>
          <w:rFonts w:hint="eastAsia" w:ascii="仿宋_GB2312" w:hAnsi="仿宋_GB2312" w:eastAsia="仿宋_GB2312" w:cs="仿宋_GB2312"/>
          <w:kern w:val="2"/>
          <w:sz w:val="24"/>
          <w:szCs w:val="20"/>
          <w:u w:val="dotted"/>
          <w:lang w:val="en-US" w:eastAsia="zh-CN" w:bidi="ar"/>
        </w:rPr>
        <w:t xml:space="preserve">          合同【20  】   号</w:t>
      </w:r>
    </w:p>
    <w:p>
      <w:pPr>
        <w:keepNext w:val="0"/>
        <w:keepLines w:val="0"/>
        <w:widowControl w:val="0"/>
        <w:suppressLineNumbers w:val="0"/>
        <w:adjustRightInd w:val="0"/>
        <w:snapToGrid w:val="0"/>
        <w:spacing w:before="0" w:beforeAutospacing="0" w:after="0" w:afterAutospacing="0" w:line="360" w:lineRule="auto"/>
        <w:ind w:left="0" w:right="0" w:firstLine="0"/>
        <w:jc w:val="both"/>
        <w:rPr>
          <w:rFonts w:hint="eastAsia" w:ascii="仿宋_GB2312" w:hAnsi="仿宋_GB2312" w:eastAsia="仿宋_GB2312" w:cs="仿宋_GB2312"/>
          <w:szCs w:val="28"/>
          <w:u w:val="dotted"/>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right"/>
        <w:rPr>
          <w:rFonts w:hint="eastAsia" w:ascii="仿宋_GB2312" w:hAnsi="仿宋_GB2312" w:eastAsia="仿宋_GB2312" w:cs="仿宋_GB2312"/>
          <w:szCs w:val="28"/>
          <w:u w:val="dotted"/>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right"/>
        <w:rPr>
          <w:rFonts w:hint="eastAsia" w:ascii="仿宋_GB2312" w:hAnsi="仿宋_GB2312" w:eastAsia="仿宋_GB2312" w:cs="仿宋_GB2312"/>
          <w:szCs w:val="28"/>
          <w:u w:val="dotted"/>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right"/>
        <w:rPr>
          <w:rFonts w:hint="eastAsia" w:ascii="仿宋_GB2312" w:hAnsi="仿宋_GB2312" w:eastAsia="仿宋_GB2312" w:cs="仿宋_GB2312"/>
          <w:szCs w:val="28"/>
          <w:u w:val="dotted"/>
          <w:lang w:val="en-US"/>
        </w:rPr>
      </w:pPr>
    </w:p>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b/>
          <w:bCs w:val="0"/>
          <w:sz w:val="48"/>
          <w:szCs w:val="48"/>
          <w:lang w:val="en-US"/>
        </w:rPr>
      </w:pPr>
      <w:r>
        <w:rPr>
          <w:rFonts w:hint="eastAsia" w:ascii="仿宋_GB2312" w:hAnsi="仿宋_GB2312" w:eastAsia="仿宋_GB2312" w:cs="仿宋_GB2312"/>
          <w:b/>
          <w:bCs w:val="0"/>
          <w:kern w:val="0"/>
          <w:sz w:val="48"/>
          <w:szCs w:val="48"/>
          <w:lang w:val="en-US" w:eastAsia="zh-CN" w:bidi="ar"/>
        </w:rPr>
        <w:t>机动车辆保险合同</w:t>
      </w:r>
    </w:p>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b/>
          <w:bCs w:val="0"/>
          <w:kern w:val="0"/>
          <w:szCs w:val="28"/>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both"/>
        <w:rPr>
          <w:rFonts w:hint="eastAsia" w:ascii="仿宋_GB2312" w:hAnsi="仿宋_GB2312" w:eastAsia="仿宋_GB2312" w:cs="仿宋_GB2312"/>
          <w:b/>
          <w:bCs w:val="0"/>
          <w:sz w:val="30"/>
          <w:szCs w:val="30"/>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both"/>
        <w:rPr>
          <w:rFonts w:hint="eastAsia" w:ascii="仿宋_GB2312" w:hAnsi="仿宋_GB2312" w:eastAsia="仿宋_GB2312" w:cs="仿宋_GB2312"/>
          <w:b/>
          <w:bCs w:val="0"/>
          <w:sz w:val="30"/>
          <w:szCs w:val="30"/>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both"/>
        <w:rPr>
          <w:rFonts w:hint="eastAsia" w:ascii="仿宋_GB2312" w:hAnsi="仿宋_GB2312" w:eastAsia="仿宋_GB2312" w:cs="仿宋_GB2312"/>
          <w:b/>
          <w:bCs w:val="0"/>
          <w:sz w:val="30"/>
          <w:szCs w:val="30"/>
          <w:lang w:val="en-US"/>
        </w:rPr>
      </w:pPr>
    </w:p>
    <w:p>
      <w:pPr>
        <w:keepNext w:val="0"/>
        <w:keepLines w:val="0"/>
        <w:widowControl w:val="0"/>
        <w:suppressLineNumbers w:val="0"/>
        <w:adjustRightInd w:val="0"/>
        <w:snapToGrid w:val="0"/>
        <w:spacing w:before="0" w:beforeAutospacing="0" w:after="0" w:afterAutospacing="0" w:line="360" w:lineRule="auto"/>
        <w:ind w:left="0" w:right="0" w:firstLine="602" w:firstLineChars="200"/>
        <w:jc w:val="both"/>
        <w:rPr>
          <w:rFonts w:hint="eastAsia" w:ascii="仿宋_GB2312" w:hAnsi="仿宋_GB2312" w:eastAsia="仿宋_GB2312" w:cs="仿宋_GB2312"/>
          <w:b/>
          <w:bCs w:val="0"/>
          <w:kern w:val="2"/>
          <w:sz w:val="30"/>
          <w:szCs w:val="30"/>
          <w:lang w:val="en-US" w:eastAsia="zh-CN" w:bidi="ar"/>
        </w:rPr>
      </w:pPr>
      <w:r>
        <w:rPr>
          <w:rFonts w:hint="eastAsia" w:ascii="仿宋_GB2312" w:hAnsi="仿宋_GB2312" w:eastAsia="仿宋_GB2312" w:cs="仿宋_GB2312"/>
          <w:b/>
          <w:bCs w:val="0"/>
          <w:kern w:val="2"/>
          <w:sz w:val="30"/>
          <w:szCs w:val="30"/>
          <w:lang w:val="en-US" w:eastAsia="zh-CN" w:bidi="ar"/>
        </w:rPr>
        <w:t>项目名称：</w:t>
      </w:r>
      <w:r>
        <w:rPr>
          <w:rFonts w:hint="eastAsia" w:ascii="仿宋_GB2312" w:hAnsi="仿宋_GB2312" w:eastAsia="仿宋_GB2312" w:cs="仿宋_GB2312"/>
          <w:b/>
          <w:bCs w:val="0"/>
          <w:kern w:val="2"/>
          <w:sz w:val="30"/>
          <w:szCs w:val="30"/>
          <w:u w:val="dotted"/>
          <w:lang w:val="en-US" w:eastAsia="zh-CN" w:bidi="ar"/>
        </w:rPr>
        <w:t>长沙市轨道交通 1、2、3、4、5 号线运营期 2022 年公务用车保险定点服务项目</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u w:val="dotted"/>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u w:val="dotted"/>
          <w:lang w:val="en-US"/>
        </w:rPr>
      </w:pPr>
    </w:p>
    <w:p>
      <w:pPr>
        <w:keepNext w:val="0"/>
        <w:keepLines w:val="0"/>
        <w:widowControl w:val="0"/>
        <w:suppressLineNumbers w:val="0"/>
        <w:adjustRightInd w:val="0"/>
        <w:snapToGrid w:val="0"/>
        <w:spacing w:before="0" w:beforeAutospacing="0" w:after="0" w:afterAutospacing="0" w:line="360" w:lineRule="auto"/>
        <w:ind w:left="0" w:right="0" w:firstLine="602" w:firstLineChars="200"/>
        <w:jc w:val="both"/>
        <w:rPr>
          <w:rFonts w:hint="eastAsia" w:ascii="仿宋_GB2312" w:hAnsi="仿宋_GB2312" w:eastAsia="仿宋_GB2312" w:cs="仿宋_GB2312"/>
          <w:sz w:val="30"/>
          <w:szCs w:val="30"/>
          <w:u w:val="dotted"/>
          <w:lang w:val="en-US"/>
        </w:rPr>
      </w:pPr>
      <w:r>
        <w:rPr>
          <w:rFonts w:hint="eastAsia" w:ascii="仿宋_GB2312" w:hAnsi="仿宋_GB2312" w:eastAsia="仿宋_GB2312" w:cs="仿宋_GB2312"/>
          <w:b/>
          <w:bCs w:val="0"/>
          <w:kern w:val="2"/>
          <w:sz w:val="30"/>
          <w:szCs w:val="30"/>
          <w:lang w:val="en-US" w:eastAsia="zh-CN" w:bidi="ar"/>
        </w:rPr>
        <w:t>项目地点：</w:t>
      </w:r>
      <w:r>
        <w:rPr>
          <w:rFonts w:hint="eastAsia" w:ascii="仿宋_GB2312" w:hAnsi="仿宋_GB2312" w:eastAsia="仿宋_GB2312" w:cs="仿宋_GB2312"/>
          <w:kern w:val="2"/>
          <w:sz w:val="30"/>
          <w:szCs w:val="30"/>
          <w:u w:val="dotted"/>
          <w:lang w:val="en-US" w:eastAsia="zh-CN" w:bidi="ar"/>
        </w:rPr>
        <w:t xml:space="preserve">         湖南省长沙市                </w:t>
      </w:r>
    </w:p>
    <w:p>
      <w:pPr>
        <w:keepNext w:val="0"/>
        <w:keepLines w:val="0"/>
        <w:widowControl w:val="0"/>
        <w:suppressLineNumbers w:val="0"/>
        <w:adjustRightInd w:val="0"/>
        <w:snapToGrid w:val="0"/>
        <w:spacing w:before="0" w:beforeAutospacing="0" w:after="0" w:afterAutospacing="0" w:line="360" w:lineRule="auto"/>
        <w:ind w:left="0" w:right="0" w:firstLine="600" w:firstLineChars="200"/>
        <w:jc w:val="both"/>
        <w:rPr>
          <w:rFonts w:hint="eastAsia" w:ascii="仿宋_GB2312" w:hAnsi="仿宋_GB2312" w:eastAsia="仿宋_GB2312" w:cs="仿宋_GB2312"/>
          <w:sz w:val="30"/>
          <w:szCs w:val="30"/>
          <w:u w:val="dotted"/>
          <w:lang w:val="en-US"/>
        </w:rPr>
      </w:pPr>
    </w:p>
    <w:p>
      <w:pPr>
        <w:keepNext w:val="0"/>
        <w:keepLines w:val="0"/>
        <w:widowControl w:val="0"/>
        <w:suppressLineNumbers w:val="0"/>
        <w:adjustRightInd w:val="0"/>
        <w:snapToGrid w:val="0"/>
        <w:spacing w:before="0" w:beforeAutospacing="0" w:after="0" w:afterAutospacing="0" w:line="360" w:lineRule="auto"/>
        <w:ind w:left="0" w:right="0" w:firstLine="602" w:firstLineChars="200"/>
        <w:jc w:val="both"/>
        <w:rPr>
          <w:rFonts w:hint="eastAsia" w:ascii="仿宋_GB2312" w:hAnsi="仿宋_GB2312" w:eastAsia="仿宋_GB2312" w:cs="仿宋_GB2312"/>
          <w:sz w:val="24"/>
          <w:szCs w:val="20"/>
          <w:u w:val="dotted"/>
          <w:lang w:val="en-US"/>
        </w:rPr>
      </w:pPr>
      <w:r>
        <w:rPr>
          <w:rFonts w:hint="eastAsia" w:ascii="仿宋_GB2312" w:hAnsi="仿宋_GB2312" w:eastAsia="仿宋_GB2312" w:cs="仿宋_GB2312"/>
          <w:b/>
          <w:bCs w:val="0"/>
          <w:kern w:val="0"/>
          <w:sz w:val="30"/>
          <w:szCs w:val="30"/>
          <w:lang w:val="en-US" w:eastAsia="zh-CN" w:bidi="ar"/>
        </w:rPr>
        <w:t>投 保 人：</w:t>
      </w:r>
      <w:r>
        <w:rPr>
          <w:rFonts w:hint="eastAsia" w:ascii="仿宋_GB2312" w:hAnsi="仿宋_GB2312" w:eastAsia="仿宋_GB2312" w:cs="仿宋_GB2312"/>
          <w:kern w:val="2"/>
          <w:sz w:val="24"/>
          <w:szCs w:val="20"/>
          <w:u w:val="dotted"/>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u w:val="dotted"/>
          <w:lang w:val="en-US"/>
        </w:rPr>
      </w:pPr>
    </w:p>
    <w:p>
      <w:pPr>
        <w:keepNext w:val="0"/>
        <w:keepLines w:val="0"/>
        <w:widowControl/>
        <w:suppressLineNumbers w:val="0"/>
        <w:snapToGrid w:val="0"/>
        <w:spacing w:before="0" w:beforeAutospacing="0" w:after="0" w:afterAutospacing="0" w:line="360" w:lineRule="auto"/>
        <w:ind w:left="0" w:right="167" w:firstLine="602" w:firstLineChars="200"/>
        <w:jc w:val="both"/>
        <w:rPr>
          <w:rFonts w:hint="eastAsia" w:ascii="仿宋_GB2312" w:hAnsi="仿宋_GB2312" w:eastAsia="仿宋_GB2312" w:cs="仿宋_GB2312"/>
          <w:sz w:val="36"/>
          <w:szCs w:val="36"/>
          <w:u w:val="single"/>
          <w:lang w:val="en-US"/>
        </w:rPr>
      </w:pPr>
      <w:r>
        <w:rPr>
          <w:rFonts w:hint="eastAsia" w:ascii="仿宋_GB2312" w:hAnsi="仿宋_GB2312" w:eastAsia="仿宋_GB2312" w:cs="仿宋_GB2312"/>
          <w:b/>
          <w:bCs w:val="0"/>
          <w:kern w:val="0"/>
          <w:sz w:val="30"/>
          <w:szCs w:val="30"/>
          <w:lang w:val="en-US" w:eastAsia="zh-CN" w:bidi="ar"/>
        </w:rPr>
        <w:t>承 保 人：</w:t>
      </w:r>
      <w:r>
        <w:rPr>
          <w:rFonts w:hint="eastAsia" w:ascii="仿宋_GB2312" w:hAnsi="仿宋_GB2312" w:eastAsia="仿宋_GB2312" w:cs="仿宋_GB2312"/>
          <w:kern w:val="2"/>
          <w:sz w:val="24"/>
          <w:szCs w:val="20"/>
          <w:u w:val="dotted"/>
          <w:lang w:val="en-US" w:eastAsia="zh-CN" w:bidi="ar"/>
        </w:rPr>
        <w:t xml:space="preserve">                                              </w:t>
      </w:r>
    </w:p>
    <w:p>
      <w:pPr>
        <w:spacing w:line="360" w:lineRule="auto"/>
        <w:rPr>
          <w:rFonts w:hint="eastAsia" w:ascii="仿宋_GB2312" w:hAnsi="仿宋_GB2312" w:eastAsia="仿宋_GB2312" w:cs="仿宋_GB2312"/>
          <w:b/>
          <w:bCs w:val="0"/>
          <w:kern w:val="2"/>
          <w:sz w:val="28"/>
          <w:szCs w:val="20"/>
          <w:lang w:val="en-US" w:eastAsia="zh-CN" w:bidi="ar"/>
        </w:rPr>
        <w:sectPr>
          <w:pgSz w:w="11850" w:h="16783"/>
          <w:pgMar w:top="1440" w:right="1800" w:bottom="1440" w:left="1800" w:header="851" w:footer="992" w:gutter="0"/>
          <w:cols w:space="720" w:num="1"/>
          <w:docGrid w:type="lines" w:linePitch="312" w:charSpace="0"/>
        </w:sectPr>
      </w:pPr>
    </w:p>
    <w:p>
      <w:pPr>
        <w:pStyle w:val="3"/>
        <w:widowControl/>
        <w:spacing w:line="360" w:lineRule="auto"/>
        <w:jc w:val="center"/>
        <w:rPr>
          <w:rFonts w:hint="eastAsia" w:ascii="仿宋_GB2312" w:hAnsi="仿宋_GB2312" w:eastAsia="仿宋_GB2312" w:cs="仿宋_GB2312"/>
          <w:bCs/>
          <w:kern w:val="2"/>
          <w:sz w:val="32"/>
          <w:szCs w:val="32"/>
          <w:lang w:val="en-US"/>
        </w:rPr>
      </w:pPr>
      <w:bookmarkStart w:id="56" w:name="_Toc461094745"/>
      <w:r>
        <w:rPr>
          <w:rFonts w:hint="eastAsia" w:ascii="仿宋_GB2312" w:hAnsi="仿宋_GB2312" w:eastAsia="仿宋_GB2312" w:cs="仿宋_GB2312"/>
          <w:bCs/>
          <w:kern w:val="2"/>
          <w:sz w:val="32"/>
          <w:szCs w:val="32"/>
          <w:lang w:eastAsia="zh-CN"/>
        </w:rPr>
        <w:t>第一部分</w:t>
      </w:r>
      <w:r>
        <w:rPr>
          <w:rFonts w:hint="eastAsia" w:ascii="仿宋_GB2312" w:hAnsi="仿宋_GB2312" w:eastAsia="仿宋_GB2312" w:cs="仿宋_GB2312"/>
          <w:bCs/>
          <w:kern w:val="2"/>
          <w:sz w:val="32"/>
          <w:szCs w:val="32"/>
          <w:lang w:val="en-US"/>
        </w:rPr>
        <w:t xml:space="preserve">   </w:t>
      </w:r>
      <w:r>
        <w:rPr>
          <w:rFonts w:hint="eastAsia" w:ascii="仿宋_GB2312" w:hAnsi="仿宋_GB2312" w:eastAsia="仿宋_GB2312" w:cs="仿宋_GB2312"/>
          <w:bCs/>
          <w:kern w:val="2"/>
          <w:sz w:val="32"/>
          <w:szCs w:val="32"/>
          <w:lang w:eastAsia="zh-CN"/>
        </w:rPr>
        <w:t>合同协议书</w:t>
      </w:r>
      <w:bookmarkEnd w:id="56"/>
    </w:p>
    <w:p>
      <w:pPr>
        <w:keepNext w:val="0"/>
        <w:keepLines w:val="0"/>
        <w:widowControl w:val="0"/>
        <w:suppressLineNumbers w:val="0"/>
        <w:snapToGrid w:val="0"/>
        <w:spacing w:before="0" w:beforeAutospacing="0" w:after="0" w:afterAutospacing="0" w:line="360" w:lineRule="auto"/>
        <w:ind w:left="0" w:right="0" w:firstLine="0"/>
        <w:jc w:val="both"/>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kern w:val="2"/>
          <w:sz w:val="24"/>
          <w:szCs w:val="24"/>
          <w:lang w:val="en-US" w:eastAsia="zh-CN" w:bidi="ar"/>
        </w:rPr>
        <w:t>投 保 人：</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0"/>
        <w:jc w:val="both"/>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bidi="ar"/>
        </w:rPr>
        <w:t>承 保 人：</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根据《中华人民共和国民法典》、《中华人民共和国保险法》及有关法律规定，遵循平等、自愿、公平和诚实信用的原则，双方按照“快处快赔、应赔尽赔”原则就下述投保项目的机动车辆保险及有关事项协商一致，共同签订本合同。</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b/>
          <w:bCs w:val="0"/>
          <w:position w:val="6"/>
          <w:sz w:val="24"/>
          <w:szCs w:val="24"/>
          <w:u w:val="single"/>
          <w:lang w:val="en-US"/>
        </w:rPr>
      </w:pPr>
      <w:r>
        <w:rPr>
          <w:rFonts w:hint="eastAsia" w:ascii="仿宋_GB2312" w:hAnsi="仿宋_GB2312" w:eastAsia="仿宋_GB2312" w:cs="仿宋_GB2312"/>
          <w:kern w:val="2"/>
          <w:position w:val="6"/>
          <w:sz w:val="24"/>
          <w:szCs w:val="24"/>
          <w:lang w:val="en-US" w:eastAsia="zh-CN" w:bidi="ar"/>
        </w:rPr>
        <w:t>1、</w:t>
      </w:r>
      <w:r>
        <w:rPr>
          <w:rFonts w:hint="eastAsia" w:ascii="仿宋_GB2312" w:hAnsi="仿宋_GB2312" w:eastAsia="仿宋_GB2312" w:cs="仿宋_GB2312"/>
          <w:b/>
          <w:bCs w:val="0"/>
          <w:kern w:val="2"/>
          <w:position w:val="6"/>
          <w:sz w:val="24"/>
          <w:szCs w:val="24"/>
          <w:lang w:val="en-US" w:eastAsia="zh-CN" w:bidi="ar"/>
        </w:rPr>
        <w:t>投保项目</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1.1项目名称：</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1.2项目概况：</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kern w:val="2"/>
          <w:sz w:val="24"/>
          <w:szCs w:val="24"/>
          <w:lang w:val="en-US" w:eastAsia="zh-CN" w:bidi="ar"/>
        </w:rPr>
        <w:t>2、保险险种（税）</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保险险种为：□</w:t>
      </w:r>
      <w:r>
        <w:rPr>
          <w:rFonts w:hint="eastAsia" w:ascii="仿宋_GB2312" w:hAnsi="仿宋_GB2312" w:eastAsia="仿宋_GB2312" w:cs="仿宋_GB2312"/>
          <w:kern w:val="2"/>
          <w:sz w:val="24"/>
          <w:szCs w:val="24"/>
          <w:u w:val="single"/>
          <w:lang w:val="en-US" w:eastAsia="zh-CN" w:bidi="ar"/>
        </w:rPr>
        <w:t>车船使用税</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kern w:val="2"/>
          <w:sz w:val="24"/>
          <w:szCs w:val="24"/>
          <w:u w:val="single"/>
          <w:lang w:val="en-US" w:eastAsia="zh-CN" w:bidi="ar"/>
        </w:rPr>
        <w:t>机动车交通事故责任强制保险</w:t>
      </w:r>
      <w:r>
        <w:rPr>
          <w:rFonts w:hint="eastAsia" w:ascii="仿宋_GB2312" w:hAnsi="仿宋_GB2312" w:eastAsia="仿宋_GB2312" w:cs="仿宋_GB2312"/>
          <w:kern w:val="2"/>
          <w:sz w:val="24"/>
          <w:szCs w:val="24"/>
          <w:lang w:val="en-US" w:eastAsia="zh-CN" w:bidi="ar"/>
        </w:rPr>
        <w:t>,商业保险</w:t>
      </w:r>
      <w:r>
        <w:rPr>
          <w:rFonts w:hint="eastAsia" w:ascii="仿宋_GB2312" w:hAnsi="仿宋_GB2312" w:eastAsia="仿宋_GB2312" w:cs="仿宋_GB2312"/>
          <w:kern w:val="2"/>
          <w:sz w:val="24"/>
          <w:szCs w:val="24"/>
          <w:u w:val="single"/>
          <w:lang w:val="en-US" w:eastAsia="zh-CN" w:bidi="ar"/>
        </w:rPr>
        <w:t>(□车辆损失险□第三者责任险（      万元）□车上人员责任险（      万元/座）□不计免赔率险□机动车损失保险无法找到第三方特约险□           )</w:t>
      </w:r>
      <w:r>
        <w:rPr>
          <w:rFonts w:hint="eastAsia" w:ascii="仿宋_GB2312" w:hAnsi="仿宋_GB2312" w:eastAsia="仿宋_GB2312" w:cs="仿宋_GB2312"/>
          <w:kern w:val="2"/>
          <w:sz w:val="24"/>
          <w:szCs w:val="24"/>
          <w:lang w:val="en-US" w:eastAsia="zh-CN" w:bidi="ar"/>
        </w:rPr>
        <w:t>。具体详见“车辆保险需求”。</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kern w:val="2"/>
          <w:sz w:val="24"/>
          <w:szCs w:val="24"/>
          <w:lang w:val="en-US" w:eastAsia="zh-CN" w:bidi="ar"/>
        </w:rPr>
        <w:t>3、保险期限</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b/>
          <w:bCs w:val="0"/>
          <w:sz w:val="24"/>
          <w:szCs w:val="24"/>
          <w:u w:val="single"/>
          <w:lang w:val="en-US"/>
        </w:rPr>
      </w:pPr>
      <w:r>
        <w:rPr>
          <w:rFonts w:hint="eastAsia" w:ascii="仿宋_GB2312" w:hAnsi="仿宋_GB2312" w:eastAsia="仿宋_GB2312" w:cs="仿宋_GB2312"/>
          <w:kern w:val="2"/>
          <w:sz w:val="24"/>
          <w:szCs w:val="24"/>
          <w:lang w:val="en-US" w:eastAsia="zh-CN" w:bidi="ar"/>
        </w:rPr>
        <w:t>保险期限为：</w:t>
      </w:r>
      <w:r>
        <w:rPr>
          <w:rFonts w:hint="eastAsia" w:ascii="仿宋_GB2312" w:hAnsi="仿宋_GB2312" w:eastAsia="仿宋_GB2312" w:cs="仿宋_GB2312"/>
          <w:b/>
          <w:bCs w:val="0"/>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，具体详见“机动车保险需求”。</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b/>
          <w:bCs w:val="0"/>
          <w:kern w:val="2"/>
          <w:sz w:val="24"/>
          <w:szCs w:val="24"/>
          <w:lang w:val="en-US" w:eastAsia="zh-CN" w:bidi="ar"/>
        </w:rPr>
        <w:t>4、保险合同组成</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4.1本项目相关资料为保险合同的有效组成部分。包括：</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（1）补充协议（如果有）；</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（2）合同协议书；</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（3）中标通知书/中选通知书/谈判记录表；</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（4）机动车辆保险需求（其中的保险条款由特别约定、附加条款和基本条款构成，排序在前者效力优先）；</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（5）投保单</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（6）保险单（包括批单）（其中的保险条款由特别约定、附加条款和基本条款构成，排序在前者效力优先）；</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（7）合同附件及承保方按合同附录格式及要求出具的文件；</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p>
    <w:p>
      <w:pPr>
        <w:keepNext w:val="0"/>
        <w:keepLines w:val="0"/>
        <w:widowControl w:val="0"/>
        <w:suppressLineNumbers w:val="0"/>
        <w:snapToGrid w:val="0"/>
        <w:spacing w:before="0" w:beforeAutospacing="0" w:after="0" w:afterAutospacing="0" w:line="360" w:lineRule="auto"/>
        <w:ind w:left="0" w:right="0" w:firstLine="482"/>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（8）招标文件/自主竞争性谈判文件/直接委托谈判文件 、澄清与答疑文件及其它补充资料；</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（9）投标文件/谈判响应文件、澄清文件及其它补充资料；</w:t>
      </w:r>
    </w:p>
    <w:p>
      <w:pPr>
        <w:keepNext w:val="0"/>
        <w:keepLines w:val="0"/>
        <w:widowControl w:val="0"/>
        <w:suppressLineNumbers w:val="0"/>
        <w:snapToGrid w:val="0"/>
        <w:spacing w:before="0" w:beforeAutospacing="0" w:after="0" w:afterAutospacing="0" w:line="360" w:lineRule="auto"/>
        <w:ind w:left="0" w:right="0" w:firstLine="482"/>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（10）批准的图纸（如果有）；</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（11）其他构成本合同的文件。</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bookmarkStart w:id="57" w:name="_Toc461094747"/>
      <w:r>
        <w:rPr>
          <w:rFonts w:hint="eastAsia" w:ascii="仿宋_GB2312" w:hAnsi="仿宋_GB2312" w:eastAsia="仿宋_GB2312" w:cs="仿宋_GB2312"/>
          <w:kern w:val="2"/>
          <w:sz w:val="24"/>
          <w:szCs w:val="24"/>
          <w:lang w:val="en-US" w:eastAsia="zh-CN" w:bidi="ar"/>
        </w:rPr>
        <w:t>上述文件互为补充和解释，如有不清之处，以有利于投保人/被保险人的解释为准；如有相互矛盾之处，以上述文件先后顺序为准。</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b/>
          <w:bCs w:val="0"/>
          <w:sz w:val="24"/>
          <w:szCs w:val="20"/>
          <w:lang w:val="en-US"/>
        </w:rPr>
      </w:pPr>
      <w:r>
        <w:rPr>
          <w:rFonts w:hint="eastAsia" w:ascii="仿宋_GB2312" w:hAnsi="仿宋_GB2312" w:eastAsia="仿宋_GB2312" w:cs="仿宋_GB2312"/>
          <w:kern w:val="2"/>
          <w:sz w:val="24"/>
          <w:szCs w:val="20"/>
          <w:lang w:val="en-US" w:eastAsia="zh-CN" w:bidi="ar"/>
        </w:rPr>
        <w:t>在合同履行过程中形成的与合同有关的文件均构成合同文件组成部分，并根据其性质确定优先解释顺序。</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kern w:val="2"/>
          <w:sz w:val="24"/>
          <w:szCs w:val="24"/>
          <w:lang w:val="en-US" w:eastAsia="zh-CN" w:bidi="ar"/>
        </w:rPr>
        <w:t>5、</w:t>
      </w:r>
      <w:bookmarkEnd w:id="57"/>
      <w:bookmarkStart w:id="58" w:name="_Toc461094749"/>
      <w:r>
        <w:rPr>
          <w:rFonts w:hint="eastAsia" w:ascii="仿宋_GB2312" w:hAnsi="仿宋_GB2312" w:eastAsia="仿宋_GB2312" w:cs="仿宋_GB2312"/>
          <w:b/>
          <w:bCs w:val="0"/>
          <w:kern w:val="2"/>
          <w:sz w:val="24"/>
          <w:szCs w:val="24"/>
          <w:lang w:val="en-US" w:eastAsia="zh-CN" w:bidi="ar"/>
        </w:rPr>
        <w:t>投保出单</w:t>
      </w:r>
      <w:bookmarkEnd w:id="58"/>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由承保人根据本合同约定出具保险单。</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bookmarkStart w:id="59" w:name="_Toc461094750"/>
      <w:r>
        <w:rPr>
          <w:rFonts w:hint="eastAsia" w:ascii="仿宋_GB2312" w:hAnsi="仿宋_GB2312" w:eastAsia="仿宋_GB2312" w:cs="仿宋_GB2312"/>
          <w:b/>
          <w:bCs w:val="0"/>
          <w:kern w:val="2"/>
          <w:sz w:val="24"/>
          <w:szCs w:val="24"/>
          <w:lang w:val="en-US" w:eastAsia="zh-CN" w:bidi="ar"/>
        </w:rPr>
        <w:t>6、保险费及其支付方式</w:t>
      </w:r>
      <w:bookmarkEnd w:id="59"/>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6.1 保险费</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车船使用税按征税标准执行。</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2"/>
          <w:sz w:val="24"/>
          <w:szCs w:val="24"/>
          <w:u w:val="single"/>
          <w:lang w:val="en-US" w:eastAsia="zh-CN" w:bidi="ar"/>
        </w:rPr>
        <w:t>机动车交通事故责任强制保险</w:t>
      </w:r>
      <w:r>
        <w:rPr>
          <w:rFonts w:hint="eastAsia" w:ascii="仿宋_GB2312" w:hAnsi="仿宋_GB2312" w:eastAsia="仿宋_GB2312" w:cs="仿宋_GB2312"/>
          <w:color w:val="auto"/>
          <w:kern w:val="2"/>
          <w:sz w:val="24"/>
          <w:szCs w:val="24"/>
          <w:lang w:val="en-US" w:eastAsia="zh-CN" w:bidi="ar"/>
        </w:rPr>
        <w:t>优惠率按照《机动车交通事故责任强制保险费率浮动办法》浮动，优惠后其保险责任不变。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2"/>
          <w:sz w:val="24"/>
          <w:szCs w:val="24"/>
          <w:lang w:val="en-US" w:eastAsia="zh-CN" w:bidi="ar"/>
        </w:rPr>
        <w:t>商业险所有险种（即除</w:t>
      </w:r>
      <w:r>
        <w:rPr>
          <w:rFonts w:hint="eastAsia" w:ascii="仿宋_GB2312" w:hAnsi="仿宋_GB2312" w:eastAsia="仿宋_GB2312" w:cs="仿宋_GB2312"/>
          <w:color w:val="auto"/>
          <w:kern w:val="2"/>
          <w:sz w:val="24"/>
          <w:szCs w:val="24"/>
          <w:u w:val="single"/>
          <w:lang w:val="en-US" w:eastAsia="zh-CN" w:bidi="ar"/>
        </w:rPr>
        <w:t>车船使用税及机动车交通事故责任强制保险外</w:t>
      </w:r>
      <w:r>
        <w:rPr>
          <w:rFonts w:hint="eastAsia" w:ascii="仿宋_GB2312" w:hAnsi="仿宋_GB2312" w:eastAsia="仿宋_GB2312" w:cs="仿宋_GB2312"/>
          <w:color w:val="auto"/>
          <w:kern w:val="2"/>
          <w:sz w:val="24"/>
          <w:szCs w:val="24"/>
          <w:lang w:val="en-US" w:eastAsia="zh-CN" w:bidi="ar"/>
        </w:rPr>
        <w:t>）的自主定价系数为</w:t>
      </w:r>
      <w:r>
        <w:rPr>
          <w:rFonts w:hint="eastAsia" w:ascii="仿宋_GB2312" w:hAnsi="仿宋_GB2312" w:eastAsia="仿宋_GB2312" w:cs="仿宋_GB2312"/>
          <w:color w:val="auto"/>
          <w:kern w:val="2"/>
          <w:sz w:val="24"/>
          <w:szCs w:val="24"/>
          <w:u w:val="single"/>
          <w:lang w:val="en-US" w:eastAsia="zh-CN" w:bidi="ar"/>
        </w:rPr>
        <w:t xml:space="preserve">       </w:t>
      </w:r>
      <w:r>
        <w:rPr>
          <w:rFonts w:hint="eastAsia" w:ascii="仿宋_GB2312" w:hAnsi="仿宋_GB2312" w:eastAsia="仿宋_GB2312" w:cs="仿宋_GB2312"/>
          <w:color w:val="auto"/>
          <w:kern w:val="2"/>
          <w:sz w:val="24"/>
          <w:szCs w:val="24"/>
          <w:lang w:val="en-US" w:eastAsia="zh-CN" w:bidi="ar"/>
        </w:rPr>
        <w:t>，保险责任不随系数变化而改变。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bCs/>
          <w:color w:val="auto"/>
          <w:kern w:val="2"/>
          <w:sz w:val="24"/>
          <w:szCs w:val="24"/>
          <w:lang w:val="en-US" w:eastAsia="zh-CN" w:bidi="ar"/>
        </w:rPr>
        <w:t>承保人在本合同约定的保险期限内，应严格按投标/竞谈/谈判承诺的</w:t>
      </w:r>
      <w:r>
        <w:rPr>
          <w:rFonts w:hint="eastAsia" w:ascii="仿宋_GB2312" w:hAnsi="仿宋_GB2312" w:eastAsia="仿宋_GB2312" w:cs="仿宋_GB2312"/>
          <w:color w:val="auto"/>
          <w:kern w:val="2"/>
          <w:sz w:val="24"/>
          <w:szCs w:val="24"/>
          <w:lang w:val="en-US" w:eastAsia="zh-CN" w:bidi="ar"/>
        </w:rPr>
        <w:t>自主定价系数</w:t>
      </w:r>
      <w:r>
        <w:rPr>
          <w:rFonts w:hint="eastAsia" w:ascii="仿宋_GB2312" w:hAnsi="仿宋_GB2312" w:eastAsia="仿宋_GB2312" w:cs="仿宋_GB2312"/>
          <w:bCs/>
          <w:color w:val="auto"/>
          <w:kern w:val="2"/>
          <w:sz w:val="24"/>
          <w:szCs w:val="24"/>
          <w:lang w:val="en-US" w:eastAsia="zh-CN" w:bidi="ar"/>
        </w:rPr>
        <w:t>及服务条款进行服务，非不可抗力不得擅自对协议内容进行调整。</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6.2保险费支付方式</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trike w:val="0"/>
          <w:dstrike w:val="0"/>
          <w:color w:val="auto"/>
          <w:kern w:val="2"/>
          <w:sz w:val="24"/>
          <w:szCs w:val="24"/>
          <w:lang w:val="en-US" w:eastAsia="zh-CN" w:bidi="ar"/>
        </w:rPr>
      </w:pPr>
      <w:bookmarkStart w:id="60" w:name="_Toc461094751"/>
      <w:r>
        <w:rPr>
          <w:rFonts w:hint="eastAsia" w:ascii="仿宋_GB2312" w:hAnsi="仿宋_GB2312" w:eastAsia="仿宋_GB2312" w:cs="仿宋_GB2312"/>
          <w:strike w:val="0"/>
          <w:dstrike w:val="0"/>
          <w:color w:val="auto"/>
          <w:kern w:val="2"/>
          <w:sz w:val="24"/>
          <w:szCs w:val="24"/>
          <w:lang w:val="en-US" w:eastAsia="zh-CN" w:bidi="ar"/>
        </w:rPr>
        <w:t>6.2.1结算方式是每月结算一次。承保人每月末需向投保人提供下月购置保险车辆的缴费通知单，投保人收到承保人支付请求并附相关单据且证实其完整无误后10个工作日内，支付当月保费。同时在支付保费后7个工作日内提交保单及增值税发票。</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trike w:val="0"/>
          <w:dstrike w:val="0"/>
          <w:color w:val="auto"/>
          <w:kern w:val="2"/>
          <w:sz w:val="24"/>
          <w:szCs w:val="24"/>
          <w:lang w:val="en-US" w:eastAsia="zh-CN" w:bidi="ar"/>
        </w:rPr>
      </w:pPr>
      <w:r>
        <w:rPr>
          <w:rFonts w:hint="eastAsia" w:ascii="仿宋_GB2312" w:hAnsi="仿宋_GB2312" w:eastAsia="仿宋_GB2312" w:cs="仿宋_GB2312"/>
          <w:strike w:val="0"/>
          <w:dstrike w:val="0"/>
          <w:color w:val="auto"/>
          <w:kern w:val="2"/>
          <w:sz w:val="24"/>
          <w:szCs w:val="24"/>
          <w:lang w:val="en-US" w:eastAsia="zh-CN" w:bidi="ar"/>
        </w:rPr>
        <w:t>6.2.2保险费用的结算一律采用转账方式办理，不使用现金。</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kern w:val="2"/>
          <w:sz w:val="24"/>
          <w:szCs w:val="24"/>
          <w:lang w:val="en-US" w:eastAsia="zh-CN" w:bidi="ar"/>
        </w:rPr>
        <w:t>关于付款主体的说明（如有）</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作为被保险人，根据各自投保车辆分别承担和支付保险费、收讫增值税专用发票。</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b/>
          <w:bCs w:val="0"/>
          <w:position w:val="6"/>
          <w:sz w:val="24"/>
          <w:szCs w:val="24"/>
          <w:lang w:val="en-US"/>
        </w:rPr>
      </w:pPr>
      <w:r>
        <w:rPr>
          <w:rFonts w:hint="eastAsia" w:ascii="仿宋_GB2312" w:hAnsi="仿宋_GB2312" w:eastAsia="仿宋_GB2312" w:cs="仿宋_GB2312"/>
          <w:b/>
          <w:bCs w:val="0"/>
          <w:kern w:val="2"/>
          <w:position w:val="6"/>
          <w:sz w:val="24"/>
          <w:szCs w:val="24"/>
          <w:lang w:val="en-US" w:eastAsia="zh-CN" w:bidi="ar"/>
        </w:rPr>
        <w:t>7、承保人服务要求</w:t>
      </w:r>
      <w:bookmarkEnd w:id="60"/>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kern w:val="2"/>
          <w:sz w:val="24"/>
          <w:szCs w:val="24"/>
          <w:lang w:val="en-US" w:eastAsia="zh-CN" w:bidi="ar"/>
        </w:rPr>
        <w:t>7.1 专项服务小组</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7.1.1承保人为本项目设立专项服务小组，负责与被保险人的车管部门联系，提供承保上门服务。包括但不限于：上门解释条款、上门收取投保资料、上门指导填写投保单、上门送达保单、发票及其他保险凭证等服务。具体人员组成及分工如下：</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23"/>
        <w:gridCol w:w="1789"/>
        <w:gridCol w:w="247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5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项目中职务</w:t>
            </w:r>
          </w:p>
        </w:tc>
        <w:tc>
          <w:tcPr>
            <w:tcW w:w="82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姓名</w:t>
            </w:r>
          </w:p>
        </w:tc>
        <w:tc>
          <w:tcPr>
            <w:tcW w:w="1789"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负责内容或分工</w:t>
            </w:r>
          </w:p>
        </w:tc>
        <w:tc>
          <w:tcPr>
            <w:tcW w:w="2478"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职务</w:t>
            </w:r>
          </w:p>
        </w:tc>
        <w:tc>
          <w:tcPr>
            <w:tcW w:w="127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2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2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8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2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p>
        </w:tc>
      </w:tr>
    </w:tbl>
    <w:p>
      <w:pPr>
        <w:keepNext w:val="0"/>
        <w:keepLines w:val="0"/>
        <w:widowControl w:val="0"/>
        <w:suppressLineNumbers w:val="0"/>
        <w:snapToGrid w:val="0"/>
        <w:spacing w:before="156" w:beforeLines="5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24小时报案电话：</w:t>
      </w:r>
      <w:r>
        <w:rPr>
          <w:rFonts w:hint="eastAsia" w:ascii="仿宋_GB2312" w:hAnsi="仿宋_GB2312" w:eastAsia="仿宋_GB2312" w:cs="仿宋_GB2312"/>
          <w:kern w:val="2"/>
          <w:position w:val="6"/>
          <w:sz w:val="24"/>
          <w:szCs w:val="20"/>
          <w:u w:val="single"/>
          <w:lang w:val="en-US" w:eastAsia="zh-CN" w:bidi="ar"/>
        </w:rPr>
        <w:t xml:space="preserve">           </w:t>
      </w:r>
      <w:r>
        <w:rPr>
          <w:rFonts w:hint="eastAsia" w:ascii="仿宋_GB2312" w:hAnsi="仿宋_GB2312" w:eastAsia="仿宋_GB2312" w:cs="仿宋_GB2312"/>
          <w:kern w:val="2"/>
          <w:position w:val="6"/>
          <w:sz w:val="24"/>
          <w:szCs w:val="20"/>
          <w:lang w:val="en-US" w:eastAsia="zh-CN" w:bidi="ar"/>
        </w:rPr>
        <w:t>。       传真：</w:t>
      </w:r>
      <w:r>
        <w:rPr>
          <w:rFonts w:hint="eastAsia" w:ascii="仿宋_GB2312" w:hAnsi="仿宋_GB2312" w:eastAsia="仿宋_GB2312" w:cs="仿宋_GB2312"/>
          <w:kern w:val="2"/>
          <w:position w:val="6"/>
          <w:sz w:val="24"/>
          <w:szCs w:val="20"/>
          <w:u w:val="single"/>
          <w:lang w:val="en-US" w:eastAsia="zh-CN" w:bidi="ar"/>
        </w:rPr>
        <w:t xml:space="preserve">           </w:t>
      </w:r>
      <w:r>
        <w:rPr>
          <w:rFonts w:hint="eastAsia" w:ascii="仿宋_GB2312" w:hAnsi="仿宋_GB2312" w:eastAsia="仿宋_GB2312" w:cs="仿宋_GB2312"/>
          <w:kern w:val="2"/>
          <w:position w:val="6"/>
          <w:sz w:val="24"/>
          <w:szCs w:val="20"/>
          <w:lang w:val="en-US" w:eastAsia="zh-CN" w:bidi="ar"/>
        </w:rPr>
        <w:t>。</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7.1.2原则不得随意更换专项服务小组成员、24小时报案电话和传真；如需更换，应书面报经投保人同意后方可更换。</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position w:val="6"/>
          <w:sz w:val="24"/>
          <w:szCs w:val="20"/>
          <w:lang w:val="en-US" w:eastAsia="zh-CN" w:bidi="ar"/>
        </w:rPr>
        <w:t>7.1.3 承保人应确保24小时报案电话和传真畅通，随时接受被保险人的出险报案。</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kern w:val="2"/>
          <w:sz w:val="24"/>
          <w:szCs w:val="24"/>
          <w:lang w:val="en-US" w:eastAsia="zh-CN" w:bidi="ar"/>
        </w:rPr>
        <w:t>7.2 理赔服务</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7.2.1快速理赔服务</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bCs/>
          <w:kern w:val="2"/>
          <w:sz w:val="24"/>
          <w:szCs w:val="24"/>
          <w:lang w:val="en-US" w:eastAsia="zh-CN" w:bidi="ar"/>
        </w:rPr>
        <w:t>快速受理：</w:t>
      </w:r>
      <w:r>
        <w:rPr>
          <w:rFonts w:hint="eastAsia" w:ascii="仿宋_GB2312" w:hAnsi="仿宋_GB2312" w:eastAsia="仿宋_GB2312" w:cs="仿宋_GB2312"/>
          <w:kern w:val="2"/>
          <w:sz w:val="24"/>
          <w:szCs w:val="24"/>
          <w:lang w:val="en-US" w:eastAsia="zh-CN" w:bidi="ar"/>
        </w:rPr>
        <w:t>全国统一服务热线</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为本项目提供（365天* 24小时）报案服务。</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bCs/>
          <w:kern w:val="2"/>
          <w:sz w:val="24"/>
          <w:szCs w:val="24"/>
          <w:lang w:val="en-US" w:eastAsia="zh-CN" w:bidi="ar"/>
        </w:rPr>
        <w:t>快速响应</w:t>
      </w:r>
      <w:r>
        <w:rPr>
          <w:rFonts w:hint="eastAsia" w:ascii="仿宋_GB2312" w:hAnsi="仿宋_GB2312" w:eastAsia="仿宋_GB2312" w:cs="仿宋_GB2312"/>
          <w:kern w:val="2"/>
          <w:sz w:val="24"/>
          <w:szCs w:val="24"/>
          <w:lang w:val="en-US" w:eastAsia="zh-CN" w:bidi="ar"/>
        </w:rPr>
        <w:t>：查勘员接到委派指令后，</w:t>
      </w:r>
      <w:r>
        <w:rPr>
          <w:rFonts w:hint="eastAsia" w:ascii="仿宋_GB2312" w:hAnsi="仿宋_GB2312" w:eastAsia="仿宋_GB2312" w:cs="仿宋_GB2312"/>
          <w:kern w:val="2"/>
          <w:sz w:val="24"/>
          <w:szCs w:val="24"/>
          <w:u w:val="single"/>
          <w:lang w:val="en-US" w:eastAsia="zh-CN" w:bidi="ar"/>
        </w:rPr>
        <w:t xml:space="preserve"> 1 </w:t>
      </w:r>
      <w:r>
        <w:rPr>
          <w:rFonts w:hint="eastAsia" w:ascii="仿宋_GB2312" w:hAnsi="仿宋_GB2312" w:eastAsia="仿宋_GB2312" w:cs="仿宋_GB2312"/>
          <w:kern w:val="2"/>
          <w:sz w:val="24"/>
          <w:szCs w:val="24"/>
          <w:lang w:val="en-US" w:eastAsia="zh-CN" w:bidi="ar"/>
        </w:rPr>
        <w:t>分钟内与报案人取得联系，指导投保人处理现场。</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bCs/>
          <w:kern w:val="2"/>
          <w:sz w:val="24"/>
          <w:szCs w:val="24"/>
          <w:lang w:val="en-US" w:eastAsia="zh-CN" w:bidi="ar"/>
        </w:rPr>
        <w:t>快速查勘</w:t>
      </w:r>
      <w:r>
        <w:rPr>
          <w:rFonts w:hint="eastAsia" w:ascii="仿宋_GB2312" w:hAnsi="仿宋_GB2312" w:eastAsia="仿宋_GB2312" w:cs="仿宋_GB2312"/>
          <w:kern w:val="2"/>
          <w:sz w:val="24"/>
          <w:szCs w:val="24"/>
          <w:lang w:val="en-US" w:eastAsia="zh-CN" w:bidi="ar"/>
        </w:rPr>
        <w:t>：查勘员接到委派指令后，在限定时间内赶到事故现场：</w:t>
      </w:r>
      <w:r>
        <w:rPr>
          <w:rFonts w:hint="eastAsia" w:ascii="仿宋_GB2312" w:hAnsi="仿宋_GB2312" w:eastAsia="仿宋_GB2312" w:cs="仿宋_GB2312"/>
          <w:kern w:val="2"/>
          <w:sz w:val="24"/>
          <w:szCs w:val="24"/>
          <w:u w:val="single"/>
          <w:lang w:val="en-US" w:eastAsia="zh-CN" w:bidi="ar"/>
        </w:rPr>
        <w:t>长沙市内五区以内 15 分钟，长沙市内五区以外 30 分钟，长沙市以外的60分钟。</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bCs/>
          <w:kern w:val="2"/>
          <w:sz w:val="24"/>
          <w:szCs w:val="24"/>
          <w:lang w:val="en-US" w:eastAsia="zh-CN" w:bidi="ar"/>
        </w:rPr>
        <w:t>急事急办</w:t>
      </w:r>
      <w:r>
        <w:rPr>
          <w:rFonts w:hint="eastAsia" w:ascii="仿宋_GB2312" w:hAnsi="仿宋_GB2312" w:eastAsia="仿宋_GB2312" w:cs="仿宋_GB2312"/>
          <w:kern w:val="2"/>
          <w:sz w:val="24"/>
          <w:szCs w:val="24"/>
          <w:lang w:val="en-US" w:eastAsia="zh-CN" w:bidi="ar"/>
        </w:rPr>
        <w:t>：查勘员遇特殊情况无法按时赶到事故现场，可立即启动应急预案，根据实际情况灵活处理，确保不影响交通疏导，不影响紧急施救、救援，不耽误重要公务。紧急预案24小时服务专线：</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快速赔付：</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5"/>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shd w:val="clear" w:color="auto" w:fill="F45F20"/>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赔款金额</w:t>
            </w:r>
          </w:p>
        </w:tc>
        <w:tc>
          <w:tcPr>
            <w:tcW w:w="3821" w:type="dxa"/>
            <w:tcBorders>
              <w:top w:val="single" w:color="auto" w:sz="4" w:space="0"/>
              <w:left w:val="single" w:color="auto" w:sz="4" w:space="0"/>
              <w:bottom w:val="single" w:color="auto" w:sz="4" w:space="0"/>
              <w:right w:val="single" w:color="auto" w:sz="4" w:space="0"/>
            </w:tcBorders>
            <w:shd w:val="clear" w:color="auto" w:fill="F45F20"/>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结案时效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50000元内</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1个工作日内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50000元至100000元内</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2个工作日内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100000元以上</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shd w:val="clear" w:color="auto" w:fill="F45F20"/>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赔款金额</w:t>
            </w:r>
          </w:p>
        </w:tc>
        <w:tc>
          <w:tcPr>
            <w:tcW w:w="3821" w:type="dxa"/>
            <w:tcBorders>
              <w:top w:val="single" w:color="auto" w:sz="4" w:space="0"/>
              <w:left w:val="single" w:color="auto" w:sz="4" w:space="0"/>
              <w:bottom w:val="single" w:color="auto" w:sz="4" w:space="0"/>
              <w:right w:val="single" w:color="auto" w:sz="4" w:space="0"/>
            </w:tcBorders>
            <w:shd w:val="clear" w:color="auto" w:fill="F45F20"/>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赔付时效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50000元内</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0时差即时支付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50000元至100000元内</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1个工作日内支付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100000元以上</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firstLine="0"/>
              <w:jc w:val="center"/>
              <w:rPr>
                <w:rFonts w:hint="eastAsia" w:ascii="仿宋_GB2312" w:hAnsi="仿宋_GB2312" w:eastAsia="仿宋_GB2312" w:cs="仿宋_GB2312"/>
                <w:sz w:val="21"/>
                <w:szCs w:val="21"/>
                <w:lang w:val="en-US"/>
              </w:rPr>
            </w:pPr>
            <w:r>
              <w:rPr>
                <w:rFonts w:hint="eastAsia" w:ascii="仿宋_GB2312" w:hAnsi="仿宋_GB2312" w:eastAsia="仿宋_GB2312" w:cs="仿宋_GB2312"/>
                <w:kern w:val="2"/>
                <w:sz w:val="21"/>
                <w:szCs w:val="21"/>
                <w:lang w:val="en-US" w:eastAsia="zh-CN" w:bidi="ar"/>
              </w:rPr>
              <w:t>2个工作日内支付</w:t>
            </w:r>
          </w:p>
        </w:tc>
      </w:tr>
    </w:tbl>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7.2.2理赔特别约定</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7.2.2.1被保险人车辆因事故在4S店维修，承保人应按照4S店报价定损。</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7.2.2.2免现场查勘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（1）经公安机关勘察的保险事故，免现场查勘，被保险人凭公安机关出具的事故证明索赔。</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（2）盗抢险案件免现场查勘，被保险人凭出险地县级以上公安机关出具的全车盗抢案件证明索赔。</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（3）自燃险保险事故，免现场查勘，被保险人凭公安消防部门事故证明索赔，承保人全额赔付。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（4）由于自然灾害（暴雨、暴风、冰雹等）所造成的保险事故，免现场查勘，被保险人凭自拍现场照片、事故说明索赔，承保人全额赔付。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（5）经交警部门处理并出具事故结案书的保险事故，免现场查勘。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6）被保险人车辆发生单方事故，承保人查勘员接到报案电话后在限定时间内不能赶到事故现场的，报案人对事故现场及车辆损毁情况拍照后，可离开出险地点，承保人根据被保险人出示的现场照片及事故说明进行赔偿。</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7.2.3特事特办</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（1）被保险人车辆在执行紧急公务时发生保险事故，无法保留第一现场且无法提供交警事故责任认定书的，承保人应视同正常案件处理，不得拒赔并全额赔付。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2）被保险人车辆的单方保险事故发生在车流高峰时段，车流严重堵塞路段，查勘员及交警无法及时赶到事故现场，免现场查勘，承保人应视同正常案件处理，不得拒赔并全额赔付。双方保险事故及人伤事故，免现场查勘，提交现场自拍照片及交警责任认定书，承保人应视同正常案件处理，不得拒赔并全额赔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（3）被保险人车辆停放在办公区域或执行公务区域发生碰撞，第三者逃逸的，免现场查勘。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（4）所有不涉及第三方损失及人员伤亡的案件，经承保人现场查勘确认不要提供交警事故责任认定书的，承保人应视同正常案件处理，不得拒赔并全额赔付。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7.2.4被保险人车辆倒车镜、车灯、反光镜单独损坏，经核实非人为故意行为，确实属于交通事故的，承保人须正常赔付。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 xml:space="preserve">7.2.5被保险人车辆发生保险事故，一律到投保人定点修理厂维修。配件一律按照原厂件报价。凭被保险人书面委托，赔款可以直接支付给修理厂。 </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7.2.6交通事故伤员住院医疗费垫付服务：被保险人车辆发生交通事故，致使第三者或车上人员遭受伤害，在伤员送往就近医院治疗的情况下，经承保人和交通事故处理部门共同确认，依法应由投保人垫付和承担的住院医疗费，由承保人按有关规定先行支付80%的预付款或提前赔付。</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7.2.7设立车辆“快处快赔”通道：</w:t>
      </w:r>
      <w:r>
        <w:rPr>
          <w:rFonts w:hint="eastAsia" w:ascii="仿宋_GB2312" w:hAnsi="仿宋_GB2312" w:eastAsia="仿宋_GB2312" w:cs="仿宋_GB2312"/>
          <w:kern w:val="2"/>
          <w:sz w:val="24"/>
          <w:szCs w:val="24"/>
          <w:u w:val="single"/>
          <w:lang w:val="en-US" w:eastAsia="zh-CN" w:bidi="ar"/>
        </w:rPr>
        <w:t>按照《长沙市城市道路交通事故快处快赔实施办法》及补充规定，对符合快处快赔条件的，单方车损金额在5万元以内的事故，可按照快处快赔程序要求，由快处快赔服务中心进行处理</w:t>
      </w:r>
      <w:r>
        <w:rPr>
          <w:rFonts w:hint="eastAsia" w:ascii="仿宋_GB2312" w:hAnsi="仿宋_GB2312" w:eastAsia="仿宋_GB2312" w:cs="仿宋_GB2312"/>
          <w:kern w:val="2"/>
          <w:sz w:val="24"/>
          <w:szCs w:val="24"/>
          <w:lang w:val="en-US" w:eastAsia="zh-CN" w:bidi="ar"/>
        </w:rPr>
        <w:t>。</w:t>
      </w:r>
    </w:p>
    <w:p>
      <w:pPr>
        <w:keepNext w:val="0"/>
        <w:keepLines w:val="0"/>
        <w:widowControl w:val="0"/>
        <w:suppressLineNumbers w:val="0"/>
        <w:autoSpaceDE w:val="0"/>
        <w:autoSpaceDN w:val="0"/>
        <w:snapToGrid w:val="0"/>
        <w:spacing w:before="0" w:beforeAutospacing="0" w:after="0" w:afterAutospacing="0" w:line="360" w:lineRule="auto"/>
        <w:ind w:left="0" w:right="0" w:firstLine="482" w:firstLineChars="200"/>
        <w:jc w:val="both"/>
        <w:rPr>
          <w:rFonts w:hint="eastAsia" w:ascii="仿宋_GB2312" w:hAnsi="仿宋_GB2312" w:eastAsia="仿宋_GB2312" w:cs="仿宋_GB2312"/>
          <w:b/>
          <w:bCs/>
          <w:position w:val="6"/>
          <w:sz w:val="24"/>
          <w:szCs w:val="20"/>
          <w:lang w:val="en-US"/>
        </w:rPr>
      </w:pPr>
      <w:r>
        <w:rPr>
          <w:rFonts w:hint="eastAsia" w:ascii="仿宋_GB2312" w:hAnsi="仿宋_GB2312" w:eastAsia="仿宋_GB2312" w:cs="仿宋_GB2312"/>
          <w:b/>
          <w:bCs/>
          <w:kern w:val="2"/>
          <w:position w:val="6"/>
          <w:sz w:val="24"/>
          <w:szCs w:val="20"/>
          <w:lang w:val="en-US" w:eastAsia="zh-CN" w:bidi="ar"/>
        </w:rPr>
        <w:t>7.3 其他服务</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7.3.1保险培训</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本协议有效期内，承保人每年应组织保险培训服务或交流会议、保险宣传活动，以提高投保人相关人员的风险管理和防灾防损技能，有关费用由承保人承担。具体内容、实施方案、举办时间和地点由投保人、承保人双方共同协商确定。</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7.3.2保险咨询</w:t>
      </w:r>
    </w:p>
    <w:p>
      <w:pPr>
        <w:keepNext w:val="0"/>
        <w:keepLines w:val="0"/>
        <w:widowControl w:val="0"/>
        <w:suppressLineNumbers w:val="0"/>
        <w:autoSpaceDE w:val="0"/>
        <w:autoSpaceDN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本协议有效期内，如投保人有需要，承保人应为投保人的其他项目提供保险咨询服务，且不收取费用。</w:t>
      </w:r>
    </w:p>
    <w:p>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_GB2312" w:hAnsi="仿宋_GB2312" w:eastAsia="仿宋_GB2312" w:cs="仿宋_GB2312"/>
          <w:b/>
          <w:bCs w:val="0"/>
          <w:position w:val="6"/>
          <w:sz w:val="24"/>
          <w:szCs w:val="20"/>
          <w:lang w:val="en-US"/>
        </w:rPr>
      </w:pPr>
      <w:r>
        <w:rPr>
          <w:rFonts w:hint="eastAsia" w:ascii="仿宋_GB2312" w:hAnsi="仿宋_GB2312" w:eastAsia="仿宋_GB2312" w:cs="仿宋_GB2312"/>
          <w:b/>
          <w:bCs w:val="0"/>
          <w:kern w:val="2"/>
          <w:position w:val="6"/>
          <w:sz w:val="24"/>
          <w:szCs w:val="20"/>
          <w:lang w:val="en-US" w:eastAsia="zh-CN" w:bidi="ar"/>
        </w:rPr>
        <w:t>8、履约担保</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8.1本项目</w:t>
      </w:r>
      <w:r>
        <w:rPr>
          <w:rFonts w:hint="eastAsia" w:ascii="仿宋_GB2312" w:hAnsi="仿宋_GB2312" w:eastAsia="仿宋_GB2312" w:cs="仿宋_GB2312"/>
          <w:kern w:val="2"/>
          <w:sz w:val="24"/>
          <w:szCs w:val="24"/>
          <w:lang w:val="en-US" w:eastAsia="zh-CN" w:bidi="ar"/>
        </w:rPr>
        <w:sym w:font="Wingdings 2" w:char="0052"/>
      </w:r>
      <w:r>
        <w:rPr>
          <w:rFonts w:hint="eastAsia" w:ascii="仿宋_GB2312" w:hAnsi="仿宋_GB2312" w:eastAsia="仿宋_GB2312" w:cs="仿宋_GB2312"/>
          <w:kern w:val="2"/>
          <w:sz w:val="24"/>
          <w:szCs w:val="24"/>
          <w:u w:val="single"/>
          <w:lang w:val="en-US" w:eastAsia="zh-CN" w:bidi="ar"/>
        </w:rPr>
        <w:t>需要</w:t>
      </w:r>
      <w:r>
        <w:rPr>
          <w:rFonts w:hint="eastAsia" w:ascii="仿宋_GB2312" w:hAnsi="仿宋_GB2312" w:eastAsia="仿宋_GB2312" w:cs="仿宋_GB2312"/>
          <w:kern w:val="2"/>
          <w:sz w:val="24"/>
          <w:szCs w:val="24"/>
          <w:lang w:val="en-US" w:eastAsia="zh-CN" w:bidi="ar"/>
        </w:rPr>
        <w:t>□</w:t>
      </w:r>
      <w:r>
        <w:rPr>
          <w:rFonts w:hint="eastAsia" w:ascii="仿宋_GB2312" w:hAnsi="仿宋_GB2312" w:eastAsia="仿宋_GB2312" w:cs="仿宋_GB2312"/>
          <w:kern w:val="2"/>
          <w:sz w:val="24"/>
          <w:szCs w:val="24"/>
          <w:u w:val="single"/>
          <w:lang w:val="en-US" w:eastAsia="zh-CN" w:bidi="ar"/>
        </w:rPr>
        <w:t>不需要</w:t>
      </w:r>
      <w:r>
        <w:rPr>
          <w:rFonts w:hint="eastAsia" w:ascii="仿宋_GB2312" w:hAnsi="仿宋_GB2312" w:eastAsia="仿宋_GB2312" w:cs="仿宋_GB2312"/>
          <w:kern w:val="2"/>
          <w:sz w:val="24"/>
          <w:szCs w:val="24"/>
          <w:lang w:val="en-US" w:eastAsia="zh-CN" w:bidi="ar"/>
        </w:rPr>
        <w:t>提交履约担保。</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8.2</w:t>
      </w:r>
      <w:r>
        <w:rPr>
          <w:rFonts w:hint="eastAsia" w:ascii="仿宋_GB2312" w:hAnsi="仿宋_GB2312" w:eastAsia="仿宋_GB2312" w:cs="仿宋_GB2312"/>
          <w:kern w:val="0"/>
          <w:sz w:val="24"/>
          <w:szCs w:val="24"/>
          <w:lang w:val="en-US" w:eastAsia="zh-CN" w:bidi="ar"/>
        </w:rPr>
        <w:t>履约担保用于补偿投保人因承保人不能完成其合同义务而蒙受的损失，是办理投标担保（如有）退还手续及合同价款支付手续的必要条件之一。</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8.3承保人提供履约担保的形式、金额及期限采用以下两种方式之一：</w:t>
      </w:r>
    </w:p>
    <w:p>
      <w:pPr>
        <w:keepNext w:val="0"/>
        <w:keepLines w:val="0"/>
        <w:widowControl w:val="0"/>
        <w:suppressLineNumbers w:val="0"/>
        <w:adjustRightInd w:val="0"/>
        <w:snapToGrid w:val="0"/>
        <w:spacing w:before="0" w:beforeAutospacing="0" w:after="0" w:afterAutospacing="0" w:line="360" w:lineRule="auto"/>
        <w:ind w:left="15" w:leftChars="7" w:right="0" w:firstLine="403" w:firstLineChars="168"/>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（1）采用银行履约保函形式，银行履约保函的担保额度为</w:t>
      </w:r>
      <w:r>
        <w:rPr>
          <w:rFonts w:hint="eastAsia" w:ascii="仿宋_GB2312" w:hAnsi="仿宋_GB2312" w:eastAsia="仿宋_GB2312" w:cs="仿宋_GB2312"/>
          <w:kern w:val="2"/>
          <w:sz w:val="24"/>
          <w:szCs w:val="20"/>
          <w:u w:val="single"/>
          <w:lang w:val="en-US" w:eastAsia="zh-CN" w:bidi="ar"/>
        </w:rPr>
        <w:t xml:space="preserve"> 41200元</w:t>
      </w:r>
      <w:r>
        <w:rPr>
          <w:rFonts w:hint="eastAsia" w:ascii="仿宋_GB2312" w:hAnsi="仿宋_GB2312" w:eastAsia="仿宋_GB2312" w:cs="仿宋_GB2312"/>
          <w:kern w:val="2"/>
          <w:sz w:val="24"/>
          <w:szCs w:val="20"/>
          <w:lang w:val="en-US" w:eastAsia="zh-CN" w:bidi="ar"/>
        </w:rPr>
        <w:t>。担保期限为自保函生效之日起至</w:t>
      </w:r>
      <w:r>
        <w:rPr>
          <w:rFonts w:hint="eastAsia" w:ascii="仿宋_GB2312" w:hAnsi="仿宋_GB2312" w:eastAsia="仿宋_GB2312" w:cs="仿宋_GB2312"/>
          <w:kern w:val="2"/>
          <w:sz w:val="24"/>
          <w:szCs w:val="24"/>
          <w:lang w:val="en-US" w:eastAsia="zh-CN" w:bidi="ar"/>
        </w:rPr>
        <w:t>合同约定的保险期满</w:t>
      </w:r>
      <w:r>
        <w:rPr>
          <w:rFonts w:hint="eastAsia" w:ascii="仿宋_GB2312" w:hAnsi="仿宋_GB2312" w:eastAsia="仿宋_GB2312" w:cs="仿宋_GB2312"/>
          <w:kern w:val="2"/>
          <w:sz w:val="24"/>
          <w:szCs w:val="20"/>
          <w:lang w:val="en-US" w:eastAsia="zh-CN" w:bidi="ar"/>
        </w:rPr>
        <w:t>之日止。银行履约保函应为在中国境内注册和营业的银行出具的、以投保人为受益人首次申请即作为无条件付款的保函，银行履约保函格式具体详见合同附录。</w:t>
      </w:r>
    </w:p>
    <w:p>
      <w:pPr>
        <w:keepNext w:val="0"/>
        <w:keepLines w:val="0"/>
        <w:widowControl w:val="0"/>
        <w:suppressLineNumbers w:val="0"/>
        <w:tabs>
          <w:tab w:val="left" w:pos="1248"/>
        </w:tabs>
        <w:adjustRightInd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（2）采用现金形式，现金担保额度为</w:t>
      </w:r>
      <w:r>
        <w:rPr>
          <w:rFonts w:hint="eastAsia" w:ascii="仿宋_GB2312" w:hAnsi="仿宋_GB2312" w:eastAsia="仿宋_GB2312" w:cs="仿宋_GB2312"/>
          <w:kern w:val="2"/>
          <w:sz w:val="24"/>
          <w:szCs w:val="20"/>
          <w:u w:val="single"/>
          <w:lang w:val="en-US" w:eastAsia="zh-CN" w:bidi="ar"/>
        </w:rPr>
        <w:t>41200元</w:t>
      </w:r>
      <w:r>
        <w:rPr>
          <w:rFonts w:hint="eastAsia" w:ascii="仿宋_GB2312" w:hAnsi="仿宋_GB2312" w:eastAsia="仿宋_GB2312" w:cs="仿宋_GB2312"/>
          <w:kern w:val="2"/>
          <w:sz w:val="24"/>
          <w:szCs w:val="20"/>
          <w:lang w:val="en-US" w:eastAsia="zh-CN" w:bidi="ar"/>
        </w:rPr>
        <w:t>。担保期限为自保函生效之日起至</w:t>
      </w:r>
      <w:r>
        <w:rPr>
          <w:rFonts w:hint="eastAsia" w:ascii="仿宋_GB2312" w:hAnsi="仿宋_GB2312" w:eastAsia="仿宋_GB2312" w:cs="仿宋_GB2312"/>
          <w:kern w:val="2"/>
          <w:sz w:val="24"/>
          <w:szCs w:val="24"/>
          <w:lang w:val="en-US" w:eastAsia="zh-CN" w:bidi="ar"/>
        </w:rPr>
        <w:t>合同约定的保险期满</w:t>
      </w:r>
      <w:r>
        <w:rPr>
          <w:rFonts w:hint="eastAsia" w:ascii="仿宋_GB2312" w:hAnsi="仿宋_GB2312" w:eastAsia="仿宋_GB2312" w:cs="仿宋_GB2312"/>
          <w:kern w:val="2"/>
          <w:sz w:val="24"/>
          <w:szCs w:val="20"/>
          <w:lang w:val="en-US" w:eastAsia="zh-CN" w:bidi="ar"/>
        </w:rPr>
        <w:t>之日止。履约担保以现金形式提交的，承保人应从其基本账户通过转帐或电汇至投保人指定的账户。</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8.4如需提供履约担保，则承保人应确保提供的银行履约保函持续有效，在银行履约保函到期前1个月内办理好续保手续，并向</w:t>
      </w:r>
      <w:r>
        <w:rPr>
          <w:rFonts w:hint="eastAsia" w:ascii="仿宋_GB2312" w:hAnsi="仿宋_GB2312" w:eastAsia="仿宋_GB2312" w:cs="仿宋_GB2312"/>
          <w:kern w:val="0"/>
          <w:sz w:val="24"/>
          <w:szCs w:val="24"/>
          <w:lang w:val="en-US" w:eastAsia="zh-CN" w:bidi="ar"/>
        </w:rPr>
        <w:t>投保人</w:t>
      </w:r>
      <w:r>
        <w:rPr>
          <w:rFonts w:hint="eastAsia" w:ascii="仿宋_GB2312" w:hAnsi="仿宋_GB2312" w:eastAsia="仿宋_GB2312" w:cs="仿宋_GB2312"/>
          <w:kern w:val="2"/>
          <w:sz w:val="24"/>
          <w:szCs w:val="20"/>
          <w:lang w:val="en-US" w:eastAsia="zh-CN" w:bidi="ar"/>
        </w:rPr>
        <w:t>提供新的有效的银行履约保函。</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8.5如需提供履约担保，合同履约未完成而履约担保到期的，承保人应在履约担保到期后的首次办理合同价款支付手续时提供有效的续保文件。</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8.6在承保人完成其合同义务包括任何保证义务后，投保人将把履约担保无息退还承保人。</w:t>
      </w:r>
    </w:p>
    <w:p>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_GB2312" w:hAnsi="仿宋_GB2312" w:eastAsia="仿宋_GB2312" w:cs="仿宋_GB2312"/>
          <w:b/>
          <w:bCs w:val="0"/>
          <w:position w:val="6"/>
          <w:sz w:val="24"/>
          <w:szCs w:val="20"/>
          <w:lang w:val="en-US"/>
        </w:rPr>
      </w:pPr>
      <w:r>
        <w:rPr>
          <w:rFonts w:hint="eastAsia" w:ascii="仿宋_GB2312" w:hAnsi="仿宋_GB2312" w:eastAsia="仿宋_GB2312" w:cs="仿宋_GB2312"/>
          <w:b/>
          <w:bCs w:val="0"/>
          <w:kern w:val="2"/>
          <w:position w:val="6"/>
          <w:sz w:val="24"/>
          <w:szCs w:val="20"/>
          <w:lang w:val="en-US" w:eastAsia="zh-CN" w:bidi="ar"/>
        </w:rPr>
        <w:t>9、违约责任</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9.1为了维护本协议以及保险单的严肃性，投保人、承保人和被保险人各方应按保险单以及本协议内规定条款履行各自的义务，并承担相对应的责任。</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9.2发生险情，承保人接被保险人报案后未按本合同约定受理，且无任何回复意见的，投保人有权要求承保人交纳3000元/次的违约金。如因承保人出险时间给投保人、被保险人造成损失的，承保人除理赔外还需承担相关责任。</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9.3因承保人原因，致使被保险人不能按照本协议规定的时间获得赔偿金，承保人应支付违约金。违约金=应付赔款金额×实际违约天数×中国人民银行同期贷款基准利率。</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9.4承保人应以现金或转账方式交纳违约金，投保人根据税法相关规定开具收款收据或增值税发票。</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position w:val="6"/>
          <w:sz w:val="24"/>
          <w:szCs w:val="20"/>
          <w:lang w:val="en-US" w:eastAsia="zh-CN" w:bidi="ar"/>
        </w:rPr>
        <w:t>9.5承保人在接到投保人的违约通知后，应按通知要求交纳违约金；否则，投保人有权暂停合同价款支付或从承保人的合同价款中扣除相应的违约金。</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position w:val="6"/>
          <w:sz w:val="24"/>
          <w:szCs w:val="22"/>
          <w:lang w:val="en-US" w:eastAsia="zh-CN" w:bidi="ar"/>
        </w:rPr>
        <w:t>9.6若因承保人提供的发票导致投保人被税务部门追究相关法律责任的，承保人应承担由此给投保人造成的损失（包括但不限于未抵扣的税费、滞纳金）。</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2"/>
          <w:lang w:val="en-US"/>
        </w:rPr>
      </w:pPr>
      <w:r>
        <w:rPr>
          <w:rFonts w:hint="eastAsia" w:ascii="仿宋_GB2312" w:hAnsi="仿宋_GB2312" w:eastAsia="仿宋_GB2312" w:cs="仿宋_GB2312"/>
          <w:kern w:val="2"/>
          <w:position w:val="6"/>
          <w:sz w:val="24"/>
          <w:szCs w:val="22"/>
          <w:lang w:val="en-US" w:eastAsia="zh-CN" w:bidi="ar"/>
        </w:rPr>
        <w:t>9.7违约金总额超过合同累计保险费的20%，投保人有权解除合同。</w:t>
      </w:r>
    </w:p>
    <w:p>
      <w:pPr>
        <w:pStyle w:val="41"/>
        <w:widowControl/>
        <w:snapToGrid w:val="0"/>
        <w:spacing w:before="0" w:beforeAutospacing="0" w:after="0" w:afterAutospacing="0" w:line="360" w:lineRule="auto"/>
        <w:ind w:left="0" w:right="0" w:firstLine="482" w:firstLineChars="200"/>
        <w:rPr>
          <w:rFonts w:hint="eastAsia" w:ascii="仿宋_GB2312" w:hAnsi="仿宋_GB2312" w:eastAsia="仿宋_GB2312" w:cs="仿宋_GB2312"/>
          <w:b/>
          <w:bCs/>
          <w:lang w:val="en-US"/>
        </w:rPr>
      </w:pPr>
      <w:r>
        <w:rPr>
          <w:rFonts w:hint="eastAsia" w:ascii="仿宋_GB2312" w:hAnsi="仿宋_GB2312" w:eastAsia="仿宋_GB2312" w:cs="仿宋_GB2312"/>
          <w:b/>
          <w:bCs/>
          <w:lang w:val="en-US"/>
        </w:rPr>
        <w:t>10</w:t>
      </w:r>
      <w:r>
        <w:rPr>
          <w:rFonts w:hint="eastAsia" w:ascii="仿宋_GB2312" w:hAnsi="仿宋_GB2312" w:eastAsia="仿宋_GB2312" w:cs="仿宋_GB2312"/>
          <w:b/>
          <w:bCs/>
          <w:lang w:eastAsia="zh-CN"/>
        </w:rPr>
        <w:t>、合同解除</w:t>
      </w:r>
    </w:p>
    <w:p>
      <w:pPr>
        <w:pStyle w:val="41"/>
        <w:widowControl/>
        <w:snapToGrid w:val="0"/>
        <w:spacing w:before="0" w:beforeAutospacing="0" w:after="0" w:afterAutospacing="0" w:line="360" w:lineRule="auto"/>
        <w:ind w:left="0" w:right="0" w:firstLineChars="200"/>
        <w:rPr>
          <w:rFonts w:hint="eastAsia" w:ascii="仿宋_GB2312" w:hAnsi="仿宋_GB2312" w:eastAsia="仿宋_GB2312" w:cs="仿宋_GB2312"/>
          <w:lang w:val="en-US"/>
        </w:rPr>
      </w:pPr>
      <w:r>
        <w:rPr>
          <w:rFonts w:hint="eastAsia" w:ascii="仿宋_GB2312" w:hAnsi="仿宋_GB2312" w:eastAsia="仿宋_GB2312" w:cs="仿宋_GB2312"/>
          <w:lang w:val="en-US"/>
        </w:rPr>
        <w:t>10.1</w:t>
      </w:r>
      <w:r>
        <w:rPr>
          <w:rFonts w:hint="eastAsia" w:ascii="仿宋_GB2312" w:hAnsi="仿宋_GB2312" w:eastAsia="仿宋_GB2312" w:cs="仿宋_GB2312"/>
          <w:lang w:eastAsia="zh-CN"/>
        </w:rPr>
        <w:t>任何一方提出解除合同的，应提前</w:t>
      </w:r>
      <w:r>
        <w:rPr>
          <w:rFonts w:hint="eastAsia" w:ascii="仿宋_GB2312" w:hAnsi="仿宋_GB2312" w:eastAsia="仿宋_GB2312" w:cs="仿宋_GB2312"/>
          <w:lang w:val="en-US"/>
        </w:rPr>
        <w:t>30</w:t>
      </w:r>
      <w:r>
        <w:rPr>
          <w:rFonts w:hint="eastAsia" w:ascii="仿宋_GB2312" w:hAnsi="仿宋_GB2312" w:eastAsia="仿宋_GB2312" w:cs="仿宋_GB2312"/>
          <w:lang w:eastAsia="zh-CN"/>
        </w:rPr>
        <w:t>天书面通知对方，违约方应赔偿由此给守约方造成的直接损失和间接损失。因不可抗力导致的合同解除，双方各自承担自身的损失。</w:t>
      </w:r>
      <w:r>
        <w:rPr>
          <w:rFonts w:hint="eastAsia" w:ascii="仿宋_GB2312" w:hAnsi="仿宋_GB2312" w:eastAsia="仿宋_GB2312" w:cs="仿宋_GB2312"/>
          <w:lang w:val="en-US"/>
        </w:rPr>
        <w:t xml:space="preserve">                                         </w:t>
      </w:r>
    </w:p>
    <w:p>
      <w:pPr>
        <w:pStyle w:val="41"/>
        <w:widowControl/>
        <w:snapToGrid w:val="0"/>
        <w:spacing w:before="0" w:beforeAutospacing="0" w:after="0" w:afterAutospacing="0" w:line="360" w:lineRule="auto"/>
        <w:ind w:left="0" w:right="0" w:firstLineChars="200"/>
        <w:rPr>
          <w:rFonts w:hint="eastAsia" w:ascii="仿宋_GB2312" w:hAnsi="仿宋_GB2312" w:eastAsia="仿宋_GB2312" w:cs="仿宋_GB2312"/>
          <w:lang w:val="en-US"/>
        </w:rPr>
      </w:pPr>
      <w:r>
        <w:rPr>
          <w:rFonts w:hint="eastAsia" w:ascii="仿宋_GB2312" w:hAnsi="仿宋_GB2312" w:eastAsia="仿宋_GB2312" w:cs="仿宋_GB2312"/>
          <w:lang w:val="en-US"/>
        </w:rPr>
        <w:t>10.2</w:t>
      </w:r>
      <w:r>
        <w:rPr>
          <w:rFonts w:hint="eastAsia" w:ascii="仿宋_GB2312" w:hAnsi="仿宋_GB2312" w:eastAsia="仿宋_GB2312" w:cs="仿宋_GB2312"/>
          <w:lang w:eastAsia="zh-CN"/>
        </w:rPr>
        <w:t>因承保人原因导致的合同解除，按照违约责任处理，投保人有权解除部分或全部合同：解除全部合同的，投保人有权没收承保人所交履约担保（如有）；解除部分合同的，投保人有权另行采购因部分解除合同而承保人未履行部分，承保人应承担投保人由此产生的费用并继续履行合同中未解除的部分。</w:t>
      </w:r>
    </w:p>
    <w:p>
      <w:pPr>
        <w:pStyle w:val="41"/>
        <w:widowControl/>
        <w:snapToGrid w:val="0"/>
        <w:spacing w:before="0" w:beforeAutospacing="0" w:after="0" w:afterAutospacing="0" w:line="360" w:lineRule="auto"/>
        <w:ind w:left="0" w:right="0" w:firstLineChars="200"/>
        <w:rPr>
          <w:rFonts w:hint="eastAsia" w:ascii="仿宋_GB2312" w:hAnsi="仿宋_GB2312" w:eastAsia="仿宋_GB2312" w:cs="仿宋_GB2312"/>
          <w:lang w:val="en-US"/>
        </w:rPr>
      </w:pPr>
      <w:r>
        <w:rPr>
          <w:rFonts w:hint="eastAsia" w:ascii="仿宋_GB2312" w:hAnsi="仿宋_GB2312" w:eastAsia="仿宋_GB2312" w:cs="仿宋_GB2312"/>
          <w:lang w:val="en-US"/>
        </w:rPr>
        <w:t>10.3</w:t>
      </w:r>
      <w:r>
        <w:rPr>
          <w:rFonts w:hint="eastAsia" w:ascii="仿宋_GB2312" w:hAnsi="仿宋_GB2312" w:eastAsia="仿宋_GB2312" w:cs="仿宋_GB2312"/>
          <w:lang w:eastAsia="zh-CN"/>
        </w:rPr>
        <w:t>合同解除后，本合同约定的有关结算、争议解决方式的条款仍然有效。</w:t>
      </w:r>
    </w:p>
    <w:p>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_GB2312" w:hAnsi="仿宋_GB2312" w:eastAsia="仿宋_GB2312" w:cs="仿宋_GB2312"/>
          <w:b/>
          <w:bCs/>
          <w:position w:val="6"/>
          <w:sz w:val="24"/>
          <w:szCs w:val="22"/>
          <w:lang w:val="en-US"/>
        </w:rPr>
      </w:pPr>
      <w:r>
        <w:rPr>
          <w:rFonts w:hint="eastAsia" w:ascii="仿宋_GB2312" w:hAnsi="仿宋_GB2312" w:eastAsia="仿宋_GB2312" w:cs="仿宋_GB2312"/>
          <w:b/>
          <w:bCs/>
          <w:kern w:val="2"/>
          <w:position w:val="6"/>
          <w:sz w:val="24"/>
          <w:szCs w:val="22"/>
          <w:lang w:val="en-US" w:eastAsia="zh-CN" w:bidi="ar"/>
        </w:rPr>
        <w:t>11、法律适用</w:t>
      </w:r>
    </w:p>
    <w:p>
      <w:pPr>
        <w:keepNext w:val="0"/>
        <w:keepLines w:val="0"/>
        <w:widowControl w:val="0"/>
        <w:suppressLineNumbers w:val="0"/>
        <w:snapToGrid w:val="0"/>
        <w:spacing w:before="0" w:beforeAutospacing="0" w:after="0" w:afterAutospacing="0" w:line="360" w:lineRule="auto"/>
        <w:ind w:left="0" w:right="0" w:firstLine="0"/>
        <w:jc w:val="both"/>
        <w:rPr>
          <w:rFonts w:hint="eastAsia" w:ascii="仿宋_GB2312" w:hAnsi="仿宋_GB2312" w:eastAsia="仿宋_GB2312" w:cs="仿宋_GB2312"/>
          <w:position w:val="6"/>
          <w:sz w:val="24"/>
          <w:szCs w:val="22"/>
          <w:lang w:val="en-US"/>
        </w:rPr>
      </w:pPr>
      <w:r>
        <w:rPr>
          <w:rFonts w:hint="eastAsia" w:ascii="仿宋_GB2312" w:hAnsi="仿宋_GB2312" w:eastAsia="仿宋_GB2312" w:cs="仿宋_GB2312"/>
          <w:kern w:val="2"/>
          <w:position w:val="6"/>
          <w:sz w:val="24"/>
          <w:szCs w:val="22"/>
          <w:lang w:val="en-US" w:eastAsia="zh-CN" w:bidi="ar"/>
        </w:rPr>
        <w:t xml:space="preserve">    本合同适用中华人民共和国现行法律、行政法规和规章，如合同条款与法律、行政法规和规章不一致的，按照法律、行政法规和规章修改本合同。 </w:t>
      </w:r>
    </w:p>
    <w:p>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_GB2312" w:hAnsi="仿宋_GB2312" w:eastAsia="仿宋_GB2312" w:cs="仿宋_GB2312"/>
          <w:b/>
          <w:bCs/>
          <w:position w:val="6"/>
          <w:sz w:val="24"/>
          <w:szCs w:val="22"/>
          <w:lang w:val="en-US"/>
        </w:rPr>
      </w:pPr>
      <w:r>
        <w:rPr>
          <w:rFonts w:hint="eastAsia" w:ascii="仿宋_GB2312" w:hAnsi="仿宋_GB2312" w:eastAsia="仿宋_GB2312" w:cs="仿宋_GB2312"/>
          <w:b/>
          <w:bCs/>
          <w:kern w:val="2"/>
          <w:position w:val="6"/>
          <w:sz w:val="24"/>
          <w:szCs w:val="22"/>
          <w:lang w:val="en-US" w:eastAsia="zh-CN" w:bidi="ar"/>
        </w:rPr>
        <w:t>12、通知</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2"/>
          <w:lang w:val="en-US"/>
        </w:rPr>
      </w:pPr>
      <w:r>
        <w:rPr>
          <w:rFonts w:hint="eastAsia" w:ascii="仿宋_GB2312" w:hAnsi="仿宋_GB2312" w:eastAsia="仿宋_GB2312" w:cs="仿宋_GB2312"/>
          <w:kern w:val="2"/>
          <w:position w:val="6"/>
          <w:sz w:val="24"/>
          <w:szCs w:val="22"/>
          <w:lang w:val="en-US" w:eastAsia="zh-CN" w:bidi="ar"/>
        </w:rPr>
        <w:t>12.1本合同一方给另一方的通知均应采用书面形式，传真或快递送到本合同中规定的对方的地址和办理签收手续。</w:t>
      </w:r>
    </w:p>
    <w:p>
      <w:pPr>
        <w:keepNext w:val="0"/>
        <w:keepLines w:val="0"/>
        <w:widowControl w:val="0"/>
        <w:suppressLineNumbers w:val="0"/>
        <w:snapToGrid w:val="0"/>
        <w:spacing w:before="0" w:beforeAutospacing="0" w:after="0" w:afterAutospacing="0" w:line="360" w:lineRule="auto"/>
        <w:ind w:left="0" w:right="0" w:firstLine="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b/>
          <w:bCs/>
          <w:kern w:val="2"/>
          <w:position w:val="6"/>
          <w:sz w:val="24"/>
          <w:szCs w:val="22"/>
          <w:lang w:val="en-US" w:eastAsia="zh-CN" w:bidi="ar"/>
        </w:rPr>
        <w:t xml:space="preserve"> </w:t>
      </w:r>
      <w:r>
        <w:rPr>
          <w:rFonts w:hint="eastAsia" w:ascii="仿宋_GB2312" w:hAnsi="仿宋_GB2312" w:eastAsia="仿宋_GB2312" w:cs="仿宋_GB2312"/>
          <w:kern w:val="2"/>
          <w:position w:val="6"/>
          <w:sz w:val="24"/>
          <w:szCs w:val="22"/>
          <w:lang w:val="en-US" w:eastAsia="zh-CN" w:bidi="ar"/>
        </w:rPr>
        <w:t xml:space="preserve">   12.2通知以送到之日或通知书中规定的生效之日起生效，两者中以较迟之日为准。</w:t>
      </w:r>
      <w:bookmarkStart w:id="61" w:name="_Toc461094753"/>
    </w:p>
    <w:p>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b/>
          <w:bCs/>
          <w:kern w:val="2"/>
          <w:position w:val="6"/>
          <w:sz w:val="24"/>
          <w:szCs w:val="20"/>
          <w:lang w:val="en-US" w:eastAsia="zh-CN" w:bidi="ar"/>
        </w:rPr>
        <w:t>13、其他</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13.1保密约定</w:t>
      </w:r>
      <w:bookmarkEnd w:id="61"/>
    </w:p>
    <w:p>
      <w:pPr>
        <w:pStyle w:val="41"/>
        <w:widowControl/>
        <w:snapToGrid w:val="0"/>
        <w:spacing w:before="0" w:beforeAutospacing="0" w:after="0" w:afterAutospacing="0" w:line="360" w:lineRule="auto"/>
        <w:ind w:left="0" w:right="0" w:firstLineChars="200"/>
        <w:rPr>
          <w:rFonts w:hint="eastAsia" w:ascii="仿宋_GB2312" w:hAnsi="仿宋_GB2312" w:eastAsia="仿宋_GB2312" w:cs="仿宋_GB2312"/>
          <w:lang w:val="en-US"/>
        </w:rPr>
      </w:pPr>
      <w:bookmarkStart w:id="62" w:name="_Toc461094754"/>
      <w:r>
        <w:rPr>
          <w:rFonts w:hint="eastAsia" w:ascii="仿宋_GB2312" w:hAnsi="仿宋_GB2312" w:eastAsia="仿宋_GB2312" w:cs="仿宋_GB2312"/>
          <w:lang w:eastAsia="zh-CN"/>
        </w:rPr>
        <w:t xml:space="preserve">除法律法规规定或合同另有约定外，未经投保人同意，承保人不得将投保人提供的信息及资料（包括但不限于各方的往来书面文字文件、电子邮件及信息、软盘资料等）泄露给第三方。 </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13.2争议</w:t>
      </w:r>
      <w:bookmarkEnd w:id="62"/>
      <w:r>
        <w:rPr>
          <w:rFonts w:hint="eastAsia" w:ascii="仿宋_GB2312" w:hAnsi="仿宋_GB2312" w:eastAsia="仿宋_GB2312" w:cs="仿宋_GB2312"/>
          <w:kern w:val="2"/>
          <w:position w:val="6"/>
          <w:sz w:val="24"/>
          <w:szCs w:val="20"/>
          <w:lang w:val="en-US" w:eastAsia="zh-CN" w:bidi="ar"/>
        </w:rPr>
        <w:t>解决</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0"/>
          <w:lang w:val="en-US"/>
        </w:rPr>
      </w:pPr>
      <w:bookmarkStart w:id="63" w:name="_Toc461094755"/>
      <w:r>
        <w:rPr>
          <w:rFonts w:hint="eastAsia" w:ascii="仿宋_GB2312" w:hAnsi="仿宋_GB2312" w:eastAsia="仿宋_GB2312" w:cs="仿宋_GB2312"/>
          <w:kern w:val="0"/>
          <w:sz w:val="24"/>
          <w:szCs w:val="20"/>
          <w:lang w:val="en-US" w:eastAsia="zh-CN" w:bidi="ar"/>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仿宋_GB2312" w:hAnsi="仿宋_GB2312" w:eastAsia="仿宋_GB2312" w:cs="仿宋_GB2312"/>
          <w:kern w:val="0"/>
          <w:sz w:val="24"/>
          <w:szCs w:val="20"/>
          <w:u w:val="single"/>
          <w:lang w:val="en-US" w:eastAsia="zh-CN" w:bidi="ar"/>
        </w:rPr>
        <w:t>第（2）种</w:t>
      </w:r>
      <w:r>
        <w:rPr>
          <w:rFonts w:hint="eastAsia" w:ascii="仿宋_GB2312" w:hAnsi="仿宋_GB2312" w:eastAsia="仿宋_GB2312" w:cs="仿宋_GB2312"/>
          <w:kern w:val="0"/>
          <w:sz w:val="24"/>
          <w:szCs w:val="20"/>
          <w:lang w:val="en-US" w:eastAsia="zh-CN" w:bidi="ar"/>
        </w:rPr>
        <w:t>方式解决：</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0"/>
          <w:lang w:val="en-US"/>
        </w:rPr>
      </w:pPr>
      <w:r>
        <w:rPr>
          <w:rFonts w:hint="eastAsia" w:ascii="仿宋_GB2312" w:hAnsi="仿宋_GB2312" w:eastAsia="仿宋_GB2312" w:cs="仿宋_GB2312"/>
          <w:kern w:val="0"/>
          <w:sz w:val="24"/>
          <w:szCs w:val="20"/>
          <w:lang w:val="en-US" w:eastAsia="zh-CN" w:bidi="ar"/>
        </w:rPr>
        <w:t>（1）向</w:t>
      </w:r>
      <w:r>
        <w:rPr>
          <w:rFonts w:hint="eastAsia" w:ascii="仿宋_GB2312" w:hAnsi="仿宋_GB2312" w:eastAsia="仿宋_GB2312" w:cs="仿宋_GB2312"/>
          <w:kern w:val="0"/>
          <w:sz w:val="24"/>
          <w:szCs w:val="20"/>
          <w:u w:val="single"/>
          <w:lang w:val="en-US" w:eastAsia="zh-CN" w:bidi="ar"/>
        </w:rPr>
        <w:t>长沙</w:t>
      </w:r>
      <w:r>
        <w:rPr>
          <w:rFonts w:hint="eastAsia" w:ascii="仿宋_GB2312" w:hAnsi="仿宋_GB2312" w:eastAsia="仿宋_GB2312" w:cs="仿宋_GB2312"/>
          <w:kern w:val="0"/>
          <w:sz w:val="24"/>
          <w:szCs w:val="20"/>
          <w:lang w:val="en-US" w:eastAsia="zh-CN" w:bidi="ar"/>
        </w:rPr>
        <w:t>仲裁委员会提请仲裁；</w:t>
      </w:r>
    </w:p>
    <w:p>
      <w:pPr>
        <w:keepNext w:val="0"/>
        <w:keepLines w:val="0"/>
        <w:widowControl w:val="0"/>
        <w:suppressLineNumbers w:val="0"/>
        <w:tabs>
          <w:tab w:val="left" w:pos="1260"/>
        </w:tabs>
        <w:adjustRightInd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0"/>
          <w:lang w:val="en-US"/>
        </w:rPr>
      </w:pPr>
      <w:r>
        <w:rPr>
          <w:rFonts w:hint="eastAsia" w:ascii="仿宋_GB2312" w:hAnsi="仿宋_GB2312" w:eastAsia="仿宋_GB2312" w:cs="仿宋_GB2312"/>
          <w:kern w:val="0"/>
          <w:sz w:val="24"/>
          <w:szCs w:val="20"/>
          <w:lang w:val="en-US" w:eastAsia="zh-CN" w:bidi="ar"/>
        </w:rPr>
        <w:t>（2）向</w:t>
      </w:r>
      <w:r>
        <w:rPr>
          <w:rFonts w:hint="eastAsia" w:ascii="仿宋_GB2312" w:hAnsi="仿宋_GB2312" w:eastAsia="仿宋_GB2312" w:cs="仿宋_GB2312"/>
          <w:kern w:val="0"/>
          <w:sz w:val="24"/>
          <w:szCs w:val="20"/>
          <w:u w:val="single"/>
          <w:lang w:val="en-US" w:eastAsia="zh-CN" w:bidi="ar"/>
        </w:rPr>
        <w:t>投保人所在地</w:t>
      </w:r>
      <w:r>
        <w:rPr>
          <w:rFonts w:hint="eastAsia" w:ascii="仿宋_GB2312" w:hAnsi="仿宋_GB2312" w:eastAsia="仿宋_GB2312" w:cs="仿宋_GB2312"/>
          <w:kern w:val="0"/>
          <w:sz w:val="24"/>
          <w:szCs w:val="20"/>
          <w:lang w:val="en-US" w:eastAsia="zh-CN" w:bidi="ar"/>
        </w:rPr>
        <w:t>人民法院提起诉讼。</w:t>
      </w:r>
    </w:p>
    <w:p>
      <w:pPr>
        <w:keepNext w:val="0"/>
        <w:keepLines w:val="0"/>
        <w:widowControl w:val="0"/>
        <w:suppressLineNumbers w:val="0"/>
        <w:snapToGrid w:val="0"/>
        <w:spacing w:before="0" w:beforeAutospacing="0" w:after="0" w:afterAutospacing="0" w:line="360" w:lineRule="auto"/>
        <w:ind w:left="0" w:right="0" w:firstLine="470" w:firstLineChars="196"/>
        <w:jc w:val="both"/>
        <w:outlineLvl w:val="1"/>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13.3合同生效及终止</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本合同自</w:t>
      </w:r>
      <w:r>
        <w:rPr>
          <w:rFonts w:hint="eastAsia" w:ascii="仿宋_GB2312" w:hAnsi="仿宋_GB2312" w:eastAsia="仿宋_GB2312" w:cs="仿宋_GB2312"/>
          <w:kern w:val="2"/>
          <w:position w:val="6"/>
          <w:sz w:val="24"/>
          <w:szCs w:val="20"/>
          <w:u w:val="single"/>
          <w:lang w:val="en-US" w:eastAsia="zh-CN" w:bidi="ar"/>
        </w:rPr>
        <w:t>双方法定代表人或授权代表签字并加盖合同专用章后</w:t>
      </w:r>
      <w:r>
        <w:rPr>
          <w:rFonts w:hint="eastAsia" w:ascii="仿宋_GB2312" w:hAnsi="仿宋_GB2312" w:eastAsia="仿宋_GB2312" w:cs="仿宋_GB2312"/>
          <w:kern w:val="2"/>
          <w:position w:val="6"/>
          <w:sz w:val="24"/>
          <w:szCs w:val="20"/>
          <w:lang w:val="en-US" w:eastAsia="zh-CN" w:bidi="ar"/>
        </w:rPr>
        <w:t>生效；在保险单有效期内持续有效，如果保险期限结束后仍存在遗留问题，本合同将继续有效，直至保单涉及的各项遗留事宜最终处理完毕后，本合同即行终止。</w:t>
      </w:r>
    </w:p>
    <w:p>
      <w:pPr>
        <w:keepNext w:val="0"/>
        <w:keepLines w:val="0"/>
        <w:widowControl w:val="0"/>
        <w:suppressLineNumbers w:val="0"/>
        <w:snapToGrid w:val="0"/>
        <w:spacing w:before="0" w:beforeAutospacing="0" w:after="0" w:afterAutospacing="0" w:line="360" w:lineRule="auto"/>
        <w:ind w:left="0" w:right="0" w:firstLine="470" w:firstLineChars="196"/>
        <w:jc w:val="both"/>
        <w:outlineLvl w:val="1"/>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13.4修改和补充</w:t>
      </w:r>
      <w:bookmarkEnd w:id="63"/>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在本协议执行期内，如需对本协议进行修改和补充，应由投保人（代表被保险人）、承保人双方协商一致后，签订补充协议。</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13.5签订时间</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本合同于</w:t>
      </w:r>
      <w:r>
        <w:rPr>
          <w:rFonts w:hint="eastAsia" w:ascii="仿宋_GB2312" w:hAnsi="仿宋_GB2312" w:eastAsia="仿宋_GB2312" w:cs="仿宋_GB2312"/>
          <w:kern w:val="2"/>
          <w:position w:val="6"/>
          <w:sz w:val="24"/>
          <w:szCs w:val="20"/>
          <w:u w:val="single"/>
          <w:lang w:val="en-US" w:eastAsia="zh-CN" w:bidi="ar"/>
        </w:rPr>
        <w:t xml:space="preserve">      </w:t>
      </w:r>
      <w:r>
        <w:rPr>
          <w:rFonts w:hint="eastAsia" w:ascii="仿宋_GB2312" w:hAnsi="仿宋_GB2312" w:eastAsia="仿宋_GB2312" w:cs="仿宋_GB2312"/>
          <w:kern w:val="2"/>
          <w:position w:val="6"/>
          <w:sz w:val="24"/>
          <w:szCs w:val="20"/>
          <w:lang w:val="en-US" w:eastAsia="zh-CN" w:bidi="ar"/>
        </w:rPr>
        <w:t>年</w:t>
      </w:r>
      <w:r>
        <w:rPr>
          <w:rFonts w:hint="eastAsia" w:ascii="仿宋_GB2312" w:hAnsi="仿宋_GB2312" w:eastAsia="仿宋_GB2312" w:cs="仿宋_GB2312"/>
          <w:kern w:val="2"/>
          <w:position w:val="6"/>
          <w:sz w:val="24"/>
          <w:szCs w:val="20"/>
          <w:u w:val="single"/>
          <w:lang w:val="en-US" w:eastAsia="zh-CN" w:bidi="ar"/>
        </w:rPr>
        <w:t xml:space="preserve">    </w:t>
      </w:r>
      <w:r>
        <w:rPr>
          <w:rFonts w:hint="eastAsia" w:ascii="仿宋_GB2312" w:hAnsi="仿宋_GB2312" w:eastAsia="仿宋_GB2312" w:cs="仿宋_GB2312"/>
          <w:kern w:val="2"/>
          <w:position w:val="6"/>
          <w:sz w:val="24"/>
          <w:szCs w:val="20"/>
          <w:lang w:val="en-US" w:eastAsia="zh-CN" w:bidi="ar"/>
        </w:rPr>
        <w:t>月</w:t>
      </w:r>
      <w:r>
        <w:rPr>
          <w:rFonts w:hint="eastAsia" w:ascii="仿宋_GB2312" w:hAnsi="仿宋_GB2312" w:eastAsia="仿宋_GB2312" w:cs="仿宋_GB2312"/>
          <w:kern w:val="2"/>
          <w:position w:val="6"/>
          <w:sz w:val="24"/>
          <w:szCs w:val="20"/>
          <w:u w:val="single"/>
          <w:lang w:val="en-US" w:eastAsia="zh-CN" w:bidi="ar"/>
        </w:rPr>
        <w:t xml:space="preserve">    </w:t>
      </w:r>
      <w:r>
        <w:rPr>
          <w:rFonts w:hint="eastAsia" w:ascii="仿宋_GB2312" w:hAnsi="仿宋_GB2312" w:eastAsia="仿宋_GB2312" w:cs="仿宋_GB2312"/>
          <w:kern w:val="2"/>
          <w:position w:val="6"/>
          <w:sz w:val="24"/>
          <w:szCs w:val="20"/>
          <w:lang w:val="en-US" w:eastAsia="zh-CN" w:bidi="ar"/>
        </w:rPr>
        <w:t>日签订。</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13.6签订地点</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本合同在</w:t>
      </w:r>
      <w:r>
        <w:rPr>
          <w:rFonts w:hint="eastAsia" w:ascii="仿宋_GB2312" w:hAnsi="仿宋_GB2312" w:eastAsia="仿宋_GB2312" w:cs="仿宋_GB2312"/>
          <w:kern w:val="2"/>
          <w:position w:val="6"/>
          <w:sz w:val="24"/>
          <w:szCs w:val="20"/>
          <w:u w:val="single"/>
          <w:lang w:val="en-US" w:eastAsia="zh-CN" w:bidi="ar"/>
        </w:rPr>
        <w:t>湖南省长沙市雨花区</w:t>
      </w:r>
      <w:r>
        <w:rPr>
          <w:rFonts w:hint="eastAsia" w:ascii="仿宋_GB2312" w:hAnsi="仿宋_GB2312" w:eastAsia="仿宋_GB2312" w:cs="仿宋_GB2312"/>
          <w:kern w:val="2"/>
          <w:position w:val="6"/>
          <w:sz w:val="24"/>
          <w:szCs w:val="20"/>
          <w:lang w:val="en-US" w:eastAsia="zh-CN" w:bidi="ar"/>
        </w:rPr>
        <w:t>签订</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13.7双方约定的其他事项（本条约定与合同条款中其他约定不一致时，以本条为准）：</w:t>
      </w:r>
      <w:r>
        <w:rPr>
          <w:rFonts w:hint="eastAsia" w:ascii="仿宋_GB2312" w:hAnsi="仿宋_GB2312" w:eastAsia="仿宋_GB2312" w:cs="仿宋_GB2312"/>
          <w:kern w:val="2"/>
          <w:position w:val="6"/>
          <w:sz w:val="24"/>
          <w:szCs w:val="20"/>
          <w:u w:val="single"/>
          <w:lang w:val="en-US" w:eastAsia="zh-CN" w:bidi="ar"/>
        </w:rPr>
        <w:t xml:space="preserve">                    </w:t>
      </w:r>
      <w:bookmarkStart w:id="64" w:name="_Toc461094758"/>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13.</w:t>
      </w:r>
      <w:bookmarkEnd w:id="64"/>
      <w:r>
        <w:rPr>
          <w:rFonts w:hint="eastAsia" w:ascii="仿宋_GB2312" w:hAnsi="仿宋_GB2312" w:eastAsia="仿宋_GB2312" w:cs="仿宋_GB2312"/>
          <w:kern w:val="2"/>
          <w:position w:val="6"/>
          <w:sz w:val="24"/>
          <w:szCs w:val="20"/>
          <w:lang w:val="en-US" w:eastAsia="zh-CN" w:bidi="ar"/>
        </w:rPr>
        <w:t>8合同份数</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本合同一式十二份（其中正本二份、副本十份），投保人执八份（一正七副）、承保人执四份（一正三副）。合同正本和副本具有同等效力，当合同副本与正本之间存有差异时，以合同正本为准。</w:t>
      </w:r>
      <w:bookmarkStart w:id="65" w:name="_Toc2298"/>
    </w:p>
    <w:p>
      <w:pPr>
        <w:spacing w:line="360" w:lineRule="auto"/>
        <w:rPr>
          <w:rFonts w:hint="eastAsia" w:ascii="仿宋_GB2312" w:hAnsi="仿宋_GB2312" w:eastAsia="仿宋_GB2312" w:cs="仿宋_GB2312"/>
          <w:kern w:val="2"/>
          <w:position w:val="6"/>
          <w:sz w:val="24"/>
          <w:szCs w:val="20"/>
          <w:lang w:val="en-US" w:eastAsia="zh-CN" w:bidi="ar"/>
        </w:rPr>
        <w:sectPr>
          <w:pgSz w:w="11906" w:h="16838"/>
          <w:pgMar w:top="1440" w:right="1800" w:bottom="1440" w:left="1800" w:header="851" w:footer="992" w:gutter="0"/>
          <w:pgNumType w:start="1"/>
          <w:cols w:space="720" w:num="1"/>
          <w:docGrid w:type="lines" w:linePitch="312" w:charSpace="0"/>
        </w:sectPr>
      </w:pP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r>
        <w:rPr>
          <w:rFonts w:hint="eastAsia" w:ascii="仿宋_GB2312" w:hAnsi="仿宋_GB2312" w:eastAsia="仿宋_GB2312" w:cs="仿宋_GB2312"/>
          <w:kern w:val="2"/>
          <w:position w:val="6"/>
          <w:sz w:val="24"/>
          <w:szCs w:val="20"/>
          <w:lang w:val="en-US" w:eastAsia="zh-CN" w:bidi="ar"/>
        </w:rPr>
        <w:t>（本页无正文）</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p>
    <w:tbl>
      <w:tblPr>
        <w:tblStyle w:val="46"/>
        <w:tblpPr w:leftFromText="180" w:rightFromText="180" w:vertAnchor="text" w:horzAnchor="page" w:tblpX="1531" w:tblpY="416"/>
        <w:tblOverlap w:val="never"/>
        <w:tblW w:w="0" w:type="auto"/>
        <w:tblInd w:w="0" w:type="dxa"/>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trPr>
        <w:tc>
          <w:tcPr>
            <w:tcW w:w="4467" w:type="dxa"/>
            <w:noWrap w:val="0"/>
            <w:vAlign w:val="top"/>
          </w:tcPr>
          <w:p>
            <w:pPr>
              <w:pStyle w:val="25"/>
              <w:widowControl/>
              <w:snapToGrid w:val="0"/>
              <w:spacing w:line="360" w:lineRule="auto"/>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投保人（代表被保险人）：</w:t>
            </w:r>
            <w:r>
              <w:rPr>
                <w:rFonts w:hint="eastAsia" w:ascii="仿宋_GB2312" w:hAnsi="仿宋_GB2312" w:eastAsia="仿宋_GB2312" w:cs="仿宋_GB2312"/>
                <w:sz w:val="24"/>
                <w:szCs w:val="20"/>
                <w:lang w:val="en-US" w:eastAsia="zh-CN"/>
              </w:rPr>
              <w:t>(</w:t>
            </w:r>
            <w:r>
              <w:rPr>
                <w:rFonts w:hint="eastAsia" w:ascii="仿宋_GB2312" w:hAnsi="仿宋_GB2312" w:eastAsia="仿宋_GB2312" w:cs="仿宋_GB2312"/>
                <w:sz w:val="24"/>
                <w:szCs w:val="20"/>
                <w:lang w:eastAsia="zh-CN"/>
              </w:rPr>
              <w:t>盖章</w:t>
            </w:r>
            <w:r>
              <w:rPr>
                <w:rFonts w:hint="eastAsia" w:ascii="仿宋_GB2312" w:hAnsi="仿宋_GB2312" w:eastAsia="仿宋_GB2312" w:cs="仿宋_GB2312"/>
                <w:sz w:val="24"/>
                <w:szCs w:val="20"/>
                <w:lang w:val="en-US" w:eastAsia="zh-CN"/>
              </w:rPr>
              <w:t>)</w:t>
            </w:r>
          </w:p>
          <w:p>
            <w:pPr>
              <w:pStyle w:val="25"/>
              <w:widowControl/>
              <w:snapToGrid w:val="0"/>
              <w:spacing w:line="360" w:lineRule="auto"/>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val="en-US" w:eastAsia="zh-CN"/>
              </w:rPr>
              <w:t xml:space="preserve"> </w:t>
            </w:r>
          </w:p>
        </w:tc>
        <w:tc>
          <w:tcPr>
            <w:tcW w:w="4252" w:type="dxa"/>
            <w:noWrap w:val="0"/>
            <w:vAlign w:val="top"/>
          </w:tcPr>
          <w:p>
            <w:pPr>
              <w:pStyle w:val="25"/>
              <w:widowControl/>
              <w:snapToGrid w:val="0"/>
              <w:spacing w:line="360" w:lineRule="auto"/>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承保人：（盖章）</w:t>
            </w:r>
          </w:p>
          <w:p>
            <w:pPr>
              <w:pStyle w:val="25"/>
              <w:widowControl/>
              <w:snapToGrid w:val="0"/>
              <w:spacing w:line="360" w:lineRule="auto"/>
              <w:rPr>
                <w:rFonts w:hint="eastAsia" w:ascii="仿宋_GB2312" w:hAnsi="仿宋_GB2312" w:eastAsia="仿宋_GB2312" w:cs="仿宋_GB2312"/>
                <w:sz w:val="24"/>
                <w:szCs w:val="20"/>
                <w:lang w:val="en-US"/>
              </w:rPr>
            </w:pPr>
          </w:p>
        </w:tc>
      </w:tr>
      <w:tr>
        <w:tblPrEx>
          <w:tblCellMar>
            <w:top w:w="0" w:type="dxa"/>
            <w:left w:w="108" w:type="dxa"/>
            <w:bottom w:w="0" w:type="dxa"/>
            <w:right w:w="108" w:type="dxa"/>
          </w:tblCellMar>
        </w:tblPrEx>
        <w:trPr>
          <w:trHeight w:val="1524" w:hRule="atLeast"/>
        </w:trPr>
        <w:tc>
          <w:tcPr>
            <w:tcW w:w="4467" w:type="dxa"/>
            <w:noWrap w:val="0"/>
            <w:vAlign w:val="top"/>
          </w:tcPr>
          <w:p>
            <w:pPr>
              <w:pStyle w:val="25"/>
              <w:widowControl/>
              <w:snapToGrid w:val="0"/>
              <w:spacing w:line="360" w:lineRule="auto"/>
              <w:ind w:left="19" w:leftChars="9"/>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法定代表人或其授权代表：</w:t>
            </w:r>
          </w:p>
          <w:p>
            <w:pPr>
              <w:pStyle w:val="25"/>
              <w:widowControl/>
              <w:snapToGrid w:val="0"/>
              <w:spacing w:line="360" w:lineRule="auto"/>
              <w:ind w:left="19" w:leftChars="9"/>
              <w:rPr>
                <w:rFonts w:hint="eastAsia" w:ascii="仿宋_GB2312" w:hAnsi="仿宋_GB2312" w:eastAsia="仿宋_GB2312" w:cs="仿宋_GB2312"/>
                <w:sz w:val="24"/>
                <w:szCs w:val="20"/>
                <w:lang w:val="en-US" w:eastAsia="zh-CN"/>
              </w:rPr>
            </w:pPr>
          </w:p>
        </w:tc>
        <w:tc>
          <w:tcPr>
            <w:tcW w:w="4252" w:type="dxa"/>
            <w:noWrap w:val="0"/>
            <w:vAlign w:val="top"/>
          </w:tcPr>
          <w:p>
            <w:pPr>
              <w:pStyle w:val="25"/>
              <w:widowControl/>
              <w:snapToGrid w:val="0"/>
              <w:spacing w:line="360" w:lineRule="auto"/>
              <w:ind w:left="34" w:leftChars="16"/>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法定代表人或其授权代表：</w:t>
            </w:r>
          </w:p>
        </w:tc>
      </w:tr>
      <w:tr>
        <w:tblPrEx>
          <w:tblCellMar>
            <w:top w:w="0" w:type="dxa"/>
            <w:left w:w="108" w:type="dxa"/>
            <w:bottom w:w="0" w:type="dxa"/>
            <w:right w:w="108" w:type="dxa"/>
          </w:tblCellMar>
        </w:tblPrEx>
        <w:trPr>
          <w:trHeight w:val="803" w:hRule="atLeast"/>
        </w:trPr>
        <w:tc>
          <w:tcPr>
            <w:tcW w:w="4467" w:type="dxa"/>
            <w:noWrap w:val="0"/>
            <w:vAlign w:val="top"/>
          </w:tcPr>
          <w:p>
            <w:pPr>
              <w:pStyle w:val="25"/>
              <w:widowControl/>
              <w:snapToGrid w:val="0"/>
              <w:spacing w:line="360" w:lineRule="auto"/>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地址：</w:t>
            </w:r>
          </w:p>
        </w:tc>
        <w:tc>
          <w:tcPr>
            <w:tcW w:w="4252" w:type="dxa"/>
            <w:noWrap w:val="0"/>
            <w:vAlign w:val="top"/>
          </w:tcPr>
          <w:p>
            <w:pPr>
              <w:pStyle w:val="25"/>
              <w:widowControl/>
              <w:snapToGrid w:val="0"/>
              <w:spacing w:line="360" w:lineRule="auto"/>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地址：</w:t>
            </w:r>
          </w:p>
        </w:tc>
      </w:tr>
      <w:tr>
        <w:tblPrEx>
          <w:tblCellMar>
            <w:top w:w="0" w:type="dxa"/>
            <w:left w:w="108" w:type="dxa"/>
            <w:bottom w:w="0" w:type="dxa"/>
            <w:right w:w="108" w:type="dxa"/>
          </w:tblCellMar>
        </w:tblPrEx>
        <w:trPr>
          <w:trHeight w:val="803" w:hRule="atLeast"/>
        </w:trPr>
        <w:tc>
          <w:tcPr>
            <w:tcW w:w="4467" w:type="dxa"/>
            <w:noWrap w:val="0"/>
            <w:vAlign w:val="top"/>
          </w:tcPr>
          <w:p>
            <w:pPr>
              <w:pStyle w:val="25"/>
              <w:widowControl/>
              <w:snapToGrid w:val="0"/>
              <w:spacing w:line="360" w:lineRule="auto"/>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邮编：</w:t>
            </w:r>
          </w:p>
        </w:tc>
        <w:tc>
          <w:tcPr>
            <w:tcW w:w="4252" w:type="dxa"/>
            <w:noWrap w:val="0"/>
            <w:vAlign w:val="top"/>
          </w:tcPr>
          <w:p>
            <w:pPr>
              <w:pStyle w:val="25"/>
              <w:widowControl/>
              <w:snapToGrid w:val="0"/>
              <w:spacing w:line="360" w:lineRule="auto"/>
              <w:ind w:left="34" w:leftChars="16"/>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邮编：</w:t>
            </w:r>
          </w:p>
        </w:tc>
      </w:tr>
      <w:tr>
        <w:tblPrEx>
          <w:tblCellMar>
            <w:top w:w="0" w:type="dxa"/>
            <w:left w:w="108" w:type="dxa"/>
            <w:bottom w:w="0" w:type="dxa"/>
            <w:right w:w="108" w:type="dxa"/>
          </w:tblCellMar>
        </w:tblPrEx>
        <w:trPr>
          <w:trHeight w:val="803" w:hRule="atLeast"/>
        </w:trPr>
        <w:tc>
          <w:tcPr>
            <w:tcW w:w="4467" w:type="dxa"/>
            <w:noWrap w:val="0"/>
            <w:vAlign w:val="top"/>
          </w:tcPr>
          <w:p>
            <w:pPr>
              <w:pStyle w:val="25"/>
              <w:widowControl/>
              <w:snapToGrid w:val="0"/>
              <w:spacing w:line="360" w:lineRule="auto"/>
              <w:ind w:left="19" w:leftChars="9"/>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电话：</w:t>
            </w:r>
          </w:p>
        </w:tc>
        <w:tc>
          <w:tcPr>
            <w:tcW w:w="4252" w:type="dxa"/>
            <w:noWrap w:val="0"/>
            <w:vAlign w:val="top"/>
          </w:tcPr>
          <w:p>
            <w:pPr>
              <w:pStyle w:val="25"/>
              <w:widowControl/>
              <w:snapToGrid w:val="0"/>
              <w:spacing w:line="360" w:lineRule="auto"/>
              <w:ind w:left="34" w:leftChars="16"/>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电话：</w:t>
            </w:r>
          </w:p>
        </w:tc>
      </w:tr>
      <w:tr>
        <w:tblPrEx>
          <w:tblCellMar>
            <w:top w:w="0" w:type="dxa"/>
            <w:left w:w="108" w:type="dxa"/>
            <w:bottom w:w="0" w:type="dxa"/>
            <w:right w:w="108" w:type="dxa"/>
          </w:tblCellMar>
        </w:tblPrEx>
        <w:trPr>
          <w:trHeight w:val="777" w:hRule="atLeast"/>
        </w:trPr>
        <w:tc>
          <w:tcPr>
            <w:tcW w:w="4467" w:type="dxa"/>
            <w:noWrap w:val="0"/>
            <w:vAlign w:val="top"/>
          </w:tcPr>
          <w:p>
            <w:pPr>
              <w:pStyle w:val="25"/>
              <w:widowControl/>
              <w:snapToGrid w:val="0"/>
              <w:spacing w:line="360" w:lineRule="auto"/>
              <w:ind w:left="19" w:leftChars="9"/>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传真：</w:t>
            </w:r>
          </w:p>
        </w:tc>
        <w:tc>
          <w:tcPr>
            <w:tcW w:w="4252" w:type="dxa"/>
            <w:noWrap w:val="0"/>
            <w:vAlign w:val="top"/>
          </w:tcPr>
          <w:p>
            <w:pPr>
              <w:pStyle w:val="25"/>
              <w:widowControl/>
              <w:snapToGrid w:val="0"/>
              <w:spacing w:line="360" w:lineRule="auto"/>
              <w:ind w:left="34" w:leftChars="16"/>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传真：</w:t>
            </w:r>
          </w:p>
        </w:tc>
      </w:tr>
      <w:tr>
        <w:tblPrEx>
          <w:tblCellMar>
            <w:top w:w="0" w:type="dxa"/>
            <w:left w:w="108" w:type="dxa"/>
            <w:bottom w:w="0" w:type="dxa"/>
            <w:right w:w="108" w:type="dxa"/>
          </w:tblCellMar>
        </w:tblPrEx>
        <w:trPr>
          <w:trHeight w:val="777" w:hRule="atLeast"/>
        </w:trPr>
        <w:tc>
          <w:tcPr>
            <w:tcW w:w="4467" w:type="dxa"/>
            <w:noWrap w:val="0"/>
            <w:vAlign w:val="top"/>
          </w:tcPr>
          <w:p>
            <w:pPr>
              <w:pStyle w:val="25"/>
              <w:widowControl/>
              <w:snapToGrid w:val="0"/>
              <w:spacing w:line="360" w:lineRule="auto"/>
              <w:ind w:left="19" w:leftChars="9"/>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开户银行：</w:t>
            </w:r>
          </w:p>
        </w:tc>
        <w:tc>
          <w:tcPr>
            <w:tcW w:w="4252" w:type="dxa"/>
            <w:noWrap w:val="0"/>
            <w:vAlign w:val="top"/>
          </w:tcPr>
          <w:p>
            <w:pPr>
              <w:pStyle w:val="25"/>
              <w:widowControl/>
              <w:snapToGrid w:val="0"/>
              <w:spacing w:line="360" w:lineRule="auto"/>
              <w:ind w:left="34" w:leftChars="16"/>
              <w:rPr>
                <w:rFonts w:hint="eastAsia" w:ascii="仿宋_GB2312" w:hAnsi="仿宋_GB2312" w:eastAsia="仿宋_GB2312" w:cs="仿宋_GB2312"/>
                <w:sz w:val="24"/>
                <w:szCs w:val="20"/>
                <w:lang w:val="en-US"/>
              </w:rPr>
            </w:pPr>
            <w:r>
              <w:rPr>
                <w:rFonts w:hint="eastAsia" w:ascii="仿宋_GB2312" w:hAnsi="仿宋_GB2312" w:eastAsia="仿宋_GB2312" w:cs="仿宋_GB2312"/>
                <w:sz w:val="24"/>
                <w:szCs w:val="20"/>
                <w:lang w:val="en-US"/>
              </w:rPr>
              <w:t>开户银行：</w:t>
            </w:r>
          </w:p>
        </w:tc>
      </w:tr>
      <w:tr>
        <w:tblPrEx>
          <w:tblCellMar>
            <w:top w:w="0" w:type="dxa"/>
            <w:left w:w="108" w:type="dxa"/>
            <w:bottom w:w="0" w:type="dxa"/>
            <w:right w:w="108" w:type="dxa"/>
          </w:tblCellMar>
        </w:tblPrEx>
        <w:trPr>
          <w:trHeight w:val="777" w:hRule="atLeast"/>
        </w:trPr>
        <w:tc>
          <w:tcPr>
            <w:tcW w:w="4467" w:type="dxa"/>
            <w:noWrap w:val="0"/>
            <w:vAlign w:val="top"/>
          </w:tcPr>
          <w:p>
            <w:pPr>
              <w:pStyle w:val="25"/>
              <w:widowControl/>
              <w:snapToGrid w:val="0"/>
              <w:spacing w:line="360" w:lineRule="auto"/>
              <w:ind w:left="19" w:leftChars="9"/>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账号</w:t>
            </w:r>
            <w:r>
              <w:rPr>
                <w:rFonts w:hint="eastAsia" w:ascii="仿宋_GB2312" w:hAnsi="仿宋_GB2312" w:eastAsia="仿宋_GB2312" w:cs="仿宋_GB2312"/>
                <w:sz w:val="24"/>
                <w:szCs w:val="20"/>
                <w:lang w:val="en-US"/>
              </w:rPr>
              <w:t>：</w:t>
            </w:r>
          </w:p>
          <w:p>
            <w:pPr>
              <w:pStyle w:val="25"/>
              <w:widowControl/>
              <w:snapToGrid w:val="0"/>
              <w:spacing w:line="360" w:lineRule="auto"/>
              <w:ind w:left="19" w:leftChars="9"/>
              <w:rPr>
                <w:rFonts w:hint="eastAsia" w:ascii="仿宋_GB2312" w:hAnsi="仿宋_GB2312" w:eastAsia="仿宋_GB2312" w:cs="仿宋_GB2312"/>
                <w:sz w:val="24"/>
                <w:szCs w:val="20"/>
                <w:lang w:val="en-US" w:eastAsia="zh-CN"/>
              </w:rPr>
            </w:pPr>
          </w:p>
          <w:p>
            <w:pPr>
              <w:pStyle w:val="25"/>
              <w:widowControl/>
              <w:snapToGrid w:val="0"/>
              <w:spacing w:line="360" w:lineRule="auto"/>
              <w:ind w:left="19" w:leftChars="9"/>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时间：</w:t>
            </w:r>
          </w:p>
        </w:tc>
        <w:tc>
          <w:tcPr>
            <w:tcW w:w="4252" w:type="dxa"/>
            <w:noWrap w:val="0"/>
            <w:vAlign w:val="top"/>
          </w:tcPr>
          <w:p>
            <w:pPr>
              <w:pStyle w:val="25"/>
              <w:widowControl/>
              <w:snapToGrid w:val="0"/>
              <w:spacing w:line="360" w:lineRule="auto"/>
              <w:ind w:left="34" w:leftChars="16"/>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账</w:t>
            </w:r>
            <w:r>
              <w:rPr>
                <w:rFonts w:hint="eastAsia" w:ascii="仿宋_GB2312" w:hAnsi="仿宋_GB2312" w:eastAsia="仿宋_GB2312" w:cs="仿宋_GB2312"/>
                <w:sz w:val="24"/>
                <w:szCs w:val="20"/>
                <w:lang w:val="en-US"/>
              </w:rPr>
              <w:t>号：</w:t>
            </w:r>
          </w:p>
          <w:p>
            <w:pPr>
              <w:pStyle w:val="25"/>
              <w:widowControl/>
              <w:snapToGrid w:val="0"/>
              <w:spacing w:line="360" w:lineRule="auto"/>
              <w:ind w:left="34" w:leftChars="16"/>
              <w:rPr>
                <w:rFonts w:hint="eastAsia" w:ascii="仿宋_GB2312" w:hAnsi="仿宋_GB2312" w:eastAsia="仿宋_GB2312" w:cs="仿宋_GB2312"/>
                <w:sz w:val="24"/>
                <w:szCs w:val="20"/>
                <w:lang w:val="en-US" w:eastAsia="zh-CN"/>
              </w:rPr>
            </w:pPr>
          </w:p>
          <w:p>
            <w:pPr>
              <w:pStyle w:val="25"/>
              <w:widowControl/>
              <w:snapToGrid w:val="0"/>
              <w:spacing w:line="360" w:lineRule="auto"/>
              <w:ind w:left="34" w:leftChars="16"/>
              <w:rPr>
                <w:rFonts w:hint="eastAsia" w:ascii="仿宋_GB2312" w:hAnsi="仿宋_GB2312" w:eastAsia="仿宋_GB2312" w:cs="仿宋_GB2312"/>
                <w:sz w:val="24"/>
                <w:szCs w:val="20"/>
                <w:lang w:val="en-US" w:eastAsia="zh-CN"/>
              </w:rPr>
            </w:pPr>
            <w:r>
              <w:rPr>
                <w:rFonts w:hint="eastAsia" w:ascii="仿宋_GB2312" w:hAnsi="仿宋_GB2312" w:eastAsia="仿宋_GB2312" w:cs="仿宋_GB2312"/>
                <w:sz w:val="24"/>
                <w:szCs w:val="20"/>
                <w:lang w:eastAsia="zh-CN"/>
              </w:rPr>
              <w:t>时间：</w:t>
            </w:r>
          </w:p>
        </w:tc>
      </w:tr>
    </w:tbl>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position w:val="6"/>
          <w:sz w:val="24"/>
          <w:szCs w:val="20"/>
          <w:lang w:val="en-US"/>
        </w:rPr>
      </w:pPr>
    </w:p>
    <w:bookmarkEnd w:id="65"/>
    <w:p>
      <w:pPr>
        <w:spacing w:line="360" w:lineRule="auto"/>
        <w:rPr>
          <w:rFonts w:hint="eastAsia" w:ascii="仿宋_GB2312" w:hAnsi="仿宋_GB2312" w:eastAsia="仿宋_GB2312" w:cs="仿宋_GB2312"/>
          <w:b/>
          <w:bCs/>
          <w:kern w:val="2"/>
          <w:sz w:val="32"/>
          <w:szCs w:val="32"/>
          <w:lang w:val="en-US" w:eastAsia="zh-CN" w:bidi="ar"/>
        </w:rPr>
        <w:sectPr>
          <w:pgSz w:w="11906" w:h="16838"/>
          <w:pgMar w:top="1440" w:right="1800" w:bottom="1440" w:left="1800" w:header="851" w:footer="992" w:gutter="0"/>
          <w:cols w:space="720" w:num="1"/>
          <w:docGrid w:type="lines" w:linePitch="312" w:charSpace="0"/>
        </w:sectPr>
      </w:pPr>
    </w:p>
    <w:p>
      <w:pPr>
        <w:pStyle w:val="3"/>
        <w:widowControl/>
        <w:spacing w:before="0" w:beforeAutospacing="0" w:after="0" w:afterAutospacing="0" w:line="360" w:lineRule="auto"/>
        <w:ind w:left="0" w:right="0"/>
        <w:jc w:val="center"/>
        <w:rPr>
          <w:rFonts w:hint="eastAsia" w:ascii="仿宋_GB2312" w:hAnsi="仿宋_GB2312" w:eastAsia="仿宋_GB2312" w:cs="仿宋_GB2312"/>
          <w:bCs/>
          <w:kern w:val="2"/>
          <w:sz w:val="32"/>
          <w:szCs w:val="32"/>
          <w:lang w:val="en-US"/>
        </w:rPr>
      </w:pPr>
      <w:r>
        <w:rPr>
          <w:rFonts w:hint="eastAsia" w:ascii="仿宋_GB2312" w:hAnsi="仿宋_GB2312" w:eastAsia="仿宋_GB2312" w:cs="仿宋_GB2312"/>
          <w:bCs/>
          <w:kern w:val="2"/>
          <w:sz w:val="32"/>
          <w:szCs w:val="32"/>
          <w:lang w:eastAsia="zh-CN"/>
        </w:rPr>
        <w:t>第二部分 机动车辆保险需求</w:t>
      </w:r>
    </w:p>
    <w:p>
      <w:pPr>
        <w:keepNext w:val="0"/>
        <w:keepLines w:val="0"/>
        <w:widowControl w:val="0"/>
        <w:suppressLineNumbers w:val="0"/>
        <w:spacing w:before="0" w:beforeAutospacing="0" w:after="0" w:afterAutospacing="0"/>
        <w:ind w:left="0" w:right="0" w:firstLine="0"/>
        <w:jc w:val="both"/>
        <w:rPr>
          <w:sz w:val="24"/>
          <w:szCs w:val="18"/>
          <w:lang w:val="en-US"/>
        </w:rPr>
      </w:pPr>
      <w:r>
        <w:rPr>
          <w:rFonts w:hint="default" w:ascii="Calibri" w:hAnsi="Calibri" w:eastAsia="宋体" w:cs="Calibri"/>
          <w:kern w:val="2"/>
          <w:sz w:val="24"/>
          <w:szCs w:val="18"/>
          <w:lang w:val="en-US" w:eastAsia="zh-CN" w:bidi="ar"/>
        </w:rPr>
        <w:t xml:space="preserve"> </w:t>
      </w:r>
    </w:p>
    <w:p>
      <w:pPr>
        <w:rPr>
          <w:rFonts w:hint="default" w:ascii="Calibri" w:hAnsi="Calibri" w:eastAsia="宋体" w:cs="Calibri"/>
          <w:kern w:val="2"/>
          <w:sz w:val="24"/>
          <w:szCs w:val="18"/>
          <w:lang w:val="en-US" w:eastAsia="zh-CN" w:bidi="ar"/>
        </w:rPr>
        <w:sectPr>
          <w:pgSz w:w="11906" w:h="16838"/>
          <w:pgMar w:top="1440" w:right="1800" w:bottom="1440" w:left="1800" w:header="851" w:footer="992" w:gutter="0"/>
          <w:cols w:space="720" w:num="1"/>
          <w:docGrid w:type="lines" w:linePitch="312" w:charSpace="0"/>
        </w:sectPr>
      </w:pPr>
    </w:p>
    <w:p>
      <w:pPr>
        <w:pStyle w:val="3"/>
        <w:widowControl/>
        <w:spacing w:before="0" w:beforeAutospacing="0" w:after="0" w:afterAutospacing="0" w:line="360" w:lineRule="auto"/>
        <w:ind w:left="0" w:right="0"/>
        <w:jc w:val="center"/>
        <w:rPr>
          <w:rFonts w:hint="eastAsia" w:ascii="仿宋_GB2312" w:hAnsi="仿宋_GB2312" w:eastAsia="仿宋_GB2312" w:cs="仿宋_GB2312"/>
          <w:bCs/>
          <w:kern w:val="2"/>
          <w:sz w:val="32"/>
          <w:szCs w:val="32"/>
          <w:lang w:val="en-US"/>
        </w:rPr>
      </w:pPr>
      <w:r>
        <w:rPr>
          <w:rFonts w:hint="eastAsia" w:ascii="仿宋_GB2312" w:hAnsi="仿宋_GB2312" w:eastAsia="仿宋_GB2312" w:cs="仿宋_GB2312"/>
          <w:bCs/>
          <w:kern w:val="2"/>
          <w:sz w:val="32"/>
          <w:szCs w:val="32"/>
          <w:lang w:eastAsia="zh-CN"/>
        </w:rPr>
        <w:t>第三部分</w:t>
      </w:r>
      <w:r>
        <w:rPr>
          <w:rFonts w:hint="eastAsia" w:ascii="仿宋_GB2312" w:hAnsi="仿宋_GB2312" w:eastAsia="仿宋_GB2312" w:cs="仿宋_GB2312"/>
          <w:bCs/>
          <w:kern w:val="2"/>
          <w:sz w:val="32"/>
          <w:szCs w:val="32"/>
          <w:lang w:val="en-US"/>
        </w:rPr>
        <w:t xml:space="preserve">  </w:t>
      </w:r>
      <w:r>
        <w:rPr>
          <w:rFonts w:hint="eastAsia" w:ascii="仿宋_GB2312" w:hAnsi="仿宋_GB2312" w:eastAsia="仿宋_GB2312" w:cs="仿宋_GB2312"/>
          <w:bCs/>
          <w:kern w:val="2"/>
          <w:sz w:val="32"/>
          <w:szCs w:val="32"/>
          <w:lang w:eastAsia="zh-CN"/>
        </w:rPr>
        <w:t>合同附件</w:t>
      </w:r>
    </w:p>
    <w:p>
      <w:pPr>
        <w:keepNext w:val="0"/>
        <w:keepLines w:val="0"/>
        <w:widowControl w:val="0"/>
        <w:suppressLineNumbers w:val="0"/>
        <w:adjustRightInd w:val="0"/>
        <w:snapToGrid w:val="0"/>
        <w:spacing w:before="0" w:beforeAutospacing="0" w:after="0" w:afterAutospacing="0"/>
        <w:ind w:left="0" w:right="0" w:firstLine="0"/>
        <w:jc w:val="both"/>
        <w:outlineLvl w:val="1"/>
        <w:rPr>
          <w:rFonts w:hint="eastAsia" w:ascii="仿宋_GB2312" w:hAnsi="仿宋_GB2312" w:eastAsia="仿宋_GB2312" w:cs="仿宋_GB2312"/>
          <w:b/>
          <w:bCs w:val="0"/>
          <w:sz w:val="32"/>
          <w:szCs w:val="32"/>
          <w:lang w:val="en-US"/>
        </w:rPr>
      </w:pPr>
      <w:r>
        <w:rPr>
          <w:rFonts w:hint="eastAsia" w:ascii="仿宋_GB2312" w:hAnsi="仿宋_GB2312" w:eastAsia="仿宋_GB2312" w:cs="仿宋_GB2312"/>
          <w:b/>
          <w:bCs/>
          <w:kern w:val="2"/>
          <w:sz w:val="24"/>
          <w:szCs w:val="20"/>
          <w:lang w:val="en-US" w:eastAsia="zh-CN" w:bidi="ar"/>
        </w:rPr>
        <w:t>附件1 廉政协议</w:t>
      </w:r>
    </w:p>
    <w:p>
      <w:pPr>
        <w:keepNext w:val="0"/>
        <w:keepLines w:val="0"/>
        <w:widowControl w:val="0"/>
        <w:suppressLineNumbers w:val="0"/>
        <w:adjustRightInd w:val="0"/>
        <w:snapToGrid w:val="0"/>
        <w:spacing w:before="0" w:beforeAutospacing="0" w:after="0" w:afterAutospacing="0"/>
        <w:ind w:left="0" w:right="0" w:firstLine="0"/>
        <w:jc w:val="center"/>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b/>
          <w:bCs w:val="0"/>
          <w:kern w:val="2"/>
          <w:sz w:val="32"/>
          <w:szCs w:val="32"/>
          <w:lang w:val="en-US" w:eastAsia="zh-CN" w:bidi="ar"/>
        </w:rPr>
        <w:t>廉政协议</w:t>
      </w:r>
    </w:p>
    <w:p>
      <w:pPr>
        <w:keepNext w:val="0"/>
        <w:keepLines w:val="0"/>
        <w:widowControl/>
        <w:suppressLineNumbers w:val="0"/>
        <w:snapToGrid w:val="0"/>
        <w:spacing w:before="0" w:beforeAutospacing="0" w:after="0" w:afterAutospacing="0" w:line="360" w:lineRule="auto"/>
        <w:ind w:left="0" w:right="0" w:firstLine="0"/>
        <w:jc w:val="left"/>
        <w:rPr>
          <w:rFonts w:hint="eastAsia" w:ascii="仿宋_GB2312" w:hAnsi="仿宋_GB2312" w:eastAsia="仿宋_GB2312" w:cs="仿宋_GB2312"/>
          <w:kern w:val="0"/>
          <w:sz w:val="24"/>
          <w:szCs w:val="20"/>
          <w:lang w:val="en-US" w:bidi="en-US"/>
        </w:rPr>
      </w:pPr>
    </w:p>
    <w:p>
      <w:pPr>
        <w:pStyle w:val="13"/>
        <w:widowControl/>
        <w:snapToGrid w:val="0"/>
        <w:spacing w:line="440" w:lineRule="exact"/>
        <w:ind w:left="0" w:firstLine="0"/>
        <w:jc w:val="left"/>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sz w:val="24"/>
          <w:szCs w:val="24"/>
          <w:lang w:eastAsia="zh-CN"/>
        </w:rPr>
        <w:t>投保人（以下简称甲方）：</w:t>
      </w:r>
      <w:r>
        <w:rPr>
          <w:rFonts w:hint="eastAsia" w:ascii="仿宋_GB2312" w:hAnsi="仿宋_GB2312" w:eastAsia="仿宋_GB2312" w:cs="仿宋_GB2312"/>
          <w:sz w:val="24"/>
          <w:szCs w:val="24"/>
          <w:u w:val="single"/>
          <w:lang w:val="en-US"/>
        </w:rPr>
        <w:t xml:space="preserve">                         </w:t>
      </w:r>
    </w:p>
    <w:p>
      <w:pPr>
        <w:pStyle w:val="13"/>
        <w:widowControl/>
        <w:snapToGrid w:val="0"/>
        <w:spacing w:line="440" w:lineRule="exact"/>
        <w:ind w:left="0" w:firstLine="0"/>
        <w:jc w:val="left"/>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承保人（以下简称乙方）：</w:t>
      </w:r>
      <w:r>
        <w:rPr>
          <w:rFonts w:hint="eastAsia" w:ascii="仿宋_GB2312" w:hAnsi="仿宋_GB2312" w:eastAsia="仿宋_GB2312" w:cs="仿宋_GB2312"/>
          <w:sz w:val="24"/>
          <w:szCs w:val="24"/>
          <w:u w:val="single"/>
          <w:lang w:val="en-US"/>
        </w:rPr>
        <w:t xml:space="preserve">                         </w:t>
      </w:r>
    </w:p>
    <w:p>
      <w:pPr>
        <w:keepNext w:val="0"/>
        <w:keepLines w:val="0"/>
        <w:widowControl w:val="0"/>
        <w:suppressLineNumbers w:val="0"/>
        <w:adjustRightInd w:val="0"/>
        <w:snapToGrid w:val="0"/>
        <w:spacing w:before="0" w:beforeAutospacing="0" w:after="0" w:afterAutospacing="0" w:line="440" w:lineRule="exact"/>
        <w:ind w:left="0" w:right="0" w:firstLine="480"/>
        <w:jc w:val="left"/>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根据国家法律、法规以及有关廉政建设的规定，为做好合同执行过程中党风廉政建设，保证建设及运营资金的安全和有效使用以及投资效益，甲、乙双方特订立如下廉政协议：</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bookmarkStart w:id="66" w:name="_Toc59896701"/>
      <w:bookmarkStart w:id="67" w:name="_Toc59900969"/>
      <w:r>
        <w:rPr>
          <w:rFonts w:hint="eastAsia" w:ascii="仿宋_GB2312" w:hAnsi="仿宋_GB2312" w:eastAsia="仿宋_GB2312" w:cs="仿宋_GB2312"/>
          <w:kern w:val="2"/>
          <w:sz w:val="24"/>
          <w:szCs w:val="20"/>
          <w:lang w:val="en-US" w:eastAsia="zh-CN" w:bidi="ar"/>
        </w:rPr>
        <w:t xml:space="preserve">第一条 </w:t>
      </w:r>
      <w:bookmarkEnd w:id="66"/>
      <w:bookmarkEnd w:id="67"/>
      <w:r>
        <w:rPr>
          <w:rFonts w:hint="eastAsia" w:ascii="仿宋_GB2312" w:hAnsi="仿宋_GB2312" w:eastAsia="仿宋_GB2312" w:cs="仿宋_GB2312"/>
          <w:kern w:val="2"/>
          <w:sz w:val="24"/>
          <w:szCs w:val="20"/>
          <w:lang w:val="en-US" w:eastAsia="zh-CN" w:bidi="ar"/>
        </w:rPr>
        <w:t>共同责任</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（一）严格遵守党和国家有关法律法规及湖南省、长沙市的相关规定。</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（二）严格执行</w:t>
      </w: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（以下称主合同）的合同文件，自觉按合同办事。</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（三）双方的业务活动坚持公开、公正、诚信、透明的原则（除法律认定的商业秘密和合同文件另有规定之外），不得损害国家和集体利益，违反工程建设规章制度。</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（四）建立健全廉政制度，开展廉政教育，设立廉政告示牌，公布举报电话，监督并认真查处违纪违法行为。</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（五）发现对方在业务活动中有违反廉政规定的行为，有及时提醒对方纠正的权利和义务。</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第二条 共同权利</w:t>
      </w:r>
    </w:p>
    <w:p>
      <w:pPr>
        <w:keepNext w:val="0"/>
        <w:keepLines w:val="0"/>
        <w:widowControl w:val="0"/>
        <w:suppressLineNumbers w:val="0"/>
        <w:adjustRightInd w:val="0"/>
        <w:snapToGrid w:val="0"/>
        <w:spacing w:before="0" w:beforeAutospacing="0" w:after="0" w:afterAutospacing="0" w:line="440" w:lineRule="exact"/>
        <w:ind w:left="0" w:right="0" w:firstLine="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 xml:space="preserve">    发现对方严重违反本协议义务条款的行为，有向其上级有关部门举报、建议给予处理并要求告知处理结果的权利。</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bookmarkStart w:id="68" w:name="_Toc59896702"/>
      <w:bookmarkStart w:id="69" w:name="_Toc59900970"/>
      <w:r>
        <w:rPr>
          <w:rFonts w:hint="eastAsia" w:ascii="仿宋_GB2312" w:hAnsi="仿宋_GB2312" w:eastAsia="仿宋_GB2312" w:cs="仿宋_GB2312"/>
          <w:kern w:val="2"/>
          <w:sz w:val="24"/>
          <w:szCs w:val="20"/>
          <w:lang w:val="en-US" w:eastAsia="zh-CN" w:bidi="ar"/>
        </w:rPr>
        <w:t>第三条 甲方的义务</w:t>
      </w:r>
      <w:bookmarkEnd w:id="68"/>
      <w:bookmarkEnd w:id="69"/>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（一）甲方及其工作人员不得索要或接受乙方的礼金、有价证券和贵重物品。</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（二）甲方及其工作人员不得在乙方报销任何应由甲方或个人支付的费用等。</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（三）甲方及其工作人员不得参加乙方安排的超标准宴请和娱乐活动。</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（四）甲方及其工作人员不得接受乙方提供的通讯工具、交通工具和高档办公用品等。</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（五）甲方及其工作人员不得要求或者接受乙方为其住房装修、婚丧嫁娶活动、配偶子女的工作安排以及出国出境、旅游等提供方便等。</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（六）甲方及其工作人员不得有违反法律、法规、廉洁从业规定的其他行为。</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bookmarkStart w:id="70" w:name="_Toc59896703"/>
      <w:bookmarkStart w:id="71" w:name="_Toc59900971"/>
      <w:r>
        <w:rPr>
          <w:rFonts w:hint="eastAsia" w:ascii="仿宋_GB2312" w:hAnsi="仿宋_GB2312" w:eastAsia="仿宋_GB2312" w:cs="仿宋_GB2312"/>
          <w:kern w:val="2"/>
          <w:sz w:val="24"/>
          <w:szCs w:val="20"/>
          <w:lang w:val="en-US" w:eastAsia="zh-CN" w:bidi="ar"/>
        </w:rPr>
        <w:t>第四条 乙方义务</w:t>
      </w:r>
      <w:bookmarkEnd w:id="70"/>
      <w:bookmarkEnd w:id="71"/>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（一）乙方不得以任何理由向甲方及其工作人员行贿或馈赠礼金、有价证券、贵重物品。</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（二）乙方不得以任何名义为甲方及其工作人员报销应由甲方单位或个人支付的任何费用。</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（三）乙方不得以任何理由安排甲方工作人员参加超标准宴请、健身及娱乐活动。</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（四）乙方不得为甲方及其工作人员购置或提供通讯工具、交通工具和高档办公用品等。</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（五）乙方不得为甲方及其工作人员住房装修、婚丧嫁娶活动、配偶子女的工作安排以及出国出境、旅游等提供方便等。</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（六）乙方不得有违反法律、法规、廉洁从业规定的其他行为。</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第五条 违约责任</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（一）甲方及其工作人员违反本协议，视情节轻重按管理权限，依据有关规定给予党纪、政纪或组织处理，调离其工作岗位；涉嫌犯罪的，移交司法机关追究刑事责任；给乙方造成经济损失的，应予以赔偿。</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第七条 本协议有效期为甲乙双方签署之日起至主合同完全履行完毕之日止。</w:t>
      </w:r>
    </w:p>
    <w:p>
      <w:pPr>
        <w:keepNext w:val="0"/>
        <w:keepLines w:val="0"/>
        <w:widowControl w:val="0"/>
        <w:suppressLineNumbers w:val="0"/>
        <w:adjustRightInd w:val="0"/>
        <w:snapToGrid w:val="0"/>
        <w:spacing w:before="0" w:beforeAutospacing="0" w:after="0" w:afterAutospacing="0" w:line="440" w:lineRule="exact"/>
        <w:ind w:left="0"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第八条 本协议作为主合同的附件，与主合同具有同等的法律效力，经合同双方签署立即生效。</w:t>
      </w:r>
    </w:p>
    <w:p>
      <w:pPr>
        <w:rPr>
          <w:rFonts w:hint="eastAsia" w:ascii="仿宋_GB2312" w:hAnsi="仿宋_GB2312" w:eastAsia="仿宋_GB2312" w:cs="仿宋_GB2312"/>
          <w:kern w:val="2"/>
          <w:sz w:val="24"/>
          <w:szCs w:val="20"/>
          <w:lang w:val="en-US" w:eastAsia="zh-CN" w:bidi="ar"/>
        </w:rPr>
        <w:sectPr>
          <w:pgSz w:w="11906" w:h="16838"/>
          <w:pgMar w:top="1440" w:right="1800" w:bottom="1440" w:left="1800" w:header="851" w:footer="992" w:gutter="0"/>
          <w:cols w:space="720" w:num="1"/>
          <w:docGrid w:type="lines" w:linePitch="312" w:charSpace="0"/>
        </w:sectPr>
      </w:pPr>
    </w:p>
    <w:p>
      <w:pPr>
        <w:keepNext w:val="0"/>
        <w:keepLines w:val="0"/>
        <w:widowControl w:val="0"/>
        <w:suppressLineNumbers w:val="0"/>
        <w:spacing w:before="0" w:beforeAutospacing="0" w:after="0" w:afterAutospacing="0"/>
        <w:ind w:left="0" w:right="0" w:firstLine="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（本页无正文）</w:t>
      </w:r>
    </w:p>
    <w:p>
      <w:pPr>
        <w:pStyle w:val="2"/>
        <w:widowControl/>
        <w:spacing w:before="0" w:beforeAutospacing="0" w:after="0" w:afterAutospacing="0"/>
        <w:ind w:left="420" w:leftChars="200" w:right="0"/>
        <w:rPr>
          <w:rFonts w:hint="eastAsia" w:ascii="仿宋_GB2312" w:hAnsi="仿宋_GB2312" w:eastAsia="仿宋_GB2312" w:cs="仿宋_GB2312"/>
          <w:lang w:val="en-US"/>
        </w:rPr>
      </w:pPr>
    </w:p>
    <w:p>
      <w:pPr>
        <w:keepNext w:val="0"/>
        <w:keepLines w:val="0"/>
        <w:widowControl w:val="0"/>
        <w:suppressLineNumbers w:val="0"/>
        <w:spacing w:before="0" w:beforeAutospacing="0" w:after="0" w:afterAutospacing="0"/>
        <w:ind w:left="0" w:right="0" w:firstLine="0"/>
        <w:jc w:val="both"/>
        <w:rPr>
          <w:rFonts w:hint="eastAsia" w:ascii="仿宋_GB2312" w:hAnsi="仿宋_GB2312" w:eastAsia="仿宋_GB2312" w:cs="仿宋_GB2312"/>
          <w:lang w:val="en-US"/>
        </w:rPr>
      </w:pPr>
    </w:p>
    <w:p>
      <w:pPr>
        <w:keepNext w:val="0"/>
        <w:keepLines w:val="0"/>
        <w:widowControl w:val="0"/>
        <w:suppressLineNumbers w:val="0"/>
        <w:spacing w:before="0" w:beforeAutospacing="0" w:after="0" w:afterAutospacing="0"/>
        <w:ind w:left="0" w:right="0" w:firstLine="0"/>
        <w:jc w:val="both"/>
        <w:rPr>
          <w:rFonts w:hint="eastAsia" w:ascii="仿宋_GB2312" w:hAnsi="仿宋_GB2312" w:eastAsia="仿宋_GB2312" w:cs="仿宋_GB2312"/>
          <w:lang w:val="en-US"/>
        </w:rPr>
      </w:pPr>
    </w:p>
    <w:p>
      <w:pPr>
        <w:keepNext w:val="0"/>
        <w:keepLines w:val="0"/>
        <w:widowControl w:val="0"/>
        <w:suppressLineNumbers w:val="0"/>
        <w:spacing w:before="0" w:beforeAutospacing="0" w:after="0" w:afterAutospacing="0"/>
        <w:ind w:left="0" w:right="0" w:firstLine="0"/>
        <w:jc w:val="both"/>
        <w:rPr>
          <w:rFonts w:hint="eastAsia" w:ascii="仿宋_GB2312" w:hAnsi="仿宋_GB2312" w:eastAsia="仿宋_GB2312" w:cs="仿宋_GB2312"/>
          <w:lang w:val="en-US"/>
        </w:rPr>
      </w:pPr>
    </w:p>
    <w:p>
      <w:pPr>
        <w:keepNext w:val="0"/>
        <w:keepLines w:val="0"/>
        <w:widowControl w:val="0"/>
        <w:suppressLineNumbers w:val="0"/>
        <w:spacing w:before="0" w:beforeAutospacing="0" w:after="0" w:afterAutospacing="0"/>
        <w:ind w:left="0" w:right="0" w:firstLine="0"/>
        <w:jc w:val="both"/>
        <w:rPr>
          <w:rFonts w:hint="eastAsia" w:ascii="仿宋_GB2312" w:hAnsi="仿宋_GB2312" w:eastAsia="仿宋_GB2312" w:cs="仿宋_GB2312"/>
          <w:lang w:val="en-US"/>
        </w:rPr>
      </w:pPr>
    </w:p>
    <w:p>
      <w:pPr>
        <w:keepNext w:val="0"/>
        <w:keepLines w:val="0"/>
        <w:widowControl w:val="0"/>
        <w:suppressLineNumbers w:val="0"/>
        <w:snapToGrid w:val="0"/>
        <w:spacing w:before="0" w:beforeAutospacing="0" w:after="0" w:afterAutospacing="0" w:line="360" w:lineRule="auto"/>
        <w:ind w:left="0" w:right="0" w:firstLine="0"/>
        <w:jc w:val="both"/>
        <w:rPr>
          <w:rFonts w:hint="eastAsia" w:ascii="仿宋_GB2312" w:hAnsi="仿宋_GB2312" w:eastAsia="仿宋_GB2312" w:cs="仿宋_GB2312"/>
          <w:sz w:val="24"/>
          <w:szCs w:val="20"/>
          <w:u w:val="single"/>
          <w:lang w:val="en-US"/>
        </w:rPr>
      </w:pPr>
      <w:r>
        <w:rPr>
          <w:rFonts w:hint="eastAsia" w:ascii="仿宋_GB2312" w:hAnsi="仿宋_GB2312" w:eastAsia="仿宋_GB2312" w:cs="仿宋_GB2312"/>
          <w:kern w:val="2"/>
          <w:sz w:val="24"/>
          <w:szCs w:val="20"/>
          <w:lang w:val="en-US" w:eastAsia="zh-CN" w:bidi="ar"/>
        </w:rPr>
        <w:t>甲方：</w:t>
      </w:r>
      <w:r>
        <w:rPr>
          <w:rFonts w:hint="eastAsia" w:ascii="仿宋_GB2312" w:hAnsi="仿宋_GB2312" w:eastAsia="仿宋_GB2312" w:cs="仿宋_GB2312"/>
          <w:kern w:val="2"/>
          <w:sz w:val="24"/>
          <w:szCs w:val="20"/>
          <w:u w:val="single"/>
          <w:lang w:val="en-US" w:eastAsia="zh-CN" w:bidi="ar"/>
        </w:rPr>
        <w:t xml:space="preserve"> （盖章）            </w:t>
      </w:r>
      <w:r>
        <w:rPr>
          <w:rFonts w:hint="eastAsia" w:ascii="仿宋_GB2312" w:hAnsi="仿宋_GB2312" w:eastAsia="仿宋_GB2312" w:cs="仿宋_GB2312"/>
          <w:kern w:val="2"/>
          <w:sz w:val="24"/>
          <w:szCs w:val="20"/>
          <w:lang w:val="en-US" w:eastAsia="zh-CN" w:bidi="ar"/>
        </w:rPr>
        <w:t xml:space="preserve">             乙方：</w:t>
      </w:r>
      <w:r>
        <w:rPr>
          <w:rFonts w:hint="eastAsia" w:ascii="仿宋_GB2312" w:hAnsi="仿宋_GB2312" w:eastAsia="仿宋_GB2312" w:cs="仿宋_GB2312"/>
          <w:kern w:val="2"/>
          <w:sz w:val="24"/>
          <w:szCs w:val="20"/>
          <w:u w:val="single"/>
          <w:lang w:val="en-US" w:eastAsia="zh-CN" w:bidi="ar"/>
        </w:rPr>
        <w:t xml:space="preserve"> （盖章）                 </w:t>
      </w:r>
    </w:p>
    <w:p>
      <w:pPr>
        <w:keepNext w:val="0"/>
        <w:keepLines w:val="0"/>
        <w:widowControl w:val="0"/>
        <w:suppressLineNumbers w:val="0"/>
        <w:snapToGrid w:val="0"/>
        <w:spacing w:before="0" w:beforeAutospacing="0" w:after="0" w:afterAutospacing="0" w:line="360" w:lineRule="auto"/>
        <w:ind w:left="0" w:right="0" w:firstLine="0"/>
        <w:jc w:val="both"/>
        <w:rPr>
          <w:rFonts w:hint="eastAsia" w:ascii="仿宋_GB2312" w:hAnsi="仿宋_GB2312" w:eastAsia="仿宋_GB2312" w:cs="仿宋_GB2312"/>
          <w:sz w:val="24"/>
          <w:szCs w:val="20"/>
          <w:u w:val="single"/>
          <w:lang w:val="en-US"/>
        </w:rPr>
      </w:pPr>
      <w:r>
        <w:rPr>
          <w:rFonts w:hint="eastAsia" w:ascii="仿宋_GB2312" w:hAnsi="仿宋_GB2312" w:eastAsia="仿宋_GB2312" w:cs="仿宋_GB2312"/>
          <w:kern w:val="2"/>
          <w:sz w:val="24"/>
          <w:szCs w:val="20"/>
          <w:lang w:val="en-US" w:eastAsia="zh-CN" w:bidi="ar"/>
        </w:rPr>
        <w:t>法定代表人：</w:t>
      </w:r>
      <w:r>
        <w:rPr>
          <w:rFonts w:hint="eastAsia" w:ascii="仿宋_GB2312" w:hAnsi="仿宋_GB2312" w:eastAsia="仿宋_GB2312" w:cs="仿宋_GB2312"/>
          <w:kern w:val="2"/>
          <w:sz w:val="24"/>
          <w:szCs w:val="20"/>
          <w:u w:val="single"/>
          <w:lang w:val="en-US" w:eastAsia="zh-CN" w:bidi="ar"/>
        </w:rPr>
        <w:t xml:space="preserve">（签字）        </w:t>
      </w:r>
      <w:r>
        <w:rPr>
          <w:rFonts w:hint="eastAsia" w:ascii="仿宋_GB2312" w:hAnsi="仿宋_GB2312" w:eastAsia="仿宋_GB2312" w:cs="仿宋_GB2312"/>
          <w:kern w:val="2"/>
          <w:sz w:val="24"/>
          <w:szCs w:val="20"/>
          <w:lang w:val="en-US" w:eastAsia="zh-CN" w:bidi="ar"/>
        </w:rPr>
        <w:t xml:space="preserve">             法定代表人：</w:t>
      </w:r>
      <w:r>
        <w:rPr>
          <w:rFonts w:hint="eastAsia" w:ascii="仿宋_GB2312" w:hAnsi="仿宋_GB2312" w:eastAsia="仿宋_GB2312" w:cs="仿宋_GB2312"/>
          <w:kern w:val="2"/>
          <w:sz w:val="24"/>
          <w:szCs w:val="20"/>
          <w:u w:val="single"/>
          <w:lang w:val="en-US" w:eastAsia="zh-CN" w:bidi="ar"/>
        </w:rPr>
        <w:t xml:space="preserve"> （签字）           </w:t>
      </w:r>
    </w:p>
    <w:p>
      <w:pPr>
        <w:keepNext w:val="0"/>
        <w:keepLines w:val="0"/>
        <w:widowControl w:val="0"/>
        <w:suppressLineNumbers w:val="0"/>
        <w:snapToGrid w:val="0"/>
        <w:spacing w:before="0" w:beforeAutospacing="0" w:after="0" w:afterAutospacing="0" w:line="360" w:lineRule="auto"/>
        <w:ind w:left="0" w:right="0" w:firstLine="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或授权代理人：</w:t>
      </w:r>
      <w:r>
        <w:rPr>
          <w:rFonts w:hint="eastAsia" w:ascii="仿宋_GB2312" w:hAnsi="仿宋_GB2312" w:eastAsia="仿宋_GB2312" w:cs="仿宋_GB2312"/>
          <w:kern w:val="2"/>
          <w:sz w:val="24"/>
          <w:szCs w:val="20"/>
          <w:u w:val="single"/>
          <w:lang w:val="en-US" w:eastAsia="zh-CN" w:bidi="ar"/>
        </w:rPr>
        <w:t xml:space="preserve">（签字）      </w:t>
      </w:r>
      <w:r>
        <w:rPr>
          <w:rFonts w:hint="eastAsia" w:ascii="仿宋_GB2312" w:hAnsi="仿宋_GB2312" w:eastAsia="仿宋_GB2312" w:cs="仿宋_GB2312"/>
          <w:kern w:val="2"/>
          <w:sz w:val="24"/>
          <w:szCs w:val="20"/>
          <w:lang w:val="en-US" w:eastAsia="zh-CN" w:bidi="ar"/>
        </w:rPr>
        <w:t xml:space="preserve">             或授权代理人：</w:t>
      </w:r>
      <w:r>
        <w:rPr>
          <w:rFonts w:hint="eastAsia" w:ascii="仿宋_GB2312" w:hAnsi="仿宋_GB2312" w:eastAsia="仿宋_GB2312" w:cs="仿宋_GB2312"/>
          <w:kern w:val="2"/>
          <w:sz w:val="24"/>
          <w:szCs w:val="20"/>
          <w:u w:val="single"/>
          <w:lang w:val="en-US" w:eastAsia="zh-CN" w:bidi="ar"/>
        </w:rPr>
        <w:t xml:space="preserve">（签字）           </w:t>
      </w:r>
    </w:p>
    <w:p>
      <w:pPr>
        <w:keepNext w:val="0"/>
        <w:keepLines w:val="0"/>
        <w:widowControl w:val="0"/>
        <w:suppressLineNumbers w:val="0"/>
        <w:snapToGrid w:val="0"/>
        <w:spacing w:before="0" w:beforeAutospacing="0" w:after="0" w:afterAutospacing="0" w:line="360" w:lineRule="auto"/>
        <w:ind w:left="0" w:right="0" w:firstLine="0"/>
        <w:jc w:val="both"/>
        <w:rPr>
          <w:rFonts w:hint="eastAsia" w:ascii="仿宋_GB2312" w:hAnsi="仿宋_GB2312" w:eastAsia="仿宋_GB2312" w:cs="仿宋_GB2312"/>
          <w:sz w:val="24"/>
          <w:szCs w:val="20"/>
          <w:u w:val="single"/>
          <w:lang w:val="en-US"/>
        </w:rPr>
      </w:pPr>
      <w:r>
        <w:rPr>
          <w:rFonts w:hint="eastAsia" w:ascii="仿宋_GB2312" w:hAnsi="仿宋_GB2312" w:eastAsia="仿宋_GB2312" w:cs="仿宋_GB2312"/>
          <w:kern w:val="2"/>
          <w:sz w:val="24"/>
          <w:szCs w:val="20"/>
          <w:lang w:val="en-US" w:eastAsia="zh-CN" w:bidi="ar"/>
        </w:rPr>
        <w:t>电话：</w:t>
      </w: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 xml:space="preserve">             电话：</w:t>
      </w:r>
      <w:r>
        <w:rPr>
          <w:rFonts w:hint="eastAsia" w:ascii="仿宋_GB2312" w:hAnsi="仿宋_GB2312" w:eastAsia="仿宋_GB2312" w:cs="仿宋_GB2312"/>
          <w:kern w:val="2"/>
          <w:sz w:val="24"/>
          <w:szCs w:val="20"/>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年</w:t>
      </w: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月</w:t>
      </w: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 xml:space="preserve">日              </w:t>
      </w: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年</w:t>
      </w: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月</w:t>
      </w: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日</w:t>
      </w:r>
    </w:p>
    <w:p>
      <w:pPr>
        <w:pStyle w:val="13"/>
        <w:widowControl/>
        <w:snapToGrid w:val="0"/>
        <w:spacing w:line="360" w:lineRule="auto"/>
        <w:ind w:left="0" w:firstLine="0"/>
        <w:outlineLvl w:val="1"/>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sz w:val="24"/>
          <w:szCs w:val="24"/>
          <w:lang w:eastAsia="zh-CN"/>
        </w:rPr>
        <w:t>甲方监督单位：</w:t>
      </w:r>
      <w:r>
        <w:rPr>
          <w:rFonts w:hint="eastAsia" w:ascii="仿宋_GB2312" w:hAnsi="仿宋_GB2312" w:eastAsia="仿宋_GB2312" w:cs="仿宋_GB2312"/>
          <w:sz w:val="24"/>
          <w:szCs w:val="24"/>
          <w:u w:val="single"/>
          <w:lang w:eastAsia="zh-CN"/>
        </w:rPr>
        <w:t>（盖章）</w:t>
      </w:r>
      <w:r>
        <w:rPr>
          <w:rFonts w:hint="eastAsia" w:ascii="仿宋_GB2312" w:hAnsi="仿宋_GB2312" w:eastAsia="仿宋_GB2312" w:cs="仿宋_GB2312"/>
          <w:sz w:val="24"/>
          <w:szCs w:val="24"/>
          <w:u w:val="single"/>
          <w:lang w:val="en-US"/>
        </w:rPr>
        <w:t xml:space="preserve">      </w:t>
      </w:r>
      <w:r>
        <w:rPr>
          <w:rFonts w:hint="eastAsia" w:ascii="仿宋_GB2312" w:hAnsi="仿宋_GB2312" w:eastAsia="仿宋_GB2312" w:cs="仿宋_GB2312"/>
          <w:sz w:val="24"/>
          <w:szCs w:val="24"/>
          <w:lang w:val="en-US"/>
        </w:rPr>
        <w:t xml:space="preserve">             </w:t>
      </w:r>
      <w:r>
        <w:rPr>
          <w:rFonts w:hint="eastAsia" w:ascii="仿宋_GB2312" w:hAnsi="仿宋_GB2312" w:eastAsia="仿宋_GB2312" w:cs="仿宋_GB2312"/>
          <w:sz w:val="24"/>
          <w:szCs w:val="24"/>
          <w:lang w:eastAsia="zh-CN"/>
        </w:rPr>
        <w:t>乙方监督单位：</w:t>
      </w:r>
      <w:r>
        <w:rPr>
          <w:rFonts w:hint="eastAsia" w:ascii="仿宋_GB2312" w:hAnsi="仿宋_GB2312" w:eastAsia="仿宋_GB2312" w:cs="仿宋_GB2312"/>
          <w:sz w:val="24"/>
          <w:szCs w:val="24"/>
          <w:u w:val="single"/>
          <w:lang w:eastAsia="zh-CN"/>
        </w:rPr>
        <w:t>（盖章）</w:t>
      </w:r>
      <w:r>
        <w:rPr>
          <w:rFonts w:hint="eastAsia" w:ascii="仿宋_GB2312" w:hAnsi="仿宋_GB2312" w:eastAsia="仿宋_GB2312" w:cs="仿宋_GB2312"/>
          <w:sz w:val="24"/>
          <w:szCs w:val="24"/>
          <w:u w:val="single"/>
          <w:lang w:val="en-US"/>
        </w:rPr>
        <w:t xml:space="preserve">        </w:t>
      </w:r>
    </w:p>
    <w:p>
      <w:pPr>
        <w:keepNext w:val="0"/>
        <w:keepLines w:val="0"/>
        <w:widowControl w:val="0"/>
        <w:suppressLineNumbers w:val="0"/>
        <w:adjustRightInd w:val="0"/>
        <w:snapToGrid w:val="0"/>
        <w:spacing w:before="0" w:beforeAutospacing="0" w:after="0" w:afterAutospacing="0" w:line="444" w:lineRule="exact"/>
        <w:ind w:left="0" w:right="0" w:firstLine="0"/>
        <w:jc w:val="left"/>
        <w:rPr>
          <w:rFonts w:hint="eastAsia" w:ascii="仿宋_GB2312" w:hAnsi="仿宋_GB2312" w:eastAsia="仿宋_GB2312" w:cs="仿宋_GB2312"/>
          <w:lang w:val="en-US"/>
        </w:rPr>
      </w:pPr>
    </w:p>
    <w:p>
      <w:pPr>
        <w:spacing w:line="360" w:lineRule="auto"/>
        <w:rPr>
          <w:rFonts w:hint="eastAsia" w:ascii="仿宋_GB2312" w:hAnsi="仿宋_GB2312" w:eastAsia="仿宋_GB2312" w:cs="仿宋_GB2312"/>
          <w:b/>
          <w:bCs w:val="0"/>
          <w:kern w:val="2"/>
          <w:sz w:val="24"/>
          <w:szCs w:val="24"/>
          <w:lang w:val="en-US" w:eastAsia="zh-CN" w:bidi="ar"/>
        </w:rPr>
        <w:sectPr>
          <w:pgSz w:w="11850" w:h="16783"/>
          <w:pgMar w:top="1440" w:right="1361" w:bottom="1440" w:left="1474" w:header="851" w:footer="992" w:gutter="0"/>
          <w:cols w:space="720" w:num="1"/>
          <w:docGrid w:type="lines" w:linePitch="312" w:charSpace="0"/>
        </w:sectPr>
      </w:pPr>
    </w:p>
    <w:p>
      <w:pPr>
        <w:pStyle w:val="13"/>
        <w:widowControl/>
        <w:snapToGrid w:val="0"/>
        <w:spacing w:line="360" w:lineRule="auto"/>
        <w:ind w:left="0" w:firstLine="0"/>
        <w:outlineLvl w:val="1"/>
        <w:rPr>
          <w:rFonts w:hint="eastAsia" w:ascii="仿宋_GB2312" w:hAnsi="仿宋_GB2312" w:eastAsia="仿宋_GB2312" w:cs="仿宋_GB2312"/>
          <w:b/>
          <w:bCs w:val="0"/>
          <w:sz w:val="24"/>
          <w:szCs w:val="24"/>
          <w:lang w:val="en-US"/>
        </w:rPr>
      </w:pPr>
      <w:bookmarkStart w:id="72" w:name="_Hlk25208132"/>
      <w:r>
        <w:rPr>
          <w:rFonts w:hint="eastAsia" w:ascii="仿宋_GB2312" w:hAnsi="仿宋_GB2312" w:eastAsia="仿宋_GB2312" w:cs="仿宋_GB2312"/>
          <w:b/>
          <w:bCs w:val="0"/>
          <w:sz w:val="24"/>
          <w:szCs w:val="24"/>
          <w:lang w:eastAsia="zh-CN"/>
        </w:rPr>
        <w:t>附件</w:t>
      </w:r>
      <w:r>
        <w:rPr>
          <w:rFonts w:hint="eastAsia" w:ascii="仿宋_GB2312" w:hAnsi="仿宋_GB2312" w:eastAsia="仿宋_GB2312" w:cs="仿宋_GB2312"/>
          <w:b/>
          <w:bCs w:val="0"/>
          <w:sz w:val="24"/>
          <w:szCs w:val="24"/>
          <w:lang w:val="en-US"/>
        </w:rPr>
        <w:t xml:space="preserve">2 </w:t>
      </w:r>
      <w:r>
        <w:rPr>
          <w:rFonts w:hint="eastAsia" w:ascii="仿宋_GB2312" w:hAnsi="仿宋_GB2312" w:eastAsia="仿宋_GB2312" w:cs="仿宋_GB2312"/>
          <w:b/>
          <w:bCs w:val="0"/>
          <w:sz w:val="24"/>
          <w:szCs w:val="24"/>
          <w:lang w:eastAsia="zh-CN"/>
        </w:rPr>
        <w:t>保密协议</w:t>
      </w:r>
    </w:p>
    <w:p>
      <w:pPr>
        <w:keepNext w:val="0"/>
        <w:keepLines w:val="0"/>
        <w:widowControl/>
        <w:suppressLineNumbers w:val="0"/>
        <w:snapToGrid w:val="0"/>
        <w:spacing w:before="0" w:beforeAutospacing="0" w:after="0" w:afterAutospacing="0" w:line="360" w:lineRule="auto"/>
        <w:ind w:left="0" w:right="0" w:firstLine="0"/>
        <w:jc w:val="center"/>
        <w:rPr>
          <w:rFonts w:hint="eastAsia" w:ascii="仿宋_GB2312" w:hAnsi="仿宋_GB2312" w:eastAsia="仿宋_GB2312" w:cs="仿宋_GB2312"/>
          <w:kern w:val="0"/>
          <w:sz w:val="32"/>
          <w:szCs w:val="32"/>
          <w:lang w:val="en-US" w:bidi="en-US"/>
        </w:rPr>
      </w:pPr>
      <w:r>
        <w:rPr>
          <w:rFonts w:hint="eastAsia" w:ascii="仿宋_GB2312" w:hAnsi="仿宋_GB2312" w:eastAsia="仿宋_GB2312" w:cs="仿宋_GB2312"/>
          <w:b/>
          <w:bCs/>
          <w:smallCaps/>
          <w:kern w:val="0"/>
          <w:sz w:val="32"/>
          <w:szCs w:val="32"/>
          <w:lang w:val="en-US" w:eastAsia="zh-CN" w:bidi="en-US"/>
        </w:rPr>
        <w:t>保密协议</w:t>
      </w:r>
    </w:p>
    <w:p>
      <w:pPr>
        <w:keepNext w:val="0"/>
        <w:keepLines w:val="0"/>
        <w:widowControl/>
        <w:suppressLineNumbers w:val="0"/>
        <w:snapToGrid w:val="0"/>
        <w:spacing w:before="0" w:beforeAutospacing="0" w:after="0" w:afterAutospacing="0" w:line="360" w:lineRule="auto"/>
        <w:ind w:left="0" w:right="0" w:firstLine="0"/>
        <w:jc w:val="left"/>
        <w:rPr>
          <w:rFonts w:hint="eastAsia" w:ascii="仿宋_GB2312" w:hAnsi="仿宋_GB2312" w:eastAsia="仿宋_GB2312" w:cs="仿宋_GB2312"/>
          <w:kern w:val="0"/>
          <w:sz w:val="24"/>
          <w:szCs w:val="24"/>
          <w:lang w:val="en-US" w:bidi="en-US"/>
        </w:rPr>
      </w:pPr>
    </w:p>
    <w:p>
      <w:pPr>
        <w:pStyle w:val="13"/>
        <w:widowControl/>
        <w:snapToGrid w:val="0"/>
        <w:spacing w:line="360" w:lineRule="auto"/>
        <w:ind w:left="0" w:firstLine="0"/>
        <w:jc w:val="left"/>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sz w:val="24"/>
          <w:szCs w:val="24"/>
          <w:lang w:eastAsia="zh-CN"/>
        </w:rPr>
        <w:t>投保人（以下简称甲方）：</w:t>
      </w:r>
      <w:r>
        <w:rPr>
          <w:rFonts w:hint="eastAsia" w:ascii="仿宋_GB2312" w:hAnsi="仿宋_GB2312" w:eastAsia="仿宋_GB2312" w:cs="仿宋_GB2312"/>
          <w:sz w:val="24"/>
          <w:szCs w:val="24"/>
          <w:u w:val="single"/>
          <w:lang w:val="en-US"/>
        </w:rPr>
        <w:t xml:space="preserve">                         </w:t>
      </w:r>
    </w:p>
    <w:p>
      <w:pPr>
        <w:pStyle w:val="13"/>
        <w:widowControl/>
        <w:snapToGrid w:val="0"/>
        <w:spacing w:line="360" w:lineRule="auto"/>
        <w:ind w:left="0" w:firstLine="0"/>
        <w:jc w:val="left"/>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承保人（以下简称乙方）：</w:t>
      </w:r>
      <w:r>
        <w:rPr>
          <w:rFonts w:hint="eastAsia" w:ascii="仿宋_GB2312" w:hAnsi="仿宋_GB2312" w:eastAsia="仿宋_GB2312" w:cs="仿宋_GB2312"/>
          <w:sz w:val="24"/>
          <w:szCs w:val="24"/>
          <w:u w:val="single"/>
          <w:lang w:val="en-US"/>
        </w:rPr>
        <w:t xml:space="preserve">                         </w:t>
      </w:r>
    </w:p>
    <w:p>
      <w:pPr>
        <w:keepNext w:val="0"/>
        <w:keepLines w:val="0"/>
        <w:widowControl/>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鉴于甲方和乙方签订的</w:t>
      </w:r>
      <w:r>
        <w:rPr>
          <w:rFonts w:hint="eastAsia" w:ascii="仿宋_GB2312" w:hAnsi="仿宋_GB2312" w:eastAsia="仿宋_GB2312" w:cs="仿宋_GB2312"/>
          <w:kern w:val="0"/>
          <w:sz w:val="24"/>
          <w:szCs w:val="24"/>
          <w:u w:val="single"/>
          <w:lang w:val="en-US" w:eastAsia="zh-CN" w:bidi="en-US"/>
        </w:rPr>
        <w:t xml:space="preserve">                </w:t>
      </w:r>
      <w:r>
        <w:rPr>
          <w:rFonts w:hint="eastAsia" w:ascii="仿宋_GB2312" w:hAnsi="仿宋_GB2312" w:eastAsia="仿宋_GB2312" w:cs="仿宋_GB2312"/>
          <w:kern w:val="0"/>
          <w:sz w:val="24"/>
          <w:szCs w:val="24"/>
          <w:lang w:val="en-US" w:eastAsia="zh-CN" w:bidi="en-US"/>
        </w:rPr>
        <w:t>合同（以下简称主合同）在执行过程中，甲方需要向乙方提供相关资料、披露有关信息。为进一步明确乙方的保密义务，甲、乙双方特签订以下本协议。</w:t>
      </w:r>
    </w:p>
    <w:p>
      <w:pPr>
        <w:keepNext w:val="0"/>
        <w:keepLines w:val="0"/>
        <w:widowControl/>
        <w:suppressLineNumbers w:val="0"/>
        <w:snapToGrid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kern w:val="0"/>
          <w:sz w:val="24"/>
          <w:szCs w:val="24"/>
          <w:lang w:val="en-US" w:bidi="en-US"/>
        </w:rPr>
      </w:pPr>
      <w:r>
        <w:rPr>
          <w:rFonts w:hint="eastAsia" w:ascii="仿宋_GB2312" w:hAnsi="仿宋_GB2312" w:eastAsia="仿宋_GB2312" w:cs="仿宋_GB2312"/>
          <w:b/>
          <w:bCs w:val="0"/>
          <w:kern w:val="0"/>
          <w:sz w:val="24"/>
          <w:szCs w:val="24"/>
          <w:lang w:val="en-US" w:eastAsia="zh-CN" w:bidi="en-US"/>
        </w:rPr>
        <w:t>第一条 保密内容</w:t>
      </w:r>
    </w:p>
    <w:p>
      <w:pPr>
        <w:keepNext w:val="0"/>
        <w:keepLines w:val="0"/>
        <w:widowControl/>
        <w:suppressLineNumbers w:val="0"/>
        <w:snapToGrid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kern w:val="0"/>
          <w:sz w:val="24"/>
          <w:szCs w:val="24"/>
          <w:lang w:val="en-US" w:bidi="en-US"/>
        </w:rPr>
      </w:pPr>
      <w:r>
        <w:rPr>
          <w:rFonts w:hint="eastAsia" w:ascii="仿宋_GB2312" w:hAnsi="仿宋_GB2312" w:eastAsia="仿宋_GB2312" w:cs="仿宋_GB2312"/>
          <w:b/>
          <w:bCs w:val="0"/>
          <w:kern w:val="0"/>
          <w:sz w:val="24"/>
          <w:szCs w:val="24"/>
          <w:lang w:val="en-US" w:eastAsia="zh-CN" w:bidi="en-US"/>
        </w:rPr>
        <w:t>甲、乙双方确认，乙方应承担保密义务的内容为：</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1、技术信息：包括技术方案、设计要求、工作内容、实现方法、运作流程、技术指标、软件系统、数据库、运行环境、作业平台、测试结果、图纸、样本、模型、技术文档、涉及技术秘密的业务函电等； </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2、经营信息：包括客户名称、客户地址及联系方式、需求信息、营销计划、定价政策、招投标中的标底及标书内容、项目组人员构成、费用预算、利润情况及不公开的财务资料等；</w:t>
      </w:r>
    </w:p>
    <w:p>
      <w:pPr>
        <w:keepNext w:val="0"/>
        <w:keepLines w:val="0"/>
        <w:widowControl/>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3、其他事项：甲方依照法律规定和有关协议（包括与项目对方当事人以及其他项目当事人订立协议、合同）的约定要求乙方承担保密义务的其他事项。</w:t>
      </w:r>
    </w:p>
    <w:p>
      <w:pPr>
        <w:keepNext w:val="0"/>
        <w:keepLines w:val="0"/>
        <w:widowControl/>
        <w:suppressLineNumbers w:val="0"/>
        <w:snapToGrid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kern w:val="0"/>
          <w:sz w:val="24"/>
          <w:szCs w:val="24"/>
          <w:lang w:val="en-US" w:bidi="en-US"/>
        </w:rPr>
      </w:pPr>
      <w:r>
        <w:rPr>
          <w:rFonts w:hint="eastAsia" w:ascii="仿宋_GB2312" w:hAnsi="仿宋_GB2312" w:eastAsia="仿宋_GB2312" w:cs="仿宋_GB2312"/>
          <w:b/>
          <w:bCs w:val="0"/>
          <w:kern w:val="0"/>
          <w:sz w:val="24"/>
          <w:szCs w:val="24"/>
          <w:lang w:val="en-US" w:eastAsia="zh-CN" w:bidi="en-US"/>
        </w:rPr>
        <w:t>第二条 乙方的保密义务</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1、乙方应主动采取加密措施对上述第一条所列内容进行保密，防止不承担同等保密义务的任何第三者知悉及使用。</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2、乙方不得刺探或者以其他不正当手段（包括利用计算机进行检索、浏览、复制等）获取主合同及主合同执行过程中的甲方秘密。</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3、乙方不得向不承担同等保密义务的任何第三人披露上述第一条所列内容。</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4、乙方不得允许（包括出借、赠与、出租、转让等行为）或协助不承担同等保密义务的任何第三人使用上述第一条所列内容。</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5、不论因何种原因主合同终止后，乙方都不得利用上述第一条所列内容为其他与甲方有竞争关系的第三人提供服务或进行合作。</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6、上述第一条所列内容的所有权始终全部归属甲方，乙方不得利用自身对项目不同程度的了解申请对于该项目的商业秘密所有权，在本协议签订前乙方已依法具有某些所有权者除外；</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7、乙方如发现上述第一条所列内容被泄露或者自己过失泄露秘密，应当采取有效措施防止泄密进一步扩大，并及时向甲方报告。</w:t>
      </w:r>
    </w:p>
    <w:p>
      <w:pPr>
        <w:keepNext w:val="0"/>
        <w:keepLines w:val="0"/>
        <w:widowControl/>
        <w:suppressLineNumbers w:val="0"/>
        <w:snapToGrid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kern w:val="0"/>
          <w:sz w:val="24"/>
          <w:szCs w:val="24"/>
          <w:lang w:val="en-US" w:bidi="en-US"/>
        </w:rPr>
      </w:pPr>
      <w:r>
        <w:rPr>
          <w:rFonts w:hint="eastAsia" w:ascii="仿宋_GB2312" w:hAnsi="仿宋_GB2312" w:eastAsia="仿宋_GB2312" w:cs="仿宋_GB2312"/>
          <w:b/>
          <w:bCs w:val="0"/>
          <w:kern w:val="0"/>
          <w:sz w:val="24"/>
          <w:szCs w:val="24"/>
          <w:lang w:val="en-US" w:eastAsia="zh-CN" w:bidi="en-US"/>
        </w:rPr>
        <w:t>第三条 保密期限</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b/>
          <w:bCs w:val="0"/>
          <w:kern w:val="0"/>
          <w:sz w:val="24"/>
          <w:szCs w:val="24"/>
          <w:lang w:val="en-US" w:bidi="en-US"/>
        </w:rPr>
      </w:pPr>
      <w:r>
        <w:rPr>
          <w:rFonts w:hint="eastAsia" w:ascii="仿宋_GB2312" w:hAnsi="仿宋_GB2312" w:eastAsia="仿宋_GB2312" w:cs="仿宋_GB2312"/>
          <w:kern w:val="0"/>
          <w:sz w:val="24"/>
          <w:szCs w:val="24"/>
          <w:lang w:val="en-US" w:eastAsia="zh-CN" w:bidi="en-US"/>
        </w:rPr>
        <w:t>甲、乙双方确认，乙方的保密义务自本协议签订时开始，到甲方将上述第一条所列内容公开时止。乙方是否继续履行主合同，均不影响保密义务的承担。</w:t>
      </w:r>
    </w:p>
    <w:p>
      <w:pPr>
        <w:keepNext w:val="0"/>
        <w:keepLines w:val="0"/>
        <w:widowControl/>
        <w:suppressLineNumbers w:val="0"/>
        <w:snapToGrid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kern w:val="0"/>
          <w:sz w:val="24"/>
          <w:szCs w:val="24"/>
          <w:lang w:val="en-US" w:bidi="en-US"/>
        </w:rPr>
      </w:pPr>
      <w:r>
        <w:rPr>
          <w:rFonts w:hint="eastAsia" w:ascii="仿宋_GB2312" w:hAnsi="仿宋_GB2312" w:eastAsia="仿宋_GB2312" w:cs="仿宋_GB2312"/>
          <w:b/>
          <w:bCs w:val="0"/>
          <w:kern w:val="0"/>
          <w:sz w:val="24"/>
          <w:szCs w:val="24"/>
          <w:lang w:val="en-US" w:eastAsia="zh-CN" w:bidi="en-US"/>
        </w:rPr>
        <w:t>第四条 违约责任</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bCs w:val="0"/>
          <w:kern w:val="0"/>
          <w:sz w:val="24"/>
          <w:szCs w:val="24"/>
          <w:lang w:val="en-US" w:eastAsia="zh-CN" w:bidi="en-US"/>
        </w:rPr>
        <w:t>人民币</w:t>
      </w:r>
      <w:r>
        <w:rPr>
          <w:rFonts w:hint="eastAsia" w:ascii="仿宋_GB2312" w:hAnsi="仿宋_GB2312" w:eastAsia="仿宋_GB2312" w:cs="仿宋_GB2312"/>
          <w:b/>
          <w:bCs w:val="0"/>
          <w:kern w:val="0"/>
          <w:sz w:val="24"/>
          <w:szCs w:val="24"/>
          <w:u w:val="single"/>
          <w:lang w:val="en-US" w:eastAsia="zh-CN" w:bidi="en-US"/>
        </w:rPr>
        <w:t>1000</w:t>
      </w:r>
      <w:r>
        <w:rPr>
          <w:rFonts w:hint="eastAsia" w:ascii="仿宋_GB2312" w:hAnsi="仿宋_GB2312" w:eastAsia="仿宋_GB2312" w:cs="仿宋_GB2312"/>
          <w:b/>
          <w:bCs w:val="0"/>
          <w:kern w:val="0"/>
          <w:sz w:val="24"/>
          <w:szCs w:val="24"/>
          <w:lang w:val="en-US" w:eastAsia="zh-CN" w:bidi="en-US"/>
        </w:rPr>
        <w:t>元</w:t>
      </w:r>
      <w:r>
        <w:rPr>
          <w:rFonts w:hint="eastAsia" w:ascii="仿宋_GB2312" w:hAnsi="仿宋_GB2312" w:eastAsia="仿宋_GB2312" w:cs="仿宋_GB2312"/>
          <w:kern w:val="0"/>
          <w:sz w:val="24"/>
          <w:szCs w:val="24"/>
          <w:lang w:val="en-US" w:eastAsia="zh-CN" w:bidi="en-US"/>
        </w:rPr>
        <w:t>的违约金。</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2、因乙方未履行本协议第二条规定的保密义务，给甲方造成损失或严重后果的，每发生一次，乙方应承担以下赔偿责任：</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（1）甲方调查乙方的违反协议行为而发生的所有费用；</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（2）因乙方的违反协议行为给甲方造成的经济损失，损失赔偿金额为</w:t>
      </w:r>
      <w:r>
        <w:rPr>
          <w:rFonts w:hint="eastAsia" w:ascii="仿宋_GB2312" w:hAnsi="仿宋_GB2312" w:eastAsia="仿宋_GB2312" w:cs="仿宋_GB2312"/>
          <w:b/>
          <w:bCs w:val="0"/>
          <w:kern w:val="0"/>
          <w:sz w:val="24"/>
          <w:szCs w:val="24"/>
          <w:lang w:val="en-US" w:eastAsia="zh-CN" w:bidi="en-US"/>
        </w:rPr>
        <w:t>主合同累计保险费的</w:t>
      </w:r>
      <w:r>
        <w:rPr>
          <w:rFonts w:hint="eastAsia" w:ascii="仿宋_GB2312" w:hAnsi="仿宋_GB2312" w:eastAsia="仿宋_GB2312" w:cs="仿宋_GB2312"/>
          <w:b/>
          <w:bCs w:val="0"/>
          <w:kern w:val="0"/>
          <w:sz w:val="24"/>
          <w:szCs w:val="24"/>
          <w:u w:val="single"/>
          <w:lang w:val="en-US" w:eastAsia="zh-CN" w:bidi="en-US"/>
        </w:rPr>
        <w:t>1</w:t>
      </w:r>
      <w:r>
        <w:rPr>
          <w:rFonts w:hint="eastAsia" w:ascii="仿宋_GB2312" w:hAnsi="仿宋_GB2312" w:eastAsia="仿宋_GB2312" w:cs="仿宋_GB2312"/>
          <w:b/>
          <w:bCs w:val="0"/>
          <w:kern w:val="0"/>
          <w:sz w:val="24"/>
          <w:szCs w:val="24"/>
          <w:lang w:val="en-US" w:eastAsia="zh-CN" w:bidi="en-US"/>
        </w:rPr>
        <w:t>％</w:t>
      </w:r>
      <w:r>
        <w:rPr>
          <w:rFonts w:hint="eastAsia" w:ascii="仿宋_GB2312" w:hAnsi="仿宋_GB2312" w:eastAsia="仿宋_GB2312" w:cs="仿宋_GB2312"/>
          <w:kern w:val="0"/>
          <w:sz w:val="24"/>
          <w:szCs w:val="24"/>
          <w:lang w:val="en-US" w:eastAsia="zh-CN" w:bidi="en-US"/>
        </w:rPr>
        <w:t>（有证据证明甲方实际损失超过这一金额的，以甲方实际损失为准）。</w:t>
      </w:r>
    </w:p>
    <w:p>
      <w:pPr>
        <w:keepNext w:val="0"/>
        <w:keepLines w:val="0"/>
        <w:widowControl/>
        <w:suppressLineNumbers w:val="0"/>
        <w:snapToGrid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kern w:val="0"/>
          <w:sz w:val="24"/>
          <w:szCs w:val="24"/>
          <w:lang w:val="en-US" w:bidi="en-US"/>
        </w:rPr>
      </w:pPr>
      <w:r>
        <w:rPr>
          <w:rFonts w:hint="eastAsia" w:ascii="仿宋_GB2312" w:hAnsi="仿宋_GB2312" w:eastAsia="仿宋_GB2312" w:cs="仿宋_GB2312"/>
          <w:b/>
          <w:bCs w:val="0"/>
          <w:kern w:val="0"/>
          <w:sz w:val="24"/>
          <w:szCs w:val="24"/>
          <w:lang w:val="en-US" w:eastAsia="zh-CN" w:bidi="en-US"/>
        </w:rPr>
        <w:t>第五条 争议的解决</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因执行本协议而发生的纠纷，可由双方协商解决；协商不成的，任何一方有权向</w:t>
      </w:r>
      <w:r>
        <w:rPr>
          <w:rFonts w:hint="eastAsia" w:ascii="仿宋_GB2312" w:hAnsi="仿宋_GB2312" w:eastAsia="仿宋_GB2312" w:cs="仿宋_GB2312"/>
          <w:kern w:val="0"/>
          <w:sz w:val="24"/>
          <w:szCs w:val="24"/>
          <w:u w:val="single"/>
          <w:lang w:val="en-US" w:eastAsia="zh-CN" w:bidi="en-US"/>
        </w:rPr>
        <w:t>甲方所在地人民法院</w:t>
      </w:r>
      <w:r>
        <w:rPr>
          <w:rFonts w:hint="eastAsia" w:ascii="仿宋_GB2312" w:hAnsi="仿宋_GB2312" w:eastAsia="仿宋_GB2312" w:cs="仿宋_GB2312"/>
          <w:kern w:val="0"/>
          <w:sz w:val="24"/>
          <w:szCs w:val="24"/>
          <w:lang w:val="en-US" w:eastAsia="zh-CN" w:bidi="en-US"/>
        </w:rPr>
        <w:t>提起诉讼。</w:t>
      </w:r>
    </w:p>
    <w:p>
      <w:pPr>
        <w:keepNext w:val="0"/>
        <w:keepLines w:val="0"/>
        <w:widowControl/>
        <w:suppressLineNumbers w:val="0"/>
        <w:snapToGrid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kern w:val="0"/>
          <w:sz w:val="24"/>
          <w:szCs w:val="24"/>
          <w:lang w:val="en-US" w:bidi="en-US"/>
        </w:rPr>
      </w:pPr>
      <w:r>
        <w:rPr>
          <w:rFonts w:hint="eastAsia" w:ascii="仿宋_GB2312" w:hAnsi="仿宋_GB2312" w:eastAsia="仿宋_GB2312" w:cs="仿宋_GB2312"/>
          <w:b/>
          <w:bCs w:val="0"/>
          <w:kern w:val="0"/>
          <w:sz w:val="24"/>
          <w:szCs w:val="24"/>
          <w:lang w:val="en-US" w:eastAsia="zh-CN" w:bidi="en-US"/>
        </w:rPr>
        <w:t>第六条 协议的效力和变更</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1、本协议自双方法定代表人或其授权代表签字并加盖公章后生效。</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kern w:val="0"/>
          <w:sz w:val="24"/>
          <w:szCs w:val="24"/>
          <w:lang w:val="en-US" w:eastAsia="zh-CN" w:bidi="en-US"/>
        </w:rPr>
        <w:t>2、任何对本协议所作的任何增补和修改，除非由双方合法指派的代表书面做出，否则视为无效或对双方均无约束力。</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p>
    <w:p>
      <w:pPr>
        <w:keepNext w:val="0"/>
        <w:keepLines w:val="0"/>
        <w:widowControl/>
        <w:suppressLineNumbers w:val="0"/>
        <w:snapToGrid w:val="0"/>
        <w:spacing w:before="0" w:beforeAutospacing="0" w:after="0" w:afterAutospacing="0" w:line="360" w:lineRule="auto"/>
        <w:ind w:left="0" w:right="0" w:firstLine="0"/>
        <w:jc w:val="left"/>
        <w:rPr>
          <w:rFonts w:hint="eastAsia" w:ascii="仿宋_GB2312" w:hAnsi="仿宋_GB2312" w:eastAsia="仿宋_GB2312" w:cs="仿宋_GB2312"/>
          <w:kern w:val="0"/>
          <w:sz w:val="24"/>
          <w:szCs w:val="24"/>
          <w:lang w:val="en-US" w:bidi="en-US"/>
        </w:rPr>
      </w:pPr>
      <w:r>
        <w:rPr>
          <w:rFonts w:hint="eastAsia" w:ascii="仿宋_GB2312" w:hAnsi="仿宋_GB2312" w:eastAsia="仿宋_GB2312" w:cs="仿宋_GB2312"/>
          <w:sz w:val="24"/>
          <w:szCs w:val="24"/>
          <w:lang w:val="en-US" w:eastAsia="zh-CN" w:bidi="en-US"/>
        </w:rPr>
        <w:br w:type="page"/>
      </w:r>
      <w:r>
        <w:rPr>
          <w:rFonts w:hint="eastAsia" w:ascii="仿宋_GB2312" w:hAnsi="仿宋_GB2312" w:eastAsia="仿宋_GB2312" w:cs="仿宋_GB2312"/>
          <w:kern w:val="0"/>
          <w:sz w:val="24"/>
          <w:szCs w:val="24"/>
          <w:lang w:val="en-US" w:eastAsia="zh-CN" w:bidi="en-US"/>
        </w:rPr>
        <w:t>（本页无正文）</w:t>
      </w: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p>
    <w:p>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_GB2312" w:hAnsi="仿宋_GB2312" w:eastAsia="仿宋_GB2312" w:cs="仿宋_GB2312"/>
          <w:kern w:val="0"/>
          <w:sz w:val="24"/>
          <w:szCs w:val="24"/>
          <w:lang w:val="en-US"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firstLine="0"/>
              <w:jc w:val="both"/>
              <w:textAlignment w:val="baseline"/>
              <w:rPr>
                <w:rFonts w:hint="eastAsia" w:ascii="仿宋_GB2312" w:hAnsi="仿宋_GB2312" w:eastAsia="仿宋_GB2312" w:cs="仿宋_GB2312"/>
                <w:kern w:val="0"/>
                <w:sz w:val="24"/>
                <w:szCs w:val="24"/>
                <w:vertAlign w:val="baseline"/>
                <w:lang w:val="en-US"/>
              </w:rPr>
            </w:pPr>
            <w:r>
              <w:rPr>
                <w:rFonts w:hint="eastAsia" w:ascii="仿宋_GB2312" w:hAnsi="仿宋_GB2312" w:eastAsia="仿宋_GB2312" w:cs="仿宋_GB2312"/>
                <w:kern w:val="0"/>
                <w:sz w:val="24"/>
                <w:szCs w:val="24"/>
                <w:vertAlign w:val="baseline"/>
              </w:rPr>
              <w:t>甲方：</w:t>
            </w:r>
            <w:r>
              <w:rPr>
                <w:rFonts w:hint="eastAsia" w:ascii="仿宋_GB2312" w:hAnsi="仿宋_GB2312" w:eastAsia="仿宋_GB2312" w:cs="仿宋_GB2312"/>
                <w:kern w:val="0"/>
                <w:sz w:val="24"/>
                <w:szCs w:val="24"/>
                <w:vertAlign w:val="baseline"/>
                <w:lang w:val="en-US"/>
              </w:rPr>
              <w:t>(</w:t>
            </w:r>
            <w:r>
              <w:rPr>
                <w:rFonts w:hint="eastAsia" w:ascii="仿宋_GB2312" w:hAnsi="仿宋_GB2312" w:eastAsia="仿宋_GB2312" w:cs="仿宋_GB2312"/>
                <w:kern w:val="0"/>
                <w:sz w:val="24"/>
                <w:szCs w:val="24"/>
                <w:vertAlign w:val="baseline"/>
              </w:rPr>
              <w:t>盖章</w:t>
            </w:r>
            <w:r>
              <w:rPr>
                <w:rFonts w:hint="eastAsia" w:ascii="仿宋_GB2312" w:hAnsi="仿宋_GB2312" w:eastAsia="仿宋_GB2312" w:cs="仿宋_GB2312"/>
                <w:kern w:val="0"/>
                <w:sz w:val="24"/>
                <w:szCs w:val="24"/>
                <w:vertAlign w:val="baseline"/>
                <w:lang w:val="en-US"/>
              </w:rPr>
              <w:t>)</w:t>
            </w:r>
          </w:p>
        </w:tc>
        <w:tc>
          <w:tcPr>
            <w:tcW w:w="4252" w:type="dxa"/>
            <w:noWrap w:val="0"/>
            <w:vAlign w:val="top"/>
          </w:tcPr>
          <w:p>
            <w:pPr>
              <w:keepNext w:val="0"/>
              <w:keepLines w:val="0"/>
              <w:widowControl w:val="0"/>
              <w:suppressLineNumbers w:val="0"/>
              <w:adjustRightInd w:val="0"/>
              <w:snapToGrid w:val="0"/>
              <w:spacing w:before="0" w:beforeAutospacing="0" w:after="0" w:afterAutospacing="0" w:line="360" w:lineRule="auto"/>
              <w:ind w:left="0" w:right="0" w:firstLine="0"/>
              <w:jc w:val="both"/>
              <w:textAlignment w:val="baseline"/>
              <w:rPr>
                <w:rFonts w:hint="eastAsia" w:ascii="仿宋_GB2312" w:hAnsi="仿宋_GB2312" w:eastAsia="仿宋_GB2312" w:cs="仿宋_GB2312"/>
                <w:kern w:val="0"/>
                <w:sz w:val="24"/>
                <w:szCs w:val="24"/>
                <w:vertAlign w:val="baseline"/>
                <w:lang w:val="en-US"/>
              </w:rPr>
            </w:pPr>
            <w:r>
              <w:rPr>
                <w:rFonts w:hint="eastAsia" w:ascii="仿宋_GB2312" w:hAnsi="仿宋_GB2312" w:eastAsia="仿宋_GB2312" w:cs="仿宋_GB2312"/>
                <w:kern w:val="0"/>
                <w:sz w:val="24"/>
                <w:szCs w:val="24"/>
                <w:vertAlign w:val="baseli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Next w:val="0"/>
              <w:keepLines w:val="0"/>
              <w:widowControl w:val="0"/>
              <w:suppressLineNumbers w:val="0"/>
              <w:adjustRightInd w:val="0"/>
              <w:snapToGrid w:val="0"/>
              <w:spacing w:before="0" w:beforeAutospacing="0" w:after="0" w:afterAutospacing="0" w:line="360" w:lineRule="auto"/>
              <w:ind w:left="19" w:leftChars="9" w:right="0" w:firstLine="0"/>
              <w:jc w:val="both"/>
              <w:textAlignment w:val="baseline"/>
              <w:rPr>
                <w:rFonts w:hint="eastAsia" w:ascii="仿宋_GB2312" w:hAnsi="仿宋_GB2312" w:eastAsia="仿宋_GB2312" w:cs="仿宋_GB2312"/>
                <w:kern w:val="0"/>
                <w:sz w:val="24"/>
                <w:szCs w:val="24"/>
                <w:vertAlign w:val="baseline"/>
                <w:lang w:val="en-US"/>
              </w:rPr>
            </w:pPr>
            <w:r>
              <w:rPr>
                <w:rFonts w:hint="eastAsia" w:ascii="仿宋_GB2312" w:hAnsi="仿宋_GB2312" w:eastAsia="仿宋_GB2312" w:cs="仿宋_GB2312"/>
                <w:kern w:val="0"/>
                <w:sz w:val="24"/>
                <w:szCs w:val="24"/>
                <w:vertAlign w:val="baseline"/>
                <w:lang w:val="en-US" w:eastAsia="zh-CN" w:bidi="ar"/>
              </w:rPr>
              <w:t>法定代表人或其授权代表：（签字）</w:t>
            </w:r>
          </w:p>
          <w:p>
            <w:pPr>
              <w:keepNext w:val="0"/>
              <w:keepLines w:val="0"/>
              <w:widowControl w:val="0"/>
              <w:suppressLineNumbers w:val="0"/>
              <w:adjustRightInd w:val="0"/>
              <w:snapToGrid w:val="0"/>
              <w:spacing w:before="0" w:beforeAutospacing="0" w:after="0" w:afterAutospacing="0" w:line="360" w:lineRule="auto"/>
              <w:ind w:left="19" w:leftChars="9" w:right="0" w:firstLine="0"/>
              <w:jc w:val="both"/>
              <w:textAlignment w:val="baseline"/>
              <w:rPr>
                <w:rFonts w:hint="eastAsia" w:ascii="仿宋_GB2312" w:hAnsi="仿宋_GB2312" w:eastAsia="仿宋_GB2312" w:cs="仿宋_GB2312"/>
                <w:kern w:val="0"/>
                <w:sz w:val="24"/>
                <w:szCs w:val="24"/>
                <w:vertAlign w:val="baseline"/>
                <w:lang w:val="en-US"/>
              </w:rPr>
            </w:pPr>
          </w:p>
        </w:tc>
        <w:tc>
          <w:tcPr>
            <w:tcW w:w="4252" w:type="dxa"/>
            <w:noWrap w:val="0"/>
            <w:vAlign w:val="top"/>
          </w:tcPr>
          <w:p>
            <w:pPr>
              <w:keepNext w:val="0"/>
              <w:keepLines w:val="0"/>
              <w:widowControl w:val="0"/>
              <w:suppressLineNumbers w:val="0"/>
              <w:adjustRightInd w:val="0"/>
              <w:snapToGrid w:val="0"/>
              <w:spacing w:before="0" w:beforeAutospacing="0" w:after="0" w:afterAutospacing="0" w:line="360" w:lineRule="auto"/>
              <w:ind w:left="34" w:leftChars="16" w:right="0" w:firstLine="0"/>
              <w:jc w:val="both"/>
              <w:textAlignment w:val="baseline"/>
              <w:rPr>
                <w:rFonts w:hint="eastAsia" w:ascii="仿宋_GB2312" w:hAnsi="仿宋_GB2312" w:eastAsia="仿宋_GB2312" w:cs="仿宋_GB2312"/>
                <w:kern w:val="0"/>
                <w:sz w:val="24"/>
                <w:szCs w:val="24"/>
                <w:vertAlign w:val="baseline"/>
                <w:lang w:val="en-US"/>
              </w:rPr>
            </w:pPr>
            <w:r>
              <w:rPr>
                <w:rFonts w:hint="eastAsia" w:ascii="仿宋_GB2312" w:hAnsi="仿宋_GB2312" w:eastAsia="仿宋_GB2312" w:cs="仿宋_GB2312"/>
                <w:kern w:val="0"/>
                <w:sz w:val="24"/>
                <w:szCs w:val="24"/>
                <w:vertAlign w:val="baseli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Next w:val="0"/>
              <w:keepLines w:val="0"/>
              <w:widowControl w:val="0"/>
              <w:suppressLineNumbers w:val="0"/>
              <w:adjustRightInd w:val="0"/>
              <w:snapToGrid w:val="0"/>
              <w:spacing w:before="0" w:beforeAutospacing="0" w:after="0" w:afterAutospacing="0" w:line="360" w:lineRule="auto"/>
              <w:ind w:left="19" w:leftChars="9" w:right="0" w:firstLine="0"/>
              <w:jc w:val="both"/>
              <w:textAlignment w:val="baseline"/>
              <w:rPr>
                <w:rFonts w:hint="eastAsia" w:ascii="仿宋_GB2312" w:hAnsi="仿宋_GB2312" w:eastAsia="仿宋_GB2312" w:cs="仿宋_GB2312"/>
                <w:kern w:val="0"/>
                <w:sz w:val="24"/>
                <w:szCs w:val="24"/>
                <w:vertAlign w:val="baseline"/>
                <w:lang w:val="en-US"/>
              </w:rPr>
            </w:pPr>
            <w:r>
              <w:rPr>
                <w:rFonts w:hint="eastAsia" w:ascii="仿宋_GB2312" w:hAnsi="仿宋_GB2312" w:eastAsia="仿宋_GB2312" w:cs="仿宋_GB2312"/>
                <w:kern w:val="0"/>
                <w:sz w:val="24"/>
                <w:szCs w:val="24"/>
                <w:vertAlign w:val="baseline"/>
              </w:rPr>
              <w:t>时间：</w:t>
            </w:r>
          </w:p>
        </w:tc>
        <w:tc>
          <w:tcPr>
            <w:tcW w:w="4252" w:type="dxa"/>
            <w:noWrap w:val="0"/>
            <w:vAlign w:val="top"/>
          </w:tcPr>
          <w:p>
            <w:pPr>
              <w:keepNext w:val="0"/>
              <w:keepLines w:val="0"/>
              <w:widowControl w:val="0"/>
              <w:suppressLineNumbers w:val="0"/>
              <w:adjustRightInd w:val="0"/>
              <w:snapToGrid w:val="0"/>
              <w:spacing w:before="0" w:beforeAutospacing="0" w:after="0" w:afterAutospacing="0" w:line="360" w:lineRule="auto"/>
              <w:ind w:left="34" w:leftChars="16" w:right="0" w:firstLine="0"/>
              <w:jc w:val="both"/>
              <w:textAlignment w:val="baseline"/>
              <w:rPr>
                <w:rFonts w:hint="eastAsia" w:ascii="仿宋_GB2312" w:hAnsi="仿宋_GB2312" w:eastAsia="仿宋_GB2312" w:cs="仿宋_GB2312"/>
                <w:kern w:val="0"/>
                <w:sz w:val="24"/>
                <w:szCs w:val="24"/>
                <w:vertAlign w:val="baseline"/>
                <w:lang w:val="en-US"/>
              </w:rPr>
            </w:pPr>
            <w:r>
              <w:rPr>
                <w:rFonts w:hint="eastAsia" w:ascii="仿宋_GB2312" w:hAnsi="仿宋_GB2312" w:eastAsia="仿宋_GB2312" w:cs="仿宋_GB2312"/>
                <w:kern w:val="0"/>
                <w:sz w:val="24"/>
                <w:szCs w:val="24"/>
                <w:vertAlign w:val="baseline"/>
              </w:rPr>
              <w:t>时间：</w:t>
            </w:r>
          </w:p>
        </w:tc>
      </w:tr>
    </w:tbl>
    <w:p>
      <w:pPr>
        <w:pStyle w:val="13"/>
        <w:widowControl/>
        <w:snapToGrid w:val="0"/>
        <w:spacing w:line="360" w:lineRule="auto"/>
        <w:ind w:left="0" w:firstLine="0"/>
        <w:outlineLvl w:val="1"/>
        <w:rPr>
          <w:rFonts w:hint="eastAsia" w:ascii="仿宋_GB2312" w:hAnsi="仿宋_GB2312" w:eastAsia="仿宋_GB2312" w:cs="仿宋_GB2312"/>
          <w:b/>
          <w:bCs w:val="0"/>
          <w:sz w:val="24"/>
          <w:szCs w:val="24"/>
          <w:lang w:val="en-US"/>
        </w:rPr>
      </w:pPr>
    </w:p>
    <w:p>
      <w:pPr>
        <w:pStyle w:val="13"/>
        <w:widowControl/>
        <w:snapToGrid w:val="0"/>
        <w:spacing w:line="360" w:lineRule="auto"/>
        <w:ind w:left="0" w:firstLine="0"/>
        <w:outlineLvl w:val="1"/>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kern w:val="2"/>
          <w:sz w:val="24"/>
          <w:szCs w:val="24"/>
          <w:lang w:val="en-US" w:eastAsia="zh-CN" w:bidi="ar"/>
        </w:rPr>
        <w:br w:type="page"/>
      </w:r>
      <w:r>
        <w:rPr>
          <w:rFonts w:hint="eastAsia" w:ascii="仿宋_GB2312" w:hAnsi="仿宋_GB2312" w:eastAsia="仿宋_GB2312" w:cs="仿宋_GB2312"/>
          <w:b/>
          <w:bCs w:val="0"/>
          <w:sz w:val="24"/>
          <w:szCs w:val="24"/>
          <w:lang w:eastAsia="zh-CN"/>
        </w:rPr>
        <w:t>附件</w:t>
      </w:r>
      <w:r>
        <w:rPr>
          <w:rFonts w:hint="eastAsia" w:ascii="仿宋_GB2312" w:hAnsi="仿宋_GB2312" w:eastAsia="仿宋_GB2312" w:cs="仿宋_GB2312"/>
          <w:b/>
          <w:bCs w:val="0"/>
          <w:sz w:val="24"/>
          <w:szCs w:val="24"/>
          <w:lang w:val="en-US"/>
        </w:rPr>
        <w:t xml:space="preserve">3 </w:t>
      </w:r>
      <w:r>
        <w:rPr>
          <w:rFonts w:hint="eastAsia" w:ascii="仿宋_GB2312" w:hAnsi="仿宋_GB2312" w:eastAsia="仿宋_GB2312" w:cs="仿宋_GB2312"/>
          <w:b/>
          <w:bCs w:val="0"/>
          <w:sz w:val="24"/>
          <w:szCs w:val="24"/>
          <w:lang w:eastAsia="zh-CN"/>
        </w:rPr>
        <w:t>中标</w:t>
      </w:r>
      <w:r>
        <w:rPr>
          <w:rFonts w:hint="eastAsia" w:ascii="仿宋_GB2312" w:hAnsi="仿宋_GB2312" w:eastAsia="仿宋_GB2312" w:cs="仿宋_GB2312"/>
          <w:b/>
          <w:bCs w:val="0"/>
          <w:sz w:val="24"/>
          <w:szCs w:val="24"/>
          <w:lang w:val="en-US"/>
        </w:rPr>
        <w:t>/</w:t>
      </w:r>
      <w:r>
        <w:rPr>
          <w:rFonts w:hint="eastAsia" w:ascii="仿宋_GB2312" w:hAnsi="仿宋_GB2312" w:eastAsia="仿宋_GB2312" w:cs="仿宋_GB2312"/>
          <w:b/>
          <w:bCs w:val="0"/>
          <w:sz w:val="24"/>
          <w:szCs w:val="24"/>
          <w:lang w:eastAsia="zh-CN"/>
        </w:rPr>
        <w:t>中选通知书</w:t>
      </w:r>
      <w:r>
        <w:rPr>
          <w:rFonts w:hint="eastAsia" w:ascii="仿宋_GB2312" w:hAnsi="仿宋_GB2312" w:eastAsia="仿宋_GB2312" w:cs="仿宋_GB2312"/>
          <w:b/>
          <w:bCs w:val="0"/>
          <w:sz w:val="24"/>
          <w:szCs w:val="24"/>
          <w:lang w:val="en-US"/>
        </w:rPr>
        <w:t>/</w:t>
      </w:r>
      <w:r>
        <w:rPr>
          <w:rFonts w:hint="eastAsia" w:ascii="仿宋_GB2312" w:hAnsi="仿宋_GB2312" w:eastAsia="仿宋_GB2312" w:cs="仿宋_GB2312"/>
          <w:b/>
          <w:bCs w:val="0"/>
          <w:sz w:val="24"/>
          <w:szCs w:val="24"/>
          <w:lang w:eastAsia="zh-CN"/>
        </w:rPr>
        <w:t>谈判记录表</w:t>
      </w:r>
    </w:p>
    <w:p>
      <w:pPr>
        <w:pStyle w:val="13"/>
        <w:widowControl/>
        <w:snapToGrid w:val="0"/>
        <w:spacing w:line="360" w:lineRule="auto"/>
        <w:ind w:left="0" w:firstLine="0"/>
        <w:outlineLvl w:val="1"/>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kern w:val="2"/>
          <w:sz w:val="24"/>
          <w:szCs w:val="24"/>
          <w:lang w:val="en-US" w:eastAsia="zh-CN" w:bidi="ar"/>
        </w:rPr>
        <w:br w:type="page"/>
      </w:r>
      <w:r>
        <w:rPr>
          <w:rFonts w:hint="eastAsia" w:ascii="仿宋_GB2312" w:hAnsi="仿宋_GB2312" w:eastAsia="仿宋_GB2312" w:cs="仿宋_GB2312"/>
          <w:b/>
          <w:bCs w:val="0"/>
          <w:sz w:val="24"/>
          <w:szCs w:val="24"/>
          <w:lang w:eastAsia="zh-CN"/>
        </w:rPr>
        <w:t>附件</w:t>
      </w:r>
      <w:r>
        <w:rPr>
          <w:rFonts w:hint="eastAsia" w:ascii="仿宋_GB2312" w:hAnsi="仿宋_GB2312" w:eastAsia="仿宋_GB2312" w:cs="仿宋_GB2312"/>
          <w:b/>
          <w:bCs w:val="0"/>
          <w:sz w:val="24"/>
          <w:szCs w:val="24"/>
          <w:lang w:val="en-US"/>
        </w:rPr>
        <w:t xml:space="preserve">4 </w:t>
      </w:r>
      <w:r>
        <w:rPr>
          <w:rFonts w:hint="eastAsia" w:ascii="仿宋_GB2312" w:hAnsi="仿宋_GB2312" w:eastAsia="仿宋_GB2312" w:cs="仿宋_GB2312"/>
          <w:b/>
          <w:bCs w:val="0"/>
          <w:sz w:val="24"/>
          <w:szCs w:val="24"/>
          <w:lang w:eastAsia="zh-CN"/>
        </w:rPr>
        <w:t>暂定保险费清单</w:t>
      </w:r>
    </w:p>
    <w:p>
      <w:pPr>
        <w:pStyle w:val="13"/>
        <w:widowControl/>
        <w:snapToGrid w:val="0"/>
        <w:spacing w:line="360" w:lineRule="auto"/>
        <w:ind w:left="0" w:firstLine="0"/>
        <w:outlineLvl w:val="1"/>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kern w:val="2"/>
          <w:sz w:val="24"/>
          <w:szCs w:val="24"/>
          <w:lang w:val="en-US" w:eastAsia="zh-CN" w:bidi="ar"/>
        </w:rPr>
        <w:br w:type="page"/>
      </w:r>
      <w:r>
        <w:rPr>
          <w:rFonts w:hint="eastAsia" w:ascii="仿宋_GB2312" w:hAnsi="仿宋_GB2312" w:eastAsia="仿宋_GB2312" w:cs="仿宋_GB2312"/>
          <w:b/>
          <w:bCs w:val="0"/>
          <w:sz w:val="24"/>
          <w:szCs w:val="24"/>
          <w:lang w:eastAsia="zh-CN"/>
        </w:rPr>
        <w:t>附件</w:t>
      </w:r>
      <w:r>
        <w:rPr>
          <w:rFonts w:hint="eastAsia" w:ascii="仿宋_GB2312" w:hAnsi="仿宋_GB2312" w:eastAsia="仿宋_GB2312" w:cs="仿宋_GB2312"/>
          <w:b/>
          <w:bCs w:val="0"/>
          <w:sz w:val="24"/>
          <w:szCs w:val="24"/>
          <w:lang w:val="en-US"/>
        </w:rPr>
        <w:t xml:space="preserve">5 </w:t>
      </w:r>
      <w:r>
        <w:rPr>
          <w:rFonts w:hint="eastAsia" w:ascii="仿宋_GB2312" w:hAnsi="仿宋_GB2312" w:eastAsia="仿宋_GB2312" w:cs="仿宋_GB2312"/>
          <w:b/>
          <w:bCs w:val="0"/>
          <w:sz w:val="24"/>
          <w:szCs w:val="24"/>
          <w:lang w:eastAsia="zh-CN"/>
        </w:rPr>
        <w:t>最高投标限价公示说明</w:t>
      </w:r>
    </w:p>
    <w:p>
      <w:pPr>
        <w:pStyle w:val="13"/>
        <w:widowControl/>
        <w:snapToGrid w:val="0"/>
        <w:spacing w:line="360" w:lineRule="auto"/>
        <w:ind w:left="0" w:firstLine="0"/>
        <w:outlineLvl w:val="1"/>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kern w:val="2"/>
          <w:sz w:val="24"/>
          <w:szCs w:val="24"/>
          <w:lang w:val="en-US" w:eastAsia="zh-CN" w:bidi="ar"/>
        </w:rPr>
        <w:br w:type="page"/>
      </w:r>
      <w:r>
        <w:rPr>
          <w:rFonts w:hint="eastAsia" w:ascii="仿宋_GB2312" w:hAnsi="仿宋_GB2312" w:eastAsia="仿宋_GB2312" w:cs="仿宋_GB2312"/>
          <w:b/>
          <w:bCs w:val="0"/>
          <w:sz w:val="24"/>
          <w:szCs w:val="24"/>
          <w:lang w:eastAsia="zh-CN"/>
        </w:rPr>
        <w:t>附件</w:t>
      </w:r>
      <w:r>
        <w:rPr>
          <w:rFonts w:hint="eastAsia" w:ascii="仿宋_GB2312" w:hAnsi="仿宋_GB2312" w:eastAsia="仿宋_GB2312" w:cs="仿宋_GB2312"/>
          <w:b/>
          <w:bCs w:val="0"/>
          <w:sz w:val="24"/>
          <w:szCs w:val="24"/>
          <w:lang w:val="en-US"/>
        </w:rPr>
        <w:t xml:space="preserve">6 </w:t>
      </w:r>
      <w:r>
        <w:rPr>
          <w:rFonts w:hint="eastAsia" w:ascii="仿宋_GB2312" w:hAnsi="仿宋_GB2312" w:eastAsia="仿宋_GB2312" w:cs="仿宋_GB2312"/>
          <w:b/>
          <w:bCs w:val="0"/>
          <w:sz w:val="24"/>
          <w:szCs w:val="24"/>
          <w:lang w:eastAsia="zh-CN"/>
        </w:rPr>
        <w:t>澄清与答疑文件</w:t>
      </w:r>
    </w:p>
    <w:bookmarkEnd w:id="72"/>
    <w:p>
      <w:pPr>
        <w:pStyle w:val="13"/>
        <w:widowControl/>
        <w:snapToGrid w:val="0"/>
        <w:spacing w:line="360" w:lineRule="auto"/>
        <w:ind w:left="0" w:firstLine="0"/>
        <w:outlineLvl w:val="1"/>
        <w:rPr>
          <w:rFonts w:hint="eastAsia" w:ascii="仿宋_GB2312" w:hAnsi="仿宋_GB2312" w:eastAsia="仿宋_GB2312" w:cs="仿宋_GB2312"/>
          <w:b/>
          <w:bCs w:val="0"/>
          <w:sz w:val="24"/>
          <w:szCs w:val="24"/>
          <w:lang w:val="en-US"/>
        </w:rPr>
      </w:pPr>
    </w:p>
    <w:p>
      <w:pPr>
        <w:pStyle w:val="3"/>
        <w:widowControl/>
        <w:spacing w:line="360" w:lineRule="auto"/>
        <w:jc w:val="center"/>
        <w:rPr>
          <w:rFonts w:hint="eastAsia" w:ascii="仿宋_GB2312" w:hAnsi="仿宋_GB2312" w:eastAsia="仿宋_GB2312" w:cs="仿宋_GB2312"/>
          <w:bCs/>
          <w:kern w:val="2"/>
          <w:sz w:val="32"/>
          <w:szCs w:val="32"/>
          <w:lang w:val="en-US"/>
        </w:rPr>
      </w:pPr>
      <w:r>
        <w:rPr>
          <w:rFonts w:hint="eastAsia" w:ascii="仿宋_GB2312" w:hAnsi="仿宋_GB2312" w:eastAsia="仿宋_GB2312" w:cs="仿宋_GB2312"/>
          <w:kern w:val="44"/>
          <w:sz w:val="24"/>
          <w:szCs w:val="20"/>
          <w:lang w:val="en-US" w:eastAsia="zh-CN" w:bidi="ar"/>
        </w:rPr>
        <w:br w:type="page"/>
      </w:r>
      <w:r>
        <w:rPr>
          <w:rFonts w:hint="eastAsia" w:ascii="仿宋_GB2312" w:hAnsi="仿宋_GB2312" w:eastAsia="仿宋_GB2312" w:cs="仿宋_GB2312"/>
          <w:bCs/>
          <w:kern w:val="2"/>
          <w:sz w:val="32"/>
          <w:szCs w:val="32"/>
          <w:lang w:eastAsia="zh-CN"/>
        </w:rPr>
        <w:t>第四部分 合同附录</w:t>
      </w:r>
    </w:p>
    <w:p>
      <w:pPr>
        <w:keepNext w:val="0"/>
        <w:keepLines w:val="0"/>
        <w:widowControl w:val="0"/>
        <w:suppressLineNumbers w:val="0"/>
        <w:snapToGrid w:val="0"/>
        <w:spacing w:before="0" w:beforeAutospacing="0" w:after="0" w:afterAutospacing="0"/>
        <w:ind w:left="0" w:right="-20" w:firstLine="0"/>
        <w:jc w:val="both"/>
        <w:outlineLvl w:val="1"/>
        <w:rPr>
          <w:rFonts w:hint="eastAsia" w:ascii="仿宋_GB2312" w:hAnsi="仿宋_GB2312" w:eastAsia="仿宋_GB2312" w:cs="仿宋_GB2312"/>
          <w:b/>
          <w:bCs w:val="0"/>
          <w:sz w:val="24"/>
          <w:szCs w:val="20"/>
          <w:lang w:val="en-US"/>
        </w:rPr>
      </w:pPr>
      <w:r>
        <w:rPr>
          <w:rFonts w:hint="eastAsia" w:ascii="仿宋_GB2312" w:hAnsi="仿宋_GB2312" w:eastAsia="仿宋_GB2312" w:cs="仿宋_GB2312"/>
          <w:b/>
          <w:bCs w:val="0"/>
          <w:kern w:val="2"/>
          <w:sz w:val="24"/>
          <w:szCs w:val="20"/>
          <w:lang w:val="en-US" w:eastAsia="zh-CN" w:bidi="ar"/>
        </w:rPr>
        <w:t>附录1 银行履约保函（格式）</w:t>
      </w:r>
    </w:p>
    <w:p>
      <w:pPr>
        <w:keepNext w:val="0"/>
        <w:keepLines w:val="0"/>
        <w:widowControl w:val="0"/>
        <w:suppressLineNumbers w:val="0"/>
        <w:spacing w:before="0" w:beforeAutospacing="0" w:after="0" w:afterAutospacing="0"/>
        <w:ind w:left="0" w:right="0" w:firstLine="0"/>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kern w:val="2"/>
          <w:sz w:val="24"/>
          <w:szCs w:val="24"/>
          <w:lang w:val="en-US" w:eastAsia="zh-CN" w:bidi="ar"/>
        </w:rPr>
        <w:t xml:space="preserve">                            保函编号：</w:t>
      </w:r>
    </w:p>
    <w:p>
      <w:pPr>
        <w:keepNext w:val="0"/>
        <w:keepLines w:val="0"/>
        <w:widowControl w:val="0"/>
        <w:suppressLineNumbers w:val="0"/>
        <w:spacing w:before="0" w:beforeAutospacing="0" w:after="0" w:afterAutospacing="0"/>
        <w:ind w:left="0" w:right="0" w:firstLine="0"/>
        <w:jc w:val="center"/>
        <w:rPr>
          <w:rFonts w:hint="eastAsia" w:ascii="仿宋_GB2312" w:hAnsi="仿宋_GB2312" w:eastAsia="仿宋_GB2312" w:cs="仿宋_GB2312"/>
          <w:b/>
          <w:bCs w:val="0"/>
          <w:sz w:val="24"/>
          <w:szCs w:val="24"/>
          <w:lang w:val="en-US"/>
        </w:rPr>
      </w:pPr>
    </w:p>
    <w:p>
      <w:pPr>
        <w:keepNext w:val="0"/>
        <w:keepLines w:val="0"/>
        <w:widowControl w:val="0"/>
        <w:suppressLineNumbers w:val="0"/>
        <w:spacing w:before="0" w:beforeAutospacing="0" w:after="0" w:afterAutospacing="0"/>
        <w:ind w:left="0" w:right="0" w:firstLine="0"/>
        <w:jc w:val="center"/>
        <w:rPr>
          <w:rFonts w:hint="eastAsia" w:ascii="仿宋_GB2312" w:hAnsi="仿宋_GB2312" w:eastAsia="仿宋_GB2312" w:cs="仿宋_GB2312"/>
          <w:b/>
          <w:bCs w:val="0"/>
          <w:sz w:val="32"/>
          <w:szCs w:val="32"/>
          <w:lang w:val="en-US"/>
        </w:rPr>
      </w:pPr>
      <w:r>
        <w:rPr>
          <w:rFonts w:hint="eastAsia" w:ascii="仿宋_GB2312" w:hAnsi="仿宋_GB2312" w:eastAsia="仿宋_GB2312" w:cs="仿宋_GB2312"/>
          <w:b/>
          <w:bCs w:val="0"/>
          <w:kern w:val="2"/>
          <w:sz w:val="32"/>
          <w:szCs w:val="32"/>
          <w:lang w:val="en-US" w:eastAsia="zh-CN" w:bidi="ar"/>
        </w:rPr>
        <w:t>银行履约保函</w:t>
      </w:r>
    </w:p>
    <w:p>
      <w:pPr>
        <w:keepNext w:val="0"/>
        <w:keepLines w:val="0"/>
        <w:widowControl w:val="0"/>
        <w:suppressLineNumbers w:val="0"/>
        <w:spacing w:before="0" w:beforeAutospacing="0" w:after="0" w:afterAutospacing="0"/>
        <w:ind w:left="0" w:right="0" w:firstLine="0"/>
        <w:jc w:val="center"/>
        <w:rPr>
          <w:rFonts w:hint="eastAsia" w:ascii="仿宋_GB2312" w:hAnsi="仿宋_GB2312" w:eastAsia="仿宋_GB2312" w:cs="仿宋_GB2312"/>
          <w:b/>
          <w:bCs w:val="0"/>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both"/>
        <w:rPr>
          <w:rFonts w:hint="eastAsia" w:ascii="仿宋_GB2312" w:hAnsi="仿宋_GB2312" w:eastAsia="仿宋_GB2312" w:cs="仿宋_GB2312"/>
          <w:sz w:val="24"/>
          <w:szCs w:val="24"/>
          <w:u w:val="single"/>
          <w:lang w:val="en-US"/>
        </w:rPr>
      </w:pPr>
      <w:r>
        <w:rPr>
          <w:rFonts w:hint="eastAsia" w:ascii="仿宋_GB2312" w:hAnsi="仿宋_GB2312" w:eastAsia="仿宋_GB2312" w:cs="仿宋_GB2312"/>
          <w:kern w:val="2"/>
          <w:sz w:val="24"/>
          <w:szCs w:val="24"/>
          <w:lang w:val="en-US" w:eastAsia="zh-CN" w:bidi="ar"/>
        </w:rPr>
        <w:t>甲方（全称）：</w:t>
      </w:r>
      <w:r>
        <w:rPr>
          <w:rFonts w:hint="eastAsia" w:ascii="仿宋_GB2312" w:hAnsi="仿宋_GB2312" w:eastAsia="仿宋_GB2312" w:cs="仿宋_GB2312"/>
          <w:kern w:val="2"/>
          <w:sz w:val="24"/>
          <w:szCs w:val="24"/>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15" w:leftChars="7"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鉴于甲方</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（以下简称“你方”）与</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（乙方全称，以下简称“乙方”）于</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年</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月</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日协商一致共同签订合同编号为</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的《</w:t>
      </w:r>
      <w:r>
        <w:rPr>
          <w:rFonts w:hint="eastAsia" w:ascii="仿宋_GB2312" w:hAnsi="仿宋_GB2312" w:eastAsia="仿宋_GB2312" w:cs="仿宋_GB2312"/>
          <w:kern w:val="2"/>
          <w:sz w:val="24"/>
          <w:szCs w:val="24"/>
          <w:u w:val="single"/>
          <w:lang w:val="en-US" w:eastAsia="zh-CN" w:bidi="ar"/>
        </w:rPr>
        <w:t xml:space="preserve">            </w:t>
      </w:r>
      <w:r>
        <w:rPr>
          <w:rFonts w:hint="eastAsia" w:ascii="仿宋_GB2312" w:hAnsi="仿宋_GB2312" w:eastAsia="仿宋_GB2312" w:cs="仿宋_GB2312"/>
          <w:kern w:val="2"/>
          <w:sz w:val="24"/>
          <w:szCs w:val="24"/>
          <w:lang w:val="en-US" w:eastAsia="zh-CN" w:bidi="ar"/>
        </w:rPr>
        <w:t>合同》（以下简称“合同”）。 我方愿意无条件地、不可撤销地就乙方履行与你方签订的合同，向你方提供以下见索即付担保：</w:t>
      </w:r>
    </w:p>
    <w:p>
      <w:pPr>
        <w:keepNext w:val="0"/>
        <w:keepLines w:val="0"/>
        <w:widowControl w:val="0"/>
        <w:suppressLineNumbers w:val="0"/>
        <w:adjustRightInd w:val="0"/>
        <w:snapToGrid w:val="0"/>
        <w:spacing w:before="0" w:beforeAutospacing="0" w:after="0" w:afterAutospacing="0" w:line="360" w:lineRule="auto"/>
        <w:ind w:left="15" w:leftChars="7"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1、担保金额为人民币（大写）</w:t>
      </w: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元（小写：¥</w:t>
      </w: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15" w:leftChars="7"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2、担保期限为自本保函生效之日起至</w:t>
      </w:r>
      <w:r>
        <w:rPr>
          <w:rFonts w:hint="eastAsia" w:ascii="仿宋_GB2312" w:hAnsi="仿宋_GB2312" w:eastAsia="仿宋_GB2312" w:cs="仿宋_GB2312"/>
          <w:kern w:val="2"/>
          <w:sz w:val="24"/>
          <w:szCs w:val="20"/>
          <w:u w:val="single"/>
          <w:lang w:val="en-US" w:eastAsia="zh-CN" w:bidi="ar"/>
        </w:rPr>
        <w:t xml:space="preserve">           </w:t>
      </w:r>
      <w:r>
        <w:rPr>
          <w:rFonts w:hint="eastAsia" w:ascii="仿宋_GB2312" w:hAnsi="仿宋_GB2312" w:eastAsia="仿宋_GB2312" w:cs="仿宋_GB2312"/>
          <w:kern w:val="2"/>
          <w:sz w:val="24"/>
          <w:szCs w:val="20"/>
          <w:lang w:val="en-US" w:eastAsia="zh-CN" w:bidi="ar"/>
        </w:rPr>
        <w:t>之日止。</w:t>
      </w:r>
    </w:p>
    <w:p>
      <w:pPr>
        <w:keepNext w:val="0"/>
        <w:keepLines w:val="0"/>
        <w:widowControl w:val="0"/>
        <w:suppressLineNumbers w:val="0"/>
        <w:adjustRightInd w:val="0"/>
        <w:snapToGrid w:val="0"/>
        <w:spacing w:before="0" w:beforeAutospacing="0" w:after="0" w:afterAutospacing="0" w:line="360" w:lineRule="auto"/>
        <w:ind w:left="15" w:leftChars="7"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3、在本担保有效期内，因乙方违反合同约定的义务给你方造成经济损失时，我方在收到你方以书面形式提出的在担保金额内的赔偿要求后，在 7 个工作日内无条件支付。</w:t>
      </w:r>
    </w:p>
    <w:p>
      <w:pPr>
        <w:keepNext w:val="0"/>
        <w:keepLines w:val="0"/>
        <w:widowControl w:val="0"/>
        <w:suppressLineNumbers w:val="0"/>
        <w:adjustRightInd w:val="0"/>
        <w:snapToGrid w:val="0"/>
        <w:spacing w:before="0" w:beforeAutospacing="0" w:after="0" w:afterAutospacing="0" w:line="360" w:lineRule="auto"/>
        <w:ind w:left="15" w:leftChars="7"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4、你方和乙方按合同约定变更合同时，我方承担本担保规定的义务不变。</w:t>
      </w:r>
    </w:p>
    <w:p>
      <w:pPr>
        <w:keepNext w:val="0"/>
        <w:keepLines w:val="0"/>
        <w:widowControl w:val="0"/>
        <w:suppressLineNumbers w:val="0"/>
        <w:adjustRightInd w:val="0"/>
        <w:snapToGrid w:val="0"/>
        <w:spacing w:before="0" w:beforeAutospacing="0" w:after="0" w:afterAutospacing="0" w:line="360" w:lineRule="auto"/>
        <w:ind w:left="15" w:leftChars="7" w:right="0" w:firstLine="48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5、因本保函发生的纠纷，可由双方协商解决，协商不成的，任何一方均可提请在你方所在地人民法院起诉。</w:t>
      </w:r>
    </w:p>
    <w:p>
      <w:pPr>
        <w:keepNext w:val="0"/>
        <w:keepLines w:val="0"/>
        <w:widowControl w:val="0"/>
        <w:suppressLineNumbers w:val="0"/>
        <w:adjustRightInd w:val="0"/>
        <w:snapToGrid w:val="0"/>
        <w:spacing w:before="0" w:beforeAutospacing="0" w:after="0" w:afterAutospacing="0" w:line="360" w:lineRule="auto"/>
        <w:ind w:left="15" w:leftChars="7" w:right="0" w:firstLine="48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本保函自我方加盖公章之日起生效。</w:t>
      </w:r>
    </w:p>
    <w:p>
      <w:pPr>
        <w:keepNext w:val="0"/>
        <w:keepLines w:val="0"/>
        <w:widowControl w:val="0"/>
        <w:suppressLineNumbers w:val="0"/>
        <w:adjustRightInd w:val="0"/>
        <w:snapToGrid w:val="0"/>
        <w:spacing w:before="0" w:beforeAutospacing="0" w:after="0" w:afterAutospacing="0" w:line="360" w:lineRule="auto"/>
        <w:ind w:left="15" w:leftChars="7" w:right="0" w:firstLine="403" w:firstLineChars="168"/>
        <w:jc w:val="both"/>
        <w:rPr>
          <w:rFonts w:hint="eastAsia" w:ascii="仿宋_GB2312" w:hAnsi="仿宋_GB2312" w:eastAsia="仿宋_GB2312" w:cs="仿宋_GB2312"/>
          <w:sz w:val="24"/>
          <w:szCs w:val="20"/>
          <w:lang w:val="en-US"/>
        </w:rPr>
      </w:pPr>
    </w:p>
    <w:p>
      <w:pPr>
        <w:keepNext w:val="0"/>
        <w:keepLines w:val="0"/>
        <w:widowControl w:val="0"/>
        <w:suppressLineNumbers w:val="0"/>
        <w:adjustRightInd w:val="0"/>
        <w:snapToGrid w:val="0"/>
        <w:spacing w:before="0" w:beforeAutospacing="0" w:after="0" w:afterAutospacing="0" w:line="360" w:lineRule="auto"/>
        <w:ind w:left="15" w:leftChars="7" w:right="0" w:firstLine="403" w:firstLineChars="168"/>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担保人（盖公章）：</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签字：</w:t>
      </w:r>
    </w:p>
    <w:p>
      <w:pPr>
        <w:keepNext w:val="0"/>
        <w:keepLines w:val="0"/>
        <w:widowControl w:val="0"/>
        <w:suppressLineNumbers w:val="0"/>
        <w:adjustRightInd w:val="0"/>
        <w:snapToGrid w:val="0"/>
        <w:spacing w:before="0" w:beforeAutospacing="0" w:after="0" w:afterAutospacing="0" w:line="360" w:lineRule="auto"/>
        <w:ind w:left="15" w:leftChars="7" w:right="0" w:firstLine="403" w:firstLineChars="168"/>
        <w:jc w:val="both"/>
        <w:rPr>
          <w:rFonts w:hint="eastAsia" w:ascii="仿宋_GB2312" w:hAnsi="仿宋_GB2312" w:eastAsia="仿宋_GB2312" w:cs="仿宋_GB2312"/>
          <w:sz w:val="24"/>
          <w:szCs w:val="20"/>
          <w:u w:val="single"/>
          <w:lang w:val="en-US"/>
        </w:rPr>
      </w:pPr>
      <w:r>
        <w:rPr>
          <w:rFonts w:hint="eastAsia" w:ascii="仿宋_GB2312" w:hAnsi="仿宋_GB2312" w:eastAsia="仿宋_GB2312" w:cs="仿宋_GB2312"/>
          <w:kern w:val="2"/>
          <w:sz w:val="24"/>
          <w:szCs w:val="20"/>
          <w:lang w:val="en-US" w:eastAsia="zh-CN" w:bidi="ar"/>
        </w:rPr>
        <w:t>地址：</w:t>
      </w:r>
    </w:p>
    <w:p>
      <w:pPr>
        <w:keepNext w:val="0"/>
        <w:keepLines w:val="0"/>
        <w:widowControl w:val="0"/>
        <w:suppressLineNumbers w:val="0"/>
        <w:adjustRightInd w:val="0"/>
        <w:snapToGrid w:val="0"/>
        <w:spacing w:before="0" w:beforeAutospacing="0" w:after="0" w:afterAutospacing="0" w:line="360" w:lineRule="auto"/>
        <w:ind w:left="15" w:leftChars="7" w:right="0" w:firstLine="403" w:firstLineChars="168"/>
        <w:jc w:val="both"/>
        <w:rPr>
          <w:rFonts w:hint="eastAsia" w:ascii="仿宋_GB2312" w:hAnsi="仿宋_GB2312" w:eastAsia="仿宋_GB2312" w:cs="仿宋_GB2312"/>
          <w:sz w:val="24"/>
          <w:szCs w:val="20"/>
          <w:u w:val="single"/>
          <w:lang w:val="en-US"/>
        </w:rPr>
      </w:pPr>
      <w:r>
        <w:rPr>
          <w:rFonts w:hint="eastAsia" w:ascii="仿宋_GB2312" w:hAnsi="仿宋_GB2312" w:eastAsia="仿宋_GB2312" w:cs="仿宋_GB2312"/>
          <w:kern w:val="2"/>
          <w:sz w:val="24"/>
          <w:szCs w:val="20"/>
          <w:lang w:val="en-US" w:eastAsia="zh-CN" w:bidi="ar"/>
        </w:rPr>
        <w:t>邮政编码：</w:t>
      </w:r>
    </w:p>
    <w:p>
      <w:pPr>
        <w:keepNext w:val="0"/>
        <w:keepLines w:val="0"/>
        <w:widowControl w:val="0"/>
        <w:suppressLineNumbers w:val="0"/>
        <w:adjustRightInd w:val="0"/>
        <w:snapToGrid w:val="0"/>
        <w:spacing w:before="0" w:beforeAutospacing="0" w:after="0" w:afterAutospacing="0" w:line="360" w:lineRule="auto"/>
        <w:ind w:left="15" w:leftChars="7" w:right="0" w:firstLine="403" w:firstLineChars="168"/>
        <w:jc w:val="both"/>
        <w:rPr>
          <w:rFonts w:hint="eastAsia" w:ascii="仿宋_GB2312" w:hAnsi="仿宋_GB2312" w:eastAsia="仿宋_GB2312" w:cs="仿宋_GB2312"/>
          <w:sz w:val="24"/>
          <w:szCs w:val="20"/>
          <w:u w:val="single"/>
          <w:lang w:val="en-US"/>
        </w:rPr>
      </w:pPr>
      <w:r>
        <w:rPr>
          <w:rFonts w:hint="eastAsia" w:ascii="仿宋_GB2312" w:hAnsi="仿宋_GB2312" w:eastAsia="仿宋_GB2312" w:cs="仿宋_GB2312"/>
          <w:kern w:val="2"/>
          <w:sz w:val="24"/>
          <w:szCs w:val="20"/>
          <w:lang w:val="en-US" w:eastAsia="zh-CN" w:bidi="ar"/>
        </w:rPr>
        <w:t>电话：</w:t>
      </w:r>
    </w:p>
    <w:p>
      <w:pPr>
        <w:keepNext w:val="0"/>
        <w:keepLines w:val="0"/>
        <w:widowControl w:val="0"/>
        <w:suppressLineNumbers w:val="0"/>
        <w:adjustRightInd w:val="0"/>
        <w:snapToGrid w:val="0"/>
        <w:spacing w:before="0" w:beforeAutospacing="0" w:after="0" w:afterAutospacing="0" w:line="360" w:lineRule="auto"/>
        <w:ind w:left="15" w:leftChars="7" w:right="0" w:firstLine="403" w:firstLineChars="168"/>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传真：</w:t>
      </w:r>
    </w:p>
    <w:p>
      <w:pPr>
        <w:keepNext w:val="0"/>
        <w:keepLines w:val="0"/>
        <w:widowControl w:val="0"/>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0"/>
          <w:lang w:val="en-US"/>
        </w:rPr>
      </w:pPr>
      <w:r>
        <w:rPr>
          <w:rFonts w:hint="eastAsia" w:ascii="仿宋_GB2312" w:hAnsi="仿宋_GB2312" w:eastAsia="仿宋_GB2312" w:cs="仿宋_GB2312"/>
          <w:kern w:val="2"/>
          <w:sz w:val="24"/>
          <w:szCs w:val="20"/>
          <w:lang w:val="en-US" w:eastAsia="zh-CN" w:bidi="ar"/>
        </w:rPr>
        <w:t>时间：</w:t>
      </w:r>
    </w:p>
    <w:p>
      <w:pPr>
        <w:keepNext w:val="0"/>
        <w:keepLines w:val="0"/>
        <w:widowControl w:val="0"/>
        <w:suppressLineNumbers w:val="0"/>
        <w:adjustRightInd w:val="0"/>
        <w:snapToGrid w:val="0"/>
        <w:spacing w:before="0" w:beforeAutospacing="0" w:after="0" w:afterAutospacing="0" w:line="360" w:lineRule="auto"/>
        <w:ind w:left="0" w:right="0" w:firstLine="0"/>
        <w:jc w:val="left"/>
        <w:rPr>
          <w:rFonts w:hint="eastAsia" w:ascii="仿宋_GB2312" w:hAnsi="仿宋_GB2312" w:eastAsia="仿宋_GB2312" w:cs="仿宋_GB2312"/>
          <w:b/>
          <w:bCs w:val="0"/>
          <w:sz w:val="24"/>
          <w:szCs w:val="20"/>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left"/>
        <w:rPr>
          <w:rFonts w:hint="eastAsia" w:ascii="仿宋_GB2312" w:hAnsi="仿宋_GB2312" w:eastAsia="仿宋_GB2312" w:cs="仿宋_GB2312"/>
          <w:b/>
          <w:bCs w:val="0"/>
          <w:sz w:val="24"/>
          <w:szCs w:val="20"/>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left"/>
        <w:rPr>
          <w:rFonts w:hint="eastAsia" w:ascii="仿宋_GB2312" w:hAnsi="仿宋_GB2312" w:eastAsia="仿宋_GB2312" w:cs="仿宋_GB2312"/>
          <w:b/>
          <w:bCs w:val="0"/>
          <w:sz w:val="24"/>
          <w:szCs w:val="20"/>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left"/>
        <w:rPr>
          <w:rFonts w:hint="eastAsia" w:ascii="仿宋_GB2312" w:hAnsi="仿宋_GB2312" w:eastAsia="仿宋_GB2312" w:cs="仿宋_GB2312"/>
          <w:b/>
          <w:bCs w:val="0"/>
          <w:sz w:val="24"/>
          <w:szCs w:val="20"/>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left"/>
        <w:rPr>
          <w:rFonts w:hint="eastAsia" w:ascii="仿宋_GB2312" w:hAnsi="仿宋_GB2312" w:eastAsia="仿宋_GB2312" w:cs="仿宋_GB2312"/>
          <w:b/>
          <w:bCs w:val="0"/>
          <w:sz w:val="24"/>
          <w:szCs w:val="20"/>
          <w:lang w:val="en-US"/>
        </w:rPr>
      </w:pPr>
    </w:p>
    <w:p>
      <w:pPr>
        <w:keepNext w:val="0"/>
        <w:keepLines w:val="0"/>
        <w:widowControl w:val="0"/>
        <w:suppressLineNumbers w:val="0"/>
        <w:adjustRightInd w:val="0"/>
        <w:snapToGrid w:val="0"/>
        <w:spacing w:before="0" w:beforeAutospacing="0" w:after="0" w:afterAutospacing="0" w:line="360" w:lineRule="auto"/>
        <w:ind w:left="0" w:right="0" w:firstLine="0"/>
        <w:jc w:val="left"/>
        <w:rPr>
          <w:rFonts w:hint="eastAsia" w:ascii="仿宋_GB2312" w:hAnsi="仿宋_GB2312" w:eastAsia="仿宋_GB2312" w:cs="仿宋_GB2312"/>
          <w:b/>
          <w:bCs w:val="0"/>
          <w:sz w:val="24"/>
          <w:szCs w:val="20"/>
          <w:lang w:val="en-US"/>
        </w:rPr>
      </w:pPr>
    </w:p>
    <w:p>
      <w:pPr>
        <w:pStyle w:val="13"/>
        <w:widowControl/>
        <w:snapToGrid w:val="0"/>
        <w:ind w:left="0" w:firstLine="0"/>
        <w:jc w:val="left"/>
        <w:outlineLvl w:val="1"/>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eastAsia="zh-CN"/>
        </w:rPr>
        <w:t>第五部分</w:t>
      </w:r>
      <w:r>
        <w:rPr>
          <w:rFonts w:hint="eastAsia" w:ascii="仿宋_GB2312" w:hAnsi="仿宋_GB2312" w:eastAsia="仿宋_GB2312" w:cs="仿宋_GB2312"/>
          <w:b/>
          <w:bCs/>
          <w:sz w:val="32"/>
          <w:szCs w:val="32"/>
          <w:lang w:val="en-US"/>
        </w:rPr>
        <w:t xml:space="preserve">  </w:t>
      </w:r>
      <w:r>
        <w:rPr>
          <w:rFonts w:hint="eastAsia" w:ascii="仿宋_GB2312" w:hAnsi="仿宋_GB2312" w:eastAsia="仿宋_GB2312" w:cs="仿宋_GB2312"/>
          <w:b/>
          <w:bCs/>
          <w:sz w:val="32"/>
          <w:szCs w:val="32"/>
          <w:lang w:eastAsia="zh-CN"/>
        </w:rPr>
        <w:t>招标文件</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lang w:eastAsia="zh-CN"/>
        </w:rPr>
        <w:t>自主竞争性谈判文件</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lang w:eastAsia="zh-CN"/>
        </w:rPr>
        <w:t>直接委托谈判文件、澄清与答疑文件及其他补充资料（如有，另册）</w:t>
      </w:r>
    </w:p>
    <w:p>
      <w:pPr>
        <w:pStyle w:val="13"/>
        <w:widowControl/>
        <w:snapToGrid w:val="0"/>
        <w:spacing w:line="360" w:lineRule="auto"/>
        <w:ind w:left="0" w:firstLine="0"/>
        <w:jc w:val="left"/>
        <w:outlineLvl w:val="1"/>
        <w:rPr>
          <w:rFonts w:hint="eastAsia" w:ascii="仿宋_GB2312" w:hAnsi="仿宋_GB2312" w:eastAsia="仿宋_GB2312" w:cs="仿宋_GB2312"/>
          <w:b/>
          <w:bCs/>
          <w:sz w:val="32"/>
          <w:szCs w:val="32"/>
          <w:lang w:val="en-US"/>
        </w:rPr>
      </w:pPr>
    </w:p>
    <w:p>
      <w:pPr>
        <w:pStyle w:val="13"/>
        <w:widowControl/>
        <w:snapToGrid w:val="0"/>
        <w:spacing w:line="360" w:lineRule="auto"/>
        <w:ind w:left="0" w:firstLine="0"/>
        <w:jc w:val="left"/>
        <w:outlineLvl w:val="1"/>
        <w:rPr>
          <w:rFonts w:hint="eastAsia" w:ascii="仿宋_GB2312" w:hAnsi="仿宋_GB2312" w:eastAsia="仿宋_GB2312" w:cs="仿宋_GB2312"/>
          <w:b/>
          <w:bCs/>
          <w:sz w:val="32"/>
          <w:szCs w:val="32"/>
          <w:lang w:val="en-US"/>
        </w:rPr>
      </w:pPr>
    </w:p>
    <w:p>
      <w:pPr>
        <w:pStyle w:val="13"/>
        <w:widowControl/>
        <w:snapToGrid w:val="0"/>
        <w:spacing w:line="360" w:lineRule="auto"/>
        <w:ind w:left="0" w:firstLine="0"/>
        <w:jc w:val="left"/>
        <w:outlineLvl w:val="1"/>
        <w:rPr>
          <w:rFonts w:hint="eastAsia" w:ascii="仿宋_GB2312" w:hAnsi="仿宋_GB2312" w:eastAsia="仿宋_GB2312" w:cs="仿宋_GB2312"/>
          <w:b/>
          <w:bCs/>
          <w:sz w:val="32"/>
          <w:szCs w:val="32"/>
          <w:lang w:val="en-US"/>
        </w:rPr>
      </w:pPr>
    </w:p>
    <w:p>
      <w:pPr>
        <w:pStyle w:val="13"/>
        <w:widowControl/>
        <w:snapToGrid w:val="0"/>
        <w:ind w:left="0" w:firstLine="0"/>
        <w:jc w:val="left"/>
        <w:outlineLvl w:val="1"/>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eastAsia="zh-CN"/>
        </w:rPr>
        <w:t>第六部分</w:t>
      </w:r>
      <w:r>
        <w:rPr>
          <w:rFonts w:hint="eastAsia" w:ascii="仿宋_GB2312" w:hAnsi="仿宋_GB2312" w:eastAsia="仿宋_GB2312" w:cs="仿宋_GB2312"/>
          <w:b/>
          <w:bCs/>
          <w:sz w:val="32"/>
          <w:szCs w:val="32"/>
          <w:lang w:val="en-US"/>
        </w:rPr>
        <w:t xml:space="preserve">  </w:t>
      </w:r>
      <w:r>
        <w:rPr>
          <w:rFonts w:hint="eastAsia" w:ascii="仿宋_GB2312" w:hAnsi="仿宋_GB2312" w:eastAsia="仿宋_GB2312" w:cs="仿宋_GB2312"/>
          <w:b/>
          <w:bCs/>
          <w:sz w:val="32"/>
          <w:szCs w:val="32"/>
          <w:lang w:eastAsia="zh-CN"/>
        </w:rPr>
        <w:t>投标文件</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lang w:eastAsia="zh-CN"/>
        </w:rPr>
        <w:t>谈判响应文件、澄清文件及其他补充资料（如有，另册）</w:t>
      </w:r>
    </w:p>
    <w:p>
      <w:pPr>
        <w:pStyle w:val="13"/>
        <w:widowControl/>
        <w:snapToGrid w:val="0"/>
        <w:spacing w:line="360" w:lineRule="auto"/>
        <w:ind w:left="0" w:firstLine="0"/>
        <w:jc w:val="left"/>
        <w:outlineLvl w:val="1"/>
        <w:rPr>
          <w:rFonts w:hint="eastAsia" w:ascii="仿宋_GB2312" w:hAnsi="仿宋_GB2312" w:eastAsia="仿宋_GB2312" w:cs="仿宋_GB2312"/>
          <w:b/>
          <w:bCs/>
          <w:sz w:val="32"/>
          <w:szCs w:val="32"/>
          <w:lang w:val="en-US"/>
        </w:rPr>
      </w:pPr>
    </w:p>
    <w:p>
      <w:pPr>
        <w:keepNext w:val="0"/>
        <w:keepLines w:val="0"/>
        <w:widowControl w:val="0"/>
        <w:suppressLineNumbers w:val="0"/>
        <w:spacing w:before="0" w:beforeAutospacing="0" w:after="0" w:afterAutospacing="0"/>
        <w:ind w:left="0" w:right="0" w:firstLine="480" w:firstLineChars="200"/>
        <w:jc w:val="both"/>
        <w:rPr>
          <w:rFonts w:hint="eastAsia" w:ascii="仿宋_GB2312" w:hAnsi="仿宋_GB2312" w:eastAsia="仿宋_GB2312" w:cs="仿宋_GB2312"/>
          <w:bCs/>
          <w:position w:val="6"/>
          <w:sz w:val="24"/>
          <w:szCs w:val="20"/>
          <w:lang w:val="en-US"/>
        </w:rPr>
      </w:pPr>
    </w:p>
    <w:p/>
    <w:p>
      <w:pPr>
        <w:pStyle w:val="2"/>
        <w:rPr>
          <w:rFonts w:hint="eastAsia"/>
        </w:rPr>
        <w:sectPr>
          <w:pgSz w:w="11906" w:h="16838"/>
          <w:pgMar w:top="1440" w:right="1797" w:bottom="1440" w:left="1797" w:header="851" w:footer="851" w:gutter="0"/>
          <w:cols w:space="720" w:num="1"/>
          <w:docGrid w:linePitch="312" w:charSpace="0"/>
        </w:sectPr>
      </w:pPr>
    </w:p>
    <w:p/>
    <w:p>
      <w:pPr>
        <w:pStyle w:val="2"/>
        <w:ind w:left="0" w:leftChars="0" w:firstLine="0" w:firstLineChars="0"/>
        <w:rPr>
          <w:rFonts w:ascii="宋体" w:hAnsi="宋体" w:cs="宋体"/>
          <w:b/>
          <w:sz w:val="32"/>
          <w:szCs w:val="32"/>
        </w:rPr>
      </w:pPr>
      <w:bookmarkStart w:id="73" w:name="_Toc29654"/>
      <w:bookmarkStart w:id="74" w:name="_Toc20891"/>
      <w:bookmarkStart w:id="75" w:name="_Toc18525"/>
      <w:bookmarkStart w:id="76" w:name="_Toc5097"/>
    </w:p>
    <w:p>
      <w:pPr>
        <w:snapToGrid w:val="0"/>
        <w:spacing w:line="360" w:lineRule="auto"/>
        <w:jc w:val="center"/>
        <w:outlineLvl w:val="0"/>
        <w:rPr>
          <w:rFonts w:ascii="宋体" w:hAnsi="宋体" w:cs="宋体"/>
          <w:bCs/>
          <w:sz w:val="32"/>
          <w:szCs w:val="32"/>
        </w:rPr>
      </w:pPr>
      <w:bookmarkStart w:id="77" w:name="_Toc367274929"/>
      <w:bookmarkEnd w:id="77"/>
      <w:bookmarkStart w:id="78" w:name="_Toc227520433"/>
      <w:bookmarkEnd w:id="78"/>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第六章</w:t>
      </w:r>
      <w:bookmarkStart w:id="79"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3"/>
      <w:bookmarkEnd w:id="74"/>
      <w:bookmarkEnd w:id="75"/>
      <w:bookmarkEnd w:id="76"/>
      <w:bookmarkEnd w:id="79"/>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5"/>
        <w:spacing w:line="360" w:lineRule="auto"/>
        <w:rPr>
          <w:rFonts w:hAnsi="宋体"/>
          <w:b/>
          <w:bCs/>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谈判单位资格条件证明文件</w:t>
      </w:r>
    </w:p>
    <w:p>
      <w:pPr>
        <w:pStyle w:val="2"/>
        <w:spacing w:line="360" w:lineRule="auto"/>
        <w:ind w:left="0" w:leftChars="0"/>
        <w:rPr>
          <w:rFonts w:ascii="宋体" w:hAnsi="宋体"/>
          <w:szCs w:val="21"/>
        </w:rPr>
      </w:pPr>
      <w:r>
        <w:rPr>
          <w:rFonts w:hint="eastAsia"/>
          <w:b/>
          <w:bCs/>
        </w:rPr>
        <w:t>五、</w:t>
      </w:r>
      <w:r>
        <w:rPr>
          <w:rFonts w:hint="eastAsia" w:hAnsi="宋体"/>
          <w:b/>
          <w:bCs/>
          <w:szCs w:val="21"/>
        </w:rPr>
        <w:t>实质性条款（标注“★”符号）响应表</w:t>
      </w:r>
    </w:p>
    <w:p>
      <w:pPr>
        <w:adjustRightInd w:val="0"/>
        <w:snapToGrid w:val="0"/>
        <w:spacing w:line="360" w:lineRule="auto"/>
        <w:rPr>
          <w:rFonts w:ascii="宋体" w:hAnsi="宋体"/>
          <w:szCs w:val="21"/>
        </w:rPr>
      </w:pPr>
      <w:r>
        <w:rPr>
          <w:rFonts w:hint="eastAsia" w:ascii="宋体" w:hAnsi="宋体"/>
          <w:szCs w:val="21"/>
          <w:lang w:val="en-US" w:eastAsia="zh-CN"/>
        </w:rPr>
        <w:t>六</w:t>
      </w:r>
      <w:r>
        <w:rPr>
          <w:rFonts w:hint="eastAsia" w:ascii="宋体" w:hAnsi="宋体"/>
          <w:szCs w:val="21"/>
        </w:rPr>
        <w:t>、报价一览表</w:t>
      </w:r>
    </w:p>
    <w:p>
      <w:pPr>
        <w:adjustRightInd w:val="0"/>
        <w:snapToGrid w:val="0"/>
        <w:spacing w:line="360" w:lineRule="auto"/>
        <w:rPr>
          <w:rFonts w:ascii="宋体" w:hAnsi="宋体"/>
          <w:szCs w:val="21"/>
        </w:rPr>
      </w:pPr>
      <w:r>
        <w:rPr>
          <w:rFonts w:hint="eastAsia" w:ascii="宋体" w:hAnsi="宋体"/>
          <w:szCs w:val="21"/>
          <w:lang w:val="en-US" w:eastAsia="zh-CN"/>
        </w:rPr>
        <w:t>七</w:t>
      </w:r>
      <w:r>
        <w:rPr>
          <w:rFonts w:hint="eastAsia" w:ascii="宋体" w:hAnsi="宋体"/>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80" w:name="_Toc7657"/>
      <w:bookmarkStart w:id="81" w:name="_Toc14530"/>
      <w:bookmarkStart w:id="82" w:name="_Toc32569"/>
      <w:bookmarkStart w:id="83" w:name="_Toc32600"/>
      <w:r>
        <w:rPr>
          <w:rFonts w:hint="eastAsia" w:ascii="宋体" w:hAnsi="宋体" w:cs="宋体"/>
          <w:b/>
          <w:sz w:val="32"/>
          <w:szCs w:val="32"/>
        </w:rPr>
        <w:t>一、谈判承诺书</w:t>
      </w:r>
      <w:bookmarkEnd w:id="80"/>
      <w:bookmarkEnd w:id="81"/>
      <w:bookmarkEnd w:id="82"/>
      <w:bookmarkEnd w:id="83"/>
    </w:p>
    <w:p>
      <w:pPr>
        <w:adjustRightInd w:val="0"/>
        <w:snapToGrid w:val="0"/>
        <w:spacing w:line="360" w:lineRule="auto"/>
        <w:rPr>
          <w:rFonts w:ascii="仿宋_GB2312" w:hAnsi="宋体" w:eastAsia="仿宋_GB2312"/>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5"/>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b/>
          <w:bCs/>
          <w:color w:val="7030A0"/>
        </w:rPr>
        <w:t>，</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九、我方承诺在参与本次竞争性谈判过程中，若出现本文件第一章</w:t>
      </w:r>
      <w:r>
        <w:rPr>
          <w:rFonts w:hint="eastAsia" w:hAnsi="宋体"/>
          <w:b/>
        </w:rPr>
        <w:t>谈判须知正文</w:t>
      </w:r>
      <w:r>
        <w:rPr>
          <w:rFonts w:hint="eastAsia" w:hAnsi="宋体"/>
        </w:rPr>
        <w:t>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ind w:firstLine="420" w:firstLineChars="200"/>
        <w:rPr>
          <w:rFonts w:hAnsi="宋体"/>
          <w:szCs w:val="21"/>
        </w:rPr>
      </w:pPr>
      <w:r>
        <w:rPr>
          <w:rFonts w:hint="eastAsia"/>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5"/>
        <w:adjustRightInd w:val="0"/>
        <w:snapToGrid w:val="0"/>
        <w:spacing w:line="360" w:lineRule="auto"/>
        <w:rPr>
          <w:rFonts w:hAnsi="宋体"/>
        </w:rPr>
      </w:pPr>
    </w:p>
    <w:p>
      <w:pPr>
        <w:pStyle w:val="25"/>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rFonts w:ascii="宋体" w:hAnsi="宋体"/>
          <w:szCs w:val="21"/>
        </w:rPr>
      </w:pPr>
      <w:r>
        <w:rPr>
          <w:rFonts w:hint="eastAsia" w:ascii="宋体" w:hAnsi="宋体"/>
          <w:szCs w:val="21"/>
        </w:rPr>
        <w:t>法定</w:t>
      </w:r>
      <w:r>
        <w:rPr>
          <w:rFonts w:hint="eastAsia"/>
          <w:szCs w:val="21"/>
        </w:rPr>
        <w:t>代表</w:t>
      </w:r>
      <w:r>
        <w:rPr>
          <w:rFonts w:hint="eastAsia" w:ascii="宋体" w:hAnsi="宋体"/>
          <w:szCs w:val="21"/>
        </w:rPr>
        <w:t>人(签字或盖章)：</w:t>
      </w:r>
      <w:r>
        <w:rPr>
          <w:rFonts w:hint="eastAsia" w:ascii="宋体" w:hAnsi="宋体"/>
          <w:szCs w:val="21"/>
          <w:u w:val="single"/>
        </w:rPr>
        <w:t xml:space="preserve">               </w:t>
      </w:r>
    </w:p>
    <w:p>
      <w:pPr>
        <w:spacing w:line="360" w:lineRule="auto"/>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黑体" w:hAnsi="华文中宋" w:eastAsia="黑体"/>
          <w:bCs/>
          <w:szCs w:val="21"/>
        </w:rPr>
      </w:pPr>
    </w:p>
    <w:p>
      <w:pPr>
        <w:adjustRightInd w:val="0"/>
        <w:snapToGrid w:val="0"/>
        <w:spacing w:line="360" w:lineRule="auto"/>
        <w:ind w:right="24"/>
        <w:jc w:val="center"/>
        <w:outlineLvl w:val="1"/>
        <w:rPr>
          <w:rFonts w:ascii="宋体" w:hAnsi="宋体" w:cs="宋体"/>
          <w:b/>
          <w:sz w:val="32"/>
          <w:szCs w:val="32"/>
        </w:rPr>
      </w:pPr>
      <w:bookmarkStart w:id="84" w:name="_Toc1313"/>
      <w:bookmarkStart w:id="85" w:name="_Toc10496"/>
      <w:bookmarkStart w:id="86" w:name="_Toc3026"/>
      <w:bookmarkStart w:id="87" w:name="_Toc31277"/>
      <w:r>
        <w:rPr>
          <w:rFonts w:hint="eastAsia" w:ascii="宋体" w:hAnsi="宋体" w:cs="宋体"/>
          <w:b/>
          <w:sz w:val="32"/>
          <w:szCs w:val="32"/>
        </w:rPr>
        <w:t>二、法定代表人身份证明书</w:t>
      </w:r>
      <w:bookmarkEnd w:id="84"/>
      <w:bookmarkEnd w:id="85"/>
      <w:bookmarkEnd w:id="86"/>
      <w:bookmarkEnd w:id="87"/>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88" w:name="_Toc21066"/>
      <w:bookmarkStart w:id="89" w:name="_Toc761"/>
      <w:bookmarkStart w:id="90" w:name="_Toc14170"/>
      <w:bookmarkStart w:id="91" w:name="_Toc27642"/>
      <w:r>
        <w:rPr>
          <w:rFonts w:hint="eastAsia" w:ascii="宋体" w:hAnsi="宋体" w:cs="宋体"/>
          <w:b/>
          <w:sz w:val="32"/>
          <w:szCs w:val="32"/>
        </w:rPr>
        <w:t>三、授权委托书</w:t>
      </w:r>
      <w:bookmarkEnd w:id="88"/>
      <w:bookmarkEnd w:id="89"/>
      <w:bookmarkEnd w:id="90"/>
      <w:bookmarkEnd w:id="91"/>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pStyle w:val="2"/>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05.75pt;z-index:251662336;mso-width-relative:page;mso-height-relative:page;" fillcolor="#FFFFFF" filled="t" stroked="t" coordsize="21600,21600" o:gfxdata="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ih942AAAAAkBAAAPAAAAAAAAAAEAIAAAACIA&#10;AABkcnMvZG93bnJldi54bWxQSwECFAAUAAAACACHTuJAnKMqzEICAACUBAAADgAAAAAAAAABACAA&#10;AAAn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99.75pt;z-index:-251656192;mso-width-relative:page;mso-height-relative:page;" fillcolor="#FFFFFF" filled="t" stroked="t" coordsize="21600,21600" o:gfxdata="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mfLd9gAAAAJAQAADwAAAAAAAAABACAAAAAi&#10;AAAAZHJzL2Rvd25yZXYueG1sUEsBAhQAFAAAAAgAh07iQI9hRi9DAgAAlAQAAA4AAAAAAAAAAQAg&#10;AAAAJw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92" w:name="_Toc18944"/>
      <w:bookmarkStart w:id="93" w:name="_Toc2295"/>
      <w:bookmarkStart w:id="94" w:name="_Toc11357"/>
      <w:bookmarkStart w:id="95" w:name="_Toc8191"/>
      <w:r>
        <w:rPr>
          <w:rFonts w:hint="eastAsia" w:ascii="宋体" w:hAnsi="宋体" w:cs="宋体"/>
          <w:b/>
          <w:sz w:val="32"/>
          <w:szCs w:val="32"/>
        </w:rPr>
        <w:t>四、谈判单位资格证明文件</w:t>
      </w:r>
      <w:bookmarkEnd w:id="92"/>
      <w:bookmarkEnd w:id="93"/>
      <w:bookmarkEnd w:id="94"/>
      <w:bookmarkEnd w:id="95"/>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spacing w:line="360" w:lineRule="auto"/>
        <w:ind w:firstLine="420" w:firstLineChars="200"/>
        <w:rPr>
          <w:rFonts w:ascii="宋体" w:hAnsi="宋体" w:cs="宋体"/>
          <w:szCs w:val="21"/>
        </w:rPr>
      </w:pPr>
      <w:r>
        <w:rPr>
          <w:rFonts w:hint="eastAsia" w:ascii="宋体" w:hAnsi="宋体" w:cs="宋体"/>
          <w:iCs/>
        </w:rPr>
        <w:t>1.</w:t>
      </w:r>
      <w:r>
        <w:rPr>
          <w:rFonts w:ascii="宋体" w:hAnsi="宋体" w:cs="宋体"/>
          <w:szCs w:val="21"/>
        </w:rPr>
        <w:t xml:space="preserve"> </w:t>
      </w:r>
      <w:r>
        <w:rPr>
          <w:rFonts w:hint="eastAsia" w:ascii="宋体" w:hAnsi="宋体" w:cs="宋体"/>
          <w:szCs w:val="21"/>
        </w:rPr>
        <w:t>谈判单位须入围长沙市2020—2022年长沙市机关事业单位公务车辆定点保险服务单位名单的证明文件。</w:t>
      </w:r>
    </w:p>
    <w:p>
      <w:pPr>
        <w:adjustRightInd w:val="0"/>
        <w:snapToGrid w:val="0"/>
        <w:spacing w:line="360" w:lineRule="auto"/>
        <w:ind w:firstLine="420" w:firstLineChars="200"/>
        <w:rPr>
          <w:rFonts w:ascii="宋体" w:hAnsi="宋体" w:cs="宋体"/>
          <w:kern w:val="0"/>
          <w:szCs w:val="21"/>
        </w:rPr>
      </w:pPr>
      <w:r>
        <w:rPr>
          <w:rFonts w:hint="eastAsia" w:ascii="宋体" w:hAnsi="宋体" w:cs="宋体"/>
          <w:iCs/>
        </w:rPr>
        <w:t>2.</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hint="eastAsia"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2、上述证明文件如须递交原件的，应用文件袋单独包装，在响应文件递交的同时一并提交。</w:t>
      </w:r>
    </w:p>
    <w:p>
      <w:pPr>
        <w:pStyle w:val="2"/>
      </w:pPr>
    </w:p>
    <w:p>
      <w:pPr>
        <w:pStyle w:val="2"/>
        <w:sectPr>
          <w:pgSz w:w="11906" w:h="16838"/>
          <w:pgMar w:top="1440" w:right="1797" w:bottom="1440" w:left="1797" w:header="851" w:footer="851" w:gutter="0"/>
          <w:cols w:space="720" w:num="1"/>
        </w:sectPr>
      </w:pPr>
    </w:p>
    <w:p>
      <w:pPr>
        <w:pStyle w:val="19"/>
        <w:spacing w:before="37"/>
        <w:jc w:val="center"/>
        <w:rPr>
          <w:rFonts w:hint="eastAsia" w:ascii="宋体" w:hAnsi="宋体" w:eastAsia="宋体" w:cs="宋体"/>
          <w:b/>
          <w:kern w:val="2"/>
          <w:sz w:val="32"/>
          <w:szCs w:val="32"/>
          <w:lang w:val="en-US" w:eastAsia="zh-CN" w:bidi="ar-SA"/>
        </w:rPr>
      </w:pPr>
      <w:bookmarkStart w:id="96" w:name="_Toc9230"/>
      <w:bookmarkStart w:id="97" w:name="_Toc30403"/>
      <w:bookmarkStart w:id="98" w:name="_Toc7528"/>
      <w:bookmarkStart w:id="99" w:name="_Toc20484"/>
      <w:r>
        <w:rPr>
          <w:rFonts w:hint="eastAsia" w:ascii="宋体" w:hAnsi="宋体" w:eastAsia="宋体" w:cs="宋体"/>
          <w:b/>
          <w:kern w:val="2"/>
          <w:sz w:val="32"/>
          <w:szCs w:val="32"/>
          <w:lang w:val="en-US" w:eastAsia="zh-CN" w:bidi="ar-SA"/>
        </w:rPr>
        <w:t>五、实质性条款（标注“★”符号）响应表</w:t>
      </w:r>
    </w:p>
    <w:tbl>
      <w:tblPr>
        <w:tblStyle w:val="46"/>
        <w:tblW w:w="975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402"/>
        <w:gridCol w:w="1537"/>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0" w:type="dxa"/>
            <w:vAlign w:val="center"/>
          </w:tcPr>
          <w:p>
            <w:pPr>
              <w:jc w:val="center"/>
              <w:rPr>
                <w:rFonts w:ascii="宋体" w:hAnsi="宋体" w:cs="宋体"/>
                <w:b/>
                <w:szCs w:val="21"/>
              </w:rPr>
            </w:pPr>
            <w:r>
              <w:rPr>
                <w:rFonts w:hint="eastAsia" w:ascii="宋体" w:hAnsi="宋体" w:cs="宋体"/>
                <w:b/>
                <w:szCs w:val="21"/>
              </w:rPr>
              <w:t>序号</w:t>
            </w:r>
          </w:p>
        </w:tc>
        <w:tc>
          <w:tcPr>
            <w:tcW w:w="6402" w:type="dxa"/>
            <w:vAlign w:val="center"/>
          </w:tcPr>
          <w:p>
            <w:pPr>
              <w:jc w:val="center"/>
              <w:rPr>
                <w:rFonts w:ascii="宋体" w:hAnsi="宋体" w:cs="宋体"/>
                <w:b/>
                <w:szCs w:val="21"/>
              </w:rPr>
            </w:pPr>
            <w:r>
              <w:rPr>
                <w:rFonts w:hint="eastAsia" w:ascii="宋体" w:hAnsi="宋体" w:cs="宋体"/>
                <w:b/>
                <w:szCs w:val="21"/>
              </w:rPr>
              <w:t>谈判文件实质性</w:t>
            </w:r>
          </w:p>
          <w:p>
            <w:pPr>
              <w:jc w:val="center"/>
              <w:rPr>
                <w:rFonts w:ascii="宋体" w:hAnsi="宋体" w:cs="宋体"/>
                <w:b/>
                <w:szCs w:val="21"/>
              </w:rPr>
            </w:pPr>
            <w:r>
              <w:rPr>
                <w:rFonts w:hint="eastAsia" w:ascii="宋体" w:hAnsi="宋体" w:cs="宋体"/>
                <w:b/>
                <w:szCs w:val="21"/>
              </w:rPr>
              <w:t>条款号及内容</w:t>
            </w:r>
          </w:p>
        </w:tc>
        <w:tc>
          <w:tcPr>
            <w:tcW w:w="1537" w:type="dxa"/>
            <w:vAlign w:val="center"/>
          </w:tcPr>
          <w:p>
            <w:pPr>
              <w:jc w:val="center"/>
              <w:rPr>
                <w:rFonts w:ascii="宋体" w:hAnsi="宋体" w:cs="宋体"/>
                <w:b/>
                <w:szCs w:val="21"/>
              </w:rPr>
            </w:pPr>
            <w:r>
              <w:rPr>
                <w:rFonts w:hint="eastAsia" w:ascii="宋体" w:hAnsi="宋体" w:cs="宋体"/>
                <w:b/>
                <w:szCs w:val="21"/>
              </w:rPr>
              <w:t>响应文件响应</w:t>
            </w:r>
          </w:p>
          <w:p>
            <w:pPr>
              <w:jc w:val="center"/>
              <w:rPr>
                <w:rFonts w:ascii="宋体" w:hAnsi="宋体" w:cs="宋体"/>
                <w:b/>
                <w:szCs w:val="21"/>
              </w:rPr>
            </w:pPr>
            <w:r>
              <w:rPr>
                <w:rFonts w:hint="eastAsia" w:ascii="宋体" w:hAnsi="宋体" w:cs="宋体"/>
                <w:b/>
                <w:szCs w:val="21"/>
              </w:rPr>
              <w:t>条款号及内容</w:t>
            </w:r>
          </w:p>
        </w:tc>
        <w:tc>
          <w:tcPr>
            <w:tcW w:w="1119" w:type="dxa"/>
            <w:vAlign w:val="center"/>
          </w:tcPr>
          <w:p>
            <w:pPr>
              <w:jc w:val="center"/>
              <w:rPr>
                <w:rFonts w:ascii="宋体" w:hAnsi="宋体" w:cs="宋体"/>
                <w:b/>
                <w:szCs w:val="21"/>
              </w:rPr>
            </w:pPr>
            <w:r>
              <w:rPr>
                <w:rFonts w:hint="eastAsia" w:ascii="宋体" w:hAnsi="宋体" w:cs="宋体"/>
                <w:b/>
                <w:szCs w:val="21"/>
              </w:rPr>
              <w:t>响应情况（响应/不响应）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700" w:type="dxa"/>
            <w:vAlign w:val="center"/>
          </w:tcPr>
          <w:p>
            <w:pPr>
              <w:jc w:val="center"/>
              <w:rPr>
                <w:rFonts w:ascii="宋体" w:hAnsi="宋体" w:cs="宋体"/>
                <w:b/>
                <w:szCs w:val="21"/>
              </w:rPr>
            </w:pPr>
            <w:r>
              <w:rPr>
                <w:rFonts w:hint="eastAsia" w:ascii="宋体" w:hAnsi="宋体" w:cs="宋体"/>
                <w:b/>
                <w:szCs w:val="21"/>
              </w:rPr>
              <w:t>1</w:t>
            </w:r>
          </w:p>
        </w:tc>
        <w:tc>
          <w:tcPr>
            <w:tcW w:w="6402" w:type="dxa"/>
            <w:vAlign w:val="center"/>
          </w:tcPr>
          <w:p>
            <w:pPr>
              <w:jc w:val="both"/>
              <w:rPr>
                <w:rFonts w:ascii="宋体" w:hAnsi="宋体" w:cs="宋体"/>
                <w:b/>
                <w:szCs w:val="21"/>
              </w:rPr>
            </w:pPr>
            <w:r>
              <w:rPr>
                <w:rFonts w:ascii="宋体" w:hAnsi="宋体" w:cs="宋体"/>
                <w:b/>
                <w:szCs w:val="21"/>
              </w:rPr>
              <w:t>★</w:t>
            </w:r>
            <w:r>
              <w:rPr>
                <w:rFonts w:hint="eastAsia" w:ascii="宋体" w:hAnsi="宋体" w:cs="宋体"/>
                <w:b/>
                <w:szCs w:val="21"/>
              </w:rPr>
              <w:t>谈判单位为本项目设立专项服务小组，服务小组人数不少于3人。</w:t>
            </w:r>
          </w:p>
        </w:tc>
        <w:tc>
          <w:tcPr>
            <w:tcW w:w="1537" w:type="dxa"/>
            <w:vAlign w:val="center"/>
          </w:tcPr>
          <w:p>
            <w:pPr>
              <w:jc w:val="both"/>
              <w:rPr>
                <w:rFonts w:ascii="宋体" w:hAnsi="宋体" w:cs="宋体"/>
                <w:b/>
                <w:szCs w:val="21"/>
              </w:rPr>
            </w:pPr>
          </w:p>
        </w:tc>
        <w:tc>
          <w:tcPr>
            <w:tcW w:w="1119" w:type="dxa"/>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700" w:type="dxa"/>
            <w:vAlign w:val="center"/>
          </w:tcPr>
          <w:p>
            <w:pPr>
              <w:jc w:val="center"/>
              <w:rPr>
                <w:rFonts w:ascii="宋体" w:hAnsi="宋体" w:cs="宋体"/>
                <w:b/>
                <w:szCs w:val="21"/>
              </w:rPr>
            </w:pPr>
            <w:r>
              <w:rPr>
                <w:rFonts w:hint="eastAsia" w:ascii="宋体" w:hAnsi="宋体" w:cs="宋体"/>
                <w:b/>
                <w:szCs w:val="21"/>
              </w:rPr>
              <w:t>2</w:t>
            </w:r>
          </w:p>
        </w:tc>
        <w:tc>
          <w:tcPr>
            <w:tcW w:w="6402" w:type="dxa"/>
            <w:vAlign w:val="center"/>
          </w:tcPr>
          <w:p>
            <w:pPr>
              <w:jc w:val="both"/>
              <w:rPr>
                <w:rFonts w:ascii="宋体" w:hAnsi="宋体" w:cs="宋体"/>
                <w:b/>
                <w:szCs w:val="21"/>
              </w:rPr>
            </w:pPr>
            <w:r>
              <w:rPr>
                <w:rFonts w:ascii="宋体" w:hAnsi="宋体" w:cs="宋体"/>
                <w:b/>
                <w:szCs w:val="21"/>
              </w:rPr>
              <w:t>★</w:t>
            </w:r>
            <w:r>
              <w:rPr>
                <w:rFonts w:hint="eastAsia" w:ascii="宋体" w:hAnsi="宋体" w:cs="宋体"/>
                <w:b/>
                <w:szCs w:val="21"/>
              </w:rPr>
              <w:t>新增车辆按照</w:t>
            </w:r>
            <w:r>
              <w:rPr>
                <w:rFonts w:hint="eastAsia" w:ascii="宋体" w:hAnsi="宋体" w:cs="宋体"/>
                <w:b/>
                <w:szCs w:val="21"/>
                <w:lang w:val="en-US" w:eastAsia="zh-CN"/>
              </w:rPr>
              <w:t>中标的自主定价系数</w:t>
            </w:r>
            <w:r>
              <w:rPr>
                <w:rFonts w:hint="eastAsia" w:ascii="宋体" w:hAnsi="宋体" w:cs="宋体"/>
                <w:b/>
                <w:szCs w:val="21"/>
              </w:rPr>
              <w:t>执行。</w:t>
            </w:r>
          </w:p>
        </w:tc>
        <w:tc>
          <w:tcPr>
            <w:tcW w:w="1537" w:type="dxa"/>
            <w:vAlign w:val="center"/>
          </w:tcPr>
          <w:p>
            <w:pPr>
              <w:jc w:val="both"/>
              <w:rPr>
                <w:rFonts w:ascii="宋体" w:hAnsi="宋体" w:cs="宋体"/>
                <w:b/>
                <w:szCs w:val="21"/>
              </w:rPr>
            </w:pPr>
          </w:p>
        </w:tc>
        <w:tc>
          <w:tcPr>
            <w:tcW w:w="1119" w:type="dxa"/>
            <w:vAlign w:val="center"/>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700" w:type="dxa"/>
            <w:vAlign w:val="center"/>
          </w:tcPr>
          <w:p>
            <w:pPr>
              <w:jc w:val="center"/>
              <w:rPr>
                <w:rFonts w:hint="eastAsia" w:ascii="宋体" w:hAnsi="宋体" w:cs="宋体"/>
                <w:b/>
                <w:szCs w:val="21"/>
              </w:rPr>
            </w:pPr>
            <w:r>
              <w:rPr>
                <w:rFonts w:hint="eastAsia" w:ascii="宋体" w:hAnsi="宋体" w:cs="宋体"/>
                <w:b/>
                <w:szCs w:val="21"/>
              </w:rPr>
              <w:t>3</w:t>
            </w:r>
          </w:p>
        </w:tc>
        <w:tc>
          <w:tcPr>
            <w:tcW w:w="6402" w:type="dxa"/>
            <w:vAlign w:val="center"/>
          </w:tcPr>
          <w:p>
            <w:pPr>
              <w:jc w:val="both"/>
              <w:rPr>
                <w:rFonts w:ascii="宋体" w:hAnsi="宋体" w:cs="宋体"/>
                <w:b/>
                <w:szCs w:val="21"/>
              </w:rPr>
            </w:pPr>
            <w:r>
              <w:rPr>
                <w:rFonts w:ascii="宋体" w:hAnsi="宋体" w:cs="宋体"/>
                <w:b/>
                <w:szCs w:val="21"/>
              </w:rPr>
              <w:t>★</w:t>
            </w:r>
            <w:r>
              <w:rPr>
                <w:rFonts w:hint="eastAsia" w:ascii="宋体" w:hAnsi="宋体" w:cs="宋体"/>
                <w:b/>
                <w:szCs w:val="21"/>
              </w:rPr>
              <w:t>每年需对采购单位无偿提供两次车险知识培训。</w:t>
            </w:r>
          </w:p>
        </w:tc>
        <w:tc>
          <w:tcPr>
            <w:tcW w:w="1537" w:type="dxa"/>
            <w:vAlign w:val="center"/>
          </w:tcPr>
          <w:p>
            <w:pPr>
              <w:jc w:val="both"/>
              <w:rPr>
                <w:rFonts w:ascii="宋体" w:hAnsi="宋体" w:cs="宋体"/>
                <w:b/>
                <w:szCs w:val="21"/>
              </w:rPr>
            </w:pPr>
          </w:p>
        </w:tc>
        <w:tc>
          <w:tcPr>
            <w:tcW w:w="1119" w:type="dxa"/>
            <w:vAlign w:val="center"/>
          </w:tcPr>
          <w:p>
            <w:pPr>
              <w:jc w:val="center"/>
              <w:rPr>
                <w:rFonts w:ascii="宋体" w:hAnsi="宋体" w:cs="宋体"/>
                <w:b/>
                <w:szCs w:val="21"/>
              </w:rPr>
            </w:pPr>
          </w:p>
        </w:tc>
      </w:tr>
    </w:tbl>
    <w:p>
      <w:pPr>
        <w:spacing w:line="360" w:lineRule="auto"/>
        <w:rPr>
          <w:rFonts w:hAnsi="宋体" w:cs="宋体"/>
          <w:b/>
          <w:szCs w:val="21"/>
        </w:rPr>
      </w:pPr>
      <w:r>
        <w:rPr>
          <w:rFonts w:hint="eastAsia" w:hAnsi="宋体" w:cs="宋体"/>
          <w:b/>
          <w:szCs w:val="21"/>
        </w:rPr>
        <w:t>备注：</w:t>
      </w:r>
    </w:p>
    <w:p>
      <w:pPr>
        <w:spacing w:line="320" w:lineRule="exact"/>
        <w:jc w:val="left"/>
        <w:rPr>
          <w:rFonts w:ascii="宋体" w:hAnsi="宋体" w:cs="宋体"/>
          <w:b/>
          <w:szCs w:val="21"/>
        </w:rPr>
      </w:pPr>
      <w:r>
        <w:rPr>
          <w:rFonts w:hint="eastAsia" w:ascii="宋体" w:hAnsi="宋体" w:cs="宋体"/>
          <w:b/>
          <w:szCs w:val="21"/>
        </w:rPr>
        <w:t>1、“谈判文件实质性条款号及内容”栏中所列内容均为实质性条款，响应文件对实质性条款的响应存在缺项、漏项或者任意一项不响应谈判文件的，投标将被否决。</w:t>
      </w:r>
      <w:r>
        <w:rPr>
          <w:rFonts w:hint="eastAsia" w:ascii="宋体" w:hAnsi="宋体" w:cs="宋体"/>
          <w:b/>
          <w:szCs w:val="21"/>
        </w:rPr>
        <w:br w:type="textWrapping"/>
      </w:r>
      <w:r>
        <w:rPr>
          <w:rFonts w:hint="eastAsia" w:ascii="宋体" w:hAnsi="宋体" w:cs="宋体"/>
          <w:b/>
          <w:szCs w:val="21"/>
        </w:rPr>
        <w:t xml:space="preserve">2、“响应文件响应条款号及内容”格式可以自行扩展，如需附页，附页内容须加盖谈判单位公章。 </w:t>
      </w:r>
    </w:p>
    <w:p>
      <w:pPr>
        <w:spacing w:line="360" w:lineRule="auto"/>
        <w:rPr>
          <w:rFonts w:hAnsi="宋体" w:cs="宋体"/>
          <w:b/>
          <w:szCs w:val="21"/>
        </w:rPr>
      </w:pPr>
    </w:p>
    <w:p>
      <w:pPr>
        <w:spacing w:line="360" w:lineRule="auto"/>
        <w:rPr>
          <w:rFonts w:hAnsi="宋体" w:cs="宋体"/>
          <w:b/>
          <w:szCs w:val="21"/>
        </w:rPr>
      </w:pPr>
    </w:p>
    <w:p>
      <w:pPr>
        <w:spacing w:line="360" w:lineRule="auto"/>
        <w:rPr>
          <w:rFonts w:hAnsi="宋体" w:cs="宋体"/>
          <w:b/>
          <w:szCs w:val="21"/>
        </w:rPr>
      </w:pPr>
    </w:p>
    <w:p>
      <w:pPr>
        <w:spacing w:line="360" w:lineRule="auto"/>
        <w:rPr>
          <w:rFonts w:hAnsi="宋体" w:cs="宋体"/>
          <w:b w:val="0"/>
          <w:bCs/>
          <w:szCs w:val="21"/>
        </w:rPr>
      </w:pPr>
    </w:p>
    <w:p>
      <w:pPr>
        <w:spacing w:line="360" w:lineRule="auto"/>
        <w:rPr>
          <w:rFonts w:hAnsi="宋体" w:cs="宋体"/>
          <w:b w:val="0"/>
          <w:bCs/>
          <w:szCs w:val="21"/>
          <w:u w:val="single"/>
        </w:rPr>
      </w:pPr>
      <w:r>
        <w:rPr>
          <w:rFonts w:hint="eastAsia" w:hAnsi="宋体" w:cs="宋体"/>
          <w:b w:val="0"/>
          <w:bCs/>
          <w:szCs w:val="21"/>
        </w:rPr>
        <w:t>谈判单位：</w:t>
      </w:r>
      <w:r>
        <w:rPr>
          <w:rFonts w:hint="eastAsia" w:hAnsi="宋体" w:cs="宋体"/>
          <w:b w:val="0"/>
          <w:bCs/>
          <w:szCs w:val="21"/>
          <w:u w:val="single"/>
        </w:rPr>
        <w:t xml:space="preserve">                  </w:t>
      </w:r>
      <w:r>
        <w:rPr>
          <w:rFonts w:hint="eastAsia" w:hAnsi="宋体" w:cs="宋体"/>
          <w:b w:val="0"/>
          <w:bCs/>
          <w:szCs w:val="21"/>
        </w:rPr>
        <w:t>（盖单位公章）</w:t>
      </w:r>
    </w:p>
    <w:p>
      <w:pPr>
        <w:spacing w:line="360" w:lineRule="auto"/>
        <w:rPr>
          <w:rFonts w:hAnsi="宋体" w:cs="宋体"/>
          <w:b w:val="0"/>
          <w:bCs/>
          <w:szCs w:val="21"/>
        </w:rPr>
      </w:pPr>
      <w:r>
        <w:rPr>
          <w:rFonts w:hint="eastAsia" w:hAnsi="宋体" w:cs="宋体"/>
          <w:b w:val="0"/>
          <w:bCs/>
          <w:szCs w:val="21"/>
        </w:rPr>
        <w:t>法定代表人或其委托代理人：</w:t>
      </w:r>
      <w:r>
        <w:rPr>
          <w:rFonts w:hint="eastAsia" w:hAnsi="宋体" w:cs="宋体"/>
          <w:b w:val="0"/>
          <w:bCs/>
          <w:szCs w:val="21"/>
          <w:u w:val="single"/>
        </w:rPr>
        <w:t xml:space="preserve">                   </w:t>
      </w:r>
      <w:r>
        <w:rPr>
          <w:rFonts w:hint="eastAsia" w:hAnsi="宋体" w:cs="宋体"/>
          <w:b w:val="0"/>
          <w:bCs/>
          <w:szCs w:val="21"/>
        </w:rPr>
        <w:t>（签字或盖章）</w:t>
      </w:r>
    </w:p>
    <w:p>
      <w:pPr>
        <w:tabs>
          <w:tab w:val="center" w:pos="4365"/>
        </w:tabs>
        <w:spacing w:line="360" w:lineRule="auto"/>
        <w:rPr>
          <w:rFonts w:hAnsi="宋体" w:cs="宋体"/>
          <w:b w:val="0"/>
          <w:bCs/>
          <w:szCs w:val="21"/>
        </w:rPr>
      </w:pPr>
      <w:r>
        <w:rPr>
          <w:rFonts w:hint="eastAsia" w:hAnsi="宋体" w:cs="宋体"/>
          <w:b w:val="0"/>
          <w:bCs/>
          <w:szCs w:val="21"/>
          <w:u w:val="single"/>
        </w:rPr>
        <w:t xml:space="preserve">     </w:t>
      </w:r>
      <w:r>
        <w:rPr>
          <w:rFonts w:hint="eastAsia" w:hAnsi="宋体" w:cs="宋体"/>
          <w:b w:val="0"/>
          <w:bCs/>
          <w:szCs w:val="21"/>
        </w:rPr>
        <w:t>年</w:t>
      </w:r>
      <w:r>
        <w:rPr>
          <w:rFonts w:hint="eastAsia" w:hAnsi="宋体" w:cs="宋体"/>
          <w:b w:val="0"/>
          <w:bCs/>
          <w:szCs w:val="21"/>
          <w:u w:val="single"/>
        </w:rPr>
        <w:t xml:space="preserve">    </w:t>
      </w:r>
      <w:r>
        <w:rPr>
          <w:rFonts w:hint="eastAsia" w:hAnsi="宋体" w:cs="宋体"/>
          <w:b w:val="0"/>
          <w:bCs/>
          <w:szCs w:val="21"/>
        </w:rPr>
        <w:t>月</w:t>
      </w:r>
      <w:r>
        <w:rPr>
          <w:rFonts w:hint="eastAsia" w:hAnsi="宋体" w:cs="宋体"/>
          <w:b w:val="0"/>
          <w:bCs/>
          <w:szCs w:val="21"/>
          <w:u w:val="single"/>
        </w:rPr>
        <w:t xml:space="preserve">     </w:t>
      </w:r>
      <w:r>
        <w:rPr>
          <w:rFonts w:hint="eastAsia" w:hAnsi="宋体" w:cs="宋体"/>
          <w:b w:val="0"/>
          <w:bCs/>
          <w:szCs w:val="21"/>
        </w:rPr>
        <w:t>日</w:t>
      </w:r>
    </w:p>
    <w:p>
      <w:pPr>
        <w:adjustRightInd w:val="0"/>
        <w:snapToGrid w:val="0"/>
        <w:spacing w:line="360" w:lineRule="auto"/>
        <w:ind w:right="24"/>
        <w:outlineLvl w:val="1"/>
        <w:rPr>
          <w:rFonts w:ascii="宋体" w:hAnsi="宋体" w:cs="宋体"/>
          <w:b/>
          <w:sz w:val="32"/>
          <w:szCs w:val="32"/>
        </w:rPr>
        <w:sectPr>
          <w:pgSz w:w="11906" w:h="16838"/>
          <w:pgMar w:top="1440" w:right="1800" w:bottom="1440" w:left="1800" w:header="851" w:footer="992" w:gutter="0"/>
          <w:cols w:space="720" w:num="1"/>
          <w:docGrid w:type="lines" w:linePitch="312" w:charSpace="0"/>
        </w:sectPr>
      </w:pPr>
    </w:p>
    <w:bookmarkEnd w:id="96"/>
    <w:bookmarkEnd w:id="97"/>
    <w:bookmarkEnd w:id="98"/>
    <w:bookmarkEnd w:id="99"/>
    <w:p>
      <w:pPr>
        <w:adjustRightInd w:val="0"/>
        <w:snapToGrid w:val="0"/>
        <w:spacing w:line="360" w:lineRule="auto"/>
        <w:ind w:right="24"/>
        <w:jc w:val="center"/>
        <w:outlineLvl w:val="1"/>
        <w:rPr>
          <w:rFonts w:ascii="黑体" w:hAnsi="宋体" w:eastAsia="黑体"/>
          <w:b/>
          <w:sz w:val="28"/>
          <w:szCs w:val="28"/>
        </w:rPr>
      </w:pPr>
      <w:bookmarkStart w:id="100" w:name="_Toc21225"/>
      <w:bookmarkStart w:id="101" w:name="_Toc15835"/>
      <w:bookmarkStart w:id="102" w:name="_Toc5387"/>
      <w:bookmarkStart w:id="103" w:name="_Toc25553"/>
      <w:r>
        <w:rPr>
          <w:rFonts w:hint="eastAsia" w:ascii="宋体" w:hAnsi="宋体" w:cs="宋体"/>
          <w:b/>
          <w:sz w:val="32"/>
          <w:szCs w:val="32"/>
          <w:lang w:val="en-US" w:eastAsia="zh-CN"/>
        </w:rPr>
        <w:t>六</w:t>
      </w:r>
      <w:r>
        <w:rPr>
          <w:rFonts w:hint="eastAsia" w:ascii="宋体" w:hAnsi="宋体" w:cs="宋体"/>
          <w:b/>
          <w:sz w:val="32"/>
          <w:szCs w:val="32"/>
        </w:rPr>
        <w:t>、报价一览表</w:t>
      </w:r>
      <w:bookmarkEnd w:id="100"/>
      <w:bookmarkEnd w:id="101"/>
      <w:bookmarkEnd w:id="102"/>
      <w:bookmarkEnd w:id="103"/>
    </w:p>
    <w:p>
      <w:pPr>
        <w:adjustRightInd w:val="0"/>
        <w:snapToGrid w:val="0"/>
        <w:jc w:val="right"/>
        <w:rPr>
          <w:rFonts w:ascii="黑体" w:hAnsi="宋体" w:eastAsia="黑体"/>
          <w:sz w:val="24"/>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66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132" w:type="dxa"/>
            <w:tcBorders>
              <w:right w:val="single" w:color="auto" w:sz="4" w:space="0"/>
            </w:tcBorders>
            <w:vAlign w:val="center"/>
          </w:tcPr>
          <w:p>
            <w:pPr>
              <w:spacing w:line="420" w:lineRule="exact"/>
              <w:jc w:val="center"/>
              <w:rPr>
                <w:rFonts w:ascii="宋体" w:hAnsi="宋体"/>
                <w:szCs w:val="21"/>
              </w:rPr>
            </w:pPr>
            <w:r>
              <w:rPr>
                <w:rFonts w:ascii="宋体" w:hAnsi="宋体"/>
                <w:szCs w:val="21"/>
              </w:rPr>
              <w:t>项目名称</w:t>
            </w:r>
          </w:p>
        </w:tc>
        <w:tc>
          <w:tcPr>
            <w:tcW w:w="6688" w:type="dxa"/>
            <w:tcBorders>
              <w:left w:val="single" w:color="auto" w:sz="4" w:space="0"/>
            </w:tcBorders>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2132" w:type="dxa"/>
            <w:tcBorders>
              <w:right w:val="single" w:color="auto" w:sz="4" w:space="0"/>
            </w:tcBorders>
            <w:vAlign w:val="center"/>
          </w:tcPr>
          <w:p>
            <w:pPr>
              <w:spacing w:line="420" w:lineRule="exact"/>
              <w:jc w:val="center"/>
              <w:rPr>
                <w:rFonts w:ascii="宋体" w:hAnsi="宋体"/>
                <w:szCs w:val="21"/>
              </w:rPr>
            </w:pPr>
            <w:r>
              <w:rPr>
                <w:rFonts w:hint="eastAsia" w:ascii="宋体" w:hAnsi="宋体"/>
                <w:szCs w:val="21"/>
              </w:rPr>
              <w:t>项目</w:t>
            </w:r>
            <w:r>
              <w:rPr>
                <w:rFonts w:ascii="宋体" w:hAnsi="宋体"/>
                <w:szCs w:val="21"/>
              </w:rPr>
              <w:t>编号</w:t>
            </w:r>
          </w:p>
        </w:tc>
        <w:tc>
          <w:tcPr>
            <w:tcW w:w="6688" w:type="dxa"/>
            <w:tcBorders>
              <w:left w:val="single" w:color="auto" w:sz="4" w:space="0"/>
            </w:tcBorders>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2132" w:type="dxa"/>
            <w:tcBorders>
              <w:right w:val="single" w:color="auto" w:sz="4" w:space="0"/>
            </w:tcBorders>
            <w:vAlign w:val="center"/>
          </w:tcPr>
          <w:p>
            <w:pPr>
              <w:jc w:val="center"/>
              <w:rPr>
                <w:rFonts w:ascii="宋体" w:hAnsi="宋体"/>
                <w:szCs w:val="21"/>
              </w:rPr>
            </w:pPr>
            <w:r>
              <w:rPr>
                <w:rFonts w:hint="eastAsia" w:ascii="宋体" w:hAnsi="宋体"/>
                <w:szCs w:val="21"/>
              </w:rPr>
              <w:t>服务期限</w:t>
            </w:r>
          </w:p>
        </w:tc>
        <w:tc>
          <w:tcPr>
            <w:tcW w:w="6688" w:type="dxa"/>
            <w:tcBorders>
              <w:left w:val="single" w:color="auto" w:sz="4" w:space="0"/>
            </w:tcBorders>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0" w:hRule="atLeast"/>
        </w:trPr>
        <w:tc>
          <w:tcPr>
            <w:tcW w:w="2132" w:type="dxa"/>
            <w:tcBorders>
              <w:right w:val="single" w:color="auto" w:sz="4" w:space="0"/>
            </w:tcBorders>
            <w:vAlign w:val="center"/>
          </w:tcPr>
          <w:p>
            <w:pPr>
              <w:spacing w:line="420" w:lineRule="exact"/>
              <w:jc w:val="center"/>
              <w:rPr>
                <w:rFonts w:hint="eastAsia" w:ascii="宋体" w:hAnsi="宋体" w:eastAsia="宋体"/>
                <w:b/>
                <w:color w:val="auto"/>
                <w:szCs w:val="21"/>
                <w:lang w:val="en-US" w:eastAsia="zh-CN"/>
              </w:rPr>
            </w:pPr>
            <w:r>
              <w:rPr>
                <w:rFonts w:hint="eastAsia" w:ascii="宋体" w:hAnsi="宋体"/>
                <w:b/>
                <w:color w:val="auto"/>
                <w:szCs w:val="21"/>
              </w:rPr>
              <w:t>自主</w:t>
            </w:r>
            <w:r>
              <w:rPr>
                <w:rFonts w:hint="eastAsia" w:ascii="宋体" w:hAnsi="宋体"/>
                <w:b/>
                <w:color w:val="auto"/>
                <w:szCs w:val="21"/>
                <w:lang w:val="en-US" w:eastAsia="zh-CN"/>
              </w:rPr>
              <w:t>定价</w:t>
            </w:r>
            <w:r>
              <w:rPr>
                <w:rFonts w:hint="eastAsia" w:ascii="宋体" w:hAnsi="宋体"/>
                <w:b/>
                <w:color w:val="auto"/>
                <w:szCs w:val="21"/>
              </w:rPr>
              <w:t>系数</w:t>
            </w:r>
          </w:p>
        </w:tc>
        <w:tc>
          <w:tcPr>
            <w:tcW w:w="6688" w:type="dxa"/>
            <w:tcBorders>
              <w:left w:val="single" w:color="auto" w:sz="4" w:space="0"/>
            </w:tcBorders>
            <w:vAlign w:val="center"/>
          </w:tcPr>
          <w:p>
            <w:pPr>
              <w:spacing w:line="420" w:lineRule="exact"/>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2132" w:type="dxa"/>
            <w:vAlign w:val="center"/>
          </w:tcPr>
          <w:p>
            <w:pPr>
              <w:spacing w:line="420" w:lineRule="exact"/>
              <w:jc w:val="center"/>
              <w:rPr>
                <w:rFonts w:ascii="宋体" w:hAnsi="宋体"/>
                <w:color w:val="auto"/>
                <w:szCs w:val="21"/>
              </w:rPr>
            </w:pPr>
            <w:r>
              <w:rPr>
                <w:rFonts w:ascii="宋体" w:hAnsi="宋体"/>
                <w:color w:val="auto"/>
                <w:szCs w:val="21"/>
              </w:rPr>
              <w:t>备  注</w:t>
            </w:r>
          </w:p>
        </w:tc>
        <w:tc>
          <w:tcPr>
            <w:tcW w:w="6688" w:type="dxa"/>
            <w:vAlign w:val="center"/>
          </w:tcPr>
          <w:p>
            <w:pPr>
              <w:spacing w:line="420" w:lineRule="exact"/>
              <w:rPr>
                <w:rFonts w:ascii="宋体" w:hAnsi="宋体"/>
                <w:color w:val="auto"/>
                <w:szCs w:val="21"/>
              </w:rPr>
            </w:pPr>
          </w:p>
        </w:tc>
      </w:tr>
    </w:tbl>
    <w:p>
      <w:pPr>
        <w:adjustRightInd w:val="0"/>
        <w:snapToGrid w:val="0"/>
        <w:spacing w:line="360" w:lineRule="auto"/>
        <w:ind w:firstLine="420" w:firstLineChars="200"/>
        <w:jc w:val="left"/>
        <w:rPr>
          <w:rFonts w:hint="eastAsia" w:ascii="宋体" w:hAnsi="宋体" w:cs="宋体"/>
          <w:color w:val="auto"/>
          <w:szCs w:val="21"/>
        </w:rPr>
      </w:pPr>
    </w:p>
    <w:p>
      <w:pPr>
        <w:pStyle w:val="2"/>
        <w:spacing w:line="360" w:lineRule="auto"/>
        <w:ind w:left="0" w:leftChars="0"/>
        <w:rPr>
          <w:rFonts w:ascii="宋体" w:hAnsi="宋体"/>
          <w:color w:val="auto"/>
          <w:szCs w:val="21"/>
        </w:rPr>
      </w:pPr>
      <w:r>
        <w:rPr>
          <w:rFonts w:hint="eastAsia" w:ascii="宋体" w:hAnsi="宋体"/>
          <w:color w:val="auto"/>
          <w:szCs w:val="21"/>
        </w:rPr>
        <w:t>备注：</w:t>
      </w:r>
    </w:p>
    <w:p>
      <w:pPr>
        <w:pStyle w:val="2"/>
        <w:rPr>
          <w:rFonts w:hint="eastAsia"/>
          <w:color w:val="auto"/>
        </w:rPr>
      </w:pPr>
    </w:p>
    <w:p>
      <w:pPr>
        <w:adjustRightInd w:val="0"/>
        <w:snapToGrid w:val="0"/>
        <w:spacing w:line="360" w:lineRule="auto"/>
        <w:ind w:firstLine="420" w:firstLineChars="200"/>
        <w:jc w:val="left"/>
        <w:rPr>
          <w:rFonts w:hint="eastAsia" w:ascii="宋体" w:hAnsi="宋体" w:eastAsia="宋体"/>
          <w:bCs/>
          <w:color w:val="auto"/>
          <w:szCs w:val="21"/>
          <w:lang w:eastAsia="zh-CN"/>
        </w:rPr>
      </w:pPr>
      <w:r>
        <w:rPr>
          <w:rFonts w:hint="eastAsia" w:ascii="宋体" w:hAnsi="宋体" w:cs="宋体"/>
          <w:color w:val="auto"/>
          <w:szCs w:val="21"/>
        </w:rPr>
        <w:t>1、</w:t>
      </w:r>
      <w:r>
        <w:rPr>
          <w:rFonts w:hint="eastAsia"/>
          <w:color w:val="auto"/>
        </w:rPr>
        <w:t>车船使用税、机动车交通事故责任强制保险、车辆损失险、第三者责任险（100万元）、车上人员责任险（10万元/座）</w:t>
      </w:r>
      <w:r>
        <w:rPr>
          <w:rFonts w:hint="eastAsia"/>
          <w:color w:val="auto"/>
          <w:lang w:eastAsia="zh-CN"/>
        </w:rPr>
        <w:t>。</w:t>
      </w:r>
    </w:p>
    <w:p>
      <w:pPr>
        <w:pStyle w:val="2"/>
        <w:spacing w:line="360" w:lineRule="auto"/>
        <w:ind w:left="0" w:leftChars="0" w:firstLine="420" w:firstLineChars="200"/>
        <w:rPr>
          <w:color w:val="auto"/>
        </w:rPr>
      </w:pPr>
      <w:r>
        <w:rPr>
          <w:rFonts w:hint="eastAsia"/>
          <w:color w:val="auto"/>
          <w:lang w:val="en-US" w:eastAsia="zh-CN"/>
        </w:rPr>
        <w:t>2</w:t>
      </w:r>
      <w:r>
        <w:rPr>
          <w:rFonts w:hint="eastAsia"/>
          <w:color w:val="auto"/>
        </w:rPr>
        <w:t>、是否承诺事故车辆在长沙市轨道交通集团有限公司定点维修厂维修，客户不承担任何差价。（是□  否□）</w:t>
      </w:r>
    </w:p>
    <w:p>
      <w:pPr>
        <w:spacing w:line="360" w:lineRule="auto"/>
        <w:ind w:firstLine="420" w:firstLineChars="200"/>
        <w:rPr>
          <w:rFonts w:ascii="宋体" w:hAnsi="宋体"/>
          <w:color w:val="auto"/>
          <w:szCs w:val="21"/>
        </w:rPr>
      </w:pPr>
      <w:r>
        <w:rPr>
          <w:rFonts w:hint="eastAsia"/>
          <w:color w:val="auto"/>
          <w:lang w:val="en-US" w:eastAsia="zh-CN"/>
        </w:rPr>
        <w:t>3</w:t>
      </w:r>
      <w:r>
        <w:rPr>
          <w:rFonts w:hint="eastAsia"/>
          <w:color w:val="auto"/>
        </w:rPr>
        <w:t>、如增加其他商业险种，是否承诺按</w:t>
      </w:r>
      <w:r>
        <w:rPr>
          <w:rFonts w:hint="eastAsia"/>
          <w:color w:val="auto"/>
          <w:lang w:val="en-US" w:eastAsia="zh-CN"/>
        </w:rPr>
        <w:t>本</w:t>
      </w:r>
      <w:r>
        <w:rPr>
          <w:rFonts w:hint="eastAsia"/>
          <w:color w:val="auto"/>
        </w:rPr>
        <w:t>次谈判确定的自主定价系数执</w:t>
      </w:r>
      <w:r>
        <w:rPr>
          <w:rFonts w:hint="eastAsia"/>
          <w:color w:val="auto"/>
          <w:lang w:val="en-US" w:eastAsia="zh-CN"/>
        </w:rPr>
        <w:t>行</w:t>
      </w:r>
      <w:r>
        <w:rPr>
          <w:rFonts w:hint="eastAsia"/>
          <w:color w:val="auto"/>
        </w:rPr>
        <w:t>。（是□ 否□）</w:t>
      </w:r>
    </w:p>
    <w:p>
      <w:pPr>
        <w:pStyle w:val="2"/>
        <w:spacing w:line="360" w:lineRule="auto"/>
        <w:ind w:left="0" w:leftChars="0"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4、</w:t>
      </w:r>
      <w:r>
        <w:rPr>
          <w:rFonts w:hint="eastAsia" w:ascii="宋体" w:hAnsi="宋体"/>
          <w:color w:val="auto"/>
          <w:szCs w:val="21"/>
        </w:rPr>
        <w:t>自主定价系数范围为[0.65－1.35]</w:t>
      </w:r>
      <w:r>
        <w:rPr>
          <w:rFonts w:hint="eastAsia" w:ascii="宋体" w:hAnsi="宋体"/>
          <w:color w:val="auto"/>
          <w:szCs w:val="21"/>
          <w:lang w:eastAsia="zh-CN"/>
        </w:rPr>
        <w:t>，</w:t>
      </w:r>
      <w:r>
        <w:rPr>
          <w:rFonts w:hint="eastAsia" w:ascii="宋体" w:hAnsi="宋体"/>
          <w:color w:val="auto"/>
          <w:szCs w:val="21"/>
          <w:lang w:val="en-US" w:eastAsia="zh-CN"/>
        </w:rPr>
        <w:t>谈判单位须在此范围内进行报价。</w:t>
      </w:r>
    </w:p>
    <w:p>
      <w:pPr>
        <w:pStyle w:val="27"/>
        <w:adjustRightInd w:val="0"/>
        <w:snapToGrid w:val="0"/>
        <w:spacing w:line="360" w:lineRule="auto"/>
        <w:outlineLvl w:val="0"/>
        <w:rPr>
          <w:rFonts w:ascii="宋体" w:hAnsi="宋体"/>
          <w:sz w:val="21"/>
          <w:szCs w:val="21"/>
        </w:rPr>
      </w:pPr>
    </w:p>
    <w:p/>
    <w:p>
      <w:pPr>
        <w:pStyle w:val="27"/>
        <w:adjustRightInd w:val="0"/>
        <w:snapToGrid w:val="0"/>
        <w:spacing w:line="360" w:lineRule="auto"/>
        <w:ind w:firstLine="420" w:firstLineChars="200"/>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04" w:name="_Toc22739"/>
      <w:bookmarkStart w:id="105" w:name="_Toc9077"/>
      <w:bookmarkStart w:id="106" w:name="_Toc27585"/>
      <w:bookmarkStart w:id="107" w:name="_Toc27918"/>
      <w:r>
        <w:rPr>
          <w:rFonts w:hint="eastAsia" w:ascii="宋体" w:hAnsi="宋体" w:cs="宋体"/>
          <w:b/>
          <w:sz w:val="32"/>
          <w:szCs w:val="32"/>
          <w:lang w:val="en-US" w:eastAsia="zh-CN"/>
        </w:rPr>
        <w:t>七</w:t>
      </w:r>
      <w:r>
        <w:rPr>
          <w:rFonts w:hint="eastAsia" w:ascii="宋体" w:hAnsi="宋体" w:cs="宋体"/>
          <w:b/>
          <w:sz w:val="32"/>
          <w:szCs w:val="32"/>
        </w:rPr>
        <w:t>、其他资料</w:t>
      </w:r>
      <w:bookmarkEnd w:id="104"/>
      <w:bookmarkEnd w:id="105"/>
      <w:bookmarkEnd w:id="106"/>
      <w:r>
        <w:rPr>
          <w:rFonts w:hint="eastAsia" w:ascii="宋体" w:hAnsi="宋体" w:cs="宋体"/>
          <w:b/>
          <w:sz w:val="32"/>
          <w:szCs w:val="32"/>
        </w:rPr>
        <w:t>（如有）</w:t>
      </w:r>
      <w:bookmarkEnd w:id="107"/>
    </w:p>
    <w:p>
      <w:pPr>
        <w:adjustRightInd w:val="0"/>
        <w:snapToGrid w:val="0"/>
        <w:spacing w:before="156" w:beforeLines="50" w:line="360" w:lineRule="auto"/>
        <w:ind w:firstLine="420" w:firstLineChars="200"/>
        <w:jc w:val="left"/>
        <w:rPr>
          <w:rFonts w:ascii="宋体" w:hAnsi="宋体"/>
          <w:szCs w:val="21"/>
        </w:rPr>
      </w:pPr>
      <w:bookmarkStart w:id="108" w:name="_Toc5412"/>
      <w:bookmarkStart w:id="109" w:name="_Toc22084"/>
      <w:bookmarkStart w:id="110" w:name="_Toc18188"/>
      <w:bookmarkStart w:id="111" w:name="_Toc10648"/>
      <w:r>
        <w:rPr>
          <w:rFonts w:hint="eastAsia" w:ascii="宋体" w:hAnsi="宋体"/>
          <w:szCs w:val="21"/>
        </w:rPr>
        <w:t>谈判单位认为需要提供的其他报价资料，格式自拟。</w:t>
      </w:r>
      <w:bookmarkEnd w:id="108"/>
      <w:bookmarkEnd w:id="109"/>
      <w:bookmarkEnd w:id="110"/>
      <w:bookmarkEnd w:id="111"/>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59268109"/>
                          </w:sdtPr>
                          <w:sdtContent>
                            <w:p>
                              <w:pPr>
                                <w:pStyle w:val="30"/>
                                <w:jc w:val="center"/>
                              </w:pPr>
                              <w:r>
                                <w:fldChar w:fldCharType="begin"/>
                              </w:r>
                              <w:r>
                                <w:instrText xml:space="preserve">PAGE   \* MERGEFORMAT</w:instrText>
                              </w:r>
                              <w:r>
                                <w:fldChar w:fldCharType="separate"/>
                              </w:r>
                              <w:r>
                                <w:rPr>
                                  <w:lang w:val="zh-CN"/>
                                </w:rPr>
                                <w:t>12</w:t>
                              </w:r>
                              <w:r>
                                <w:rPr>
                                  <w:lang w:val="zh-CN"/>
                                </w:rPr>
                                <w:fldChar w:fldCharType="end"/>
                              </w:r>
                            </w:p>
                          </w:sdtContent>
                        </w:sdt>
                        <w:p>
                          <w:pPr>
                            <w:pStyle w:val="2"/>
                          </w:pP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CWacE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ZOQaEG6PCQuXfjLqCDUVwzEVRtNK5T34816yHn+j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4CWacEBAACOAwAADgAAAAAAAAABACAAAAAeAQAAZHJzL2Uyb0RvYy54bWxQSwUG&#10;AAAAAAYABgBZAQAAUQUAAAAA&#10;">
              <v:fill on="f" focussize="0,0"/>
              <v:stroke on="f"/>
              <v:imagedata o:title=""/>
              <o:lock v:ext="edit" aspectratio="f"/>
              <v:textbox inset="0mm,0mm,0mm,0mm" style="mso-fit-shape-to-text:t;">
                <w:txbxContent>
                  <w:sdt>
                    <w:sdtPr>
                      <w:id w:val="1659268109"/>
                    </w:sdtPr>
                    <w:sdtContent>
                      <w:p>
                        <w:pPr>
                          <w:pStyle w:val="30"/>
                          <w:jc w:val="center"/>
                        </w:pPr>
                        <w:r>
                          <w:fldChar w:fldCharType="begin"/>
                        </w:r>
                        <w:r>
                          <w:instrText xml:space="preserve">PAGE   \* MERGEFORMAT</w:instrText>
                        </w:r>
                        <w:r>
                          <w:fldChar w:fldCharType="separate"/>
                        </w:r>
                        <w:r>
                          <w:rPr>
                            <w:lang w:val="zh-CN"/>
                          </w:rPr>
                          <w:t>12</w:t>
                        </w:r>
                        <w:r>
                          <w:rPr>
                            <w:lang w:val="zh-CN"/>
                          </w:rPr>
                          <w:fldChar w:fldCharType="end"/>
                        </w:r>
                      </w:p>
                    </w:sdtContent>
                  </w:sdt>
                  <w:p>
                    <w:pPr>
                      <w:pStyle w:val="2"/>
                    </w:pP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Content>
                            <w:p>
                              <w:pPr>
                                <w:pStyle w:val="30"/>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2"/>
                          </w:pP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cdx8IBAACO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bHHcfCAQAAjgMAAA4AAAAAAAAAAQAgAAAAHgEAAGRycy9lMm9Eb2MueG1sUEsF&#10;BgAAAAAGAAYAWQEAAFIFAAAAAA==&#10;">
              <v:fill on="f" focussize="0,0"/>
              <v:stroke on="f"/>
              <v:imagedata o:title=""/>
              <o:lock v:ext="edit" aspectratio="f"/>
              <v:textbox inset="0mm,0mm,0mm,0mm" style="mso-fit-shape-to-text:t;">
                <w:txbxContent>
                  <w:sdt>
                    <w:sdtPr>
                      <w:id w:val="11816411"/>
                    </w:sdtPr>
                    <w:sdtContent>
                      <w:p>
                        <w:pPr>
                          <w:pStyle w:val="30"/>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2"/>
                    </w:pP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C6B39"/>
    <w:multiLevelType w:val="singleLevel"/>
    <w:tmpl w:val="B1AC6B39"/>
    <w:lvl w:ilvl="0" w:tentative="0">
      <w:start w:val="5"/>
      <w:numFmt w:val="chineseCounting"/>
      <w:suff w:val="space"/>
      <w:lvlText w:val="第%1章"/>
      <w:lvlJc w:val="left"/>
      <w:rPr>
        <w:rFonts w:hint="eastAsia"/>
      </w:rPr>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52640"/>
    <w:rsid w:val="00063D15"/>
    <w:rsid w:val="00074928"/>
    <w:rsid w:val="00091C9D"/>
    <w:rsid w:val="000C106E"/>
    <w:rsid w:val="000C21C5"/>
    <w:rsid w:val="000C4857"/>
    <w:rsid w:val="000E0193"/>
    <w:rsid w:val="000E7968"/>
    <w:rsid w:val="000F4DE1"/>
    <w:rsid w:val="00115FE6"/>
    <w:rsid w:val="00116BAE"/>
    <w:rsid w:val="001453A1"/>
    <w:rsid w:val="00162D59"/>
    <w:rsid w:val="00186162"/>
    <w:rsid w:val="0019086A"/>
    <w:rsid w:val="001A797B"/>
    <w:rsid w:val="001C23BF"/>
    <w:rsid w:val="001D5B3C"/>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97CAE"/>
    <w:rsid w:val="002B1D56"/>
    <w:rsid w:val="002F262C"/>
    <w:rsid w:val="00306794"/>
    <w:rsid w:val="003102A2"/>
    <w:rsid w:val="003252A0"/>
    <w:rsid w:val="003268C0"/>
    <w:rsid w:val="00331810"/>
    <w:rsid w:val="003469C0"/>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6304B"/>
    <w:rsid w:val="00473865"/>
    <w:rsid w:val="0048093D"/>
    <w:rsid w:val="00495DBC"/>
    <w:rsid w:val="00495F57"/>
    <w:rsid w:val="004978CA"/>
    <w:rsid w:val="004B3D80"/>
    <w:rsid w:val="004B41B1"/>
    <w:rsid w:val="004D6E53"/>
    <w:rsid w:val="00504DED"/>
    <w:rsid w:val="00526589"/>
    <w:rsid w:val="00545140"/>
    <w:rsid w:val="0055214F"/>
    <w:rsid w:val="005556A5"/>
    <w:rsid w:val="0056117D"/>
    <w:rsid w:val="0056143E"/>
    <w:rsid w:val="005837A3"/>
    <w:rsid w:val="0058754B"/>
    <w:rsid w:val="005901FF"/>
    <w:rsid w:val="005C688B"/>
    <w:rsid w:val="005E6BBB"/>
    <w:rsid w:val="005F3CDF"/>
    <w:rsid w:val="00607C42"/>
    <w:rsid w:val="00632112"/>
    <w:rsid w:val="00641E72"/>
    <w:rsid w:val="00642B10"/>
    <w:rsid w:val="00654D1D"/>
    <w:rsid w:val="0066697A"/>
    <w:rsid w:val="00677C6C"/>
    <w:rsid w:val="0068504A"/>
    <w:rsid w:val="0068515F"/>
    <w:rsid w:val="00687C87"/>
    <w:rsid w:val="006B467A"/>
    <w:rsid w:val="006B6300"/>
    <w:rsid w:val="006D0A13"/>
    <w:rsid w:val="006E025D"/>
    <w:rsid w:val="006F1984"/>
    <w:rsid w:val="006F5FAC"/>
    <w:rsid w:val="00707592"/>
    <w:rsid w:val="0070784A"/>
    <w:rsid w:val="00730CC6"/>
    <w:rsid w:val="00740D0D"/>
    <w:rsid w:val="007656DC"/>
    <w:rsid w:val="007821C6"/>
    <w:rsid w:val="0078370F"/>
    <w:rsid w:val="00793ABB"/>
    <w:rsid w:val="0079784E"/>
    <w:rsid w:val="007D0446"/>
    <w:rsid w:val="007F3811"/>
    <w:rsid w:val="00802770"/>
    <w:rsid w:val="0081382B"/>
    <w:rsid w:val="00820369"/>
    <w:rsid w:val="0084147A"/>
    <w:rsid w:val="00842E06"/>
    <w:rsid w:val="0084367C"/>
    <w:rsid w:val="008511F3"/>
    <w:rsid w:val="00864C78"/>
    <w:rsid w:val="00884CC5"/>
    <w:rsid w:val="008B6242"/>
    <w:rsid w:val="008C7C9F"/>
    <w:rsid w:val="008D7CB4"/>
    <w:rsid w:val="00901FFA"/>
    <w:rsid w:val="00915948"/>
    <w:rsid w:val="00923E97"/>
    <w:rsid w:val="009407F4"/>
    <w:rsid w:val="009955C7"/>
    <w:rsid w:val="009A5642"/>
    <w:rsid w:val="009B5270"/>
    <w:rsid w:val="009C10AF"/>
    <w:rsid w:val="009D41D7"/>
    <w:rsid w:val="009D7D4A"/>
    <w:rsid w:val="009E03FD"/>
    <w:rsid w:val="009E2384"/>
    <w:rsid w:val="00A34DC1"/>
    <w:rsid w:val="00A41E73"/>
    <w:rsid w:val="00A46FA2"/>
    <w:rsid w:val="00A618F2"/>
    <w:rsid w:val="00A61CCE"/>
    <w:rsid w:val="00A92B7C"/>
    <w:rsid w:val="00AA1709"/>
    <w:rsid w:val="00AA21B6"/>
    <w:rsid w:val="00AB013C"/>
    <w:rsid w:val="00AC26D2"/>
    <w:rsid w:val="00AD0A1B"/>
    <w:rsid w:val="00AD758B"/>
    <w:rsid w:val="00AF11ED"/>
    <w:rsid w:val="00B01BA0"/>
    <w:rsid w:val="00B2613B"/>
    <w:rsid w:val="00B74689"/>
    <w:rsid w:val="00B82298"/>
    <w:rsid w:val="00B832A9"/>
    <w:rsid w:val="00B92FA2"/>
    <w:rsid w:val="00BD47EB"/>
    <w:rsid w:val="00BD51DE"/>
    <w:rsid w:val="00BD5655"/>
    <w:rsid w:val="00BE15B5"/>
    <w:rsid w:val="00C0069B"/>
    <w:rsid w:val="00C1468A"/>
    <w:rsid w:val="00C20479"/>
    <w:rsid w:val="00C21D69"/>
    <w:rsid w:val="00C24579"/>
    <w:rsid w:val="00C26D33"/>
    <w:rsid w:val="00C34E11"/>
    <w:rsid w:val="00C5139E"/>
    <w:rsid w:val="00C532E5"/>
    <w:rsid w:val="00C57914"/>
    <w:rsid w:val="00C6008B"/>
    <w:rsid w:val="00C758E3"/>
    <w:rsid w:val="00CB534B"/>
    <w:rsid w:val="00CE51F2"/>
    <w:rsid w:val="00CE631C"/>
    <w:rsid w:val="00CE703D"/>
    <w:rsid w:val="00CF0192"/>
    <w:rsid w:val="00CF040C"/>
    <w:rsid w:val="00D069C6"/>
    <w:rsid w:val="00D164FE"/>
    <w:rsid w:val="00D31733"/>
    <w:rsid w:val="00D43330"/>
    <w:rsid w:val="00D45708"/>
    <w:rsid w:val="00D6362F"/>
    <w:rsid w:val="00D84A7F"/>
    <w:rsid w:val="00D95761"/>
    <w:rsid w:val="00D958E3"/>
    <w:rsid w:val="00DA51BD"/>
    <w:rsid w:val="00DE5673"/>
    <w:rsid w:val="00DF363F"/>
    <w:rsid w:val="00E24889"/>
    <w:rsid w:val="00E32EEF"/>
    <w:rsid w:val="00E342DB"/>
    <w:rsid w:val="00E5084D"/>
    <w:rsid w:val="00E74692"/>
    <w:rsid w:val="00E761DC"/>
    <w:rsid w:val="00E77817"/>
    <w:rsid w:val="00E944EE"/>
    <w:rsid w:val="00EC7F43"/>
    <w:rsid w:val="00EF6911"/>
    <w:rsid w:val="00F00894"/>
    <w:rsid w:val="00F11BCD"/>
    <w:rsid w:val="00F13723"/>
    <w:rsid w:val="00F175B5"/>
    <w:rsid w:val="00F338DB"/>
    <w:rsid w:val="00F37996"/>
    <w:rsid w:val="00F410E0"/>
    <w:rsid w:val="00F5281B"/>
    <w:rsid w:val="00F52B22"/>
    <w:rsid w:val="00F579E9"/>
    <w:rsid w:val="00FA17B5"/>
    <w:rsid w:val="00FA6734"/>
    <w:rsid w:val="00FE331E"/>
    <w:rsid w:val="00FE3699"/>
    <w:rsid w:val="00FE6AFF"/>
    <w:rsid w:val="01375331"/>
    <w:rsid w:val="01403F6F"/>
    <w:rsid w:val="014D6F55"/>
    <w:rsid w:val="01932790"/>
    <w:rsid w:val="01EA6EEC"/>
    <w:rsid w:val="01F95304"/>
    <w:rsid w:val="021B19D1"/>
    <w:rsid w:val="02263AD9"/>
    <w:rsid w:val="024C0DC0"/>
    <w:rsid w:val="02787973"/>
    <w:rsid w:val="02787D91"/>
    <w:rsid w:val="029051C9"/>
    <w:rsid w:val="029A1968"/>
    <w:rsid w:val="02AB7973"/>
    <w:rsid w:val="02BF5617"/>
    <w:rsid w:val="02FB4FEB"/>
    <w:rsid w:val="03727DAF"/>
    <w:rsid w:val="03D41287"/>
    <w:rsid w:val="03F31A5E"/>
    <w:rsid w:val="03F91117"/>
    <w:rsid w:val="03FC0CEA"/>
    <w:rsid w:val="04240981"/>
    <w:rsid w:val="042B3AFB"/>
    <w:rsid w:val="04EE0D07"/>
    <w:rsid w:val="054E6891"/>
    <w:rsid w:val="05711FDA"/>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9F6734"/>
    <w:rsid w:val="093252EE"/>
    <w:rsid w:val="09422E59"/>
    <w:rsid w:val="094A4EE7"/>
    <w:rsid w:val="0959407C"/>
    <w:rsid w:val="097D1C20"/>
    <w:rsid w:val="098A3350"/>
    <w:rsid w:val="09A23D38"/>
    <w:rsid w:val="09AB154E"/>
    <w:rsid w:val="0A2948BE"/>
    <w:rsid w:val="0A316A36"/>
    <w:rsid w:val="0A451CA7"/>
    <w:rsid w:val="0AE24958"/>
    <w:rsid w:val="0AF74A1D"/>
    <w:rsid w:val="0B4432D5"/>
    <w:rsid w:val="0B590F4A"/>
    <w:rsid w:val="0B8511E8"/>
    <w:rsid w:val="0BAA700E"/>
    <w:rsid w:val="0BEB10E2"/>
    <w:rsid w:val="0C1A66D1"/>
    <w:rsid w:val="0C411CD0"/>
    <w:rsid w:val="0C5B1FA9"/>
    <w:rsid w:val="0C8E4136"/>
    <w:rsid w:val="0CA062F8"/>
    <w:rsid w:val="0CED2457"/>
    <w:rsid w:val="0D2C1377"/>
    <w:rsid w:val="0D5C5AB2"/>
    <w:rsid w:val="0D614F04"/>
    <w:rsid w:val="0D6A4C3D"/>
    <w:rsid w:val="0D6B79A8"/>
    <w:rsid w:val="0DBD7268"/>
    <w:rsid w:val="0DCC335E"/>
    <w:rsid w:val="0DF87606"/>
    <w:rsid w:val="0E04554D"/>
    <w:rsid w:val="0E0C0187"/>
    <w:rsid w:val="0E94477A"/>
    <w:rsid w:val="0EBC2000"/>
    <w:rsid w:val="0F143C2E"/>
    <w:rsid w:val="0F340DCE"/>
    <w:rsid w:val="0F3918CC"/>
    <w:rsid w:val="0F397095"/>
    <w:rsid w:val="0FD663C6"/>
    <w:rsid w:val="0FEA3549"/>
    <w:rsid w:val="0FED06EC"/>
    <w:rsid w:val="1008523D"/>
    <w:rsid w:val="10190CBD"/>
    <w:rsid w:val="102D14D1"/>
    <w:rsid w:val="10A05079"/>
    <w:rsid w:val="10D355A2"/>
    <w:rsid w:val="11342822"/>
    <w:rsid w:val="1165541F"/>
    <w:rsid w:val="117935E0"/>
    <w:rsid w:val="118640B3"/>
    <w:rsid w:val="11FF23A8"/>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B360ED"/>
    <w:rsid w:val="15F25C65"/>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622356"/>
    <w:rsid w:val="1CE400B3"/>
    <w:rsid w:val="1D2119DA"/>
    <w:rsid w:val="1D481945"/>
    <w:rsid w:val="1D9F6122"/>
    <w:rsid w:val="1E2B1E83"/>
    <w:rsid w:val="1E453774"/>
    <w:rsid w:val="1E5E5C12"/>
    <w:rsid w:val="1E7277E4"/>
    <w:rsid w:val="1E8D7EC4"/>
    <w:rsid w:val="1EB05FC3"/>
    <w:rsid w:val="1EB57C64"/>
    <w:rsid w:val="1EB75293"/>
    <w:rsid w:val="1EDD61C5"/>
    <w:rsid w:val="1EE456C8"/>
    <w:rsid w:val="1EFA23B0"/>
    <w:rsid w:val="1F2F00D5"/>
    <w:rsid w:val="1F375C0D"/>
    <w:rsid w:val="1F3D0CE1"/>
    <w:rsid w:val="1F541C2F"/>
    <w:rsid w:val="1FA7260B"/>
    <w:rsid w:val="1FEE3736"/>
    <w:rsid w:val="2034266D"/>
    <w:rsid w:val="20441BF7"/>
    <w:rsid w:val="20567811"/>
    <w:rsid w:val="207B20B8"/>
    <w:rsid w:val="20AE2C72"/>
    <w:rsid w:val="20C87EE6"/>
    <w:rsid w:val="20DF6696"/>
    <w:rsid w:val="21156537"/>
    <w:rsid w:val="218469C1"/>
    <w:rsid w:val="21FB6487"/>
    <w:rsid w:val="22620C72"/>
    <w:rsid w:val="22754B37"/>
    <w:rsid w:val="22AE5F02"/>
    <w:rsid w:val="22E54FD6"/>
    <w:rsid w:val="23567F50"/>
    <w:rsid w:val="24552B00"/>
    <w:rsid w:val="24582CE4"/>
    <w:rsid w:val="246C3202"/>
    <w:rsid w:val="24CD7C86"/>
    <w:rsid w:val="250462EA"/>
    <w:rsid w:val="252D7657"/>
    <w:rsid w:val="25355DF2"/>
    <w:rsid w:val="25390605"/>
    <w:rsid w:val="253A3746"/>
    <w:rsid w:val="25671777"/>
    <w:rsid w:val="256C29A0"/>
    <w:rsid w:val="25752417"/>
    <w:rsid w:val="25933BDB"/>
    <w:rsid w:val="25B66BA8"/>
    <w:rsid w:val="25E70ABF"/>
    <w:rsid w:val="266E4660"/>
    <w:rsid w:val="26CF4594"/>
    <w:rsid w:val="271E4DAB"/>
    <w:rsid w:val="274759C4"/>
    <w:rsid w:val="274B7559"/>
    <w:rsid w:val="27944F81"/>
    <w:rsid w:val="28166B73"/>
    <w:rsid w:val="282442D9"/>
    <w:rsid w:val="284367B5"/>
    <w:rsid w:val="285718A5"/>
    <w:rsid w:val="28EB4C69"/>
    <w:rsid w:val="28F865CB"/>
    <w:rsid w:val="29053276"/>
    <w:rsid w:val="29250E1B"/>
    <w:rsid w:val="295A53EB"/>
    <w:rsid w:val="29803AA3"/>
    <w:rsid w:val="29884B07"/>
    <w:rsid w:val="298957C4"/>
    <w:rsid w:val="29DF4E52"/>
    <w:rsid w:val="2A1D6A45"/>
    <w:rsid w:val="2A6F6EBA"/>
    <w:rsid w:val="2A830C79"/>
    <w:rsid w:val="2AD11736"/>
    <w:rsid w:val="2B1029CF"/>
    <w:rsid w:val="2B1D6E88"/>
    <w:rsid w:val="2B5F0E77"/>
    <w:rsid w:val="2B7F64C1"/>
    <w:rsid w:val="2BA3212D"/>
    <w:rsid w:val="2BE7007A"/>
    <w:rsid w:val="2BFE408A"/>
    <w:rsid w:val="2C234403"/>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F1D1D68"/>
    <w:rsid w:val="2F2A65B2"/>
    <w:rsid w:val="2F6C2DFA"/>
    <w:rsid w:val="3022617D"/>
    <w:rsid w:val="30464B56"/>
    <w:rsid w:val="30473068"/>
    <w:rsid w:val="307C2C0D"/>
    <w:rsid w:val="30967620"/>
    <w:rsid w:val="30BD1FE5"/>
    <w:rsid w:val="30F36C74"/>
    <w:rsid w:val="30F90CD1"/>
    <w:rsid w:val="30F9318B"/>
    <w:rsid w:val="31272F44"/>
    <w:rsid w:val="31936105"/>
    <w:rsid w:val="31AE740B"/>
    <w:rsid w:val="31B658D4"/>
    <w:rsid w:val="32316E69"/>
    <w:rsid w:val="325B404D"/>
    <w:rsid w:val="3281774D"/>
    <w:rsid w:val="32887E5F"/>
    <w:rsid w:val="329A50AF"/>
    <w:rsid w:val="329E5AD1"/>
    <w:rsid w:val="32CC51E5"/>
    <w:rsid w:val="32E6051A"/>
    <w:rsid w:val="32F33B15"/>
    <w:rsid w:val="33A718ED"/>
    <w:rsid w:val="33AA3E3F"/>
    <w:rsid w:val="34AC6BE3"/>
    <w:rsid w:val="34EB329F"/>
    <w:rsid w:val="34FE1F7D"/>
    <w:rsid w:val="35270865"/>
    <w:rsid w:val="35C42A65"/>
    <w:rsid w:val="3609516B"/>
    <w:rsid w:val="361B7BDC"/>
    <w:rsid w:val="36294C3D"/>
    <w:rsid w:val="364221AD"/>
    <w:rsid w:val="36627D01"/>
    <w:rsid w:val="36AC6FD2"/>
    <w:rsid w:val="36AE45FE"/>
    <w:rsid w:val="36D4159F"/>
    <w:rsid w:val="36E67798"/>
    <w:rsid w:val="36FF0DB1"/>
    <w:rsid w:val="37067020"/>
    <w:rsid w:val="372649E2"/>
    <w:rsid w:val="372C59AA"/>
    <w:rsid w:val="373000B7"/>
    <w:rsid w:val="37824D2F"/>
    <w:rsid w:val="37963F54"/>
    <w:rsid w:val="379A6B89"/>
    <w:rsid w:val="37BF2E3D"/>
    <w:rsid w:val="37D107AA"/>
    <w:rsid w:val="37FD7E74"/>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401924B3"/>
    <w:rsid w:val="401F021A"/>
    <w:rsid w:val="404148A6"/>
    <w:rsid w:val="40572AB6"/>
    <w:rsid w:val="405D3459"/>
    <w:rsid w:val="4068264C"/>
    <w:rsid w:val="407728FD"/>
    <w:rsid w:val="40CA0DB3"/>
    <w:rsid w:val="40DC5CDB"/>
    <w:rsid w:val="410603FC"/>
    <w:rsid w:val="410D06B8"/>
    <w:rsid w:val="41A274B6"/>
    <w:rsid w:val="41C034AF"/>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B6B8D"/>
    <w:rsid w:val="45F8252B"/>
    <w:rsid w:val="46153B79"/>
    <w:rsid w:val="4625595A"/>
    <w:rsid w:val="4655670F"/>
    <w:rsid w:val="46CD6A3D"/>
    <w:rsid w:val="46D23AA8"/>
    <w:rsid w:val="46D446A7"/>
    <w:rsid w:val="47165D61"/>
    <w:rsid w:val="475D1752"/>
    <w:rsid w:val="47767BD4"/>
    <w:rsid w:val="477D0471"/>
    <w:rsid w:val="47FB44E3"/>
    <w:rsid w:val="4804332F"/>
    <w:rsid w:val="48572F54"/>
    <w:rsid w:val="488A747A"/>
    <w:rsid w:val="489640A7"/>
    <w:rsid w:val="489E300A"/>
    <w:rsid w:val="4955748F"/>
    <w:rsid w:val="49694B92"/>
    <w:rsid w:val="49737357"/>
    <w:rsid w:val="4A0366CF"/>
    <w:rsid w:val="4A256483"/>
    <w:rsid w:val="4A38641F"/>
    <w:rsid w:val="4A681FCE"/>
    <w:rsid w:val="4A800E57"/>
    <w:rsid w:val="4A9F5D83"/>
    <w:rsid w:val="4AB52052"/>
    <w:rsid w:val="4AF859CC"/>
    <w:rsid w:val="4B657DEC"/>
    <w:rsid w:val="4B6F63D5"/>
    <w:rsid w:val="4B8152D3"/>
    <w:rsid w:val="4B965649"/>
    <w:rsid w:val="4BBA0F4B"/>
    <w:rsid w:val="4BC03621"/>
    <w:rsid w:val="4BC22F72"/>
    <w:rsid w:val="4BEC1DA9"/>
    <w:rsid w:val="4C454D9D"/>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040B5B"/>
    <w:rsid w:val="4E6E459C"/>
    <w:rsid w:val="4E98618A"/>
    <w:rsid w:val="4E9D352C"/>
    <w:rsid w:val="4EB95E17"/>
    <w:rsid w:val="4F6B02B8"/>
    <w:rsid w:val="4FA43165"/>
    <w:rsid w:val="4FB6214D"/>
    <w:rsid w:val="4FFA209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3EC2A4F"/>
    <w:rsid w:val="5444354A"/>
    <w:rsid w:val="547A6B2A"/>
    <w:rsid w:val="54C51909"/>
    <w:rsid w:val="551D6AF9"/>
    <w:rsid w:val="55A60ADC"/>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B21650"/>
    <w:rsid w:val="58C00F3E"/>
    <w:rsid w:val="58D20A10"/>
    <w:rsid w:val="59103E6F"/>
    <w:rsid w:val="59373C72"/>
    <w:rsid w:val="5945207E"/>
    <w:rsid w:val="595B4F2E"/>
    <w:rsid w:val="596C42A4"/>
    <w:rsid w:val="596D221D"/>
    <w:rsid w:val="59A237B5"/>
    <w:rsid w:val="59A77712"/>
    <w:rsid w:val="59B02759"/>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F111534"/>
    <w:rsid w:val="5FBC6FFC"/>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9E6915"/>
    <w:rsid w:val="61BC5698"/>
    <w:rsid w:val="61C05E29"/>
    <w:rsid w:val="61E220CA"/>
    <w:rsid w:val="621F3A28"/>
    <w:rsid w:val="623817CD"/>
    <w:rsid w:val="623D05E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8E1E21"/>
    <w:rsid w:val="66926F8C"/>
    <w:rsid w:val="66966882"/>
    <w:rsid w:val="66F269C9"/>
    <w:rsid w:val="67285BDC"/>
    <w:rsid w:val="67C1521F"/>
    <w:rsid w:val="67FB2FC2"/>
    <w:rsid w:val="6838125F"/>
    <w:rsid w:val="684E7153"/>
    <w:rsid w:val="68942469"/>
    <w:rsid w:val="68996F46"/>
    <w:rsid w:val="68A270B1"/>
    <w:rsid w:val="69522C18"/>
    <w:rsid w:val="69A85914"/>
    <w:rsid w:val="69B54893"/>
    <w:rsid w:val="69F0666F"/>
    <w:rsid w:val="69FA018D"/>
    <w:rsid w:val="6A25465E"/>
    <w:rsid w:val="6A572716"/>
    <w:rsid w:val="6A87076D"/>
    <w:rsid w:val="6A9454E3"/>
    <w:rsid w:val="6A945F72"/>
    <w:rsid w:val="6ACF2D0F"/>
    <w:rsid w:val="6AFC23BD"/>
    <w:rsid w:val="6B287CCA"/>
    <w:rsid w:val="6B37191E"/>
    <w:rsid w:val="6BA33D44"/>
    <w:rsid w:val="6C3A4C18"/>
    <w:rsid w:val="6C4068D5"/>
    <w:rsid w:val="6C8568B5"/>
    <w:rsid w:val="6CB00C5D"/>
    <w:rsid w:val="6D0441AB"/>
    <w:rsid w:val="6D481945"/>
    <w:rsid w:val="6D6650F6"/>
    <w:rsid w:val="6D6D32A5"/>
    <w:rsid w:val="6D96704E"/>
    <w:rsid w:val="6ECD14C3"/>
    <w:rsid w:val="6EF06A3A"/>
    <w:rsid w:val="6F231086"/>
    <w:rsid w:val="6F2C1077"/>
    <w:rsid w:val="6F4412DE"/>
    <w:rsid w:val="6FB01FF6"/>
    <w:rsid w:val="6FFA7A22"/>
    <w:rsid w:val="702D3037"/>
    <w:rsid w:val="70854008"/>
    <w:rsid w:val="70A00296"/>
    <w:rsid w:val="72525910"/>
    <w:rsid w:val="7272141E"/>
    <w:rsid w:val="729A51BF"/>
    <w:rsid w:val="72C31F67"/>
    <w:rsid w:val="730F2443"/>
    <w:rsid w:val="738A19B2"/>
    <w:rsid w:val="74460C31"/>
    <w:rsid w:val="745948C9"/>
    <w:rsid w:val="74782083"/>
    <w:rsid w:val="74F00783"/>
    <w:rsid w:val="74F21A8E"/>
    <w:rsid w:val="74FB2A8F"/>
    <w:rsid w:val="75092D2E"/>
    <w:rsid w:val="751F35C6"/>
    <w:rsid w:val="752673FA"/>
    <w:rsid w:val="75445278"/>
    <w:rsid w:val="756D2420"/>
    <w:rsid w:val="75D33B60"/>
    <w:rsid w:val="75EB0030"/>
    <w:rsid w:val="767A1884"/>
    <w:rsid w:val="7681376B"/>
    <w:rsid w:val="76E7048B"/>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2153DE"/>
    <w:rsid w:val="7E3F400C"/>
    <w:rsid w:val="7E3F5C67"/>
    <w:rsid w:val="7E485A8B"/>
    <w:rsid w:val="7E710432"/>
    <w:rsid w:val="7E784FFE"/>
    <w:rsid w:val="7F0D36A8"/>
    <w:rsid w:val="7F0D6F9B"/>
    <w:rsid w:val="7F267E5E"/>
    <w:rsid w:val="7F511034"/>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0DC9A-B783-4727-A033-D460D0600365}">
  <ds:schemaRefs/>
</ds:datastoreItem>
</file>

<file path=docProps/app.xml><?xml version="1.0" encoding="utf-8"?>
<Properties xmlns="http://schemas.openxmlformats.org/officeDocument/2006/extended-properties" xmlns:vt="http://schemas.openxmlformats.org/officeDocument/2006/docPropsVTypes">
  <Template>Normal</Template>
  <Pages>27</Pages>
  <Words>2093</Words>
  <Characters>11932</Characters>
  <Lines>99</Lines>
  <Paragraphs>27</Paragraphs>
  <TotalTime>13</TotalTime>
  <ScaleCrop>false</ScaleCrop>
  <LinksUpToDate>false</LinksUpToDate>
  <CharactersWithSpaces>13998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2021-09-11T13:28:00Z</dcterms:created>
  <dc:creator>李 毅</dc:creator>
  <cp:lastModifiedBy>糖糖</cp:lastModifiedBy>
  <cp:lastPrinted>2021-10-09T01:20:00Z</cp:lastPrinted>
  <dcterms:modified xsi:type="dcterms:W3CDTF">2021-10-12T00:50:30Z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7C874A77AA8D4DEBB146A54206B9C58F</vt:lpwstr>
  </property>
</Properties>
</file>