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120"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560" w:lineRule="exact"/>
        <w:ind w:left="2249" w:hanging="2249" w:hangingChars="700"/>
        <w:jc w:val="left"/>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长沙市轨道交通1、2、3、4、5号线2021年-2022年公务用车保险定点服务项目</w:t>
      </w:r>
    </w:p>
    <w:p>
      <w:pPr>
        <w:spacing w:line="560" w:lineRule="exact"/>
        <w:ind w:firstLine="2570" w:firstLineChars="800"/>
        <w:rPr>
          <w:rFonts w:ascii="宋体" w:hAnsi="宋体" w:cs="Courier New"/>
          <w:b/>
          <w:sz w:val="32"/>
          <w:szCs w:val="21"/>
          <w:u w:val="single"/>
        </w:rPr>
      </w:pPr>
    </w:p>
    <w:p>
      <w:pPr>
        <w:pStyle w:val="25"/>
        <w:adjustRightInd w:val="0"/>
        <w:snapToGrid w:val="0"/>
        <w:spacing w:line="360" w:lineRule="auto"/>
        <w:rPr>
          <w:rFonts w:hint="eastAsia" w:hAnsi="宋体"/>
          <w:b/>
          <w:sz w:val="32"/>
          <w:u w:val="single"/>
        </w:rPr>
      </w:pPr>
      <w:r>
        <w:rPr>
          <w:rFonts w:hint="eastAsia" w:hAnsi="宋体"/>
          <w:b/>
          <w:sz w:val="32"/>
        </w:rPr>
        <w:t>采购单位名称：</w:t>
      </w:r>
      <w:r>
        <w:rPr>
          <w:rFonts w:hint="eastAsia" w:hAnsi="宋体"/>
          <w:b/>
          <w:sz w:val="32"/>
          <w:u w:val="single"/>
        </w:rPr>
        <w:t>长沙市轨道交通一号线建设发展有限公司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长沙市轨道交通运营有限公司</w:t>
      </w:r>
    </w:p>
    <w:p>
      <w:pPr>
        <w:pStyle w:val="25"/>
        <w:adjustRightInd w:val="0"/>
        <w:snapToGrid w:val="0"/>
        <w:spacing w:line="360" w:lineRule="auto"/>
        <w:ind w:firstLine="2249" w:firstLineChars="700"/>
        <w:rPr>
          <w:rFonts w:hAnsi="宋体"/>
          <w:b/>
          <w:sz w:val="32"/>
          <w:u w:val="single"/>
        </w:rPr>
      </w:pPr>
      <w:r>
        <w:rPr>
          <w:rFonts w:hint="eastAsia" w:hAnsi="宋体"/>
          <w:b/>
          <w:sz w:val="32"/>
          <w:u w:val="single"/>
        </w:rPr>
        <w:t>长沙市轨道交通三号线建设发展有限公司</w:t>
      </w:r>
    </w:p>
    <w:p>
      <w:pPr>
        <w:pStyle w:val="25"/>
        <w:adjustRightInd w:val="0"/>
        <w:snapToGrid w:val="0"/>
        <w:spacing w:line="360" w:lineRule="auto"/>
        <w:ind w:left="2234" w:leftChars="1064"/>
        <w:rPr>
          <w:rFonts w:hAnsi="宋体"/>
          <w:b/>
          <w:sz w:val="32"/>
          <w:u w:val="single"/>
        </w:rPr>
      </w:pPr>
      <w:r>
        <w:rPr>
          <w:rFonts w:hint="eastAsia" w:hAnsi="宋体"/>
          <w:b/>
          <w:sz w:val="32"/>
          <w:u w:val="single"/>
        </w:rPr>
        <w:t>长沙市轨道交通四号线建设发展有限公司、长沙市轨道交通五号线建设发展有限公司</w:t>
      </w:r>
    </w:p>
    <w:p>
      <w:pPr>
        <w:pStyle w:val="25"/>
        <w:adjustRightInd w:val="0"/>
        <w:snapToGrid w:val="0"/>
        <w:spacing w:line="560" w:lineRule="exact"/>
        <w:ind w:left="2234" w:leftChars="1064"/>
        <w:rPr>
          <w:rFonts w:hAnsi="宋体"/>
          <w:b/>
          <w:sz w:val="32"/>
          <w:u w:val="single"/>
        </w:rPr>
      </w:pPr>
    </w:p>
    <w:p>
      <w:pPr>
        <w:pStyle w:val="25"/>
        <w:adjustRightInd w:val="0"/>
        <w:snapToGrid w:val="0"/>
        <w:spacing w:line="240" w:lineRule="atLeast"/>
        <w:rPr>
          <w:rFonts w:hAnsi="宋体"/>
          <w:b/>
          <w:sz w:val="32"/>
          <w:u w:val="single"/>
        </w:rPr>
      </w:pPr>
      <w:r>
        <w:rPr>
          <w:rFonts w:hint="eastAsia" w:hAnsi="宋体"/>
          <w:b/>
          <w:sz w:val="32"/>
        </w:rPr>
        <w:t>谈判项目编号：</w:t>
      </w:r>
      <w:r>
        <w:rPr>
          <w:rFonts w:hint="eastAsia" w:hAnsi="宋体"/>
          <w:b/>
          <w:sz w:val="32"/>
          <w:u w:val="single"/>
        </w:rPr>
        <w:t>长轨运服采【2020】028号</w:t>
      </w: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jc w:val="center"/>
        <w:rPr>
          <w:rFonts w:hAnsi="宋体"/>
          <w:b/>
          <w:sz w:val="32"/>
        </w:rPr>
      </w:pPr>
      <w:r>
        <w:rPr>
          <w:rFonts w:hint="eastAsia" w:hAnsi="宋体"/>
          <w:b/>
          <w:sz w:val="32"/>
          <w:u w:val="single"/>
        </w:rPr>
        <w:t>二〇二〇</w:t>
      </w:r>
      <w:r>
        <w:rPr>
          <w:rFonts w:hint="eastAsia" w:hAnsi="宋体"/>
          <w:b/>
          <w:sz w:val="32"/>
        </w:rPr>
        <w:t>年</w:t>
      </w:r>
      <w:r>
        <w:rPr>
          <w:rFonts w:hint="eastAsia" w:hAnsi="宋体"/>
          <w:b/>
          <w:sz w:val="32"/>
          <w:u w:val="single"/>
          <w:lang w:eastAsia="zh-CN"/>
        </w:rPr>
        <w:t>九</w:t>
      </w:r>
      <w:r>
        <w:rPr>
          <w:rFonts w:hint="eastAsia" w:hAnsi="宋体"/>
          <w:b/>
          <w:sz w:val="32"/>
        </w:rPr>
        <w:t>月</w:t>
      </w:r>
    </w:p>
    <w:p>
      <w:pPr>
        <w:pStyle w:val="25"/>
        <w:adjustRightInd w:val="0"/>
        <w:snapToGrid w:val="0"/>
        <w:spacing w:line="360" w:lineRule="auto"/>
        <w:rPr>
          <w:rFonts w:ascii="黑体" w:eastAsia="黑体"/>
          <w:b/>
          <w:sz w:val="24"/>
        </w:rPr>
        <w:sectPr>
          <w:pgSz w:w="11906" w:h="16838"/>
          <w:pgMar w:top="1440" w:right="1797" w:bottom="1440" w:left="1797" w:header="851" w:footer="851" w:gutter="0"/>
          <w:pgNumType w:start="1"/>
          <w:cols w:space="720" w:num="1"/>
          <w:docGrid w:linePitch="312" w:charSpace="0"/>
        </w:sectPr>
      </w:pPr>
    </w:p>
    <w:sdt>
      <w:sdtPr>
        <w:rPr>
          <w:rFonts w:ascii="宋体" w:hAnsi="宋体"/>
        </w:rPr>
        <w:id w:val="147473866"/>
        <w15:color w:val="DBDBDB"/>
        <w:docPartObj>
          <w:docPartGallery w:val="Table of Contents"/>
          <w:docPartUnique/>
        </w:docPartObj>
      </w:sdtPr>
      <w:sdtEndPr>
        <w:rPr>
          <w:rFonts w:ascii="黑体" w:hAnsi="宋体" w:eastAsia="黑体"/>
          <w:szCs w:val="32"/>
        </w:rPr>
      </w:sdtEndPr>
      <w:sdtContent>
        <w:p>
          <w:pPr>
            <w:jc w:val="center"/>
            <w:rPr>
              <w:rFonts w:hint="eastAsia"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p>
          <w:pPr>
            <w:pStyle w:val="2"/>
            <w:rPr>
              <w:rFonts w:hint="eastAsia"/>
            </w:rPr>
          </w:pPr>
        </w:p>
        <w:p>
          <w:pPr>
            <w:pStyle w:val="32"/>
            <w:tabs>
              <w:tab w:val="right" w:leader="dot" w:pos="8302"/>
            </w:tabs>
            <w:spacing w:line="360" w:lineRule="auto"/>
          </w:pPr>
          <w:r>
            <w:fldChar w:fldCharType="begin"/>
          </w:r>
          <w:r>
            <w:instrText xml:space="preserve">TOC \o "1-3" \h \u </w:instrText>
          </w:r>
          <w:r>
            <w:fldChar w:fldCharType="separate"/>
          </w:r>
          <w:r>
            <w:fldChar w:fldCharType="begin"/>
          </w:r>
          <w:r>
            <w:instrText xml:space="preserve"> HYPERLINK \l _Toc1052 </w:instrText>
          </w:r>
          <w:r>
            <w:fldChar w:fldCharType="separate"/>
          </w:r>
          <w:r>
            <w:rPr>
              <w:rFonts w:hint="eastAsia"/>
            </w:rPr>
            <w:t>第一章  谈判邀请公告</w:t>
          </w:r>
          <w:r>
            <w:tab/>
          </w:r>
          <w:r>
            <w:fldChar w:fldCharType="begin"/>
          </w:r>
          <w:r>
            <w:instrText xml:space="preserve"> PAGEREF _Toc1052 </w:instrText>
          </w:r>
          <w:r>
            <w:fldChar w:fldCharType="separate"/>
          </w:r>
          <w:r>
            <w:t>1</w:t>
          </w:r>
          <w:r>
            <w:fldChar w:fldCharType="end"/>
          </w:r>
          <w:r>
            <w:fldChar w:fldCharType="end"/>
          </w:r>
        </w:p>
        <w:p>
          <w:pPr>
            <w:pStyle w:val="32"/>
            <w:tabs>
              <w:tab w:val="right" w:leader="dot" w:pos="8302"/>
            </w:tabs>
            <w:spacing w:line="360" w:lineRule="auto"/>
          </w:pPr>
          <w:r>
            <w:fldChar w:fldCharType="begin"/>
          </w:r>
          <w:r>
            <w:instrText xml:space="preserve"> HYPERLINK \l _Toc13244 </w:instrText>
          </w:r>
          <w:r>
            <w:fldChar w:fldCharType="separate"/>
          </w:r>
          <w:r>
            <w:rPr>
              <w:rFonts w:hint="eastAsia"/>
            </w:rPr>
            <w:t>第二章  谈判须知</w:t>
          </w:r>
          <w:r>
            <w:tab/>
          </w:r>
          <w:r>
            <w:fldChar w:fldCharType="begin"/>
          </w:r>
          <w:r>
            <w:instrText xml:space="preserve"> PAGEREF _Toc13244 </w:instrText>
          </w:r>
          <w:r>
            <w:fldChar w:fldCharType="separate"/>
          </w:r>
          <w:r>
            <w:t>3</w:t>
          </w:r>
          <w:r>
            <w:fldChar w:fldCharType="end"/>
          </w:r>
          <w:r>
            <w:fldChar w:fldCharType="end"/>
          </w:r>
        </w:p>
        <w:p>
          <w:pPr>
            <w:pStyle w:val="32"/>
            <w:tabs>
              <w:tab w:val="right" w:leader="dot" w:pos="8302"/>
            </w:tabs>
            <w:spacing w:line="360" w:lineRule="auto"/>
          </w:pPr>
          <w:r>
            <w:fldChar w:fldCharType="begin"/>
          </w:r>
          <w:r>
            <w:instrText xml:space="preserve"> HYPERLINK \l _Toc19543 </w:instrText>
          </w:r>
          <w:r>
            <w:fldChar w:fldCharType="separate"/>
          </w:r>
          <w:r>
            <w:rPr>
              <w:rFonts w:hint="eastAsia"/>
            </w:rPr>
            <w:t>谈判须知前附表</w:t>
          </w:r>
          <w:r>
            <w:tab/>
          </w:r>
          <w:r>
            <w:fldChar w:fldCharType="begin"/>
          </w:r>
          <w:r>
            <w:instrText xml:space="preserve"> PAGEREF _Toc19543 </w:instrText>
          </w:r>
          <w:r>
            <w:fldChar w:fldCharType="separate"/>
          </w:r>
          <w:r>
            <w:t>3</w:t>
          </w:r>
          <w:r>
            <w:fldChar w:fldCharType="end"/>
          </w:r>
          <w:r>
            <w:fldChar w:fldCharType="end"/>
          </w:r>
        </w:p>
        <w:p>
          <w:pPr>
            <w:pStyle w:val="32"/>
            <w:tabs>
              <w:tab w:val="right" w:leader="dot" w:pos="8302"/>
            </w:tabs>
            <w:spacing w:line="360" w:lineRule="auto"/>
          </w:pPr>
          <w:r>
            <w:fldChar w:fldCharType="begin"/>
          </w:r>
          <w:r>
            <w:instrText xml:space="preserve"> HYPERLINK \l _Toc4997 </w:instrText>
          </w:r>
          <w:r>
            <w:fldChar w:fldCharType="separate"/>
          </w:r>
          <w:r>
            <w:rPr>
              <w:rFonts w:hint="eastAsia"/>
            </w:rPr>
            <w:t>谈判须知正文</w:t>
          </w:r>
          <w:r>
            <w:tab/>
          </w:r>
          <w:r>
            <w:fldChar w:fldCharType="begin"/>
          </w:r>
          <w:r>
            <w:instrText xml:space="preserve"> PAGEREF _Toc4997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_Toc13487 </w:instrText>
          </w:r>
          <w:r>
            <w:fldChar w:fldCharType="separate"/>
          </w:r>
          <w:r>
            <w:rPr>
              <w:rFonts w:hint="eastAsia"/>
            </w:rPr>
            <w:t>一、说明</w:t>
          </w:r>
          <w:r>
            <w:tab/>
          </w:r>
          <w:r>
            <w:fldChar w:fldCharType="begin"/>
          </w:r>
          <w:r>
            <w:instrText xml:space="preserve"> PAGEREF _Toc13487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_Toc12291 </w:instrText>
          </w:r>
          <w:r>
            <w:fldChar w:fldCharType="separate"/>
          </w:r>
          <w:r>
            <w:rPr>
              <w:rFonts w:hint="eastAsia"/>
            </w:rPr>
            <w:t>二、谈判文件</w:t>
          </w:r>
          <w:r>
            <w:tab/>
          </w:r>
          <w:r>
            <w:fldChar w:fldCharType="begin"/>
          </w:r>
          <w:r>
            <w:instrText xml:space="preserve"> PAGEREF _Toc12291 </w:instrText>
          </w:r>
          <w:r>
            <w:fldChar w:fldCharType="separate"/>
          </w:r>
          <w:r>
            <w:t>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_Toc6331 </w:instrText>
          </w:r>
          <w:r>
            <w:fldChar w:fldCharType="separate"/>
          </w:r>
          <w:r>
            <w:rPr>
              <w:rFonts w:hint="eastAsia"/>
            </w:rPr>
            <w:t>三、响应文件</w:t>
          </w:r>
          <w:r>
            <w:tab/>
          </w:r>
          <w:r>
            <w:fldChar w:fldCharType="begin"/>
          </w:r>
          <w:r>
            <w:instrText xml:space="preserve"> PAGEREF _Toc6331 </w:instrText>
          </w:r>
          <w:r>
            <w:fldChar w:fldCharType="separate"/>
          </w:r>
          <w:r>
            <w:t>6</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_Toc10472 </w:instrText>
          </w:r>
          <w:r>
            <w:fldChar w:fldCharType="separate"/>
          </w:r>
          <w:r>
            <w:rPr>
              <w:rFonts w:hint="eastAsia"/>
            </w:rPr>
            <w:t>四、响应文件的递交</w:t>
          </w:r>
          <w:r>
            <w:tab/>
          </w:r>
          <w:r>
            <w:fldChar w:fldCharType="begin"/>
          </w:r>
          <w:r>
            <w:instrText xml:space="preserve"> PAGEREF _Toc10472 </w:instrText>
          </w:r>
          <w:r>
            <w:fldChar w:fldCharType="separate"/>
          </w:r>
          <w:r>
            <w:t>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_Toc18964 </w:instrText>
          </w:r>
          <w:r>
            <w:fldChar w:fldCharType="separate"/>
          </w:r>
          <w:r>
            <w:rPr>
              <w:rFonts w:hint="eastAsia"/>
            </w:rPr>
            <w:t>五、响应文件的评审</w:t>
          </w:r>
          <w:r>
            <w:tab/>
          </w:r>
          <w:r>
            <w:fldChar w:fldCharType="begin"/>
          </w:r>
          <w:r>
            <w:instrText xml:space="preserve"> PAGEREF _Toc18964 </w:instrText>
          </w:r>
          <w:r>
            <w:fldChar w:fldCharType="separate"/>
          </w:r>
          <w:r>
            <w:t>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_Toc8040 </w:instrText>
          </w:r>
          <w:r>
            <w:fldChar w:fldCharType="separate"/>
          </w:r>
          <w:r>
            <w:rPr>
              <w:rFonts w:hint="eastAsia"/>
            </w:rPr>
            <w:t>六、响应文件的澄清、说明及补正</w:t>
          </w:r>
          <w:r>
            <w:tab/>
          </w:r>
          <w:r>
            <w:fldChar w:fldCharType="begin"/>
          </w:r>
          <w:r>
            <w:instrText xml:space="preserve"> PAGEREF _Toc8040 </w:instrText>
          </w:r>
          <w:r>
            <w:fldChar w:fldCharType="separate"/>
          </w:r>
          <w:r>
            <w:t>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_Toc11028 </w:instrText>
          </w:r>
          <w:r>
            <w:fldChar w:fldCharType="separate"/>
          </w:r>
          <w:r>
            <w:rPr>
              <w:rFonts w:hint="eastAsia"/>
            </w:rPr>
            <w:t>七、中选结果与授予合同</w:t>
          </w:r>
          <w:r>
            <w:tab/>
          </w:r>
          <w:r>
            <w:fldChar w:fldCharType="begin"/>
          </w:r>
          <w:r>
            <w:instrText xml:space="preserve"> PAGEREF _Toc11028 </w:instrText>
          </w:r>
          <w:r>
            <w:fldChar w:fldCharType="separate"/>
          </w:r>
          <w:r>
            <w:t>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_Toc646 </w:instrText>
          </w:r>
          <w:r>
            <w:fldChar w:fldCharType="separate"/>
          </w:r>
          <w:r>
            <w:rPr>
              <w:rFonts w:hint="eastAsia"/>
            </w:rPr>
            <w:t>八、其他</w:t>
          </w:r>
          <w:r>
            <w:tab/>
          </w:r>
          <w:r>
            <w:fldChar w:fldCharType="begin"/>
          </w:r>
          <w:r>
            <w:instrText xml:space="preserve"> PAGEREF _Toc646 </w:instrText>
          </w:r>
          <w:r>
            <w:fldChar w:fldCharType="separate"/>
          </w:r>
          <w:r>
            <w:t>10</w:t>
          </w:r>
          <w:r>
            <w:fldChar w:fldCharType="end"/>
          </w:r>
          <w:r>
            <w:fldChar w:fldCharType="end"/>
          </w:r>
        </w:p>
        <w:p>
          <w:pPr>
            <w:pStyle w:val="32"/>
            <w:tabs>
              <w:tab w:val="right" w:leader="dot" w:pos="8302"/>
            </w:tabs>
            <w:spacing w:line="360" w:lineRule="auto"/>
          </w:pPr>
          <w:r>
            <w:fldChar w:fldCharType="begin"/>
          </w:r>
          <w:r>
            <w:instrText xml:space="preserve"> HYPERLINK \l _Toc29821 </w:instrText>
          </w:r>
          <w:r>
            <w:fldChar w:fldCharType="separate"/>
          </w:r>
          <w:r>
            <w:rPr>
              <w:rFonts w:hint="eastAsia"/>
            </w:rPr>
            <w:t>第三章  评审办法及标准</w:t>
          </w:r>
          <w:r>
            <w:tab/>
          </w:r>
          <w:r>
            <w:fldChar w:fldCharType="begin"/>
          </w:r>
          <w:r>
            <w:instrText xml:space="preserve"> PAGEREF _Toc29821 </w:instrText>
          </w:r>
          <w:r>
            <w:fldChar w:fldCharType="separate"/>
          </w:r>
          <w:r>
            <w:t>12</w:t>
          </w:r>
          <w:r>
            <w:fldChar w:fldCharType="end"/>
          </w:r>
          <w:r>
            <w:fldChar w:fldCharType="end"/>
          </w:r>
        </w:p>
        <w:p>
          <w:pPr>
            <w:pStyle w:val="32"/>
            <w:tabs>
              <w:tab w:val="right" w:leader="dot" w:pos="8302"/>
            </w:tabs>
            <w:spacing w:line="360" w:lineRule="auto"/>
          </w:pPr>
          <w:r>
            <w:fldChar w:fldCharType="begin"/>
          </w:r>
          <w:r>
            <w:instrText xml:space="preserve"> HYPERLINK \l _Toc16033 </w:instrText>
          </w:r>
          <w:r>
            <w:fldChar w:fldCharType="separate"/>
          </w:r>
          <w:r>
            <w:rPr>
              <w:rFonts w:hint="eastAsia"/>
            </w:rPr>
            <w:t>第四章  用户需求书</w:t>
          </w:r>
          <w:r>
            <w:tab/>
          </w:r>
          <w:r>
            <w:fldChar w:fldCharType="begin"/>
          </w:r>
          <w:r>
            <w:instrText xml:space="preserve"> PAGEREF _Toc16033 </w:instrText>
          </w:r>
          <w:r>
            <w:fldChar w:fldCharType="separate"/>
          </w:r>
          <w:r>
            <w:t>14</w:t>
          </w:r>
          <w:r>
            <w:fldChar w:fldCharType="end"/>
          </w:r>
          <w:r>
            <w:fldChar w:fldCharType="end"/>
          </w:r>
        </w:p>
        <w:p>
          <w:pPr>
            <w:pStyle w:val="32"/>
            <w:tabs>
              <w:tab w:val="right" w:leader="dot" w:pos="8302"/>
            </w:tabs>
            <w:spacing w:line="360" w:lineRule="auto"/>
          </w:pPr>
          <w:r>
            <w:fldChar w:fldCharType="begin"/>
          </w:r>
          <w:r>
            <w:instrText xml:space="preserve"> HYPERLINK \l _Toc9549 </w:instrText>
          </w:r>
          <w:r>
            <w:fldChar w:fldCharType="separate"/>
          </w:r>
          <w:r>
            <w:rPr>
              <w:rFonts w:hint="eastAsia"/>
            </w:rPr>
            <w:t>第五章  合同格式条款</w:t>
          </w:r>
          <w:r>
            <w:tab/>
          </w:r>
          <w:r>
            <w:fldChar w:fldCharType="begin"/>
          </w:r>
          <w:r>
            <w:instrText xml:space="preserve"> PAGEREF _Toc9549 </w:instrText>
          </w:r>
          <w:r>
            <w:fldChar w:fldCharType="separate"/>
          </w:r>
          <w:r>
            <w:t>15</w:t>
          </w:r>
          <w:r>
            <w:fldChar w:fldCharType="end"/>
          </w:r>
          <w:r>
            <w:fldChar w:fldCharType="end"/>
          </w:r>
        </w:p>
        <w:p>
          <w:pPr>
            <w:pStyle w:val="32"/>
            <w:tabs>
              <w:tab w:val="right" w:leader="dot" w:pos="8302"/>
            </w:tabs>
            <w:spacing w:line="360" w:lineRule="auto"/>
          </w:pPr>
          <w:r>
            <w:fldChar w:fldCharType="begin"/>
          </w:r>
          <w:r>
            <w:instrText xml:space="preserve"> HYPERLINK \l _Toc10471 </w:instrText>
          </w:r>
          <w:r>
            <w:fldChar w:fldCharType="separate"/>
          </w:r>
          <w:r>
            <w:rPr>
              <w:rFonts w:hint="eastAsia"/>
            </w:rPr>
            <w:t>第六章 响应文件组成</w:t>
          </w:r>
          <w:r>
            <w:tab/>
          </w:r>
          <w:r>
            <w:fldChar w:fldCharType="begin"/>
          </w:r>
          <w:r>
            <w:instrText xml:space="preserve"> PAGEREF _Toc10471 </w:instrText>
          </w:r>
          <w:r>
            <w:fldChar w:fldCharType="separate"/>
          </w:r>
          <w:r>
            <w:t>23</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_Toc17425 </w:instrText>
          </w:r>
          <w:r>
            <w:fldChar w:fldCharType="separate"/>
          </w:r>
          <w:r>
            <w:rPr>
              <w:rFonts w:hint="eastAsia"/>
            </w:rPr>
            <w:t>一、谈判承诺书</w:t>
          </w:r>
          <w:r>
            <w:tab/>
          </w:r>
          <w:r>
            <w:fldChar w:fldCharType="begin"/>
          </w:r>
          <w:r>
            <w:instrText xml:space="preserve"> PAGEREF _Toc17425 </w:instrText>
          </w:r>
          <w:r>
            <w:fldChar w:fldCharType="separate"/>
          </w:r>
          <w:r>
            <w:t>25</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_Toc30662 </w:instrText>
          </w:r>
          <w:r>
            <w:fldChar w:fldCharType="separate"/>
          </w:r>
          <w:r>
            <w:rPr>
              <w:rFonts w:hint="eastAsia"/>
            </w:rPr>
            <w:t>二、法定代表人身份证明书</w:t>
          </w:r>
          <w:r>
            <w:tab/>
          </w:r>
          <w:r>
            <w:fldChar w:fldCharType="begin"/>
          </w:r>
          <w:r>
            <w:instrText xml:space="preserve"> PAGEREF _Toc30662 </w:instrText>
          </w:r>
          <w:r>
            <w:fldChar w:fldCharType="separate"/>
          </w:r>
          <w:r>
            <w:t>26</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_Toc27341 </w:instrText>
          </w:r>
          <w:r>
            <w:fldChar w:fldCharType="separate"/>
          </w:r>
          <w:r>
            <w:rPr>
              <w:rFonts w:hint="eastAsia"/>
            </w:rPr>
            <w:t>三、授权委托书</w:t>
          </w:r>
          <w:r>
            <w:tab/>
          </w:r>
          <w:r>
            <w:fldChar w:fldCharType="begin"/>
          </w:r>
          <w:r>
            <w:instrText xml:space="preserve"> PAGEREF _Toc27341 </w:instrText>
          </w:r>
          <w:r>
            <w:fldChar w:fldCharType="separate"/>
          </w:r>
          <w:r>
            <w:t>27</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_Toc21878 </w:instrText>
          </w:r>
          <w:r>
            <w:fldChar w:fldCharType="separate"/>
          </w:r>
          <w:r>
            <w:rPr>
              <w:rFonts w:hint="eastAsia"/>
            </w:rPr>
            <w:t>四、谈判单位资格证明文件</w:t>
          </w:r>
          <w:r>
            <w:tab/>
          </w:r>
          <w:r>
            <w:fldChar w:fldCharType="begin"/>
          </w:r>
          <w:r>
            <w:instrText xml:space="preserve"> PAGEREF _Toc21878 </w:instrText>
          </w:r>
          <w:r>
            <w:fldChar w:fldCharType="separate"/>
          </w:r>
          <w:r>
            <w:t>28</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_Toc16304 </w:instrText>
          </w:r>
          <w:r>
            <w:fldChar w:fldCharType="separate"/>
          </w:r>
          <w:r>
            <w:rPr>
              <w:rFonts w:hint="eastAsia"/>
              <w:lang w:val="en-US" w:eastAsia="zh-CN"/>
            </w:rPr>
            <w:t>五、实质性条款（标注“★”符号）响应表</w:t>
          </w:r>
          <w:r>
            <w:tab/>
          </w:r>
          <w:r>
            <w:fldChar w:fldCharType="begin"/>
          </w:r>
          <w:r>
            <w:instrText xml:space="preserve"> PAGEREF _Toc16304 </w:instrText>
          </w:r>
          <w:r>
            <w:fldChar w:fldCharType="separate"/>
          </w:r>
          <w:r>
            <w:t>29</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_Toc25110 </w:instrText>
          </w:r>
          <w:r>
            <w:fldChar w:fldCharType="separate"/>
          </w:r>
          <w:r>
            <w:rPr>
              <w:rFonts w:hint="eastAsia"/>
              <w:lang w:val="en-US" w:eastAsia="zh-CN"/>
            </w:rPr>
            <w:t>六、报价一览表</w:t>
          </w:r>
          <w:r>
            <w:tab/>
          </w:r>
          <w:r>
            <w:fldChar w:fldCharType="begin"/>
          </w:r>
          <w:r>
            <w:instrText xml:space="preserve"> PAGEREF _Toc25110 </w:instrText>
          </w:r>
          <w:r>
            <w:fldChar w:fldCharType="separate"/>
          </w:r>
          <w:r>
            <w:t>30</w:t>
          </w:r>
          <w:r>
            <w:fldChar w:fldCharType="end"/>
          </w:r>
          <w:r>
            <w:fldChar w:fldCharType="end"/>
          </w:r>
        </w:p>
        <w:p>
          <w:pPr>
            <w:pStyle w:val="32"/>
            <w:keepNext w:val="0"/>
            <w:keepLines w:val="0"/>
            <w:pageBreakBefore w:val="0"/>
            <w:widowControl w:val="0"/>
            <w:tabs>
              <w:tab w:val="right" w:leader="dot" w:pos="8302"/>
            </w:tabs>
            <w:kinsoku/>
            <w:wordWrap/>
            <w:overflowPunct/>
            <w:topLinePunct w:val="0"/>
            <w:autoSpaceDE/>
            <w:autoSpaceDN/>
            <w:bidi w:val="0"/>
            <w:adjustRightInd/>
            <w:snapToGrid/>
            <w:spacing w:line="360" w:lineRule="auto"/>
            <w:ind w:firstLine="420" w:firstLineChars="200"/>
            <w:textAlignment w:val="auto"/>
          </w:pPr>
          <w:r>
            <w:fldChar w:fldCharType="begin"/>
          </w:r>
          <w:r>
            <w:instrText xml:space="preserve"> HYPERLINK \l _Toc30873 </w:instrText>
          </w:r>
          <w:r>
            <w:fldChar w:fldCharType="separate"/>
          </w:r>
          <w:r>
            <w:rPr>
              <w:rFonts w:hint="eastAsia"/>
            </w:rPr>
            <w:t>七、其他资料</w:t>
          </w:r>
          <w:r>
            <w:rPr>
              <w:rFonts w:hint="eastAsia"/>
              <w:lang w:eastAsia="zh-CN"/>
            </w:rPr>
            <w:t>（如有）</w:t>
          </w:r>
          <w:r>
            <w:tab/>
          </w:r>
          <w:r>
            <w:fldChar w:fldCharType="begin"/>
          </w:r>
          <w:r>
            <w:instrText xml:space="preserve"> PAGEREF _Toc30873 </w:instrText>
          </w:r>
          <w:r>
            <w:fldChar w:fldCharType="separate"/>
          </w:r>
          <w:r>
            <w:t>31</w:t>
          </w:r>
          <w:r>
            <w:fldChar w:fldCharType="end"/>
          </w:r>
          <w:r>
            <w:fldChar w:fldCharType="end"/>
          </w:r>
        </w:p>
        <w:p>
          <w:pPr>
            <w:spacing w:line="360" w:lineRule="exact"/>
            <w:rPr>
              <w:rFonts w:ascii="黑体" w:hAnsi="宋体" w:eastAsia="黑体"/>
              <w:b/>
              <w:sz w:val="32"/>
              <w:szCs w:val="32"/>
            </w:rPr>
          </w:pPr>
          <w:r>
            <w:fldChar w:fldCharType="end"/>
          </w:r>
        </w:p>
      </w:sdtContent>
    </w:sdt>
    <w:p>
      <w:pPr>
        <w:spacing w:line="360" w:lineRule="auto"/>
        <w:rPr>
          <w:rFonts w:ascii="黑体" w:hAnsi="宋体" w:eastAsia="黑体"/>
          <w:b/>
          <w:sz w:val="32"/>
          <w:szCs w:val="32"/>
        </w:rPr>
        <w:sectPr>
          <w:footerReference r:id="rId3" w:type="default"/>
          <w:pgSz w:w="11906" w:h="16838"/>
          <w:pgMar w:top="1440" w:right="1797" w:bottom="1440" w:left="1797" w:header="851" w:footer="851" w:gutter="0"/>
          <w:pgNumType w:start="1"/>
          <w:cols w:space="720" w:num="1"/>
          <w:docGrid w:linePitch="312" w:charSpace="0"/>
        </w:sectPr>
      </w:pPr>
    </w:p>
    <w:p>
      <w:pPr>
        <w:pStyle w:val="3"/>
        <w:keepNext w:val="0"/>
        <w:rPr>
          <w:rFonts w:ascii="宋体" w:hAnsi="宋体" w:eastAsia="宋体" w:cs="宋体"/>
          <w:sz w:val="32"/>
          <w:szCs w:val="32"/>
        </w:rPr>
      </w:pPr>
      <w:bookmarkStart w:id="0" w:name="_Toc9534"/>
      <w:bookmarkStart w:id="1" w:name="_Toc1052"/>
      <w:r>
        <w:rPr>
          <w:rFonts w:hint="eastAsia" w:ascii="宋体" w:hAnsi="宋体" w:eastAsia="宋体" w:cs="宋体"/>
          <w:sz w:val="32"/>
          <w:szCs w:val="32"/>
        </w:rPr>
        <w:t>第一章  谈判邀请公告</w:t>
      </w:r>
      <w:bookmarkEnd w:id="0"/>
      <w:bookmarkEnd w:id="1"/>
    </w:p>
    <w:p>
      <w:pPr>
        <w:pStyle w:val="25"/>
        <w:adjustRightInd w:val="0"/>
        <w:snapToGrid w:val="0"/>
        <w:spacing w:line="360" w:lineRule="auto"/>
        <w:rPr>
          <w:rFonts w:hAnsi="宋体"/>
          <w:iCs/>
          <w:u w:val="single"/>
        </w:rPr>
      </w:pPr>
    </w:p>
    <w:p>
      <w:pPr>
        <w:spacing w:line="360" w:lineRule="auto"/>
        <w:ind w:firstLine="420" w:firstLineChars="200"/>
        <w:jc w:val="left"/>
        <w:rPr>
          <w:rFonts w:hAnsi="宋体"/>
          <w:iCs/>
          <w:u w:val="single"/>
        </w:rPr>
      </w:pPr>
      <w:r>
        <w:rPr>
          <w:rFonts w:hint="eastAsia" w:hAnsi="宋体"/>
          <w:iCs/>
          <w:u w:val="single"/>
        </w:rPr>
        <w:t>智埔国际工程咨询有限公司</w:t>
      </w:r>
      <w:r>
        <w:rPr>
          <w:rFonts w:hint="eastAsia" w:hAnsi="宋体" w:cs="宋体"/>
        </w:rPr>
        <w:t>受</w:t>
      </w:r>
      <w:r>
        <w:rPr>
          <w:rFonts w:hint="eastAsia" w:hAnsi="宋体"/>
          <w:iCs/>
          <w:u w:val="single"/>
        </w:rPr>
        <w:t>长沙市轨道交通一号线建设发展有限公司</w:t>
      </w:r>
      <w:r>
        <w:rPr>
          <w:rFonts w:hint="eastAsia" w:hAnsi="宋体"/>
          <w:iCs/>
          <w:u w:val="single"/>
          <w:lang w:eastAsia="zh-CN"/>
        </w:rPr>
        <w:t>、</w:t>
      </w:r>
      <w:r>
        <w:rPr>
          <w:rFonts w:hint="eastAsia" w:hAnsi="宋体"/>
          <w:iCs/>
          <w:u w:val="single"/>
        </w:rPr>
        <w:t>长沙市轨道交通运营有限公司、长沙市轨道交通三号线建设发展有限公司、长沙市轨道交通四号线建设发展有限公司、长沙市轨道交通五号线建设发展有限公司的委托</w:t>
      </w:r>
      <w:r>
        <w:rPr>
          <w:rFonts w:hint="eastAsia" w:hAnsi="宋体"/>
          <w:iCs/>
        </w:rPr>
        <w:t>对</w:t>
      </w:r>
      <w:r>
        <w:rPr>
          <w:rFonts w:hint="eastAsia" w:ascii="宋体" w:hAnsi="宋体" w:cs="Courier New"/>
          <w:bCs/>
          <w:szCs w:val="21"/>
          <w:u w:val="single"/>
        </w:rPr>
        <w:t>长沙市轨道交通1、2、3、4、5号线2021年-2022年公务用车保险定点服务项目</w:t>
      </w:r>
      <w:r>
        <w:rPr>
          <w:rFonts w:hint="eastAsia" w:hAnsi="宋体"/>
          <w:iCs/>
        </w:rPr>
        <w:t>进行自主竞争性谈判采购，现发布公告，邀请符合条件的单位参与谈判采购活动。</w:t>
      </w:r>
    </w:p>
    <w:p>
      <w:pPr>
        <w:pStyle w:val="25"/>
        <w:adjustRightInd w:val="0"/>
        <w:snapToGrid w:val="0"/>
        <w:spacing w:line="360" w:lineRule="auto"/>
        <w:ind w:firstLine="422" w:firstLineChars="200"/>
        <w:rPr>
          <w:rFonts w:hAnsi="宋体"/>
          <w:b/>
          <w:iCs/>
        </w:rPr>
      </w:pPr>
      <w:r>
        <w:rPr>
          <w:rFonts w:hint="eastAsia" w:hAnsi="宋体"/>
          <w:b/>
          <w:iCs/>
        </w:rPr>
        <w:t>一、项目概况</w:t>
      </w:r>
    </w:p>
    <w:p>
      <w:pPr>
        <w:pStyle w:val="25"/>
        <w:adjustRightInd w:val="0"/>
        <w:snapToGrid w:val="0"/>
        <w:spacing w:line="360" w:lineRule="auto"/>
        <w:ind w:firstLine="420" w:firstLineChars="200"/>
        <w:rPr>
          <w:rFonts w:hAnsi="宋体" w:cs="宋体"/>
          <w:b/>
          <w:iCs/>
        </w:rPr>
      </w:pPr>
      <w:r>
        <w:rPr>
          <w:rFonts w:hint="eastAsia" w:hAnsi="宋体" w:cs="宋体"/>
          <w:iCs/>
        </w:rPr>
        <w:t>1.项目名称：</w:t>
      </w:r>
      <w:r>
        <w:rPr>
          <w:rFonts w:hint="eastAsia" w:hAnsi="宋体"/>
          <w:bCs/>
        </w:rPr>
        <w:t>长沙市轨道交通1、2、3、4、5号线2021年-2022年公务用车保险定点服务项目</w:t>
      </w:r>
    </w:p>
    <w:p>
      <w:pPr>
        <w:pStyle w:val="25"/>
        <w:adjustRightInd w:val="0"/>
        <w:snapToGrid w:val="0"/>
        <w:spacing w:line="360" w:lineRule="auto"/>
        <w:ind w:firstLine="420" w:firstLineChars="200"/>
        <w:rPr>
          <w:rFonts w:hAnsi="宋体" w:cs="宋体"/>
          <w:iCs/>
        </w:rPr>
      </w:pPr>
      <w:r>
        <w:rPr>
          <w:rFonts w:hint="eastAsia" w:hAnsi="宋体" w:cs="宋体"/>
          <w:iCs/>
        </w:rPr>
        <w:t>2.项目预算：426500.34</w:t>
      </w:r>
      <w:r>
        <w:rPr>
          <w:rFonts w:hint="eastAsia"/>
        </w:rPr>
        <w:t>元</w:t>
      </w:r>
    </w:p>
    <w:p>
      <w:pPr>
        <w:snapToGrid w:val="0"/>
        <w:spacing w:line="360" w:lineRule="auto"/>
        <w:ind w:firstLine="420" w:firstLineChars="200"/>
        <w:rPr>
          <w:rFonts w:ascii="宋体" w:hAnsi="宋体" w:cs="宋体"/>
          <w:iCs/>
          <w:szCs w:val="21"/>
        </w:rPr>
      </w:pPr>
      <w:r>
        <w:rPr>
          <w:rFonts w:hint="eastAsia" w:ascii="宋体" w:hAnsi="宋体" w:cs="宋体"/>
          <w:iCs/>
          <w:szCs w:val="21"/>
        </w:rPr>
        <w:t>3.谈判内容：本项目主要为长沙市轨道交通1、2、3、4、5号线2021年-2022年公务用车的车船使用税、机动车交通事故责任强制保险、车辆损失险、第三者责任险（100万元）、车上人员责任险（10万元/座）、不计免赔率险、玻璃单独破碎险、自燃险、机动车损失保险无法找到第三方特约险。（具体详见用户需求书）</w:t>
      </w:r>
    </w:p>
    <w:p>
      <w:pPr>
        <w:pStyle w:val="25"/>
        <w:adjustRightInd w:val="0"/>
        <w:snapToGrid w:val="0"/>
        <w:spacing w:line="360" w:lineRule="auto"/>
        <w:ind w:firstLine="420" w:firstLineChars="200"/>
        <w:rPr>
          <w:rFonts w:hAnsi="宋体" w:cs="宋体"/>
          <w:iCs/>
        </w:rPr>
      </w:pPr>
      <w:r>
        <w:rPr>
          <w:rFonts w:hint="eastAsia" w:hAnsi="宋体" w:cs="宋体"/>
          <w:iCs/>
        </w:rPr>
        <w:t>4.</w:t>
      </w:r>
      <w:r>
        <w:rPr>
          <w:rFonts w:hint="eastAsia" w:hAnsi="宋体"/>
          <w:bCs/>
        </w:rPr>
        <w:t>标段划分：共划分1</w:t>
      </w:r>
      <w:r>
        <w:rPr>
          <w:rFonts w:hint="eastAsia" w:hAnsi="宋体"/>
        </w:rPr>
        <w:t>个标段</w:t>
      </w:r>
    </w:p>
    <w:p>
      <w:pPr>
        <w:pStyle w:val="25"/>
        <w:adjustRightInd w:val="0"/>
        <w:snapToGrid w:val="0"/>
        <w:spacing w:line="360" w:lineRule="auto"/>
        <w:ind w:firstLine="420" w:firstLineChars="200"/>
        <w:rPr>
          <w:rFonts w:hAnsi="宋体" w:cs="宋体"/>
          <w:iCs/>
        </w:rPr>
      </w:pPr>
      <w:r>
        <w:rPr>
          <w:rFonts w:hint="eastAsia" w:hAnsi="宋体" w:cs="宋体"/>
          <w:iCs/>
        </w:rPr>
        <w:t>5.服务期限：本项目服务期限为2021年至2022年，总计12个月（实际服务时间以采购单位发出的进场通知起算，总计12个月）。（具体详见用户需求书）</w:t>
      </w:r>
    </w:p>
    <w:p>
      <w:pPr>
        <w:pStyle w:val="25"/>
        <w:adjustRightInd w:val="0"/>
        <w:snapToGrid w:val="0"/>
        <w:spacing w:line="360" w:lineRule="auto"/>
        <w:ind w:firstLine="422" w:firstLineChars="200"/>
        <w:rPr>
          <w:rFonts w:hAnsi="宋体"/>
          <w:b/>
          <w:iCs/>
        </w:rPr>
      </w:pPr>
      <w:r>
        <w:rPr>
          <w:rFonts w:hint="eastAsia" w:hAnsi="宋体"/>
          <w:b/>
          <w:iCs/>
        </w:rPr>
        <w:t>二、资格要求</w:t>
      </w:r>
    </w:p>
    <w:p>
      <w:pPr>
        <w:snapToGrid w:val="0"/>
        <w:spacing w:line="360" w:lineRule="auto"/>
        <w:ind w:firstLine="420" w:firstLineChars="200"/>
        <w:rPr>
          <w:rFonts w:ascii="宋体" w:hAnsi="宋体" w:cs="宋体"/>
          <w:iCs/>
          <w:szCs w:val="21"/>
        </w:rPr>
      </w:pPr>
      <w:r>
        <w:rPr>
          <w:rFonts w:hint="eastAsia" w:ascii="宋体" w:hAnsi="宋体" w:cs="宋体"/>
          <w:iCs/>
          <w:szCs w:val="21"/>
        </w:rPr>
        <w:t>1.谈判单位须入围长沙市2020—2022年长沙市机关事业单位公务车辆定点保险服务单位名单；</w:t>
      </w:r>
    </w:p>
    <w:p>
      <w:pPr>
        <w:snapToGrid w:val="0"/>
        <w:spacing w:line="360" w:lineRule="auto"/>
        <w:ind w:firstLine="420" w:firstLineChars="200"/>
        <w:rPr>
          <w:rFonts w:ascii="宋体" w:hAnsi="宋体" w:cs="宋体"/>
          <w:iCs/>
          <w:szCs w:val="21"/>
        </w:rPr>
      </w:pPr>
      <w:r>
        <w:rPr>
          <w:rFonts w:hint="eastAsia" w:ascii="宋体" w:hAnsi="宋体" w:cs="宋体"/>
          <w:iCs/>
          <w:szCs w:val="21"/>
        </w:rPr>
        <w:t>2.本项目不接受联合体形式参与投标；</w:t>
      </w:r>
    </w:p>
    <w:p>
      <w:pPr>
        <w:snapToGrid w:val="0"/>
        <w:spacing w:line="360" w:lineRule="auto"/>
        <w:ind w:firstLine="420" w:firstLineChars="200"/>
        <w:rPr>
          <w:rFonts w:ascii="宋体" w:hAnsi="宋体" w:cs="宋体"/>
          <w:iCs/>
          <w:szCs w:val="21"/>
        </w:rPr>
      </w:pPr>
      <w:r>
        <w:rPr>
          <w:rFonts w:hint="eastAsia" w:ascii="宋体" w:hAnsi="宋体" w:cs="宋体"/>
          <w:iCs/>
          <w:szCs w:val="21"/>
        </w:rPr>
        <w:t>3.被长沙市轨道交通集团函告禁止在一定期限内参与轨道公司项目投标的单位按函告内容执行。</w:t>
      </w:r>
    </w:p>
    <w:p>
      <w:pPr>
        <w:spacing w:line="360" w:lineRule="auto"/>
        <w:ind w:firstLine="422" w:firstLineChars="200"/>
        <w:rPr>
          <w:rFonts w:ascii="宋体" w:hAnsi="宋体" w:cs="Courier New"/>
          <w:b/>
          <w:iCs/>
          <w:szCs w:val="21"/>
        </w:rPr>
      </w:pPr>
      <w:r>
        <w:rPr>
          <w:rFonts w:hint="eastAsia" w:ascii="宋体" w:hAnsi="宋体" w:cs="Courier New"/>
          <w:b/>
          <w:iCs/>
          <w:szCs w:val="21"/>
        </w:rPr>
        <w:t>三、评审办法</w:t>
      </w:r>
    </w:p>
    <w:p>
      <w:pPr>
        <w:adjustRightInd w:val="0"/>
        <w:snapToGrid w:val="0"/>
        <w:spacing w:line="360" w:lineRule="auto"/>
        <w:ind w:left="420" w:leftChars="200"/>
        <w:rPr>
          <w:rFonts w:ascii="宋体" w:hAnsi="宋体"/>
          <w:b/>
          <w:bCs/>
          <w:szCs w:val="21"/>
        </w:rPr>
      </w:pPr>
      <w:r>
        <w:rPr>
          <w:rFonts w:hint="eastAsia" w:ascii="宋体" w:hAnsi="宋体" w:cs="Courier New"/>
          <w:iCs/>
          <w:szCs w:val="21"/>
        </w:rPr>
        <w:t>本项目评审办法采用经符合性审查</w:t>
      </w:r>
      <w:r>
        <w:rPr>
          <w:rFonts w:hint="eastAsia" w:ascii="宋体" w:hAnsi="宋体"/>
          <w:bCs/>
          <w:szCs w:val="21"/>
        </w:rPr>
        <w:t>合格</w:t>
      </w:r>
      <w:r>
        <w:rPr>
          <w:rFonts w:hint="eastAsia" w:ascii="宋体" w:hAnsi="宋体" w:cs="Courier New"/>
          <w:iCs/>
          <w:szCs w:val="21"/>
        </w:rPr>
        <w:t>后的最低价法。</w:t>
      </w:r>
    </w:p>
    <w:p>
      <w:pPr>
        <w:spacing w:line="360" w:lineRule="auto"/>
        <w:ind w:firstLine="422" w:firstLineChars="200"/>
        <w:rPr>
          <w:rFonts w:ascii="宋体" w:hAnsi="宋体"/>
          <w:b/>
          <w:bCs/>
          <w:szCs w:val="21"/>
        </w:rPr>
      </w:pPr>
      <w:r>
        <w:rPr>
          <w:rFonts w:hint="eastAsia" w:ascii="宋体" w:hAnsi="宋体"/>
          <w:b/>
          <w:bCs/>
          <w:szCs w:val="21"/>
        </w:rPr>
        <w:t>四、自主竞争性谈判文件的获取</w:t>
      </w:r>
    </w:p>
    <w:p>
      <w:pPr>
        <w:spacing w:line="360" w:lineRule="auto"/>
        <w:ind w:firstLine="420" w:firstLineChars="200"/>
        <w:rPr>
          <w:rFonts w:ascii="宋体" w:hAnsi="宋体"/>
          <w:szCs w:val="21"/>
        </w:rPr>
      </w:pPr>
      <w:r>
        <w:rPr>
          <w:rFonts w:hint="eastAsia" w:ascii="宋体" w:hAnsi="宋体"/>
          <w:szCs w:val="21"/>
        </w:rPr>
        <w:t>凡有意参加谈判的单位，请于2020年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日至2020年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日登录长沙市轨道交通集团有限公司官方网站</w:t>
      </w:r>
      <w:r>
        <w:rPr>
          <w:rFonts w:hint="eastAsia" w:ascii="宋体" w:hAnsi="宋体" w:cs="宋体"/>
          <w:kern w:val="0"/>
          <w:szCs w:val="21"/>
        </w:rPr>
        <w:t>（http://www.hncsmtr.com/）</w:t>
      </w:r>
      <w:r>
        <w:rPr>
          <w:rFonts w:hint="eastAsia" w:ascii="宋体" w:hAnsi="宋体"/>
          <w:szCs w:val="21"/>
        </w:rPr>
        <w:t>获取自主竞争性谈判文件。</w:t>
      </w:r>
    </w:p>
    <w:p>
      <w:pPr>
        <w:spacing w:line="360" w:lineRule="auto"/>
        <w:ind w:firstLine="422" w:firstLineChars="200"/>
        <w:rPr>
          <w:rFonts w:ascii="宋体" w:hAnsi="宋体"/>
          <w:b/>
          <w:bCs/>
          <w:szCs w:val="21"/>
        </w:rPr>
      </w:pPr>
      <w:r>
        <w:rPr>
          <w:rFonts w:hint="eastAsia" w:ascii="宋体" w:hAnsi="宋体"/>
          <w:b/>
          <w:bCs/>
          <w:szCs w:val="21"/>
        </w:rPr>
        <w:t>五、谈判文件的澄清答疑</w:t>
      </w:r>
    </w:p>
    <w:p>
      <w:pPr>
        <w:spacing w:line="360" w:lineRule="auto"/>
        <w:ind w:firstLine="420" w:firstLineChars="200"/>
        <w:rPr>
          <w:rFonts w:ascii="宋体" w:hAnsi="宋体"/>
          <w:szCs w:val="21"/>
        </w:rPr>
      </w:pPr>
      <w:r>
        <w:rPr>
          <w:rFonts w:hint="eastAsia" w:ascii="宋体" w:hAnsi="宋体"/>
          <w:szCs w:val="21"/>
        </w:rPr>
        <w:t>1.本项目不组织答疑会和现场踏勘。</w:t>
      </w:r>
    </w:p>
    <w:p>
      <w:pPr>
        <w:spacing w:line="360" w:lineRule="auto"/>
        <w:ind w:firstLine="420" w:firstLineChars="200"/>
        <w:rPr>
          <w:rFonts w:ascii="宋体" w:hAnsi="宋体"/>
          <w:szCs w:val="21"/>
        </w:rPr>
      </w:pPr>
      <w:r>
        <w:rPr>
          <w:rFonts w:hint="eastAsia" w:ascii="宋体" w:hAnsi="宋体"/>
          <w:szCs w:val="21"/>
        </w:rPr>
        <w:t>2.谈判单位若对谈判文件有任何疑问，应于2020年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日17：00时（含）前（节假日除外）以书面形式（经法定代表人签字或盖章，并加盖单位公章）递交至采购代理机构。</w:t>
      </w:r>
    </w:p>
    <w:p>
      <w:pPr>
        <w:spacing w:line="360" w:lineRule="auto"/>
        <w:ind w:firstLine="420" w:firstLineChars="200"/>
        <w:rPr>
          <w:rFonts w:ascii="宋体" w:hAnsi="宋体"/>
          <w:szCs w:val="21"/>
        </w:rPr>
      </w:pPr>
      <w:r>
        <w:rPr>
          <w:rFonts w:hint="eastAsia" w:ascii="宋体" w:hAnsi="宋体"/>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szCs w:val="21"/>
        </w:rPr>
      </w:pPr>
      <w:r>
        <w:rPr>
          <w:rFonts w:hint="eastAsia" w:ascii="宋体" w:hAnsi="宋体"/>
          <w:szCs w:val="21"/>
        </w:rPr>
        <w:t>4.澄清或者修改的内容可能影响响应文件编制的，采购单位或采购代理机构应当在提交响应文件截止之日3个工作日前，在长沙市轨道交通集团有限公司官网</w:t>
      </w:r>
      <w:r>
        <w:rPr>
          <w:rFonts w:hint="eastAsia" w:ascii="宋体" w:hAnsi="宋体" w:cs="宋体"/>
          <w:kern w:val="0"/>
          <w:szCs w:val="21"/>
        </w:rPr>
        <w:t>（http://www.hncsmtr.com/）</w:t>
      </w:r>
      <w:r>
        <w:rPr>
          <w:rFonts w:hint="eastAsia" w:ascii="宋体" w:hAnsi="宋体"/>
          <w:szCs w:val="21"/>
        </w:rPr>
        <w:t>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b/>
          <w:bCs/>
          <w:szCs w:val="21"/>
        </w:rPr>
      </w:pPr>
      <w:r>
        <w:rPr>
          <w:rFonts w:hint="eastAsia" w:ascii="宋体" w:hAnsi="宋体"/>
          <w:b/>
          <w:bCs/>
          <w:szCs w:val="21"/>
        </w:rPr>
        <w:t>六、响应文件的递交</w:t>
      </w:r>
    </w:p>
    <w:p>
      <w:pPr>
        <w:spacing w:line="360" w:lineRule="auto"/>
        <w:ind w:firstLine="420" w:firstLineChars="200"/>
        <w:rPr>
          <w:rFonts w:ascii="宋体" w:hAnsi="宋体"/>
          <w:szCs w:val="21"/>
        </w:rPr>
      </w:pPr>
      <w:r>
        <w:rPr>
          <w:rFonts w:hint="eastAsia" w:ascii="宋体" w:hAnsi="宋体"/>
          <w:szCs w:val="21"/>
        </w:rPr>
        <w:t>1.响应文件递交的截止时间及谈判时间为2020年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日14时30分，地点为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szCs w:val="21"/>
        </w:rPr>
      </w:pPr>
      <w:r>
        <w:rPr>
          <w:rFonts w:hint="eastAsia" w:ascii="宋体" w:hAnsi="宋体"/>
          <w:szCs w:val="21"/>
        </w:rPr>
        <w:t>2.逾期送达的或者未送达指定地点的或者未密封的响应文件，采购单位或采购代理机构将予以拒收。</w:t>
      </w:r>
    </w:p>
    <w:p>
      <w:pPr>
        <w:spacing w:line="360" w:lineRule="auto"/>
        <w:ind w:firstLine="422" w:firstLineChars="200"/>
        <w:rPr>
          <w:rFonts w:ascii="宋体" w:hAnsi="宋体"/>
          <w:szCs w:val="21"/>
        </w:rPr>
      </w:pPr>
      <w:r>
        <w:rPr>
          <w:rFonts w:hint="eastAsia" w:ascii="宋体" w:hAnsi="宋体"/>
          <w:b/>
          <w:bCs/>
          <w:szCs w:val="21"/>
        </w:rPr>
        <w:t>七、采购单位及其委托的采购代理机构的名称、地址和联系方法</w:t>
      </w:r>
    </w:p>
    <w:p>
      <w:pPr>
        <w:spacing w:line="360" w:lineRule="auto"/>
        <w:ind w:firstLine="422" w:firstLineChars="200"/>
        <w:rPr>
          <w:rFonts w:ascii="宋体" w:hAnsi="宋体"/>
          <w:szCs w:val="21"/>
        </w:rPr>
      </w:pPr>
      <w:r>
        <w:rPr>
          <w:rFonts w:hint="eastAsia" w:ascii="宋体" w:hAnsi="宋体"/>
          <w:b/>
          <w:bCs/>
          <w:szCs w:val="21"/>
        </w:rPr>
        <w:t>采购单位</w:t>
      </w:r>
      <w:r>
        <w:rPr>
          <w:rFonts w:ascii="宋体" w:hAnsi="宋体"/>
          <w:b/>
          <w:bCs/>
          <w:szCs w:val="21"/>
        </w:rPr>
        <w:t>：</w:t>
      </w:r>
      <w:r>
        <w:rPr>
          <w:rFonts w:hint="eastAsia" w:ascii="宋体" w:hAnsi="宋体"/>
          <w:szCs w:val="21"/>
        </w:rPr>
        <w:t>长沙市轨道交通一号线建设发展有限公司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长沙市轨道交通运营有限公司</w:t>
      </w:r>
    </w:p>
    <w:p>
      <w:pPr>
        <w:spacing w:line="360" w:lineRule="auto"/>
        <w:ind w:left="420" w:leftChars="200" w:firstLine="1050" w:firstLineChars="500"/>
        <w:rPr>
          <w:rFonts w:ascii="宋体" w:hAnsi="宋体"/>
          <w:szCs w:val="21"/>
        </w:rPr>
      </w:pPr>
      <w:r>
        <w:rPr>
          <w:rFonts w:hint="eastAsia" w:ascii="宋体" w:hAnsi="宋体"/>
          <w:szCs w:val="21"/>
        </w:rPr>
        <w:t>长沙市轨道交通三号线建设发展有限公司</w:t>
      </w:r>
    </w:p>
    <w:p>
      <w:pPr>
        <w:spacing w:line="360" w:lineRule="auto"/>
        <w:ind w:left="420" w:leftChars="200" w:firstLine="1050" w:firstLineChars="500"/>
        <w:rPr>
          <w:rFonts w:hAnsi="宋体"/>
          <w:iCs/>
        </w:rPr>
      </w:pPr>
      <w:r>
        <w:rPr>
          <w:rFonts w:hint="eastAsia" w:hAnsi="宋体"/>
          <w:iCs/>
        </w:rPr>
        <w:t>长沙市轨道交通四号线建设发展有限公司</w:t>
      </w:r>
    </w:p>
    <w:p>
      <w:pPr>
        <w:spacing w:line="360" w:lineRule="auto"/>
        <w:ind w:left="420" w:leftChars="200" w:firstLine="1050" w:firstLineChars="500"/>
        <w:rPr>
          <w:rFonts w:ascii="宋体" w:hAnsi="宋体"/>
          <w:szCs w:val="21"/>
        </w:rPr>
      </w:pPr>
      <w:r>
        <w:rPr>
          <w:rFonts w:hint="eastAsia" w:hAnsi="宋体"/>
          <w:iCs/>
        </w:rPr>
        <w:t>长沙市轨道交通五号线建设发展有限公司</w:t>
      </w:r>
    </w:p>
    <w:p>
      <w:pPr>
        <w:adjustRightInd w:val="0"/>
        <w:snapToGrid w:val="0"/>
        <w:spacing w:line="360" w:lineRule="auto"/>
        <w:ind w:firstLine="411" w:firstLineChars="196"/>
        <w:rPr>
          <w:rFonts w:ascii="宋体" w:hAnsi="宋体"/>
          <w:szCs w:val="21"/>
        </w:rPr>
      </w:pPr>
      <w:r>
        <w:rPr>
          <w:rFonts w:hint="eastAsia" w:ascii="宋体" w:hAnsi="宋体"/>
          <w:szCs w:val="21"/>
        </w:rPr>
        <w:t>地  址：</w:t>
      </w: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kern w:val="0"/>
          <w:szCs w:val="21"/>
          <w:shd w:val="clear" w:color="auto" w:fill="FFFFFF"/>
        </w:rPr>
        <w:t>综合楼9</w:t>
      </w:r>
      <w:r>
        <w:rPr>
          <w:rFonts w:hint="eastAsia" w:ascii="宋体" w:hAnsi="宋体" w:cs="宋体"/>
          <w:szCs w:val="21"/>
        </w:rPr>
        <w:t>楼910室</w:t>
      </w:r>
    </w:p>
    <w:p>
      <w:pPr>
        <w:spacing w:line="360" w:lineRule="auto"/>
        <w:ind w:firstLine="420" w:firstLineChars="200"/>
        <w:rPr>
          <w:rFonts w:ascii="宋体" w:hAnsi="宋体"/>
          <w:szCs w:val="21"/>
        </w:rPr>
      </w:pPr>
      <w:r>
        <w:rPr>
          <w:rFonts w:hint="eastAsia" w:ascii="宋体" w:hAnsi="宋体"/>
          <w:szCs w:val="21"/>
        </w:rPr>
        <w:t>联系人：沈工</w:t>
      </w:r>
    </w:p>
    <w:p>
      <w:pPr>
        <w:spacing w:line="360" w:lineRule="auto"/>
        <w:ind w:firstLine="420" w:firstLineChars="200"/>
        <w:rPr>
          <w:rFonts w:hint="default" w:ascii="宋体" w:hAnsi="宋体" w:eastAsia="宋体"/>
          <w:szCs w:val="21"/>
          <w:lang w:val="en-US" w:eastAsia="zh-CN"/>
        </w:rPr>
      </w:pPr>
      <w:r>
        <w:rPr>
          <w:rFonts w:hint="eastAsia" w:ascii="宋体" w:hAnsi="宋体"/>
          <w:szCs w:val="21"/>
        </w:rPr>
        <w:t>电话：0731-868523</w:t>
      </w:r>
      <w:r>
        <w:rPr>
          <w:rFonts w:hint="eastAsia" w:ascii="宋体" w:hAnsi="宋体"/>
          <w:szCs w:val="21"/>
          <w:lang w:val="en-US" w:eastAsia="zh-CN"/>
        </w:rPr>
        <w:t>47</w:t>
      </w:r>
    </w:p>
    <w:p>
      <w:pPr>
        <w:spacing w:line="360" w:lineRule="auto"/>
        <w:ind w:firstLine="420" w:firstLineChars="200"/>
        <w:rPr>
          <w:rFonts w:ascii="宋体" w:hAnsi="宋体"/>
          <w:szCs w:val="21"/>
        </w:rPr>
      </w:pPr>
      <w:r>
        <w:rPr>
          <w:rFonts w:hint="eastAsia" w:ascii="宋体" w:hAnsi="宋体"/>
          <w:szCs w:val="21"/>
        </w:rPr>
        <w:t>监督举报电话：0731-86852248</w:t>
      </w:r>
    </w:p>
    <w:p>
      <w:pPr>
        <w:spacing w:line="360" w:lineRule="auto"/>
        <w:ind w:firstLine="420" w:firstLineChars="200"/>
        <w:rPr>
          <w:rFonts w:ascii="宋体" w:hAnsi="宋体"/>
          <w:szCs w:val="21"/>
        </w:rPr>
      </w:pPr>
      <w:r>
        <w:rPr>
          <w:rFonts w:hint="eastAsia" w:ascii="宋体" w:hAnsi="宋体"/>
          <w:szCs w:val="21"/>
        </w:rPr>
        <w:t>联系人：文工</w:t>
      </w:r>
    </w:p>
    <w:p>
      <w:pPr>
        <w:spacing w:line="360" w:lineRule="auto"/>
        <w:ind w:firstLine="422" w:firstLineChars="200"/>
        <w:rPr>
          <w:rFonts w:ascii="宋体" w:hAnsi="宋体"/>
          <w:szCs w:val="21"/>
        </w:rPr>
      </w:pPr>
      <w:r>
        <w:rPr>
          <w:rFonts w:hint="eastAsia" w:ascii="宋体" w:hAnsi="宋体"/>
          <w:b/>
          <w:bCs/>
          <w:szCs w:val="21"/>
        </w:rPr>
        <w:t>采购</w:t>
      </w:r>
      <w:r>
        <w:rPr>
          <w:rFonts w:ascii="宋体" w:hAnsi="宋体"/>
          <w:b/>
          <w:bCs/>
          <w:szCs w:val="21"/>
        </w:rPr>
        <w:t>代理机构：</w:t>
      </w:r>
      <w:r>
        <w:rPr>
          <w:rFonts w:hint="eastAsia" w:ascii="宋体" w:hAnsi="宋体"/>
          <w:szCs w:val="21"/>
        </w:rPr>
        <w:t>智埔国际工程咨询有限公司</w:t>
      </w:r>
    </w:p>
    <w:p>
      <w:pPr>
        <w:spacing w:line="360" w:lineRule="auto"/>
        <w:ind w:firstLine="420" w:firstLineChars="200"/>
        <w:rPr>
          <w:rFonts w:ascii="宋体" w:hAnsi="宋体"/>
          <w:szCs w:val="21"/>
        </w:rPr>
      </w:pPr>
      <w:r>
        <w:rPr>
          <w:rFonts w:hint="eastAsia" w:ascii="宋体" w:hAnsi="宋体"/>
          <w:szCs w:val="21"/>
        </w:rPr>
        <w:t>地  址：</w:t>
      </w:r>
      <w:r>
        <w:rPr>
          <w:rFonts w:ascii="宋体" w:hAnsi="宋体"/>
          <w:szCs w:val="21"/>
        </w:rPr>
        <w:t>长沙市</w:t>
      </w:r>
      <w:r>
        <w:rPr>
          <w:rFonts w:hint="eastAsia" w:ascii="宋体" w:hAnsi="宋体"/>
          <w:szCs w:val="21"/>
        </w:rPr>
        <w:t>高新区文轩路27号麓谷企业广场B5栋5楼</w:t>
      </w:r>
    </w:p>
    <w:p>
      <w:pPr>
        <w:spacing w:line="360" w:lineRule="auto"/>
        <w:ind w:firstLine="420" w:firstLineChars="200"/>
        <w:rPr>
          <w:rFonts w:ascii="宋体" w:hAnsi="宋体"/>
          <w:szCs w:val="21"/>
        </w:rPr>
      </w:pPr>
      <w:r>
        <w:rPr>
          <w:rFonts w:hint="eastAsia" w:ascii="宋体" w:hAnsi="宋体"/>
          <w:szCs w:val="21"/>
        </w:rPr>
        <w:t>联系</w:t>
      </w:r>
      <w:r>
        <w:rPr>
          <w:rFonts w:ascii="宋体" w:hAnsi="宋体"/>
          <w:szCs w:val="21"/>
        </w:rPr>
        <w:t>人：</w:t>
      </w:r>
      <w:r>
        <w:rPr>
          <w:rFonts w:hint="eastAsia" w:ascii="宋体" w:hAnsi="宋体"/>
          <w:szCs w:val="21"/>
        </w:rPr>
        <w:t>李红平</w:t>
      </w:r>
    </w:p>
    <w:p>
      <w:pPr>
        <w:spacing w:line="360" w:lineRule="auto"/>
        <w:ind w:firstLine="420" w:firstLineChars="200"/>
        <w:rPr>
          <w:rFonts w:ascii="宋体" w:hAnsi="宋体"/>
          <w:szCs w:val="21"/>
        </w:rPr>
      </w:pPr>
      <w:r>
        <w:rPr>
          <w:rFonts w:ascii="宋体" w:hAnsi="宋体"/>
          <w:szCs w:val="21"/>
        </w:rPr>
        <w:t>电话：</w:t>
      </w:r>
      <w:r>
        <w:rPr>
          <w:rFonts w:hint="eastAsia" w:ascii="宋体" w:hAnsi="宋体"/>
          <w:szCs w:val="21"/>
        </w:rPr>
        <w:t>0731-89670268</w:t>
      </w:r>
    </w:p>
    <w:p>
      <w:pPr>
        <w:spacing w:line="360" w:lineRule="auto"/>
        <w:ind w:firstLine="420" w:firstLineChars="200"/>
        <w:jc w:val="right"/>
        <w:rPr>
          <w:rFonts w:ascii="宋体" w:hAnsi="宋体"/>
          <w:szCs w:val="21"/>
        </w:rPr>
      </w:pPr>
      <w:r>
        <w:rPr>
          <w:rFonts w:hint="eastAsia" w:ascii="宋体" w:hAnsi="宋体"/>
          <w:szCs w:val="21"/>
        </w:rPr>
        <w:t xml:space="preserve">2020年 9 月 </w:t>
      </w:r>
      <w:r>
        <w:rPr>
          <w:rFonts w:hint="eastAsia" w:ascii="宋体" w:hAnsi="宋体"/>
          <w:szCs w:val="21"/>
          <w:lang w:val="en-US" w:eastAsia="zh-CN"/>
        </w:rPr>
        <w:t>7</w:t>
      </w:r>
      <w:r>
        <w:rPr>
          <w:rFonts w:hint="eastAsia" w:ascii="宋体" w:hAnsi="宋体"/>
          <w:szCs w:val="21"/>
        </w:rPr>
        <w:t xml:space="preserve"> 日</w:t>
      </w:r>
    </w:p>
    <w:p>
      <w:pPr>
        <w:pStyle w:val="3"/>
        <w:keepNext w:val="0"/>
        <w:spacing w:after="240"/>
        <w:rPr>
          <w:rFonts w:ascii="黑体" w:hAnsi="黑体"/>
          <w:bCs w:val="0"/>
          <w:sz w:val="32"/>
          <w:szCs w:val="32"/>
        </w:rPr>
      </w:pPr>
      <w:r>
        <w:rPr>
          <w:rFonts w:ascii="黑体" w:hAnsi="黑体"/>
          <w:b w:val="0"/>
          <w:bCs w:val="0"/>
          <w:sz w:val="32"/>
          <w:szCs w:val="32"/>
        </w:rPr>
        <w:br w:type="page"/>
      </w:r>
      <w:bookmarkStart w:id="2" w:name="_Toc13244"/>
      <w:bookmarkStart w:id="3" w:name="_Toc14290"/>
      <w:r>
        <w:rPr>
          <w:rFonts w:hint="eastAsia" w:ascii="宋体" w:hAnsi="宋体" w:eastAsia="宋体" w:cs="宋体"/>
          <w:bCs w:val="0"/>
          <w:sz w:val="32"/>
          <w:szCs w:val="32"/>
        </w:rPr>
        <w:t>第二章  谈判须知</w:t>
      </w:r>
      <w:bookmarkEnd w:id="2"/>
      <w:bookmarkEnd w:id="3"/>
    </w:p>
    <w:p>
      <w:pPr>
        <w:pStyle w:val="4"/>
        <w:keepNext w:val="0"/>
        <w:keepLines w:val="0"/>
        <w:jc w:val="center"/>
        <w:rPr>
          <w:rFonts w:ascii="宋体" w:hAnsi="宋体" w:cs="宋体"/>
          <w:sz w:val="30"/>
          <w:szCs w:val="30"/>
        </w:rPr>
      </w:pPr>
      <w:bookmarkStart w:id="4" w:name="_Toc19543"/>
      <w:bookmarkStart w:id="5" w:name="_Toc14096"/>
      <w:r>
        <w:rPr>
          <w:rFonts w:hint="eastAsia" w:ascii="宋体" w:hAnsi="宋体" w:cs="宋体"/>
          <w:sz w:val="30"/>
          <w:szCs w:val="30"/>
        </w:rPr>
        <w:t>谈判须知前附表</w:t>
      </w:r>
      <w:bookmarkEnd w:id="4"/>
      <w:bookmarkEnd w:id="5"/>
    </w:p>
    <w:tbl>
      <w:tblPr>
        <w:tblStyle w:val="46"/>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7"/>
        <w:gridCol w:w="7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07" w:type="dxa"/>
            <w:vAlign w:val="bottom"/>
          </w:tcPr>
          <w:p>
            <w:pPr>
              <w:adjustRightInd w:val="0"/>
              <w:snapToGrid w:val="0"/>
              <w:spacing w:line="360" w:lineRule="auto"/>
              <w:jc w:val="center"/>
              <w:rPr>
                <w:rFonts w:ascii="宋体" w:hAnsi="宋体"/>
                <w:b/>
                <w:szCs w:val="21"/>
              </w:rPr>
            </w:pPr>
            <w:r>
              <w:rPr>
                <w:rFonts w:hint="eastAsia" w:ascii="宋体" w:hAnsi="宋体"/>
                <w:b/>
                <w:szCs w:val="21"/>
              </w:rPr>
              <w:t>名  称</w:t>
            </w:r>
          </w:p>
        </w:tc>
        <w:tc>
          <w:tcPr>
            <w:tcW w:w="7790" w:type="dxa"/>
            <w:vAlign w:val="bottom"/>
          </w:tcPr>
          <w:p>
            <w:pPr>
              <w:adjustRightInd w:val="0"/>
              <w:snapToGrid w:val="0"/>
              <w:spacing w:line="360" w:lineRule="auto"/>
              <w:jc w:val="center"/>
              <w:rPr>
                <w:rFonts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采购项目</w:t>
            </w:r>
          </w:p>
        </w:tc>
        <w:tc>
          <w:tcPr>
            <w:tcW w:w="7790" w:type="dxa"/>
            <w:vAlign w:val="center"/>
          </w:tcPr>
          <w:p>
            <w:pPr>
              <w:adjustRightInd w:val="0"/>
              <w:snapToGrid w:val="0"/>
              <w:spacing w:line="360" w:lineRule="auto"/>
              <w:rPr>
                <w:rFonts w:ascii="宋体" w:hAnsi="宋体"/>
                <w:szCs w:val="21"/>
              </w:rPr>
            </w:pPr>
            <w:r>
              <w:rPr>
                <w:rFonts w:hint="eastAsia" w:ascii="宋体" w:hAnsi="宋体" w:cs="Courier New"/>
                <w:bCs/>
                <w:szCs w:val="21"/>
              </w:rPr>
              <w:t>长沙市轨道交通1、2、3、4、5号线2021年-2022年公务用车保险定点服务项目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采购单位</w:t>
            </w:r>
          </w:p>
        </w:tc>
        <w:tc>
          <w:tcPr>
            <w:tcW w:w="7790" w:type="dxa"/>
            <w:vAlign w:val="center"/>
          </w:tcPr>
          <w:p>
            <w:pPr>
              <w:adjustRightInd w:val="0"/>
              <w:snapToGrid w:val="0"/>
              <w:spacing w:line="360" w:lineRule="auto"/>
              <w:rPr>
                <w:rFonts w:hAnsi="宋体"/>
                <w:iCs/>
              </w:rPr>
            </w:pPr>
            <w:r>
              <w:rPr>
                <w:rFonts w:hint="eastAsia" w:hAnsi="宋体"/>
                <w:iCs/>
              </w:rPr>
              <w:t>长沙市轨道交通一号线建设发展有限公司、长沙市轨道交通运营有限公司、长沙市轨道交通三号线建设发展有限公司、长沙市轨道交通四号线建设发展有限公司、长沙市轨道交通五号线建设发展有限公司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采购代理机构</w:t>
            </w:r>
          </w:p>
        </w:tc>
        <w:tc>
          <w:tcPr>
            <w:tcW w:w="7790" w:type="dxa"/>
            <w:vAlign w:val="center"/>
          </w:tcPr>
          <w:p>
            <w:pPr>
              <w:adjustRightInd w:val="0"/>
              <w:snapToGrid w:val="0"/>
              <w:spacing w:line="360" w:lineRule="auto"/>
              <w:jc w:val="left"/>
              <w:rPr>
                <w:rFonts w:ascii="宋体" w:hAnsi="宋体"/>
                <w:b/>
                <w:szCs w:val="21"/>
              </w:rPr>
            </w:pPr>
            <w:r>
              <w:rPr>
                <w:rFonts w:hint="eastAsia" w:hAnsi="宋体"/>
                <w:iCs/>
              </w:rPr>
              <w:t>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谈判预算</w:t>
            </w:r>
          </w:p>
        </w:tc>
        <w:tc>
          <w:tcPr>
            <w:tcW w:w="7790" w:type="dxa"/>
            <w:vAlign w:val="center"/>
          </w:tcPr>
          <w:p>
            <w:pPr>
              <w:pStyle w:val="25"/>
              <w:adjustRightInd w:val="0"/>
              <w:snapToGrid w:val="0"/>
              <w:spacing w:line="360" w:lineRule="auto"/>
              <w:rPr>
                <w:rFonts w:hAnsi="宋体"/>
                <w:iCs/>
              </w:rPr>
            </w:pPr>
            <w:r>
              <w:rPr>
                <w:rFonts w:hint="eastAsia" w:hAnsi="宋体" w:cs="宋体"/>
                <w:iCs/>
              </w:rPr>
              <w:t>426500.34</w:t>
            </w:r>
            <w:r>
              <w:rPr>
                <w:rFonts w:hint="eastAsia"/>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评审办法</w:t>
            </w:r>
          </w:p>
        </w:tc>
        <w:tc>
          <w:tcPr>
            <w:tcW w:w="7790" w:type="dxa"/>
            <w:vAlign w:val="center"/>
          </w:tcPr>
          <w:p>
            <w:pPr>
              <w:adjustRightInd w:val="0"/>
              <w:snapToGrid w:val="0"/>
              <w:spacing w:line="360" w:lineRule="auto"/>
              <w:jc w:val="left"/>
              <w:rPr>
                <w:rFonts w:hAnsi="宋体" w:cs="宋体"/>
                <w:iCs/>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31"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资格要求</w:t>
            </w:r>
          </w:p>
        </w:tc>
        <w:tc>
          <w:tcPr>
            <w:tcW w:w="7790" w:type="dxa"/>
            <w:vAlign w:val="center"/>
          </w:tcPr>
          <w:p>
            <w:pPr>
              <w:snapToGrid w:val="0"/>
              <w:spacing w:line="360" w:lineRule="auto"/>
              <w:rPr>
                <w:rFonts w:ascii="宋体" w:hAnsi="宋体" w:cs="宋体"/>
                <w:iCs/>
                <w:szCs w:val="21"/>
              </w:rPr>
            </w:pPr>
            <w:r>
              <w:rPr>
                <w:rFonts w:hint="eastAsia" w:ascii="宋体" w:hAnsi="宋体" w:cs="宋体"/>
                <w:iCs/>
                <w:szCs w:val="21"/>
              </w:rPr>
              <w:t>1.谈判单位须入围长沙市2020—2022年长沙市机关事业单位公务车辆定点保险服务单位名单；</w:t>
            </w:r>
          </w:p>
          <w:p>
            <w:pPr>
              <w:snapToGrid w:val="0"/>
              <w:spacing w:line="360" w:lineRule="auto"/>
              <w:rPr>
                <w:rFonts w:ascii="宋体" w:hAnsi="宋体" w:cs="宋体"/>
                <w:iCs/>
                <w:szCs w:val="21"/>
              </w:rPr>
            </w:pPr>
            <w:r>
              <w:rPr>
                <w:rFonts w:hint="eastAsia" w:ascii="宋体" w:hAnsi="宋体" w:cs="宋体"/>
                <w:iCs/>
                <w:szCs w:val="21"/>
              </w:rPr>
              <w:t>2.本项目不接受联合体形式参与投标；</w:t>
            </w:r>
          </w:p>
          <w:p>
            <w:pPr>
              <w:snapToGrid w:val="0"/>
              <w:spacing w:line="360" w:lineRule="auto"/>
              <w:rPr>
                <w:rFonts w:hAnsi="宋体"/>
              </w:rPr>
            </w:pPr>
            <w:r>
              <w:rPr>
                <w:rFonts w:hint="eastAsia" w:ascii="宋体" w:hAnsi="宋体" w:cs="宋体"/>
                <w:iCs/>
                <w:szCs w:val="21"/>
              </w:rPr>
              <w:t>3.被长沙市轨道交通集团函告禁止在一定期限内参与轨道公司项目投标的单位按函告内容执行。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2007" w:type="dxa"/>
            <w:vAlign w:val="center"/>
          </w:tcPr>
          <w:p>
            <w:pPr>
              <w:spacing w:line="400" w:lineRule="exact"/>
              <w:jc w:val="center"/>
              <w:rPr>
                <w:rFonts w:ascii="宋体" w:hAnsi="宋体"/>
                <w:b/>
                <w:szCs w:val="21"/>
              </w:rPr>
            </w:pPr>
            <w:r>
              <w:rPr>
                <w:rFonts w:ascii="宋体" w:hAnsi="宋体"/>
                <w:b/>
                <w:bCs/>
                <w:szCs w:val="21"/>
              </w:rPr>
              <w:t>实质性要求和条件</w:t>
            </w:r>
          </w:p>
        </w:tc>
        <w:tc>
          <w:tcPr>
            <w:tcW w:w="7790" w:type="dxa"/>
            <w:vAlign w:val="center"/>
          </w:tcPr>
          <w:p>
            <w:pPr>
              <w:spacing w:line="400" w:lineRule="exact"/>
              <w:rPr>
                <w:rFonts w:hAnsi="宋体" w:cs="宋体"/>
                <w:u w:val="single"/>
              </w:rPr>
            </w:pPr>
            <w:r>
              <w:rPr>
                <w:rStyle w:val="357"/>
                <w:rFonts w:hint="default"/>
                <w:b/>
                <w:bCs/>
                <w:color w:val="auto"/>
                <w:sz w:val="21"/>
                <w:szCs w:val="21"/>
              </w:rPr>
              <w:t>谈判文件中标注“★”符号的条款。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谈判答疑文件递交截止时间</w:t>
            </w:r>
          </w:p>
        </w:tc>
        <w:tc>
          <w:tcPr>
            <w:tcW w:w="7790" w:type="dxa"/>
            <w:vAlign w:val="center"/>
          </w:tcPr>
          <w:p>
            <w:pPr>
              <w:pStyle w:val="25"/>
              <w:adjustRightInd w:val="0"/>
              <w:snapToGrid w:val="0"/>
              <w:spacing w:line="360" w:lineRule="auto"/>
              <w:rPr>
                <w:rFonts w:hAnsi="宋体" w:cs="宋体"/>
              </w:rPr>
            </w:pPr>
            <w:r>
              <w:rPr>
                <w:rFonts w:hint="eastAsia" w:hAnsi="宋体" w:cs="宋体"/>
              </w:rPr>
              <w:t>2020年</w:t>
            </w:r>
            <w:r>
              <w:rPr>
                <w:rFonts w:hint="eastAsia" w:hAnsi="宋体" w:cs="宋体"/>
                <w:lang w:val="en-US" w:eastAsia="zh-CN"/>
              </w:rPr>
              <w:t>9</w:t>
            </w:r>
            <w:r>
              <w:rPr>
                <w:rFonts w:hint="eastAsia" w:hAnsi="宋体" w:cs="宋体"/>
              </w:rPr>
              <w:t>月</w:t>
            </w:r>
            <w:r>
              <w:rPr>
                <w:rFonts w:hint="eastAsia" w:hAnsi="宋体" w:cs="宋体"/>
                <w:lang w:val="en-US" w:eastAsia="zh-CN"/>
              </w:rPr>
              <w:t>14</w:t>
            </w:r>
            <w:r>
              <w:rPr>
                <w:rFonts w:hint="eastAsia" w:hAnsi="宋体" w:cs="宋体"/>
              </w:rPr>
              <w:t>日17时00分(北京时间)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谈判答疑文件递交方式及地点</w:t>
            </w:r>
          </w:p>
        </w:tc>
        <w:tc>
          <w:tcPr>
            <w:tcW w:w="7790" w:type="dxa"/>
            <w:vAlign w:val="center"/>
          </w:tcPr>
          <w:p>
            <w:pPr>
              <w:pStyle w:val="25"/>
              <w:adjustRightInd w:val="0"/>
              <w:snapToGrid w:val="0"/>
              <w:spacing w:line="360" w:lineRule="auto"/>
              <w:rPr>
                <w:rFonts w:hAnsi="宋体" w:cs="宋体"/>
              </w:rPr>
            </w:pPr>
            <w:r>
              <w:rPr>
                <w:rFonts w:hint="eastAsia" w:hAnsi="宋体" w:cs="宋体"/>
              </w:rPr>
              <w:t>谈判答疑文件应以书面形式递交至长沙市高新区文轩路27号麓谷企业广场B5栋5楼智埔国际工程咨询有限公司。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响应文件的递交截止时间及谈判时间</w:t>
            </w:r>
          </w:p>
        </w:tc>
        <w:tc>
          <w:tcPr>
            <w:tcW w:w="7790" w:type="dxa"/>
            <w:vAlign w:val="center"/>
          </w:tcPr>
          <w:p>
            <w:pPr>
              <w:adjustRightInd w:val="0"/>
              <w:snapToGrid w:val="0"/>
              <w:spacing w:line="360" w:lineRule="auto"/>
              <w:jc w:val="left"/>
              <w:rPr>
                <w:rFonts w:ascii="宋体" w:hAnsi="宋体" w:cs="宋体"/>
                <w:szCs w:val="21"/>
              </w:rPr>
            </w:pPr>
            <w:r>
              <w:rPr>
                <w:rFonts w:hint="eastAsia" w:ascii="宋体" w:hAnsi="宋体" w:cs="宋体"/>
              </w:rPr>
              <w:t>2020年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18</w:t>
            </w:r>
            <w:r>
              <w:rPr>
                <w:rFonts w:hint="eastAsia" w:ascii="宋体" w:hAnsi="宋体" w:cs="宋体"/>
              </w:rPr>
              <w:t>日14时30分(北京时间)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响应文件的递交及谈判地点</w:t>
            </w:r>
          </w:p>
        </w:tc>
        <w:tc>
          <w:tcPr>
            <w:tcW w:w="7790" w:type="dxa"/>
            <w:vAlign w:val="center"/>
          </w:tcPr>
          <w:p>
            <w:pPr>
              <w:adjustRightInd w:val="0"/>
              <w:snapToGrid w:val="0"/>
              <w:spacing w:line="360" w:lineRule="auto"/>
              <w:jc w:val="left"/>
              <w:rPr>
                <w:rFonts w:ascii="宋体" w:hAnsi="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1" w:hRule="atLeast"/>
          <w:jc w:val="center"/>
        </w:trPr>
        <w:tc>
          <w:tcPr>
            <w:tcW w:w="2007" w:type="dxa"/>
            <w:vAlign w:val="center"/>
          </w:tcPr>
          <w:p>
            <w:pPr>
              <w:adjustRightInd w:val="0"/>
              <w:snapToGrid w:val="0"/>
              <w:spacing w:line="360" w:lineRule="auto"/>
              <w:jc w:val="center"/>
              <w:rPr>
                <w:rFonts w:ascii="宋体" w:hAnsi="宋体"/>
                <w:szCs w:val="21"/>
              </w:rPr>
            </w:pPr>
            <w:r>
              <w:rPr>
                <w:rFonts w:hint="eastAsia" w:ascii="宋体" w:hAnsi="宋体"/>
                <w:b/>
                <w:szCs w:val="21"/>
              </w:rPr>
              <w:t>谈判现场验证须提交的资料</w:t>
            </w:r>
          </w:p>
        </w:tc>
        <w:tc>
          <w:tcPr>
            <w:tcW w:w="7790" w:type="dxa"/>
            <w:vAlign w:val="center"/>
          </w:tcPr>
          <w:p>
            <w:pPr>
              <w:adjustRightInd w:val="0"/>
              <w:snapToGrid w:val="0"/>
              <w:spacing w:line="360" w:lineRule="auto"/>
              <w:jc w:val="left"/>
              <w:rPr>
                <w:rFonts w:ascii="宋体" w:hAnsi="宋体"/>
                <w:szCs w:val="21"/>
              </w:rPr>
            </w:pPr>
            <w:r>
              <w:rPr>
                <w:rFonts w:hint="eastAsia" w:ascii="宋体" w:hAnsi="宋体"/>
                <w:szCs w:val="21"/>
              </w:rPr>
              <w:t>1.谈判会议由谈判单位法定代表人参加的，法定代表人须持法定代表人身份证明原件</w:t>
            </w:r>
            <w:r>
              <w:rPr>
                <w:rFonts w:hint="eastAsia" w:ascii="宋体" w:hAnsi="宋体"/>
                <w:b/>
                <w:szCs w:val="21"/>
              </w:rPr>
              <w:t>（格式详见本文件第六章）</w:t>
            </w:r>
            <w:r>
              <w:rPr>
                <w:rFonts w:hint="eastAsia" w:ascii="宋体" w:hAnsi="宋体"/>
                <w:szCs w:val="21"/>
              </w:rPr>
              <w:t>及本人身份证原件参加。</w:t>
            </w:r>
          </w:p>
          <w:p>
            <w:pPr>
              <w:adjustRightInd w:val="0"/>
              <w:snapToGrid w:val="0"/>
              <w:spacing w:line="360" w:lineRule="auto"/>
              <w:jc w:val="left"/>
              <w:rPr>
                <w:rFonts w:ascii="宋体" w:hAnsi="宋体"/>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响应文件有效期</w:t>
            </w:r>
          </w:p>
        </w:tc>
        <w:tc>
          <w:tcPr>
            <w:tcW w:w="7790" w:type="dxa"/>
            <w:vAlign w:val="center"/>
          </w:tcPr>
          <w:p>
            <w:pPr>
              <w:adjustRightInd w:val="0"/>
              <w:snapToGrid w:val="0"/>
              <w:spacing w:line="360" w:lineRule="auto"/>
              <w:rPr>
                <w:rFonts w:ascii="宋体" w:hAnsi="宋体"/>
                <w:bCs/>
                <w:szCs w:val="21"/>
              </w:rPr>
            </w:pPr>
            <w:r>
              <w:rPr>
                <w:rFonts w:hint="eastAsia" w:ascii="宋体" w:hAnsi="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响应文件份数</w:t>
            </w:r>
          </w:p>
        </w:tc>
        <w:tc>
          <w:tcPr>
            <w:tcW w:w="7790" w:type="dxa"/>
            <w:vAlign w:val="center"/>
          </w:tcPr>
          <w:p>
            <w:pPr>
              <w:adjustRightInd w:val="0"/>
              <w:snapToGrid w:val="0"/>
              <w:spacing w:line="360" w:lineRule="auto"/>
              <w:rPr>
                <w:rFonts w:ascii="宋体" w:hAnsi="宋体"/>
                <w:szCs w:val="21"/>
                <w:u w:val="single"/>
              </w:rPr>
            </w:pPr>
            <w:r>
              <w:rPr>
                <w:rFonts w:hint="eastAsia" w:ascii="宋体" w:hAnsi="宋体"/>
                <w:szCs w:val="21"/>
              </w:rPr>
              <w:t>响应文件纸质文件一式三份（其中正本一份，副本二份），电子文件（U盘或光盘）一份（包括响应文件全部内容）。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2007"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b/>
                <w:szCs w:val="21"/>
              </w:rPr>
              <w:t>价格承包内容</w:t>
            </w:r>
          </w:p>
        </w:tc>
        <w:tc>
          <w:tcPr>
            <w:tcW w:w="7790" w:type="dxa"/>
            <w:vAlign w:val="center"/>
          </w:tcPr>
          <w:p>
            <w:pPr>
              <w:adjustRightInd w:val="0"/>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Times New Roman"/>
                <w:szCs w:val="21"/>
              </w:rPr>
              <w:t>承保人在本合同约定的保险期限内，应严格按投标/竞谈/谈判承诺的优惠价格及服务条款进行服务，非不可抗力不得擅自对协议内容进行调整。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项目支付方式</w:t>
            </w:r>
          </w:p>
        </w:tc>
        <w:tc>
          <w:tcPr>
            <w:tcW w:w="7790" w:type="dxa"/>
            <w:vAlign w:val="center"/>
          </w:tcPr>
          <w:p>
            <w:pPr>
              <w:spacing w:line="464" w:lineRule="exact"/>
              <w:jc w:val="left"/>
              <w:rPr>
                <w:rFonts w:ascii="宋体" w:hAnsi="宋体"/>
                <w:bCs/>
                <w:szCs w:val="21"/>
              </w:rPr>
            </w:pPr>
            <w:r>
              <w:rPr>
                <w:rFonts w:hint="eastAsia" w:ascii="宋体" w:hAnsi="宋体" w:cs="宋体"/>
                <w:bCs/>
                <w:szCs w:val="21"/>
              </w:rPr>
              <w:t>承保人签发每批次车辆的缴费通知单并经投保人核实无误后，支付该批次保险费的100%，承保人在收到保险费后立即向投保人开具相应保险单。承保人按投保人的支付程序办理请款手续并提供增值税专用发票、有效期内的履约担保复印件（如有）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信息发布指定媒体</w:t>
            </w:r>
          </w:p>
        </w:tc>
        <w:tc>
          <w:tcPr>
            <w:tcW w:w="7790" w:type="dxa"/>
            <w:vAlign w:val="center"/>
          </w:tcPr>
          <w:p>
            <w:pPr>
              <w:adjustRightInd w:val="0"/>
              <w:snapToGrid w:val="0"/>
              <w:spacing w:line="360" w:lineRule="auto"/>
              <w:rPr>
                <w:rFonts w:ascii="宋体" w:hAnsi="宋体"/>
                <w:szCs w:val="21"/>
              </w:rPr>
            </w:pPr>
            <w:r>
              <w:rPr>
                <w:rFonts w:hint="eastAsia" w:ascii="宋体" w:hAnsi="宋体" w:cs="宋体"/>
                <w:szCs w:val="21"/>
              </w:rPr>
              <w:t>长沙市轨道交通集团有限公司</w:t>
            </w:r>
            <w:r>
              <w:rPr>
                <w:rFonts w:hint="eastAsia" w:ascii="宋体" w:hAnsi="宋体" w:cs="宋体"/>
                <w:szCs w:val="21"/>
                <w:lang w:eastAsia="zh-CN"/>
              </w:rPr>
              <w:t>官方网站</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采购代理服务费</w:t>
            </w:r>
          </w:p>
        </w:tc>
        <w:tc>
          <w:tcPr>
            <w:tcW w:w="7790" w:type="dxa"/>
            <w:vAlign w:val="center"/>
          </w:tcPr>
          <w:p>
            <w:pPr>
              <w:adjustRightInd w:val="0"/>
              <w:snapToGrid w:val="0"/>
              <w:spacing w:line="360" w:lineRule="auto"/>
              <w:rPr>
                <w:rFonts w:ascii="宋体" w:hAnsi="宋体"/>
                <w:szCs w:val="21"/>
              </w:rPr>
            </w:pPr>
            <w:r>
              <w:rPr>
                <w:rFonts w:hint="eastAsia" w:ascii="宋体" w:hAnsi="宋体"/>
                <w:szCs w:val="21"/>
              </w:rPr>
              <w:t>本项目采购代理服务费以</w:t>
            </w:r>
            <w:r>
              <w:rPr>
                <w:rFonts w:ascii="宋体" w:hAnsi="宋体"/>
                <w:szCs w:val="21"/>
              </w:rPr>
              <w:t>中选价为基数</w:t>
            </w:r>
            <w:r>
              <w:rPr>
                <w:rFonts w:hint="eastAsia" w:ascii="宋体" w:hAnsi="宋体"/>
                <w:szCs w:val="21"/>
              </w:rPr>
              <w:t>，</w:t>
            </w:r>
            <w:r>
              <w:rPr>
                <w:rFonts w:ascii="宋体" w:hAnsi="宋体"/>
                <w:szCs w:val="21"/>
              </w:rPr>
              <w:t>按《</w:t>
            </w:r>
            <w:r>
              <w:rPr>
                <w:rFonts w:hint="eastAsia" w:ascii="宋体" w:hAnsi="宋体"/>
                <w:szCs w:val="21"/>
              </w:rPr>
              <w:t>招标</w:t>
            </w:r>
            <w:r>
              <w:rPr>
                <w:rFonts w:ascii="宋体" w:hAnsi="宋体"/>
                <w:szCs w:val="21"/>
              </w:rPr>
              <w:t>代理</w:t>
            </w:r>
            <w:r>
              <w:rPr>
                <w:rFonts w:hint="eastAsia" w:ascii="宋体" w:hAnsi="宋体"/>
                <w:szCs w:val="21"/>
              </w:rPr>
              <w:t>服务收费汇率</w:t>
            </w:r>
            <w:r>
              <w:rPr>
                <w:rFonts w:ascii="宋体" w:hAnsi="宋体"/>
                <w:szCs w:val="21"/>
              </w:rPr>
              <w:t>表》</w:t>
            </w:r>
            <w:r>
              <w:rPr>
                <w:rFonts w:hint="eastAsia" w:ascii="宋体" w:hAnsi="宋体"/>
                <w:szCs w:val="21"/>
              </w:rPr>
              <w:t>(附件一)计算，服务</w:t>
            </w:r>
            <w:r>
              <w:rPr>
                <w:rFonts w:ascii="宋体" w:hAnsi="宋体"/>
                <w:szCs w:val="21"/>
              </w:rPr>
              <w:t>费</w:t>
            </w:r>
            <w:r>
              <w:rPr>
                <w:rFonts w:hint="eastAsia" w:ascii="宋体" w:hAnsi="宋体"/>
                <w:szCs w:val="21"/>
              </w:rPr>
              <w:t>超过2万</w:t>
            </w:r>
            <w:r>
              <w:rPr>
                <w:rFonts w:ascii="宋体" w:hAnsi="宋体"/>
                <w:szCs w:val="21"/>
              </w:rPr>
              <w:t>元</w:t>
            </w:r>
            <w:r>
              <w:rPr>
                <w:rFonts w:hint="eastAsia" w:ascii="宋体" w:hAnsi="宋体"/>
                <w:szCs w:val="21"/>
              </w:rPr>
              <w:t>的</w:t>
            </w:r>
            <w:r>
              <w:rPr>
                <w:rFonts w:ascii="宋体" w:hAnsi="宋体"/>
                <w:szCs w:val="21"/>
              </w:rPr>
              <w:t>，按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w:t>
            </w:r>
            <w:r>
              <w:rPr>
                <w:rFonts w:hint="eastAsia" w:ascii="宋体" w:hAnsi="宋体"/>
                <w:szCs w:val="21"/>
              </w:rPr>
              <w:t>，</w:t>
            </w:r>
            <w:r>
              <w:rPr>
                <w:rFonts w:ascii="宋体" w:hAnsi="宋体"/>
                <w:szCs w:val="21"/>
              </w:rPr>
              <w:t>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r>
              <w:rPr>
                <w:rFonts w:hint="eastAsia" w:ascii="宋体" w:hAnsi="宋体"/>
                <w:szCs w:val="21"/>
              </w:rPr>
              <w:t>由中选</w:t>
            </w:r>
            <w:r>
              <w:rPr>
                <w:rFonts w:ascii="宋体" w:hAnsi="宋体"/>
                <w:szCs w:val="21"/>
              </w:rPr>
              <w:t>单位</w:t>
            </w:r>
            <w:r>
              <w:rPr>
                <w:rFonts w:hint="eastAsia" w:ascii="宋体" w:hAnsi="宋体"/>
                <w:szCs w:val="21"/>
              </w:rPr>
              <w:t>全额支付，中选</w:t>
            </w:r>
            <w:r>
              <w:rPr>
                <w:rFonts w:ascii="宋体" w:hAnsi="宋体"/>
                <w:szCs w:val="21"/>
              </w:rPr>
              <w:t>单位</w:t>
            </w:r>
            <w:r>
              <w:rPr>
                <w:rFonts w:hint="eastAsia" w:ascii="宋体" w:hAnsi="宋体"/>
                <w:szCs w:val="21"/>
              </w:rPr>
              <w:t>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07" w:type="dxa"/>
            <w:vAlign w:val="center"/>
          </w:tcPr>
          <w:p>
            <w:pPr>
              <w:adjustRightInd w:val="0"/>
              <w:snapToGrid w:val="0"/>
              <w:spacing w:line="360" w:lineRule="auto"/>
              <w:jc w:val="center"/>
              <w:rPr>
                <w:rFonts w:ascii="宋体" w:hAnsi="宋体"/>
                <w:b/>
                <w:szCs w:val="21"/>
              </w:rPr>
            </w:pPr>
            <w:r>
              <w:rPr>
                <w:rFonts w:hint="eastAsia" w:ascii="宋体" w:hAnsi="宋体"/>
                <w:b/>
                <w:szCs w:val="21"/>
              </w:rPr>
              <w:t>其他规定</w:t>
            </w:r>
          </w:p>
        </w:tc>
        <w:tc>
          <w:tcPr>
            <w:tcW w:w="7790" w:type="dxa"/>
            <w:vAlign w:val="center"/>
          </w:tcPr>
          <w:p>
            <w:pPr>
              <w:adjustRightInd w:val="0"/>
              <w:snapToGrid w:val="0"/>
              <w:spacing w:line="360" w:lineRule="auto"/>
              <w:rPr>
                <w:rFonts w:ascii="宋体" w:hAnsi="宋体"/>
                <w:szCs w:val="21"/>
              </w:rPr>
            </w:pPr>
          </w:p>
        </w:tc>
      </w:tr>
    </w:tbl>
    <w:p>
      <w:pPr>
        <w:adjustRightInd w:val="0"/>
        <w:snapToGrid w:val="0"/>
        <w:spacing w:line="360" w:lineRule="auto"/>
        <w:jc w:val="center"/>
        <w:rPr>
          <w:rFonts w:ascii="黑体" w:eastAsia="黑体"/>
          <w:b/>
          <w:sz w:val="32"/>
          <w:szCs w:val="32"/>
        </w:rPr>
      </w:pPr>
    </w:p>
    <w:p>
      <w:pPr>
        <w:adjustRightInd w:val="0"/>
        <w:snapToGrid w:val="0"/>
        <w:spacing w:line="360" w:lineRule="auto"/>
        <w:jc w:val="left"/>
        <w:rPr>
          <w:rFonts w:ascii="仿宋" w:hAnsi="仿宋" w:eastAsia="仿宋"/>
          <w:b/>
          <w:sz w:val="30"/>
          <w:szCs w:val="30"/>
        </w:rPr>
        <w:sectPr>
          <w:footerReference r:id="rId4" w:type="default"/>
          <w:pgSz w:w="11906" w:h="16838"/>
          <w:pgMar w:top="1440" w:right="1797" w:bottom="1440" w:left="1797" w:header="851" w:footer="851" w:gutter="0"/>
          <w:pgNumType w:start="1"/>
          <w:cols w:space="720" w:num="1"/>
          <w:docGrid w:linePitch="312" w:charSpace="0"/>
        </w:sectPr>
      </w:pPr>
    </w:p>
    <w:p>
      <w:pPr>
        <w:pStyle w:val="4"/>
        <w:keepNext w:val="0"/>
        <w:keepLines w:val="0"/>
        <w:jc w:val="center"/>
        <w:rPr>
          <w:rFonts w:ascii="宋体" w:hAnsi="宋体" w:cs="宋体"/>
          <w:sz w:val="32"/>
        </w:rPr>
      </w:pPr>
      <w:bookmarkStart w:id="6" w:name="_Toc4997"/>
      <w:bookmarkStart w:id="7" w:name="_Toc7503"/>
      <w:r>
        <w:rPr>
          <w:rFonts w:hint="eastAsia" w:ascii="宋体" w:hAnsi="宋体" w:cs="宋体"/>
          <w:sz w:val="32"/>
        </w:rPr>
        <w:t>谈判须知正文</w:t>
      </w:r>
      <w:bookmarkEnd w:id="6"/>
      <w:bookmarkEnd w:id="7"/>
    </w:p>
    <w:p>
      <w:pPr>
        <w:pStyle w:val="5"/>
        <w:keepNext w:val="0"/>
        <w:keepLines w:val="0"/>
        <w:spacing w:before="0" w:after="0" w:line="360" w:lineRule="auto"/>
        <w:rPr>
          <w:rFonts w:ascii="宋体" w:hAnsi="宋体" w:cs="宋体"/>
          <w:sz w:val="21"/>
          <w:szCs w:val="21"/>
        </w:rPr>
      </w:pPr>
      <w:bookmarkStart w:id="8" w:name="_Toc15138"/>
      <w:bookmarkStart w:id="9" w:name="_Toc13487"/>
      <w:r>
        <w:rPr>
          <w:rFonts w:hint="eastAsia" w:ascii="宋体" w:hAnsi="宋体" w:cs="宋体"/>
          <w:sz w:val="21"/>
          <w:szCs w:val="21"/>
        </w:rPr>
        <w:t>一、说明</w:t>
      </w:r>
      <w:bookmarkEnd w:id="8"/>
      <w:bookmarkEnd w:id="9"/>
    </w:p>
    <w:p>
      <w:pPr>
        <w:adjustRightInd w:val="0"/>
        <w:snapToGrid w:val="0"/>
        <w:spacing w:line="360" w:lineRule="auto"/>
        <w:ind w:firstLine="422" w:firstLineChars="200"/>
        <w:rPr>
          <w:rFonts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b/>
          <w:szCs w:val="21"/>
        </w:rPr>
      </w:pPr>
      <w:r>
        <w:rPr>
          <w:rFonts w:hint="eastAsia" w:ascii="宋体" w:hAnsi="宋体"/>
          <w:b/>
          <w:szCs w:val="21"/>
        </w:rPr>
        <w:t>2.本谈判文件的解释权属于长沙市轨道交通运营有限公司。</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3.定义</w:t>
      </w:r>
    </w:p>
    <w:p>
      <w:pPr>
        <w:adjustRightInd w:val="0"/>
        <w:snapToGrid w:val="0"/>
        <w:spacing w:line="360" w:lineRule="auto"/>
        <w:ind w:firstLine="420" w:firstLineChars="200"/>
        <w:rPr>
          <w:rFonts w:ascii="宋体" w:hAnsi="宋体"/>
          <w:b/>
          <w:szCs w:val="21"/>
        </w:rPr>
      </w:pPr>
      <w:r>
        <w:rPr>
          <w:rFonts w:hint="eastAsia" w:ascii="宋体" w:hAnsi="宋体"/>
          <w:szCs w:val="21"/>
        </w:rPr>
        <w:t>3.1“采购单位”是指依法进行采购的法人组织。本项目的采购单位名称见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Ansi="宋体"/>
        </w:rPr>
      </w:pPr>
      <w:r>
        <w:rPr>
          <w:rFonts w:hint="eastAsia" w:ascii="宋体" w:hAnsi="宋体"/>
          <w:szCs w:val="21"/>
        </w:rPr>
        <w:t>3.2“谈判单位”是指响应本谈判文件要求、参加谈判的法人组织。</w:t>
      </w:r>
    </w:p>
    <w:p>
      <w:pPr>
        <w:adjustRightInd w:val="0"/>
        <w:snapToGrid w:val="0"/>
        <w:spacing w:line="360" w:lineRule="auto"/>
        <w:ind w:firstLine="420" w:firstLineChars="200"/>
        <w:rPr>
          <w:rFonts w:ascii="宋体" w:hAnsi="宋体"/>
          <w:szCs w:val="21"/>
        </w:rPr>
      </w:pPr>
      <w:r>
        <w:rPr>
          <w:rFonts w:hint="eastAsia" w:ascii="宋体" w:hAnsi="宋体"/>
          <w:szCs w:val="21"/>
        </w:rPr>
        <w:t>3.3“采购代理机构”是指接受采购人委托，代理采购项目的机构。本采购项目的采购代理机构名称见</w:t>
      </w:r>
      <w:r>
        <w:rPr>
          <w:rFonts w:hint="eastAsia" w:ascii="宋体" w:hAnsi="宋体"/>
          <w:b/>
          <w:bCs/>
          <w:szCs w:val="21"/>
        </w:rPr>
        <w:t>前附表</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3.4“谈判</w:t>
      </w:r>
      <w:r>
        <w:rPr>
          <w:rFonts w:hint="eastAsia" w:ascii="宋体" w:hAnsi="宋体"/>
          <w:b/>
          <w:bCs/>
          <w:szCs w:val="21"/>
        </w:rPr>
        <w:t>评审</w:t>
      </w:r>
      <w:r>
        <w:rPr>
          <w:rFonts w:hint="eastAsia" w:ascii="宋体" w:hAnsi="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ascii="宋体" w:hAnsi="宋体"/>
          <w:szCs w:val="21"/>
        </w:rPr>
      </w:pPr>
      <w:r>
        <w:rPr>
          <w:rFonts w:hint="eastAsia" w:ascii="宋体" w:hAnsi="宋体"/>
          <w:szCs w:val="21"/>
        </w:rPr>
        <w:t>4.1参与谈判的单位应当符合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ascii="宋体" w:hAnsi="宋体"/>
          <w:szCs w:val="21"/>
        </w:rPr>
      </w:pPr>
      <w:r>
        <w:rPr>
          <w:rFonts w:hint="eastAsia" w:ascii="宋体" w:hAnsi="宋体"/>
          <w:szCs w:val="21"/>
        </w:rPr>
        <w:t>4.2</w:t>
      </w:r>
      <w:r>
        <w:rPr>
          <w:rFonts w:hint="eastAsia" w:hAnsi="宋体"/>
          <w:szCs w:val="21"/>
        </w:rPr>
        <w:t>参与谈判的单位</w:t>
      </w:r>
      <w:r>
        <w:rPr>
          <w:rFonts w:hAnsi="宋体"/>
          <w:szCs w:val="21"/>
        </w:rPr>
        <w:t>存在下列情形之一</w:t>
      </w:r>
      <w:r>
        <w:rPr>
          <w:rFonts w:hint="eastAsia" w:hAnsi="宋体"/>
          <w:szCs w:val="21"/>
        </w:rPr>
        <w:t>的，其</w:t>
      </w:r>
      <w:r>
        <w:rPr>
          <w:rFonts w:hint="eastAsia" w:hAnsi="宋体"/>
          <w:bCs/>
          <w:szCs w:val="21"/>
        </w:rPr>
        <w:t>谈判</w:t>
      </w:r>
      <w:r>
        <w:rPr>
          <w:rFonts w:hAnsi="宋体"/>
          <w:szCs w:val="21"/>
        </w:rPr>
        <w:t>将被</w:t>
      </w:r>
      <w:r>
        <w:rPr>
          <w:rFonts w:hAnsi="宋体"/>
          <w:b/>
          <w:bCs/>
          <w:szCs w:val="21"/>
        </w:rPr>
        <w:t>否决</w:t>
      </w:r>
      <w:r>
        <w:rPr>
          <w:rFonts w:hAnsi="宋体"/>
          <w:szCs w:val="21"/>
        </w:rPr>
        <w:t>：</w:t>
      </w:r>
    </w:p>
    <w:p>
      <w:pPr>
        <w:pStyle w:val="61"/>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61"/>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61"/>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61"/>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61"/>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61"/>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5.参与谈判的费用 </w:t>
      </w:r>
    </w:p>
    <w:p>
      <w:pPr>
        <w:adjustRightInd w:val="0"/>
        <w:snapToGrid w:val="0"/>
        <w:spacing w:line="360" w:lineRule="auto"/>
        <w:ind w:firstLine="420" w:firstLineChars="200"/>
        <w:rPr>
          <w:rFonts w:ascii="宋体" w:hAnsi="宋体"/>
          <w:szCs w:val="21"/>
        </w:rPr>
      </w:pPr>
      <w:r>
        <w:rPr>
          <w:rFonts w:hint="eastAsia" w:ascii="宋体" w:hAnsi="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szCs w:val="21"/>
        </w:rPr>
      </w:pPr>
      <w:r>
        <w:rPr>
          <w:rFonts w:hint="eastAsia" w:ascii="宋体" w:hAnsi="宋体"/>
          <w:szCs w:val="21"/>
        </w:rPr>
        <w:t>5.2</w:t>
      </w:r>
      <w:r>
        <w:rPr>
          <w:rFonts w:hint="eastAsia" w:ascii="宋体" w:hAnsi="宋体" w:cs="宋体"/>
          <w:szCs w:val="21"/>
        </w:rPr>
        <w:t>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b/>
          <w:bCs/>
        </w:rPr>
      </w:pPr>
      <w:r>
        <w:rPr>
          <w:rFonts w:hint="eastAsia" w:hAnsi="宋体"/>
          <w:b/>
        </w:rPr>
        <w:t>6．</w:t>
      </w:r>
      <w:r>
        <w:rPr>
          <w:rFonts w:hint="eastAsia" w:hAnsi="宋体"/>
          <w:b/>
          <w:bCs/>
        </w:rPr>
        <w:t>谈判单位代表</w:t>
      </w:r>
    </w:p>
    <w:p>
      <w:pPr>
        <w:pStyle w:val="25"/>
        <w:adjustRightInd w:val="0"/>
        <w:snapToGrid w:val="0"/>
        <w:spacing w:line="360" w:lineRule="auto"/>
        <w:ind w:firstLine="420" w:firstLineChars="200"/>
        <w:rPr>
          <w:rFonts w:hAnsi="宋体"/>
        </w:rPr>
      </w:pPr>
      <w:r>
        <w:rPr>
          <w:rFonts w:hint="eastAsia" w:hAnsi="宋体"/>
        </w:rPr>
        <w:t>6.1谈判单位代表为谈判单位法定代表人的：应提供法定代表人身份证明书</w:t>
      </w:r>
      <w:r>
        <w:rPr>
          <w:rFonts w:hint="eastAsia" w:hAnsi="宋体"/>
          <w:b/>
          <w:bCs/>
        </w:rPr>
        <w:t>（见第六章响应文件格式）</w:t>
      </w:r>
      <w:r>
        <w:rPr>
          <w:rFonts w:hint="eastAsia" w:hAnsi="宋体"/>
        </w:rPr>
        <w:t>原件及本人身份证原件。</w:t>
      </w:r>
    </w:p>
    <w:p>
      <w:pPr>
        <w:pStyle w:val="25"/>
        <w:adjustRightInd w:val="0"/>
        <w:snapToGrid w:val="0"/>
        <w:spacing w:line="360" w:lineRule="auto"/>
        <w:ind w:firstLine="420" w:firstLineChars="200"/>
        <w:rPr>
          <w:rFonts w:ascii="黑体" w:hAnsi="宋体" w:eastAsia="黑体"/>
          <w:b/>
          <w:strike/>
          <w:sz w:val="24"/>
        </w:rPr>
      </w:pPr>
      <w:r>
        <w:rPr>
          <w:rFonts w:hint="eastAsia" w:hAnsi="宋体"/>
        </w:rPr>
        <w:t>6.2谈判单位代表不是谈判单位法定代表人的：应提供授权委托书</w:t>
      </w:r>
      <w:r>
        <w:rPr>
          <w:rFonts w:hint="eastAsia" w:hAnsi="宋体"/>
          <w:b/>
          <w:bCs/>
        </w:rPr>
        <w:t>（见第六章响应文件格式）</w:t>
      </w:r>
      <w:r>
        <w:rPr>
          <w:rFonts w:hint="eastAsia" w:hAnsi="宋体"/>
        </w:rPr>
        <w:t>原件及本人身份证原件。</w:t>
      </w:r>
    </w:p>
    <w:p>
      <w:pPr>
        <w:pStyle w:val="5"/>
        <w:keepNext w:val="0"/>
        <w:keepLines w:val="0"/>
        <w:spacing w:before="0" w:after="0" w:line="360" w:lineRule="auto"/>
        <w:rPr>
          <w:rFonts w:ascii="宋体" w:hAnsi="宋体" w:cs="宋体"/>
          <w:sz w:val="21"/>
          <w:szCs w:val="21"/>
        </w:rPr>
      </w:pPr>
      <w:bookmarkStart w:id="10" w:name="_Toc27685"/>
      <w:bookmarkStart w:id="11" w:name="_Toc12291"/>
      <w:r>
        <w:rPr>
          <w:rFonts w:hint="eastAsia" w:ascii="宋体" w:hAnsi="宋体" w:cs="宋体"/>
          <w:sz w:val="21"/>
          <w:szCs w:val="21"/>
        </w:rPr>
        <w:t>二、谈判文件</w:t>
      </w:r>
      <w:bookmarkEnd w:id="10"/>
      <w:bookmarkEnd w:id="11"/>
    </w:p>
    <w:p>
      <w:pPr>
        <w:adjustRightInd w:val="0"/>
        <w:snapToGrid w:val="0"/>
        <w:spacing w:line="360" w:lineRule="auto"/>
        <w:ind w:firstLine="413" w:firstLineChars="196"/>
        <w:rPr>
          <w:rFonts w:ascii="宋体" w:hAnsi="宋体"/>
          <w:b/>
          <w:bCs/>
          <w:szCs w:val="21"/>
        </w:rPr>
      </w:pPr>
      <w:r>
        <w:rPr>
          <w:rFonts w:hint="eastAsia" w:ascii="宋体" w:hAnsi="宋体"/>
          <w:b/>
          <w:bCs/>
          <w:szCs w:val="21"/>
        </w:rPr>
        <w:t>7．谈判文件的组成</w:t>
      </w:r>
    </w:p>
    <w:p>
      <w:pPr>
        <w:pStyle w:val="25"/>
        <w:adjustRightInd w:val="0"/>
        <w:snapToGrid w:val="0"/>
        <w:spacing w:line="360" w:lineRule="auto"/>
        <w:ind w:firstLine="420" w:firstLineChars="200"/>
        <w:rPr>
          <w:rFonts w:hAnsi="宋体"/>
        </w:rPr>
      </w:pPr>
      <w:r>
        <w:rPr>
          <w:rFonts w:hint="eastAsia" w:hAnsi="宋体"/>
        </w:rPr>
        <w:t>7.1谈判文件由下列文件组成：</w:t>
      </w:r>
    </w:p>
    <w:p>
      <w:pPr>
        <w:pStyle w:val="25"/>
        <w:adjustRightInd w:val="0"/>
        <w:snapToGrid w:val="0"/>
        <w:spacing w:line="360" w:lineRule="auto"/>
        <w:ind w:firstLine="420" w:firstLineChars="200"/>
        <w:rPr>
          <w:rFonts w:hAnsi="宋体"/>
        </w:rPr>
      </w:pPr>
      <w:r>
        <w:rPr>
          <w:rFonts w:hint="eastAsia" w:hAnsi="宋体"/>
        </w:rPr>
        <w:t>第一章 谈判邀请公告</w:t>
      </w:r>
    </w:p>
    <w:p>
      <w:pPr>
        <w:pStyle w:val="25"/>
        <w:adjustRightInd w:val="0"/>
        <w:snapToGrid w:val="0"/>
        <w:spacing w:line="360" w:lineRule="auto"/>
        <w:ind w:firstLine="420" w:firstLineChars="200"/>
        <w:rPr>
          <w:rFonts w:hAnsi="宋体"/>
        </w:rPr>
      </w:pPr>
      <w:r>
        <w:rPr>
          <w:rFonts w:hint="eastAsia" w:hAnsi="宋体"/>
        </w:rPr>
        <w:t>第二章 谈判须知</w:t>
      </w:r>
    </w:p>
    <w:p>
      <w:pPr>
        <w:pStyle w:val="25"/>
        <w:adjustRightInd w:val="0"/>
        <w:snapToGrid w:val="0"/>
        <w:spacing w:line="360" w:lineRule="auto"/>
        <w:ind w:firstLine="420" w:firstLineChars="200"/>
        <w:rPr>
          <w:rFonts w:hAnsi="宋体"/>
        </w:rPr>
      </w:pPr>
      <w:r>
        <w:rPr>
          <w:rFonts w:hint="eastAsia" w:hAnsi="宋体"/>
        </w:rPr>
        <w:t>第三章 评审办法及标准</w:t>
      </w:r>
    </w:p>
    <w:p>
      <w:pPr>
        <w:pStyle w:val="25"/>
        <w:adjustRightInd w:val="0"/>
        <w:snapToGrid w:val="0"/>
        <w:spacing w:line="360" w:lineRule="auto"/>
        <w:ind w:firstLine="420" w:firstLineChars="200"/>
        <w:rPr>
          <w:rFonts w:hint="default" w:hAnsi="宋体" w:eastAsia="宋体"/>
          <w:lang w:val="en-US" w:eastAsia="zh-CN"/>
        </w:rPr>
      </w:pPr>
      <w:r>
        <w:rPr>
          <w:rFonts w:hint="eastAsia" w:hAnsi="宋体"/>
        </w:rPr>
        <w:t>第四章 用户需求书</w:t>
      </w:r>
      <w:r>
        <w:rPr>
          <w:rFonts w:hint="eastAsia" w:hAnsi="宋体"/>
          <w:lang w:val="en-US" w:eastAsia="zh-CN"/>
        </w:rPr>
        <w:t>(另册)</w:t>
      </w:r>
    </w:p>
    <w:p>
      <w:pPr>
        <w:pStyle w:val="25"/>
        <w:adjustRightInd w:val="0"/>
        <w:snapToGrid w:val="0"/>
        <w:spacing w:line="360" w:lineRule="auto"/>
        <w:ind w:firstLine="420" w:firstLineChars="200"/>
        <w:rPr>
          <w:rFonts w:hAnsi="宋体"/>
        </w:rPr>
      </w:pPr>
      <w:r>
        <w:rPr>
          <w:rFonts w:hint="eastAsia" w:hAnsi="宋体"/>
        </w:rPr>
        <w:t>第五章 合同格式条款</w:t>
      </w:r>
    </w:p>
    <w:p>
      <w:pPr>
        <w:pStyle w:val="25"/>
        <w:adjustRightInd w:val="0"/>
        <w:snapToGrid w:val="0"/>
        <w:spacing w:line="360" w:lineRule="auto"/>
        <w:ind w:firstLine="420" w:firstLineChars="200"/>
        <w:rPr>
          <w:rFonts w:hAnsi="宋体"/>
        </w:rPr>
      </w:pPr>
      <w:r>
        <w:rPr>
          <w:rFonts w:hint="eastAsia" w:hAnsi="宋体"/>
        </w:rPr>
        <w:t>第六章 响应文件组成</w:t>
      </w:r>
    </w:p>
    <w:p>
      <w:pPr>
        <w:pStyle w:val="25"/>
        <w:adjustRightInd w:val="0"/>
        <w:snapToGrid w:val="0"/>
        <w:spacing w:line="360" w:lineRule="auto"/>
        <w:ind w:firstLine="420" w:firstLineChars="200"/>
      </w:pPr>
      <w:r>
        <w:rPr>
          <w:rFonts w:hint="eastAsia"/>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szCs w:val="21"/>
        </w:rPr>
      </w:pPr>
      <w:r>
        <w:rPr>
          <w:rFonts w:hint="eastAsia" w:ascii="宋体" w:hAnsi="宋体"/>
        </w:rPr>
        <w:t>7.3</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22" w:firstLineChars="200"/>
        <w:rPr>
          <w:rFonts w:cs="宋体"/>
          <w:b/>
          <w:kern w:val="0"/>
        </w:rPr>
      </w:pPr>
      <w:r>
        <w:rPr>
          <w:rFonts w:hint="eastAsia" w:ascii="宋体" w:hAnsi="宋体"/>
          <w:b/>
          <w:bCs/>
          <w:szCs w:val="21"/>
        </w:rPr>
        <w:t>8.</w:t>
      </w:r>
      <w:r>
        <w:rPr>
          <w:rFonts w:hint="eastAsia" w:cs="宋体"/>
          <w:b/>
          <w:kern w:val="0"/>
        </w:rPr>
        <w:t>谈判文件的澄清及答疑</w:t>
      </w:r>
    </w:p>
    <w:p>
      <w:pPr>
        <w:spacing w:line="360" w:lineRule="auto"/>
        <w:ind w:firstLine="420" w:firstLineChars="200"/>
        <w:rPr>
          <w:rFonts w:ascii="宋体" w:hAnsi="宋体" w:cs="Courier New"/>
          <w:iCs/>
          <w:szCs w:val="21"/>
        </w:rPr>
      </w:pPr>
      <w:r>
        <w:rPr>
          <w:rFonts w:hint="eastAsia" w:ascii="宋体" w:hAnsi="宋体" w:cs="Courier New"/>
          <w:iCs/>
          <w:szCs w:val="21"/>
        </w:rPr>
        <w:t>8.1.谈判单位应仔细阅读和检查谈判文件的全部内容，如有疑问，</w:t>
      </w:r>
      <w:r>
        <w:rPr>
          <w:rFonts w:hint="eastAsia" w:ascii="宋体" w:hAnsi="宋体"/>
          <w:szCs w:val="21"/>
        </w:rPr>
        <w:t>应按</w:t>
      </w:r>
      <w:r>
        <w:rPr>
          <w:rFonts w:hint="eastAsia" w:ascii="宋体" w:hAnsi="宋体"/>
          <w:b/>
          <w:bCs/>
          <w:szCs w:val="21"/>
        </w:rPr>
        <w:t>前附表</w:t>
      </w:r>
      <w:r>
        <w:rPr>
          <w:rFonts w:hint="eastAsia" w:ascii="宋体" w:hAnsi="宋体"/>
          <w:szCs w:val="21"/>
        </w:rPr>
        <w:t>规定的时间、方式及地点</w:t>
      </w:r>
      <w:r>
        <w:rPr>
          <w:rFonts w:hint="eastAsia" w:ascii="宋体" w:hAnsi="宋体" w:cs="Courier New"/>
          <w:iCs/>
          <w:szCs w:val="21"/>
        </w:rPr>
        <w:t>向采购代理机构提出，</w:t>
      </w:r>
      <w:r>
        <w:rPr>
          <w:rFonts w:hint="eastAsia" w:ascii="宋体" w:hAnsi="宋体"/>
          <w:szCs w:val="21"/>
        </w:rPr>
        <w:t>否则，由此引起的损失由谈判单位自己承担。</w:t>
      </w:r>
    </w:p>
    <w:p>
      <w:pPr>
        <w:spacing w:line="360" w:lineRule="auto"/>
        <w:ind w:firstLine="420" w:firstLineChars="200"/>
        <w:rPr>
          <w:rFonts w:ascii="宋体" w:hAnsi="宋体" w:cs="Courier New"/>
          <w:iCs/>
          <w:szCs w:val="21"/>
        </w:rPr>
      </w:pPr>
      <w:r>
        <w:rPr>
          <w:rFonts w:hint="eastAsia" w:ascii="宋体" w:hAnsi="宋体" w:cs="Courier New"/>
          <w:iCs/>
          <w:szCs w:val="21"/>
        </w:rPr>
        <w:t>8.2.在谈判截止时间前，采购单位或采购代理机构可主动地或在解答谈判单位提出的问题时对谈判文件进行澄清或修改。</w:t>
      </w:r>
    </w:p>
    <w:p>
      <w:pPr>
        <w:adjustRightInd w:val="0"/>
        <w:snapToGrid w:val="0"/>
        <w:spacing w:line="360" w:lineRule="auto"/>
        <w:ind w:right="-105" w:rightChars="-50" w:firstLine="420" w:firstLineChars="200"/>
        <w:rPr>
          <w:rFonts w:ascii="宋体" w:hAnsi="宋体" w:cs="宋体"/>
          <w:kern w:val="0"/>
          <w:szCs w:val="21"/>
        </w:rPr>
      </w:pPr>
      <w:r>
        <w:rPr>
          <w:rFonts w:hint="eastAsia" w:ascii="宋体" w:hAnsi="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w:t>
      </w:r>
      <w:r>
        <w:rPr>
          <w:rFonts w:hint="eastAsia" w:hAnsi="宋体" w:cs="宋体"/>
          <w:kern w:val="0"/>
        </w:rPr>
        <w:t>在长沙市轨道交通集团有限公司官网</w:t>
      </w:r>
      <w:r>
        <w:rPr>
          <w:rFonts w:hint="eastAsia" w:ascii="宋体" w:hAnsi="宋体" w:cs="宋体"/>
          <w:kern w:val="0"/>
          <w:szCs w:val="21"/>
        </w:rPr>
        <w:t>（http://www.hncsmtr.com/）</w:t>
      </w:r>
      <w:r>
        <w:rPr>
          <w:rFonts w:hint="eastAsia" w:hAnsi="宋体" w:cs="宋体"/>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b/>
        </w:rPr>
      </w:pPr>
      <w:r>
        <w:rPr>
          <w:rFonts w:hint="eastAsia" w:ascii="宋体" w:hAnsi="宋体"/>
          <w:b/>
          <w:bCs/>
          <w:szCs w:val="21"/>
        </w:rPr>
        <w:t>9.</w:t>
      </w:r>
      <w:r>
        <w:rPr>
          <w:rFonts w:hint="eastAsia" w:cs="宋体"/>
          <w:b/>
          <w:kern w:val="0"/>
        </w:rPr>
        <w:t>响应文件递交截止时间、谈判会议时间及地点</w:t>
      </w:r>
    </w:p>
    <w:p>
      <w:pPr>
        <w:pStyle w:val="25"/>
        <w:adjustRightInd w:val="0"/>
        <w:snapToGrid w:val="0"/>
        <w:spacing w:line="360" w:lineRule="auto"/>
        <w:ind w:firstLine="420" w:firstLineChars="200"/>
        <w:rPr>
          <w:rFonts w:hAnsi="宋体"/>
        </w:rPr>
      </w:pPr>
      <w:r>
        <w:rPr>
          <w:rFonts w:hint="eastAsia" w:hAnsi="宋体"/>
        </w:rPr>
        <w:t>9.1</w:t>
      </w:r>
      <w:r>
        <w:rPr>
          <w:rFonts w:hint="eastAsia" w:hAnsi="宋体" w:cs="宋体"/>
          <w:kern w:val="0"/>
        </w:rPr>
        <w:t>谈判单位递交响应文件截止时间、谈判会议</w:t>
      </w:r>
      <w:r>
        <w:rPr>
          <w:rFonts w:hint="eastAsia" w:hAnsi="宋体"/>
        </w:rPr>
        <w:t>时间及地点见</w:t>
      </w:r>
      <w:r>
        <w:rPr>
          <w:rFonts w:hint="eastAsia" w:hAnsi="宋体"/>
          <w:b/>
        </w:rPr>
        <w:t>前附表</w:t>
      </w:r>
      <w:r>
        <w:rPr>
          <w:rFonts w:hint="eastAsia" w:hAnsi="宋体"/>
        </w:rPr>
        <w:t>。</w:t>
      </w:r>
    </w:p>
    <w:p>
      <w:pPr>
        <w:pStyle w:val="5"/>
        <w:keepNext w:val="0"/>
        <w:keepLines w:val="0"/>
        <w:spacing w:before="0" w:after="0" w:line="360" w:lineRule="auto"/>
        <w:rPr>
          <w:rFonts w:ascii="宋体" w:hAnsi="宋体" w:cs="宋体"/>
          <w:sz w:val="21"/>
          <w:szCs w:val="21"/>
        </w:rPr>
      </w:pPr>
      <w:bookmarkStart w:id="12" w:name="_Toc6331"/>
      <w:bookmarkStart w:id="13" w:name="_Toc1302"/>
      <w:r>
        <w:rPr>
          <w:rFonts w:hint="eastAsia" w:ascii="宋体" w:hAnsi="宋体" w:cs="宋体"/>
          <w:sz w:val="21"/>
          <w:szCs w:val="21"/>
        </w:rPr>
        <w:t>三、响应文件</w:t>
      </w:r>
      <w:bookmarkEnd w:id="12"/>
      <w:bookmarkEnd w:id="13"/>
    </w:p>
    <w:p>
      <w:pPr>
        <w:adjustRightInd w:val="0"/>
        <w:snapToGrid w:val="0"/>
        <w:spacing w:line="360" w:lineRule="auto"/>
        <w:ind w:firstLine="413" w:firstLineChars="196"/>
        <w:rPr>
          <w:rFonts w:ascii="宋体" w:hAnsi="宋体"/>
          <w:b/>
          <w:bCs/>
          <w:szCs w:val="21"/>
        </w:rPr>
      </w:pPr>
      <w:r>
        <w:rPr>
          <w:rFonts w:hint="eastAsia" w:ascii="宋体" w:hAnsi="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rPr>
      </w:pPr>
      <w:r>
        <w:rPr>
          <w:rFonts w:hint="eastAsia" w:ascii="宋体" w:hAnsi="宋体"/>
          <w:b/>
          <w:bCs/>
          <w:szCs w:val="21"/>
        </w:rPr>
        <w:t>10.6</w:t>
      </w:r>
      <w:r>
        <w:rPr>
          <w:rFonts w:hint="eastAsia" w:hAnsi="宋体"/>
          <w:b/>
          <w:bCs/>
          <w:szCs w:val="21"/>
        </w:rPr>
        <w:t>响应</w:t>
      </w:r>
      <w:r>
        <w:rPr>
          <w:rFonts w:hAnsi="宋体"/>
          <w:b/>
          <w:bCs/>
          <w:szCs w:val="21"/>
        </w:rPr>
        <w:t>文件应当对</w:t>
      </w:r>
      <w:r>
        <w:rPr>
          <w:rFonts w:hint="eastAsia" w:hAnsi="宋体"/>
          <w:b/>
          <w:bCs/>
          <w:szCs w:val="21"/>
        </w:rPr>
        <w:t>谈判</w:t>
      </w:r>
      <w:r>
        <w:rPr>
          <w:rFonts w:hAnsi="宋体"/>
          <w:b/>
          <w:bCs/>
          <w:szCs w:val="21"/>
        </w:rPr>
        <w:t>文件的实质性要求和条件作出满足性或更有利于</w:t>
      </w:r>
      <w:r>
        <w:rPr>
          <w:rFonts w:hint="eastAsia" w:hAnsi="宋体"/>
          <w:b/>
          <w:bCs/>
          <w:szCs w:val="21"/>
        </w:rPr>
        <w:t>采购单位</w:t>
      </w:r>
      <w:r>
        <w:rPr>
          <w:rFonts w:hAnsi="宋体"/>
          <w:b/>
          <w:bCs/>
          <w:szCs w:val="21"/>
        </w:rPr>
        <w:t>的响应，</w:t>
      </w:r>
      <w:bookmarkStart w:id="14" w:name="page22"/>
      <w:bookmarkEnd w:id="14"/>
      <w:r>
        <w:rPr>
          <w:rFonts w:hAnsi="宋体"/>
          <w:b/>
          <w:bCs/>
          <w:szCs w:val="21"/>
        </w:rPr>
        <w:t>否则，</w:t>
      </w:r>
      <w:r>
        <w:rPr>
          <w:rFonts w:hint="eastAsia" w:hAnsi="宋体"/>
          <w:b/>
          <w:bCs/>
          <w:szCs w:val="21"/>
        </w:rPr>
        <w:t>谈判单位</w:t>
      </w:r>
      <w:r>
        <w:rPr>
          <w:rFonts w:hAnsi="宋体"/>
          <w:b/>
          <w:bCs/>
          <w:szCs w:val="21"/>
        </w:rPr>
        <w:t>的投标将被否决。实质性要求和条件见</w:t>
      </w:r>
      <w:r>
        <w:rPr>
          <w:rFonts w:hint="eastAsia" w:hAnsi="宋体"/>
          <w:b/>
          <w:bCs/>
          <w:szCs w:val="21"/>
        </w:rPr>
        <w:t>谈判</w:t>
      </w:r>
      <w:r>
        <w:rPr>
          <w:rFonts w:hAnsi="宋体"/>
          <w:b/>
          <w:bCs/>
          <w:szCs w:val="21"/>
        </w:rPr>
        <w:t>须知前附表。</w:t>
      </w:r>
    </w:p>
    <w:p>
      <w:pPr>
        <w:adjustRightInd w:val="0"/>
        <w:snapToGrid w:val="0"/>
        <w:spacing w:line="360" w:lineRule="auto"/>
        <w:ind w:firstLine="422" w:firstLineChars="200"/>
        <w:rPr>
          <w:rFonts w:ascii="宋体" w:hAnsi="宋体"/>
          <w:szCs w:val="21"/>
        </w:rPr>
      </w:pPr>
      <w:r>
        <w:rPr>
          <w:rFonts w:hint="eastAsia" w:hAnsi="宋体"/>
          <w:b/>
          <w:bCs/>
          <w:szCs w:val="21"/>
        </w:rPr>
        <w:t>10.7响应</w:t>
      </w:r>
      <w:r>
        <w:rPr>
          <w:rFonts w:hAnsi="宋体"/>
          <w:b/>
          <w:bCs/>
          <w:szCs w:val="21"/>
        </w:rPr>
        <w:t>文件</w:t>
      </w:r>
      <w:r>
        <w:rPr>
          <w:rFonts w:hint="eastAsia" w:hAnsi="宋体"/>
          <w:b/>
          <w:bCs/>
          <w:szCs w:val="21"/>
        </w:rPr>
        <w:t>对谈判</w:t>
      </w:r>
      <w:r>
        <w:rPr>
          <w:rFonts w:hAnsi="宋体"/>
          <w:b/>
          <w:bCs/>
          <w:szCs w:val="21"/>
        </w:rPr>
        <w:t>文件</w:t>
      </w:r>
      <w:r>
        <w:rPr>
          <w:rFonts w:hint="eastAsia" w:hAnsi="宋体"/>
          <w:b/>
          <w:bCs/>
          <w:szCs w:val="21"/>
        </w:rPr>
        <w:t>标注“★”符号</w:t>
      </w:r>
      <w:r>
        <w:rPr>
          <w:rFonts w:hAnsi="宋体"/>
          <w:b/>
          <w:bCs/>
          <w:szCs w:val="21"/>
        </w:rPr>
        <w:t>的实质性要求和条件</w:t>
      </w:r>
      <w:r>
        <w:rPr>
          <w:rFonts w:hint="eastAsia" w:hAnsi="宋体"/>
          <w:b/>
          <w:bCs/>
          <w:szCs w:val="21"/>
        </w:rPr>
        <w:t>的</w:t>
      </w:r>
      <w:r>
        <w:rPr>
          <w:rFonts w:hAnsi="宋体"/>
          <w:b/>
          <w:bCs/>
          <w:szCs w:val="21"/>
        </w:rPr>
        <w:t>响应，均须</w:t>
      </w:r>
      <w:r>
        <w:rPr>
          <w:rFonts w:hint="eastAsia" w:hAnsi="宋体"/>
          <w:b/>
          <w:bCs/>
          <w:szCs w:val="21"/>
        </w:rPr>
        <w:t>按谈判</w:t>
      </w:r>
      <w:r>
        <w:rPr>
          <w:rFonts w:hAnsi="宋体"/>
          <w:b/>
          <w:bCs/>
          <w:szCs w:val="21"/>
        </w:rPr>
        <w:t>文件要求在</w:t>
      </w:r>
      <w:r>
        <w:rPr>
          <w:rFonts w:hint="eastAsia" w:hAnsi="宋体"/>
          <w:b/>
          <w:bCs/>
          <w:szCs w:val="21"/>
        </w:rPr>
        <w:t>响应</w:t>
      </w:r>
      <w:r>
        <w:rPr>
          <w:rFonts w:hAnsi="宋体"/>
          <w:b/>
          <w:bCs/>
          <w:szCs w:val="21"/>
        </w:rPr>
        <w:t>文件的《</w:t>
      </w:r>
      <w:r>
        <w:rPr>
          <w:rFonts w:hint="eastAsia" w:hAnsi="宋体"/>
          <w:b/>
          <w:bCs/>
          <w:szCs w:val="21"/>
        </w:rPr>
        <w:t>实质性条款（标注“★”符号）响应表</w:t>
      </w:r>
      <w:r>
        <w:rPr>
          <w:rFonts w:hAnsi="宋体"/>
          <w:b/>
          <w:bCs/>
          <w:szCs w:val="21"/>
        </w:rPr>
        <w:t>》</w:t>
      </w:r>
      <w:r>
        <w:rPr>
          <w:rFonts w:hint="eastAsia" w:hAnsi="宋体"/>
          <w:b/>
          <w:bCs/>
          <w:szCs w:val="21"/>
        </w:rPr>
        <w:t>中</w:t>
      </w:r>
      <w:r>
        <w:rPr>
          <w:rFonts w:hAnsi="宋体"/>
          <w:b/>
          <w:bCs/>
          <w:szCs w:val="21"/>
        </w:rPr>
        <w:t>列明，《</w:t>
      </w:r>
      <w:r>
        <w:rPr>
          <w:rFonts w:hint="eastAsia" w:hAnsi="宋体"/>
          <w:b/>
          <w:bCs/>
          <w:szCs w:val="21"/>
        </w:rPr>
        <w:t>实质性条款（标注“★”符号）响应表</w:t>
      </w:r>
      <w:r>
        <w:rPr>
          <w:rFonts w:hAnsi="宋体"/>
          <w:b/>
          <w:bCs/>
          <w:szCs w:val="21"/>
        </w:rPr>
        <w:t>》</w:t>
      </w:r>
      <w:r>
        <w:rPr>
          <w:rFonts w:hint="eastAsia" w:hAnsi="宋体"/>
          <w:b/>
          <w:bCs/>
          <w:szCs w:val="21"/>
        </w:rPr>
        <w:t>中缺项</w:t>
      </w:r>
      <w:r>
        <w:rPr>
          <w:rFonts w:hAnsi="宋体"/>
          <w:b/>
          <w:bCs/>
          <w:szCs w:val="21"/>
        </w:rPr>
        <w:t>、漏项</w:t>
      </w:r>
      <w:r>
        <w:rPr>
          <w:rFonts w:hint="eastAsia" w:hAnsi="宋体"/>
          <w:b/>
          <w:bCs/>
          <w:szCs w:val="21"/>
        </w:rPr>
        <w:t>或者任意</w:t>
      </w:r>
      <w:r>
        <w:rPr>
          <w:rFonts w:hAnsi="宋体"/>
          <w:b/>
          <w:bCs/>
          <w:szCs w:val="21"/>
        </w:rPr>
        <w:t>一项</w:t>
      </w:r>
      <w:r>
        <w:rPr>
          <w:rFonts w:hint="eastAsia" w:hAnsi="宋体"/>
          <w:b/>
          <w:bCs/>
          <w:szCs w:val="21"/>
        </w:rPr>
        <w:t>不响应谈判</w:t>
      </w:r>
      <w:r>
        <w:rPr>
          <w:rFonts w:hAnsi="宋体"/>
          <w:b/>
          <w:bCs/>
          <w:szCs w:val="21"/>
        </w:rPr>
        <w:t>文件的，</w:t>
      </w:r>
      <w:r>
        <w:rPr>
          <w:rFonts w:hint="eastAsia" w:hAnsi="宋体"/>
          <w:b/>
          <w:bCs/>
          <w:szCs w:val="21"/>
        </w:rPr>
        <w:t>投标</w:t>
      </w:r>
      <w:r>
        <w:rPr>
          <w:rFonts w:hAnsi="宋体"/>
          <w:b/>
          <w:bCs/>
          <w:szCs w:val="21"/>
        </w:rPr>
        <w:t>将被否决。</w:t>
      </w:r>
    </w:p>
    <w:p>
      <w:pPr>
        <w:adjustRightInd w:val="0"/>
        <w:snapToGrid w:val="0"/>
        <w:spacing w:line="360" w:lineRule="auto"/>
        <w:ind w:firstLine="413" w:firstLineChars="196"/>
        <w:rPr>
          <w:rFonts w:ascii="宋体" w:hAnsi="宋体"/>
          <w:b/>
          <w:bCs/>
          <w:szCs w:val="21"/>
        </w:rPr>
      </w:pPr>
      <w:r>
        <w:rPr>
          <w:rFonts w:hint="eastAsia" w:ascii="宋体" w:hAnsi="宋体"/>
          <w:b/>
          <w:bCs/>
          <w:szCs w:val="21"/>
        </w:rPr>
        <w:t>11.</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2" w:firstLineChars="200"/>
        <w:rPr>
          <w:rFonts w:hAnsi="宋体" w:cs="宋体"/>
          <w:b/>
          <w:bCs/>
        </w:rPr>
      </w:pPr>
      <w:r>
        <w:rPr>
          <w:rFonts w:hint="eastAsia" w:hAnsi="宋体" w:cs="宋体"/>
          <w:b/>
          <w:bCs/>
        </w:rPr>
        <w:t>（5）</w:t>
      </w:r>
      <w:r>
        <w:rPr>
          <w:rFonts w:hint="eastAsia" w:hAnsi="宋体"/>
          <w:b/>
          <w:bCs/>
        </w:rPr>
        <w:t>实质性条款（标注“★”符号）响应表</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（7）其他资料（如有）</w:t>
      </w:r>
    </w:p>
    <w:p>
      <w:pPr>
        <w:pStyle w:val="25"/>
        <w:adjustRightInd w:val="0"/>
        <w:snapToGrid w:val="0"/>
        <w:spacing w:line="360" w:lineRule="auto"/>
        <w:ind w:firstLine="420" w:firstLineChars="200"/>
        <w:rPr>
          <w:rFonts w:hAnsi="宋体"/>
        </w:rPr>
      </w:pPr>
      <w:r>
        <w:rPr>
          <w:rFonts w:hint="eastAsia" w:hAnsi="宋体"/>
        </w:rPr>
        <w:t>11.2在谈判过程中，谈判单位根据</w:t>
      </w:r>
      <w:r>
        <w:rPr>
          <w:rFonts w:hint="eastAsia" w:hAnsi="宋体" w:cs="宋体"/>
          <w:kern w:val="0"/>
        </w:rPr>
        <w:t>谈判评审小组</w:t>
      </w:r>
      <w:r>
        <w:rPr>
          <w:rFonts w:hint="eastAsia" w:hAnsi="宋体"/>
          <w:bCs/>
        </w:rPr>
        <w:t>要求</w:t>
      </w:r>
      <w:r>
        <w:rPr>
          <w:rFonts w:hint="eastAsia" w:hAnsi="宋体" w:cs="宋体"/>
          <w:kern w:val="0"/>
        </w:rPr>
        <w:t>提交的</w:t>
      </w:r>
      <w:r>
        <w:rPr>
          <w:rFonts w:hint="eastAsia" w:hAnsi="宋体"/>
        </w:rPr>
        <w:t>书面承诺或其他文件是响应文件的有效组成部分。</w:t>
      </w:r>
    </w:p>
    <w:p>
      <w:pPr>
        <w:adjustRightInd w:val="0"/>
        <w:snapToGrid w:val="0"/>
        <w:spacing w:line="360" w:lineRule="auto"/>
        <w:ind w:firstLine="420" w:firstLineChars="200"/>
        <w:rPr>
          <w:rFonts w:hAnsi="宋体"/>
        </w:rPr>
      </w:pPr>
      <w:r>
        <w:rPr>
          <w:rFonts w:hint="eastAsia" w:ascii="宋体" w:hAnsi="宋体"/>
        </w:rPr>
        <w:t>11.3</w:t>
      </w:r>
      <w:r>
        <w:rPr>
          <w:rFonts w:hint="eastAsia" w:ascii="宋体" w:hAnsi="宋体"/>
          <w:szCs w:val="21"/>
        </w:rPr>
        <w:t>谈判单位无论成交与否，其递交的响应文件均不予退还。</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12.报价要求</w:t>
      </w:r>
    </w:p>
    <w:p>
      <w:pPr>
        <w:adjustRightInd w:val="0"/>
        <w:snapToGrid w:val="0"/>
        <w:spacing w:line="360" w:lineRule="auto"/>
        <w:ind w:firstLine="420" w:firstLineChars="200"/>
        <w:rPr>
          <w:rFonts w:ascii="宋体" w:hAnsi="宋体"/>
        </w:rPr>
      </w:pPr>
      <w:r>
        <w:rPr>
          <w:rFonts w:hint="eastAsia" w:ascii="宋体" w:hAnsi="宋体"/>
        </w:rPr>
        <w:t>12.1谈判单位应按第六章“响应文件格式”的要求在报价文件中进行报价。</w:t>
      </w:r>
      <w:r>
        <w:rPr>
          <w:rFonts w:hint="eastAsia" w:ascii="宋体" w:hAnsi="宋体"/>
          <w:szCs w:val="21"/>
        </w:rPr>
        <w:t>谈判单位所报的总价及综合单价均不得超过谈判</w:t>
      </w:r>
      <w:r>
        <w:rPr>
          <w:rFonts w:hint="eastAsia" w:ascii="宋体" w:hAnsi="宋体"/>
          <w:b/>
          <w:szCs w:val="21"/>
        </w:rPr>
        <w:t>预算</w:t>
      </w:r>
      <w:r>
        <w:rPr>
          <w:rFonts w:hint="eastAsia" w:ascii="宋体" w:hAnsi="宋体"/>
        </w:rPr>
        <w:t>，</w:t>
      </w:r>
      <w:r>
        <w:rPr>
          <w:rFonts w:hint="eastAsia" w:ascii="宋体" w:hAnsi="宋体"/>
          <w:szCs w:val="21"/>
        </w:rPr>
        <w:t>不超过谈判</w:t>
      </w:r>
      <w:r>
        <w:rPr>
          <w:rFonts w:hint="eastAsia" w:ascii="宋体" w:hAnsi="宋体"/>
          <w:b/>
          <w:szCs w:val="21"/>
        </w:rPr>
        <w:t>预算</w:t>
      </w:r>
      <w:r>
        <w:rPr>
          <w:rFonts w:hint="eastAsia" w:ascii="宋体" w:hAnsi="宋体"/>
          <w:szCs w:val="21"/>
        </w:rPr>
        <w:t>的报价方为有效报价，</w:t>
      </w:r>
      <w:r>
        <w:rPr>
          <w:rFonts w:hint="eastAsia" w:ascii="宋体" w:hAnsi="宋体"/>
        </w:rPr>
        <w:t>谈判时需明确税费，税率必须符合国家政策法规规定，合同支付时服务单位需开具经</w:t>
      </w:r>
      <w:r>
        <w:rPr>
          <w:rFonts w:hint="eastAsia" w:ascii="宋体" w:hAnsi="宋体"/>
          <w:b/>
        </w:rPr>
        <w:t>采购单位</w:t>
      </w:r>
      <w:r>
        <w:rPr>
          <w:rFonts w:hint="eastAsia" w:ascii="宋体" w:hAnsi="宋体"/>
        </w:rPr>
        <w:t>认可的合法完税单据。</w:t>
      </w:r>
    </w:p>
    <w:p>
      <w:pPr>
        <w:adjustRightInd w:val="0"/>
        <w:snapToGrid w:val="0"/>
        <w:spacing w:line="360" w:lineRule="auto"/>
        <w:ind w:firstLine="420" w:firstLineChars="200"/>
        <w:rPr>
          <w:rFonts w:ascii="宋体" w:hAnsi="宋体"/>
          <w:szCs w:val="21"/>
        </w:rPr>
      </w:pPr>
      <w:r>
        <w:rPr>
          <w:rFonts w:hint="eastAsia" w:ascii="宋体" w:hAnsi="宋体"/>
          <w:szCs w:val="21"/>
        </w:rPr>
        <w:t>12.2</w:t>
      </w:r>
      <w:r>
        <w:rPr>
          <w:rFonts w:hint="eastAsia" w:ascii="宋体" w:hAnsi="宋体" w:eastAsia="宋体" w:cs="宋体"/>
          <w:color w:val="auto"/>
          <w:sz w:val="21"/>
          <w:szCs w:val="21"/>
          <w:highlight w:val="none"/>
        </w:rPr>
        <w:t>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bookmarkStart w:id="143" w:name="_GoBack"/>
      <w:bookmarkEnd w:id="143"/>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color w:val="auto"/>
          <w:szCs w:val="21"/>
        </w:rPr>
        <w:t>单位在</w:t>
      </w:r>
      <w:r>
        <w:rPr>
          <w:rFonts w:hint="eastAsia" w:ascii="宋体" w:hAnsi="宋体"/>
          <w:color w:val="auto"/>
          <w:szCs w:val="21"/>
        </w:rPr>
        <w:t>谈判</w:t>
      </w:r>
      <w:r>
        <w:rPr>
          <w:rFonts w:ascii="宋体" w:hAnsi="宋体"/>
          <w:color w:val="auto"/>
          <w:szCs w:val="21"/>
        </w:rPr>
        <w:t>截止时间前修改</w:t>
      </w:r>
      <w:r>
        <w:rPr>
          <w:rFonts w:hint="eastAsia" w:ascii="宋体" w:hAnsi="宋体"/>
          <w:color w:val="auto"/>
          <w:szCs w:val="21"/>
        </w:rPr>
        <w:t>报价文件</w:t>
      </w:r>
      <w:r>
        <w:rPr>
          <w:rFonts w:ascii="宋体" w:hAnsi="宋体"/>
          <w:color w:val="auto"/>
          <w:szCs w:val="21"/>
        </w:rPr>
        <w:t>中的</w:t>
      </w:r>
      <w:r>
        <w:rPr>
          <w:rFonts w:hint="eastAsia" w:ascii="宋体" w:hAnsi="宋体"/>
          <w:color w:val="auto"/>
          <w:szCs w:val="21"/>
        </w:rPr>
        <w:t>谈判总</w:t>
      </w:r>
      <w:r>
        <w:rPr>
          <w:rFonts w:ascii="宋体" w:hAnsi="宋体"/>
          <w:color w:val="auto"/>
          <w:szCs w:val="21"/>
        </w:rPr>
        <w:t>报价，应同时修改</w:t>
      </w:r>
      <w:r>
        <w:rPr>
          <w:rFonts w:hint="eastAsia" w:ascii="宋体" w:hAnsi="宋体"/>
          <w:color w:val="auto"/>
          <w:szCs w:val="21"/>
        </w:rPr>
        <w:t>报价</w:t>
      </w:r>
      <w:r>
        <w:rPr>
          <w:rFonts w:ascii="宋体" w:hAnsi="宋体"/>
          <w:color w:val="auto"/>
          <w:szCs w:val="21"/>
        </w:rPr>
        <w:t>文件</w:t>
      </w:r>
      <w:r>
        <w:rPr>
          <w:rFonts w:hint="eastAsia" w:ascii="宋体" w:hAnsi="宋体"/>
          <w:color w:val="auto"/>
          <w:szCs w:val="21"/>
        </w:rPr>
        <w:t>《报价一览表》和《分项价格表》</w:t>
      </w:r>
      <w:r>
        <w:rPr>
          <w:rFonts w:ascii="宋体" w:hAnsi="宋体"/>
          <w:color w:val="auto"/>
          <w:szCs w:val="21"/>
        </w:rPr>
        <w:t>中的相应报价。</w:t>
      </w:r>
    </w:p>
    <w:p>
      <w:pPr>
        <w:adjustRightInd w:val="0"/>
        <w:snapToGrid w:val="0"/>
        <w:spacing w:line="360" w:lineRule="auto"/>
        <w:ind w:firstLine="420" w:firstLineChars="200"/>
        <w:rPr>
          <w:rFonts w:ascii="宋体" w:hAnsi="宋体"/>
          <w:szCs w:val="21"/>
        </w:rPr>
      </w:pPr>
      <w:r>
        <w:rPr>
          <w:rFonts w:hint="eastAsia" w:ascii="宋体" w:hAnsi="宋体"/>
          <w:szCs w:val="21"/>
        </w:rPr>
        <w:t>12.4本项目谈判</w:t>
      </w:r>
      <w:r>
        <w:rPr>
          <w:rFonts w:hint="eastAsia" w:ascii="宋体" w:hAnsi="宋体"/>
          <w:b/>
          <w:szCs w:val="21"/>
        </w:rPr>
        <w:t>预算</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ascii="宋体" w:hAnsi="宋体"/>
          <w:szCs w:val="21"/>
        </w:rPr>
      </w:pPr>
      <w:r>
        <w:rPr>
          <w:rFonts w:hint="eastAsia" w:ascii="宋体" w:hAnsi="宋体"/>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hAnsi="宋体"/>
        </w:rPr>
        <w:t>以可变动价格提交的报价将被认为是非实质响应而被拒绝。</w:t>
      </w:r>
    </w:p>
    <w:p>
      <w:pPr>
        <w:pStyle w:val="25"/>
        <w:adjustRightInd w:val="0"/>
        <w:snapToGrid w:val="0"/>
        <w:spacing w:line="360" w:lineRule="auto"/>
        <w:ind w:firstLine="420" w:firstLineChars="200"/>
        <w:rPr>
          <w:rFonts w:hAnsi="宋体"/>
        </w:rPr>
      </w:pPr>
      <w:r>
        <w:rPr>
          <w:rFonts w:hint="eastAsia" w:hAnsi="宋体"/>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szCs w:val="21"/>
        </w:rPr>
      </w:pPr>
      <w:r>
        <w:rPr>
          <w:rFonts w:hint="eastAsia" w:ascii="宋体" w:hAnsi="宋体"/>
          <w:bCs/>
          <w:szCs w:val="21"/>
        </w:rPr>
        <w:t>12.7最低报价不能作为中选的保证。</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13.</w:t>
      </w:r>
      <w:r>
        <w:rPr>
          <w:rFonts w:hint="eastAsia" w:hAnsi="宋体"/>
          <w:b/>
          <w:bCs/>
        </w:rPr>
        <w:t>响应文件</w:t>
      </w:r>
      <w:r>
        <w:rPr>
          <w:rFonts w:hint="eastAsia" w:ascii="宋体" w:hAnsi="宋体"/>
          <w:b/>
          <w:bCs/>
          <w:szCs w:val="21"/>
        </w:rPr>
        <w:t>有效期</w:t>
      </w:r>
    </w:p>
    <w:p>
      <w:pPr>
        <w:adjustRightInd w:val="0"/>
        <w:snapToGrid w:val="0"/>
        <w:spacing w:line="360" w:lineRule="auto"/>
        <w:ind w:firstLine="420" w:firstLineChars="200"/>
        <w:jc w:val="left"/>
        <w:rPr>
          <w:rFonts w:hAnsi="宋体"/>
        </w:rPr>
      </w:pPr>
      <w:r>
        <w:rPr>
          <w:rFonts w:hint="eastAsia" w:ascii="宋体" w:hAnsi="宋体"/>
        </w:rPr>
        <w:t>13.1响应文件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14.响应文件的编制</w:t>
      </w:r>
    </w:p>
    <w:p>
      <w:pPr>
        <w:pStyle w:val="61"/>
        <w:ind w:firstLine="420" w:firstLineChars="200"/>
        <w:jc w:val="both"/>
        <w:rPr>
          <w:rFonts w:hAnsi="宋体"/>
          <w:sz w:val="21"/>
          <w:szCs w:val="21"/>
        </w:rPr>
      </w:pPr>
      <w:r>
        <w:rPr>
          <w:rFonts w:hint="eastAsia" w:hAnsi="宋体"/>
          <w:sz w:val="21"/>
          <w:szCs w:val="21"/>
        </w:rPr>
        <w:t>14</w:t>
      </w:r>
      <w:r>
        <w:rPr>
          <w:rFonts w:hAnsi="宋体"/>
          <w:sz w:val="21"/>
          <w:szCs w:val="21"/>
        </w:rPr>
        <w:t>.1</w:t>
      </w:r>
      <w:r>
        <w:rPr>
          <w:rFonts w:hint="eastAsia" w:hAnsi="宋体"/>
          <w:sz w:val="21"/>
          <w:szCs w:val="21"/>
        </w:rPr>
        <w:t>响应</w:t>
      </w:r>
      <w:r>
        <w:rPr>
          <w:rFonts w:hAnsi="宋体"/>
          <w:sz w:val="21"/>
          <w:szCs w:val="21"/>
        </w:rPr>
        <w:t>文件应按第六章“</w:t>
      </w:r>
      <w:r>
        <w:rPr>
          <w:rFonts w:hint="eastAsia" w:hAnsi="宋体"/>
          <w:sz w:val="21"/>
          <w:szCs w:val="21"/>
        </w:rPr>
        <w:t>响应</w:t>
      </w:r>
      <w:r>
        <w:rPr>
          <w:rFonts w:hAnsi="宋体"/>
          <w:sz w:val="21"/>
          <w:szCs w:val="21"/>
        </w:rPr>
        <w:t>文件格式”进行编写，如有必要，可以增加附页，作为</w:t>
      </w:r>
      <w:r>
        <w:rPr>
          <w:rFonts w:hint="eastAsia" w:hAnsi="宋体"/>
          <w:sz w:val="21"/>
          <w:szCs w:val="21"/>
        </w:rPr>
        <w:t>响应</w:t>
      </w:r>
      <w:r>
        <w:rPr>
          <w:rFonts w:hAnsi="宋体"/>
          <w:sz w:val="21"/>
          <w:szCs w:val="21"/>
        </w:rPr>
        <w:t>文件的组成部分。</w:t>
      </w:r>
    </w:p>
    <w:p>
      <w:pPr>
        <w:pStyle w:val="25"/>
        <w:adjustRightInd w:val="0"/>
        <w:snapToGrid w:val="0"/>
        <w:spacing w:line="360" w:lineRule="auto"/>
        <w:ind w:firstLine="420" w:firstLineChars="200"/>
        <w:rPr>
          <w:rFonts w:hAnsi="宋体"/>
        </w:rPr>
      </w:pPr>
      <w:r>
        <w:rPr>
          <w:rFonts w:hint="eastAsia" w:hAnsi="宋体"/>
        </w:rPr>
        <w:t>14.2响应</w:t>
      </w:r>
      <w:r>
        <w:rPr>
          <w:rFonts w:hAnsi="宋体"/>
        </w:rPr>
        <w:t>文件</w:t>
      </w:r>
      <w:r>
        <w:rPr>
          <w:rFonts w:hint="eastAsia" w:hAnsi="宋体"/>
        </w:rPr>
        <w:t>应用不褪色的材料书写或打印（建议</w:t>
      </w:r>
      <w:r>
        <w:rPr>
          <w:rFonts w:hAnsi="宋体"/>
        </w:rPr>
        <w:t>双面打印</w:t>
      </w:r>
      <w:r>
        <w:rPr>
          <w:rFonts w:hint="eastAsia" w:hAnsi="宋体"/>
        </w:rPr>
        <w:t>），并按第六章“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b/>
        </w:rPr>
        <w:t>第六章</w:t>
      </w:r>
      <w:r>
        <w:rPr>
          <w:rFonts w:hAnsi="宋体"/>
        </w:rPr>
        <w:t>“</w:t>
      </w:r>
      <w:r>
        <w:rPr>
          <w:rFonts w:hint="eastAsia" w:hAnsi="宋体"/>
        </w:rPr>
        <w:t>响应文件格式</w:t>
      </w:r>
      <w:r>
        <w:rPr>
          <w:rFonts w:hAnsi="宋体"/>
        </w:rPr>
        <w:t>”</w:t>
      </w:r>
      <w:r>
        <w:rPr>
          <w:rFonts w:hint="eastAsia" w:hAnsi="宋体"/>
        </w:rPr>
        <w:t>的要求。</w:t>
      </w:r>
    </w:p>
    <w:p>
      <w:pPr>
        <w:pStyle w:val="25"/>
        <w:adjustRightInd w:val="0"/>
        <w:snapToGrid w:val="0"/>
        <w:spacing w:line="360" w:lineRule="auto"/>
        <w:ind w:firstLine="420" w:firstLineChars="200"/>
        <w:rPr>
          <w:rFonts w:hAnsi="宋体"/>
        </w:rPr>
      </w:pPr>
      <w:r>
        <w:rPr>
          <w:rFonts w:hint="eastAsia" w:hAnsi="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rPr>
      </w:pPr>
      <w:r>
        <w:rPr>
          <w:rFonts w:hint="eastAsia" w:hAnsi="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b/>
        </w:rPr>
        <w:t>正本</w:t>
      </w:r>
      <w:r>
        <w:rPr>
          <w:rFonts w:hint="eastAsia" w:hAnsi="宋体"/>
        </w:rPr>
        <w:t>”或“</w:t>
      </w:r>
      <w:r>
        <w:rPr>
          <w:rFonts w:hint="eastAsia" w:hAnsi="宋体"/>
          <w:b/>
        </w:rPr>
        <w:t>副本</w:t>
      </w:r>
      <w:r>
        <w:rPr>
          <w:rFonts w:hint="eastAsia" w:hAnsi="宋体"/>
        </w:rPr>
        <w:t>”的字样，</w:t>
      </w:r>
      <w:r>
        <w:rPr>
          <w:rFonts w:hAnsi="宋体"/>
        </w:rPr>
        <w:t>若</w:t>
      </w:r>
      <w:r>
        <w:rPr>
          <w:rFonts w:hint="eastAsia" w:hAnsi="宋体"/>
        </w:rPr>
        <w:t>响应</w:t>
      </w:r>
      <w:r>
        <w:rPr>
          <w:rFonts w:hAnsi="宋体"/>
        </w:rPr>
        <w:t>文件副本</w:t>
      </w:r>
      <w:r>
        <w:rPr>
          <w:rFonts w:hint="eastAsia" w:hAnsi="宋体"/>
        </w:rPr>
        <w:t>为</w:t>
      </w:r>
      <w:r>
        <w:rPr>
          <w:rFonts w:hAnsi="宋体"/>
        </w:rPr>
        <w:t>正本的复印件，</w:t>
      </w:r>
      <w:r>
        <w:rPr>
          <w:rFonts w:hint="eastAsia" w:hAnsi="宋体"/>
        </w:rPr>
        <w:t>还</w:t>
      </w:r>
      <w:r>
        <w:rPr>
          <w:rFonts w:hAnsi="宋体"/>
        </w:rPr>
        <w:t>需</w:t>
      </w:r>
      <w:r>
        <w:rPr>
          <w:rFonts w:hint="eastAsia" w:hAnsi="宋体"/>
        </w:rPr>
        <w:t>在谈判文件</w:t>
      </w:r>
      <w:r>
        <w:rPr>
          <w:rFonts w:hAnsi="宋体"/>
        </w:rPr>
        <w:t>要求盖章处加盖单位公章。</w:t>
      </w:r>
      <w:r>
        <w:rPr>
          <w:rFonts w:hint="eastAsia" w:hAnsi="宋体"/>
        </w:rPr>
        <w:t>当正本和副本有差异时，以正本为准。</w:t>
      </w:r>
    </w:p>
    <w:p>
      <w:pPr>
        <w:pStyle w:val="5"/>
        <w:keepNext w:val="0"/>
        <w:keepLines w:val="0"/>
        <w:spacing w:before="0" w:after="0" w:line="360" w:lineRule="auto"/>
        <w:rPr>
          <w:rFonts w:ascii="宋体" w:hAnsi="宋体" w:cs="宋体"/>
          <w:sz w:val="21"/>
          <w:szCs w:val="21"/>
        </w:rPr>
      </w:pPr>
      <w:bookmarkStart w:id="15" w:name="_Toc5120"/>
      <w:bookmarkStart w:id="16" w:name="_Toc10472"/>
      <w:r>
        <w:rPr>
          <w:rFonts w:hint="eastAsia" w:ascii="宋体" w:hAnsi="宋体" w:cs="宋体"/>
          <w:sz w:val="21"/>
          <w:szCs w:val="21"/>
        </w:rPr>
        <w:t>四、响应文件的递交</w:t>
      </w:r>
      <w:bookmarkEnd w:id="15"/>
      <w:bookmarkEnd w:id="16"/>
    </w:p>
    <w:p>
      <w:pPr>
        <w:adjustRightInd w:val="0"/>
        <w:snapToGrid w:val="0"/>
        <w:spacing w:line="360" w:lineRule="auto"/>
        <w:ind w:firstLine="422" w:firstLineChars="200"/>
        <w:rPr>
          <w:rFonts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的密封</w:t>
      </w:r>
    </w:p>
    <w:p>
      <w:pPr>
        <w:adjustRightInd w:val="0"/>
        <w:snapToGrid w:val="0"/>
        <w:spacing w:line="360" w:lineRule="auto"/>
        <w:ind w:firstLine="420" w:firstLineChars="200"/>
        <w:jc w:val="left"/>
        <w:rPr>
          <w:rFonts w:ascii="宋体" w:hAnsi="宋体"/>
          <w:b/>
          <w:bCs/>
          <w:szCs w:val="21"/>
        </w:rPr>
      </w:pPr>
      <w:r>
        <w:rPr>
          <w:rFonts w:hint="eastAsia"/>
        </w:rPr>
        <w:t>15.1谈判单位须将响应文件一正两副与电子文件一起密封包装。</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16.响应文件的标记</w:t>
      </w:r>
    </w:p>
    <w:p>
      <w:pPr>
        <w:adjustRightInd w:val="0"/>
        <w:snapToGrid w:val="0"/>
        <w:spacing w:line="360" w:lineRule="auto"/>
        <w:ind w:firstLine="420" w:firstLineChars="200"/>
        <w:jc w:val="left"/>
        <w:rPr>
          <w:rFonts w:ascii="宋体" w:hAnsi="宋体"/>
          <w:b/>
          <w:bCs/>
          <w:szCs w:val="21"/>
        </w:rPr>
      </w:pPr>
      <w:r>
        <w:rPr>
          <w:rFonts w:hint="eastAsia" w:ascii="宋体" w:hAnsi="宋体"/>
          <w:szCs w:val="21"/>
        </w:rPr>
        <w:t>16.1</w:t>
      </w:r>
      <w:r>
        <w:rPr>
          <w:rFonts w:hint="eastAsia" w:ascii="宋体" w:hAnsi="宋体"/>
          <w:bCs/>
          <w:szCs w:val="21"/>
        </w:rPr>
        <w:t>响应文件的密封封套上须写明如下内容</w:t>
      </w:r>
      <w:r>
        <w:rPr>
          <w:rFonts w:hint="eastAsia" w:ascii="宋体" w:hAnsi="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szCs w:val="21"/>
                <w:u w:val="single"/>
              </w:rPr>
            </w:pPr>
            <w:r>
              <w:rPr>
                <w:rFonts w:hint="eastAsia" w:ascii="宋体" w:hAnsi="宋体"/>
                <w:szCs w:val="21"/>
              </w:rPr>
              <w:t>采购单位：</w:t>
            </w:r>
          </w:p>
          <w:p>
            <w:pPr>
              <w:spacing w:line="360" w:lineRule="auto"/>
              <w:rPr>
                <w:rFonts w:ascii="宋体" w:hAnsi="宋体"/>
                <w:szCs w:val="21"/>
                <w:u w:val="single"/>
              </w:rPr>
            </w:pPr>
            <w:r>
              <w:rPr>
                <w:rFonts w:hint="eastAsia" w:ascii="宋体" w:hAnsi="宋体"/>
                <w:szCs w:val="21"/>
              </w:rPr>
              <w:t xml:space="preserve">项目名称： </w:t>
            </w:r>
          </w:p>
          <w:p>
            <w:pPr>
              <w:spacing w:line="360" w:lineRule="auto"/>
              <w:rPr>
                <w:rFonts w:ascii="宋体" w:hAnsi="宋体"/>
                <w:szCs w:val="21"/>
                <w:u w:val="single"/>
              </w:rPr>
            </w:pPr>
            <w:r>
              <w:rPr>
                <w:rFonts w:hint="eastAsia" w:ascii="宋体" w:hAnsi="宋体"/>
                <w:szCs w:val="21"/>
              </w:rPr>
              <w:t>谈判单位：</w:t>
            </w:r>
            <w:r>
              <w:rPr>
                <w:rFonts w:hint="eastAsia" w:ascii="宋体" w:hAnsi="宋体"/>
                <w:szCs w:val="21"/>
                <w:u w:val="single"/>
              </w:rPr>
              <w:t xml:space="preserve">（填写单位名称并加盖单位公章）         </w:t>
            </w:r>
          </w:p>
          <w:p>
            <w:pPr>
              <w:spacing w:line="360" w:lineRule="auto"/>
              <w:ind w:firstLine="840" w:firstLineChars="400"/>
              <w:rPr>
                <w:rFonts w:ascii="宋体" w:hAnsi="宋体"/>
                <w:szCs w:val="21"/>
              </w:rPr>
            </w:pPr>
            <w:r>
              <w:rPr>
                <w:rFonts w:hint="eastAsia" w:ascii="宋体" w:hAnsi="宋体"/>
                <w:bCs/>
                <w:szCs w:val="21"/>
              </w:rPr>
              <w:t>年 月 日</w:t>
            </w:r>
          </w:p>
        </w:tc>
      </w:tr>
    </w:tbl>
    <w:p>
      <w:pPr>
        <w:adjustRightInd w:val="0"/>
        <w:snapToGrid w:val="0"/>
        <w:spacing w:line="360" w:lineRule="auto"/>
        <w:ind w:firstLine="413" w:firstLineChars="196"/>
        <w:rPr>
          <w:rFonts w:ascii="宋体" w:hAnsi="宋体"/>
          <w:b/>
          <w:bCs/>
          <w:szCs w:val="21"/>
        </w:rPr>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17.响应文件的递交</w:t>
      </w:r>
    </w:p>
    <w:p>
      <w:pPr>
        <w:adjustRightInd w:val="0"/>
        <w:snapToGrid w:val="0"/>
        <w:spacing w:line="360" w:lineRule="auto"/>
        <w:ind w:firstLine="420" w:firstLineChars="200"/>
        <w:rPr>
          <w:rFonts w:hAnsi="宋体" w:cs="宋体"/>
          <w:kern w:val="0"/>
        </w:rPr>
      </w:pPr>
      <w:r>
        <w:rPr>
          <w:rFonts w:hint="eastAsia" w:ascii="宋体" w:hAnsi="宋体"/>
          <w:szCs w:val="21"/>
        </w:rPr>
        <w:t>17.1谈判单位应按要求在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20" w:firstLineChars="200"/>
        <w:rPr>
          <w:rFonts w:ascii="黑体" w:hAnsi="宋体" w:eastAsia="黑体"/>
          <w:b/>
          <w:sz w:val="24"/>
        </w:rPr>
      </w:pPr>
      <w:r>
        <w:rPr>
          <w:rFonts w:hint="eastAsia" w:ascii="宋体" w:hAnsi="宋体"/>
          <w:bCs/>
          <w:szCs w:val="21"/>
        </w:rPr>
        <w:t>17.2采购单位在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pStyle w:val="5"/>
        <w:keepNext w:val="0"/>
        <w:keepLines w:val="0"/>
        <w:spacing w:before="0" w:after="0" w:line="360" w:lineRule="auto"/>
        <w:rPr>
          <w:rFonts w:ascii="宋体" w:hAnsi="宋体" w:cs="宋体"/>
          <w:sz w:val="21"/>
          <w:szCs w:val="21"/>
        </w:rPr>
      </w:pPr>
      <w:bookmarkStart w:id="17" w:name="_Toc18964"/>
      <w:bookmarkStart w:id="18" w:name="_Toc251"/>
      <w:r>
        <w:rPr>
          <w:rFonts w:hint="eastAsia" w:ascii="宋体" w:hAnsi="宋体" w:cs="宋体"/>
          <w:sz w:val="21"/>
          <w:szCs w:val="21"/>
        </w:rPr>
        <w:t>五、响应文件的评审</w:t>
      </w:r>
      <w:bookmarkEnd w:id="17"/>
      <w:bookmarkEnd w:id="18"/>
    </w:p>
    <w:p>
      <w:pPr>
        <w:adjustRightInd w:val="0"/>
        <w:snapToGrid w:val="0"/>
        <w:spacing w:line="360" w:lineRule="auto"/>
        <w:ind w:firstLine="422" w:firstLineChars="200"/>
        <w:rPr>
          <w:rFonts w:ascii="黑体" w:hAnsi="宋体" w:eastAsia="黑体"/>
          <w:b/>
          <w:sz w:val="24"/>
        </w:rPr>
      </w:pPr>
      <w:r>
        <w:rPr>
          <w:rFonts w:hint="eastAsia" w:ascii="宋体" w:hAnsi="宋体"/>
          <w:b/>
          <w:bCs/>
          <w:szCs w:val="21"/>
        </w:rPr>
        <w:t>18.</w:t>
      </w:r>
      <w:r>
        <w:rPr>
          <w:rFonts w:hint="eastAsia" w:ascii="宋体" w:hAnsi="宋体"/>
          <w:bCs/>
          <w:szCs w:val="21"/>
        </w:rPr>
        <w:t>评审由谈判评审小组负责，谈判评审小组应按照本谈判文件第三章“评审办法及标准”的内容和程序对响应文件进行评审。</w:t>
      </w:r>
    </w:p>
    <w:p>
      <w:pPr>
        <w:pStyle w:val="5"/>
        <w:keepNext w:val="0"/>
        <w:keepLines w:val="0"/>
        <w:spacing w:before="0" w:after="0" w:line="360" w:lineRule="auto"/>
        <w:rPr>
          <w:rFonts w:ascii="宋体" w:hAnsi="宋体" w:cs="宋体"/>
          <w:sz w:val="21"/>
          <w:szCs w:val="21"/>
        </w:rPr>
      </w:pPr>
      <w:bookmarkStart w:id="19" w:name="_Toc14352"/>
      <w:bookmarkStart w:id="20" w:name="_Toc8040"/>
      <w:r>
        <w:rPr>
          <w:rFonts w:hint="eastAsia" w:ascii="宋体" w:hAnsi="宋体" w:cs="宋体"/>
          <w:sz w:val="21"/>
          <w:szCs w:val="21"/>
        </w:rPr>
        <w:t>六、响应文件的澄清、说明及补正</w:t>
      </w:r>
      <w:bookmarkEnd w:id="19"/>
      <w:bookmarkEnd w:id="20"/>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19.澄清</w:t>
      </w:r>
    </w:p>
    <w:p>
      <w:pPr>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adjustRightInd w:val="0"/>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20.说明及补正</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adjustRightInd w:val="0"/>
        <w:snapToGrid w:val="0"/>
        <w:spacing w:line="360" w:lineRule="auto"/>
        <w:ind w:firstLine="420" w:firstLineChars="200"/>
        <w:rPr>
          <w:rFonts w:ascii="黑体" w:hAnsi="宋体" w:eastAsia="黑体"/>
          <w:b/>
          <w:sz w:val="24"/>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pStyle w:val="5"/>
        <w:keepNext w:val="0"/>
        <w:keepLines w:val="0"/>
        <w:spacing w:before="0" w:after="0" w:line="360" w:lineRule="auto"/>
        <w:rPr>
          <w:rFonts w:ascii="宋体" w:hAnsi="宋体" w:cs="宋体"/>
          <w:sz w:val="21"/>
          <w:szCs w:val="21"/>
        </w:rPr>
      </w:pPr>
      <w:bookmarkStart w:id="21" w:name="_Toc30515"/>
      <w:bookmarkStart w:id="22" w:name="_Toc11028"/>
      <w:r>
        <w:rPr>
          <w:rFonts w:hint="eastAsia" w:ascii="宋体" w:hAnsi="宋体" w:cs="宋体"/>
          <w:sz w:val="21"/>
          <w:szCs w:val="21"/>
        </w:rPr>
        <w:t>七、中选结果与授予合同</w:t>
      </w:r>
      <w:bookmarkEnd w:id="21"/>
      <w:bookmarkEnd w:id="22"/>
    </w:p>
    <w:p>
      <w:pPr>
        <w:adjustRightInd w:val="0"/>
        <w:snapToGrid w:val="0"/>
        <w:spacing w:line="360" w:lineRule="auto"/>
        <w:ind w:firstLine="422" w:firstLineChars="200"/>
        <w:rPr>
          <w:rFonts w:ascii="宋体" w:hAnsi="宋体"/>
          <w:b/>
          <w:bCs/>
          <w:szCs w:val="21"/>
        </w:rPr>
      </w:pPr>
      <w:r>
        <w:rPr>
          <w:rFonts w:hint="eastAsia" w:ascii="宋体" w:hAnsi="宋体"/>
          <w:b/>
          <w:bCs/>
          <w:szCs w:val="21"/>
        </w:rPr>
        <w:t>21.中选信息的公布</w:t>
      </w:r>
    </w:p>
    <w:p>
      <w:pPr>
        <w:pStyle w:val="25"/>
        <w:adjustRightInd w:val="0"/>
        <w:snapToGrid w:val="0"/>
        <w:spacing w:line="360" w:lineRule="auto"/>
        <w:ind w:firstLine="420" w:firstLineChars="200"/>
        <w:rPr>
          <w:rFonts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r>
        <w:rPr>
          <w:rFonts w:hint="eastAsia" w:hAnsi="宋体"/>
          <w:b/>
          <w:bCs/>
        </w:rPr>
        <w:t>公示期限为3个工作日</w:t>
      </w:r>
      <w:r>
        <w:rPr>
          <w:rFonts w:hint="eastAsia" w:hAnsi="宋体"/>
        </w:rPr>
        <w:t>。</w:t>
      </w:r>
    </w:p>
    <w:p>
      <w:pPr>
        <w:pStyle w:val="25"/>
        <w:adjustRightInd w:val="0"/>
        <w:snapToGrid w:val="0"/>
        <w:spacing w:line="360" w:lineRule="auto"/>
        <w:ind w:firstLine="422" w:firstLineChars="200"/>
        <w:rPr>
          <w:rFonts w:hAnsi="宋体"/>
          <w:b/>
          <w:bCs/>
        </w:rPr>
      </w:pPr>
      <w:r>
        <w:rPr>
          <w:rFonts w:hint="eastAsia" w:hAnsi="宋体"/>
          <w:b/>
          <w:bCs/>
        </w:rPr>
        <w:t>22.评审结果异议</w:t>
      </w:r>
    </w:p>
    <w:p>
      <w:pPr>
        <w:pStyle w:val="25"/>
        <w:adjustRightInd w:val="0"/>
        <w:snapToGrid w:val="0"/>
        <w:spacing w:line="360" w:lineRule="auto"/>
        <w:ind w:firstLine="420" w:firstLineChars="200"/>
        <w:rPr>
          <w:rFonts w:hAnsi="宋体"/>
          <w:b/>
        </w:rPr>
      </w:pPr>
      <w:r>
        <w:rPr>
          <w:rFonts w:hint="eastAsia" w:hAnsi="宋体" w:cs="宋体"/>
          <w:kern w:val="0"/>
        </w:rPr>
        <w:t>22.1谈判单位</w:t>
      </w:r>
      <w:r>
        <w:rPr>
          <w:rFonts w:hAnsi="宋体" w:cs="宋体"/>
          <w:kern w:val="0"/>
        </w:rPr>
        <w:t>对</w:t>
      </w:r>
      <w:r>
        <w:rPr>
          <w:rFonts w:hint="eastAsia" w:hAnsi="宋体" w:cs="宋体"/>
          <w:kern w:val="0"/>
        </w:rPr>
        <w:t>评审</w:t>
      </w:r>
      <w:r>
        <w:rPr>
          <w:rFonts w:hAnsi="宋体" w:cs="宋体"/>
          <w:kern w:val="0"/>
        </w:rPr>
        <w:t>结果有异议的，应当在</w:t>
      </w:r>
      <w:r>
        <w:rPr>
          <w:rFonts w:hint="eastAsia" w:hAnsi="宋体" w:cs="宋体"/>
          <w:kern w:val="0"/>
        </w:rPr>
        <w:t>结果公示</w:t>
      </w:r>
      <w:r>
        <w:rPr>
          <w:rFonts w:hAnsi="宋体" w:cs="宋体"/>
          <w:kern w:val="0"/>
        </w:rPr>
        <w:t>期间提出。</w:t>
      </w:r>
    </w:p>
    <w:p>
      <w:pPr>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22.2</w:t>
      </w:r>
      <w:r>
        <w:rPr>
          <w:rFonts w:hint="eastAsia" w:hAnsi="宋体"/>
          <w:szCs w:val="21"/>
        </w:rPr>
        <w:t>异议的提出与处理按相关</w:t>
      </w:r>
      <w:r>
        <w:rPr>
          <w:rFonts w:hint="eastAsia" w:ascii="宋体" w:hAnsi="宋体" w:cs="宋体"/>
          <w:kern w:val="0"/>
          <w:szCs w:val="21"/>
        </w:rPr>
        <w:t>规定执行。</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23.中选通知</w:t>
      </w:r>
    </w:p>
    <w:p>
      <w:pPr>
        <w:pStyle w:val="25"/>
        <w:adjustRightInd w:val="0"/>
        <w:snapToGrid w:val="0"/>
        <w:spacing w:line="360" w:lineRule="auto"/>
        <w:ind w:firstLine="420" w:firstLineChars="200"/>
        <w:rPr>
          <w:rFonts w:hAnsi="宋体"/>
        </w:rPr>
      </w:pPr>
      <w:r>
        <w:rPr>
          <w:rFonts w:hint="eastAsia" w:hAnsi="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24.签订合同</w:t>
      </w:r>
    </w:p>
    <w:p>
      <w:pPr>
        <w:pStyle w:val="25"/>
        <w:adjustRightInd w:val="0"/>
        <w:snapToGrid w:val="0"/>
        <w:spacing w:line="360" w:lineRule="auto"/>
        <w:ind w:firstLine="420" w:firstLineChars="200"/>
        <w:rPr>
          <w:rFonts w:hAnsi="宋体"/>
        </w:rPr>
      </w:pPr>
      <w:r>
        <w:rPr>
          <w:rFonts w:hint="eastAsia" w:hAnsi="宋体"/>
        </w:rPr>
        <w:t>24.1谈判文件、中选单位的响应文件及其补充的文件等均为签订合同的依据。</w:t>
      </w:r>
    </w:p>
    <w:p>
      <w:pPr>
        <w:pStyle w:val="25"/>
        <w:adjustRightInd w:val="0"/>
        <w:snapToGrid w:val="0"/>
        <w:spacing w:line="360" w:lineRule="auto"/>
        <w:ind w:firstLine="420" w:firstLineChars="200"/>
        <w:rPr>
          <w:rFonts w:hAnsi="宋体"/>
        </w:rPr>
      </w:pPr>
      <w:r>
        <w:rPr>
          <w:rFonts w:hint="eastAsia" w:hAnsi="宋体"/>
        </w:rPr>
        <w:t>24.2中选单位应当在中选通知书发出后及时与采购单位签订合同。</w:t>
      </w:r>
    </w:p>
    <w:p>
      <w:pPr>
        <w:pStyle w:val="25"/>
        <w:adjustRightInd w:val="0"/>
        <w:snapToGrid w:val="0"/>
        <w:spacing w:line="360" w:lineRule="auto"/>
        <w:ind w:firstLine="420" w:firstLineChars="200"/>
        <w:rPr>
          <w:rFonts w:hAnsi="宋体"/>
        </w:rPr>
      </w:pPr>
      <w:r>
        <w:rPr>
          <w:rFonts w:hint="eastAsia" w:hAnsi="宋体"/>
        </w:rPr>
        <w:t>24.3中选单位应当按照合同约定履行义务。</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25.纪律和监督</w:t>
      </w:r>
    </w:p>
    <w:p>
      <w:pPr>
        <w:spacing w:line="360" w:lineRule="auto"/>
        <w:ind w:firstLine="422" w:firstLineChars="200"/>
        <w:rPr>
          <w:rFonts w:ascii="宋体" w:hAnsi="宋体"/>
          <w:b/>
          <w:bCs/>
          <w:szCs w:val="21"/>
        </w:rPr>
      </w:pPr>
      <w:r>
        <w:rPr>
          <w:rFonts w:hint="eastAsia" w:ascii="宋体" w:hAnsi="宋体"/>
          <w:b/>
          <w:bCs/>
          <w:szCs w:val="21"/>
        </w:rPr>
        <w:t>25.1对采购单位的纪律要求</w:t>
      </w:r>
    </w:p>
    <w:p>
      <w:pPr>
        <w:pStyle w:val="61"/>
        <w:ind w:firstLine="420" w:firstLineChars="200"/>
        <w:jc w:val="both"/>
        <w:rPr>
          <w:rFonts w:hAnsi="宋体" w:cs="Courier New"/>
          <w:sz w:val="21"/>
          <w:szCs w:val="21"/>
        </w:rPr>
      </w:pPr>
      <w:r>
        <w:rPr>
          <w:rFonts w:hint="eastAsia" w:hAnsi="宋体" w:cs="Courier New"/>
          <w:sz w:val="21"/>
          <w:szCs w:val="21"/>
        </w:rPr>
        <w:t>采购单位</w:t>
      </w:r>
      <w:r>
        <w:rPr>
          <w:rFonts w:hAnsi="宋体" w:cs="Courier New"/>
          <w:sz w:val="21"/>
          <w:szCs w:val="21"/>
        </w:rPr>
        <w:t>不得泄露</w:t>
      </w:r>
      <w:r>
        <w:rPr>
          <w:rFonts w:hint="eastAsia" w:hAnsi="宋体" w:cs="Courier New"/>
          <w:sz w:val="21"/>
          <w:szCs w:val="21"/>
        </w:rPr>
        <w:t>谈判</w:t>
      </w:r>
      <w:r>
        <w:rPr>
          <w:rFonts w:hAnsi="宋体" w:cs="Courier New"/>
          <w:sz w:val="21"/>
          <w:szCs w:val="21"/>
        </w:rPr>
        <w:t>活动中应当保密的情况和资料，不得与</w:t>
      </w:r>
      <w:r>
        <w:rPr>
          <w:rFonts w:hint="eastAsia" w:hAnsi="宋体" w:cs="Courier New"/>
          <w:sz w:val="21"/>
          <w:szCs w:val="21"/>
        </w:rPr>
        <w:t>谈判单位</w:t>
      </w:r>
      <w:r>
        <w:rPr>
          <w:rFonts w:hAnsi="宋体" w:cs="Courier New"/>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25.2对谈判单位的纪律要求</w:t>
      </w:r>
    </w:p>
    <w:p>
      <w:pPr>
        <w:pStyle w:val="61"/>
        <w:ind w:firstLine="420" w:firstLineChars="200"/>
        <w:jc w:val="both"/>
        <w:rPr>
          <w:rFonts w:hAnsi="宋体"/>
          <w:sz w:val="21"/>
          <w:szCs w:val="21"/>
        </w:rPr>
      </w:pPr>
      <w:r>
        <w:rPr>
          <w:rFonts w:hint="eastAsia" w:hAnsi="宋体"/>
          <w:sz w:val="21"/>
          <w:szCs w:val="21"/>
        </w:rPr>
        <w:t>谈判单位</w:t>
      </w:r>
      <w:r>
        <w:rPr>
          <w:rFonts w:hAnsi="宋体"/>
          <w:sz w:val="21"/>
          <w:szCs w:val="21"/>
        </w:rPr>
        <w:t>不得相互串通或者与</w:t>
      </w:r>
      <w:r>
        <w:rPr>
          <w:rFonts w:hint="eastAsia" w:hAnsi="宋体"/>
          <w:sz w:val="21"/>
          <w:szCs w:val="21"/>
        </w:rPr>
        <w:t>采购单位及采购代理机构</w:t>
      </w:r>
      <w:r>
        <w:rPr>
          <w:rFonts w:hAnsi="宋体"/>
          <w:sz w:val="21"/>
          <w:szCs w:val="21"/>
        </w:rPr>
        <w:t>串通，不得向</w:t>
      </w:r>
      <w:r>
        <w:rPr>
          <w:rFonts w:hint="eastAsia" w:hAnsi="宋体"/>
          <w:sz w:val="21"/>
          <w:szCs w:val="21"/>
        </w:rPr>
        <w:t>采购单位、采购代理机构</w:t>
      </w:r>
      <w:r>
        <w:rPr>
          <w:rFonts w:hAnsi="宋体"/>
          <w:sz w:val="21"/>
          <w:szCs w:val="21"/>
        </w:rPr>
        <w:t>或者</w:t>
      </w:r>
      <w:r>
        <w:rPr>
          <w:rFonts w:hint="eastAsia" w:hAnsi="宋体"/>
          <w:sz w:val="21"/>
          <w:szCs w:val="21"/>
        </w:rPr>
        <w:t>谈判评审小组</w:t>
      </w:r>
      <w:r>
        <w:rPr>
          <w:rFonts w:hAnsi="宋体"/>
          <w:sz w:val="21"/>
          <w:szCs w:val="21"/>
        </w:rPr>
        <w:t>成员行贿谋取中</w:t>
      </w:r>
      <w:r>
        <w:rPr>
          <w:rFonts w:hint="eastAsia" w:hAnsi="宋体"/>
          <w:sz w:val="21"/>
          <w:szCs w:val="21"/>
        </w:rPr>
        <w:t>选</w:t>
      </w:r>
      <w:r>
        <w:rPr>
          <w:rFonts w:hAnsi="宋体"/>
          <w:sz w:val="21"/>
          <w:szCs w:val="21"/>
        </w:rPr>
        <w:t>，不得以他人名义</w:t>
      </w:r>
      <w:r>
        <w:rPr>
          <w:rFonts w:hint="eastAsia" w:hAnsi="宋体"/>
          <w:sz w:val="21"/>
          <w:szCs w:val="21"/>
        </w:rPr>
        <w:t>参与谈判</w:t>
      </w:r>
      <w:r>
        <w:rPr>
          <w:rFonts w:hAnsi="宋体"/>
          <w:sz w:val="21"/>
          <w:szCs w:val="21"/>
        </w:rPr>
        <w:t>或者以其他方式弄虚作假骗取中</w:t>
      </w:r>
      <w:r>
        <w:rPr>
          <w:rFonts w:hint="eastAsia" w:hAnsi="宋体"/>
          <w:sz w:val="21"/>
          <w:szCs w:val="21"/>
        </w:rPr>
        <w:t>选</w:t>
      </w:r>
      <w:r>
        <w:rPr>
          <w:rFonts w:hAnsi="宋体"/>
          <w:sz w:val="21"/>
          <w:szCs w:val="21"/>
        </w:rPr>
        <w:t>；</w:t>
      </w:r>
      <w:r>
        <w:rPr>
          <w:rFonts w:hint="eastAsia" w:hAnsi="宋体"/>
          <w:sz w:val="21"/>
          <w:szCs w:val="21"/>
        </w:rPr>
        <w:t>谈判单位</w:t>
      </w:r>
      <w:r>
        <w:rPr>
          <w:rFonts w:hAnsi="宋体"/>
          <w:sz w:val="21"/>
          <w:szCs w:val="21"/>
        </w:rPr>
        <w:t>不得以任何方式干扰、影响评</w:t>
      </w:r>
      <w:r>
        <w:rPr>
          <w:rFonts w:hint="eastAsia" w:hAnsi="宋体"/>
          <w:sz w:val="21"/>
          <w:szCs w:val="21"/>
        </w:rPr>
        <w:t>审</w:t>
      </w:r>
      <w:r>
        <w:rPr>
          <w:rFonts w:hAnsi="宋体"/>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25.3对</w:t>
      </w:r>
      <w:r>
        <w:rPr>
          <w:rFonts w:hint="eastAsia" w:hAnsi="宋体"/>
          <w:b/>
          <w:szCs w:val="21"/>
        </w:rPr>
        <w:t>谈判评审小组</w:t>
      </w:r>
      <w:r>
        <w:rPr>
          <w:rFonts w:hint="eastAsia" w:ascii="宋体" w:hAnsi="宋体"/>
          <w:b/>
          <w:bCs/>
          <w:szCs w:val="21"/>
        </w:rPr>
        <w:t>成员的纪律要求</w:t>
      </w:r>
    </w:p>
    <w:p>
      <w:pPr>
        <w:pStyle w:val="61"/>
        <w:ind w:firstLine="420" w:firstLineChars="200"/>
        <w:jc w:val="both"/>
        <w:rPr>
          <w:rFonts w:hAnsi="宋体"/>
          <w:sz w:val="21"/>
          <w:szCs w:val="21"/>
        </w:rPr>
      </w:pPr>
      <w:r>
        <w:rPr>
          <w:rFonts w:hint="eastAsia" w:hAnsi="宋体"/>
          <w:sz w:val="21"/>
          <w:szCs w:val="21"/>
        </w:rPr>
        <w:t>谈判评审小组</w:t>
      </w:r>
      <w:r>
        <w:rPr>
          <w:rFonts w:hAnsi="宋体"/>
          <w:sz w:val="21"/>
          <w:szCs w:val="21"/>
        </w:rPr>
        <w:t>成员不得收受他人的财物或者其他好处，不得向他人透露对</w:t>
      </w:r>
      <w:r>
        <w:rPr>
          <w:rFonts w:hint="eastAsia" w:hAnsi="宋体"/>
          <w:sz w:val="21"/>
          <w:szCs w:val="21"/>
        </w:rPr>
        <w:t>谈判</w:t>
      </w:r>
      <w:r>
        <w:rPr>
          <w:rFonts w:hAnsi="宋体"/>
          <w:sz w:val="21"/>
          <w:szCs w:val="21"/>
        </w:rPr>
        <w:t>文件的评审和比较以及评</w:t>
      </w:r>
      <w:r>
        <w:rPr>
          <w:rFonts w:hint="eastAsia" w:hAnsi="宋体"/>
          <w:sz w:val="21"/>
          <w:szCs w:val="21"/>
        </w:rPr>
        <w:t>审</w:t>
      </w:r>
      <w:r>
        <w:rPr>
          <w:rFonts w:hAnsi="宋体"/>
          <w:sz w:val="21"/>
          <w:szCs w:val="21"/>
        </w:rPr>
        <w:t>有关的其他情况。在评</w:t>
      </w:r>
      <w:r>
        <w:rPr>
          <w:rFonts w:hint="eastAsia" w:hAnsi="宋体"/>
          <w:sz w:val="21"/>
          <w:szCs w:val="21"/>
        </w:rPr>
        <w:t>审</w:t>
      </w:r>
      <w:r>
        <w:rPr>
          <w:rFonts w:hAnsi="宋体"/>
          <w:sz w:val="21"/>
          <w:szCs w:val="21"/>
        </w:rPr>
        <w:t>活动中，</w:t>
      </w:r>
      <w:r>
        <w:rPr>
          <w:rFonts w:hint="eastAsia" w:hAnsi="宋体"/>
          <w:sz w:val="21"/>
          <w:szCs w:val="21"/>
        </w:rPr>
        <w:t>谈判评审小组</w:t>
      </w:r>
      <w:r>
        <w:rPr>
          <w:rFonts w:hAnsi="宋体"/>
          <w:sz w:val="21"/>
          <w:szCs w:val="21"/>
        </w:rPr>
        <w:t>成员应当客观、公正地履行职责，遵守职业道德，不得擅离职守，影响评</w:t>
      </w:r>
      <w:r>
        <w:rPr>
          <w:rFonts w:hint="eastAsia" w:hAnsi="宋体"/>
          <w:sz w:val="21"/>
          <w:szCs w:val="21"/>
        </w:rPr>
        <w:t>审</w:t>
      </w:r>
      <w:r>
        <w:rPr>
          <w:rFonts w:hAnsi="宋体"/>
          <w:sz w:val="21"/>
          <w:szCs w:val="21"/>
        </w:rPr>
        <w:t>程序正常进行，不得使用第</w:t>
      </w:r>
      <w:bookmarkStart w:id="23" w:name="page32"/>
      <w:bookmarkEnd w:id="23"/>
      <w:r>
        <w:rPr>
          <w:rFonts w:hAnsi="宋体"/>
          <w:sz w:val="21"/>
          <w:szCs w:val="21"/>
        </w:rPr>
        <w:t>三章“评</w:t>
      </w:r>
      <w:r>
        <w:rPr>
          <w:rFonts w:hint="eastAsia" w:hAnsi="宋体"/>
          <w:sz w:val="21"/>
          <w:szCs w:val="21"/>
        </w:rPr>
        <w:t>审</w:t>
      </w:r>
      <w:r>
        <w:rPr>
          <w:rFonts w:hAnsi="宋体"/>
          <w:sz w:val="21"/>
          <w:szCs w:val="21"/>
        </w:rPr>
        <w:t>办法”没有规定的评审因素和标准进行评</w:t>
      </w:r>
      <w:r>
        <w:rPr>
          <w:rFonts w:hint="eastAsia" w:hAnsi="宋体"/>
          <w:sz w:val="21"/>
          <w:szCs w:val="21"/>
        </w:rPr>
        <w:t>审</w:t>
      </w:r>
      <w:r>
        <w:rPr>
          <w:rFonts w:hAnsi="宋体"/>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b/>
          <w:bCs/>
          <w:szCs w:val="21"/>
        </w:rPr>
      </w:pPr>
      <w:r>
        <w:rPr>
          <w:rFonts w:hint="eastAsia" w:ascii="宋体" w:hAnsi="宋体"/>
          <w:b/>
          <w:bCs/>
          <w:szCs w:val="21"/>
        </w:rPr>
        <w:t>25.4对与评审活动有关的工作人员的纪律要求</w:t>
      </w:r>
    </w:p>
    <w:p>
      <w:pPr>
        <w:pStyle w:val="25"/>
        <w:adjustRightInd w:val="0"/>
        <w:snapToGrid w:val="0"/>
        <w:spacing w:line="360" w:lineRule="auto"/>
        <w:ind w:firstLine="420" w:firstLineChars="200"/>
        <w:rPr>
          <w:rFonts w:hAnsi="宋体"/>
        </w:rPr>
      </w:pPr>
      <w:r>
        <w:rPr>
          <w:rFonts w:hAnsi="宋体"/>
        </w:rPr>
        <w:t>与评审活动有关的工作人员不得收受他人的财物或者其他好处，不得向他人透露对</w:t>
      </w:r>
      <w:r>
        <w:rPr>
          <w:rFonts w:hint="eastAsia" w:hAnsi="宋体"/>
        </w:rPr>
        <w:t>响应</w:t>
      </w:r>
      <w:r>
        <w:rPr>
          <w:rFonts w:hAnsi="宋体"/>
        </w:rPr>
        <w:t>文件的评审和比较以及评</w:t>
      </w:r>
      <w:r>
        <w:rPr>
          <w:rFonts w:hint="eastAsia" w:hAnsi="宋体"/>
        </w:rPr>
        <w:t>审</w:t>
      </w:r>
      <w:r>
        <w:rPr>
          <w:rFonts w:hAnsi="宋体"/>
        </w:rPr>
        <w:t>有关的其他情况。在评审活动中，与评审活动有关的工作人员不得擅离职守，影响评审程序正常进行。</w:t>
      </w:r>
    </w:p>
    <w:p>
      <w:pPr>
        <w:pStyle w:val="5"/>
        <w:keepNext w:val="0"/>
        <w:keepLines w:val="0"/>
        <w:spacing w:before="0" w:after="0" w:line="360" w:lineRule="auto"/>
        <w:rPr>
          <w:rFonts w:ascii="宋体" w:hAnsi="宋体" w:cs="宋体"/>
          <w:sz w:val="21"/>
          <w:szCs w:val="21"/>
        </w:rPr>
      </w:pPr>
      <w:bookmarkStart w:id="24" w:name="_Toc646"/>
      <w:bookmarkStart w:id="25" w:name="_Toc12631"/>
      <w:r>
        <w:rPr>
          <w:rFonts w:hint="eastAsia" w:ascii="宋体" w:hAnsi="宋体" w:cs="宋体"/>
          <w:sz w:val="21"/>
          <w:szCs w:val="21"/>
        </w:rPr>
        <w:t>八、其他</w:t>
      </w:r>
      <w:bookmarkEnd w:id="24"/>
      <w:bookmarkEnd w:id="25"/>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int="eastAsia" w:hAnsi="宋体"/>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left="964" w:firstLine="643" w:firstLineChars="200"/>
        <w:jc w:val="center"/>
        <w:rPr>
          <w:rFonts w:ascii="黑体" w:eastAsia="黑体"/>
          <w:b/>
          <w:sz w:val="32"/>
          <w:szCs w:val="32"/>
        </w:rPr>
        <w:sectPr>
          <w:pgSz w:w="11906" w:h="16838"/>
          <w:pgMar w:top="1440" w:right="1797" w:bottom="1440" w:left="1797" w:header="851" w:footer="851" w:gutter="0"/>
          <w:cols w:space="720" w:num="1"/>
          <w:docGrid w:linePitch="312" w:charSpace="0"/>
        </w:sectPr>
      </w:pPr>
    </w:p>
    <w:p>
      <w:pPr>
        <w:adjustRightInd w:val="0"/>
        <w:snapToGrid w:val="0"/>
        <w:spacing w:line="360" w:lineRule="auto"/>
        <w:rPr>
          <w:rFonts w:ascii="宋体" w:hAnsi="宋体" w:cs="宋体"/>
          <w:b/>
          <w:szCs w:val="21"/>
        </w:rPr>
      </w:pPr>
      <w:r>
        <w:rPr>
          <w:rFonts w:hint="eastAsia" w:ascii="宋体" w:hAnsi="宋体" w:cs="宋体"/>
          <w:b/>
          <w:szCs w:val="21"/>
        </w:rPr>
        <w:t>附件一：采购代理服务费收费标准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bCs/>
                <w:szCs w:val="21"/>
              </w:rPr>
            </w:pPr>
            <w:r>
              <w:rPr>
                <w:rFonts w:hint="eastAsia" w:ascii="宋体" w:hAnsi="宋体"/>
                <w:bCs/>
                <w:szCs w:val="21"/>
              </w:rPr>
              <w:t>汇率</w:t>
            </w:r>
          </w:p>
          <w:p>
            <w:pPr>
              <w:adjustRightInd w:val="0"/>
              <w:snapToGrid w:val="0"/>
              <w:rPr>
                <w:rFonts w:ascii="宋体" w:hAnsi="宋体"/>
                <w:bCs/>
                <w:szCs w:val="21"/>
              </w:rPr>
            </w:pPr>
            <w:r>
              <w:rPr>
                <w:rFonts w:hint="eastAsia" w:ascii="宋体" w:hAnsi="宋体"/>
                <w:bCs/>
                <w:szCs w:val="21"/>
              </w:rPr>
              <w:t>中</w:t>
            </w:r>
            <w:r>
              <w:rPr>
                <w:rFonts w:ascii="宋体" w:hAnsi="宋体"/>
                <w:bCs/>
                <w:szCs w:val="21"/>
              </w:rPr>
              <w:t>选金额</w:t>
            </w:r>
          </w:p>
        </w:tc>
        <w:tc>
          <w:tcPr>
            <w:tcW w:w="2451" w:type="dxa"/>
            <w:tcBorders>
              <w:top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货物</w:t>
            </w:r>
            <w:r>
              <w:rPr>
                <w:rFonts w:ascii="宋体" w:hAnsi="宋体"/>
                <w:bCs/>
                <w:szCs w:val="21"/>
              </w:rPr>
              <w:t>采购</w:t>
            </w:r>
          </w:p>
        </w:tc>
        <w:tc>
          <w:tcPr>
            <w:tcW w:w="2325" w:type="dxa"/>
            <w:tcBorders>
              <w:top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服务</w:t>
            </w:r>
            <w:r>
              <w:rPr>
                <w:rFonts w:ascii="宋体" w:hAnsi="宋体"/>
                <w:bCs/>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工程</w:t>
            </w:r>
            <w:r>
              <w:rPr>
                <w:rFonts w:ascii="宋体" w:hAnsi="宋体"/>
                <w:bCs/>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100万</w:t>
            </w:r>
            <w:r>
              <w:rPr>
                <w:rFonts w:ascii="宋体" w:hAnsi="宋体"/>
                <w:bCs/>
                <w:szCs w:val="21"/>
              </w:rPr>
              <w:t>元以下</w:t>
            </w:r>
          </w:p>
        </w:tc>
        <w:tc>
          <w:tcPr>
            <w:tcW w:w="2451" w:type="dxa"/>
            <w:vAlign w:val="center"/>
          </w:tcPr>
          <w:p>
            <w:pPr>
              <w:adjustRightInd w:val="0"/>
              <w:snapToGrid w:val="0"/>
              <w:jc w:val="center"/>
              <w:rPr>
                <w:rFonts w:ascii="宋体" w:hAnsi="宋体"/>
                <w:bCs/>
                <w:szCs w:val="21"/>
              </w:rPr>
            </w:pPr>
            <w:r>
              <w:rPr>
                <w:rFonts w:hint="eastAsia" w:ascii="宋体" w:hAnsi="宋体"/>
                <w:bCs/>
                <w:szCs w:val="21"/>
              </w:rPr>
              <w:t>1.5%</w:t>
            </w:r>
          </w:p>
        </w:tc>
        <w:tc>
          <w:tcPr>
            <w:tcW w:w="2325" w:type="dxa"/>
            <w:vAlign w:val="center"/>
          </w:tcPr>
          <w:p>
            <w:pPr>
              <w:adjustRightInd w:val="0"/>
              <w:snapToGrid w:val="0"/>
              <w:jc w:val="center"/>
              <w:rPr>
                <w:rFonts w:ascii="宋体" w:hAnsi="宋体"/>
                <w:bCs/>
                <w:szCs w:val="21"/>
              </w:rPr>
            </w:pPr>
            <w:r>
              <w:rPr>
                <w:rFonts w:hint="eastAsia" w:ascii="宋体" w:hAnsi="宋体"/>
                <w:bCs/>
                <w:szCs w:val="21"/>
              </w:rPr>
              <w:t>1.5%</w:t>
            </w:r>
          </w:p>
        </w:tc>
        <w:tc>
          <w:tcPr>
            <w:tcW w:w="2367" w:type="dxa"/>
            <w:tcBorders>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100～400万</w:t>
            </w:r>
            <w:r>
              <w:rPr>
                <w:rFonts w:ascii="宋体" w:hAnsi="宋体"/>
                <w:bCs/>
                <w:szCs w:val="21"/>
              </w:rPr>
              <w:t>元</w:t>
            </w:r>
          </w:p>
        </w:tc>
        <w:tc>
          <w:tcPr>
            <w:tcW w:w="2451" w:type="dxa"/>
            <w:vAlign w:val="center"/>
          </w:tcPr>
          <w:p>
            <w:pPr>
              <w:adjustRightInd w:val="0"/>
              <w:snapToGrid w:val="0"/>
              <w:jc w:val="center"/>
              <w:rPr>
                <w:rFonts w:ascii="宋体" w:hAnsi="宋体"/>
                <w:bCs/>
                <w:szCs w:val="21"/>
              </w:rPr>
            </w:pPr>
            <w:r>
              <w:rPr>
                <w:rFonts w:hint="eastAsia" w:ascii="宋体" w:hAnsi="宋体"/>
                <w:bCs/>
                <w:szCs w:val="21"/>
              </w:rPr>
              <w:t>1.1%</w:t>
            </w:r>
          </w:p>
        </w:tc>
        <w:tc>
          <w:tcPr>
            <w:tcW w:w="2325" w:type="dxa"/>
            <w:vAlign w:val="center"/>
          </w:tcPr>
          <w:p>
            <w:pPr>
              <w:adjustRightInd w:val="0"/>
              <w:snapToGrid w:val="0"/>
              <w:jc w:val="center"/>
              <w:rPr>
                <w:rFonts w:ascii="宋体" w:hAnsi="宋体"/>
                <w:bCs/>
                <w:szCs w:val="21"/>
              </w:rPr>
            </w:pPr>
            <w:r>
              <w:rPr>
                <w:rFonts w:hint="eastAsia" w:ascii="宋体" w:hAnsi="宋体"/>
                <w:bCs/>
                <w:szCs w:val="21"/>
              </w:rPr>
              <w:t>0.8%</w:t>
            </w:r>
          </w:p>
        </w:tc>
        <w:tc>
          <w:tcPr>
            <w:tcW w:w="2367" w:type="dxa"/>
            <w:tcBorders>
              <w:right w:val="single" w:color="auto" w:sz="12" w:space="0"/>
            </w:tcBorders>
            <w:vAlign w:val="center"/>
          </w:tcPr>
          <w:p>
            <w:pPr>
              <w:adjustRightInd w:val="0"/>
              <w:snapToGrid w:val="0"/>
              <w:jc w:val="center"/>
              <w:rPr>
                <w:rFonts w:ascii="宋体" w:hAnsi="宋体"/>
                <w:bCs/>
                <w:szCs w:val="21"/>
              </w:rPr>
            </w:pPr>
            <w:r>
              <w:rPr>
                <w:rFonts w:hint="eastAsia" w:ascii="宋体" w:hAnsi="宋体"/>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bCs/>
                <w:szCs w:val="21"/>
              </w:rPr>
            </w:pPr>
            <w:r>
              <w:rPr>
                <w:rFonts w:hint="eastAsia" w:ascii="宋体" w:hAnsi="宋体"/>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bCs/>
                <w:szCs w:val="21"/>
              </w:rPr>
            </w:pPr>
            <w:r>
              <w:rPr>
                <w:rFonts w:hint="eastAsia" w:ascii="宋体" w:hAnsi="宋体"/>
                <w:bCs/>
                <w:szCs w:val="21"/>
              </w:rPr>
              <w:t>采购代理</w:t>
            </w:r>
            <w:r>
              <w:rPr>
                <w:rFonts w:ascii="宋体" w:hAnsi="宋体"/>
                <w:bCs/>
                <w:szCs w:val="21"/>
              </w:rPr>
              <w:t>服务费的收费标准为：以中选价为基数，按《</w:t>
            </w:r>
            <w:r>
              <w:rPr>
                <w:rFonts w:hint="eastAsia" w:ascii="宋体" w:hAnsi="宋体"/>
                <w:bCs/>
                <w:szCs w:val="21"/>
              </w:rPr>
              <w:t>采购</w:t>
            </w:r>
            <w:r>
              <w:rPr>
                <w:rFonts w:ascii="宋体" w:hAnsi="宋体"/>
                <w:bCs/>
                <w:szCs w:val="21"/>
              </w:rPr>
              <w:t>代理服务收费参照汇率表》</w:t>
            </w:r>
            <w:r>
              <w:rPr>
                <w:rFonts w:hint="eastAsia" w:ascii="宋体" w:hAnsi="宋体"/>
                <w:bCs/>
                <w:szCs w:val="21"/>
              </w:rPr>
              <w:t>进行</w:t>
            </w:r>
            <w:r>
              <w:rPr>
                <w:rFonts w:ascii="宋体" w:hAnsi="宋体"/>
                <w:bCs/>
                <w:szCs w:val="21"/>
              </w:rPr>
              <w:t>计算后，向中选单位收取。服务</w:t>
            </w:r>
            <w:r>
              <w:rPr>
                <w:rFonts w:hint="eastAsia" w:ascii="宋体" w:hAnsi="宋体"/>
                <w:bCs/>
                <w:szCs w:val="21"/>
              </w:rPr>
              <w:t>费</w:t>
            </w:r>
            <w:r>
              <w:rPr>
                <w:rFonts w:ascii="宋体" w:hAnsi="宋体"/>
                <w:bCs/>
                <w:szCs w:val="21"/>
              </w:rPr>
              <w:t>超过</w:t>
            </w:r>
            <w:r>
              <w:rPr>
                <w:rFonts w:hint="eastAsia" w:ascii="宋体" w:hAnsi="宋体"/>
                <w:bCs/>
                <w:szCs w:val="21"/>
              </w:rPr>
              <w:t>2万</w:t>
            </w:r>
            <w:r>
              <w:rPr>
                <w:rFonts w:ascii="宋体" w:hAnsi="宋体"/>
                <w:bCs/>
                <w:szCs w:val="21"/>
              </w:rPr>
              <w:t>元的，按</w:t>
            </w:r>
            <w:r>
              <w:rPr>
                <w:rFonts w:hint="eastAsia" w:ascii="宋体" w:hAnsi="宋体"/>
                <w:bCs/>
                <w:szCs w:val="21"/>
              </w:rPr>
              <w:t>2万</w:t>
            </w:r>
            <w:r>
              <w:rPr>
                <w:rFonts w:ascii="宋体" w:hAnsi="宋体"/>
                <w:bCs/>
                <w:szCs w:val="21"/>
              </w:rPr>
              <w:t>元</w:t>
            </w:r>
            <w:r>
              <w:rPr>
                <w:rFonts w:hint="eastAsia" w:ascii="宋体" w:hAnsi="宋体"/>
                <w:bCs/>
                <w:szCs w:val="21"/>
              </w:rPr>
              <w:t>计</w:t>
            </w:r>
            <w:r>
              <w:rPr>
                <w:rFonts w:ascii="宋体" w:hAnsi="宋体"/>
                <w:bCs/>
                <w:szCs w:val="21"/>
              </w:rPr>
              <w:t>取，服务费低于</w:t>
            </w:r>
            <w:r>
              <w:rPr>
                <w:rFonts w:hint="eastAsia" w:ascii="宋体" w:hAnsi="宋体"/>
                <w:bCs/>
                <w:szCs w:val="21"/>
              </w:rPr>
              <w:t>5000元</w:t>
            </w:r>
            <w:r>
              <w:rPr>
                <w:rFonts w:ascii="宋体" w:hAnsi="宋体"/>
                <w:bCs/>
                <w:szCs w:val="21"/>
              </w:rPr>
              <w:t>的，按</w:t>
            </w:r>
            <w:r>
              <w:rPr>
                <w:rFonts w:hint="eastAsia" w:ascii="宋体" w:hAnsi="宋体"/>
                <w:bCs/>
                <w:szCs w:val="21"/>
              </w:rPr>
              <w:t>5000元</w:t>
            </w:r>
            <w:r>
              <w:rPr>
                <w:rFonts w:ascii="宋体" w:hAnsi="宋体"/>
                <w:bCs/>
                <w:szCs w:val="21"/>
              </w:rPr>
              <w:t>计取。</w:t>
            </w:r>
          </w:p>
        </w:tc>
      </w:tr>
    </w:tbl>
    <w:p>
      <w:pPr>
        <w:adjustRightInd w:val="0"/>
        <w:snapToGrid w:val="0"/>
        <w:spacing w:line="360" w:lineRule="auto"/>
        <w:jc w:val="left"/>
        <w:rPr>
          <w:rFonts w:ascii="宋体" w:hAnsi="宋体"/>
          <w:bCs/>
          <w:szCs w:val="21"/>
        </w:rPr>
      </w:pPr>
      <w:r>
        <w:rPr>
          <w:rFonts w:hint="eastAsia" w:ascii="宋体" w:hAnsi="宋体"/>
          <w:bCs/>
          <w:szCs w:val="21"/>
        </w:rPr>
        <w:t>注</w:t>
      </w:r>
      <w:r>
        <w:rPr>
          <w:rFonts w:ascii="宋体" w:hAnsi="宋体"/>
          <w:bCs/>
          <w:szCs w:val="21"/>
        </w:rPr>
        <w:t>：采购代理服务收费按差额定率累进法计算。例如</w:t>
      </w:r>
      <w:r>
        <w:rPr>
          <w:rFonts w:hint="eastAsia" w:ascii="宋体" w:hAnsi="宋体"/>
          <w:bCs/>
          <w:szCs w:val="21"/>
        </w:rPr>
        <w:t>：</w:t>
      </w:r>
      <w:r>
        <w:rPr>
          <w:rFonts w:ascii="宋体" w:hAnsi="宋体"/>
          <w:bCs/>
          <w:szCs w:val="21"/>
        </w:rPr>
        <w:t>某工程采购代理业务中选金额为</w:t>
      </w:r>
      <w:r>
        <w:rPr>
          <w:rFonts w:hint="eastAsia" w:ascii="宋体" w:hAnsi="宋体"/>
          <w:bCs/>
          <w:szCs w:val="21"/>
        </w:rPr>
        <w:t>300万</w:t>
      </w:r>
      <w:r>
        <w:rPr>
          <w:rFonts w:ascii="宋体" w:hAnsi="宋体"/>
          <w:bCs/>
          <w:szCs w:val="21"/>
        </w:rPr>
        <w:t>元，计算采购代理服务收费额如下：</w:t>
      </w:r>
    </w:p>
    <w:p>
      <w:pPr>
        <w:adjustRightInd w:val="0"/>
        <w:snapToGrid w:val="0"/>
        <w:spacing w:line="360" w:lineRule="auto"/>
        <w:ind w:firstLine="420" w:firstLineChars="200"/>
        <w:jc w:val="left"/>
        <w:rPr>
          <w:rFonts w:ascii="宋体" w:hAnsi="宋体"/>
          <w:bCs/>
          <w:szCs w:val="21"/>
        </w:rPr>
      </w:pPr>
      <w:r>
        <w:rPr>
          <w:rFonts w:ascii="宋体" w:hAnsi="宋体"/>
          <w:bCs/>
          <w:szCs w:val="21"/>
        </w:rPr>
        <w:t>100</w:t>
      </w:r>
      <w:r>
        <w:rPr>
          <w:rFonts w:hint="eastAsia" w:ascii="宋体" w:hAnsi="宋体"/>
          <w:bCs/>
          <w:szCs w:val="21"/>
        </w:rPr>
        <w:t>万</w:t>
      </w:r>
      <w:r>
        <w:rPr>
          <w:rFonts w:ascii="宋体" w:hAnsi="宋体"/>
          <w:bCs/>
          <w:szCs w:val="21"/>
        </w:rPr>
        <w:t>元</w:t>
      </w:r>
      <w:r>
        <w:rPr>
          <w:rFonts w:hint="eastAsia" w:ascii="宋体" w:hAnsi="宋体"/>
          <w:bCs/>
          <w:szCs w:val="21"/>
        </w:rPr>
        <w:t>×1.0%＝1万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（300-100）</w:t>
      </w:r>
      <w:r>
        <w:rPr>
          <w:rFonts w:ascii="宋体" w:hAnsi="宋体"/>
          <w:bCs/>
          <w:szCs w:val="21"/>
        </w:rPr>
        <w:t>万元</w:t>
      </w:r>
      <w:r>
        <w:rPr>
          <w:rFonts w:hint="eastAsia" w:ascii="宋体" w:hAnsi="宋体"/>
          <w:bCs/>
          <w:szCs w:val="21"/>
        </w:rPr>
        <w:t>×0.7%＝1.4万</w:t>
      </w:r>
      <w:r>
        <w:rPr>
          <w:rFonts w:ascii="宋体" w:hAnsi="宋体"/>
          <w:bCs/>
          <w:szCs w:val="21"/>
        </w:rPr>
        <w:t>元</w:t>
      </w:r>
    </w:p>
    <w:p>
      <w:pPr>
        <w:adjustRightInd w:val="0"/>
        <w:snapToGrid w:val="0"/>
        <w:spacing w:line="360" w:lineRule="auto"/>
        <w:ind w:firstLine="420" w:firstLineChars="200"/>
        <w:jc w:val="left"/>
        <w:rPr>
          <w:rFonts w:ascii="宋体" w:hAnsi="宋体"/>
          <w:bCs/>
          <w:szCs w:val="21"/>
        </w:rPr>
      </w:pPr>
      <w:r>
        <w:rPr>
          <w:rFonts w:hint="eastAsia" w:ascii="宋体" w:hAnsi="宋体"/>
          <w:bCs/>
          <w:szCs w:val="21"/>
        </w:rPr>
        <w:t>合计</w:t>
      </w:r>
      <w:r>
        <w:rPr>
          <w:rFonts w:ascii="宋体" w:hAnsi="宋体"/>
          <w:bCs/>
          <w:szCs w:val="21"/>
        </w:rPr>
        <w:t>收费＝</w:t>
      </w:r>
      <w:r>
        <w:rPr>
          <w:rFonts w:hint="eastAsia" w:ascii="宋体" w:hAnsi="宋体"/>
          <w:bCs/>
          <w:szCs w:val="21"/>
        </w:rPr>
        <w:t>1+1.4＝2.4（</w:t>
      </w:r>
      <w:r>
        <w:rPr>
          <w:rFonts w:ascii="宋体" w:hAnsi="宋体"/>
          <w:bCs/>
          <w:szCs w:val="21"/>
        </w:rPr>
        <w:t>万元）</w:t>
      </w:r>
    </w:p>
    <w:p>
      <w:pPr>
        <w:adjustRightInd w:val="0"/>
        <w:snapToGrid w:val="0"/>
        <w:spacing w:line="360" w:lineRule="auto"/>
        <w:ind w:firstLine="420" w:firstLineChars="200"/>
        <w:jc w:val="left"/>
        <w:rPr>
          <w:bCs/>
        </w:rPr>
        <w:sectPr>
          <w:footerReference r:id="rId5" w:type="default"/>
          <w:pgSz w:w="11906" w:h="16838"/>
          <w:pgMar w:top="1440" w:right="1797" w:bottom="1440" w:left="1797" w:header="851" w:footer="851" w:gutter="0"/>
          <w:cols w:space="720" w:num="1"/>
          <w:docGrid w:linePitch="312" w:charSpace="0"/>
        </w:sectPr>
      </w:pPr>
      <w:r>
        <w:rPr>
          <w:rFonts w:hint="eastAsia" w:ascii="宋体" w:hAnsi="宋体"/>
          <w:bCs/>
          <w:szCs w:val="21"/>
        </w:rPr>
        <w:t>本</w:t>
      </w:r>
      <w:r>
        <w:rPr>
          <w:rFonts w:ascii="宋体" w:hAnsi="宋体"/>
          <w:bCs/>
          <w:szCs w:val="21"/>
        </w:rPr>
        <w:t>项目采购代理服务费为</w:t>
      </w:r>
      <w:r>
        <w:rPr>
          <w:rFonts w:hint="eastAsia" w:ascii="宋体" w:hAnsi="宋体"/>
          <w:bCs/>
          <w:szCs w:val="21"/>
        </w:rPr>
        <w:t>2万</w:t>
      </w:r>
    </w:p>
    <w:p>
      <w:pPr>
        <w:pStyle w:val="3"/>
        <w:keepNext w:val="0"/>
        <w:rPr>
          <w:rFonts w:ascii="宋体" w:hAnsi="宋体" w:eastAsia="宋体" w:cs="宋体"/>
          <w:bCs w:val="0"/>
          <w:sz w:val="32"/>
          <w:szCs w:val="32"/>
        </w:rPr>
      </w:pPr>
      <w:bookmarkStart w:id="26" w:name="_Toc22462"/>
      <w:bookmarkStart w:id="27" w:name="_Toc29821"/>
      <w:r>
        <w:rPr>
          <w:rFonts w:hint="eastAsia" w:ascii="宋体" w:hAnsi="宋体" w:eastAsia="宋体" w:cs="宋体"/>
          <w:bCs w:val="0"/>
          <w:sz w:val="32"/>
          <w:szCs w:val="32"/>
        </w:rPr>
        <w:t>第三章  评审办法及标准</w:t>
      </w:r>
      <w:bookmarkEnd w:id="26"/>
      <w:bookmarkEnd w:id="27"/>
    </w:p>
    <w:p>
      <w:pPr>
        <w:adjustRightInd w:val="0"/>
        <w:snapToGrid w:val="0"/>
        <w:spacing w:line="360" w:lineRule="auto"/>
        <w:ind w:left="723" w:hanging="723" w:hangingChars="300"/>
        <w:rPr>
          <w:rFonts w:ascii="黑体" w:hAnsi="宋体" w:eastAsia="黑体"/>
          <w:b/>
          <w:sz w:val="24"/>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adjustRightInd w:val="0"/>
        <w:snapToGrid w:val="0"/>
        <w:spacing w:line="360" w:lineRule="auto"/>
        <w:ind w:firstLine="411" w:firstLineChars="196"/>
        <w:rPr>
          <w:rFonts w:ascii="黑体" w:hAnsi="宋体" w:eastAsia="黑体"/>
          <w:b/>
          <w:sz w:val="24"/>
        </w:rPr>
      </w:pPr>
      <w:r>
        <w:rPr>
          <w:rFonts w:hint="eastAsia" w:ascii="宋体" w:hAnsi="宋体"/>
          <w:bCs/>
          <w:szCs w:val="21"/>
        </w:rPr>
        <w:t>1.本项目采用经符合性审查合格后的</w:t>
      </w:r>
      <w:r>
        <w:rPr>
          <w:rFonts w:hint="eastAsia" w:ascii="宋体" w:hAnsi="宋体"/>
          <w:b/>
          <w:bCs/>
          <w:szCs w:val="21"/>
          <w:u w:val="single"/>
        </w:rPr>
        <w:t>最低价法</w:t>
      </w:r>
      <w:r>
        <w:rPr>
          <w:rFonts w:hint="eastAsia" w:ascii="宋体" w:hAnsi="宋体"/>
          <w:b/>
          <w:bCs/>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adjustRightInd w:val="0"/>
        <w:snapToGrid w:val="0"/>
        <w:spacing w:line="360" w:lineRule="auto"/>
        <w:ind w:firstLine="411" w:firstLineChars="196"/>
        <w:rPr>
          <w:rFonts w:ascii="宋体" w:hAnsi="宋体"/>
          <w:bCs/>
          <w:szCs w:val="21"/>
        </w:rPr>
      </w:pPr>
      <w:r>
        <w:rPr>
          <w:rFonts w:hint="eastAsia" w:ascii="宋体" w:hAnsi="宋体"/>
          <w:bCs/>
          <w:szCs w:val="21"/>
        </w:rPr>
        <w:t>2.</w:t>
      </w:r>
      <w:r>
        <w:rPr>
          <w:rFonts w:hint="eastAsia" w:ascii="宋体" w:hAnsi="宋体"/>
          <w:bCs/>
          <w:szCs w:val="21"/>
          <w:lang w:val="en-US" w:eastAsia="zh-CN"/>
        </w:rPr>
        <w:t>1</w:t>
      </w:r>
      <w:r>
        <w:rPr>
          <w:rFonts w:hint="eastAsia" w:ascii="宋体" w:hAnsi="宋体"/>
          <w:bCs/>
          <w:szCs w:val="21"/>
        </w:rPr>
        <w:t>采购单位在前附表内规定的谈判时间及地点组织谈判活动。谈判活动由采购单位、谈判单位代表参与。</w:t>
      </w:r>
    </w:p>
    <w:p>
      <w:pPr>
        <w:adjustRightInd w:val="0"/>
        <w:snapToGrid w:val="0"/>
        <w:spacing w:line="360" w:lineRule="auto"/>
        <w:ind w:firstLine="411" w:firstLineChars="196"/>
        <w:rPr>
          <w:rFonts w:ascii="黑体" w:hAnsi="宋体" w:eastAsia="黑体"/>
          <w:b/>
          <w:sz w:val="24"/>
        </w:rPr>
      </w:pPr>
      <w:r>
        <w:rPr>
          <w:rFonts w:hint="eastAsia" w:ascii="宋体" w:hAnsi="宋体" w:eastAsia="宋体" w:cs="Times New Roman"/>
          <w:bCs/>
          <w:szCs w:val="21"/>
          <w:lang w:val="en-US" w:eastAsia="zh-CN"/>
        </w:rPr>
        <w:t>2.2</w:t>
      </w:r>
      <w:r>
        <w:rPr>
          <w:rFonts w:hint="eastAsia" w:ascii="宋体" w:hAnsi="宋体"/>
          <w:bCs/>
          <w:szCs w:val="21"/>
        </w:rPr>
        <w:t>谈判程序分为：</w:t>
      </w:r>
      <w:r>
        <w:rPr>
          <w:rFonts w:hint="eastAsia" w:ascii="宋体" w:hAnsi="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三、谈判会议阶段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四、符合性审查阶段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（4）不满足用户需求书要求书的；</w:t>
      </w:r>
    </w:p>
    <w:p>
      <w:pPr>
        <w:adjustRightInd w:val="0"/>
        <w:snapToGrid w:val="0"/>
        <w:spacing w:line="360" w:lineRule="auto"/>
        <w:ind w:firstLine="420" w:firstLineChars="200"/>
        <w:rPr>
          <w:rFonts w:ascii="宋体" w:hAnsi="宋体"/>
          <w:szCs w:val="21"/>
        </w:rPr>
      </w:pPr>
      <w:r>
        <w:rPr>
          <w:rFonts w:hint="eastAsia" w:ascii="宋体" w:hAnsi="宋体"/>
          <w:szCs w:val="21"/>
        </w:rPr>
        <w:t>（5）超过谈判预算的；</w:t>
      </w:r>
    </w:p>
    <w:p>
      <w:pPr>
        <w:adjustRightInd w:val="0"/>
        <w:snapToGrid w:val="0"/>
        <w:spacing w:line="360" w:lineRule="auto"/>
        <w:ind w:firstLine="420" w:firstLineChars="200"/>
        <w:rPr>
          <w:rFonts w:ascii="宋体" w:hAnsi="宋体"/>
          <w:szCs w:val="21"/>
        </w:rPr>
      </w:pPr>
      <w:r>
        <w:rPr>
          <w:rFonts w:hint="eastAsia" w:ascii="宋体" w:hAnsi="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13" w:firstLineChars="196"/>
        <w:rPr>
          <w:rFonts w:ascii="宋体" w:hAnsi="宋体"/>
          <w:b/>
          <w:bCs/>
          <w:szCs w:val="21"/>
        </w:rPr>
      </w:pPr>
      <w:r>
        <w:rPr>
          <w:rFonts w:hint="eastAsia" w:ascii="宋体" w:hAnsi="宋体"/>
          <w:b/>
          <w:bCs/>
          <w:szCs w:val="21"/>
          <w:lang w:val="en-US" w:eastAsia="zh-CN"/>
        </w:rPr>
        <w:t>7</w:t>
      </w:r>
      <w:r>
        <w:rPr>
          <w:rFonts w:hint="eastAsia" w:ascii="宋体" w:hAnsi="宋体"/>
          <w:b/>
          <w:bCs/>
          <w:szCs w:val="21"/>
        </w:rPr>
        <w:t>.推荐中选单位</w:t>
      </w:r>
    </w:p>
    <w:p>
      <w:pPr>
        <w:adjustRightInd w:val="0"/>
        <w:snapToGrid w:val="0"/>
        <w:spacing w:line="360" w:lineRule="auto"/>
        <w:ind w:firstLine="420" w:firstLineChars="200"/>
        <w:rPr>
          <w:rFonts w:ascii="宋体" w:hAnsi="宋体" w:cs="宋体"/>
          <w:kern w:val="0"/>
          <w:szCs w:val="21"/>
        </w:rPr>
      </w:pPr>
      <w:r>
        <w:rPr>
          <w:rFonts w:hint="eastAsia" w:ascii="宋体" w:hAnsi="宋体"/>
          <w:bCs/>
          <w:szCs w:val="21"/>
          <w:lang w:val="en-US" w:eastAsia="zh-CN"/>
        </w:rPr>
        <w:t>7</w:t>
      </w:r>
      <w:r>
        <w:rPr>
          <w:rFonts w:hint="eastAsia" w:ascii="宋体" w:hAnsi="宋体"/>
          <w:bCs/>
          <w:szCs w:val="21"/>
        </w:rPr>
        <w:t>.1</w:t>
      </w:r>
      <w:r>
        <w:rPr>
          <w:rFonts w:hint="eastAsia" w:ascii="宋体" w:hAnsi="宋体" w:cs="宋体"/>
          <w:kern w:val="0"/>
          <w:szCs w:val="21"/>
        </w:rPr>
        <w:t>谈判评审小组应当在全部评审结束后，按照得分由高到低顺序推荐1名中选单位，并填写评审报告。</w:t>
      </w:r>
    </w:p>
    <w:p>
      <w:pPr>
        <w:adjustRightInd w:val="0"/>
        <w:snapToGrid w:val="0"/>
        <w:spacing w:line="360" w:lineRule="auto"/>
        <w:ind w:firstLine="420" w:firstLineChars="200"/>
        <w:rPr>
          <w:szCs w:val="21"/>
        </w:rPr>
      </w:pPr>
      <w:r>
        <w:rPr>
          <w:rFonts w:hint="eastAsia" w:ascii="宋体" w:hAnsi="宋体" w:cs="宋体"/>
          <w:kern w:val="0"/>
          <w:szCs w:val="21"/>
          <w:lang w:val="en-US" w:eastAsia="zh-CN"/>
        </w:rPr>
        <w:t>7</w:t>
      </w:r>
      <w:r>
        <w:rPr>
          <w:rFonts w:hint="eastAsia" w:ascii="宋体" w:hAnsi="宋体" w:cs="宋体"/>
          <w:kern w:val="0"/>
          <w:szCs w:val="21"/>
        </w:rPr>
        <w:t>.2全部评审结束后，若出现报价得分相同的情形，则采用现场抽签方式确定中选单位。</w:t>
      </w:r>
    </w:p>
    <w:p>
      <w:pPr>
        <w:adjustRightInd w:val="0"/>
        <w:snapToGrid w:val="0"/>
        <w:spacing w:line="360" w:lineRule="auto"/>
        <w:rPr>
          <w:szCs w:val="21"/>
        </w:rPr>
      </w:pPr>
    </w:p>
    <w:p>
      <w:pPr>
        <w:adjustRightInd w:val="0"/>
        <w:snapToGrid w:val="0"/>
        <w:spacing w:before="120" w:beforeLines="50" w:line="360" w:lineRule="auto"/>
        <w:rPr>
          <w:rFonts w:ascii="黑体" w:eastAsia="黑体"/>
          <w:b/>
          <w:sz w:val="32"/>
          <w:szCs w:val="32"/>
        </w:rPr>
        <w:sectPr>
          <w:pgSz w:w="11906" w:h="16838"/>
          <w:pgMar w:top="1440" w:right="1797" w:bottom="1440" w:left="1797" w:header="851" w:footer="851" w:gutter="0"/>
          <w:cols w:space="720" w:num="1"/>
          <w:docGrid w:linePitch="312" w:charSpace="0"/>
        </w:sectPr>
      </w:pPr>
    </w:p>
    <w:p>
      <w:pPr>
        <w:pStyle w:val="3"/>
        <w:keepNext w:val="0"/>
        <w:rPr>
          <w:rFonts w:ascii="宋体" w:hAnsi="宋体" w:eastAsia="宋体" w:cs="宋体"/>
          <w:bCs w:val="0"/>
          <w:sz w:val="32"/>
          <w:szCs w:val="32"/>
        </w:rPr>
      </w:pPr>
      <w:bookmarkStart w:id="28" w:name="_Toc16371"/>
      <w:bookmarkStart w:id="29" w:name="_Toc16033"/>
      <w:r>
        <w:rPr>
          <w:rFonts w:hint="eastAsia" w:ascii="宋体" w:hAnsi="宋体" w:eastAsia="宋体" w:cs="宋体"/>
          <w:bCs w:val="0"/>
          <w:sz w:val="32"/>
          <w:szCs w:val="32"/>
        </w:rPr>
        <w:t>第四章  用户需求书</w:t>
      </w:r>
      <w:bookmarkEnd w:id="28"/>
      <w:bookmarkEnd w:id="29"/>
    </w:p>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（另册）</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pStyle w:val="2"/>
        <w:rPr>
          <w:rFonts w:hint="eastAsia"/>
          <w:lang w:val="en-US" w:eastAsia="zh-CN"/>
        </w:rPr>
      </w:pPr>
    </w:p>
    <w:p>
      <w:pPr>
        <w:pStyle w:val="3"/>
        <w:keepNext w:val="0"/>
        <w:rPr>
          <w:rFonts w:ascii="宋体" w:hAnsi="宋体" w:eastAsia="宋体" w:cs="宋体"/>
          <w:bCs w:val="0"/>
          <w:sz w:val="32"/>
          <w:szCs w:val="32"/>
        </w:rPr>
      </w:pPr>
      <w:bookmarkStart w:id="30" w:name="_Toc9549"/>
      <w:bookmarkStart w:id="31" w:name="_Toc16564"/>
      <w:r>
        <w:rPr>
          <w:rFonts w:hint="eastAsia" w:ascii="宋体" w:hAnsi="宋体" w:eastAsia="宋体" w:cs="宋体"/>
          <w:bCs w:val="0"/>
          <w:sz w:val="32"/>
          <w:szCs w:val="32"/>
        </w:rPr>
        <w:t>第五章  合同格式条款</w:t>
      </w:r>
      <w:bookmarkEnd w:id="30"/>
      <w:bookmarkEnd w:id="31"/>
    </w:p>
    <w:p>
      <w:pPr>
        <w:tabs>
          <w:tab w:val="center" w:pos="4153"/>
          <w:tab w:val="right" w:pos="8306"/>
        </w:tabs>
        <w:adjustRightInd w:val="0"/>
        <w:snapToGrid w:val="0"/>
        <w:spacing w:line="360" w:lineRule="auto"/>
        <w:jc w:val="right"/>
        <w:rPr>
          <w:rFonts w:ascii="仿宋_GB2312" w:hAnsi="仿宋_GB2312" w:eastAsia="仿宋_GB2312" w:cs="仿宋_GB2312"/>
          <w:b/>
          <w:sz w:val="24"/>
        </w:rPr>
      </w:pPr>
    </w:p>
    <w:p>
      <w:pPr>
        <w:tabs>
          <w:tab w:val="center" w:pos="4153"/>
          <w:tab w:val="right" w:pos="8306"/>
        </w:tabs>
        <w:adjustRightInd w:val="0"/>
        <w:snapToGrid w:val="0"/>
        <w:spacing w:line="360" w:lineRule="auto"/>
        <w:jc w:val="right"/>
        <w:rPr>
          <w:rFonts w:ascii="宋体" w:hAnsi="宋体" w:cs="宋体"/>
          <w:b/>
          <w:sz w:val="52"/>
          <w:szCs w:val="52"/>
        </w:rPr>
      </w:pPr>
      <w:r>
        <w:rPr>
          <w:rFonts w:hint="eastAsia" w:ascii="宋体" w:hAnsi="宋体" w:cs="宋体"/>
          <w:b/>
          <w:sz w:val="24"/>
        </w:rPr>
        <w:t>合同编号：</w:t>
      </w:r>
      <w:r>
        <w:rPr>
          <w:rFonts w:hint="eastAsia" w:ascii="宋体" w:hAnsi="宋体" w:cs="宋体"/>
          <w:sz w:val="24"/>
          <w:u w:val="dotted"/>
        </w:rPr>
        <w:t>长轨运  服合【20  】   号</w:t>
      </w:r>
    </w:p>
    <w:p>
      <w:pPr>
        <w:adjustRightInd w:val="0"/>
        <w:snapToGrid w:val="0"/>
        <w:spacing w:line="360" w:lineRule="auto"/>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adjustRightInd w:val="0"/>
        <w:snapToGrid w:val="0"/>
        <w:spacing w:line="360" w:lineRule="auto"/>
        <w:jc w:val="right"/>
        <w:rPr>
          <w:rFonts w:ascii="宋体" w:hAnsi="宋体" w:cs="宋体"/>
          <w:szCs w:val="28"/>
          <w:u w:val="dotted"/>
        </w:rPr>
      </w:pPr>
    </w:p>
    <w:p>
      <w:pPr>
        <w:spacing w:line="360" w:lineRule="auto"/>
        <w:jc w:val="center"/>
        <w:rPr>
          <w:rFonts w:ascii="宋体" w:hAnsi="宋体" w:cs="宋体"/>
          <w:b/>
          <w:sz w:val="48"/>
          <w:szCs w:val="48"/>
        </w:rPr>
      </w:pPr>
      <w:r>
        <w:rPr>
          <w:rFonts w:hint="eastAsia" w:ascii="宋体" w:hAnsi="宋体" w:cs="宋体"/>
          <w:b/>
          <w:kern w:val="0"/>
          <w:sz w:val="48"/>
          <w:szCs w:val="48"/>
        </w:rPr>
        <w:t>机动车辆保险合同</w:t>
      </w:r>
    </w:p>
    <w:p>
      <w:pPr>
        <w:spacing w:line="360" w:lineRule="auto"/>
        <w:jc w:val="center"/>
        <w:rPr>
          <w:rFonts w:ascii="宋体" w:hAnsi="宋体" w:cs="宋体"/>
          <w:b/>
          <w:kern w:val="0"/>
          <w:szCs w:val="28"/>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rPr>
          <w:rFonts w:ascii="宋体" w:hAnsi="宋体" w:cs="宋体"/>
          <w:b/>
          <w:sz w:val="30"/>
          <w:szCs w:val="30"/>
        </w:rPr>
      </w:pPr>
    </w:p>
    <w:p>
      <w:pPr>
        <w:adjustRightInd w:val="0"/>
        <w:snapToGrid w:val="0"/>
        <w:spacing w:line="360" w:lineRule="auto"/>
        <w:ind w:firstLine="602" w:firstLineChars="200"/>
        <w:rPr>
          <w:rFonts w:ascii="宋体" w:hAnsi="宋体" w:cs="宋体"/>
          <w:sz w:val="24"/>
          <w:u w:val="dotted"/>
        </w:rPr>
      </w:pPr>
      <w:r>
        <w:rPr>
          <w:rFonts w:hint="eastAsia" w:ascii="宋体" w:hAnsi="宋体" w:cs="宋体"/>
          <w:b/>
          <w:sz w:val="30"/>
          <w:szCs w:val="30"/>
        </w:rPr>
        <w:t>项目名称：</w:t>
      </w:r>
      <w:r>
        <w:rPr>
          <w:rFonts w:hint="eastAsia" w:ascii="宋体" w:hAnsi="宋体" w:cs="宋体"/>
          <w:sz w:val="24"/>
          <w:u w:val="dotted"/>
        </w:rPr>
        <w:t xml:space="preserve">                                              </w:t>
      </w:r>
    </w:p>
    <w:p>
      <w:pPr>
        <w:adjustRightInd w:val="0"/>
        <w:snapToGrid w:val="0"/>
        <w:spacing w:line="360" w:lineRule="auto"/>
        <w:ind w:firstLine="480" w:firstLineChars="200"/>
        <w:rPr>
          <w:rFonts w:ascii="宋体" w:hAnsi="宋体" w:cs="宋体"/>
          <w:sz w:val="24"/>
          <w:u w:val="dotted"/>
        </w:rPr>
      </w:pPr>
    </w:p>
    <w:p>
      <w:pPr>
        <w:adjustRightInd w:val="0"/>
        <w:snapToGrid w:val="0"/>
        <w:spacing w:line="360" w:lineRule="auto"/>
        <w:ind w:firstLine="602" w:firstLineChars="200"/>
        <w:rPr>
          <w:rFonts w:ascii="宋体" w:hAnsi="宋体" w:cs="宋体"/>
          <w:sz w:val="30"/>
          <w:szCs w:val="30"/>
          <w:u w:val="dotted"/>
        </w:rPr>
      </w:pPr>
      <w:r>
        <w:rPr>
          <w:rFonts w:hint="eastAsia" w:ascii="宋体" w:hAnsi="宋体" w:cs="宋体"/>
          <w:b/>
          <w:sz w:val="30"/>
          <w:szCs w:val="30"/>
        </w:rPr>
        <w:t>项目地点：</w:t>
      </w:r>
      <w:r>
        <w:rPr>
          <w:rFonts w:hint="eastAsia" w:ascii="宋体" w:hAnsi="宋体" w:cs="宋体"/>
          <w:sz w:val="30"/>
          <w:szCs w:val="30"/>
          <w:u w:val="dotted"/>
        </w:rPr>
        <w:t xml:space="preserve">         湖南省长沙市                </w:t>
      </w:r>
    </w:p>
    <w:p>
      <w:pPr>
        <w:adjustRightInd w:val="0"/>
        <w:snapToGrid w:val="0"/>
        <w:spacing w:line="360" w:lineRule="auto"/>
        <w:ind w:firstLine="600" w:firstLineChars="200"/>
        <w:rPr>
          <w:rFonts w:ascii="宋体" w:hAnsi="宋体" w:cs="宋体"/>
          <w:sz w:val="30"/>
          <w:szCs w:val="30"/>
          <w:u w:val="dotted"/>
        </w:rPr>
      </w:pPr>
    </w:p>
    <w:p>
      <w:pPr>
        <w:adjustRightInd w:val="0"/>
        <w:snapToGrid w:val="0"/>
        <w:spacing w:line="360" w:lineRule="auto"/>
        <w:ind w:firstLine="602" w:firstLineChars="200"/>
        <w:rPr>
          <w:rFonts w:ascii="宋体" w:hAnsi="宋体" w:cs="宋体"/>
          <w:sz w:val="24"/>
          <w:u w:val="dotted"/>
        </w:rPr>
      </w:pPr>
      <w:r>
        <w:rPr>
          <w:rFonts w:hint="eastAsia" w:ascii="宋体" w:hAnsi="宋体" w:cs="宋体"/>
          <w:b/>
          <w:kern w:val="0"/>
          <w:sz w:val="30"/>
          <w:szCs w:val="30"/>
        </w:rPr>
        <w:t>投 保 人：</w:t>
      </w:r>
      <w:r>
        <w:rPr>
          <w:rFonts w:hint="eastAsia" w:ascii="宋体" w:hAnsi="宋体" w:cs="宋体"/>
          <w:sz w:val="24"/>
          <w:u w:val="dotted"/>
        </w:rPr>
        <w:t xml:space="preserve">                                              </w:t>
      </w:r>
    </w:p>
    <w:p>
      <w:pPr>
        <w:adjustRightInd w:val="0"/>
        <w:snapToGrid w:val="0"/>
        <w:spacing w:line="360" w:lineRule="auto"/>
        <w:ind w:firstLine="480" w:firstLineChars="200"/>
        <w:rPr>
          <w:rFonts w:ascii="宋体" w:hAnsi="宋体" w:cs="宋体"/>
          <w:sz w:val="24"/>
          <w:u w:val="dotted"/>
        </w:rPr>
      </w:pPr>
    </w:p>
    <w:p>
      <w:pPr>
        <w:widowControl/>
        <w:snapToGrid w:val="0"/>
        <w:spacing w:line="360" w:lineRule="auto"/>
        <w:ind w:right="167" w:firstLine="602" w:firstLineChars="200"/>
        <w:rPr>
          <w:rFonts w:ascii="宋体" w:hAnsi="宋体" w:cs="宋体"/>
          <w:sz w:val="36"/>
          <w:szCs w:val="36"/>
          <w:u w:val="single"/>
        </w:rPr>
      </w:pPr>
      <w:r>
        <w:rPr>
          <w:rFonts w:hint="eastAsia" w:ascii="宋体" w:hAnsi="宋体" w:cs="宋体"/>
          <w:b/>
          <w:kern w:val="0"/>
          <w:sz w:val="30"/>
          <w:szCs w:val="30"/>
        </w:rPr>
        <w:t>承 保 人：</w:t>
      </w:r>
      <w:r>
        <w:rPr>
          <w:rFonts w:hint="eastAsia" w:ascii="宋体" w:hAnsi="宋体" w:cs="宋体"/>
          <w:sz w:val="24"/>
          <w:u w:val="dotted"/>
        </w:rPr>
        <w:t xml:space="preserve">                                              </w:t>
      </w:r>
    </w:p>
    <w:p>
      <w:pPr>
        <w:spacing w:line="360" w:lineRule="auto"/>
        <w:jc w:val="center"/>
        <w:rPr>
          <w:rFonts w:ascii="宋体" w:hAnsi="宋体" w:cs="宋体"/>
          <w:b/>
        </w:rPr>
        <w:sectPr>
          <w:footerReference r:id="rId8" w:type="first"/>
          <w:headerReference r:id="rId6" w:type="default"/>
          <w:footerReference r:id="rId7" w:type="default"/>
          <w:pgSz w:w="11850" w:h="16783"/>
          <w:pgMar w:top="1440" w:right="1800" w:bottom="1440" w:left="1800" w:header="851" w:footer="992" w:gutter="0"/>
          <w:cols w:space="720" w:num="1"/>
          <w:docGrid w:type="lines" w:linePitch="312" w:charSpace="0"/>
        </w:sectPr>
      </w:pPr>
      <w:bookmarkStart w:id="32" w:name="_Toc461094745"/>
    </w:p>
    <w:p>
      <w:pPr>
        <w:pStyle w:val="3"/>
        <w:spacing w:line="360" w:lineRule="auto"/>
        <w:rPr>
          <w:rFonts w:hint="eastAsia" w:ascii="宋体" w:hAnsi="宋体" w:eastAsia="宋体" w:cs="宋体"/>
          <w:kern w:val="2"/>
          <w:sz w:val="21"/>
          <w:szCs w:val="21"/>
        </w:rPr>
      </w:pPr>
      <w:bookmarkStart w:id="33" w:name="_Toc29293"/>
      <w:bookmarkStart w:id="34" w:name="_Toc10402"/>
      <w:bookmarkStart w:id="35" w:name="_Toc23462"/>
      <w:r>
        <w:rPr>
          <w:rFonts w:hint="eastAsia" w:ascii="宋体" w:hAnsi="宋体" w:eastAsia="宋体" w:cs="宋体"/>
          <w:kern w:val="2"/>
          <w:sz w:val="21"/>
          <w:szCs w:val="21"/>
        </w:rPr>
        <w:t>第一部分   合同协议书</w:t>
      </w:r>
      <w:bookmarkEnd w:id="32"/>
      <w:bookmarkEnd w:id="33"/>
      <w:bookmarkEnd w:id="34"/>
      <w:bookmarkEnd w:id="35"/>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投 保 人：</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承 保 人：</w:t>
      </w:r>
      <w:r>
        <w:rPr>
          <w:rFonts w:hint="eastAsia" w:ascii="宋体" w:hAnsi="宋体" w:eastAsia="宋体" w:cs="宋体"/>
          <w:sz w:val="21"/>
          <w:szCs w:val="21"/>
          <w:u w:val="single"/>
        </w:rPr>
        <w:t xml:space="preserve">                            </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合同法》、《中华人民共和国保险法》及有关法律规定，遵循平等、自愿、公平和诚实信用的原则，双方按照“快处快赔、应赔尽赔”原则就下述投保项目的机动车辆保险及有关事项协商一致，共同签订本合同。</w:t>
      </w:r>
    </w:p>
    <w:p>
      <w:pPr>
        <w:autoSpaceDE w:val="0"/>
        <w:autoSpaceDN w:val="0"/>
        <w:snapToGrid w:val="0"/>
        <w:spacing w:line="360" w:lineRule="auto"/>
        <w:ind w:firstLine="420" w:firstLineChars="200"/>
        <w:rPr>
          <w:rFonts w:hint="eastAsia" w:ascii="宋体" w:hAnsi="宋体" w:eastAsia="宋体" w:cs="宋体"/>
          <w:b/>
          <w:position w:val="6"/>
          <w:sz w:val="21"/>
          <w:szCs w:val="21"/>
          <w:u w:val="single"/>
        </w:rPr>
      </w:pPr>
      <w:r>
        <w:rPr>
          <w:rFonts w:hint="eastAsia" w:ascii="宋体" w:hAnsi="宋体" w:eastAsia="宋体" w:cs="宋体"/>
          <w:position w:val="6"/>
          <w:sz w:val="21"/>
          <w:szCs w:val="21"/>
        </w:rPr>
        <w:t>1、</w:t>
      </w:r>
      <w:r>
        <w:rPr>
          <w:rFonts w:hint="eastAsia" w:ascii="宋体" w:hAnsi="宋体" w:eastAsia="宋体" w:cs="宋体"/>
          <w:b/>
          <w:position w:val="6"/>
          <w:sz w:val="21"/>
          <w:szCs w:val="21"/>
        </w:rPr>
        <w:t>投保项目</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1.1项目名称：</w:t>
      </w:r>
      <w:r>
        <w:rPr>
          <w:rFonts w:hint="eastAsia" w:ascii="宋体" w:hAnsi="宋体" w:eastAsia="宋体" w:cs="宋体"/>
          <w:sz w:val="21"/>
          <w:szCs w:val="21"/>
          <w:u w:val="single"/>
        </w:rPr>
        <w:t xml:space="preserve">                    </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1.2项目概况：</w:t>
      </w:r>
      <w:r>
        <w:rPr>
          <w:rFonts w:hint="eastAsia" w:ascii="宋体" w:hAnsi="宋体" w:eastAsia="宋体" w:cs="宋体"/>
          <w:sz w:val="21"/>
          <w:szCs w:val="21"/>
          <w:u w:val="single"/>
        </w:rPr>
        <w:t xml:space="preserve">                    </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2、保险险种（税）</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保险险种为：□</w:t>
      </w:r>
      <w:r>
        <w:rPr>
          <w:rFonts w:hint="eastAsia" w:ascii="宋体" w:hAnsi="宋体" w:eastAsia="宋体" w:cs="宋体"/>
          <w:sz w:val="21"/>
          <w:szCs w:val="21"/>
          <w:u w:val="single"/>
        </w:rPr>
        <w:t>车船使用税</w:t>
      </w:r>
      <w:r>
        <w:rPr>
          <w:rFonts w:hint="eastAsia" w:ascii="宋体" w:hAnsi="宋体" w:eastAsia="宋体" w:cs="宋体"/>
          <w:sz w:val="21"/>
          <w:szCs w:val="21"/>
        </w:rPr>
        <w:t>□</w:t>
      </w:r>
      <w:r>
        <w:rPr>
          <w:rFonts w:hint="eastAsia" w:ascii="宋体" w:hAnsi="宋体" w:eastAsia="宋体" w:cs="宋体"/>
          <w:sz w:val="21"/>
          <w:szCs w:val="21"/>
          <w:u w:val="single"/>
        </w:rPr>
        <w:t>机动车交通事故责任强制保险</w:t>
      </w:r>
      <w:r>
        <w:rPr>
          <w:rFonts w:hint="eastAsia" w:ascii="宋体" w:hAnsi="宋体" w:eastAsia="宋体" w:cs="宋体"/>
          <w:sz w:val="21"/>
          <w:szCs w:val="21"/>
        </w:rPr>
        <w:t>,商业保险</w:t>
      </w:r>
      <w:r>
        <w:rPr>
          <w:rFonts w:hint="eastAsia" w:ascii="宋体" w:hAnsi="宋体" w:eastAsia="宋体" w:cs="宋体"/>
          <w:sz w:val="21"/>
          <w:szCs w:val="21"/>
          <w:u w:val="single"/>
        </w:rPr>
        <w:t>(□车辆损失险□第三者责任险（      万元）□车上人员责任险（      万元/座）□不计免赔率险□机动车损失保险无法找到第三方特约险□           )</w:t>
      </w:r>
      <w:r>
        <w:rPr>
          <w:rFonts w:hint="eastAsia" w:ascii="宋体" w:hAnsi="宋体" w:eastAsia="宋体" w:cs="宋体"/>
          <w:sz w:val="21"/>
          <w:szCs w:val="21"/>
        </w:rPr>
        <w:t>。具体详见“车辆保险需求”。</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3、保险期限</w:t>
      </w:r>
    </w:p>
    <w:p>
      <w:pPr>
        <w:adjustRightInd w:val="0"/>
        <w:snapToGrid w:val="0"/>
        <w:spacing w:line="360" w:lineRule="auto"/>
        <w:ind w:firstLine="480"/>
        <w:rPr>
          <w:rFonts w:hint="eastAsia" w:ascii="宋体" w:hAnsi="宋体" w:eastAsia="宋体" w:cs="宋体"/>
          <w:b/>
          <w:sz w:val="21"/>
          <w:szCs w:val="21"/>
          <w:u w:val="single"/>
        </w:rPr>
      </w:pPr>
      <w:r>
        <w:rPr>
          <w:rFonts w:hint="eastAsia" w:ascii="宋体" w:hAnsi="宋体" w:eastAsia="宋体" w:cs="宋体"/>
          <w:sz w:val="21"/>
          <w:szCs w:val="21"/>
        </w:rPr>
        <w:t>保险期限为：</w:t>
      </w:r>
      <w:r>
        <w:rPr>
          <w:rFonts w:hint="eastAsia" w:ascii="宋体" w:hAnsi="宋体" w:eastAsia="宋体" w:cs="宋体"/>
          <w:b/>
          <w:sz w:val="21"/>
          <w:szCs w:val="21"/>
          <w:u w:val="single"/>
        </w:rPr>
        <w:t xml:space="preserve">                     </w:t>
      </w:r>
      <w:r>
        <w:rPr>
          <w:rFonts w:hint="eastAsia" w:ascii="宋体" w:hAnsi="宋体" w:eastAsia="宋体" w:cs="宋体"/>
          <w:sz w:val="21"/>
          <w:szCs w:val="21"/>
        </w:rPr>
        <w:t>，具体详见“机动车保险需求”。</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b/>
          <w:sz w:val="21"/>
          <w:szCs w:val="21"/>
        </w:rPr>
        <w:t>4、保险合同组成</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4.1本项目相关资料为保险合同的有效组成部分。包括：</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（1）补充协议（如果有）；</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（2）合同协议书；</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（3）中标通知书/中选通知书/谈判记录表；</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（4）机动车辆保险需求（其中的保险条款由特别约定、附加条款和基本条款构成，排序在前者效力优先）；</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（5）投保单</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（6）保险单（包括批单）（其中的保险条款由特别约定、附加条款和基本条款构成，排序在前者效力优先）；</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（7）合同附件及承保方按合同附录格式及要求出具的文件；</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 xml:space="preserve"> </w:t>
      </w:r>
    </w:p>
    <w:p>
      <w:pPr>
        <w:adjustRightInd w:val="0"/>
        <w:snapToGrid w:val="0"/>
        <w:spacing w:line="360" w:lineRule="auto"/>
        <w:ind w:firstLine="480"/>
        <w:rPr>
          <w:rFonts w:hint="eastAsia" w:ascii="宋体" w:hAnsi="宋体" w:eastAsia="宋体" w:cs="宋体"/>
          <w:sz w:val="21"/>
          <w:szCs w:val="21"/>
        </w:rPr>
      </w:pPr>
    </w:p>
    <w:p>
      <w:pPr>
        <w:snapToGrid w:val="0"/>
        <w:spacing w:line="360" w:lineRule="auto"/>
        <w:ind w:firstLine="482"/>
        <w:rPr>
          <w:rFonts w:hint="eastAsia" w:ascii="宋体" w:hAnsi="宋体" w:eastAsia="宋体" w:cs="宋体"/>
          <w:sz w:val="21"/>
          <w:szCs w:val="21"/>
        </w:rPr>
      </w:pPr>
      <w:r>
        <w:rPr>
          <w:rFonts w:hint="eastAsia" w:ascii="宋体" w:hAnsi="宋体" w:eastAsia="宋体" w:cs="宋体"/>
          <w:sz w:val="21"/>
          <w:szCs w:val="21"/>
        </w:rPr>
        <w:t>（8）招标文件/自主竞争性谈判文件/直接委托谈判文件 、澄清与答疑文件及其它补充资料；</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（9）投标文件/谈判响应文件、澄清文件及其它补充资料；</w:t>
      </w:r>
    </w:p>
    <w:p>
      <w:pPr>
        <w:snapToGrid w:val="0"/>
        <w:spacing w:line="360" w:lineRule="auto"/>
        <w:ind w:firstLine="482"/>
        <w:rPr>
          <w:rFonts w:hint="eastAsia" w:ascii="宋体" w:hAnsi="宋体" w:eastAsia="宋体" w:cs="宋体"/>
          <w:sz w:val="21"/>
          <w:szCs w:val="21"/>
        </w:rPr>
      </w:pPr>
      <w:r>
        <w:rPr>
          <w:rFonts w:hint="eastAsia" w:ascii="宋体" w:hAnsi="宋体" w:eastAsia="宋体" w:cs="宋体"/>
          <w:sz w:val="21"/>
          <w:szCs w:val="21"/>
        </w:rPr>
        <w:t>（10）批准的图纸（如果有）；</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（11）其他构成本合同的文件。</w:t>
      </w:r>
    </w:p>
    <w:p>
      <w:pPr>
        <w:adjustRightInd w:val="0"/>
        <w:snapToGrid w:val="0"/>
        <w:spacing w:line="360" w:lineRule="auto"/>
        <w:ind w:firstLine="480"/>
        <w:rPr>
          <w:rFonts w:hint="eastAsia" w:ascii="宋体" w:hAnsi="宋体" w:eastAsia="宋体" w:cs="宋体"/>
          <w:sz w:val="21"/>
          <w:szCs w:val="21"/>
        </w:rPr>
      </w:pPr>
      <w:bookmarkStart w:id="36" w:name="_Toc461094747"/>
      <w:r>
        <w:rPr>
          <w:rFonts w:hint="eastAsia" w:ascii="宋体" w:hAnsi="宋体" w:eastAsia="宋体" w:cs="宋体"/>
          <w:sz w:val="21"/>
          <w:szCs w:val="21"/>
        </w:rPr>
        <w:t>上述文件互为补充和解释，如有不清之处，以有利于投保人/被保险人的解释为准；如有相互矛盾之处，以上述文件先后顺序为准。</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sz w:val="21"/>
          <w:szCs w:val="21"/>
        </w:rPr>
        <w:t>在合同履行过程中形成的与合同有关的文件均构成合同文件组成部分，并根据其性质确定优先解释顺序。</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5、</w:t>
      </w:r>
      <w:bookmarkEnd w:id="36"/>
      <w:bookmarkStart w:id="37" w:name="_Toc461094749"/>
      <w:r>
        <w:rPr>
          <w:rFonts w:hint="eastAsia" w:ascii="宋体" w:hAnsi="宋体" w:eastAsia="宋体" w:cs="宋体"/>
          <w:b/>
          <w:sz w:val="21"/>
          <w:szCs w:val="21"/>
        </w:rPr>
        <w:t>投保出单</w:t>
      </w:r>
      <w:bookmarkEnd w:id="37"/>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由承保人根据本合同约定出具保险单。</w:t>
      </w:r>
    </w:p>
    <w:p>
      <w:pPr>
        <w:adjustRightInd w:val="0"/>
        <w:snapToGrid w:val="0"/>
        <w:spacing w:line="360" w:lineRule="auto"/>
        <w:ind w:firstLine="480"/>
        <w:rPr>
          <w:rFonts w:hint="eastAsia" w:ascii="宋体" w:hAnsi="宋体" w:eastAsia="宋体" w:cs="宋体"/>
          <w:sz w:val="21"/>
          <w:szCs w:val="21"/>
        </w:rPr>
      </w:pPr>
      <w:bookmarkStart w:id="38" w:name="_Toc461094750"/>
      <w:r>
        <w:rPr>
          <w:rFonts w:hint="eastAsia" w:ascii="宋体" w:hAnsi="宋体" w:eastAsia="宋体" w:cs="宋体"/>
          <w:b/>
          <w:sz w:val="21"/>
          <w:szCs w:val="21"/>
        </w:rPr>
        <w:t>6、保险费及其支付方式</w:t>
      </w:r>
      <w:bookmarkEnd w:id="38"/>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6.1 保险费</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车船使用税按征税标准执行。</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u w:val="single"/>
        </w:rPr>
        <w:t>机动车交通事故责任强制保险</w:t>
      </w:r>
      <w:r>
        <w:rPr>
          <w:rFonts w:hint="eastAsia" w:ascii="宋体" w:hAnsi="宋体" w:eastAsia="宋体" w:cs="宋体"/>
          <w:sz w:val="21"/>
          <w:szCs w:val="21"/>
        </w:rPr>
        <w:t>优惠率按照《机动车交通事故责任强制保险费率浮动办法》浮动，优惠后其保险责任不变。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商业险所有险种（即除</w:t>
      </w:r>
      <w:r>
        <w:rPr>
          <w:rFonts w:hint="eastAsia" w:ascii="宋体" w:hAnsi="宋体" w:eastAsia="宋体" w:cs="宋体"/>
          <w:sz w:val="21"/>
          <w:szCs w:val="21"/>
          <w:u w:val="single"/>
        </w:rPr>
        <w:t>车船使用税及机动车交通事故责任强制保险外</w:t>
      </w:r>
      <w:r>
        <w:rPr>
          <w:rFonts w:hint="eastAsia" w:ascii="宋体" w:hAnsi="宋体" w:eastAsia="宋体" w:cs="宋体"/>
          <w:sz w:val="21"/>
          <w:szCs w:val="21"/>
        </w:rPr>
        <w:t>）的综合优惠率为</w:t>
      </w:r>
      <w:r>
        <w:rPr>
          <w:rFonts w:hint="eastAsia" w:ascii="宋体" w:hAnsi="宋体" w:eastAsia="宋体" w:cs="宋体"/>
          <w:sz w:val="21"/>
          <w:szCs w:val="21"/>
          <w:u w:val="single"/>
        </w:rPr>
        <w:t xml:space="preserve">    </w:t>
      </w:r>
      <w:r>
        <w:rPr>
          <w:rFonts w:hint="eastAsia" w:ascii="宋体" w:hAnsi="宋体" w:eastAsia="宋体" w:cs="宋体"/>
          <w:sz w:val="21"/>
          <w:szCs w:val="21"/>
        </w:rPr>
        <w:t>%，优惠后其保险责任不变。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bCs/>
          <w:sz w:val="21"/>
          <w:szCs w:val="21"/>
        </w:rPr>
        <w:t>承保人在本合同约定的保险期限内，应严格按投标/竞谈/谈判承诺的优惠价格及服务条款进行服务，非不可抗力不得擅自对协议内容进行调整。</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6.2保险费支付方式</w:t>
      </w:r>
    </w:p>
    <w:p>
      <w:pPr>
        <w:adjustRightInd w:val="0"/>
        <w:snapToGrid w:val="0"/>
        <w:spacing w:line="360" w:lineRule="auto"/>
        <w:ind w:firstLine="480"/>
        <w:rPr>
          <w:rFonts w:hint="eastAsia" w:ascii="宋体" w:hAnsi="宋体" w:eastAsia="宋体" w:cs="宋体"/>
          <w:sz w:val="21"/>
          <w:szCs w:val="21"/>
        </w:rPr>
      </w:pPr>
      <w:bookmarkStart w:id="39" w:name="_Toc461094751"/>
      <w:r>
        <w:rPr>
          <w:rFonts w:hint="eastAsia" w:ascii="宋体" w:hAnsi="宋体" w:eastAsia="宋体" w:cs="宋体"/>
          <w:sz w:val="21"/>
          <w:szCs w:val="21"/>
        </w:rPr>
        <w:t>承保人签发每批次车辆的缴费通知单并经投保人核实无误后，支付该批次保险费的100%，承保人在收到保险费后立即向投保人开具相应保险单。承保人按投保人的支付程序办理请款手续并提供增值税专用发票、有效期内的履约担保复印件（如有）等相关资料后28个工作日内，由投保人向承保人支付。</w:t>
      </w:r>
    </w:p>
    <w:p>
      <w:pPr>
        <w:adjustRightInd w:val="0"/>
        <w:snapToGrid w:val="0"/>
        <w:spacing w:line="360" w:lineRule="auto"/>
        <w:ind w:firstLine="480"/>
        <w:rPr>
          <w:rFonts w:hint="eastAsia" w:ascii="宋体" w:hAnsi="宋体" w:eastAsia="宋体" w:cs="宋体"/>
          <w:b/>
          <w:sz w:val="21"/>
          <w:szCs w:val="21"/>
        </w:rPr>
      </w:pPr>
      <w:r>
        <w:rPr>
          <w:rFonts w:hint="eastAsia" w:ascii="宋体" w:hAnsi="宋体" w:eastAsia="宋体" w:cs="宋体"/>
          <w:b/>
          <w:sz w:val="21"/>
          <w:szCs w:val="21"/>
        </w:rPr>
        <w:t>关于付款主体的说明（如有）</w:t>
      </w:r>
      <w:r>
        <w:rPr>
          <w:rFonts w:hint="eastAsia" w:ascii="宋体" w:hAnsi="宋体" w:eastAsia="宋体" w:cs="宋体"/>
          <w:sz w:val="21"/>
          <w:szCs w:val="21"/>
        </w:rPr>
        <w:t>：</w:t>
      </w:r>
      <w:r>
        <w:rPr>
          <w:rFonts w:hint="eastAsia" w:ascii="宋体" w:hAnsi="宋体" w:eastAsia="宋体" w:cs="宋体"/>
          <w:sz w:val="21"/>
          <w:szCs w:val="21"/>
          <w:u w:val="single"/>
        </w:rPr>
        <w:t>长沙市轨道交通运营有限公司、长沙市轨道交通一号线建设发展有限公司、长沙市轨道交通三号线建设发展有限公司、长沙市轨道交通四号线建设发展有限公司、长沙市轨道交通五号线建设发展有限公司</w:t>
      </w:r>
      <w:r>
        <w:rPr>
          <w:rFonts w:hint="eastAsia" w:ascii="宋体" w:hAnsi="宋体" w:eastAsia="宋体" w:cs="宋体"/>
          <w:sz w:val="21"/>
          <w:szCs w:val="21"/>
        </w:rPr>
        <w:t>作为被保险人，根据各自投保车辆分别承担和支付保险费、收讫增值税专用发票。</w:t>
      </w:r>
    </w:p>
    <w:p>
      <w:pPr>
        <w:adjustRightInd w:val="0"/>
        <w:snapToGrid w:val="0"/>
        <w:spacing w:line="360" w:lineRule="auto"/>
        <w:ind w:firstLine="480"/>
        <w:rPr>
          <w:rFonts w:hint="eastAsia" w:ascii="宋体" w:hAnsi="宋体" w:eastAsia="宋体" w:cs="宋体"/>
          <w:b/>
          <w:position w:val="6"/>
          <w:sz w:val="21"/>
          <w:szCs w:val="21"/>
        </w:rPr>
      </w:pPr>
      <w:r>
        <w:rPr>
          <w:rFonts w:hint="eastAsia" w:ascii="宋体" w:hAnsi="宋体" w:eastAsia="宋体" w:cs="宋体"/>
          <w:b/>
          <w:position w:val="6"/>
          <w:sz w:val="21"/>
          <w:szCs w:val="21"/>
        </w:rPr>
        <w:t>7、承保人服务要求</w:t>
      </w:r>
      <w:bookmarkEnd w:id="39"/>
    </w:p>
    <w:p>
      <w:pPr>
        <w:adjustRightInd w:val="0"/>
        <w:snapToGrid w:val="0"/>
        <w:spacing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7.1 专项服务小组</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7.1.1承保人为本项目设立专项服务小组，负责与被保险人的车管部门联系，提供承保上门服务。包括但不限于：上门解释条款、上门收取投保资料、上门指导填写投保单、上门送达保单、发票及其他保险凭证等服务。具体人员组成及分工如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项目中职务</w:t>
            </w:r>
          </w:p>
        </w:tc>
        <w:tc>
          <w:tcPr>
            <w:tcW w:w="823"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89"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负责内容或分工</w:t>
            </w:r>
          </w:p>
        </w:tc>
        <w:tc>
          <w:tcPr>
            <w:tcW w:w="2478"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职务</w:t>
            </w:r>
          </w:p>
        </w:tc>
        <w:tc>
          <w:tcPr>
            <w:tcW w:w="1275" w:type="dxa"/>
            <w:shd w:val="clear" w:color="auto" w:fill="C0C0C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54" w:type="dxa"/>
            <w:vAlign w:val="center"/>
          </w:tcPr>
          <w:p>
            <w:pPr>
              <w:spacing w:line="360" w:lineRule="auto"/>
              <w:jc w:val="center"/>
              <w:rPr>
                <w:rFonts w:hint="eastAsia" w:ascii="宋体" w:hAnsi="宋体" w:eastAsia="宋体" w:cs="宋体"/>
                <w:sz w:val="21"/>
                <w:szCs w:val="21"/>
              </w:rPr>
            </w:pPr>
          </w:p>
        </w:tc>
        <w:tc>
          <w:tcPr>
            <w:tcW w:w="823" w:type="dxa"/>
            <w:vAlign w:val="center"/>
          </w:tcPr>
          <w:p>
            <w:pPr>
              <w:spacing w:line="360" w:lineRule="auto"/>
              <w:jc w:val="center"/>
              <w:rPr>
                <w:rFonts w:hint="eastAsia" w:ascii="宋体" w:hAnsi="宋体" w:eastAsia="宋体" w:cs="宋体"/>
                <w:sz w:val="21"/>
                <w:szCs w:val="21"/>
              </w:rPr>
            </w:pPr>
          </w:p>
        </w:tc>
        <w:tc>
          <w:tcPr>
            <w:tcW w:w="1789" w:type="dxa"/>
            <w:vAlign w:val="center"/>
          </w:tcPr>
          <w:p>
            <w:pPr>
              <w:spacing w:line="360" w:lineRule="auto"/>
              <w:jc w:val="center"/>
              <w:rPr>
                <w:rFonts w:hint="eastAsia" w:ascii="宋体" w:hAnsi="宋体" w:eastAsia="宋体" w:cs="宋体"/>
                <w:sz w:val="21"/>
                <w:szCs w:val="21"/>
              </w:rPr>
            </w:pPr>
          </w:p>
        </w:tc>
        <w:tc>
          <w:tcPr>
            <w:tcW w:w="2478" w:type="dxa"/>
            <w:vAlign w:val="center"/>
          </w:tcPr>
          <w:p>
            <w:pPr>
              <w:spacing w:line="360" w:lineRule="auto"/>
              <w:jc w:val="center"/>
              <w:rPr>
                <w:rFonts w:hint="eastAsia" w:ascii="宋体" w:hAnsi="宋体" w:eastAsia="宋体" w:cs="宋体"/>
                <w:sz w:val="21"/>
                <w:szCs w:val="21"/>
              </w:rPr>
            </w:pPr>
          </w:p>
        </w:tc>
        <w:tc>
          <w:tcPr>
            <w:tcW w:w="1275" w:type="dxa"/>
            <w:vAlign w:val="center"/>
          </w:tcPr>
          <w:p>
            <w:pPr>
              <w:spacing w:line="360" w:lineRule="auto"/>
              <w:jc w:val="center"/>
              <w:rPr>
                <w:rFonts w:hint="eastAsia" w:ascii="宋体" w:hAnsi="宋体" w:eastAsia="宋体" w:cs="宋体"/>
                <w:sz w:val="21"/>
                <w:szCs w:val="21"/>
              </w:rPr>
            </w:pPr>
          </w:p>
        </w:tc>
      </w:tr>
    </w:tbl>
    <w:p>
      <w:pPr>
        <w:snapToGrid w:val="0"/>
        <w:spacing w:before="156" w:beforeLines="50"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24小时报案电话：</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       传真：</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7.1.2原则不得随意更换专项服务小组成员、24小时报案电话和传真；如需更换，应书面报经投保人同意后方可更换。</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7.1.3 承保人应确保24小时报案电话和传真畅通，随时接受被保险人的出险报案。</w:t>
      </w:r>
    </w:p>
    <w:p>
      <w:pPr>
        <w:adjustRightInd w:val="0"/>
        <w:snapToGrid w:val="0"/>
        <w:spacing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7.2 理赔服务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7.2.1快速理赔服务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快速受理：</w:t>
      </w:r>
      <w:r>
        <w:rPr>
          <w:rFonts w:hint="eastAsia" w:ascii="宋体" w:hAnsi="宋体" w:eastAsia="宋体" w:cs="宋体"/>
          <w:sz w:val="21"/>
          <w:szCs w:val="21"/>
        </w:rPr>
        <w:t>全国统一服务热线</w:t>
      </w:r>
      <w:r>
        <w:rPr>
          <w:rFonts w:hint="eastAsia" w:ascii="宋体" w:hAnsi="宋体" w:eastAsia="宋体" w:cs="宋体"/>
          <w:sz w:val="21"/>
          <w:szCs w:val="21"/>
          <w:u w:val="single"/>
        </w:rPr>
        <w:t xml:space="preserve">      </w:t>
      </w:r>
      <w:r>
        <w:rPr>
          <w:rFonts w:hint="eastAsia" w:ascii="宋体" w:hAnsi="宋体" w:eastAsia="宋体" w:cs="宋体"/>
          <w:sz w:val="21"/>
          <w:szCs w:val="21"/>
        </w:rPr>
        <w:t>为本项目提供（365天* 24小时）报案服务。</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快速响应</w:t>
      </w:r>
      <w:r>
        <w:rPr>
          <w:rFonts w:hint="eastAsia" w:ascii="宋体" w:hAnsi="宋体" w:eastAsia="宋体" w:cs="宋体"/>
          <w:sz w:val="21"/>
          <w:szCs w:val="21"/>
        </w:rPr>
        <w:t>：查勘员接到委派指令后，</w:t>
      </w:r>
      <w:r>
        <w:rPr>
          <w:rFonts w:hint="eastAsia" w:ascii="宋体" w:hAnsi="宋体" w:eastAsia="宋体" w:cs="宋体"/>
          <w:sz w:val="21"/>
          <w:szCs w:val="21"/>
          <w:u w:val="single"/>
        </w:rPr>
        <w:t xml:space="preserve"> 1 </w:t>
      </w:r>
      <w:r>
        <w:rPr>
          <w:rFonts w:hint="eastAsia" w:ascii="宋体" w:hAnsi="宋体" w:eastAsia="宋体" w:cs="宋体"/>
          <w:sz w:val="21"/>
          <w:szCs w:val="21"/>
        </w:rPr>
        <w:t>分钟内与报案人取得联系，指导投保人处理现场。</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快速查勘</w:t>
      </w:r>
      <w:r>
        <w:rPr>
          <w:rFonts w:hint="eastAsia" w:ascii="宋体" w:hAnsi="宋体" w:eastAsia="宋体" w:cs="宋体"/>
          <w:sz w:val="21"/>
          <w:szCs w:val="21"/>
        </w:rPr>
        <w:t>：查勘员接到委派指令后，在限定时间内赶到事故现场：</w:t>
      </w:r>
      <w:r>
        <w:rPr>
          <w:rFonts w:hint="eastAsia" w:ascii="宋体" w:hAnsi="宋体" w:eastAsia="宋体" w:cs="宋体"/>
          <w:sz w:val="21"/>
          <w:szCs w:val="21"/>
          <w:u w:val="single"/>
        </w:rPr>
        <w:t>长沙市内五区以内 15 分钟，长沙市内五区以外 30 分钟，长沙市以外的60分钟。</w:t>
      </w:r>
    </w:p>
    <w:p>
      <w:pPr>
        <w:autoSpaceDE w:val="0"/>
        <w:autoSpaceDN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bCs/>
          <w:sz w:val="21"/>
          <w:szCs w:val="21"/>
        </w:rPr>
        <w:t>急事急办</w:t>
      </w:r>
      <w:r>
        <w:rPr>
          <w:rFonts w:hint="eastAsia" w:ascii="宋体" w:hAnsi="宋体" w:eastAsia="宋体" w:cs="宋体"/>
          <w:sz w:val="21"/>
          <w:szCs w:val="21"/>
        </w:rPr>
        <w:t>：查勘员遇特殊情况无法按时赶到事故现场，可立即启动应急预案，根据实际情况灵活处理，确保不影响交通疏导，不影响紧急施救、救援，不耽误重要公务。紧急预案24小时服务专线：</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快速赔付：</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5"/>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赔款金额</w:t>
            </w:r>
          </w:p>
        </w:tc>
        <w:tc>
          <w:tcPr>
            <w:tcW w:w="3821" w:type="dxa"/>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结案时效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50000元内</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50000元至100000元内</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100000元以上</w:t>
            </w:r>
          </w:p>
        </w:tc>
        <w:tc>
          <w:tcPr>
            <w:tcW w:w="3821"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赔款金额</w:t>
            </w:r>
          </w:p>
        </w:tc>
        <w:tc>
          <w:tcPr>
            <w:tcW w:w="3821" w:type="dxa"/>
            <w:tcBorders>
              <w:top w:val="single" w:color="auto" w:sz="4" w:space="0"/>
              <w:left w:val="single" w:color="auto" w:sz="4" w:space="0"/>
              <w:bottom w:val="single" w:color="auto" w:sz="4" w:space="0"/>
              <w:right w:val="single" w:color="auto" w:sz="4" w:space="0"/>
            </w:tcBorders>
            <w:shd w:val="clear" w:color="auto" w:fill="F45F2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赔付时效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50000元内</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0时差即时支付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50000元至100000元内</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6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100000元以上</w:t>
            </w:r>
          </w:p>
        </w:tc>
        <w:tc>
          <w:tcPr>
            <w:tcW w:w="3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2个工作日内支付</w:t>
            </w:r>
          </w:p>
        </w:tc>
      </w:tr>
    </w:tbl>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7.2.2理赔特别约定</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7.2.2.1被保险人车辆因事故在4S店维修，承保人应按照4S店报价定损。</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7.2.2.2免现场查勘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（1）经公安机关勘察的保险事故，免现场查勘，被保险人凭公安机关出具的事故证明索赔。</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（2）盗抢险案件免现场查勘，被保险人凭出险地县级以上公安机关出具的全车盗抢案件证明索赔。</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（3）自燃险保险事故，免现场查勘，被保险人凭公安消防部门事故证明索赔，承保人全额赔付。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（4）由于自然灾害（暴雨、暴风、冰雹等）所造成的保险事故，免现场查勘，被保险人凭自拍现场照片、事故说明索赔，承保人全额赔付。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（5）经交警部门处理并出具事故结案书的保险事故，免现场查勘。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6）被保险人车辆发生单方事故，承保人查勘员接到报案电话后在限定时间内不能赶到事故现场的，报案人对事故现场及车辆损毁情况拍照后，可离开出险地点，承保人根据被保险人出示的现场照片及事故说明进行赔偿。</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7.2.3特事特办</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（1）被保险人车辆在执行紧急公务时发生保险事故，无法保留第一现场且无法提供交警事故责任认定书的，承保人应视同正常案件处理，不得拒赔并全额赔付。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2）被保险人车辆的单方保险事故发生在车流高峰时段，车流严重堵塞路段，查勘员及交警无法及时赶到事故现场，免现场查勘，承保人应视同正常案件处理，不得拒赔并全额赔付。双方保险事故及人伤事故，免现场查勘，提交现场自拍照片及交警责任认定书，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（3）被保险人车辆停放在办公区域或执行公务区域发生碰撞，第三者逃逸的，免现场查勘。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（4）所有不涉及第三方损失及人员伤亡的案件，经承保人现场查勘确认不要提供交警事故责任认定书的，承保人应视同正常案件处理，不得拒赔并全额赔付。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7.2.4被保险人车辆倒车镜、车灯、反光镜单独损坏，经核实非人为故意行为，确实属于交通事故的，承保人须正常赔付。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 xml:space="preserve">7.2.5被保险人车辆发生保险事故，一律到投保人定点修理厂维修。配件一律按照原厂件报价。凭被保险人书面委托，赔款可以直接支付给修理厂。 </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7.2.6交通事故伤员住院医疗费垫付服务：被保险人车辆发生交通事故，致使第三者或车上人员遭受伤害，在伤员送往就近医院治疗的情况下，经承保人和交通事故处理部门共同确认，依法应由投保人垫付和承担的住院医疗费，由承保人按有关规定先行支付80%的预付款或提前赔付。</w:t>
      </w:r>
    </w:p>
    <w:p>
      <w:pPr>
        <w:adjustRightInd w:val="0"/>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7.2.7设立车辆“快处快赔”通道：</w:t>
      </w:r>
      <w:r>
        <w:rPr>
          <w:rFonts w:hint="eastAsia" w:ascii="宋体" w:hAnsi="宋体" w:eastAsia="宋体" w:cs="宋体"/>
          <w:sz w:val="21"/>
          <w:szCs w:val="21"/>
          <w:u w:val="single"/>
        </w:rPr>
        <w:t>按照《长沙市城市道路交通事故快处快赔实施办法》及补充规定，对符合快处快赔条件的，单方车损金额在5万元以内的事故，可按照快处快赔程序要求，由快处快赔服务中心进行处理</w:t>
      </w:r>
      <w:r>
        <w:rPr>
          <w:rFonts w:hint="eastAsia" w:ascii="宋体" w:hAnsi="宋体" w:eastAsia="宋体" w:cs="宋体"/>
          <w:sz w:val="21"/>
          <w:szCs w:val="21"/>
        </w:rPr>
        <w:t>。</w:t>
      </w:r>
    </w:p>
    <w:p>
      <w:pPr>
        <w:autoSpaceDE w:val="0"/>
        <w:autoSpaceDN w:val="0"/>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7.3 其他服务</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7.3.1保险培训</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协议有效期内，承保人每年应组织保险培训服务或交流会议、保险宣传活动，以提高投保人相关人员的风险管理和防灾防损技能，有关费用由承保人承担。具体内容、实施方案、举办时间和地点由投保人、承保人双方共同协商确定。</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7.3.2保险咨询</w:t>
      </w:r>
    </w:p>
    <w:p>
      <w:pPr>
        <w:autoSpaceDE w:val="0"/>
        <w:autoSpaceDN w:val="0"/>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本协议有效期内，如投保人有需要，承保人应为投保人的其他项目提供保险咨询服务，且不收取费用。</w:t>
      </w:r>
    </w:p>
    <w:p>
      <w:pPr>
        <w:snapToGrid w:val="0"/>
        <w:spacing w:line="360" w:lineRule="auto"/>
        <w:ind w:firstLine="422" w:firstLineChars="200"/>
        <w:rPr>
          <w:rFonts w:hint="eastAsia" w:ascii="宋体" w:hAnsi="宋体" w:eastAsia="宋体" w:cs="宋体"/>
          <w:b/>
          <w:position w:val="6"/>
          <w:sz w:val="21"/>
          <w:szCs w:val="21"/>
        </w:rPr>
      </w:pPr>
      <w:r>
        <w:rPr>
          <w:rFonts w:hint="eastAsia" w:ascii="宋体" w:hAnsi="宋体" w:eastAsia="宋体" w:cs="宋体"/>
          <w:b/>
          <w:position w:val="6"/>
          <w:sz w:val="21"/>
          <w:szCs w:val="21"/>
        </w:rPr>
        <w:t>8、履约担保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8.1本项目</w:t>
      </w:r>
      <w:r>
        <w:rPr>
          <w:rFonts w:hint="eastAsia" w:ascii="宋体" w:hAnsi="宋体" w:eastAsia="宋体" w:cs="宋体"/>
          <w:sz w:val="21"/>
          <w:szCs w:val="21"/>
        </w:rPr>
        <w:sym w:font="Wingdings 2" w:char="0052"/>
      </w:r>
      <w:r>
        <w:rPr>
          <w:rFonts w:hint="eastAsia" w:ascii="宋体" w:hAnsi="宋体" w:eastAsia="宋体" w:cs="宋体"/>
          <w:sz w:val="21"/>
          <w:szCs w:val="21"/>
          <w:u w:val="single"/>
        </w:rPr>
        <w:t>需要</w:t>
      </w:r>
      <w:r>
        <w:rPr>
          <w:rFonts w:hint="eastAsia" w:ascii="宋体" w:hAnsi="宋体" w:eastAsia="宋体" w:cs="宋体"/>
          <w:sz w:val="21"/>
          <w:szCs w:val="21"/>
        </w:rPr>
        <w:t>□</w:t>
      </w:r>
      <w:r>
        <w:rPr>
          <w:rFonts w:hint="eastAsia" w:ascii="宋体" w:hAnsi="宋体" w:eastAsia="宋体" w:cs="宋体"/>
          <w:sz w:val="21"/>
          <w:szCs w:val="21"/>
          <w:u w:val="single"/>
        </w:rPr>
        <w:t>不需要</w:t>
      </w:r>
      <w:r>
        <w:rPr>
          <w:rFonts w:hint="eastAsia" w:ascii="宋体" w:hAnsi="宋体" w:eastAsia="宋体" w:cs="宋体"/>
          <w:sz w:val="21"/>
          <w:szCs w:val="21"/>
        </w:rPr>
        <w:t>提交履约担保。</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w:t>
      </w:r>
      <w:r>
        <w:rPr>
          <w:rFonts w:hint="eastAsia" w:ascii="宋体" w:hAnsi="宋体" w:eastAsia="宋体" w:cs="宋体"/>
          <w:kern w:val="0"/>
          <w:sz w:val="21"/>
          <w:szCs w:val="21"/>
        </w:rPr>
        <w:t>履约担保用于补偿投保人因承保人不能完成其合同义务而蒙受的损失，是办理投标担保（如有）退还手续及合同价款支付手续的必要条件之一。</w:t>
      </w:r>
    </w:p>
    <w:p>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8.3承保人提供履约担保的形式、金额及期限采用以下两种方式之一：</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rPr>
        <w:t>（1）采用银行履约保函形式，银行履约保函的担保额度为42700.00元。担保期限为自保函生效之日起至合同约定的保险期满之日止。银行履约保函应为在中国境内注册和营业的银行出具的、以投保人为受益人首次申请即作为无条件付款的保函，银行履约保函格式具体详见合同附录。</w:t>
      </w:r>
    </w:p>
    <w:p>
      <w:pPr>
        <w:tabs>
          <w:tab w:val="left" w:pos="1248"/>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（2）采用现金形式，现金担保额度为42700.00元。担保期限为自保函生效之日起至合同约定的保险期满之日止。履约担保以现金形式提交的，承保人应从其基本账户通过转帐或电汇至投保人指定的账户。</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8.4如需提供履约担保，则承保人应确保提供的银行履约保函持续有效，在银行履约保函到期前1个月内办理好续保手续，并向</w:t>
      </w:r>
      <w:r>
        <w:rPr>
          <w:rFonts w:hint="eastAsia" w:ascii="宋体" w:hAnsi="宋体" w:eastAsia="宋体" w:cs="宋体"/>
          <w:kern w:val="0"/>
          <w:sz w:val="21"/>
          <w:szCs w:val="21"/>
        </w:rPr>
        <w:t>投保人</w:t>
      </w:r>
      <w:r>
        <w:rPr>
          <w:rFonts w:hint="eastAsia" w:ascii="宋体" w:hAnsi="宋体" w:eastAsia="宋体" w:cs="宋体"/>
          <w:sz w:val="21"/>
          <w:szCs w:val="21"/>
        </w:rPr>
        <w:t>提供新的有效的银行履约保函。</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8.5在承保人完成其合同义务包括任何保证义务后，投保人将把履约担保无息退还承保人。</w:t>
      </w:r>
    </w:p>
    <w:p>
      <w:pPr>
        <w:snapToGrid w:val="0"/>
        <w:spacing w:line="360" w:lineRule="auto"/>
        <w:ind w:firstLine="422" w:firstLineChars="200"/>
        <w:rPr>
          <w:rFonts w:hint="eastAsia" w:ascii="宋体" w:hAnsi="宋体" w:eastAsia="宋体" w:cs="宋体"/>
          <w:b/>
          <w:position w:val="6"/>
          <w:sz w:val="21"/>
          <w:szCs w:val="21"/>
        </w:rPr>
      </w:pPr>
      <w:r>
        <w:rPr>
          <w:rFonts w:hint="eastAsia" w:ascii="宋体" w:hAnsi="宋体" w:eastAsia="宋体" w:cs="宋体"/>
          <w:b/>
          <w:position w:val="6"/>
          <w:sz w:val="21"/>
          <w:szCs w:val="21"/>
        </w:rPr>
        <w:t>9、违约责任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9.1为了维护本协议以及保险单的严肃性，投保人、承保人和被保险人各方应按保险单以及本协议内规定条款履行各自的义务，并承担相对应的责任。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9.2发生险情，承保人接被保险人报案后未按本合同约定受理，且无任何回复意见的，投保人有权要求承保人交纳3000元/次的违约金。如因承保人出险时间给投保人、被保险人造成损失的，承保人除理赔外还需承担相关责任。</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9.3因承保人原因，致使被保险人不能按照本协议规定的时间获得赔偿金，承保人应支付违约金。违约金=应付赔款金额×实际违约天数×中国人民银行同期贷款基准利率。</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9.4如需提供履约担保，而承保人未能在银行履约保函到期前1个月</w:t>
      </w:r>
      <w:r>
        <w:rPr>
          <w:rFonts w:hint="eastAsia" w:ascii="宋体" w:hAnsi="宋体" w:eastAsia="宋体" w:cs="宋体"/>
          <w:bCs/>
          <w:position w:val="6"/>
          <w:sz w:val="21"/>
          <w:szCs w:val="21"/>
        </w:rPr>
        <w:t>内</w:t>
      </w:r>
      <w:r>
        <w:rPr>
          <w:rFonts w:hint="eastAsia" w:ascii="宋体" w:hAnsi="宋体" w:eastAsia="宋体" w:cs="宋体"/>
          <w:position w:val="6"/>
          <w:sz w:val="21"/>
          <w:szCs w:val="21"/>
        </w:rPr>
        <w:t>办理好续保手续并提供新的有效银行履约保函，每延迟一天，投保人有权要求承保人交纳500元/天的违约金；新的有效银行履约保函延迟提交超过15天，投保人有权暂停合同价款支付。</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9.5违约金的支付方式：承保人以现金或转账方式交纳。投保人开具收款收据，承保人不得因此冲减增值税专用发票金额。</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9.6承保人在接到投保人的违约通知后，应按通知要求交纳违约金；否则，投保人有权暂停合同价款支付或从承保人的合同价款中扣除相应的违约金。</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position w:val="6"/>
          <w:sz w:val="21"/>
          <w:szCs w:val="21"/>
        </w:rPr>
        <w:t>9.7若因承保人提供的发票导致投保人被税务部门追究相关法律责任的，承保人应承担由此给投保人造成的损失（包括但不限于未抵扣的税费、滞纳金）。</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9.8违约金总额超过合同签约合同价的20%，投保人有权解除合同。</w:t>
      </w:r>
    </w:p>
    <w:p>
      <w:pPr>
        <w:pStyle w:val="41"/>
        <w:snapToGrid w:val="0"/>
        <w:spacing w:before="0" w:beforeAutospacing="0" w:after="0" w:afterAutospacing="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10.合同解除</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10.1任何一方提出解除合同的，应提前30天书面通知对方，违约方应赔偿由此给守约方造成的直接损失和间接损失。因不可抗力导致的合同解除，双方各自承担自身的损失。                                         </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10.2因承保人原因导致的合同解除，按照违约责任处理，投保人有权解除部分或全部合同。解除部分合同的，投保人有权另行采购因部分解除合同而承保人未履行部分，承保人应承担投保人由此产生的费用并继续履行合同中未解除的部分。</w:t>
      </w:r>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10.3合同解除后，本合同约定的有关结算、争议解决方式的条款仍然有效。</w:t>
      </w:r>
    </w:p>
    <w:p>
      <w:pPr>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11.法律适用</w:t>
      </w:r>
    </w:p>
    <w:p>
      <w:pPr>
        <w:snapToGrid w:val="0"/>
        <w:spacing w:line="360" w:lineRule="auto"/>
        <w:rPr>
          <w:rFonts w:hint="eastAsia" w:ascii="宋体" w:hAnsi="宋体" w:eastAsia="宋体" w:cs="宋体"/>
          <w:position w:val="6"/>
          <w:sz w:val="21"/>
          <w:szCs w:val="21"/>
        </w:rPr>
      </w:pPr>
      <w:r>
        <w:rPr>
          <w:rFonts w:hint="eastAsia" w:ascii="宋体" w:hAnsi="宋体" w:eastAsia="宋体" w:cs="宋体"/>
          <w:position w:val="6"/>
          <w:sz w:val="21"/>
          <w:szCs w:val="21"/>
        </w:rPr>
        <w:t xml:space="preserve">    本合同适用中华人民共和国现行法律、行政法规和规章，如合同条款与法律、行政法规和规章不一致的，按照法律、行政法规和规章修改本合同。 </w:t>
      </w:r>
    </w:p>
    <w:p>
      <w:pPr>
        <w:snapToGrid w:val="0"/>
        <w:spacing w:line="360" w:lineRule="auto"/>
        <w:ind w:firstLine="422" w:firstLineChars="200"/>
        <w:rPr>
          <w:rFonts w:hint="eastAsia" w:ascii="宋体" w:hAnsi="宋体" w:eastAsia="宋体" w:cs="宋体"/>
          <w:b/>
          <w:bCs/>
          <w:position w:val="6"/>
          <w:sz w:val="21"/>
          <w:szCs w:val="21"/>
        </w:rPr>
      </w:pPr>
      <w:r>
        <w:rPr>
          <w:rFonts w:hint="eastAsia" w:ascii="宋体" w:hAnsi="宋体" w:eastAsia="宋体" w:cs="宋体"/>
          <w:b/>
          <w:bCs/>
          <w:position w:val="6"/>
          <w:sz w:val="21"/>
          <w:szCs w:val="21"/>
        </w:rPr>
        <w:t>12.通知</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12.1本合同一方给另一方的通知均应采用书面形式，传真或快递送到本合同中规定的对方的地址和办理签收手续。</w:t>
      </w:r>
    </w:p>
    <w:p>
      <w:pPr>
        <w:snapToGrid w:val="0"/>
        <w:spacing w:line="360" w:lineRule="auto"/>
        <w:rPr>
          <w:rFonts w:hint="eastAsia" w:ascii="宋体" w:hAnsi="宋体" w:eastAsia="宋体" w:cs="宋体"/>
          <w:position w:val="6"/>
          <w:sz w:val="21"/>
          <w:szCs w:val="21"/>
        </w:rPr>
      </w:pPr>
      <w:r>
        <w:rPr>
          <w:rFonts w:hint="eastAsia" w:ascii="宋体" w:hAnsi="宋体" w:eastAsia="宋体" w:cs="宋体"/>
          <w:b/>
          <w:bCs/>
          <w:position w:val="6"/>
          <w:sz w:val="21"/>
          <w:szCs w:val="21"/>
        </w:rPr>
        <w:t xml:space="preserve"> </w:t>
      </w:r>
      <w:r>
        <w:rPr>
          <w:rFonts w:hint="eastAsia" w:ascii="宋体" w:hAnsi="宋体" w:eastAsia="宋体" w:cs="宋体"/>
          <w:position w:val="6"/>
          <w:sz w:val="21"/>
          <w:szCs w:val="21"/>
        </w:rPr>
        <w:t xml:space="preserve">   12.2通知以送到之日或通知书中规定的生效之日起生效，两者中以较迟之日为准。</w:t>
      </w:r>
      <w:bookmarkStart w:id="40" w:name="_Toc461094753"/>
    </w:p>
    <w:p>
      <w:pPr>
        <w:snapToGrid w:val="0"/>
        <w:spacing w:line="360" w:lineRule="auto"/>
        <w:ind w:firstLine="422" w:firstLineChars="200"/>
        <w:rPr>
          <w:rFonts w:hint="eastAsia" w:ascii="宋体" w:hAnsi="宋体" w:eastAsia="宋体" w:cs="宋体"/>
          <w:position w:val="6"/>
          <w:sz w:val="21"/>
          <w:szCs w:val="21"/>
        </w:rPr>
      </w:pPr>
      <w:r>
        <w:rPr>
          <w:rFonts w:hint="eastAsia" w:ascii="宋体" w:hAnsi="宋体" w:eastAsia="宋体" w:cs="宋体"/>
          <w:b/>
          <w:bCs/>
          <w:position w:val="6"/>
          <w:sz w:val="21"/>
          <w:szCs w:val="21"/>
        </w:rPr>
        <w:t>13.其他</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13.1保密约定</w:t>
      </w:r>
      <w:bookmarkEnd w:id="40"/>
    </w:p>
    <w:p>
      <w:pPr>
        <w:pStyle w:val="41"/>
        <w:snapToGrid w:val="0"/>
        <w:spacing w:before="0" w:beforeAutospacing="0" w:after="0" w:afterAutospacing="0" w:line="360" w:lineRule="auto"/>
        <w:ind w:firstLine="420" w:firstLineChars="200"/>
        <w:rPr>
          <w:rFonts w:hint="eastAsia" w:ascii="宋体" w:hAnsi="宋体" w:eastAsia="宋体" w:cs="宋体"/>
          <w:sz w:val="21"/>
          <w:szCs w:val="21"/>
        </w:rPr>
      </w:pPr>
      <w:bookmarkStart w:id="41" w:name="_Toc461094754"/>
      <w:r>
        <w:rPr>
          <w:rFonts w:hint="eastAsia" w:ascii="宋体" w:hAnsi="宋体" w:eastAsia="宋体" w:cs="宋体"/>
          <w:sz w:val="21"/>
          <w:szCs w:val="21"/>
        </w:rPr>
        <w:t xml:space="preserve">除法律法规规定或合同另有约定外，未经投保人同意，承保人不得将投保人提供的信息及资料（包括但不限于各方的往来书面文字文件、电子邮件及信息、软盘资料等）泄露给第三方。 </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13.2争议</w:t>
      </w:r>
      <w:bookmarkEnd w:id="41"/>
      <w:r>
        <w:rPr>
          <w:rFonts w:hint="eastAsia" w:ascii="宋体" w:hAnsi="宋体" w:eastAsia="宋体" w:cs="宋体"/>
          <w:position w:val="6"/>
          <w:sz w:val="21"/>
          <w:szCs w:val="21"/>
        </w:rPr>
        <w:t>解决</w:t>
      </w:r>
    </w:p>
    <w:p>
      <w:pPr>
        <w:adjustRightInd w:val="0"/>
        <w:snapToGrid w:val="0"/>
        <w:spacing w:line="360" w:lineRule="auto"/>
        <w:ind w:firstLine="420" w:firstLineChars="200"/>
        <w:jc w:val="left"/>
        <w:rPr>
          <w:rFonts w:hint="eastAsia" w:ascii="宋体" w:hAnsi="宋体" w:eastAsia="宋体" w:cs="宋体"/>
          <w:kern w:val="0"/>
          <w:sz w:val="21"/>
          <w:szCs w:val="21"/>
        </w:rPr>
      </w:pPr>
      <w:bookmarkStart w:id="42" w:name="_Toc461094755"/>
      <w:r>
        <w:rPr>
          <w:rFonts w:hint="eastAsia" w:ascii="宋体" w:hAnsi="宋体" w:eastAsia="宋体" w:cs="宋体"/>
          <w:kern w:val="0"/>
          <w:sz w:val="21"/>
          <w:szCs w:val="21"/>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kern w:val="0"/>
          <w:sz w:val="21"/>
          <w:szCs w:val="21"/>
          <w:u w:val="single"/>
        </w:rPr>
        <w:t>第（2）种</w:t>
      </w:r>
      <w:r>
        <w:rPr>
          <w:rFonts w:hint="eastAsia" w:ascii="宋体" w:hAnsi="宋体" w:eastAsia="宋体" w:cs="宋体"/>
          <w:kern w:val="0"/>
          <w:sz w:val="21"/>
          <w:szCs w:val="21"/>
        </w:rPr>
        <w:t>方式解决：</w:t>
      </w:r>
    </w:p>
    <w:p>
      <w:pPr>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（1）向</w:t>
      </w:r>
      <w:r>
        <w:rPr>
          <w:rFonts w:hint="eastAsia" w:ascii="宋体" w:hAnsi="宋体" w:eastAsia="宋体" w:cs="宋体"/>
          <w:kern w:val="0"/>
          <w:sz w:val="21"/>
          <w:szCs w:val="21"/>
          <w:u w:val="single"/>
        </w:rPr>
        <w:t>长沙</w:t>
      </w:r>
      <w:r>
        <w:rPr>
          <w:rFonts w:hint="eastAsia" w:ascii="宋体" w:hAnsi="宋体" w:eastAsia="宋体" w:cs="宋体"/>
          <w:kern w:val="0"/>
          <w:sz w:val="21"/>
          <w:szCs w:val="21"/>
        </w:rPr>
        <w:t>仲裁委员会提请仲裁；</w:t>
      </w:r>
    </w:p>
    <w:p>
      <w:pPr>
        <w:tabs>
          <w:tab w:val="left" w:pos="1260"/>
        </w:tabs>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（2）向</w:t>
      </w:r>
      <w:r>
        <w:rPr>
          <w:rFonts w:hint="eastAsia" w:ascii="宋体" w:hAnsi="宋体" w:eastAsia="宋体" w:cs="宋体"/>
          <w:kern w:val="0"/>
          <w:sz w:val="21"/>
          <w:szCs w:val="21"/>
          <w:u w:val="single"/>
        </w:rPr>
        <w:t>投保人所在地</w:t>
      </w:r>
      <w:r>
        <w:rPr>
          <w:rFonts w:hint="eastAsia" w:ascii="宋体" w:hAnsi="宋体" w:eastAsia="宋体" w:cs="宋体"/>
          <w:kern w:val="0"/>
          <w:sz w:val="21"/>
          <w:szCs w:val="21"/>
        </w:rPr>
        <w:t>人民法院提起诉讼。</w:t>
      </w:r>
    </w:p>
    <w:p>
      <w:pPr>
        <w:snapToGrid w:val="0"/>
        <w:spacing w:line="360" w:lineRule="auto"/>
        <w:ind w:firstLine="411" w:firstLineChars="196"/>
        <w:outlineLvl w:val="1"/>
        <w:rPr>
          <w:rFonts w:hint="eastAsia" w:ascii="宋体" w:hAnsi="宋体" w:eastAsia="宋体" w:cs="宋体"/>
          <w:position w:val="6"/>
          <w:sz w:val="21"/>
          <w:szCs w:val="21"/>
        </w:rPr>
      </w:pPr>
      <w:bookmarkStart w:id="43" w:name="_Toc17590"/>
      <w:bookmarkStart w:id="44" w:name="_Toc22099"/>
      <w:r>
        <w:rPr>
          <w:rFonts w:hint="eastAsia" w:ascii="宋体" w:hAnsi="宋体" w:eastAsia="宋体" w:cs="宋体"/>
          <w:position w:val="6"/>
          <w:sz w:val="21"/>
          <w:szCs w:val="21"/>
        </w:rPr>
        <w:t>13.3合同生效及终止</w:t>
      </w:r>
      <w:bookmarkEnd w:id="43"/>
      <w:bookmarkEnd w:id="44"/>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本合同自</w:t>
      </w:r>
      <w:r>
        <w:rPr>
          <w:rFonts w:hint="eastAsia" w:ascii="宋体" w:hAnsi="宋体" w:eastAsia="宋体" w:cs="宋体"/>
          <w:position w:val="6"/>
          <w:sz w:val="21"/>
          <w:szCs w:val="21"/>
          <w:u w:val="single"/>
        </w:rPr>
        <w:t>双方法定代表人或授权代表签字并加盖合同专用章后</w:t>
      </w:r>
      <w:r>
        <w:rPr>
          <w:rFonts w:hint="eastAsia" w:ascii="宋体" w:hAnsi="宋体" w:eastAsia="宋体" w:cs="宋体"/>
          <w:position w:val="6"/>
          <w:sz w:val="21"/>
          <w:szCs w:val="21"/>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11" w:firstLineChars="196"/>
        <w:outlineLvl w:val="1"/>
        <w:rPr>
          <w:rFonts w:hint="eastAsia" w:ascii="宋体" w:hAnsi="宋体" w:eastAsia="宋体" w:cs="宋体"/>
          <w:position w:val="6"/>
          <w:sz w:val="21"/>
          <w:szCs w:val="21"/>
        </w:rPr>
      </w:pPr>
      <w:bookmarkStart w:id="45" w:name="_Toc1598"/>
      <w:bookmarkStart w:id="46" w:name="_Toc7362"/>
      <w:r>
        <w:rPr>
          <w:rFonts w:hint="eastAsia" w:ascii="宋体" w:hAnsi="宋体" w:eastAsia="宋体" w:cs="宋体"/>
          <w:position w:val="6"/>
          <w:sz w:val="21"/>
          <w:szCs w:val="21"/>
        </w:rPr>
        <w:t>13.4修改和补充</w:t>
      </w:r>
      <w:bookmarkEnd w:id="42"/>
      <w:bookmarkEnd w:id="45"/>
      <w:bookmarkEnd w:id="46"/>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在本协议执行期内，如需对本协议进行修改和补充，应由投保人（代表被保险人）、承保人双方协商一致后，签订补充协议。</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13.5签订时间</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本合同于</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年</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月</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rPr>
        <w:t>日签订。</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13.6签订地点</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本合同在</w:t>
      </w:r>
      <w:r>
        <w:rPr>
          <w:rFonts w:hint="eastAsia" w:ascii="宋体" w:hAnsi="宋体" w:eastAsia="宋体" w:cs="宋体"/>
          <w:position w:val="6"/>
          <w:sz w:val="21"/>
          <w:szCs w:val="21"/>
          <w:u w:val="single"/>
        </w:rPr>
        <w:t>湖南省长沙市雨花区</w:t>
      </w:r>
      <w:r>
        <w:rPr>
          <w:rFonts w:hint="eastAsia" w:ascii="宋体" w:hAnsi="宋体" w:eastAsia="宋体" w:cs="宋体"/>
          <w:position w:val="6"/>
          <w:sz w:val="21"/>
          <w:szCs w:val="21"/>
        </w:rPr>
        <w:t>签订</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13.7双方约定的其他事项（本条约定与合同条款中其他约定不一致时，以本条为准）：</w:t>
      </w:r>
      <w:r>
        <w:rPr>
          <w:rFonts w:hint="eastAsia" w:ascii="宋体" w:hAnsi="宋体" w:eastAsia="宋体" w:cs="宋体"/>
          <w:position w:val="6"/>
          <w:sz w:val="21"/>
          <w:szCs w:val="21"/>
          <w:u w:val="single"/>
        </w:rPr>
        <w:t xml:space="preserve">                </w:t>
      </w:r>
      <w:bookmarkStart w:id="47" w:name="_Toc461094758"/>
      <w:r>
        <w:rPr>
          <w:rFonts w:hint="eastAsia" w:ascii="宋体" w:hAnsi="宋体" w:eastAsia="宋体" w:cs="宋体"/>
          <w:position w:val="6"/>
          <w:sz w:val="21"/>
          <w:szCs w:val="21"/>
        </w:rPr>
        <w:t>。</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13.</w:t>
      </w:r>
      <w:bookmarkEnd w:id="47"/>
      <w:r>
        <w:rPr>
          <w:rFonts w:hint="eastAsia" w:ascii="宋体" w:hAnsi="宋体" w:eastAsia="宋体" w:cs="宋体"/>
          <w:position w:val="6"/>
          <w:sz w:val="21"/>
          <w:szCs w:val="21"/>
        </w:rPr>
        <w:t>8合同份数</w:t>
      </w: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本合同一式十二份（其中正本二份、副本十份），投保人执八份（一正七副）、承保人执四份（一正三副）。合同正本和副本具有同等效力，当合同副本与正本之间存有差异时，以合同正本为准。</w:t>
      </w:r>
      <w:bookmarkStart w:id="48" w:name="_Toc2298"/>
    </w:p>
    <w:p>
      <w:pPr>
        <w:snapToGrid w:val="0"/>
        <w:spacing w:line="360" w:lineRule="auto"/>
        <w:ind w:firstLine="420" w:firstLineChars="200"/>
        <w:rPr>
          <w:rFonts w:hint="eastAsia" w:ascii="宋体" w:hAnsi="宋体" w:eastAsia="宋体" w:cs="宋体"/>
          <w:position w:val="6"/>
          <w:sz w:val="21"/>
          <w:szCs w:val="21"/>
        </w:rPr>
        <w:sectPr>
          <w:footerReference r:id="rId9" w:type="default"/>
          <w:pgSz w:w="11906" w:h="16838"/>
          <w:pgMar w:top="1440" w:right="1800" w:bottom="1440" w:left="1800" w:header="851" w:footer="992" w:gutter="0"/>
          <w:pgNumType w:start="1"/>
          <w:cols w:space="720" w:num="1"/>
          <w:docGrid w:type="lines" w:linePitch="312" w:charSpace="0"/>
        </w:sectPr>
      </w:pPr>
    </w:p>
    <w:p>
      <w:pPr>
        <w:snapToGrid w:val="0"/>
        <w:spacing w:line="360" w:lineRule="auto"/>
        <w:ind w:firstLine="420" w:firstLineChars="200"/>
        <w:rPr>
          <w:rFonts w:hint="eastAsia" w:ascii="宋体" w:hAnsi="宋体" w:eastAsia="宋体" w:cs="宋体"/>
          <w:position w:val="6"/>
          <w:sz w:val="21"/>
          <w:szCs w:val="21"/>
        </w:rPr>
      </w:pPr>
      <w:r>
        <w:rPr>
          <w:rFonts w:hint="eastAsia" w:ascii="宋体" w:hAnsi="宋体" w:eastAsia="宋体" w:cs="宋体"/>
          <w:position w:val="6"/>
          <w:sz w:val="21"/>
          <w:szCs w:val="21"/>
        </w:rPr>
        <w:t>（本页无正文）</w:t>
      </w:r>
    </w:p>
    <w:p>
      <w:pPr>
        <w:snapToGrid w:val="0"/>
        <w:spacing w:line="360" w:lineRule="auto"/>
        <w:ind w:firstLine="420" w:firstLineChars="200"/>
        <w:rPr>
          <w:rFonts w:hint="eastAsia" w:ascii="宋体" w:hAnsi="宋体" w:eastAsia="宋体" w:cs="宋体"/>
          <w:position w:val="6"/>
          <w:sz w:val="21"/>
          <w:szCs w:val="21"/>
        </w:rPr>
      </w:pPr>
    </w:p>
    <w:tbl>
      <w:tblPr>
        <w:tblStyle w:val="46"/>
        <w:tblpPr w:leftFromText="180" w:rightFromText="180" w:vertAnchor="text" w:horzAnchor="page" w:tblpX="1532" w:tblpY="416"/>
        <w:tblOverlap w:val="never"/>
        <w:tblW w:w="0" w:type="auto"/>
        <w:tblInd w:w="0" w:type="dxa"/>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投保人（代表被保险人）：(盖章)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承保人：（盖章）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1524"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p>
            <w:pPr>
              <w:pStyle w:val="25"/>
              <w:snapToGrid w:val="0"/>
              <w:spacing w:line="360" w:lineRule="auto"/>
              <w:ind w:left="19" w:leftChars="9"/>
              <w:rPr>
                <w:rFonts w:hint="eastAsia" w:ascii="宋体" w:hAnsi="宋体" w:eastAsia="宋体" w:cs="宋体"/>
                <w:sz w:val="21"/>
                <w:szCs w:val="21"/>
              </w:rPr>
            </w:pP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c>
          <w:tcPr>
            <w:tcW w:w="4252"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地址：</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邮编：</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邮编：</w:t>
            </w:r>
          </w:p>
        </w:tc>
      </w:tr>
      <w:tr>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电话：</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电话：</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传真：</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传真：</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777" w:hRule="atLeast"/>
        </w:trPr>
        <w:tc>
          <w:tcPr>
            <w:tcW w:w="4467" w:type="dxa"/>
            <w:tcBorders>
              <w:top w:val="nil"/>
              <w:left w:val="nil"/>
              <w:bottom w:val="nil"/>
              <w:right w:val="nil"/>
            </w:tcBorders>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账号：</w:t>
            </w:r>
          </w:p>
          <w:p>
            <w:pPr>
              <w:pStyle w:val="25"/>
              <w:snapToGrid w:val="0"/>
              <w:spacing w:line="360" w:lineRule="auto"/>
              <w:ind w:left="19" w:leftChars="9"/>
              <w:rPr>
                <w:rFonts w:hint="eastAsia" w:ascii="宋体" w:hAnsi="宋体" w:eastAsia="宋体" w:cs="宋体"/>
                <w:sz w:val="21"/>
                <w:szCs w:val="21"/>
              </w:rPr>
            </w:pPr>
          </w:p>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时间：</w:t>
            </w:r>
          </w:p>
        </w:tc>
        <w:tc>
          <w:tcPr>
            <w:tcW w:w="4252" w:type="dxa"/>
            <w:tcBorders>
              <w:top w:val="nil"/>
              <w:left w:val="nil"/>
              <w:bottom w:val="nil"/>
              <w:right w:val="nil"/>
            </w:tcBorders>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账号：</w:t>
            </w:r>
          </w:p>
          <w:p>
            <w:pPr>
              <w:pStyle w:val="25"/>
              <w:snapToGrid w:val="0"/>
              <w:spacing w:line="360" w:lineRule="auto"/>
              <w:ind w:left="34" w:leftChars="16"/>
              <w:rPr>
                <w:rFonts w:hint="eastAsia" w:ascii="宋体" w:hAnsi="宋体" w:eastAsia="宋体" w:cs="宋体"/>
                <w:sz w:val="21"/>
                <w:szCs w:val="21"/>
              </w:rPr>
            </w:pPr>
          </w:p>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时间：</w:t>
            </w:r>
          </w:p>
        </w:tc>
      </w:tr>
    </w:tbl>
    <w:p>
      <w:pPr>
        <w:snapToGrid w:val="0"/>
        <w:spacing w:line="360" w:lineRule="auto"/>
        <w:ind w:firstLine="480" w:firstLineChars="200"/>
        <w:rPr>
          <w:rFonts w:ascii="宋体" w:hAnsi="宋体" w:cs="宋体"/>
          <w:position w:val="6"/>
          <w:sz w:val="24"/>
        </w:rPr>
      </w:pPr>
    </w:p>
    <w:bookmarkEnd w:id="48"/>
    <w:p>
      <w:pPr>
        <w:pStyle w:val="3"/>
        <w:spacing w:line="360" w:lineRule="auto"/>
        <w:rPr>
          <w:rFonts w:ascii="宋体" w:hAnsi="宋体" w:eastAsia="宋体" w:cs="宋体"/>
          <w:kern w:val="2"/>
          <w:sz w:val="32"/>
          <w:szCs w:val="32"/>
        </w:rPr>
        <w:sectPr>
          <w:pgSz w:w="11906" w:h="16838"/>
          <w:pgMar w:top="1440" w:right="1800" w:bottom="1440" w:left="1800" w:header="851" w:footer="992" w:gutter="0"/>
          <w:cols w:space="720" w:num="1"/>
          <w:docGrid w:type="lines" w:linePitch="312" w:charSpace="0"/>
        </w:sectPr>
      </w:pPr>
    </w:p>
    <w:p>
      <w:pPr>
        <w:pStyle w:val="3"/>
        <w:spacing w:line="360" w:lineRule="auto"/>
        <w:rPr>
          <w:rFonts w:ascii="宋体" w:hAnsi="宋体" w:eastAsia="宋体" w:cs="宋体"/>
          <w:kern w:val="2"/>
          <w:sz w:val="32"/>
          <w:szCs w:val="32"/>
        </w:rPr>
      </w:pPr>
      <w:bookmarkStart w:id="49" w:name="_Toc1130"/>
      <w:bookmarkStart w:id="50" w:name="_Toc14139"/>
      <w:bookmarkStart w:id="51" w:name="_Toc8284"/>
      <w:r>
        <w:rPr>
          <w:rFonts w:hint="eastAsia" w:ascii="宋体" w:hAnsi="宋体" w:eastAsia="宋体" w:cs="宋体"/>
          <w:kern w:val="2"/>
          <w:sz w:val="32"/>
          <w:szCs w:val="32"/>
        </w:rPr>
        <w:t>第二部分 机动车辆保险需求</w:t>
      </w:r>
      <w:bookmarkEnd w:id="49"/>
      <w:bookmarkEnd w:id="50"/>
      <w:bookmarkEnd w:id="51"/>
    </w:p>
    <w:p>
      <w:pPr>
        <w:pStyle w:val="3"/>
        <w:spacing w:line="360" w:lineRule="auto"/>
        <w:rPr>
          <w:rFonts w:ascii="宋体" w:hAnsi="宋体" w:eastAsia="宋体" w:cs="宋体"/>
          <w:kern w:val="2"/>
          <w:sz w:val="32"/>
          <w:szCs w:val="32"/>
        </w:rPr>
      </w:pPr>
      <w:r>
        <w:rPr>
          <w:rFonts w:hint="eastAsia" w:ascii="宋体" w:hAnsi="宋体" w:eastAsia="宋体" w:cs="宋体"/>
          <w:b w:val="0"/>
          <w:position w:val="6"/>
          <w:sz w:val="28"/>
          <w:szCs w:val="28"/>
        </w:rPr>
        <w:br w:type="page"/>
      </w:r>
      <w:bookmarkStart w:id="52" w:name="_Toc26384"/>
      <w:bookmarkStart w:id="53" w:name="_Toc22220"/>
      <w:bookmarkStart w:id="54" w:name="_Toc4591"/>
      <w:r>
        <w:rPr>
          <w:rFonts w:hint="eastAsia" w:ascii="宋体" w:hAnsi="宋体" w:eastAsia="宋体" w:cs="宋体"/>
          <w:kern w:val="2"/>
          <w:sz w:val="32"/>
          <w:szCs w:val="32"/>
        </w:rPr>
        <w:t>第三部分  合同附件</w:t>
      </w:r>
      <w:bookmarkEnd w:id="52"/>
      <w:bookmarkEnd w:id="53"/>
      <w:bookmarkEnd w:id="54"/>
    </w:p>
    <w:p>
      <w:pPr>
        <w:adjustRightInd w:val="0"/>
        <w:snapToGrid w:val="0"/>
        <w:outlineLvl w:val="1"/>
        <w:rPr>
          <w:rFonts w:hint="eastAsia" w:ascii="宋体" w:hAnsi="宋体" w:eastAsia="宋体" w:cs="宋体"/>
          <w:b/>
          <w:sz w:val="21"/>
          <w:szCs w:val="21"/>
        </w:rPr>
      </w:pPr>
      <w:bookmarkStart w:id="55" w:name="_Toc31079"/>
      <w:bookmarkStart w:id="56" w:name="_Toc26923"/>
      <w:r>
        <w:rPr>
          <w:rFonts w:hint="eastAsia" w:ascii="宋体" w:hAnsi="宋体" w:eastAsia="宋体" w:cs="宋体"/>
          <w:b/>
          <w:bCs/>
          <w:sz w:val="21"/>
          <w:szCs w:val="21"/>
        </w:rPr>
        <w:t>附件1 廉政协议</w:t>
      </w:r>
      <w:bookmarkEnd w:id="55"/>
      <w:bookmarkEnd w:id="56"/>
    </w:p>
    <w:p>
      <w:pPr>
        <w:adjustRightInd w:val="0"/>
        <w:snapToGrid w:val="0"/>
        <w:jc w:val="center"/>
        <w:rPr>
          <w:rFonts w:hint="eastAsia" w:ascii="宋体" w:hAnsi="宋体" w:eastAsia="宋体" w:cs="宋体"/>
          <w:kern w:val="0"/>
          <w:sz w:val="21"/>
          <w:szCs w:val="21"/>
          <w:lang w:bidi="en-US"/>
        </w:rPr>
      </w:pPr>
      <w:r>
        <w:rPr>
          <w:rFonts w:hint="eastAsia" w:ascii="宋体" w:hAnsi="宋体" w:eastAsia="宋体" w:cs="宋体"/>
          <w:b/>
          <w:sz w:val="21"/>
          <w:szCs w:val="21"/>
        </w:rPr>
        <w:t>廉政协议</w:t>
      </w:r>
    </w:p>
    <w:p>
      <w:pPr>
        <w:pStyle w:val="13"/>
        <w:snapToGrid w:val="0"/>
        <w:spacing w:line="440" w:lineRule="exact"/>
        <w:ind w:firstLine="0"/>
        <w:rPr>
          <w:rFonts w:hint="eastAsia" w:ascii="宋体" w:hAnsi="宋体" w:eastAsia="宋体" w:cs="宋体"/>
          <w:sz w:val="21"/>
          <w:szCs w:val="21"/>
          <w:u w:val="single"/>
        </w:rPr>
      </w:pPr>
      <w:r>
        <w:rPr>
          <w:rFonts w:hint="eastAsia" w:ascii="宋体" w:hAnsi="宋体" w:eastAsia="宋体" w:cs="宋体"/>
          <w:sz w:val="21"/>
          <w:szCs w:val="21"/>
        </w:rPr>
        <w:t>投保人（以下简称甲方）：</w:t>
      </w:r>
      <w:r>
        <w:rPr>
          <w:rFonts w:hint="eastAsia" w:ascii="宋体" w:hAnsi="宋体" w:eastAsia="宋体" w:cs="宋体"/>
          <w:sz w:val="21"/>
          <w:szCs w:val="21"/>
          <w:u w:val="single"/>
        </w:rPr>
        <w:t xml:space="preserve">                                   </w:t>
      </w:r>
    </w:p>
    <w:p>
      <w:pPr>
        <w:pStyle w:val="13"/>
        <w:snapToGrid w:val="0"/>
        <w:spacing w:line="440" w:lineRule="exact"/>
        <w:ind w:firstLine="0"/>
        <w:rPr>
          <w:rFonts w:hint="eastAsia" w:ascii="宋体" w:hAnsi="宋体" w:eastAsia="宋体" w:cs="宋体"/>
          <w:sz w:val="21"/>
          <w:szCs w:val="21"/>
        </w:rPr>
      </w:pPr>
      <w:r>
        <w:rPr>
          <w:rFonts w:hint="eastAsia" w:ascii="宋体" w:hAnsi="宋体" w:eastAsia="宋体" w:cs="宋体"/>
          <w:sz w:val="21"/>
          <w:szCs w:val="21"/>
        </w:rPr>
        <w:t>承保人（以下简称乙方）：</w:t>
      </w:r>
      <w:r>
        <w:rPr>
          <w:rFonts w:hint="eastAsia" w:ascii="宋体" w:hAnsi="宋体" w:eastAsia="宋体" w:cs="宋体"/>
          <w:sz w:val="21"/>
          <w:szCs w:val="21"/>
          <w:u w:val="single"/>
        </w:rPr>
        <w:t xml:space="preserve">                                   </w:t>
      </w:r>
    </w:p>
    <w:p>
      <w:pPr>
        <w:adjustRightInd w:val="0"/>
        <w:snapToGrid w:val="0"/>
        <w:spacing w:line="440" w:lineRule="exact"/>
        <w:ind w:firstLine="480"/>
        <w:jc w:val="left"/>
        <w:rPr>
          <w:rFonts w:hint="eastAsia" w:ascii="宋体" w:hAnsi="宋体" w:eastAsia="宋体" w:cs="宋体"/>
          <w:sz w:val="21"/>
          <w:szCs w:val="21"/>
        </w:rPr>
      </w:pPr>
      <w:r>
        <w:rPr>
          <w:rFonts w:hint="eastAsia" w:ascii="宋体" w:hAnsi="宋体" w:eastAsia="宋体" w:cs="宋体"/>
          <w:sz w:val="21"/>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rPr>
      </w:pPr>
      <w:bookmarkStart w:id="57" w:name="_Toc59900969"/>
      <w:bookmarkStart w:id="58" w:name="_Toc59896701"/>
      <w:r>
        <w:rPr>
          <w:rFonts w:hint="eastAsia" w:ascii="宋体" w:hAnsi="宋体" w:eastAsia="宋体" w:cs="宋体"/>
          <w:sz w:val="21"/>
          <w:szCs w:val="21"/>
        </w:rPr>
        <w:t xml:space="preserve">第一条 </w:t>
      </w:r>
      <w:bookmarkEnd w:id="57"/>
      <w:bookmarkEnd w:id="58"/>
      <w:r>
        <w:rPr>
          <w:rFonts w:hint="eastAsia" w:ascii="宋体" w:hAnsi="宋体" w:eastAsia="宋体" w:cs="宋体"/>
          <w:sz w:val="21"/>
          <w:szCs w:val="21"/>
        </w:rPr>
        <w:t>共同责任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 xml:space="preserve">                       </w:t>
      </w:r>
      <w:r>
        <w:rPr>
          <w:rFonts w:hint="eastAsia" w:ascii="宋体" w:hAnsi="宋体" w:eastAsia="宋体" w:cs="宋体"/>
          <w:sz w:val="21"/>
          <w:szCs w:val="21"/>
        </w:rPr>
        <w:t>（以下称主合同）的合同文件，自觉按合同办事。</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第二条 共同权利</w:t>
      </w:r>
    </w:p>
    <w:p>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rPr>
      </w:pPr>
      <w:bookmarkStart w:id="59" w:name="_Toc59896702"/>
      <w:bookmarkStart w:id="60" w:name="_Toc59900970"/>
      <w:r>
        <w:rPr>
          <w:rFonts w:hint="eastAsia" w:ascii="宋体" w:hAnsi="宋体" w:eastAsia="宋体" w:cs="宋体"/>
          <w:sz w:val="21"/>
          <w:szCs w:val="21"/>
        </w:rPr>
        <w:t>第三条 甲方的义务</w:t>
      </w:r>
      <w:bookmarkEnd w:id="59"/>
      <w:bookmarkEnd w:id="60"/>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bookmarkStart w:id="61" w:name="_Toc59900971"/>
      <w:bookmarkStart w:id="62" w:name="_Toc59896703"/>
      <w:r>
        <w:rPr>
          <w:rFonts w:hint="eastAsia" w:ascii="宋体" w:hAnsi="宋体" w:eastAsia="宋体" w:cs="宋体"/>
          <w:sz w:val="21"/>
          <w:szCs w:val="21"/>
        </w:rPr>
        <w:t>第四条 乙方义务</w:t>
      </w:r>
      <w:bookmarkEnd w:id="61"/>
      <w:bookmarkEnd w:id="62"/>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第五条 违约责任</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rPr>
      </w:pPr>
      <w:r>
        <w:rPr>
          <w:rFonts w:hint="eastAsia" w:ascii="宋体" w:hAnsi="宋体" w:eastAsia="宋体" w:cs="宋体"/>
          <w:sz w:val="21"/>
          <w:szCs w:val="21"/>
        </w:rPr>
        <w:t>第八条 本协议作为主合同的附件，与主合同具有同等的法律效力，经合同双方签署立即生效。</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第九条发现有违反相关要求的，可通过以下途径举报：</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（1）监督举报电话（限短信方式）：15367896029，15367896120。</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（2）举报邮箱：yygsjbyx2015@163.com。</w:t>
      </w:r>
    </w:p>
    <w:p>
      <w:pPr>
        <w:snapToGrid w:val="0"/>
        <w:spacing w:line="440" w:lineRule="exact"/>
        <w:rPr>
          <w:rFonts w:hint="eastAsia" w:ascii="宋体" w:hAnsi="宋体" w:eastAsia="宋体" w:cs="宋体"/>
          <w:sz w:val="21"/>
          <w:szCs w:val="21"/>
        </w:rPr>
        <w:sectPr>
          <w:pgSz w:w="11906" w:h="16838"/>
          <w:pgMar w:top="1440" w:right="1800" w:bottom="1440" w:left="1800" w:header="851" w:footer="992" w:gutter="0"/>
          <w:cols w:space="720" w:num="1"/>
          <w:docGrid w:type="lines" w:linePitch="312" w:charSpace="0"/>
        </w:sectPr>
      </w:pPr>
    </w:p>
    <w:p>
      <w:pPr>
        <w:rPr>
          <w:rFonts w:hint="eastAsia" w:ascii="宋体" w:hAnsi="宋体" w:eastAsia="宋体" w:cs="宋体"/>
          <w:sz w:val="21"/>
          <w:szCs w:val="21"/>
        </w:rPr>
      </w:pPr>
      <w:r>
        <w:rPr>
          <w:rFonts w:hint="eastAsia" w:ascii="宋体" w:hAnsi="宋体" w:eastAsia="宋体" w:cs="宋体"/>
          <w:sz w:val="21"/>
          <w:szCs w:val="21"/>
        </w:rPr>
        <w:t>（本页无正文）</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（盖章）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（签字）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或授权代理人：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或授权代理人：</w:t>
      </w:r>
      <w:r>
        <w:rPr>
          <w:rFonts w:hint="eastAsia" w:ascii="宋体" w:hAnsi="宋体" w:eastAsia="宋体" w:cs="宋体"/>
          <w:sz w:val="21"/>
          <w:szCs w:val="21"/>
          <w:u w:val="single"/>
        </w:rPr>
        <w:t xml:space="preserve">（签字）           </w:t>
      </w:r>
    </w:p>
    <w:p>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3"/>
        <w:snapToGrid w:val="0"/>
        <w:spacing w:line="360" w:lineRule="auto"/>
        <w:ind w:firstLine="0"/>
        <w:outlineLvl w:val="1"/>
        <w:rPr>
          <w:rFonts w:hint="eastAsia" w:ascii="宋体" w:hAnsi="宋体" w:eastAsia="宋体" w:cs="宋体"/>
          <w:b/>
          <w:sz w:val="21"/>
          <w:szCs w:val="21"/>
        </w:rPr>
      </w:pPr>
      <w:bookmarkStart w:id="63" w:name="_Toc15457"/>
      <w:bookmarkStart w:id="64" w:name="_Toc774"/>
      <w:r>
        <w:rPr>
          <w:rFonts w:hint="eastAsia" w:ascii="宋体" w:hAnsi="宋体" w:eastAsia="宋体" w:cs="宋体"/>
          <w:sz w:val="21"/>
          <w:szCs w:val="21"/>
        </w:rPr>
        <w:t>甲方监督单位：</w:t>
      </w:r>
      <w:r>
        <w:rPr>
          <w:rFonts w:hint="eastAsia" w:ascii="宋体" w:hAnsi="宋体" w:eastAsia="宋体" w:cs="宋体"/>
          <w:sz w:val="21"/>
          <w:szCs w:val="21"/>
          <w:u w:val="single"/>
        </w:rPr>
        <w:t xml:space="preserve">（盖章）      </w:t>
      </w:r>
      <w:r>
        <w:rPr>
          <w:rFonts w:hint="eastAsia" w:ascii="宋体" w:hAnsi="宋体" w:eastAsia="宋体" w:cs="宋体"/>
          <w:sz w:val="21"/>
          <w:szCs w:val="21"/>
        </w:rPr>
        <w:t xml:space="preserve">             乙方监督单位：</w:t>
      </w:r>
      <w:r>
        <w:rPr>
          <w:rFonts w:hint="eastAsia" w:ascii="宋体" w:hAnsi="宋体" w:eastAsia="宋体" w:cs="宋体"/>
          <w:sz w:val="21"/>
          <w:szCs w:val="21"/>
          <w:u w:val="single"/>
        </w:rPr>
        <w:t>（盖章）</w:t>
      </w:r>
      <w:bookmarkEnd w:id="63"/>
      <w:bookmarkEnd w:id="64"/>
      <w:r>
        <w:rPr>
          <w:rFonts w:hint="eastAsia" w:ascii="宋体" w:hAnsi="宋体" w:eastAsia="宋体" w:cs="宋体"/>
          <w:sz w:val="21"/>
          <w:szCs w:val="21"/>
          <w:u w:val="single"/>
        </w:rPr>
        <w:t xml:space="preserve">        </w:t>
      </w:r>
    </w:p>
    <w:p>
      <w:pPr>
        <w:adjustRightInd w:val="0"/>
        <w:snapToGrid w:val="0"/>
        <w:spacing w:line="444" w:lineRule="exact"/>
        <w:jc w:val="left"/>
        <w:rPr>
          <w:rFonts w:hint="eastAsia" w:ascii="宋体" w:hAnsi="宋体" w:eastAsia="宋体" w:cs="宋体"/>
          <w:sz w:val="21"/>
          <w:szCs w:val="21"/>
        </w:rPr>
      </w:pPr>
    </w:p>
    <w:p>
      <w:pPr>
        <w:pStyle w:val="13"/>
        <w:snapToGrid w:val="0"/>
        <w:spacing w:line="360" w:lineRule="auto"/>
        <w:ind w:firstLine="0"/>
        <w:outlineLvl w:val="1"/>
        <w:rPr>
          <w:rFonts w:hint="eastAsia" w:ascii="宋体" w:hAnsi="宋体" w:eastAsia="宋体" w:cs="宋体"/>
          <w:b/>
          <w:sz w:val="21"/>
          <w:szCs w:val="21"/>
        </w:rPr>
        <w:sectPr>
          <w:footerReference r:id="rId11" w:type="first"/>
          <w:footerReference r:id="rId10" w:type="default"/>
          <w:pgSz w:w="11850" w:h="16783"/>
          <w:pgMar w:top="1440" w:right="1361" w:bottom="1440" w:left="1474" w:header="851" w:footer="992" w:gutter="0"/>
          <w:cols w:space="720" w:num="1"/>
          <w:titlePg/>
          <w:docGrid w:type="lines" w:linePitch="312" w:charSpace="0"/>
        </w:sectPr>
      </w:pPr>
    </w:p>
    <w:p>
      <w:pPr>
        <w:pStyle w:val="13"/>
        <w:snapToGrid w:val="0"/>
        <w:spacing w:line="360" w:lineRule="auto"/>
        <w:ind w:firstLine="0"/>
        <w:outlineLvl w:val="1"/>
        <w:rPr>
          <w:rFonts w:hint="eastAsia" w:ascii="宋体" w:hAnsi="宋体" w:eastAsia="宋体" w:cs="宋体"/>
          <w:b/>
          <w:sz w:val="21"/>
          <w:szCs w:val="21"/>
        </w:rPr>
      </w:pPr>
      <w:bookmarkStart w:id="65" w:name="_Toc19245"/>
      <w:bookmarkStart w:id="66" w:name="_Toc5574"/>
      <w:bookmarkStart w:id="67" w:name="_Hlk25208132"/>
      <w:r>
        <w:rPr>
          <w:rFonts w:hint="eastAsia" w:ascii="宋体" w:hAnsi="宋体" w:eastAsia="宋体" w:cs="宋体"/>
          <w:b/>
          <w:sz w:val="21"/>
          <w:szCs w:val="21"/>
        </w:rPr>
        <w:t>附件2 保密协议</w:t>
      </w:r>
      <w:bookmarkEnd w:id="65"/>
      <w:bookmarkEnd w:id="66"/>
    </w:p>
    <w:p>
      <w:pPr>
        <w:widowControl/>
        <w:snapToGrid w:val="0"/>
        <w:spacing w:line="360" w:lineRule="auto"/>
        <w:jc w:val="center"/>
        <w:rPr>
          <w:rFonts w:hint="eastAsia" w:ascii="宋体" w:hAnsi="宋体" w:eastAsia="宋体" w:cs="宋体"/>
          <w:kern w:val="0"/>
          <w:sz w:val="21"/>
          <w:szCs w:val="21"/>
          <w:lang w:bidi="en-US"/>
        </w:rPr>
      </w:pPr>
      <w:r>
        <w:rPr>
          <w:rFonts w:hint="eastAsia" w:ascii="宋体" w:hAnsi="宋体" w:eastAsia="宋体" w:cs="宋体"/>
          <w:b/>
          <w:bCs/>
          <w:smallCaps/>
          <w:kern w:val="0"/>
          <w:sz w:val="21"/>
          <w:szCs w:val="21"/>
          <w:lang w:bidi="en-US"/>
        </w:rPr>
        <w:t>保密协议</w:t>
      </w:r>
    </w:p>
    <w:p>
      <w:pPr>
        <w:widowControl/>
        <w:snapToGrid w:val="0"/>
        <w:spacing w:line="360" w:lineRule="auto"/>
        <w:jc w:val="left"/>
        <w:rPr>
          <w:rFonts w:hint="eastAsia" w:ascii="宋体" w:hAnsi="宋体" w:eastAsia="宋体" w:cs="宋体"/>
          <w:kern w:val="0"/>
          <w:sz w:val="21"/>
          <w:szCs w:val="21"/>
          <w:lang w:bidi="en-US"/>
        </w:rPr>
      </w:pPr>
    </w:p>
    <w:p>
      <w:pPr>
        <w:pStyle w:val="13"/>
        <w:snapToGrid w:val="0"/>
        <w:spacing w:line="360" w:lineRule="auto"/>
        <w:ind w:firstLine="0"/>
        <w:rPr>
          <w:rFonts w:hint="eastAsia" w:ascii="宋体" w:hAnsi="宋体" w:eastAsia="宋体" w:cs="宋体"/>
          <w:sz w:val="21"/>
          <w:szCs w:val="21"/>
          <w:u w:val="single"/>
        </w:rPr>
      </w:pPr>
      <w:r>
        <w:rPr>
          <w:rFonts w:hint="eastAsia" w:ascii="宋体" w:hAnsi="宋体" w:eastAsia="宋体" w:cs="宋体"/>
          <w:sz w:val="21"/>
          <w:szCs w:val="21"/>
        </w:rPr>
        <w:t>投保人（以下简称甲方）：</w:t>
      </w:r>
      <w:r>
        <w:rPr>
          <w:rFonts w:hint="eastAsia" w:ascii="宋体" w:hAnsi="宋体" w:eastAsia="宋体" w:cs="宋体"/>
          <w:sz w:val="21"/>
          <w:szCs w:val="21"/>
          <w:u w:val="single"/>
        </w:rPr>
        <w:t xml:space="preserve">                                   </w:t>
      </w:r>
    </w:p>
    <w:p>
      <w:pPr>
        <w:pStyle w:val="13"/>
        <w:snapToGrid w:val="0"/>
        <w:spacing w:line="360" w:lineRule="auto"/>
        <w:ind w:firstLine="0"/>
        <w:rPr>
          <w:rFonts w:hint="eastAsia" w:ascii="宋体" w:hAnsi="宋体" w:eastAsia="宋体" w:cs="宋体"/>
          <w:sz w:val="21"/>
          <w:szCs w:val="21"/>
        </w:rPr>
      </w:pPr>
      <w:r>
        <w:rPr>
          <w:rFonts w:hint="eastAsia" w:ascii="宋体" w:hAnsi="宋体" w:eastAsia="宋体" w:cs="宋体"/>
          <w:sz w:val="21"/>
          <w:szCs w:val="21"/>
        </w:rPr>
        <w:t>承保人（以下简称乙方）：</w:t>
      </w:r>
      <w:r>
        <w:rPr>
          <w:rFonts w:hint="eastAsia" w:ascii="宋体" w:hAnsi="宋体" w:eastAsia="宋体" w:cs="宋体"/>
          <w:sz w:val="21"/>
          <w:szCs w:val="21"/>
          <w:u w:val="single"/>
        </w:rPr>
        <w:t xml:space="preserve">                                   </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鉴于甲方和乙方签订的</w:t>
      </w:r>
      <w:r>
        <w:rPr>
          <w:rFonts w:hint="eastAsia" w:ascii="宋体" w:hAnsi="宋体" w:eastAsia="宋体" w:cs="宋体"/>
          <w:kern w:val="0"/>
          <w:sz w:val="21"/>
          <w:szCs w:val="21"/>
          <w:u w:val="single"/>
          <w:lang w:bidi="en-US"/>
        </w:rPr>
        <w:t xml:space="preserve">                </w:t>
      </w:r>
      <w:r>
        <w:rPr>
          <w:rFonts w:hint="eastAsia" w:ascii="宋体" w:hAnsi="宋体" w:eastAsia="宋体" w:cs="宋体"/>
          <w:kern w:val="0"/>
          <w:sz w:val="21"/>
          <w:szCs w:val="21"/>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第一条 保密内容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甲、乙双方确认，乙方应承担保密义务的内容为：</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20" w:firstLineChars="200"/>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第二条 乙方的保密义务</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1、乙方应主动采取加密措施对上述第一条所列内容进行保密，防止不承担同等保密义务的任何第三者知悉及使用。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2、乙方不得刺探或者以其他不正当手段（包括利用计算机进行检索、浏览、复制等）获取主合同及主合同执行过程中的甲方秘密。</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3、乙方不得向不承担同等保密义务的任何第三人披露上述第一条所列内容。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4、乙方不得允许（包括出借、赠与、出租、转让等行为）或协助不承担同等保密义务的任何第三人使用上述第一条所列内容。</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7、乙方如发现上述第一条所列内容被泄露或者自己过失泄露秘密，应当采取有效措施防止泄密进一步扩大，并及时向甲方报告。</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第三条 保密期限</w:t>
      </w:r>
    </w:p>
    <w:p>
      <w:pPr>
        <w:widowControl/>
        <w:snapToGrid w:val="0"/>
        <w:spacing w:line="360" w:lineRule="auto"/>
        <w:ind w:firstLine="420" w:firstLineChars="200"/>
        <w:jc w:val="left"/>
        <w:rPr>
          <w:rFonts w:hint="eastAsia" w:ascii="宋体" w:hAnsi="宋体" w:eastAsia="宋体" w:cs="宋体"/>
          <w:b/>
          <w:kern w:val="0"/>
          <w:sz w:val="21"/>
          <w:szCs w:val="21"/>
          <w:lang w:bidi="en-US"/>
        </w:rPr>
      </w:pPr>
      <w:r>
        <w:rPr>
          <w:rFonts w:hint="eastAsia" w:ascii="宋体" w:hAnsi="宋体" w:eastAsia="宋体" w:cs="宋体"/>
          <w:kern w:val="0"/>
          <w:sz w:val="21"/>
          <w:szCs w:val="21"/>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第四条 违约责任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1、因乙方未履行本协议第二条规定的保密义务，但尚未给甲方造成损失或严重后果的，每发生一次，甲方有权要求乙方支付</w:t>
      </w:r>
      <w:r>
        <w:rPr>
          <w:rFonts w:hint="eastAsia" w:ascii="宋体" w:hAnsi="宋体" w:eastAsia="宋体" w:cs="宋体"/>
          <w:b/>
          <w:kern w:val="0"/>
          <w:sz w:val="21"/>
          <w:szCs w:val="21"/>
          <w:lang w:bidi="en-US"/>
        </w:rPr>
        <w:t>人民币</w:t>
      </w:r>
      <w:r>
        <w:rPr>
          <w:rFonts w:hint="eastAsia" w:ascii="宋体" w:hAnsi="宋体" w:eastAsia="宋体" w:cs="宋体"/>
          <w:b/>
          <w:kern w:val="0"/>
          <w:sz w:val="21"/>
          <w:szCs w:val="21"/>
          <w:u w:val="single"/>
          <w:lang w:bidi="en-US"/>
        </w:rPr>
        <w:t>1000</w:t>
      </w:r>
      <w:r>
        <w:rPr>
          <w:rFonts w:hint="eastAsia" w:ascii="宋体" w:hAnsi="宋体" w:eastAsia="宋体" w:cs="宋体"/>
          <w:b/>
          <w:kern w:val="0"/>
          <w:sz w:val="21"/>
          <w:szCs w:val="21"/>
          <w:lang w:bidi="en-US"/>
        </w:rPr>
        <w:t>元</w:t>
      </w:r>
      <w:r>
        <w:rPr>
          <w:rFonts w:hint="eastAsia" w:ascii="宋体" w:hAnsi="宋体" w:eastAsia="宋体" w:cs="宋体"/>
          <w:kern w:val="0"/>
          <w:sz w:val="21"/>
          <w:szCs w:val="21"/>
          <w:lang w:bidi="en-US"/>
        </w:rPr>
        <w:t>的违约金。</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2、因乙方未履行本协议第二条规定的保密义务，给甲方造成损失或严重后果的，每发生一次，乙方应承担以下赔偿责任：</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（1）甲方调查乙方的违反协议行为而发生的所有费用；</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（2）因乙方的违反协议行为给甲方造成的经济损失，损失赔偿金额为</w:t>
      </w:r>
      <w:r>
        <w:rPr>
          <w:rFonts w:hint="eastAsia" w:ascii="宋体" w:hAnsi="宋体" w:eastAsia="宋体" w:cs="宋体"/>
          <w:b/>
          <w:kern w:val="0"/>
          <w:sz w:val="21"/>
          <w:szCs w:val="21"/>
          <w:lang w:bidi="en-US"/>
        </w:rPr>
        <w:t>主合同签约合同价的</w:t>
      </w:r>
      <w:r>
        <w:rPr>
          <w:rFonts w:hint="eastAsia" w:ascii="宋体" w:hAnsi="宋体" w:eastAsia="宋体" w:cs="宋体"/>
          <w:b/>
          <w:kern w:val="0"/>
          <w:sz w:val="21"/>
          <w:szCs w:val="21"/>
          <w:u w:val="single"/>
          <w:lang w:bidi="en-US"/>
        </w:rPr>
        <w:t>1</w:t>
      </w:r>
      <w:r>
        <w:rPr>
          <w:rFonts w:hint="eastAsia" w:ascii="宋体" w:hAnsi="宋体" w:eastAsia="宋体" w:cs="宋体"/>
          <w:b/>
          <w:kern w:val="0"/>
          <w:sz w:val="21"/>
          <w:szCs w:val="21"/>
          <w:lang w:bidi="en-US"/>
        </w:rPr>
        <w:t>％</w:t>
      </w:r>
      <w:r>
        <w:rPr>
          <w:rFonts w:hint="eastAsia" w:ascii="宋体" w:hAnsi="宋体" w:eastAsia="宋体" w:cs="宋体"/>
          <w:kern w:val="0"/>
          <w:sz w:val="21"/>
          <w:szCs w:val="21"/>
          <w:lang w:bidi="en-US"/>
        </w:rPr>
        <w:t>（有证据证明甲方实际损失超过这一金额的，以甲方实际损失为准）。</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第五条 争议的解决</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因执行本协议而发生的纠纷，可由双方协商解决；协商不成的，任何一方有权向</w:t>
      </w:r>
      <w:r>
        <w:rPr>
          <w:rFonts w:hint="eastAsia" w:ascii="宋体" w:hAnsi="宋体" w:eastAsia="宋体" w:cs="宋体"/>
          <w:kern w:val="0"/>
          <w:sz w:val="21"/>
          <w:szCs w:val="21"/>
          <w:u w:val="single"/>
          <w:lang w:bidi="en-US"/>
        </w:rPr>
        <w:t>甲方所在地人民法院</w:t>
      </w:r>
      <w:r>
        <w:rPr>
          <w:rFonts w:hint="eastAsia" w:ascii="宋体" w:hAnsi="宋体" w:eastAsia="宋体" w:cs="宋体"/>
          <w:kern w:val="0"/>
          <w:sz w:val="21"/>
          <w:szCs w:val="21"/>
          <w:lang w:bidi="en-US"/>
        </w:rPr>
        <w:t>提起诉讼。</w:t>
      </w:r>
    </w:p>
    <w:p>
      <w:pPr>
        <w:widowControl/>
        <w:snapToGrid w:val="0"/>
        <w:spacing w:line="360" w:lineRule="auto"/>
        <w:ind w:firstLine="422" w:firstLineChars="200"/>
        <w:jc w:val="left"/>
        <w:rPr>
          <w:rFonts w:hint="eastAsia" w:ascii="宋体" w:hAnsi="宋体" w:eastAsia="宋体" w:cs="宋体"/>
          <w:b/>
          <w:kern w:val="0"/>
          <w:sz w:val="21"/>
          <w:szCs w:val="21"/>
          <w:lang w:bidi="en-US"/>
        </w:rPr>
      </w:pPr>
      <w:r>
        <w:rPr>
          <w:rFonts w:hint="eastAsia" w:ascii="宋体" w:hAnsi="宋体" w:eastAsia="宋体" w:cs="宋体"/>
          <w:b/>
          <w:kern w:val="0"/>
          <w:sz w:val="21"/>
          <w:szCs w:val="21"/>
          <w:lang w:bidi="en-US"/>
        </w:rPr>
        <w:t>第六条 协议的效力和变更</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1、本协议自双方法定代表人或其授权代表签字并加盖公章后生效。</w:t>
      </w:r>
    </w:p>
    <w:p>
      <w:pPr>
        <w:widowControl/>
        <w:snapToGrid w:val="0"/>
        <w:spacing w:line="360" w:lineRule="auto"/>
        <w:ind w:firstLine="420" w:firstLineChars="200"/>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t>2、任何对本协议所作的任何增补和修改，除非由双方合法指派的代表书面做出，否则视为无效或对双方均无约束力。</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jc w:val="left"/>
        <w:rPr>
          <w:rFonts w:hint="eastAsia" w:ascii="宋体" w:hAnsi="宋体" w:eastAsia="宋体" w:cs="宋体"/>
          <w:kern w:val="0"/>
          <w:sz w:val="21"/>
          <w:szCs w:val="21"/>
          <w:lang w:bidi="en-US"/>
        </w:rPr>
      </w:pPr>
      <w:r>
        <w:rPr>
          <w:rFonts w:hint="eastAsia" w:ascii="宋体" w:hAnsi="宋体" w:eastAsia="宋体" w:cs="宋体"/>
          <w:kern w:val="0"/>
          <w:sz w:val="21"/>
          <w:szCs w:val="21"/>
          <w:lang w:bidi="en-US"/>
        </w:rPr>
        <w:br w:type="page"/>
      </w:r>
      <w:r>
        <w:rPr>
          <w:rFonts w:hint="eastAsia" w:ascii="宋体" w:hAnsi="宋体" w:eastAsia="宋体" w:cs="宋体"/>
          <w:kern w:val="0"/>
          <w:sz w:val="21"/>
          <w:szCs w:val="21"/>
          <w:lang w:bidi="en-US"/>
        </w:rPr>
        <w:t>（本页无正文）</w:t>
      </w: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p>
      <w:pPr>
        <w:widowControl/>
        <w:snapToGrid w:val="0"/>
        <w:spacing w:line="360" w:lineRule="auto"/>
        <w:ind w:firstLine="420" w:firstLineChars="200"/>
        <w:jc w:val="left"/>
        <w:rPr>
          <w:rFonts w:hint="eastAsia" w:ascii="宋体" w:hAnsi="宋体" w:eastAsia="宋体" w:cs="宋体"/>
          <w:kern w:val="0"/>
          <w:sz w:val="21"/>
          <w:szCs w:val="21"/>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甲方：(盖章)</w:t>
            </w:r>
          </w:p>
        </w:tc>
        <w:tc>
          <w:tcPr>
            <w:tcW w:w="4252" w:type="dxa"/>
          </w:tcPr>
          <w:p>
            <w:pPr>
              <w:adjustRightInd w:val="0"/>
              <w:snapToGrid w:val="0"/>
              <w:spacing w:line="360" w:lineRule="auto"/>
              <w:textAlignment w:val="baseline"/>
              <w:rPr>
                <w:rFonts w:hint="eastAsia" w:ascii="宋体" w:hAnsi="宋体" w:eastAsia="宋体" w:cs="宋体"/>
                <w:kern w:val="0"/>
                <w:sz w:val="21"/>
                <w:szCs w:val="21"/>
              </w:rPr>
            </w:pPr>
            <w:r>
              <w:rPr>
                <w:rFonts w:hint="eastAsia" w:ascii="宋体" w:hAnsi="宋体" w:eastAsia="宋体" w:cs="宋体"/>
                <w:kern w:val="0"/>
                <w:sz w:val="21"/>
                <w:szCs w:val="21"/>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p>
            <w:pPr>
              <w:adjustRightInd w:val="0"/>
              <w:snapToGrid w:val="0"/>
              <w:spacing w:line="360" w:lineRule="auto"/>
              <w:ind w:left="19" w:leftChars="9"/>
              <w:textAlignment w:val="baseline"/>
              <w:rPr>
                <w:rFonts w:hint="eastAsia" w:ascii="宋体" w:hAnsi="宋体" w:eastAsia="宋体" w:cs="宋体"/>
                <w:kern w:val="0"/>
                <w:sz w:val="21"/>
                <w:szCs w:val="21"/>
              </w:rPr>
            </w:pPr>
          </w:p>
        </w:tc>
        <w:tc>
          <w:tcPr>
            <w:tcW w:w="4252" w:type="dxa"/>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c>
          <w:tcPr>
            <w:tcW w:w="4252" w:type="dxa"/>
          </w:tcPr>
          <w:p>
            <w:pPr>
              <w:adjustRightInd w:val="0"/>
              <w:snapToGrid w:val="0"/>
              <w:spacing w:line="360" w:lineRule="auto"/>
              <w:ind w:left="34" w:leftChars="16"/>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时间：</w:t>
            </w:r>
          </w:p>
        </w:tc>
      </w:tr>
    </w:tbl>
    <w:p>
      <w:pPr>
        <w:pStyle w:val="13"/>
        <w:snapToGrid w:val="0"/>
        <w:spacing w:line="360" w:lineRule="auto"/>
        <w:ind w:firstLine="0"/>
        <w:outlineLvl w:val="1"/>
        <w:rPr>
          <w:rFonts w:hint="eastAsia" w:ascii="宋体" w:hAnsi="宋体" w:eastAsia="宋体" w:cs="宋体"/>
          <w:b/>
          <w:sz w:val="21"/>
          <w:szCs w:val="21"/>
        </w:rPr>
      </w:pPr>
    </w:p>
    <w:p>
      <w:pPr>
        <w:pStyle w:val="13"/>
        <w:snapToGrid w:val="0"/>
        <w:spacing w:line="360" w:lineRule="auto"/>
        <w:ind w:firstLine="0"/>
        <w:outlineLvl w:val="1"/>
        <w:rPr>
          <w:rFonts w:hint="eastAsia" w:ascii="宋体" w:hAnsi="宋体" w:eastAsia="宋体" w:cs="宋体"/>
          <w:b/>
          <w:sz w:val="21"/>
          <w:szCs w:val="21"/>
        </w:rPr>
      </w:pPr>
      <w:r>
        <w:rPr>
          <w:rFonts w:hint="eastAsia" w:ascii="宋体" w:hAnsi="宋体" w:eastAsia="宋体" w:cs="宋体"/>
          <w:b/>
          <w:sz w:val="21"/>
          <w:szCs w:val="21"/>
        </w:rPr>
        <w:br w:type="page"/>
      </w:r>
      <w:bookmarkStart w:id="68" w:name="_Toc729"/>
      <w:bookmarkStart w:id="69" w:name="_Toc3052"/>
      <w:r>
        <w:rPr>
          <w:rFonts w:hint="eastAsia" w:ascii="宋体" w:hAnsi="宋体" w:eastAsia="宋体" w:cs="宋体"/>
          <w:b/>
          <w:sz w:val="21"/>
          <w:szCs w:val="21"/>
        </w:rPr>
        <w:t>附件3 中标/中选通知书/谈判记录表</w:t>
      </w:r>
      <w:bookmarkEnd w:id="68"/>
      <w:bookmarkEnd w:id="69"/>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0" w:name="_Toc28441"/>
      <w:bookmarkStart w:id="71" w:name="_Toc12022"/>
      <w:r>
        <w:rPr>
          <w:rFonts w:hint="eastAsia" w:ascii="宋体" w:hAnsi="宋体" w:cs="宋体"/>
          <w:b/>
          <w:sz w:val="21"/>
          <w:szCs w:val="21"/>
        </w:rPr>
        <w:t>附件4 暂定保险费清单</w:t>
      </w:r>
      <w:bookmarkEnd w:id="70"/>
      <w:bookmarkEnd w:id="71"/>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2" w:name="_Toc26013"/>
      <w:bookmarkStart w:id="73" w:name="_Toc20472"/>
      <w:r>
        <w:rPr>
          <w:rFonts w:hint="eastAsia" w:ascii="宋体" w:hAnsi="宋体" w:cs="宋体"/>
          <w:b/>
          <w:sz w:val="21"/>
          <w:szCs w:val="21"/>
        </w:rPr>
        <w:t>附件5 最高投标限价公示说明</w:t>
      </w:r>
      <w:bookmarkEnd w:id="72"/>
      <w:bookmarkEnd w:id="73"/>
    </w:p>
    <w:p>
      <w:pPr>
        <w:pStyle w:val="13"/>
        <w:snapToGrid w:val="0"/>
        <w:spacing w:line="360" w:lineRule="auto"/>
        <w:ind w:firstLine="0"/>
        <w:outlineLvl w:val="1"/>
        <w:rPr>
          <w:rFonts w:ascii="宋体" w:hAnsi="宋体" w:cs="宋体"/>
          <w:b/>
          <w:sz w:val="24"/>
        </w:rPr>
      </w:pPr>
      <w:r>
        <w:rPr>
          <w:rFonts w:hint="eastAsia" w:ascii="宋体" w:hAnsi="宋体" w:cs="宋体"/>
          <w:b/>
          <w:sz w:val="24"/>
        </w:rPr>
        <w:br w:type="page"/>
      </w:r>
      <w:bookmarkStart w:id="74" w:name="_Toc24773"/>
      <w:bookmarkStart w:id="75" w:name="_Toc3896"/>
      <w:r>
        <w:rPr>
          <w:rFonts w:hint="eastAsia" w:ascii="宋体" w:hAnsi="宋体" w:cs="宋体"/>
          <w:b/>
          <w:sz w:val="21"/>
          <w:szCs w:val="21"/>
        </w:rPr>
        <w:t>附件6 澄清与答疑文件</w:t>
      </w:r>
      <w:bookmarkEnd w:id="74"/>
      <w:bookmarkEnd w:id="75"/>
    </w:p>
    <w:bookmarkEnd w:id="67"/>
    <w:p>
      <w:pPr>
        <w:pStyle w:val="13"/>
        <w:snapToGrid w:val="0"/>
        <w:spacing w:line="360" w:lineRule="auto"/>
        <w:ind w:firstLine="0"/>
        <w:outlineLvl w:val="1"/>
        <w:rPr>
          <w:rFonts w:ascii="宋体" w:hAnsi="宋体" w:cs="宋体"/>
          <w:b/>
          <w:sz w:val="24"/>
        </w:rPr>
      </w:pPr>
    </w:p>
    <w:p>
      <w:pPr>
        <w:pStyle w:val="3"/>
        <w:spacing w:line="360" w:lineRule="auto"/>
        <w:rPr>
          <w:rFonts w:ascii="宋体" w:hAnsi="宋体" w:eastAsia="宋体" w:cs="宋体"/>
          <w:kern w:val="2"/>
          <w:sz w:val="21"/>
          <w:szCs w:val="21"/>
        </w:rPr>
      </w:pPr>
      <w:r>
        <w:rPr>
          <w:rFonts w:hint="eastAsia" w:ascii="宋体" w:hAnsi="宋体" w:eastAsia="宋体" w:cs="宋体"/>
          <w:b w:val="0"/>
          <w:sz w:val="24"/>
        </w:rPr>
        <w:br w:type="page"/>
      </w:r>
      <w:bookmarkStart w:id="76" w:name="_Toc28195"/>
      <w:bookmarkStart w:id="77" w:name="_Toc5116"/>
      <w:bookmarkStart w:id="78" w:name="_Toc23636"/>
      <w:r>
        <w:rPr>
          <w:rFonts w:hint="eastAsia" w:ascii="宋体" w:hAnsi="宋体" w:eastAsia="宋体" w:cs="宋体"/>
          <w:kern w:val="2"/>
          <w:sz w:val="21"/>
          <w:szCs w:val="21"/>
        </w:rPr>
        <w:t>第四部分 合同附录</w:t>
      </w:r>
      <w:bookmarkEnd w:id="76"/>
      <w:bookmarkEnd w:id="77"/>
      <w:bookmarkEnd w:id="78"/>
    </w:p>
    <w:p>
      <w:pPr>
        <w:snapToGrid w:val="0"/>
        <w:ind w:right="-20"/>
        <w:outlineLvl w:val="1"/>
        <w:rPr>
          <w:rFonts w:ascii="宋体" w:hAnsi="宋体" w:cs="宋体"/>
          <w:b/>
          <w:sz w:val="21"/>
          <w:szCs w:val="21"/>
        </w:rPr>
      </w:pPr>
      <w:bookmarkStart w:id="79" w:name="_Toc29857"/>
      <w:bookmarkStart w:id="80" w:name="_Toc887"/>
      <w:r>
        <w:rPr>
          <w:rFonts w:hint="eastAsia" w:ascii="宋体" w:hAnsi="宋体" w:cs="宋体"/>
          <w:b/>
          <w:sz w:val="21"/>
          <w:szCs w:val="21"/>
        </w:rPr>
        <w:t>附录1 银行履约保函（格式）</w:t>
      </w:r>
      <w:bookmarkEnd w:id="79"/>
      <w:bookmarkEnd w:id="80"/>
    </w:p>
    <w:p>
      <w:pPr>
        <w:jc w:val="center"/>
        <w:rPr>
          <w:rFonts w:ascii="宋体" w:hAnsi="宋体" w:cs="宋体"/>
          <w:b/>
          <w:bCs/>
          <w:sz w:val="21"/>
          <w:szCs w:val="21"/>
        </w:rPr>
      </w:pPr>
      <w:r>
        <w:rPr>
          <w:rFonts w:hint="eastAsia" w:ascii="宋体" w:hAnsi="宋体" w:cs="宋体"/>
          <w:b/>
          <w:bCs/>
          <w:sz w:val="21"/>
          <w:szCs w:val="21"/>
        </w:rPr>
        <w:t xml:space="preserve">                            保函编号：</w:t>
      </w:r>
    </w:p>
    <w:p>
      <w:pPr>
        <w:jc w:val="center"/>
        <w:rPr>
          <w:rFonts w:ascii="宋体" w:hAnsi="宋体" w:cs="宋体"/>
          <w:b/>
          <w:sz w:val="21"/>
          <w:szCs w:val="21"/>
        </w:rPr>
      </w:pPr>
    </w:p>
    <w:p>
      <w:pPr>
        <w:jc w:val="center"/>
        <w:rPr>
          <w:rFonts w:ascii="宋体" w:hAnsi="宋体" w:cs="宋体"/>
          <w:b/>
          <w:sz w:val="21"/>
          <w:szCs w:val="21"/>
        </w:rPr>
      </w:pPr>
      <w:r>
        <w:rPr>
          <w:rFonts w:hint="eastAsia" w:ascii="宋体" w:hAnsi="宋体" w:cs="宋体"/>
          <w:b/>
          <w:sz w:val="21"/>
          <w:szCs w:val="21"/>
        </w:rPr>
        <w:t>银行履约保函</w:t>
      </w:r>
    </w:p>
    <w:p>
      <w:pPr>
        <w:jc w:val="center"/>
        <w:rPr>
          <w:rFonts w:ascii="宋体" w:hAnsi="宋体" w:cs="宋体"/>
          <w:b/>
          <w:sz w:val="21"/>
          <w:szCs w:val="21"/>
        </w:rPr>
      </w:pPr>
    </w:p>
    <w:p>
      <w:pPr>
        <w:adjustRightInd w:val="0"/>
        <w:snapToGrid w:val="0"/>
        <w:spacing w:line="360" w:lineRule="auto"/>
        <w:rPr>
          <w:rFonts w:ascii="宋体" w:hAnsi="宋体" w:cs="宋体"/>
          <w:sz w:val="21"/>
          <w:szCs w:val="21"/>
          <w:u w:val="single"/>
        </w:rPr>
      </w:pPr>
      <w:r>
        <w:rPr>
          <w:rFonts w:hint="eastAsia" w:ascii="宋体" w:hAnsi="宋体" w:cs="宋体"/>
          <w:sz w:val="21"/>
          <w:szCs w:val="21"/>
        </w:rPr>
        <w:t>甲方（全称）：</w:t>
      </w:r>
      <w:r>
        <w:rPr>
          <w:rFonts w:hint="eastAsia" w:ascii="宋体" w:hAnsi="宋体" w:cs="宋体"/>
          <w:sz w:val="21"/>
          <w:szCs w:val="21"/>
          <w:u w:val="single"/>
        </w:rPr>
        <w:t xml:space="preserve">                  </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鉴于甲方</w:t>
      </w:r>
      <w:r>
        <w:rPr>
          <w:rFonts w:hint="eastAsia" w:ascii="宋体" w:hAnsi="宋体" w:cs="宋体"/>
          <w:sz w:val="21"/>
          <w:szCs w:val="21"/>
          <w:u w:val="single"/>
        </w:rPr>
        <w:t xml:space="preserve">            </w:t>
      </w:r>
      <w:r>
        <w:rPr>
          <w:rFonts w:hint="eastAsia" w:ascii="宋体" w:hAnsi="宋体" w:cs="宋体"/>
          <w:sz w:val="21"/>
          <w:szCs w:val="21"/>
        </w:rPr>
        <w:t>（以下简称“你方”）与</w:t>
      </w:r>
      <w:r>
        <w:rPr>
          <w:rFonts w:hint="eastAsia" w:ascii="宋体" w:hAnsi="宋体" w:cs="宋体"/>
          <w:sz w:val="21"/>
          <w:szCs w:val="21"/>
          <w:u w:val="single"/>
        </w:rPr>
        <w:t xml:space="preserve">           </w:t>
      </w:r>
      <w:r>
        <w:rPr>
          <w:rFonts w:hint="eastAsia" w:ascii="宋体" w:hAnsi="宋体" w:cs="宋体"/>
          <w:sz w:val="21"/>
          <w:szCs w:val="21"/>
        </w:rPr>
        <w:t>（乙方全称，以下简称“乙方”）于</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日协商一致共同签订合同编号为</w:t>
      </w:r>
      <w:r>
        <w:rPr>
          <w:rFonts w:hint="eastAsia" w:ascii="宋体" w:hAnsi="宋体" w:cs="宋体"/>
          <w:sz w:val="21"/>
          <w:szCs w:val="21"/>
          <w:u w:val="single"/>
        </w:rPr>
        <w:t xml:space="preserve">          </w:t>
      </w:r>
      <w:r>
        <w:rPr>
          <w:rFonts w:hint="eastAsia" w:ascii="宋体" w:hAnsi="宋体" w:cs="宋体"/>
          <w:sz w:val="21"/>
          <w:szCs w:val="21"/>
        </w:rPr>
        <w:t>的《</w:t>
      </w:r>
      <w:r>
        <w:rPr>
          <w:rFonts w:hint="eastAsia" w:ascii="宋体" w:hAnsi="宋体" w:cs="宋体"/>
          <w:sz w:val="21"/>
          <w:szCs w:val="21"/>
          <w:u w:val="single"/>
        </w:rPr>
        <w:t xml:space="preserve">            </w:t>
      </w:r>
      <w:r>
        <w:rPr>
          <w:rFonts w:hint="eastAsia" w:ascii="宋体" w:hAnsi="宋体" w:cs="宋体"/>
          <w:sz w:val="21"/>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1、担保金额为人民币（大写）</w:t>
      </w:r>
      <w:r>
        <w:rPr>
          <w:rFonts w:hint="eastAsia" w:ascii="宋体" w:hAnsi="宋体" w:cs="宋体"/>
          <w:sz w:val="21"/>
          <w:szCs w:val="21"/>
          <w:u w:val="single"/>
        </w:rPr>
        <w:t xml:space="preserve">        </w:t>
      </w:r>
      <w:r>
        <w:rPr>
          <w:rFonts w:hint="eastAsia" w:ascii="宋体" w:hAnsi="宋体" w:cs="宋体"/>
          <w:sz w:val="21"/>
          <w:szCs w:val="21"/>
        </w:rPr>
        <w:t>元（小写：¥</w:t>
      </w:r>
      <w:r>
        <w:rPr>
          <w:rFonts w:hint="eastAsia" w:ascii="宋体" w:hAnsi="宋体" w:cs="宋体"/>
          <w:sz w:val="21"/>
          <w:szCs w:val="21"/>
          <w:u w:val="single"/>
        </w:rPr>
        <w:t xml:space="preserve">       </w:t>
      </w:r>
      <w:r>
        <w:rPr>
          <w:rFonts w:hint="eastAsia" w:ascii="宋体" w:hAnsi="宋体" w:cs="宋体"/>
          <w:sz w:val="21"/>
          <w:szCs w:val="21"/>
        </w:rPr>
        <w:t>）。</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2、担保期限为自本保函生效之日起至</w:t>
      </w:r>
      <w:r>
        <w:rPr>
          <w:rFonts w:hint="eastAsia" w:ascii="宋体" w:hAnsi="宋体" w:cs="宋体"/>
          <w:sz w:val="21"/>
          <w:szCs w:val="21"/>
          <w:u w:val="single"/>
        </w:rPr>
        <w:t xml:space="preserve">           </w:t>
      </w:r>
      <w:r>
        <w:rPr>
          <w:rFonts w:hint="eastAsia" w:ascii="宋体" w:hAnsi="宋体" w:cs="宋体"/>
          <w:sz w:val="21"/>
          <w:szCs w:val="21"/>
        </w:rPr>
        <w:t>之日止。</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4、你方和乙方按合同约定变更合同时，我方承担本担保规定的义务不变。</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宋体" w:hAnsi="宋体" w:cs="宋体"/>
          <w:sz w:val="21"/>
          <w:szCs w:val="21"/>
        </w:rPr>
      </w:pPr>
      <w:r>
        <w:rPr>
          <w:rFonts w:hint="eastAsia" w:ascii="宋体" w:hAnsi="宋体" w:cs="宋体"/>
          <w:sz w:val="21"/>
          <w:szCs w:val="21"/>
        </w:rPr>
        <w:t>本保函自我方加盖公章之日起生效。</w:t>
      </w:r>
    </w:p>
    <w:p>
      <w:pPr>
        <w:adjustRightInd w:val="0"/>
        <w:snapToGrid w:val="0"/>
        <w:spacing w:line="360" w:lineRule="auto"/>
        <w:ind w:left="15" w:leftChars="7" w:firstLine="352" w:firstLineChars="168"/>
        <w:rPr>
          <w:rFonts w:ascii="宋体" w:hAnsi="宋体" w:cs="宋体"/>
          <w:sz w:val="21"/>
          <w:szCs w:val="21"/>
        </w:rPr>
      </w:pPr>
    </w:p>
    <w:p>
      <w:pPr>
        <w:adjustRightInd w:val="0"/>
        <w:snapToGrid w:val="0"/>
        <w:spacing w:line="360" w:lineRule="auto"/>
        <w:ind w:left="15" w:leftChars="7" w:firstLine="352" w:firstLineChars="168"/>
        <w:rPr>
          <w:rFonts w:ascii="宋体" w:hAnsi="宋体" w:cs="宋体"/>
          <w:sz w:val="21"/>
          <w:szCs w:val="21"/>
        </w:rPr>
      </w:pPr>
      <w:r>
        <w:rPr>
          <w:rFonts w:hint="eastAsia" w:ascii="宋体" w:hAnsi="宋体" w:cs="宋体"/>
          <w:sz w:val="21"/>
          <w:szCs w:val="21"/>
        </w:rPr>
        <w:t>担保人（盖公章）：</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签字：</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地址：</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邮政编码：</w:t>
      </w:r>
    </w:p>
    <w:p>
      <w:pPr>
        <w:adjustRightInd w:val="0"/>
        <w:snapToGrid w:val="0"/>
        <w:spacing w:line="360" w:lineRule="auto"/>
        <w:ind w:left="15" w:leftChars="7" w:firstLine="352" w:firstLineChars="168"/>
        <w:rPr>
          <w:rFonts w:ascii="宋体" w:hAnsi="宋体" w:cs="宋体"/>
          <w:sz w:val="21"/>
          <w:szCs w:val="21"/>
          <w:u w:val="single"/>
        </w:rPr>
      </w:pPr>
      <w:r>
        <w:rPr>
          <w:rFonts w:hint="eastAsia" w:ascii="宋体" w:hAnsi="宋体" w:cs="宋体"/>
          <w:sz w:val="21"/>
          <w:szCs w:val="21"/>
        </w:rPr>
        <w:t>电话：</w:t>
      </w:r>
    </w:p>
    <w:p>
      <w:pPr>
        <w:adjustRightInd w:val="0"/>
        <w:snapToGrid w:val="0"/>
        <w:spacing w:line="360" w:lineRule="auto"/>
        <w:ind w:left="15" w:leftChars="7" w:firstLine="352" w:firstLineChars="168"/>
        <w:rPr>
          <w:rFonts w:ascii="宋体" w:hAnsi="宋体" w:cs="宋体"/>
          <w:sz w:val="21"/>
          <w:szCs w:val="21"/>
        </w:rPr>
      </w:pPr>
      <w:r>
        <w:rPr>
          <w:rFonts w:hint="eastAsia" w:ascii="宋体" w:hAnsi="宋体" w:cs="宋体"/>
          <w:sz w:val="21"/>
          <w:szCs w:val="21"/>
        </w:rPr>
        <w:t>传真：</w:t>
      </w:r>
    </w:p>
    <w:p>
      <w:pPr>
        <w:ind w:firstLine="420" w:firstLineChars="200"/>
        <w:rPr>
          <w:rFonts w:ascii="宋体" w:hAnsi="宋体" w:cs="宋体"/>
          <w:sz w:val="21"/>
          <w:szCs w:val="21"/>
        </w:rPr>
      </w:pPr>
      <w:r>
        <w:rPr>
          <w:rFonts w:hint="eastAsia" w:ascii="宋体" w:hAnsi="宋体" w:cs="宋体"/>
          <w:sz w:val="21"/>
          <w:szCs w:val="21"/>
        </w:rPr>
        <w:t>时间：</w:t>
      </w: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adjustRightInd w:val="0"/>
        <w:snapToGrid w:val="0"/>
        <w:spacing w:line="360" w:lineRule="auto"/>
        <w:jc w:val="left"/>
        <w:rPr>
          <w:rFonts w:ascii="宋体" w:hAnsi="宋体" w:cs="宋体"/>
          <w:b/>
          <w:sz w:val="24"/>
        </w:rPr>
      </w:pPr>
    </w:p>
    <w:p>
      <w:pPr>
        <w:rPr>
          <w:rFonts w:hint="eastAsia" w:ascii="宋体" w:hAnsi="宋体" w:cs="宋体"/>
          <w:b/>
          <w:bCs/>
          <w:sz w:val="32"/>
          <w:szCs w:val="32"/>
        </w:rPr>
      </w:pPr>
      <w:bookmarkStart w:id="81" w:name="_Toc5514"/>
      <w:bookmarkStart w:id="82" w:name="_Toc5144"/>
      <w:r>
        <w:rPr>
          <w:rFonts w:hint="eastAsia" w:ascii="宋体" w:hAnsi="宋体" w:cs="宋体"/>
          <w:b/>
          <w:bCs/>
          <w:sz w:val="32"/>
          <w:szCs w:val="32"/>
        </w:rPr>
        <w:br w:type="page"/>
      </w:r>
    </w:p>
    <w:p>
      <w:pPr>
        <w:pStyle w:val="13"/>
        <w:snapToGrid w:val="0"/>
        <w:ind w:firstLine="0"/>
        <w:outlineLvl w:val="1"/>
        <w:rPr>
          <w:rFonts w:ascii="宋体" w:hAnsi="宋体" w:cs="宋体"/>
          <w:b/>
          <w:bCs/>
          <w:sz w:val="32"/>
          <w:szCs w:val="32"/>
        </w:rPr>
      </w:pPr>
      <w:r>
        <w:rPr>
          <w:rFonts w:hint="eastAsia" w:ascii="宋体" w:hAnsi="宋体" w:cs="宋体"/>
          <w:b/>
          <w:bCs/>
          <w:sz w:val="32"/>
          <w:szCs w:val="32"/>
        </w:rPr>
        <w:t>第五部分  招标文件/自主竞争性谈判文件/直接委托谈判文件、澄清与答疑文件及其他补充资料（如有，另册）</w:t>
      </w:r>
      <w:bookmarkEnd w:id="81"/>
      <w:bookmarkEnd w:id="82"/>
    </w:p>
    <w:p>
      <w:pPr>
        <w:pStyle w:val="13"/>
        <w:snapToGrid w:val="0"/>
        <w:spacing w:line="360" w:lineRule="auto"/>
        <w:ind w:firstLine="0"/>
        <w:outlineLvl w:val="1"/>
        <w:rPr>
          <w:rFonts w:ascii="宋体" w:hAnsi="宋体" w:cs="宋体"/>
          <w:b/>
          <w:bCs/>
          <w:sz w:val="32"/>
          <w:szCs w:val="32"/>
        </w:rPr>
      </w:pPr>
    </w:p>
    <w:p>
      <w:pPr>
        <w:pStyle w:val="13"/>
        <w:snapToGrid w:val="0"/>
        <w:spacing w:line="360" w:lineRule="auto"/>
        <w:ind w:firstLine="0"/>
        <w:outlineLvl w:val="1"/>
        <w:rPr>
          <w:rFonts w:ascii="宋体" w:hAnsi="宋体" w:cs="宋体"/>
          <w:b/>
          <w:bCs/>
          <w:sz w:val="32"/>
          <w:szCs w:val="32"/>
        </w:rPr>
      </w:pPr>
    </w:p>
    <w:p>
      <w:pPr>
        <w:pStyle w:val="13"/>
        <w:snapToGrid w:val="0"/>
        <w:spacing w:line="360" w:lineRule="auto"/>
        <w:ind w:firstLine="0"/>
        <w:outlineLvl w:val="1"/>
        <w:rPr>
          <w:rFonts w:ascii="宋体" w:hAnsi="宋体" w:cs="宋体"/>
          <w:b/>
          <w:bCs/>
          <w:sz w:val="32"/>
          <w:szCs w:val="32"/>
        </w:rPr>
      </w:pPr>
    </w:p>
    <w:p>
      <w:pPr>
        <w:pStyle w:val="13"/>
        <w:snapToGrid w:val="0"/>
        <w:ind w:firstLine="0"/>
        <w:outlineLvl w:val="1"/>
        <w:rPr>
          <w:rFonts w:ascii="宋体" w:hAnsi="宋体" w:cs="宋体"/>
          <w:b/>
          <w:bCs/>
          <w:sz w:val="32"/>
          <w:szCs w:val="32"/>
        </w:rPr>
      </w:pPr>
      <w:bookmarkStart w:id="83" w:name="_Toc2566"/>
      <w:bookmarkStart w:id="84" w:name="_Toc1742"/>
      <w:r>
        <w:rPr>
          <w:rFonts w:hint="eastAsia" w:ascii="宋体" w:hAnsi="宋体" w:cs="宋体"/>
          <w:b/>
          <w:bCs/>
          <w:sz w:val="32"/>
          <w:szCs w:val="32"/>
        </w:rPr>
        <w:t>第六部分  投标文件/谈判响应文件、澄清文件及其他补充资料（如有，另册）</w:t>
      </w:r>
      <w:bookmarkEnd w:id="83"/>
      <w:bookmarkEnd w:id="84"/>
    </w:p>
    <w:p>
      <w:pPr>
        <w:pStyle w:val="13"/>
        <w:snapToGrid w:val="0"/>
        <w:spacing w:line="360" w:lineRule="auto"/>
        <w:ind w:firstLine="0"/>
        <w:outlineLvl w:val="1"/>
        <w:rPr>
          <w:rFonts w:ascii="宋体" w:hAnsi="宋体" w:cs="宋体"/>
          <w:b/>
          <w:bCs/>
          <w:sz w:val="32"/>
          <w:szCs w:val="32"/>
        </w:rPr>
      </w:pPr>
    </w:p>
    <w:p>
      <w:pPr>
        <w:ind w:firstLine="480" w:firstLineChars="200"/>
        <w:rPr>
          <w:rFonts w:ascii="宋体" w:hAnsi="宋体" w:cs="宋体"/>
          <w:bCs/>
          <w:position w:val="6"/>
          <w:sz w:val="24"/>
        </w:rPr>
      </w:pPr>
    </w:p>
    <w:p>
      <w:pPr>
        <w:rPr>
          <w:rFonts w:ascii="宋体" w:hAnsi="宋体" w:cs="宋体"/>
        </w:rPr>
      </w:pPr>
    </w:p>
    <w:p>
      <w:pPr>
        <w:snapToGrid w:val="0"/>
        <w:spacing w:line="360" w:lineRule="auto"/>
        <w:jc w:val="center"/>
        <w:rPr>
          <w:rFonts w:ascii="宋体" w:hAnsi="宋体" w:cs="宋体"/>
          <w:b/>
          <w:sz w:val="32"/>
          <w:szCs w:val="32"/>
        </w:rPr>
      </w:pPr>
    </w:p>
    <w:p>
      <w:pPr>
        <w:snapToGrid w:val="0"/>
        <w:spacing w:line="360" w:lineRule="auto"/>
        <w:jc w:val="center"/>
        <w:rPr>
          <w:rFonts w:ascii="宋体" w:hAnsi="宋体" w:cs="宋体"/>
          <w:b/>
          <w:sz w:val="32"/>
          <w:szCs w:val="32"/>
        </w:rPr>
        <w:sectPr>
          <w:pgSz w:w="11906" w:h="16838"/>
          <w:pgMar w:top="1440" w:right="1797" w:bottom="1440" w:left="1797" w:header="851" w:footer="851" w:gutter="0"/>
          <w:cols w:space="720" w:num="1"/>
          <w:docGrid w:linePitch="312" w:charSpace="0"/>
        </w:sectPr>
      </w:pPr>
    </w:p>
    <w:p>
      <w:bookmarkStart w:id="85" w:name="_Toc367274929"/>
      <w:bookmarkEnd w:id="85"/>
      <w:bookmarkStart w:id="86" w:name="_Toc227520433"/>
      <w:bookmarkEnd w:id="86"/>
    </w:p>
    <w:p>
      <w:pPr>
        <w:pStyle w:val="3"/>
        <w:keepNext w:val="0"/>
        <w:numPr>
          <w:ilvl w:val="0"/>
          <w:numId w:val="2"/>
        </w:numPr>
        <w:rPr>
          <w:rFonts w:ascii="宋体" w:hAnsi="宋体" w:eastAsia="宋体" w:cs="宋体"/>
          <w:sz w:val="32"/>
          <w:szCs w:val="32"/>
        </w:rPr>
      </w:pPr>
      <w:bookmarkStart w:id="87" w:name="_Toc22245"/>
      <w:r>
        <w:rPr>
          <w:rFonts w:hint="eastAsia" w:ascii="宋体" w:hAnsi="宋体" w:eastAsia="宋体" w:cs="宋体"/>
          <w:sz w:val="32"/>
          <w:szCs w:val="32"/>
        </w:rPr>
        <w:t xml:space="preserve"> </w:t>
      </w:r>
      <w:bookmarkStart w:id="88" w:name="_Toc10471"/>
      <w:bookmarkStart w:id="89" w:name="_Toc10770"/>
      <w:r>
        <w:rPr>
          <w:rFonts w:hint="eastAsia" w:ascii="宋体" w:hAnsi="宋体" w:eastAsia="宋体" w:cs="宋体"/>
          <w:sz w:val="32"/>
          <w:szCs w:val="32"/>
        </w:rPr>
        <w:t>响应文件组成</w:t>
      </w:r>
      <w:bookmarkEnd w:id="87"/>
      <w:bookmarkEnd w:id="88"/>
      <w:bookmarkEnd w:id="89"/>
    </w:p>
    <w:p>
      <w:pPr>
        <w:jc w:val="center"/>
        <w:rPr>
          <w:rFonts w:ascii="宋体" w:hAnsi="宋体"/>
          <w:b/>
        </w:rPr>
      </w:pPr>
      <w:bookmarkStart w:id="90" w:name="_Toc10113"/>
      <w:bookmarkStart w:id="91" w:name="_Toc23924"/>
      <w:r>
        <mc:AlternateContent>
          <mc:Choice Requires="wps">
            <w:drawing>
              <wp:anchor distT="0" distB="0" distL="114300" distR="114300" simplePos="0" relativeHeight="251726848" behindDoc="0" locked="0" layoutInCell="1" allowOverlap="1">
                <wp:simplePos x="0" y="0"/>
                <wp:positionH relativeFrom="column">
                  <wp:posOffset>4446270</wp:posOffset>
                </wp:positionH>
                <wp:positionV relativeFrom="paragraph">
                  <wp:posOffset>172720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0.1pt;margin-top:13.6pt;height:33pt;width:87.75pt;z-index:251726848;mso-width-relative:page;mso-height-relative:page;" fillcolor="#FFFFFF" filled="t" stroked="t" coordsize="21600,21600" o:gfxdata="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1n5rtkAAAAJAQAADwAAAAAAAAABACAAAAAiAAAAZHJzL2Rvd25yZXYueG1sUEsB&#10;AhQAFAAAAAgAh07iQFNcX8AtAgAASAQAAA4AAAAAAAAAAQAgAAAAKAEAAGRycy9lMm9Eb2MueG1s&#10;UEsFBgAAAAAGAAYAWQEAAMc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jc w:val="center"/>
        <w:rPr>
          <w:rFonts w:ascii="宋体" w:hAnsi="宋体" w:cs="Courier New"/>
          <w:b/>
          <w:bCs/>
          <w:sz w:val="52"/>
          <w:szCs w:val="52"/>
        </w:rPr>
      </w:pPr>
    </w:p>
    <w:p>
      <w:pPr>
        <w:jc w:val="center"/>
        <w:rPr>
          <w:rFonts w:ascii="宋体" w:hAnsi="宋体" w:cs="Courier New"/>
          <w:b/>
          <w:bCs/>
          <w:sz w:val="52"/>
          <w:szCs w:val="52"/>
        </w:rPr>
      </w:pPr>
    </w:p>
    <w:p>
      <w:pPr>
        <w:spacing w:line="360" w:lineRule="auto"/>
        <w:jc w:val="center"/>
        <w:outlineLvl w:val="0"/>
        <w:rPr>
          <w:rFonts w:ascii="宋体" w:hAnsi="宋体"/>
          <w:b/>
          <w:bCs/>
          <w:sz w:val="52"/>
          <w:szCs w:val="52"/>
        </w:rPr>
      </w:pPr>
      <w:bookmarkStart w:id="92" w:name="_Toc9761"/>
      <w:bookmarkStart w:id="93" w:name="_Toc24032"/>
      <w:bookmarkStart w:id="94" w:name="_Toc29040"/>
      <w:bookmarkStart w:id="95" w:name="_Toc8699"/>
      <w:r>
        <w:rPr>
          <w:rFonts w:hint="eastAsia" w:ascii="宋体" w:hAnsi="宋体"/>
          <w:b/>
          <w:bCs/>
          <w:sz w:val="52"/>
          <w:szCs w:val="52"/>
        </w:rPr>
        <w:t>自主竞争性谈判</w:t>
      </w:r>
      <w:bookmarkEnd w:id="92"/>
      <w:bookmarkEnd w:id="93"/>
      <w:bookmarkEnd w:id="94"/>
      <w:bookmarkEnd w:id="95"/>
    </w:p>
    <w:p>
      <w:pPr>
        <w:spacing w:line="360" w:lineRule="auto"/>
        <w:jc w:val="center"/>
        <w:outlineLvl w:val="0"/>
        <w:rPr>
          <w:rFonts w:ascii="宋体" w:hAnsi="宋体"/>
          <w:b/>
          <w:bCs/>
          <w:sz w:val="52"/>
          <w:szCs w:val="52"/>
        </w:rPr>
      </w:pPr>
      <w:bookmarkStart w:id="96" w:name="_Toc7651"/>
      <w:bookmarkStart w:id="97" w:name="_Toc22943"/>
      <w:bookmarkStart w:id="98" w:name="_Toc31087"/>
      <w:bookmarkStart w:id="99" w:name="_Toc16045"/>
      <w:r>
        <w:rPr>
          <w:rFonts w:hint="eastAsia" w:ascii="宋体" w:hAnsi="宋体"/>
          <w:b/>
          <w:bCs/>
          <w:sz w:val="52"/>
          <w:szCs w:val="52"/>
        </w:rPr>
        <w:t>响应文件</w:t>
      </w:r>
      <w:bookmarkEnd w:id="96"/>
      <w:bookmarkEnd w:id="97"/>
      <w:bookmarkEnd w:id="98"/>
      <w:bookmarkEnd w:id="99"/>
    </w:p>
    <w:p>
      <w:pPr>
        <w:rPr>
          <w:rFonts w:ascii="黑体" w:hAnsi="宋体" w:eastAsia="黑体"/>
          <w:sz w:val="30"/>
          <w:szCs w:val="30"/>
        </w:rPr>
      </w:pPr>
    </w:p>
    <w:p>
      <w:pPr>
        <w:pStyle w:val="25"/>
        <w:rPr>
          <w:rFonts w:hAnsi="宋体"/>
          <w:b/>
          <w:sz w:val="32"/>
          <w:szCs w:val="32"/>
        </w:rPr>
      </w:pPr>
    </w:p>
    <w:p>
      <w:pPr>
        <w:pStyle w:val="25"/>
        <w:rPr>
          <w:rFonts w:hAnsi="宋体"/>
          <w:b/>
          <w:sz w:val="32"/>
          <w:szCs w:val="32"/>
        </w:rPr>
      </w:pPr>
    </w:p>
    <w:p>
      <w:pPr>
        <w:pStyle w:val="25"/>
        <w:adjustRightInd w:val="0"/>
        <w:snapToGrid w:val="0"/>
        <w:spacing w:line="360" w:lineRule="auto"/>
        <w:outlineLvl w:val="0"/>
        <w:rPr>
          <w:rFonts w:hAnsi="宋体"/>
          <w:b/>
          <w:bCs/>
          <w:sz w:val="32"/>
          <w:szCs w:val="32"/>
          <w:u w:val="single"/>
        </w:rPr>
      </w:pPr>
      <w:bookmarkStart w:id="100" w:name="_Toc29333"/>
      <w:bookmarkStart w:id="101" w:name="_Toc31840"/>
      <w:bookmarkStart w:id="102" w:name="_Toc29313"/>
      <w:bookmarkStart w:id="103" w:name="_Toc5951"/>
      <w:r>
        <w:rPr>
          <w:rFonts w:hint="eastAsia" w:hAnsi="宋体"/>
          <w:b/>
          <w:bCs/>
          <w:sz w:val="32"/>
          <w:szCs w:val="32"/>
        </w:rPr>
        <w:t>谈判项目名称：</w:t>
      </w:r>
      <w:bookmarkEnd w:id="100"/>
      <w:bookmarkEnd w:id="101"/>
      <w:bookmarkEnd w:id="102"/>
      <w:bookmarkEnd w:id="103"/>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outlineLvl w:val="0"/>
        <w:rPr>
          <w:rFonts w:hAnsi="宋体"/>
          <w:b/>
          <w:bCs/>
          <w:sz w:val="32"/>
          <w:szCs w:val="32"/>
          <w:u w:val="single"/>
        </w:rPr>
      </w:pPr>
      <w:bookmarkStart w:id="104" w:name="_Toc3487"/>
      <w:bookmarkStart w:id="105" w:name="_Toc337"/>
      <w:bookmarkStart w:id="106" w:name="_Toc27261"/>
      <w:bookmarkStart w:id="107" w:name="_Toc13124"/>
      <w:r>
        <w:rPr>
          <w:rFonts w:hint="eastAsia" w:hAnsi="宋体"/>
          <w:b/>
          <w:bCs/>
          <w:sz w:val="32"/>
          <w:szCs w:val="32"/>
        </w:rPr>
        <w:t>谈判单位名称：</w:t>
      </w:r>
      <w:r>
        <w:rPr>
          <w:rFonts w:hint="eastAsia" w:hAnsi="宋体"/>
          <w:b/>
          <w:bCs/>
          <w:sz w:val="32"/>
          <w:szCs w:val="32"/>
          <w:u w:val="single"/>
        </w:rPr>
        <w:t xml:space="preserve">      （加盖单位公章）</w:t>
      </w:r>
      <w:bookmarkEnd w:id="104"/>
      <w:bookmarkEnd w:id="105"/>
      <w:bookmarkEnd w:id="106"/>
      <w:bookmarkEnd w:id="107"/>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outlineLvl w:val="0"/>
        <w:rPr>
          <w:rFonts w:hAnsi="宋体"/>
          <w:b/>
          <w:bCs/>
          <w:sz w:val="32"/>
          <w:szCs w:val="32"/>
          <w:u w:val="single"/>
        </w:rPr>
      </w:pPr>
      <w:bookmarkStart w:id="108" w:name="_Toc17823"/>
      <w:bookmarkStart w:id="109" w:name="_Toc7639"/>
      <w:bookmarkStart w:id="110" w:name="_Toc6608"/>
      <w:bookmarkStart w:id="111" w:name="_Toc18680"/>
      <w:r>
        <w:rPr>
          <w:rFonts w:hint="eastAsia" w:hAnsi="宋体"/>
          <w:b/>
          <w:bCs/>
          <w:sz w:val="32"/>
          <w:szCs w:val="32"/>
        </w:rPr>
        <w:t>谈判项目编号：</w:t>
      </w:r>
      <w:bookmarkEnd w:id="108"/>
      <w:bookmarkEnd w:id="109"/>
      <w:bookmarkEnd w:id="110"/>
      <w:bookmarkEnd w:id="111"/>
      <w:r>
        <w:rPr>
          <w:rFonts w:hint="eastAsia" w:hAnsi="宋体"/>
          <w:b/>
          <w:bCs/>
          <w:sz w:val="32"/>
          <w:szCs w:val="32"/>
          <w:u w:val="single"/>
        </w:rPr>
        <w:t xml:space="preserve">                      </w:t>
      </w: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rPr>
          <w:rFonts w:hAnsi="宋体"/>
          <w:sz w:val="32"/>
          <w:szCs w:val="32"/>
        </w:rPr>
      </w:pPr>
    </w:p>
    <w:p>
      <w:pPr>
        <w:pStyle w:val="25"/>
        <w:adjustRightInd w:val="0"/>
        <w:snapToGrid w:val="0"/>
        <w:spacing w:line="360" w:lineRule="auto"/>
        <w:ind w:left="846" w:leftChars="403" w:firstLine="156" w:firstLineChars="49"/>
        <w:jc w:val="center"/>
        <w:outlineLvl w:val="0"/>
        <w:rPr>
          <w:rFonts w:hAnsi="宋体"/>
          <w:sz w:val="32"/>
          <w:szCs w:val="32"/>
        </w:rPr>
      </w:pPr>
      <w:bookmarkStart w:id="112" w:name="_Toc24710"/>
      <w:bookmarkStart w:id="113" w:name="_Toc28705"/>
      <w:bookmarkStart w:id="114" w:name="_Toc25832"/>
      <w:bookmarkStart w:id="115" w:name="_Toc31173"/>
      <w:r>
        <w:rPr>
          <w:rFonts w:hint="eastAsia" w:hAnsi="宋体"/>
          <w:sz w:val="32"/>
          <w:szCs w:val="32"/>
        </w:rPr>
        <w:t>日   期：</w:t>
      </w:r>
      <w:r>
        <w:rPr>
          <w:rFonts w:hint="eastAsia" w:hAnsi="宋体"/>
          <w:sz w:val="32"/>
          <w:szCs w:val="32"/>
          <w:u w:val="single"/>
        </w:rPr>
        <w:t xml:space="preserve">   </w:t>
      </w:r>
      <w:r>
        <w:rPr>
          <w:rFonts w:hint="eastAsia" w:hAnsi="宋体"/>
          <w:sz w:val="32"/>
          <w:szCs w:val="32"/>
        </w:rPr>
        <w:t>年</w:t>
      </w:r>
      <w:r>
        <w:rPr>
          <w:rFonts w:hint="eastAsia" w:hAnsi="宋体"/>
          <w:sz w:val="32"/>
          <w:szCs w:val="32"/>
          <w:u w:val="single"/>
        </w:rPr>
        <w:t xml:space="preserve">   </w:t>
      </w:r>
      <w:r>
        <w:rPr>
          <w:rFonts w:hint="eastAsia" w:hAnsi="宋体"/>
          <w:sz w:val="32"/>
          <w:szCs w:val="32"/>
        </w:rPr>
        <w:t>月</w:t>
      </w:r>
      <w:r>
        <w:rPr>
          <w:rFonts w:hint="eastAsia" w:hAnsi="宋体"/>
          <w:sz w:val="32"/>
          <w:szCs w:val="32"/>
          <w:u w:val="single"/>
        </w:rPr>
        <w:t xml:space="preserve">   </w:t>
      </w:r>
      <w:r>
        <w:rPr>
          <w:rFonts w:hint="eastAsia" w:hAnsi="宋体"/>
          <w:sz w:val="32"/>
          <w:szCs w:val="32"/>
        </w:rPr>
        <w:t>日</w:t>
      </w:r>
      <w:bookmarkEnd w:id="112"/>
      <w:bookmarkEnd w:id="113"/>
      <w:bookmarkEnd w:id="114"/>
      <w:bookmarkEnd w:id="115"/>
    </w:p>
    <w:p/>
    <w:p>
      <w:pPr>
        <w:spacing w:line="360" w:lineRule="auto"/>
        <w:jc w:val="center"/>
        <w:rPr>
          <w:rFonts w:ascii="宋体" w:hAnsi="宋体"/>
          <w:b/>
          <w:sz w:val="44"/>
          <w:szCs w:val="44"/>
        </w:rPr>
        <w:sectPr>
          <w:pgSz w:w="11906" w:h="16838"/>
          <w:pgMar w:top="1440" w:right="1797" w:bottom="1440" w:left="1797" w:header="851" w:footer="851"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一、谈判承诺书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二、法定代表人身份证明书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三、授权委托书</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四、谈判单位资格条件证明文件</w:t>
      </w:r>
    </w:p>
    <w:p>
      <w:pPr>
        <w:adjustRightInd w:val="0"/>
        <w:snapToGrid w:val="0"/>
        <w:spacing w:line="360" w:lineRule="auto"/>
        <w:rPr>
          <w:rFonts w:hint="eastAsia" w:ascii="宋体" w:hAnsi="宋体" w:eastAsia="宋体" w:cs="Times New Roman"/>
          <w:b/>
          <w:bCs/>
          <w:szCs w:val="21"/>
        </w:rPr>
      </w:pPr>
      <w:r>
        <w:rPr>
          <w:rFonts w:hint="eastAsia" w:ascii="宋体" w:hAnsi="宋体" w:eastAsia="宋体" w:cs="Times New Roman"/>
          <w:b/>
          <w:bCs/>
          <w:szCs w:val="21"/>
        </w:rPr>
        <w:t>五、实质性条款（标注“★”符号）响应表</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六、报价一览表</w:t>
      </w:r>
    </w:p>
    <w:p>
      <w:pPr>
        <w:adjustRightInd w:val="0"/>
        <w:snapToGrid w:val="0"/>
        <w:spacing w:line="360" w:lineRule="auto"/>
        <w:rPr>
          <w:rFonts w:ascii="宋体" w:hAnsi="宋体" w:eastAsia="宋体" w:cs="宋体"/>
          <w:sz w:val="32"/>
          <w:szCs w:val="32"/>
        </w:rPr>
        <w:sectPr>
          <w:pgSz w:w="11906" w:h="16838"/>
          <w:pgMar w:top="1440" w:right="1797" w:bottom="1440" w:left="1797" w:header="851" w:footer="851" w:gutter="0"/>
          <w:cols w:space="720" w:num="1"/>
          <w:docGrid w:linePitch="312" w:charSpace="0"/>
        </w:sectPr>
      </w:pPr>
      <w:r>
        <w:rPr>
          <w:rFonts w:hint="eastAsia" w:ascii="宋体" w:hAnsi="宋体" w:eastAsia="宋体" w:cs="Times New Roman"/>
          <w:szCs w:val="21"/>
        </w:rPr>
        <w:t>七、其他资料（如有）</w:t>
      </w:r>
      <w:r>
        <w:rPr>
          <w:rFonts w:hint="eastAsia" w:ascii="宋体" w:hAnsi="宋体"/>
          <w:sz w:val="24"/>
        </w:rPr>
        <w:br w:type="page"/>
      </w:r>
    </w:p>
    <w:bookmarkEnd w:id="90"/>
    <w:bookmarkEnd w:id="91"/>
    <w:p>
      <w:pPr>
        <w:spacing w:after="120" w:afterLines="50"/>
        <w:ind w:firstLine="640" w:firstLineChars="200"/>
        <w:jc w:val="center"/>
        <w:outlineLvl w:val="1"/>
        <w:rPr>
          <w:rFonts w:asciiTheme="minorEastAsia" w:hAnsiTheme="minorEastAsia" w:eastAsiaTheme="minorEastAsia"/>
          <w:sz w:val="32"/>
          <w:szCs w:val="32"/>
        </w:rPr>
      </w:pPr>
      <w:bookmarkStart w:id="116" w:name="_Toc14530"/>
      <w:bookmarkStart w:id="117" w:name="_Toc32569"/>
      <w:bookmarkStart w:id="118" w:name="_Toc32600"/>
      <w:bookmarkStart w:id="119" w:name="_Toc49160743"/>
      <w:bookmarkStart w:id="120" w:name="_Toc17425"/>
      <w:r>
        <w:rPr>
          <w:rFonts w:hint="eastAsia" w:cs="宋体" w:asciiTheme="minorEastAsia" w:hAnsiTheme="minorEastAsia" w:eastAsiaTheme="minorEastAsia"/>
          <w:sz w:val="32"/>
          <w:szCs w:val="32"/>
        </w:rPr>
        <w:t>一、谈判承诺书</w:t>
      </w:r>
      <w:bookmarkEnd w:id="116"/>
      <w:bookmarkEnd w:id="117"/>
      <w:bookmarkEnd w:id="118"/>
      <w:bookmarkEnd w:id="119"/>
      <w:bookmarkEnd w:id="120"/>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5"/>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5"/>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5"/>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5"/>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5"/>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rPr>
      </w:pPr>
      <w:r>
        <w:rPr>
          <w:rFonts w:hint="eastAsia" w:hAnsi="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5"/>
        <w:adjustRightInd w:val="0"/>
        <w:snapToGrid w:val="0"/>
        <w:spacing w:line="360" w:lineRule="auto"/>
        <w:rPr>
          <w:rFonts w:hAnsi="宋体"/>
        </w:rPr>
      </w:pPr>
    </w:p>
    <w:p>
      <w:pPr>
        <w:pStyle w:val="25"/>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adjustRightInd w:val="0"/>
        <w:snapToGrid w:val="0"/>
        <w:spacing w:line="360" w:lineRule="auto"/>
        <w:ind w:right="24"/>
        <w:rPr>
          <w:rFonts w:ascii="黑体" w:hAnsi="华文中宋" w:eastAsia="黑体"/>
          <w:bCs/>
          <w:sz w:val="28"/>
          <w:szCs w:val="28"/>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after="120" w:afterLines="50"/>
        <w:ind w:firstLine="640" w:firstLineChars="200"/>
        <w:jc w:val="center"/>
        <w:outlineLvl w:val="1"/>
        <w:rPr>
          <w:rFonts w:hint="eastAsia" w:cs="宋体" w:asciiTheme="minorEastAsia" w:hAnsiTheme="minorEastAsia" w:eastAsiaTheme="minorEastAsia"/>
          <w:sz w:val="32"/>
          <w:szCs w:val="32"/>
        </w:rPr>
      </w:pPr>
      <w:bookmarkStart w:id="121" w:name="_Toc1313"/>
      <w:bookmarkStart w:id="122" w:name="_Toc49160744"/>
      <w:bookmarkStart w:id="123" w:name="_Toc3026"/>
      <w:bookmarkStart w:id="124" w:name="_Toc31277"/>
      <w:bookmarkStart w:id="125" w:name="_Toc6782"/>
      <w:bookmarkStart w:id="126" w:name="_Toc1373"/>
      <w:bookmarkStart w:id="127" w:name="_Toc15328"/>
    </w:p>
    <w:bookmarkEnd w:id="121"/>
    <w:bookmarkEnd w:id="122"/>
    <w:bookmarkEnd w:id="123"/>
    <w:bookmarkEnd w:id="124"/>
    <w:p>
      <w:pPr>
        <w:spacing w:after="120" w:afterLines="50"/>
        <w:ind w:firstLine="640" w:firstLineChars="200"/>
        <w:jc w:val="center"/>
        <w:outlineLvl w:val="1"/>
        <w:rPr>
          <w:rFonts w:hint="eastAsia" w:cs="宋体" w:asciiTheme="minorEastAsia" w:hAnsiTheme="minorEastAsia" w:eastAsiaTheme="minorEastAsia"/>
          <w:sz w:val="32"/>
          <w:szCs w:val="32"/>
        </w:rPr>
      </w:pPr>
      <w:bookmarkStart w:id="128" w:name="_Toc30180"/>
      <w:bookmarkStart w:id="129" w:name="_Toc23623"/>
      <w:bookmarkStart w:id="130" w:name="_Toc21878"/>
      <w:r>
        <w:rPr>
          <w:rFonts w:hint="eastAsia" w:cs="宋体" w:asciiTheme="minorEastAsia" w:hAnsiTheme="minorEastAsia" w:eastAsiaTheme="minorEastAsia"/>
          <w:sz w:val="32"/>
          <w:szCs w:val="32"/>
        </w:rPr>
        <w:t>二、法定代表人身份证明书</w:t>
      </w:r>
      <w:bookmarkEnd w:id="128"/>
      <w:bookmarkEnd w:id="129"/>
    </w:p>
    <w:p>
      <w:pPr>
        <w:keepNext w:val="0"/>
        <w:keepLines w:val="0"/>
        <w:pageBreakBefore w:val="0"/>
        <w:widowControl w:val="0"/>
        <w:kinsoku/>
        <w:wordWrap/>
        <w:overflowPunct/>
        <w:topLinePunct w:val="0"/>
        <w:bidi w:val="0"/>
        <w:snapToGrid w:val="0"/>
        <w:spacing w:line="480" w:lineRule="auto"/>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w:t>
      </w:r>
      <w:r>
        <w:rPr>
          <w:rFonts w:hint="eastAsia" w:ascii="宋体" w:hAnsi="宋体" w:cs="宋体"/>
          <w:kern w:val="0"/>
          <w:szCs w:val="21"/>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rFonts w:ascii="宋体" w:hAnsi="宋体" w:cs="宋体"/>
          <w:kern w:val="0"/>
          <w:szCs w:val="21"/>
        </w:rPr>
      </w:pPr>
      <w:r>
        <w:rPr>
          <w:rFonts w:hint="eastAsia" w:ascii="宋体" w:hAnsi="宋体" w:cs="宋体"/>
          <w:kern w:val="0"/>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ascii="宋体" w:hAnsi="宋体"/>
          <w:szCs w:val="21"/>
        </w:rPr>
        <mc:AlternateContent>
          <mc:Choice Requires="wps">
            <w:drawing>
              <wp:anchor distT="0" distB="0" distL="114300" distR="114300" simplePos="0" relativeHeight="251750400"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566080;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kv1ol1wAAAAoBAAAPAAAAAAAAAAEAIAAAACIAAABkcnMvZG93bnJldi54bWxQSwECFAAUAAAA&#10;CACHTuJArPsoeygCAABGBAAADgAAAAAAAAABACAAAAAm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txbxContent>
                </v:textbox>
              </v:rect>
            </w:pict>
          </mc:Fallback>
        </mc:AlternateContent>
      </w:r>
      <w:r>
        <w:rPr>
          <w:rFonts w:ascii="宋体" w:hAnsi="宋体"/>
          <w:szCs w:val="21"/>
        </w:rPr>
        <mc:AlternateContent>
          <mc:Choice Requires="wps">
            <w:drawing>
              <wp:anchor distT="0" distB="0" distL="114300" distR="114300" simplePos="0" relativeHeight="251749376"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567104;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fjdNtkAAAAKAQAADwAAAAAAAAABACAAAAAiAAAAZHJzL2Rvd25yZXYueG1sUEsBAhQAFAAA&#10;AAgAh07iQAmXNsgnAgAARgQAAA4AAAAAAAAAAQAgAAAAKAEAAGRycy9lMm9Eb2MueG1sUEsFBgAA&#10;AAAGAAYAWQEAAME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snapToGrid w:val="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单位名称（盖单位章）：</w:t>
      </w:r>
      <w:r>
        <w:rPr>
          <w:rFonts w:hint="eastAsia"/>
          <w:u w:val="single"/>
        </w:rPr>
        <w:t xml:space="preserve">    （盖单位章）    </w:t>
      </w:r>
    </w:p>
    <w:p>
      <w:pPr>
        <w:keepNext w:val="0"/>
        <w:keepLines w:val="0"/>
        <w:pageBreakBefore w:val="0"/>
        <w:widowControl w:val="0"/>
        <w:kinsoku/>
        <w:wordWrap/>
        <w:overflowPunct/>
        <w:topLinePunct w:val="0"/>
        <w:bidi w:val="0"/>
        <w:spacing w:line="360" w:lineRule="auto"/>
        <w:textAlignment w:val="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bidi w:val="0"/>
        <w:adjustRightInd w:val="0"/>
        <w:snapToGrid w:val="0"/>
        <w:spacing w:line="360" w:lineRule="auto"/>
        <w:ind w:right="24"/>
        <w:jc w:val="center"/>
        <w:textAlignment w:val="auto"/>
        <w:rPr>
          <w:rFonts w:hint="eastAsia" w:cs="宋体" w:asciiTheme="minorEastAsia" w:hAnsiTheme="minorEastAsia" w:eastAsiaTheme="minorEastAsia"/>
          <w:sz w:val="32"/>
          <w:szCs w:val="32"/>
        </w:rPr>
      </w:pPr>
      <w:r>
        <w:rPr>
          <w:rFonts w:ascii="黑体" w:hAnsi="华文中宋" w:eastAsia="黑体"/>
          <w:bCs/>
          <w:sz w:val="24"/>
        </w:rPr>
        <w:br w:type="page"/>
      </w:r>
      <w:bookmarkStart w:id="131" w:name="_Toc3933"/>
      <w:bookmarkStart w:id="132" w:name="_Toc11400"/>
      <w:r>
        <w:rPr>
          <w:rFonts w:hint="eastAsia" w:cs="宋体" w:asciiTheme="minorEastAsia" w:hAnsiTheme="minorEastAsia" w:eastAsiaTheme="minorEastAsia"/>
          <w:sz w:val="32"/>
          <w:szCs w:val="32"/>
        </w:rPr>
        <w:t>三、授权委托书</w:t>
      </w:r>
      <w:bookmarkEnd w:id="131"/>
      <w:bookmarkEnd w:id="132"/>
    </w:p>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rPr>
          <w:rFonts w:ascii="宋体" w:hAnsi="宋体" w:cs="宋体"/>
          <w:kern w:val="0"/>
          <w:szCs w:val="21"/>
        </w:rPr>
      </w:pPr>
      <w:r>
        <w:rPr>
          <w:rFonts w:hint="eastAsia" w:ascii="宋体" w:hAnsi="宋体" w:cs="宋体"/>
          <w:kern w:val="0"/>
          <w:szCs w:val="21"/>
        </w:rPr>
        <w:t>本人</w:t>
      </w:r>
      <w:r>
        <w:rPr>
          <w:rFonts w:hint="eastAsia" w:ascii="宋体" w:hAnsi="宋体"/>
          <w:szCs w:val="21"/>
          <w:u w:val="single"/>
        </w:rPr>
        <w:t xml:space="preserve">               </w:t>
      </w:r>
      <w:r>
        <w:rPr>
          <w:rFonts w:hint="eastAsia" w:ascii="宋体" w:hAnsi="宋体" w:cs="宋体"/>
          <w:kern w:val="0"/>
          <w:szCs w:val="21"/>
          <w:u w:val="none"/>
        </w:rPr>
        <w:t>（姓名、职务）</w:t>
      </w:r>
      <w:r>
        <w:rPr>
          <w:rFonts w:hint="eastAsia" w:ascii="宋体" w:hAnsi="宋体" w:cs="宋体"/>
          <w:kern w:val="0"/>
          <w:szCs w:val="21"/>
        </w:rPr>
        <w:t>系</w:t>
      </w:r>
      <w:r>
        <w:rPr>
          <w:rFonts w:hint="eastAsia" w:ascii="宋体" w:hAnsi="宋体"/>
          <w:szCs w:val="21"/>
          <w:u w:val="single"/>
        </w:rPr>
        <w:t xml:space="preserve">               </w:t>
      </w:r>
      <w:r>
        <w:rPr>
          <w:rFonts w:hint="eastAsia" w:ascii="宋体" w:hAnsi="宋体" w:cs="宋体"/>
          <w:kern w:val="0"/>
          <w:szCs w:val="21"/>
          <w:u w:val="none"/>
        </w:rPr>
        <w:t>（</w:t>
      </w:r>
      <w:r>
        <w:rPr>
          <w:rFonts w:hint="eastAsia" w:ascii="宋体" w:hAnsi="宋体"/>
          <w:szCs w:val="21"/>
          <w:u w:val="none"/>
        </w:rPr>
        <w:t>谈判</w:t>
      </w:r>
      <w:r>
        <w:rPr>
          <w:rFonts w:hint="eastAsia" w:ascii="宋体" w:hAnsi="宋体"/>
          <w:szCs w:val="21"/>
          <w:u w:val="none"/>
          <w:lang w:eastAsia="zh-CN"/>
        </w:rPr>
        <w:t>法人</w:t>
      </w:r>
      <w:r>
        <w:rPr>
          <w:rFonts w:hint="eastAsia" w:ascii="宋体" w:hAnsi="宋体"/>
          <w:szCs w:val="21"/>
          <w:u w:val="none"/>
        </w:rPr>
        <w:t>单位</w:t>
      </w:r>
      <w:r>
        <w:rPr>
          <w:rFonts w:hint="eastAsia" w:ascii="宋体" w:hAnsi="宋体" w:cs="宋体"/>
          <w:kern w:val="0"/>
          <w:szCs w:val="21"/>
          <w:u w:val="none"/>
        </w:rPr>
        <w:t>名称）</w:t>
      </w:r>
      <w:r>
        <w:rPr>
          <w:rFonts w:hint="eastAsia" w:ascii="宋体" w:hAnsi="宋体" w:cs="宋体"/>
          <w:kern w:val="0"/>
          <w:szCs w:val="21"/>
        </w:rPr>
        <w:t>的法定代表人，现授权</w:t>
      </w:r>
      <w:r>
        <w:rPr>
          <w:rFonts w:hint="eastAsia" w:ascii="宋体" w:hAnsi="宋体"/>
          <w:szCs w:val="21"/>
          <w:u w:val="single"/>
        </w:rPr>
        <w:t xml:space="preserve">               </w:t>
      </w:r>
      <w:r>
        <w:rPr>
          <w:rFonts w:hint="eastAsia" w:ascii="宋体" w:hAnsi="宋体" w:cs="宋体"/>
          <w:kern w:val="0"/>
          <w:szCs w:val="21"/>
          <w:u w:val="none"/>
        </w:rPr>
        <w:t>（</w:t>
      </w:r>
      <w:r>
        <w:rPr>
          <w:rFonts w:hint="eastAsia" w:ascii="宋体" w:hAnsi="宋体" w:cs="宋体"/>
          <w:kern w:val="0"/>
          <w:szCs w:val="21"/>
          <w:u w:val="none"/>
          <w:lang w:eastAsia="zh-CN"/>
        </w:rPr>
        <w:t>分公司</w:t>
      </w:r>
      <w:r>
        <w:rPr>
          <w:rFonts w:hint="eastAsia" w:ascii="宋体" w:hAnsi="宋体" w:cs="宋体"/>
          <w:kern w:val="0"/>
          <w:szCs w:val="21"/>
          <w:u w:val="none"/>
        </w:rPr>
        <w:t>）</w:t>
      </w:r>
      <w:r>
        <w:rPr>
          <w:rFonts w:hint="eastAsia" w:ascii="宋体" w:hAnsi="宋体" w:cs="宋体"/>
          <w:kern w:val="0"/>
          <w:szCs w:val="21"/>
          <w:u w:val="none"/>
          <w:lang w:eastAsia="zh-CN"/>
        </w:rPr>
        <w:t>及</w:t>
      </w:r>
      <w:r>
        <w:rPr>
          <w:rFonts w:hint="eastAsia" w:ascii="宋体" w:hAnsi="宋体"/>
          <w:szCs w:val="21"/>
          <w:u w:val="single"/>
        </w:rPr>
        <w:t xml:space="preserve">               </w:t>
      </w:r>
      <w:r>
        <w:rPr>
          <w:rFonts w:hint="eastAsia" w:ascii="宋体" w:hAnsi="宋体"/>
          <w:szCs w:val="21"/>
          <w:u w:val="none"/>
          <w:lang w:eastAsia="zh-CN"/>
        </w:rPr>
        <w:t>（姓名、职务）</w:t>
      </w:r>
      <w:r>
        <w:rPr>
          <w:rFonts w:hint="eastAsia" w:ascii="宋体" w:hAnsi="宋体" w:cs="宋体"/>
          <w:kern w:val="0"/>
          <w:szCs w:val="21"/>
        </w:rPr>
        <w:t>为我方代理人。代理人根据授权，以我方名义签署、澄清、补正、修改、撤回、提交</w:t>
      </w:r>
      <w:r>
        <w:rPr>
          <w:rFonts w:hint="eastAsia" w:ascii="宋体" w:hAnsi="宋体"/>
          <w:szCs w:val="21"/>
          <w:u w:val="single"/>
        </w:rPr>
        <w:t xml:space="preserve">               </w:t>
      </w:r>
      <w:r>
        <w:rPr>
          <w:rFonts w:hint="eastAsia" w:ascii="宋体" w:hAnsi="宋体" w:cs="宋体"/>
          <w:kern w:val="0"/>
          <w:szCs w:val="21"/>
          <w:u w:val="none"/>
        </w:rPr>
        <w:t>（项目名称、</w:t>
      </w:r>
      <w:r>
        <w:rPr>
          <w:rFonts w:hint="eastAsia" w:ascii="宋体" w:hAnsi="宋体"/>
          <w:szCs w:val="21"/>
          <w:u w:val="none"/>
        </w:rPr>
        <w:t>项目</w:t>
      </w:r>
      <w:r>
        <w:rPr>
          <w:rFonts w:hint="eastAsia" w:ascii="宋体" w:hAnsi="宋体" w:cs="宋体"/>
          <w:kern w:val="0"/>
          <w:szCs w:val="21"/>
          <w:u w:val="none"/>
        </w:rPr>
        <w:t>编号）</w:t>
      </w:r>
      <w:r>
        <w:rPr>
          <w:rFonts w:hint="eastAsia" w:ascii="宋体" w:hAnsi="宋体" w:cs="宋体"/>
          <w:kern w:val="0"/>
          <w:szCs w:val="21"/>
        </w:rPr>
        <w:t>响应文件及与本谈判项目的有关事宜，其法律后果由我方承担。</w:t>
      </w: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p>
    <w:p>
      <w:pPr>
        <w:keepNext w:val="0"/>
        <w:keepLines w:val="0"/>
        <w:pageBreakBefore w:val="0"/>
        <w:widowControl w:val="0"/>
        <w:kinsoku/>
        <w:wordWrap/>
        <w:overflowPunct/>
        <w:topLinePunct w:val="0"/>
        <w:bidi w:val="0"/>
        <w:spacing w:line="360" w:lineRule="auto"/>
        <w:ind w:firstLine="435"/>
        <w:textAlignment w:val="auto"/>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widowControl w:val="0"/>
        <w:kinsoku/>
        <w:wordWrap/>
        <w:overflowPunct/>
        <w:topLinePunct w:val="0"/>
        <w:bidi w:val="0"/>
        <w:spacing w:line="360" w:lineRule="auto"/>
        <w:ind w:firstLine="435"/>
        <w:textAlignment w:val="auto"/>
        <w:rPr>
          <w:rFonts w:ascii="宋体" w:hAnsi="宋体"/>
          <w:szCs w:val="21"/>
        </w:rPr>
      </w:pPr>
      <w:r>
        <w:rPr>
          <w:rFonts w:hint="eastAsia" w:ascii="宋体" w:hAnsi="宋体"/>
          <w:szCs w:val="21"/>
        </w:rPr>
        <w:t>本授权书于</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日签字生效，特此声明。</w:t>
      </w:r>
    </w:p>
    <w:p>
      <w:pPr>
        <w:keepNext w:val="0"/>
        <w:keepLines w:val="0"/>
        <w:pageBreakBefore w:val="0"/>
        <w:widowControl w:val="0"/>
        <w:kinsoku/>
        <w:wordWrap/>
        <w:overflowPunct/>
        <w:topLinePunct w:val="0"/>
        <w:bidi w:val="0"/>
        <w:adjustRightInd w:val="0"/>
        <w:snapToGrid w:val="0"/>
        <w:spacing w:before="120" w:beforeLines="50" w:line="360" w:lineRule="auto"/>
        <w:ind w:firstLine="420" w:firstLineChars="200"/>
        <w:textAlignment w:val="auto"/>
        <w:rPr>
          <w:rFonts w:ascii="宋体" w:hAnsi="宋体"/>
          <w:szCs w:val="21"/>
        </w:rPr>
      </w:pPr>
      <w:r>
        <w:rPr>
          <w:rFonts w:ascii="宋体" w:hAnsi="宋体"/>
          <w:szCs w:val="21"/>
        </w:rPr>
        <mc:AlternateContent>
          <mc:Choice Requires="wps">
            <w:drawing>
              <wp:anchor distT="0" distB="0" distL="114300" distR="114300" simplePos="0" relativeHeight="251753472"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9" name="矩形 9"/>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563008;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5&#10;YK+A2AAAAAkBAAAPAAAAAAAAAAEAIAAAACIAAABkcnMvZG93bnJldi54bWxQSwECFAAUAAAACACH&#10;TuJAzTvsLOsBAADqAwAADgAAAAAAAAABACAAAAAn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ascii="宋体" w:hAnsi="宋体"/>
          <w:szCs w:val="21"/>
        </w:rPr>
        <mc:AlternateContent>
          <mc:Choice Requires="wps">
            <w:drawing>
              <wp:anchor distT="0" distB="0" distL="114300" distR="114300" simplePos="0" relativeHeight="251755520"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2" name="矩形 2"/>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560960;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LVO31gAAAAgBAAAPAAAAAAAAAAEAIAAAACIAAABkcnMvZG93bnJldi54bWxQSwECFAAUAAAACACH&#10;TuJAuxz3Ce0BAADqAwAADgAAAAAAAAABACAAAAAlAQAAZHJzL2Uyb0RvYy54bWxQSwUGAAAAAAYA&#10;BgBZAQAAhAU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谈判</w:t>
                      </w:r>
                      <w:r>
                        <w:rPr>
                          <w:rFonts w:hint="eastAsia"/>
                          <w:b/>
                          <w:lang w:eastAsia="zh-CN"/>
                        </w:rPr>
                        <w:t>法人</w:t>
                      </w:r>
                      <w:r>
                        <w:rPr>
                          <w:rFonts w:hint="eastAsia"/>
                          <w:b/>
                        </w:rPr>
                        <w:t>单位营业执照副本复印件</w:t>
                      </w:r>
                    </w:p>
                    <w:p>
                      <w:pPr>
                        <w:rPr>
                          <w:highlight w:val="yellow"/>
                        </w:rPr>
                      </w:pPr>
                    </w:p>
                  </w:txbxContent>
                </v:textbox>
              </v:rect>
            </w:pict>
          </mc:Fallback>
        </mc:AlternateContent>
      </w:r>
      <w:r>
        <w:rPr>
          <w:rFonts w:ascii="宋体" w:hAnsi="宋体"/>
          <w:szCs w:val="21"/>
        </w:rPr>
        <mc:AlternateContent>
          <mc:Choice Requires="wps">
            <w:drawing>
              <wp:anchor distT="0" distB="0" distL="114300" distR="114300" simplePos="0" relativeHeight="251754496"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10" name="矩形 10"/>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561984;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FLOK9YAAAAJAQAADwAAAAAAAAABACAAAAAiAAAAZHJzL2Rvd25yZXYueG1sUEsBAhQA&#10;FAAAAAgAh07iQLI1cCL0AQAA9gMAAA4AAAAAAAAAAQAgAAAAJQEAAGRycy9lMm9Eb2MueG1sUEsF&#10;BgAAAAAGAAYAWQEAAIs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谈判</w:t>
      </w:r>
      <w:r>
        <w:rPr>
          <w:rFonts w:hint="eastAsia" w:ascii="宋体" w:hAnsi="宋体"/>
          <w:szCs w:val="21"/>
          <w:lang w:eastAsia="zh-CN"/>
        </w:rPr>
        <w:t>法人</w:t>
      </w:r>
      <w:r>
        <w:rPr>
          <w:rFonts w:hint="eastAsia" w:ascii="宋体" w:hAnsi="宋体"/>
          <w:szCs w:val="21"/>
        </w:rPr>
        <w:t>单位名称（盖单位章）：</w:t>
      </w:r>
      <w:r>
        <w:rPr>
          <w:rFonts w:hint="eastAsia"/>
          <w:u w:val="single"/>
        </w:rPr>
        <w:t xml:space="preserve">    （盖单位章）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法定代表人（签字</w:t>
      </w:r>
      <w:r>
        <w:rPr>
          <w:rFonts w:hint="eastAsia" w:ascii="宋体" w:hAnsi="宋体"/>
          <w:szCs w:val="21"/>
          <w:lang w:eastAsia="zh-CN"/>
        </w:rPr>
        <w:t>或盖章</w:t>
      </w:r>
      <w:r>
        <w:rPr>
          <w:rFonts w:hint="eastAsia" w:ascii="宋体" w:hAnsi="宋体"/>
          <w:szCs w:val="21"/>
        </w:rPr>
        <w:t>）：</w:t>
      </w:r>
      <w:r>
        <w:rPr>
          <w:rFonts w:hint="eastAsia" w:ascii="宋体" w:hAnsi="宋体"/>
          <w:szCs w:val="21"/>
          <w:u w:val="single"/>
        </w:rPr>
        <w:t xml:space="preserve">               </w:t>
      </w:r>
    </w:p>
    <w:p>
      <w:pPr>
        <w:keepNext w:val="0"/>
        <w:keepLines w:val="0"/>
        <w:pageBreakBefore w:val="0"/>
        <w:widowControl w:val="0"/>
        <w:kinsoku/>
        <w:wordWrap/>
        <w:overflowPunct/>
        <w:topLinePunct w:val="0"/>
        <w:bidi w:val="0"/>
        <w:adjustRightInd w:val="0"/>
        <w:snapToGrid w:val="0"/>
        <w:spacing w:line="360" w:lineRule="auto"/>
        <w:ind w:right="420"/>
        <w:textAlignment w:val="auto"/>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widowControl w:val="0"/>
        <w:kinsoku/>
        <w:wordWrap/>
        <w:overflowPunct/>
        <w:topLinePunct w:val="0"/>
        <w:bidi w:val="0"/>
        <w:spacing w:line="360" w:lineRule="auto"/>
        <w:textAlignment w:val="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w:t>
      </w:r>
    </w:p>
    <w:p>
      <w:pPr>
        <w:spacing w:after="120" w:afterLines="50"/>
        <w:ind w:firstLine="640" w:firstLineChars="200"/>
        <w:jc w:val="center"/>
        <w:outlineLvl w:val="1"/>
        <w:rPr>
          <w:rFonts w:hint="eastAsia" w:cs="宋体" w:asciiTheme="minorEastAsia" w:hAnsiTheme="minorEastAsia" w:eastAsiaTheme="minorEastAsia"/>
          <w:sz w:val="32"/>
          <w:szCs w:val="32"/>
        </w:rPr>
      </w:pPr>
      <w:r>
        <w:rPr>
          <w:rFonts w:hint="eastAsia" w:cs="宋体" w:asciiTheme="minorEastAsia" w:hAnsiTheme="minorEastAsia" w:eastAsiaTheme="minorEastAsia"/>
          <w:sz w:val="32"/>
          <w:szCs w:val="32"/>
        </w:rPr>
        <w:t>四、谈判单位资格证明文件</w:t>
      </w:r>
      <w:bookmarkEnd w:id="125"/>
      <w:bookmarkEnd w:id="126"/>
      <w:bookmarkEnd w:id="127"/>
      <w:bookmarkEnd w:id="130"/>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ascii="宋体" w:hAnsi="宋体" w:cs="宋体"/>
          <w:iCs/>
        </w:rPr>
      </w:pPr>
      <w:r>
        <w:rPr>
          <w:rFonts w:hint="eastAsia" w:ascii="宋体" w:hAnsi="宋体" w:cs="宋体"/>
          <w:iCs/>
          <w:lang w:val="en-US" w:eastAsia="zh-CN"/>
        </w:rPr>
        <w:t>1</w:t>
      </w:r>
      <w:r>
        <w:rPr>
          <w:rFonts w:hint="eastAsia" w:ascii="宋体" w:hAnsi="宋体" w:cs="宋体"/>
          <w:iCs/>
        </w:rPr>
        <w:t>.</w:t>
      </w:r>
      <w:r>
        <w:rPr>
          <w:rFonts w:hint="eastAsia" w:ascii="宋体" w:hAnsi="宋体" w:cs="宋体"/>
          <w:szCs w:val="21"/>
        </w:rPr>
        <w:t>谈判单位须入围长沙市2020—2022年长沙市机关事业单位公务车辆定点保险服务单位名单</w:t>
      </w:r>
      <w:r>
        <w:rPr>
          <w:rFonts w:hint="eastAsia" w:ascii="宋体" w:hAnsi="宋体" w:cs="宋体"/>
          <w:iCs/>
        </w:rPr>
        <w:t>的</w:t>
      </w:r>
      <w:r>
        <w:rPr>
          <w:rFonts w:ascii="宋体" w:hAnsi="宋体" w:cs="宋体"/>
          <w:iCs/>
        </w:rPr>
        <w:t>证明文件</w:t>
      </w:r>
      <w:r>
        <w:rPr>
          <w:rFonts w:hint="eastAsia" w:ascii="宋体" w:hAnsi="宋体" w:cs="宋体"/>
          <w:iCs/>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iCs/>
          <w:lang w:val="en-US" w:eastAsia="zh-CN"/>
        </w:rPr>
        <w:t>2</w:t>
      </w:r>
      <w:r>
        <w:rPr>
          <w:rFonts w:hint="eastAsia" w:ascii="宋体" w:hAnsi="宋体" w:cs="宋体"/>
          <w:iCs/>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p>
    <w:p>
      <w:pPr>
        <w:adjustRightInd w:val="0"/>
        <w:snapToGrid w:val="0"/>
        <w:spacing w:line="360" w:lineRule="auto"/>
        <w:ind w:firstLine="422" w:firstLineChars="200"/>
        <w:rPr>
          <w:rFonts w:ascii="宋体" w:hAnsi="宋体"/>
          <w:b/>
          <w:bCs/>
          <w:szCs w:val="21"/>
        </w:rPr>
      </w:pPr>
      <w:bookmarkStart w:id="133" w:name="_Toc23919"/>
      <w:bookmarkStart w:id="134" w:name="_Toc1150"/>
      <w:bookmarkStart w:id="135" w:name="_Toc13069"/>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2、上述证明文件如须递交原件的，应用文件袋单独包装，在响应文件递交的同时一并提交。</w:t>
      </w:r>
    </w:p>
    <w:p>
      <w:pPr>
        <w:rPr>
          <w:rFonts w:hint="eastAsia" w:cs="宋体" w:asciiTheme="minorEastAsia" w:hAnsiTheme="minorEastAsia" w:eastAsiaTheme="minorEastAsia"/>
          <w:b w:val="0"/>
          <w:bCs w:val="0"/>
          <w:kern w:val="2"/>
          <w:sz w:val="32"/>
          <w:szCs w:val="32"/>
          <w:lang w:val="en-US" w:eastAsia="zh-CN" w:bidi="ar-SA"/>
        </w:rPr>
      </w:pPr>
      <w:r>
        <w:rPr>
          <w:rFonts w:hint="eastAsia" w:cs="宋体" w:asciiTheme="minorEastAsia" w:hAnsiTheme="minorEastAsia" w:eastAsiaTheme="minorEastAsia"/>
          <w:b w:val="0"/>
          <w:bCs w:val="0"/>
          <w:kern w:val="2"/>
          <w:sz w:val="32"/>
          <w:szCs w:val="32"/>
          <w:lang w:val="en-US" w:eastAsia="zh-CN" w:bidi="ar-SA"/>
        </w:rPr>
        <w:br w:type="page"/>
      </w:r>
    </w:p>
    <w:p>
      <w:pPr>
        <w:pStyle w:val="4"/>
        <w:jc w:val="center"/>
      </w:pPr>
      <w:bookmarkStart w:id="136" w:name="_Toc16304"/>
      <w:r>
        <w:rPr>
          <w:rFonts w:hint="eastAsia" w:cs="宋体" w:asciiTheme="minorEastAsia" w:hAnsiTheme="minorEastAsia" w:eastAsiaTheme="minorEastAsia"/>
          <w:b w:val="0"/>
          <w:bCs w:val="0"/>
          <w:kern w:val="2"/>
          <w:sz w:val="32"/>
          <w:szCs w:val="32"/>
          <w:lang w:val="en-US" w:eastAsia="zh-CN" w:bidi="ar-SA"/>
        </w:rPr>
        <w:t>五、实质性条款（标注“★”符号）响应表</w:t>
      </w:r>
      <w:bookmarkEnd w:id="133"/>
      <w:bookmarkEnd w:id="136"/>
    </w:p>
    <w:tbl>
      <w:tblPr>
        <w:tblStyle w:val="47"/>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521"/>
        <w:gridCol w:w="10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04" w:type="dxa"/>
            <w:vAlign w:val="center"/>
          </w:tcPr>
          <w:p>
            <w:pPr>
              <w:jc w:val="center"/>
              <w:rPr>
                <w:b/>
                <w:bCs/>
              </w:rPr>
            </w:pPr>
            <w:r>
              <w:rPr>
                <w:rFonts w:hint="eastAsia"/>
                <w:b/>
                <w:bCs/>
              </w:rPr>
              <w:t>序号</w:t>
            </w:r>
          </w:p>
        </w:tc>
        <w:tc>
          <w:tcPr>
            <w:tcW w:w="6521" w:type="dxa"/>
            <w:vAlign w:val="center"/>
          </w:tcPr>
          <w:p>
            <w:pPr>
              <w:jc w:val="center"/>
              <w:rPr>
                <w:b/>
                <w:bCs/>
              </w:rPr>
            </w:pPr>
            <w:r>
              <w:rPr>
                <w:rFonts w:hint="eastAsia"/>
                <w:b/>
                <w:bCs/>
              </w:rPr>
              <w:t>谈判文件实质性</w:t>
            </w:r>
          </w:p>
          <w:p>
            <w:pPr>
              <w:pStyle w:val="2"/>
              <w:ind w:left="0" w:leftChars="0"/>
              <w:jc w:val="center"/>
              <w:rPr>
                <w:b/>
                <w:bCs/>
              </w:rPr>
            </w:pPr>
            <w:r>
              <w:rPr>
                <w:rFonts w:hint="eastAsia"/>
                <w:b/>
                <w:bCs/>
              </w:rPr>
              <w:t>条款号及内容</w:t>
            </w:r>
          </w:p>
        </w:tc>
        <w:tc>
          <w:tcPr>
            <w:tcW w:w="1068" w:type="dxa"/>
            <w:vAlign w:val="center"/>
          </w:tcPr>
          <w:p>
            <w:pPr>
              <w:jc w:val="center"/>
              <w:rPr>
                <w:b/>
                <w:bCs/>
              </w:rPr>
            </w:pPr>
            <w:r>
              <w:rPr>
                <w:rFonts w:hint="eastAsia"/>
                <w:b/>
                <w:bCs/>
              </w:rPr>
              <w:t>响应文件响应</w:t>
            </w:r>
          </w:p>
          <w:p>
            <w:pPr>
              <w:pStyle w:val="2"/>
              <w:ind w:left="0" w:leftChars="0"/>
              <w:jc w:val="center"/>
              <w:rPr>
                <w:b/>
                <w:bCs/>
              </w:rPr>
            </w:pPr>
            <w:r>
              <w:rPr>
                <w:rFonts w:hint="eastAsia"/>
                <w:b/>
                <w:bCs/>
              </w:rPr>
              <w:t>条款号及内容</w:t>
            </w:r>
          </w:p>
        </w:tc>
        <w:tc>
          <w:tcPr>
            <w:tcW w:w="1418" w:type="dxa"/>
            <w:vAlign w:val="center"/>
          </w:tcPr>
          <w:p>
            <w:pPr>
              <w:jc w:val="center"/>
              <w:rPr>
                <w:b/>
                <w:bCs/>
              </w:rPr>
            </w:pPr>
            <w:r>
              <w:rPr>
                <w:rFonts w:hint="eastAsia"/>
                <w:b/>
                <w:bCs/>
              </w:rPr>
              <w:t>响应情况</w:t>
            </w:r>
          </w:p>
          <w:p>
            <w:pPr>
              <w:jc w:val="center"/>
              <w:rPr>
                <w:b/>
                <w:bCs/>
              </w:rPr>
            </w:pPr>
            <w:r>
              <w:rPr>
                <w:rFonts w:hint="eastAsia"/>
                <w:b/>
                <w:bCs/>
              </w:rPr>
              <w:t>（响应/</w:t>
            </w:r>
          </w:p>
          <w:p>
            <w:pPr>
              <w:jc w:val="center"/>
              <w:rPr>
                <w:b/>
                <w:bCs/>
              </w:rPr>
            </w:pPr>
            <w:r>
              <w:rPr>
                <w:rFonts w:hint="eastAsia"/>
                <w:b/>
                <w:bCs/>
              </w:rPr>
              <w:t>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04" w:type="dxa"/>
            <w:vAlign w:val="center"/>
          </w:tcPr>
          <w:p>
            <w:pPr>
              <w:jc w:val="center"/>
              <w:rPr>
                <w:b/>
                <w:bCs/>
              </w:rPr>
            </w:pPr>
            <w:r>
              <w:rPr>
                <w:rFonts w:hint="eastAsia"/>
                <w:b/>
                <w:bCs/>
              </w:rPr>
              <w:t>1</w:t>
            </w:r>
          </w:p>
        </w:tc>
        <w:tc>
          <w:tcPr>
            <w:tcW w:w="6521" w:type="dxa"/>
            <w:vAlign w:val="center"/>
          </w:tcPr>
          <w:p>
            <w:pPr>
              <w:rPr>
                <w:rFonts w:ascii="宋体" w:hAnsi="宋体" w:cs="宋体"/>
                <w:b/>
                <w:szCs w:val="21"/>
              </w:rPr>
            </w:pPr>
            <w:r>
              <w:rPr>
                <w:rFonts w:hint="eastAsia" w:ascii="宋体" w:hAnsi="宋体" w:cs="宋体"/>
                <w:b/>
                <w:szCs w:val="21"/>
              </w:rPr>
              <w:t>四、项目管控要求</w:t>
            </w:r>
          </w:p>
          <w:p>
            <w:pPr>
              <w:rPr>
                <w:rFonts w:ascii="宋体" w:hAnsi="宋体" w:cs="宋体"/>
                <w:b/>
                <w:szCs w:val="21"/>
              </w:rPr>
            </w:pPr>
            <w:r>
              <w:rPr>
                <w:rFonts w:hint="eastAsia" w:ascii="宋体" w:hAnsi="宋体" w:cs="宋体"/>
                <w:b/>
                <w:szCs w:val="21"/>
              </w:rPr>
              <w:t>（一）人员配备要求</w:t>
            </w:r>
          </w:p>
          <w:p>
            <w:pPr>
              <w:rPr>
                <w:b/>
                <w:bCs/>
              </w:rPr>
            </w:pPr>
            <w:r>
              <w:rPr>
                <w:rFonts w:hint="eastAsia" w:ascii="宋体" w:hAnsi="宋体" w:cs="宋体"/>
                <w:bCs/>
                <w:szCs w:val="21"/>
              </w:rPr>
              <w:t>1.★</w:t>
            </w:r>
            <w:r>
              <w:rPr>
                <w:rFonts w:hint="eastAsia" w:ascii="宋体" w:hAnsi="宋体" w:cs="宋体"/>
                <w:bCs/>
                <w:szCs w:val="21"/>
                <w:u w:val="single"/>
              </w:rPr>
              <w:t>谈判单位为本项目设立专项服务小组，服务小组人数不少于3人</w:t>
            </w:r>
          </w:p>
        </w:tc>
        <w:tc>
          <w:tcPr>
            <w:tcW w:w="1068" w:type="dxa"/>
            <w:vAlign w:val="center"/>
          </w:tcPr>
          <w:p>
            <w:pPr>
              <w:jc w:val="center"/>
              <w:rPr>
                <w:b/>
                <w:bCs/>
              </w:rPr>
            </w:pPr>
          </w:p>
        </w:tc>
        <w:tc>
          <w:tcPr>
            <w:tcW w:w="1418" w:type="dxa"/>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4" w:type="dxa"/>
            <w:vAlign w:val="center"/>
          </w:tcPr>
          <w:p>
            <w:pPr>
              <w:jc w:val="center"/>
              <w:rPr>
                <w:b/>
                <w:bCs/>
              </w:rPr>
            </w:pPr>
            <w:r>
              <w:rPr>
                <w:rFonts w:hint="eastAsia"/>
                <w:b/>
                <w:bCs/>
              </w:rPr>
              <w:t>2</w:t>
            </w:r>
          </w:p>
        </w:tc>
        <w:tc>
          <w:tcPr>
            <w:tcW w:w="6521" w:type="dxa"/>
            <w:vAlign w:val="center"/>
          </w:tcPr>
          <w:p>
            <w:pPr>
              <w:rPr>
                <w:rFonts w:ascii="宋体" w:hAnsi="宋体" w:cs="宋体"/>
                <w:b/>
                <w:szCs w:val="21"/>
              </w:rPr>
            </w:pPr>
            <w:r>
              <w:rPr>
                <w:rFonts w:hint="eastAsia" w:ascii="宋体" w:hAnsi="宋体" w:cs="宋体"/>
                <w:b/>
                <w:szCs w:val="21"/>
              </w:rPr>
              <w:t>五、项目实施要求</w:t>
            </w:r>
          </w:p>
          <w:p>
            <w:pPr>
              <w:rPr>
                <w:rFonts w:ascii="宋体" w:hAnsi="宋体" w:cs="宋体"/>
                <w:bCs/>
                <w:szCs w:val="21"/>
              </w:rPr>
            </w:pPr>
            <w:r>
              <w:rPr>
                <w:rFonts w:hint="eastAsia" w:ascii="宋体" w:hAnsi="宋体" w:cs="宋体"/>
                <w:bCs/>
                <w:szCs w:val="21"/>
              </w:rPr>
              <w:t>（二）服务标准、流程及操作要求</w:t>
            </w:r>
          </w:p>
          <w:p>
            <w:pPr>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新增车辆按照规定优惠率执行</w:t>
            </w:r>
            <w:r>
              <w:rPr>
                <w:rFonts w:hint="eastAsia" w:ascii="宋体" w:hAnsi="宋体" w:cs="宋体"/>
                <w:bCs/>
                <w:szCs w:val="21"/>
              </w:rPr>
              <w:t>。</w:t>
            </w:r>
          </w:p>
          <w:p>
            <w:pPr>
              <w:rPr>
                <w:rFonts w:hint="eastAsia" w:ascii="宋体" w:hAnsi="宋体" w:cs="宋体"/>
                <w:bCs/>
                <w:szCs w:val="21"/>
              </w:rPr>
            </w:pPr>
            <w:r>
              <w:rPr>
                <w:rFonts w:hint="eastAsia" w:ascii="宋体" w:hAnsi="宋体" w:cs="宋体"/>
                <w:bCs/>
                <w:szCs w:val="21"/>
              </w:rPr>
              <w:t>（2）★</w:t>
            </w:r>
            <w:r>
              <w:rPr>
                <w:rFonts w:hint="eastAsia" w:ascii="宋体" w:hAnsi="宋体" w:cs="宋体"/>
                <w:bCs/>
                <w:szCs w:val="21"/>
                <w:u w:val="single"/>
              </w:rPr>
              <w:t>每年需对采购单位无偿提供两次车险知识培训</w:t>
            </w:r>
            <w:r>
              <w:rPr>
                <w:rFonts w:hint="eastAsia" w:ascii="宋体" w:hAnsi="宋体" w:cs="宋体"/>
                <w:bCs/>
                <w:szCs w:val="21"/>
              </w:rPr>
              <w:t>。</w:t>
            </w:r>
          </w:p>
        </w:tc>
        <w:tc>
          <w:tcPr>
            <w:tcW w:w="1068" w:type="dxa"/>
            <w:vAlign w:val="center"/>
          </w:tcPr>
          <w:p>
            <w:pPr>
              <w:jc w:val="center"/>
              <w:rPr>
                <w:b/>
                <w:bCs/>
              </w:rPr>
            </w:pPr>
          </w:p>
        </w:tc>
        <w:tc>
          <w:tcPr>
            <w:tcW w:w="1418" w:type="dxa"/>
            <w:vAlign w:val="center"/>
          </w:tcPr>
          <w:p>
            <w:pPr>
              <w:jc w:val="center"/>
              <w:rPr>
                <w:b/>
                <w:bCs/>
              </w:rPr>
            </w:pPr>
          </w:p>
        </w:tc>
      </w:tr>
    </w:tbl>
    <w:p/>
    <w:p>
      <w:pPr>
        <w:spacing w:before="120" w:beforeLines="50" w:after="120" w:afterLines="50"/>
        <w:ind w:left="420" w:leftChars="200"/>
        <w:rPr>
          <w:b/>
          <w:bCs/>
        </w:rPr>
      </w:pPr>
      <w:r>
        <w:rPr>
          <w:rFonts w:hint="eastAsia"/>
          <w:b/>
          <w:bCs/>
        </w:rPr>
        <w:t>备注：</w:t>
      </w:r>
    </w:p>
    <w:p>
      <w:pPr>
        <w:spacing w:before="120" w:beforeLines="50" w:after="120" w:afterLines="50"/>
        <w:ind w:left="420" w:leftChars="200"/>
        <w:rPr>
          <w:b/>
          <w:bCs/>
        </w:rPr>
      </w:pPr>
      <w:r>
        <w:rPr>
          <w:rFonts w:hint="eastAsia"/>
          <w:b/>
          <w:bCs/>
        </w:rPr>
        <w:t>1、“谈判文件实质性条款号及内容”栏中所列内容均为实质性条款，响应文件对实质性条款的响应存在缺项、漏项或者任意一项不响应谈判文件的，投标将被否决。</w:t>
      </w:r>
    </w:p>
    <w:p>
      <w:pPr>
        <w:spacing w:before="120" w:beforeLines="50" w:after="120" w:afterLines="50"/>
        <w:ind w:left="420" w:leftChars="200"/>
        <w:rPr>
          <w:b/>
          <w:bCs/>
        </w:rPr>
      </w:pPr>
      <w:r>
        <w:rPr>
          <w:rFonts w:hint="eastAsia"/>
          <w:b/>
          <w:bCs/>
        </w:rPr>
        <w:t>2、“响应文件响应条款号及内容”格式可以自行扩展，如需附页，附页内容须加盖谈判单位公章。</w:t>
      </w:r>
    </w:p>
    <w:p>
      <w:pPr>
        <w:jc w:val="center"/>
        <w:rPr>
          <w:b/>
          <w:bCs/>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谈判单位名称：</w:t>
      </w:r>
      <w:r>
        <w:rPr>
          <w:rFonts w:hint="eastAsia" w:ascii="宋体" w:hAnsi="宋体" w:cs="宋体"/>
          <w:u w:val="single"/>
        </w:rPr>
        <w:t xml:space="preserve">           </w:t>
      </w:r>
      <w:r>
        <w:rPr>
          <w:rFonts w:hint="eastAsia" w:ascii="宋体" w:hAnsi="宋体" w:cs="宋体"/>
        </w:rPr>
        <w:t>（盖单位章）</w:t>
      </w:r>
    </w:p>
    <w:p>
      <w:pPr>
        <w:spacing w:line="360" w:lineRule="auto"/>
        <w:rPr>
          <w:u w:val="single"/>
        </w:rPr>
      </w:pPr>
      <w:r>
        <w:rPr>
          <w:rFonts w:hint="eastAsia"/>
        </w:rPr>
        <w:t>法定代表人或其委托代理人：</w:t>
      </w:r>
      <w:r>
        <w:rPr>
          <w:rFonts w:hint="eastAsia"/>
          <w:u w:val="single"/>
        </w:rPr>
        <w:t xml:space="preserve">               </w:t>
      </w:r>
      <w:r>
        <w:rPr>
          <w:rFonts w:hint="eastAsia"/>
        </w:rPr>
        <w:t>(签字或盖章)</w:t>
      </w:r>
    </w:p>
    <w:p>
      <w:pPr>
        <w:spacing w:line="360" w:lineRule="auto"/>
        <w:rPr>
          <w:rFonts w:ascii="宋体"/>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黑体" w:eastAsia="黑体"/>
          <w:b/>
          <w:sz w:val="32"/>
          <w:szCs w:val="32"/>
        </w:rPr>
        <w:sectPr>
          <w:pgSz w:w="11906" w:h="16838"/>
          <w:pgMar w:top="1440" w:right="1797" w:bottom="1440" w:left="1797" w:header="851" w:footer="851" w:gutter="0"/>
          <w:cols w:space="720" w:num="1"/>
        </w:sectPr>
      </w:pPr>
    </w:p>
    <w:p/>
    <w:p>
      <w:pPr>
        <w:pStyle w:val="4"/>
        <w:jc w:val="center"/>
        <w:rPr>
          <w:rFonts w:hint="eastAsia" w:cs="宋体" w:asciiTheme="minorEastAsia" w:hAnsiTheme="minorEastAsia" w:eastAsiaTheme="minorEastAsia"/>
          <w:b w:val="0"/>
          <w:bCs w:val="0"/>
          <w:kern w:val="2"/>
          <w:sz w:val="32"/>
          <w:szCs w:val="32"/>
          <w:lang w:val="en-US" w:eastAsia="zh-CN" w:bidi="ar-SA"/>
        </w:rPr>
      </w:pPr>
      <w:bookmarkStart w:id="137" w:name="_Toc23489"/>
      <w:bookmarkStart w:id="138" w:name="_Toc1640"/>
      <w:bookmarkStart w:id="139" w:name="_Toc25110"/>
      <w:bookmarkStart w:id="140" w:name="_Toc27130"/>
      <w:bookmarkStart w:id="141" w:name="_Toc9528"/>
      <w:r>
        <w:rPr>
          <w:rFonts w:hint="eastAsia" w:cs="宋体" w:asciiTheme="minorEastAsia" w:hAnsiTheme="minorEastAsia" w:eastAsiaTheme="minorEastAsia"/>
          <w:b w:val="0"/>
          <w:bCs w:val="0"/>
          <w:kern w:val="2"/>
          <w:sz w:val="32"/>
          <w:szCs w:val="32"/>
          <w:lang w:val="en-US" w:eastAsia="zh-CN" w:bidi="ar-SA"/>
        </w:rPr>
        <w:t>六、报价一览表</w:t>
      </w:r>
      <w:bookmarkEnd w:id="137"/>
      <w:bookmarkEnd w:id="138"/>
      <w:bookmarkEnd w:id="139"/>
      <w:bookmarkEnd w:id="140"/>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w:t>
      </w:r>
      <w:r>
        <w:rPr>
          <w:rFonts w:hint="eastAsia" w:ascii="Times New Roman" w:hAnsi="Times New Roman" w:eastAsia="宋体" w:cs="Times New Roman"/>
          <w:kern w:val="2"/>
          <w:sz w:val="21"/>
          <w:szCs w:val="24"/>
          <w:lang w:val="en-US" w:eastAsia="zh-CN" w:bidi="ar-SA"/>
        </w:rPr>
        <w:t>车船使用税、机动车交通事故责任强制保险、车辆损失险、第三者责任险（100万元）、车上人员责任险（10万元/座）、不计免赔率险、玻璃单独破碎险、自燃险、机动车损失保险无法找到第三方特约险：</w:t>
      </w: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6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132" w:type="dxa"/>
            <w:tcBorders>
              <w:right w:val="single" w:color="auto" w:sz="4" w:space="0"/>
            </w:tcBorders>
            <w:vAlign w:val="center"/>
          </w:tcPr>
          <w:p>
            <w:pPr>
              <w:spacing w:line="420" w:lineRule="exact"/>
              <w:jc w:val="center"/>
              <w:rPr>
                <w:rFonts w:ascii="宋体" w:hAnsi="宋体"/>
                <w:szCs w:val="21"/>
              </w:rPr>
            </w:pPr>
            <w:r>
              <w:rPr>
                <w:rFonts w:ascii="宋体" w:hAnsi="宋体"/>
                <w:szCs w:val="21"/>
              </w:rPr>
              <w:t>项目名称</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spacing w:line="420" w:lineRule="exact"/>
              <w:jc w:val="center"/>
              <w:rPr>
                <w:rFonts w:ascii="宋体" w:hAnsi="宋体"/>
                <w:szCs w:val="21"/>
              </w:rPr>
            </w:pPr>
            <w:r>
              <w:rPr>
                <w:rFonts w:hint="eastAsia" w:ascii="宋体" w:hAnsi="宋体"/>
                <w:szCs w:val="21"/>
              </w:rPr>
              <w:t>项目</w:t>
            </w:r>
            <w:r>
              <w:rPr>
                <w:rFonts w:ascii="宋体" w:hAnsi="宋体"/>
                <w:szCs w:val="21"/>
              </w:rPr>
              <w:t>编号</w:t>
            </w:r>
          </w:p>
        </w:tc>
        <w:tc>
          <w:tcPr>
            <w:tcW w:w="6688" w:type="dxa"/>
            <w:tcBorders>
              <w:left w:val="single" w:color="auto" w:sz="4" w:space="0"/>
            </w:tcBorders>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132" w:type="dxa"/>
            <w:tcBorders>
              <w:right w:val="single" w:color="auto" w:sz="4" w:space="0"/>
            </w:tcBorders>
            <w:vAlign w:val="center"/>
          </w:tcPr>
          <w:p>
            <w:pPr>
              <w:jc w:val="center"/>
              <w:rPr>
                <w:rFonts w:ascii="宋体" w:hAnsi="宋体"/>
                <w:szCs w:val="21"/>
              </w:rPr>
            </w:pPr>
            <w:r>
              <w:rPr>
                <w:rFonts w:hint="eastAsia" w:ascii="宋体" w:hAnsi="宋体"/>
                <w:szCs w:val="21"/>
              </w:rPr>
              <w:t>服务期限</w:t>
            </w:r>
          </w:p>
        </w:tc>
        <w:tc>
          <w:tcPr>
            <w:tcW w:w="6688" w:type="dxa"/>
            <w:tcBorders>
              <w:left w:val="single" w:color="auto" w:sz="4" w:space="0"/>
            </w:tcBorders>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tcBorders>
              <w:right w:val="single" w:color="auto" w:sz="4" w:space="0"/>
            </w:tcBorders>
            <w:vAlign w:val="center"/>
          </w:tcPr>
          <w:p>
            <w:pPr>
              <w:spacing w:line="420" w:lineRule="exact"/>
              <w:jc w:val="center"/>
              <w:rPr>
                <w:rFonts w:ascii="宋体" w:hAnsi="宋体"/>
                <w:b/>
                <w:szCs w:val="21"/>
              </w:rPr>
            </w:pPr>
            <w:r>
              <w:rPr>
                <w:rFonts w:hint="eastAsia" w:ascii="宋体" w:hAnsi="宋体"/>
                <w:b/>
                <w:szCs w:val="21"/>
              </w:rPr>
              <w:t>自主核保系数优惠率</w:t>
            </w:r>
          </w:p>
        </w:tc>
        <w:tc>
          <w:tcPr>
            <w:tcW w:w="6688" w:type="dxa"/>
            <w:tcBorders>
              <w:left w:val="single" w:color="auto" w:sz="4" w:space="0"/>
            </w:tcBorders>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vAlign w:val="center"/>
          </w:tcPr>
          <w:p>
            <w:pPr>
              <w:spacing w:line="420" w:lineRule="exact"/>
              <w:jc w:val="center"/>
              <w:rPr>
                <w:rFonts w:ascii="宋体" w:hAnsi="宋体"/>
                <w:b/>
                <w:szCs w:val="21"/>
              </w:rPr>
            </w:pPr>
            <w:r>
              <w:rPr>
                <w:rFonts w:hint="eastAsia" w:ascii="宋体" w:hAnsi="宋体"/>
                <w:b/>
                <w:szCs w:val="21"/>
              </w:rPr>
              <w:t>渠道系数优惠率</w:t>
            </w:r>
          </w:p>
        </w:tc>
        <w:tc>
          <w:tcPr>
            <w:tcW w:w="6688" w:type="dxa"/>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132" w:type="dxa"/>
            <w:vAlign w:val="center"/>
          </w:tcPr>
          <w:p>
            <w:pPr>
              <w:spacing w:line="420" w:lineRule="exact"/>
              <w:jc w:val="center"/>
              <w:rPr>
                <w:rFonts w:ascii="宋体" w:hAnsi="宋体"/>
                <w:b/>
                <w:szCs w:val="21"/>
              </w:rPr>
            </w:pPr>
            <w:r>
              <w:rPr>
                <w:rFonts w:hint="eastAsia" w:ascii="宋体" w:hAnsi="宋体"/>
                <w:b/>
                <w:szCs w:val="21"/>
              </w:rPr>
              <w:t>综合优惠率</w:t>
            </w:r>
          </w:p>
        </w:tc>
        <w:tc>
          <w:tcPr>
            <w:tcW w:w="6688" w:type="dxa"/>
            <w:vAlign w:val="center"/>
          </w:tcPr>
          <w:p>
            <w:pPr>
              <w:spacing w:line="420" w:lineRule="exact"/>
              <w:jc w:val="center"/>
              <w:rPr>
                <w:rFonts w:ascii="宋体" w:hAnsi="宋体"/>
                <w:szCs w:val="21"/>
              </w:rPr>
            </w:pPr>
            <w:r>
              <w:rPr>
                <w:rFonts w:hint="eastAsia" w:ascii="宋体" w:hAnsi="宋体"/>
                <w:szCs w:val="21"/>
                <w:u w:val="single"/>
              </w:rPr>
              <w:t xml:space="preserve">              </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132" w:type="dxa"/>
            <w:vAlign w:val="center"/>
          </w:tcPr>
          <w:p>
            <w:pPr>
              <w:spacing w:line="420" w:lineRule="exact"/>
              <w:jc w:val="center"/>
              <w:rPr>
                <w:rFonts w:ascii="宋体" w:hAnsi="宋体"/>
                <w:szCs w:val="21"/>
              </w:rPr>
            </w:pPr>
            <w:r>
              <w:rPr>
                <w:rFonts w:ascii="宋体" w:hAnsi="宋体"/>
                <w:szCs w:val="21"/>
              </w:rPr>
              <w:t>备  注</w:t>
            </w:r>
          </w:p>
        </w:tc>
        <w:tc>
          <w:tcPr>
            <w:tcW w:w="6688" w:type="dxa"/>
            <w:vAlign w:val="center"/>
          </w:tcPr>
          <w:p>
            <w:pPr>
              <w:spacing w:line="420" w:lineRule="exact"/>
              <w:rPr>
                <w:rFonts w:ascii="宋体" w:hAnsi="宋体"/>
                <w:szCs w:val="21"/>
              </w:rPr>
            </w:pPr>
          </w:p>
        </w:tc>
      </w:tr>
    </w:tbl>
    <w:p>
      <w:pPr>
        <w:adjustRightInd w:val="0"/>
        <w:snapToGrid w:val="0"/>
        <w:spacing w:line="360" w:lineRule="auto"/>
        <w:ind w:firstLine="420" w:firstLineChars="200"/>
        <w:rPr>
          <w:rFonts w:ascii="宋体" w:hAnsi="宋体"/>
          <w:bCs/>
          <w:szCs w:val="21"/>
        </w:rPr>
      </w:pPr>
      <w:r>
        <w:rPr>
          <w:rFonts w:hint="eastAsia" w:ascii="宋体" w:hAnsi="宋体"/>
          <w:bCs/>
          <w:szCs w:val="21"/>
        </w:rPr>
        <w:t>2、绝对免赔额</w:t>
      </w:r>
      <w:r>
        <w:rPr>
          <w:rFonts w:hint="eastAsia" w:ascii="宋体" w:hAnsi="宋体"/>
          <w:bCs/>
          <w:szCs w:val="21"/>
          <w:u w:val="single"/>
        </w:rPr>
        <w:t xml:space="preserve">   </w:t>
      </w:r>
      <w:r>
        <w:rPr>
          <w:rFonts w:hint="eastAsia" w:ascii="宋体" w:hAnsi="宋体"/>
          <w:bCs/>
          <w:szCs w:val="21"/>
        </w:rPr>
        <w:t>元/台次。</w:t>
      </w:r>
    </w:p>
    <w:p>
      <w:pPr>
        <w:pStyle w:val="2"/>
        <w:spacing w:line="360" w:lineRule="auto"/>
        <w:ind w:left="0" w:leftChars="0" w:firstLine="420" w:firstLineChars="200"/>
      </w:pPr>
      <w:r>
        <w:rPr>
          <w:rFonts w:hint="eastAsia"/>
        </w:rPr>
        <w:t>3、是否承诺事故车辆在长沙市轨道交通集团有限公司定点维修厂维修，客户不承担任何差价。（是□    否□）</w:t>
      </w:r>
    </w:p>
    <w:p>
      <w:pPr>
        <w:spacing w:line="360" w:lineRule="auto"/>
        <w:ind w:firstLine="420" w:firstLineChars="200"/>
      </w:pPr>
      <w:r>
        <w:rPr>
          <w:rFonts w:hint="eastAsia"/>
        </w:rPr>
        <w:t>4、如增加其他商业险种，是否承诺按内次谈判确定的综合优惠率执。（是□    否□）</w:t>
      </w:r>
    </w:p>
    <w:p>
      <w:pPr>
        <w:spacing w:line="360" w:lineRule="auto"/>
        <w:ind w:firstLine="420" w:firstLineChars="200"/>
        <w:rPr>
          <w:rFonts w:ascii="宋体" w:hAnsi="宋体"/>
          <w:szCs w:val="21"/>
        </w:rPr>
      </w:pPr>
    </w:p>
    <w:p>
      <w:pPr>
        <w:pStyle w:val="2"/>
        <w:spacing w:line="360" w:lineRule="auto"/>
        <w:ind w:left="0" w:leftChars="0"/>
        <w:rPr>
          <w:rFonts w:ascii="宋体" w:hAnsi="宋体"/>
          <w:szCs w:val="21"/>
        </w:rPr>
      </w:pPr>
      <w:r>
        <w:rPr>
          <w:rFonts w:hint="eastAsia" w:ascii="宋体" w:hAnsi="宋体"/>
          <w:szCs w:val="21"/>
        </w:rPr>
        <w:t>备注：</w:t>
      </w:r>
    </w:p>
    <w:p>
      <w:pPr>
        <w:pStyle w:val="2"/>
        <w:spacing w:line="360" w:lineRule="auto"/>
        <w:ind w:left="0" w:leftChars="0" w:firstLine="420" w:firstLineChars="200"/>
        <w:rPr>
          <w:rFonts w:ascii="宋体" w:hAnsi="宋体"/>
          <w:szCs w:val="21"/>
        </w:rPr>
      </w:pPr>
      <w:r>
        <w:rPr>
          <w:rFonts w:hint="eastAsia" w:ascii="宋体" w:hAnsi="宋体"/>
          <w:szCs w:val="21"/>
        </w:rPr>
        <w:t>1、优惠率指下浮比例（如商品原价为10元，优惠率为20%，即优惠后金额为8.0元）；</w:t>
      </w:r>
    </w:p>
    <w:p>
      <w:pPr>
        <w:spacing w:line="360" w:lineRule="auto"/>
        <w:ind w:firstLine="420" w:firstLineChars="200"/>
      </w:pPr>
      <w:r>
        <w:rPr>
          <w:rFonts w:hint="eastAsia" w:ascii="宋体" w:hAnsi="宋体"/>
          <w:szCs w:val="21"/>
        </w:rPr>
        <w:t>2、综合优惠率=1-（1-自主核保系数优惠率）×（1-渠道系数优惠率）</w:t>
      </w:r>
    </w:p>
    <w:p>
      <w:pPr>
        <w:adjustRightInd w:val="0"/>
        <w:snapToGrid w:val="0"/>
        <w:spacing w:line="360" w:lineRule="auto"/>
        <w:rPr>
          <w:rFonts w:ascii="宋体" w:hAnsi="宋体"/>
          <w:szCs w:val="21"/>
        </w:rPr>
      </w:pPr>
    </w:p>
    <w:p>
      <w:pPr>
        <w:spacing w:line="360" w:lineRule="auto"/>
      </w:pPr>
    </w:p>
    <w:p>
      <w:pPr>
        <w:adjustRightInd w:val="0"/>
        <w:snapToGrid w:val="0"/>
        <w:spacing w:line="360" w:lineRule="auto"/>
        <w:rPr>
          <w:rFonts w:ascii="宋体" w:hAnsi="宋体"/>
          <w:szCs w:val="21"/>
        </w:rPr>
      </w:pPr>
    </w:p>
    <w:p>
      <w:pPr>
        <w:spacing w:line="360" w:lineRule="auto"/>
        <w:rPr>
          <w:rFonts w:ascii="宋体" w:hAnsi="宋体" w:cs="宋体"/>
        </w:rPr>
      </w:pPr>
      <w:r>
        <w:rPr>
          <w:rFonts w:hint="eastAsia" w:ascii="宋体" w:hAnsi="宋体" w:cs="宋体"/>
        </w:rPr>
        <w:t>谈判单位名称：</w:t>
      </w:r>
      <w:r>
        <w:rPr>
          <w:rFonts w:hint="eastAsia" w:ascii="宋体" w:hAnsi="宋体" w:cs="宋体"/>
          <w:u w:val="single"/>
        </w:rPr>
        <w:t xml:space="preserve">    （盖单位章）    </w:t>
      </w:r>
    </w:p>
    <w:p>
      <w:pPr>
        <w:spacing w:line="360" w:lineRule="auto"/>
        <w:rPr>
          <w:u w:val="single"/>
        </w:rPr>
      </w:pPr>
      <w:r>
        <w:rPr>
          <w:rFonts w:hint="eastAsia"/>
        </w:rPr>
        <w:t>法定代表人或其委托代理人(签字或盖章)：</w:t>
      </w:r>
      <w:r>
        <w:rPr>
          <w:rFonts w:hint="eastAsia"/>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rPr>
          <w:rFonts w:ascii="黑体" w:eastAsia="黑体"/>
          <w:b/>
          <w:sz w:val="32"/>
          <w:szCs w:val="32"/>
        </w:rPr>
        <w:sectPr>
          <w:pgSz w:w="11906" w:h="16838"/>
          <w:pgMar w:top="1440" w:right="1797" w:bottom="1440" w:left="1797" w:header="851" w:footer="851" w:gutter="0"/>
          <w:cols w:space="720" w:num="1"/>
        </w:sectPr>
      </w:pPr>
    </w:p>
    <w:p>
      <w:pPr>
        <w:spacing w:after="156" w:afterLines="50"/>
        <w:ind w:firstLine="640" w:firstLineChars="200"/>
        <w:jc w:val="center"/>
        <w:outlineLvl w:val="1"/>
        <w:rPr>
          <w:rFonts w:hint="eastAsia" w:cs="宋体" w:asciiTheme="minorEastAsia" w:hAnsiTheme="minorEastAsia" w:eastAsiaTheme="minorEastAsia"/>
          <w:sz w:val="32"/>
          <w:szCs w:val="32"/>
          <w:lang w:eastAsia="zh-CN"/>
        </w:rPr>
      </w:pPr>
      <w:bookmarkStart w:id="142" w:name="_Toc30873"/>
      <w:r>
        <w:rPr>
          <w:rFonts w:hint="eastAsia" w:cs="宋体" w:asciiTheme="minorEastAsia" w:hAnsiTheme="minorEastAsia" w:eastAsiaTheme="minorEastAsia"/>
          <w:sz w:val="32"/>
          <w:szCs w:val="32"/>
        </w:rPr>
        <w:t>七、其他资料</w:t>
      </w:r>
      <w:bookmarkEnd w:id="134"/>
      <w:bookmarkEnd w:id="135"/>
      <w:bookmarkEnd w:id="141"/>
      <w:r>
        <w:rPr>
          <w:rFonts w:hint="eastAsia" w:cs="宋体" w:asciiTheme="minorEastAsia" w:hAnsiTheme="minorEastAsia" w:eastAsiaTheme="minorEastAsia"/>
          <w:sz w:val="32"/>
          <w:szCs w:val="32"/>
          <w:lang w:eastAsia="zh-CN"/>
        </w:rPr>
        <w:t>（如有）</w:t>
      </w:r>
      <w:bookmarkEnd w:id="142"/>
    </w:p>
    <w:p>
      <w:pPr>
        <w:spacing w:line="360" w:lineRule="auto"/>
        <w:jc w:val="center"/>
      </w:pPr>
    </w:p>
    <w:p>
      <w:r>
        <w:rPr>
          <w:rFonts w:hint="eastAsia"/>
        </w:rPr>
        <w:t>谈判单位认为需要提供的其他报价资料，格式自拟。</w:t>
      </w:r>
    </w:p>
    <w:p/>
    <w:p/>
    <w:sectPr>
      <w:pgSz w:w="11906" w:h="16838"/>
      <w:pgMar w:top="1440" w:right="1797" w:bottom="1440" w:left="1797"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268109"/>
    </w:sdtPr>
    <w:sdtContent>
      <w:p>
        <w:pPr>
          <w:pStyle w:val="30"/>
          <w:jc w:val="center"/>
        </w:pPr>
        <w:r>
          <w:fldChar w:fldCharType="begin"/>
        </w:r>
        <w:r>
          <w:instrText xml:space="preserve">PAGE   \* MERGEFORMAT</w:instrText>
        </w:r>
        <w:r>
          <w:fldChar w:fldCharType="separate"/>
        </w:r>
        <w:r>
          <w:rPr>
            <w:lang w:val="zh-CN"/>
          </w:rPr>
          <w:t>10</w:t>
        </w:r>
        <w:r>
          <w:fldChar w:fldCharType="end"/>
        </w:r>
      </w:p>
    </w:sdtContent>
  </w:sdt>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0831"/>
    </w:sdtPr>
    <w:sdtContent>
      <w:p>
        <w:pPr>
          <w:pStyle w:val="30"/>
          <w:jc w:val="center"/>
        </w:pPr>
        <w:r>
          <w:fldChar w:fldCharType="begin"/>
        </w:r>
        <w:r>
          <w:instrText xml:space="preserve">PAGE   \* MERGEFORMAT</w:instrText>
        </w:r>
        <w:r>
          <w:fldChar w:fldCharType="separate"/>
        </w:r>
        <w:r>
          <w:rPr>
            <w:lang w:val="zh-CN"/>
          </w:rPr>
          <w:t>13</w:t>
        </w:r>
        <w:r>
          <w:rPr>
            <w:lang w:val="zh-CN"/>
          </w:rP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331982"/>
    </w:sdtPr>
    <w:sdtContent>
      <w:p>
        <w:pPr>
          <w:pStyle w:val="30"/>
          <w:jc w:val="center"/>
        </w:pPr>
        <w:r>
          <w:fldChar w:fldCharType="begin"/>
        </w:r>
        <w:r>
          <w:instrText xml:space="preserve">PAGE   \* MERGEFORMAT</w:instrText>
        </w:r>
        <w:r>
          <w:fldChar w:fldCharType="separate"/>
        </w:r>
        <w:r>
          <w:rPr>
            <w:lang w:val="zh-CN"/>
          </w:rPr>
          <w:t>18</w:t>
        </w:r>
        <w:r>
          <w:fldChar w:fldCharType="end"/>
        </w:r>
      </w:p>
    </w:sdtContent>
  </w:sdt>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IF7qcBAAA/AwAADgAAAGRycy9lMm9Eb2MueG1srVLNahsxEL4H8g5C&#10;91obQ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BwCBe6nAQAAPwMAAA4AAAAA&#10;AAAAAQAgAAAAHgEAAGRycy9lMm9Eb2MueG1sUEsFBgAAAAAGAAYAWQEAADcFA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 PAGE   \* MERGEFORMAT </w:instrText>
                          </w:r>
                          <w:r>
                            <w:fldChar w:fldCharType="separate"/>
                          </w:r>
                          <w:r>
                            <w:rPr>
                              <w:lang w:val="zh-CN"/>
                            </w:rPr>
                            <w:t>30</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Yrkbn6YBAAA/AwAADgAAAAAA&#10;AAABACAAAAAeAQAAZHJzL2Uyb0RvYy54bWxQSwUGAAAAAAYABgBZAQAANgUAAAAA&#10;">
              <v:fill on="f" focussize="0,0"/>
              <v:stroke on="f"/>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30</w:t>
                    </w:r>
                    <w:r>
                      <w:rPr>
                        <w:lang w:val="zh-CN"/>
                      </w:rPr>
                      <w:fldChar w:fldCharType="end"/>
                    </w:r>
                  </w:p>
                </w:txbxContent>
              </v:textbox>
            </v:shape>
          </w:pict>
        </mc:Fallback>
      </mc:AlternateConten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3eSUp6YBAAA/AwAADgAAAAAA&#10;AAABACAAAAAeAQAAZHJzL2Uyb0RvYy54bWxQSwUGAAAAAAYABgBZAQAANgUAAAAA&#10;">
              <v:fill on="f" focussize="0,0"/>
              <v:stroke on="f"/>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216B687C"/>
    <w:multiLevelType w:val="singleLevel"/>
    <w:tmpl w:val="216B687C"/>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328A8"/>
    <w:rsid w:val="00052640"/>
    <w:rsid w:val="00063D15"/>
    <w:rsid w:val="00074928"/>
    <w:rsid w:val="00091C9D"/>
    <w:rsid w:val="000C106E"/>
    <w:rsid w:val="00115FE6"/>
    <w:rsid w:val="001276EE"/>
    <w:rsid w:val="001453A1"/>
    <w:rsid w:val="00186162"/>
    <w:rsid w:val="001C23BF"/>
    <w:rsid w:val="002069C8"/>
    <w:rsid w:val="002139EB"/>
    <w:rsid w:val="0022188F"/>
    <w:rsid w:val="00230A1A"/>
    <w:rsid w:val="002314A3"/>
    <w:rsid w:val="002523FD"/>
    <w:rsid w:val="00255546"/>
    <w:rsid w:val="00286014"/>
    <w:rsid w:val="002B1D56"/>
    <w:rsid w:val="002C2DEA"/>
    <w:rsid w:val="003102A2"/>
    <w:rsid w:val="00331810"/>
    <w:rsid w:val="00380064"/>
    <w:rsid w:val="00381B6D"/>
    <w:rsid w:val="003958B2"/>
    <w:rsid w:val="0039632C"/>
    <w:rsid w:val="003B1109"/>
    <w:rsid w:val="003D080C"/>
    <w:rsid w:val="003F46A7"/>
    <w:rsid w:val="00423B85"/>
    <w:rsid w:val="00453EE9"/>
    <w:rsid w:val="00473865"/>
    <w:rsid w:val="0048093D"/>
    <w:rsid w:val="00495DBC"/>
    <w:rsid w:val="00504DED"/>
    <w:rsid w:val="00523230"/>
    <w:rsid w:val="00526589"/>
    <w:rsid w:val="00545140"/>
    <w:rsid w:val="0055214F"/>
    <w:rsid w:val="005556A5"/>
    <w:rsid w:val="0058754B"/>
    <w:rsid w:val="005C688B"/>
    <w:rsid w:val="005E6BBB"/>
    <w:rsid w:val="00613E43"/>
    <w:rsid w:val="0068504A"/>
    <w:rsid w:val="0068515F"/>
    <w:rsid w:val="00687C87"/>
    <w:rsid w:val="006B6300"/>
    <w:rsid w:val="006D0A13"/>
    <w:rsid w:val="006D2B52"/>
    <w:rsid w:val="006E025D"/>
    <w:rsid w:val="006E14F4"/>
    <w:rsid w:val="006F5FAC"/>
    <w:rsid w:val="0070784A"/>
    <w:rsid w:val="00721141"/>
    <w:rsid w:val="00730CC6"/>
    <w:rsid w:val="00740D0D"/>
    <w:rsid w:val="00793ABB"/>
    <w:rsid w:val="0079784E"/>
    <w:rsid w:val="007B6415"/>
    <w:rsid w:val="007D0446"/>
    <w:rsid w:val="00802770"/>
    <w:rsid w:val="0081382B"/>
    <w:rsid w:val="008511F3"/>
    <w:rsid w:val="008B6242"/>
    <w:rsid w:val="008C7C9F"/>
    <w:rsid w:val="00915948"/>
    <w:rsid w:val="00923E97"/>
    <w:rsid w:val="009A5642"/>
    <w:rsid w:val="009B5270"/>
    <w:rsid w:val="009D41D7"/>
    <w:rsid w:val="009D7D4A"/>
    <w:rsid w:val="009E03FD"/>
    <w:rsid w:val="00A34DC1"/>
    <w:rsid w:val="00A41E73"/>
    <w:rsid w:val="00A618F2"/>
    <w:rsid w:val="00A61CCE"/>
    <w:rsid w:val="00A92B7C"/>
    <w:rsid w:val="00AA1709"/>
    <w:rsid w:val="00AB013C"/>
    <w:rsid w:val="00AD758B"/>
    <w:rsid w:val="00AF11ED"/>
    <w:rsid w:val="00B01BA0"/>
    <w:rsid w:val="00B74689"/>
    <w:rsid w:val="00B82298"/>
    <w:rsid w:val="00C0069B"/>
    <w:rsid w:val="00C17B06"/>
    <w:rsid w:val="00C20479"/>
    <w:rsid w:val="00C532E5"/>
    <w:rsid w:val="00C57914"/>
    <w:rsid w:val="00C57D5B"/>
    <w:rsid w:val="00C6008B"/>
    <w:rsid w:val="00C735E9"/>
    <w:rsid w:val="00C758E3"/>
    <w:rsid w:val="00CB534B"/>
    <w:rsid w:val="00CE51F2"/>
    <w:rsid w:val="00CE631C"/>
    <w:rsid w:val="00CE703D"/>
    <w:rsid w:val="00CF0192"/>
    <w:rsid w:val="00D31733"/>
    <w:rsid w:val="00D34953"/>
    <w:rsid w:val="00D43330"/>
    <w:rsid w:val="00D84A7F"/>
    <w:rsid w:val="00DA51BD"/>
    <w:rsid w:val="00DF363F"/>
    <w:rsid w:val="00E32EEF"/>
    <w:rsid w:val="00E77817"/>
    <w:rsid w:val="00E944EE"/>
    <w:rsid w:val="00EF6911"/>
    <w:rsid w:val="00F37996"/>
    <w:rsid w:val="00F410E0"/>
    <w:rsid w:val="00F579E9"/>
    <w:rsid w:val="00FA6734"/>
    <w:rsid w:val="00FE3699"/>
    <w:rsid w:val="01F95E15"/>
    <w:rsid w:val="020854E0"/>
    <w:rsid w:val="048253AE"/>
    <w:rsid w:val="05BE026A"/>
    <w:rsid w:val="121F410E"/>
    <w:rsid w:val="12314203"/>
    <w:rsid w:val="1232606F"/>
    <w:rsid w:val="14875F5C"/>
    <w:rsid w:val="154A2BF0"/>
    <w:rsid w:val="161C3BDF"/>
    <w:rsid w:val="1ABE1F89"/>
    <w:rsid w:val="1CA170A1"/>
    <w:rsid w:val="1CF94C74"/>
    <w:rsid w:val="1E7803A5"/>
    <w:rsid w:val="1EE73053"/>
    <w:rsid w:val="1FD02863"/>
    <w:rsid w:val="1FD741F4"/>
    <w:rsid w:val="21521385"/>
    <w:rsid w:val="215642B7"/>
    <w:rsid w:val="233A0907"/>
    <w:rsid w:val="237156AD"/>
    <w:rsid w:val="23AC14FA"/>
    <w:rsid w:val="24055BE6"/>
    <w:rsid w:val="243F4A48"/>
    <w:rsid w:val="249D1001"/>
    <w:rsid w:val="24EA4033"/>
    <w:rsid w:val="26777402"/>
    <w:rsid w:val="270E6088"/>
    <w:rsid w:val="290D474E"/>
    <w:rsid w:val="2A320DE6"/>
    <w:rsid w:val="2A3F266D"/>
    <w:rsid w:val="2A932085"/>
    <w:rsid w:val="2AB460EC"/>
    <w:rsid w:val="2B0B38BE"/>
    <w:rsid w:val="2B646512"/>
    <w:rsid w:val="2C7F69C4"/>
    <w:rsid w:val="2FD85881"/>
    <w:rsid w:val="3030115B"/>
    <w:rsid w:val="31182624"/>
    <w:rsid w:val="32BB0ACB"/>
    <w:rsid w:val="33E11358"/>
    <w:rsid w:val="34CB6239"/>
    <w:rsid w:val="384E732E"/>
    <w:rsid w:val="39FB50BD"/>
    <w:rsid w:val="3A947C58"/>
    <w:rsid w:val="3B22216D"/>
    <w:rsid w:val="3BF615F0"/>
    <w:rsid w:val="3D124969"/>
    <w:rsid w:val="3EE362B0"/>
    <w:rsid w:val="3FE7521C"/>
    <w:rsid w:val="4084557D"/>
    <w:rsid w:val="424846CC"/>
    <w:rsid w:val="42A05B3A"/>
    <w:rsid w:val="42DB26F4"/>
    <w:rsid w:val="43AD4DF6"/>
    <w:rsid w:val="44AD43EE"/>
    <w:rsid w:val="45635BF1"/>
    <w:rsid w:val="45BA692E"/>
    <w:rsid w:val="47CB30DB"/>
    <w:rsid w:val="48150F23"/>
    <w:rsid w:val="4BBB59AD"/>
    <w:rsid w:val="4E3B7274"/>
    <w:rsid w:val="4E50636D"/>
    <w:rsid w:val="4EB06CD9"/>
    <w:rsid w:val="50DF359D"/>
    <w:rsid w:val="50FC2FB4"/>
    <w:rsid w:val="52B87B5F"/>
    <w:rsid w:val="53974D11"/>
    <w:rsid w:val="56DB6C36"/>
    <w:rsid w:val="57FE72FA"/>
    <w:rsid w:val="582717C8"/>
    <w:rsid w:val="5C524815"/>
    <w:rsid w:val="5CE05725"/>
    <w:rsid w:val="5CE5639E"/>
    <w:rsid w:val="5D5B4D6C"/>
    <w:rsid w:val="5EF5456F"/>
    <w:rsid w:val="5FA90707"/>
    <w:rsid w:val="611A51A1"/>
    <w:rsid w:val="619217B9"/>
    <w:rsid w:val="61A31EF5"/>
    <w:rsid w:val="63AF22F4"/>
    <w:rsid w:val="65D6024E"/>
    <w:rsid w:val="666478A6"/>
    <w:rsid w:val="66C85190"/>
    <w:rsid w:val="68AF72D6"/>
    <w:rsid w:val="69747D00"/>
    <w:rsid w:val="699F675D"/>
    <w:rsid w:val="6B027B01"/>
    <w:rsid w:val="6DA87242"/>
    <w:rsid w:val="6F601EF1"/>
    <w:rsid w:val="70C23675"/>
    <w:rsid w:val="738E2A70"/>
    <w:rsid w:val="741661E7"/>
    <w:rsid w:val="758400BD"/>
    <w:rsid w:val="75DB24EF"/>
    <w:rsid w:val="764D4F85"/>
    <w:rsid w:val="76C15324"/>
    <w:rsid w:val="78895672"/>
    <w:rsid w:val="79455233"/>
    <w:rsid w:val="79531EB8"/>
    <w:rsid w:val="7AB93CAD"/>
    <w:rsid w:val="7CE06848"/>
    <w:rsid w:val="7ED74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8"/>
    <w:qFormat/>
    <w:uiPriority w:val="0"/>
    <w:pPr>
      <w:keepNext/>
      <w:jc w:val="center"/>
      <w:outlineLvl w:val="0"/>
    </w:pPr>
    <w:rPr>
      <w:rFonts w:eastAsia="黑体"/>
      <w:b/>
      <w:bCs/>
      <w:kern w:val="0"/>
      <w:sz w:val="30"/>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8"/>
    <w:qFormat/>
    <w:uiPriority w:val="99"/>
    <w:pPr>
      <w:spacing w:after="120"/>
    </w:p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6"/>
    <w:next w:val="16"/>
    <w:link w:val="87"/>
    <w:qFormat/>
    <w:uiPriority w:val="0"/>
    <w:rPr>
      <w:rFonts w:ascii="Calibri" w:hAnsi="Calibri" w:cs="黑体"/>
      <w:b/>
      <w:bCs/>
    </w:rPr>
  </w:style>
  <w:style w:type="paragraph" w:styleId="45">
    <w:name w:val="Body Text First Indent"/>
    <w:basedOn w:val="19"/>
    <w:link w:val="176"/>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样式3"/>
    <w:basedOn w:val="1"/>
    <w:next w:val="1"/>
    <w:qFormat/>
    <w:uiPriority w:val="0"/>
    <w:pPr>
      <w:spacing w:line="360" w:lineRule="auto"/>
      <w:ind w:firstLine="480"/>
      <w:jc w:val="left"/>
    </w:pPr>
    <w:rPr>
      <w:rFonts w:ascii="宋体"/>
      <w:sz w:val="24"/>
      <w:szCs w:val="22"/>
    </w:rPr>
  </w:style>
  <w:style w:type="character" w:customStyle="1" w:styleId="62">
    <w:name w:val="页眉 字符"/>
    <w:basedOn w:val="48"/>
    <w:link w:val="31"/>
    <w:qFormat/>
    <w:uiPriority w:val="0"/>
    <w:rPr>
      <w:sz w:val="18"/>
      <w:szCs w:val="18"/>
    </w:rPr>
  </w:style>
  <w:style w:type="character" w:customStyle="1" w:styleId="63">
    <w:name w:val="页脚 字符"/>
    <w:basedOn w:val="48"/>
    <w:link w:val="30"/>
    <w:qFormat/>
    <w:uiPriority w:val="0"/>
    <w:rPr>
      <w:sz w:val="18"/>
      <w:szCs w:val="18"/>
    </w:rPr>
  </w:style>
  <w:style w:type="character" w:customStyle="1" w:styleId="64">
    <w:name w:val="标题 1 字符"/>
    <w:basedOn w:val="48"/>
    <w:link w:val="3"/>
    <w:qFormat/>
    <w:uiPriority w:val="0"/>
    <w:rPr>
      <w:rFonts w:ascii="Times New Roman" w:hAnsi="Times New Roman" w:eastAsia="黑体" w:cs="Times New Roman"/>
      <w:b/>
      <w:bCs/>
      <w:kern w:val="0"/>
      <w:sz w:val="30"/>
      <w:szCs w:val="20"/>
    </w:rPr>
  </w:style>
  <w:style w:type="character" w:customStyle="1" w:styleId="65">
    <w:name w:val="标题 2 字符"/>
    <w:basedOn w:val="48"/>
    <w:link w:val="4"/>
    <w:qFormat/>
    <w:uiPriority w:val="0"/>
    <w:rPr>
      <w:rFonts w:ascii="Arial" w:hAnsi="Arial" w:eastAsia="宋体" w:cs="Times New Roman"/>
      <w:b/>
      <w:bCs/>
      <w:kern w:val="0"/>
      <w:sz w:val="24"/>
      <w:szCs w:val="32"/>
    </w:rPr>
  </w:style>
  <w:style w:type="character" w:customStyle="1" w:styleId="66">
    <w:name w:val="标题 3 字符"/>
    <w:basedOn w:val="48"/>
    <w:link w:val="5"/>
    <w:qFormat/>
    <w:uiPriority w:val="0"/>
    <w:rPr>
      <w:rFonts w:ascii="Times New Roman" w:hAnsi="Times New Roman" w:eastAsia="宋体" w:cs="Times New Roman"/>
      <w:b/>
      <w:bCs/>
      <w:kern w:val="0"/>
      <w:sz w:val="32"/>
      <w:szCs w:val="32"/>
    </w:rPr>
  </w:style>
  <w:style w:type="character" w:customStyle="1" w:styleId="67">
    <w:name w:val="标题 4 字符"/>
    <w:basedOn w:val="48"/>
    <w:link w:val="6"/>
    <w:qFormat/>
    <w:uiPriority w:val="0"/>
    <w:rPr>
      <w:rFonts w:ascii="Arial" w:hAnsi="Arial" w:eastAsia="黑体" w:cs="Times New Roman"/>
      <w:b/>
      <w:bCs/>
      <w:kern w:val="0"/>
      <w:sz w:val="28"/>
      <w:szCs w:val="28"/>
    </w:rPr>
  </w:style>
  <w:style w:type="character" w:customStyle="1" w:styleId="68">
    <w:name w:val="标题 5 字符"/>
    <w:basedOn w:val="48"/>
    <w:link w:val="7"/>
    <w:qFormat/>
    <w:uiPriority w:val="0"/>
    <w:rPr>
      <w:rFonts w:ascii="Times New Roman" w:hAnsi="Times New Roman" w:eastAsia="宋体" w:cs="Times New Roman"/>
      <w:b/>
      <w:bCs/>
      <w:kern w:val="0"/>
      <w:sz w:val="28"/>
      <w:szCs w:val="28"/>
    </w:rPr>
  </w:style>
  <w:style w:type="character" w:customStyle="1" w:styleId="69">
    <w:name w:val="标题 6 字符"/>
    <w:basedOn w:val="48"/>
    <w:link w:val="8"/>
    <w:qFormat/>
    <w:uiPriority w:val="0"/>
    <w:rPr>
      <w:rFonts w:ascii="Arial" w:hAnsi="Arial" w:eastAsia="黑体" w:cs="Times New Roman"/>
      <w:b/>
      <w:bCs/>
      <w:kern w:val="0"/>
      <w:sz w:val="24"/>
      <w:szCs w:val="24"/>
    </w:rPr>
  </w:style>
  <w:style w:type="character" w:customStyle="1" w:styleId="70">
    <w:name w:val="标题 7 字符"/>
    <w:basedOn w:val="48"/>
    <w:link w:val="9"/>
    <w:qFormat/>
    <w:uiPriority w:val="0"/>
    <w:rPr>
      <w:rFonts w:ascii="Times New Roman" w:hAnsi="Times New Roman" w:eastAsia="宋体" w:cs="Times New Roman"/>
      <w:b/>
      <w:bCs/>
      <w:kern w:val="0"/>
      <w:sz w:val="24"/>
      <w:szCs w:val="24"/>
    </w:rPr>
  </w:style>
  <w:style w:type="character" w:customStyle="1" w:styleId="71">
    <w:name w:val="标题 8 字符"/>
    <w:basedOn w:val="48"/>
    <w:link w:val="10"/>
    <w:qFormat/>
    <w:uiPriority w:val="0"/>
    <w:rPr>
      <w:rFonts w:ascii="Arial" w:hAnsi="Arial" w:eastAsia="黑体" w:cs="Times New Roman"/>
      <w:kern w:val="0"/>
      <w:sz w:val="24"/>
      <w:szCs w:val="24"/>
    </w:rPr>
  </w:style>
  <w:style w:type="character" w:customStyle="1" w:styleId="72">
    <w:name w:val="标题 9 字符"/>
    <w:basedOn w:val="48"/>
    <w:link w:val="11"/>
    <w:qFormat/>
    <w:uiPriority w:val="0"/>
    <w:rPr>
      <w:rFonts w:ascii="Arial" w:hAnsi="Arial" w:eastAsia="黑体" w:cs="Times New Roman"/>
      <w:kern w:val="0"/>
      <w:sz w:val="20"/>
      <w:szCs w:val="21"/>
    </w:rPr>
  </w:style>
  <w:style w:type="character" w:customStyle="1" w:styleId="73">
    <w:name w:val="正文文本 2 字符"/>
    <w:basedOn w:val="48"/>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8"/>
    <w:qFormat/>
    <w:uiPriority w:val="0"/>
    <w:rPr>
      <w:rFonts w:ascii="Cambria" w:hAnsi="Cambria" w:eastAsia="宋体" w:cs="Times New Roman"/>
      <w:b/>
      <w:bCs/>
      <w:sz w:val="28"/>
      <w:szCs w:val="28"/>
    </w:rPr>
  </w:style>
  <w:style w:type="character" w:customStyle="1" w:styleId="78">
    <w:name w:val="日期 Char"/>
    <w:basedOn w:val="48"/>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8"/>
    <w:qFormat/>
    <w:uiPriority w:val="0"/>
    <w:rPr>
      <w:rFonts w:hint="eastAsia" w:ascii="宋体" w:hAnsi="宋体" w:eastAsia="宋体" w:cs="宋体"/>
      <w:color w:val="000000"/>
      <w:sz w:val="18"/>
      <w:szCs w:val="18"/>
      <w:u w:val="none"/>
    </w:rPr>
  </w:style>
  <w:style w:type="character" w:customStyle="1" w:styleId="93">
    <w:name w:val="font01"/>
    <w:basedOn w:val="48"/>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8"/>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8"/>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8"/>
    <w:link w:val="43"/>
    <w:qFormat/>
    <w:uiPriority w:val="0"/>
    <w:rPr>
      <w:rFonts w:ascii="Cambria" w:hAnsi="Cambria" w:eastAsia="宋体" w:cs="Times New Roman"/>
      <w:b/>
      <w:sz w:val="32"/>
      <w:szCs w:val="24"/>
    </w:rPr>
  </w:style>
  <w:style w:type="character" w:customStyle="1" w:styleId="102">
    <w:name w:val="正文文本缩进 2 字符"/>
    <w:basedOn w:val="48"/>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8"/>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8"/>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8"/>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8"/>
    <w:link w:val="40"/>
    <w:qFormat/>
    <w:uiPriority w:val="0"/>
    <w:rPr>
      <w:rFonts w:ascii="Arial" w:hAnsi="Arial" w:eastAsia="宋体" w:cs="Arial"/>
      <w:kern w:val="0"/>
      <w:sz w:val="24"/>
      <w:szCs w:val="24"/>
    </w:rPr>
  </w:style>
  <w:style w:type="character" w:customStyle="1" w:styleId="115">
    <w:name w:val="称呼 字符"/>
    <w:basedOn w:val="48"/>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8"/>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8"/>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8"/>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8"/>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8"/>
    <w:qFormat/>
    <w:uiPriority w:val="0"/>
    <w:rPr>
      <w:rFonts w:ascii="Cambria" w:hAnsi="Cambria" w:eastAsia="宋体" w:cs="Times New Roman"/>
      <w:b/>
      <w:bCs/>
      <w:sz w:val="32"/>
      <w:szCs w:val="32"/>
    </w:rPr>
  </w:style>
  <w:style w:type="character" w:customStyle="1" w:styleId="133">
    <w:name w:val="纯文本 Char1"/>
    <w:basedOn w:val="48"/>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8"/>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8"/>
    <w:qFormat/>
    <w:uiPriority w:val="0"/>
    <w:rPr>
      <w:rFonts w:ascii="Cambria" w:hAnsi="Cambria" w:eastAsia="宋体" w:cs="Times New Roman"/>
      <w:b/>
      <w:bCs/>
      <w:sz w:val="32"/>
      <w:szCs w:val="32"/>
    </w:rPr>
  </w:style>
  <w:style w:type="character" w:customStyle="1" w:styleId="139">
    <w:name w:val="font41"/>
    <w:basedOn w:val="48"/>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8"/>
    <w:qFormat/>
    <w:uiPriority w:val="0"/>
    <w:rPr>
      <w:rFonts w:ascii="Cambria" w:hAnsi="Cambria" w:eastAsia="宋体" w:cs="Times New Roman"/>
      <w:sz w:val="24"/>
      <w:szCs w:val="24"/>
    </w:rPr>
  </w:style>
  <w:style w:type="character" w:customStyle="1" w:styleId="149">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50">
    <w:name w:val="font71"/>
    <w:basedOn w:val="48"/>
    <w:qFormat/>
    <w:uiPriority w:val="0"/>
    <w:rPr>
      <w:rFonts w:hint="eastAsia" w:ascii="宋体" w:hAnsi="宋体" w:eastAsia="宋体" w:cs="宋体"/>
      <w:b/>
      <w:color w:val="000000"/>
      <w:sz w:val="22"/>
      <w:szCs w:val="22"/>
      <w:u w:val="none"/>
    </w:rPr>
  </w:style>
  <w:style w:type="character" w:customStyle="1" w:styleId="151">
    <w:name w:val="font21"/>
    <w:basedOn w:val="48"/>
    <w:qFormat/>
    <w:uiPriority w:val="0"/>
    <w:rPr>
      <w:rFonts w:hint="eastAsia" w:ascii="宋体" w:hAnsi="宋体" w:eastAsia="宋体" w:cs="宋体"/>
      <w:color w:val="000000"/>
      <w:sz w:val="18"/>
      <w:szCs w:val="18"/>
      <w:u w:val="none"/>
    </w:rPr>
  </w:style>
  <w:style w:type="character" w:customStyle="1" w:styleId="152">
    <w:name w:val="标题 9 Char"/>
    <w:basedOn w:val="48"/>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8"/>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8"/>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8"/>
    <w:semiHidden/>
    <w:qFormat/>
    <w:uiPriority w:val="99"/>
    <w:rPr>
      <w:rFonts w:ascii="Times New Roman" w:hAnsi="Times New Roman" w:eastAsia="宋体" w:cs="Times New Roman"/>
      <w:szCs w:val="24"/>
    </w:rPr>
  </w:style>
  <w:style w:type="character" w:customStyle="1" w:styleId="166">
    <w:name w:val="正文文本缩进 字符1"/>
    <w:basedOn w:val="48"/>
    <w:semiHidden/>
    <w:qFormat/>
    <w:uiPriority w:val="99"/>
    <w:rPr>
      <w:rFonts w:ascii="Times New Roman" w:hAnsi="Times New Roman" w:eastAsia="宋体" w:cs="Times New Roman"/>
      <w:szCs w:val="24"/>
    </w:rPr>
  </w:style>
  <w:style w:type="character" w:customStyle="1" w:styleId="167">
    <w:name w:val="正文文本 3 字符1"/>
    <w:basedOn w:val="48"/>
    <w:semiHidden/>
    <w:qFormat/>
    <w:uiPriority w:val="99"/>
    <w:rPr>
      <w:rFonts w:ascii="Times New Roman" w:hAnsi="Times New Roman" w:eastAsia="宋体" w:cs="Times New Roman"/>
      <w:sz w:val="16"/>
      <w:szCs w:val="16"/>
    </w:rPr>
  </w:style>
  <w:style w:type="character" w:customStyle="1" w:styleId="168">
    <w:name w:val="称呼 字符1"/>
    <w:basedOn w:val="48"/>
    <w:semiHidden/>
    <w:qFormat/>
    <w:uiPriority w:val="99"/>
    <w:rPr>
      <w:rFonts w:ascii="Times New Roman" w:hAnsi="Times New Roman" w:eastAsia="宋体" w:cs="Times New Roman"/>
      <w:szCs w:val="24"/>
    </w:rPr>
  </w:style>
  <w:style w:type="character" w:customStyle="1" w:styleId="169">
    <w:name w:val="批注框文本 字符1"/>
    <w:basedOn w:val="48"/>
    <w:semiHidden/>
    <w:qFormat/>
    <w:uiPriority w:val="99"/>
    <w:rPr>
      <w:rFonts w:ascii="Times New Roman" w:hAnsi="Times New Roman" w:eastAsia="宋体" w:cs="Times New Roman"/>
      <w:sz w:val="18"/>
      <w:szCs w:val="18"/>
    </w:rPr>
  </w:style>
  <w:style w:type="character" w:customStyle="1" w:styleId="170">
    <w:name w:val="正文文本缩进 3 字符1"/>
    <w:basedOn w:val="48"/>
    <w:semiHidden/>
    <w:qFormat/>
    <w:uiPriority w:val="99"/>
    <w:rPr>
      <w:rFonts w:ascii="Times New Roman" w:hAnsi="Times New Roman" w:eastAsia="宋体" w:cs="Times New Roman"/>
      <w:sz w:val="16"/>
      <w:szCs w:val="16"/>
    </w:rPr>
  </w:style>
  <w:style w:type="character" w:customStyle="1" w:styleId="171">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2">
    <w:name w:val="日期 字符1"/>
    <w:basedOn w:val="48"/>
    <w:semiHidden/>
    <w:qFormat/>
    <w:uiPriority w:val="99"/>
    <w:rPr>
      <w:rFonts w:ascii="Times New Roman" w:hAnsi="Times New Roman" w:eastAsia="宋体" w:cs="Times New Roman"/>
      <w:szCs w:val="24"/>
    </w:rPr>
  </w:style>
  <w:style w:type="character" w:customStyle="1" w:styleId="173">
    <w:name w:val="正文文本 字符1"/>
    <w:basedOn w:val="48"/>
    <w:semiHidden/>
    <w:qFormat/>
    <w:uiPriority w:val="99"/>
    <w:rPr>
      <w:rFonts w:ascii="Times New Roman" w:hAnsi="Times New Roman" w:eastAsia="宋体" w:cs="Times New Roman"/>
      <w:szCs w:val="24"/>
    </w:rPr>
  </w:style>
  <w:style w:type="character" w:customStyle="1" w:styleId="174">
    <w:name w:val="批注文字 字符1"/>
    <w:basedOn w:val="48"/>
    <w:semiHidden/>
    <w:qFormat/>
    <w:uiPriority w:val="99"/>
    <w:rPr>
      <w:rFonts w:ascii="Times New Roman" w:hAnsi="Times New Roman" w:eastAsia="宋体" w:cs="Times New Roman"/>
      <w:szCs w:val="24"/>
    </w:rPr>
  </w:style>
  <w:style w:type="character" w:customStyle="1" w:styleId="175">
    <w:name w:val="HTML 预设格式 字符1"/>
    <w:basedOn w:val="48"/>
    <w:semiHidden/>
    <w:qFormat/>
    <w:uiPriority w:val="99"/>
    <w:rPr>
      <w:rFonts w:ascii="Courier New" w:hAnsi="Courier New" w:eastAsia="宋体" w:cs="Courier New"/>
      <w:sz w:val="20"/>
      <w:szCs w:val="20"/>
    </w:rPr>
  </w:style>
  <w:style w:type="character" w:customStyle="1" w:styleId="176">
    <w:name w:val="正文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8"/>
    <w:semiHidden/>
    <w:qFormat/>
    <w:uiPriority w:val="99"/>
    <w:rPr>
      <w:rFonts w:ascii="Times New Roman" w:hAnsi="Times New Roman" w:eastAsia="宋体" w:cs="Times New Roman"/>
      <w:szCs w:val="24"/>
    </w:rPr>
  </w:style>
  <w:style w:type="character" w:customStyle="1" w:styleId="178">
    <w:name w:val="副标题 字符1"/>
    <w:basedOn w:val="48"/>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8"/>
    <w:qFormat/>
    <w:uiPriority w:val="10"/>
    <w:rPr>
      <w:rFonts w:asciiTheme="majorHAnsi" w:hAnsiTheme="majorHAnsi" w:eastAsiaTheme="majorEastAsia" w:cstheme="majorBidi"/>
      <w:b/>
      <w:bCs/>
      <w:sz w:val="32"/>
      <w:szCs w:val="32"/>
    </w:rPr>
  </w:style>
  <w:style w:type="character" w:customStyle="1" w:styleId="181">
    <w:name w:val="纯文本 字符1"/>
    <w:basedOn w:val="48"/>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8"/>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8"/>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8"/>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8"/>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character" w:customStyle="1" w:styleId="357">
    <w:name w:val="fontstyle01"/>
    <w:qFormat/>
    <w:uiPriority w:val="0"/>
    <w:rPr>
      <w:rFonts w:hint="eastAsia" w:ascii="宋体" w:hAnsi="宋体" w:eastAsia="宋体"/>
      <w:color w:val="000000"/>
      <w:sz w:val="22"/>
      <w:szCs w:val="22"/>
    </w:rPr>
  </w:style>
  <w:style w:type="character" w:customStyle="1" w:styleId="358">
    <w:name w:val="标题 1 Char1"/>
    <w:basedOn w:val="48"/>
    <w:link w:val="3"/>
    <w:qFormat/>
    <w:uiPriority w:val="0"/>
    <w:rPr>
      <w:rFonts w:eastAsia="黑体"/>
      <w:b/>
      <w:bCs/>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028C7-EBCD-4AF3-8FD7-AF3C39E7F35C}">
  <ds:schemaRefs/>
</ds:datastoreItem>
</file>

<file path=docProps/app.xml><?xml version="1.0" encoding="utf-8"?>
<Properties xmlns="http://schemas.openxmlformats.org/officeDocument/2006/extended-properties" xmlns:vt="http://schemas.openxmlformats.org/officeDocument/2006/docPropsVTypes">
  <Template>Normal</Template>
  <Pages>51</Pages>
  <Words>3685</Words>
  <Characters>21011</Characters>
  <Lines>175</Lines>
  <Paragraphs>49</Paragraphs>
  <TotalTime>0</TotalTime>
  <ScaleCrop>false</ScaleCrop>
  <LinksUpToDate>false</LinksUpToDate>
  <CharactersWithSpaces>24647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2019-09-05T09:35:00Z</dcterms:created>
  <dc:creator>李 毅</dc:creator>
  <cp:lastModifiedBy>ben</cp:lastModifiedBy>
  <cp:lastPrinted>2019-09-26T06:29:00Z</cp:lastPrinted>
  <dcterms:modified xsi:type="dcterms:W3CDTF">2020-09-07T00:56:30Z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