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cs="宋体" w:asciiTheme="majorEastAsia" w:hAnsiTheme="majorEastAsia" w:eastAsiaTheme="majorEastAsia"/>
          <w:b/>
          <w:color w:val="auto"/>
          <w:sz w:val="52"/>
          <w:szCs w:val="52"/>
        </w:rPr>
      </w:pPr>
      <w:r>
        <w:rPr>
          <w:rFonts w:hint="eastAsia" w:cs="宋体" w:asciiTheme="majorEastAsia" w:hAnsiTheme="majorEastAsia" w:eastAsiaTheme="majorEastAsia"/>
          <w:b/>
          <w:color w:val="auto"/>
          <w:sz w:val="52"/>
          <w:szCs w:val="52"/>
        </w:rPr>
        <w:t>长沙市轨道交通1、2、3、4、5号线2021年-2022年公务用车保险</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b/>
          <w:color w:val="auto"/>
          <w:sz w:val="52"/>
          <w:szCs w:val="52"/>
        </w:rPr>
      </w:pPr>
      <w:r>
        <w:rPr>
          <w:rFonts w:hint="eastAsia" w:cs="宋体" w:asciiTheme="majorEastAsia" w:hAnsiTheme="majorEastAsia" w:eastAsiaTheme="majorEastAsia"/>
          <w:b/>
          <w:color w:val="auto"/>
          <w:sz w:val="52"/>
          <w:szCs w:val="52"/>
        </w:rPr>
        <w:t>定点服务项目用户需求书</w:t>
      </w:r>
    </w:p>
    <w:p>
      <w:pPr>
        <w:spacing w:line="360" w:lineRule="auto"/>
        <w:jc w:val="center"/>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jc w:val="center"/>
        <w:rPr>
          <w:rFonts w:asciiTheme="majorEastAsia" w:hAnsiTheme="majorEastAsia" w:eastAsiaTheme="majorEastAsia"/>
          <w:color w:val="auto"/>
          <w:sz w:val="44"/>
          <w:szCs w:val="44"/>
        </w:rPr>
      </w:pPr>
      <w:r>
        <w:rPr>
          <w:rFonts w:hint="eastAsia" w:asciiTheme="majorEastAsia" w:hAnsiTheme="majorEastAsia" w:eastAsiaTheme="majorEastAsia"/>
          <w:color w:val="auto"/>
          <w:sz w:val="44"/>
          <w:szCs w:val="44"/>
        </w:rPr>
        <w:t>编制时间：20</w:t>
      </w:r>
      <w:r>
        <w:rPr>
          <w:rFonts w:hint="eastAsia" w:asciiTheme="majorEastAsia" w:hAnsiTheme="majorEastAsia" w:eastAsiaTheme="majorEastAsia"/>
          <w:color w:val="auto"/>
          <w:sz w:val="44"/>
          <w:szCs w:val="44"/>
          <w:lang w:val="en-US" w:eastAsia="zh-CN"/>
        </w:rPr>
        <w:t>20</w:t>
      </w:r>
      <w:r>
        <w:rPr>
          <w:rFonts w:hint="eastAsia" w:asciiTheme="majorEastAsia" w:hAnsiTheme="majorEastAsia" w:eastAsiaTheme="majorEastAsia"/>
          <w:color w:val="auto"/>
          <w:sz w:val="44"/>
          <w:szCs w:val="44"/>
        </w:rPr>
        <w:t>年</w:t>
      </w:r>
      <w:r>
        <w:rPr>
          <w:rFonts w:hint="eastAsia" w:asciiTheme="majorEastAsia" w:hAnsiTheme="majorEastAsia" w:eastAsiaTheme="majorEastAsia"/>
          <w:color w:val="auto"/>
          <w:sz w:val="44"/>
          <w:szCs w:val="44"/>
          <w:lang w:val="en-US" w:eastAsia="zh-CN"/>
        </w:rPr>
        <w:t>8</w:t>
      </w:r>
      <w:r>
        <w:rPr>
          <w:rFonts w:hint="eastAsia" w:asciiTheme="majorEastAsia" w:hAnsiTheme="majorEastAsia" w:eastAsiaTheme="majorEastAsia"/>
          <w:color w:val="auto"/>
          <w:sz w:val="44"/>
          <w:szCs w:val="44"/>
        </w:rPr>
        <w:t>月</w:t>
      </w:r>
    </w:p>
    <w:p>
      <w:pPr>
        <w:widowControl w:val="0"/>
        <w:adjustRightInd/>
        <w:snapToGrid/>
        <w:jc w:val="both"/>
        <w:rPr>
          <w:rFonts w:asciiTheme="minorEastAsia" w:hAnsiTheme="minorEastAsia" w:eastAsiaTheme="minorEastAsia" w:cstheme="minorEastAsia"/>
          <w:b/>
          <w:bCs/>
          <w:color w:val="auto"/>
          <w:kern w:val="2"/>
          <w:sz w:val="28"/>
          <w:szCs w:val="28"/>
        </w:rPr>
        <w:sectPr>
          <w:pgSz w:w="11906" w:h="16838"/>
          <w:pgMar w:top="1440" w:right="1800" w:bottom="1440" w:left="1800" w:header="851" w:footer="992" w:gutter="0"/>
          <w:cols w:space="425" w:num="1"/>
          <w:docGrid w:type="lines" w:linePitch="312" w:charSpace="0"/>
        </w:sectPr>
      </w:pPr>
    </w:p>
    <w:p>
      <w:pPr>
        <w:pStyle w:val="7"/>
        <w:tabs>
          <w:tab w:val="right" w:leader="dot" w:pos="8306"/>
        </w:tabs>
        <w:jc w:val="center"/>
        <w:rPr>
          <w:rFonts w:asciiTheme="minorEastAsia" w:hAnsiTheme="minorEastAsia" w:eastAsiaTheme="minorEastAsia" w:cstheme="minorEastAsia"/>
          <w:b/>
          <w:bCs/>
          <w:color w:val="auto"/>
          <w:kern w:val="2"/>
          <w:sz w:val="28"/>
          <w:szCs w:val="28"/>
        </w:rPr>
      </w:pPr>
      <w:r>
        <w:rPr>
          <w:rFonts w:hint="eastAsia" w:ascii="Calibri Light" w:hAnsi="Calibri Light" w:eastAsia="宋体" w:cs="Times New Roman"/>
          <w:b/>
          <w:bCs/>
          <w:color w:val="auto"/>
          <w:sz w:val="36"/>
          <w:szCs w:val="36"/>
        </w:rPr>
        <w:t>目录</w:t>
      </w:r>
    </w:p>
    <w:p>
      <w:pPr>
        <w:pStyle w:val="7"/>
        <w:tabs>
          <w:tab w:val="left" w:pos="840"/>
          <w:tab w:val="right" w:leader="dot" w:pos="8296"/>
        </w:tabs>
        <w:rPr>
          <w:color w:val="auto"/>
          <w:kern w:val="2"/>
          <w:sz w:val="21"/>
        </w:rPr>
      </w:pPr>
      <w:r>
        <w:rPr>
          <w:rFonts w:hint="eastAsia" w:asciiTheme="minorEastAsia" w:hAnsiTheme="minorEastAsia" w:eastAsiaTheme="minorEastAsia" w:cstheme="minorEastAsia"/>
          <w:b/>
          <w:bCs/>
          <w:color w:val="auto"/>
          <w:kern w:val="2"/>
          <w:sz w:val="28"/>
          <w:szCs w:val="28"/>
        </w:rPr>
        <w:fldChar w:fldCharType="begin"/>
      </w:r>
      <w:r>
        <w:rPr>
          <w:rFonts w:hint="eastAsia" w:asciiTheme="minorEastAsia" w:hAnsiTheme="minorEastAsia" w:eastAsiaTheme="minorEastAsia" w:cstheme="minorEastAsia"/>
          <w:b/>
          <w:bCs/>
          <w:color w:val="auto"/>
          <w:kern w:val="2"/>
          <w:sz w:val="28"/>
          <w:szCs w:val="28"/>
        </w:rPr>
        <w:instrText xml:space="preserve">TOC \o "1-3" \h \u </w:instrText>
      </w:r>
      <w:r>
        <w:rPr>
          <w:rFonts w:hint="eastAsia" w:asciiTheme="minorEastAsia" w:hAnsiTheme="minorEastAsia" w:eastAsiaTheme="minorEastAsia" w:cstheme="minorEastAsia"/>
          <w:b/>
          <w:bCs/>
          <w:color w:val="auto"/>
          <w:kern w:val="2"/>
          <w:sz w:val="28"/>
          <w:szCs w:val="28"/>
        </w:rPr>
        <w:fldChar w:fldCharType="separate"/>
      </w:r>
    </w:p>
    <w:sdt>
      <w:sdtPr>
        <w:rPr>
          <w:rFonts w:asciiTheme="minorHAnsi" w:hAnsiTheme="minorHAnsi" w:eastAsiaTheme="minorEastAsia" w:cstheme="minorBidi"/>
          <w:b w:val="0"/>
          <w:bCs w:val="0"/>
          <w:color w:val="auto"/>
          <w:sz w:val="22"/>
          <w:szCs w:val="22"/>
          <w:lang w:val="zh-CN"/>
        </w:rPr>
        <w:id w:val="109590282"/>
        <w:docPartObj>
          <w:docPartGallery w:val="Table of Contents"/>
          <w:docPartUnique/>
        </w:docPartObj>
      </w:sdtPr>
      <w:sdtEndPr>
        <w:rPr>
          <w:rFonts w:asciiTheme="minorHAnsi" w:hAnsiTheme="minorHAnsi" w:eastAsiaTheme="minorEastAsia" w:cstheme="minorBidi"/>
          <w:b w:val="0"/>
          <w:bCs w:val="0"/>
          <w:color w:val="auto"/>
          <w:sz w:val="22"/>
          <w:szCs w:val="22"/>
          <w:lang w:val="en-US"/>
        </w:rPr>
      </w:sdtEndPr>
      <w:sdtContent>
        <w:p>
          <w:pPr>
            <w:pStyle w:val="18"/>
            <w:rPr>
              <w:color w:val="auto"/>
            </w:rPr>
          </w:pPr>
        </w:p>
        <w:p>
          <w:pPr>
            <w:pStyle w:val="7"/>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"_Toc16168668" </w:instrText>
          </w:r>
          <w:r>
            <w:rPr>
              <w:color w:val="auto"/>
            </w:rPr>
            <w:fldChar w:fldCharType="separate"/>
          </w:r>
          <w:r>
            <w:rPr>
              <w:rStyle w:val="12"/>
              <w:rFonts w:hint="eastAsia" w:ascii="黑体" w:hAnsi="黑体" w:eastAsia="黑体" w:cs="仿宋_GB2312"/>
              <w:color w:val="auto"/>
            </w:rPr>
            <w:t>一、项目概况及招标范围</w:t>
          </w:r>
          <w:r>
            <w:rPr>
              <w:color w:val="auto"/>
            </w:rPr>
            <w:tab/>
          </w:r>
          <w:r>
            <w:rPr>
              <w:color w:val="auto"/>
            </w:rPr>
            <w:fldChar w:fldCharType="begin"/>
          </w:r>
          <w:r>
            <w:rPr>
              <w:color w:val="auto"/>
            </w:rPr>
            <w:instrText xml:space="preserve"> PAGEREF _Toc16168668 \h </w:instrText>
          </w:r>
          <w:r>
            <w:rPr>
              <w:color w:val="auto"/>
            </w:rPr>
            <w:fldChar w:fldCharType="separate"/>
          </w:r>
          <w:r>
            <w:rPr>
              <w:color w:val="auto"/>
            </w:rPr>
            <w:t>3</w:t>
          </w:r>
          <w:r>
            <w:rPr>
              <w:color w:val="auto"/>
            </w:rPr>
            <w:fldChar w:fldCharType="end"/>
          </w:r>
          <w:r>
            <w:rPr>
              <w:color w:val="auto"/>
            </w:rPr>
            <w:fldChar w:fldCharType="end"/>
          </w:r>
        </w:p>
        <w:p>
          <w:pPr>
            <w:pStyle w:val="8"/>
            <w:tabs>
              <w:tab w:val="right" w:leader="dot" w:pos="8296"/>
            </w:tabs>
            <w:rPr>
              <w:color w:val="auto"/>
              <w:kern w:val="2"/>
              <w:sz w:val="21"/>
            </w:rPr>
          </w:pPr>
          <w:r>
            <w:rPr>
              <w:color w:val="auto"/>
            </w:rPr>
            <w:fldChar w:fldCharType="begin"/>
          </w:r>
          <w:r>
            <w:rPr>
              <w:color w:val="auto"/>
            </w:rPr>
            <w:instrText xml:space="preserve"> HYPERLINK \l "_Toc16168669" </w:instrText>
          </w:r>
          <w:r>
            <w:rPr>
              <w:color w:val="auto"/>
            </w:rPr>
            <w:fldChar w:fldCharType="separate"/>
          </w:r>
          <w:r>
            <w:rPr>
              <w:rStyle w:val="12"/>
              <w:rFonts w:hint="eastAsia" w:ascii="楷体" w:hAnsi="楷体" w:eastAsia="楷体" w:cs="仿宋_GB2312"/>
              <w:color w:val="auto"/>
            </w:rPr>
            <w:t>（一）项目概况</w:t>
          </w:r>
          <w:r>
            <w:rPr>
              <w:color w:val="auto"/>
            </w:rPr>
            <w:tab/>
          </w:r>
          <w:r>
            <w:rPr>
              <w:color w:val="auto"/>
            </w:rPr>
            <w:fldChar w:fldCharType="begin"/>
          </w:r>
          <w:r>
            <w:rPr>
              <w:color w:val="auto"/>
            </w:rPr>
            <w:instrText xml:space="preserve"> PAGEREF _Toc16168669 \h </w:instrText>
          </w:r>
          <w:r>
            <w:rPr>
              <w:color w:val="auto"/>
            </w:rPr>
            <w:fldChar w:fldCharType="separate"/>
          </w:r>
          <w:r>
            <w:rPr>
              <w:color w:val="auto"/>
            </w:rPr>
            <w:t>3</w:t>
          </w:r>
          <w:r>
            <w:rPr>
              <w:color w:val="auto"/>
            </w:rPr>
            <w:fldChar w:fldCharType="end"/>
          </w:r>
          <w:r>
            <w:rPr>
              <w:color w:val="auto"/>
            </w:rPr>
            <w:fldChar w:fldCharType="end"/>
          </w:r>
        </w:p>
        <w:p>
          <w:pPr>
            <w:pStyle w:val="8"/>
            <w:tabs>
              <w:tab w:val="right" w:leader="dot" w:pos="8296"/>
            </w:tabs>
            <w:rPr>
              <w:color w:val="auto"/>
              <w:kern w:val="2"/>
              <w:sz w:val="21"/>
            </w:rPr>
          </w:pPr>
          <w:r>
            <w:rPr>
              <w:color w:val="auto"/>
            </w:rPr>
            <w:fldChar w:fldCharType="begin"/>
          </w:r>
          <w:r>
            <w:rPr>
              <w:color w:val="auto"/>
            </w:rPr>
            <w:instrText xml:space="preserve"> HYPERLINK \l "_Toc16168670" </w:instrText>
          </w:r>
          <w:r>
            <w:rPr>
              <w:color w:val="auto"/>
            </w:rPr>
            <w:fldChar w:fldCharType="separate"/>
          </w:r>
          <w:r>
            <w:rPr>
              <w:rStyle w:val="12"/>
              <w:rFonts w:hint="eastAsia" w:ascii="楷体" w:hAnsi="楷体" w:eastAsia="楷体" w:cs="仿宋_GB2312"/>
              <w:color w:val="auto"/>
            </w:rPr>
            <w:t>（二）招标范围</w:t>
          </w:r>
          <w:r>
            <w:rPr>
              <w:color w:val="auto"/>
            </w:rPr>
            <w:tab/>
          </w:r>
          <w:r>
            <w:rPr>
              <w:color w:val="auto"/>
            </w:rPr>
            <w:fldChar w:fldCharType="begin"/>
          </w:r>
          <w:r>
            <w:rPr>
              <w:color w:val="auto"/>
            </w:rPr>
            <w:instrText xml:space="preserve"> PAGEREF _Toc16168670 \h </w:instrText>
          </w:r>
          <w:r>
            <w:rPr>
              <w:color w:val="auto"/>
            </w:rPr>
            <w:fldChar w:fldCharType="separate"/>
          </w:r>
          <w:r>
            <w:rPr>
              <w:color w:val="auto"/>
            </w:rPr>
            <w:t>3</w:t>
          </w:r>
          <w:r>
            <w:rPr>
              <w:color w:val="auto"/>
            </w:rPr>
            <w:fldChar w:fldCharType="end"/>
          </w:r>
          <w:r>
            <w:rPr>
              <w:color w:val="auto"/>
            </w:rPr>
            <w:fldChar w:fldCharType="end"/>
          </w:r>
        </w:p>
        <w:p>
          <w:pPr>
            <w:pStyle w:val="7"/>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"_Toc16168671" </w:instrText>
          </w:r>
          <w:r>
            <w:rPr>
              <w:color w:val="auto"/>
            </w:rPr>
            <w:fldChar w:fldCharType="separate"/>
          </w:r>
          <w:r>
            <w:rPr>
              <w:rStyle w:val="12"/>
              <w:rFonts w:hint="eastAsia" w:ascii="黑体" w:hAnsi="黑体" w:eastAsia="黑体" w:cs="仿宋_GB2312"/>
              <w:color w:val="auto"/>
            </w:rPr>
            <w:t>二、项目计划</w:t>
          </w:r>
          <w:r>
            <w:rPr>
              <w:color w:val="auto"/>
            </w:rPr>
            <w:tab/>
          </w:r>
          <w:r>
            <w:rPr>
              <w:color w:val="auto"/>
            </w:rPr>
            <w:fldChar w:fldCharType="begin"/>
          </w:r>
          <w:r>
            <w:rPr>
              <w:color w:val="auto"/>
            </w:rPr>
            <w:instrText xml:space="preserve"> PAGEREF _Toc16168671 \h </w:instrText>
          </w:r>
          <w:r>
            <w:rPr>
              <w:color w:val="auto"/>
            </w:rPr>
            <w:fldChar w:fldCharType="separate"/>
          </w:r>
          <w:r>
            <w:rPr>
              <w:color w:val="auto"/>
            </w:rPr>
            <w:t>3</w:t>
          </w:r>
          <w:r>
            <w:rPr>
              <w:color w:val="auto"/>
            </w:rPr>
            <w:fldChar w:fldCharType="end"/>
          </w:r>
          <w:r>
            <w:rPr>
              <w:color w:val="auto"/>
            </w:rPr>
            <w:fldChar w:fldCharType="end"/>
          </w:r>
        </w:p>
        <w:p>
          <w:pPr>
            <w:pStyle w:val="7"/>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"_Toc16168672" </w:instrText>
          </w:r>
          <w:r>
            <w:rPr>
              <w:color w:val="auto"/>
            </w:rPr>
            <w:fldChar w:fldCharType="separate"/>
          </w:r>
          <w:r>
            <w:rPr>
              <w:rStyle w:val="12"/>
              <w:rFonts w:hint="eastAsia" w:ascii="黑体" w:hAnsi="黑体" w:eastAsia="黑体" w:cs="仿宋_GB2312"/>
              <w:color w:val="auto"/>
            </w:rPr>
            <w:t>三、相关技术标准及规范</w:t>
          </w:r>
          <w:r>
            <w:rPr>
              <w:color w:val="auto"/>
            </w:rPr>
            <w:tab/>
          </w:r>
          <w:r>
            <w:rPr>
              <w:color w:val="auto"/>
            </w:rPr>
            <w:fldChar w:fldCharType="begin"/>
          </w:r>
          <w:r>
            <w:rPr>
              <w:color w:val="auto"/>
            </w:rPr>
            <w:instrText xml:space="preserve"> PAGEREF _Toc16168672 \h </w:instrText>
          </w:r>
          <w:r>
            <w:rPr>
              <w:color w:val="auto"/>
            </w:rPr>
            <w:fldChar w:fldCharType="separate"/>
          </w:r>
          <w:r>
            <w:rPr>
              <w:color w:val="auto"/>
            </w:rPr>
            <w:t>3</w:t>
          </w:r>
          <w:r>
            <w:rPr>
              <w:color w:val="auto"/>
            </w:rPr>
            <w:fldChar w:fldCharType="end"/>
          </w:r>
          <w:r>
            <w:rPr>
              <w:color w:val="auto"/>
            </w:rPr>
            <w:fldChar w:fldCharType="end"/>
          </w:r>
        </w:p>
        <w:p>
          <w:pPr>
            <w:pStyle w:val="7"/>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"_Toc16168673" </w:instrText>
          </w:r>
          <w:r>
            <w:rPr>
              <w:color w:val="auto"/>
            </w:rPr>
            <w:fldChar w:fldCharType="separate"/>
          </w:r>
          <w:r>
            <w:rPr>
              <w:rStyle w:val="12"/>
              <w:rFonts w:hint="eastAsia" w:ascii="黑体" w:hAnsi="黑体" w:eastAsia="黑体" w:cs="仿宋_GB2312"/>
              <w:color w:val="auto"/>
            </w:rPr>
            <w:t>四、项目管控要求</w:t>
          </w:r>
          <w:r>
            <w:rPr>
              <w:color w:val="auto"/>
            </w:rPr>
            <w:tab/>
          </w:r>
          <w:r>
            <w:rPr>
              <w:color w:val="auto"/>
            </w:rPr>
            <w:fldChar w:fldCharType="begin"/>
          </w:r>
          <w:r>
            <w:rPr>
              <w:color w:val="auto"/>
            </w:rPr>
            <w:instrText xml:space="preserve"> PAGEREF _Toc16168673 \h </w:instrText>
          </w:r>
          <w:r>
            <w:rPr>
              <w:color w:val="auto"/>
            </w:rPr>
            <w:fldChar w:fldCharType="separate"/>
          </w:r>
          <w:r>
            <w:rPr>
              <w:color w:val="auto"/>
            </w:rPr>
            <w:t>4</w:t>
          </w:r>
          <w:r>
            <w:rPr>
              <w:color w:val="auto"/>
            </w:rPr>
            <w:fldChar w:fldCharType="end"/>
          </w:r>
          <w:r>
            <w:rPr>
              <w:color w:val="auto"/>
            </w:rPr>
            <w:fldChar w:fldCharType="end"/>
          </w:r>
        </w:p>
        <w:p>
          <w:pPr>
            <w:pStyle w:val="8"/>
            <w:tabs>
              <w:tab w:val="right" w:leader="dot" w:pos="8296"/>
            </w:tabs>
            <w:rPr>
              <w:color w:val="auto"/>
              <w:kern w:val="2"/>
              <w:sz w:val="21"/>
            </w:rPr>
          </w:pPr>
          <w:r>
            <w:rPr>
              <w:color w:val="auto"/>
            </w:rPr>
            <w:fldChar w:fldCharType="begin"/>
          </w:r>
          <w:r>
            <w:rPr>
              <w:color w:val="auto"/>
            </w:rPr>
            <w:instrText xml:space="preserve"> HYPERLINK \l "_Toc16168674" </w:instrText>
          </w:r>
          <w:r>
            <w:rPr>
              <w:color w:val="auto"/>
            </w:rPr>
            <w:fldChar w:fldCharType="separate"/>
          </w:r>
          <w:r>
            <w:rPr>
              <w:rStyle w:val="12"/>
              <w:rFonts w:hint="eastAsia" w:ascii="楷体" w:hAnsi="楷体" w:eastAsia="楷体" w:cs="仿宋_GB2312"/>
              <w:color w:val="auto"/>
            </w:rPr>
            <w:t>（一）人员配备要求</w:t>
          </w:r>
          <w:r>
            <w:rPr>
              <w:color w:val="auto"/>
            </w:rPr>
            <w:tab/>
          </w:r>
          <w:r>
            <w:rPr>
              <w:color w:val="auto"/>
            </w:rPr>
            <w:fldChar w:fldCharType="begin"/>
          </w:r>
          <w:r>
            <w:rPr>
              <w:color w:val="auto"/>
            </w:rPr>
            <w:instrText xml:space="preserve"> PAGEREF _Toc16168674 \h </w:instrText>
          </w:r>
          <w:r>
            <w:rPr>
              <w:color w:val="auto"/>
            </w:rPr>
            <w:fldChar w:fldCharType="separate"/>
          </w:r>
          <w:r>
            <w:rPr>
              <w:color w:val="auto"/>
            </w:rPr>
            <w:t>4</w:t>
          </w:r>
          <w:r>
            <w:rPr>
              <w:color w:val="auto"/>
            </w:rPr>
            <w:fldChar w:fldCharType="end"/>
          </w:r>
          <w:r>
            <w:rPr>
              <w:color w:val="auto"/>
            </w:rPr>
            <w:fldChar w:fldCharType="end"/>
          </w:r>
        </w:p>
        <w:p>
          <w:pPr>
            <w:pStyle w:val="8"/>
            <w:tabs>
              <w:tab w:val="right" w:leader="dot" w:pos="8296"/>
            </w:tabs>
            <w:rPr>
              <w:color w:val="auto"/>
              <w:kern w:val="2"/>
              <w:sz w:val="21"/>
            </w:rPr>
          </w:pPr>
          <w:r>
            <w:rPr>
              <w:color w:val="auto"/>
            </w:rPr>
            <w:fldChar w:fldCharType="begin"/>
          </w:r>
          <w:r>
            <w:rPr>
              <w:color w:val="auto"/>
            </w:rPr>
            <w:instrText xml:space="preserve"> HYPERLINK \l "_Toc16168675" </w:instrText>
          </w:r>
          <w:r>
            <w:rPr>
              <w:color w:val="auto"/>
            </w:rPr>
            <w:fldChar w:fldCharType="separate"/>
          </w:r>
          <w:r>
            <w:rPr>
              <w:rStyle w:val="12"/>
              <w:rFonts w:hint="eastAsia" w:ascii="楷体" w:hAnsi="楷体" w:eastAsia="楷体" w:cs="仿宋_GB2312"/>
              <w:color w:val="auto"/>
            </w:rPr>
            <w:t>（二）其他</w:t>
          </w:r>
          <w:r>
            <w:rPr>
              <w:color w:val="auto"/>
            </w:rPr>
            <w:tab/>
          </w:r>
          <w:r>
            <w:rPr>
              <w:color w:val="auto"/>
            </w:rPr>
            <w:fldChar w:fldCharType="begin"/>
          </w:r>
          <w:r>
            <w:rPr>
              <w:color w:val="auto"/>
            </w:rPr>
            <w:instrText xml:space="preserve"> PAGEREF _Toc16168675 \h </w:instrText>
          </w:r>
          <w:r>
            <w:rPr>
              <w:color w:val="auto"/>
            </w:rPr>
            <w:fldChar w:fldCharType="separate"/>
          </w:r>
          <w:r>
            <w:rPr>
              <w:color w:val="auto"/>
            </w:rPr>
            <w:t>4</w:t>
          </w:r>
          <w:r>
            <w:rPr>
              <w:color w:val="auto"/>
            </w:rPr>
            <w:fldChar w:fldCharType="end"/>
          </w:r>
          <w:r>
            <w:rPr>
              <w:color w:val="auto"/>
            </w:rPr>
            <w:fldChar w:fldCharType="end"/>
          </w:r>
        </w:p>
        <w:p>
          <w:pPr>
            <w:pStyle w:val="7"/>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"_Toc16168676" </w:instrText>
          </w:r>
          <w:r>
            <w:rPr>
              <w:color w:val="auto"/>
            </w:rPr>
            <w:fldChar w:fldCharType="separate"/>
          </w:r>
          <w:r>
            <w:rPr>
              <w:rStyle w:val="12"/>
              <w:rFonts w:hint="eastAsia" w:ascii="黑体" w:hAnsi="黑体" w:eastAsia="黑体" w:cs="仿宋_GB2312"/>
              <w:color w:val="auto"/>
            </w:rPr>
            <w:t>五、项目实施要求</w:t>
          </w:r>
          <w:r>
            <w:rPr>
              <w:color w:val="auto"/>
            </w:rPr>
            <w:tab/>
          </w:r>
          <w:r>
            <w:rPr>
              <w:color w:val="auto"/>
            </w:rPr>
            <w:fldChar w:fldCharType="begin"/>
          </w:r>
          <w:r>
            <w:rPr>
              <w:color w:val="auto"/>
            </w:rPr>
            <w:instrText xml:space="preserve"> PAGEREF _Toc16168676 \h </w:instrText>
          </w:r>
          <w:r>
            <w:rPr>
              <w:color w:val="auto"/>
            </w:rPr>
            <w:fldChar w:fldCharType="separate"/>
          </w:r>
          <w:r>
            <w:rPr>
              <w:color w:val="auto"/>
            </w:rPr>
            <w:t>4</w:t>
          </w:r>
          <w:r>
            <w:rPr>
              <w:color w:val="auto"/>
            </w:rPr>
            <w:fldChar w:fldCharType="end"/>
          </w:r>
          <w:r>
            <w:rPr>
              <w:color w:val="auto"/>
            </w:rPr>
            <w:fldChar w:fldCharType="end"/>
          </w:r>
        </w:p>
        <w:p>
          <w:pPr>
            <w:pStyle w:val="8"/>
            <w:tabs>
              <w:tab w:val="right" w:leader="dot" w:pos="8296"/>
            </w:tabs>
            <w:rPr>
              <w:color w:val="auto"/>
              <w:kern w:val="2"/>
              <w:sz w:val="21"/>
            </w:rPr>
          </w:pPr>
          <w:r>
            <w:rPr>
              <w:color w:val="auto"/>
            </w:rPr>
            <w:fldChar w:fldCharType="begin"/>
          </w:r>
          <w:r>
            <w:rPr>
              <w:color w:val="auto"/>
            </w:rPr>
            <w:instrText xml:space="preserve"> HYPERLINK \l "_Toc16168677" </w:instrText>
          </w:r>
          <w:r>
            <w:rPr>
              <w:color w:val="auto"/>
            </w:rPr>
            <w:fldChar w:fldCharType="separate"/>
          </w:r>
          <w:r>
            <w:rPr>
              <w:rStyle w:val="12"/>
              <w:rFonts w:hint="eastAsia" w:ascii="楷体" w:hAnsi="楷体" w:eastAsia="楷体" w:cs="仿宋_GB2312"/>
              <w:color w:val="auto"/>
            </w:rPr>
            <w:t>（一）工作时间和范围</w:t>
          </w:r>
          <w:r>
            <w:rPr>
              <w:color w:val="auto"/>
            </w:rPr>
            <w:tab/>
          </w:r>
          <w:r>
            <w:rPr>
              <w:color w:val="auto"/>
            </w:rPr>
            <w:fldChar w:fldCharType="begin"/>
          </w:r>
          <w:r>
            <w:rPr>
              <w:color w:val="auto"/>
            </w:rPr>
            <w:instrText xml:space="preserve"> PAGEREF _Toc16168677 \h </w:instrText>
          </w:r>
          <w:r>
            <w:rPr>
              <w:color w:val="auto"/>
            </w:rPr>
            <w:fldChar w:fldCharType="separate"/>
          </w:r>
          <w:r>
            <w:rPr>
              <w:color w:val="auto"/>
            </w:rPr>
            <w:t>4</w:t>
          </w:r>
          <w:r>
            <w:rPr>
              <w:color w:val="auto"/>
            </w:rPr>
            <w:fldChar w:fldCharType="end"/>
          </w:r>
          <w:r>
            <w:rPr>
              <w:color w:val="auto"/>
            </w:rPr>
            <w:fldChar w:fldCharType="end"/>
          </w:r>
        </w:p>
        <w:p>
          <w:pPr>
            <w:pStyle w:val="8"/>
            <w:tabs>
              <w:tab w:val="right" w:leader="dot" w:pos="8296"/>
            </w:tabs>
            <w:rPr>
              <w:color w:val="auto"/>
              <w:kern w:val="2"/>
              <w:sz w:val="21"/>
            </w:rPr>
          </w:pPr>
          <w:r>
            <w:rPr>
              <w:color w:val="auto"/>
            </w:rPr>
            <w:fldChar w:fldCharType="begin"/>
          </w:r>
          <w:r>
            <w:rPr>
              <w:color w:val="auto"/>
            </w:rPr>
            <w:instrText xml:space="preserve"> HYPERLINK \l "_Toc16168678" </w:instrText>
          </w:r>
          <w:r>
            <w:rPr>
              <w:color w:val="auto"/>
            </w:rPr>
            <w:fldChar w:fldCharType="separate"/>
          </w:r>
          <w:r>
            <w:rPr>
              <w:rStyle w:val="12"/>
              <w:rFonts w:hint="eastAsia" w:ascii="楷体" w:hAnsi="楷体" w:eastAsia="楷体" w:cs="仿宋_GB2312"/>
              <w:color w:val="auto"/>
            </w:rPr>
            <w:t>（二）服务标准、流程及操作要求</w:t>
          </w:r>
          <w:r>
            <w:rPr>
              <w:color w:val="auto"/>
            </w:rPr>
            <w:tab/>
          </w:r>
          <w:r>
            <w:rPr>
              <w:color w:val="auto"/>
            </w:rPr>
            <w:fldChar w:fldCharType="begin"/>
          </w:r>
          <w:r>
            <w:rPr>
              <w:color w:val="auto"/>
            </w:rPr>
            <w:instrText xml:space="preserve"> PAGEREF _Toc16168678 \h </w:instrText>
          </w:r>
          <w:r>
            <w:rPr>
              <w:color w:val="auto"/>
            </w:rPr>
            <w:fldChar w:fldCharType="separate"/>
          </w:r>
          <w:r>
            <w:rPr>
              <w:color w:val="auto"/>
            </w:rPr>
            <w:t>4</w:t>
          </w:r>
          <w:r>
            <w:rPr>
              <w:color w:val="auto"/>
            </w:rPr>
            <w:fldChar w:fldCharType="end"/>
          </w:r>
          <w:r>
            <w:rPr>
              <w:color w:val="auto"/>
            </w:rPr>
            <w:fldChar w:fldCharType="end"/>
          </w:r>
        </w:p>
        <w:p>
          <w:pPr>
            <w:pStyle w:val="7"/>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"_Toc16168679" </w:instrText>
          </w:r>
          <w:r>
            <w:rPr>
              <w:color w:val="auto"/>
            </w:rPr>
            <w:fldChar w:fldCharType="separate"/>
          </w:r>
          <w:r>
            <w:rPr>
              <w:rStyle w:val="12"/>
              <w:rFonts w:hint="eastAsia" w:ascii="黑体" w:hAnsi="黑体" w:eastAsia="黑体" w:cs="仿宋_GB2312"/>
              <w:color w:val="auto"/>
            </w:rPr>
            <w:t>六、考核标准</w:t>
          </w:r>
          <w:r>
            <w:rPr>
              <w:color w:val="auto"/>
            </w:rPr>
            <w:tab/>
          </w:r>
          <w:r>
            <w:rPr>
              <w:color w:val="auto"/>
            </w:rPr>
            <w:fldChar w:fldCharType="begin"/>
          </w:r>
          <w:r>
            <w:rPr>
              <w:color w:val="auto"/>
            </w:rPr>
            <w:instrText xml:space="preserve"> PAGEREF _Toc16168679 \h </w:instrText>
          </w:r>
          <w:r>
            <w:rPr>
              <w:color w:val="auto"/>
            </w:rPr>
            <w:fldChar w:fldCharType="separate"/>
          </w:r>
          <w:r>
            <w:rPr>
              <w:color w:val="auto"/>
            </w:rPr>
            <w:t>5</w:t>
          </w:r>
          <w:r>
            <w:rPr>
              <w:color w:val="auto"/>
            </w:rPr>
            <w:fldChar w:fldCharType="end"/>
          </w:r>
          <w:r>
            <w:rPr>
              <w:color w:val="auto"/>
            </w:rPr>
            <w:fldChar w:fldCharType="end"/>
          </w:r>
        </w:p>
        <w:p>
          <w:pPr>
            <w:pStyle w:val="8"/>
            <w:tabs>
              <w:tab w:val="right" w:leader="dot" w:pos="8296"/>
            </w:tabs>
            <w:rPr>
              <w:color w:val="auto"/>
              <w:kern w:val="2"/>
              <w:sz w:val="21"/>
            </w:rPr>
          </w:pPr>
          <w:r>
            <w:rPr>
              <w:color w:val="auto"/>
            </w:rPr>
            <w:fldChar w:fldCharType="begin"/>
          </w:r>
          <w:r>
            <w:rPr>
              <w:color w:val="auto"/>
            </w:rPr>
            <w:instrText xml:space="preserve"> HYPERLINK \l "_Toc16168680" </w:instrText>
          </w:r>
          <w:r>
            <w:rPr>
              <w:color w:val="auto"/>
            </w:rPr>
            <w:fldChar w:fldCharType="separate"/>
          </w:r>
          <w:r>
            <w:rPr>
              <w:rStyle w:val="12"/>
              <w:rFonts w:hint="eastAsia" w:ascii="楷体" w:hAnsi="楷体" w:eastAsia="楷体" w:cs="仿宋_GB2312"/>
              <w:color w:val="auto"/>
            </w:rPr>
            <w:t>（一）质量考核标准</w:t>
          </w:r>
          <w:r>
            <w:rPr>
              <w:color w:val="auto"/>
            </w:rPr>
            <w:tab/>
          </w:r>
          <w:r>
            <w:rPr>
              <w:color w:val="auto"/>
            </w:rPr>
            <w:fldChar w:fldCharType="begin"/>
          </w:r>
          <w:r>
            <w:rPr>
              <w:color w:val="auto"/>
            </w:rPr>
            <w:instrText xml:space="preserve"> PAGEREF _Toc16168680 \h </w:instrText>
          </w:r>
          <w:r>
            <w:rPr>
              <w:color w:val="auto"/>
            </w:rPr>
            <w:fldChar w:fldCharType="separate"/>
          </w:r>
          <w:r>
            <w:rPr>
              <w:color w:val="auto"/>
            </w:rPr>
            <w:t>6</w:t>
          </w:r>
          <w:r>
            <w:rPr>
              <w:color w:val="auto"/>
            </w:rPr>
            <w:fldChar w:fldCharType="end"/>
          </w:r>
          <w:r>
            <w:rPr>
              <w:color w:val="auto"/>
            </w:rPr>
            <w:fldChar w:fldCharType="end"/>
          </w:r>
          <w:r>
            <w:rPr>
              <w:color w:val="auto"/>
            </w:rPr>
            <w:fldChar w:fldCharType="end"/>
          </w:r>
        </w:p>
      </w:sdtContent>
    </w:sdt>
    <w:p>
      <w:pPr>
        <w:pStyle w:val="7"/>
        <w:tabs>
          <w:tab w:val="left" w:pos="840"/>
          <w:tab w:val="right" w:leader="dot" w:pos="8296"/>
        </w:tabs>
        <w:rPr>
          <w:color w:val="auto"/>
          <w:kern w:val="2"/>
          <w:sz w:val="21"/>
        </w:rPr>
      </w:pPr>
    </w:p>
    <w:p>
      <w:pPr>
        <w:spacing w:after="0"/>
        <w:jc w:val="center"/>
        <w:rPr>
          <w:rFonts w:ascii="仿宋_GB2312" w:hAnsi="仿宋_GB2312" w:eastAsia="仿宋_GB2312" w:cs="仿宋_GB2312"/>
          <w:color w:val="auto"/>
          <w:sz w:val="30"/>
          <w:szCs w:val="30"/>
        </w:rPr>
        <w:sectPr>
          <w:pgSz w:w="11906" w:h="16838"/>
          <w:pgMar w:top="1440" w:right="1800" w:bottom="1440" w:left="1800" w:header="708" w:footer="708" w:gutter="0"/>
          <w:cols w:space="708" w:num="1"/>
          <w:docGrid w:linePitch="360" w:charSpace="0"/>
        </w:sectPr>
      </w:pPr>
      <w:r>
        <w:rPr>
          <w:rFonts w:hint="eastAsia" w:asciiTheme="minorEastAsia" w:hAnsiTheme="minorEastAsia" w:eastAsiaTheme="minorEastAsia" w:cstheme="minorEastAsia"/>
          <w:bCs/>
          <w:color w:val="auto"/>
          <w:kern w:val="2"/>
          <w:szCs w:val="28"/>
        </w:rPr>
        <w:fldChar w:fldCharType="end"/>
      </w:r>
    </w:p>
    <w:p>
      <w:pPr>
        <w:pStyle w:val="19"/>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0" w:name="_Toc16168668"/>
      <w:bookmarkStart w:id="1" w:name="_Toc12868011"/>
      <w:r>
        <w:rPr>
          <w:rFonts w:hint="eastAsia" w:ascii="黑体" w:hAnsi="黑体" w:eastAsia="黑体" w:cs="仿宋_GB2312"/>
          <w:color w:val="auto"/>
          <w:sz w:val="32"/>
          <w:szCs w:val="32"/>
        </w:rPr>
        <w:t>项目概况及招标范围</w:t>
      </w:r>
      <w:bookmarkEnd w:id="0"/>
      <w:bookmarkEnd w:id="1"/>
    </w:p>
    <w:p>
      <w:pPr>
        <w:pStyle w:val="19"/>
        <w:numPr>
          <w:ilvl w:val="0"/>
          <w:numId w:val="2"/>
        </w:numPr>
        <w:spacing w:after="0" w:line="560" w:lineRule="exact"/>
        <w:ind w:left="1718" w:hanging="1077" w:firstLineChars="0"/>
        <w:jc w:val="both"/>
        <w:outlineLvl w:val="1"/>
        <w:rPr>
          <w:rFonts w:ascii="楷体" w:hAnsi="楷体" w:eastAsia="楷体" w:cs="仿宋_GB2312"/>
          <w:color w:val="auto"/>
          <w:sz w:val="32"/>
          <w:szCs w:val="32"/>
        </w:rPr>
      </w:pPr>
      <w:bookmarkStart w:id="2" w:name="_Toc12868012"/>
      <w:bookmarkStart w:id="3" w:name="_Toc16168669"/>
      <w:r>
        <w:rPr>
          <w:rFonts w:hint="eastAsia" w:ascii="楷体" w:hAnsi="楷体" w:eastAsia="楷体" w:cs="仿宋_GB2312"/>
          <w:color w:val="auto"/>
          <w:sz w:val="32"/>
          <w:szCs w:val="32"/>
        </w:rPr>
        <w:t>项目概况</w:t>
      </w:r>
      <w:bookmarkEnd w:id="2"/>
      <w:bookmarkEnd w:id="3"/>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1.本次参与保险招标的所有车辆类型均为非营业性车辆，</w:t>
      </w:r>
      <w:r>
        <w:rPr>
          <w:rFonts w:ascii="仿宋_GB2312" w:hAnsi="仿宋_GB2312" w:eastAsia="仿宋_GB2312" w:cs="仿宋_GB2312"/>
          <w:color w:val="auto"/>
          <w:sz w:val="32"/>
          <w:szCs w:val="32"/>
        </w:rPr>
        <w:t>我司现有</w:t>
      </w:r>
      <w:r>
        <w:rPr>
          <w:rFonts w:hint="eastAsia" w:ascii="仿宋_GB2312" w:hAnsi="仿宋_GB2312" w:eastAsia="仿宋_GB2312" w:cs="仿宋_GB2312"/>
          <w:color w:val="auto"/>
          <w:sz w:val="32"/>
          <w:szCs w:val="32"/>
        </w:rPr>
        <w:t>车辆</w:t>
      </w:r>
      <w:r>
        <w:rPr>
          <w:rFonts w:hint="eastAsia" w:ascii="仿宋_GB2312" w:hAnsi="仿宋_GB2312" w:eastAsia="仿宋_GB2312" w:cs="仿宋_GB2312"/>
          <w:color w:val="auto"/>
          <w:sz w:val="32"/>
          <w:szCs w:val="32"/>
          <w:lang w:val="en-US" w:eastAsia="zh-CN"/>
        </w:rPr>
        <w:t>40</w:t>
      </w:r>
      <w:r>
        <w:rPr>
          <w:rFonts w:ascii="仿宋_GB2312" w:hAnsi="仿宋_GB2312" w:eastAsia="仿宋_GB2312" w:cs="仿宋_GB2312"/>
          <w:color w:val="auto"/>
          <w:sz w:val="32"/>
          <w:szCs w:val="32"/>
        </w:rPr>
        <w:t>辆，</w:t>
      </w:r>
      <w:r>
        <w:rPr>
          <w:rFonts w:hint="eastAsia" w:ascii="仿宋_GB2312" w:hAnsi="仿宋" w:eastAsia="仿宋_GB2312" w:cs="仿宋_GB2312"/>
          <w:color w:val="auto"/>
          <w:sz w:val="32"/>
          <w:szCs w:val="32"/>
        </w:rPr>
        <w:t>后续拟新增车辆</w:t>
      </w:r>
      <w:r>
        <w:rPr>
          <w:rFonts w:hint="eastAsia" w:ascii="仿宋_GB2312" w:hAnsi="仿宋" w:eastAsia="仿宋_GB2312" w:cs="仿宋_GB2312"/>
          <w:color w:val="auto"/>
          <w:sz w:val="32"/>
          <w:szCs w:val="32"/>
          <w:lang w:val="en-US" w:eastAsia="zh-CN"/>
        </w:rPr>
        <w:t>31</w:t>
      </w:r>
      <w:r>
        <w:rPr>
          <w:rFonts w:hint="eastAsia" w:ascii="仿宋_GB2312" w:hAnsi="仿宋" w:eastAsia="仿宋_GB2312" w:cs="仿宋_GB2312"/>
          <w:color w:val="auto"/>
          <w:sz w:val="32"/>
          <w:szCs w:val="32"/>
        </w:rPr>
        <w:t>辆</w:t>
      </w:r>
      <w:r>
        <w:rPr>
          <w:rFonts w:hint="eastAsia" w:ascii="仿宋_GB2312" w:hAnsi="仿宋_GB2312" w:eastAsia="仿宋_GB2312" w:cs="仿宋_GB2312"/>
          <w:color w:val="auto"/>
          <w:sz w:val="32"/>
          <w:szCs w:val="32"/>
        </w:rPr>
        <w:t>。</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2.定点保险公司在定点期间应严格按定点投标承诺的优惠价格及服务条款进行服务，并与公司签订定点保险服务采购合同，履行自己的权利和义务。</w:t>
      </w:r>
    </w:p>
    <w:p>
      <w:pPr>
        <w:pStyle w:val="19"/>
        <w:numPr>
          <w:ilvl w:val="0"/>
          <w:numId w:val="2"/>
        </w:numPr>
        <w:spacing w:after="0" w:line="560" w:lineRule="exact"/>
        <w:ind w:left="1718" w:hanging="1077" w:firstLineChars="0"/>
        <w:jc w:val="both"/>
        <w:outlineLvl w:val="1"/>
        <w:rPr>
          <w:rFonts w:ascii="楷体" w:hAnsi="楷体" w:eastAsia="楷体" w:cs="仿宋_GB2312"/>
          <w:color w:val="auto"/>
          <w:sz w:val="32"/>
          <w:szCs w:val="32"/>
        </w:rPr>
      </w:pPr>
      <w:bookmarkStart w:id="4" w:name="_Toc12868013"/>
      <w:bookmarkStart w:id="5" w:name="_Toc16168670"/>
      <w:r>
        <w:rPr>
          <w:rFonts w:hint="eastAsia" w:ascii="楷体" w:hAnsi="楷体" w:eastAsia="楷体" w:cs="仿宋_GB2312"/>
          <w:color w:val="auto"/>
          <w:sz w:val="32"/>
          <w:szCs w:val="32"/>
        </w:rPr>
        <w:t>招标范围</w:t>
      </w:r>
      <w:bookmarkEnd w:id="4"/>
      <w:bookmarkEnd w:id="5"/>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车辆招标的险种有：车船使用税、机动车交通事故责任强制保险、车辆损失险、第三者责任险（100万元）、车上人员责任险（10万元/座）、不计免赔率险、玻璃单独破碎险、自燃险、机动车损失保险无法找到第三方特约险。</w:t>
      </w:r>
    </w:p>
    <w:p>
      <w:pPr>
        <w:pStyle w:val="19"/>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6" w:name="_Toc12868014"/>
      <w:bookmarkStart w:id="7" w:name="_Toc16168671"/>
      <w:r>
        <w:rPr>
          <w:rFonts w:hint="eastAsia" w:ascii="黑体" w:hAnsi="黑体" w:eastAsia="黑体" w:cs="仿宋_GB2312"/>
          <w:color w:val="auto"/>
          <w:sz w:val="32"/>
          <w:szCs w:val="32"/>
        </w:rPr>
        <w:t>项目计划</w:t>
      </w:r>
      <w:bookmarkEnd w:id="6"/>
      <w:bookmarkEnd w:id="7"/>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本项目服务期限为20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年至20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年，总计12个月（实际服务时间以采购单位发出的进场通知起算，总计12个月）。</w:t>
      </w:r>
    </w:p>
    <w:p>
      <w:pPr>
        <w:pStyle w:val="19"/>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8" w:name="_Toc16168672"/>
      <w:bookmarkStart w:id="9" w:name="_Toc12868015"/>
      <w:r>
        <w:rPr>
          <w:rFonts w:hint="eastAsia" w:ascii="黑体" w:hAnsi="黑体" w:eastAsia="黑体" w:cs="仿宋_GB2312"/>
          <w:color w:val="auto"/>
          <w:sz w:val="32"/>
          <w:szCs w:val="32"/>
        </w:rPr>
        <w:t>相关技术标准及规范</w:t>
      </w:r>
      <w:bookmarkEnd w:id="8"/>
      <w:bookmarkEnd w:id="9"/>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应严格按照下列技术标准及规范等相关标准（包括以下国内技术标准、规范及同行业相关经验，但不限于以下内容）执行，以下标准如有更新，须按最新标准执行：</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475"/>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3"/>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标准汇总报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24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标准代号</w:t>
            </w:r>
          </w:p>
        </w:tc>
        <w:tc>
          <w:tcPr>
            <w:tcW w:w="5664"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4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中国通用法律</w:t>
            </w:r>
          </w:p>
        </w:tc>
        <w:tc>
          <w:tcPr>
            <w:tcW w:w="5664"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中华人民共和国保险法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4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长政发【2015】16号</w:t>
            </w:r>
          </w:p>
        </w:tc>
        <w:tc>
          <w:tcPr>
            <w:tcW w:w="5664"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长沙市城市道路交通事故快处快赔实施办法</w:t>
            </w:r>
          </w:p>
        </w:tc>
      </w:tr>
    </w:tbl>
    <w:p>
      <w:pPr>
        <w:pStyle w:val="19"/>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10" w:name="_Toc16168673"/>
      <w:bookmarkStart w:id="11" w:name="_Toc12868016"/>
      <w:r>
        <w:rPr>
          <w:rFonts w:hint="eastAsia" w:ascii="黑体" w:hAnsi="黑体" w:eastAsia="黑体" w:cs="仿宋_GB2312"/>
          <w:color w:val="auto"/>
          <w:sz w:val="32"/>
          <w:szCs w:val="32"/>
        </w:rPr>
        <w:t>项目管控要求</w:t>
      </w:r>
      <w:bookmarkEnd w:id="10"/>
      <w:bookmarkEnd w:id="11"/>
    </w:p>
    <w:p>
      <w:pPr>
        <w:pStyle w:val="19"/>
        <w:spacing w:after="0" w:line="560" w:lineRule="exact"/>
        <w:ind w:firstLine="640"/>
        <w:jc w:val="both"/>
        <w:outlineLvl w:val="1"/>
        <w:rPr>
          <w:rFonts w:ascii="楷体" w:hAnsi="楷体" w:eastAsia="楷体" w:cs="仿宋_GB2312"/>
          <w:color w:val="auto"/>
          <w:sz w:val="32"/>
          <w:szCs w:val="32"/>
        </w:rPr>
      </w:pPr>
      <w:bookmarkStart w:id="12" w:name="_Toc12868017"/>
      <w:bookmarkStart w:id="13" w:name="_Toc16168674"/>
      <w:r>
        <w:rPr>
          <w:rFonts w:hint="eastAsia" w:ascii="楷体" w:hAnsi="楷体" w:eastAsia="楷体" w:cs="仿宋_GB2312"/>
          <w:color w:val="auto"/>
          <w:sz w:val="32"/>
          <w:szCs w:val="32"/>
        </w:rPr>
        <w:t>（一）人员配备要求</w:t>
      </w:r>
      <w:bookmarkEnd w:id="12"/>
      <w:bookmarkEnd w:id="13"/>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宋体" w:hAnsi="宋体" w:eastAsia="宋体" w:cs="宋体"/>
          <w:sz w:val="24"/>
          <w:szCs w:val="24"/>
        </w:rPr>
        <w:t>★</w:t>
      </w:r>
      <w:r>
        <w:rPr>
          <w:rFonts w:hint="eastAsia" w:ascii="仿宋_GB2312" w:hAnsi="仿宋_GB2312" w:eastAsia="仿宋_GB2312" w:cs="仿宋_GB2312"/>
          <w:color w:val="auto"/>
          <w:sz w:val="32"/>
          <w:szCs w:val="32"/>
          <w:u w:val="single"/>
          <w:lang w:eastAsia="zh-CN"/>
        </w:rPr>
        <w:t>谈判单位</w:t>
      </w:r>
      <w:r>
        <w:rPr>
          <w:rFonts w:hint="eastAsia" w:ascii="仿宋_GB2312" w:hAnsi="仿宋_GB2312" w:eastAsia="仿宋_GB2312" w:cs="仿宋_GB2312"/>
          <w:color w:val="auto"/>
          <w:sz w:val="32"/>
          <w:szCs w:val="32"/>
          <w:u w:val="single"/>
        </w:rPr>
        <w:t>为本项目设立专项服务小组，服务小组人数不少于3人</w:t>
      </w:r>
      <w:r>
        <w:rPr>
          <w:rFonts w:hint="eastAsia" w:ascii="仿宋_GB2312" w:hAnsi="仿宋_GB2312" w:eastAsia="仿宋_GB2312" w:cs="仿宋_GB2312"/>
          <w:color w:val="auto"/>
          <w:sz w:val="32"/>
          <w:szCs w:val="32"/>
        </w:rPr>
        <w:t>，负责与</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归口管理</w:t>
      </w:r>
      <w:r>
        <w:rPr>
          <w:rFonts w:hint="eastAsia" w:ascii="仿宋_GB2312" w:hAnsi="仿宋_GB2312" w:eastAsia="仿宋_GB2312" w:cs="仿宋_GB2312"/>
          <w:color w:val="auto"/>
          <w:sz w:val="32"/>
          <w:szCs w:val="32"/>
        </w:rPr>
        <w:t>部门联系，提供承保上门服务。包括但不限于：上门解释条款、上门收取投保资料、上门指导填写投保单、上门送达保单、发票及其他保险凭证等服务。</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2.原则上不得随意更换专项服务小组成员、24小时报案电话和传真；如需更换，应书面报经</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同意后方可更换。</w:t>
      </w:r>
    </w:p>
    <w:p>
      <w:pPr>
        <w:spacing w:after="0" w:line="560" w:lineRule="exact"/>
        <w:ind w:firstLine="640" w:firstLineChars="200"/>
        <w:jc w:val="both"/>
        <w:outlineLvl w:val="1"/>
        <w:rPr>
          <w:rFonts w:ascii="楷体" w:hAnsi="楷体" w:eastAsia="楷体" w:cs="仿宋_GB2312"/>
          <w:color w:val="auto"/>
          <w:sz w:val="32"/>
          <w:szCs w:val="32"/>
        </w:rPr>
      </w:pPr>
      <w:bookmarkStart w:id="14" w:name="_Toc12868020"/>
      <w:bookmarkStart w:id="15" w:name="_Toc16168675"/>
      <w:r>
        <w:rPr>
          <w:rFonts w:hint="eastAsia" w:ascii="楷体" w:hAnsi="楷体" w:eastAsia="楷体" w:cs="仿宋_GB2312"/>
          <w:color w:val="auto"/>
          <w:sz w:val="32"/>
          <w:szCs w:val="32"/>
        </w:rPr>
        <w:t>（二）其他</w:t>
      </w:r>
      <w:bookmarkEnd w:id="14"/>
      <w:bookmarkEnd w:id="15"/>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应确保24小时报案电话和传真畅通，随时接受被</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的出险报案。</w:t>
      </w:r>
    </w:p>
    <w:p>
      <w:pPr>
        <w:spacing w:after="0" w:line="560" w:lineRule="exact"/>
        <w:ind w:firstLine="640" w:firstLineChars="200"/>
        <w:jc w:val="both"/>
        <w:outlineLvl w:val="0"/>
        <w:rPr>
          <w:rFonts w:ascii="黑体" w:hAnsi="黑体" w:eastAsia="黑体" w:cs="仿宋_GB2312"/>
          <w:color w:val="auto"/>
          <w:sz w:val="32"/>
          <w:szCs w:val="32"/>
        </w:rPr>
      </w:pPr>
      <w:bookmarkStart w:id="16" w:name="_Toc12868021"/>
      <w:bookmarkStart w:id="17" w:name="_Toc16168676"/>
      <w:r>
        <w:rPr>
          <w:rFonts w:hint="eastAsia" w:ascii="黑体" w:hAnsi="黑体" w:eastAsia="黑体" w:cs="仿宋_GB2312"/>
          <w:color w:val="auto"/>
          <w:sz w:val="32"/>
          <w:szCs w:val="32"/>
        </w:rPr>
        <w:t>五、项目实施要求</w:t>
      </w:r>
      <w:bookmarkEnd w:id="16"/>
      <w:bookmarkEnd w:id="17"/>
    </w:p>
    <w:p>
      <w:pPr>
        <w:spacing w:after="0" w:line="560" w:lineRule="exact"/>
        <w:ind w:firstLine="640" w:firstLineChars="200"/>
        <w:jc w:val="both"/>
        <w:outlineLvl w:val="1"/>
        <w:rPr>
          <w:rFonts w:ascii="楷体" w:hAnsi="楷体" w:eastAsia="楷体" w:cs="仿宋_GB2312"/>
          <w:color w:val="auto"/>
          <w:sz w:val="32"/>
          <w:szCs w:val="32"/>
        </w:rPr>
      </w:pPr>
      <w:bookmarkStart w:id="18" w:name="_Toc12868023"/>
      <w:bookmarkStart w:id="19" w:name="_Toc16168677"/>
      <w:r>
        <w:rPr>
          <w:rFonts w:hint="eastAsia" w:ascii="楷体" w:hAnsi="楷体" w:eastAsia="楷体" w:cs="仿宋_GB2312"/>
          <w:color w:val="auto"/>
          <w:sz w:val="32"/>
          <w:szCs w:val="32"/>
        </w:rPr>
        <w:t>（一）工作时间和范围</w:t>
      </w:r>
      <w:bookmarkEnd w:id="18"/>
      <w:bookmarkEnd w:id="19"/>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设立24小时全天候服务专线，受理承保车辆的事故报案和理赔报案。</w:t>
      </w:r>
    </w:p>
    <w:p>
      <w:pPr>
        <w:spacing w:after="0" w:line="560" w:lineRule="exact"/>
        <w:ind w:firstLine="640" w:firstLineChars="200"/>
        <w:jc w:val="both"/>
        <w:outlineLvl w:val="1"/>
        <w:rPr>
          <w:rFonts w:ascii="楷体" w:hAnsi="楷体" w:eastAsia="楷体" w:cs="仿宋_GB2312"/>
          <w:color w:val="auto"/>
          <w:sz w:val="32"/>
          <w:szCs w:val="32"/>
        </w:rPr>
      </w:pPr>
      <w:bookmarkStart w:id="20" w:name="_Toc16168678"/>
      <w:bookmarkStart w:id="21" w:name="_Toc12868024"/>
      <w:r>
        <w:rPr>
          <w:rFonts w:hint="eastAsia" w:ascii="楷体" w:hAnsi="楷体" w:eastAsia="楷体" w:cs="仿宋_GB2312"/>
          <w:color w:val="auto"/>
          <w:sz w:val="32"/>
          <w:szCs w:val="32"/>
        </w:rPr>
        <w:t>（二）服务标准、流程及操作要求</w:t>
      </w:r>
      <w:bookmarkEnd w:id="20"/>
      <w:bookmarkEnd w:id="21"/>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宋体" w:hAnsi="宋体" w:eastAsia="宋体" w:cs="宋体"/>
          <w:sz w:val="24"/>
          <w:szCs w:val="24"/>
        </w:rPr>
        <w:t>★</w:t>
      </w:r>
      <w:r>
        <w:rPr>
          <w:rFonts w:hint="eastAsia" w:ascii="仿宋_GB2312" w:hAnsi="仿宋_GB2312" w:eastAsia="仿宋_GB2312" w:cs="仿宋_GB2312"/>
          <w:color w:val="auto"/>
          <w:sz w:val="32"/>
          <w:szCs w:val="32"/>
          <w:u w:val="single"/>
        </w:rPr>
        <w:t>新增车辆按照规定优惠率执行</w:t>
      </w:r>
      <w:r>
        <w:rPr>
          <w:rFonts w:hint="eastAsia" w:ascii="仿宋_GB2312" w:hAnsi="仿宋_GB2312" w:eastAsia="仿宋_GB2312" w:cs="仿宋_GB2312"/>
          <w:color w:val="auto"/>
          <w:sz w:val="32"/>
          <w:szCs w:val="32"/>
        </w:rPr>
        <w:t>。</w:t>
      </w:r>
    </w:p>
    <w:p>
      <w:pPr>
        <w:spacing w:after="0" w:line="560" w:lineRule="exact"/>
        <w:ind w:firstLine="640" w:firstLineChars="200"/>
        <w:jc w:val="both"/>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（2）</w:t>
      </w:r>
      <w:r>
        <w:rPr>
          <w:rFonts w:ascii="宋体" w:hAnsi="宋体" w:eastAsia="宋体" w:cs="宋体"/>
          <w:sz w:val="24"/>
          <w:szCs w:val="24"/>
        </w:rPr>
        <w:t>★</w:t>
      </w:r>
      <w:bookmarkStart w:id="29" w:name="_GoBack"/>
      <w:bookmarkEnd w:id="29"/>
      <w:r>
        <w:rPr>
          <w:rFonts w:hint="eastAsia" w:ascii="仿宋_GB2312" w:hAnsi="仿宋_GB2312" w:eastAsia="仿宋_GB2312" w:cs="仿宋_GB2312"/>
          <w:color w:val="auto"/>
          <w:sz w:val="32"/>
          <w:szCs w:val="32"/>
          <w:u w:val="single"/>
        </w:rPr>
        <w:t>每年需对</w:t>
      </w:r>
      <w:r>
        <w:rPr>
          <w:rFonts w:hint="eastAsia" w:ascii="仿宋_GB2312" w:hAnsi="仿宋_GB2312" w:eastAsia="仿宋_GB2312" w:cs="仿宋_GB2312"/>
          <w:color w:val="auto"/>
          <w:sz w:val="32"/>
          <w:szCs w:val="32"/>
          <w:u w:val="single"/>
          <w:lang w:eastAsia="zh-CN"/>
        </w:rPr>
        <w:t>采购单位</w:t>
      </w:r>
      <w:r>
        <w:rPr>
          <w:rFonts w:hint="eastAsia" w:ascii="仿宋_GB2312" w:hAnsi="仿宋_GB2312" w:eastAsia="仿宋_GB2312" w:cs="仿宋_GB2312"/>
          <w:color w:val="auto"/>
          <w:sz w:val="32"/>
          <w:szCs w:val="32"/>
          <w:u w:val="single"/>
        </w:rPr>
        <w:t>无偿提供两次车险知识培训。</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（3）在定点保险期间，须在本月末提前向</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提供下月购置保险车辆的保单及发票。</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（4）提供上门办理承保和理赔的一切手续，并列明具体的服务内容、办理程序和具体措施。</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（5）提供防灾防损、安全检查、安全培训等风险防范方面的具体服务内容。</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（6）提供保险提示、提醒服务等具体服务内容。</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（7）建立完整、系统的承保和理赔车辆数据库，建立用户档案和定期回访制度，不断改进服务质量。</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（8）及时提供事故车辆的零部件报价、正常维修的零部件报价和相关技术咨询服务。</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（9）对保险车辆发生伤人事故的抢救等提供担保服务，并列明具体内容。</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）无偿提供援油、故障排除、拖车等救助服务，并列明具体内容。</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提供用户服务手册。《手册》应写明承诺服务项目和措施等主要内容。</w:t>
      </w:r>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）鉴于我司的付款要求（先开保单后付款）能做好应对措施。</w:t>
      </w:r>
    </w:p>
    <w:p>
      <w:pPr>
        <w:spacing w:after="0" w:line="560" w:lineRule="exact"/>
        <w:ind w:firstLine="640" w:firstLineChars="200"/>
        <w:jc w:val="both"/>
        <w:outlineLvl w:val="0"/>
        <w:rPr>
          <w:rFonts w:ascii="黑体" w:hAnsi="黑体" w:eastAsia="黑体" w:cs="仿宋_GB2312"/>
          <w:color w:val="auto"/>
          <w:sz w:val="32"/>
          <w:szCs w:val="32"/>
        </w:rPr>
      </w:pPr>
      <w:bookmarkStart w:id="22" w:name="_Toc12868027"/>
      <w:bookmarkStart w:id="23" w:name="_Toc16168679"/>
      <w:r>
        <w:rPr>
          <w:rFonts w:hint="eastAsia" w:ascii="黑体" w:hAnsi="黑体" w:eastAsia="黑体" w:cs="仿宋_GB2312"/>
          <w:color w:val="auto"/>
          <w:sz w:val="32"/>
          <w:szCs w:val="32"/>
        </w:rPr>
        <w:t>六、考核标准</w:t>
      </w:r>
      <w:bookmarkEnd w:id="22"/>
      <w:bookmarkEnd w:id="23"/>
    </w:p>
    <w:p>
      <w:pPr>
        <w:spacing w:after="0" w:line="560" w:lineRule="exact"/>
        <w:ind w:firstLine="640" w:firstLineChars="200"/>
        <w:jc w:val="both"/>
        <w:outlineLvl w:val="1"/>
        <w:rPr>
          <w:rFonts w:ascii="楷体" w:hAnsi="楷体" w:eastAsia="楷体" w:cs="仿宋_GB2312"/>
          <w:color w:val="auto"/>
          <w:sz w:val="32"/>
          <w:szCs w:val="32"/>
        </w:rPr>
      </w:pPr>
      <w:bookmarkStart w:id="24" w:name="_Toc12868028"/>
      <w:bookmarkStart w:id="25" w:name="_Toc16168680"/>
      <w:bookmarkStart w:id="26" w:name="_Toc3921"/>
      <w:r>
        <w:rPr>
          <w:rFonts w:hint="eastAsia" w:ascii="楷体" w:hAnsi="楷体" w:eastAsia="楷体" w:cs="仿宋_GB2312"/>
          <w:color w:val="auto"/>
          <w:sz w:val="32"/>
          <w:szCs w:val="32"/>
        </w:rPr>
        <w:t>（一）质量考核标准</w:t>
      </w:r>
      <w:bookmarkEnd w:id="24"/>
      <w:bookmarkEnd w:id="25"/>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须按以下标准执行（包括但不限于），具体详见下表：</w:t>
      </w:r>
      <w:bookmarkEnd w:id="26"/>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050"/>
        <w:gridCol w:w="1455"/>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4"/>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质量考核标准表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考核内容</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处罚结果</w:t>
            </w:r>
          </w:p>
        </w:tc>
        <w:tc>
          <w:tcPr>
            <w:tcW w:w="267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未按要求设立专项服务小组，并未按要求履行职责的。</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谈判单位</w:t>
            </w:r>
            <w:r>
              <w:rPr>
                <w:rFonts w:hint="eastAsia" w:asciiTheme="minorEastAsia" w:hAnsiTheme="minorEastAsia" w:eastAsiaTheme="minorEastAsia" w:cstheme="minorEastAsia"/>
                <w:color w:val="auto"/>
                <w:sz w:val="21"/>
                <w:szCs w:val="21"/>
              </w:rPr>
              <w:t>随意更换专项服务小组人员，未向</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报备，或报备资料不符合。</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未按要求对</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无偿提供两次车险知识培训。</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未按要求在月末向</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提供下月购置保险车辆的保单及发票。</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未按要求无偿提供援油、故障排除、拖车等救助服务。</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未及时提供事故车辆的零部件报价、正常维修的零部件报价和相关技术咨询服务。</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4050" w:type="dxa"/>
            <w:vAlign w:val="center"/>
          </w:tcPr>
          <w:p>
            <w:pPr>
              <w:spacing w:after="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未按要求提供上门办理承保和理赔的</w:t>
            </w:r>
            <w:r>
              <w:rPr>
                <w:rFonts w:hint="eastAsia" w:asciiTheme="minorEastAsia" w:hAnsiTheme="minorEastAsia" w:eastAsiaTheme="minorEastAsia" w:cstheme="minorEastAsia"/>
                <w:color w:val="auto"/>
                <w:sz w:val="21"/>
                <w:szCs w:val="21"/>
                <w:lang w:eastAsia="zh-CN"/>
              </w:rPr>
              <w:t>。</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新增车辆未按照规定优惠率执行的。</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未能响应</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的出险报案。</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超过</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次，</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有权视情况解除合同</w:t>
            </w:r>
          </w:p>
        </w:tc>
      </w:tr>
    </w:tbl>
    <w:p>
      <w:pPr>
        <w:spacing w:after="0" w:line="560" w:lineRule="exact"/>
        <w:ind w:firstLine="640" w:firstLineChars="200"/>
        <w:jc w:val="both"/>
        <w:outlineLvl w:val="2"/>
        <w:rPr>
          <w:rFonts w:ascii="楷体_GB2312" w:hAnsi="宋体" w:eastAsia="楷体_GB2312" w:cs="宋体"/>
          <w:bCs/>
          <w:color w:val="auto"/>
          <w:sz w:val="32"/>
          <w:szCs w:val="32"/>
        </w:rPr>
      </w:pPr>
      <w:bookmarkStart w:id="27" w:name="_Toc12868029"/>
      <w:bookmarkStart w:id="28" w:name="_Toc16168681"/>
      <w:r>
        <w:rPr>
          <w:rFonts w:hint="eastAsia" w:ascii="仿宋_GB2312" w:hAnsi="宋体" w:eastAsia="仿宋_GB2312" w:cs="宋体"/>
          <w:color w:val="auto"/>
          <w:sz w:val="32"/>
          <w:szCs w:val="32"/>
        </w:rPr>
        <w:t>2.考核支付表</w:t>
      </w:r>
      <w:bookmarkEnd w:id="27"/>
      <w:bookmarkEnd w:id="28"/>
    </w:p>
    <w:p>
      <w:pPr>
        <w:spacing w:after="0" w:line="560" w:lineRule="exact"/>
        <w:ind w:firstLine="640" w:firstLineChars="200"/>
        <w:jc w:val="both"/>
        <w:rPr>
          <w:rFonts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每季度的检查考评得分为以100分为基础分减去</w:t>
      </w: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当季度的日常检查扣分、不定期检查扣分及其他情况扣分后的分数，具体详见下表：</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4675"/>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060" w:type="dxa"/>
            <w:gridSpan w:val="3"/>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考核支付表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考核等级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考核标准及应用（基础分100分）</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综合考评≥90分，支付比例100%</w:t>
            </w:r>
          </w:p>
        </w:tc>
        <w:tc>
          <w:tcPr>
            <w:tcW w:w="231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80分≤综合考评分＜90分，支付比例95%</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扣履约担保金的5%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60分≤综合考评分＜80分，支付比例90%</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扣履约担保金的10%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综合考评分＜60分，支付比例80%</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扣履约担保金的20%</w:t>
            </w:r>
          </w:p>
        </w:tc>
      </w:tr>
    </w:tbl>
    <w:p>
      <w:pPr>
        <w:spacing w:after="0" w:line="560" w:lineRule="exact"/>
        <w:jc w:val="both"/>
        <w:rPr>
          <w:rFonts w:ascii="仿宋_GB2312" w:hAnsi="仿宋_GB2312" w:eastAsia="仿宋_GB2312" w:cs="仿宋_GB2312"/>
          <w:color w:val="auto"/>
          <w:sz w:val="32"/>
          <w:szCs w:val="32"/>
        </w:rPr>
      </w:pPr>
    </w:p>
    <w:sectPr>
      <w:pgSz w:w="11906" w:h="16838"/>
      <w:pgMar w:top="2098" w:right="1474" w:bottom="1985" w:left="1588" w:header="0" w:footer="158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11F2F"/>
    <w:multiLevelType w:val="multilevel"/>
    <w:tmpl w:val="42311F2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D7B6353"/>
    <w:multiLevelType w:val="multilevel"/>
    <w:tmpl w:val="6D7B635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118D9"/>
    <w:rsid w:val="0002505A"/>
    <w:rsid w:val="000575A2"/>
    <w:rsid w:val="00070349"/>
    <w:rsid w:val="000833F2"/>
    <w:rsid w:val="000916FA"/>
    <w:rsid w:val="000921AD"/>
    <w:rsid w:val="000A4ECA"/>
    <w:rsid w:val="000B0757"/>
    <w:rsid w:val="000C44D0"/>
    <w:rsid w:val="000C7A16"/>
    <w:rsid w:val="000F3C83"/>
    <w:rsid w:val="00100ADE"/>
    <w:rsid w:val="00101885"/>
    <w:rsid w:val="00103959"/>
    <w:rsid w:val="00114B8F"/>
    <w:rsid w:val="00127393"/>
    <w:rsid w:val="00167268"/>
    <w:rsid w:val="001708C9"/>
    <w:rsid w:val="00176491"/>
    <w:rsid w:val="001D5ACA"/>
    <w:rsid w:val="001E6188"/>
    <w:rsid w:val="00215492"/>
    <w:rsid w:val="00242E68"/>
    <w:rsid w:val="00256F69"/>
    <w:rsid w:val="00256F70"/>
    <w:rsid w:val="00264C1F"/>
    <w:rsid w:val="002E1B17"/>
    <w:rsid w:val="003011EC"/>
    <w:rsid w:val="003035BE"/>
    <w:rsid w:val="00306BED"/>
    <w:rsid w:val="0031665C"/>
    <w:rsid w:val="00323B43"/>
    <w:rsid w:val="003566FA"/>
    <w:rsid w:val="00361A0E"/>
    <w:rsid w:val="003B508F"/>
    <w:rsid w:val="003D03D7"/>
    <w:rsid w:val="003D37D8"/>
    <w:rsid w:val="003D471F"/>
    <w:rsid w:val="003E0561"/>
    <w:rsid w:val="00407726"/>
    <w:rsid w:val="0041064C"/>
    <w:rsid w:val="00410AB4"/>
    <w:rsid w:val="00413B8A"/>
    <w:rsid w:val="00416A04"/>
    <w:rsid w:val="00422A28"/>
    <w:rsid w:val="00426133"/>
    <w:rsid w:val="004358AB"/>
    <w:rsid w:val="00443E0D"/>
    <w:rsid w:val="00463183"/>
    <w:rsid w:val="004709DC"/>
    <w:rsid w:val="004A1EE6"/>
    <w:rsid w:val="004E786B"/>
    <w:rsid w:val="004F1866"/>
    <w:rsid w:val="005007A7"/>
    <w:rsid w:val="005058C2"/>
    <w:rsid w:val="00510F1C"/>
    <w:rsid w:val="0052743B"/>
    <w:rsid w:val="005341A3"/>
    <w:rsid w:val="00535C4E"/>
    <w:rsid w:val="00550B43"/>
    <w:rsid w:val="0055193E"/>
    <w:rsid w:val="00561DBB"/>
    <w:rsid w:val="00583502"/>
    <w:rsid w:val="005837FF"/>
    <w:rsid w:val="0059003A"/>
    <w:rsid w:val="00592D42"/>
    <w:rsid w:val="005A6551"/>
    <w:rsid w:val="005B0FA5"/>
    <w:rsid w:val="005B5EC7"/>
    <w:rsid w:val="005E285B"/>
    <w:rsid w:val="006021C8"/>
    <w:rsid w:val="0061451E"/>
    <w:rsid w:val="006165F4"/>
    <w:rsid w:val="00620821"/>
    <w:rsid w:val="006349A3"/>
    <w:rsid w:val="00642720"/>
    <w:rsid w:val="00687349"/>
    <w:rsid w:val="006C268B"/>
    <w:rsid w:val="006C7657"/>
    <w:rsid w:val="006D3099"/>
    <w:rsid w:val="006D55B6"/>
    <w:rsid w:val="00701B41"/>
    <w:rsid w:val="0072314B"/>
    <w:rsid w:val="0073392B"/>
    <w:rsid w:val="00742E6C"/>
    <w:rsid w:val="00743083"/>
    <w:rsid w:val="00745D79"/>
    <w:rsid w:val="007551B5"/>
    <w:rsid w:val="00770E7D"/>
    <w:rsid w:val="00775822"/>
    <w:rsid w:val="0079099D"/>
    <w:rsid w:val="007B500B"/>
    <w:rsid w:val="007C29B8"/>
    <w:rsid w:val="007C581D"/>
    <w:rsid w:val="007D7838"/>
    <w:rsid w:val="007E0DFF"/>
    <w:rsid w:val="007F5173"/>
    <w:rsid w:val="007F626F"/>
    <w:rsid w:val="0080038C"/>
    <w:rsid w:val="00845AC9"/>
    <w:rsid w:val="00865062"/>
    <w:rsid w:val="00882B32"/>
    <w:rsid w:val="008925F7"/>
    <w:rsid w:val="008A73A8"/>
    <w:rsid w:val="008B1DC9"/>
    <w:rsid w:val="008B7726"/>
    <w:rsid w:val="008C13B7"/>
    <w:rsid w:val="008C5BDD"/>
    <w:rsid w:val="008F33ED"/>
    <w:rsid w:val="009176F3"/>
    <w:rsid w:val="00925D0F"/>
    <w:rsid w:val="00930E1F"/>
    <w:rsid w:val="009351E7"/>
    <w:rsid w:val="009549EC"/>
    <w:rsid w:val="00954DC7"/>
    <w:rsid w:val="009842B5"/>
    <w:rsid w:val="009843DD"/>
    <w:rsid w:val="0099474E"/>
    <w:rsid w:val="00996354"/>
    <w:rsid w:val="009972B9"/>
    <w:rsid w:val="00997CA0"/>
    <w:rsid w:val="00A06A1F"/>
    <w:rsid w:val="00A11C34"/>
    <w:rsid w:val="00A20625"/>
    <w:rsid w:val="00A34289"/>
    <w:rsid w:val="00A447CB"/>
    <w:rsid w:val="00A55F15"/>
    <w:rsid w:val="00A735C6"/>
    <w:rsid w:val="00A73FA1"/>
    <w:rsid w:val="00A75EBB"/>
    <w:rsid w:val="00A968CF"/>
    <w:rsid w:val="00AA6509"/>
    <w:rsid w:val="00AC0A0B"/>
    <w:rsid w:val="00AD56B1"/>
    <w:rsid w:val="00AF4B66"/>
    <w:rsid w:val="00AF5129"/>
    <w:rsid w:val="00AF70DE"/>
    <w:rsid w:val="00B219DA"/>
    <w:rsid w:val="00B5124F"/>
    <w:rsid w:val="00B55C91"/>
    <w:rsid w:val="00B75115"/>
    <w:rsid w:val="00BA6276"/>
    <w:rsid w:val="00BC4803"/>
    <w:rsid w:val="00BD0886"/>
    <w:rsid w:val="00BD60A2"/>
    <w:rsid w:val="00BF4451"/>
    <w:rsid w:val="00C20CD6"/>
    <w:rsid w:val="00C316F9"/>
    <w:rsid w:val="00C40824"/>
    <w:rsid w:val="00C44488"/>
    <w:rsid w:val="00C67EE5"/>
    <w:rsid w:val="00C870E1"/>
    <w:rsid w:val="00C871A3"/>
    <w:rsid w:val="00C91144"/>
    <w:rsid w:val="00CA0F33"/>
    <w:rsid w:val="00CA1392"/>
    <w:rsid w:val="00CB742D"/>
    <w:rsid w:val="00CC1221"/>
    <w:rsid w:val="00CD3B38"/>
    <w:rsid w:val="00CF75F7"/>
    <w:rsid w:val="00D30144"/>
    <w:rsid w:val="00D31D50"/>
    <w:rsid w:val="00D44EC1"/>
    <w:rsid w:val="00D551AC"/>
    <w:rsid w:val="00D553AD"/>
    <w:rsid w:val="00D858A4"/>
    <w:rsid w:val="00D87A6E"/>
    <w:rsid w:val="00DA1FAF"/>
    <w:rsid w:val="00DA31C6"/>
    <w:rsid w:val="00DB569B"/>
    <w:rsid w:val="00DB7769"/>
    <w:rsid w:val="00DC001C"/>
    <w:rsid w:val="00DC6DE8"/>
    <w:rsid w:val="00DD50F9"/>
    <w:rsid w:val="00E40B48"/>
    <w:rsid w:val="00E56F5D"/>
    <w:rsid w:val="00E93DE1"/>
    <w:rsid w:val="00E9548A"/>
    <w:rsid w:val="00ED4BAD"/>
    <w:rsid w:val="00ED75F5"/>
    <w:rsid w:val="00EE1BB0"/>
    <w:rsid w:val="00EE561E"/>
    <w:rsid w:val="00F11332"/>
    <w:rsid w:val="00F16138"/>
    <w:rsid w:val="00F32D69"/>
    <w:rsid w:val="00F3475B"/>
    <w:rsid w:val="00F44225"/>
    <w:rsid w:val="00F54046"/>
    <w:rsid w:val="00F609B5"/>
    <w:rsid w:val="00F61B60"/>
    <w:rsid w:val="00F62EFC"/>
    <w:rsid w:val="00F65E27"/>
    <w:rsid w:val="00F93F9C"/>
    <w:rsid w:val="00FA2B53"/>
    <w:rsid w:val="00FA4ABC"/>
    <w:rsid w:val="00FB151B"/>
    <w:rsid w:val="00FB28BD"/>
    <w:rsid w:val="00FD2FCA"/>
    <w:rsid w:val="00FD7729"/>
    <w:rsid w:val="00FE108C"/>
    <w:rsid w:val="00FF75B7"/>
    <w:rsid w:val="0109164E"/>
    <w:rsid w:val="020E5689"/>
    <w:rsid w:val="02401CC3"/>
    <w:rsid w:val="0255531F"/>
    <w:rsid w:val="03B075CB"/>
    <w:rsid w:val="08005F74"/>
    <w:rsid w:val="081F6351"/>
    <w:rsid w:val="0A014D91"/>
    <w:rsid w:val="0D3D1ADE"/>
    <w:rsid w:val="0D8761A1"/>
    <w:rsid w:val="0DE1341B"/>
    <w:rsid w:val="114146A1"/>
    <w:rsid w:val="144F0C2C"/>
    <w:rsid w:val="157823F1"/>
    <w:rsid w:val="178A26B7"/>
    <w:rsid w:val="18033A7C"/>
    <w:rsid w:val="192621D1"/>
    <w:rsid w:val="19562344"/>
    <w:rsid w:val="1DCB7157"/>
    <w:rsid w:val="248152D0"/>
    <w:rsid w:val="25276842"/>
    <w:rsid w:val="26E8714F"/>
    <w:rsid w:val="27961059"/>
    <w:rsid w:val="2D386231"/>
    <w:rsid w:val="38597E1E"/>
    <w:rsid w:val="39F23DF1"/>
    <w:rsid w:val="3B5373FB"/>
    <w:rsid w:val="3B980B26"/>
    <w:rsid w:val="41BD339C"/>
    <w:rsid w:val="42F446DF"/>
    <w:rsid w:val="4CEB5E46"/>
    <w:rsid w:val="5578787F"/>
    <w:rsid w:val="561653EC"/>
    <w:rsid w:val="5AF043D6"/>
    <w:rsid w:val="5BB03D14"/>
    <w:rsid w:val="5DD72873"/>
    <w:rsid w:val="5DEC4AAD"/>
    <w:rsid w:val="5E134AA4"/>
    <w:rsid w:val="645A4332"/>
    <w:rsid w:val="69332AD1"/>
    <w:rsid w:val="6CC24738"/>
    <w:rsid w:val="6E7F561A"/>
    <w:rsid w:val="751E3FEA"/>
    <w:rsid w:val="7721296A"/>
    <w:rsid w:val="7816516C"/>
    <w:rsid w:val="78443059"/>
    <w:rsid w:val="7A123FB5"/>
    <w:rsid w:val="7BE24BEE"/>
    <w:rsid w:val="7D2565E9"/>
    <w:rsid w:val="7F495458"/>
    <w:rsid w:val="7FC0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adjustRightInd/>
      <w:snapToGrid/>
      <w:spacing w:after="100" w:line="276" w:lineRule="auto"/>
      <w:ind w:left="440"/>
    </w:pPr>
    <w:rPr>
      <w:rFonts w:asciiTheme="minorHAnsi" w:hAnsiTheme="minorHAnsi" w:eastAsiaTheme="minorEastAsia"/>
    </w:rPr>
  </w:style>
  <w:style w:type="paragraph" w:styleId="4">
    <w:name w:val="Balloon Text"/>
    <w:basedOn w:val="1"/>
    <w:link w:val="16"/>
    <w:unhideWhenUsed/>
    <w:qFormat/>
    <w:uiPriority w:val="99"/>
    <w:pPr>
      <w:spacing w:after="0"/>
    </w:pPr>
    <w:rPr>
      <w:sz w:val="18"/>
      <w:szCs w:val="18"/>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qFormat/>
    <w:uiPriority w:val="39"/>
  </w:style>
  <w:style w:type="paragraph" w:styleId="8">
    <w:name w:val="toc 2"/>
    <w:basedOn w:val="1"/>
    <w:next w:val="1"/>
    <w:unhideWhenUsed/>
    <w:qFormat/>
    <w:uiPriority w:val="39"/>
    <w:pPr>
      <w:adjustRightInd/>
      <w:snapToGrid/>
      <w:spacing w:after="100" w:line="276" w:lineRule="auto"/>
      <w:ind w:left="220"/>
    </w:pPr>
    <w:rPr>
      <w:rFonts w:asciiTheme="minorHAnsi" w:hAnsiTheme="minorHAnsi" w:eastAsiaTheme="minorEastAsi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paragraph" w:customStyle="1" w:styleId="13">
    <w:name w:val="列出段落1"/>
    <w:basedOn w:val="1"/>
    <w:qFormat/>
    <w:uiPriority w:val="34"/>
    <w:pPr>
      <w:ind w:firstLine="420" w:firstLineChars="200"/>
    </w:pPr>
  </w:style>
  <w:style w:type="character" w:customStyle="1" w:styleId="14">
    <w:name w:val="页眉 Char"/>
    <w:basedOn w:val="11"/>
    <w:link w:val="6"/>
    <w:qFormat/>
    <w:uiPriority w:val="99"/>
    <w:rPr>
      <w:rFonts w:ascii="Tahoma" w:hAnsi="Tahoma"/>
      <w:sz w:val="18"/>
      <w:szCs w:val="18"/>
    </w:rPr>
  </w:style>
  <w:style w:type="character" w:customStyle="1" w:styleId="15">
    <w:name w:val="页脚 Char"/>
    <w:basedOn w:val="11"/>
    <w:link w:val="5"/>
    <w:qFormat/>
    <w:uiPriority w:val="99"/>
    <w:rPr>
      <w:rFonts w:ascii="Tahoma" w:hAnsi="Tahoma"/>
      <w:sz w:val="18"/>
      <w:szCs w:val="18"/>
    </w:rPr>
  </w:style>
  <w:style w:type="character" w:customStyle="1" w:styleId="16">
    <w:name w:val="批注框文本 Char"/>
    <w:basedOn w:val="11"/>
    <w:link w:val="4"/>
    <w:semiHidden/>
    <w:qFormat/>
    <w:uiPriority w:val="99"/>
    <w:rPr>
      <w:rFonts w:ascii="Tahoma" w:hAnsi="Tahoma"/>
      <w:sz w:val="18"/>
      <w:szCs w:val="18"/>
    </w:rPr>
  </w:style>
  <w:style w:type="character" w:customStyle="1" w:styleId="17">
    <w:name w:val="标题 1 Char"/>
    <w:basedOn w:val="11"/>
    <w:link w:val="2"/>
    <w:qFormat/>
    <w:uiPriority w:val="9"/>
    <w:rPr>
      <w:rFonts w:ascii="Tahoma" w:hAnsi="Tahoma" w:eastAsia="微软雅黑" w:cstheme="minorBidi"/>
      <w:b/>
      <w:bCs/>
      <w:kern w:val="44"/>
      <w:sz w:val="44"/>
      <w:szCs w:val="44"/>
    </w:rPr>
  </w:style>
  <w:style w:type="paragraph" w:customStyle="1" w:styleId="18">
    <w:name w:val="TOC 标题1"/>
    <w:basedOn w:val="2"/>
    <w:next w:val="1"/>
    <w:semiHidden/>
    <w:unhideWhenUsed/>
    <w:qFormat/>
    <w:uiPriority w:val="39"/>
    <w:pPr>
      <w:adjustRightInd/>
      <w:snapToGrid/>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paragraph" w:styleId="19">
    <w:name w:val="List Paragraph"/>
    <w:basedOn w:val="1"/>
    <w:unhideWhenUsed/>
    <w:qFormat/>
    <w:uiPriority w:val="99"/>
    <w:pPr>
      <w:ind w:firstLine="420" w:firstLineChars="200"/>
    </w:pPr>
  </w:style>
  <w:style w:type="paragraph" w:customStyle="1" w:styleId="20">
    <w:name w:val="纯文本1"/>
    <w:basedOn w:val="1"/>
    <w:qFormat/>
    <w:uiPriority w:val="99"/>
    <w:pPr>
      <w:tabs>
        <w:tab w:val="left" w:pos="120"/>
      </w:tabs>
      <w:snapToGrid/>
      <w:spacing w:after="0"/>
      <w:textAlignment w:val="baseline"/>
    </w:pPr>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4AF34-CEA0-47FB-A70E-0D0676FBDF9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430</Words>
  <Characters>2456</Characters>
  <Lines>20</Lines>
  <Paragraphs>5</Paragraphs>
  <TotalTime>0</TotalTime>
  <ScaleCrop>false</ScaleCrop>
  <LinksUpToDate>false</LinksUpToDate>
  <CharactersWithSpaces>2881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2019-06-26T08:32:00Z</dcterms:created>
  <dc:creator>Administrator</dc:creator>
  <cp:lastModifiedBy>吴超</cp:lastModifiedBy>
  <cp:lastPrinted>2019-08-08T08:07:00Z</cp:lastPrinted>
  <dcterms:modified xsi:type="dcterms:W3CDTF">2020-08-12T02:54:44Z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