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422" w:firstLineChars="200"/>
        <w:jc w:val="center"/>
        <w:rPr>
          <w:rFonts w:asciiTheme="minorEastAsia" w:hAnsiTheme="minorEastAsia" w:eastAsiaTheme="minorEastAsia"/>
          <w:b/>
        </w:rPr>
      </w:pPr>
    </w:p>
    <w:p>
      <w:pPr>
        <w:pStyle w:val="26"/>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6"/>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6"/>
        <w:adjustRightInd w:val="0"/>
        <w:snapToGrid w:val="0"/>
        <w:spacing w:before="161" w:beforeLines="50" w:line="360" w:lineRule="auto"/>
        <w:rPr>
          <w:rFonts w:asciiTheme="minorEastAsia" w:hAnsiTheme="minorEastAsia" w:eastAsiaTheme="minorEastAsia"/>
          <w:b/>
          <w:sz w:val="32"/>
          <w:szCs w:val="32"/>
        </w:rPr>
      </w:pPr>
    </w:p>
    <w:p>
      <w:pPr>
        <w:pStyle w:val="26"/>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长沙市轨道交通2号线运营期2020年-2021年卓越绩效模式导入暨创奖咨询服务项目</w:t>
      </w: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长沙市轨道交通运营有限公司</w:t>
      </w:r>
    </w:p>
    <w:p>
      <w:pPr>
        <w:spacing w:line="360" w:lineRule="auto"/>
        <w:ind w:firstLine="2249" w:firstLineChars="700"/>
        <w:jc w:val="left"/>
        <w:rPr>
          <w:rFonts w:cs="Courier New" w:asciiTheme="minorEastAsia" w:hAnsiTheme="minorEastAsia" w:eastAsiaTheme="minorEastAsia"/>
          <w:b/>
          <w:sz w:val="32"/>
          <w:szCs w:val="21"/>
          <w:u w:val="single"/>
        </w:rPr>
      </w:pP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长轨运服采【2020】017号</w:t>
      </w: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二〇二〇</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六</w:t>
      </w:r>
      <w:r>
        <w:rPr>
          <w:rFonts w:hint="eastAsia" w:asciiTheme="minorEastAsia" w:hAnsiTheme="minorEastAsia" w:eastAsiaTheme="minorEastAsia"/>
          <w:b/>
          <w:sz w:val="32"/>
        </w:rPr>
        <w:t>月</w:t>
      </w:r>
    </w:p>
    <w:p>
      <w:pPr>
        <w:spacing w:line="360" w:lineRule="auto"/>
        <w:ind w:firstLine="643" w:firstLineChars="200"/>
        <w:jc w:val="center"/>
        <w:rPr>
          <w:rFonts w:asciiTheme="minorEastAsia" w:hAnsiTheme="minorEastAsia" w:eastAsiaTheme="minorEastAsia"/>
          <w:b/>
          <w:bCs/>
          <w:sz w:val="32"/>
          <w:szCs w:val="32"/>
        </w:rPr>
        <w:sectPr>
          <w:headerReference r:id="rId4" w:type="first"/>
          <w:headerReference r:id="rId3" w:type="default"/>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3"/>
        <w:tabs>
          <w:tab w:val="right" w:leader="dot" w:pos="9972"/>
        </w:tabs>
        <w:spacing w:line="360" w:lineRule="auto"/>
        <w:ind w:firstLine="420" w:firstLineChars="200"/>
        <w:jc w:val="center"/>
        <w:rPr>
          <w:rFonts w:asciiTheme="minorEastAsia" w:hAnsiTheme="minorEastAsia" w:eastAsiaTheme="minorEastAsia"/>
        </w:rPr>
      </w:pPr>
    </w:p>
    <w:p>
      <w:pPr>
        <w:pStyle w:val="33"/>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begin"/>
      </w:r>
      <w:r>
        <w:instrText xml:space="preserve"> PAGEREF _Toc2735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begin"/>
      </w:r>
      <w:r>
        <w:instrText xml:space="preserve"> PAGEREF _Toc26391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begin"/>
      </w:r>
      <w:r>
        <w:instrText xml:space="preserve"> PAGEREF _Toc15560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begin"/>
      </w:r>
      <w:r>
        <w:instrText xml:space="preserve"> PAGEREF _Toc879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begin"/>
      </w:r>
      <w:r>
        <w:instrText xml:space="preserve"> PAGEREF _Toc32507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begin"/>
      </w:r>
      <w:r>
        <w:instrText xml:space="preserve"> PAGEREF _Toc27070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begin"/>
      </w:r>
      <w:r>
        <w:instrText xml:space="preserve"> PAGEREF _Toc28010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begin"/>
      </w:r>
      <w:r>
        <w:instrText xml:space="preserve"> PAGEREF _Toc16891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begin"/>
      </w:r>
      <w:r>
        <w:instrText xml:space="preserve"> PAGEREF _Toc25405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begin"/>
      </w:r>
      <w:r>
        <w:instrText xml:space="preserve"> PAGEREF _Toc10631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begin"/>
      </w:r>
      <w:r>
        <w:instrText xml:space="preserve"> PAGEREF _Toc934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begin"/>
      </w:r>
      <w:r>
        <w:instrText xml:space="preserve"> PAGEREF _Toc11459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begin"/>
      </w:r>
      <w:r>
        <w:instrText xml:space="preserve"> PAGEREF _Toc4016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begin"/>
      </w:r>
      <w:r>
        <w:instrText xml:space="preserve"> PAGEREF _Toc32270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begin"/>
      </w:r>
      <w:r>
        <w:instrText xml:space="preserve"> PAGEREF _Toc6070 </w:instrText>
      </w:r>
      <w:r>
        <w:fldChar w:fldCharType="separate"/>
      </w:r>
      <w:r>
        <w:t>10</w:t>
      </w:r>
      <w:r>
        <w:fldChar w:fldCharType="end"/>
      </w:r>
      <w:r>
        <w:fldChar w:fldCharType="end"/>
      </w:r>
    </w:p>
    <w:p>
      <w:pPr>
        <w:pStyle w:val="38"/>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begin"/>
      </w:r>
      <w:r>
        <w:instrText xml:space="preserve"> PAGEREF _Toc24040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begin"/>
      </w:r>
      <w:r>
        <w:instrText xml:space="preserve"> PAGEREF _Toc19842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begin"/>
      </w:r>
      <w:r>
        <w:instrText xml:space="preserve"> PAGEREF _Toc1303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begin"/>
      </w:r>
      <w:r>
        <w:instrText xml:space="preserve"> PAGEREF _Toc9305 </w:instrText>
      </w:r>
      <w:r>
        <w:fldChar w:fldCharType="separate"/>
      </w:r>
      <w:r>
        <w:t>12</w:t>
      </w:r>
      <w:r>
        <w:fldChar w:fldCharType="end"/>
      </w:r>
      <w:r>
        <w:fldChar w:fldCharType="end"/>
      </w:r>
    </w:p>
    <w:p>
      <w:pPr>
        <w:pStyle w:val="33"/>
        <w:tabs>
          <w:tab w:val="right" w:leader="dot" w:pos="8640"/>
        </w:tabs>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begin"/>
      </w:r>
      <w:r>
        <w:instrText xml:space="preserve"> PAGEREF _Toc10493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begin"/>
      </w:r>
      <w:r>
        <w:instrText xml:space="preserve"> PAGEREF _Toc5767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begin"/>
      </w:r>
      <w:r>
        <w:instrText xml:space="preserve"> PAGEREF _Toc13176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begin"/>
      </w:r>
      <w:r>
        <w:instrText xml:space="preserve"> PAGEREF _Toc25638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begin"/>
      </w:r>
      <w:r>
        <w:instrText xml:space="preserve"> PAGEREF _Toc21262 </w:instrText>
      </w:r>
      <w:r>
        <w:fldChar w:fldCharType="separate"/>
      </w:r>
      <w:r>
        <w:t>14</w:t>
      </w:r>
      <w:r>
        <w:fldChar w:fldCharType="end"/>
      </w:r>
      <w:r>
        <w:fldChar w:fldCharType="end"/>
      </w:r>
    </w:p>
    <w:p>
      <w:pPr>
        <w:pStyle w:val="33"/>
        <w:tabs>
          <w:tab w:val="right" w:leader="dot" w:pos="8640"/>
        </w:tabs>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begin"/>
      </w:r>
      <w:r>
        <w:instrText xml:space="preserve"> PAGEREF _Toc32047 </w:instrText>
      </w:r>
      <w:r>
        <w:fldChar w:fldCharType="separate"/>
      </w:r>
      <w:r>
        <w:t>16</w:t>
      </w:r>
      <w:r>
        <w:fldChar w:fldCharType="end"/>
      </w:r>
      <w:r>
        <w:fldChar w:fldCharType="end"/>
      </w:r>
    </w:p>
    <w:p>
      <w:pPr>
        <w:pStyle w:val="33"/>
        <w:tabs>
          <w:tab w:val="right" w:leader="dot" w:pos="8640"/>
        </w:tabs>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begin"/>
      </w:r>
      <w:r>
        <w:instrText xml:space="preserve"> PAGEREF _Toc27955 </w:instrText>
      </w:r>
      <w:r>
        <w:fldChar w:fldCharType="separate"/>
      </w:r>
      <w:r>
        <w:t>17</w:t>
      </w:r>
      <w:r>
        <w:fldChar w:fldCharType="end"/>
      </w:r>
      <w:r>
        <w:fldChar w:fldCharType="end"/>
      </w:r>
    </w:p>
    <w:p>
      <w:pPr>
        <w:pStyle w:val="33"/>
        <w:tabs>
          <w:tab w:val="right" w:leader="dot" w:pos="8640"/>
        </w:tabs>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begin"/>
      </w:r>
      <w:r>
        <w:instrText xml:space="preserve"> PAGEREF _Toc6432 </w:instrText>
      </w:r>
      <w:r>
        <w:fldChar w:fldCharType="separate"/>
      </w:r>
      <w:r>
        <w:t>34</w:t>
      </w:r>
      <w:r>
        <w:fldChar w:fldCharType="end"/>
      </w:r>
      <w: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4"/>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szCs w:val="21"/>
          <w:u w:val="single"/>
        </w:rPr>
        <w:t>湖南创迪工程管理咨询有限公司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长沙市轨道交通运营有限公司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szCs w:val="21"/>
          <w:u w:val="single"/>
        </w:rPr>
        <w:t>长沙市轨道交通2号线运营期2020年-2021年卓越绩效模式导入暨创奖咨询服务项目</w:t>
      </w:r>
      <w:r>
        <w:rPr>
          <w:rFonts w:hint="eastAsia" w:cs="宋体" w:asciiTheme="minorEastAsia" w:hAnsiTheme="minorEastAsia" w:eastAsiaTheme="minorEastAsia"/>
          <w:iCs/>
        </w:rPr>
        <w:t>进行自主竞争性谈判采购，现发布公告，邀请符合条件的单位参与谈判采购活动。</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6"/>
        <w:adjustRightInd w:val="0"/>
        <w:snapToGrid w:val="0"/>
        <w:spacing w:line="360" w:lineRule="auto"/>
        <w:ind w:firstLine="42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iCs/>
        </w:rPr>
        <w:t>1.项目名称：</w:t>
      </w:r>
      <w:r>
        <w:rPr>
          <w:rFonts w:hint="eastAsia" w:cs="宋体" w:asciiTheme="minorEastAsia" w:hAnsiTheme="minorEastAsia" w:eastAsiaTheme="minorEastAsia"/>
          <w:color w:val="000000"/>
          <w:szCs w:val="24"/>
        </w:rPr>
        <w:t>长沙市轨道交通2号线运营期2020年-2021年卓越绩效模式导入暨创奖咨询服务项目</w:t>
      </w:r>
    </w:p>
    <w:p>
      <w:pPr>
        <w:pStyle w:val="26"/>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2.</w:t>
      </w:r>
      <w:r>
        <w:rPr>
          <w:rFonts w:hint="eastAsia" w:hAnsi="宋体" w:cs="宋体"/>
          <w:iCs/>
        </w:rPr>
        <w:t>最高投标限价</w:t>
      </w:r>
      <w:r>
        <w:rPr>
          <w:rFonts w:hint="eastAsia" w:cs="宋体" w:asciiTheme="minorEastAsia" w:hAnsiTheme="minorEastAsia" w:eastAsiaTheme="minorEastAsia"/>
          <w:iCs/>
        </w:rPr>
        <w:t>：</w:t>
      </w:r>
      <w:r>
        <w:rPr>
          <w:rFonts w:hAnsi="宋体" w:cs="宋体"/>
        </w:rPr>
        <w:t>267900.00元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ascii="宋体" w:hAnsi="Calibri"/>
          <w:color w:val="000000"/>
          <w:szCs w:val="21"/>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cs="宋体" w:asciiTheme="minorEastAsia" w:hAnsiTheme="minorEastAsia" w:eastAsiaTheme="minorEastAsia"/>
          <w:color w:val="000000"/>
        </w:rPr>
        <w:t>本项目服务期为</w:t>
      </w:r>
      <w:r>
        <w:rPr>
          <w:rFonts w:hint="eastAsia" w:ascii="宋体" w:hAnsi="Calibri"/>
          <w:color w:val="000000"/>
          <w:szCs w:val="21"/>
        </w:rPr>
        <w:t>自合同签订之日起至合同约定的全部服务内容完成止。（具体详见用户需求书）</w:t>
      </w:r>
    </w:p>
    <w:p>
      <w:pPr>
        <w:spacing w:line="360" w:lineRule="auto"/>
        <w:ind w:firstLine="420" w:firstLineChars="200"/>
        <w:jc w:val="left"/>
      </w:pPr>
      <w:r>
        <w:rPr>
          <w:rFonts w:hint="eastAsia" w:ascii="宋体" w:hAnsi="宋体" w:cs="宋体"/>
          <w:bCs/>
          <w:szCs w:val="21"/>
        </w:rPr>
        <w:t>5.</w:t>
      </w:r>
      <w:r>
        <w:rPr>
          <w:rFonts w:hint="eastAsia" w:ascii="宋体" w:hAnsi="宋体" w:cs="宋体"/>
          <w:iCs/>
          <w:szCs w:val="21"/>
        </w:rPr>
        <w:t>采购范围：</w:t>
      </w:r>
      <w:r>
        <w:rPr>
          <w:rFonts w:hint="eastAsia" w:ascii="宋体" w:hAnsi="宋体" w:cs="宋体"/>
          <w:color w:val="000000"/>
        </w:rPr>
        <w:t>本项目主要</w:t>
      </w:r>
      <w:r>
        <w:rPr>
          <w:rFonts w:hint="eastAsia" w:ascii="宋体" w:hAnsi="宋体" w:cs="宋体"/>
        </w:rPr>
        <w:t>为</w:t>
      </w:r>
      <w:r>
        <w:rPr>
          <w:rFonts w:hint="eastAsia" w:ascii="宋体" w:hAnsi="Calibri"/>
          <w:color w:val="000000"/>
          <w:szCs w:val="21"/>
        </w:rPr>
        <w:t>策划总体工作方案，启动卓越绩效模式导入，开展卓越绩效标准培训、管理现状诊断、专项管理改进、系统梳理运营战略规划、完善绩效评价指标体系、构建自评价管理体系、完成卓越绩效自评和改进、编写自评报告、组织外部专家审核评估、申报市长质量奖、市长质量奖现场迎审辅导及后续体系运行的辅导服务。</w:t>
      </w:r>
      <w:r>
        <w:rPr>
          <w:rFonts w:hint="eastAsia" w:ascii="宋体" w:hAnsi="宋体" w:cs="宋体"/>
          <w:color w:val="000000"/>
        </w:rPr>
        <w:t>（具体详见用户需求书）</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2" w:name="_Toc15560"/>
      <w:r>
        <w:rPr>
          <w:rFonts w:hint="eastAsia" w:asciiTheme="minorEastAsia" w:hAnsiTheme="minorEastAsia" w:eastAsiaTheme="minorEastAsia"/>
          <w:b/>
          <w:iCs/>
        </w:rPr>
        <w:t>二、资格要求</w:t>
      </w:r>
      <w:bookmarkEnd w:id="2"/>
    </w:p>
    <w:p>
      <w:pPr>
        <w:spacing w:line="360" w:lineRule="auto"/>
        <w:ind w:firstLine="420" w:firstLineChars="200"/>
        <w:jc w:val="left"/>
        <w:rPr>
          <w:rFonts w:ascii="宋体" w:hAnsi="宋体" w:cs="宋体"/>
          <w:color w:val="000000"/>
        </w:rPr>
      </w:pPr>
      <w:bookmarkStart w:id="3" w:name="_Toc879"/>
      <w:r>
        <w:rPr>
          <w:rFonts w:hint="eastAsia" w:ascii="宋体" w:hAnsi="宋体" w:cs="宋体"/>
          <w:bCs/>
        </w:rPr>
        <w:t>1.</w:t>
      </w:r>
      <w:r>
        <w:rPr>
          <w:rFonts w:hint="eastAsia" w:ascii="宋体" w:hAnsi="宋体" w:cs="宋体"/>
          <w:color w:val="000000"/>
        </w:rPr>
        <w:t>谈判单位须为具有独立法人资格、自主经营、独立核算的公司。</w:t>
      </w:r>
    </w:p>
    <w:p>
      <w:pPr>
        <w:spacing w:line="360" w:lineRule="auto"/>
        <w:ind w:firstLine="420" w:firstLineChars="200"/>
        <w:jc w:val="left"/>
        <w:rPr>
          <w:rFonts w:ascii="宋体" w:hAnsi="宋体" w:cs="宋体"/>
          <w:bCs/>
        </w:rPr>
      </w:pPr>
      <w:r>
        <w:rPr>
          <w:rFonts w:hint="eastAsia" w:ascii="宋体" w:hAnsi="宋体" w:cs="宋体"/>
          <w:bCs/>
        </w:rPr>
        <w:t>2.谈判单位在本项目投标截止之日前36个月内有至少1个成功取得地级市及以上等级政府质量奖卓越绩效管理体系服务（政府质量奖卓越绩效管理体系服务指卓越绩效导入或创奖咨询服务）等类似项目业绩。不接受联合体业绩、港澳台或境外业绩。</w:t>
      </w:r>
    </w:p>
    <w:p>
      <w:pPr>
        <w:spacing w:line="360" w:lineRule="auto"/>
        <w:ind w:firstLine="420" w:firstLineChars="200"/>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ind w:firstLine="420" w:firstLineChars="200"/>
        <w:rPr>
          <w:rFonts w:ascii="宋体" w:hAnsi="宋体" w:cs="宋体"/>
        </w:rPr>
      </w:pPr>
      <w:r>
        <w:rPr>
          <w:rFonts w:hint="eastAsia" w:ascii="宋体" w:hAnsi="宋体" w:cs="宋体"/>
        </w:rPr>
        <w:t>3.本次谈判不接受联合体形式参与谈判。</w:t>
      </w:r>
    </w:p>
    <w:p>
      <w:pPr>
        <w:pStyle w:val="26"/>
        <w:adjustRightInd w:val="0"/>
        <w:snapToGrid w:val="0"/>
        <w:spacing w:line="360" w:lineRule="auto"/>
        <w:ind w:firstLine="420" w:firstLineChars="200"/>
        <w:rPr>
          <w:rFonts w:hAnsi="宋体" w:cs="宋体"/>
        </w:rPr>
      </w:pPr>
      <w:r>
        <w:rPr>
          <w:rFonts w:hint="eastAsia" w:hAnsi="宋体" w:cs="宋体"/>
        </w:rPr>
        <w:t>4.被长沙市轨道交通集团函告禁止在一定期限内参与轨道公司项目投标或谈判的单位按函告内容执行。</w:t>
      </w:r>
    </w:p>
    <w:p>
      <w:pPr>
        <w:pStyle w:val="26"/>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4" w:name="_Toc32507"/>
      <w:r>
        <w:rPr>
          <w:rFonts w:hint="eastAsia" w:asciiTheme="minorEastAsia" w:hAnsiTheme="minorEastAsia" w:eastAsiaTheme="minorEastAsia"/>
          <w:b/>
          <w:iCs/>
        </w:rPr>
        <w:t>四、自主竞争性谈判文件的获取</w:t>
      </w:r>
      <w:bookmarkEnd w:id="4"/>
    </w:p>
    <w:p>
      <w:pPr>
        <w:spacing w:line="360" w:lineRule="auto"/>
        <w:ind w:firstLine="420" w:firstLineChars="200"/>
        <w:rPr>
          <w:rFonts w:asciiTheme="minorEastAsia" w:hAnsiTheme="minorEastAsia" w:eastAsiaTheme="minorEastAsia"/>
          <w:szCs w:val="21"/>
        </w:rPr>
      </w:pPr>
      <w:bookmarkStart w:id="5" w:name="_Toc27070"/>
      <w:r>
        <w:rPr>
          <w:rFonts w:hint="eastAsia" w:ascii="宋体" w:hAnsi="宋体"/>
          <w:szCs w:val="21"/>
        </w:rPr>
        <w:t>凡有意参加谈判的单位，请于2020年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日登录长沙市轨道交通集团有限公司官方网站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5"/>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应于2020年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w:t>
      </w:r>
      <w:r>
        <w:rPr>
          <w:rFonts w:hint="eastAsia" w:ascii="宋体" w:hAnsi="宋体" w:cs="Courier New"/>
          <w:iCs/>
          <w:szCs w:val="21"/>
        </w:rPr>
        <w:t>17：00时（含）前（节假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6" w:name="_Toc28010"/>
      <w:r>
        <w:rPr>
          <w:rFonts w:hint="eastAsia" w:asciiTheme="minorEastAsia" w:hAnsiTheme="minorEastAsia" w:eastAsiaTheme="minorEastAsia"/>
          <w:b/>
          <w:iCs/>
        </w:rPr>
        <w:t>六、响应文件的递交</w:t>
      </w:r>
      <w:bookmarkEnd w:id="6"/>
    </w:p>
    <w:p>
      <w:pPr>
        <w:spacing w:line="360" w:lineRule="auto"/>
        <w:ind w:firstLine="420" w:firstLineChars="200"/>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rPr>
        <w:t>2020</w:t>
      </w:r>
      <w:r>
        <w:rPr>
          <w:rFonts w:ascii="宋体" w:hAnsi="宋体"/>
          <w:bCs/>
          <w:szCs w:val="21"/>
        </w:rPr>
        <w:t>年</w:t>
      </w:r>
      <w:r>
        <w:rPr>
          <w:rFonts w:hint="eastAsia" w:ascii="宋体" w:hAnsi="宋体"/>
          <w:bCs/>
          <w:szCs w:val="21"/>
          <w:lang w:val="en-US" w:eastAsia="zh-CN"/>
        </w:rPr>
        <w:t>7</w:t>
      </w:r>
      <w:r>
        <w:rPr>
          <w:rFonts w:ascii="宋体" w:hAnsi="宋体"/>
          <w:bCs/>
          <w:szCs w:val="21"/>
        </w:rPr>
        <w:t>月</w:t>
      </w:r>
      <w:r>
        <w:rPr>
          <w:rFonts w:hint="eastAsia" w:ascii="宋体" w:hAnsi="宋体"/>
          <w:bCs/>
          <w:szCs w:val="21"/>
          <w:lang w:val="en-US" w:eastAsia="zh-CN"/>
        </w:rPr>
        <w:t>15</w:t>
      </w:r>
      <w:r>
        <w:rPr>
          <w:rFonts w:ascii="宋体" w:hAnsi="宋体"/>
          <w:bCs/>
          <w:szCs w:val="21"/>
        </w:rPr>
        <w:t>日</w:t>
      </w:r>
      <w:r>
        <w:rPr>
          <w:rFonts w:hint="eastAsia" w:ascii="宋体" w:hAnsi="宋体"/>
          <w:bCs/>
          <w:szCs w:val="21"/>
        </w:rPr>
        <w:t>14</w:t>
      </w:r>
      <w:r>
        <w:rPr>
          <w:rFonts w:ascii="宋体" w:hAnsi="宋体"/>
          <w:bCs/>
          <w:szCs w:val="21"/>
        </w:rPr>
        <w:t>时</w:t>
      </w:r>
      <w:r>
        <w:rPr>
          <w:rFonts w:hint="eastAsia" w:ascii="宋体" w:hAnsi="宋体"/>
          <w:bCs/>
          <w:szCs w:val="21"/>
        </w:rPr>
        <w:t>30</w:t>
      </w:r>
      <w:r>
        <w:rPr>
          <w:rFonts w:ascii="宋体" w:hAnsi="宋体"/>
          <w:bCs/>
          <w:szCs w:val="21"/>
        </w:rPr>
        <w:t>分，地点为</w:t>
      </w:r>
      <w:r>
        <w:rPr>
          <w:rFonts w:hint="eastAsia" w:ascii="宋体" w:hAnsi="宋体" w:cs="宋体"/>
          <w:szCs w:val="21"/>
        </w:rPr>
        <w:t>长沙市劳</w:t>
      </w:r>
      <w:r>
        <w:rPr>
          <w:rFonts w:hint="eastAsia" w:cs="宋体" w:asciiTheme="minorEastAsia" w:hAnsiTheme="minorEastAsia" w:eastAsiaTheme="minorEastAsia"/>
          <w:szCs w:val="21"/>
        </w:rPr>
        <w:t>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7" w:name="_Toc16891"/>
      <w:r>
        <w:rPr>
          <w:rFonts w:hint="eastAsia" w:asciiTheme="minorEastAsia" w:hAnsiTheme="minorEastAsia" w:eastAsiaTheme="minorEastAsia"/>
          <w:b/>
          <w:iCs/>
        </w:rPr>
        <w:t>七、采购单位及其委托的采购代理机构的名称、地址和联系方法</w:t>
      </w:r>
      <w:bookmarkEnd w:id="7"/>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采购单位：长沙市轨道交通运营有限公司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楼910室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杨工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采购代理机构：湖南创迪工程管理咨询有限公司</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址：长沙市开福区芙蓉中路一段469号新闻大厦8楼D座</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电  话：</w:t>
      </w:r>
      <w:r>
        <w:rPr>
          <w:rFonts w:hint="eastAsia" w:asciiTheme="minorEastAsia" w:hAnsiTheme="minorEastAsia" w:eastAsiaTheme="minorEastAsia"/>
          <w:szCs w:val="21"/>
        </w:rPr>
        <w:t>0731-84317978</w:t>
      </w:r>
    </w:p>
    <w:p>
      <w:pPr>
        <w:spacing w:line="360" w:lineRule="auto"/>
        <w:ind w:firstLine="420" w:firstLineChars="200"/>
        <w:rPr>
          <w:rFonts w:asciiTheme="minorEastAsia" w:hAnsiTheme="minorEastAsia" w:eastAsiaTheme="minorEastAsia"/>
          <w:szCs w:val="21"/>
          <w:highlight w:val="yellow"/>
        </w:rPr>
      </w:pPr>
      <w:r>
        <w:rPr>
          <w:rFonts w:hint="eastAsia" w:cs="宋体" w:asciiTheme="minorEastAsia" w:hAnsiTheme="minorEastAsia" w:eastAsiaTheme="minorEastAsia"/>
          <w:szCs w:val="21"/>
        </w:rPr>
        <w:t>联系人：</w:t>
      </w:r>
      <w:r>
        <w:rPr>
          <w:rFonts w:hint="eastAsia" w:asciiTheme="minorEastAsia" w:hAnsiTheme="minorEastAsia" w:eastAsiaTheme="minorEastAsia"/>
          <w:szCs w:val="21"/>
        </w:rPr>
        <w:t>周先生、奉先生</w:t>
      </w:r>
    </w:p>
    <w:p>
      <w:pPr>
        <w:wordWrap w:val="0"/>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2020年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日</w:t>
      </w:r>
    </w:p>
    <w:p>
      <w:pPr>
        <w:pStyle w:val="4"/>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8" w:name="_Toc25405"/>
      <w:r>
        <w:rPr>
          <w:rFonts w:hint="eastAsia" w:cs="宋体" w:asciiTheme="minorEastAsia" w:hAnsiTheme="minorEastAsia" w:eastAsiaTheme="minorEastAsia"/>
          <w:bCs w:val="0"/>
          <w:sz w:val="32"/>
          <w:szCs w:val="32"/>
        </w:rPr>
        <w:t>第二章  谈判须知</w:t>
      </w:r>
      <w:bookmarkEnd w:id="8"/>
    </w:p>
    <w:p>
      <w:pPr>
        <w:pStyle w:val="5"/>
        <w:keepNext w:val="0"/>
        <w:keepLines w:val="0"/>
        <w:ind w:firstLine="643" w:firstLineChars="200"/>
        <w:jc w:val="center"/>
        <w:rPr>
          <w:rFonts w:cs="宋体" w:asciiTheme="minorEastAsia" w:hAnsiTheme="minorEastAsia" w:eastAsiaTheme="minorEastAsia"/>
          <w:sz w:val="32"/>
        </w:rPr>
      </w:pPr>
      <w:bookmarkStart w:id="9" w:name="_Toc10631"/>
      <w:r>
        <w:rPr>
          <w:rFonts w:hint="eastAsia" w:cs="宋体" w:asciiTheme="minorEastAsia" w:hAnsiTheme="minorEastAsia" w:eastAsiaTheme="minorEastAsia"/>
          <w:sz w:val="32"/>
        </w:rPr>
        <w:t>谈判须知前附表</w:t>
      </w:r>
      <w:bookmarkEnd w:id="9"/>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color w:val="000000"/>
                <w:szCs w:val="24"/>
              </w:rPr>
              <w:t>长沙市轨道交通2号线运营期2020年-2021年卓越绩效模式导入暨创奖咨询服务项目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湖南创迪工程管理咨询有限公司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最高投标限价</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ascii="宋体" w:hAnsi="宋体" w:cs="宋体"/>
                <w:szCs w:val="21"/>
              </w:rPr>
              <w:t>267900.00元，</w:t>
            </w:r>
            <w:r>
              <w:rPr>
                <w:rFonts w:hint="eastAsia" w:ascii="宋体" w:hAnsi="宋体" w:cs="宋体"/>
                <w:b/>
                <w:bCs/>
                <w:szCs w:val="21"/>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spacing w:line="360" w:lineRule="auto"/>
              <w:jc w:val="left"/>
              <w:rPr>
                <w:rFonts w:ascii="宋体" w:hAnsi="宋体" w:cs="宋体"/>
                <w:color w:val="000000"/>
              </w:rPr>
            </w:pPr>
            <w:r>
              <w:rPr>
                <w:rFonts w:hint="eastAsia" w:ascii="宋体" w:hAnsi="宋体" w:cs="宋体"/>
                <w:bCs/>
              </w:rPr>
              <w:t>1.</w:t>
            </w:r>
            <w:r>
              <w:rPr>
                <w:rFonts w:hint="eastAsia" w:ascii="宋体" w:hAnsi="宋体" w:cs="宋体"/>
                <w:color w:val="000000"/>
              </w:rPr>
              <w:t>谈判单位须为具有独立法人资格、自主经营、独立核算的公司。</w:t>
            </w:r>
          </w:p>
          <w:p>
            <w:pPr>
              <w:spacing w:line="360" w:lineRule="auto"/>
              <w:jc w:val="left"/>
              <w:rPr>
                <w:rFonts w:ascii="宋体" w:hAnsi="宋体" w:cs="宋体"/>
                <w:bCs/>
              </w:rPr>
            </w:pPr>
            <w:r>
              <w:rPr>
                <w:rFonts w:hint="eastAsia" w:ascii="宋体" w:hAnsi="宋体" w:cs="宋体"/>
                <w:bCs/>
              </w:rPr>
              <w:t>2.谈判单位在本项目投标截止之日前36个月内有至少1个成功取得地级市及以上等级政府质量奖卓越绩效管理体系服务（政府质量奖卓越绩效管理体系服务指卓越绩效导入或创奖咨询服务）等类似项目业绩。不接受联合体业绩、港澳台或境外业绩。</w:t>
            </w:r>
          </w:p>
          <w:p>
            <w:pPr>
              <w:spacing w:line="360" w:lineRule="auto"/>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rPr>
                <w:rFonts w:ascii="宋体" w:hAnsi="宋体" w:cs="宋体"/>
              </w:rPr>
            </w:pPr>
            <w:r>
              <w:rPr>
                <w:rFonts w:hint="eastAsia" w:ascii="宋体" w:hAnsi="宋体" w:cs="宋体"/>
              </w:rPr>
              <w:t>3.本次谈判不接受联合体形式参与谈判。</w:t>
            </w:r>
          </w:p>
          <w:p>
            <w:pPr>
              <w:spacing w:line="360" w:lineRule="auto"/>
              <w:rPr>
                <w:rFonts w:cs="宋体" w:asciiTheme="minorEastAsia" w:hAnsiTheme="minorEastAsia" w:eastAsiaTheme="minorEastAsia"/>
                <w:szCs w:val="21"/>
              </w:rPr>
            </w:pPr>
            <w:r>
              <w:rPr>
                <w:rFonts w:hint="eastAsia" w:ascii="宋体" w:hAnsi="宋体" w:cs="宋体"/>
              </w:rPr>
              <w:t>4.被长沙市轨道交通集团函告禁止在一定期限内参与轨道公司项目投标或谈判的单位按函告内容执行。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hAnsi="宋体"/>
              </w:rPr>
              <w:t>2020年</w:t>
            </w:r>
            <w:r>
              <w:rPr>
                <w:rFonts w:hint="eastAsia" w:hAnsi="宋体"/>
                <w:lang w:val="en-US" w:eastAsia="zh-CN"/>
              </w:rPr>
              <w:t>7</w:t>
            </w:r>
            <w:r>
              <w:rPr>
                <w:rFonts w:hint="eastAsia" w:hAnsi="宋体"/>
              </w:rPr>
              <w:t>月</w:t>
            </w:r>
            <w:r>
              <w:rPr>
                <w:rFonts w:hint="eastAsia" w:hAnsi="宋体"/>
                <w:lang w:val="en-US" w:eastAsia="zh-CN"/>
              </w:rPr>
              <w:t>8</w:t>
            </w:r>
            <w:r>
              <w:rPr>
                <w:rFonts w:hint="eastAsia" w:hAnsi="宋体"/>
              </w:rPr>
              <w:t>日</w:t>
            </w:r>
            <w:r>
              <w:rPr>
                <w:rFonts w:hint="eastAsia" w:cs="宋体" w:asciiTheme="minorEastAsia" w:hAnsiTheme="minorEastAsia" w:eastAsiaTheme="minorEastAsia"/>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6"/>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iCs/>
              </w:rPr>
              <w:t>谈判答疑文件应以书面形式递交至湖南创迪工程管理咨询有限公司（长沙市开福区芙蓉中路一段469号新闻大厦8楼D座）。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ascii="宋体" w:hAnsi="宋体"/>
                <w:bCs/>
                <w:szCs w:val="21"/>
              </w:rPr>
              <w:t>2020</w:t>
            </w:r>
            <w:r>
              <w:rPr>
                <w:rFonts w:ascii="宋体" w:hAnsi="宋体"/>
                <w:bCs/>
                <w:szCs w:val="21"/>
              </w:rPr>
              <w:t>年</w:t>
            </w:r>
            <w:r>
              <w:rPr>
                <w:rFonts w:hint="eastAsia" w:ascii="宋体" w:hAnsi="宋体"/>
                <w:bCs/>
                <w:szCs w:val="21"/>
                <w:lang w:val="en-US" w:eastAsia="zh-CN"/>
              </w:rPr>
              <w:t>7</w:t>
            </w:r>
            <w:r>
              <w:rPr>
                <w:rFonts w:ascii="宋体" w:hAnsi="宋体"/>
                <w:bCs/>
                <w:szCs w:val="21"/>
              </w:rPr>
              <w:t>月</w:t>
            </w:r>
            <w:r>
              <w:rPr>
                <w:rFonts w:hint="eastAsia" w:ascii="宋体" w:hAnsi="宋体"/>
                <w:bCs/>
                <w:szCs w:val="21"/>
                <w:lang w:val="en-US" w:eastAsia="zh-CN"/>
              </w:rPr>
              <w:t>15</w:t>
            </w:r>
            <w:r>
              <w:rPr>
                <w:rFonts w:ascii="宋体" w:hAnsi="宋体"/>
                <w:bCs/>
                <w:szCs w:val="21"/>
              </w:rPr>
              <w:t>日</w:t>
            </w:r>
            <w:r>
              <w:rPr>
                <w:rFonts w:hint="eastAsia" w:cs="宋体" w:asciiTheme="minorEastAsia" w:hAnsiTheme="minorEastAsia" w:eastAsiaTheme="minorEastAsia"/>
              </w:rPr>
              <w:t>14时30分(北京时间)</w:t>
            </w:r>
            <w:bookmarkStart w:id="74" w:name="_GoBack"/>
            <w:bookmarkEnd w:id="7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iCs/>
                <w:szCs w:val="21"/>
              </w:rPr>
              <w:t>长沙市轨道交通运营有限公司劳动东路二段48号黄兴车辆段综合楼910室。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highlight w:val="none"/>
              </w:rPr>
              <w:t>价格承包内容</w:t>
            </w:r>
          </w:p>
        </w:tc>
        <w:tc>
          <w:tcPr>
            <w:tcW w:w="7510" w:type="dxa"/>
            <w:vAlign w:val="center"/>
          </w:tcPr>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szCs w:val="21"/>
              </w:rPr>
              <w:t>本项目采用总价合同方式</w:t>
            </w:r>
            <w:r>
              <w:rPr>
                <w:rFonts w:hint="eastAsia" w:cs="宋体" w:asciiTheme="minorEastAsia" w:hAnsiTheme="minorEastAsia" w:eastAsiaTheme="minorEastAsia"/>
                <w:szCs w:val="21"/>
                <w:lang w:val="en-US" w:eastAsia="zh-CN"/>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highlight w:val="none"/>
              </w:rPr>
              <w:t>项目支付方式</w:t>
            </w:r>
          </w:p>
        </w:tc>
        <w:tc>
          <w:tcPr>
            <w:tcW w:w="7510" w:type="dxa"/>
            <w:vAlign w:val="center"/>
          </w:tcPr>
          <w:p>
            <w:pPr>
              <w:spacing w:line="360" w:lineRule="auto"/>
              <w:rPr>
                <w:rFonts w:hint="eastAsia" w:ascii="宋体" w:hAnsi="宋体" w:cs="宋体"/>
                <w:color w:val="000000"/>
              </w:rPr>
            </w:pPr>
            <w:r>
              <w:rPr>
                <w:rFonts w:hint="eastAsia" w:ascii="宋体" w:hAnsi="宋体" w:cs="宋体"/>
                <w:color w:val="000000"/>
              </w:rPr>
              <w:t>1.2020年长沙市长质量奖评选活动结果出具后，甲方获得长沙市长质量奖项的，则甲方向乙方支付的合同款项为：按合同总价的100%并在依据考核结果后计算出的金额。甲方在收到乙方提交经甲方审批同意的支付申请及增值税专用税务发票、有效期内的履约担保复印件等相关资料后，于28个工作日内向乙方付款。</w:t>
            </w:r>
          </w:p>
          <w:p>
            <w:pPr>
              <w:spacing w:line="360" w:lineRule="auto"/>
              <w:rPr>
                <w:rFonts w:hint="eastAsia" w:ascii="宋体" w:hAnsi="宋体" w:cs="宋体"/>
                <w:color w:val="000000"/>
              </w:rPr>
            </w:pPr>
            <w:r>
              <w:rPr>
                <w:rFonts w:hint="eastAsia" w:ascii="宋体" w:hAnsi="宋体" w:cs="宋体"/>
                <w:color w:val="000000"/>
              </w:rPr>
              <w:t>2.2020年长沙市长质量奖评选活动结果确认后，甲方未获得长沙市长质量奖项的，则本合同付款周期顺延至下一届长沙市长质量奖评选活动评选结果出具后支付，支付标准为：</w:t>
            </w:r>
          </w:p>
          <w:p>
            <w:pPr>
              <w:spacing w:line="360" w:lineRule="auto"/>
              <w:rPr>
                <w:rFonts w:hint="eastAsia" w:ascii="宋体" w:hAnsi="宋体" w:cs="宋体"/>
                <w:color w:val="000000"/>
              </w:rPr>
            </w:pPr>
            <w:r>
              <w:rPr>
                <w:rFonts w:hint="eastAsia" w:ascii="宋体" w:hAnsi="宋体" w:cs="宋体"/>
                <w:color w:val="000000"/>
              </w:rPr>
              <w:t>（1）甲方获得长沙市长质量奖项的，则甲方向乙方支付的合同款项为：按合同总价的100%并在依据考核结果后计算出的金额。甲方在收到乙方提交经甲方审批同意的支付申请及增值税专用税务发票、有效期内的履约担保复印件等相关资料后，于28个工作日内向乙方付款。</w:t>
            </w:r>
          </w:p>
          <w:p>
            <w:pPr>
              <w:spacing w:line="360" w:lineRule="auto"/>
              <w:rPr>
                <w:rFonts w:cs="宋体" w:asciiTheme="minorEastAsia" w:hAnsiTheme="minorEastAsia" w:eastAsiaTheme="minorEastAsia"/>
                <w:color w:val="000000"/>
              </w:rPr>
            </w:pPr>
            <w:r>
              <w:rPr>
                <w:rFonts w:hint="eastAsia" w:ascii="宋体" w:hAnsi="宋体" w:cs="宋体"/>
                <w:color w:val="000000"/>
              </w:rPr>
              <w:t>（2）甲方未获得长沙市长质量奖项的，则甲方向乙方支付的合同款项为：合同总价的10%。甲方在收到乙方提交经甲方审批同意的支付申请及增值税专用税务发票、有效期内的履约担保复印件等相关资料后，于28个工作日内向乙方付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5"/>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5"/>
        <w:keepNext w:val="0"/>
        <w:keepLines w:val="0"/>
        <w:ind w:firstLine="643" w:firstLineChars="200"/>
        <w:jc w:val="center"/>
        <w:rPr>
          <w:rFonts w:cs="宋体" w:asciiTheme="minorEastAsia" w:hAnsiTheme="minorEastAsia" w:eastAsiaTheme="minorEastAsia"/>
          <w:sz w:val="32"/>
        </w:rPr>
      </w:pPr>
      <w:bookmarkStart w:id="10" w:name="_Toc934"/>
      <w:r>
        <w:rPr>
          <w:rFonts w:hint="eastAsia" w:cs="宋体" w:asciiTheme="minorEastAsia" w:hAnsiTheme="minorEastAsia" w:eastAsiaTheme="minorEastAsia"/>
          <w:sz w:val="32"/>
        </w:rPr>
        <w:t>谈判须知正文</w:t>
      </w:r>
      <w:bookmarkEnd w:id="10"/>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1" w:name="_Toc11459"/>
      <w:r>
        <w:rPr>
          <w:rFonts w:hint="eastAsia" w:asciiTheme="minorEastAsia" w:hAnsiTheme="minorEastAsia" w:eastAsiaTheme="minorEastAsia"/>
          <w:b/>
          <w:iCs/>
        </w:rPr>
        <w:t>一、说明</w:t>
      </w:r>
      <w:bookmarkEnd w:id="11"/>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6"/>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2" w:name="_Toc4016"/>
      <w:r>
        <w:rPr>
          <w:rFonts w:hint="eastAsia" w:asciiTheme="minorEastAsia" w:hAnsiTheme="minorEastAsia" w:eastAsiaTheme="minorEastAsia"/>
          <w:b/>
          <w:iCs/>
        </w:rPr>
        <w:t>二、谈判文件</w:t>
      </w:r>
      <w:bookmarkEnd w:id="12"/>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3" w:name="_Toc32270"/>
      <w:r>
        <w:rPr>
          <w:rFonts w:hint="eastAsia" w:asciiTheme="minorEastAsia" w:hAnsiTheme="minorEastAsia" w:eastAsiaTheme="minorEastAsia"/>
          <w:b/>
          <w:iCs/>
        </w:rPr>
        <w:t>三、响应文件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6"/>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（5）服务方案</w:t>
      </w:r>
    </w:p>
    <w:p>
      <w:pPr>
        <w:pStyle w:val="26"/>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（6）报价一览表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（7）其他资料（如有）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highlight w:val="none"/>
        </w:rPr>
        <w:t>单位在</w:t>
      </w:r>
      <w:r>
        <w:rPr>
          <w:rFonts w:hint="eastAsia" w:asciiTheme="minorEastAsia" w:hAnsiTheme="minorEastAsia" w:eastAsiaTheme="minorEastAsia"/>
          <w:szCs w:val="21"/>
          <w:highlight w:val="none"/>
        </w:rPr>
        <w:t>谈判</w:t>
      </w:r>
      <w:r>
        <w:rPr>
          <w:rFonts w:asciiTheme="minorEastAsia" w:hAnsiTheme="minorEastAsia" w:eastAsiaTheme="minorEastAsia"/>
          <w:szCs w:val="21"/>
          <w:highlight w:val="none"/>
        </w:rPr>
        <w:t>截止时间前修改</w:t>
      </w:r>
      <w:r>
        <w:rPr>
          <w:rFonts w:hint="eastAsia" w:asciiTheme="minorEastAsia" w:hAnsiTheme="minorEastAsia" w:eastAsiaTheme="minorEastAsia"/>
          <w:szCs w:val="21"/>
          <w:highlight w:val="none"/>
        </w:rPr>
        <w:t>报价文件</w:t>
      </w:r>
      <w:r>
        <w:rPr>
          <w:rFonts w:asciiTheme="minorEastAsia" w:hAnsiTheme="minorEastAsia" w:eastAsiaTheme="minorEastAsia"/>
          <w:szCs w:val="21"/>
          <w:highlight w:val="none"/>
        </w:rPr>
        <w:t>中的</w:t>
      </w:r>
      <w:r>
        <w:rPr>
          <w:rFonts w:hint="eastAsia" w:asciiTheme="minorEastAsia" w:hAnsiTheme="minorEastAsia" w:eastAsiaTheme="minorEastAsia"/>
          <w:szCs w:val="21"/>
          <w:highlight w:val="none"/>
        </w:rPr>
        <w:t>谈判总</w:t>
      </w:r>
      <w:r>
        <w:rPr>
          <w:rFonts w:asciiTheme="minorEastAsia" w:hAnsiTheme="minorEastAsia" w:eastAsiaTheme="minorEastAsia"/>
          <w:szCs w:val="21"/>
          <w:highlight w:val="none"/>
        </w:rPr>
        <w:t>报价，应同时修改</w:t>
      </w:r>
      <w:r>
        <w:rPr>
          <w:rFonts w:hint="eastAsia" w:asciiTheme="minorEastAsia" w:hAnsiTheme="minorEastAsia" w:eastAsiaTheme="minorEastAsia"/>
          <w:szCs w:val="21"/>
          <w:highlight w:val="none"/>
        </w:rPr>
        <w:t>报价</w:t>
      </w:r>
      <w:r>
        <w:rPr>
          <w:rFonts w:asciiTheme="minorEastAsia" w:hAnsiTheme="minorEastAsia" w:eastAsiaTheme="minorEastAsia"/>
          <w:szCs w:val="21"/>
          <w:highlight w:val="none"/>
        </w:rPr>
        <w:t>文件</w:t>
      </w:r>
      <w:r>
        <w:rPr>
          <w:rFonts w:hint="eastAsia" w:asciiTheme="minorEastAsia" w:hAnsiTheme="minorEastAsia" w:eastAsiaTheme="minorEastAsia"/>
          <w:szCs w:val="21"/>
          <w:highlight w:val="none"/>
        </w:rPr>
        <w:t>《报价一览表》和《分项价格表》</w:t>
      </w:r>
      <w:r>
        <w:rPr>
          <w:rFonts w:asciiTheme="minorEastAsia" w:hAnsiTheme="minorEastAsia" w:eastAsiaTheme="minorEastAsia"/>
          <w:szCs w:val="21"/>
          <w:highlight w:val="none"/>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12.8本项目采用总价方式</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合同价格包括在维保过程中所需的管理费、利润、税金等一切费用。在项目实施中出现任何遗漏，均由乙方免费提供，甲方不再支付任何费用。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4" w:name="_Toc6070"/>
      <w:r>
        <w:rPr>
          <w:rFonts w:hint="eastAsia" w:asciiTheme="minorEastAsia" w:hAnsiTheme="minorEastAsia" w:eastAsiaTheme="minorEastAsia"/>
          <w:b/>
          <w:iCs/>
        </w:rPr>
        <w:t>四、响应文件的递交</w:t>
      </w:r>
      <w:bookmarkEnd w:id="14"/>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5" w:name="_Toc24040"/>
      <w:r>
        <w:rPr>
          <w:rFonts w:hint="eastAsia" w:asciiTheme="minorEastAsia" w:hAnsiTheme="minorEastAsia" w:eastAsiaTheme="minorEastAsia"/>
          <w:b/>
          <w:iCs/>
        </w:rPr>
        <w:t>五、响应文件的评审</w:t>
      </w:r>
      <w:bookmarkEnd w:id="15"/>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6" w:name="_Toc19842"/>
      <w:r>
        <w:rPr>
          <w:rFonts w:hint="eastAsia" w:asciiTheme="minorEastAsia" w:hAnsiTheme="minorEastAsia" w:eastAsiaTheme="minorEastAsia"/>
          <w:b/>
          <w:iCs/>
        </w:rPr>
        <w:t>六、响应文件的澄清、说明及补正</w:t>
      </w:r>
      <w:bookmarkEnd w:id="16"/>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20.3与谈判文件有重大偏离的响应文件将被拒绝。重大偏离指谈判总报价、谈判有效期、服务期/供货期/施工工期明显不能满足谈判文件的要求。这些偏离不允许在响应文件递交截止时间之后修正。</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7" w:name="_Toc1303"/>
      <w:r>
        <w:rPr>
          <w:rFonts w:hint="eastAsia" w:asciiTheme="minorEastAsia" w:hAnsiTheme="minorEastAsia" w:eastAsiaTheme="minorEastAsia"/>
          <w:b/>
          <w:iCs/>
        </w:rPr>
        <w:t>七、中选结果与授予合同</w:t>
      </w:r>
      <w:bookmarkEnd w:id="17"/>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6"/>
        <w:adjustRightInd w:val="0"/>
        <w:snapToGrid w:val="0"/>
        <w:spacing w:line="360" w:lineRule="auto"/>
        <w:ind w:left="420" w:leftChars="200" w:firstLine="0" w:firstLineChars="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8" w:name="page32"/>
      <w:bookmarkEnd w:id="18"/>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6"/>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6"/>
        <w:adjustRightInd w:val="0"/>
        <w:snapToGrid w:val="0"/>
        <w:spacing w:line="360" w:lineRule="auto"/>
        <w:ind w:firstLine="420" w:firstLineChars="200"/>
        <w:outlineLvl w:val="1"/>
        <w:rPr>
          <w:rFonts w:cs="宋体" w:asciiTheme="minorEastAsia" w:hAnsiTheme="minorEastAsia" w:eastAsiaTheme="minorEastAsia"/>
        </w:rPr>
      </w:pPr>
      <w:bookmarkStart w:id="19" w:name="_Toc9305"/>
      <w:r>
        <w:rPr>
          <w:rFonts w:hint="eastAsia" w:cs="宋体" w:asciiTheme="minorEastAsia" w:hAnsiTheme="minorEastAsia" w:eastAsiaTheme="minorEastAsia"/>
        </w:rPr>
        <w:t>八、</w:t>
      </w:r>
      <w:r>
        <w:rPr>
          <w:rFonts w:hint="eastAsia" w:asciiTheme="minorEastAsia" w:hAnsiTheme="minorEastAsia" w:eastAsiaTheme="minorEastAsia"/>
          <w:b/>
          <w:iCs/>
        </w:rPr>
        <w:t>其他</w:t>
      </w:r>
      <w:bookmarkEnd w:id="19"/>
    </w:p>
    <w:p>
      <w:pPr>
        <w:adjustRightInd w:val="0"/>
        <w:snapToGrid w:val="0"/>
        <w:spacing w:line="360" w:lineRule="auto"/>
        <w:ind w:firstLine="420" w:firstLineChars="200"/>
        <w:rPr>
          <w:rFonts w:asciiTheme="minorEastAsia" w:hAnsiTheme="minorEastAsia" w:eastAsiaTheme="minorEastAsia"/>
        </w:rPr>
        <w:sectPr>
          <w:pgSz w:w="12240" w:h="15840"/>
          <w:pgMar w:top="1440" w:right="1800" w:bottom="1440" w:left="1800" w:header="720" w:footer="720" w:gutter="0"/>
          <w:cols w:space="720" w:num="1"/>
          <w:titlePg/>
          <w:docGrid w:type="lines" w:linePitch="323" w:charSpace="0"/>
        </w:sect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4"/>
        <w:keepNext w:val="0"/>
        <w:spacing w:line="360" w:lineRule="auto"/>
        <w:ind w:firstLine="643" w:firstLineChars="200"/>
        <w:rPr>
          <w:rFonts w:cs="宋体" w:asciiTheme="minorEastAsia" w:hAnsiTheme="minorEastAsia" w:eastAsiaTheme="minorEastAsia"/>
          <w:bCs w:val="0"/>
          <w:sz w:val="32"/>
          <w:szCs w:val="32"/>
        </w:rPr>
      </w:pPr>
      <w:bookmarkStart w:id="20" w:name="_Toc10493"/>
      <w:r>
        <w:rPr>
          <w:rFonts w:hint="eastAsia" w:cs="宋体" w:asciiTheme="minorEastAsia" w:hAnsiTheme="minorEastAsia" w:eastAsiaTheme="minorEastAsia"/>
          <w:bCs w:val="0"/>
          <w:sz w:val="32"/>
          <w:szCs w:val="32"/>
        </w:rPr>
        <w:t>第三章 评审办法及标准</w:t>
      </w:r>
      <w:bookmarkEnd w:id="20"/>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1" w:name="_Toc5767"/>
      <w:r>
        <w:rPr>
          <w:rFonts w:hint="eastAsia" w:cs="宋体" w:asciiTheme="minorEastAsia" w:hAnsiTheme="minorEastAsia" w:eastAsiaTheme="minorEastAsia"/>
          <w:b/>
        </w:rPr>
        <w:t>一、评审办法</w:t>
      </w:r>
      <w:bookmarkEnd w:id="21"/>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2" w:name="_Toc13176"/>
      <w:r>
        <w:rPr>
          <w:rFonts w:hint="eastAsia" w:cs="宋体" w:asciiTheme="minorEastAsia" w:hAnsiTheme="minorEastAsia" w:eastAsiaTheme="minorEastAsia"/>
          <w:b/>
        </w:rPr>
        <w:t>二、谈判程序</w:t>
      </w:r>
      <w:bookmarkEnd w:id="22"/>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3" w:name="_Toc25638"/>
      <w:r>
        <w:rPr>
          <w:rFonts w:hint="eastAsia" w:cs="宋体" w:asciiTheme="minorEastAsia" w:hAnsiTheme="minorEastAsia" w:eastAsiaTheme="minorEastAsia"/>
          <w:b/>
          <w:szCs w:val="21"/>
        </w:rPr>
        <w:t>三、谈判验证阶段</w:t>
      </w:r>
      <w:bookmarkEnd w:id="23"/>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4" w:name="_Toc21262"/>
      <w:r>
        <w:rPr>
          <w:rFonts w:hint="eastAsia" w:cs="宋体" w:asciiTheme="minorEastAsia" w:hAnsiTheme="minorEastAsia" w:eastAsiaTheme="minorEastAsia"/>
          <w:b/>
          <w:szCs w:val="21"/>
        </w:rPr>
        <w:t>四、谈判评审阶段</w:t>
      </w:r>
      <w:bookmarkEnd w:id="24"/>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（3）未带营业执照副本原件/未带加盖谈判单位公章的营业执照副本复印件的。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（6）超过</w:t>
      </w:r>
      <w:r>
        <w:rPr>
          <w:rFonts w:hint="eastAsia" w:ascii="宋体" w:hAnsi="宋体"/>
          <w:szCs w:val="21"/>
        </w:rPr>
        <w:t>最高投标限价的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4"/>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5" w:name="_Toc32047"/>
      <w:r>
        <w:rPr>
          <w:rFonts w:hint="eastAsia" w:cs="宋体" w:asciiTheme="minorEastAsia" w:hAnsiTheme="minorEastAsia" w:eastAsiaTheme="minorEastAsia"/>
          <w:bCs w:val="0"/>
          <w:sz w:val="32"/>
          <w:szCs w:val="32"/>
        </w:rPr>
        <w:t>用户需求书</w:t>
      </w:r>
      <w:bookmarkStart w:id="26" w:name="_Toc4401260"/>
      <w:bookmarkStart w:id="27" w:name="_Toc5975439"/>
      <w:bookmarkStart w:id="28" w:name="_Toc8303500"/>
      <w:r>
        <w:rPr>
          <w:rFonts w:hint="eastAsia" w:cs="宋体" w:asciiTheme="minorEastAsia" w:hAnsiTheme="minorEastAsia" w:eastAsiaTheme="minorEastAsia"/>
          <w:bCs w:val="0"/>
          <w:sz w:val="32"/>
          <w:szCs w:val="32"/>
        </w:rPr>
        <w:t>（另册）</w:t>
      </w:r>
      <w:bookmarkEnd w:id="25"/>
    </w:p>
    <w:bookmarkEnd w:id="26"/>
    <w:bookmarkEnd w:id="27"/>
    <w:bookmarkEnd w:id="28"/>
    <w:p>
      <w:pPr>
        <w:pStyle w:val="4"/>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29" w:name="_Toc27955"/>
      <w:r>
        <w:rPr>
          <w:rFonts w:hint="eastAsia" w:cs="宋体" w:asciiTheme="minorEastAsia" w:hAnsiTheme="minorEastAsia" w:eastAsiaTheme="minorEastAsia"/>
          <w:bCs w:val="0"/>
          <w:sz w:val="32"/>
          <w:szCs w:val="32"/>
        </w:rPr>
        <w:t>第五章  合同格式条款</w:t>
      </w:r>
      <w:bookmarkEnd w:id="29"/>
    </w:p>
    <w:p>
      <w:pPr>
        <w:spacing w:line="360" w:lineRule="auto"/>
        <w:jc w:val="right"/>
        <w:rPr>
          <w:rFonts w:cs="仿宋" w:asciiTheme="minorEastAsia" w:hAnsiTheme="minorEastAsia" w:eastAsiaTheme="minorEastAsia"/>
          <w:b/>
          <w:sz w:val="24"/>
        </w:rPr>
      </w:pPr>
    </w:p>
    <w:p>
      <w:pPr>
        <w:adjustRightInd w:val="0"/>
        <w:snapToGrid w:val="0"/>
        <w:spacing w:line="400" w:lineRule="exact"/>
        <w:ind w:firstLine="2880" w:firstLineChars="1200"/>
        <w:jc w:val="right"/>
        <w:rPr>
          <w:rFonts w:ascii="仿宋" w:hAnsi="仿宋" w:eastAsia="仿宋"/>
          <w:sz w:val="22"/>
          <w:szCs w:val="18"/>
        </w:rPr>
      </w:pPr>
      <w:r>
        <w:rPr>
          <w:rFonts w:hint="eastAsia" w:ascii="仿宋_GB2312" w:hAnsi="仿宋_GB2312" w:eastAsia="仿宋_GB2312" w:cs="仿宋_GB2312"/>
          <w:sz w:val="24"/>
        </w:rPr>
        <w:t>合同编号:长轨运</w:t>
      </w:r>
      <w:r>
        <w:rPr>
          <w:rFonts w:hint="eastAsia" w:ascii="仿宋_GB2312" w:hAnsi="仿宋_GB2312" w:cs="仿宋_GB2312"/>
          <w:sz w:val="24"/>
          <w:u w:val="single"/>
        </w:rPr>
        <w:t xml:space="preserve">   </w:t>
      </w:r>
      <w:r>
        <w:rPr>
          <w:rFonts w:hint="eastAsia" w:ascii="仿宋_GB2312" w:hAnsi="仿宋_GB2312" w:cs="仿宋_GB2312"/>
          <w:sz w:val="24"/>
        </w:rPr>
        <w:t>服</w:t>
      </w:r>
      <w:r>
        <w:rPr>
          <w:rFonts w:hint="eastAsia" w:ascii="仿宋_GB2312" w:hAnsi="仿宋_GB2312" w:eastAsia="仿宋_GB2312" w:cs="仿宋_GB2312"/>
          <w:sz w:val="24"/>
        </w:rPr>
        <w:t>合[2020]</w:t>
      </w:r>
      <w:r>
        <w:rPr>
          <w:rFonts w:hint="eastAsia" w:ascii="仿宋_GB2312" w:hAnsi="仿宋_GB2312" w:cs="仿宋_GB2312"/>
          <w:sz w:val="24"/>
          <w:u w:val="single"/>
        </w:rPr>
        <w:t xml:space="preserve">   </w:t>
      </w:r>
      <w:r>
        <w:rPr>
          <w:rFonts w:hint="eastAsia" w:ascii="仿宋_GB2312" w:hAnsi="仿宋_GB2312" w:eastAsia="仿宋_GB2312" w:cs="仿宋_GB2312"/>
          <w:sz w:val="24"/>
        </w:rPr>
        <w:t>号</w:t>
      </w: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20"/>
          <w:sz w:val="52"/>
          <w:szCs w:val="52"/>
        </w:rPr>
        <w:t>服务项目合同</w:t>
      </w:r>
      <w:r>
        <w:rPr>
          <w:rFonts w:hint="eastAsia" w:ascii="仿宋_GB2312" w:hAnsi="仿宋_GB2312" w:eastAsia="仿宋_GB2312" w:cs="仿宋_GB2312"/>
          <w:b/>
          <w:spacing w:val="20"/>
          <w:sz w:val="48"/>
          <w:szCs w:val="48"/>
        </w:rPr>
        <w:t xml:space="preserve"> </w:t>
      </w: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 xml:space="preserve">         </w:t>
      </w: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adjustRightInd w:val="0"/>
        <w:snapToGrid w:val="0"/>
        <w:spacing w:before="161" w:beforeLines="50"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before="161" w:beforeLines="50" w:line="40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snapToGrid w:val="0"/>
        <w:spacing w:line="400" w:lineRule="exact"/>
        <w:jc w:val="center"/>
        <w:rPr>
          <w:rFonts w:hint="eastAsia" w:ascii="仿宋_GB2312" w:hAnsi="宋体" w:eastAsia="仿宋_GB2312" w:cs="仿宋_GB2312"/>
          <w:b/>
          <w:bCs/>
          <w:sz w:val="24"/>
          <w:lang w:bidi="ar"/>
        </w:rPr>
      </w:pPr>
      <w:r>
        <w:rPr>
          <w:rFonts w:hint="eastAsia" w:ascii="仿宋_GB2312" w:hAnsi="宋体" w:eastAsia="仿宋_GB2312" w:cs="仿宋_GB2312"/>
          <w:b/>
          <w:bCs/>
          <w:sz w:val="24"/>
          <w:lang w:bidi="ar"/>
        </w:rPr>
        <w:br w:type="page"/>
      </w:r>
      <w:r>
        <w:rPr>
          <w:rFonts w:hint="eastAsia" w:ascii="仿宋_GB2312" w:hAnsi="宋体" w:eastAsia="仿宋_GB2312" w:cs="仿宋_GB2312"/>
          <w:b/>
          <w:bCs/>
          <w:sz w:val="24"/>
          <w:lang w:bidi="ar"/>
        </w:rPr>
        <w:t>第一部分  合同协议书</w:t>
      </w:r>
    </w:p>
    <w:p>
      <w:pPr>
        <w:snapToGrid w:val="0"/>
        <w:spacing w:line="400" w:lineRule="exact"/>
        <w:rPr>
          <w:rFonts w:hint="eastAsia" w:ascii="仿宋_GB2312" w:hAnsi="宋体" w:eastAsia="仿宋_GB2312" w:cs="仿宋_GB2312"/>
          <w:sz w:val="24"/>
          <w:u w:val="single"/>
        </w:rPr>
      </w:pPr>
      <w:r>
        <w:rPr>
          <w:rFonts w:hint="eastAsia" w:ascii="仿宋_GB2312" w:hAnsi="宋体" w:eastAsia="仿宋_GB2312" w:cs="仿宋_GB2312"/>
          <w:sz w:val="24"/>
          <w:lang w:bidi="ar"/>
        </w:rPr>
        <w:t>甲方（委托方）：</w:t>
      </w:r>
      <w:r>
        <w:rPr>
          <w:rFonts w:hint="eastAsia" w:ascii="仿宋_GB2312" w:hAnsi="宋体" w:eastAsia="仿宋_GB2312" w:cs="仿宋_GB2312"/>
          <w:sz w:val="24"/>
          <w:u w:val="single"/>
          <w:lang w:bidi="ar"/>
        </w:rPr>
        <w:t xml:space="preserve">                     </w:t>
      </w:r>
    </w:p>
    <w:p>
      <w:pPr>
        <w:snapToGrid w:val="0"/>
        <w:spacing w:line="400" w:lineRule="exact"/>
        <w:rPr>
          <w:rFonts w:hint="eastAsia" w:ascii="仿宋_GB2312" w:hAnsi="宋体" w:eastAsia="仿宋_GB2312" w:cs="仿宋_GB2312"/>
          <w:sz w:val="24"/>
        </w:rPr>
      </w:pPr>
      <w:r>
        <w:rPr>
          <w:rFonts w:hint="eastAsia" w:ascii="仿宋_GB2312" w:hAnsi="宋体" w:eastAsia="仿宋_GB2312" w:cs="仿宋_GB2312"/>
          <w:sz w:val="24"/>
          <w:lang w:bidi="ar"/>
        </w:rPr>
        <w:t>乙方（受托方）：</w:t>
      </w:r>
      <w:r>
        <w:rPr>
          <w:rFonts w:hint="eastAsia" w:ascii="仿宋_GB2312" w:hAnsi="宋体" w:eastAsia="仿宋_GB2312" w:cs="仿宋_GB2312"/>
          <w:sz w:val="24"/>
          <w:u w:val="single"/>
          <w:lang w:bidi="ar"/>
        </w:rPr>
        <w:t xml:space="preserve">                      </w:t>
      </w:r>
    </w:p>
    <w:p>
      <w:pPr>
        <w:adjustRightInd w:val="0"/>
        <w:snapToGrid w:val="0"/>
        <w:spacing w:line="400" w:lineRule="exact"/>
        <w:ind w:firstLine="484" w:firstLineChars="202"/>
        <w:rPr>
          <w:rFonts w:hint="eastAsia" w:ascii="仿宋_GB2312" w:hAnsi="宋体" w:eastAsia="仿宋_GB2312" w:cs="仿宋_GB2312"/>
          <w:sz w:val="24"/>
        </w:rPr>
      </w:pPr>
      <w:r>
        <w:rPr>
          <w:rFonts w:hint="eastAsia" w:ascii="仿宋_GB2312" w:hAnsi="宋体" w:eastAsia="仿宋_GB2312" w:cs="宋体"/>
          <w:sz w:val="24"/>
        </w:rPr>
        <w:t xml:space="preserve">本合同于 </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年</w:t>
      </w:r>
      <w:r>
        <w:rPr>
          <w:rFonts w:hint="eastAsia" w:ascii="仿宋_GB2312" w:hAnsi="宋体" w:eastAsia="仿宋_GB2312" w:cs="宋体"/>
          <w:sz w:val="24"/>
          <w:u w:val="single"/>
        </w:rPr>
        <w:t xml:space="preserve">    </w:t>
      </w:r>
      <w:r>
        <w:rPr>
          <w:rFonts w:hint="eastAsia" w:ascii="仿宋_GB2312" w:hAnsi="宋体" w:eastAsia="仿宋_GB2312" w:cs="宋体"/>
          <w:sz w:val="24"/>
        </w:rPr>
        <w:t>月</w:t>
      </w:r>
      <w:r>
        <w:rPr>
          <w:rFonts w:hint="eastAsia" w:ascii="仿宋_GB2312" w:hAnsi="宋体" w:eastAsia="仿宋_GB2312" w:cs="宋体"/>
          <w:sz w:val="24"/>
          <w:u w:val="single"/>
        </w:rPr>
        <w:t xml:space="preserve">    </w:t>
      </w:r>
      <w:r>
        <w:rPr>
          <w:rFonts w:hint="eastAsia" w:ascii="仿宋_GB2312" w:hAnsi="宋体" w:eastAsia="仿宋_GB2312" w:cs="宋体"/>
          <w:sz w:val="24"/>
        </w:rPr>
        <w:t>日由</w:t>
      </w:r>
      <w:r>
        <w:rPr>
          <w:rFonts w:hint="eastAsia" w:ascii="仿宋_GB2312" w:hAnsi="仿宋" w:eastAsia="仿宋_GB2312" w:cs="仿宋"/>
          <w:sz w:val="24"/>
        </w:rPr>
        <w:t>甲乙双方根据《中华人民共和国合同法》及有关法律、法规，遵循平等、自愿、公平和诚实信用原则，经双方协商一致</w:t>
      </w:r>
      <w:r>
        <w:rPr>
          <w:rFonts w:hint="eastAsia" w:ascii="仿宋_GB2312" w:hAnsi="宋体" w:eastAsia="仿宋_GB2312" w:cs="仿宋_GB2312"/>
          <w:sz w:val="24"/>
          <w:lang w:bidi="ar"/>
        </w:rPr>
        <w:t>，</w:t>
      </w:r>
      <w:r>
        <w:rPr>
          <w:rFonts w:hint="eastAsia" w:ascii="仿宋_GB2312" w:hAnsi="宋体" w:eastAsia="仿宋_GB2312" w:cs="宋体"/>
          <w:sz w:val="24"/>
        </w:rPr>
        <w:t>按下述条款和条件在</w:t>
      </w:r>
      <w:r>
        <w:rPr>
          <w:rFonts w:hint="eastAsia" w:ascii="仿宋_GB2312" w:hAnsi="宋体" w:eastAsia="仿宋_GB2312" w:cs="宋体"/>
          <w:sz w:val="24"/>
          <w:u w:val="single"/>
        </w:rPr>
        <w:t>湖南省长沙市雨花区</w:t>
      </w:r>
      <w:r>
        <w:rPr>
          <w:rFonts w:hint="eastAsia" w:ascii="仿宋_GB2312" w:hAnsi="宋体" w:eastAsia="仿宋_GB2312" w:cs="宋体"/>
          <w:sz w:val="24"/>
        </w:rPr>
        <w:t>签署</w:t>
      </w:r>
      <w:r>
        <w:rPr>
          <w:rFonts w:hint="eastAsia" w:ascii="仿宋_GB2312" w:hAnsi="宋体" w:eastAsia="仿宋_GB2312" w:cs="仿宋_GB2312"/>
          <w:sz w:val="24"/>
          <w:lang w:bidi="ar"/>
        </w:rPr>
        <w:t>。</w:t>
      </w:r>
    </w:p>
    <w:p>
      <w:pPr>
        <w:snapToGrid w:val="0"/>
        <w:spacing w:line="400" w:lineRule="exact"/>
        <w:ind w:firstLine="472" w:firstLineChars="196"/>
        <w:rPr>
          <w:rFonts w:hint="eastAsia" w:ascii="仿宋_GB2312" w:eastAsia="仿宋_GB2312" w:cs="仿宋_GB2312"/>
          <w:b/>
          <w:sz w:val="24"/>
          <w:lang w:bidi="ar"/>
        </w:rPr>
      </w:pPr>
      <w:r>
        <w:rPr>
          <w:rFonts w:hint="eastAsia" w:ascii="仿宋_GB2312" w:eastAsia="仿宋_GB2312" w:cs="仿宋_GB2312"/>
          <w:b/>
          <w:sz w:val="24"/>
          <w:lang w:bidi="ar"/>
        </w:rPr>
        <w:t>1. 项目概况</w:t>
      </w:r>
    </w:p>
    <w:p>
      <w:pPr>
        <w:snapToGrid w:val="0"/>
        <w:spacing w:line="400" w:lineRule="exact"/>
        <w:ind w:firstLine="710" w:firstLineChars="296"/>
        <w:rPr>
          <w:rFonts w:hint="eastAsia" w:ascii="仿宋_GB2312" w:hAnsi="仿宋" w:eastAsia="仿宋_GB2312"/>
          <w:sz w:val="24"/>
        </w:rPr>
      </w:pPr>
      <w:r>
        <w:rPr>
          <w:rFonts w:hint="eastAsia" w:ascii="仿宋_GB2312" w:hAnsi="仿宋" w:eastAsia="仿宋_GB2312"/>
          <w:sz w:val="24"/>
          <w:u w:val="single"/>
        </w:rPr>
        <w:t xml:space="preserve">                    。</w:t>
      </w:r>
    </w:p>
    <w:p>
      <w:pPr>
        <w:snapToGrid w:val="0"/>
        <w:spacing w:line="400" w:lineRule="exact"/>
        <w:ind w:firstLine="472" w:firstLineChars="196"/>
        <w:rPr>
          <w:rFonts w:hint="eastAsia" w:ascii="仿宋_GB2312" w:hAnsi="仿宋" w:eastAsia="仿宋_GB2312"/>
          <w:b/>
          <w:bCs/>
          <w:sz w:val="24"/>
          <w:u w:val="single"/>
        </w:rPr>
      </w:pPr>
      <w:r>
        <w:rPr>
          <w:rFonts w:hint="eastAsia" w:ascii="仿宋_GB2312" w:hAnsi="仿宋" w:eastAsia="仿宋_GB2312"/>
          <w:b/>
          <w:bCs/>
          <w:sz w:val="24"/>
        </w:rPr>
        <w:t>2.项目范围：</w:t>
      </w:r>
    </w:p>
    <w:p>
      <w:pPr>
        <w:snapToGrid w:val="0"/>
        <w:spacing w:line="400" w:lineRule="exact"/>
        <w:ind w:firstLine="710" w:firstLineChars="296"/>
        <w:rPr>
          <w:rFonts w:hint="eastAsia" w:ascii="仿宋_GB2312" w:hAnsi="宋体" w:eastAsia="仿宋_GB2312" w:cs="仿宋_GB2312"/>
          <w:b/>
          <w:sz w:val="24"/>
          <w:lang w:bidi="ar"/>
        </w:rPr>
      </w:pPr>
      <w:r>
        <w:rPr>
          <w:rFonts w:hint="eastAsia" w:ascii="仿宋_GB2312" w:hAnsi="仿宋" w:eastAsia="仿宋_GB2312"/>
          <w:sz w:val="24"/>
          <w:u w:val="single"/>
        </w:rPr>
        <w:t xml:space="preserve">                    </w:t>
      </w:r>
      <w:r>
        <w:rPr>
          <w:rFonts w:hint="eastAsia" w:ascii="仿宋_GB2312" w:hAnsi="仿宋" w:eastAsia="仿宋_GB2312"/>
          <w:sz w:val="24"/>
        </w:rPr>
        <w:t>。</w:t>
      </w:r>
    </w:p>
    <w:p>
      <w:pPr>
        <w:snapToGrid w:val="0"/>
        <w:spacing w:line="400" w:lineRule="exact"/>
        <w:ind w:firstLine="472" w:firstLineChars="196"/>
        <w:rPr>
          <w:rFonts w:hint="eastAsia" w:ascii="仿宋_GB2312" w:hAnsi="宋体" w:eastAsia="仿宋_GB2312" w:cs="仿宋_GB2312"/>
          <w:b/>
          <w:sz w:val="24"/>
          <w:lang w:bidi="ar"/>
        </w:rPr>
      </w:pPr>
      <w:r>
        <w:rPr>
          <w:rFonts w:hint="eastAsia" w:ascii="仿宋_GB2312" w:hAnsi="宋体" w:eastAsia="仿宋_GB2312" w:cs="仿宋_GB2312"/>
          <w:b/>
          <w:sz w:val="24"/>
          <w:lang w:bidi="ar"/>
        </w:rPr>
        <w:t>3. 服务期限</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本项目的服务期限为自合同签订之日起</w:t>
      </w:r>
      <w:r>
        <w:rPr>
          <w:rFonts w:hint="eastAsia" w:ascii="仿宋_GB2312" w:hAnsi="宋体" w:eastAsia="仿宋_GB2312" w:cs="仿宋_GB2312"/>
          <w:bCs/>
          <w:sz w:val="24"/>
          <w:u w:val="single"/>
          <w:lang w:bidi="ar"/>
        </w:rPr>
        <w:t xml:space="preserve">   个月</w:t>
      </w:r>
      <w:r>
        <w:rPr>
          <w:rFonts w:hint="eastAsia" w:ascii="仿宋_GB2312" w:hAnsi="宋体" w:eastAsia="仿宋_GB2312" w:cs="仿宋_GB2312"/>
          <w:bCs/>
          <w:sz w:val="24"/>
          <w:lang w:bidi="ar"/>
        </w:rPr>
        <w:t>，</w:t>
      </w:r>
      <w:bookmarkStart w:id="30" w:name="_Toc31782"/>
      <w:bookmarkStart w:id="31" w:name="_Toc10206"/>
      <w:bookmarkStart w:id="32" w:name="_Toc17107"/>
      <w:bookmarkStart w:id="33" w:name="_Toc17687"/>
      <w:bookmarkStart w:id="34" w:name="_Toc18157"/>
      <w:bookmarkStart w:id="35" w:name="_Toc13168"/>
      <w:bookmarkStart w:id="36" w:name="_Toc13951"/>
      <w:bookmarkStart w:id="37" w:name="_Toc30989"/>
      <w:r>
        <w:rPr>
          <w:rFonts w:hint="eastAsia" w:ascii="仿宋_GB2312" w:hAnsi="宋体" w:eastAsia="仿宋_GB2312" w:cs="宋体"/>
          <w:bCs/>
          <w:sz w:val="24"/>
        </w:rPr>
        <w:t>自</w:t>
      </w:r>
      <w:r>
        <w:rPr>
          <w:rFonts w:hint="eastAsia" w:ascii="仿宋_GB2312" w:hAnsi="宋体" w:eastAsia="仿宋_GB2312" w:cs="宋体"/>
          <w:bCs/>
          <w:sz w:val="24"/>
          <w:u w:val="single"/>
        </w:rPr>
        <w:t xml:space="preserve">    </w:t>
      </w:r>
      <w:r>
        <w:rPr>
          <w:rFonts w:hint="eastAsia" w:ascii="仿宋_GB2312" w:hAnsi="宋体" w:eastAsia="仿宋_GB2312" w:cs="宋体"/>
          <w:bCs/>
          <w:sz w:val="24"/>
        </w:rPr>
        <w:t>年</w:t>
      </w:r>
      <w:r>
        <w:rPr>
          <w:rFonts w:hint="eastAsia" w:ascii="仿宋_GB2312" w:hAnsi="宋体" w:eastAsia="仿宋_GB2312" w:cs="宋体"/>
          <w:bCs/>
          <w:sz w:val="24"/>
          <w:u w:val="single"/>
        </w:rPr>
        <w:t xml:space="preserve">  </w:t>
      </w:r>
      <w:r>
        <w:rPr>
          <w:rFonts w:hint="eastAsia" w:ascii="仿宋_GB2312" w:hAnsi="宋体" w:eastAsia="仿宋_GB2312" w:cs="宋体"/>
          <w:bCs/>
          <w:sz w:val="24"/>
        </w:rPr>
        <w:t>月</w:t>
      </w:r>
      <w:r>
        <w:rPr>
          <w:rFonts w:hint="eastAsia" w:ascii="仿宋_GB2312" w:hAnsi="宋体" w:eastAsia="仿宋_GB2312" w:cs="宋体"/>
          <w:bCs/>
          <w:sz w:val="24"/>
          <w:u w:val="single"/>
        </w:rPr>
        <w:t xml:space="preserve">  </w:t>
      </w:r>
      <w:r>
        <w:rPr>
          <w:rFonts w:hint="eastAsia" w:ascii="仿宋_GB2312" w:hAnsi="宋体" w:eastAsia="仿宋_GB2312" w:cs="宋体"/>
          <w:bCs/>
          <w:sz w:val="24"/>
        </w:rPr>
        <w:t>日起至</w:t>
      </w:r>
      <w:r>
        <w:rPr>
          <w:rFonts w:hint="eastAsia" w:ascii="仿宋_GB2312" w:hAnsi="宋体" w:eastAsia="仿宋_GB2312" w:cs="宋体"/>
          <w:bCs/>
          <w:sz w:val="24"/>
          <w:u w:val="single"/>
        </w:rPr>
        <w:t xml:space="preserve">    </w:t>
      </w:r>
      <w:r>
        <w:rPr>
          <w:rFonts w:hint="eastAsia" w:ascii="仿宋_GB2312" w:hAnsi="宋体" w:eastAsia="仿宋_GB2312" w:cs="宋体"/>
          <w:bCs/>
          <w:sz w:val="24"/>
        </w:rPr>
        <w:t>年</w:t>
      </w:r>
      <w:r>
        <w:rPr>
          <w:rFonts w:hint="eastAsia" w:ascii="仿宋_GB2312" w:hAnsi="宋体" w:eastAsia="仿宋_GB2312" w:cs="宋体"/>
          <w:bCs/>
          <w:sz w:val="24"/>
          <w:u w:val="single"/>
        </w:rPr>
        <w:t xml:space="preserve">   </w:t>
      </w:r>
      <w:r>
        <w:rPr>
          <w:rFonts w:hint="eastAsia" w:ascii="仿宋_GB2312" w:hAnsi="宋体" w:eastAsia="仿宋_GB2312" w:cs="宋体"/>
          <w:bCs/>
          <w:sz w:val="24"/>
        </w:rPr>
        <w:t>月</w:t>
      </w:r>
      <w:r>
        <w:rPr>
          <w:rFonts w:hint="eastAsia" w:ascii="仿宋_GB2312" w:hAnsi="宋体" w:eastAsia="仿宋_GB2312" w:cs="宋体"/>
          <w:bCs/>
          <w:sz w:val="24"/>
          <w:u w:val="single"/>
        </w:rPr>
        <w:t xml:space="preserve">  </w:t>
      </w:r>
      <w:r>
        <w:rPr>
          <w:rFonts w:hint="eastAsia" w:ascii="仿宋_GB2312" w:hAnsi="宋体" w:eastAsia="仿宋_GB2312" w:cs="宋体"/>
          <w:bCs/>
          <w:sz w:val="24"/>
        </w:rPr>
        <w:t>日</w:t>
      </w:r>
      <w:bookmarkEnd w:id="30"/>
      <w:bookmarkEnd w:id="31"/>
      <w:bookmarkEnd w:id="32"/>
      <w:bookmarkEnd w:id="33"/>
      <w:bookmarkEnd w:id="34"/>
      <w:bookmarkEnd w:id="35"/>
      <w:bookmarkEnd w:id="36"/>
      <w:bookmarkEnd w:id="37"/>
      <w:r>
        <w:rPr>
          <w:rFonts w:hint="eastAsia" w:ascii="仿宋_GB2312" w:hAnsi="宋体" w:eastAsia="仿宋_GB2312" w:cs="宋体"/>
          <w:bCs/>
          <w:sz w:val="24"/>
        </w:rPr>
        <w:t>止</w:t>
      </w:r>
      <w:r>
        <w:rPr>
          <w:rFonts w:hint="eastAsia" w:ascii="仿宋_GB2312" w:hAnsi="宋体" w:eastAsia="仿宋_GB2312" w:cs="仿宋_GB2312"/>
          <w:bCs/>
          <w:sz w:val="24"/>
          <w:lang w:bidi="ar"/>
        </w:rPr>
        <w:t>。</w:t>
      </w:r>
    </w:p>
    <w:p>
      <w:pPr>
        <w:snapToGrid w:val="0"/>
        <w:spacing w:line="400" w:lineRule="exact"/>
        <w:ind w:firstLine="472" w:firstLineChars="196"/>
        <w:rPr>
          <w:rFonts w:hint="eastAsia" w:ascii="仿宋_GB2312" w:hAnsi="宋体" w:eastAsia="仿宋_GB2312" w:cs="仿宋_GB2312"/>
          <w:b/>
          <w:sz w:val="24"/>
          <w:lang w:bidi="ar"/>
        </w:rPr>
      </w:pPr>
      <w:r>
        <w:rPr>
          <w:rFonts w:hint="eastAsia" w:ascii="仿宋_GB2312" w:hAnsi="宋体" w:eastAsia="仿宋_GB2312" w:cs="仿宋_GB2312"/>
          <w:b/>
          <w:sz w:val="24"/>
          <w:lang w:bidi="ar"/>
        </w:rPr>
        <w:t>4  合同文件构成及解释顺序</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（1）补充协议（如果有）；</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（2）合同协议书；</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（3）合同条款；</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（4）用户需求书/技术规格书；</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（5）价格清单；</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（6）合同其他附件及乙方按合同附录格式及要求出具的文件；</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（7）内部竞争性谈判文件、澄清与答疑文件及其它补充资料；</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（8）响应文件、澄清文件及其它补充资料；</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（9）其他构成本合同的文件。</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上述各项合同文件包括合同当事人就该项合同文件所作出的补充和修改，属于同一类内容的文件，应以最新签署的为准。</w:t>
      </w:r>
    </w:p>
    <w:p>
      <w:pPr>
        <w:pStyle w:val="120"/>
        <w:spacing w:line="400" w:lineRule="exact"/>
        <w:ind w:firstLine="480"/>
        <w:jc w:val="left"/>
        <w:rPr>
          <w:rFonts w:hint="eastAsia" w:ascii="仿宋_GB2312" w:hAnsi="仿宋" w:eastAsia="仿宋_GB2312"/>
          <w:sz w:val="24"/>
          <w:szCs w:val="24"/>
        </w:rPr>
      </w:pPr>
      <w:r>
        <w:rPr>
          <w:rFonts w:hint="eastAsia" w:ascii="仿宋_GB2312" w:hAnsi="仿宋" w:eastAsia="仿宋_GB2312"/>
          <w:sz w:val="24"/>
          <w:szCs w:val="24"/>
        </w:rPr>
        <w:t>5.考虑到甲方将按照本合同向乙方支付，乙方在此保证全部按照合同向甲方提供服务。</w:t>
      </w:r>
    </w:p>
    <w:p>
      <w:pPr>
        <w:pStyle w:val="120"/>
        <w:spacing w:line="400" w:lineRule="exact"/>
        <w:ind w:firstLine="480"/>
        <w:jc w:val="left"/>
        <w:rPr>
          <w:rFonts w:hint="eastAsia" w:ascii="仿宋_GB2312" w:hAnsi="仿宋" w:eastAsia="仿宋_GB2312"/>
          <w:sz w:val="24"/>
          <w:szCs w:val="24"/>
        </w:rPr>
      </w:pPr>
      <w:r>
        <w:rPr>
          <w:rFonts w:hint="eastAsia" w:ascii="仿宋_GB2312" w:hAnsi="仿宋" w:eastAsia="仿宋_GB2312"/>
          <w:sz w:val="24"/>
          <w:szCs w:val="24"/>
        </w:rPr>
        <w:t>6.考虑到由于乙方将按照合同规定履行全部合同义务，甲方在此立约，保证按合同规定的方式和时间向乙方支付合同价款。</w:t>
      </w:r>
    </w:p>
    <w:p>
      <w:pPr>
        <w:pStyle w:val="120"/>
        <w:spacing w:line="400" w:lineRule="exact"/>
        <w:ind w:firstLine="480"/>
        <w:jc w:val="left"/>
        <w:rPr>
          <w:rFonts w:hint="eastAsia" w:ascii="仿宋_GB2312" w:hAnsi="仿宋" w:eastAsia="仿宋_GB2312"/>
          <w:sz w:val="24"/>
          <w:szCs w:val="24"/>
        </w:rPr>
      </w:pPr>
      <w:r>
        <w:rPr>
          <w:rFonts w:hint="eastAsia" w:ascii="仿宋_GB2312" w:hAnsi="仿宋" w:eastAsia="仿宋_GB2312"/>
          <w:sz w:val="24"/>
          <w:szCs w:val="24"/>
        </w:rPr>
        <w:t>7.本合同自双方法定代表人或授权代表签字并加盖公章或合同专用章后生效。本合同未尽事宜，双方可另行协商或签订补充协议，所达成的补充协议与本合同具有同等效力。</w:t>
      </w:r>
    </w:p>
    <w:p>
      <w:pPr>
        <w:pStyle w:val="120"/>
        <w:spacing w:line="400" w:lineRule="exact"/>
        <w:ind w:firstLine="480"/>
        <w:jc w:val="left"/>
        <w:rPr>
          <w:rFonts w:hint="eastAsia" w:ascii="仿宋_GB2312" w:hAnsi="仿宋" w:eastAsia="仿宋_GB2312"/>
          <w:sz w:val="24"/>
        </w:rPr>
      </w:pPr>
      <w:r>
        <w:rPr>
          <w:rFonts w:hint="eastAsia" w:ascii="仿宋_GB2312" w:hAnsi="仿宋" w:eastAsia="仿宋_GB2312"/>
          <w:sz w:val="24"/>
        </w:rPr>
        <w:t>8.本合同一式八份，正本二份、副本六份，甲方持正本一份、副本五份，乙方持正本一份、副本一份。合同正本与副本具有同等效力，当合同副本与正本之间存有差异时，以合同正本为准。</w:t>
      </w:r>
    </w:p>
    <w:p>
      <w:pPr>
        <w:snapToGrid w:val="0"/>
        <w:spacing w:line="400" w:lineRule="exact"/>
        <w:ind w:firstLine="470" w:firstLineChars="196"/>
        <w:rPr>
          <w:rFonts w:hint="eastAsia" w:ascii="仿宋_GB2312" w:hAnsi="宋体" w:eastAsia="仿宋_GB2312" w:cs="仿宋_GB2312"/>
          <w:bCs/>
          <w:sz w:val="24"/>
          <w:lang w:bidi="ar"/>
        </w:rPr>
      </w:pPr>
    </w:p>
    <w:tbl>
      <w:tblPr>
        <w:tblStyle w:val="46"/>
        <w:tblW w:w="0" w:type="auto"/>
        <w:jc w:val="center"/>
        <w:tblLayout w:type="fixed"/>
        <w:tblCellMar>
          <w:top w:w="0" w:type="dxa"/>
          <w:left w:w="108" w:type="dxa"/>
          <w:bottom w:w="0" w:type="dxa"/>
          <w:right w:w="108" w:type="dxa"/>
        </w:tblCellMar>
      </w:tblPr>
      <w:tblGrid>
        <w:gridCol w:w="4140"/>
        <w:gridCol w:w="3940"/>
      </w:tblGrid>
      <w:tr>
        <w:tblPrEx>
          <w:tblCellMar>
            <w:top w:w="0" w:type="dxa"/>
            <w:left w:w="108" w:type="dxa"/>
            <w:bottom w:w="0" w:type="dxa"/>
            <w:right w:w="108" w:type="dxa"/>
          </w:tblCellMar>
        </w:tblPrEx>
        <w:trPr>
          <w:trHeight w:val="889" w:hRule="atLeast"/>
          <w:jc w:val="center"/>
        </w:trPr>
        <w:tc>
          <w:tcPr>
            <w:tcW w:w="4140" w:type="dxa"/>
            <w:tcBorders>
              <w:top w:val="nil"/>
              <w:left w:val="nil"/>
              <w:bottom w:val="nil"/>
              <w:right w:val="nil"/>
            </w:tcBorders>
          </w:tcPr>
          <w:p>
            <w:pPr>
              <w:pStyle w:val="26"/>
              <w:snapToGrid w:val="0"/>
              <w:spacing w:line="400" w:lineRule="exact"/>
              <w:jc w:val="left"/>
              <w:rPr>
                <w:rFonts w:hint="eastAsia" w:ascii="仿宋_GB2312" w:hAnsi="仿宋" w:eastAsia="仿宋_GB2312"/>
                <w:sz w:val="24"/>
              </w:rPr>
            </w:pPr>
            <w:r>
              <w:rPr>
                <w:rFonts w:hint="eastAsia" w:ascii="仿宋_GB2312" w:hAnsi="仿宋" w:eastAsia="仿宋_GB2312"/>
                <w:sz w:val="24"/>
              </w:rPr>
              <w:t>甲方：(盖章)</w:t>
            </w:r>
          </w:p>
          <w:p>
            <w:pPr>
              <w:pStyle w:val="26"/>
              <w:snapToGrid w:val="0"/>
              <w:spacing w:line="400" w:lineRule="exact"/>
              <w:jc w:val="left"/>
              <w:rPr>
                <w:rFonts w:hint="eastAsia" w:ascii="仿宋_GB2312" w:hAnsi="仿宋" w:eastAsia="仿宋_GB2312"/>
                <w:sz w:val="24"/>
              </w:rPr>
            </w:pPr>
            <w:r>
              <w:rPr>
                <w:rFonts w:hint="eastAsia" w:ascii="仿宋_GB2312" w:hAnsi="仿宋" w:eastAsia="仿宋_GB2312"/>
                <w:sz w:val="24"/>
              </w:rPr>
              <w:t xml:space="preserve"> </w:t>
            </w:r>
          </w:p>
        </w:tc>
        <w:tc>
          <w:tcPr>
            <w:tcW w:w="3940" w:type="dxa"/>
            <w:tcBorders>
              <w:top w:val="nil"/>
              <w:left w:val="nil"/>
              <w:bottom w:val="nil"/>
              <w:right w:val="nil"/>
            </w:tcBorders>
          </w:tcPr>
          <w:p>
            <w:pPr>
              <w:pStyle w:val="26"/>
              <w:snapToGrid w:val="0"/>
              <w:spacing w:line="400" w:lineRule="exact"/>
              <w:jc w:val="left"/>
              <w:rPr>
                <w:rFonts w:hint="eastAsia" w:ascii="仿宋_GB2312" w:hAnsi="仿宋" w:eastAsia="仿宋_GB2312"/>
                <w:sz w:val="24"/>
              </w:rPr>
            </w:pPr>
            <w:r>
              <w:rPr>
                <w:rFonts w:hint="eastAsia" w:ascii="仿宋_GB2312" w:hAnsi="仿宋"/>
                <w:sz w:val="24"/>
              </w:rPr>
              <w:t>乙</w:t>
            </w:r>
            <w:r>
              <w:rPr>
                <w:rFonts w:hint="eastAsia" w:ascii="仿宋_GB2312" w:hAnsi="仿宋" w:eastAsia="仿宋_GB2312"/>
                <w:sz w:val="24"/>
              </w:rPr>
              <w:t>方：（盖章）</w:t>
            </w:r>
          </w:p>
          <w:p>
            <w:pPr>
              <w:pStyle w:val="26"/>
              <w:snapToGrid w:val="0"/>
              <w:spacing w:line="400" w:lineRule="exact"/>
              <w:jc w:val="left"/>
              <w:rPr>
                <w:rFonts w:hint="eastAsia" w:ascii="仿宋_GB2312" w:hAnsi="仿宋" w:eastAsia="仿宋_GB2312"/>
                <w:sz w:val="24"/>
              </w:rPr>
            </w:pPr>
          </w:p>
        </w:tc>
      </w:tr>
      <w:tr>
        <w:tblPrEx>
          <w:tblCellMar>
            <w:top w:w="0" w:type="dxa"/>
            <w:left w:w="108" w:type="dxa"/>
            <w:bottom w:w="0" w:type="dxa"/>
            <w:right w:w="108" w:type="dxa"/>
          </w:tblCellMar>
        </w:tblPrEx>
        <w:trPr>
          <w:trHeight w:val="889" w:hRule="atLeast"/>
          <w:jc w:val="center"/>
        </w:trPr>
        <w:tc>
          <w:tcPr>
            <w:tcW w:w="4140" w:type="dxa"/>
            <w:tcBorders>
              <w:top w:val="nil"/>
              <w:left w:val="nil"/>
              <w:bottom w:val="nil"/>
              <w:right w:val="nil"/>
            </w:tcBorders>
          </w:tcPr>
          <w:p>
            <w:pPr>
              <w:pStyle w:val="26"/>
              <w:snapToGrid w:val="0"/>
              <w:spacing w:line="400" w:lineRule="exact"/>
              <w:ind w:left="19" w:leftChars="9"/>
              <w:jc w:val="left"/>
              <w:rPr>
                <w:rFonts w:hint="eastAsia" w:ascii="仿宋_GB2312" w:hAnsi="仿宋" w:eastAsia="仿宋_GB2312"/>
                <w:sz w:val="24"/>
              </w:rPr>
            </w:pPr>
            <w:r>
              <w:rPr>
                <w:rFonts w:hint="eastAsia" w:ascii="仿宋_GB2312" w:hAnsi="仿宋" w:eastAsia="仿宋_GB2312"/>
                <w:sz w:val="24"/>
              </w:rPr>
              <w:t>法定代表人或其授权代表：</w:t>
            </w:r>
          </w:p>
          <w:p>
            <w:pPr>
              <w:pStyle w:val="26"/>
              <w:snapToGrid w:val="0"/>
              <w:spacing w:line="400" w:lineRule="exact"/>
              <w:jc w:val="left"/>
              <w:rPr>
                <w:rFonts w:hint="eastAsia" w:ascii="仿宋_GB2312" w:hAnsi="仿宋" w:eastAsia="仿宋_GB2312"/>
                <w:sz w:val="24"/>
              </w:rPr>
            </w:pPr>
          </w:p>
        </w:tc>
        <w:tc>
          <w:tcPr>
            <w:tcW w:w="39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法定代表人或其授权代表：</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pStyle w:val="26"/>
              <w:snapToGrid w:val="0"/>
              <w:spacing w:line="400" w:lineRule="exact"/>
              <w:jc w:val="left"/>
              <w:rPr>
                <w:rFonts w:hint="eastAsia" w:ascii="仿宋_GB2312" w:hAnsi="仿宋" w:eastAsia="仿宋_GB2312"/>
                <w:sz w:val="24"/>
              </w:rPr>
            </w:pPr>
            <w:r>
              <w:rPr>
                <w:rFonts w:hint="eastAsia" w:ascii="仿宋_GB2312" w:hAnsi="仿宋" w:eastAsia="仿宋_GB2312"/>
                <w:sz w:val="24"/>
              </w:rPr>
              <w:t xml:space="preserve">地址：  </w:t>
            </w:r>
          </w:p>
        </w:tc>
        <w:tc>
          <w:tcPr>
            <w:tcW w:w="3940" w:type="dxa"/>
            <w:tcBorders>
              <w:top w:val="nil"/>
              <w:left w:val="nil"/>
              <w:bottom w:val="nil"/>
              <w:right w:val="nil"/>
            </w:tcBorders>
          </w:tcPr>
          <w:p>
            <w:pPr>
              <w:pStyle w:val="26"/>
              <w:snapToGrid w:val="0"/>
              <w:spacing w:line="400" w:lineRule="exact"/>
              <w:jc w:val="left"/>
              <w:rPr>
                <w:rFonts w:hint="eastAsia" w:ascii="仿宋_GB2312" w:hAnsi="仿宋" w:eastAsia="仿宋_GB2312"/>
                <w:sz w:val="24"/>
              </w:rPr>
            </w:pPr>
            <w:r>
              <w:rPr>
                <w:rFonts w:hint="eastAsia" w:ascii="仿宋_GB2312" w:hAnsi="仿宋" w:eastAsia="仿宋_GB2312"/>
                <w:sz w:val="24"/>
              </w:rPr>
              <w:t>地址：</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pStyle w:val="26"/>
              <w:snapToGrid w:val="0"/>
              <w:spacing w:line="400" w:lineRule="exact"/>
              <w:jc w:val="left"/>
              <w:rPr>
                <w:rFonts w:hint="eastAsia" w:ascii="仿宋_GB2312" w:hAnsi="仿宋" w:eastAsia="仿宋_GB2312"/>
                <w:sz w:val="24"/>
              </w:rPr>
            </w:pPr>
            <w:r>
              <w:rPr>
                <w:rFonts w:hint="eastAsia" w:ascii="仿宋_GB2312" w:hAnsi="仿宋" w:eastAsia="仿宋_GB2312"/>
                <w:sz w:val="24"/>
              </w:rPr>
              <w:t xml:space="preserve">邮编： </w:t>
            </w:r>
          </w:p>
        </w:tc>
        <w:tc>
          <w:tcPr>
            <w:tcW w:w="39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邮编：</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pStyle w:val="26"/>
              <w:snapToGrid w:val="0"/>
              <w:spacing w:line="400" w:lineRule="exact"/>
              <w:jc w:val="left"/>
              <w:rPr>
                <w:rFonts w:hint="eastAsia" w:ascii="仿宋_GB2312" w:hAnsi="仿宋" w:eastAsia="仿宋_GB2312"/>
                <w:sz w:val="24"/>
              </w:rPr>
            </w:pPr>
            <w:r>
              <w:rPr>
                <w:rFonts w:hint="eastAsia" w:ascii="仿宋_GB2312" w:hAnsi="仿宋" w:eastAsia="仿宋_GB2312"/>
                <w:sz w:val="24"/>
              </w:rPr>
              <w:t>电子邮箱：</w:t>
            </w:r>
          </w:p>
        </w:tc>
        <w:tc>
          <w:tcPr>
            <w:tcW w:w="39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电子邮箱：</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pStyle w:val="26"/>
              <w:snapToGrid w:val="0"/>
              <w:spacing w:line="400" w:lineRule="exact"/>
              <w:ind w:left="19" w:leftChars="9"/>
              <w:jc w:val="left"/>
              <w:rPr>
                <w:rFonts w:hint="eastAsia" w:ascii="仿宋_GB2312" w:hAnsi="仿宋" w:eastAsia="仿宋_GB2312"/>
                <w:sz w:val="24"/>
              </w:rPr>
            </w:pPr>
            <w:r>
              <w:rPr>
                <w:rFonts w:hint="eastAsia" w:ascii="仿宋_GB2312" w:hAnsi="仿宋" w:eastAsia="仿宋_GB2312"/>
                <w:sz w:val="24"/>
              </w:rPr>
              <w:t xml:space="preserve">电话： </w:t>
            </w:r>
          </w:p>
        </w:tc>
        <w:tc>
          <w:tcPr>
            <w:tcW w:w="39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电话：</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pStyle w:val="26"/>
              <w:snapToGrid w:val="0"/>
              <w:spacing w:line="400" w:lineRule="exact"/>
              <w:ind w:left="19" w:leftChars="9"/>
              <w:jc w:val="left"/>
              <w:rPr>
                <w:rFonts w:hint="eastAsia" w:ascii="仿宋_GB2312" w:hAnsi="仿宋" w:eastAsia="仿宋_GB2312"/>
                <w:sz w:val="24"/>
              </w:rPr>
            </w:pPr>
            <w:r>
              <w:rPr>
                <w:rFonts w:hint="eastAsia" w:ascii="仿宋_GB2312" w:hAnsi="仿宋" w:eastAsia="仿宋_GB2312"/>
                <w:sz w:val="24"/>
              </w:rPr>
              <w:t xml:space="preserve">传真： </w:t>
            </w:r>
          </w:p>
        </w:tc>
        <w:tc>
          <w:tcPr>
            <w:tcW w:w="39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传真：</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开户银行：</w:t>
            </w:r>
          </w:p>
        </w:tc>
        <w:tc>
          <w:tcPr>
            <w:tcW w:w="39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开户银行：</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账号：</w:t>
            </w:r>
          </w:p>
        </w:tc>
        <w:tc>
          <w:tcPr>
            <w:tcW w:w="3940" w:type="dxa"/>
            <w:tcBorders>
              <w:top w:val="nil"/>
              <w:left w:val="nil"/>
              <w:bottom w:val="nil"/>
              <w:right w:val="nil"/>
            </w:tcBorders>
          </w:tcPr>
          <w:p>
            <w:pPr>
              <w:pStyle w:val="26"/>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账号：</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pStyle w:val="26"/>
              <w:snapToGrid w:val="0"/>
              <w:spacing w:line="400" w:lineRule="exact"/>
              <w:ind w:left="34" w:leftChars="16"/>
              <w:jc w:val="left"/>
              <w:rPr>
                <w:rFonts w:hint="eastAsia" w:ascii="仿宋_GB2312" w:hAnsi="仿宋"/>
                <w:sz w:val="24"/>
              </w:rPr>
            </w:pPr>
            <w:r>
              <w:rPr>
                <w:rFonts w:hint="eastAsia" w:ascii="仿宋_GB2312" w:hAnsi="仿宋"/>
                <w:sz w:val="24"/>
              </w:rPr>
              <w:t>税号：</w:t>
            </w:r>
          </w:p>
        </w:tc>
        <w:tc>
          <w:tcPr>
            <w:tcW w:w="3940" w:type="dxa"/>
            <w:tcBorders>
              <w:top w:val="nil"/>
              <w:left w:val="nil"/>
              <w:bottom w:val="nil"/>
              <w:right w:val="nil"/>
            </w:tcBorders>
          </w:tcPr>
          <w:p>
            <w:pPr>
              <w:pStyle w:val="26"/>
              <w:snapToGrid w:val="0"/>
              <w:spacing w:line="400" w:lineRule="exact"/>
              <w:ind w:left="34" w:leftChars="16"/>
              <w:jc w:val="left"/>
              <w:rPr>
                <w:rFonts w:hint="eastAsia" w:ascii="仿宋_GB2312" w:hAnsi="仿宋"/>
                <w:sz w:val="24"/>
              </w:rPr>
            </w:pPr>
            <w:r>
              <w:rPr>
                <w:rFonts w:hint="eastAsia" w:ascii="仿宋_GB2312" w:hAnsi="仿宋"/>
                <w:sz w:val="24"/>
              </w:rPr>
              <w:t>税号：</w:t>
            </w:r>
          </w:p>
        </w:tc>
      </w:tr>
    </w:tbl>
    <w:p>
      <w:pPr>
        <w:snapToGrid w:val="0"/>
        <w:spacing w:line="400" w:lineRule="exact"/>
        <w:ind w:firstLine="470" w:firstLineChars="196"/>
        <w:rPr>
          <w:rFonts w:hint="eastAsia" w:ascii="仿宋_GB2312" w:hAnsi="宋体" w:eastAsia="仿宋_GB2312" w:cs="仿宋_GB2312"/>
          <w:bCs/>
          <w:sz w:val="24"/>
          <w:lang w:bidi="ar"/>
        </w:rPr>
      </w:pPr>
    </w:p>
    <w:p>
      <w:pPr>
        <w:snapToGrid w:val="0"/>
        <w:spacing w:line="400" w:lineRule="exact"/>
        <w:ind w:firstLine="472" w:firstLineChars="196"/>
        <w:jc w:val="center"/>
        <w:rPr>
          <w:rFonts w:hint="eastAsia" w:ascii="仿宋_GB2312" w:hAnsi="宋体" w:eastAsia="仿宋_GB2312" w:cs="仿宋_GB2312"/>
          <w:b/>
          <w:sz w:val="24"/>
          <w:lang w:bidi="ar"/>
        </w:rPr>
      </w:pPr>
      <w:r>
        <w:rPr>
          <w:rFonts w:hint="eastAsia" w:ascii="仿宋_GB2312" w:hAnsi="宋体" w:eastAsia="仿宋_GB2312" w:cs="仿宋_GB2312"/>
          <w:b/>
          <w:sz w:val="24"/>
          <w:lang w:bidi="ar"/>
        </w:rPr>
        <w:br w:type="page"/>
      </w:r>
      <w:r>
        <w:rPr>
          <w:rFonts w:hint="eastAsia" w:ascii="仿宋_GB2312" w:hAnsi="宋体" w:eastAsia="仿宋_GB2312" w:cs="仿宋_GB2312"/>
          <w:b/>
          <w:sz w:val="24"/>
          <w:lang w:bidi="ar"/>
        </w:rPr>
        <w:t>第二部分  合同条款</w:t>
      </w:r>
    </w:p>
    <w:p>
      <w:pPr>
        <w:snapToGrid w:val="0"/>
        <w:spacing w:line="400" w:lineRule="exact"/>
        <w:ind w:firstLine="472" w:firstLineChars="196"/>
        <w:rPr>
          <w:rFonts w:hint="eastAsia" w:ascii="仿宋_GB2312" w:hAnsi="宋体" w:eastAsia="仿宋_GB2312" w:cs="仿宋_GB2312"/>
          <w:b/>
          <w:sz w:val="24"/>
          <w:lang w:bidi="ar"/>
        </w:rPr>
      </w:pPr>
      <w:r>
        <w:rPr>
          <w:rFonts w:hint="eastAsia" w:ascii="仿宋_GB2312" w:hAnsi="宋体" w:eastAsia="仿宋_GB2312" w:cs="仿宋_GB2312"/>
          <w:b/>
          <w:sz w:val="24"/>
          <w:lang w:bidi="ar"/>
        </w:rPr>
        <w:t>1、定义</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（1）“项目”是指甲方委托乙方实施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（2）“合同”系指买卖双方签署的、合同格式中载明的买卖双方所达成的协议，包括所有的附件、附录和上述文件所提到的构成合同的所有文件。</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（3）“甲方”是指承担直接投资责任和委托服务业务的一方，即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（4）“乙方”是指承担服务业务和责任的一方，即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（5）“服务机构”是指乙方派驻本工程现场实施服务业务的组织。</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（6）“日”是指任何一天零时至第二天零时的时间段。</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（7）“月”是指根据公历从一个月份中任何一天开始到下一个月相应日期的前一天的时间段。</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（8）“评审服务”是指乙方提供的本项目的所有服务，具体内容参见合同附件。</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（9）“甲方代表”：指甲方任命的并履行甲方授予的职责和权利的代表。</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（10）“评审服务项目组”：指乙方实施评审服务的组织。</w:t>
      </w:r>
    </w:p>
    <w:p>
      <w:pPr>
        <w:spacing w:line="400" w:lineRule="exact"/>
        <w:ind w:left="280"/>
        <w:rPr>
          <w:rFonts w:hint="eastAsia" w:ascii="仿宋_GB2312" w:hAnsi="仿宋_GB2312" w:eastAsia="仿宋_GB2312" w:cs="仿宋_GB2312"/>
          <w:sz w:val="24"/>
        </w:rPr>
      </w:pPr>
      <w:r>
        <w:rPr>
          <w:rFonts w:hint="eastAsia" w:ascii="仿宋_GB2312" w:hAnsi="仿宋_GB2312" w:eastAsia="仿宋_GB2312" w:cs="仿宋_GB2312"/>
          <w:sz w:val="24"/>
        </w:rPr>
        <w:t>（11）“项目经理”：指合同协议书中指明的，乙方委派的负责本工程评审服务的代表。</w:t>
      </w:r>
    </w:p>
    <w:p>
      <w:pPr>
        <w:snapToGrid w:val="0"/>
        <w:spacing w:line="400" w:lineRule="exact"/>
        <w:ind w:firstLine="472" w:firstLineChars="196"/>
        <w:rPr>
          <w:rFonts w:hint="eastAsia" w:ascii="仿宋_GB2312" w:hAnsi="宋体" w:eastAsia="仿宋_GB2312" w:cs="仿宋_GB2312"/>
          <w:b/>
          <w:sz w:val="24"/>
          <w:lang w:bidi="ar"/>
        </w:rPr>
      </w:pPr>
      <w:r>
        <w:rPr>
          <w:rFonts w:hint="eastAsia" w:ascii="仿宋_GB2312" w:hAnsi="宋体" w:eastAsia="仿宋_GB2312" w:cs="仿宋_GB2312"/>
          <w:b/>
          <w:sz w:val="24"/>
          <w:lang w:bidi="ar"/>
        </w:rPr>
        <w:t>2、  服务要求</w:t>
      </w:r>
    </w:p>
    <w:p>
      <w:pPr>
        <w:snapToGrid w:val="0"/>
        <w:spacing w:line="400" w:lineRule="exact"/>
        <w:ind w:firstLine="480" w:firstLineChars="200"/>
        <w:rPr>
          <w:rFonts w:hint="eastAsia" w:ascii="仿宋_GB2312" w:hAnsi="宋体" w:eastAsia="仿宋_GB2312" w:cs="仿宋_GB2312"/>
          <w:sz w:val="24"/>
          <w:lang w:bidi="ar"/>
        </w:rPr>
      </w:pPr>
      <w:r>
        <w:rPr>
          <w:rFonts w:hint="eastAsia" w:ascii="仿宋_GB2312" w:hAnsi="宋体" w:eastAsia="仿宋_GB2312" w:cs="仿宋_GB2312"/>
          <w:sz w:val="24"/>
          <w:lang w:bidi="ar"/>
        </w:rPr>
        <w:t>2.1 项目实施要求：</w:t>
      </w:r>
      <w:r>
        <w:rPr>
          <w:rFonts w:hint="eastAsia" w:ascii="仿宋_GB2312" w:hAnsi="宋体" w:eastAsia="仿宋_GB2312" w:cs="仿宋_GB2312"/>
          <w:sz w:val="24"/>
          <w:u w:val="single"/>
          <w:lang w:bidi="ar"/>
        </w:rPr>
        <w:t xml:space="preserve">                        </w:t>
      </w:r>
      <w:r>
        <w:rPr>
          <w:rFonts w:hint="eastAsia" w:ascii="仿宋_GB2312" w:hAnsi="宋体" w:eastAsia="仿宋_GB2312" w:cs="仿宋_GB2312"/>
          <w:sz w:val="24"/>
          <w:lang w:bidi="ar"/>
        </w:rPr>
        <w:t>。</w:t>
      </w:r>
    </w:p>
    <w:p>
      <w:pPr>
        <w:snapToGrid w:val="0"/>
        <w:spacing w:line="400" w:lineRule="exact"/>
        <w:ind w:firstLine="480" w:firstLineChars="200"/>
        <w:rPr>
          <w:rFonts w:hint="eastAsia" w:ascii="仿宋_GB2312" w:hAnsi="宋体" w:eastAsia="仿宋_GB2312" w:cs="仿宋_GB2312"/>
          <w:sz w:val="24"/>
          <w:lang w:bidi="ar"/>
        </w:rPr>
      </w:pPr>
      <w:r>
        <w:rPr>
          <w:rFonts w:hint="eastAsia" w:ascii="仿宋_GB2312" w:hAnsi="宋体" w:eastAsia="仿宋_GB2312" w:cs="仿宋_GB2312"/>
          <w:sz w:val="24"/>
          <w:lang w:bidi="ar"/>
        </w:rPr>
        <w:t>2.2 项目管控要求：</w:t>
      </w:r>
      <w:r>
        <w:rPr>
          <w:rFonts w:hint="eastAsia" w:ascii="仿宋_GB2312" w:hAnsi="宋体" w:eastAsia="仿宋_GB2312" w:cs="仿宋_GB2312"/>
          <w:sz w:val="24"/>
          <w:u w:val="single"/>
          <w:lang w:bidi="ar"/>
        </w:rPr>
        <w:t xml:space="preserve">                        </w:t>
      </w:r>
      <w:r>
        <w:rPr>
          <w:rFonts w:hint="eastAsia" w:ascii="仿宋_GB2312" w:hAnsi="宋体" w:eastAsia="仿宋_GB2312" w:cs="仿宋_GB2312"/>
          <w:sz w:val="24"/>
          <w:lang w:bidi="ar"/>
        </w:rPr>
        <w:t>。</w:t>
      </w:r>
    </w:p>
    <w:p>
      <w:pPr>
        <w:snapToGrid w:val="0"/>
        <w:spacing w:line="400" w:lineRule="exact"/>
        <w:ind w:firstLine="480" w:firstLineChars="200"/>
        <w:rPr>
          <w:rFonts w:hint="eastAsia" w:ascii="仿宋_GB2312" w:hAnsi="宋体" w:eastAsia="仿宋_GB2312" w:cs="仿宋_GB2312"/>
          <w:sz w:val="24"/>
          <w:u w:val="single"/>
          <w:lang w:bidi="ar"/>
        </w:rPr>
      </w:pPr>
      <w:r>
        <w:rPr>
          <w:rFonts w:hint="eastAsia" w:ascii="仿宋_GB2312" w:hAnsi="宋体" w:eastAsia="仿宋_GB2312" w:cs="仿宋_GB2312"/>
          <w:sz w:val="24"/>
          <w:lang w:bidi="ar"/>
        </w:rPr>
        <w:t xml:space="preserve">2.3 </w:t>
      </w:r>
      <w:r>
        <w:rPr>
          <w:rFonts w:hint="eastAsia" w:ascii="仿宋_GB2312" w:hAnsi="宋体" w:eastAsia="仿宋_GB2312" w:cs="仿宋_GB2312"/>
          <w:sz w:val="24"/>
          <w:u w:val="single"/>
          <w:lang w:bidi="ar"/>
        </w:rPr>
        <w:t xml:space="preserve">                                     。</w:t>
      </w:r>
    </w:p>
    <w:p>
      <w:pPr>
        <w:snapToGrid w:val="0"/>
        <w:spacing w:line="400" w:lineRule="exact"/>
        <w:ind w:firstLine="482" w:firstLineChars="200"/>
        <w:rPr>
          <w:rFonts w:hint="eastAsia" w:ascii="仿宋_GB2312" w:hAnsi="仿宋" w:eastAsia="仿宋_GB2312" w:cs="仿宋_GB2312"/>
          <w:b/>
          <w:sz w:val="24"/>
        </w:rPr>
      </w:pPr>
      <w:r>
        <w:rPr>
          <w:rFonts w:hint="eastAsia" w:ascii="仿宋_GB2312" w:hAnsi="宋体" w:eastAsia="仿宋_GB2312" w:cs="仿宋_GB2312"/>
          <w:b/>
          <w:sz w:val="24"/>
          <w:lang w:bidi="ar"/>
        </w:rPr>
        <w:t>3、  合同价格</w:t>
      </w:r>
    </w:p>
    <w:p>
      <w:pPr>
        <w:snapToGrid w:val="0"/>
        <w:spacing w:line="400" w:lineRule="exact"/>
        <w:ind w:firstLine="480" w:firstLineChars="200"/>
        <w:rPr>
          <w:rFonts w:hint="eastAsia" w:ascii="仿宋_GB2312" w:hAnsi="仿宋" w:eastAsia="仿宋_GB2312"/>
          <w:sz w:val="24"/>
        </w:rPr>
      </w:pPr>
      <w:r>
        <w:rPr>
          <w:rFonts w:hint="eastAsia" w:ascii="仿宋_GB2312" w:hAnsi="宋体" w:eastAsia="仿宋_GB2312" w:cs="仿宋_GB2312"/>
          <w:sz w:val="24"/>
          <w:lang w:bidi="ar"/>
        </w:rPr>
        <w:t>3.1 本项目采用</w:t>
      </w:r>
      <w:r>
        <w:rPr>
          <w:rFonts w:hint="eastAsia" w:ascii="仿宋_GB2312" w:hAnsi="宋体" w:eastAsia="仿宋_GB2312" w:cs="仿宋_GB2312"/>
          <w:sz w:val="24"/>
          <w:u w:val="single"/>
          <w:lang w:bidi="ar"/>
        </w:rPr>
        <w:t>总价合同</w:t>
      </w:r>
      <w:r>
        <w:rPr>
          <w:rFonts w:hint="eastAsia" w:ascii="仿宋_GB2312" w:hAnsi="宋体" w:eastAsia="仿宋_GB2312" w:cs="仿宋_GB2312"/>
          <w:sz w:val="24"/>
          <w:lang w:bidi="ar"/>
        </w:rPr>
        <w:t>方式，</w:t>
      </w:r>
      <w:r>
        <w:rPr>
          <w:rFonts w:hint="eastAsia" w:ascii="仿宋_GB2312" w:hAnsi="仿宋" w:eastAsia="仿宋_GB2312"/>
          <w:sz w:val="24"/>
        </w:rPr>
        <w:t>合同总价：</w:t>
      </w:r>
      <w:r>
        <w:rPr>
          <w:rFonts w:hint="eastAsia" w:ascii="仿宋_GB2312" w:hAnsi="仿宋" w:eastAsia="仿宋_GB2312"/>
          <w:sz w:val="24"/>
          <w:u w:val="single"/>
        </w:rPr>
        <w:t xml:space="preserve">      </w:t>
      </w:r>
      <w:r>
        <w:rPr>
          <w:rFonts w:hint="eastAsia" w:ascii="仿宋_GB2312" w:eastAsia="仿宋_GB2312"/>
          <w:sz w:val="24"/>
        </w:rPr>
        <w:t>元</w:t>
      </w:r>
      <w:r>
        <w:rPr>
          <w:rFonts w:hint="eastAsia" w:ascii="仿宋_GB2312" w:hAnsi="仿宋" w:eastAsia="仿宋_GB2312"/>
          <w:sz w:val="24"/>
        </w:rPr>
        <w:t>（人民币大写</w:t>
      </w:r>
      <w:r>
        <w:rPr>
          <w:rFonts w:hint="eastAsia" w:ascii="仿宋_GB2312" w:hAnsi="仿宋" w:eastAsia="仿宋_GB2312"/>
          <w:sz w:val="24"/>
          <w:u w:val="single"/>
        </w:rPr>
        <w:t xml:space="preserve">      </w:t>
      </w:r>
      <w:r>
        <w:rPr>
          <w:rFonts w:hint="eastAsia" w:ascii="仿宋_GB2312" w:hAnsi="仿宋" w:eastAsia="仿宋_GB2312"/>
          <w:sz w:val="24"/>
        </w:rPr>
        <w:t>元）。</w:t>
      </w:r>
    </w:p>
    <w:p>
      <w:pPr>
        <w:snapToGrid w:val="0"/>
        <w:spacing w:line="400" w:lineRule="exact"/>
        <w:ind w:firstLine="480" w:firstLineChars="200"/>
        <w:rPr>
          <w:rFonts w:hint="eastAsia" w:ascii="仿宋_GB2312" w:hAnsi="宋体" w:eastAsia="仿宋_GB2312" w:cs="仿宋_GB2312"/>
          <w:sz w:val="24"/>
          <w:lang w:bidi="ar"/>
        </w:rPr>
      </w:pPr>
      <w:r>
        <w:rPr>
          <w:rFonts w:hint="eastAsia" w:ascii="仿宋_GB2312" w:hAnsi="仿宋" w:eastAsia="仿宋_GB2312"/>
          <w:sz w:val="24"/>
        </w:rPr>
        <w:t>3.2 本项目</w:t>
      </w:r>
      <w:r>
        <w:rPr>
          <w:rFonts w:hint="eastAsia" w:ascii="仿宋_GB2312" w:hAnsi="宋体" w:eastAsia="仿宋_GB2312" w:cs="仿宋_GB2312"/>
          <w:sz w:val="24"/>
          <w:lang w:bidi="ar"/>
        </w:rPr>
        <w:t>合同总价包括人工、管理、财务、</w:t>
      </w:r>
      <w:r>
        <w:rPr>
          <w:rFonts w:hint="eastAsia" w:ascii="仿宋_GB2312" w:hAnsi="仿宋" w:eastAsia="仿宋_GB2312"/>
          <w:sz w:val="24"/>
        </w:rPr>
        <w:t>含增值税在内的所</w:t>
      </w:r>
      <w:r>
        <w:rPr>
          <w:rFonts w:hint="eastAsia" w:ascii="仿宋_GB2312" w:hAnsi="宋体" w:eastAsia="仿宋_GB2312" w:cs="仿宋_GB2312"/>
          <w:sz w:val="24"/>
          <w:lang w:bidi="ar"/>
        </w:rPr>
        <w:t>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p>
      <w:pPr>
        <w:snapToGrid w:val="0"/>
        <w:spacing w:line="400" w:lineRule="exact"/>
        <w:ind w:firstLine="482" w:firstLineChars="200"/>
        <w:rPr>
          <w:rFonts w:hint="eastAsia" w:ascii="仿宋_GB2312" w:hAnsi="宋体" w:eastAsia="仿宋_GB2312" w:cs="仿宋_GB2312"/>
          <w:b/>
          <w:sz w:val="24"/>
        </w:rPr>
      </w:pPr>
      <w:r>
        <w:rPr>
          <w:rFonts w:hint="eastAsia" w:ascii="仿宋_GB2312" w:hAnsi="宋体" w:eastAsia="仿宋_GB2312" w:cs="仿宋_GB2312"/>
          <w:b/>
          <w:sz w:val="24"/>
          <w:lang w:bidi="ar"/>
        </w:rPr>
        <w:t>4、  支付方式</w:t>
      </w:r>
    </w:p>
    <w:p>
      <w:pPr>
        <w:snapToGrid w:val="0"/>
        <w:spacing w:line="400" w:lineRule="exact"/>
        <w:ind w:firstLine="480" w:firstLineChars="200"/>
        <w:rPr>
          <w:rFonts w:hint="eastAsia" w:ascii="仿宋_GB2312" w:hAnsi="仿宋" w:eastAsia="仿宋_GB2312"/>
          <w:sz w:val="24"/>
        </w:rPr>
      </w:pPr>
      <w:bookmarkStart w:id="38" w:name="_Toc1201"/>
      <w:bookmarkStart w:id="39" w:name="_Toc479241510"/>
      <w:r>
        <w:rPr>
          <w:rFonts w:hint="eastAsia" w:ascii="仿宋_GB2312" w:hAnsi="仿宋" w:eastAsia="仿宋_GB2312"/>
          <w:sz w:val="24"/>
        </w:rPr>
        <w:t>4.1  2020年长沙市长质量奖评选活动结果出具后，甲方获得长沙市长质量奖项的，则甲方向乙方支付的合同款项为：按合同总价的100%并在依据考核结果后计算出的金额。甲方在收到乙方提交经甲方审批同意的支付申请及增值税专用税务发票、有效期内的履约担保复印件等相关资料后，于28个工作日内向乙方付款。</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4.2  2020年长沙市长质量奖评选活动结果确认后，甲方未获得长沙市长质量奖项的，则本合同付款周期顺延至下一届长沙市长质量奖评选活动评选结果出具后支付，支付标准为：</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1）甲方获得长沙市长质量奖项的，则甲方向乙方支付的合同款项为：按合同总价的100%并在依据考核结果后计算出的金额。甲方在收到乙方提交经甲方审批同意的支付申请及增值税专用税务发票、有效期内的履约担保复印件等相关资料后，于28个工作日内向乙方付款。</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2）甲方未获得长沙市长质量奖项的，则甲方向乙方支付的合同款项为：合同总价的10%。甲方在收到乙方提交经甲方审批同意的支付申请及增值税专用税务发票、有效期内的履约担保复印件等相关资料后，于28个工作日内向乙方付款。</w:t>
      </w:r>
    </w:p>
    <w:p>
      <w:pPr>
        <w:pStyle w:val="35"/>
        <w:spacing w:before="0" w:after="0" w:line="400" w:lineRule="exact"/>
        <w:ind w:firstLine="482" w:firstLineChars="200"/>
        <w:jc w:val="both"/>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5. 履约担保</w:t>
      </w:r>
      <w:bookmarkEnd w:id="38"/>
      <w:bookmarkEnd w:id="39"/>
    </w:p>
    <w:p>
      <w:pPr>
        <w:pStyle w:val="35"/>
        <w:spacing w:before="0" w:after="0" w:line="400" w:lineRule="exact"/>
        <w:ind w:firstLine="480" w:firstLineChars="200"/>
        <w:jc w:val="both"/>
        <w:rPr>
          <w:rFonts w:hint="eastAsia" w:ascii="仿宋_GB2312" w:hAnsi="仿宋_GB2312" w:eastAsia="仿宋_GB2312" w:cs="仿宋_GB2312"/>
          <w:sz w:val="24"/>
          <w:szCs w:val="24"/>
          <w:lang w:bidi="ar"/>
        </w:rPr>
      </w:pPr>
      <w:bookmarkStart w:id="40" w:name="_Toc443376818"/>
      <w:bookmarkStart w:id="41" w:name="_Toc443208225"/>
      <w:r>
        <w:rPr>
          <w:rFonts w:hint="eastAsia" w:ascii="仿宋_GB2312" w:hAnsi="仿宋_GB2312" w:eastAsia="仿宋_GB2312" w:cs="仿宋_GB2312"/>
          <w:sz w:val="24"/>
          <w:szCs w:val="24"/>
          <w:lang w:bidi="ar"/>
        </w:rPr>
        <w:t>5.1 履约担保是办理付款的必要条件之一，乙方应在本合同签订后15个工作日内提供履约担保。</w:t>
      </w:r>
    </w:p>
    <w:p>
      <w:pPr>
        <w:pStyle w:val="35"/>
        <w:spacing w:before="0" w:after="0" w:line="400" w:lineRule="exact"/>
        <w:ind w:firstLine="480" w:firstLineChars="200"/>
        <w:jc w:val="both"/>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5.2 履约担保用于补偿甲方因乙方不能完成其合同义务而蒙受的损失。</w:t>
      </w:r>
    </w:p>
    <w:p>
      <w:pPr>
        <w:pStyle w:val="35"/>
        <w:spacing w:before="0" w:after="0" w:line="400" w:lineRule="exact"/>
        <w:ind w:firstLine="480" w:firstLineChars="200"/>
        <w:jc w:val="both"/>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5.3 乙方提供履约担保的形式、金额及期限可采用以</w:t>
      </w:r>
      <w:r>
        <w:rPr>
          <w:rFonts w:hint="eastAsia" w:ascii="仿宋_GB2312" w:hAnsi="仿宋_GB2312" w:eastAsia="仿宋_GB2312" w:cs="仿宋_GB2312"/>
          <w:sz w:val="24"/>
          <w:szCs w:val="24"/>
          <w:u w:val="single"/>
          <w:lang w:bidi="ar"/>
        </w:rPr>
        <w:t xml:space="preserve">  </w:t>
      </w:r>
      <w:r>
        <w:rPr>
          <w:rFonts w:hint="eastAsia" w:ascii="仿宋_GB2312" w:hAnsi="仿宋_GB2312" w:eastAsia="仿宋_GB2312" w:cs="仿宋_GB2312"/>
          <w:sz w:val="24"/>
          <w:szCs w:val="24"/>
          <w:lang w:bidi="ar"/>
        </w:rPr>
        <w:t>方式：</w:t>
      </w:r>
    </w:p>
    <w:p>
      <w:pPr>
        <w:pStyle w:val="35"/>
        <w:spacing w:before="0" w:after="0" w:line="400" w:lineRule="exact"/>
        <w:ind w:firstLine="480" w:firstLineChars="200"/>
        <w:jc w:val="both"/>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（1）采用银行履约保函形式，银行履约保函的担保额度为</w:t>
      </w:r>
      <w:r>
        <w:rPr>
          <w:rFonts w:hint="eastAsia" w:ascii="仿宋_GB2312" w:hAnsi="仿宋_GB2312" w:eastAsia="仿宋_GB2312" w:cs="仿宋_GB2312"/>
          <w:sz w:val="24"/>
          <w:szCs w:val="24"/>
          <w:u w:val="single"/>
          <w:lang w:bidi="ar"/>
        </w:rPr>
        <w:t>合同价的10%</w:t>
      </w:r>
      <w:r>
        <w:rPr>
          <w:rFonts w:hint="eastAsia" w:ascii="仿宋_GB2312" w:hAnsi="仿宋_GB2312" w:eastAsia="仿宋_GB2312" w:cs="仿宋_GB2312"/>
          <w:sz w:val="24"/>
          <w:szCs w:val="24"/>
          <w:lang w:bidi="ar"/>
        </w:rPr>
        <w:t>，担保期限为自保函生效之日起，至服务期满之日止。银行履约保函应为在中国境内注册和营业的银行出具的、以甲方为受益人首次申请即作为无条件付款的保函，银行履约保函格式具体详见合同附录。</w:t>
      </w:r>
    </w:p>
    <w:p>
      <w:pPr>
        <w:pStyle w:val="35"/>
        <w:spacing w:before="0" w:after="0" w:line="400" w:lineRule="exact"/>
        <w:ind w:firstLine="480" w:firstLineChars="200"/>
        <w:jc w:val="both"/>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（2）采用现金形式，现金担保额度为</w:t>
      </w:r>
      <w:r>
        <w:rPr>
          <w:rFonts w:hint="eastAsia" w:ascii="仿宋_GB2312" w:hAnsi="仿宋_GB2312" w:eastAsia="仿宋_GB2312" w:cs="仿宋_GB2312"/>
          <w:sz w:val="24"/>
          <w:szCs w:val="24"/>
          <w:u w:val="single"/>
          <w:lang w:bidi="ar"/>
        </w:rPr>
        <w:t>合同价的10%</w:t>
      </w:r>
      <w:r>
        <w:rPr>
          <w:rFonts w:hint="eastAsia" w:ascii="仿宋_GB2312" w:hAnsi="仿宋_GB2312" w:eastAsia="仿宋_GB2312" w:cs="仿宋_GB2312"/>
          <w:sz w:val="24"/>
          <w:szCs w:val="24"/>
          <w:lang w:bidi="ar"/>
        </w:rPr>
        <w:t>，担保期限为履约保证金到账之日起，至服务期满之日止。履约担保以现金形式提交的，乙方应从其基本账户通过转帐或电汇至甲方指定的账户。</w:t>
      </w:r>
      <w:r>
        <w:rPr>
          <w:rFonts w:hint="eastAsia" w:ascii="仿宋_GB2312" w:hAnsi="仿宋_GB2312" w:eastAsia="仿宋_GB2312" w:cs="仿宋_GB2312"/>
          <w:sz w:val="24"/>
          <w:u w:val="single"/>
        </w:rPr>
        <w:t>户名        ；开户行：           账号：         。</w:t>
      </w:r>
    </w:p>
    <w:p>
      <w:pPr>
        <w:pStyle w:val="35"/>
        <w:spacing w:before="0" w:after="0" w:line="400" w:lineRule="exact"/>
        <w:ind w:firstLine="480" w:firstLineChars="200"/>
        <w:jc w:val="both"/>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5.4 在乙方完成其合同义务包括任何保证义务后，甲方将把履约担保无息退还乙方。</w:t>
      </w:r>
    </w:p>
    <w:bookmarkEnd w:id="40"/>
    <w:bookmarkEnd w:id="41"/>
    <w:p>
      <w:pPr>
        <w:snapToGrid w:val="0"/>
        <w:spacing w:line="400" w:lineRule="exact"/>
        <w:ind w:firstLine="482" w:firstLineChars="200"/>
        <w:outlineLvl w:val="0"/>
        <w:rPr>
          <w:rFonts w:hint="eastAsia" w:ascii="仿宋_GB2312" w:hAnsi="宋体" w:eastAsia="仿宋_GB2312" w:cs="仿宋_GB2312"/>
          <w:b/>
          <w:sz w:val="24"/>
        </w:rPr>
      </w:pPr>
      <w:r>
        <w:rPr>
          <w:rFonts w:hint="eastAsia" w:ascii="仿宋_GB2312" w:hAnsi="宋体" w:eastAsia="仿宋_GB2312" w:cs="仿宋_GB2312"/>
          <w:b/>
          <w:sz w:val="24"/>
          <w:lang w:bidi="ar"/>
        </w:rPr>
        <w:t>6. 甲方权利和义务</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6.1 甲方有权要求乙方按照合同约定履约。</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6.2 非经甲方书面同意，乙方不得向任何第三方透露本项目的任何内容。</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6.3 甲方按照合同约定支付合同款项。</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6.4 在项目执行期间，甲方应向乙方的工作人员提供必要工作便利。</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6.5 甲方应指定专人或专项小组与乙方对接具体工作，及时向乙方提供该项目的相关资料，以保证乙方能提出合理可行的工作建议和成果。</w:t>
      </w:r>
    </w:p>
    <w:p>
      <w:pPr>
        <w:snapToGrid w:val="0"/>
        <w:spacing w:line="400" w:lineRule="exact"/>
        <w:ind w:firstLine="482" w:firstLineChars="200"/>
        <w:outlineLvl w:val="0"/>
        <w:rPr>
          <w:rFonts w:hint="eastAsia" w:ascii="仿宋_GB2312" w:hAnsi="宋体" w:eastAsia="仿宋_GB2312" w:cs="仿宋_GB2312"/>
          <w:b/>
          <w:sz w:val="24"/>
        </w:rPr>
      </w:pPr>
      <w:r>
        <w:rPr>
          <w:rFonts w:hint="eastAsia" w:ascii="仿宋_GB2312" w:hAnsi="宋体" w:eastAsia="仿宋_GB2312" w:cs="仿宋_GB2312"/>
          <w:b/>
          <w:sz w:val="24"/>
          <w:lang w:bidi="ar"/>
        </w:rPr>
        <w:t>7. 乙方职责</w:t>
      </w:r>
    </w:p>
    <w:p>
      <w:pPr>
        <w:snapToGrid w:val="0"/>
        <w:spacing w:line="400" w:lineRule="exact"/>
        <w:ind w:firstLine="480" w:firstLineChars="200"/>
        <w:rPr>
          <w:rFonts w:hint="eastAsia" w:ascii="仿宋_GB2312" w:hAnsi="宋体" w:eastAsia="仿宋_GB2312" w:cs="仿宋_GB2312"/>
          <w:sz w:val="24"/>
          <w:lang w:bidi="ar"/>
        </w:rPr>
      </w:pPr>
      <w:r>
        <w:rPr>
          <w:rFonts w:hint="eastAsia" w:ascii="仿宋_GB2312" w:hAnsi="宋体" w:eastAsia="仿宋_GB2312" w:cs="仿宋_GB2312"/>
          <w:sz w:val="24"/>
          <w:lang w:bidi="ar"/>
        </w:rPr>
        <w:t>7.1 按照国家现行的标准、规范和规程，根据合同约定的技术要求，按合同约定的进度，</w:t>
      </w:r>
      <w:r>
        <w:rPr>
          <w:rFonts w:hint="eastAsia" w:ascii="仿宋_GB2312" w:eastAsia="仿宋_GB2312"/>
          <w:sz w:val="24"/>
        </w:rPr>
        <w:t>负责项目计划和管理、负责提供方法论，</w:t>
      </w:r>
      <w:r>
        <w:rPr>
          <w:rFonts w:hint="eastAsia" w:ascii="仿宋_GB2312" w:hAnsi="宋体" w:eastAsia="仿宋_GB2312" w:cs="仿宋_GB2312"/>
          <w:sz w:val="24"/>
          <w:lang w:bidi="ar"/>
        </w:rPr>
        <w:t>提交研究成果，并对其质量负责。交付成果不满足甲方要求的，乙方应及时、无偿予以修订、完善。</w:t>
      </w:r>
    </w:p>
    <w:p>
      <w:pPr>
        <w:snapToGrid w:val="0"/>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lang w:bidi="ar"/>
        </w:rPr>
        <w:t>7.2 配备并提供为完成本项目各阶段工作所涉及</w:t>
      </w:r>
      <w:r>
        <w:rPr>
          <w:rFonts w:hint="eastAsia" w:ascii="仿宋_GB2312" w:hAnsi="仿宋" w:eastAsia="仿宋_GB2312"/>
          <w:sz w:val="24"/>
        </w:rPr>
        <w:t>必要的办公、通讯、交通等设施、设备,以及履行本合同所需的所有特殊仪器、工具，并承担所有有关费用</w:t>
      </w:r>
      <w:r>
        <w:rPr>
          <w:rFonts w:hint="eastAsia" w:ascii="仿宋_GB2312" w:hAnsi="宋体" w:eastAsia="仿宋_GB2312" w:cs="仿宋_GB2312"/>
          <w:sz w:val="24"/>
          <w:lang w:bidi="ar"/>
        </w:rPr>
        <w:t>。</w:t>
      </w:r>
    </w:p>
    <w:p>
      <w:pPr>
        <w:snapToGrid w:val="0"/>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lang w:bidi="ar"/>
        </w:rPr>
        <w:t xml:space="preserve">7.3 </w:t>
      </w:r>
      <w:r>
        <w:rPr>
          <w:rFonts w:hint="eastAsia" w:ascii="仿宋_GB2312" w:hAnsi="仿宋" w:eastAsia="仿宋_GB2312"/>
          <w:sz w:val="24"/>
        </w:rPr>
        <w:t>项目实施团队中的乙方人员在本合同履行期间必须接受和服从甲方项目管理机构的监管。</w:t>
      </w:r>
    </w:p>
    <w:p>
      <w:pPr>
        <w:snapToGrid w:val="0"/>
        <w:spacing w:line="400" w:lineRule="exact"/>
        <w:ind w:firstLine="480" w:firstLineChars="200"/>
        <w:rPr>
          <w:rFonts w:hint="eastAsia" w:ascii="仿宋_GB2312" w:hAnsi="宋体" w:eastAsia="仿宋_GB2312" w:cs="仿宋_GB2312"/>
          <w:sz w:val="24"/>
          <w:lang w:bidi="ar"/>
        </w:rPr>
      </w:pPr>
      <w:r>
        <w:rPr>
          <w:rFonts w:hint="eastAsia" w:ascii="仿宋_GB2312" w:hAnsi="宋体" w:eastAsia="仿宋_GB2312" w:cs="仿宋_GB2312"/>
          <w:sz w:val="24"/>
          <w:lang w:bidi="ar"/>
        </w:rPr>
        <w:t>7.4 应遵守国家规定的各项法律法规规章制度，严格按照合同要求及地铁行业所制定的规章制度进行作业。</w:t>
      </w:r>
    </w:p>
    <w:p>
      <w:pPr>
        <w:snapToGrid w:val="0"/>
        <w:spacing w:line="400" w:lineRule="exact"/>
        <w:ind w:firstLine="480" w:firstLineChars="200"/>
        <w:rPr>
          <w:rFonts w:hint="eastAsia" w:ascii="仿宋_GB2312" w:hAnsi="仿宋" w:eastAsia="仿宋_GB2312"/>
          <w:sz w:val="24"/>
        </w:rPr>
      </w:pPr>
      <w:r>
        <w:rPr>
          <w:rFonts w:hint="eastAsia" w:ascii="仿宋_GB2312" w:hAnsi="宋体" w:eastAsia="仿宋_GB2312" w:cs="仿宋_GB2312"/>
          <w:sz w:val="24"/>
          <w:lang w:bidi="ar"/>
        </w:rPr>
        <w:t xml:space="preserve">7.5 </w:t>
      </w:r>
      <w:r>
        <w:rPr>
          <w:rFonts w:hint="eastAsia" w:ascii="仿宋_GB2312" w:hAnsi="仿宋" w:eastAsia="仿宋_GB2312"/>
          <w:sz w:val="24"/>
        </w:rPr>
        <w:t>对于甲方提供的资料，若乙方认为存在不准确或不完整情形时，乙方应及时向甲方提出。</w:t>
      </w:r>
    </w:p>
    <w:p>
      <w:pPr>
        <w:snapToGrid w:val="0"/>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lang w:bidi="ar"/>
        </w:rPr>
        <w:t>7.6 积极配合甲方评审验收并协助甲方评估审核。</w:t>
      </w:r>
    </w:p>
    <w:p>
      <w:pPr>
        <w:snapToGrid w:val="0"/>
        <w:spacing w:line="400" w:lineRule="exact"/>
        <w:ind w:left="480"/>
        <w:rPr>
          <w:rFonts w:hint="eastAsia" w:ascii="仿宋_GB2312" w:hAnsi="宋体" w:eastAsia="仿宋_GB2312" w:cs="仿宋_GB2312"/>
          <w:sz w:val="24"/>
          <w:lang w:bidi="ar"/>
        </w:rPr>
      </w:pPr>
      <w:r>
        <w:rPr>
          <w:rFonts w:hint="eastAsia" w:ascii="仿宋_GB2312" w:hAnsi="宋体" w:eastAsia="仿宋_GB2312" w:cs="仿宋_GB2312"/>
          <w:sz w:val="24"/>
          <w:lang w:bidi="ar"/>
        </w:rPr>
        <w:t>7.7 按约定技术要求及乙方承诺，提供质保、售后、培训等相关服务。</w:t>
      </w:r>
    </w:p>
    <w:p>
      <w:pPr>
        <w:snapToGrid w:val="0"/>
        <w:spacing w:line="400" w:lineRule="exact"/>
        <w:ind w:left="480"/>
        <w:rPr>
          <w:rFonts w:hint="eastAsia" w:ascii="仿宋_GB2312" w:hAnsi="宋体" w:eastAsia="仿宋_GB2312" w:cs="仿宋_GB2312"/>
          <w:sz w:val="24"/>
          <w:lang w:bidi="ar"/>
        </w:rPr>
      </w:pPr>
      <w:r>
        <w:rPr>
          <w:rFonts w:hint="eastAsia" w:ascii="仿宋_GB2312" w:hAnsi="宋体" w:eastAsia="仿宋_GB2312" w:cs="仿宋_GB2312"/>
          <w:sz w:val="24"/>
          <w:lang w:bidi="ar"/>
        </w:rPr>
        <w:t>7.8 乙方有义务无偿提供回访服务、后续服务支持和技术咨询。</w:t>
      </w:r>
    </w:p>
    <w:p>
      <w:pPr>
        <w:snapToGrid w:val="0"/>
        <w:spacing w:line="400" w:lineRule="exact"/>
        <w:ind w:firstLine="472" w:firstLineChars="196"/>
        <w:rPr>
          <w:rFonts w:hint="eastAsia" w:ascii="仿宋_GB2312" w:hAnsi="宋体" w:eastAsia="仿宋_GB2312" w:cs="仿宋_GB2312"/>
          <w:b/>
          <w:sz w:val="24"/>
          <w:lang w:bidi="ar"/>
        </w:rPr>
      </w:pPr>
      <w:r>
        <w:rPr>
          <w:rFonts w:hint="eastAsia" w:ascii="仿宋_GB2312" w:hAnsi="宋体" w:eastAsia="仿宋_GB2312" w:cs="仿宋_GB2312"/>
          <w:b/>
          <w:sz w:val="24"/>
          <w:lang w:bidi="ar"/>
        </w:rPr>
        <w:t>8.  项目验收</w:t>
      </w:r>
    </w:p>
    <w:p>
      <w:pPr>
        <w:snapToGrid w:val="0"/>
        <w:spacing w:line="400" w:lineRule="exact"/>
        <w:ind w:firstLine="470" w:firstLineChars="196"/>
        <w:rPr>
          <w:rFonts w:hint="eastAsia" w:ascii="仿宋_GB2312" w:hAnsi="宋体" w:eastAsia="仿宋_GB2312" w:cs="仿宋_GB2312"/>
          <w:bCs/>
          <w:sz w:val="24"/>
          <w:lang w:bidi="ar"/>
        </w:rPr>
      </w:pPr>
      <w:r>
        <w:rPr>
          <w:rFonts w:hint="eastAsia" w:ascii="仿宋_GB2312" w:hAnsi="宋体" w:eastAsia="仿宋_GB2312" w:cs="仿宋_GB2312"/>
          <w:bCs/>
          <w:sz w:val="24"/>
          <w:lang w:bidi="ar"/>
        </w:rPr>
        <w:t>8.1 项目验收：</w:t>
      </w:r>
      <w:r>
        <w:rPr>
          <w:rFonts w:hint="eastAsia" w:ascii="仿宋_GB2312" w:hAnsi="宋体" w:eastAsia="仿宋_GB2312" w:cs="仿宋_GB2312"/>
          <w:sz w:val="24"/>
          <w:u w:val="single"/>
          <w:lang w:bidi="ar"/>
        </w:rPr>
        <w:t>乙方按合同及技术要求约定完成相关工作并提交项目成果，经甲方检查审核后，乙方组织项目最终验收。完成知识共享和知识转移，双方达成共识后，通过最终验收，甲方签署《终验报告》。</w:t>
      </w:r>
      <w:r>
        <w:rPr>
          <w:rFonts w:hint="eastAsia" w:ascii="仿宋_GB2312" w:hAnsi="宋体" w:eastAsia="仿宋_GB2312" w:cs="仿宋_GB2312"/>
          <w:bCs/>
          <w:sz w:val="24"/>
          <w:u w:val="single"/>
          <w:lang w:bidi="ar"/>
        </w:rPr>
        <w:t>项目验收详见附件用户需求书/技术规格书。</w:t>
      </w:r>
    </w:p>
    <w:p>
      <w:pPr>
        <w:snapToGrid w:val="0"/>
        <w:spacing w:line="400" w:lineRule="exact"/>
        <w:ind w:firstLine="472" w:firstLineChars="196"/>
        <w:rPr>
          <w:rFonts w:hint="eastAsia" w:ascii="仿宋_GB2312" w:hAnsi="宋体" w:eastAsia="仿宋_GB2312" w:cs="仿宋_GB2312"/>
          <w:b/>
          <w:sz w:val="24"/>
          <w:lang w:bidi="ar"/>
        </w:rPr>
      </w:pPr>
      <w:r>
        <w:rPr>
          <w:rFonts w:hint="eastAsia" w:ascii="仿宋_GB2312" w:hAnsi="宋体" w:eastAsia="仿宋_GB2312" w:cs="仿宋_GB2312"/>
          <w:b/>
          <w:sz w:val="24"/>
          <w:lang w:bidi="ar"/>
        </w:rPr>
        <w:t>9.  保密条款</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9.1乙方对甲方提供的信息资料严格保密，并且不得用于其它商业运作。</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9.2</w:t>
      </w:r>
      <w:r>
        <w:rPr>
          <w:rFonts w:hint="eastAsia" w:eastAsia="仿宋_GB2312"/>
          <w:sz w:val="24"/>
        </w:rPr>
        <w:t>未</w:t>
      </w:r>
      <w:r>
        <w:rPr>
          <w:rFonts w:hint="eastAsia" w:ascii="仿宋_GB2312" w:hAnsi="仿宋" w:eastAsia="仿宋_GB2312"/>
          <w:sz w:val="24"/>
        </w:rPr>
        <w:t>经甲方同意，乙方不得将甲方提供的信息资料向任何“第三方”披露。</w:t>
      </w:r>
    </w:p>
    <w:p>
      <w:pPr>
        <w:snapToGrid w:val="0"/>
        <w:spacing w:line="400" w:lineRule="exact"/>
        <w:ind w:left="480"/>
        <w:rPr>
          <w:rFonts w:hint="eastAsia" w:ascii="仿宋_GB2312" w:hAnsi="仿宋" w:eastAsia="仿宋_GB2312"/>
          <w:sz w:val="24"/>
        </w:rPr>
      </w:pPr>
      <w:r>
        <w:rPr>
          <w:rFonts w:hint="eastAsia" w:ascii="仿宋_GB2312" w:hAnsi="仿宋" w:eastAsia="仿宋_GB2312"/>
          <w:sz w:val="24"/>
        </w:rPr>
        <w:t>9.3本合同终止后，保密条款同样生效。</w:t>
      </w:r>
    </w:p>
    <w:p>
      <w:pPr>
        <w:snapToGrid w:val="0"/>
        <w:spacing w:line="400" w:lineRule="exact"/>
        <w:ind w:firstLine="482" w:firstLineChars="200"/>
        <w:outlineLvl w:val="0"/>
        <w:rPr>
          <w:rFonts w:hint="eastAsia" w:ascii="仿宋_GB2312" w:hAnsi="仿宋" w:eastAsia="仿宋_GB2312"/>
          <w:b/>
          <w:sz w:val="24"/>
        </w:rPr>
      </w:pPr>
      <w:r>
        <w:rPr>
          <w:rFonts w:hint="eastAsia" w:ascii="仿宋_GB2312" w:hAnsi="仿宋" w:eastAsia="仿宋_GB2312"/>
          <w:b/>
          <w:sz w:val="24"/>
        </w:rPr>
        <w:t>10.  违约责任</w:t>
      </w:r>
    </w:p>
    <w:p>
      <w:pPr>
        <w:snapToGrid w:val="0"/>
        <w:spacing w:line="400" w:lineRule="exact"/>
        <w:ind w:firstLine="470" w:firstLineChars="196"/>
        <w:rPr>
          <w:rFonts w:hint="eastAsia" w:ascii="仿宋_GB2312" w:hAnsi="宋体" w:eastAsia="仿宋_GB2312" w:cs="仿宋_GB2312"/>
          <w:sz w:val="24"/>
          <w:lang w:bidi="ar"/>
        </w:rPr>
      </w:pPr>
      <w:r>
        <w:rPr>
          <w:rFonts w:hint="eastAsia" w:ascii="仿宋_GB2312" w:hAnsi="宋体" w:eastAsia="仿宋_GB2312" w:cs="仿宋_GB2312"/>
          <w:sz w:val="24"/>
          <w:lang w:bidi="ar"/>
        </w:rPr>
        <w:t>1、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10日，乙方应自逾期之日起每逾期一日按逾期项目成果对应的合同款额度的5‰向甲方支付违约金。当违约金累计超过本合同总金额的10%，甲方有权解除合同，并要求乙方赔偿甲方因此而造成的全部损失（包括直接损失和预期利益损失，以下同）。</w:t>
      </w:r>
    </w:p>
    <w:p>
      <w:pPr>
        <w:snapToGrid w:val="0"/>
        <w:spacing w:line="400" w:lineRule="exact"/>
        <w:ind w:firstLine="470" w:firstLineChars="196"/>
        <w:rPr>
          <w:rFonts w:hint="eastAsia" w:ascii="仿宋_GB2312" w:hAnsi="宋体" w:eastAsia="仿宋_GB2312" w:cs="仿宋_GB2312"/>
          <w:sz w:val="24"/>
          <w:lang w:bidi="ar"/>
        </w:rPr>
      </w:pPr>
      <w:r>
        <w:rPr>
          <w:rFonts w:hint="eastAsia" w:ascii="仿宋_GB2312" w:hAnsi="宋体" w:eastAsia="仿宋_GB2312" w:cs="仿宋_GB2312"/>
          <w:sz w:val="24"/>
          <w:lang w:bidi="ar"/>
        </w:rPr>
        <w:t>2、原则上不允许更换项目关键岗位人员，确需更换的，乙方应按相关工程管理规定向甲方申请办理变更手续。经甲方审批同意，每更换一名关键岗位人员，乙方应按签约酬金的0.5%交纳违约金；未经甲方审批同意擅自变更的，一经查实，乙方应按上述标准的双倍交纳违约金。</w:t>
      </w:r>
    </w:p>
    <w:p>
      <w:pPr>
        <w:snapToGrid w:val="0"/>
        <w:spacing w:line="400" w:lineRule="exact"/>
        <w:ind w:firstLine="470" w:firstLineChars="196"/>
        <w:rPr>
          <w:rFonts w:hint="eastAsia" w:ascii="仿宋_GB2312" w:hAnsi="宋体" w:eastAsia="仿宋_GB2312" w:cs="仿宋_GB2312"/>
          <w:sz w:val="24"/>
          <w:lang w:bidi="ar"/>
        </w:rPr>
      </w:pPr>
      <w:r>
        <w:rPr>
          <w:rFonts w:hint="eastAsia" w:ascii="仿宋_GB2312" w:hAnsi="宋体" w:eastAsia="仿宋_GB2312" w:cs="仿宋_GB2312"/>
          <w:sz w:val="24"/>
          <w:lang w:bidi="ar"/>
        </w:rPr>
        <w:t>3、乙方正式提交的项目成果经甲方两次验收不通过，甲方有权拒付该项目成果对应的合同款，且有权解除合同，并要求乙方赔偿甲方因此而造成的全部损失。</w:t>
      </w:r>
    </w:p>
    <w:p>
      <w:pPr>
        <w:snapToGrid w:val="0"/>
        <w:spacing w:line="400" w:lineRule="exact"/>
        <w:ind w:firstLine="470" w:firstLineChars="196"/>
        <w:rPr>
          <w:rFonts w:hint="eastAsia" w:ascii="仿宋_GB2312" w:hAnsi="宋体" w:eastAsia="仿宋_GB2312" w:cs="仿宋_GB2312"/>
          <w:sz w:val="24"/>
          <w:lang w:bidi="ar"/>
        </w:rPr>
      </w:pPr>
      <w:r>
        <w:rPr>
          <w:rFonts w:hint="eastAsia" w:ascii="仿宋_GB2312" w:hAnsi="宋体" w:eastAsia="仿宋_GB2312" w:cs="仿宋_GB2312"/>
          <w:sz w:val="24"/>
          <w:lang w:bidi="ar"/>
        </w:rPr>
        <w:t>4、乙方在非法定或本合同约定的情形下，未经甲方同意单方解除合同，甲方有权要求乙方赔偿甲方因此而造成的直接损失。</w:t>
      </w:r>
    </w:p>
    <w:p>
      <w:pPr>
        <w:snapToGrid w:val="0"/>
        <w:spacing w:line="400" w:lineRule="exact"/>
        <w:ind w:firstLine="470" w:firstLineChars="196"/>
        <w:rPr>
          <w:rFonts w:hint="eastAsia" w:ascii="仿宋_GB2312" w:hAnsi="宋体" w:eastAsia="仿宋_GB2312" w:cs="仿宋_GB2312"/>
          <w:sz w:val="24"/>
          <w:lang w:bidi="ar"/>
        </w:rPr>
      </w:pPr>
      <w:r>
        <w:rPr>
          <w:rFonts w:hint="eastAsia" w:ascii="仿宋_GB2312" w:hAnsi="宋体" w:eastAsia="仿宋_GB2312" w:cs="仿宋_GB2312"/>
          <w:sz w:val="24"/>
          <w:lang w:bidi="ar"/>
        </w:rPr>
        <w:t>5、乙方未按本合同及法律法规的规定履行其他职责或未按约定履行保密协议的，应向甲方支付本合同总价款10%的违约金，由此给甲方造成损失的应承担全部赔偿责任。</w:t>
      </w:r>
    </w:p>
    <w:p>
      <w:pPr>
        <w:snapToGrid w:val="0"/>
        <w:spacing w:line="400" w:lineRule="exact"/>
        <w:ind w:firstLine="470" w:firstLineChars="196"/>
        <w:rPr>
          <w:rFonts w:hint="eastAsia" w:ascii="仿宋_GB2312" w:hAnsi="宋体" w:eastAsia="仿宋_GB2312" w:cs="仿宋_GB2312"/>
          <w:sz w:val="24"/>
          <w:lang w:bidi="ar"/>
        </w:rPr>
      </w:pPr>
      <w:r>
        <w:rPr>
          <w:rFonts w:hint="eastAsia" w:ascii="仿宋_GB2312" w:hAnsi="宋体" w:eastAsia="仿宋_GB2312" w:cs="仿宋_GB2312"/>
          <w:sz w:val="24"/>
          <w:lang w:bidi="ar"/>
        </w:rPr>
        <w:t>6、乙方违反本合同技术成果归属规定的，应向甲方承担本合同总价款10%的违约金，且甲方有权解除合同，由此给甲方造成的全部损失均由乙方承担。</w:t>
      </w:r>
    </w:p>
    <w:p>
      <w:pPr>
        <w:snapToGrid w:val="0"/>
        <w:spacing w:line="400" w:lineRule="exact"/>
        <w:ind w:firstLine="470" w:firstLineChars="196"/>
        <w:rPr>
          <w:rFonts w:hint="eastAsia" w:ascii="仿宋_GB2312" w:hAnsi="宋体" w:eastAsia="仿宋_GB2312" w:cs="仿宋_GB2312"/>
          <w:sz w:val="24"/>
          <w:lang w:bidi="ar"/>
        </w:rPr>
      </w:pPr>
      <w:r>
        <w:rPr>
          <w:rFonts w:hint="eastAsia" w:ascii="仿宋_GB2312" w:hAnsi="宋体" w:eastAsia="仿宋_GB2312" w:cs="仿宋_GB2312"/>
          <w:sz w:val="24"/>
          <w:lang w:bidi="ar"/>
        </w:rPr>
        <w:t>7、乙方未在本合同签订后15个工作日内提供履约担保的，甲方有权要求乙方交纳1000元/天的违约金。</w:t>
      </w:r>
    </w:p>
    <w:p>
      <w:pPr>
        <w:snapToGrid w:val="0"/>
        <w:spacing w:line="400" w:lineRule="exact"/>
        <w:ind w:firstLine="472" w:firstLineChars="196"/>
        <w:rPr>
          <w:rFonts w:hint="eastAsia" w:ascii="仿宋_GB2312" w:hAnsi="宋体" w:eastAsia="仿宋_GB2312" w:cs="仿宋_GB2312"/>
          <w:b/>
          <w:sz w:val="24"/>
          <w:lang w:bidi="ar"/>
        </w:rPr>
      </w:pPr>
      <w:r>
        <w:rPr>
          <w:rFonts w:hint="eastAsia" w:ascii="仿宋_GB2312" w:hAnsi="宋体" w:eastAsia="仿宋_GB2312" w:cs="仿宋_GB2312"/>
          <w:b/>
          <w:sz w:val="24"/>
          <w:lang w:bidi="ar"/>
        </w:rPr>
        <w:t>11  技术成果归属</w:t>
      </w:r>
    </w:p>
    <w:p>
      <w:pPr>
        <w:snapToGrid w:val="0"/>
        <w:spacing w:line="400" w:lineRule="exact"/>
        <w:ind w:firstLine="470" w:firstLineChars="196"/>
        <w:rPr>
          <w:rFonts w:hint="eastAsia" w:ascii="仿宋_GB2312" w:hAnsi="宋体" w:eastAsia="仿宋_GB2312" w:cs="仿宋_GB2312"/>
          <w:sz w:val="24"/>
          <w:lang w:bidi="ar"/>
        </w:rPr>
      </w:pPr>
      <w:r>
        <w:rPr>
          <w:rFonts w:hint="eastAsia" w:ascii="仿宋_GB2312" w:hAnsi="宋体" w:eastAsia="仿宋_GB2312" w:cs="仿宋_GB2312"/>
          <w:sz w:val="24"/>
          <w:lang w:bidi="ar"/>
        </w:rPr>
        <w:t>11.1 在履行本合同过程中，乙方为履行本合同所交付甲方的研究成果，阶段性文件，测试资料，以及甲方利用乙方提供的相关文件等，均归甲方所有，任何单位及个人，未经甲方允许，不得作为其他用途。</w:t>
      </w:r>
    </w:p>
    <w:p>
      <w:pPr>
        <w:snapToGrid w:val="0"/>
        <w:spacing w:line="400" w:lineRule="exact"/>
        <w:ind w:firstLine="470" w:firstLineChars="196"/>
        <w:rPr>
          <w:rFonts w:hint="eastAsia" w:ascii="仿宋_GB2312" w:hAnsi="宋体" w:eastAsia="仿宋_GB2312" w:cs="仿宋_GB2312"/>
          <w:sz w:val="24"/>
        </w:rPr>
      </w:pPr>
      <w:r>
        <w:rPr>
          <w:rFonts w:hint="eastAsia" w:ascii="仿宋_GB2312" w:hAnsi="宋体" w:eastAsia="仿宋_GB2312" w:cs="仿宋_GB2312"/>
          <w:sz w:val="24"/>
          <w:lang w:bidi="ar"/>
        </w:rPr>
        <w:t xml:space="preserve">11.2 </w:t>
      </w:r>
      <w:r>
        <w:rPr>
          <w:rFonts w:hint="eastAsia" w:ascii="仿宋_GB2312" w:eastAsia="仿宋_GB2312"/>
          <w:sz w:val="24"/>
        </w:rPr>
        <w:t>如任何第三方声称乙方提供给甲方的项目成果侵犯该方的专利、著作权、商标权和商业秘密，甲方会把该等权利主张立即书面通知乙方，乙方将负责自费就上述权利主张进行抗辩或应诉，并在辩护及有关的和解谈判中具有控制权，甲方同意与乙方合作。乙方应最终负责支付法院生效裁判的或经乙方同意的和解中包括的由甲方承担的损害赔偿金、财产保全费、公证费、诉讼费和律师费一切费用。</w:t>
      </w:r>
    </w:p>
    <w:p>
      <w:pPr>
        <w:snapToGrid w:val="0"/>
        <w:spacing w:line="400" w:lineRule="exact"/>
        <w:ind w:firstLine="472" w:firstLineChars="196"/>
        <w:rPr>
          <w:rFonts w:hint="eastAsia" w:ascii="仿宋_GB2312" w:hAnsi="宋体" w:eastAsia="仿宋_GB2312" w:cs="仿宋_GB2312"/>
          <w:b/>
          <w:sz w:val="24"/>
          <w:lang w:bidi="ar"/>
        </w:rPr>
      </w:pPr>
      <w:r>
        <w:rPr>
          <w:rFonts w:hint="eastAsia" w:ascii="仿宋_GB2312" w:hAnsi="宋体" w:eastAsia="仿宋_GB2312" w:cs="仿宋_GB2312"/>
          <w:b/>
          <w:sz w:val="24"/>
          <w:lang w:bidi="ar"/>
        </w:rPr>
        <w:t>12.  不可抗力</w:t>
      </w:r>
    </w:p>
    <w:p>
      <w:pPr>
        <w:snapToGrid w:val="0"/>
        <w:spacing w:line="400" w:lineRule="exact"/>
        <w:ind w:firstLine="470" w:firstLineChars="196"/>
        <w:rPr>
          <w:rFonts w:hint="eastAsia" w:ascii="仿宋_GB2312" w:hAnsi="宋体" w:eastAsia="仿宋_GB2312" w:cs="仿宋_GB2312"/>
          <w:sz w:val="24"/>
        </w:rPr>
      </w:pPr>
      <w:r>
        <w:rPr>
          <w:rFonts w:hint="eastAsia" w:ascii="仿宋_GB2312" w:hAnsi="宋体" w:eastAsia="仿宋_GB2312" w:cs="仿宋_GB2312"/>
          <w:sz w:val="24"/>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 10天内将有关当局出具的证明文件用特快专递或挂号信寄给对方审阅确认。</w:t>
      </w:r>
    </w:p>
    <w:p>
      <w:pPr>
        <w:snapToGrid w:val="0"/>
        <w:spacing w:line="400" w:lineRule="exact"/>
        <w:ind w:firstLine="482" w:firstLineChars="200"/>
        <w:outlineLvl w:val="0"/>
        <w:rPr>
          <w:rFonts w:hint="eastAsia" w:ascii="仿宋_GB2312" w:hAnsi="宋体" w:eastAsia="仿宋_GB2312" w:cs="仿宋_GB2312"/>
          <w:b/>
          <w:sz w:val="24"/>
        </w:rPr>
      </w:pPr>
      <w:r>
        <w:rPr>
          <w:rFonts w:hint="eastAsia" w:ascii="仿宋_GB2312" w:hAnsi="宋体" w:eastAsia="仿宋_GB2312" w:cs="仿宋_GB2312"/>
          <w:b/>
          <w:sz w:val="24"/>
          <w:lang w:bidi="ar"/>
        </w:rPr>
        <w:t>13  争议解决</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13.1 在合同履行过程中出现任何争议，双方应协商解决。</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13.2 若双方协商在一方向另一方发出要求协商解决的书面通知后的30日内不能达成一致，向长沙市雨花区人民法院提起诉讼。</w:t>
      </w:r>
    </w:p>
    <w:p>
      <w:pPr>
        <w:snapToGrid w:val="0"/>
        <w:spacing w:line="400" w:lineRule="exact"/>
        <w:ind w:firstLine="480" w:firstLineChars="200"/>
        <w:outlineLvl w:val="0"/>
        <w:rPr>
          <w:rFonts w:hint="eastAsia" w:ascii="仿宋_GB2312" w:hAnsi="仿宋" w:eastAsia="仿宋_GB2312"/>
          <w:sz w:val="24"/>
        </w:rPr>
      </w:pPr>
      <w:r>
        <w:rPr>
          <w:rFonts w:hint="eastAsia" w:ascii="仿宋_GB2312" w:hAnsi="仿宋" w:eastAsia="仿宋_GB2312"/>
          <w:sz w:val="24"/>
        </w:rPr>
        <w:t>13.3 诉讼进行期间，除必须在诉讼过程中进行解决的部分问题外，合同其余部分应继续履行，即双方将继续履行诉讼部分以外的合同义务。</w:t>
      </w:r>
    </w:p>
    <w:p>
      <w:pPr>
        <w:snapToGrid w:val="0"/>
        <w:spacing w:line="400" w:lineRule="exact"/>
        <w:ind w:firstLine="482" w:firstLineChars="200"/>
        <w:outlineLvl w:val="1"/>
        <w:rPr>
          <w:rFonts w:hint="eastAsia" w:ascii="仿宋_GB2312" w:hAnsi="仿宋" w:eastAsia="仿宋_GB2312"/>
          <w:b/>
          <w:sz w:val="24"/>
        </w:rPr>
      </w:pPr>
      <w:r>
        <w:rPr>
          <w:rFonts w:hint="eastAsia" w:ascii="仿宋_GB2312" w:hAnsi="仿宋" w:eastAsia="仿宋_GB2312"/>
          <w:b/>
          <w:sz w:val="24"/>
        </w:rPr>
        <w:t>14.  合同终止</w:t>
      </w:r>
    </w:p>
    <w:p>
      <w:pPr>
        <w:snapToGrid w:val="0"/>
        <w:spacing w:line="400" w:lineRule="exact"/>
        <w:ind w:firstLine="480" w:firstLineChars="200"/>
        <w:outlineLvl w:val="1"/>
        <w:rPr>
          <w:rFonts w:hint="eastAsia" w:ascii="仿宋_GB2312" w:hAnsi="仿宋" w:eastAsia="仿宋_GB2312"/>
          <w:bCs/>
          <w:sz w:val="24"/>
        </w:rPr>
      </w:pPr>
      <w:r>
        <w:rPr>
          <w:rFonts w:hint="eastAsia" w:ascii="仿宋_GB2312" w:hAnsi="仿宋" w:eastAsia="仿宋_GB2312"/>
          <w:bCs/>
          <w:sz w:val="24"/>
        </w:rPr>
        <w:t>除合同解除外，以下条件全部满足时，本合同终止：</w:t>
      </w:r>
    </w:p>
    <w:p>
      <w:pPr>
        <w:numPr>
          <w:ilvl w:val="0"/>
          <w:numId w:val="3"/>
        </w:numPr>
        <w:snapToGrid w:val="0"/>
        <w:spacing w:line="400" w:lineRule="exact"/>
        <w:ind w:firstLine="480" w:firstLineChars="200"/>
        <w:outlineLvl w:val="1"/>
        <w:rPr>
          <w:rFonts w:hint="eastAsia" w:ascii="仿宋_GB2312" w:hAnsi="仿宋" w:eastAsia="仿宋_GB2312"/>
          <w:bCs/>
          <w:sz w:val="24"/>
        </w:rPr>
      </w:pPr>
      <w:r>
        <w:rPr>
          <w:rFonts w:hint="eastAsia" w:ascii="仿宋_GB2312" w:hAnsi="仿宋" w:eastAsia="仿宋_GB2312"/>
          <w:bCs/>
          <w:sz w:val="24"/>
        </w:rPr>
        <w:t>乙方完成本合同约定的全部工作；</w:t>
      </w:r>
    </w:p>
    <w:p>
      <w:pPr>
        <w:numPr>
          <w:ilvl w:val="0"/>
          <w:numId w:val="3"/>
        </w:numPr>
        <w:snapToGrid w:val="0"/>
        <w:spacing w:line="400" w:lineRule="exact"/>
        <w:ind w:firstLine="480" w:firstLineChars="200"/>
        <w:outlineLvl w:val="1"/>
        <w:rPr>
          <w:rFonts w:hint="eastAsia" w:ascii="仿宋_GB2312" w:hAnsi="仿宋" w:eastAsia="仿宋_GB2312"/>
          <w:bCs/>
          <w:sz w:val="24"/>
        </w:rPr>
      </w:pPr>
      <w:r>
        <w:rPr>
          <w:rFonts w:hint="eastAsia" w:ascii="仿宋_GB2312" w:hAnsi="仿宋" w:eastAsia="仿宋_GB2312"/>
          <w:bCs/>
          <w:sz w:val="24"/>
        </w:rPr>
        <w:t>甲方与乙方结清并支付服务费用；</w:t>
      </w:r>
    </w:p>
    <w:p>
      <w:pPr>
        <w:numPr>
          <w:ilvl w:val="0"/>
          <w:numId w:val="3"/>
        </w:numPr>
        <w:snapToGrid w:val="0"/>
        <w:spacing w:line="400" w:lineRule="exact"/>
        <w:ind w:firstLine="480" w:firstLineChars="200"/>
        <w:outlineLvl w:val="1"/>
        <w:rPr>
          <w:rFonts w:hint="eastAsia" w:ascii="仿宋_GB2312" w:hAnsi="仿宋" w:eastAsia="仿宋_GB2312"/>
          <w:bCs/>
          <w:sz w:val="24"/>
        </w:rPr>
      </w:pPr>
      <w:r>
        <w:rPr>
          <w:rFonts w:hint="eastAsia" w:ascii="仿宋_GB2312" w:hAnsi="仿宋" w:eastAsia="仿宋_GB2312"/>
          <w:bCs/>
          <w:sz w:val="24"/>
        </w:rPr>
        <w:t>乙方将将甲方提供的资料归还。</w:t>
      </w:r>
    </w:p>
    <w:p>
      <w:pPr>
        <w:snapToGrid w:val="0"/>
        <w:spacing w:line="400" w:lineRule="exact"/>
        <w:ind w:firstLine="482" w:firstLineChars="200"/>
        <w:outlineLvl w:val="1"/>
        <w:rPr>
          <w:rFonts w:hint="eastAsia" w:ascii="仿宋_GB2312" w:hAnsi="仿宋" w:eastAsia="仿宋_GB2312"/>
          <w:b/>
          <w:sz w:val="24"/>
        </w:rPr>
      </w:pPr>
      <w:r>
        <w:rPr>
          <w:rFonts w:hint="eastAsia" w:ascii="仿宋_GB2312" w:hAnsi="仿宋" w:eastAsia="仿宋_GB2312"/>
          <w:b/>
          <w:sz w:val="24"/>
        </w:rPr>
        <w:t>15.  双方约定的其他事项</w:t>
      </w:r>
    </w:p>
    <w:p>
      <w:pPr>
        <w:snapToGrid w:val="0"/>
        <w:spacing w:line="400" w:lineRule="exact"/>
        <w:ind w:firstLine="480" w:firstLineChars="200"/>
        <w:outlineLvl w:val="1"/>
        <w:rPr>
          <w:rFonts w:hint="eastAsia" w:ascii="仿宋_GB2312" w:hAnsi="仿宋" w:eastAsia="仿宋_GB2312"/>
          <w:bCs/>
          <w:sz w:val="24"/>
        </w:rPr>
      </w:pPr>
      <w:r>
        <w:rPr>
          <w:rFonts w:hint="eastAsia" w:ascii="仿宋_GB2312" w:hAnsi="仿宋" w:eastAsia="仿宋_GB2312"/>
          <w:bCs/>
          <w:sz w:val="24"/>
          <w:u w:val="single"/>
        </w:rPr>
        <w:t xml:space="preserve">                                       </w:t>
      </w:r>
      <w:r>
        <w:rPr>
          <w:rFonts w:hint="eastAsia" w:ascii="仿宋_GB2312" w:hAnsi="仿宋" w:eastAsia="仿宋_GB2312"/>
          <w:bCs/>
          <w:sz w:val="24"/>
        </w:rPr>
        <w:t>。</w:t>
      </w:r>
    </w:p>
    <w:p>
      <w:pPr>
        <w:snapToGrid w:val="0"/>
        <w:spacing w:line="400" w:lineRule="exact"/>
        <w:ind w:firstLine="482" w:firstLineChars="200"/>
        <w:jc w:val="center"/>
        <w:outlineLvl w:val="1"/>
        <w:rPr>
          <w:rFonts w:hint="eastAsia" w:ascii="仿宋_GB2312" w:hAnsi="仿宋" w:eastAsia="仿宋_GB2312"/>
          <w:b/>
          <w:sz w:val="24"/>
        </w:rPr>
      </w:pPr>
      <w:r>
        <w:rPr>
          <w:rFonts w:hint="eastAsia" w:ascii="仿宋_GB2312" w:hAnsi="仿宋" w:eastAsia="仿宋_GB2312"/>
          <w:b/>
          <w:sz w:val="24"/>
        </w:rPr>
        <w:br w:type="page"/>
      </w:r>
      <w:r>
        <w:rPr>
          <w:rFonts w:hint="eastAsia" w:ascii="仿宋_GB2312" w:hAnsi="仿宋" w:eastAsia="仿宋_GB2312"/>
          <w:b/>
          <w:sz w:val="24"/>
        </w:rPr>
        <w:t>第三部分  服务方案</w:t>
      </w:r>
    </w:p>
    <w:p>
      <w:pPr>
        <w:snapToGrid w:val="0"/>
        <w:spacing w:line="400" w:lineRule="exact"/>
        <w:ind w:firstLine="482" w:firstLineChars="200"/>
        <w:jc w:val="center"/>
        <w:outlineLvl w:val="1"/>
        <w:rPr>
          <w:rFonts w:hint="eastAsia" w:ascii="仿宋_GB2312" w:hAnsi="仿宋" w:eastAsia="仿宋_GB2312"/>
          <w:b/>
          <w:sz w:val="24"/>
        </w:rPr>
      </w:pPr>
      <w:r>
        <w:rPr>
          <w:rFonts w:hint="eastAsia" w:ascii="仿宋_GB2312" w:hAnsi="仿宋" w:eastAsia="仿宋_GB2312"/>
          <w:b/>
          <w:sz w:val="24"/>
        </w:rPr>
        <w:br w:type="page"/>
      </w:r>
      <w:r>
        <w:rPr>
          <w:rFonts w:hint="eastAsia" w:ascii="仿宋_GB2312" w:hAnsi="仿宋" w:eastAsia="仿宋_GB2312"/>
          <w:b/>
          <w:sz w:val="24"/>
        </w:rPr>
        <w:t>第四部分  合同附件</w:t>
      </w:r>
    </w:p>
    <w:p>
      <w:pPr>
        <w:adjustRightInd w:val="0"/>
        <w:snapToGrid w:val="0"/>
        <w:spacing w:line="400" w:lineRule="exact"/>
        <w:outlineLvl w:val="1"/>
        <w:rPr>
          <w:rFonts w:ascii="仿宋_GB2312" w:hAnsi="仿宋" w:eastAsia="仿宋_GB2312"/>
          <w:b/>
          <w:sz w:val="24"/>
        </w:rPr>
      </w:pPr>
      <w:bookmarkStart w:id="42" w:name="_Toc454978183"/>
      <w:r>
        <w:rPr>
          <w:rFonts w:hint="eastAsia" w:ascii="仿宋_GB2312" w:hAnsi="仿宋" w:eastAsia="仿宋_GB2312"/>
          <w:b/>
          <w:sz w:val="24"/>
        </w:rPr>
        <w:t>附件一 价格清单</w:t>
      </w:r>
      <w:bookmarkEnd w:id="42"/>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370"/>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序号</w:t>
            </w:r>
          </w:p>
        </w:tc>
        <w:tc>
          <w:tcPr>
            <w:tcW w:w="23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w:t>
            </w:r>
          </w:p>
        </w:tc>
        <w:tc>
          <w:tcPr>
            <w:tcW w:w="23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服务期限</w:t>
            </w:r>
          </w:p>
        </w:tc>
        <w:tc>
          <w:tcPr>
            <w:tcW w:w="5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2</w:t>
            </w:r>
          </w:p>
        </w:tc>
        <w:tc>
          <w:tcPr>
            <w:tcW w:w="23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合同总价</w:t>
            </w:r>
          </w:p>
        </w:tc>
        <w:tc>
          <w:tcPr>
            <w:tcW w:w="5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p>
        </w:tc>
      </w:tr>
    </w:tbl>
    <w:p>
      <w:pPr>
        <w:adjustRightInd w:val="0"/>
        <w:snapToGrid w:val="0"/>
        <w:spacing w:line="400" w:lineRule="exact"/>
        <w:outlineLvl w:val="1"/>
        <w:rPr>
          <w:rFonts w:hint="eastAsia" w:ascii="仿宋_GB2312" w:hAnsi="仿宋" w:eastAsia="仿宋_GB2312"/>
          <w:b/>
          <w:sz w:val="24"/>
        </w:rPr>
      </w:pPr>
    </w:p>
    <w:p>
      <w:pPr>
        <w:snapToGrid w:val="0"/>
        <w:spacing w:line="400" w:lineRule="exact"/>
        <w:rPr>
          <w:rFonts w:ascii="仿宋_GB2312" w:hAnsi="仿宋" w:eastAsia="仿宋_GB2312"/>
          <w:b/>
          <w:sz w:val="24"/>
        </w:rPr>
      </w:pPr>
      <w:bookmarkStart w:id="43" w:name="_Toc454978184"/>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ascii="仿宋_GB2312" w:hAnsi="仿宋" w:eastAsia="仿宋_GB2312"/>
          <w:b/>
          <w:sz w:val="24"/>
        </w:rPr>
      </w:pPr>
    </w:p>
    <w:p>
      <w:pPr>
        <w:snapToGrid w:val="0"/>
        <w:spacing w:line="400" w:lineRule="exact"/>
        <w:rPr>
          <w:rFonts w:hint="eastAsia" w:ascii="仿宋_GB2312" w:hAnsi="仿宋" w:eastAsia="仿宋_GB2312"/>
          <w:b/>
          <w:sz w:val="24"/>
        </w:rPr>
      </w:pPr>
    </w:p>
    <w:p>
      <w:pPr>
        <w:snapToGrid w:val="0"/>
        <w:spacing w:line="400" w:lineRule="exact"/>
        <w:rPr>
          <w:rFonts w:hint="eastAsia" w:ascii="仿宋_GB2312" w:hAnsi="仿宋" w:eastAsia="仿宋_GB2312"/>
          <w:b/>
          <w:sz w:val="24"/>
        </w:rPr>
      </w:pPr>
    </w:p>
    <w:p>
      <w:pPr>
        <w:snapToGrid w:val="0"/>
        <w:spacing w:line="400" w:lineRule="exact"/>
        <w:rPr>
          <w:rFonts w:hint="eastAsia" w:ascii="仿宋_GB2312" w:hAnsi="仿宋" w:eastAsia="仿宋_GB2312"/>
          <w:b/>
          <w:sz w:val="24"/>
        </w:rPr>
      </w:pPr>
    </w:p>
    <w:p>
      <w:pPr>
        <w:snapToGrid w:val="0"/>
        <w:spacing w:line="400" w:lineRule="exact"/>
        <w:rPr>
          <w:rFonts w:hint="eastAsia" w:ascii="仿宋_GB2312" w:hAnsi="仿宋" w:eastAsia="仿宋_GB2312"/>
          <w:b/>
          <w:sz w:val="24"/>
        </w:rPr>
      </w:pPr>
    </w:p>
    <w:p>
      <w:pPr>
        <w:snapToGrid w:val="0"/>
        <w:spacing w:line="400" w:lineRule="exact"/>
        <w:rPr>
          <w:rFonts w:hint="eastAsia" w:ascii="仿宋_GB2312" w:hAnsi="仿宋" w:eastAsia="仿宋_GB2312"/>
          <w:b/>
          <w:sz w:val="24"/>
        </w:rPr>
      </w:pPr>
    </w:p>
    <w:p>
      <w:pPr>
        <w:adjustRightInd w:val="0"/>
        <w:snapToGrid w:val="0"/>
        <w:spacing w:line="400" w:lineRule="exact"/>
        <w:rPr>
          <w:rFonts w:ascii="仿宋_GB2312" w:hAnsi="仿宋" w:eastAsia="仿宋_GB2312"/>
          <w:b/>
          <w:sz w:val="24"/>
        </w:rPr>
      </w:pPr>
      <w:r>
        <w:rPr>
          <w:rFonts w:hint="eastAsia" w:ascii="仿宋_GB2312" w:hAnsi="仿宋" w:eastAsia="仿宋_GB2312"/>
          <w:b/>
          <w:sz w:val="24"/>
        </w:rPr>
        <w:br w:type="page"/>
      </w:r>
      <w:r>
        <w:rPr>
          <w:rFonts w:hint="eastAsia" w:ascii="仿宋_GB2312" w:hAnsi="仿宋" w:eastAsia="仿宋_GB2312"/>
          <w:b/>
          <w:sz w:val="24"/>
        </w:rPr>
        <w:t>附件二 中选通知书</w:t>
      </w:r>
      <w:bookmarkEnd w:id="43"/>
    </w:p>
    <w:p>
      <w:pPr>
        <w:adjustRightInd w:val="0"/>
        <w:snapToGrid w:val="0"/>
        <w:spacing w:line="400" w:lineRule="exact"/>
        <w:rPr>
          <w:rFonts w:hint="eastAsia" w:ascii="仿宋_GB2312" w:hAnsi="仿宋" w:eastAsia="仿宋_GB2312"/>
          <w:b/>
          <w:sz w:val="24"/>
        </w:rPr>
      </w:pPr>
      <w:bookmarkStart w:id="44" w:name="_Toc454978185"/>
      <w:r>
        <w:rPr>
          <w:rFonts w:hint="eastAsia" w:ascii="仿宋_GB2312" w:hAnsi="仿宋" w:eastAsia="仿宋_GB2312"/>
          <w:b/>
          <w:sz w:val="24"/>
        </w:rPr>
        <w:t>附件三 答疑及澄清</w:t>
      </w:r>
    </w:p>
    <w:bookmarkEnd w:id="44"/>
    <w:p>
      <w:pPr>
        <w:adjustRightInd w:val="0"/>
        <w:snapToGrid w:val="0"/>
        <w:spacing w:line="400" w:lineRule="exact"/>
        <w:outlineLvl w:val="1"/>
        <w:rPr>
          <w:rFonts w:ascii="仿宋_GB2312" w:hAnsi="仿宋" w:eastAsia="仿宋_GB2312"/>
          <w:b/>
          <w:sz w:val="24"/>
        </w:rPr>
      </w:pPr>
      <w:bookmarkStart w:id="45" w:name="_Toc454978187"/>
      <w:r>
        <w:rPr>
          <w:rFonts w:hint="eastAsia" w:ascii="仿宋_GB2312" w:hAnsi="仿宋" w:eastAsia="仿宋_GB2312"/>
          <w:b/>
          <w:sz w:val="24"/>
        </w:rPr>
        <w:t>附件四 项目关键岗位人员表</w:t>
      </w:r>
    </w:p>
    <w:p>
      <w:pPr>
        <w:adjustRightInd w:val="0"/>
        <w:snapToGrid w:val="0"/>
        <w:spacing w:line="400" w:lineRule="exact"/>
        <w:outlineLvl w:val="1"/>
        <w:rPr>
          <w:rFonts w:hint="eastAsia" w:ascii="仿宋_GB2312" w:hAnsi="仿宋" w:eastAsia="仿宋_GB2312"/>
          <w:b/>
          <w:sz w:val="24"/>
        </w:rPr>
      </w:pPr>
      <w:r>
        <w:rPr>
          <w:rFonts w:hint="eastAsia" w:ascii="仿宋_GB2312" w:hAnsi="仿宋" w:eastAsia="仿宋_GB2312"/>
          <w:b/>
          <w:sz w:val="24"/>
        </w:rPr>
        <w:t>附件五 廉政</w:t>
      </w:r>
      <w:bookmarkEnd w:id="45"/>
      <w:r>
        <w:rPr>
          <w:rFonts w:hint="eastAsia" w:ascii="仿宋_GB2312" w:hAnsi="仿宋" w:eastAsia="仿宋_GB2312"/>
          <w:b/>
          <w:sz w:val="24"/>
        </w:rPr>
        <w:t>合同</w:t>
      </w:r>
    </w:p>
    <w:p>
      <w:pPr>
        <w:autoSpaceDE w:val="0"/>
        <w:autoSpaceDN w:val="0"/>
        <w:spacing w:line="400" w:lineRule="exact"/>
        <w:jc w:val="center"/>
        <w:textAlignment w:val="bottom"/>
        <w:rPr>
          <w:rFonts w:hint="eastAsia" w:ascii="仿宋" w:hAnsi="仿宋" w:eastAsia="仿宋"/>
          <w:sz w:val="24"/>
        </w:rPr>
      </w:pPr>
      <w:bookmarkStart w:id="46" w:name="_Toc437444975"/>
      <w:r>
        <w:rPr>
          <w:rFonts w:hint="eastAsia" w:ascii="仿宋" w:hAnsi="仿宋" w:eastAsia="仿宋"/>
          <w:b/>
          <w:sz w:val="32"/>
          <w:szCs w:val="36"/>
        </w:rPr>
        <w:t>廉政</w:t>
      </w:r>
      <w:bookmarkEnd w:id="46"/>
      <w:r>
        <w:rPr>
          <w:rFonts w:hint="eastAsia" w:ascii="仿宋" w:hAnsi="仿宋" w:eastAsia="仿宋"/>
          <w:b/>
          <w:sz w:val="32"/>
          <w:szCs w:val="36"/>
        </w:rPr>
        <w:t>合同</w:t>
      </w:r>
    </w:p>
    <w:p>
      <w:pPr>
        <w:spacing w:line="400" w:lineRule="exact"/>
        <w:ind w:firstLine="510"/>
        <w:rPr>
          <w:rFonts w:hint="eastAsia" w:ascii="仿宋_GB2312" w:hAnsi="仿宋" w:eastAsia="仿宋_GB2312"/>
          <w:sz w:val="24"/>
        </w:rPr>
      </w:pPr>
      <w:r>
        <w:rPr>
          <w:rFonts w:hint="eastAsia" w:ascii="仿宋_GB2312" w:hAnsi="仿宋" w:eastAsia="仿宋_GB2312"/>
          <w:sz w:val="24"/>
        </w:rPr>
        <w:t>根据国家法律、法规以及有关廉政的规定，为做好项目中的党风廉政建设，保证项目高效优质，保证项目资金的安全和有效使用以及投资效益，</w:t>
      </w:r>
      <w:r>
        <w:rPr>
          <w:rFonts w:hint="eastAsia" w:ascii="仿宋_GB2312" w:hAnsi="仿宋" w:eastAsia="仿宋_GB2312"/>
          <w:sz w:val="24"/>
          <w:u w:val="single"/>
        </w:rPr>
        <w:t xml:space="preserve">             </w:t>
      </w:r>
      <w:r>
        <w:rPr>
          <w:rFonts w:hint="eastAsia" w:ascii="仿宋_GB2312" w:hAnsi="仿宋" w:eastAsia="仿宋_GB2312"/>
          <w:sz w:val="24"/>
        </w:rPr>
        <w:t>的项目法人</w:t>
      </w:r>
      <w:r>
        <w:rPr>
          <w:rFonts w:hint="eastAsia" w:ascii="仿宋_GB2312" w:hAnsi="仿宋" w:eastAsia="仿宋_GB2312"/>
          <w:sz w:val="24"/>
          <w:u w:val="single"/>
        </w:rPr>
        <w:t xml:space="preserve">       </w:t>
      </w:r>
      <w:r>
        <w:rPr>
          <w:rFonts w:hint="eastAsia" w:ascii="仿宋_GB2312" w:hAnsi="仿宋" w:eastAsia="仿宋_GB2312"/>
          <w:sz w:val="24"/>
        </w:rPr>
        <w:t>(以下称“甲方”)与</w:t>
      </w:r>
      <w:r>
        <w:rPr>
          <w:rFonts w:hint="eastAsia" w:ascii="仿宋_GB2312" w:hAnsi="仿宋" w:eastAsia="仿宋_GB2312"/>
          <w:sz w:val="24"/>
          <w:u w:val="single"/>
        </w:rPr>
        <w:t xml:space="preserve">       </w:t>
      </w:r>
      <w:r>
        <w:rPr>
          <w:rFonts w:hint="eastAsia" w:ascii="仿宋_GB2312" w:hAnsi="仿宋" w:eastAsia="仿宋_GB2312"/>
          <w:sz w:val="24"/>
        </w:rPr>
        <w:t>（以下称“乙方”），特订立如下合同。</w:t>
      </w:r>
    </w:p>
    <w:p>
      <w:pPr>
        <w:snapToGrid w:val="0"/>
        <w:spacing w:line="400" w:lineRule="exact"/>
        <w:ind w:firstLine="510"/>
        <w:rPr>
          <w:rFonts w:hint="eastAsia" w:ascii="仿宋_GB2312" w:hAnsi="仿宋" w:eastAsia="仿宋_GB2312" w:cs="仿宋"/>
          <w:b/>
          <w:sz w:val="24"/>
        </w:rPr>
      </w:pPr>
      <w:r>
        <w:rPr>
          <w:rFonts w:hint="eastAsia" w:ascii="仿宋_GB2312" w:hAnsi="仿宋" w:eastAsia="仿宋_GB2312" w:cs="仿宋"/>
          <w:b/>
          <w:sz w:val="24"/>
        </w:rPr>
        <w:t>第一条 甲乙双方的权利和义务</w:t>
      </w:r>
    </w:p>
    <w:p>
      <w:pPr>
        <w:tabs>
          <w:tab w:val="left" w:pos="2115"/>
        </w:tabs>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（一）严格遵守党和国家有关法律法规及湖南省、长沙市的相关规定。</w:t>
      </w:r>
    </w:p>
    <w:p>
      <w:pPr>
        <w:spacing w:line="400" w:lineRule="exact"/>
        <w:ind w:firstLine="540" w:firstLineChars="225"/>
        <w:rPr>
          <w:rFonts w:hint="eastAsia" w:ascii="仿宋_GB2312" w:hAnsi="仿宋" w:eastAsia="仿宋_GB2312" w:cs="仿宋"/>
          <w:sz w:val="24"/>
        </w:rPr>
      </w:pPr>
      <w:r>
        <w:rPr>
          <w:rFonts w:hint="eastAsia" w:ascii="仿宋_GB2312" w:hAnsi="仿宋" w:eastAsia="仿宋_GB2312" w:cs="仿宋"/>
          <w:sz w:val="24"/>
        </w:rPr>
        <w:t>（二）严格执行</w:t>
      </w:r>
      <w:r>
        <w:rPr>
          <w:rFonts w:hint="eastAsia" w:ascii="仿宋_GB2312" w:hAnsi="仿宋" w:eastAsia="仿宋_GB2312" w:cs="仿宋"/>
          <w:sz w:val="24"/>
          <w:u w:val="single"/>
        </w:rPr>
        <w:t xml:space="preserve">       </w:t>
      </w:r>
      <w:r>
        <w:rPr>
          <w:rFonts w:hint="eastAsia" w:ascii="仿宋_GB2312" w:hAnsi="仿宋" w:eastAsia="仿宋_GB2312" w:cs="仿宋"/>
          <w:sz w:val="24"/>
        </w:rPr>
        <w:t>项目的合同文件（以下简称主合同），自觉按合同办事。</w:t>
      </w:r>
    </w:p>
    <w:p>
      <w:pPr>
        <w:tabs>
          <w:tab w:val="left" w:pos="2115"/>
        </w:tabs>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（三）双方的业务活动坚持公开、公正、诚信、透明的原则（除法律认定的商业秘密和合同文件另有规定之外），不得损害国家和集体利益，违反项目建设规章制度。</w:t>
      </w:r>
    </w:p>
    <w:p>
      <w:pPr>
        <w:tabs>
          <w:tab w:val="left" w:pos="2115"/>
        </w:tabs>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（四）建立健全廉政制度，开展廉政教育，设立廉政告示牌，公布举报电话，监督并认真查处违法违纪行为。</w:t>
      </w:r>
    </w:p>
    <w:p>
      <w:pPr>
        <w:tabs>
          <w:tab w:val="left" w:pos="2115"/>
        </w:tabs>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（五）发现对方在业务活动中有违反廉政规定的行为，有及时提醒对方纠正的权利和义务。</w:t>
      </w:r>
    </w:p>
    <w:p>
      <w:pPr>
        <w:tabs>
          <w:tab w:val="left" w:pos="2115"/>
        </w:tabs>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（六）发现对方严重违反本合同义务条款的行为，有向其上级有关部门举报、建议给予处理并要求告知处理结果的权利。</w:t>
      </w:r>
    </w:p>
    <w:p>
      <w:pPr>
        <w:snapToGrid w:val="0"/>
        <w:spacing w:line="400" w:lineRule="exact"/>
        <w:ind w:firstLine="510"/>
        <w:rPr>
          <w:rFonts w:hint="eastAsia" w:ascii="仿宋_GB2312" w:hAnsi="仿宋" w:eastAsia="仿宋_GB2312" w:cs="仿宋"/>
          <w:b/>
          <w:sz w:val="24"/>
        </w:rPr>
      </w:pPr>
      <w:r>
        <w:rPr>
          <w:rFonts w:hint="eastAsia" w:ascii="仿宋_GB2312" w:hAnsi="仿宋" w:eastAsia="仿宋_GB2312" w:cs="仿宋"/>
          <w:b/>
          <w:sz w:val="24"/>
        </w:rPr>
        <w:t>第二条 甲方的义务</w:t>
      </w:r>
    </w:p>
    <w:p>
      <w:pPr>
        <w:tabs>
          <w:tab w:val="left" w:pos="0"/>
          <w:tab w:val="left" w:pos="2115"/>
        </w:tabs>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（一）甲方及其工作人员不得索要或接受乙方的礼金、有价证券和贵重物品，不得在乙方报销任何应由甲方或个人支付的费用等。</w:t>
      </w:r>
    </w:p>
    <w:p>
      <w:pPr>
        <w:tabs>
          <w:tab w:val="left" w:pos="0"/>
          <w:tab w:val="left" w:pos="2115"/>
        </w:tabs>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（二）甲方工作人员不得参加乙方安排的超标准宴请和娱乐活动；不得接受乙方提供的通讯工具、交通工具和高档办公用品等。</w:t>
      </w:r>
    </w:p>
    <w:p>
      <w:pPr>
        <w:tabs>
          <w:tab w:val="left" w:pos="0"/>
          <w:tab w:val="left" w:pos="2115"/>
        </w:tabs>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（三）甲方及其工作人员不得要求或者接受乙方为其住房装修、婚丧嫁娶活动、配偶子女的工作安排以及出国出境、旅游等提供方便等。</w:t>
      </w:r>
    </w:p>
    <w:p>
      <w:pPr>
        <w:snapToGrid w:val="0"/>
        <w:spacing w:line="400" w:lineRule="exact"/>
        <w:ind w:firstLine="510"/>
        <w:rPr>
          <w:rFonts w:hint="eastAsia" w:ascii="仿宋_GB2312" w:hAnsi="仿宋" w:eastAsia="仿宋_GB2312" w:cs="仿宋"/>
          <w:b/>
          <w:sz w:val="24"/>
        </w:rPr>
      </w:pPr>
      <w:r>
        <w:rPr>
          <w:rFonts w:hint="eastAsia" w:ascii="仿宋_GB2312" w:hAnsi="仿宋" w:eastAsia="仿宋_GB2312" w:cs="仿宋"/>
          <w:b/>
          <w:sz w:val="24"/>
        </w:rPr>
        <w:t>第三条 乙方的义务</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（一）乙方不得以任何理由向甲方及其工作人员行贿或馈赠礼金、有价证券、贵重礼品。</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（二）乙方不得以任何名义为甲方及其工作人员报销应由甲方单位或个人支付的任何费用。</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（三）乙方不得以任何理由安排甲方工作人员参加超标准宴请及娱乐活动。</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（四）乙方不得为甲方单位和个人购置或提供通讯工具、交通工具和高档办公用品等。</w:t>
      </w:r>
    </w:p>
    <w:p>
      <w:pPr>
        <w:snapToGrid w:val="0"/>
        <w:spacing w:line="400" w:lineRule="exact"/>
        <w:ind w:firstLine="510"/>
        <w:rPr>
          <w:rFonts w:hint="eastAsia" w:ascii="仿宋_GB2312" w:hAnsi="仿宋" w:eastAsia="仿宋_GB2312" w:cs="仿宋"/>
          <w:b/>
          <w:sz w:val="24"/>
        </w:rPr>
      </w:pPr>
      <w:r>
        <w:rPr>
          <w:rFonts w:hint="eastAsia" w:ascii="仿宋_GB2312" w:hAnsi="仿宋" w:eastAsia="仿宋_GB2312" w:cs="仿宋"/>
          <w:b/>
          <w:sz w:val="24"/>
        </w:rPr>
        <w:t>第四条 违约责任</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（一）甲方及其工作人员违反本合同第一、二条，按管理权限，依据有关规定给予党纪、政纪或组织处理，调离其工作岗位；涉嫌犯罪的，移交司法机关追究刑事责任；给乙方单位造成经济损失的，应予以赔偿。</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sz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b/>
          <w:sz w:val="24"/>
        </w:rPr>
        <w:t>第五条</w:t>
      </w:r>
      <w:r>
        <w:rPr>
          <w:rFonts w:hint="eastAsia" w:ascii="仿宋_GB2312" w:hAnsi="仿宋" w:eastAsia="仿宋_GB2312" w:cs="仿宋"/>
          <w:sz w:val="24"/>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b/>
          <w:sz w:val="24"/>
        </w:rPr>
        <w:t>第六条</w:t>
      </w:r>
      <w:r>
        <w:rPr>
          <w:rFonts w:hint="eastAsia" w:ascii="仿宋_GB2312" w:hAnsi="仿宋" w:eastAsia="仿宋_GB2312" w:cs="仿宋"/>
          <w:sz w:val="24"/>
        </w:rPr>
        <w:t xml:space="preserve"> 本</w:t>
      </w:r>
      <w:r>
        <w:rPr>
          <w:rFonts w:hint="eastAsia" w:ascii="仿宋_GB2312" w:hAnsi="仿宋" w:cs="仿宋"/>
          <w:sz w:val="24"/>
        </w:rPr>
        <w:t>协议书</w:t>
      </w:r>
      <w:r>
        <w:rPr>
          <w:rFonts w:hint="eastAsia" w:ascii="仿宋_GB2312" w:hAnsi="仿宋" w:eastAsia="仿宋_GB2312" w:cs="仿宋"/>
          <w:sz w:val="24"/>
        </w:rPr>
        <w:t>有效期为甲乙双方签署之日起至主合同完全履行完毕之日止。</w:t>
      </w:r>
    </w:p>
    <w:p>
      <w:pPr>
        <w:snapToGrid w:val="0"/>
        <w:spacing w:line="400" w:lineRule="exact"/>
        <w:ind w:firstLine="510"/>
        <w:rPr>
          <w:rFonts w:hint="eastAsia" w:ascii="仿宋_GB2312" w:hAnsi="仿宋" w:eastAsia="仿宋_GB2312" w:cs="仿宋"/>
          <w:sz w:val="24"/>
        </w:rPr>
      </w:pPr>
      <w:r>
        <w:rPr>
          <w:rFonts w:hint="eastAsia" w:ascii="仿宋_GB2312" w:hAnsi="仿宋" w:eastAsia="仿宋_GB2312" w:cs="仿宋"/>
          <w:b/>
          <w:sz w:val="24"/>
        </w:rPr>
        <w:t>第七条</w:t>
      </w:r>
      <w:r>
        <w:rPr>
          <w:rFonts w:hint="eastAsia" w:ascii="仿宋_GB2312" w:hAnsi="仿宋" w:eastAsia="仿宋_GB2312" w:cs="仿宋"/>
          <w:sz w:val="24"/>
        </w:rPr>
        <w:t xml:space="preserve"> 本</w:t>
      </w:r>
      <w:r>
        <w:rPr>
          <w:rFonts w:hint="eastAsia" w:ascii="仿宋_GB2312" w:hAnsi="仿宋" w:cs="仿宋"/>
          <w:sz w:val="24"/>
        </w:rPr>
        <w:t>协议书</w:t>
      </w:r>
      <w:r>
        <w:rPr>
          <w:rFonts w:hint="eastAsia" w:ascii="仿宋_GB2312" w:hAnsi="仿宋" w:eastAsia="仿宋_GB2312" w:cs="仿宋"/>
          <w:sz w:val="24"/>
        </w:rPr>
        <w:t>作为主合同的附件，与主合同具有同等的法律效力，经合同双方签署立即生效。</w:t>
      </w:r>
    </w:p>
    <w:p>
      <w:pPr>
        <w:spacing w:line="400" w:lineRule="exact"/>
        <w:ind w:firstLine="482" w:firstLineChars="200"/>
        <w:rPr>
          <w:rFonts w:hint="eastAsia" w:ascii="仿宋_GB2312" w:hAnsi="仿宋" w:eastAsia="仿宋_GB2312"/>
          <w:sz w:val="24"/>
        </w:rPr>
      </w:pPr>
      <w:r>
        <w:rPr>
          <w:rFonts w:hint="eastAsia" w:ascii="仿宋_GB2312" w:hAnsi="仿宋" w:eastAsia="仿宋_GB2312"/>
          <w:b/>
          <w:bCs/>
          <w:sz w:val="24"/>
        </w:rPr>
        <w:t>第八条</w:t>
      </w:r>
      <w:r>
        <w:rPr>
          <w:rFonts w:hint="eastAsia" w:ascii="仿宋_GB2312" w:hAnsi="仿宋" w:eastAsia="仿宋_GB2312"/>
          <w:sz w:val="24"/>
        </w:rPr>
        <w:t xml:space="preserve"> 发现有违反相关要求的，可通过以下途径举报：</w:t>
      </w:r>
    </w:p>
    <w:p>
      <w:pPr>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（1）监督举报电话（限短信方式）：15367896</w:t>
      </w:r>
      <w:r>
        <w:rPr>
          <w:rFonts w:hint="eastAsia" w:ascii="仿宋_GB2312" w:hAnsi="仿宋"/>
          <w:sz w:val="24"/>
        </w:rPr>
        <w:t>02</w:t>
      </w:r>
      <w:r>
        <w:rPr>
          <w:rFonts w:hint="eastAsia" w:ascii="仿宋_GB2312" w:hAnsi="仿宋" w:eastAsia="仿宋_GB2312"/>
          <w:sz w:val="24"/>
        </w:rPr>
        <w:t>9，15874975219。</w:t>
      </w:r>
    </w:p>
    <w:p>
      <w:pPr>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（2）举报邮箱：</w:t>
      </w:r>
      <w:r>
        <w:fldChar w:fldCharType="begin"/>
      </w:r>
      <w:r>
        <w:instrText xml:space="preserve"> HYPERLINK "mailto:yygsjbyx2015@163.com。" </w:instrText>
      </w:r>
      <w:r>
        <w:fldChar w:fldCharType="separate"/>
      </w:r>
      <w:r>
        <w:rPr>
          <w:rStyle w:val="55"/>
          <w:rFonts w:hint="eastAsia" w:ascii="仿宋_GB2312" w:hAnsi="仿宋" w:eastAsia="仿宋_GB2312"/>
          <w:sz w:val="24"/>
        </w:rPr>
        <w:t>yygsjbyx2015@163.com。</w:t>
      </w:r>
      <w:r>
        <w:rPr>
          <w:rStyle w:val="55"/>
          <w:rFonts w:hint="eastAsia" w:ascii="仿宋_GB2312" w:hAnsi="仿宋" w:eastAsia="仿宋_GB2312"/>
          <w:sz w:val="24"/>
        </w:rPr>
        <w:fldChar w:fldCharType="end"/>
      </w:r>
    </w:p>
    <w:p>
      <w:pPr>
        <w:spacing w:line="400" w:lineRule="exact"/>
        <w:ind w:firstLine="480" w:firstLineChars="200"/>
        <w:rPr>
          <w:rFonts w:hint="eastAsia" w:ascii="仿宋_GB2312" w:hAnsi="仿宋" w:eastAsia="仿宋_GB2312"/>
          <w:sz w:val="24"/>
        </w:rPr>
      </w:pPr>
    </w:p>
    <w:p>
      <w:pPr>
        <w:snapToGrid w:val="0"/>
        <w:spacing w:line="40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t>甲方单位：</w:t>
      </w:r>
      <w:r>
        <w:rPr>
          <w:rFonts w:hint="eastAsia" w:ascii="仿宋_GB2312" w:hAnsi="仿宋_GB2312" w:eastAsia="仿宋_GB2312" w:cs="仿宋_GB2312"/>
          <w:szCs w:val="21"/>
          <w:u w:val="single"/>
        </w:rPr>
        <w:t xml:space="preserve"> （盖章）         </w:t>
      </w:r>
      <w:r>
        <w:rPr>
          <w:rFonts w:hint="eastAsia" w:ascii="仿宋_GB2312" w:hAnsi="仿宋_GB2312" w:eastAsia="仿宋_GB2312" w:cs="仿宋_GB2312"/>
          <w:szCs w:val="21"/>
        </w:rPr>
        <w:t xml:space="preserve">                 乙方单位：</w:t>
      </w:r>
      <w:r>
        <w:rPr>
          <w:rFonts w:hint="eastAsia" w:ascii="仿宋_GB2312" w:hAnsi="仿宋_GB2312" w:eastAsia="仿宋_GB2312" w:cs="仿宋_GB2312"/>
          <w:szCs w:val="21"/>
          <w:u w:val="single"/>
        </w:rPr>
        <w:t xml:space="preserve"> （盖章）          </w:t>
      </w:r>
    </w:p>
    <w:p>
      <w:pPr>
        <w:snapToGrid w:val="0"/>
        <w:spacing w:line="40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t>法定代表人：</w:t>
      </w:r>
      <w:r>
        <w:rPr>
          <w:rFonts w:hint="eastAsia" w:ascii="仿宋_GB2312" w:hAnsi="仿宋_GB2312" w:eastAsia="仿宋_GB2312" w:cs="仿宋_GB2312"/>
          <w:szCs w:val="21"/>
          <w:u w:val="single"/>
        </w:rPr>
        <w:t xml:space="preserve">（签字）         </w:t>
      </w:r>
      <w:r>
        <w:rPr>
          <w:rFonts w:hint="eastAsia" w:ascii="仿宋_GB2312" w:hAnsi="仿宋_GB2312" w:eastAsia="仿宋_GB2312" w:cs="仿宋_GB2312"/>
          <w:szCs w:val="21"/>
        </w:rPr>
        <w:t xml:space="preserve">                 法定代表人：</w:t>
      </w:r>
      <w:r>
        <w:rPr>
          <w:rFonts w:hint="eastAsia" w:ascii="仿宋_GB2312" w:hAnsi="仿宋_GB2312" w:eastAsia="仿宋_GB2312" w:cs="仿宋_GB2312"/>
          <w:szCs w:val="21"/>
          <w:u w:val="single"/>
        </w:rPr>
        <w:t xml:space="preserve"> （签字）        </w:t>
      </w:r>
    </w:p>
    <w:p>
      <w:pPr>
        <w:snapToGri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或授权代理人：</w:t>
      </w:r>
      <w:r>
        <w:rPr>
          <w:rFonts w:hint="eastAsia" w:ascii="仿宋_GB2312" w:hAnsi="仿宋_GB2312" w:eastAsia="仿宋_GB2312" w:cs="仿宋_GB2312"/>
          <w:szCs w:val="21"/>
          <w:u w:val="single"/>
        </w:rPr>
        <w:t xml:space="preserve">（签字）        </w:t>
      </w:r>
      <w:r>
        <w:rPr>
          <w:rFonts w:hint="eastAsia" w:ascii="仿宋_GB2312" w:hAnsi="仿宋_GB2312" w:eastAsia="仿宋_GB2312" w:cs="仿宋_GB2312"/>
          <w:szCs w:val="21"/>
        </w:rPr>
        <w:t xml:space="preserve">                或授权代理人：</w:t>
      </w:r>
      <w:r>
        <w:rPr>
          <w:rFonts w:hint="eastAsia" w:ascii="仿宋_GB2312" w:hAnsi="仿宋_GB2312" w:eastAsia="仿宋_GB2312" w:cs="仿宋_GB2312"/>
          <w:szCs w:val="21"/>
          <w:u w:val="single"/>
        </w:rPr>
        <w:t xml:space="preserve">（签字）        </w:t>
      </w:r>
    </w:p>
    <w:p>
      <w:pPr>
        <w:snapToGrid w:val="0"/>
        <w:spacing w:line="40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napToGrid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日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pPr>
        <w:snapToGrid w:val="0"/>
        <w:spacing w:line="40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t>甲方监督单位：</w:t>
      </w:r>
      <w:r>
        <w:rPr>
          <w:rFonts w:hint="eastAsia" w:ascii="仿宋_GB2312" w:hAnsi="仿宋_GB2312" w:eastAsia="仿宋_GB2312" w:cs="仿宋_GB2312"/>
          <w:szCs w:val="21"/>
          <w:u w:val="single"/>
        </w:rPr>
        <w:t xml:space="preserve">（盖章）      </w:t>
      </w:r>
      <w:r>
        <w:rPr>
          <w:rFonts w:hint="eastAsia" w:ascii="仿宋_GB2312" w:hAnsi="仿宋_GB2312" w:eastAsia="仿宋_GB2312" w:cs="仿宋_GB2312"/>
          <w:szCs w:val="21"/>
        </w:rPr>
        <w:t xml:space="preserve">                  乙方监督单位：</w:t>
      </w:r>
      <w:r>
        <w:rPr>
          <w:rFonts w:hint="eastAsia" w:ascii="仿宋_GB2312" w:hAnsi="仿宋_GB2312" w:eastAsia="仿宋_GB2312" w:cs="仿宋_GB2312"/>
          <w:szCs w:val="21"/>
          <w:u w:val="single"/>
        </w:rPr>
        <w:t xml:space="preserve">（盖章）        </w:t>
      </w:r>
    </w:p>
    <w:p>
      <w:pPr>
        <w:snapToGrid w:val="0"/>
        <w:spacing w:line="400" w:lineRule="exact"/>
        <w:rPr>
          <w:rFonts w:hint="eastAsia" w:ascii="仿宋" w:hAnsi="仿宋" w:eastAsia="仿宋"/>
          <w:b/>
          <w:sz w:val="24"/>
        </w:rPr>
      </w:pPr>
    </w:p>
    <w:p>
      <w:pPr>
        <w:adjustRightInd w:val="0"/>
        <w:snapToGrid w:val="0"/>
        <w:spacing w:line="400" w:lineRule="exact"/>
        <w:jc w:val="center"/>
        <w:outlineLvl w:val="0"/>
        <w:rPr>
          <w:rFonts w:hint="eastAsia" w:ascii="宋体" w:hAnsi="宋体"/>
          <w:b/>
          <w:sz w:val="32"/>
          <w:szCs w:val="32"/>
        </w:rPr>
      </w:pPr>
      <w:bookmarkStart w:id="47" w:name="_Toc454978188"/>
    </w:p>
    <w:p>
      <w:pPr>
        <w:adjustRightInd w:val="0"/>
        <w:snapToGrid w:val="0"/>
        <w:spacing w:line="400" w:lineRule="exact"/>
        <w:jc w:val="center"/>
        <w:outlineLvl w:val="0"/>
        <w:rPr>
          <w:rFonts w:hint="eastAsia" w:ascii="宋体" w:hAnsi="宋体"/>
          <w:b/>
          <w:sz w:val="32"/>
          <w:szCs w:val="32"/>
        </w:rPr>
      </w:pPr>
    </w:p>
    <w:p>
      <w:pPr>
        <w:adjustRightInd w:val="0"/>
        <w:snapToGrid w:val="0"/>
        <w:spacing w:line="400" w:lineRule="exact"/>
        <w:jc w:val="center"/>
        <w:outlineLvl w:val="0"/>
        <w:rPr>
          <w:rFonts w:hint="eastAsia" w:ascii="宋体" w:hAnsi="宋体"/>
          <w:b/>
          <w:sz w:val="32"/>
          <w:szCs w:val="32"/>
        </w:rPr>
      </w:pPr>
    </w:p>
    <w:p>
      <w:pPr>
        <w:pStyle w:val="15"/>
        <w:snapToGrid w:val="0"/>
        <w:spacing w:line="360" w:lineRule="auto"/>
        <w:ind w:firstLine="0"/>
        <w:outlineLvl w:val="1"/>
        <w:rPr>
          <w:rFonts w:ascii="仿宋_GB2312" w:hAnsi="仿宋_GB2312" w:eastAsia="仿宋_GB2312" w:cs="仿宋_GB2312"/>
          <w:b/>
          <w:sz w:val="24"/>
        </w:rPr>
      </w:pPr>
      <w:r>
        <w:rPr>
          <w:rFonts w:hint="eastAsia" w:ascii="仿宋_GB2312" w:hAnsi="仿宋_GB2312" w:eastAsia="仿宋_GB2312" w:cs="仿宋_GB2312"/>
          <w:b/>
          <w:sz w:val="24"/>
        </w:rPr>
        <w:t>附件六</w:t>
      </w:r>
      <w:r>
        <w:rPr>
          <w:rFonts w:ascii="仿宋_GB2312" w:hAnsi="仿宋_GB2312" w:eastAsia="仿宋_GB2312" w:cs="仿宋_GB2312"/>
          <w:b/>
          <w:sz w:val="24"/>
        </w:rPr>
        <w:t xml:space="preserve"> </w:t>
      </w:r>
      <w:r>
        <w:rPr>
          <w:rFonts w:hint="eastAsia" w:ascii="仿宋_GB2312" w:hAnsi="仿宋_GB2312" w:eastAsia="仿宋_GB2312" w:cs="仿宋_GB2312"/>
          <w:b/>
          <w:sz w:val="24"/>
        </w:rPr>
        <w:t>保密协议</w:t>
      </w:r>
    </w:p>
    <w:p>
      <w:pPr>
        <w:widowControl/>
        <w:snapToGrid w:val="0"/>
        <w:spacing w:line="360" w:lineRule="auto"/>
        <w:jc w:val="center"/>
        <w:rPr>
          <w:rFonts w:ascii="仿宋_GB2312" w:hAnsi="仿宋_GB2312" w:eastAsia="仿宋_GB2312" w:cs="仿宋_GB2312"/>
          <w:kern w:val="0"/>
          <w:sz w:val="32"/>
          <w:szCs w:val="32"/>
          <w:lang w:bidi="en-US"/>
        </w:rPr>
      </w:pPr>
      <w:r>
        <w:rPr>
          <w:rFonts w:hint="eastAsia" w:ascii="仿宋_GB2312" w:hAnsi="仿宋_GB2312" w:eastAsia="仿宋_GB2312" w:cs="仿宋_GB2312"/>
          <w:b/>
          <w:bCs/>
          <w:smallCaps/>
          <w:kern w:val="0"/>
          <w:sz w:val="32"/>
          <w:szCs w:val="32"/>
          <w:lang w:bidi="en-US"/>
        </w:rPr>
        <w:t>保密协议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u w:val="single"/>
          <w:lang w:bidi="en-US"/>
        </w:rPr>
      </w:pPr>
      <w:r>
        <w:rPr>
          <w:rFonts w:hint="eastAsia" w:ascii="仿宋_GB2312" w:hAnsi="仿宋_GB2312" w:eastAsia="仿宋_GB2312" w:cs="仿宋_GB2312"/>
          <w:kern w:val="0"/>
          <w:sz w:val="24"/>
          <w:lang w:bidi="en-US"/>
        </w:rPr>
        <w:t>甲方（全称）：</w:t>
      </w:r>
      <w:r>
        <w:rPr>
          <w:rFonts w:ascii="仿宋_GB2312" w:hAnsi="仿宋_GB2312" w:eastAsia="仿宋_GB2312" w:cs="仿宋_GB2312"/>
          <w:kern w:val="0"/>
          <w:sz w:val="24"/>
          <w:u w:val="single"/>
          <w:lang w:bidi="en-US"/>
        </w:rPr>
        <w:t xml:space="preserve">                      </w:t>
      </w: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乙方（全称）：</w:t>
      </w:r>
      <w:r>
        <w:rPr>
          <w:rFonts w:ascii="仿宋_GB2312" w:hAnsi="仿宋_GB2312" w:eastAsia="仿宋_GB2312" w:cs="仿宋_GB2312"/>
          <w:kern w:val="0"/>
          <w:sz w:val="24"/>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鉴于甲方和乙方签订的</w:t>
      </w:r>
      <w:r>
        <w:rPr>
          <w:rFonts w:ascii="仿宋_GB2312" w:hAnsi="仿宋_GB2312" w:eastAsia="仿宋_GB2312" w:cs="仿宋_GB2312"/>
          <w:kern w:val="0"/>
          <w:sz w:val="24"/>
          <w:u w:val="single"/>
          <w:lang w:bidi="en-US"/>
        </w:rPr>
        <w:t xml:space="preserve">                </w:t>
      </w:r>
      <w:r>
        <w:rPr>
          <w:rFonts w:hint="eastAsia" w:ascii="仿宋_GB2312" w:hAnsi="仿宋_GB2312" w:eastAsia="仿宋_GB2312" w:cs="仿宋_GB2312"/>
          <w:kern w:val="0"/>
          <w:sz w:val="24"/>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第一条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宋体" w:hAnsi="宋体" w:cs="宋体"/>
          <w:kern w:val="0"/>
          <w:sz w:val="24"/>
          <w:lang w:bidi="en-US"/>
        </w:rPr>
        <w:t> </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第二条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第三条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kern w:val="0"/>
          <w:sz w:val="24"/>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第四条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lang w:bidi="en-US"/>
        </w:rPr>
        <w:t>人民币</w:t>
      </w:r>
      <w:r>
        <w:rPr>
          <w:rFonts w:ascii="仿宋_GB2312" w:hAnsi="仿宋_GB2312" w:eastAsia="仿宋_GB2312" w:cs="仿宋_GB2312"/>
          <w:b/>
          <w:kern w:val="0"/>
          <w:sz w:val="24"/>
          <w:u w:val="single"/>
          <w:lang w:bidi="en-US"/>
        </w:rPr>
        <w:t>1000</w:t>
      </w:r>
      <w:r>
        <w:rPr>
          <w:rFonts w:hint="eastAsia" w:ascii="仿宋_GB2312" w:hAnsi="仿宋_GB2312" w:eastAsia="仿宋_GB2312" w:cs="仿宋_GB2312"/>
          <w:b/>
          <w:kern w:val="0"/>
          <w:sz w:val="24"/>
          <w:lang w:bidi="en-US"/>
        </w:rPr>
        <w:t>元</w:t>
      </w:r>
      <w:r>
        <w:rPr>
          <w:rFonts w:hint="eastAsia" w:ascii="仿宋_GB2312" w:hAnsi="仿宋_GB2312" w:eastAsia="仿宋_GB2312" w:cs="仿宋_GB2312"/>
          <w:kern w:val="0"/>
          <w:sz w:val="24"/>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w:t>
      </w:r>
      <w:r>
        <w:rPr>
          <w:rFonts w:ascii="仿宋_GB2312" w:hAnsi="仿宋_GB2312" w:eastAsia="仿宋_GB2312" w:cs="仿宋_GB2312"/>
          <w:kern w:val="0"/>
          <w:sz w:val="24"/>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w:t>
      </w:r>
      <w:r>
        <w:rPr>
          <w:rFonts w:ascii="仿宋_GB2312" w:hAnsi="仿宋_GB2312" w:eastAsia="仿宋_GB2312" w:cs="仿宋_GB2312"/>
          <w:kern w:val="0"/>
          <w:sz w:val="24"/>
          <w:lang w:bidi="en-US"/>
        </w:rPr>
        <w:t>2）因乙方的违反协议行为给甲方造成的经济损失，损失赔偿金额为</w:t>
      </w:r>
      <w:r>
        <w:rPr>
          <w:rFonts w:hint="eastAsia" w:ascii="仿宋_GB2312" w:hAnsi="仿宋_GB2312" w:eastAsia="仿宋_GB2312" w:cs="仿宋_GB2312"/>
          <w:b/>
          <w:kern w:val="0"/>
          <w:sz w:val="24"/>
          <w:lang w:bidi="en-US"/>
        </w:rPr>
        <w:t>主合同签约合同价的</w:t>
      </w:r>
      <w:r>
        <w:rPr>
          <w:rFonts w:ascii="仿宋_GB2312" w:hAnsi="仿宋_GB2312" w:eastAsia="仿宋_GB2312" w:cs="仿宋_GB2312"/>
          <w:b/>
          <w:kern w:val="0"/>
          <w:sz w:val="24"/>
          <w:u w:val="single"/>
          <w:lang w:bidi="en-US"/>
        </w:rPr>
        <w:t>1</w:t>
      </w:r>
      <w:r>
        <w:rPr>
          <w:rFonts w:hint="eastAsia" w:ascii="仿宋_GB2312" w:hAnsi="仿宋_GB2312" w:eastAsia="仿宋_GB2312" w:cs="仿宋_GB2312"/>
          <w:b/>
          <w:kern w:val="0"/>
          <w:sz w:val="24"/>
          <w:lang w:bidi="en-US"/>
        </w:rPr>
        <w:t>％</w:t>
      </w:r>
      <w:r>
        <w:rPr>
          <w:rFonts w:hint="eastAsia" w:ascii="仿宋_GB2312" w:hAnsi="仿宋_GB2312" w:eastAsia="仿宋_GB2312" w:cs="仿宋_GB2312"/>
          <w:kern w:val="0"/>
          <w:sz w:val="24"/>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第五条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因执行本协议而发生的纠纷，可由双方协商解决；协商不成的，任何一方有权向</w:t>
      </w:r>
      <w:r>
        <w:rPr>
          <w:rFonts w:hint="eastAsia" w:ascii="仿宋_GB2312" w:hAnsi="仿宋_GB2312" w:eastAsia="仿宋_GB2312" w:cs="仿宋_GB2312"/>
          <w:kern w:val="0"/>
          <w:sz w:val="24"/>
          <w:u w:val="single"/>
          <w:lang w:bidi="en-US"/>
        </w:rPr>
        <w:t>长沙市雨花区人民法院</w:t>
      </w:r>
      <w:r>
        <w:rPr>
          <w:rFonts w:hint="eastAsia" w:ascii="仿宋_GB2312" w:hAnsi="仿宋_GB2312" w:eastAsia="仿宋_GB2312" w:cs="仿宋_GB2312"/>
          <w:kern w:val="0"/>
          <w:sz w:val="24"/>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第六条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br w:type="page"/>
      </w:r>
      <w:r>
        <w:rPr>
          <w:rFonts w:hint="eastAsia" w:ascii="仿宋_GB2312" w:hAnsi="仿宋_GB2312" w:eastAsia="仿宋_GB2312" w:cs="仿宋_GB2312"/>
          <w:kern w:val="0"/>
          <w:sz w:val="24"/>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kern w:val="0"/>
                <w:sz w:val="24"/>
              </w:rPr>
            </w:pPr>
            <w:bookmarkStart w:id="48" w:name="3"/>
            <w:bookmarkEnd w:id="48"/>
            <w:r>
              <w:rPr>
                <w:rFonts w:hint="eastAsia" w:ascii="仿宋_GB2312" w:hAnsi="仿宋_GB2312" w:eastAsia="仿宋_GB2312" w:cs="仿宋_GB2312"/>
                <w:kern w:val="0"/>
                <w:sz w:val="24"/>
              </w:rPr>
              <w:t>甲方：</w:t>
            </w:r>
            <w:r>
              <w:rPr>
                <w:rFonts w:ascii="仿宋_GB2312" w:hAnsi="仿宋_GB2312" w:eastAsia="仿宋_GB2312" w:cs="仿宋_GB2312"/>
                <w:kern w:val="0"/>
                <w:sz w:val="24"/>
              </w:rPr>
              <w:t>(盖章)</w:t>
            </w:r>
          </w:p>
        </w:tc>
        <w:tc>
          <w:tcPr>
            <w:tcW w:w="4252" w:type="dxa"/>
          </w:tcPr>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adjustRightInd w:val="0"/>
        <w:snapToGrid w:val="0"/>
        <w:spacing w:line="400" w:lineRule="exact"/>
        <w:outlineLvl w:val="0"/>
        <w:rPr>
          <w:rFonts w:hint="eastAsia" w:ascii="宋体" w:hAnsi="宋体"/>
          <w:b/>
          <w:sz w:val="32"/>
          <w:szCs w:val="32"/>
        </w:rPr>
      </w:pPr>
    </w:p>
    <w:p>
      <w:pPr>
        <w:adjustRightInd w:val="0"/>
        <w:snapToGrid w:val="0"/>
        <w:spacing w:line="400" w:lineRule="exact"/>
        <w:jc w:val="center"/>
        <w:outlineLvl w:val="0"/>
        <w:rPr>
          <w:rFonts w:hint="eastAsia" w:ascii="宋体" w:hAnsi="宋体"/>
          <w:b/>
          <w:sz w:val="32"/>
          <w:szCs w:val="32"/>
        </w:rPr>
      </w:pPr>
    </w:p>
    <w:p>
      <w:pPr>
        <w:adjustRightInd w:val="0"/>
        <w:snapToGrid w:val="0"/>
        <w:spacing w:line="400" w:lineRule="exact"/>
        <w:jc w:val="center"/>
        <w:outlineLvl w:val="0"/>
        <w:rPr>
          <w:rFonts w:hint="eastAsia" w:ascii="宋体" w:hAnsi="宋体"/>
          <w:b/>
          <w:sz w:val="32"/>
          <w:szCs w:val="32"/>
        </w:rPr>
      </w:pPr>
      <w:r>
        <w:rPr>
          <w:rFonts w:hint="eastAsia" w:ascii="宋体" w:hAnsi="宋体"/>
          <w:b/>
          <w:sz w:val="32"/>
          <w:szCs w:val="32"/>
        </w:rPr>
        <w:br w:type="page"/>
      </w:r>
      <w:r>
        <w:rPr>
          <w:rFonts w:hint="eastAsia" w:ascii="宋体" w:hAnsi="宋体"/>
          <w:b/>
          <w:sz w:val="32"/>
          <w:szCs w:val="32"/>
        </w:rPr>
        <w:t>合同附录</w:t>
      </w:r>
      <w:bookmarkEnd w:id="47"/>
    </w:p>
    <w:p>
      <w:pPr>
        <w:adjustRightInd w:val="0"/>
        <w:snapToGrid w:val="0"/>
        <w:spacing w:line="400" w:lineRule="exact"/>
        <w:outlineLvl w:val="1"/>
        <w:rPr>
          <w:rFonts w:hint="eastAsia" w:ascii="仿宋_GB2312" w:hAnsi="仿宋" w:eastAsia="仿宋_GB2312"/>
          <w:b/>
          <w:sz w:val="24"/>
        </w:rPr>
      </w:pPr>
      <w:bookmarkStart w:id="49" w:name="_Toc454978189"/>
      <w:r>
        <w:rPr>
          <w:rFonts w:hint="eastAsia" w:ascii="仿宋_GB2312" w:hAnsi="仿宋" w:eastAsia="仿宋_GB2312"/>
          <w:b/>
          <w:sz w:val="24"/>
        </w:rPr>
        <w:t>附录一 授权委托书（格式）</w:t>
      </w:r>
      <w:bookmarkEnd w:id="49"/>
    </w:p>
    <w:p>
      <w:pPr>
        <w:spacing w:line="400" w:lineRule="exact"/>
        <w:jc w:val="center"/>
        <w:rPr>
          <w:rFonts w:hint="eastAsia" w:ascii="仿宋_GB2312" w:hAnsi="仿宋" w:eastAsia="仿宋_GB2312"/>
          <w:b/>
          <w:sz w:val="32"/>
          <w:szCs w:val="32"/>
        </w:rPr>
      </w:pPr>
      <w:r>
        <w:rPr>
          <w:rFonts w:hint="eastAsia" w:ascii="仿宋_GB2312" w:hAnsi="仿宋" w:eastAsia="仿宋_GB2312"/>
          <w:b/>
          <w:sz w:val="32"/>
          <w:szCs w:val="32"/>
        </w:rPr>
        <w:t>授权委托书</w:t>
      </w:r>
    </w:p>
    <w:p>
      <w:pPr>
        <w:spacing w:line="400" w:lineRule="exact"/>
        <w:rPr>
          <w:rFonts w:hint="eastAsia" w:ascii="仿宋" w:hAnsi="仿宋" w:eastAsia="仿宋"/>
          <w:b/>
          <w:szCs w:val="21"/>
        </w:rPr>
      </w:pP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本授权书声明：注册于</w:t>
      </w:r>
      <w:r>
        <w:rPr>
          <w:rFonts w:hint="eastAsia" w:ascii="仿宋_GB2312" w:hAnsi="仿宋" w:eastAsia="仿宋_GB2312"/>
          <w:sz w:val="24"/>
          <w:u w:val="single"/>
        </w:rPr>
        <w:t xml:space="preserve">              </w:t>
      </w:r>
      <w:r>
        <w:rPr>
          <w:rFonts w:hint="eastAsia" w:ascii="仿宋_GB2312" w:hAnsi="仿宋" w:eastAsia="仿宋_GB2312"/>
          <w:sz w:val="24"/>
        </w:rPr>
        <w:t>（国家名称）的</w:t>
      </w:r>
      <w:r>
        <w:rPr>
          <w:rFonts w:hint="eastAsia" w:ascii="仿宋_GB2312" w:hAnsi="仿宋" w:eastAsia="仿宋_GB2312"/>
          <w:sz w:val="24"/>
          <w:u w:val="single"/>
        </w:rPr>
        <w:t xml:space="preserve">              </w:t>
      </w:r>
      <w:r>
        <w:rPr>
          <w:rFonts w:hint="eastAsia" w:ascii="仿宋_GB2312" w:hAnsi="仿宋" w:eastAsia="仿宋_GB2312"/>
          <w:sz w:val="24"/>
        </w:rPr>
        <w:t>（乙方全称）在下面签字的</w:t>
      </w:r>
      <w:r>
        <w:rPr>
          <w:rFonts w:hint="eastAsia" w:ascii="仿宋_GB2312" w:hAnsi="仿宋" w:eastAsia="仿宋_GB2312"/>
          <w:sz w:val="24"/>
          <w:u w:val="single"/>
        </w:rPr>
        <w:t xml:space="preserve">          </w:t>
      </w:r>
      <w:r>
        <w:rPr>
          <w:rFonts w:hint="eastAsia" w:ascii="仿宋_GB2312" w:hAnsi="仿宋" w:eastAsia="仿宋_GB2312"/>
          <w:sz w:val="24"/>
        </w:rPr>
        <w:t>（法定代表人姓名、职务）代表本公司授权在下面签字的</w:t>
      </w:r>
      <w:r>
        <w:rPr>
          <w:rFonts w:hint="eastAsia" w:ascii="仿宋_GB2312" w:hAnsi="仿宋" w:eastAsia="仿宋_GB2312"/>
          <w:sz w:val="24"/>
          <w:u w:val="single"/>
        </w:rPr>
        <w:t xml:space="preserve">    </w:t>
      </w:r>
      <w:r>
        <w:rPr>
          <w:rFonts w:hint="eastAsia" w:ascii="仿宋_GB2312" w:hAnsi="仿宋" w:eastAsia="仿宋_GB2312"/>
          <w:sz w:val="24"/>
        </w:rPr>
        <w:t>（被授权人的姓名、职务）为本公司的合法代表，就合同编号为</w:t>
      </w:r>
      <w:r>
        <w:rPr>
          <w:rFonts w:hint="eastAsia" w:ascii="仿宋_GB2312" w:hAnsi="仿宋" w:eastAsia="仿宋_GB2312"/>
          <w:sz w:val="24"/>
          <w:u w:val="single"/>
        </w:rPr>
        <w:t xml:space="preserve">  </w:t>
      </w:r>
      <w:r>
        <w:rPr>
          <w:rFonts w:hint="eastAsia" w:ascii="仿宋_GB2312" w:hAnsi="仿宋" w:eastAsia="仿宋_GB2312"/>
          <w:sz w:val="24"/>
        </w:rPr>
        <w:t>的</w:t>
      </w:r>
      <w:r>
        <w:rPr>
          <w:rFonts w:hint="eastAsia" w:ascii="仿宋_GB2312" w:hAnsi="仿宋" w:eastAsia="仿宋_GB2312"/>
          <w:sz w:val="24"/>
          <w:u w:val="single"/>
        </w:rPr>
        <w:t xml:space="preserve">               </w:t>
      </w:r>
      <w:r>
        <w:rPr>
          <w:rFonts w:hint="eastAsia" w:ascii="仿宋_GB2312" w:hAnsi="仿宋" w:eastAsia="仿宋_GB2312"/>
          <w:sz w:val="24"/>
        </w:rPr>
        <w:t>项目《长沙市轨道交通运营有限公司运营施工管理系统采购项目合同》的签约、执行和质量保证期服务、售后服务期服务等，并以本公司名义处理一切与之有关的事务。</w:t>
      </w:r>
    </w:p>
    <w:p>
      <w:pPr>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本授权书于</w:t>
      </w:r>
      <w:r>
        <w:rPr>
          <w:rFonts w:hint="eastAsia" w:ascii="仿宋_GB2312" w:hAnsi="仿宋" w:eastAsia="仿宋_GB2312"/>
          <w:sz w:val="24"/>
          <w:u w:val="single"/>
        </w:rPr>
        <w:t xml:space="preserve">        </w:t>
      </w:r>
      <w:r>
        <w:rPr>
          <w:rFonts w:hint="eastAsia" w:ascii="仿宋_GB2312" w:hAnsi="仿宋" w:eastAsia="仿宋_GB2312"/>
          <w:sz w:val="24"/>
        </w:rPr>
        <w:t>年</w:t>
      </w:r>
      <w:r>
        <w:rPr>
          <w:rFonts w:hint="eastAsia" w:ascii="仿宋_GB2312" w:hAnsi="仿宋" w:eastAsia="仿宋_GB2312"/>
          <w:sz w:val="24"/>
          <w:u w:val="single"/>
        </w:rPr>
        <w:t xml:space="preserve">      </w:t>
      </w:r>
      <w:r>
        <w:rPr>
          <w:rFonts w:hint="eastAsia" w:ascii="仿宋_GB2312" w:hAnsi="仿宋" w:eastAsia="仿宋_GB2312"/>
          <w:sz w:val="24"/>
        </w:rPr>
        <w:t>月</w:t>
      </w:r>
      <w:r>
        <w:rPr>
          <w:rFonts w:hint="eastAsia" w:ascii="仿宋_GB2312" w:hAnsi="仿宋" w:eastAsia="仿宋_GB2312"/>
          <w:sz w:val="24"/>
          <w:u w:val="single"/>
        </w:rPr>
        <w:t xml:space="preserve">      </w:t>
      </w:r>
      <w:r>
        <w:rPr>
          <w:rFonts w:hint="eastAsia" w:ascii="仿宋_GB2312" w:hAnsi="仿宋" w:eastAsia="仿宋_GB2312"/>
          <w:sz w:val="24"/>
        </w:rPr>
        <w:t>日签字生效，特此声明。</w:t>
      </w:r>
    </w:p>
    <w:p>
      <w:pPr>
        <w:snapToGrid w:val="0"/>
        <w:spacing w:line="400" w:lineRule="exact"/>
        <w:rPr>
          <w:rFonts w:hint="eastAsia" w:ascii="仿宋_GB2312" w:hAnsi="仿宋" w:eastAsia="仿宋_GB2312"/>
          <w:sz w:val="24"/>
        </w:rPr>
      </w:pPr>
    </w:p>
    <w:p>
      <w:pPr>
        <w:snapToGrid w:val="0"/>
        <w:spacing w:line="400" w:lineRule="exact"/>
        <w:rPr>
          <w:rFonts w:hint="eastAsia" w:ascii="仿宋_GB2312" w:hAnsi="仿宋" w:eastAsia="仿宋_GB2312"/>
          <w:sz w:val="24"/>
          <w:u w:val="single"/>
        </w:rPr>
      </w:pPr>
      <w:r>
        <w:rPr>
          <w:rFonts w:hint="eastAsia" w:ascii="仿宋_GB2312" w:hAnsi="仿宋" w:eastAsia="仿宋_GB2312"/>
          <w:sz w:val="24"/>
        </w:rPr>
        <w:t>法定代表人签字：</w:t>
      </w:r>
      <w:r>
        <w:rPr>
          <w:rFonts w:hint="eastAsia" w:ascii="仿宋_GB2312" w:hAnsi="仿宋" w:eastAsia="仿宋_GB2312"/>
          <w:sz w:val="24"/>
          <w:u w:val="single"/>
        </w:rPr>
        <w:t xml:space="preserve">                            </w:t>
      </w:r>
    </w:p>
    <w:p>
      <w:pPr>
        <w:snapToGrid w:val="0"/>
        <w:spacing w:line="400" w:lineRule="exact"/>
        <w:rPr>
          <w:rFonts w:hint="eastAsia" w:ascii="仿宋_GB2312" w:hAnsi="仿宋" w:eastAsia="仿宋_GB2312"/>
          <w:sz w:val="24"/>
          <w:u w:val="single"/>
        </w:rPr>
      </w:pPr>
      <w:r>
        <w:rPr>
          <w:rFonts w:hint="eastAsia" w:ascii="仿宋_GB2312" w:hAnsi="仿宋" w:eastAsia="仿宋_GB2312"/>
          <w:sz w:val="24"/>
        </w:rPr>
        <w:t>授权代表（被授权人，即授权代理人）签字：</w:t>
      </w:r>
      <w:r>
        <w:rPr>
          <w:rFonts w:hint="eastAsia" w:ascii="仿宋_GB2312" w:hAnsi="仿宋" w:eastAsia="仿宋_GB2312"/>
          <w:sz w:val="24"/>
          <w:u w:val="single"/>
        </w:rPr>
        <w:t xml:space="preserve">                    </w:t>
      </w:r>
    </w:p>
    <w:p>
      <w:pPr>
        <w:snapToGrid w:val="0"/>
        <w:spacing w:line="400" w:lineRule="exact"/>
        <w:rPr>
          <w:rFonts w:hint="eastAsia" w:ascii="仿宋_GB2312" w:hAnsi="仿宋" w:eastAsia="仿宋_GB2312"/>
          <w:sz w:val="24"/>
          <w:u w:val="single"/>
        </w:rPr>
      </w:pPr>
      <w:r>
        <w:rPr>
          <w:rFonts w:hint="eastAsia" w:ascii="仿宋_GB2312" w:hAnsi="仿宋" w:eastAsia="仿宋_GB2312"/>
          <w:sz w:val="24"/>
        </w:rPr>
        <w:t>乙方全称（公章）：</w:t>
      </w:r>
      <w:r>
        <w:rPr>
          <w:rFonts w:hint="eastAsia" w:ascii="仿宋_GB2312" w:hAnsi="仿宋" w:eastAsia="仿宋_GB2312"/>
          <w:sz w:val="24"/>
          <w:u w:val="single"/>
        </w:rPr>
        <w:t xml:space="preserve">                            </w:t>
      </w:r>
    </w:p>
    <w:p>
      <w:pPr>
        <w:snapToGrid w:val="0"/>
        <w:spacing w:line="400" w:lineRule="exact"/>
        <w:rPr>
          <w:rFonts w:hint="eastAsia" w:ascii="仿宋_GB2312" w:hAnsi="仿宋" w:eastAsia="仿宋_GB2312"/>
          <w:sz w:val="24"/>
          <w:u w:val="single"/>
        </w:rPr>
      </w:pPr>
      <w:r>
        <w:rPr>
          <w:rFonts w:hint="eastAsia" w:ascii="仿宋_GB2312" w:hAnsi="仿宋" w:eastAsia="仿宋_GB2312"/>
          <w:sz w:val="24"/>
        </w:rPr>
        <w:t>乙方地址：</w:t>
      </w:r>
      <w:r>
        <w:rPr>
          <w:rFonts w:hint="eastAsia" w:ascii="仿宋_GB2312" w:hAnsi="仿宋" w:eastAsia="仿宋_GB2312"/>
          <w:sz w:val="24"/>
          <w:u w:val="single"/>
        </w:rPr>
        <w:t xml:space="preserve">                            </w:t>
      </w:r>
    </w:p>
    <w:p>
      <w:pPr>
        <w:snapToGrid w:val="0"/>
        <w:spacing w:line="400" w:lineRule="exact"/>
        <w:rPr>
          <w:rFonts w:hint="eastAsia" w:ascii="仿宋_GB2312" w:hAnsi="仿宋" w:eastAsia="仿宋_GB2312"/>
          <w:sz w:val="24"/>
          <w:u w:val="single"/>
        </w:rPr>
      </w:pPr>
      <w:r>
        <w:rPr>
          <w:rFonts w:hint="eastAsia" w:ascii="仿宋_GB2312" w:hAnsi="仿宋" w:eastAsia="仿宋_GB2312"/>
          <w:sz w:val="24"/>
        </w:rPr>
        <w:t>电     话：</w:t>
      </w:r>
      <w:r>
        <w:rPr>
          <w:rFonts w:hint="eastAsia" w:ascii="仿宋_GB2312" w:hAnsi="仿宋" w:eastAsia="仿宋_GB2312"/>
          <w:sz w:val="24"/>
          <w:u w:val="single"/>
        </w:rPr>
        <w:t xml:space="preserve">                            </w:t>
      </w:r>
    </w:p>
    <w:p>
      <w:pPr>
        <w:snapToGrid w:val="0"/>
        <w:spacing w:line="400" w:lineRule="exact"/>
        <w:rPr>
          <w:rFonts w:hint="eastAsia" w:ascii="仿宋_GB2312" w:hAnsi="仿宋" w:eastAsia="仿宋_GB2312"/>
          <w:sz w:val="24"/>
        </w:rPr>
      </w:pPr>
      <w:r>
        <w:rPr>
          <w:rFonts w:hint="eastAsia" w:ascii="仿宋_GB2312" w:hAnsi="仿宋" w:eastAsia="仿宋_GB2312"/>
          <w:sz w:val="24"/>
        </w:rPr>
        <w:t>传     真：</w:t>
      </w:r>
      <w:r>
        <w:rPr>
          <w:rFonts w:hint="eastAsia" w:ascii="仿宋_GB2312" w:hAnsi="仿宋" w:eastAsia="仿宋_GB2312"/>
          <w:sz w:val="24"/>
          <w:u w:val="single"/>
        </w:rPr>
        <w:t xml:space="preserve">                            </w:t>
      </w:r>
    </w:p>
    <w:p>
      <w:pPr>
        <w:spacing w:line="400" w:lineRule="exact"/>
        <w:rPr>
          <w:rFonts w:hint="eastAsia" w:ascii="仿宋_GB2312" w:hAnsi="仿宋" w:eastAsia="仿宋_GB2312"/>
          <w:sz w:val="24"/>
          <w:u w:val="single"/>
        </w:rPr>
      </w:pPr>
    </w:p>
    <w:p>
      <w:pPr>
        <w:snapToGrid w:val="0"/>
        <w:spacing w:line="400" w:lineRule="exact"/>
        <w:rPr>
          <w:rFonts w:hint="eastAsia" w:ascii="仿宋_GB2312" w:hAnsi="仿宋" w:eastAsia="仿宋_GB2312"/>
          <w:b/>
          <w:sz w:val="24"/>
        </w:rPr>
      </w:pPr>
      <w:r>
        <w:rPr>
          <w:rFonts w:hint="eastAsia" w:ascii="仿宋_GB2312" w:hAnsi="仿宋" w:eastAsia="仿宋_GB2312"/>
          <w:b/>
          <w:sz w:val="24"/>
        </w:rPr>
        <w:t>附：</w:t>
      </w:r>
      <w:r>
        <w:rPr>
          <w:rFonts w:hint="eastAsia" w:ascii="仿宋_GB2312" w:hAnsi="仿宋" w:eastAsia="仿宋_GB2312"/>
          <w:sz w:val="24"/>
        </w:rPr>
        <w:t>授权人的法定代表人证明材料复印件（加盖单位公章）、授权人和被授权人的身份证彩色影印件（加盖单位公章）</w:t>
      </w:r>
    </w:p>
    <w:p>
      <w:pPr>
        <w:adjustRightInd w:val="0"/>
        <w:snapToGrid w:val="0"/>
        <w:spacing w:line="400" w:lineRule="exact"/>
        <w:outlineLvl w:val="1"/>
        <w:rPr>
          <w:rFonts w:hint="eastAsia" w:ascii="仿宋_GB2312" w:eastAsia="仿宋_GB2312"/>
          <w:b/>
          <w:bCs/>
          <w:sz w:val="24"/>
        </w:rPr>
      </w:pPr>
      <w:r>
        <w:rPr>
          <w:rFonts w:ascii="仿宋" w:hAnsi="仿宋" w:eastAsia="仿宋"/>
          <w:bCs/>
          <w:sz w:val="28"/>
          <w:szCs w:val="28"/>
        </w:rPr>
        <w:br w:type="page"/>
      </w:r>
      <w:bookmarkStart w:id="50" w:name="_Toc437444977"/>
      <w:bookmarkStart w:id="51" w:name="_Toc319826226"/>
      <w:bookmarkStart w:id="52" w:name="_Toc454978190"/>
      <w:bookmarkStart w:id="53" w:name="_Toc447089455"/>
      <w:r>
        <w:rPr>
          <w:rFonts w:hint="eastAsia" w:ascii="仿宋_GB2312" w:hAnsi="仿宋" w:eastAsia="仿宋_GB2312"/>
          <w:b/>
          <w:sz w:val="24"/>
        </w:rPr>
        <w:t>附录二 银行履约保函</w:t>
      </w:r>
      <w:bookmarkEnd w:id="50"/>
      <w:bookmarkEnd w:id="51"/>
      <w:r>
        <w:rPr>
          <w:rFonts w:hint="eastAsia" w:ascii="仿宋_GB2312" w:hAnsi="仿宋" w:eastAsia="仿宋_GB2312"/>
          <w:b/>
          <w:sz w:val="24"/>
        </w:rPr>
        <w:t>（格式）</w:t>
      </w:r>
      <w:bookmarkEnd w:id="52"/>
      <w:bookmarkEnd w:id="53"/>
    </w:p>
    <w:p>
      <w:pPr>
        <w:spacing w:line="400" w:lineRule="exact"/>
        <w:jc w:val="center"/>
        <w:rPr>
          <w:rFonts w:hint="eastAsia" w:ascii="仿宋_GB2312" w:hAnsi="仿宋" w:eastAsia="仿宋_GB2312"/>
          <w:b/>
          <w:sz w:val="32"/>
          <w:szCs w:val="32"/>
        </w:rPr>
      </w:pPr>
      <w:r>
        <w:rPr>
          <w:rFonts w:hint="eastAsia" w:ascii="仿宋_GB2312" w:hAnsi="仿宋" w:eastAsia="仿宋_GB2312"/>
          <w:b/>
          <w:sz w:val="32"/>
          <w:szCs w:val="32"/>
        </w:rPr>
        <w:t>银行履约保函</w:t>
      </w:r>
    </w:p>
    <w:p>
      <w:pPr>
        <w:snapToGrid w:val="0"/>
        <w:spacing w:line="400" w:lineRule="exact"/>
        <w:ind w:right="480" w:firstLine="560" w:firstLineChars="200"/>
        <w:jc w:val="center"/>
        <w:rPr>
          <w:rFonts w:hint="eastAsia" w:ascii="仿宋" w:hAnsi="仿宋" w:eastAsia="仿宋"/>
          <w:sz w:val="28"/>
          <w:szCs w:val="28"/>
        </w:rPr>
      </w:pPr>
      <w:r>
        <w:rPr>
          <w:rFonts w:hint="eastAsia" w:ascii="仿宋" w:hAnsi="仿宋" w:eastAsia="仿宋"/>
          <w:sz w:val="28"/>
          <w:szCs w:val="28"/>
        </w:rPr>
        <w:t xml:space="preserve">                            </w:t>
      </w:r>
    </w:p>
    <w:p>
      <w:pPr>
        <w:snapToGrid w:val="0"/>
        <w:spacing w:line="400" w:lineRule="exact"/>
        <w:ind w:right="480"/>
        <w:rPr>
          <w:rFonts w:hint="eastAsia" w:ascii="仿宋_GB2312" w:hAnsi="仿宋" w:eastAsia="仿宋_GB2312"/>
          <w:sz w:val="24"/>
          <w:u w:val="single"/>
        </w:rPr>
      </w:pPr>
      <w:r>
        <w:rPr>
          <w:rFonts w:hint="eastAsia" w:ascii="仿宋" w:hAnsi="仿宋" w:eastAsia="仿宋"/>
          <w:sz w:val="28"/>
          <w:szCs w:val="28"/>
        </w:rPr>
        <w:t xml:space="preserve">                                  </w:t>
      </w:r>
      <w:r>
        <w:rPr>
          <w:rFonts w:hint="eastAsia" w:ascii="仿宋_GB2312" w:hAnsi="仿宋" w:eastAsia="仿宋_GB2312"/>
          <w:sz w:val="24"/>
        </w:rPr>
        <w:t xml:space="preserve"> 保函编号：</w:t>
      </w:r>
      <w:r>
        <w:rPr>
          <w:rFonts w:hint="eastAsia" w:ascii="仿宋_GB2312" w:hAnsi="仿宋" w:eastAsia="仿宋_GB2312"/>
          <w:sz w:val="24"/>
          <w:u w:val="single"/>
        </w:rPr>
        <w:t xml:space="preserve">             </w:t>
      </w:r>
    </w:p>
    <w:p>
      <w:pPr>
        <w:snapToGrid w:val="0"/>
        <w:spacing w:line="400" w:lineRule="exact"/>
        <w:ind w:right="480"/>
        <w:rPr>
          <w:rFonts w:hint="eastAsia" w:ascii="仿宋_GB2312" w:hAnsi="仿宋" w:eastAsia="仿宋_GB2312"/>
          <w:sz w:val="24"/>
        </w:rPr>
      </w:pPr>
    </w:p>
    <w:p>
      <w:pPr>
        <w:adjustRightInd w:val="0"/>
        <w:snapToGrid w:val="0"/>
        <w:spacing w:line="400" w:lineRule="exact"/>
        <w:rPr>
          <w:rFonts w:hint="eastAsia" w:ascii="仿宋_GB2312" w:hAnsi="仿宋" w:eastAsia="仿宋_GB2312"/>
          <w:sz w:val="24"/>
        </w:rPr>
      </w:pPr>
      <w:r>
        <w:rPr>
          <w:rFonts w:hint="eastAsia" w:ascii="仿宋_GB2312" w:hAnsi="仿宋" w:eastAsia="仿宋_GB2312"/>
          <w:sz w:val="24"/>
          <w:u w:val="single"/>
        </w:rPr>
        <w:t xml:space="preserve">                      </w:t>
      </w:r>
      <w:r>
        <w:rPr>
          <w:rFonts w:hint="eastAsia" w:ascii="仿宋_GB2312" w:hAnsi="仿宋" w:eastAsia="仿宋_GB2312"/>
          <w:sz w:val="24"/>
        </w:rPr>
        <w:t>（甲方名称）：</w:t>
      </w:r>
    </w:p>
    <w:p>
      <w:pPr>
        <w:adjustRightInd w:val="0"/>
        <w:snapToGrid w:val="0"/>
        <w:spacing w:line="400" w:lineRule="exact"/>
        <w:ind w:left="15" w:leftChars="7"/>
        <w:rPr>
          <w:rFonts w:hint="eastAsia" w:ascii="仿宋_GB2312" w:hAnsi="仿宋" w:eastAsia="仿宋_GB2312"/>
          <w:sz w:val="24"/>
        </w:rPr>
      </w:pPr>
      <w:r>
        <w:rPr>
          <w:rFonts w:hint="eastAsia" w:ascii="仿宋_GB2312" w:hAnsi="仿宋" w:eastAsia="仿宋_GB2312"/>
          <w:sz w:val="24"/>
        </w:rPr>
        <w:t xml:space="preserve">    鉴于</w:t>
      </w:r>
      <w:r>
        <w:rPr>
          <w:rFonts w:hint="eastAsia" w:ascii="仿宋_GB2312" w:hAnsi="仿宋" w:eastAsia="仿宋_GB2312"/>
          <w:sz w:val="24"/>
          <w:u w:val="single"/>
        </w:rPr>
        <w:t xml:space="preserve">           </w:t>
      </w:r>
      <w:r>
        <w:rPr>
          <w:rFonts w:hint="eastAsia" w:ascii="仿宋_GB2312" w:hAnsi="仿宋" w:eastAsia="仿宋_GB2312"/>
          <w:sz w:val="24"/>
        </w:rPr>
        <w:t xml:space="preserve">（甲方名称，以下简称“你方”）与 </w:t>
      </w:r>
      <w:r>
        <w:rPr>
          <w:rFonts w:hint="eastAsia" w:ascii="仿宋_GB2312" w:hAnsi="仿宋" w:eastAsia="仿宋_GB2312"/>
          <w:sz w:val="24"/>
          <w:u w:val="single"/>
        </w:rPr>
        <w:t xml:space="preserve">         </w:t>
      </w:r>
      <w:r>
        <w:rPr>
          <w:rFonts w:hint="eastAsia" w:ascii="仿宋_GB2312" w:hAnsi="仿宋" w:eastAsia="仿宋_GB2312"/>
          <w:sz w:val="24"/>
        </w:rPr>
        <w:t>（乙方名称，以下简称“乙方”）于</w:t>
      </w:r>
      <w:r>
        <w:rPr>
          <w:rFonts w:hint="eastAsia" w:ascii="仿宋_GB2312" w:hAnsi="仿宋" w:eastAsia="仿宋_GB2312"/>
          <w:sz w:val="24"/>
          <w:u w:val="single"/>
        </w:rPr>
        <w:t xml:space="preserve">     </w:t>
      </w:r>
      <w:r>
        <w:rPr>
          <w:rFonts w:hint="eastAsia" w:ascii="仿宋_GB2312" w:hAnsi="仿宋" w:eastAsia="仿宋_GB2312"/>
          <w:sz w:val="24"/>
        </w:rPr>
        <w:t>年</w:t>
      </w:r>
      <w:r>
        <w:rPr>
          <w:rFonts w:hint="eastAsia" w:ascii="仿宋_GB2312" w:hAnsi="仿宋" w:eastAsia="仿宋_GB2312"/>
          <w:sz w:val="24"/>
          <w:u w:val="single"/>
        </w:rPr>
        <w:t xml:space="preserve">   </w:t>
      </w:r>
      <w:r>
        <w:rPr>
          <w:rFonts w:hint="eastAsia" w:ascii="仿宋_GB2312" w:hAnsi="仿宋" w:eastAsia="仿宋_GB2312"/>
          <w:sz w:val="24"/>
        </w:rPr>
        <w:t>月</w:t>
      </w:r>
      <w:r>
        <w:rPr>
          <w:rFonts w:hint="eastAsia" w:ascii="仿宋_GB2312" w:hAnsi="仿宋" w:eastAsia="仿宋_GB2312"/>
          <w:sz w:val="24"/>
          <w:u w:val="single"/>
        </w:rPr>
        <w:t xml:space="preserve">   </w:t>
      </w:r>
      <w:r>
        <w:rPr>
          <w:rFonts w:hint="eastAsia" w:ascii="仿宋_GB2312" w:hAnsi="仿宋" w:eastAsia="仿宋_GB2312"/>
          <w:sz w:val="24"/>
        </w:rPr>
        <w:t>日协商一致共同签订合同编号为</w:t>
      </w:r>
      <w:r>
        <w:rPr>
          <w:rFonts w:hint="eastAsia" w:ascii="仿宋_GB2312" w:hAnsi="仿宋" w:eastAsia="仿宋_GB2312"/>
          <w:sz w:val="24"/>
          <w:u w:val="single"/>
        </w:rPr>
        <w:t xml:space="preserve">          </w:t>
      </w:r>
      <w:r>
        <w:rPr>
          <w:rFonts w:hint="eastAsia" w:ascii="仿宋_GB2312" w:hAnsi="仿宋" w:eastAsia="仿宋_GB2312"/>
          <w:sz w:val="24"/>
        </w:rPr>
        <w:t>的《</w:t>
      </w:r>
      <w:r>
        <w:rPr>
          <w:rFonts w:hint="eastAsia" w:ascii="仿宋_GB2312" w:hAnsi="仿宋" w:eastAsia="仿宋_GB2312"/>
          <w:sz w:val="24"/>
          <w:u w:val="single"/>
        </w:rPr>
        <w:t xml:space="preserve">               </w:t>
      </w:r>
      <w:r>
        <w:rPr>
          <w:rFonts w:hint="eastAsia" w:ascii="仿宋_GB2312" w:hAnsi="仿宋" w:eastAsia="仿宋_GB2312"/>
          <w:sz w:val="24"/>
        </w:rPr>
        <w:t>合同》（以下简称“合同”）。 我方愿意无条件地、不可撤销地就乙方履行与你方签订的合同，向你方提供连带责任担保。</w:t>
      </w:r>
    </w:p>
    <w:p>
      <w:pPr>
        <w:adjustRightInd w:val="0"/>
        <w:snapToGrid w:val="0"/>
        <w:spacing w:line="400" w:lineRule="exact"/>
        <w:ind w:left="15" w:leftChars="7"/>
        <w:rPr>
          <w:rFonts w:hint="eastAsia" w:ascii="仿宋_GB2312" w:hAnsi="仿宋" w:eastAsia="仿宋_GB2312"/>
          <w:sz w:val="24"/>
        </w:rPr>
      </w:pPr>
      <w:r>
        <w:rPr>
          <w:rFonts w:hint="eastAsia" w:ascii="仿宋_GB2312" w:hAnsi="仿宋" w:eastAsia="仿宋_GB2312"/>
          <w:sz w:val="24"/>
        </w:rPr>
        <w:t xml:space="preserve">    1.担保金额为合同价格的</w:t>
      </w:r>
      <w:r>
        <w:rPr>
          <w:rFonts w:hint="eastAsia" w:ascii="仿宋_GB2312" w:hAnsi="仿宋" w:eastAsia="仿宋_GB2312"/>
          <w:sz w:val="24"/>
          <w:u w:val="single"/>
        </w:rPr>
        <w:t>10</w:t>
      </w:r>
      <w:r>
        <w:rPr>
          <w:rFonts w:hint="eastAsia" w:ascii="仿宋_GB2312" w:hAnsi="仿宋" w:eastAsia="仿宋_GB2312"/>
          <w:sz w:val="24"/>
        </w:rPr>
        <w:t>%，即人民币（大写）</w:t>
      </w:r>
      <w:r>
        <w:rPr>
          <w:rFonts w:hint="eastAsia" w:ascii="仿宋_GB2312" w:hAnsi="仿宋" w:eastAsia="仿宋_GB2312"/>
          <w:sz w:val="24"/>
          <w:u w:val="single"/>
        </w:rPr>
        <w:t xml:space="preserve">           </w:t>
      </w:r>
      <w:r>
        <w:rPr>
          <w:rFonts w:hint="eastAsia" w:ascii="仿宋_GB2312" w:hAnsi="仿宋" w:eastAsia="仿宋_GB2312"/>
          <w:sz w:val="24"/>
        </w:rPr>
        <w:t>元（小写：</w:t>
      </w:r>
      <w:r>
        <w:rPr>
          <w:rFonts w:hint="eastAsia" w:ascii="仿宋_GB2312" w:eastAsia="仿宋_GB2312"/>
          <w:sz w:val="24"/>
        </w:rPr>
        <w:t>¥</w:t>
      </w:r>
      <w:r>
        <w:rPr>
          <w:rFonts w:hint="eastAsia" w:ascii="仿宋_GB2312" w:hAnsi="仿宋" w:eastAsia="仿宋_GB2312"/>
          <w:sz w:val="24"/>
          <w:u w:val="single"/>
        </w:rPr>
        <w:t xml:space="preserve">        </w:t>
      </w:r>
      <w:r>
        <w:rPr>
          <w:rFonts w:hint="eastAsia" w:ascii="仿宋_GB2312" w:hAnsi="仿宋" w:eastAsia="仿宋_GB2312"/>
          <w:sz w:val="24"/>
        </w:rPr>
        <w:t>）。</w:t>
      </w:r>
    </w:p>
    <w:p>
      <w:pPr>
        <w:adjustRightInd w:val="0"/>
        <w:snapToGrid w:val="0"/>
        <w:spacing w:line="400" w:lineRule="exact"/>
        <w:ind w:left="15" w:leftChars="7"/>
        <w:rPr>
          <w:rFonts w:hint="eastAsia" w:ascii="仿宋_GB2312" w:hAnsi="仿宋" w:eastAsia="仿宋_GB2312"/>
          <w:sz w:val="24"/>
        </w:rPr>
      </w:pPr>
      <w:r>
        <w:rPr>
          <w:rFonts w:hint="eastAsia" w:ascii="仿宋_GB2312" w:hAnsi="仿宋" w:eastAsia="仿宋_GB2312"/>
          <w:sz w:val="24"/>
        </w:rPr>
        <w:t xml:space="preserve">    2. 担保有效期自你方与乙方签订的合同生效之日起至</w:t>
      </w:r>
      <w:r>
        <w:rPr>
          <w:rFonts w:hint="eastAsia" w:ascii="仿宋_GB2312" w:hAnsi="仿宋" w:eastAsia="仿宋_GB2312"/>
          <w:sz w:val="24"/>
          <w:u w:val="single"/>
        </w:rPr>
        <w:t xml:space="preserve">      </w:t>
      </w:r>
      <w:r>
        <w:rPr>
          <w:rFonts w:hint="eastAsia" w:ascii="仿宋_GB2312" w:hAnsi="仿宋" w:eastAsia="仿宋_GB2312"/>
          <w:sz w:val="24"/>
        </w:rPr>
        <w:t>之日止。</w:t>
      </w:r>
    </w:p>
    <w:p>
      <w:pPr>
        <w:adjustRightInd w:val="0"/>
        <w:snapToGrid w:val="0"/>
        <w:spacing w:line="400" w:lineRule="exact"/>
        <w:ind w:left="15" w:leftChars="7"/>
        <w:rPr>
          <w:rFonts w:hint="eastAsia" w:ascii="仿宋_GB2312" w:hAnsi="仿宋" w:eastAsia="仿宋_GB2312"/>
          <w:sz w:val="24"/>
        </w:rPr>
      </w:pPr>
      <w:r>
        <w:rPr>
          <w:rFonts w:hint="eastAsia" w:ascii="仿宋_GB2312" w:hAnsi="仿宋" w:eastAsia="仿宋_GB2312"/>
          <w:sz w:val="24"/>
        </w:rPr>
        <w:t xml:space="preserve">    3.在本担保有效期内，因乙方违反合同约定的义务给你方造成经济损失时，我方在收到你方以书面形式提出的在担保金额内的赔偿要求后，在7日内无条件支付。</w:t>
      </w:r>
    </w:p>
    <w:p>
      <w:pPr>
        <w:adjustRightInd w:val="0"/>
        <w:snapToGrid w:val="0"/>
        <w:spacing w:line="400" w:lineRule="exact"/>
        <w:ind w:left="15" w:leftChars="7"/>
        <w:rPr>
          <w:rFonts w:hint="eastAsia" w:ascii="仿宋_GB2312" w:hAnsi="仿宋" w:eastAsia="仿宋_GB2312"/>
          <w:sz w:val="24"/>
        </w:rPr>
      </w:pPr>
      <w:r>
        <w:rPr>
          <w:rFonts w:hint="eastAsia" w:ascii="仿宋_GB2312" w:hAnsi="仿宋" w:eastAsia="仿宋_GB2312"/>
          <w:sz w:val="24"/>
        </w:rPr>
        <w:t xml:space="preserve">    4.你方和乙方按合同约定变更合同时，我方承担本担保规定的义务不变。</w:t>
      </w:r>
    </w:p>
    <w:p>
      <w:pPr>
        <w:adjustRightInd w:val="0"/>
        <w:snapToGrid w:val="0"/>
        <w:spacing w:line="400" w:lineRule="exact"/>
        <w:ind w:left="15" w:leftChars="7"/>
        <w:rPr>
          <w:rFonts w:hint="eastAsia" w:ascii="仿宋_GB2312" w:hAnsi="仿宋" w:eastAsia="仿宋_GB2312"/>
          <w:sz w:val="24"/>
        </w:rPr>
      </w:pPr>
      <w:r>
        <w:rPr>
          <w:rFonts w:hint="eastAsia" w:ascii="仿宋_GB2312" w:hAnsi="仿宋" w:eastAsia="仿宋_GB2312"/>
          <w:sz w:val="24"/>
        </w:rPr>
        <w:t xml:space="preserve">    5.因本保函发生的纠纷，可由双方协商解决，协商不成的，向甲方住所地有管辖权的人民法院提起诉讼。</w:t>
      </w:r>
    </w:p>
    <w:p>
      <w:pPr>
        <w:adjustRightInd w:val="0"/>
        <w:snapToGrid w:val="0"/>
        <w:spacing w:line="400" w:lineRule="exact"/>
        <w:ind w:left="15" w:leftChars="7" w:firstLine="480"/>
        <w:rPr>
          <w:rFonts w:hint="eastAsia" w:ascii="仿宋_GB2312" w:hAnsi="仿宋" w:eastAsia="仿宋_GB2312"/>
          <w:sz w:val="24"/>
        </w:rPr>
      </w:pPr>
      <w:r>
        <w:rPr>
          <w:rFonts w:hint="eastAsia" w:ascii="仿宋_GB2312" w:hAnsi="仿宋" w:eastAsia="仿宋_GB2312"/>
          <w:sz w:val="24"/>
        </w:rPr>
        <w:t>6.本保函自我方法定代表人或授权代理人签字并加盖公章之日起生效。</w:t>
      </w:r>
    </w:p>
    <w:p>
      <w:pPr>
        <w:adjustRightInd w:val="0"/>
        <w:snapToGrid w:val="0"/>
        <w:spacing w:line="400" w:lineRule="exact"/>
        <w:ind w:left="15" w:leftChars="7" w:firstLine="480"/>
        <w:rPr>
          <w:rFonts w:hint="eastAsia" w:ascii="仿宋_GB2312" w:hAnsi="仿宋" w:eastAsia="仿宋_GB2312"/>
          <w:color w:val="000000"/>
          <w:sz w:val="24"/>
        </w:rPr>
      </w:pPr>
      <w:r>
        <w:rPr>
          <w:rFonts w:hint="eastAsia" w:ascii="仿宋_GB2312" w:hAnsi="仿宋" w:eastAsia="仿宋_GB2312"/>
          <w:color w:val="000000"/>
          <w:sz w:val="24"/>
        </w:rPr>
        <w:t>7.本保函失效后，请将本保函正本原件退回我行注销。未经我行书面同意，本保函不可转让，我行对除需方之外的任何第三方不承担任何责任。</w:t>
      </w:r>
    </w:p>
    <w:p>
      <w:pPr>
        <w:adjustRightInd w:val="0"/>
        <w:snapToGrid w:val="0"/>
        <w:spacing w:line="400" w:lineRule="exact"/>
        <w:ind w:left="15" w:leftChars="7" w:firstLine="403" w:firstLineChars="168"/>
        <w:rPr>
          <w:rFonts w:hint="eastAsia" w:ascii="仿宋_GB2312" w:hAnsi="仿宋" w:eastAsia="仿宋_GB2312"/>
          <w:sz w:val="24"/>
          <w:u w:val="single"/>
        </w:rPr>
      </w:pPr>
      <w:r>
        <w:rPr>
          <w:rFonts w:hint="eastAsia" w:ascii="仿宋_GB2312" w:hAnsi="仿宋" w:eastAsia="仿宋_GB2312"/>
          <w:sz w:val="24"/>
        </w:rPr>
        <w:t>担保人：</w:t>
      </w:r>
      <w:r>
        <w:rPr>
          <w:rFonts w:hint="eastAsia" w:ascii="仿宋_GB2312" w:hAnsi="仿宋" w:eastAsia="仿宋_GB2312"/>
          <w:sz w:val="24"/>
          <w:u w:val="single"/>
        </w:rPr>
        <w:t xml:space="preserve">           </w:t>
      </w:r>
      <w:r>
        <w:rPr>
          <w:rFonts w:hint="eastAsia" w:ascii="仿宋_GB2312" w:hAnsi="仿宋" w:eastAsia="仿宋_GB2312"/>
          <w:sz w:val="24"/>
        </w:rPr>
        <w:t>（盖单位章）</w:t>
      </w:r>
    </w:p>
    <w:p>
      <w:pPr>
        <w:adjustRightInd w:val="0"/>
        <w:snapToGrid w:val="0"/>
        <w:spacing w:line="400" w:lineRule="exact"/>
        <w:ind w:left="15" w:leftChars="7" w:firstLine="403" w:firstLineChars="168"/>
        <w:rPr>
          <w:rFonts w:hint="eastAsia" w:ascii="仿宋_GB2312" w:hAnsi="仿宋" w:eastAsia="仿宋_GB2312"/>
          <w:sz w:val="24"/>
        </w:rPr>
      </w:pPr>
      <w:r>
        <w:rPr>
          <w:rFonts w:hint="eastAsia" w:ascii="仿宋_GB2312" w:hAnsi="仿宋" w:eastAsia="仿宋_GB2312"/>
          <w:sz w:val="24"/>
        </w:rPr>
        <w:t>法定代表人或授权代理人：</w:t>
      </w:r>
      <w:r>
        <w:rPr>
          <w:rFonts w:hint="eastAsia" w:ascii="仿宋_GB2312" w:hAnsi="仿宋" w:eastAsia="仿宋_GB2312"/>
          <w:sz w:val="24"/>
          <w:u w:val="single"/>
        </w:rPr>
        <w:t xml:space="preserve">           </w:t>
      </w:r>
      <w:r>
        <w:rPr>
          <w:rFonts w:hint="eastAsia" w:ascii="仿宋_GB2312" w:hAnsi="仿宋" w:eastAsia="仿宋_GB2312"/>
          <w:sz w:val="24"/>
        </w:rPr>
        <w:t>（签字）</w:t>
      </w:r>
    </w:p>
    <w:p>
      <w:pPr>
        <w:adjustRightInd w:val="0"/>
        <w:snapToGrid w:val="0"/>
        <w:spacing w:line="400" w:lineRule="exact"/>
        <w:ind w:left="15" w:leftChars="7" w:firstLine="403" w:firstLineChars="168"/>
        <w:rPr>
          <w:rFonts w:hint="eastAsia" w:ascii="仿宋_GB2312" w:hAnsi="仿宋" w:eastAsia="仿宋_GB2312"/>
          <w:sz w:val="24"/>
          <w:u w:val="single"/>
        </w:rPr>
      </w:pPr>
      <w:r>
        <w:rPr>
          <w:rFonts w:hint="eastAsia" w:ascii="仿宋_GB2312" w:hAnsi="仿宋" w:eastAsia="仿宋_GB2312"/>
          <w:sz w:val="24"/>
        </w:rPr>
        <w:t>地址：</w:t>
      </w:r>
      <w:r>
        <w:rPr>
          <w:rFonts w:hint="eastAsia" w:ascii="仿宋_GB2312" w:hAnsi="仿宋" w:eastAsia="仿宋_GB2312"/>
          <w:sz w:val="24"/>
          <w:u w:val="single"/>
        </w:rPr>
        <w:t xml:space="preserve">           </w:t>
      </w:r>
    </w:p>
    <w:p>
      <w:pPr>
        <w:adjustRightInd w:val="0"/>
        <w:snapToGrid w:val="0"/>
        <w:spacing w:line="400" w:lineRule="exact"/>
        <w:ind w:left="15" w:leftChars="7" w:firstLine="403" w:firstLineChars="168"/>
        <w:rPr>
          <w:rFonts w:hint="eastAsia" w:ascii="仿宋_GB2312" w:hAnsi="仿宋" w:eastAsia="仿宋_GB2312"/>
          <w:sz w:val="24"/>
          <w:u w:val="single"/>
        </w:rPr>
      </w:pPr>
      <w:r>
        <w:rPr>
          <w:rFonts w:hint="eastAsia" w:ascii="仿宋_GB2312" w:hAnsi="仿宋" w:eastAsia="仿宋_GB2312"/>
          <w:sz w:val="24"/>
        </w:rPr>
        <w:t xml:space="preserve">邮政编码： </w:t>
      </w:r>
      <w:r>
        <w:rPr>
          <w:rFonts w:hint="eastAsia" w:ascii="仿宋_GB2312" w:hAnsi="仿宋" w:eastAsia="仿宋_GB2312"/>
          <w:sz w:val="24"/>
          <w:u w:val="single"/>
        </w:rPr>
        <w:t xml:space="preserve">          </w:t>
      </w:r>
    </w:p>
    <w:p>
      <w:pPr>
        <w:adjustRightInd w:val="0"/>
        <w:snapToGrid w:val="0"/>
        <w:spacing w:line="400" w:lineRule="exact"/>
        <w:ind w:left="15" w:leftChars="7" w:firstLine="403" w:firstLineChars="168"/>
        <w:rPr>
          <w:rFonts w:hint="eastAsia" w:ascii="仿宋_GB2312" w:hAnsi="仿宋" w:eastAsia="仿宋_GB2312"/>
          <w:sz w:val="24"/>
          <w:u w:val="single"/>
        </w:rPr>
      </w:pPr>
      <w:r>
        <w:rPr>
          <w:rFonts w:hint="eastAsia" w:ascii="仿宋_GB2312" w:hAnsi="仿宋" w:eastAsia="仿宋_GB2312"/>
          <w:sz w:val="24"/>
        </w:rPr>
        <w:t xml:space="preserve">电话： </w:t>
      </w:r>
      <w:r>
        <w:rPr>
          <w:rFonts w:hint="eastAsia" w:ascii="仿宋_GB2312" w:hAnsi="仿宋" w:eastAsia="仿宋_GB2312"/>
          <w:sz w:val="24"/>
          <w:u w:val="single"/>
        </w:rPr>
        <w:t xml:space="preserve">          </w:t>
      </w:r>
    </w:p>
    <w:p>
      <w:pPr>
        <w:adjustRightInd w:val="0"/>
        <w:snapToGrid w:val="0"/>
        <w:spacing w:line="400" w:lineRule="exact"/>
        <w:ind w:left="15" w:leftChars="7" w:firstLine="403" w:firstLineChars="168"/>
        <w:rPr>
          <w:rFonts w:hint="eastAsia" w:ascii="仿宋_GB2312" w:hAnsi="仿宋" w:eastAsia="仿宋_GB2312"/>
          <w:sz w:val="24"/>
          <w:u w:val="single"/>
        </w:rPr>
      </w:pPr>
      <w:r>
        <w:rPr>
          <w:rFonts w:hint="eastAsia" w:ascii="仿宋_GB2312" w:hAnsi="仿宋" w:eastAsia="仿宋_GB2312"/>
          <w:sz w:val="24"/>
        </w:rPr>
        <w:t>传真：</w:t>
      </w:r>
      <w:r>
        <w:rPr>
          <w:rFonts w:hint="eastAsia" w:ascii="仿宋_GB2312" w:hAnsi="仿宋" w:eastAsia="仿宋_GB2312"/>
          <w:sz w:val="24"/>
          <w:u w:val="single"/>
        </w:rPr>
        <w:t xml:space="preserve">          </w:t>
      </w:r>
    </w:p>
    <w:p>
      <w:pPr>
        <w:pStyle w:val="2"/>
        <w:sectPr>
          <w:footerReference r:id="rId11" w:type="first"/>
          <w:headerReference r:id="rId9" w:type="default"/>
          <w:footerReference r:id="rId10" w:type="default"/>
          <w:pgSz w:w="12240" w:h="15840"/>
          <w:pgMar w:top="1440" w:right="1800" w:bottom="1440" w:left="1800" w:header="720" w:footer="720" w:gutter="0"/>
          <w:cols w:space="720" w:num="1"/>
          <w:titlePg/>
          <w:docGrid w:type="lines" w:linePitch="323" w:charSpace="0"/>
        </w:sect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54" w:name="_Toc6432"/>
      <w:r>
        <w:rPr>
          <w:rFonts w:hint="eastAsia" w:cs="宋体" w:asciiTheme="minorEastAsia" w:hAnsiTheme="minorEastAsia" w:eastAsiaTheme="minorEastAsia"/>
          <w:bCs w:val="0"/>
          <w:sz w:val="32"/>
          <w:szCs w:val="32"/>
        </w:rPr>
        <w:t>第六章  响应文件组成</w:t>
      </w:r>
      <w:bookmarkEnd w:id="54"/>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w:pict>
          <v:shape id="Quad Arrow 2" o:spid="_x0000_s1026" o:spt="202" type="#_x0000_t202" style="position:absolute;left:0pt;margin-left:333pt;margin-top:0pt;height:33pt;width:87.75pt;z-index:251663360;mso-width-relative:page;mso-height-relative:page;"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14"/>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14"/>
        <w:ind w:left="0" w:leftChars="0"/>
        <w:rPr>
          <w:rFonts w:asciiTheme="minorEastAsia" w:hAnsiTheme="minorEastAsia" w:eastAsiaTheme="minorEastAsia"/>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rPr>
          <w:rFonts w:asciiTheme="minorEastAsia" w:hAnsiTheme="minorEastAsia" w:eastAsiaTheme="minorEastAsia"/>
          <w:sz w:val="32"/>
          <w:szCs w:val="32"/>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6"/>
        <w:adjustRightInd w:val="0"/>
        <w:snapToGrid w:val="0"/>
        <w:spacing w:line="360" w:lineRule="auto"/>
        <w:jc w:val="center"/>
        <w:rPr>
          <w:rFonts w:asciiTheme="minorEastAsia" w:hAnsiTheme="minorEastAsia" w:eastAsiaTheme="minorEastAsia"/>
          <w:sz w:val="32"/>
          <w:szCs w:val="32"/>
        </w:rPr>
      </w:pPr>
    </w:p>
    <w:p>
      <w:pPr>
        <w:spacing w:line="360" w:lineRule="auto"/>
        <w:ind w:firstLine="883" w:firstLineChars="200"/>
        <w:jc w:val="center"/>
        <w:rPr>
          <w:rFonts w:asciiTheme="minorEastAsia" w:hAnsiTheme="minorEastAsia" w:eastAsiaTheme="minorEastAsia"/>
          <w:b/>
          <w:sz w:val="44"/>
          <w:szCs w:val="44"/>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ascii="宋体" w:hAnsi="宋体"/>
          <w:szCs w:val="21"/>
        </w:rPr>
      </w:pPr>
      <w:r>
        <w:rPr>
          <w:rFonts w:hint="eastAsia" w:ascii="宋体" w:hAnsi="宋体"/>
          <w:szCs w:val="21"/>
        </w:rPr>
        <w:t>五、服务方案</w:t>
      </w:r>
    </w:p>
    <w:p>
      <w:pPr>
        <w:adjustRightInd w:val="0"/>
        <w:snapToGrid w:val="0"/>
        <w:spacing w:line="360" w:lineRule="auto"/>
        <w:jc w:val="left"/>
        <w:rPr>
          <w:rFonts w:ascii="宋体" w:hAnsi="宋体"/>
          <w:szCs w:val="21"/>
        </w:rPr>
      </w:pPr>
      <w:r>
        <w:rPr>
          <w:rFonts w:hint="eastAsia" w:ascii="宋体" w:hAnsi="宋体"/>
          <w:szCs w:val="21"/>
        </w:rPr>
        <w:t>六、报价一览表</w:t>
      </w:r>
    </w:p>
    <w:p>
      <w:pPr>
        <w:adjustRightInd w:val="0"/>
        <w:snapToGrid w:val="0"/>
        <w:spacing w:line="360" w:lineRule="auto"/>
        <w:jc w:val="left"/>
        <w:rPr>
          <w:rFonts w:ascii="宋体" w:hAnsi="宋体"/>
          <w:szCs w:val="21"/>
        </w:rPr>
      </w:pPr>
      <w:r>
        <w:rPr>
          <w:rFonts w:hint="eastAsia" w:ascii="宋体" w:hAnsi="宋体"/>
          <w:szCs w:val="21"/>
          <w:lang w:eastAsia="zh-CN"/>
        </w:rPr>
        <w:t>七</w:t>
      </w:r>
      <w:r>
        <w:rPr>
          <w:rFonts w:hint="eastAsia" w:ascii="宋体" w:hAnsi="宋体"/>
          <w:szCs w:val="21"/>
        </w:rPr>
        <w:t>、其他资料（如有）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pict>
          <v:rect id="Rectangle 7" o:spid="_x0000_s1033" o:spt="1" style="position:absolute;left:0pt;margin-left:218.6pt;margin-top:10.9pt;height:96.15pt;width:185.5pt;z-index:-251651072;mso-width-relative:page;mso-height-relative:page;"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Theme="minorEastAsia" w:hAnsiTheme="minorEastAsia" w:eastAsiaTheme="minorEastAsia"/>
          <w:szCs w:val="21"/>
        </w:rPr>
        <w:pict>
          <v:rect id="Rectangle 6" o:spid="_x0000_s1030" o:spt="1" style="position:absolute;left:0pt;margin-left:-8.8pt;margin-top:11.5pt;height:96.15pt;width:185.5pt;z-index:-251658240;mso-width-relative:page;mso-height-relative:page;"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4" o:spid="_x0000_s1034" o:spt="1" style="position:absolute;left:0pt;margin-left:-9.15pt;margin-top:15.4pt;height:96.15pt;width:185.5pt;z-index:25168076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14"/>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w:pict>
          <v:rect id="_x0000_s1035" o:spid="_x0000_s1035" o:spt="1" style="position:absolute;left:0pt;margin-left:-9.15pt;margin-top:10.2pt;height:96.15pt;width:185.5pt;z-index:-251549696;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6" o:spid="_x0000_s1036" o:spt="1" style="position:absolute;left:0pt;margin-left:233.65pt;margin-top:9.35pt;height:96.15pt;width:185.5pt;z-index:-2514421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7" o:spid="_x0000_s1037" o:spt="1" style="position:absolute;left:0pt;margin-left:-9.35pt;margin-top:-9.55pt;height:96.15pt;width:185.5pt;z-index:25196134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8" o:spid="_x0000_s1038" o:spt="1" style="position:absolute;left:0pt;margin-left:233.65pt;margin-top:-10.3pt;height:96.15pt;width:185.5pt;z-index:-25114009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pStyle w:val="14"/>
        <w:rPr>
          <w:rFonts w:asciiTheme="minorEastAsia" w:hAnsiTheme="minorEastAsia" w:eastAsiaTheme="minorEastAsia"/>
          <w:szCs w:val="21"/>
        </w:rPr>
      </w:pPr>
    </w:p>
    <w:p>
      <w:pPr>
        <w:rPr>
          <w:rFonts w:asciiTheme="minorEastAsia" w:hAnsiTheme="minorEastAsia" w:eastAsiaTheme="minorEastAsia"/>
          <w:szCs w:val="21"/>
        </w:rPr>
      </w:pPr>
    </w:p>
    <w:p>
      <w:pPr>
        <w:pStyle w:val="14"/>
        <w:rPr>
          <w:rFonts w:asciiTheme="minorEastAsia" w:hAnsiTheme="minorEastAsia" w:eastAsiaTheme="minorEastAsia"/>
          <w:szCs w:val="21"/>
        </w:rPr>
      </w:pPr>
    </w:p>
    <w:p/>
    <w:p>
      <w:pPr>
        <w:pStyle w:val="14"/>
      </w:pPr>
      <w:r>
        <w:rPr>
          <w:rFonts w:ascii="宋体" w:hAnsi="宋体"/>
          <w:szCs w:val="21"/>
        </w:rPr>
        <w:pict>
          <v:rect id="_x0000_s1039" o:spid="_x0000_s1039" o:spt="1" style="position:absolute;left:0pt;margin-left:-9.35pt;margin-top:-4pt;height:96.15pt;width:185.5pt;z-index:25247846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
      <w:pPr>
        <w:pStyle w:val="14"/>
      </w:pPr>
    </w:p>
    <w:p/>
    <w:p>
      <w:pPr>
        <w:pStyle w:val="14"/>
      </w:pPr>
    </w:p>
    <w:p/>
    <w:p>
      <w:pPr>
        <w:pStyle w:val="2"/>
      </w:pPr>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420"/>
        <w:rPr>
          <w:rFonts w:ascii="宋体" w:hAnsi="宋体"/>
          <w:szCs w:val="21"/>
        </w:rPr>
      </w:pPr>
      <w:r>
        <w:rPr>
          <w:rFonts w:hint="eastAsia" w:ascii="宋体" w:hAnsi="宋体"/>
          <w:szCs w:val="21"/>
          <w:u w:val="single"/>
        </w:rPr>
        <w:t xml:space="preserve">             </w:t>
      </w:r>
    </w:p>
    <w:p>
      <w:pPr>
        <w:spacing w:line="360" w:lineRule="auto"/>
        <w:rPr>
          <w:rFonts w:asciiTheme="minorEastAsia" w:hAnsiTheme="minorEastAsia" w:eastAsiaTheme="minorEastAsia"/>
          <w:b/>
          <w:sz w:val="32"/>
          <w:szCs w:val="32"/>
        </w:rPr>
      </w:pP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spacing w:line="360" w:lineRule="auto"/>
        <w:ind w:firstLine="420" w:firstLineChars="20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hint="eastAsia" w:ascii="宋体" w:hAnsi="宋体" w:cs="宋体"/>
          <w:bCs/>
          <w:highlight w:val="none"/>
        </w:rPr>
        <w:t>谈判单位</w:t>
      </w:r>
      <w:r>
        <w:rPr>
          <w:rFonts w:hint="eastAsia" w:cs="宋体" w:asciiTheme="minorEastAsia" w:hAnsiTheme="minorEastAsia" w:eastAsiaTheme="minorEastAsia"/>
          <w:szCs w:val="21"/>
          <w:highlight w:val="none"/>
        </w:rPr>
        <w:t>须提供加盖谈判单位公章的营业执照复印件。</w:t>
      </w:r>
    </w:p>
    <w:p>
      <w:pPr>
        <w:spacing w:line="360" w:lineRule="auto"/>
        <w:ind w:firstLine="420" w:firstLineChars="200"/>
        <w:jc w:val="left"/>
        <w:rPr>
          <w:rFonts w:ascii="宋体" w:hAnsi="宋体" w:cs="宋体"/>
          <w:bCs/>
        </w:rPr>
      </w:pPr>
      <w:r>
        <w:rPr>
          <w:rFonts w:hint="eastAsia" w:ascii="宋体" w:hAnsi="宋体" w:cs="宋体"/>
          <w:bCs/>
        </w:rPr>
        <w:t>2.谈判单位在本项目投标截止之日前36个月内有至少1个成功取得地级市及以上等级政府质量奖卓越绩效管理体系服务（政府质量奖卓越绩效管理体系服务指卓越绩效导入或创奖咨询服务）等类似项目业绩。不接受联合体业绩、港澳台或境外业绩。</w:t>
      </w:r>
    </w:p>
    <w:p>
      <w:pPr>
        <w:spacing w:line="360" w:lineRule="auto"/>
        <w:ind w:firstLine="420" w:firstLineChars="200"/>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210" w:firstLineChars="100"/>
        <w:jc w:val="left"/>
        <w:rPr>
          <w:rFonts w:eastAsiaTheme="minorEastAsia"/>
        </w:rPr>
      </w:pPr>
      <w:r>
        <w:rPr>
          <w:rFonts w:hint="eastAsia" w:cs="宋体" w:asciiTheme="minorEastAsia" w:hAnsiTheme="minorEastAsia" w:eastAsiaTheme="minorEastAsia"/>
          <w:szCs w:val="21"/>
        </w:rPr>
        <w:t>3.</w:t>
      </w:r>
      <w:r>
        <w:rPr>
          <w:rFonts w:hint="eastAsia" w:asciiTheme="minorEastAsia" w:hAnsiTheme="minorEastAsia" w:eastAsiaTheme="minorEastAsia"/>
          <w:szCs w:val="21"/>
        </w:rPr>
        <w:t>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55" w:name="_Toc29652"/>
      <w:bookmarkStart w:id="56" w:name="_Toc31390"/>
      <w:bookmarkStart w:id="57" w:name="_Toc2524"/>
      <w:bookmarkStart w:id="58" w:name="_Toc8554"/>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55"/>
      <w:bookmarkEnd w:id="56"/>
      <w:bookmarkEnd w:id="57"/>
      <w:bookmarkEnd w:id="58"/>
    </w:p>
    <w:p>
      <w:pPr>
        <w:adjustRightInd w:val="0"/>
        <w:snapToGrid w:val="0"/>
        <w:spacing w:line="360" w:lineRule="auto"/>
        <w:ind w:firstLine="420" w:firstLineChars="200"/>
        <w:rPr>
          <w:rFonts w:asciiTheme="minorEastAsia" w:hAnsiTheme="minorEastAsia" w:eastAsiaTheme="minorEastAsia"/>
          <w:szCs w:val="21"/>
        </w:rPr>
      </w:pPr>
      <w:bookmarkStart w:id="59" w:name="_Toc8996"/>
      <w:bookmarkStart w:id="60" w:name="_Toc6287"/>
      <w:bookmarkStart w:id="61" w:name="_Toc28808"/>
      <w:bookmarkStart w:id="62" w:name="_Toc10577"/>
      <w:r>
        <w:rPr>
          <w:rFonts w:hint="eastAsia" w:asciiTheme="minorEastAsia" w:hAnsiTheme="minorEastAsia" w:eastAsiaTheme="minorEastAsia"/>
          <w:szCs w:val="21"/>
        </w:rPr>
        <w:t>法定代表人或其委托代理人(签字或盖章)：</w:t>
      </w:r>
      <w:bookmarkEnd w:id="59"/>
      <w:bookmarkEnd w:id="60"/>
      <w:bookmarkEnd w:id="61"/>
      <w:bookmarkEnd w:id="62"/>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六、报价一览表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63" w:name="_Toc26371"/>
      <w:bookmarkStart w:id="64" w:name="_Toc22197"/>
      <w:bookmarkStart w:id="65" w:name="_Toc15367"/>
      <w:bookmarkStart w:id="66" w:name="_Toc1261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63"/>
      <w:bookmarkEnd w:id="64"/>
      <w:bookmarkEnd w:id="65"/>
      <w:bookmarkEnd w:id="66"/>
    </w:p>
    <w:p>
      <w:pPr>
        <w:adjustRightInd w:val="0"/>
        <w:snapToGrid w:val="0"/>
        <w:spacing w:line="360" w:lineRule="auto"/>
        <w:ind w:firstLine="420" w:firstLineChars="200"/>
        <w:rPr>
          <w:rFonts w:asciiTheme="minorEastAsia" w:hAnsiTheme="minorEastAsia" w:eastAsiaTheme="minorEastAsia"/>
          <w:szCs w:val="21"/>
        </w:rPr>
      </w:pPr>
      <w:bookmarkStart w:id="67" w:name="_Toc14381"/>
      <w:bookmarkStart w:id="68" w:name="_Toc7637"/>
      <w:bookmarkStart w:id="69" w:name="_Toc26095"/>
      <w:bookmarkStart w:id="70" w:name="_Toc23990"/>
      <w:r>
        <w:rPr>
          <w:rFonts w:hint="eastAsia" w:asciiTheme="minorEastAsia" w:hAnsiTheme="minorEastAsia" w:eastAsiaTheme="minorEastAsia"/>
          <w:szCs w:val="21"/>
        </w:rPr>
        <w:t>法定代表人或其委托代理人(签字或盖章)：</w:t>
      </w:r>
      <w:bookmarkEnd w:id="67"/>
      <w:bookmarkEnd w:id="68"/>
      <w:bookmarkEnd w:id="69"/>
      <w:bookmarkEnd w:id="70"/>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r>
        <w:rPr>
          <w:rFonts w:asciiTheme="minorEastAsia" w:hAnsiTheme="minorEastAsia" w:eastAsiaTheme="minorEastAsia"/>
          <w:b/>
          <w:sz w:val="32"/>
          <w:szCs w:val="32"/>
        </w:rPr>
        <w:br w:type="page"/>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七</w:t>
      </w:r>
      <w:r>
        <w:rPr>
          <w:rFonts w:hint="eastAsia" w:asciiTheme="minorEastAsia" w:hAnsiTheme="minorEastAsia" w:eastAsiaTheme="minorEastAsia"/>
          <w:b/>
          <w:sz w:val="32"/>
          <w:szCs w:val="32"/>
        </w:rPr>
        <w:t>、其他资料(如有)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71" w:name="_Toc15601"/>
      <w:bookmarkStart w:id="72" w:name="_Toc3706"/>
      <w:bookmarkStart w:id="73" w:name="_Toc14618"/>
      <w:r>
        <w:rPr>
          <w:rFonts w:hint="eastAsia" w:asciiTheme="minorEastAsia" w:hAnsiTheme="minorEastAsia" w:eastAsiaTheme="minorEastAsia"/>
          <w:szCs w:val="21"/>
        </w:rPr>
        <w:t>谈判单位认为需要提供的其他报价资料，格式自拟。</w:t>
      </w:r>
      <w:bookmarkEnd w:id="71"/>
      <w:bookmarkEnd w:id="72"/>
      <w:bookmarkEnd w:id="73"/>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4" o:spid="_x0000_s2053"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path/>
          <v:fill on="f" focussize="0,0"/>
          <v:stroke on="f" joinstyle="miter"/>
          <v:imagedata o:title=""/>
          <o:lock v:ext="edit"/>
          <v:textbox inset="0mm,0mm,0mm,0mm" style="mso-fit-shape-to-text:t;">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8" o:spid="_x0000_s2054" o:spt="202" type="#_x0000_t202" style="position:absolute;left:0pt;margin-top:0pt;height:10.35pt;width:4.55pt;mso-position-horizontal:center;mso-position-horizontal-relative:margin;mso-wrap-style:none;z-index:25166950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14" o:spid="_x0000_s2051"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5" o:spid="_x0000_s2052"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3" o:spid="_x0000_s2049"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1" o:spid="_x0000_s2050"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cs="宋体" w:asciiTheme="minorEastAsia" w:hAnsiTheme="minorEastAsia" w:eastAsiaTheme="minorEastAsia"/>
        <w:iCs/>
      </w:rPr>
      <w:t>长沙市轨道交通2号线运营期2020年-2021年卓越绩效模式导入暨创奖咨询服务项目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iCs/>
      </w:rPr>
      <w:t>长沙市轨道交通2号线运营期2020年-2021年卓越绩效模式导入暨创奖咨询服务项目           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iCs/>
      </w:rPr>
      <w:t>长沙市轨道交通2号线运营期2020年-2021年卓越绩效模式导入暨创奖咨询服务项目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491E8A5F"/>
    <w:multiLevelType w:val="singleLevel"/>
    <w:tmpl w:val="491E8A5F"/>
    <w:lvl w:ilvl="0" w:tentative="0">
      <w:start w:val="4"/>
      <w:numFmt w:val="chineseCounting"/>
      <w:suff w:val="space"/>
      <w:lvlText w:val="第%1章"/>
      <w:lvlJc w:val="left"/>
      <w:rPr>
        <w:rFonts w:hint="eastAsia"/>
      </w:rPr>
    </w:lvl>
  </w:abstractNum>
  <w:abstractNum w:abstractNumId="2">
    <w:nsid w:val="59E5D341"/>
    <w:multiLevelType w:val="singleLevel"/>
    <w:tmpl w:val="59E5D34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cumentProtection w:enforcement="0"/>
  <w:defaultTabStop w:val="420"/>
  <w:drawingGridHorizontalSpacing w:val="210"/>
  <w:drawingGridVerticalSpacing w:val="16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17E9F"/>
    <w:rsid w:val="000274C6"/>
    <w:rsid w:val="00044EE8"/>
    <w:rsid w:val="00052640"/>
    <w:rsid w:val="00063D15"/>
    <w:rsid w:val="00063EB1"/>
    <w:rsid w:val="00074928"/>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80064"/>
    <w:rsid w:val="00381105"/>
    <w:rsid w:val="003830A1"/>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34D5E"/>
    <w:rsid w:val="00976388"/>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77817"/>
    <w:rsid w:val="00E944EE"/>
    <w:rsid w:val="00EF6911"/>
    <w:rsid w:val="00F00E9C"/>
    <w:rsid w:val="00F37996"/>
    <w:rsid w:val="00F410E0"/>
    <w:rsid w:val="00F42B84"/>
    <w:rsid w:val="00F4788D"/>
    <w:rsid w:val="00F579E9"/>
    <w:rsid w:val="00F66731"/>
    <w:rsid w:val="00FA6734"/>
    <w:rsid w:val="00FB44A8"/>
    <w:rsid w:val="00FE3699"/>
    <w:rsid w:val="00FF60B0"/>
    <w:rsid w:val="016E73A8"/>
    <w:rsid w:val="01DE6B70"/>
    <w:rsid w:val="02016232"/>
    <w:rsid w:val="02574D6F"/>
    <w:rsid w:val="028D51BD"/>
    <w:rsid w:val="03105694"/>
    <w:rsid w:val="033466BE"/>
    <w:rsid w:val="035225A6"/>
    <w:rsid w:val="03B46D8E"/>
    <w:rsid w:val="03D609D8"/>
    <w:rsid w:val="03ED3E80"/>
    <w:rsid w:val="040617AE"/>
    <w:rsid w:val="04072F21"/>
    <w:rsid w:val="04266FF5"/>
    <w:rsid w:val="04AA348C"/>
    <w:rsid w:val="04D54031"/>
    <w:rsid w:val="05894214"/>
    <w:rsid w:val="05E97ECF"/>
    <w:rsid w:val="0615210C"/>
    <w:rsid w:val="06A37E29"/>
    <w:rsid w:val="06C32324"/>
    <w:rsid w:val="070C59FF"/>
    <w:rsid w:val="073C0D51"/>
    <w:rsid w:val="073C2982"/>
    <w:rsid w:val="076456E2"/>
    <w:rsid w:val="08023E55"/>
    <w:rsid w:val="084B2BFB"/>
    <w:rsid w:val="08787227"/>
    <w:rsid w:val="08C565F2"/>
    <w:rsid w:val="08E85BDE"/>
    <w:rsid w:val="08FB2D1E"/>
    <w:rsid w:val="09664C98"/>
    <w:rsid w:val="097C063F"/>
    <w:rsid w:val="097D1C20"/>
    <w:rsid w:val="097F42B9"/>
    <w:rsid w:val="09CE7845"/>
    <w:rsid w:val="09D61CB2"/>
    <w:rsid w:val="0A9A0228"/>
    <w:rsid w:val="0C164A2F"/>
    <w:rsid w:val="0C665E0B"/>
    <w:rsid w:val="0D421BF6"/>
    <w:rsid w:val="0D66668B"/>
    <w:rsid w:val="0DDB6291"/>
    <w:rsid w:val="0E616540"/>
    <w:rsid w:val="0EE35C4D"/>
    <w:rsid w:val="0FEE6040"/>
    <w:rsid w:val="10396637"/>
    <w:rsid w:val="10703D88"/>
    <w:rsid w:val="10B963C5"/>
    <w:rsid w:val="10EC3B06"/>
    <w:rsid w:val="110C2C29"/>
    <w:rsid w:val="111F6D05"/>
    <w:rsid w:val="11FB259E"/>
    <w:rsid w:val="12281DA5"/>
    <w:rsid w:val="124C2DD4"/>
    <w:rsid w:val="125407C8"/>
    <w:rsid w:val="12F77001"/>
    <w:rsid w:val="12FB0AFB"/>
    <w:rsid w:val="136544CD"/>
    <w:rsid w:val="138B6D9B"/>
    <w:rsid w:val="1411188B"/>
    <w:rsid w:val="142F09C8"/>
    <w:rsid w:val="144D4CC0"/>
    <w:rsid w:val="14506D47"/>
    <w:rsid w:val="14AB387C"/>
    <w:rsid w:val="15886F53"/>
    <w:rsid w:val="15B1368D"/>
    <w:rsid w:val="15C505E4"/>
    <w:rsid w:val="15D00CD9"/>
    <w:rsid w:val="15DD7FEE"/>
    <w:rsid w:val="15ED6A1A"/>
    <w:rsid w:val="16A82777"/>
    <w:rsid w:val="170054FC"/>
    <w:rsid w:val="18120B9A"/>
    <w:rsid w:val="184738E0"/>
    <w:rsid w:val="1893797B"/>
    <w:rsid w:val="18D13CF0"/>
    <w:rsid w:val="18EB4CFD"/>
    <w:rsid w:val="19035318"/>
    <w:rsid w:val="19630DF4"/>
    <w:rsid w:val="1A80468D"/>
    <w:rsid w:val="1A9C1831"/>
    <w:rsid w:val="1B324E6A"/>
    <w:rsid w:val="1C3228C1"/>
    <w:rsid w:val="1C3E793F"/>
    <w:rsid w:val="1D5C448C"/>
    <w:rsid w:val="1E4D41B9"/>
    <w:rsid w:val="1E6646CC"/>
    <w:rsid w:val="1E981D4A"/>
    <w:rsid w:val="1EA54A7E"/>
    <w:rsid w:val="1EE6655A"/>
    <w:rsid w:val="1EFC3574"/>
    <w:rsid w:val="1F875FC9"/>
    <w:rsid w:val="1FD401CA"/>
    <w:rsid w:val="202020E0"/>
    <w:rsid w:val="20512691"/>
    <w:rsid w:val="20811D27"/>
    <w:rsid w:val="219C6F36"/>
    <w:rsid w:val="21EA0F73"/>
    <w:rsid w:val="22001CA7"/>
    <w:rsid w:val="23217DAC"/>
    <w:rsid w:val="233E41F0"/>
    <w:rsid w:val="23540F1C"/>
    <w:rsid w:val="23F8119B"/>
    <w:rsid w:val="24421CA9"/>
    <w:rsid w:val="24967E12"/>
    <w:rsid w:val="24B252EC"/>
    <w:rsid w:val="24BC37AA"/>
    <w:rsid w:val="24DD7A74"/>
    <w:rsid w:val="2588569F"/>
    <w:rsid w:val="2658296F"/>
    <w:rsid w:val="26662701"/>
    <w:rsid w:val="267F0FB7"/>
    <w:rsid w:val="26B0428E"/>
    <w:rsid w:val="26D60619"/>
    <w:rsid w:val="26E4674D"/>
    <w:rsid w:val="27350900"/>
    <w:rsid w:val="273B23BD"/>
    <w:rsid w:val="27405291"/>
    <w:rsid w:val="2797453C"/>
    <w:rsid w:val="27C64702"/>
    <w:rsid w:val="2888133C"/>
    <w:rsid w:val="28FF5D1E"/>
    <w:rsid w:val="29210A38"/>
    <w:rsid w:val="29290B62"/>
    <w:rsid w:val="2951072C"/>
    <w:rsid w:val="29C26535"/>
    <w:rsid w:val="29F6050F"/>
    <w:rsid w:val="29FE6640"/>
    <w:rsid w:val="2A800F2F"/>
    <w:rsid w:val="2AC97A0D"/>
    <w:rsid w:val="2B80536B"/>
    <w:rsid w:val="2C074F20"/>
    <w:rsid w:val="2C162F55"/>
    <w:rsid w:val="2C3C6E9F"/>
    <w:rsid w:val="2C5D4AA0"/>
    <w:rsid w:val="2C7627E2"/>
    <w:rsid w:val="2C9B7BF5"/>
    <w:rsid w:val="2CF96CFB"/>
    <w:rsid w:val="2D8D261C"/>
    <w:rsid w:val="2DDB7325"/>
    <w:rsid w:val="2DE56563"/>
    <w:rsid w:val="2E8E7239"/>
    <w:rsid w:val="2EA33208"/>
    <w:rsid w:val="2EC50125"/>
    <w:rsid w:val="2EF25909"/>
    <w:rsid w:val="2F127912"/>
    <w:rsid w:val="2F2A1A38"/>
    <w:rsid w:val="2F634563"/>
    <w:rsid w:val="2FF4780A"/>
    <w:rsid w:val="30CC793C"/>
    <w:rsid w:val="30F76A65"/>
    <w:rsid w:val="30F77CED"/>
    <w:rsid w:val="31AC2400"/>
    <w:rsid w:val="31B61A82"/>
    <w:rsid w:val="32B27CA8"/>
    <w:rsid w:val="32F7027C"/>
    <w:rsid w:val="3304077D"/>
    <w:rsid w:val="3326112B"/>
    <w:rsid w:val="33AB69E0"/>
    <w:rsid w:val="33BD1A5D"/>
    <w:rsid w:val="33F309CF"/>
    <w:rsid w:val="342E4543"/>
    <w:rsid w:val="343B7C3F"/>
    <w:rsid w:val="349537D0"/>
    <w:rsid w:val="3506708D"/>
    <w:rsid w:val="3527735C"/>
    <w:rsid w:val="359D78EF"/>
    <w:rsid w:val="35C66E26"/>
    <w:rsid w:val="35F3787B"/>
    <w:rsid w:val="36586AB4"/>
    <w:rsid w:val="36630339"/>
    <w:rsid w:val="36B77340"/>
    <w:rsid w:val="36D5672B"/>
    <w:rsid w:val="36E403EC"/>
    <w:rsid w:val="373D2A39"/>
    <w:rsid w:val="378B54B8"/>
    <w:rsid w:val="38907664"/>
    <w:rsid w:val="38DE4586"/>
    <w:rsid w:val="38F9177D"/>
    <w:rsid w:val="392705C8"/>
    <w:rsid w:val="392B2144"/>
    <w:rsid w:val="393442DF"/>
    <w:rsid w:val="39E27939"/>
    <w:rsid w:val="3A59316D"/>
    <w:rsid w:val="3AF1674B"/>
    <w:rsid w:val="3B235613"/>
    <w:rsid w:val="3BC74370"/>
    <w:rsid w:val="3C263F3D"/>
    <w:rsid w:val="3C4545B9"/>
    <w:rsid w:val="3C7D1CA0"/>
    <w:rsid w:val="3CB459C9"/>
    <w:rsid w:val="3D350E98"/>
    <w:rsid w:val="3DA606C7"/>
    <w:rsid w:val="3ECD75DF"/>
    <w:rsid w:val="3F1C763B"/>
    <w:rsid w:val="3FB211CB"/>
    <w:rsid w:val="3FC73801"/>
    <w:rsid w:val="3FED00A7"/>
    <w:rsid w:val="401F311B"/>
    <w:rsid w:val="403854CE"/>
    <w:rsid w:val="40BE1148"/>
    <w:rsid w:val="40F267D8"/>
    <w:rsid w:val="40F50849"/>
    <w:rsid w:val="411A3A24"/>
    <w:rsid w:val="41365969"/>
    <w:rsid w:val="414015A3"/>
    <w:rsid w:val="425B2511"/>
    <w:rsid w:val="42A637B4"/>
    <w:rsid w:val="42B113B1"/>
    <w:rsid w:val="42FD678B"/>
    <w:rsid w:val="434660D0"/>
    <w:rsid w:val="434B6200"/>
    <w:rsid w:val="43574AFD"/>
    <w:rsid w:val="438C7A2F"/>
    <w:rsid w:val="43EB0F20"/>
    <w:rsid w:val="44051EC9"/>
    <w:rsid w:val="4431133A"/>
    <w:rsid w:val="446837DD"/>
    <w:rsid w:val="4575004E"/>
    <w:rsid w:val="457B4715"/>
    <w:rsid w:val="458D53A3"/>
    <w:rsid w:val="45BD7EF6"/>
    <w:rsid w:val="45F966B5"/>
    <w:rsid w:val="462F7A20"/>
    <w:rsid w:val="469965DF"/>
    <w:rsid w:val="46E17929"/>
    <w:rsid w:val="4774262F"/>
    <w:rsid w:val="48521B3A"/>
    <w:rsid w:val="48605FB4"/>
    <w:rsid w:val="4A164FC6"/>
    <w:rsid w:val="4AA87A18"/>
    <w:rsid w:val="4AC5638E"/>
    <w:rsid w:val="4AEC3FDD"/>
    <w:rsid w:val="4B05124C"/>
    <w:rsid w:val="4C68124D"/>
    <w:rsid w:val="4CF400BB"/>
    <w:rsid w:val="4D40298C"/>
    <w:rsid w:val="4D6E4698"/>
    <w:rsid w:val="4DB24FC1"/>
    <w:rsid w:val="4E8548FC"/>
    <w:rsid w:val="4EBC2354"/>
    <w:rsid w:val="4EC90D3E"/>
    <w:rsid w:val="4EDE7DC9"/>
    <w:rsid w:val="4EEF295D"/>
    <w:rsid w:val="4F242CF1"/>
    <w:rsid w:val="4F792F65"/>
    <w:rsid w:val="4FDD0550"/>
    <w:rsid w:val="509F17C1"/>
    <w:rsid w:val="51322546"/>
    <w:rsid w:val="513C44F8"/>
    <w:rsid w:val="51482C9B"/>
    <w:rsid w:val="51CD5EEE"/>
    <w:rsid w:val="51D7189A"/>
    <w:rsid w:val="51EC0037"/>
    <w:rsid w:val="51F135B6"/>
    <w:rsid w:val="522D2330"/>
    <w:rsid w:val="52F421A7"/>
    <w:rsid w:val="5322696F"/>
    <w:rsid w:val="539147A7"/>
    <w:rsid w:val="53BD08B1"/>
    <w:rsid w:val="53E457E1"/>
    <w:rsid w:val="53FA1417"/>
    <w:rsid w:val="543D7759"/>
    <w:rsid w:val="5444354A"/>
    <w:rsid w:val="548A000A"/>
    <w:rsid w:val="550C1056"/>
    <w:rsid w:val="56096771"/>
    <w:rsid w:val="56427277"/>
    <w:rsid w:val="56C20F2D"/>
    <w:rsid w:val="57477B2B"/>
    <w:rsid w:val="5760098D"/>
    <w:rsid w:val="577466A4"/>
    <w:rsid w:val="57C86EED"/>
    <w:rsid w:val="583D5903"/>
    <w:rsid w:val="58814608"/>
    <w:rsid w:val="58F11BFD"/>
    <w:rsid w:val="590A7119"/>
    <w:rsid w:val="596D221D"/>
    <w:rsid w:val="598409DC"/>
    <w:rsid w:val="59BC25A2"/>
    <w:rsid w:val="59D37CF1"/>
    <w:rsid w:val="5AD95640"/>
    <w:rsid w:val="5ADF6442"/>
    <w:rsid w:val="5B1146F6"/>
    <w:rsid w:val="5B1D7FDB"/>
    <w:rsid w:val="5B95287A"/>
    <w:rsid w:val="5BB8572C"/>
    <w:rsid w:val="5C151288"/>
    <w:rsid w:val="5C247228"/>
    <w:rsid w:val="5C524815"/>
    <w:rsid w:val="5CDA0CDF"/>
    <w:rsid w:val="5D396783"/>
    <w:rsid w:val="5D3E7167"/>
    <w:rsid w:val="5D481133"/>
    <w:rsid w:val="5D4F4FA5"/>
    <w:rsid w:val="5DA1750E"/>
    <w:rsid w:val="5E9D6655"/>
    <w:rsid w:val="5EB1616D"/>
    <w:rsid w:val="5F3757E7"/>
    <w:rsid w:val="601B4236"/>
    <w:rsid w:val="6071183C"/>
    <w:rsid w:val="60F765D6"/>
    <w:rsid w:val="61BD5058"/>
    <w:rsid w:val="623945A2"/>
    <w:rsid w:val="624A6D8F"/>
    <w:rsid w:val="625C1A96"/>
    <w:rsid w:val="62A85CDD"/>
    <w:rsid w:val="62B50AF2"/>
    <w:rsid w:val="62BA7EC8"/>
    <w:rsid w:val="62C96256"/>
    <w:rsid w:val="62CC2A90"/>
    <w:rsid w:val="62E35C5C"/>
    <w:rsid w:val="62E63623"/>
    <w:rsid w:val="632A666E"/>
    <w:rsid w:val="6336440C"/>
    <w:rsid w:val="63B42FBE"/>
    <w:rsid w:val="642E1744"/>
    <w:rsid w:val="643A1B9E"/>
    <w:rsid w:val="64546A26"/>
    <w:rsid w:val="64C26052"/>
    <w:rsid w:val="64D12B30"/>
    <w:rsid w:val="652B48A4"/>
    <w:rsid w:val="65820123"/>
    <w:rsid w:val="65913AED"/>
    <w:rsid w:val="65E83D26"/>
    <w:rsid w:val="65FC519A"/>
    <w:rsid w:val="66585984"/>
    <w:rsid w:val="66D10CCC"/>
    <w:rsid w:val="66E96BAE"/>
    <w:rsid w:val="670D79CE"/>
    <w:rsid w:val="67392F67"/>
    <w:rsid w:val="673B1F5E"/>
    <w:rsid w:val="676A4EFC"/>
    <w:rsid w:val="677F4A59"/>
    <w:rsid w:val="685925FD"/>
    <w:rsid w:val="69562F7B"/>
    <w:rsid w:val="69C05706"/>
    <w:rsid w:val="69CE2E46"/>
    <w:rsid w:val="69EF1903"/>
    <w:rsid w:val="6A636C96"/>
    <w:rsid w:val="6A7A5845"/>
    <w:rsid w:val="6ABE21AD"/>
    <w:rsid w:val="6B61607C"/>
    <w:rsid w:val="6B776B5F"/>
    <w:rsid w:val="6B781B95"/>
    <w:rsid w:val="6B96184C"/>
    <w:rsid w:val="6B9A5005"/>
    <w:rsid w:val="6C4224C8"/>
    <w:rsid w:val="6C74273D"/>
    <w:rsid w:val="6C94160D"/>
    <w:rsid w:val="6CBA2C30"/>
    <w:rsid w:val="6CF25E26"/>
    <w:rsid w:val="6CF32683"/>
    <w:rsid w:val="6DBF6989"/>
    <w:rsid w:val="6E953493"/>
    <w:rsid w:val="6EEB1E65"/>
    <w:rsid w:val="6F850583"/>
    <w:rsid w:val="6FBC3B21"/>
    <w:rsid w:val="6FC04798"/>
    <w:rsid w:val="6FEE25CE"/>
    <w:rsid w:val="6FF33E1A"/>
    <w:rsid w:val="70227688"/>
    <w:rsid w:val="702E36F8"/>
    <w:rsid w:val="702F5C21"/>
    <w:rsid w:val="708231F8"/>
    <w:rsid w:val="7095454D"/>
    <w:rsid w:val="710E6F5D"/>
    <w:rsid w:val="71252D0C"/>
    <w:rsid w:val="715E60D0"/>
    <w:rsid w:val="72E548CC"/>
    <w:rsid w:val="730A11F0"/>
    <w:rsid w:val="738F320C"/>
    <w:rsid w:val="73952AC6"/>
    <w:rsid w:val="74410A18"/>
    <w:rsid w:val="74FB6BE5"/>
    <w:rsid w:val="7535292A"/>
    <w:rsid w:val="753B7D13"/>
    <w:rsid w:val="756B79EC"/>
    <w:rsid w:val="75933503"/>
    <w:rsid w:val="760667A9"/>
    <w:rsid w:val="76621715"/>
    <w:rsid w:val="76BA6269"/>
    <w:rsid w:val="76CD42B6"/>
    <w:rsid w:val="770C4A8E"/>
    <w:rsid w:val="77684BEC"/>
    <w:rsid w:val="77B417B8"/>
    <w:rsid w:val="77D949F2"/>
    <w:rsid w:val="781264F1"/>
    <w:rsid w:val="791D1490"/>
    <w:rsid w:val="79547B6C"/>
    <w:rsid w:val="79552F8E"/>
    <w:rsid w:val="79D24D33"/>
    <w:rsid w:val="79EE69A0"/>
    <w:rsid w:val="7A375F45"/>
    <w:rsid w:val="7A545A20"/>
    <w:rsid w:val="7A8377CB"/>
    <w:rsid w:val="7A851190"/>
    <w:rsid w:val="7AB93CAD"/>
    <w:rsid w:val="7AD51802"/>
    <w:rsid w:val="7B044D87"/>
    <w:rsid w:val="7B625890"/>
    <w:rsid w:val="7C8200BE"/>
    <w:rsid w:val="7C996C5E"/>
    <w:rsid w:val="7D3149F1"/>
    <w:rsid w:val="7DAE2B75"/>
    <w:rsid w:val="7DDC42F1"/>
    <w:rsid w:val="7DF00C43"/>
    <w:rsid w:val="7E5343A3"/>
    <w:rsid w:val="7E5366E5"/>
    <w:rsid w:val="7FAF6940"/>
    <w:rsid w:val="7FED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8"/>
    <w:qFormat/>
    <w:uiPriority w:val="0"/>
    <w:pPr>
      <w:keepNext/>
      <w:jc w:val="center"/>
      <w:outlineLvl w:val="0"/>
    </w:pPr>
    <w:rPr>
      <w:b/>
      <w:bCs/>
      <w:kern w:val="0"/>
      <w:sz w:val="24"/>
      <w:szCs w:val="20"/>
    </w:rPr>
  </w:style>
  <w:style w:type="paragraph" w:styleId="5">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9"/>
    <w:unhideWhenUsed/>
    <w:qFormat/>
    <w:uiPriority w:val="0"/>
    <w:pPr>
      <w:spacing w:line="500" w:lineRule="exact"/>
      <w:ind w:firstLine="420" w:firstLineChars="200"/>
    </w:pPr>
  </w:style>
  <w:style w:type="paragraph" w:styleId="3">
    <w:name w:val="Body Text"/>
    <w:basedOn w:val="1"/>
    <w:link w:val="271"/>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335"/>
    <w:qFormat/>
    <w:uiPriority w:val="0"/>
    <w:pPr>
      <w:widowControl/>
      <w:ind w:firstLine="420"/>
      <w:jc w:val="left"/>
    </w:pPr>
    <w:rPr>
      <w:kern w:val="0"/>
      <w:sz w:val="20"/>
      <w:szCs w:val="20"/>
    </w:rPr>
  </w:style>
  <w:style w:type="paragraph" w:styleId="16">
    <w:name w:val="Document Map"/>
    <w:basedOn w:val="1"/>
    <w:link w:val="281"/>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263"/>
    <w:unhideWhenUsed/>
    <w:qFormat/>
    <w:uiPriority w:val="99"/>
    <w:pPr>
      <w:jc w:val="left"/>
    </w:pPr>
  </w:style>
  <w:style w:type="paragraph" w:styleId="19">
    <w:name w:val="Salutation"/>
    <w:basedOn w:val="1"/>
    <w:next w:val="1"/>
    <w:link w:val="268"/>
    <w:qFormat/>
    <w:uiPriority w:val="0"/>
    <w:rPr>
      <w:rFonts w:ascii="仿宋_GB2312" w:eastAsia="仿宋_GB2312"/>
      <w:sz w:val="24"/>
    </w:rPr>
  </w:style>
  <w:style w:type="paragraph" w:styleId="20">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251"/>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260"/>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293"/>
    <w:qFormat/>
    <w:uiPriority w:val="0"/>
    <w:rPr>
      <w:rFonts w:ascii="Calibri" w:hAnsi="Calibri" w:cs="黑体"/>
      <w:sz w:val="24"/>
      <w:szCs w:val="22"/>
    </w:rPr>
  </w:style>
  <w:style w:type="paragraph" w:styleId="29">
    <w:name w:val="Body Text Indent 2"/>
    <w:basedOn w:val="1"/>
    <w:link w:val="255"/>
    <w:qFormat/>
    <w:uiPriority w:val="0"/>
    <w:pPr>
      <w:spacing w:after="120" w:line="480" w:lineRule="auto"/>
      <w:ind w:left="420" w:leftChars="200"/>
    </w:pPr>
  </w:style>
  <w:style w:type="paragraph" w:styleId="30">
    <w:name w:val="Balloon Text"/>
    <w:basedOn w:val="1"/>
    <w:link w:val="250"/>
    <w:qFormat/>
    <w:uiPriority w:val="0"/>
    <w:rPr>
      <w:rFonts w:ascii="Calibri" w:hAnsi="Calibri" w:cs="黑体"/>
      <w:sz w:val="18"/>
      <w:szCs w:val="18"/>
    </w:rPr>
  </w:style>
  <w:style w:type="paragraph" w:styleId="31">
    <w:name w:val="footer"/>
    <w:basedOn w:val="1"/>
    <w:link w:val="217"/>
    <w:unhideWhenUsed/>
    <w:qFormat/>
    <w:uiPriority w:val="99"/>
    <w:pPr>
      <w:tabs>
        <w:tab w:val="center" w:pos="4153"/>
        <w:tab w:val="right" w:pos="8306"/>
      </w:tabs>
      <w:snapToGrid w:val="0"/>
      <w:jc w:val="left"/>
    </w:pPr>
    <w:rPr>
      <w:sz w:val="18"/>
      <w:szCs w:val="18"/>
    </w:rPr>
  </w:style>
  <w:style w:type="paragraph" w:styleId="32">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278"/>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227"/>
    <w:qFormat/>
    <w:uiPriority w:val="0"/>
    <w:pPr>
      <w:spacing w:after="120" w:line="480" w:lineRule="auto"/>
    </w:pPr>
  </w:style>
  <w:style w:type="paragraph" w:styleId="41">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254"/>
    <w:qFormat/>
    <w:uiPriority w:val="0"/>
    <w:pPr>
      <w:spacing w:before="240" w:after="60"/>
      <w:jc w:val="center"/>
      <w:outlineLvl w:val="0"/>
    </w:pPr>
    <w:rPr>
      <w:rFonts w:ascii="Cambria" w:hAnsi="Cambria"/>
      <w:b/>
      <w:sz w:val="32"/>
    </w:rPr>
  </w:style>
  <w:style w:type="paragraph" w:styleId="45">
    <w:name w:val="annotation subject"/>
    <w:basedOn w:val="18"/>
    <w:next w:val="18"/>
    <w:link w:val="241"/>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3"/>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6"/>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4"/>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4"/>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4"/>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5"/>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4"/>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7"/>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6"/>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6"/>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basedOn w:val="48"/>
    <w:link w:val="32"/>
    <w:qFormat/>
    <w:uiPriority w:val="0"/>
    <w:rPr>
      <w:sz w:val="18"/>
      <w:szCs w:val="18"/>
    </w:rPr>
  </w:style>
  <w:style w:type="character" w:customStyle="1" w:styleId="217">
    <w:name w:val="页脚 字符"/>
    <w:basedOn w:val="48"/>
    <w:link w:val="31"/>
    <w:qFormat/>
    <w:uiPriority w:val="99"/>
    <w:rPr>
      <w:sz w:val="18"/>
      <w:szCs w:val="18"/>
    </w:rPr>
  </w:style>
  <w:style w:type="character" w:customStyle="1" w:styleId="218">
    <w:name w:val="标题 1 字符"/>
    <w:basedOn w:val="48"/>
    <w:link w:val="4"/>
    <w:qFormat/>
    <w:uiPriority w:val="0"/>
    <w:rPr>
      <w:rFonts w:ascii="Times New Roman" w:hAnsi="Times New Roman" w:eastAsia="宋体" w:cs="Times New Roman"/>
      <w:b/>
      <w:bCs/>
      <w:kern w:val="0"/>
      <w:sz w:val="24"/>
      <w:szCs w:val="20"/>
    </w:rPr>
  </w:style>
  <w:style w:type="character" w:customStyle="1" w:styleId="219">
    <w:name w:val="标题 2 字符"/>
    <w:basedOn w:val="48"/>
    <w:link w:val="5"/>
    <w:qFormat/>
    <w:uiPriority w:val="0"/>
    <w:rPr>
      <w:rFonts w:ascii="Arial" w:hAnsi="Arial" w:eastAsia="宋体" w:cs="Times New Roman"/>
      <w:b/>
      <w:bCs/>
      <w:kern w:val="0"/>
      <w:sz w:val="24"/>
      <w:szCs w:val="32"/>
    </w:rPr>
  </w:style>
  <w:style w:type="character" w:customStyle="1" w:styleId="220">
    <w:name w:val="标题 3 字符"/>
    <w:basedOn w:val="48"/>
    <w:link w:val="6"/>
    <w:qFormat/>
    <w:uiPriority w:val="0"/>
    <w:rPr>
      <w:rFonts w:ascii="Times New Roman" w:hAnsi="Times New Roman" w:eastAsia="宋体" w:cs="Times New Roman"/>
      <w:b/>
      <w:bCs/>
      <w:kern w:val="0"/>
      <w:sz w:val="32"/>
      <w:szCs w:val="32"/>
    </w:rPr>
  </w:style>
  <w:style w:type="character" w:customStyle="1" w:styleId="221">
    <w:name w:val="标题 4 字符"/>
    <w:basedOn w:val="48"/>
    <w:link w:val="7"/>
    <w:qFormat/>
    <w:uiPriority w:val="0"/>
    <w:rPr>
      <w:rFonts w:ascii="Arial" w:hAnsi="Arial" w:eastAsia="黑体" w:cs="Times New Roman"/>
      <w:b/>
      <w:bCs/>
      <w:kern w:val="0"/>
      <w:sz w:val="28"/>
      <w:szCs w:val="28"/>
    </w:rPr>
  </w:style>
  <w:style w:type="character" w:customStyle="1" w:styleId="222">
    <w:name w:val="标题 5 字符"/>
    <w:basedOn w:val="48"/>
    <w:link w:val="8"/>
    <w:qFormat/>
    <w:uiPriority w:val="0"/>
    <w:rPr>
      <w:rFonts w:ascii="Times New Roman" w:hAnsi="Times New Roman" w:eastAsia="宋体" w:cs="Times New Roman"/>
      <w:b/>
      <w:bCs/>
      <w:kern w:val="0"/>
      <w:sz w:val="28"/>
      <w:szCs w:val="28"/>
    </w:rPr>
  </w:style>
  <w:style w:type="character" w:customStyle="1" w:styleId="223">
    <w:name w:val="标题 6 字符"/>
    <w:basedOn w:val="48"/>
    <w:link w:val="9"/>
    <w:qFormat/>
    <w:uiPriority w:val="0"/>
    <w:rPr>
      <w:rFonts w:ascii="Arial" w:hAnsi="Arial" w:eastAsia="黑体" w:cs="Times New Roman"/>
      <w:b/>
      <w:bCs/>
      <w:kern w:val="0"/>
      <w:sz w:val="24"/>
      <w:szCs w:val="24"/>
    </w:rPr>
  </w:style>
  <w:style w:type="character" w:customStyle="1" w:styleId="224">
    <w:name w:val="标题 7 字符"/>
    <w:basedOn w:val="48"/>
    <w:link w:val="10"/>
    <w:qFormat/>
    <w:uiPriority w:val="0"/>
    <w:rPr>
      <w:rFonts w:ascii="Times New Roman" w:hAnsi="Times New Roman" w:eastAsia="宋体" w:cs="Times New Roman"/>
      <w:b/>
      <w:bCs/>
      <w:kern w:val="0"/>
      <w:sz w:val="24"/>
      <w:szCs w:val="24"/>
    </w:rPr>
  </w:style>
  <w:style w:type="character" w:customStyle="1" w:styleId="225">
    <w:name w:val="标题 8 字符"/>
    <w:basedOn w:val="48"/>
    <w:link w:val="11"/>
    <w:qFormat/>
    <w:uiPriority w:val="0"/>
    <w:rPr>
      <w:rFonts w:ascii="Arial" w:hAnsi="Arial" w:eastAsia="黑体" w:cs="Times New Roman"/>
      <w:kern w:val="0"/>
      <w:sz w:val="24"/>
      <w:szCs w:val="24"/>
    </w:rPr>
  </w:style>
  <w:style w:type="character" w:customStyle="1" w:styleId="226">
    <w:name w:val="标题 9 字符"/>
    <w:basedOn w:val="48"/>
    <w:link w:val="12"/>
    <w:qFormat/>
    <w:uiPriority w:val="0"/>
    <w:rPr>
      <w:rFonts w:ascii="Arial" w:hAnsi="Arial" w:eastAsia="黑体" w:cs="Times New Roman"/>
      <w:kern w:val="0"/>
      <w:sz w:val="20"/>
      <w:szCs w:val="21"/>
    </w:rPr>
  </w:style>
  <w:style w:type="character" w:customStyle="1" w:styleId="227">
    <w:name w:val="正文文本 2 字符"/>
    <w:basedOn w:val="48"/>
    <w:link w:val="40"/>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5"/>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字符"/>
    <w:link w:val="30"/>
    <w:qFormat/>
    <w:locked/>
    <w:uiPriority w:val="0"/>
    <w:rPr>
      <w:rFonts w:ascii="Calibri" w:hAnsi="Calibri" w:eastAsia="宋体" w:cs="黑体"/>
      <w:sz w:val="18"/>
      <w:szCs w:val="18"/>
    </w:rPr>
  </w:style>
  <w:style w:type="character" w:customStyle="1" w:styleId="251">
    <w:name w:val="正文文本缩进 字符"/>
    <w:basedOn w:val="48"/>
    <w:link w:val="21"/>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basedOn w:val="48"/>
    <w:link w:val="44"/>
    <w:qFormat/>
    <w:uiPriority w:val="0"/>
    <w:rPr>
      <w:rFonts w:ascii="Cambria" w:hAnsi="Cambria" w:eastAsia="宋体" w:cs="Times New Roman"/>
      <w:b/>
      <w:sz w:val="32"/>
      <w:szCs w:val="24"/>
    </w:rPr>
  </w:style>
  <w:style w:type="character" w:customStyle="1" w:styleId="255">
    <w:name w:val="正文文本缩进 2 字符"/>
    <w:basedOn w:val="48"/>
    <w:link w:val="29"/>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basedOn w:val="48"/>
    <w:link w:val="26"/>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字符"/>
    <w:basedOn w:val="48"/>
    <w:link w:val="18"/>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basedOn w:val="48"/>
    <w:link w:val="41"/>
    <w:qFormat/>
    <w:uiPriority w:val="0"/>
    <w:rPr>
      <w:rFonts w:ascii="Arial" w:hAnsi="Arial" w:eastAsia="宋体" w:cs="Arial"/>
      <w:kern w:val="0"/>
      <w:sz w:val="24"/>
      <w:szCs w:val="24"/>
    </w:rPr>
  </w:style>
  <w:style w:type="character" w:customStyle="1" w:styleId="268">
    <w:name w:val="称呼 字符"/>
    <w:basedOn w:val="48"/>
    <w:link w:val="19"/>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basedOn w:val="48"/>
    <w:link w:val="3"/>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7"/>
    <w:qFormat/>
    <w:uiPriority w:val="0"/>
    <w:rPr>
      <w:rFonts w:ascii="Calibri" w:hAnsi="Calibri" w:eastAsia="宋体" w:cs="黑体"/>
      <w:sz w:val="16"/>
      <w:szCs w:val="16"/>
    </w:rPr>
  </w:style>
  <w:style w:type="character" w:customStyle="1" w:styleId="279">
    <w:name w:val="副标题 字符"/>
    <w:basedOn w:val="48"/>
    <w:link w:val="35"/>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字符"/>
    <w:link w:val="28"/>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文本首行缩进 字符"/>
    <w:basedOn w:val="326"/>
    <w:link w:val="2"/>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字符"/>
    <w:link w:val="15"/>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4"/>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1"/>
    <w:basedOn w:val="4"/>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2051"/>
    <customShpInfo spid="_x0000_s2052"/>
    <customShpInfo spid="_x0000_s2049"/>
    <customShpInfo spid="_x0000_s2050"/>
    <customShpInfo spid="_x0000_s1026"/>
    <customShpInfo spid="_x0000_s1033"/>
    <customShpInfo spid="_x0000_s1030"/>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25A50-6622-4C1B-AEE7-BF23159056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3430</Words>
  <Characters>19554</Characters>
  <Lines>162</Lines>
  <Paragraphs>45</Paragraphs>
  <TotalTime>1</TotalTime>
  <ScaleCrop>false</ScaleCrop>
  <LinksUpToDate>false</LinksUpToDate>
  <CharactersWithSpaces>22939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2020-05-12T02:59:00Z</dcterms:created>
  <dc:creator>李 毅</dc:creator>
  <cp:lastModifiedBy>Administrator</cp:lastModifiedBy>
  <cp:lastPrinted>2020-07-01T00:45:00Z</cp:lastPrinted>
  <dcterms:modified xsi:type="dcterms:W3CDTF">2020-07-01T01:48:10Z</dcterms:modified>
  <dc:title>长沙市轨道交通运营有限公司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