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Ansi="宋体"/>
          <w:b/>
          <w:color w:val="auto"/>
          <w:sz w:val="52"/>
          <w:szCs w:val="52"/>
          <w:highlight w:val="none"/>
        </w:rPr>
      </w:pPr>
    </w:p>
    <w:p>
      <w:pPr>
        <w:pStyle w:val="10"/>
        <w:jc w:val="center"/>
        <w:rPr>
          <w:rFonts w:hAnsi="宋体"/>
          <w:b/>
          <w:bCs/>
          <w:color w:val="auto"/>
          <w:sz w:val="52"/>
          <w:szCs w:val="52"/>
          <w:highlight w:val="none"/>
        </w:rPr>
      </w:pPr>
      <w:r>
        <w:rPr>
          <w:rFonts w:hint="eastAsia" w:hAnsi="宋体"/>
          <w:b/>
          <w:color w:val="auto"/>
          <w:sz w:val="52"/>
          <w:szCs w:val="52"/>
          <w:highlight w:val="none"/>
        </w:rPr>
        <w:t>长沙市轨道交通运营有限公司</w:t>
      </w:r>
    </w:p>
    <w:p>
      <w:pPr>
        <w:pStyle w:val="10"/>
        <w:adjustRightInd w:val="0"/>
        <w:snapToGrid w:val="0"/>
        <w:spacing w:line="360" w:lineRule="auto"/>
        <w:jc w:val="center"/>
        <w:rPr>
          <w:rFonts w:hAnsi="宋体"/>
          <w:b/>
          <w:color w:val="auto"/>
          <w:sz w:val="52"/>
          <w:szCs w:val="52"/>
          <w:highlight w:val="none"/>
        </w:rPr>
      </w:pPr>
      <w:r>
        <w:rPr>
          <w:rFonts w:hint="eastAsia" w:hAnsi="宋体"/>
          <w:b/>
          <w:color w:val="auto"/>
          <w:sz w:val="52"/>
          <w:szCs w:val="52"/>
          <w:highlight w:val="none"/>
        </w:rPr>
        <w:t>自主竞争性谈判文件</w:t>
      </w:r>
    </w:p>
    <w:p>
      <w:pPr>
        <w:pStyle w:val="10"/>
        <w:adjustRightInd w:val="0"/>
        <w:snapToGrid w:val="0"/>
        <w:spacing w:beforeLines="50" w:line="360" w:lineRule="auto"/>
        <w:rPr>
          <w:b/>
          <w:color w:val="auto"/>
          <w:sz w:val="32"/>
          <w:szCs w:val="32"/>
          <w:highlight w:val="none"/>
        </w:rPr>
      </w:pPr>
    </w:p>
    <w:p>
      <w:pPr>
        <w:pStyle w:val="10"/>
        <w:adjustRightInd w:val="0"/>
        <w:snapToGrid w:val="0"/>
        <w:spacing w:line="360" w:lineRule="auto"/>
        <w:rPr>
          <w:rFonts w:ascii="华文中宋" w:hAnsi="华文中宋" w:eastAsia="华文中宋"/>
          <w:color w:val="auto"/>
          <w:sz w:val="32"/>
          <w:szCs w:val="32"/>
          <w:highlight w:val="none"/>
        </w:rPr>
      </w:pPr>
    </w:p>
    <w:p>
      <w:pPr>
        <w:spacing w:line="360" w:lineRule="auto"/>
        <w:ind w:left="2236" w:leftChars="152" w:hanging="1917" w:hangingChars="682"/>
        <w:rPr>
          <w:rFonts w:ascii="宋体" w:hAnsi="宋体" w:cs="Courier New"/>
          <w:b/>
          <w:color w:val="auto"/>
          <w:sz w:val="28"/>
          <w:szCs w:val="21"/>
          <w:highlight w:val="none"/>
          <w:u w:val="single"/>
        </w:rPr>
      </w:pPr>
      <w:r>
        <w:rPr>
          <w:rFonts w:hint="eastAsia" w:ascii="宋体" w:hAnsi="宋体" w:cs="Courier New"/>
          <w:b/>
          <w:color w:val="auto"/>
          <w:sz w:val="28"/>
          <w:szCs w:val="21"/>
          <w:highlight w:val="none"/>
        </w:rPr>
        <w:t>谈判项目名称：</w:t>
      </w:r>
      <w:r>
        <w:rPr>
          <w:rFonts w:hint="eastAsia" w:ascii="宋体" w:hAnsi="宋体" w:cs="Courier New"/>
          <w:b/>
          <w:color w:val="auto"/>
          <w:sz w:val="28"/>
          <w:szCs w:val="21"/>
          <w:highlight w:val="none"/>
          <w:u w:val="single"/>
        </w:rPr>
        <w:t>长沙市轨道交通1、2、3、4、5号线运营期2020年-2021年计量器具委外检测服务项目</w:t>
      </w:r>
    </w:p>
    <w:p>
      <w:pPr>
        <w:spacing w:line="360" w:lineRule="auto"/>
        <w:ind w:left="2240" w:firstLine="281" w:firstLineChars="100"/>
        <w:jc w:val="left"/>
        <w:rPr>
          <w:rFonts w:ascii="宋体" w:hAnsi="宋体" w:cs="Courier New"/>
          <w:b/>
          <w:color w:val="auto"/>
          <w:sz w:val="28"/>
          <w:szCs w:val="21"/>
          <w:highlight w:val="none"/>
        </w:rPr>
      </w:pPr>
    </w:p>
    <w:p>
      <w:pPr>
        <w:pStyle w:val="10"/>
        <w:adjustRightInd w:val="0"/>
        <w:snapToGrid w:val="0"/>
        <w:spacing w:line="360" w:lineRule="auto"/>
        <w:ind w:firstLine="281" w:firstLineChars="100"/>
        <w:rPr>
          <w:rFonts w:hint="eastAsia" w:hAnsi="宋体"/>
          <w:b/>
          <w:color w:val="auto"/>
          <w:sz w:val="28"/>
          <w:highlight w:val="none"/>
        </w:rPr>
      </w:pPr>
      <w:r>
        <w:rPr>
          <w:rFonts w:hint="eastAsia" w:hAnsi="宋体"/>
          <w:b/>
          <w:color w:val="auto"/>
          <w:sz w:val="28"/>
          <w:highlight w:val="none"/>
        </w:rPr>
        <w:t>采购单位名称：长沙市轨道交通运营有限公司</w:t>
      </w:r>
    </w:p>
    <w:p>
      <w:pPr>
        <w:pStyle w:val="10"/>
        <w:adjustRightInd w:val="0"/>
        <w:snapToGrid w:val="0"/>
        <w:spacing w:line="360" w:lineRule="auto"/>
        <w:ind w:firstLine="2249" w:firstLineChars="800"/>
        <w:rPr>
          <w:rFonts w:hint="eastAsia" w:hAnsi="宋体"/>
          <w:b/>
          <w:color w:val="auto"/>
          <w:sz w:val="28"/>
          <w:highlight w:val="none"/>
        </w:rPr>
      </w:pPr>
      <w:r>
        <w:rPr>
          <w:rFonts w:hint="eastAsia" w:hAnsi="宋体"/>
          <w:b/>
          <w:color w:val="auto"/>
          <w:sz w:val="28"/>
          <w:highlight w:val="none"/>
        </w:rPr>
        <w:t>长沙市轨道交通一号线建设发展有限公司</w:t>
      </w:r>
    </w:p>
    <w:p>
      <w:pPr>
        <w:pStyle w:val="10"/>
        <w:adjustRightInd w:val="0"/>
        <w:snapToGrid w:val="0"/>
        <w:spacing w:line="360" w:lineRule="auto"/>
        <w:ind w:right="-477" w:rightChars="-227" w:firstLine="2249" w:firstLineChars="800"/>
        <w:rPr>
          <w:rFonts w:hint="eastAsia" w:hAnsi="宋体"/>
          <w:b/>
          <w:color w:val="auto"/>
          <w:sz w:val="28"/>
          <w:highlight w:val="none"/>
        </w:rPr>
      </w:pPr>
      <w:r>
        <w:rPr>
          <w:rFonts w:hint="eastAsia" w:hAnsi="宋体"/>
          <w:b/>
          <w:color w:val="auto"/>
          <w:sz w:val="28"/>
          <w:highlight w:val="none"/>
        </w:rPr>
        <w:t>长沙市轨道交通三号线建设发展有限公司</w:t>
      </w:r>
    </w:p>
    <w:p>
      <w:pPr>
        <w:pStyle w:val="10"/>
        <w:adjustRightInd w:val="0"/>
        <w:snapToGrid w:val="0"/>
        <w:spacing w:line="360" w:lineRule="auto"/>
        <w:ind w:right="-477" w:rightChars="-227" w:firstLine="2249" w:firstLineChars="800"/>
        <w:rPr>
          <w:rFonts w:hint="eastAsia" w:hAnsi="宋体"/>
          <w:b/>
          <w:color w:val="auto"/>
          <w:sz w:val="28"/>
          <w:highlight w:val="none"/>
        </w:rPr>
      </w:pPr>
      <w:r>
        <w:rPr>
          <w:rFonts w:hint="eastAsia" w:hAnsi="宋体"/>
          <w:b/>
          <w:color w:val="auto"/>
          <w:sz w:val="28"/>
          <w:highlight w:val="none"/>
        </w:rPr>
        <w:t>长沙市轨道交通四号线建设发展有限公司</w:t>
      </w:r>
    </w:p>
    <w:p>
      <w:pPr>
        <w:pStyle w:val="10"/>
        <w:adjustRightInd w:val="0"/>
        <w:snapToGrid w:val="0"/>
        <w:spacing w:line="360" w:lineRule="auto"/>
        <w:ind w:right="-477" w:rightChars="-227" w:firstLine="2249" w:firstLineChars="800"/>
        <w:rPr>
          <w:rFonts w:hAnsi="宋体"/>
          <w:b/>
          <w:color w:val="auto"/>
          <w:sz w:val="28"/>
          <w:highlight w:val="none"/>
        </w:rPr>
      </w:pPr>
      <w:r>
        <w:rPr>
          <w:rFonts w:hint="eastAsia" w:hAnsi="宋体"/>
          <w:b/>
          <w:color w:val="auto"/>
          <w:sz w:val="28"/>
          <w:highlight w:val="none"/>
        </w:rPr>
        <w:t>长沙市轨道交通五号线建设发展有限公司</w:t>
      </w:r>
    </w:p>
    <w:p>
      <w:pPr>
        <w:pStyle w:val="10"/>
        <w:adjustRightInd w:val="0"/>
        <w:snapToGrid w:val="0"/>
        <w:spacing w:line="360" w:lineRule="auto"/>
        <w:ind w:firstLine="281" w:firstLineChars="100"/>
        <w:rPr>
          <w:rFonts w:hAnsi="宋体"/>
          <w:b/>
          <w:color w:val="auto"/>
          <w:sz w:val="28"/>
          <w:highlight w:val="none"/>
        </w:rPr>
      </w:pPr>
    </w:p>
    <w:p>
      <w:pPr>
        <w:pStyle w:val="10"/>
        <w:adjustRightInd w:val="0"/>
        <w:snapToGrid w:val="0"/>
        <w:spacing w:line="360" w:lineRule="auto"/>
        <w:ind w:firstLine="281" w:firstLineChars="100"/>
        <w:rPr>
          <w:rFonts w:hAnsi="宋体"/>
          <w:b/>
          <w:color w:val="auto"/>
          <w:sz w:val="28"/>
          <w:highlight w:val="none"/>
          <w:u w:val="single"/>
        </w:rPr>
      </w:pPr>
      <w:r>
        <w:rPr>
          <w:rFonts w:hint="eastAsia" w:hAnsi="宋体"/>
          <w:b/>
          <w:color w:val="auto"/>
          <w:sz w:val="28"/>
          <w:highlight w:val="none"/>
        </w:rPr>
        <w:t>谈判项目编号：</w:t>
      </w:r>
      <w:r>
        <w:rPr>
          <w:rFonts w:hint="eastAsia" w:hAnsi="宋体"/>
          <w:b/>
          <w:color w:val="auto"/>
          <w:sz w:val="28"/>
          <w:highlight w:val="none"/>
          <w:u w:val="single"/>
        </w:rPr>
        <w:t>长轨运服采【20</w:t>
      </w:r>
      <w:r>
        <w:rPr>
          <w:rFonts w:hint="eastAsia" w:hAnsi="宋体" w:cs="宋体"/>
          <w:b/>
          <w:color w:val="auto"/>
          <w:sz w:val="28"/>
          <w:highlight w:val="none"/>
          <w:u w:val="single"/>
          <w:lang w:val="en-US" w:eastAsia="zh-CN"/>
        </w:rPr>
        <w:t>20</w:t>
      </w:r>
      <w:r>
        <w:rPr>
          <w:rFonts w:hint="eastAsia" w:hAnsi="宋体"/>
          <w:b/>
          <w:color w:val="auto"/>
          <w:sz w:val="28"/>
          <w:highlight w:val="none"/>
          <w:u w:val="single"/>
        </w:rPr>
        <w:t>】</w:t>
      </w:r>
      <w:r>
        <w:rPr>
          <w:rFonts w:hint="eastAsia" w:hAnsi="宋体"/>
          <w:b/>
          <w:color w:val="auto"/>
          <w:sz w:val="28"/>
          <w:highlight w:val="none"/>
          <w:u w:val="single"/>
          <w:lang w:val="en-US" w:eastAsia="zh-CN"/>
        </w:rPr>
        <w:t>022</w:t>
      </w:r>
      <w:r>
        <w:rPr>
          <w:rFonts w:hint="eastAsia" w:hAnsi="宋体"/>
          <w:b/>
          <w:color w:val="auto"/>
          <w:sz w:val="28"/>
          <w:highlight w:val="none"/>
          <w:u w:val="single"/>
        </w:rPr>
        <w:t>号</w:t>
      </w:r>
    </w:p>
    <w:p>
      <w:pPr>
        <w:pStyle w:val="10"/>
        <w:adjustRightInd w:val="0"/>
        <w:snapToGrid w:val="0"/>
        <w:spacing w:beforeLines="50" w:line="360" w:lineRule="auto"/>
        <w:rPr>
          <w:b/>
          <w:color w:val="auto"/>
          <w:sz w:val="32"/>
          <w:szCs w:val="32"/>
          <w:highlight w:val="none"/>
        </w:rPr>
      </w:pPr>
    </w:p>
    <w:p>
      <w:pPr>
        <w:pStyle w:val="10"/>
        <w:adjustRightInd w:val="0"/>
        <w:snapToGrid w:val="0"/>
        <w:spacing w:line="360" w:lineRule="auto"/>
        <w:rPr>
          <w:rFonts w:ascii="仿宋_GB2312" w:hAnsi="宋体" w:eastAsia="仿宋_GB2312"/>
          <w:b/>
          <w:color w:val="auto"/>
          <w:sz w:val="32"/>
          <w:highlight w:val="none"/>
        </w:rPr>
      </w:pPr>
    </w:p>
    <w:p>
      <w:pPr>
        <w:pStyle w:val="10"/>
        <w:adjustRightInd w:val="0"/>
        <w:snapToGrid w:val="0"/>
        <w:spacing w:line="360" w:lineRule="auto"/>
        <w:rPr>
          <w:rFonts w:ascii="仿宋_GB2312" w:hAnsi="宋体" w:eastAsia="仿宋_GB2312"/>
          <w:b/>
          <w:color w:val="auto"/>
          <w:sz w:val="32"/>
          <w:highlight w:val="none"/>
        </w:rPr>
      </w:pPr>
    </w:p>
    <w:p>
      <w:pPr>
        <w:pStyle w:val="10"/>
        <w:adjustRightInd w:val="0"/>
        <w:snapToGrid w:val="0"/>
        <w:spacing w:line="360" w:lineRule="auto"/>
        <w:rPr>
          <w:rFonts w:ascii="仿宋_GB2312" w:hAnsi="宋体" w:eastAsia="仿宋_GB2312"/>
          <w:b/>
          <w:color w:val="auto"/>
          <w:sz w:val="32"/>
          <w:highlight w:val="none"/>
        </w:rPr>
      </w:pPr>
    </w:p>
    <w:p>
      <w:pPr>
        <w:pStyle w:val="10"/>
        <w:adjustRightInd w:val="0"/>
        <w:snapToGrid w:val="0"/>
        <w:spacing w:line="360" w:lineRule="auto"/>
        <w:rPr>
          <w:rFonts w:ascii="仿宋_GB2312" w:hAnsi="宋体" w:eastAsia="仿宋_GB2312"/>
          <w:bCs/>
          <w:color w:val="auto"/>
          <w:sz w:val="32"/>
          <w:highlight w:val="none"/>
        </w:rPr>
      </w:pPr>
    </w:p>
    <w:p>
      <w:pPr>
        <w:pStyle w:val="10"/>
        <w:adjustRightInd w:val="0"/>
        <w:snapToGrid w:val="0"/>
        <w:spacing w:line="360" w:lineRule="auto"/>
        <w:jc w:val="center"/>
        <w:rPr>
          <w:rFonts w:hAnsi="宋体"/>
          <w:bCs/>
          <w:color w:val="auto"/>
          <w:sz w:val="32"/>
          <w:highlight w:val="none"/>
        </w:rPr>
      </w:pPr>
      <w:r>
        <w:rPr>
          <w:rFonts w:hint="eastAsia" w:hAnsi="宋体"/>
          <w:b/>
          <w:color w:val="auto"/>
          <w:sz w:val="32"/>
          <w:highlight w:val="none"/>
        </w:rPr>
        <w:t>二〇二〇年</w:t>
      </w:r>
      <w:r>
        <w:rPr>
          <w:rFonts w:hint="eastAsia" w:hAnsi="宋体"/>
          <w:b/>
          <w:color w:val="auto"/>
          <w:sz w:val="32"/>
          <w:highlight w:val="none"/>
          <w:lang w:eastAsia="zh-CN"/>
        </w:rPr>
        <w:t>六</w:t>
      </w:r>
      <w:r>
        <w:rPr>
          <w:rFonts w:hint="eastAsia" w:hAnsi="宋体"/>
          <w:b/>
          <w:color w:val="auto"/>
          <w:sz w:val="32"/>
          <w:highlight w:val="none"/>
        </w:rPr>
        <w:t>月</w:t>
      </w:r>
    </w:p>
    <w:p>
      <w:pPr>
        <w:pStyle w:val="10"/>
        <w:adjustRightInd w:val="0"/>
        <w:snapToGrid w:val="0"/>
        <w:spacing w:line="360" w:lineRule="auto"/>
        <w:jc w:val="center"/>
        <w:rPr>
          <w:rFonts w:hAnsi="宋体"/>
          <w:b/>
          <w:color w:val="auto"/>
          <w:sz w:val="32"/>
          <w:highlight w:val="none"/>
        </w:rPr>
      </w:pPr>
    </w:p>
    <w:p>
      <w:pPr>
        <w:pStyle w:val="10"/>
        <w:adjustRightInd w:val="0"/>
        <w:snapToGrid w:val="0"/>
        <w:spacing w:line="360" w:lineRule="auto"/>
        <w:jc w:val="center"/>
        <w:rPr>
          <w:rFonts w:hAnsi="宋体"/>
          <w:b/>
          <w:color w:val="auto"/>
          <w:sz w:val="32"/>
          <w:highlight w:val="none"/>
        </w:rPr>
        <w:sectPr>
          <w:footerReference r:id="rId5" w:type="first"/>
          <w:headerReference r:id="rId3" w:type="even"/>
          <w:footerReference r:id="rId4" w:type="even"/>
          <w:pgSz w:w="11906" w:h="16838"/>
          <w:pgMar w:top="1440" w:right="1797" w:bottom="1440" w:left="1797" w:header="851" w:footer="851" w:gutter="0"/>
          <w:pgNumType w:fmt="decimal" w:start="1"/>
          <w:cols w:space="720" w:num="1"/>
          <w:docGrid w:linePitch="312" w:charSpace="0"/>
        </w:sectPr>
      </w:pPr>
    </w:p>
    <w:p>
      <w:pPr>
        <w:jc w:val="center"/>
        <w:rPr>
          <w:rFonts w:ascii="宋体" w:hAnsi="宋体" w:cs="宋体"/>
          <w:b/>
          <w:bCs/>
          <w:color w:val="auto"/>
          <w:sz w:val="32"/>
          <w:szCs w:val="32"/>
          <w:highlight w:val="none"/>
        </w:rPr>
      </w:pPr>
      <w:bookmarkStart w:id="0" w:name="_Toc14891064"/>
      <w:r>
        <w:rPr>
          <w:rFonts w:hint="eastAsia" w:ascii="宋体" w:hAnsi="宋体" w:cs="宋体"/>
          <w:b/>
          <w:bCs/>
          <w:color w:val="auto"/>
          <w:sz w:val="32"/>
          <w:szCs w:val="32"/>
          <w:highlight w:val="none"/>
        </w:rPr>
        <w:t>目</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录</w:t>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color w:val="auto"/>
          <w:highlight w:val="none"/>
        </w:rPr>
        <w:instrText xml:space="preserve"> HYPERLINK \l _Toc32066 </w:instrText>
      </w:r>
      <w:r>
        <w:rPr>
          <w:color w:val="auto"/>
          <w:highlight w:val="none"/>
        </w:rPr>
        <w:fldChar w:fldCharType="separate"/>
      </w:r>
      <w:r>
        <w:rPr>
          <w:rFonts w:hint="eastAsia"/>
          <w:color w:val="auto"/>
          <w:highlight w:val="none"/>
        </w:rPr>
        <w:t>第一章  谈判邀请公告</w:t>
      </w:r>
      <w:r>
        <w:rPr>
          <w:color w:val="auto"/>
          <w:highlight w:val="none"/>
        </w:rPr>
        <w:tab/>
      </w:r>
      <w:r>
        <w:rPr>
          <w:color w:val="auto"/>
          <w:highlight w:val="none"/>
        </w:rPr>
        <w:fldChar w:fldCharType="begin"/>
      </w:r>
      <w:r>
        <w:rPr>
          <w:color w:val="auto"/>
          <w:highlight w:val="none"/>
        </w:rPr>
        <w:instrText xml:space="preserve"> PAGEREF _Toc32066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_Toc20383 </w:instrText>
      </w:r>
      <w:r>
        <w:rPr>
          <w:color w:val="auto"/>
          <w:highlight w:val="none"/>
        </w:rPr>
        <w:fldChar w:fldCharType="separate"/>
      </w:r>
      <w:r>
        <w:rPr>
          <w:rFonts w:hint="eastAsia"/>
          <w:color w:val="auto"/>
          <w:highlight w:val="none"/>
        </w:rPr>
        <w:t>第二章 谈判须知</w:t>
      </w:r>
      <w:r>
        <w:rPr>
          <w:color w:val="auto"/>
          <w:highlight w:val="none"/>
        </w:rPr>
        <w:tab/>
      </w:r>
      <w:r>
        <w:rPr>
          <w:color w:val="auto"/>
          <w:highlight w:val="none"/>
        </w:rPr>
        <w:fldChar w:fldCharType="begin"/>
      </w:r>
      <w:r>
        <w:rPr>
          <w:color w:val="auto"/>
          <w:highlight w:val="none"/>
        </w:rPr>
        <w:instrText xml:space="preserve"> PAGEREF _Toc20383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_Toc6989 </w:instrText>
      </w:r>
      <w:r>
        <w:rPr>
          <w:color w:val="auto"/>
          <w:highlight w:val="none"/>
        </w:rPr>
        <w:fldChar w:fldCharType="separate"/>
      </w:r>
      <w:r>
        <w:rPr>
          <w:rFonts w:hint="eastAsia"/>
          <w:color w:val="auto"/>
          <w:highlight w:val="none"/>
        </w:rPr>
        <w:t>谈判须知前附表</w:t>
      </w:r>
      <w:r>
        <w:rPr>
          <w:color w:val="auto"/>
          <w:highlight w:val="none"/>
        </w:rPr>
        <w:tab/>
      </w:r>
      <w:r>
        <w:rPr>
          <w:color w:val="auto"/>
          <w:highlight w:val="none"/>
        </w:rPr>
        <w:fldChar w:fldCharType="begin"/>
      </w:r>
      <w:r>
        <w:rPr>
          <w:color w:val="auto"/>
          <w:highlight w:val="none"/>
        </w:rPr>
        <w:instrText xml:space="preserve"> PAGEREF _Toc6989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_Toc5348 </w:instrText>
      </w:r>
      <w:r>
        <w:rPr>
          <w:color w:val="auto"/>
          <w:highlight w:val="none"/>
        </w:rPr>
        <w:fldChar w:fldCharType="separate"/>
      </w:r>
      <w:r>
        <w:rPr>
          <w:rFonts w:hint="eastAsia"/>
          <w:color w:val="auto"/>
          <w:highlight w:val="none"/>
        </w:rPr>
        <w:t>一、说明</w:t>
      </w:r>
      <w:r>
        <w:rPr>
          <w:color w:val="auto"/>
          <w:highlight w:val="none"/>
        </w:rPr>
        <w:tab/>
      </w:r>
      <w:r>
        <w:rPr>
          <w:color w:val="auto"/>
          <w:highlight w:val="none"/>
        </w:rPr>
        <w:fldChar w:fldCharType="begin"/>
      </w:r>
      <w:r>
        <w:rPr>
          <w:color w:val="auto"/>
          <w:highlight w:val="none"/>
        </w:rPr>
        <w:instrText xml:space="preserve"> PAGEREF _Toc5348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_Toc25450 </w:instrText>
      </w:r>
      <w:r>
        <w:rPr>
          <w:color w:val="auto"/>
          <w:highlight w:val="none"/>
        </w:rPr>
        <w:fldChar w:fldCharType="separate"/>
      </w:r>
      <w:r>
        <w:rPr>
          <w:rFonts w:hint="eastAsia"/>
          <w:color w:val="auto"/>
          <w:highlight w:val="none"/>
        </w:rPr>
        <w:t>二、谈判文件</w:t>
      </w:r>
      <w:r>
        <w:rPr>
          <w:color w:val="auto"/>
          <w:highlight w:val="none"/>
        </w:rPr>
        <w:tab/>
      </w:r>
      <w:r>
        <w:rPr>
          <w:color w:val="auto"/>
          <w:highlight w:val="none"/>
        </w:rPr>
        <w:fldChar w:fldCharType="begin"/>
      </w:r>
      <w:r>
        <w:rPr>
          <w:color w:val="auto"/>
          <w:highlight w:val="none"/>
        </w:rPr>
        <w:instrText xml:space="preserve"> PAGEREF _Toc25450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_Toc4718 </w:instrText>
      </w:r>
      <w:r>
        <w:rPr>
          <w:color w:val="auto"/>
          <w:highlight w:val="none"/>
        </w:rPr>
        <w:fldChar w:fldCharType="separate"/>
      </w:r>
      <w:r>
        <w:rPr>
          <w:rFonts w:hint="eastAsia"/>
          <w:color w:val="auto"/>
          <w:highlight w:val="none"/>
        </w:rPr>
        <w:t>三、响应文件</w:t>
      </w:r>
      <w:r>
        <w:rPr>
          <w:color w:val="auto"/>
          <w:highlight w:val="none"/>
        </w:rPr>
        <w:tab/>
      </w:r>
      <w:r>
        <w:rPr>
          <w:color w:val="auto"/>
          <w:highlight w:val="none"/>
        </w:rPr>
        <w:fldChar w:fldCharType="begin"/>
      </w:r>
      <w:r>
        <w:rPr>
          <w:color w:val="auto"/>
          <w:highlight w:val="none"/>
        </w:rPr>
        <w:instrText xml:space="preserve"> PAGEREF _Toc4718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_Toc4171 </w:instrText>
      </w:r>
      <w:r>
        <w:rPr>
          <w:color w:val="auto"/>
          <w:highlight w:val="none"/>
        </w:rPr>
        <w:fldChar w:fldCharType="separate"/>
      </w:r>
      <w:r>
        <w:rPr>
          <w:rFonts w:hint="eastAsia"/>
          <w:color w:val="auto"/>
          <w:highlight w:val="none"/>
        </w:rPr>
        <w:t>四、响应文件的递交</w:t>
      </w:r>
      <w:r>
        <w:rPr>
          <w:color w:val="auto"/>
          <w:highlight w:val="none"/>
        </w:rPr>
        <w:tab/>
      </w:r>
      <w:r>
        <w:rPr>
          <w:color w:val="auto"/>
          <w:highlight w:val="none"/>
        </w:rPr>
        <w:fldChar w:fldCharType="begin"/>
      </w:r>
      <w:r>
        <w:rPr>
          <w:color w:val="auto"/>
          <w:highlight w:val="none"/>
        </w:rPr>
        <w:instrText xml:space="preserve"> PAGEREF _Toc4171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_Toc9700 </w:instrText>
      </w:r>
      <w:r>
        <w:rPr>
          <w:color w:val="auto"/>
          <w:highlight w:val="none"/>
        </w:rPr>
        <w:fldChar w:fldCharType="separate"/>
      </w:r>
      <w:r>
        <w:rPr>
          <w:rFonts w:hint="eastAsia"/>
          <w:color w:val="auto"/>
          <w:highlight w:val="none"/>
        </w:rPr>
        <w:t>五、响应文件的评审</w:t>
      </w:r>
      <w:r>
        <w:rPr>
          <w:color w:val="auto"/>
          <w:highlight w:val="none"/>
        </w:rPr>
        <w:tab/>
      </w:r>
      <w:r>
        <w:rPr>
          <w:color w:val="auto"/>
          <w:highlight w:val="none"/>
        </w:rPr>
        <w:fldChar w:fldCharType="begin"/>
      </w:r>
      <w:r>
        <w:rPr>
          <w:color w:val="auto"/>
          <w:highlight w:val="none"/>
        </w:rPr>
        <w:instrText xml:space="preserve"> PAGEREF _Toc9700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_Toc26558 </w:instrText>
      </w:r>
      <w:r>
        <w:rPr>
          <w:color w:val="auto"/>
          <w:highlight w:val="none"/>
        </w:rPr>
        <w:fldChar w:fldCharType="separate"/>
      </w:r>
      <w:r>
        <w:rPr>
          <w:rFonts w:hint="eastAsia"/>
          <w:color w:val="auto"/>
          <w:highlight w:val="none"/>
        </w:rPr>
        <w:t>六、响应文件的澄清、说明及补正</w:t>
      </w:r>
      <w:r>
        <w:rPr>
          <w:color w:val="auto"/>
          <w:highlight w:val="none"/>
        </w:rPr>
        <w:tab/>
      </w:r>
      <w:r>
        <w:rPr>
          <w:color w:val="auto"/>
          <w:highlight w:val="none"/>
        </w:rPr>
        <w:fldChar w:fldCharType="begin"/>
      </w:r>
      <w:r>
        <w:rPr>
          <w:color w:val="auto"/>
          <w:highlight w:val="none"/>
        </w:rPr>
        <w:instrText xml:space="preserve"> PAGEREF _Toc26558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_Toc18863 </w:instrText>
      </w:r>
      <w:r>
        <w:rPr>
          <w:color w:val="auto"/>
          <w:highlight w:val="none"/>
        </w:rPr>
        <w:fldChar w:fldCharType="separate"/>
      </w:r>
      <w:r>
        <w:rPr>
          <w:rFonts w:hint="eastAsia"/>
          <w:color w:val="auto"/>
          <w:highlight w:val="none"/>
        </w:rPr>
        <w:t>七、中选结果与授予合同</w:t>
      </w:r>
      <w:r>
        <w:rPr>
          <w:color w:val="auto"/>
          <w:highlight w:val="none"/>
        </w:rPr>
        <w:tab/>
      </w:r>
      <w:r>
        <w:rPr>
          <w:color w:val="auto"/>
          <w:highlight w:val="none"/>
        </w:rPr>
        <w:fldChar w:fldCharType="begin"/>
      </w:r>
      <w:r>
        <w:rPr>
          <w:color w:val="auto"/>
          <w:highlight w:val="none"/>
        </w:rPr>
        <w:instrText xml:space="preserve"> PAGEREF _Toc18863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_Toc24331 </w:instrText>
      </w:r>
      <w:r>
        <w:rPr>
          <w:color w:val="auto"/>
          <w:highlight w:val="none"/>
        </w:rPr>
        <w:fldChar w:fldCharType="separate"/>
      </w:r>
      <w:r>
        <w:rPr>
          <w:rFonts w:hint="eastAsia"/>
          <w:color w:val="auto"/>
          <w:highlight w:val="none"/>
        </w:rPr>
        <w:t>八、其他</w:t>
      </w:r>
      <w:r>
        <w:rPr>
          <w:color w:val="auto"/>
          <w:highlight w:val="none"/>
        </w:rPr>
        <w:tab/>
      </w:r>
      <w:r>
        <w:rPr>
          <w:color w:val="auto"/>
          <w:highlight w:val="none"/>
        </w:rPr>
        <w:fldChar w:fldCharType="begin"/>
      </w:r>
      <w:r>
        <w:rPr>
          <w:color w:val="auto"/>
          <w:highlight w:val="none"/>
        </w:rPr>
        <w:instrText xml:space="preserve"> PAGEREF _Toc24331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_Toc6237 </w:instrText>
      </w:r>
      <w:r>
        <w:rPr>
          <w:color w:val="auto"/>
          <w:highlight w:val="none"/>
        </w:rPr>
        <w:fldChar w:fldCharType="separate"/>
      </w:r>
      <w:r>
        <w:rPr>
          <w:rFonts w:hint="eastAsia"/>
          <w:color w:val="auto"/>
          <w:highlight w:val="none"/>
        </w:rPr>
        <w:t>第三章  评审办法及标准</w:t>
      </w:r>
      <w:r>
        <w:rPr>
          <w:color w:val="auto"/>
          <w:highlight w:val="none"/>
        </w:rPr>
        <w:tab/>
      </w:r>
      <w:r>
        <w:rPr>
          <w:color w:val="auto"/>
          <w:highlight w:val="none"/>
        </w:rPr>
        <w:fldChar w:fldCharType="begin"/>
      </w:r>
      <w:r>
        <w:rPr>
          <w:color w:val="auto"/>
          <w:highlight w:val="none"/>
        </w:rPr>
        <w:instrText xml:space="preserve"> PAGEREF _Toc6237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_Toc16230 </w:instrText>
      </w:r>
      <w:r>
        <w:rPr>
          <w:color w:val="auto"/>
          <w:highlight w:val="none"/>
        </w:rPr>
        <w:fldChar w:fldCharType="separate"/>
      </w:r>
      <w:r>
        <w:rPr>
          <w:rFonts w:hint="eastAsia"/>
          <w:color w:val="auto"/>
          <w:highlight w:val="none"/>
        </w:rPr>
        <w:t>第四章  用户需求书（另册）</w:t>
      </w:r>
      <w:r>
        <w:rPr>
          <w:color w:val="auto"/>
          <w:highlight w:val="none"/>
        </w:rPr>
        <w:tab/>
      </w:r>
      <w:r>
        <w:rPr>
          <w:color w:val="auto"/>
          <w:highlight w:val="none"/>
        </w:rPr>
        <w:fldChar w:fldCharType="begin"/>
      </w:r>
      <w:r>
        <w:rPr>
          <w:color w:val="auto"/>
          <w:highlight w:val="none"/>
        </w:rPr>
        <w:instrText xml:space="preserve"> PAGEREF _Toc16230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_Toc21441 </w:instrText>
      </w:r>
      <w:r>
        <w:rPr>
          <w:color w:val="auto"/>
          <w:highlight w:val="none"/>
        </w:rPr>
        <w:fldChar w:fldCharType="separate"/>
      </w:r>
      <w:r>
        <w:rPr>
          <w:rFonts w:hint="eastAsia"/>
          <w:color w:val="auto"/>
          <w:highlight w:val="none"/>
        </w:rPr>
        <w:t>第五章 合同格式条款</w:t>
      </w:r>
      <w:r>
        <w:rPr>
          <w:color w:val="auto"/>
          <w:highlight w:val="none"/>
        </w:rPr>
        <w:tab/>
      </w:r>
      <w:r>
        <w:rPr>
          <w:color w:val="auto"/>
          <w:highlight w:val="none"/>
        </w:rPr>
        <w:fldChar w:fldCharType="begin"/>
      </w:r>
      <w:r>
        <w:rPr>
          <w:color w:val="auto"/>
          <w:highlight w:val="none"/>
        </w:rPr>
        <w:instrText xml:space="preserve"> PAGEREF _Toc21441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_Toc13053 </w:instrText>
      </w:r>
      <w:r>
        <w:rPr>
          <w:color w:val="auto"/>
          <w:highlight w:val="none"/>
        </w:rPr>
        <w:fldChar w:fldCharType="separate"/>
      </w:r>
      <w:r>
        <w:rPr>
          <w:rFonts w:hint="eastAsia"/>
          <w:color w:val="auto"/>
          <w:highlight w:val="none"/>
        </w:rPr>
        <w:t>第六章</w:t>
      </w:r>
      <w:r>
        <w:rPr>
          <w:rFonts w:hint="eastAsia"/>
          <w:color w:val="auto"/>
          <w:highlight w:val="none"/>
          <w:lang w:val="en-US" w:eastAsia="zh-CN"/>
        </w:rPr>
        <w:t xml:space="preserve">  </w:t>
      </w:r>
      <w:r>
        <w:rPr>
          <w:rFonts w:hint="eastAsia"/>
          <w:color w:val="auto"/>
          <w:highlight w:val="none"/>
        </w:rPr>
        <w:t>响应文件组成</w:t>
      </w:r>
      <w:r>
        <w:rPr>
          <w:color w:val="auto"/>
          <w:highlight w:val="none"/>
        </w:rPr>
        <w:tab/>
      </w:r>
      <w:r>
        <w:rPr>
          <w:color w:val="auto"/>
          <w:highlight w:val="none"/>
        </w:rPr>
        <w:fldChar w:fldCharType="begin"/>
      </w:r>
      <w:r>
        <w:rPr>
          <w:color w:val="auto"/>
          <w:highlight w:val="none"/>
        </w:rPr>
        <w:instrText xml:space="preserve"> PAGEREF _Toc13053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_Toc22098 </w:instrText>
      </w:r>
      <w:r>
        <w:rPr>
          <w:color w:val="auto"/>
          <w:highlight w:val="none"/>
        </w:rPr>
        <w:fldChar w:fldCharType="separate"/>
      </w:r>
      <w:r>
        <w:rPr>
          <w:rFonts w:hint="eastAsia"/>
          <w:color w:val="auto"/>
          <w:highlight w:val="none"/>
        </w:rPr>
        <w:t>一、谈判承诺书</w:t>
      </w:r>
      <w:r>
        <w:rPr>
          <w:color w:val="auto"/>
          <w:highlight w:val="none"/>
        </w:rPr>
        <w:tab/>
      </w:r>
      <w:r>
        <w:rPr>
          <w:color w:val="auto"/>
          <w:highlight w:val="none"/>
        </w:rPr>
        <w:fldChar w:fldCharType="begin"/>
      </w:r>
      <w:r>
        <w:rPr>
          <w:color w:val="auto"/>
          <w:highlight w:val="none"/>
        </w:rPr>
        <w:instrText xml:space="preserve"> PAGEREF _Toc22098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_Toc10086 </w:instrText>
      </w:r>
      <w:r>
        <w:rPr>
          <w:color w:val="auto"/>
          <w:highlight w:val="none"/>
        </w:rPr>
        <w:fldChar w:fldCharType="separate"/>
      </w:r>
      <w:r>
        <w:rPr>
          <w:rFonts w:hint="eastAsia"/>
          <w:color w:val="auto"/>
          <w:highlight w:val="none"/>
        </w:rPr>
        <w:t>二、法定代表人身份证明书</w:t>
      </w:r>
      <w:r>
        <w:rPr>
          <w:color w:val="auto"/>
          <w:highlight w:val="none"/>
        </w:rPr>
        <w:tab/>
      </w:r>
      <w:r>
        <w:rPr>
          <w:color w:val="auto"/>
          <w:highlight w:val="none"/>
        </w:rPr>
        <w:fldChar w:fldCharType="begin"/>
      </w:r>
      <w:r>
        <w:rPr>
          <w:color w:val="auto"/>
          <w:highlight w:val="none"/>
        </w:rPr>
        <w:instrText xml:space="preserve"> PAGEREF _Toc10086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_Toc18531 </w:instrText>
      </w:r>
      <w:r>
        <w:rPr>
          <w:color w:val="auto"/>
          <w:highlight w:val="none"/>
        </w:rPr>
        <w:fldChar w:fldCharType="separate"/>
      </w:r>
      <w:r>
        <w:rPr>
          <w:rFonts w:hint="eastAsia"/>
          <w:color w:val="auto"/>
          <w:highlight w:val="none"/>
        </w:rPr>
        <w:t>三、授权委托书</w:t>
      </w:r>
      <w:r>
        <w:rPr>
          <w:color w:val="auto"/>
          <w:highlight w:val="none"/>
        </w:rPr>
        <w:tab/>
      </w:r>
      <w:r>
        <w:rPr>
          <w:color w:val="auto"/>
          <w:highlight w:val="none"/>
        </w:rPr>
        <w:fldChar w:fldCharType="begin"/>
      </w:r>
      <w:r>
        <w:rPr>
          <w:color w:val="auto"/>
          <w:highlight w:val="none"/>
        </w:rPr>
        <w:instrText xml:space="preserve"> PAGEREF _Toc18531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_Toc6258 </w:instrText>
      </w:r>
      <w:r>
        <w:rPr>
          <w:color w:val="auto"/>
          <w:highlight w:val="none"/>
        </w:rPr>
        <w:fldChar w:fldCharType="separate"/>
      </w:r>
      <w:r>
        <w:rPr>
          <w:rFonts w:hint="eastAsia"/>
          <w:color w:val="auto"/>
          <w:highlight w:val="none"/>
        </w:rPr>
        <w:t>四、谈判单位资格条件证明文件</w:t>
      </w:r>
      <w:r>
        <w:rPr>
          <w:color w:val="auto"/>
          <w:highlight w:val="none"/>
        </w:rPr>
        <w:tab/>
      </w:r>
      <w:r>
        <w:rPr>
          <w:color w:val="auto"/>
          <w:highlight w:val="none"/>
        </w:rPr>
        <w:fldChar w:fldCharType="begin"/>
      </w:r>
      <w:r>
        <w:rPr>
          <w:color w:val="auto"/>
          <w:highlight w:val="none"/>
        </w:rPr>
        <w:instrText xml:space="preserve"> PAGEREF _Toc6258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_Toc32 </w:instrText>
      </w:r>
      <w:r>
        <w:rPr>
          <w:color w:val="auto"/>
          <w:highlight w:val="none"/>
        </w:rPr>
        <w:fldChar w:fldCharType="separate"/>
      </w:r>
      <w:r>
        <w:rPr>
          <w:rFonts w:hint="eastAsia"/>
          <w:color w:val="auto"/>
          <w:highlight w:val="none"/>
          <w:lang w:eastAsia="zh-CN"/>
        </w:rPr>
        <w:t>五</w:t>
      </w:r>
      <w:r>
        <w:rPr>
          <w:rFonts w:hint="eastAsia"/>
          <w:color w:val="auto"/>
          <w:highlight w:val="none"/>
        </w:rPr>
        <w:t>、报价一览表</w:t>
      </w:r>
      <w:r>
        <w:rPr>
          <w:color w:val="auto"/>
          <w:highlight w:val="none"/>
        </w:rPr>
        <w:tab/>
      </w:r>
      <w:r>
        <w:rPr>
          <w:color w:val="auto"/>
          <w:highlight w:val="none"/>
        </w:rPr>
        <w:fldChar w:fldCharType="begin"/>
      </w:r>
      <w:r>
        <w:rPr>
          <w:color w:val="auto"/>
          <w:highlight w:val="none"/>
        </w:rPr>
        <w:instrText xml:space="preserve"> PAGEREF _Toc32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_Toc11959 </w:instrText>
      </w:r>
      <w:r>
        <w:rPr>
          <w:color w:val="auto"/>
          <w:highlight w:val="none"/>
        </w:rPr>
        <w:fldChar w:fldCharType="separate"/>
      </w:r>
      <w:r>
        <w:rPr>
          <w:rFonts w:hint="eastAsia"/>
          <w:color w:val="auto"/>
          <w:highlight w:val="none"/>
          <w:lang w:eastAsia="zh-CN"/>
        </w:rPr>
        <w:t>六、谈判报价表</w:t>
      </w:r>
      <w:r>
        <w:rPr>
          <w:color w:val="auto"/>
          <w:highlight w:val="none"/>
        </w:rPr>
        <w:tab/>
      </w:r>
      <w:r>
        <w:rPr>
          <w:color w:val="auto"/>
          <w:highlight w:val="none"/>
        </w:rPr>
        <w:fldChar w:fldCharType="begin"/>
      </w:r>
      <w:r>
        <w:rPr>
          <w:color w:val="auto"/>
          <w:highlight w:val="none"/>
        </w:rPr>
        <w:instrText xml:space="preserve"> PAGEREF _Toc11959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begin"/>
      </w:r>
      <w:r>
        <w:rPr>
          <w:color w:val="auto"/>
          <w:highlight w:val="none"/>
        </w:rPr>
        <w:instrText xml:space="preserve"> HYPERLINK \l _Toc27258 </w:instrText>
      </w:r>
      <w:r>
        <w:rPr>
          <w:color w:val="auto"/>
          <w:highlight w:val="none"/>
        </w:rPr>
        <w:fldChar w:fldCharType="separate"/>
      </w:r>
      <w:r>
        <w:rPr>
          <w:rFonts w:hint="eastAsia"/>
          <w:color w:val="auto"/>
          <w:highlight w:val="none"/>
          <w:lang w:eastAsia="zh-CN"/>
        </w:rPr>
        <w:t xml:space="preserve">七、 </w:t>
      </w:r>
      <w:r>
        <w:rPr>
          <w:rFonts w:hint="eastAsia"/>
          <w:color w:val="auto"/>
          <w:highlight w:val="none"/>
        </w:rPr>
        <w:t>其他资料</w:t>
      </w:r>
      <w:r>
        <w:rPr>
          <w:color w:val="auto"/>
          <w:highlight w:val="none"/>
        </w:rPr>
        <w:tab/>
      </w:r>
      <w:r>
        <w:rPr>
          <w:color w:val="auto"/>
          <w:highlight w:val="none"/>
        </w:rPr>
        <w:fldChar w:fldCharType="begin"/>
      </w:r>
      <w:r>
        <w:rPr>
          <w:color w:val="auto"/>
          <w:highlight w:val="none"/>
        </w:rPr>
        <w:instrText xml:space="preserve"> PAGEREF _Toc27258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textAlignment w:val="auto"/>
        <w:rPr>
          <w:color w:val="auto"/>
          <w:highlight w:val="none"/>
        </w:rPr>
      </w:pPr>
      <w:r>
        <w:rPr>
          <w:color w:val="auto"/>
          <w:highlight w:val="none"/>
        </w:rPr>
        <w:fldChar w:fldCharType="end"/>
      </w:r>
    </w:p>
    <w:p>
      <w:pPr>
        <w:pStyle w:val="3"/>
        <w:keepNext w:val="0"/>
        <w:rPr>
          <w:rFonts w:ascii="宋体" w:hAnsi="宋体" w:cs="宋体"/>
          <w:color w:val="auto"/>
          <w:sz w:val="32"/>
          <w:szCs w:val="32"/>
          <w:highlight w:val="none"/>
        </w:rPr>
        <w:sectPr>
          <w:footerReference r:id="rId6" w:type="default"/>
          <w:pgSz w:w="11906" w:h="16838"/>
          <w:pgMar w:top="1440" w:right="1797" w:bottom="1440" w:left="1797" w:header="851" w:footer="851" w:gutter="0"/>
          <w:pgNumType w:fmt="decimal"/>
          <w:cols w:space="720" w:num="1"/>
          <w:docGrid w:linePitch="312" w:charSpace="0"/>
        </w:sectPr>
      </w:pPr>
      <w:bookmarkStart w:id="1" w:name="_Toc29614"/>
      <w:bookmarkStart w:id="2" w:name="_Toc5016"/>
    </w:p>
    <w:p>
      <w:pPr>
        <w:pStyle w:val="3"/>
        <w:keepNext w:val="0"/>
        <w:spacing w:line="360" w:lineRule="auto"/>
        <w:rPr>
          <w:rFonts w:ascii="宋体" w:hAnsi="宋体" w:cs="宋体"/>
          <w:color w:val="auto"/>
          <w:sz w:val="32"/>
          <w:szCs w:val="32"/>
          <w:highlight w:val="none"/>
        </w:rPr>
      </w:pPr>
      <w:bookmarkStart w:id="3" w:name="_Toc13376"/>
      <w:bookmarkStart w:id="4" w:name="_Toc32066"/>
      <w:r>
        <w:rPr>
          <w:rFonts w:hint="eastAsia" w:ascii="宋体" w:hAnsi="宋体" w:cs="宋体"/>
          <w:color w:val="auto"/>
          <w:sz w:val="32"/>
          <w:szCs w:val="32"/>
          <w:highlight w:val="none"/>
        </w:rPr>
        <w:t>第一章  谈判邀请公告</w:t>
      </w:r>
      <w:bookmarkEnd w:id="0"/>
      <w:bookmarkEnd w:id="1"/>
      <w:bookmarkEnd w:id="2"/>
      <w:bookmarkEnd w:id="3"/>
      <w:bookmarkEnd w:id="4"/>
    </w:p>
    <w:p>
      <w:pPr>
        <w:keepNext w:val="0"/>
        <w:keepLines w:val="0"/>
        <w:pageBreakBefore w:val="0"/>
        <w:kinsoku/>
        <w:wordWrap/>
        <w:overflowPunct/>
        <w:topLinePunct w:val="0"/>
        <w:autoSpaceDE/>
        <w:autoSpaceDN/>
        <w:bidi w:val="0"/>
        <w:spacing w:line="360" w:lineRule="auto"/>
        <w:ind w:firstLine="422" w:firstLineChars="200"/>
        <w:jc w:val="left"/>
        <w:textAlignment w:val="auto"/>
        <w:rPr>
          <w:rFonts w:ascii="宋体" w:hAnsi="宋体" w:cs="宋体"/>
          <w:iCs/>
          <w:color w:val="auto"/>
          <w:szCs w:val="21"/>
          <w:highlight w:val="none"/>
        </w:rPr>
      </w:pPr>
      <w:r>
        <w:rPr>
          <w:rFonts w:hint="eastAsia" w:ascii="宋体" w:hAnsi="宋体" w:cs="宋体"/>
          <w:b/>
          <w:bCs/>
          <w:iCs/>
          <w:color w:val="auto"/>
          <w:szCs w:val="21"/>
          <w:highlight w:val="none"/>
        </w:rPr>
        <w:t>华春建设工程项目管理有限责任公司</w:t>
      </w:r>
      <w:r>
        <w:rPr>
          <w:rFonts w:hint="eastAsia" w:ascii="宋体" w:hAnsi="宋体" w:cs="宋体"/>
          <w:color w:val="auto"/>
          <w:szCs w:val="21"/>
          <w:highlight w:val="none"/>
        </w:rPr>
        <w:t>受长沙市轨道交通运营有限公司、</w:t>
      </w:r>
      <w:r>
        <w:rPr>
          <w:rFonts w:hint="eastAsia" w:ascii="宋体" w:hAnsi="宋体" w:cs="宋体"/>
          <w:iCs/>
          <w:color w:val="auto"/>
          <w:szCs w:val="21"/>
          <w:highlight w:val="none"/>
        </w:rPr>
        <w:t>长沙市轨道交通一号线建设发展有限公司、长沙市轨道交通三号线建设发展有限公司、长沙市轨道交通四号线建设发展有限公司、长沙市轨道交通五号线建设发展有限公司</w:t>
      </w:r>
      <w:r>
        <w:rPr>
          <w:rFonts w:hint="eastAsia" w:ascii="宋体" w:hAnsi="宋体" w:cs="宋体"/>
          <w:color w:val="auto"/>
          <w:szCs w:val="21"/>
          <w:highlight w:val="none"/>
        </w:rPr>
        <w:t>的委托，</w:t>
      </w:r>
      <w:r>
        <w:rPr>
          <w:rFonts w:hint="eastAsia" w:ascii="宋体" w:hAnsi="宋体" w:cs="宋体"/>
          <w:iCs/>
          <w:color w:val="auto"/>
          <w:szCs w:val="21"/>
          <w:highlight w:val="none"/>
        </w:rPr>
        <w:t>对</w:t>
      </w:r>
      <w:r>
        <w:rPr>
          <w:rFonts w:hint="eastAsia" w:cs="宋体" w:asciiTheme="minorEastAsia" w:hAnsiTheme="minorEastAsia"/>
          <w:bCs/>
          <w:color w:val="auto"/>
          <w:szCs w:val="21"/>
          <w:highlight w:val="none"/>
        </w:rPr>
        <w:t>长沙市轨道交通1、2、3、4、5号线运营期2020年-2021年计量器具委外检测服务项目</w:t>
      </w:r>
      <w:r>
        <w:rPr>
          <w:rFonts w:hint="eastAsia" w:ascii="宋体" w:hAnsi="宋体" w:cs="宋体"/>
          <w:iCs/>
          <w:color w:val="auto"/>
          <w:szCs w:val="21"/>
          <w:highlight w:val="none"/>
        </w:rPr>
        <w:t>进行自主竞争性谈判采购，现发布公告，邀请符合条件的单位参与谈判采购活动。</w:t>
      </w:r>
    </w:p>
    <w:p>
      <w:pPr>
        <w:pStyle w:val="10"/>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Ansi="宋体" w:cs="宋体"/>
          <w:b/>
          <w:iCs/>
          <w:color w:val="auto"/>
          <w:highlight w:val="none"/>
        </w:rPr>
      </w:pPr>
      <w:r>
        <w:rPr>
          <w:rFonts w:hint="eastAsia" w:hAnsi="宋体" w:cs="宋体"/>
          <w:b/>
          <w:iCs/>
          <w:color w:val="auto"/>
          <w:highlight w:val="none"/>
        </w:rPr>
        <w:t>一、项目概况</w:t>
      </w:r>
    </w:p>
    <w:p>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b/>
          <w:iCs/>
          <w:color w:val="auto"/>
          <w:highlight w:val="none"/>
        </w:rPr>
      </w:pPr>
      <w:r>
        <w:rPr>
          <w:rFonts w:hint="eastAsia" w:hAnsi="宋体" w:cs="宋体"/>
          <w:iCs/>
          <w:color w:val="auto"/>
          <w:highlight w:val="none"/>
        </w:rPr>
        <w:t>1.项目名称：</w:t>
      </w:r>
      <w:r>
        <w:rPr>
          <w:rFonts w:hint="eastAsia" w:hAnsi="宋体" w:cs="宋体"/>
          <w:color w:val="auto"/>
          <w:highlight w:val="none"/>
        </w:rPr>
        <w:t>长沙市轨道交通1、2、3、4、5号线运营期2020年-2021年计量器具委外检测服务项目</w:t>
      </w:r>
    </w:p>
    <w:p>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highlight w:val="none"/>
        </w:rPr>
      </w:pPr>
      <w:r>
        <w:rPr>
          <w:rFonts w:hint="eastAsia" w:hAnsi="宋体" w:cs="宋体"/>
          <w:iCs/>
          <w:color w:val="auto"/>
          <w:highlight w:val="none"/>
        </w:rPr>
        <w:t>2.最高投标限价</w:t>
      </w:r>
      <w:r>
        <w:rPr>
          <w:rFonts w:hint="eastAsia" w:hAnsi="宋体" w:cs="宋体"/>
          <w:color w:val="auto"/>
          <w:highlight w:val="none"/>
        </w:rPr>
        <w:t>：</w:t>
      </w:r>
      <w:r>
        <w:rPr>
          <w:rFonts w:hint="eastAsia" w:cs="宋体" w:asciiTheme="minorEastAsia" w:hAnsiTheme="minorEastAsia"/>
          <w:bCs/>
          <w:color w:val="auto"/>
          <w:szCs w:val="21"/>
          <w:highlight w:val="none"/>
        </w:rPr>
        <w:t>673412</w:t>
      </w:r>
      <w:r>
        <w:rPr>
          <w:rFonts w:hint="eastAsia" w:cs="宋体" w:asciiTheme="minorEastAsia" w:hAnsiTheme="minorEastAsia"/>
          <w:bCs/>
          <w:color w:val="auto"/>
          <w:szCs w:val="21"/>
          <w:highlight w:val="none"/>
          <w:lang w:val="en-US" w:eastAsia="zh-CN"/>
        </w:rPr>
        <w:t>.00</w:t>
      </w:r>
      <w:r>
        <w:rPr>
          <w:rFonts w:hint="eastAsia" w:hAnsi="宋体" w:cs="宋体"/>
          <w:color w:val="auto"/>
          <w:highlight w:val="none"/>
        </w:rPr>
        <w:t>元</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ascii="宋体" w:hAnsi="宋体" w:cs="宋体"/>
          <w:iCs/>
          <w:color w:val="auto"/>
          <w:szCs w:val="21"/>
          <w:highlight w:val="none"/>
        </w:rPr>
      </w:pPr>
      <w:r>
        <w:rPr>
          <w:rFonts w:hint="eastAsia" w:ascii="宋体" w:hAnsi="宋体" w:cs="宋体"/>
          <w:iCs/>
          <w:color w:val="auto"/>
          <w:szCs w:val="21"/>
          <w:highlight w:val="none"/>
        </w:rPr>
        <w:t>3.</w:t>
      </w:r>
      <w:r>
        <w:rPr>
          <w:rFonts w:hint="eastAsia" w:ascii="宋体" w:hAnsi="宋体" w:cs="宋体"/>
          <w:bCs/>
          <w:color w:val="auto"/>
          <w:szCs w:val="21"/>
          <w:highlight w:val="none"/>
        </w:rPr>
        <w:t>标段划分：共划分</w:t>
      </w:r>
      <w:r>
        <w:rPr>
          <w:rFonts w:hint="eastAsia" w:ascii="宋体" w:hAnsi="宋体" w:cs="宋体"/>
          <w:color w:val="auto"/>
          <w:szCs w:val="21"/>
          <w:highlight w:val="none"/>
        </w:rPr>
        <w:t>1个标段</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s="宋体" w:eastAsiaTheme="minorEastAsia"/>
          <w:bCs/>
          <w:color w:val="auto"/>
          <w:szCs w:val="21"/>
          <w:highlight w:val="none"/>
          <w:lang w:val="en-US" w:eastAsia="zh-CN"/>
        </w:rPr>
      </w:pPr>
      <w:r>
        <w:rPr>
          <w:rFonts w:hint="eastAsia" w:ascii="宋体" w:hAnsi="宋体" w:cs="宋体"/>
          <w:bCs/>
          <w:color w:val="auto"/>
          <w:szCs w:val="21"/>
          <w:highlight w:val="none"/>
        </w:rPr>
        <w:t>4.质保期：</w:t>
      </w:r>
      <w:r>
        <w:rPr>
          <w:rFonts w:hint="eastAsia" w:cs="宋体" w:asciiTheme="minorEastAsia" w:hAnsiTheme="minorEastAsia" w:eastAsiaTheme="minorEastAsia"/>
          <w:bCs/>
          <w:color w:val="auto"/>
          <w:szCs w:val="21"/>
          <w:highlight w:val="none"/>
        </w:rPr>
        <w:t>本项目计量器具检测结果质保期为31天（自</w:t>
      </w:r>
      <w:r>
        <w:rPr>
          <w:rFonts w:hint="eastAsia" w:cs="宋体" w:asciiTheme="minorEastAsia" w:hAnsiTheme="minorEastAsia"/>
          <w:bCs/>
          <w:color w:val="auto"/>
          <w:szCs w:val="21"/>
          <w:highlight w:val="none"/>
        </w:rPr>
        <w:t>接收</w:t>
      </w:r>
      <w:r>
        <w:rPr>
          <w:rFonts w:hint="eastAsia" w:cs="宋体" w:asciiTheme="minorEastAsia" w:hAnsiTheme="minorEastAsia" w:eastAsiaTheme="minorEastAsia"/>
          <w:bCs/>
          <w:color w:val="auto"/>
          <w:szCs w:val="21"/>
          <w:highlight w:val="none"/>
        </w:rPr>
        <w:t>之日起计）（具体详见用户需求书）</w:t>
      </w:r>
      <w:r>
        <w:rPr>
          <w:rFonts w:hint="eastAsia" w:cs="宋体" w:asciiTheme="minorEastAsia" w:hAnsiTheme="minorEastAsia" w:eastAsiaTheme="minorEastAsia"/>
          <w:bCs/>
          <w:color w:val="auto"/>
          <w:szCs w:val="21"/>
          <w:highlight w:val="none"/>
          <w:lang w:eastAsia="zh-CN"/>
        </w:rPr>
        <w:t>。</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5.服务期限：</w:t>
      </w:r>
      <w:bookmarkStart w:id="5" w:name="_Toc225"/>
      <w:bookmarkStart w:id="6" w:name="_Toc32765"/>
      <w:r>
        <w:rPr>
          <w:rFonts w:hint="eastAsia" w:cs="宋体" w:asciiTheme="minorEastAsia" w:hAnsiTheme="minorEastAsia"/>
          <w:bCs/>
          <w:color w:val="auto"/>
          <w:szCs w:val="21"/>
          <w:highlight w:val="none"/>
        </w:rPr>
        <w:t>本项目服务期限暂定为2020年至2021年，总计12个月（实际服务时间以采购单位发出的进场通知起算，总计12个月)。</w:t>
      </w:r>
      <w:bookmarkEnd w:id="5"/>
      <w:bookmarkEnd w:id="6"/>
      <w:r>
        <w:rPr>
          <w:rFonts w:hint="eastAsia" w:cs="宋体" w:asciiTheme="minorEastAsia" w:hAnsiTheme="minorEastAsia"/>
          <w:bCs/>
          <w:color w:val="auto"/>
          <w:szCs w:val="21"/>
          <w:highlight w:val="none"/>
        </w:rPr>
        <w:t>（具体详见用户需求书）。</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6.</w:t>
      </w:r>
      <w:r>
        <w:rPr>
          <w:rFonts w:hint="eastAsia" w:ascii="宋体" w:hAnsi="宋体" w:cs="宋体"/>
          <w:iCs/>
          <w:color w:val="auto"/>
          <w:szCs w:val="21"/>
          <w:highlight w:val="none"/>
        </w:rPr>
        <w:t>采购范围：</w:t>
      </w:r>
      <w:r>
        <w:rPr>
          <w:rFonts w:hint="eastAsia" w:cs="宋体" w:asciiTheme="minorEastAsia" w:hAnsiTheme="minorEastAsia"/>
          <w:bCs/>
          <w:color w:val="auto"/>
          <w:szCs w:val="21"/>
          <w:highlight w:val="none"/>
        </w:rPr>
        <w:t>本项目是对长沙市轨道交通1、2、3、4、5号线所属计量器具提供计量检测相关服务。(具体详见用户需求书及检测清单)</w:t>
      </w:r>
    </w:p>
    <w:p>
      <w:pPr>
        <w:pStyle w:val="10"/>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Ansi="宋体" w:cs="宋体"/>
          <w:b/>
          <w:iCs/>
          <w:color w:val="auto"/>
          <w:highlight w:val="none"/>
        </w:rPr>
      </w:pPr>
      <w:r>
        <w:rPr>
          <w:rFonts w:hint="eastAsia" w:hAnsi="宋体" w:cs="宋体"/>
          <w:b/>
          <w:iCs/>
          <w:color w:val="auto"/>
          <w:highlight w:val="none"/>
        </w:rPr>
        <w:t>二、资格要求</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1.谈判单位须为具有独立法人资格、自主经营、独立核算的公司</w:t>
      </w:r>
      <w:r>
        <w:rPr>
          <w:rFonts w:hint="eastAsia" w:ascii="宋体" w:hAnsi="宋体" w:cs="宋体"/>
          <w:color w:val="auto"/>
          <w:szCs w:val="21"/>
          <w:highlight w:val="none"/>
          <w:lang w:eastAsia="zh-CN"/>
        </w:rPr>
        <w:t>或</w:t>
      </w:r>
      <w:r>
        <w:rPr>
          <w:rFonts w:hint="eastAsia" w:ascii="宋体" w:hAnsi="宋体" w:cs="宋体"/>
          <w:color w:val="auto"/>
          <w:szCs w:val="21"/>
          <w:highlight w:val="none"/>
        </w:rPr>
        <w:t>单位，须提供加盖谈判单位公章的营业执照</w:t>
      </w:r>
      <w:r>
        <w:rPr>
          <w:rFonts w:hint="eastAsia" w:ascii="宋体" w:hAnsi="宋体" w:cs="宋体"/>
          <w:color w:val="auto"/>
          <w:szCs w:val="21"/>
          <w:highlight w:val="none"/>
          <w:lang w:eastAsia="zh-CN"/>
        </w:rPr>
        <w:t>或</w:t>
      </w:r>
      <w:r>
        <w:rPr>
          <w:rFonts w:hint="eastAsia" w:ascii="宋体" w:hAnsi="宋体" w:cs="宋体"/>
          <w:color w:val="auto"/>
          <w:szCs w:val="21"/>
          <w:highlight w:val="none"/>
        </w:rPr>
        <w:t>事业单位法人证书复印件。</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color w:val="auto"/>
          <w:highlight w:val="none"/>
        </w:rPr>
      </w:pPr>
      <w:r>
        <w:rPr>
          <w:rFonts w:hint="eastAsia" w:ascii="宋体" w:hAnsi="宋体" w:cs="宋体"/>
          <w:color w:val="auto"/>
          <w:szCs w:val="21"/>
          <w:highlight w:val="none"/>
        </w:rPr>
        <w:t>2.</w:t>
      </w:r>
      <w:r>
        <w:rPr>
          <w:rFonts w:hint="eastAsia" w:cs="宋体" w:asciiTheme="minorEastAsia" w:hAnsiTheme="minorEastAsia"/>
          <w:bCs/>
          <w:color w:val="auto"/>
          <w:szCs w:val="21"/>
          <w:highlight w:val="none"/>
        </w:rPr>
        <w:t>谈判单位须具有中国合格评定国家认可委员会颁发的检测或校准实验室认可资质（CNAS资质），且提供CNAS认可证书及检测范围附件</w:t>
      </w:r>
      <w:r>
        <w:rPr>
          <w:rFonts w:hint="eastAsia"/>
          <w:color w:val="auto"/>
          <w:highlight w:val="none"/>
        </w:rPr>
        <w:t>原件。</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谈判单位所提供的资质证书及相关附件，所载明的检测范围须涵盖本项目检测清单总项数的50%（不含）以上，具体详见附表1</w:t>
      </w:r>
      <w:r>
        <w:rPr>
          <w:rFonts w:hint="eastAsia" w:ascii="宋体" w:hAnsi="宋体" w:cs="宋体"/>
          <w:color w:val="auto"/>
          <w:szCs w:val="21"/>
          <w:highlight w:val="none"/>
          <w:lang w:eastAsia="zh-CN"/>
        </w:rPr>
        <w:t>《</w:t>
      </w:r>
      <w:r>
        <w:rPr>
          <w:rFonts w:hint="eastAsia" w:ascii="宋体" w:hAnsi="宋体" w:cs="宋体"/>
          <w:color w:val="auto"/>
          <w:szCs w:val="21"/>
          <w:highlight w:val="none"/>
        </w:rPr>
        <w:t>1、2、3、4、5号线2020年-2021年计量器具委外检测清单评审表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3.谈判单位在本项目谈判截止之日前36个月内单项合同金额不少于30万元的计量器具检测服务业绩。不接受联合体业绩、港澳台或境外业绩。</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cs="宋体" w:eastAsiaTheme="minorEastAsia"/>
          <w:color w:val="auto"/>
          <w:szCs w:val="21"/>
          <w:highlight w:val="none"/>
        </w:rPr>
      </w:pPr>
      <w:r>
        <w:rPr>
          <w:rFonts w:hint="eastAsia" w:ascii="宋体" w:hAnsi="宋体" w:cs="宋体"/>
          <w:color w:val="auto"/>
          <w:szCs w:val="21"/>
          <w:highlight w:val="none"/>
        </w:rPr>
        <w:t>业绩证明材料以同时提供的合同复印件和发票（开票金额不少于合同金额的10%）复印件（均须加盖谈判单位公章）为准，业绩金额以合同中金额为准，时间以合同中甲方签字时间为准</w:t>
      </w:r>
      <w:r>
        <w:rPr>
          <w:rFonts w:hint="eastAsia" w:ascii="宋体" w:hAnsi="宋体" w:cs="宋体" w:eastAsiaTheme="minorEastAsia"/>
          <w:color w:val="auto"/>
          <w:szCs w:val="21"/>
          <w:highlight w:val="none"/>
        </w:rPr>
        <w:t>。</w:t>
      </w:r>
    </w:p>
    <w:p>
      <w:pPr>
        <w:pStyle w:val="18"/>
        <w:keepNext w:val="0"/>
        <w:keepLines w:val="0"/>
        <w:pageBreakBefore w:val="0"/>
        <w:kinsoku/>
        <w:wordWrap/>
        <w:overflowPunct/>
        <w:topLinePunct w:val="0"/>
        <w:autoSpaceDE/>
        <w:autoSpaceDN/>
        <w:bidi w:val="0"/>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谈判单位</w:t>
      </w:r>
      <w:r>
        <w:rPr>
          <w:rFonts w:hint="eastAsia" w:ascii="宋体" w:hAnsi="宋体" w:cs="宋体"/>
          <w:color w:val="auto"/>
          <w:szCs w:val="21"/>
          <w:highlight w:val="none"/>
        </w:rPr>
        <w:t>拟投入本项目的项目服务人员须满足最低配备要求，详见</w:t>
      </w:r>
      <w:r>
        <w:rPr>
          <w:rFonts w:hint="eastAsia" w:ascii="宋体" w:hAnsi="宋体" w:cs="宋体"/>
          <w:color w:val="auto"/>
          <w:szCs w:val="21"/>
          <w:highlight w:val="none"/>
          <w:lang w:eastAsia="zh-CN"/>
        </w:rPr>
        <w:t>谈判邀请</w:t>
      </w:r>
      <w:r>
        <w:rPr>
          <w:rFonts w:hint="eastAsia" w:ascii="宋体" w:hAnsi="宋体" w:cs="宋体"/>
          <w:color w:val="auto"/>
          <w:szCs w:val="21"/>
          <w:highlight w:val="none"/>
        </w:rPr>
        <w:t>公告附表2《项目人员最低配备要求表》。</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5.本次谈判不接受联合体形式参与谈判。</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6.被长沙市轨道交通集团函告禁止在一定期限内参与轨道公司项目投标或谈判的单位按函告内容执行。</w:t>
      </w:r>
    </w:p>
    <w:p>
      <w:pPr>
        <w:keepNext w:val="0"/>
        <w:keepLines w:val="0"/>
        <w:pageBreakBefore w:val="0"/>
        <w:kinsoku/>
        <w:wordWrap/>
        <w:overflowPunct/>
        <w:topLinePunct w:val="0"/>
        <w:autoSpaceDE/>
        <w:autoSpaceDN/>
        <w:bidi w:val="0"/>
        <w:spacing w:line="360" w:lineRule="auto"/>
        <w:ind w:firstLine="422" w:firstLineChars="200"/>
        <w:textAlignment w:val="auto"/>
        <w:rPr>
          <w:rFonts w:ascii="宋体" w:hAnsi="宋体" w:cs="宋体"/>
          <w:b/>
          <w:bCs/>
          <w:iCs/>
          <w:color w:val="auto"/>
          <w:szCs w:val="21"/>
          <w:highlight w:val="none"/>
        </w:rPr>
      </w:pPr>
      <w:r>
        <w:rPr>
          <w:rFonts w:hint="eastAsia" w:ascii="宋体" w:hAnsi="宋体" w:cs="宋体"/>
          <w:b/>
          <w:bCs/>
          <w:color w:val="auto"/>
          <w:szCs w:val="21"/>
          <w:highlight w:val="none"/>
        </w:rPr>
        <w:t>三、</w:t>
      </w:r>
      <w:r>
        <w:rPr>
          <w:rFonts w:hint="eastAsia" w:ascii="宋体" w:hAnsi="宋体" w:cs="宋体"/>
          <w:b/>
          <w:bCs/>
          <w:iCs/>
          <w:color w:val="auto"/>
          <w:szCs w:val="21"/>
          <w:highlight w:val="none"/>
        </w:rPr>
        <w:t>评审办法</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iCs/>
          <w:color w:val="auto"/>
          <w:szCs w:val="21"/>
          <w:highlight w:val="none"/>
        </w:rPr>
      </w:pPr>
      <w:r>
        <w:rPr>
          <w:rFonts w:hint="eastAsia" w:ascii="宋体" w:hAnsi="宋体" w:cs="宋体"/>
          <w:iCs/>
          <w:color w:val="auto"/>
          <w:szCs w:val="21"/>
          <w:highlight w:val="none"/>
        </w:rPr>
        <w:t>本项目评审办法采用经符合性审查合格后的最低价法。</w:t>
      </w:r>
    </w:p>
    <w:p>
      <w:pPr>
        <w:keepNext w:val="0"/>
        <w:keepLines w:val="0"/>
        <w:pageBreakBefore w:val="0"/>
        <w:widowControl/>
        <w:kinsoku/>
        <w:wordWrap/>
        <w:overflowPunct/>
        <w:topLinePunct w:val="0"/>
        <w:autoSpaceDE/>
        <w:autoSpaceDN/>
        <w:bidi w:val="0"/>
        <w:spacing w:line="360" w:lineRule="auto"/>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四、自主竞争性谈判文件的获取</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凡有意参加谈判的单位，请于20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 xml:space="preserve">年 </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月 </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日至20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 xml:space="preserve">年 </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月 </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xml:space="preserve"> 日登录长沙市轨道交通集团有限公司官方网站</w:t>
      </w:r>
      <w:r>
        <w:rPr>
          <w:rFonts w:hint="eastAsia" w:ascii="宋体" w:hAnsi="宋体" w:cs="宋体"/>
          <w:color w:val="auto"/>
          <w:kern w:val="0"/>
          <w:szCs w:val="21"/>
          <w:highlight w:val="none"/>
        </w:rPr>
        <w:t>（http://www.hncsmtr.com/）</w:t>
      </w:r>
      <w:r>
        <w:rPr>
          <w:rFonts w:hint="eastAsia" w:ascii="宋体" w:hAnsi="宋体" w:cs="宋体"/>
          <w:color w:val="auto"/>
          <w:szCs w:val="21"/>
          <w:highlight w:val="none"/>
        </w:rPr>
        <w:t>获取自主竞争性谈判文件。</w:t>
      </w:r>
    </w:p>
    <w:p>
      <w:pPr>
        <w:keepNext w:val="0"/>
        <w:keepLines w:val="0"/>
        <w:pageBreakBefore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五、</w:t>
      </w:r>
      <w:r>
        <w:rPr>
          <w:rFonts w:hint="eastAsia" w:ascii="宋体" w:hAnsi="宋体" w:cs="宋体"/>
          <w:b/>
          <w:bCs/>
          <w:iCs/>
          <w:color w:val="auto"/>
          <w:szCs w:val="21"/>
          <w:highlight w:val="none"/>
        </w:rPr>
        <w:t>谈判文件的</w:t>
      </w:r>
      <w:r>
        <w:rPr>
          <w:rFonts w:hint="eastAsia" w:ascii="宋体" w:hAnsi="宋体" w:cs="宋体"/>
          <w:b/>
          <w:bCs/>
          <w:color w:val="auto"/>
          <w:szCs w:val="21"/>
          <w:highlight w:val="none"/>
        </w:rPr>
        <w:t>澄清与答疑</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宋体"/>
          <w:iCs/>
          <w:color w:val="auto"/>
          <w:szCs w:val="21"/>
          <w:highlight w:val="none"/>
        </w:rPr>
      </w:pPr>
      <w:r>
        <w:rPr>
          <w:rFonts w:hint="eastAsia" w:ascii="宋体" w:hAnsi="宋体" w:cs="宋体"/>
          <w:color w:val="auto"/>
          <w:szCs w:val="21"/>
          <w:highlight w:val="none"/>
        </w:rPr>
        <w:t>1.</w:t>
      </w:r>
      <w:r>
        <w:rPr>
          <w:rFonts w:hint="eastAsia" w:ascii="宋体" w:hAnsi="宋体" w:cs="宋体"/>
          <w:iCs/>
          <w:color w:val="auto"/>
          <w:szCs w:val="21"/>
          <w:highlight w:val="none"/>
        </w:rPr>
        <w:t>本项目不组织答疑会和现场踏勘。</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宋体"/>
          <w:iCs/>
          <w:color w:val="auto"/>
          <w:szCs w:val="21"/>
          <w:highlight w:val="none"/>
        </w:rPr>
      </w:pPr>
      <w:r>
        <w:rPr>
          <w:rFonts w:hint="eastAsia" w:ascii="宋体" w:hAnsi="宋体" w:cs="宋体"/>
          <w:iCs/>
          <w:color w:val="auto"/>
          <w:szCs w:val="21"/>
          <w:highlight w:val="none"/>
        </w:rPr>
        <w:t>2.谈判单位若对谈判文件有任何疑问，</w:t>
      </w:r>
      <w:r>
        <w:rPr>
          <w:rFonts w:hint="eastAsia" w:ascii="宋体" w:hAnsi="宋体" w:cs="宋体"/>
          <w:color w:val="auto"/>
          <w:szCs w:val="21"/>
          <w:highlight w:val="none"/>
        </w:rPr>
        <w:t>应于20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 xml:space="preserve">年 </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月 </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 xml:space="preserve"> 日</w:t>
      </w:r>
      <w:r>
        <w:rPr>
          <w:rFonts w:hint="eastAsia" w:ascii="宋体" w:hAnsi="宋体" w:cs="宋体"/>
          <w:iCs/>
          <w:color w:val="auto"/>
          <w:szCs w:val="21"/>
          <w:highlight w:val="none"/>
        </w:rPr>
        <w:t>17：00时（含）前（节假日除外）以书面形式（经法定代表人签字或盖章，并加盖单位公章）递交至采购代理机构。</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宋体"/>
          <w:iCs/>
          <w:color w:val="auto"/>
          <w:szCs w:val="21"/>
          <w:highlight w:val="none"/>
        </w:rPr>
      </w:pPr>
      <w:r>
        <w:rPr>
          <w:rFonts w:hint="eastAsia" w:ascii="宋体" w:hAnsi="宋体" w:cs="宋体"/>
          <w:iCs/>
          <w:color w:val="auto"/>
          <w:szCs w:val="21"/>
          <w:highlight w:val="none"/>
        </w:rPr>
        <w:t>3.在谈判截止时间前，采购单位或采购代理机构可主动地或在解答谈判单位提出的问题时对谈判文件进行澄清或修改。</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iCs/>
          <w:color w:val="auto"/>
          <w:szCs w:val="21"/>
          <w:highlight w:val="none"/>
        </w:rPr>
        <w:t>4.</w:t>
      </w:r>
      <w:r>
        <w:rPr>
          <w:rFonts w:hint="eastAsia" w:ascii="宋体" w:hAnsi="宋体" w:cs="宋体"/>
          <w:color w:val="auto"/>
          <w:kern w:val="0"/>
          <w:szCs w:val="21"/>
          <w:highlight w:val="none"/>
        </w:rPr>
        <w:t>澄清或者修改的内容可能影响响应文件编制的，采购单位或采购代理机构应当在提交响应文件截止之日3个工作日前，在长沙市轨道交通集团有限公司官方网站（http://www.hncsmtr.com/）</w:t>
      </w:r>
      <w:r>
        <w:rPr>
          <w:rFonts w:hint="eastAsia" w:ascii="宋体" w:hAnsi="宋体" w:cs="宋体"/>
          <w:color w:val="auto"/>
          <w:kern w:val="0"/>
          <w:szCs w:val="21"/>
          <w:highlight w:val="none"/>
          <w:lang w:eastAsia="zh-CN"/>
        </w:rPr>
        <w:t>、中国采购与招标网（</w:t>
      </w:r>
      <w:r>
        <w:rPr>
          <w:rFonts w:hint="eastAsia" w:ascii="宋体" w:hAnsi="宋体" w:cs="宋体"/>
          <w:color w:val="auto"/>
          <w:kern w:val="0"/>
          <w:szCs w:val="21"/>
          <w:highlight w:val="none"/>
        </w:rPr>
        <w:t>http://www.chinabidding.com.cn/</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发布澄清或答疑文件及顺延谈判时间，敬请获得谈判文件的所有谈判单位关注，恕不另行通知，如有遗漏，采购单位或代理机构不负任何责任。</w:t>
      </w:r>
    </w:p>
    <w:p>
      <w:pPr>
        <w:keepNext w:val="0"/>
        <w:keepLines w:val="0"/>
        <w:pageBreakBefore w:val="0"/>
        <w:kinsoku/>
        <w:wordWrap/>
        <w:overflowPunct/>
        <w:topLinePunct w:val="0"/>
        <w:autoSpaceDE/>
        <w:autoSpaceDN/>
        <w:bidi w:val="0"/>
        <w:spacing w:line="360" w:lineRule="auto"/>
        <w:ind w:firstLine="422" w:firstLineChars="200"/>
        <w:textAlignment w:val="auto"/>
        <w:rPr>
          <w:rFonts w:ascii="宋体" w:hAnsi="宋体" w:cs="宋体"/>
          <w:b/>
          <w:bCs/>
          <w:iCs/>
          <w:color w:val="auto"/>
          <w:szCs w:val="21"/>
          <w:highlight w:val="none"/>
        </w:rPr>
      </w:pPr>
      <w:r>
        <w:rPr>
          <w:rFonts w:hint="eastAsia" w:ascii="宋体" w:hAnsi="宋体" w:cs="宋体"/>
          <w:b/>
          <w:bCs/>
          <w:color w:val="auto"/>
          <w:kern w:val="0"/>
          <w:szCs w:val="21"/>
          <w:highlight w:val="none"/>
        </w:rPr>
        <w:t>六、</w:t>
      </w:r>
      <w:r>
        <w:rPr>
          <w:rFonts w:hint="eastAsia" w:ascii="宋体" w:hAnsi="宋体" w:cs="宋体"/>
          <w:b/>
          <w:bCs/>
          <w:iCs/>
          <w:color w:val="auto"/>
          <w:szCs w:val="21"/>
          <w:highlight w:val="none"/>
        </w:rPr>
        <w:t>响应文件的递交</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1.响应文件递交的截止时间及谈判时间为</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 xml:space="preserve">年 </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月 </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 xml:space="preserve"> 日</w:t>
      </w:r>
      <w:r>
        <w:rPr>
          <w:rFonts w:hint="eastAsia" w:ascii="宋体" w:hAnsi="宋体" w:cs="宋体"/>
          <w:bCs/>
          <w:color w:val="auto"/>
          <w:szCs w:val="21"/>
          <w:highlight w:val="none"/>
        </w:rPr>
        <w:t xml:space="preserve"> 14 时 30 分，地点为</w:t>
      </w:r>
      <w:r>
        <w:rPr>
          <w:rFonts w:hint="eastAsia" w:ascii="宋体" w:hAnsi="宋体" w:cs="宋体"/>
          <w:color w:val="auto"/>
          <w:szCs w:val="21"/>
          <w:highlight w:val="none"/>
        </w:rPr>
        <w:t>长沙市劳动东路二段48号长沙市轨道交通运营有限公司综合楼910室。</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2.逾期送达的或者未送达指定地点的或者未密封的响应文件，采购单位或采购代理机构将予以</w:t>
      </w:r>
      <w:r>
        <w:rPr>
          <w:rFonts w:hint="eastAsia" w:ascii="宋体" w:hAnsi="宋体" w:cs="宋体"/>
          <w:b/>
          <w:bCs/>
          <w:color w:val="auto"/>
          <w:szCs w:val="21"/>
          <w:highlight w:val="none"/>
        </w:rPr>
        <w:t>拒收</w:t>
      </w:r>
      <w:r>
        <w:rPr>
          <w:rFonts w:hint="eastAsia" w:ascii="宋体" w:hAnsi="宋体" w:cs="宋体"/>
          <w:color w:val="auto"/>
          <w:szCs w:val="21"/>
          <w:highlight w:val="none"/>
        </w:rPr>
        <w:t>。</w:t>
      </w:r>
    </w:p>
    <w:p>
      <w:pPr>
        <w:keepNext w:val="0"/>
        <w:keepLines w:val="0"/>
        <w:pageBreakBefore w:val="0"/>
        <w:kinsoku/>
        <w:wordWrap/>
        <w:overflowPunct/>
        <w:topLinePunct w:val="0"/>
        <w:autoSpaceDE/>
        <w:autoSpaceDN/>
        <w:bidi w:val="0"/>
        <w:spacing w:line="360" w:lineRule="auto"/>
        <w:ind w:firstLine="422" w:firstLineChars="200"/>
        <w:textAlignment w:val="auto"/>
        <w:rPr>
          <w:rFonts w:ascii="宋体" w:hAnsi="宋体" w:cs="宋体"/>
          <w:b/>
          <w:color w:val="auto"/>
          <w:szCs w:val="21"/>
          <w:highlight w:val="none"/>
        </w:rPr>
      </w:pPr>
      <w:r>
        <w:rPr>
          <w:rFonts w:hint="eastAsia" w:ascii="宋体" w:hAnsi="宋体" w:cs="宋体"/>
          <w:b/>
          <w:iCs/>
          <w:color w:val="auto"/>
          <w:szCs w:val="21"/>
          <w:highlight w:val="none"/>
        </w:rPr>
        <w:t>七、采购单位及其委托的采购代理机构的名称、地址和联系方式</w:t>
      </w:r>
    </w:p>
    <w:p>
      <w:pPr>
        <w:keepNext w:val="0"/>
        <w:keepLines w:val="0"/>
        <w:pageBreakBefore w:val="0"/>
        <w:kinsoku/>
        <w:wordWrap/>
        <w:overflowPunct/>
        <w:topLinePunct w:val="0"/>
        <w:autoSpaceDE/>
        <w:autoSpaceDN/>
        <w:bidi w:val="0"/>
        <w:adjustRightInd w:val="0"/>
        <w:snapToGrid w:val="0"/>
        <w:spacing w:line="360" w:lineRule="auto"/>
        <w:ind w:firstLine="413" w:firstLineChars="196"/>
        <w:textAlignment w:val="auto"/>
        <w:rPr>
          <w:rFonts w:ascii="宋体" w:hAnsi="宋体" w:cs="宋体"/>
          <w:iCs/>
          <w:color w:val="auto"/>
          <w:szCs w:val="21"/>
          <w:highlight w:val="none"/>
        </w:rPr>
      </w:pPr>
      <w:r>
        <w:rPr>
          <w:rFonts w:hint="eastAsia" w:ascii="宋体" w:hAnsi="宋体" w:cs="宋体"/>
          <w:b/>
          <w:bCs/>
          <w:color w:val="auto"/>
          <w:szCs w:val="21"/>
          <w:highlight w:val="none"/>
        </w:rPr>
        <w:t>采购单位：</w:t>
      </w:r>
      <w:r>
        <w:rPr>
          <w:rFonts w:hint="eastAsia" w:ascii="宋体" w:hAnsi="宋体" w:cs="宋体"/>
          <w:iCs/>
          <w:color w:val="auto"/>
          <w:szCs w:val="21"/>
          <w:highlight w:val="none"/>
        </w:rPr>
        <w:t>长沙市轨道交通运营有限公司</w:t>
      </w:r>
    </w:p>
    <w:p>
      <w:pPr>
        <w:pStyle w:val="18"/>
        <w:keepNext w:val="0"/>
        <w:keepLines w:val="0"/>
        <w:pageBreakBefore w:val="0"/>
        <w:kinsoku/>
        <w:wordWrap/>
        <w:overflowPunct/>
        <w:topLinePunct w:val="0"/>
        <w:autoSpaceDE/>
        <w:autoSpaceDN/>
        <w:bidi w:val="0"/>
        <w:spacing w:after="0" w:line="360" w:lineRule="auto"/>
        <w:textAlignment w:val="auto"/>
        <w:rPr>
          <w:rFonts w:ascii="宋体" w:hAnsi="宋体" w:cs="宋体"/>
          <w:iCs/>
          <w:color w:val="auto"/>
          <w:szCs w:val="21"/>
          <w:highlight w:val="none"/>
        </w:rPr>
      </w:pPr>
      <w:r>
        <w:rPr>
          <w:rFonts w:hint="eastAsia" w:ascii="宋体" w:hAnsi="宋体" w:cs="宋体"/>
          <w:iCs/>
          <w:color w:val="auto"/>
          <w:szCs w:val="21"/>
          <w:highlight w:val="none"/>
        </w:rPr>
        <w:t>长沙市轨道交通一号线建设发展有限公司</w:t>
      </w:r>
    </w:p>
    <w:p>
      <w:pPr>
        <w:pStyle w:val="18"/>
        <w:keepNext w:val="0"/>
        <w:keepLines w:val="0"/>
        <w:pageBreakBefore w:val="0"/>
        <w:kinsoku/>
        <w:wordWrap/>
        <w:overflowPunct/>
        <w:topLinePunct w:val="0"/>
        <w:autoSpaceDE/>
        <w:autoSpaceDN/>
        <w:bidi w:val="0"/>
        <w:spacing w:line="360" w:lineRule="auto"/>
        <w:textAlignment w:val="auto"/>
        <w:rPr>
          <w:rFonts w:ascii="宋体" w:hAnsi="宋体" w:cs="宋体"/>
          <w:iCs/>
          <w:color w:val="auto"/>
          <w:szCs w:val="21"/>
          <w:highlight w:val="none"/>
        </w:rPr>
      </w:pPr>
      <w:r>
        <w:rPr>
          <w:rFonts w:hint="eastAsia" w:ascii="宋体" w:hAnsi="宋体" w:cs="宋体"/>
          <w:iCs/>
          <w:color w:val="auto"/>
          <w:szCs w:val="21"/>
          <w:highlight w:val="none"/>
        </w:rPr>
        <w:t>长沙市轨道交通三号线建设发展有限公司</w:t>
      </w:r>
    </w:p>
    <w:p>
      <w:pPr>
        <w:pStyle w:val="18"/>
        <w:keepNext w:val="0"/>
        <w:keepLines w:val="0"/>
        <w:pageBreakBefore w:val="0"/>
        <w:kinsoku/>
        <w:wordWrap/>
        <w:overflowPunct/>
        <w:topLinePunct w:val="0"/>
        <w:autoSpaceDE/>
        <w:autoSpaceDN/>
        <w:bidi w:val="0"/>
        <w:spacing w:line="360" w:lineRule="auto"/>
        <w:textAlignment w:val="auto"/>
        <w:rPr>
          <w:rFonts w:ascii="宋体" w:hAnsi="宋体" w:cs="宋体"/>
          <w:iCs/>
          <w:color w:val="auto"/>
          <w:szCs w:val="21"/>
          <w:highlight w:val="none"/>
        </w:rPr>
      </w:pPr>
      <w:r>
        <w:rPr>
          <w:rFonts w:hint="eastAsia" w:ascii="宋体" w:hAnsi="宋体" w:cs="宋体"/>
          <w:iCs/>
          <w:color w:val="auto"/>
          <w:szCs w:val="21"/>
          <w:highlight w:val="none"/>
        </w:rPr>
        <w:t>长沙市轨道交通四号线建设发展有限公司</w:t>
      </w:r>
    </w:p>
    <w:p>
      <w:pPr>
        <w:pStyle w:val="18"/>
        <w:keepNext w:val="0"/>
        <w:keepLines w:val="0"/>
        <w:pageBreakBefore w:val="0"/>
        <w:kinsoku/>
        <w:wordWrap/>
        <w:overflowPunct/>
        <w:topLinePunct w:val="0"/>
        <w:autoSpaceDE/>
        <w:autoSpaceDN/>
        <w:bidi w:val="0"/>
        <w:spacing w:line="360" w:lineRule="auto"/>
        <w:textAlignment w:val="auto"/>
        <w:rPr>
          <w:color w:val="auto"/>
          <w:highlight w:val="none"/>
        </w:rPr>
      </w:pPr>
      <w:r>
        <w:rPr>
          <w:rFonts w:hint="eastAsia" w:ascii="宋体" w:hAnsi="宋体" w:cs="宋体"/>
          <w:iCs/>
          <w:color w:val="auto"/>
          <w:szCs w:val="21"/>
          <w:highlight w:val="none"/>
        </w:rPr>
        <w:t>长沙市轨道交通五号线建设发展有限公司</w:t>
      </w:r>
    </w:p>
    <w:p>
      <w:pPr>
        <w:keepNext w:val="0"/>
        <w:keepLines w:val="0"/>
        <w:pageBreakBefore w:val="0"/>
        <w:kinsoku/>
        <w:wordWrap/>
        <w:overflowPunct/>
        <w:topLinePunct w:val="0"/>
        <w:autoSpaceDE/>
        <w:autoSpaceDN/>
        <w:bidi w:val="0"/>
        <w:adjustRightInd w:val="0"/>
        <w:snapToGrid w:val="0"/>
        <w:spacing w:line="360" w:lineRule="auto"/>
        <w:ind w:firstLine="411" w:firstLineChars="196"/>
        <w:textAlignment w:val="auto"/>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bCs/>
          <w:color w:val="auto"/>
          <w:szCs w:val="21"/>
          <w:highlight w:val="none"/>
        </w:rPr>
        <w:t>长沙市劳动东路二段48号长沙市轨道交通运营有限公司综合楼910室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联系人：沈工</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电  话：</w:t>
      </w:r>
      <w:r>
        <w:rPr>
          <w:rFonts w:hint="eastAsia" w:ascii="宋体" w:hAnsi="宋体" w:cs="宋体"/>
          <w:color w:val="auto"/>
          <w:szCs w:val="21"/>
          <w:highlight w:val="none"/>
        </w:rPr>
        <w:t>0731-868523</w:t>
      </w:r>
      <w:r>
        <w:rPr>
          <w:rFonts w:hint="eastAsia" w:ascii="宋体" w:hAnsi="宋体" w:cs="宋体"/>
          <w:color w:val="auto"/>
          <w:szCs w:val="21"/>
          <w:highlight w:val="none"/>
          <w:lang w:val="en-US" w:eastAsia="zh-CN"/>
        </w:rPr>
        <w:t>73</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rPr>
        <w:t>监督举报电话：</w:t>
      </w:r>
      <w:r>
        <w:rPr>
          <w:rFonts w:hint="eastAsia" w:ascii="宋体" w:hAnsi="宋体" w:cs="宋体"/>
          <w:color w:val="auto"/>
          <w:szCs w:val="21"/>
          <w:highlight w:val="none"/>
        </w:rPr>
        <w:t>0731-8685224</w:t>
      </w:r>
      <w:r>
        <w:rPr>
          <w:rFonts w:hint="eastAsia" w:ascii="宋体" w:hAnsi="宋体" w:cs="宋体"/>
          <w:color w:val="auto"/>
          <w:szCs w:val="21"/>
          <w:highlight w:val="none"/>
          <w:lang w:val="en-US" w:eastAsia="zh-CN"/>
        </w:rPr>
        <w:t>7</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联系人：文工</w:t>
      </w:r>
    </w:p>
    <w:p>
      <w:pPr>
        <w:keepNext w:val="0"/>
        <w:keepLines w:val="0"/>
        <w:pageBreakBefore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采购代理机构：华春建设工程项目管理有限责任公司</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联系电话：0731-88887748</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联系人：林珊、程林</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cs="宋体" w:asciiTheme="minorEastAsia" w:hAnsiTheme="minorEastAsia" w:eastAsiaTheme="minorEastAsia"/>
          <w:color w:val="auto"/>
          <w:highlight w:val="none"/>
        </w:rPr>
        <w:t>长沙市天心区芙蓉中路二段144号城市之心14楼1422室</w:t>
      </w:r>
    </w:p>
    <w:p>
      <w:pPr>
        <w:pStyle w:val="2"/>
        <w:keepNext w:val="0"/>
        <w:keepLines w:val="0"/>
        <w:pageBreakBefore w:val="0"/>
        <w:kinsoku/>
        <w:wordWrap/>
        <w:overflowPunct/>
        <w:topLinePunct w:val="0"/>
        <w:autoSpaceDE/>
        <w:autoSpaceDN/>
        <w:bidi w:val="0"/>
        <w:spacing w:line="360" w:lineRule="auto"/>
        <w:textAlignment w:val="auto"/>
        <w:rPr>
          <w:rFonts w:ascii="宋体" w:hAnsi="宋体" w:cs="宋体"/>
          <w:color w:val="auto"/>
          <w:highlight w:val="none"/>
        </w:rPr>
      </w:pPr>
    </w:p>
    <w:p>
      <w:pPr>
        <w:keepNext w:val="0"/>
        <w:keepLines w:val="0"/>
        <w:pageBreakBefore w:val="0"/>
        <w:kinsoku/>
        <w:wordWrap/>
        <w:overflowPunct/>
        <w:topLinePunct w:val="0"/>
        <w:autoSpaceDE/>
        <w:autoSpaceDN/>
        <w:bidi w:val="0"/>
        <w:spacing w:line="360" w:lineRule="auto"/>
        <w:textAlignment w:val="auto"/>
        <w:rPr>
          <w:rFonts w:ascii="宋体" w:hAnsi="宋体" w:cs="宋体"/>
          <w:color w:val="auto"/>
          <w:highlight w:val="none"/>
        </w:rPr>
      </w:pPr>
    </w:p>
    <w:p>
      <w:pPr>
        <w:keepNext w:val="0"/>
        <w:keepLines w:val="0"/>
        <w:pageBreakBefore w:val="0"/>
        <w:kinsoku/>
        <w:wordWrap/>
        <w:overflowPunct/>
        <w:topLinePunct w:val="0"/>
        <w:autoSpaceDE/>
        <w:autoSpaceDN/>
        <w:bidi w:val="0"/>
        <w:adjustRightInd w:val="0"/>
        <w:snapToGrid w:val="0"/>
        <w:spacing w:line="360" w:lineRule="auto"/>
        <w:ind w:firstLine="4401" w:firstLineChars="2096"/>
        <w:jc w:val="right"/>
        <w:textAlignment w:val="auto"/>
        <w:rPr>
          <w:rFonts w:hint="eastAsia"/>
          <w:color w:val="auto"/>
          <w:highlight w:val="none"/>
        </w:rPr>
      </w:pPr>
      <w:r>
        <w:rPr>
          <w:rFonts w:hint="eastAsia" w:ascii="宋体" w:hAnsi="宋体" w:cs="宋体"/>
          <w:color w:val="auto"/>
          <w:szCs w:val="21"/>
          <w:highlight w:val="none"/>
        </w:rPr>
        <w:t xml:space="preserve">2020年 </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日</w:t>
      </w:r>
    </w:p>
    <w:p>
      <w:pPr>
        <w:pStyle w:val="18"/>
        <w:keepNext w:val="0"/>
        <w:keepLines w:val="0"/>
        <w:pageBreakBefore w:val="0"/>
        <w:kinsoku/>
        <w:wordWrap/>
        <w:overflowPunct/>
        <w:topLinePunct w:val="0"/>
        <w:autoSpaceDE/>
        <w:autoSpaceDN/>
        <w:bidi w:val="0"/>
        <w:spacing w:line="360" w:lineRule="auto"/>
        <w:textAlignment w:val="auto"/>
        <w:rPr>
          <w:color w:val="auto"/>
          <w:highlight w:val="none"/>
        </w:rPr>
        <w:sectPr>
          <w:footerReference r:id="rId7" w:type="default"/>
          <w:pgSz w:w="11906" w:h="16838"/>
          <w:pgMar w:top="1440" w:right="1800" w:bottom="1440" w:left="1800" w:header="851" w:footer="851" w:gutter="0"/>
          <w:pgNumType w:fmt="decimal"/>
          <w:cols w:space="720" w:num="1"/>
          <w:docGrid w:linePitch="312" w:charSpace="0"/>
        </w:sectPr>
      </w:pPr>
    </w:p>
    <w:tbl>
      <w:tblPr>
        <w:tblStyle w:val="19"/>
        <w:tblpPr w:leftFromText="180" w:rightFromText="180" w:vertAnchor="text" w:horzAnchor="page" w:tblpXSpec="center" w:tblpY="467"/>
        <w:tblOverlap w:val="never"/>
        <w:tblW w:w="9520" w:type="dxa"/>
        <w:jc w:val="center"/>
        <w:tblLayout w:type="autofit"/>
        <w:tblCellMar>
          <w:top w:w="0" w:type="dxa"/>
          <w:left w:w="0" w:type="dxa"/>
          <w:bottom w:w="0" w:type="dxa"/>
          <w:right w:w="0" w:type="dxa"/>
        </w:tblCellMar>
      </w:tblPr>
      <w:tblGrid>
        <w:gridCol w:w="542"/>
        <w:gridCol w:w="2251"/>
        <w:gridCol w:w="2681"/>
        <w:gridCol w:w="1000"/>
        <w:gridCol w:w="2177"/>
        <w:gridCol w:w="869"/>
      </w:tblGrid>
      <w:tr>
        <w:tblPrEx>
          <w:tblCellMar>
            <w:top w:w="0" w:type="dxa"/>
            <w:left w:w="0" w:type="dxa"/>
            <w:bottom w:w="0" w:type="dxa"/>
            <w:right w:w="0" w:type="dxa"/>
          </w:tblCellMar>
        </w:tblPrEx>
        <w:trPr>
          <w:trHeight w:val="646" w:hRule="atLeast"/>
          <w:jc w:val="center"/>
        </w:trPr>
        <w:tc>
          <w:tcPr>
            <w:tcW w:w="9520" w:type="dxa"/>
            <w:gridSpan w:val="6"/>
            <w:tcBorders>
              <w:top w:val="nil"/>
              <w:left w:val="nil"/>
              <w:bottom w:val="nil"/>
              <w:right w:val="nil"/>
            </w:tcBorders>
            <w:shd w:val="clear" w:color="auto" w:fill="auto"/>
            <w:noWrap/>
            <w:tcMar>
              <w:top w:w="10" w:type="dxa"/>
              <w:left w:w="10" w:type="dxa"/>
              <w:right w:w="10" w:type="dxa"/>
            </w:tcMar>
            <w:vAlign w:val="center"/>
          </w:tcPr>
          <w:p>
            <w:pPr>
              <w:widowControl/>
              <w:jc w:val="center"/>
              <w:textAlignment w:val="center"/>
              <w:rPr>
                <w:rFonts w:ascii="宋体" w:hAnsi="宋体" w:cs="宋体"/>
                <w:b/>
                <w:color w:val="auto"/>
                <w:sz w:val="28"/>
                <w:szCs w:val="28"/>
                <w:highlight w:val="none"/>
              </w:rPr>
            </w:pPr>
            <w:r>
              <w:rPr>
                <w:rFonts w:hint="eastAsia" w:ascii="黑体" w:hAnsi="黑体" w:eastAsia="黑体" w:cs="黑体"/>
                <w:b/>
                <w:color w:val="auto"/>
                <w:sz w:val="24"/>
                <w:highlight w:val="none"/>
              </w:rPr>
              <w:t>附表1：1、2、3、4、5号线2020年-2021年计量器具委外检测清单评审表</w:t>
            </w: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rPr>
              <w:t>序号</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rPr>
              <w:t>器具名称</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rPr>
              <w:t>参考型号规格</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rPr>
              <w:t>自检（代送检）</w:t>
            </w: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rPr>
              <w:t>资质证书附件中页码/序号/名称</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rPr>
              <w:t>备注</w:t>
            </w: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w:t>
            </w:r>
          </w:p>
        </w:tc>
        <w:tc>
          <w:tcPr>
            <w:tcW w:w="2251"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8通道示波器</w:t>
            </w:r>
          </w:p>
        </w:tc>
        <w:tc>
          <w:tcPr>
            <w:tcW w:w="2681"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24MXS-B、DLM4058、DL850等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CT/PT特性测试仪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TG2911、TE5670等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CT流互特性测试仪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TG2910、CT2360等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4</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LCR数字电桥</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TH2811D、E4980A、YD2810HB等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5</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SF6气体测试装置</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MB601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6</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TETRA综合测试仪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3920、3920B、IFS3920等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7</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U型压力真空计</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≤10MPa</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8</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安全阀</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公称通径＜80mm</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9</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百分表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≤10mm</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10</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避雷器计数测试仪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CT2410W、TG2430等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11</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避雷器特性测试仪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TG2410、HYG-IV、CT2411、SY-2等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97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12</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变频谐振耐压成套装置</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TG3230-132/66、BPXZ-132kVA/66kV、YD-2000、CT3400等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13</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变压器变比测试仪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TG2310、TE2020等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97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14</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变压器线圈直流电阻测试仪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TG2340-100A、TG2340-10A、TG2340-40A、TE2120、MLZY-II等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15</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变压器有载分接开关测试仪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TG2331、JYK-I、CT2330等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16</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便携式波形记录仪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DL850E、8860-50等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17</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便携式场强分析仪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Protek3201N、Protek9290、AV3942等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18</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便携式车轮检测仪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Miniprof、CW40、C42等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19</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便携式高压测试仪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TG3320、CT3610等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97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20</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便携式交流耐压测试装置</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TG3212-5/100、TG3312-5/100、YDJ-5/100、CT3310等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1611"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21</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便携式网络分析仪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SmartClass E1、LRAT-1000、AV5211、OPVXG、Neworks 1T-1000、LINKRUNNER、Networks 1T-3000-ACK-LRAT2等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22</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丙烷减压器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&lt;250MPa</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23</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彩色图形信号发生器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LV5770、LT4400等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24</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测力计</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BIA Class 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25</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场强仪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S508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26</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超声波测漏仪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S530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27</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超声波检漏仪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LD300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28</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超声波流量计</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MIK-2000H</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29</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车辆车钩中心高度尺</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GF206、GF206-KH等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30</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车辆车轮第四种检查器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JLJ-4C、LLJ-4C、JLJ-4D、LLJ-4D、LLJ-4B等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31</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bottom"/>
              <w:rPr>
                <w:rFonts w:ascii="宋体" w:hAnsi="宋体" w:cs="宋体"/>
                <w:color w:val="auto"/>
                <w:sz w:val="22"/>
                <w:szCs w:val="22"/>
                <w:highlight w:val="none"/>
              </w:rPr>
            </w:pPr>
            <w:r>
              <w:rPr>
                <w:rFonts w:hint="eastAsia" w:ascii="宋体" w:hAnsi="宋体" w:cs="宋体"/>
                <w:color w:val="auto"/>
                <w:kern w:val="0"/>
                <w:sz w:val="22"/>
                <w:szCs w:val="22"/>
                <w:highlight w:val="none"/>
              </w:rPr>
              <w:t>磁粉探伤仪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QCJ-Ⅱ</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32</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磁阻法测厚仪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HCC-18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33</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粗糙度仪（光泽度仪）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E224-S</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34</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带快速连接器的压力表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&lt;250MPa</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35</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单踪10MHZ示波器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ST16C</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36</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弹簧秤</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KL-100，100kg等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37</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低电压变压器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DDG-2000、CT2250等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38</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电动机故障检测仪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MC-200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39</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电接点压力表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（-0.1～0.3）MPa</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40</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电缆高阻故障定位电桥</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GZD-4B</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41</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电缆故障测量仪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XF28-1960V4、HT-TC、TG2112、DZY-2000等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97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42</w:t>
            </w:r>
          </w:p>
        </w:tc>
        <w:tc>
          <w:tcPr>
            <w:tcW w:w="2251"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电缆故障测试仪（含精定点仪）（含电缆路径仪）</w:t>
            </w:r>
          </w:p>
        </w:tc>
        <w:tc>
          <w:tcPr>
            <w:tcW w:w="2681"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XF28-1960V4/S-DAD/RD8000 PDLT10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43</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电缆故障定位电源</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HDM-15、HDM-15/8D等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44</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电缆故障定位仪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E2570、T810等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45</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电缆认证分析仪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DTX-1800、DTX-LT等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1293"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46</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电能质量分析仪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43B、HIOKI3196、SFDZ-4Ⅱ、SRDZ-4E、F435-II、PW3198、CA8336、FLUKE1760TR、DEWE-5000等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47</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电子秤</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＞60kg，≤1000kg</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48</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电子秤</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≤60kg</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49</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电子经纬仪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DJD2-C、DJD2-CL、J2-2、DJD2-JCL、FDT2XC等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50</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电子平台秤（地磅）</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≤3000kg</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51</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电子式波形磨耗测量仪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BMC-01、Jk-3等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52</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电子天平</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AWH-30-SA、TC30K-H等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53</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断路器参数测试仪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KC-94H5、TE3036等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54</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多功能校准源</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5502A/6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55</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多功能信号发生器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F81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56</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二氧化碳减压器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&lt;250MPa</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57</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二氧化碳浓度测试仪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HCX-800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58</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防雷元件测试仪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FC-2G、HTFC-2G等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59</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风速仪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AR836+、F925、QDF-6、QDF-3、EY3-2A等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60</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钢轨磨耗测量仪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GMC-50、GMC-60、GMC-P50、GF2740-P50/P60等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97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61</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钢轨探伤仪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GCT-8C、CTS-9008HT、JGT-6M、JGT-10、GCT-11、GT-3、GTC-8C等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62</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钢轨辙岔磨耗测量仪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TZ、GF2905、CW40等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63</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钢轨直度测量尺</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GF2821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64</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钢轨直度尺校零器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GF2821X</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65</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钢筋定位仪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PS50、PW35等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66</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高级数字万用示波器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FLK123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67</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高精度数字压力计</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FLUKE700G27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68</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高精度温度表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51/52II、Fluke 53-II等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97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69</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高压成套试验装置</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TG3310-25/150、G3310-25/10、CT3300-25/150等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70</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高压开关特性测试仪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TG2220、CT2221、TG2221等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71</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高压直流泄漏测试仪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TG3221-200/3、ZGF-200/3、TE-DHG-200/3等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72</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工频耐压测试系统</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TG3213-5/100、YD-6/100、TE-OAT-5/100等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73</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工频耐压测试仪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TNC-1Y</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74</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管形测力计</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200N、LTZ-20、LTZ-30等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75</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光电转速计（转速表）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DT2234B、DT6236B等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1929"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76</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光功率计</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33-927、APM80T、EPM-50、EPM-53X-PMA-22-RB、N3970A、OPM-15、OPM-15B、OPM-4C、OPM-50、OPM-50A、TLD6070、WF3216、MT7601-C2等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77</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光功率计/光源CMA5（5L35-FU）</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CMA5（5L35-FU）</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78</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光可变衰减器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HX3301B、OLA-55、EVA 50、OLA-54等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79</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光缆测试仪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FQM-MAIN、Fiber OneShot PRO等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1293"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80</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光时域反射仪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MTP-1000、MTS-6000、OPtiFiber-Pro-QUAD、AOR500、AQ-1200、MT9082A9、MTP-200-20VD等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81</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光纤测试仪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FTK1000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82</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光源</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WF3100、JW3109等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83</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轨道绝缘测试仪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ZXGDJ-Ⅰ</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84</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过程校验仪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YHS-302A、Fluke725、VICTOR25等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85</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焊接检验尺</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HJC60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86</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合成信号发生器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AFG3252C</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447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87</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红外测温仪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AR872、AR872+、AR872D+、AR872D+、F62MAX、FLUKE-561、FLUKE-59、FLUKE-62、FLUKE-63、FT3700-20、HCW-VA、RAYMT4U、Raynger ST、RAYST20、RAYST21、RAYST60、Raytek、ST Pro、ST20、ST20B、ST60+、ST20XBAP、VICTOR-303B、VICTOR-308c、ST60XB、AS852B、MSY800、MT4MAX、VC305B、3031、FLUKE VT04、WDF400、AR550、IRT424-2L等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88</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红外热像仪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FLIR T600、Ti110、E60、Ti25等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89</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回波损耗测试仪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JW3308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90</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回弹仪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HT-225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1293"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91</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回路电阻测试仪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TG2210-100A、HLY型、HTHL-100A、TG2210-100、HLY-200A、TE-HL200、MOT-300等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92</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机车车辆轮对内距尺</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GF218、GF218-ZD、JF982S、LLJ-NJ-A、LLJ-NJ-B等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93</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机车车辆轮径测量器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GF922系列、GF982系列等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94</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机械秒表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1s～30min</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95</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激光测量仪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DJJ-8、TYJJ-2A、CTJJ-2等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1611"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96</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继电保护测试仪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ISADRTS-64、K1030、MC-2000、TG2616、CT2216、AD431H、DRTS-33、ZS-740、TEST6630A、SVERKER 780、AH461等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1293"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97</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检漏仪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EEPV509/（0～0.7）MPa、LF-JD、LS790B、Q200、TIF5750A、XP-1A、H-10PRO、LD300、EST-10、LF-ID等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98</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交流电量测试仪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DJC-3、CDZ8等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99</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交流毫伏表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GVE-427B、GVT-427B等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100</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交流耐压试验台</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TG3210、YD-3/3、CT3300-3/3等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101</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交流耐压试验系统</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HYG-5kVA/50kV</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102</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接地电阻表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ZC29B-2、ZC-8等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1611"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103</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接地电阻测试仪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1621、1623、1625、1630、AR4105A+、MI2124、MS2301、ST1520、VC6412+、LGH-C、ECRT2000、ETCR2000G、HT5600、ETCR2000+等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104</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介损测试仪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TG2510、FS3001、JSY-03等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105</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介质损耗及电容量测试仪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JD2618E、TE8080等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106</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精定点仪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LX2031、HSDAD、LX2033等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107</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精密压力表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&lt;5MPa</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108</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精密压力表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≥5MPa</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109</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酒精测试仪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CA2000、SAD300A、XKC-1000、XKC-1000A等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110</w:t>
            </w:r>
          </w:p>
        </w:tc>
        <w:tc>
          <w:tcPr>
            <w:tcW w:w="2251" w:type="dxa"/>
            <w:tcBorders>
              <w:top w:val="nil"/>
              <w:left w:val="nil"/>
              <w:bottom w:val="single" w:color="auto"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局放超声自动定位仪</w:t>
            </w:r>
          </w:p>
        </w:tc>
        <w:tc>
          <w:tcPr>
            <w:tcW w:w="2681" w:type="dxa"/>
            <w:tcBorders>
              <w:top w:val="nil"/>
              <w:left w:val="nil"/>
              <w:bottom w:val="single" w:color="auto"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TWPD-2P、TWPP-2P、YN-UPDL100等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202" w:hRule="atLeast"/>
          <w:jc w:val="center"/>
        </w:trPr>
        <w:tc>
          <w:tcPr>
            <w:tcW w:w="542" w:type="dxa"/>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111</w:t>
            </w:r>
          </w:p>
        </w:tc>
        <w:tc>
          <w:tcPr>
            <w:tcW w:w="2251" w:type="dxa"/>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绝缘电阻测试仪</w:t>
            </w:r>
          </w:p>
        </w:tc>
        <w:tc>
          <w:tcPr>
            <w:tcW w:w="2681" w:type="dxa"/>
            <w:tcBorders>
              <w:top w:val="single" w:color="auto" w:sz="4" w:space="0"/>
              <w:left w:val="nil"/>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1508、1550C、1535、3121A、3121B、3125、BM3548、BM3549、F5000、IR4056、IR4057、KD2676G、MI2123、MI3200、MI3121H、MS5215、S1-552、S1-568、SI-552/2、HX2000、3007A 、VC60+、VICTOR3123、CA6550、TE8674、VC60D+、AR3125、DMG2671P、KZC30等</w:t>
            </w:r>
          </w:p>
        </w:tc>
        <w:tc>
          <w:tcPr>
            <w:tcW w:w="10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112</w:t>
            </w:r>
          </w:p>
        </w:tc>
        <w:tc>
          <w:tcPr>
            <w:tcW w:w="2251" w:type="dxa"/>
            <w:tcBorders>
              <w:top w:val="single" w:color="auto" w:sz="4" w:space="0"/>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绝缘靴手套耐压试验装置</w:t>
            </w:r>
          </w:p>
        </w:tc>
        <w:tc>
          <w:tcPr>
            <w:tcW w:w="2681" w:type="dxa"/>
            <w:tcBorders>
              <w:top w:val="single" w:color="auto" w:sz="4" w:space="0"/>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TG3510、CT3510等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113</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绝缘油介电强度测试仪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TG2710B、TG2710A、TG2710、TE6080等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114</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卡尺（含表盘、机械、数显、深度等卡尺）</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＞500mm</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115</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卡尺（含表盘、机械、数显、深度等卡尺）</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≤300mm</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116</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宽座角尺</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H160*L100mm、H250*L160mm等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117</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框架断路器测试仪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3WL9111-0AT44-0AA0、PR010/T等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118</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冷媒检漏仪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D-TEK</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119</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冷媒压力表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双表，&lt;250MPa</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120</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亮度计</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LS-100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121</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漏电流测试仪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TH2686N</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122</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卤素检漏仪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CPU-1G、CPU-C、HLD-100+、WJL-6000等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123</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逻辑分析仪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LA1832A、GLA1132C等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124</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模拟示波器</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DF4325、GOS620等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125</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膜盒压力真空表</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（-100～100）kPa</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126</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耐压测试仪</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RK2670AM</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127</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内径百分表</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≤450mm</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128</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内径千分尺</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≤600mm</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129</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扭矩传感器</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≤800Nm</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130</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扭力扳手</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≤2000Nm</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131</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扭力扳手检测仪</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DOTE1000N3-G</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132</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扭力扳手检测仪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DOTE100N3-G</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133</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频率计</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GFC-8010H、GFC-8270H、VC3165、TFC-2700L等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134</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频谱分析仪</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N9344C、MS2711E等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135</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钳形表检定装置</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TD1050-21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136</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全站仪</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TS60、TS05、TS30等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137</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全自动变比电桥</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TG2310、CT2310等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138</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热电偶校准仪</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MS7220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139</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热球式风速计</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ZQQF-D30J、ZRQF-D30J、FC-D-30等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140</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热线风速仪</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Testo0425、TES1341、FLUKE923等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141</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任意波形发生器</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DG1032Z、AFG3021C、AFG3102C、SPF120等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142</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三相相序表</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Fluke9062、FLUKE9040等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1611"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143</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声级计</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MS6701、AZ8922、ND10、HS5633、TES1350A、TES1351B、TES1359、TESTO 815、DT-8850、SL-4001、MS6708、AWA5636等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97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144</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示波表</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GDS-1102A-U、TD4321、210、F199C、F190-202、F190-204等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145</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手持式露点仪</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DM70、Ⅱ51382等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146</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数显式推拉力计</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FA-500、HP-200、HP-500、SH-500、AY3 T等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97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147</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数字超声波探伤仪</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CTS-22A、CTS-2020、CTS-9006、CTS-9009、KQ-A2000KDE等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1929"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148</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数字存储示波器</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MD03054、TBS1102、TBS1104、TDS2002B、TDS2012C、TDS2024C、GDS-3504、TDS3052C、TDS3052B、WS24MXS-B、MEDS8508、TDS3012C等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149</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数字电容表</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6013、6243等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150</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数字多用表</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5位半</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151</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数字多用表</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6位半</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1611"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152</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数字钳形表</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2009R、317、319、355、365、376、3283、3285、LH41A、ETCR6300、M240、ETCR6600、MS2138、VC6056B、DM6015F、UT205、302+、324等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97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153</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数字示波器</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DLM2022、DLM2024、DLM2054、LT4600、4135A、双通道100M、YB4328等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154</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数字万用表</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3位半</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155</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数字微欧计</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DLRO600、MOM690、MOM690A、MOT600等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156</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数字压力表</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&lt;250MPa</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157</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数字转速仪</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DT-2234A+、SM6234E、TESTO 477、Fluke 931、820-2等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158</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双通道动平衡仪</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907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159</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双头压力表</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双表，&lt;250MPa</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160</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水准仪</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AL332-B、DNA03、DINI03等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161</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天馈线分析仪</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S331L、S331D、S311D、E7000L、SA-6000EX等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162</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铁路方尺</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\、ROG-5、HTFC-1、TFC-I等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163</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bottom"/>
              <w:rPr>
                <w:rFonts w:ascii="宋体" w:hAnsi="宋体" w:cs="宋体"/>
                <w:color w:val="auto"/>
                <w:sz w:val="22"/>
                <w:szCs w:val="22"/>
                <w:highlight w:val="none"/>
              </w:rPr>
            </w:pPr>
            <w:r>
              <w:rPr>
                <w:rFonts w:hint="eastAsia" w:ascii="宋体" w:hAnsi="宋体" w:cs="宋体"/>
                <w:color w:val="auto"/>
                <w:kern w:val="0"/>
                <w:sz w:val="22"/>
                <w:szCs w:val="22"/>
                <w:highlight w:val="none"/>
              </w:rPr>
              <w:t>铁路轨距尺</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TGC-W-II、TGC-W-I、TCG-1A等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164</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铁路轨距尺检定器</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TGCJ－1A、TGCJ－1等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97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165</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铁路支距尺</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ROG-2、ROG-3、TZC-II、TZC-IIA、HTZJC-2、JTZC-1等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166</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通信电缆障碍测试仪</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GT-8C</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167</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外径千分尺</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≤300mm</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168</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万能角度尺</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（0～50）°、（0～320）°、（0～360）°等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169</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网络分析仪</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E5071C</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170</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微水测量仪</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DP70、DWS-IID、TGWS-C等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171</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温度模拟器</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MS7222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97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172</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温湿度计</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AR847+、Ar837、EXTECH445815、HTC-1、JR913、AS847、VC230等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173</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温湿度手持表</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ascii="宋体" w:hAnsi="宋体" w:cs="宋体"/>
                <w:color w:val="auto"/>
                <w:sz w:val="22"/>
                <w:szCs w:val="22"/>
                <w:highlight w:val="none"/>
              </w:rPr>
              <w:t>OMNIPORT  30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174</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无线驻波仪</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S33IL</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175</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系统比特误码率及抖动测试仪</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SunsetE20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176</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线路故障检测仪</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TG2113、CT2113等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177</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相位测试仪</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VC850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178</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蓄电池测试仪</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3554、BDCT-5000、BT3554等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179</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蓄电池放电测试仪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KDBD808、ZHCH516、GDXC等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180</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蓄电池负载测试仪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fZY-220/60、IDCE-2206CT、ZN220-40等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1611"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181</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蓄电池内阻测试仪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FBR5000CT、BT6100、CRM-2000、ZHT-DC02、BT3555、SBM-2000D、SBM-3000D、HK3560、3555等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182</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蓄电池维护测试仪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CMT-6500L、F117C等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183</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蓄电池性能测试仪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DPC-HT-220、TES-32等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184</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氩气减压器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&lt;250MPa</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185</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氩气气体调节器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YX-25AJ</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186</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烟烙尽测压表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≥5MPa</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187</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氧气减压器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&lt;250MPa</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188</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乙炔减压器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&lt;250MPa</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189</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游标高度尺</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≤1000mm</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190</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噪声频谱分析仪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HS6288B</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97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191</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噪音计</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TES1357、TES1353、TES1353S、AR824、VICTOR824、LB-Z550等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192</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兆欧表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ZC25B-3、AR907A+、KZC30、ZC25-4、ZC-7、UT512等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1611"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193</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照度计</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UA1010BS、ST-80C、AS823、LX1010BS、TA8120、TES1339、941、TES1332A、TES1334、TES1334A、TES1330A、VC1010D等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194</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辙叉磨耗测量仪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CMZ、P60、TZTS-C、TZTS-通用等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195</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直流标准电阻</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ZX74A、ZX74P、279301等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196</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直流电压表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C50-MV</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197</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直流电源分析仪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N6705B</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198</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直流电阻测量仪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PC57、JK2512A等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199</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直流电阻电桥</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QJ44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200</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直流电阻器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ZX21、ZX21A、ZX25a等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201</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直流高压发生器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TG3221、DHV-200kV/5mA、ZGF-200/2、CT3211等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202</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直流接地试验器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PDF1000、TG2130等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203</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智能数字压力校验仪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ConST273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1611"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204</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转辙机测试仪/道岔测力仪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ZXZD-30、ZXZD-30B、ZXZD-S100、ZXZD-30S、KXZD-42、KXZD-42WF、KXZD-43、KXZD-3Y、ZXZD-30SⅢ等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205</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自动LCR测量仪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LCR-819、RLC131、UT603、LCR-8101G等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206</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自动化综合测试仪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SIGMA2000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65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207</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阻断电压测试仪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DBC-023C、CP57-DBC-023C等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208</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阻抗仪</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4120A、OT6083B等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209</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验电器</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≤220kV</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210</w:t>
            </w:r>
          </w:p>
        </w:tc>
        <w:tc>
          <w:tcPr>
            <w:tcW w:w="225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接地棒</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≤220kV</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211</w:t>
            </w:r>
          </w:p>
        </w:tc>
        <w:tc>
          <w:tcPr>
            <w:tcW w:w="22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变压器油化验</w:t>
            </w: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含水量</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介损耐压</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界面张力</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颗粒度测试</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取样</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溶解气体色谱分析</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闪点</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水溶性算PH值</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346" w:hRule="atLeas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681"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酸值</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auto"/>
                <w:sz w:val="22"/>
                <w:szCs w:val="22"/>
                <w:highlight w:val="none"/>
              </w:rPr>
            </w:pPr>
          </w:p>
        </w:tc>
      </w:tr>
      <w:tr>
        <w:tblPrEx>
          <w:tblCellMar>
            <w:top w:w="0" w:type="dxa"/>
            <w:left w:w="0" w:type="dxa"/>
            <w:bottom w:w="0" w:type="dxa"/>
            <w:right w:w="0" w:type="dxa"/>
          </w:tblCellMar>
        </w:tblPrEx>
        <w:trPr>
          <w:trHeight w:val="879" w:hRule="atLeast"/>
          <w:jc w:val="center"/>
        </w:trPr>
        <w:tc>
          <w:tcPr>
            <w:tcW w:w="9520"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auto"/>
                <w:sz w:val="22"/>
                <w:szCs w:val="22"/>
                <w:highlight w:val="none"/>
              </w:rPr>
            </w:pPr>
            <w:r>
              <w:rPr>
                <w:rFonts w:ascii="宋体" w:hAnsi="宋体" w:cs="宋体"/>
                <w:color w:val="auto"/>
                <w:sz w:val="22"/>
                <w:szCs w:val="22"/>
                <w:highlight w:val="none"/>
              </w:rPr>
              <w:t>1、2、3、4、5号线计量器具委外检测清单中可自检项目占检测清单总项目比重：</w:t>
            </w:r>
            <w:r>
              <w:rPr>
                <w:rFonts w:ascii="宋体" w:hAnsi="宋体" w:cs="宋体"/>
                <w:b/>
                <w:bCs/>
                <w:color w:val="auto"/>
                <w:sz w:val="22"/>
                <w:szCs w:val="22"/>
                <w:highlight w:val="none"/>
              </w:rPr>
              <w:t>自检数量</w:t>
            </w:r>
            <w:r>
              <w:rPr>
                <w:rFonts w:hint="eastAsia" w:ascii="宋体" w:hAnsi="宋体" w:cs="宋体"/>
                <w:b/>
                <w:bCs/>
                <w:color w:val="auto"/>
                <w:sz w:val="22"/>
                <w:szCs w:val="22"/>
                <w:highlight w:val="none"/>
                <w:u w:val="single"/>
                <w:lang w:val="en-US" w:eastAsia="zh-CN"/>
              </w:rPr>
              <w:t xml:space="preserve">    </w:t>
            </w:r>
            <w:r>
              <w:rPr>
                <w:rFonts w:ascii="宋体" w:hAnsi="宋体" w:cs="宋体"/>
                <w:b/>
                <w:bCs/>
                <w:color w:val="auto"/>
                <w:sz w:val="22"/>
                <w:szCs w:val="22"/>
                <w:highlight w:val="none"/>
              </w:rPr>
              <w:t>项</w:t>
            </w:r>
            <w:r>
              <w:rPr>
                <w:rFonts w:ascii="宋体" w:hAnsi="宋体" w:cs="宋体"/>
                <w:color w:val="auto"/>
                <w:sz w:val="22"/>
                <w:szCs w:val="22"/>
                <w:highlight w:val="none"/>
              </w:rPr>
              <w:t>，</w:t>
            </w:r>
            <w:r>
              <w:rPr>
                <w:rFonts w:ascii="宋体" w:hAnsi="宋体" w:cs="宋体"/>
                <w:b/>
                <w:bCs/>
                <w:color w:val="auto"/>
                <w:sz w:val="22"/>
                <w:szCs w:val="22"/>
                <w:highlight w:val="none"/>
              </w:rPr>
              <w:t>代送检数量</w:t>
            </w:r>
            <w:r>
              <w:rPr>
                <w:rFonts w:hint="eastAsia" w:ascii="宋体" w:hAnsi="宋体" w:cs="宋体"/>
                <w:b/>
                <w:bCs/>
                <w:color w:val="auto"/>
                <w:sz w:val="22"/>
                <w:szCs w:val="22"/>
                <w:highlight w:val="none"/>
                <w:u w:val="single"/>
                <w:lang w:val="en-US" w:eastAsia="zh-CN"/>
              </w:rPr>
              <w:t xml:space="preserve">    </w:t>
            </w:r>
            <w:r>
              <w:rPr>
                <w:rFonts w:ascii="宋体" w:hAnsi="宋体" w:cs="宋体"/>
                <w:b/>
                <w:bCs/>
                <w:color w:val="auto"/>
                <w:sz w:val="22"/>
                <w:szCs w:val="22"/>
                <w:highlight w:val="none"/>
              </w:rPr>
              <w:t>项，检测清单总项数211项，自检率：</w:t>
            </w:r>
            <w:r>
              <w:rPr>
                <w:rFonts w:hint="eastAsia" w:ascii="宋体" w:hAnsi="宋体" w:cs="宋体"/>
                <w:b/>
                <w:bCs/>
                <w:color w:val="auto"/>
                <w:sz w:val="22"/>
                <w:szCs w:val="22"/>
                <w:highlight w:val="none"/>
                <w:u w:val="single"/>
                <w:lang w:val="en-US" w:eastAsia="zh-CN"/>
              </w:rPr>
              <w:t xml:space="preserve">    </w:t>
            </w:r>
            <w:r>
              <w:rPr>
                <w:rFonts w:ascii="宋体" w:hAnsi="宋体" w:cs="宋体"/>
                <w:b/>
                <w:bCs/>
                <w:color w:val="auto"/>
                <w:sz w:val="22"/>
                <w:szCs w:val="22"/>
                <w:highlight w:val="none"/>
              </w:rPr>
              <w:t>%</w:t>
            </w:r>
            <w:r>
              <w:rPr>
                <w:rFonts w:ascii="宋体" w:hAnsi="宋体" w:cs="宋体"/>
                <w:color w:val="auto"/>
                <w:sz w:val="22"/>
                <w:szCs w:val="22"/>
                <w:highlight w:val="none"/>
              </w:rPr>
              <w:t>（四舍五入，取整数）。</w:t>
            </w:r>
          </w:p>
        </w:tc>
      </w:tr>
    </w:tbl>
    <w:p>
      <w:pPr>
        <w:pStyle w:val="18"/>
        <w:numPr>
          <w:ilvl w:val="0"/>
          <w:numId w:val="0"/>
        </w:numPr>
        <w:rPr>
          <w:rFonts w:ascii="宋体" w:hAnsi="宋体" w:eastAsia="宋体" w:cs="宋体"/>
          <w:color w:val="auto"/>
          <w:sz w:val="24"/>
          <w:szCs w:val="24"/>
          <w:highlight w:val="none"/>
        </w:rPr>
      </w:pPr>
      <w:bookmarkStart w:id="7" w:name="_Toc10648"/>
      <w:bookmarkStart w:id="8" w:name="_Toc5412"/>
      <w:bookmarkStart w:id="9" w:name="_Toc22084"/>
      <w:bookmarkStart w:id="10" w:name="_Toc18188"/>
    </w:p>
    <w:p>
      <w:pPr>
        <w:spacing w:line="360" w:lineRule="auto"/>
        <w:rPr>
          <w:rFonts w:ascii="黑体" w:hAnsi="黑体" w:eastAsia="黑体" w:cs="黑体"/>
          <w:b/>
          <w:color w:val="auto"/>
          <w:sz w:val="24"/>
          <w:highlight w:val="none"/>
        </w:rPr>
      </w:pPr>
      <w:r>
        <w:rPr>
          <w:rFonts w:hint="eastAsia" w:ascii="黑体" w:hAnsi="黑体" w:eastAsia="黑体" w:cs="黑体"/>
          <w:b/>
          <w:color w:val="auto"/>
          <w:sz w:val="24"/>
          <w:highlight w:val="none"/>
        </w:rPr>
        <w:t>附表2：项目人员最低配备要求表</w:t>
      </w:r>
    </w:p>
    <w:p>
      <w:pPr>
        <w:spacing w:line="360" w:lineRule="auto"/>
        <w:ind w:firstLine="420" w:firstLineChars="200"/>
        <w:rPr>
          <w:rFonts w:ascii="宋体" w:hAnsi="宋体" w:eastAsiaTheme="minorEastAsia" w:cstheme="minorBidi"/>
          <w:color w:val="auto"/>
          <w:szCs w:val="21"/>
          <w:highlight w:val="none"/>
        </w:rPr>
      </w:pPr>
    </w:p>
    <w:tbl>
      <w:tblPr>
        <w:tblStyle w:val="19"/>
        <w:tblW w:w="9014" w:type="dxa"/>
        <w:tblInd w:w="-2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713"/>
        <w:gridCol w:w="1982"/>
        <w:gridCol w:w="53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1713" w:type="dxa"/>
            <w:tcBorders>
              <w:top w:val="single" w:color="auto" w:sz="12" w:space="0"/>
              <w:left w:val="single" w:color="auto" w:sz="12"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eastAsiaTheme="minorEastAsia" w:cstheme="minorBidi"/>
                <w:b/>
                <w:bCs/>
                <w:color w:val="auto"/>
                <w:sz w:val="24"/>
                <w:highlight w:val="none"/>
              </w:rPr>
            </w:pPr>
            <w:r>
              <w:rPr>
                <w:rFonts w:hint="eastAsia" w:ascii="宋体" w:hAnsi="宋体" w:eastAsiaTheme="minorEastAsia" w:cstheme="minorBidi"/>
                <w:b/>
                <w:bCs/>
                <w:color w:val="auto"/>
                <w:kern w:val="0"/>
                <w:sz w:val="24"/>
                <w:highlight w:val="none"/>
              </w:rPr>
              <w:t>岗位名称</w:t>
            </w:r>
          </w:p>
        </w:tc>
        <w:tc>
          <w:tcPr>
            <w:tcW w:w="1982" w:type="dxa"/>
            <w:tcBorders>
              <w:top w:val="single" w:color="auto" w:sz="12" w:space="0"/>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eastAsiaTheme="minorEastAsia" w:cstheme="minorBidi"/>
                <w:b/>
                <w:bCs/>
                <w:color w:val="auto"/>
                <w:sz w:val="24"/>
                <w:highlight w:val="none"/>
              </w:rPr>
            </w:pPr>
            <w:r>
              <w:rPr>
                <w:rFonts w:hint="eastAsia" w:ascii="宋体" w:hAnsi="宋体" w:eastAsiaTheme="minorEastAsia" w:cstheme="minorBidi"/>
                <w:b/>
                <w:bCs/>
                <w:color w:val="auto"/>
                <w:kern w:val="0"/>
                <w:sz w:val="24"/>
                <w:highlight w:val="none"/>
              </w:rPr>
              <w:t>配备数量</w:t>
            </w:r>
          </w:p>
        </w:tc>
        <w:tc>
          <w:tcPr>
            <w:tcW w:w="5319" w:type="dxa"/>
            <w:tcBorders>
              <w:top w:val="single" w:color="auto" w:sz="12" w:space="0"/>
              <w:left w:val="nil"/>
              <w:bottom w:val="single" w:color="auto" w:sz="4" w:space="0"/>
              <w:right w:val="single" w:color="auto" w:sz="12" w:space="0"/>
            </w:tcBorders>
            <w:tcMar>
              <w:top w:w="15" w:type="dxa"/>
              <w:left w:w="15" w:type="dxa"/>
              <w:bottom w:w="0" w:type="dxa"/>
              <w:right w:w="15" w:type="dxa"/>
            </w:tcMar>
            <w:vAlign w:val="center"/>
          </w:tcPr>
          <w:p>
            <w:pPr>
              <w:widowControl/>
              <w:jc w:val="center"/>
              <w:textAlignment w:val="center"/>
              <w:rPr>
                <w:rFonts w:ascii="宋体" w:hAnsi="宋体" w:eastAsiaTheme="minorEastAsia" w:cstheme="minorBidi"/>
                <w:b/>
                <w:bCs/>
                <w:color w:val="auto"/>
                <w:sz w:val="24"/>
                <w:highlight w:val="none"/>
              </w:rPr>
            </w:pPr>
            <w:r>
              <w:rPr>
                <w:rFonts w:hint="eastAsia" w:ascii="宋体" w:hAnsi="宋体" w:eastAsiaTheme="minorEastAsia" w:cstheme="minorBidi"/>
                <w:b/>
                <w:bCs/>
                <w:color w:val="auto"/>
                <w:kern w:val="0"/>
                <w:sz w:val="24"/>
                <w:highlight w:val="none"/>
              </w:rPr>
              <w:t>配备要求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713"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eastAsiaTheme="minorEastAsia" w:cstheme="minorBidi"/>
                <w:color w:val="auto"/>
                <w:sz w:val="24"/>
                <w:highlight w:val="none"/>
              </w:rPr>
            </w:pPr>
            <w:r>
              <w:rPr>
                <w:rFonts w:hint="eastAsia" w:ascii="宋体" w:hAnsi="宋体" w:eastAsiaTheme="minorEastAsia" w:cstheme="minorBidi"/>
                <w:color w:val="auto"/>
                <w:sz w:val="24"/>
                <w:highlight w:val="none"/>
              </w:rPr>
              <w:t>技术负责人</w:t>
            </w:r>
          </w:p>
        </w:tc>
        <w:tc>
          <w:tcPr>
            <w:tcW w:w="198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eastAsiaTheme="minorEastAsia" w:cstheme="minorBidi"/>
                <w:color w:val="auto"/>
                <w:sz w:val="24"/>
                <w:highlight w:val="none"/>
              </w:rPr>
            </w:pPr>
            <w:r>
              <w:rPr>
                <w:rFonts w:hint="eastAsia" w:ascii="宋体" w:hAnsi="宋体" w:eastAsiaTheme="minorEastAsia" w:cstheme="minorBidi"/>
                <w:color w:val="auto"/>
                <w:sz w:val="24"/>
                <w:highlight w:val="none"/>
              </w:rPr>
              <w:t>1人</w:t>
            </w:r>
          </w:p>
        </w:tc>
        <w:tc>
          <w:tcPr>
            <w:tcW w:w="5319"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pPr>
              <w:jc w:val="center"/>
              <w:rPr>
                <w:rFonts w:ascii="宋体" w:hAnsi="宋体" w:eastAsiaTheme="minorEastAsia" w:cstheme="minorBidi"/>
                <w:color w:val="auto"/>
                <w:sz w:val="24"/>
                <w:highlight w:val="none"/>
              </w:rPr>
            </w:pPr>
            <w:r>
              <w:rPr>
                <w:rFonts w:hint="eastAsia" w:ascii="宋体" w:hAnsi="宋体" w:eastAsiaTheme="minorEastAsia" w:cstheme="minorBidi"/>
                <w:color w:val="auto"/>
                <w:sz w:val="24"/>
                <w:highlight w:val="none"/>
              </w:rPr>
              <w:t>具有计量专业中级及以上职称。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713" w:type="dxa"/>
            <w:tcBorders>
              <w:top w:val="single" w:color="auto" w:sz="4" w:space="0"/>
              <w:left w:val="single" w:color="auto" w:sz="12" w:space="0"/>
              <w:bottom w:val="single" w:color="auto" w:sz="12" w:space="0"/>
              <w:right w:val="single" w:color="auto" w:sz="4" w:space="0"/>
            </w:tcBorders>
            <w:tcMar>
              <w:top w:w="15" w:type="dxa"/>
              <w:left w:w="15" w:type="dxa"/>
              <w:bottom w:w="0" w:type="dxa"/>
              <w:right w:w="15" w:type="dxa"/>
            </w:tcMar>
            <w:vAlign w:val="center"/>
          </w:tcPr>
          <w:p>
            <w:pPr>
              <w:jc w:val="center"/>
              <w:rPr>
                <w:rFonts w:ascii="宋体" w:hAnsi="宋体" w:eastAsiaTheme="minorEastAsia" w:cstheme="minorBidi"/>
                <w:color w:val="auto"/>
                <w:sz w:val="24"/>
                <w:highlight w:val="none"/>
              </w:rPr>
            </w:pPr>
            <w:r>
              <w:rPr>
                <w:rFonts w:hint="eastAsia" w:ascii="宋体" w:hAnsi="宋体" w:eastAsiaTheme="minorEastAsia" w:cstheme="minorBidi"/>
                <w:color w:val="auto"/>
                <w:sz w:val="24"/>
                <w:highlight w:val="none"/>
              </w:rPr>
              <w:t>项目负责人</w:t>
            </w:r>
          </w:p>
        </w:tc>
        <w:tc>
          <w:tcPr>
            <w:tcW w:w="1982" w:type="dxa"/>
            <w:tcBorders>
              <w:top w:val="single" w:color="auto" w:sz="4" w:space="0"/>
              <w:left w:val="nil"/>
              <w:bottom w:val="single" w:color="auto" w:sz="12" w:space="0"/>
              <w:right w:val="single" w:color="auto" w:sz="4" w:space="0"/>
            </w:tcBorders>
            <w:tcMar>
              <w:top w:w="15" w:type="dxa"/>
              <w:left w:w="15" w:type="dxa"/>
              <w:bottom w:w="0" w:type="dxa"/>
              <w:right w:w="15" w:type="dxa"/>
            </w:tcMar>
            <w:vAlign w:val="center"/>
          </w:tcPr>
          <w:p>
            <w:pPr>
              <w:jc w:val="center"/>
              <w:rPr>
                <w:rFonts w:ascii="宋体" w:hAnsi="宋体" w:eastAsiaTheme="minorEastAsia" w:cstheme="minorBidi"/>
                <w:color w:val="auto"/>
                <w:sz w:val="24"/>
                <w:highlight w:val="none"/>
              </w:rPr>
            </w:pPr>
            <w:r>
              <w:rPr>
                <w:rFonts w:hint="eastAsia" w:ascii="宋体" w:hAnsi="宋体" w:eastAsiaTheme="minorEastAsia" w:cstheme="minorBidi"/>
                <w:color w:val="auto"/>
                <w:sz w:val="24"/>
                <w:highlight w:val="none"/>
              </w:rPr>
              <w:t>1人</w:t>
            </w:r>
          </w:p>
        </w:tc>
        <w:tc>
          <w:tcPr>
            <w:tcW w:w="5319" w:type="dxa"/>
            <w:tcBorders>
              <w:top w:val="single" w:color="auto" w:sz="4" w:space="0"/>
              <w:left w:val="nil"/>
              <w:bottom w:val="single" w:color="auto" w:sz="12" w:space="0"/>
              <w:right w:val="single" w:color="auto" w:sz="12" w:space="0"/>
            </w:tcBorders>
            <w:tcMar>
              <w:top w:w="15" w:type="dxa"/>
              <w:left w:w="15" w:type="dxa"/>
              <w:bottom w:w="0" w:type="dxa"/>
              <w:right w:w="15" w:type="dxa"/>
            </w:tcMar>
            <w:vAlign w:val="center"/>
          </w:tcPr>
          <w:p>
            <w:pPr>
              <w:jc w:val="center"/>
              <w:rPr>
                <w:rFonts w:ascii="宋体" w:hAnsi="宋体" w:eastAsiaTheme="minorEastAsia" w:cstheme="minorBidi"/>
                <w:color w:val="auto"/>
                <w:sz w:val="24"/>
                <w:highlight w:val="none"/>
              </w:rPr>
            </w:pPr>
            <w:r>
              <w:rPr>
                <w:rFonts w:hint="eastAsia" w:ascii="宋体" w:hAnsi="宋体" w:eastAsiaTheme="minorEastAsia" w:cstheme="minorBidi"/>
                <w:color w:val="auto"/>
                <w:sz w:val="24"/>
                <w:highlight w:val="none"/>
              </w:rPr>
              <w:t>具有计量专业初级及以上职称。</w:t>
            </w:r>
          </w:p>
        </w:tc>
      </w:tr>
    </w:tbl>
    <w:p>
      <w:pPr>
        <w:pStyle w:val="18"/>
        <w:numPr>
          <w:ilvl w:val="0"/>
          <w:numId w:val="0"/>
        </w:numPr>
        <w:rPr>
          <w:rFonts w:hint="eastAsia" w:ascii="宋体" w:hAnsi="宋体" w:eastAsia="宋体" w:cs="宋体"/>
          <w:color w:val="auto"/>
          <w:sz w:val="24"/>
          <w:szCs w:val="24"/>
          <w:highlight w:val="none"/>
        </w:rPr>
        <w:sectPr>
          <w:pgSz w:w="11906" w:h="16838"/>
          <w:pgMar w:top="1440" w:right="1797" w:bottom="1440" w:left="1797" w:header="851" w:footer="992" w:gutter="0"/>
          <w:pgNumType w:fmt="decimal"/>
          <w:cols w:space="720" w:num="1"/>
          <w:docGrid w:type="lines" w:linePitch="312" w:charSpace="0"/>
        </w:sectPr>
      </w:pPr>
    </w:p>
    <w:bookmarkEnd w:id="7"/>
    <w:bookmarkEnd w:id="8"/>
    <w:bookmarkEnd w:id="9"/>
    <w:bookmarkEnd w:id="10"/>
    <w:p>
      <w:pPr>
        <w:pStyle w:val="3"/>
        <w:keepNext w:val="0"/>
        <w:spacing w:after="240"/>
        <w:jc w:val="center"/>
        <w:rPr>
          <w:rFonts w:ascii="黑体" w:hAnsi="黑体" w:eastAsia="黑体"/>
          <w:bCs w:val="0"/>
          <w:color w:val="auto"/>
          <w:sz w:val="32"/>
          <w:szCs w:val="32"/>
          <w:highlight w:val="none"/>
        </w:rPr>
      </w:pPr>
      <w:bookmarkStart w:id="11" w:name="_Toc20383"/>
      <w:bookmarkStart w:id="12" w:name="_Toc5145"/>
      <w:bookmarkStart w:id="13" w:name="_Toc8914"/>
      <w:bookmarkStart w:id="14" w:name="_Toc14891065"/>
      <w:bookmarkStart w:id="15" w:name="_Toc6753"/>
      <w:r>
        <w:rPr>
          <w:rFonts w:hint="eastAsia" w:ascii="宋体" w:hAnsi="宋体" w:cs="宋体"/>
          <w:bCs w:val="0"/>
          <w:color w:val="auto"/>
          <w:sz w:val="32"/>
          <w:szCs w:val="32"/>
          <w:highlight w:val="none"/>
        </w:rPr>
        <w:t>第二章 谈判须知</w:t>
      </w:r>
      <w:bookmarkEnd w:id="11"/>
      <w:bookmarkEnd w:id="12"/>
      <w:bookmarkEnd w:id="13"/>
      <w:bookmarkEnd w:id="14"/>
      <w:bookmarkEnd w:id="15"/>
    </w:p>
    <w:p>
      <w:pPr>
        <w:pStyle w:val="4"/>
        <w:keepNext w:val="0"/>
        <w:keepLines w:val="0"/>
        <w:jc w:val="center"/>
        <w:rPr>
          <w:rFonts w:ascii="宋体" w:hAnsi="宋体" w:cs="宋体"/>
          <w:color w:val="auto"/>
          <w:sz w:val="32"/>
          <w:highlight w:val="none"/>
        </w:rPr>
      </w:pPr>
      <w:bookmarkStart w:id="16" w:name="_Toc6989"/>
      <w:bookmarkStart w:id="17" w:name="_Toc14891066"/>
      <w:bookmarkStart w:id="18" w:name="_Toc6617"/>
      <w:bookmarkStart w:id="19" w:name="_Toc9591"/>
      <w:bookmarkStart w:id="20" w:name="_Toc5430"/>
      <w:r>
        <w:rPr>
          <w:rFonts w:hint="eastAsia" w:ascii="宋体" w:hAnsi="宋体" w:cs="宋体"/>
          <w:color w:val="auto"/>
          <w:sz w:val="32"/>
          <w:highlight w:val="none"/>
        </w:rPr>
        <w:t>谈判须知前附表</w:t>
      </w:r>
      <w:bookmarkEnd w:id="16"/>
      <w:bookmarkEnd w:id="17"/>
      <w:bookmarkEnd w:id="18"/>
      <w:bookmarkEnd w:id="19"/>
      <w:bookmarkEnd w:id="20"/>
    </w:p>
    <w:tbl>
      <w:tblPr>
        <w:tblStyle w:val="19"/>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98"/>
        <w:gridCol w:w="78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998"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名  称</w:t>
            </w:r>
          </w:p>
        </w:tc>
        <w:tc>
          <w:tcPr>
            <w:tcW w:w="7831"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998"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采购项目</w:t>
            </w:r>
          </w:p>
        </w:tc>
        <w:tc>
          <w:tcPr>
            <w:tcW w:w="7831"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长沙市轨道交通1、2、3、4、5号线运营期2020年-2021年计量器具委外检测服务项目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98"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采购单位</w:t>
            </w:r>
          </w:p>
        </w:tc>
        <w:tc>
          <w:tcPr>
            <w:tcW w:w="7831"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长沙市轨道交通运营有限公司</w:t>
            </w:r>
          </w:p>
          <w:p>
            <w:pPr>
              <w:adjustRightInd w:val="0"/>
              <w:snapToGrid w:val="0"/>
              <w:spacing w:line="360" w:lineRule="auto"/>
              <w:jc w:val="left"/>
              <w:rPr>
                <w:rFonts w:ascii="宋体" w:hAnsi="宋体" w:cs="宋体"/>
                <w:iCs/>
                <w:color w:val="auto"/>
                <w:szCs w:val="21"/>
                <w:highlight w:val="none"/>
              </w:rPr>
            </w:pPr>
            <w:r>
              <w:rPr>
                <w:rFonts w:hint="eastAsia" w:ascii="宋体" w:hAnsi="宋体" w:cs="宋体"/>
                <w:iCs/>
                <w:color w:val="auto"/>
                <w:szCs w:val="21"/>
                <w:highlight w:val="none"/>
              </w:rPr>
              <w:t>长沙市轨道交通一号线建设发展有限公司</w:t>
            </w:r>
          </w:p>
          <w:p>
            <w:pPr>
              <w:adjustRightInd w:val="0"/>
              <w:snapToGrid w:val="0"/>
              <w:spacing w:line="360" w:lineRule="auto"/>
              <w:jc w:val="left"/>
              <w:rPr>
                <w:rFonts w:ascii="宋体" w:hAnsi="宋体" w:cs="宋体"/>
                <w:iCs/>
                <w:color w:val="auto"/>
                <w:szCs w:val="21"/>
                <w:highlight w:val="none"/>
              </w:rPr>
            </w:pPr>
            <w:r>
              <w:rPr>
                <w:rFonts w:hint="eastAsia" w:ascii="宋体" w:hAnsi="宋体" w:cs="宋体"/>
                <w:iCs/>
                <w:color w:val="auto"/>
                <w:szCs w:val="21"/>
                <w:highlight w:val="none"/>
              </w:rPr>
              <w:t>长沙市轨道交通三号线建设发展有限公司</w:t>
            </w:r>
          </w:p>
          <w:p>
            <w:pPr>
              <w:adjustRightInd w:val="0"/>
              <w:snapToGrid w:val="0"/>
              <w:spacing w:line="360" w:lineRule="auto"/>
              <w:jc w:val="left"/>
              <w:rPr>
                <w:rFonts w:ascii="宋体" w:hAnsi="宋体" w:cs="宋体"/>
                <w:iCs/>
                <w:color w:val="auto"/>
                <w:szCs w:val="21"/>
                <w:highlight w:val="none"/>
              </w:rPr>
            </w:pPr>
            <w:r>
              <w:rPr>
                <w:rFonts w:hint="eastAsia" w:ascii="宋体" w:hAnsi="宋体" w:cs="宋体"/>
                <w:iCs/>
                <w:color w:val="auto"/>
                <w:szCs w:val="21"/>
                <w:highlight w:val="none"/>
              </w:rPr>
              <w:t>长沙市轨道交通四号线建设发展有限公司</w:t>
            </w:r>
          </w:p>
          <w:p>
            <w:pPr>
              <w:adjustRightInd w:val="0"/>
              <w:snapToGrid w:val="0"/>
              <w:spacing w:line="360" w:lineRule="auto"/>
              <w:jc w:val="left"/>
              <w:rPr>
                <w:rFonts w:ascii="宋体" w:hAnsi="宋体" w:cs="宋体"/>
                <w:iCs/>
                <w:color w:val="auto"/>
                <w:szCs w:val="21"/>
                <w:highlight w:val="none"/>
              </w:rPr>
            </w:pPr>
            <w:r>
              <w:rPr>
                <w:rFonts w:hint="eastAsia" w:ascii="宋体" w:hAnsi="宋体" w:cs="宋体"/>
                <w:iCs/>
                <w:color w:val="auto"/>
                <w:szCs w:val="21"/>
                <w:highlight w:val="none"/>
              </w:rPr>
              <w:t>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98"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采购代理机构</w:t>
            </w:r>
          </w:p>
        </w:tc>
        <w:tc>
          <w:tcPr>
            <w:tcW w:w="7831" w:type="dxa"/>
            <w:vAlign w:val="center"/>
          </w:tcPr>
          <w:p>
            <w:pPr>
              <w:adjustRightInd w:val="0"/>
              <w:snapToGrid w:val="0"/>
              <w:spacing w:line="360" w:lineRule="auto"/>
              <w:jc w:val="left"/>
              <w:rPr>
                <w:rFonts w:ascii="宋体" w:hAnsi="宋体" w:cs="宋体"/>
                <w:iCs/>
                <w:color w:val="auto"/>
                <w:szCs w:val="21"/>
                <w:highlight w:val="none"/>
              </w:rPr>
            </w:pPr>
            <w:r>
              <w:rPr>
                <w:rFonts w:hint="eastAsia" w:ascii="宋体" w:hAnsi="宋体" w:cs="宋体"/>
                <w:iCs/>
                <w:color w:val="auto"/>
                <w:szCs w:val="21"/>
                <w:highlight w:val="none"/>
              </w:rPr>
              <w:t>华春建设工程项目管理有限责任公司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998"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最高投标限价</w:t>
            </w:r>
          </w:p>
        </w:tc>
        <w:tc>
          <w:tcPr>
            <w:tcW w:w="7831" w:type="dxa"/>
            <w:vAlign w:val="center"/>
          </w:tcPr>
          <w:p>
            <w:pPr>
              <w:adjustRightInd w:val="0"/>
              <w:snapToGrid w:val="0"/>
              <w:spacing w:line="360" w:lineRule="auto"/>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673412.00元，(具体内容详见本项目谈判文件附件《长沙市轨道交通1、2、3、4、5号线运营期2020年-2021年计量器具委外检测服务项目最高投标限价》)。</w:t>
            </w:r>
          </w:p>
          <w:p>
            <w:pPr>
              <w:adjustRightInd w:val="0"/>
              <w:snapToGrid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谈判报价综合单价、总价均不能高于采购单位公布的最高投标限价，不超过最高投标限价的谈判报价综合单价、总价方为有效报价。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98"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评审办法</w:t>
            </w:r>
          </w:p>
        </w:tc>
        <w:tc>
          <w:tcPr>
            <w:tcW w:w="7831" w:type="dxa"/>
            <w:vAlign w:val="center"/>
          </w:tcPr>
          <w:p>
            <w:pPr>
              <w:adjustRightInd w:val="0"/>
              <w:snapToGrid w:val="0"/>
              <w:spacing w:line="360" w:lineRule="auto"/>
              <w:jc w:val="left"/>
              <w:rPr>
                <w:rFonts w:ascii="宋体" w:hAnsi="宋体" w:cs="宋体"/>
                <w:iCs/>
                <w:color w:val="auto"/>
                <w:szCs w:val="21"/>
                <w:highlight w:val="none"/>
              </w:rPr>
            </w:pPr>
            <w:r>
              <w:rPr>
                <w:rFonts w:hint="eastAsia" w:ascii="宋体" w:hAnsi="宋体" w:cs="宋体"/>
                <w:bCs/>
                <w:color w:val="auto"/>
                <w:szCs w:val="21"/>
                <w:highlight w:val="none"/>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998"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资格要求</w:t>
            </w:r>
          </w:p>
        </w:tc>
        <w:tc>
          <w:tcPr>
            <w:tcW w:w="7831" w:type="dxa"/>
            <w:vAlign w:val="center"/>
          </w:tcPr>
          <w:p>
            <w:pPr>
              <w:keepNext w:val="0"/>
              <w:keepLines w:val="0"/>
              <w:pageBreakBefore w:val="0"/>
              <w:kinsoku/>
              <w:wordWrap/>
              <w:overflowPunct/>
              <w:topLinePunct w:val="0"/>
              <w:autoSpaceDE/>
              <w:autoSpaceDN/>
              <w:bidi w:val="0"/>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1.谈判单位须为具有独立法人资格、自主经营、独立核算的公司</w:t>
            </w:r>
            <w:r>
              <w:rPr>
                <w:rFonts w:hint="eastAsia" w:ascii="宋体" w:hAnsi="宋体" w:cs="宋体"/>
                <w:color w:val="auto"/>
                <w:szCs w:val="21"/>
                <w:highlight w:val="none"/>
                <w:lang w:eastAsia="zh-CN"/>
              </w:rPr>
              <w:t>或</w:t>
            </w:r>
            <w:r>
              <w:rPr>
                <w:rFonts w:hint="eastAsia" w:ascii="宋体" w:hAnsi="宋体" w:cs="宋体"/>
                <w:color w:val="auto"/>
                <w:szCs w:val="21"/>
                <w:highlight w:val="none"/>
              </w:rPr>
              <w:t>单位，须提供加盖谈判单位公章的营业执照</w:t>
            </w:r>
            <w:r>
              <w:rPr>
                <w:rFonts w:hint="eastAsia" w:ascii="宋体" w:hAnsi="宋体" w:cs="宋体"/>
                <w:color w:val="auto"/>
                <w:szCs w:val="21"/>
                <w:highlight w:val="none"/>
                <w:lang w:eastAsia="zh-CN"/>
              </w:rPr>
              <w:t>或</w:t>
            </w:r>
            <w:r>
              <w:rPr>
                <w:rFonts w:hint="eastAsia" w:ascii="宋体" w:hAnsi="宋体" w:cs="宋体"/>
                <w:color w:val="auto"/>
                <w:szCs w:val="21"/>
                <w:highlight w:val="none"/>
              </w:rPr>
              <w:t>事业单位法人证书复印件。</w:t>
            </w:r>
          </w:p>
          <w:p>
            <w:pPr>
              <w:keepNext w:val="0"/>
              <w:keepLines w:val="0"/>
              <w:pageBreakBefore w:val="0"/>
              <w:kinsoku/>
              <w:wordWrap/>
              <w:overflowPunct/>
              <w:topLinePunct w:val="0"/>
              <w:autoSpaceDE/>
              <w:autoSpaceDN/>
              <w:bidi w:val="0"/>
              <w:spacing w:line="360" w:lineRule="auto"/>
              <w:jc w:val="left"/>
              <w:textAlignment w:val="auto"/>
              <w:rPr>
                <w:rFonts w:hint="eastAsia"/>
                <w:color w:val="auto"/>
                <w:highlight w:val="none"/>
              </w:rPr>
            </w:pPr>
            <w:r>
              <w:rPr>
                <w:rFonts w:hint="eastAsia" w:ascii="宋体" w:hAnsi="宋体" w:cs="宋体"/>
                <w:color w:val="auto"/>
                <w:szCs w:val="21"/>
                <w:highlight w:val="none"/>
              </w:rPr>
              <w:t>2.</w:t>
            </w:r>
            <w:r>
              <w:rPr>
                <w:rFonts w:hint="eastAsia" w:cs="宋体" w:asciiTheme="minorEastAsia" w:hAnsiTheme="minorEastAsia"/>
                <w:bCs/>
                <w:color w:val="auto"/>
                <w:szCs w:val="21"/>
                <w:highlight w:val="none"/>
              </w:rPr>
              <w:t>谈判单位须具有中国合格评定国家认可委员会颁发的检测或校准实验室认可资质（CNAS资质），且提供CNAS认可证书及检测范围附件</w:t>
            </w:r>
            <w:r>
              <w:rPr>
                <w:rFonts w:hint="eastAsia"/>
                <w:color w:val="auto"/>
                <w:highlight w:val="none"/>
              </w:rPr>
              <w:t>原件。</w:t>
            </w:r>
          </w:p>
          <w:p>
            <w:pPr>
              <w:keepNext w:val="0"/>
              <w:keepLines w:val="0"/>
              <w:pageBreakBefore w:val="0"/>
              <w:kinsoku/>
              <w:wordWrap/>
              <w:overflowPunct/>
              <w:topLinePunct w:val="0"/>
              <w:autoSpaceDE/>
              <w:autoSpaceDN/>
              <w:bidi w:val="0"/>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谈判单位所提供的资质证书及相关附件，所载明的检测范围须涵盖本项目检测清单总项数的50%（不含）以上，具体详见附表1</w:t>
            </w:r>
            <w:r>
              <w:rPr>
                <w:rFonts w:hint="eastAsia" w:ascii="宋体" w:hAnsi="宋体" w:cs="宋体"/>
                <w:color w:val="auto"/>
                <w:szCs w:val="21"/>
                <w:highlight w:val="none"/>
                <w:lang w:eastAsia="zh-CN"/>
              </w:rPr>
              <w:t>《</w:t>
            </w:r>
            <w:r>
              <w:rPr>
                <w:rFonts w:hint="eastAsia" w:ascii="宋体" w:hAnsi="宋体" w:cs="宋体"/>
                <w:color w:val="auto"/>
                <w:szCs w:val="21"/>
                <w:highlight w:val="none"/>
              </w:rPr>
              <w:t>1、2、3、4、5号线2020年-2021年计量器具委外检测清单评审表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keepNext w:val="0"/>
              <w:keepLines w:val="0"/>
              <w:pageBreakBefore w:val="0"/>
              <w:kinsoku/>
              <w:wordWrap/>
              <w:overflowPunct/>
              <w:topLinePunct w:val="0"/>
              <w:autoSpaceDE/>
              <w:autoSpaceDN/>
              <w:bidi w:val="0"/>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3.谈判单位在本项目谈判截止之日前36个月内单项合同金额不少于30万元的计量器具检测服务业绩。不接受联合体业绩、港澳台或境外业绩。</w:t>
            </w:r>
          </w:p>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eastAsiaTheme="minorEastAsia"/>
                <w:color w:val="auto"/>
                <w:szCs w:val="21"/>
                <w:highlight w:val="none"/>
              </w:rPr>
            </w:pPr>
            <w:r>
              <w:rPr>
                <w:rFonts w:hint="eastAsia" w:ascii="宋体" w:hAnsi="宋体" w:cs="宋体"/>
                <w:color w:val="auto"/>
                <w:szCs w:val="21"/>
                <w:highlight w:val="none"/>
              </w:rPr>
              <w:t>业绩证明材料以同时提供的合同复印件和发票（开票金额不少于合同金额的10%）复印件（均须加盖谈判单位公章）为准，业绩金额以合同中金额为准，时间以合同中甲方签字时间为准</w:t>
            </w:r>
            <w:r>
              <w:rPr>
                <w:rFonts w:hint="eastAsia" w:ascii="宋体" w:hAnsi="宋体" w:cs="宋体" w:eastAsiaTheme="minorEastAsia"/>
                <w:color w:val="auto"/>
                <w:szCs w:val="21"/>
                <w:highlight w:val="none"/>
              </w:rPr>
              <w:t>。</w:t>
            </w:r>
          </w:p>
          <w:p>
            <w:pPr>
              <w:pStyle w:val="18"/>
              <w:keepNext w:val="0"/>
              <w:keepLines w:val="0"/>
              <w:pageBreakBefore w:val="0"/>
              <w:kinsoku/>
              <w:wordWrap/>
              <w:overflowPunct/>
              <w:topLinePunct w:val="0"/>
              <w:autoSpaceDE/>
              <w:autoSpaceDN/>
              <w:bidi w:val="0"/>
              <w:spacing w:line="360" w:lineRule="auto"/>
              <w:ind w:left="0" w:leftChars="0"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谈判单位</w:t>
            </w:r>
            <w:r>
              <w:rPr>
                <w:rFonts w:hint="eastAsia" w:ascii="宋体" w:hAnsi="宋体" w:cs="宋体"/>
                <w:color w:val="auto"/>
                <w:szCs w:val="21"/>
                <w:highlight w:val="none"/>
              </w:rPr>
              <w:t>拟投入本项目的项目服务人员须满足最低配备要求，详见</w:t>
            </w:r>
            <w:r>
              <w:rPr>
                <w:rFonts w:hint="eastAsia" w:ascii="宋体" w:hAnsi="宋体" w:cs="宋体"/>
                <w:color w:val="auto"/>
                <w:szCs w:val="21"/>
                <w:highlight w:val="none"/>
                <w:lang w:eastAsia="zh-CN"/>
              </w:rPr>
              <w:t>谈判邀请</w:t>
            </w:r>
            <w:r>
              <w:rPr>
                <w:rFonts w:hint="eastAsia" w:ascii="宋体" w:hAnsi="宋体" w:cs="宋体"/>
                <w:color w:val="auto"/>
                <w:szCs w:val="21"/>
                <w:highlight w:val="none"/>
              </w:rPr>
              <w:t>公告附表2《项目人员最低配备要求表》。</w:t>
            </w:r>
          </w:p>
          <w:p>
            <w:pPr>
              <w:keepNext w:val="0"/>
              <w:keepLines w:val="0"/>
              <w:pageBreakBefore w:val="0"/>
              <w:widowControl/>
              <w:kinsoku/>
              <w:wordWrap/>
              <w:overflowPunct/>
              <w:topLinePunct w:val="0"/>
              <w:autoSpaceDE/>
              <w:autoSpaceDN/>
              <w:bidi w:val="0"/>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5.本次谈判不接受联合体形式参与谈判。</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998"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谈判答疑文件递交截止时间</w:t>
            </w:r>
          </w:p>
        </w:tc>
        <w:tc>
          <w:tcPr>
            <w:tcW w:w="7831" w:type="dxa"/>
            <w:vAlign w:val="center"/>
          </w:tcPr>
          <w:p>
            <w:pPr>
              <w:pStyle w:val="10"/>
              <w:adjustRightInd w:val="0"/>
              <w:snapToGrid w:val="0"/>
              <w:spacing w:line="360" w:lineRule="auto"/>
              <w:rPr>
                <w:rFonts w:hAnsi="宋体" w:cs="宋体"/>
                <w:color w:val="auto"/>
                <w:highlight w:val="none"/>
              </w:rPr>
            </w:pPr>
            <w:r>
              <w:rPr>
                <w:rFonts w:hint="eastAsia" w:hAnsi="宋体" w:cs="宋体"/>
                <w:color w:val="auto"/>
                <w:highlight w:val="none"/>
              </w:rPr>
              <w:t>2020年</w:t>
            </w:r>
            <w:r>
              <w:rPr>
                <w:rFonts w:hint="eastAsia" w:hAnsi="宋体" w:cs="宋体"/>
                <w:color w:val="auto"/>
                <w:highlight w:val="none"/>
                <w:lang w:val="en-US" w:eastAsia="zh-CN"/>
              </w:rPr>
              <w:t>6</w:t>
            </w:r>
            <w:r>
              <w:rPr>
                <w:rFonts w:hint="eastAsia" w:hAnsi="宋体" w:cs="宋体"/>
                <w:color w:val="auto"/>
                <w:highlight w:val="none"/>
              </w:rPr>
              <w:t xml:space="preserve"> 月 </w:t>
            </w:r>
            <w:r>
              <w:rPr>
                <w:rFonts w:hint="eastAsia" w:hAnsi="宋体" w:cs="宋体"/>
                <w:color w:val="auto"/>
                <w:highlight w:val="none"/>
                <w:lang w:val="en-US" w:eastAsia="zh-CN"/>
              </w:rPr>
              <w:t>11</w:t>
            </w:r>
            <w:r>
              <w:rPr>
                <w:rFonts w:hint="eastAsia" w:hAnsi="宋体" w:cs="宋体"/>
                <w:color w:val="auto"/>
                <w:highlight w:val="none"/>
              </w:rPr>
              <w:t xml:space="preserve"> 日 17 时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998"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谈判答疑文件递交方式及地点</w:t>
            </w:r>
          </w:p>
        </w:tc>
        <w:tc>
          <w:tcPr>
            <w:tcW w:w="7831" w:type="dxa"/>
            <w:vAlign w:val="center"/>
          </w:tcPr>
          <w:p>
            <w:pPr>
              <w:pStyle w:val="10"/>
              <w:adjustRightInd w:val="0"/>
              <w:snapToGrid w:val="0"/>
              <w:spacing w:line="360" w:lineRule="auto"/>
              <w:rPr>
                <w:rFonts w:hAnsi="宋体" w:cs="宋体"/>
                <w:iCs/>
                <w:color w:val="auto"/>
                <w:highlight w:val="none"/>
              </w:rPr>
            </w:pPr>
            <w:r>
              <w:rPr>
                <w:rFonts w:hint="eastAsia" w:hAnsi="宋体" w:cs="宋体"/>
                <w:color w:val="auto"/>
                <w:highlight w:val="none"/>
              </w:rPr>
              <w:t>谈判答疑文件应以书面形式递交至</w:t>
            </w:r>
            <w:r>
              <w:rPr>
                <w:rFonts w:hint="eastAsia" w:cs="宋体" w:asciiTheme="minorEastAsia" w:hAnsiTheme="minorEastAsia" w:eastAsiaTheme="minorEastAsia"/>
                <w:color w:val="auto"/>
                <w:highlight w:val="none"/>
              </w:rPr>
              <w:t>华春建设工程项目管理有限责任公司（长沙市天心区芙蓉中路二段144号城市之心14楼1422室）</w:t>
            </w:r>
            <w:r>
              <w:rPr>
                <w:rFonts w:hint="eastAsia" w:hAnsi="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998"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响应文件的递交截止及谈判时间</w:t>
            </w:r>
          </w:p>
        </w:tc>
        <w:tc>
          <w:tcPr>
            <w:tcW w:w="7831"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2020年 </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月 </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 xml:space="preserve"> 日 14 时 30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98"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响应文件的递交及谈判地点</w:t>
            </w:r>
          </w:p>
        </w:tc>
        <w:tc>
          <w:tcPr>
            <w:tcW w:w="7831"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bCs/>
                <w:color w:val="auto"/>
                <w:szCs w:val="21"/>
                <w:highlight w:val="none"/>
              </w:rPr>
              <w:t>长沙市</w:t>
            </w:r>
            <w:r>
              <w:rPr>
                <w:rFonts w:hint="eastAsia" w:ascii="宋体" w:hAnsi="宋体" w:cs="宋体"/>
                <w:iCs/>
                <w:color w:val="auto"/>
                <w:szCs w:val="21"/>
                <w:highlight w:val="none"/>
              </w:rPr>
              <w:t>劳动东路二段48号</w:t>
            </w:r>
            <w:r>
              <w:rPr>
                <w:rFonts w:hint="eastAsia" w:ascii="宋体" w:hAnsi="宋体" w:cs="宋体"/>
                <w:color w:val="auto"/>
                <w:szCs w:val="21"/>
                <w:highlight w:val="none"/>
              </w:rPr>
              <w:t>长沙市轨道交通运营有限公司</w:t>
            </w:r>
            <w:r>
              <w:rPr>
                <w:rFonts w:hint="eastAsia" w:ascii="宋体" w:hAnsi="宋体" w:cs="宋体"/>
                <w:iCs/>
                <w:color w:val="auto"/>
                <w:szCs w:val="21"/>
                <w:highlight w:val="none"/>
              </w:rPr>
              <w:t>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98"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谈判现场验证须提交的资料</w:t>
            </w:r>
          </w:p>
        </w:tc>
        <w:tc>
          <w:tcPr>
            <w:tcW w:w="7831"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iCs/>
                <w:color w:val="auto"/>
                <w:szCs w:val="21"/>
                <w:highlight w:val="none"/>
              </w:rPr>
              <w:t>1.谈判单位代表是谈判单位法定代表人参加的，法定代表人须提供法定代表人身份证明书原件</w:t>
            </w:r>
            <w:r>
              <w:rPr>
                <w:rFonts w:hint="eastAsia" w:ascii="宋体" w:hAnsi="宋体" w:cs="宋体"/>
                <w:b/>
                <w:bCs/>
                <w:iCs/>
                <w:color w:val="auto"/>
                <w:szCs w:val="21"/>
                <w:highlight w:val="none"/>
              </w:rPr>
              <w:t>（格式详见本文件第六章）</w:t>
            </w:r>
            <w:r>
              <w:rPr>
                <w:rFonts w:hint="eastAsia" w:ascii="宋体" w:hAnsi="宋体" w:cs="宋体"/>
                <w:color w:val="auto"/>
                <w:szCs w:val="21"/>
                <w:highlight w:val="none"/>
              </w:rPr>
              <w:t>及本人身份证原件。</w:t>
            </w:r>
          </w:p>
          <w:p>
            <w:pPr>
              <w:adjustRightInd w:val="0"/>
              <w:snapToGrid w:val="0"/>
              <w:spacing w:line="360" w:lineRule="auto"/>
              <w:jc w:val="left"/>
              <w:rPr>
                <w:rFonts w:ascii="宋体" w:hAnsi="宋体" w:cs="宋体"/>
                <w:iCs/>
                <w:color w:val="auto"/>
                <w:szCs w:val="21"/>
                <w:highlight w:val="none"/>
              </w:rPr>
            </w:pPr>
            <w:r>
              <w:rPr>
                <w:rFonts w:hint="eastAsia" w:ascii="宋体" w:hAnsi="宋体" w:cs="宋体"/>
                <w:color w:val="auto"/>
                <w:szCs w:val="21"/>
                <w:highlight w:val="none"/>
              </w:rPr>
              <w:t>2.谈判单位代表是由谈判单位法定代表人授权的委托代理人参加的，其授权委托代理人须提供授权委托书原件</w:t>
            </w:r>
            <w:r>
              <w:rPr>
                <w:rFonts w:hint="eastAsia" w:ascii="宋体" w:hAnsi="宋体" w:cs="宋体"/>
                <w:b/>
                <w:color w:val="auto"/>
                <w:szCs w:val="21"/>
                <w:highlight w:val="none"/>
              </w:rPr>
              <w:t>（格式详见本文件</w:t>
            </w:r>
            <w:r>
              <w:rPr>
                <w:rFonts w:hint="eastAsia" w:ascii="宋体" w:hAnsi="宋体" w:cs="宋体"/>
                <w:b/>
                <w:bCs/>
                <w:iCs/>
                <w:color w:val="auto"/>
                <w:szCs w:val="21"/>
                <w:highlight w:val="none"/>
              </w:rPr>
              <w:t>第六章</w:t>
            </w:r>
            <w:r>
              <w:rPr>
                <w:rFonts w:hint="eastAsia" w:ascii="宋体" w:hAnsi="宋体" w:cs="宋体"/>
                <w:b/>
                <w:color w:val="auto"/>
                <w:szCs w:val="21"/>
                <w:highlight w:val="none"/>
              </w:rPr>
              <w:t>）</w:t>
            </w:r>
            <w:r>
              <w:rPr>
                <w:rFonts w:hint="eastAsia" w:ascii="宋体" w:hAnsi="宋体" w:cs="宋体"/>
                <w:color w:val="auto"/>
                <w:szCs w:val="21"/>
                <w:highlight w:val="none"/>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998"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响应文件有效期</w:t>
            </w:r>
          </w:p>
        </w:tc>
        <w:tc>
          <w:tcPr>
            <w:tcW w:w="7831"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98"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响应文件份数</w:t>
            </w:r>
          </w:p>
        </w:tc>
        <w:tc>
          <w:tcPr>
            <w:tcW w:w="7831"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响应文件纸质文件一式三份（其中正本一份，副本两份），电子文件（U盘或光盘）一份。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998"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价格承包内容</w:t>
            </w:r>
          </w:p>
        </w:tc>
        <w:tc>
          <w:tcPr>
            <w:tcW w:w="7831" w:type="dxa"/>
            <w:vAlign w:val="center"/>
          </w:tcPr>
          <w:p>
            <w:pPr>
              <w:adjustRightInd w:val="0"/>
              <w:snapToGrid w:val="0"/>
              <w:spacing w:line="360" w:lineRule="auto"/>
              <w:rPr>
                <w:rFonts w:hint="eastAsia"/>
                <w:color w:val="auto"/>
                <w:highlight w:val="none"/>
              </w:rPr>
            </w:pPr>
            <w:r>
              <w:rPr>
                <w:rFonts w:hint="eastAsia"/>
                <w:color w:val="auto"/>
                <w:highlight w:val="none"/>
              </w:rPr>
              <w:t>单价合同（除税率调整外，合同单价（即中标单价/中选单价/成交单价）在合同执行过程中固定不变，不随政府政策（长沙市规定的最低工资标准变化等）及市场物价上涨或回落等因素调整）</w:t>
            </w:r>
            <w:r>
              <w:rPr>
                <w:rFonts w:hint="eastAsia"/>
                <w:color w:val="auto"/>
                <w:highlight w:val="none"/>
                <w:lang w:eastAsia="zh-CN"/>
              </w:rPr>
              <w:t>。</w:t>
            </w:r>
            <w:r>
              <w:rPr>
                <w:rFonts w:hint="eastAsia"/>
                <w:color w:val="auto"/>
                <w:highlight w:val="none"/>
              </w:rPr>
              <w:t>项目检测清单中各项计量器具数量为暂估数量，具体以项目执行期间乙方实际检测的数量为准。双方以实际检测的数量进行结算并确定合同价格。双方确认，合同价格不得超过签约合同价。</w:t>
            </w:r>
          </w:p>
          <w:p>
            <w:pPr>
              <w:adjustRightInd w:val="0"/>
              <w:snapToGrid w:val="0"/>
              <w:spacing w:line="360" w:lineRule="auto"/>
              <w:rPr>
                <w:color w:val="auto"/>
                <w:highlight w:val="none"/>
              </w:rPr>
            </w:pPr>
            <w:r>
              <w:rPr>
                <w:rFonts w:hint="eastAsia"/>
                <w:color w:val="auto"/>
                <w:highlight w:val="none"/>
              </w:rPr>
              <w:t>本项目的合同价格最终以□长沙市人民政府相关职能部门或长沙市轨道交通集团有限公司授权的单位审定价款为准/</w:t>
            </w:r>
            <w:r>
              <w:rPr>
                <w:rFonts w:hint="eastAsia"/>
                <w:color w:val="auto"/>
                <w:highlight w:val="none"/>
                <w:lang w:eastAsia="zh-CN"/>
              </w:rPr>
              <w:t>☑</w:t>
            </w:r>
            <w:r>
              <w:rPr>
                <w:rFonts w:hint="eastAsia"/>
                <w:color w:val="auto"/>
                <w:highlight w:val="none"/>
              </w:rPr>
              <w:t>项目履约验收确定价款为准。合同价格包括乙方按合同约定进行检测所产生的成本、费用、税金、利润、保险、专利、风险。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998"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项目支付方式</w:t>
            </w:r>
          </w:p>
        </w:tc>
        <w:tc>
          <w:tcPr>
            <w:tcW w:w="7831" w:type="dxa"/>
            <w:vAlign w:val="center"/>
          </w:tcPr>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进度款支付：进度款按□年度</w:t>
            </w:r>
            <w:r>
              <w:rPr>
                <w:rFonts w:hint="eastAsia" w:ascii="宋体" w:hAnsi="宋体" w:cs="宋体"/>
                <w:color w:val="auto"/>
                <w:szCs w:val="21"/>
                <w:highlight w:val="none"/>
                <w:lang w:eastAsia="zh-CN"/>
              </w:rPr>
              <w:t>☑</w:t>
            </w:r>
            <w:r>
              <w:rPr>
                <w:rFonts w:hint="eastAsia" w:ascii="宋体" w:hAnsi="宋体" w:cs="宋体"/>
                <w:color w:val="auto"/>
                <w:szCs w:val="21"/>
                <w:highlight w:val="none"/>
              </w:rPr>
              <w:t>半年□季度□月支付，每个付款周期的支付额度为计量金额（即本次付款周期内完成的合格工作量*合同单价）并综合考核结果后金额的</w:t>
            </w: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乙方按合同约定完成全部工作，且□合同价格经长沙市人民政府相关职能部门或长沙市轨道交通集团有限公司授权的单位审定/</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项目履约验收合格，支付</w:t>
            </w:r>
            <w:r>
              <w:rPr>
                <w:rFonts w:hint="eastAsia" w:ascii="宋体" w:hAnsi="宋体" w:cs="宋体"/>
                <w:color w:val="auto"/>
                <w:szCs w:val="21"/>
                <w:highlight w:val="none"/>
                <w:lang w:eastAsia="zh-CN"/>
              </w:rPr>
              <w:t>最后一个付款周期的合同金额</w:t>
            </w:r>
            <w:r>
              <w:rPr>
                <w:rFonts w:hint="eastAsia" w:ascii="宋体" w:hAnsi="宋体" w:cs="宋体"/>
                <w:color w:val="auto"/>
                <w:szCs w:val="21"/>
                <w:highlight w:val="none"/>
              </w:rPr>
              <w:t>。</w:t>
            </w:r>
          </w:p>
          <w:p>
            <w:pPr>
              <w:adjustRightInd w:val="0"/>
              <w:snapToGrid w:val="0"/>
              <w:spacing w:line="360" w:lineRule="auto"/>
              <w:rPr>
                <w:rFonts w:ascii="宋体" w:hAnsi="宋体" w:cs="宋体"/>
                <w:bCs/>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上述款项在甲方收到乙方的经甲方审批同意支付申请及增值税专用发票、有效期内的履约担保复印件等相关资料后28个工作日内支付。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98"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信息发布</w:t>
            </w:r>
          </w:p>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指定媒体</w:t>
            </w:r>
          </w:p>
        </w:tc>
        <w:tc>
          <w:tcPr>
            <w:tcW w:w="7831" w:type="dxa"/>
            <w:vAlign w:val="center"/>
          </w:tcPr>
          <w:p>
            <w:pPr>
              <w:adjustRightInd w:val="0"/>
              <w:snapToGrid w:val="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长沙市轨道交通集团有限公司</w:t>
            </w:r>
            <w:r>
              <w:rPr>
                <w:rFonts w:hint="eastAsia" w:ascii="宋体" w:hAnsi="宋体" w:cs="宋体"/>
                <w:color w:val="auto"/>
                <w:szCs w:val="21"/>
                <w:highlight w:val="none"/>
                <w:lang w:val="en-US" w:eastAsia="zh-CN"/>
              </w:rPr>
              <w:fldChar w:fldCharType="begin"/>
            </w:r>
            <w:r>
              <w:rPr>
                <w:rFonts w:hint="eastAsia" w:ascii="宋体" w:hAnsi="宋体" w:cs="宋体"/>
                <w:color w:val="auto"/>
                <w:szCs w:val="21"/>
                <w:highlight w:val="none"/>
                <w:lang w:val="en-US" w:eastAsia="zh-CN"/>
              </w:rPr>
              <w:instrText xml:space="preserve"> HYPERLINK "http://www.hncsmtr.com/" </w:instrText>
            </w:r>
            <w:r>
              <w:rPr>
                <w:rFonts w:hint="eastAsia" w:ascii="宋体" w:hAnsi="宋体" w:cs="宋体"/>
                <w:color w:val="auto"/>
                <w:szCs w:val="21"/>
                <w:highlight w:val="none"/>
                <w:lang w:val="en-US" w:eastAsia="zh-CN"/>
              </w:rPr>
              <w:fldChar w:fldCharType="separate"/>
            </w:r>
            <w:r>
              <w:rPr>
                <w:rFonts w:hint="eastAsia" w:ascii="宋体" w:hAnsi="宋体" w:cs="宋体"/>
                <w:color w:val="auto"/>
                <w:szCs w:val="21"/>
                <w:highlight w:val="none"/>
                <w:lang w:val="en-US" w:eastAsia="zh-CN"/>
              </w:rPr>
              <w:t>http://www.hncsmtr.com/</w:t>
            </w:r>
            <w:r>
              <w:rPr>
                <w:rFonts w:hint="eastAsia" w:ascii="宋体" w:hAnsi="宋体" w:cs="宋体"/>
                <w:color w:val="auto"/>
                <w:szCs w:val="21"/>
                <w:highlight w:val="none"/>
                <w:lang w:val="en-US" w:eastAsia="zh-CN"/>
              </w:rPr>
              <w:fldChar w:fldCharType="end"/>
            </w:r>
          </w:p>
          <w:p>
            <w:pPr>
              <w:adjustRightInd w:val="0"/>
              <w:snapToGrid w:val="0"/>
              <w:spacing w:line="360" w:lineRule="auto"/>
              <w:rPr>
                <w:color w:val="auto"/>
                <w:highlight w:val="none"/>
              </w:rPr>
            </w:pPr>
            <w:r>
              <w:rPr>
                <w:rFonts w:hint="eastAsia" w:ascii="宋体" w:hAnsi="宋体" w:cs="宋体"/>
                <w:color w:val="auto"/>
                <w:szCs w:val="21"/>
                <w:highlight w:val="none"/>
                <w:lang w:val="en-US" w:eastAsia="zh-CN"/>
              </w:rPr>
              <w:t>中国采购与招标网http://www.chinabidding.com.cn/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98"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采购代理服务费</w:t>
            </w:r>
          </w:p>
        </w:tc>
        <w:tc>
          <w:tcPr>
            <w:tcW w:w="7831"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bl>
    <w:p>
      <w:pPr>
        <w:widowControl/>
        <w:jc w:val="center"/>
        <w:rPr>
          <w:rFonts w:ascii="宋体" w:hAnsi="宋体" w:cs="宋体"/>
          <w:b/>
          <w:bCs/>
          <w:color w:val="auto"/>
          <w:kern w:val="0"/>
          <w:sz w:val="32"/>
          <w:szCs w:val="32"/>
          <w:highlight w:val="none"/>
        </w:rPr>
      </w:pPr>
      <w:bookmarkStart w:id="21" w:name="_Toc14891067"/>
      <w:r>
        <w:rPr>
          <w:color w:val="auto"/>
          <w:highlight w:val="none"/>
        </w:rPr>
        <w:br w:type="page"/>
      </w:r>
      <w:bookmarkStart w:id="22" w:name="_Toc30640"/>
      <w:bookmarkStart w:id="23" w:name="_Toc26157"/>
      <w:bookmarkStart w:id="24" w:name="_Toc16939"/>
      <w:r>
        <w:rPr>
          <w:rFonts w:hint="eastAsia" w:ascii="宋体" w:hAnsi="宋体" w:cs="宋体"/>
          <w:b/>
          <w:bCs/>
          <w:color w:val="auto"/>
          <w:kern w:val="0"/>
          <w:sz w:val="32"/>
          <w:szCs w:val="32"/>
          <w:highlight w:val="none"/>
        </w:rPr>
        <w:t>谈判须知正文</w:t>
      </w:r>
      <w:bookmarkEnd w:id="21"/>
      <w:bookmarkEnd w:id="22"/>
      <w:bookmarkEnd w:id="23"/>
      <w:bookmarkEnd w:id="24"/>
    </w:p>
    <w:p>
      <w:pPr>
        <w:pStyle w:val="4"/>
        <w:keepNext w:val="0"/>
        <w:keepLines w:val="0"/>
        <w:rPr>
          <w:rFonts w:ascii="宋体" w:hAnsi="宋体" w:cs="宋体"/>
          <w:color w:val="auto"/>
          <w:sz w:val="21"/>
          <w:szCs w:val="21"/>
          <w:highlight w:val="none"/>
        </w:rPr>
      </w:pPr>
      <w:bookmarkStart w:id="25" w:name="_Toc14891068"/>
      <w:bookmarkStart w:id="26" w:name="_Toc5348"/>
      <w:r>
        <w:rPr>
          <w:rFonts w:hint="eastAsia" w:ascii="宋体" w:hAnsi="宋体" w:cs="宋体"/>
          <w:color w:val="auto"/>
          <w:sz w:val="21"/>
          <w:szCs w:val="21"/>
          <w:highlight w:val="none"/>
        </w:rPr>
        <w:t>一、说明</w:t>
      </w:r>
      <w:bookmarkEnd w:id="25"/>
      <w:bookmarkEnd w:id="26"/>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w:t>
      </w:r>
      <w:r>
        <w:rPr>
          <w:rFonts w:hint="eastAsia" w:ascii="宋体" w:hAnsi="宋体" w:cs="宋体"/>
          <w:b/>
          <w:color w:val="auto"/>
          <w:szCs w:val="21"/>
          <w:highlight w:val="none"/>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2.本谈判文件的解释权属于长沙市轨道交通运营有限公司。</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3.定义</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3.1“采购单位”是指依法进行采购的法人组织。本项目的采购单位名称见</w:t>
      </w:r>
      <w:r>
        <w:rPr>
          <w:rFonts w:hint="eastAsia" w:ascii="宋体" w:hAnsi="宋体" w:cs="宋体"/>
          <w:b/>
          <w:color w:val="auto"/>
          <w:szCs w:val="21"/>
          <w:highlight w:val="none"/>
        </w:rPr>
        <w:t>前附表</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3.2“谈判单位”是指响应本谈判文件要求、参加谈判的法人组织。</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3.3“采购代理机构”是指接受采购单位委托，代理采购项目的机构。本采购项目的采购代理机构名称见</w:t>
      </w:r>
      <w:r>
        <w:rPr>
          <w:rFonts w:hint="eastAsia" w:ascii="宋体" w:hAnsi="宋体" w:cs="宋体"/>
          <w:b/>
          <w:bCs/>
          <w:color w:val="auto"/>
          <w:szCs w:val="21"/>
          <w:highlight w:val="none"/>
        </w:rPr>
        <w:t>前附表</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3.4“谈判</w:t>
      </w:r>
      <w:r>
        <w:rPr>
          <w:rFonts w:hint="eastAsia" w:ascii="宋体" w:hAnsi="宋体" w:cs="宋体"/>
          <w:b/>
          <w:bCs/>
          <w:color w:val="auto"/>
          <w:szCs w:val="21"/>
          <w:highlight w:val="none"/>
        </w:rPr>
        <w:t>评审</w:t>
      </w:r>
      <w:r>
        <w:rPr>
          <w:rFonts w:hint="eastAsia" w:ascii="宋体" w:hAnsi="宋体" w:cs="宋体"/>
          <w:color w:val="auto"/>
          <w:szCs w:val="21"/>
          <w:highlight w:val="none"/>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4.谈判单位资格要求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4.1参与谈判的单位应当符合</w:t>
      </w:r>
      <w:r>
        <w:rPr>
          <w:rFonts w:hint="eastAsia" w:ascii="宋体" w:hAnsi="宋体" w:cs="宋体"/>
          <w:b/>
          <w:color w:val="auto"/>
          <w:szCs w:val="21"/>
          <w:highlight w:val="none"/>
        </w:rPr>
        <w:t>前附表</w:t>
      </w:r>
      <w:r>
        <w:rPr>
          <w:rFonts w:hint="eastAsia" w:ascii="宋体" w:hAnsi="宋体" w:cs="宋体"/>
          <w:color w:val="auto"/>
          <w:szCs w:val="21"/>
          <w:highlight w:val="none"/>
        </w:rPr>
        <w:t>中规定的资格要求；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4.2参与谈判的单位存在下列情形之一的，其</w:t>
      </w:r>
      <w:r>
        <w:rPr>
          <w:rFonts w:hint="eastAsia" w:ascii="宋体" w:hAnsi="宋体" w:cs="宋体"/>
          <w:bCs/>
          <w:color w:val="auto"/>
          <w:szCs w:val="21"/>
          <w:highlight w:val="none"/>
        </w:rPr>
        <w:t>谈判</w:t>
      </w:r>
      <w:r>
        <w:rPr>
          <w:rFonts w:hint="eastAsia" w:ascii="宋体" w:hAnsi="宋体" w:cs="宋体"/>
          <w:color w:val="auto"/>
          <w:szCs w:val="21"/>
          <w:highlight w:val="none"/>
        </w:rPr>
        <w:t>将被</w:t>
      </w:r>
      <w:r>
        <w:rPr>
          <w:rFonts w:hint="eastAsia" w:ascii="宋体" w:hAnsi="宋体" w:cs="宋体"/>
          <w:b/>
          <w:bCs/>
          <w:color w:val="auto"/>
          <w:szCs w:val="21"/>
          <w:highlight w:val="none"/>
        </w:rPr>
        <w:t>否决</w:t>
      </w:r>
      <w:r>
        <w:rPr>
          <w:rFonts w:hint="eastAsia" w:ascii="宋体" w:hAnsi="宋体" w:cs="宋体"/>
          <w:color w:val="auto"/>
          <w:szCs w:val="21"/>
          <w:highlight w:val="none"/>
        </w:rPr>
        <w:t>：</w:t>
      </w:r>
    </w:p>
    <w:p>
      <w:pPr>
        <w:pStyle w:val="25"/>
        <w:ind w:firstLine="420" w:firstLineChars="200"/>
        <w:jc w:val="both"/>
        <w:rPr>
          <w:rFonts w:hAnsi="宋体" w:cs="宋体"/>
          <w:color w:val="auto"/>
          <w:sz w:val="21"/>
          <w:szCs w:val="21"/>
          <w:highlight w:val="none"/>
        </w:rPr>
      </w:pPr>
      <w:r>
        <w:rPr>
          <w:rFonts w:hint="eastAsia" w:hAnsi="宋体" w:cs="宋体"/>
          <w:color w:val="auto"/>
          <w:sz w:val="21"/>
          <w:szCs w:val="21"/>
          <w:highlight w:val="none"/>
        </w:rPr>
        <w:t>（1）与采购单位（或本项目采购代理机构）存在利害关系且可能影响采购公正性；</w:t>
      </w:r>
    </w:p>
    <w:p>
      <w:pPr>
        <w:pStyle w:val="25"/>
        <w:ind w:firstLine="420" w:firstLineChars="200"/>
        <w:jc w:val="both"/>
        <w:rPr>
          <w:rFonts w:hAnsi="宋体" w:cs="宋体"/>
          <w:color w:val="auto"/>
          <w:sz w:val="21"/>
          <w:szCs w:val="21"/>
          <w:highlight w:val="none"/>
        </w:rPr>
      </w:pPr>
      <w:r>
        <w:rPr>
          <w:rFonts w:hint="eastAsia" w:hAnsi="宋体" w:cs="宋体"/>
          <w:color w:val="auto"/>
          <w:sz w:val="21"/>
          <w:szCs w:val="21"/>
          <w:highlight w:val="none"/>
        </w:rPr>
        <w:t>（2）谈判单位法定代表人或负责人与其他谈判单位法定代表人或负责人为同一人；</w:t>
      </w:r>
    </w:p>
    <w:p>
      <w:pPr>
        <w:pStyle w:val="25"/>
        <w:ind w:firstLine="420" w:firstLineChars="200"/>
        <w:jc w:val="both"/>
        <w:rPr>
          <w:rFonts w:hAnsi="宋体" w:cs="宋体"/>
          <w:color w:val="auto"/>
          <w:sz w:val="21"/>
          <w:szCs w:val="21"/>
          <w:highlight w:val="none"/>
        </w:rPr>
      </w:pPr>
      <w:r>
        <w:rPr>
          <w:rFonts w:hint="eastAsia" w:hAnsi="宋体" w:cs="宋体"/>
          <w:color w:val="auto"/>
          <w:sz w:val="21"/>
          <w:szCs w:val="21"/>
          <w:highlight w:val="none"/>
        </w:rPr>
        <w:t>（3）与本采购项目的其他谈判单位存在控股、管理关系；</w:t>
      </w:r>
    </w:p>
    <w:p>
      <w:pPr>
        <w:pStyle w:val="25"/>
        <w:ind w:firstLine="420" w:firstLineChars="200"/>
        <w:jc w:val="both"/>
        <w:rPr>
          <w:rFonts w:hAnsi="宋体" w:cs="宋体"/>
          <w:color w:val="auto"/>
          <w:sz w:val="21"/>
          <w:szCs w:val="21"/>
          <w:highlight w:val="none"/>
        </w:rPr>
      </w:pPr>
      <w:r>
        <w:rPr>
          <w:rFonts w:hint="eastAsia" w:hAnsi="宋体" w:cs="宋体"/>
          <w:color w:val="auto"/>
          <w:sz w:val="21"/>
          <w:szCs w:val="21"/>
          <w:highlight w:val="none"/>
        </w:rPr>
        <w:t>（4）被责令停产停业、暂扣或者吊销许可证、暂扣或者吊销执照；</w:t>
      </w:r>
    </w:p>
    <w:p>
      <w:pPr>
        <w:pStyle w:val="25"/>
        <w:ind w:firstLine="420" w:firstLineChars="200"/>
        <w:jc w:val="both"/>
        <w:rPr>
          <w:rFonts w:hAnsi="宋体" w:cs="宋体"/>
          <w:color w:val="auto"/>
          <w:sz w:val="21"/>
          <w:szCs w:val="21"/>
          <w:highlight w:val="none"/>
        </w:rPr>
      </w:pPr>
      <w:r>
        <w:rPr>
          <w:rFonts w:hint="eastAsia" w:hAnsi="宋体" w:cs="宋体"/>
          <w:color w:val="auto"/>
          <w:sz w:val="21"/>
          <w:szCs w:val="21"/>
          <w:highlight w:val="none"/>
        </w:rPr>
        <w:t>（5）进入破产、清算、注销程序，或存在其他可能丧失履约能力的情形；</w:t>
      </w:r>
    </w:p>
    <w:p>
      <w:pPr>
        <w:pStyle w:val="25"/>
        <w:ind w:firstLine="420" w:firstLineChars="200"/>
        <w:jc w:val="both"/>
        <w:rPr>
          <w:rFonts w:hAnsi="宋体" w:cs="宋体"/>
          <w:color w:val="auto"/>
          <w:sz w:val="21"/>
          <w:szCs w:val="21"/>
          <w:highlight w:val="none"/>
        </w:rPr>
      </w:pPr>
      <w:r>
        <w:rPr>
          <w:rFonts w:hint="eastAsia" w:hAnsi="宋体" w:cs="宋体"/>
          <w:color w:val="auto"/>
          <w:sz w:val="21"/>
          <w:szCs w:val="21"/>
          <w:highlight w:val="none"/>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color w:val="auto"/>
          <w:szCs w:val="21"/>
          <w:highlight w:val="none"/>
        </w:rPr>
      </w:pPr>
      <w:r>
        <w:rPr>
          <w:rFonts w:hint="eastAsia" w:ascii="宋体" w:hAnsi="宋体" w:cs="宋体"/>
          <w:color w:val="auto"/>
          <w:szCs w:val="21"/>
          <w:highlight w:val="none"/>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5.参与谈判的费用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5.2采购代理服务费由中选单位全额承担。本项目采购代理服务费以中选价为基数，按谈判须知</w:t>
      </w:r>
      <w:r>
        <w:rPr>
          <w:rFonts w:hint="eastAsia" w:ascii="宋体" w:hAnsi="宋体" w:cs="宋体"/>
          <w:b/>
          <w:bCs/>
          <w:color w:val="auto"/>
          <w:szCs w:val="21"/>
          <w:highlight w:val="none"/>
        </w:rPr>
        <w:t>《采购代理服务费收费标准》（详见本须知附件）</w:t>
      </w:r>
      <w:r>
        <w:rPr>
          <w:rFonts w:hint="eastAsia" w:ascii="宋体" w:hAnsi="宋体" w:cs="宋体"/>
          <w:color w:val="auto"/>
          <w:szCs w:val="21"/>
          <w:highlight w:val="none"/>
        </w:rPr>
        <w:t>向中选单位收取。</w:t>
      </w:r>
    </w:p>
    <w:p>
      <w:pPr>
        <w:pStyle w:val="10"/>
        <w:adjustRightInd w:val="0"/>
        <w:snapToGrid w:val="0"/>
        <w:spacing w:line="360" w:lineRule="auto"/>
        <w:ind w:firstLine="422" w:firstLineChars="200"/>
        <w:rPr>
          <w:rFonts w:hAnsi="宋体" w:cs="宋体"/>
          <w:b/>
          <w:bCs/>
          <w:color w:val="auto"/>
          <w:highlight w:val="none"/>
        </w:rPr>
      </w:pPr>
      <w:r>
        <w:rPr>
          <w:rFonts w:hint="eastAsia" w:hAnsi="宋体" w:cs="宋体"/>
          <w:b/>
          <w:color w:val="auto"/>
          <w:highlight w:val="none"/>
        </w:rPr>
        <w:t>6．</w:t>
      </w:r>
      <w:r>
        <w:rPr>
          <w:rFonts w:hint="eastAsia" w:hAnsi="宋体" w:cs="宋体"/>
          <w:b/>
          <w:bCs/>
          <w:color w:val="auto"/>
          <w:highlight w:val="none"/>
        </w:rPr>
        <w:t>谈判单位代表</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6.1谈判单位代表为谈判单位法定代表人的：应提供法定代表人身份证明书</w:t>
      </w:r>
      <w:r>
        <w:rPr>
          <w:rFonts w:hint="eastAsia" w:hAnsi="宋体" w:cs="宋体"/>
          <w:b/>
          <w:bCs/>
          <w:color w:val="auto"/>
          <w:highlight w:val="none"/>
        </w:rPr>
        <w:t>（见</w:t>
      </w:r>
      <w:r>
        <w:rPr>
          <w:rFonts w:hint="eastAsia" w:hAnsi="宋体" w:cs="宋体"/>
          <w:b/>
          <w:bCs/>
          <w:iCs/>
          <w:color w:val="auto"/>
          <w:highlight w:val="none"/>
        </w:rPr>
        <w:t>第六章</w:t>
      </w:r>
      <w:r>
        <w:rPr>
          <w:rFonts w:hint="eastAsia" w:hAnsi="宋体" w:cs="宋体"/>
          <w:b/>
          <w:bCs/>
          <w:color w:val="auto"/>
          <w:highlight w:val="none"/>
        </w:rPr>
        <w:t>响应文件格式）</w:t>
      </w:r>
      <w:r>
        <w:rPr>
          <w:rFonts w:hint="eastAsia" w:hAnsi="宋体" w:cs="宋体"/>
          <w:color w:val="auto"/>
          <w:highlight w:val="none"/>
        </w:rPr>
        <w:t>原件及本人身份证原件。</w:t>
      </w:r>
    </w:p>
    <w:p>
      <w:pPr>
        <w:pStyle w:val="10"/>
        <w:adjustRightInd w:val="0"/>
        <w:snapToGrid w:val="0"/>
        <w:spacing w:line="360" w:lineRule="auto"/>
        <w:ind w:firstLine="420" w:firstLineChars="200"/>
        <w:rPr>
          <w:rFonts w:hAnsi="宋体" w:cs="宋体"/>
          <w:b/>
          <w:strike/>
          <w:color w:val="auto"/>
          <w:highlight w:val="none"/>
        </w:rPr>
      </w:pPr>
      <w:r>
        <w:rPr>
          <w:rFonts w:hint="eastAsia" w:hAnsi="宋体" w:cs="宋体"/>
          <w:color w:val="auto"/>
          <w:highlight w:val="none"/>
        </w:rPr>
        <w:t>6.2谈判单位代表不是谈判单位法定代表人的：应提供授权委托书</w:t>
      </w:r>
      <w:r>
        <w:rPr>
          <w:rFonts w:hint="eastAsia" w:hAnsi="宋体" w:cs="宋体"/>
          <w:b/>
          <w:bCs/>
          <w:color w:val="auto"/>
          <w:highlight w:val="none"/>
        </w:rPr>
        <w:t>（见</w:t>
      </w:r>
      <w:r>
        <w:rPr>
          <w:rFonts w:hint="eastAsia" w:hAnsi="宋体" w:cs="宋体"/>
          <w:b/>
          <w:bCs/>
          <w:iCs/>
          <w:color w:val="auto"/>
          <w:highlight w:val="none"/>
        </w:rPr>
        <w:t>第六章</w:t>
      </w:r>
      <w:r>
        <w:rPr>
          <w:rFonts w:hint="eastAsia" w:hAnsi="宋体" w:cs="宋体"/>
          <w:b/>
          <w:bCs/>
          <w:color w:val="auto"/>
          <w:highlight w:val="none"/>
        </w:rPr>
        <w:t>响应文件格式）</w:t>
      </w:r>
      <w:r>
        <w:rPr>
          <w:rFonts w:hint="eastAsia" w:hAnsi="宋体" w:cs="宋体"/>
          <w:color w:val="auto"/>
          <w:highlight w:val="none"/>
        </w:rPr>
        <w:t>原件及本人身份证原件。</w:t>
      </w:r>
    </w:p>
    <w:p>
      <w:pPr>
        <w:pStyle w:val="4"/>
        <w:keepNext w:val="0"/>
        <w:keepLines w:val="0"/>
        <w:rPr>
          <w:rFonts w:ascii="宋体" w:hAnsi="宋体" w:cs="宋体"/>
          <w:color w:val="auto"/>
          <w:sz w:val="21"/>
          <w:szCs w:val="21"/>
          <w:highlight w:val="none"/>
        </w:rPr>
      </w:pPr>
      <w:bookmarkStart w:id="27" w:name="_Toc14891069"/>
      <w:bookmarkStart w:id="28" w:name="_Toc25450"/>
      <w:r>
        <w:rPr>
          <w:rFonts w:hint="eastAsia" w:ascii="宋体" w:hAnsi="宋体" w:cs="宋体"/>
          <w:color w:val="auto"/>
          <w:sz w:val="21"/>
          <w:szCs w:val="21"/>
          <w:highlight w:val="none"/>
        </w:rPr>
        <w:t>二、谈判文件</w:t>
      </w:r>
      <w:bookmarkEnd w:id="27"/>
      <w:bookmarkEnd w:id="28"/>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7．谈判文件的组成</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7.1谈判文件由下列文件组成：</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第一章 谈判邀请公告</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第二章 谈判须知</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第三章 评审办法及标准</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第四章 用户需求书</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第五章 合同格式条款</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第六章 响应文件组成</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7.2</w:t>
      </w:r>
      <w:r>
        <w:rPr>
          <w:rFonts w:hint="eastAsia" w:hAnsi="宋体" w:cs="宋体"/>
          <w:color w:val="auto"/>
          <w:kern w:val="0"/>
          <w:highlight w:val="none"/>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7.3谈判单位应仔细阅读</w:t>
      </w:r>
      <w:r>
        <w:rPr>
          <w:rFonts w:hint="eastAsia" w:ascii="宋体" w:hAnsi="宋体" w:cs="宋体"/>
          <w:bCs/>
          <w:color w:val="auto"/>
          <w:szCs w:val="21"/>
          <w:highlight w:val="none"/>
        </w:rPr>
        <w:t>谈判</w:t>
      </w:r>
      <w:r>
        <w:rPr>
          <w:rFonts w:hint="eastAsia" w:ascii="宋体" w:hAnsi="宋体" w:cs="宋体"/>
          <w:color w:val="auto"/>
          <w:szCs w:val="21"/>
          <w:highlight w:val="none"/>
        </w:rPr>
        <w:t>文件的全部内容，按照</w:t>
      </w:r>
      <w:r>
        <w:rPr>
          <w:rFonts w:hint="eastAsia" w:ascii="宋体" w:hAnsi="宋体" w:cs="宋体"/>
          <w:bCs/>
          <w:color w:val="auto"/>
          <w:szCs w:val="21"/>
          <w:highlight w:val="none"/>
        </w:rPr>
        <w:t>谈判</w:t>
      </w:r>
      <w:r>
        <w:rPr>
          <w:rFonts w:hint="eastAsia" w:ascii="宋体" w:hAnsi="宋体" w:cs="宋体"/>
          <w:color w:val="auto"/>
          <w:szCs w:val="21"/>
          <w:highlight w:val="none"/>
        </w:rPr>
        <w:t>文件要求编制响应文件。任何对</w:t>
      </w:r>
      <w:r>
        <w:rPr>
          <w:rFonts w:hint="eastAsia" w:ascii="宋体" w:hAnsi="宋体" w:cs="宋体"/>
          <w:bCs/>
          <w:color w:val="auto"/>
          <w:szCs w:val="21"/>
          <w:highlight w:val="none"/>
        </w:rPr>
        <w:t>谈判</w:t>
      </w:r>
      <w:r>
        <w:rPr>
          <w:rFonts w:hint="eastAsia" w:ascii="宋体" w:hAnsi="宋体" w:cs="宋体"/>
          <w:color w:val="auto"/>
          <w:szCs w:val="21"/>
          <w:highlight w:val="none"/>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bCs/>
          <w:color w:val="auto"/>
          <w:szCs w:val="21"/>
          <w:highlight w:val="none"/>
        </w:rPr>
        <w:t>8.</w:t>
      </w:r>
      <w:r>
        <w:rPr>
          <w:rFonts w:hint="eastAsia" w:ascii="宋体" w:hAnsi="宋体" w:cs="宋体"/>
          <w:b/>
          <w:color w:val="auto"/>
          <w:kern w:val="0"/>
          <w:szCs w:val="21"/>
          <w:highlight w:val="none"/>
        </w:rPr>
        <w:t>谈判文件的澄清及答疑</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8.1.谈判单位应仔细阅读和检查谈判文件的全部内容，如有疑问，</w:t>
      </w:r>
      <w:r>
        <w:rPr>
          <w:rFonts w:hint="eastAsia" w:ascii="宋体" w:hAnsi="宋体" w:cs="宋体"/>
          <w:color w:val="auto"/>
          <w:szCs w:val="21"/>
          <w:highlight w:val="none"/>
        </w:rPr>
        <w:t>应按</w:t>
      </w:r>
      <w:r>
        <w:rPr>
          <w:rFonts w:hint="eastAsia" w:ascii="宋体" w:hAnsi="宋体" w:cs="宋体"/>
          <w:b/>
          <w:bCs/>
          <w:color w:val="auto"/>
          <w:szCs w:val="21"/>
          <w:highlight w:val="none"/>
        </w:rPr>
        <w:t>前附表</w:t>
      </w:r>
      <w:r>
        <w:rPr>
          <w:rFonts w:hint="eastAsia" w:ascii="宋体" w:hAnsi="宋体" w:cs="宋体"/>
          <w:color w:val="auto"/>
          <w:szCs w:val="21"/>
          <w:highlight w:val="none"/>
        </w:rPr>
        <w:t>规定的时间、方式及地点</w:t>
      </w:r>
      <w:r>
        <w:rPr>
          <w:rFonts w:hint="eastAsia" w:ascii="宋体" w:hAnsi="宋体" w:cs="宋体"/>
          <w:iCs/>
          <w:color w:val="auto"/>
          <w:szCs w:val="21"/>
          <w:highlight w:val="none"/>
        </w:rPr>
        <w:t>向采购代理机构提出，</w:t>
      </w:r>
      <w:r>
        <w:rPr>
          <w:rFonts w:hint="eastAsia" w:ascii="宋体" w:hAnsi="宋体" w:cs="宋体"/>
          <w:color w:val="auto"/>
          <w:szCs w:val="21"/>
          <w:highlight w:val="none"/>
        </w:rPr>
        <w:t>否则，由此引起的损失由谈判单位自己承担。</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8.3</w:t>
      </w:r>
      <w:r>
        <w:rPr>
          <w:rFonts w:hint="eastAsia" w:ascii="宋体" w:hAnsi="宋体" w:cs="宋体"/>
          <w:color w:val="auto"/>
          <w:kern w:val="0"/>
          <w:szCs w:val="21"/>
          <w:highlight w:val="none"/>
        </w:rPr>
        <w:t>澄清或者修改的内容可能影响响应文件编制的，采购单位或采购代理机构应当在提交响应文件截止之日3个工作日前，在长沙市轨道交通集团有限公司官方网站（http://www.hncsmtr.com/）</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lang w:val="en-US" w:eastAsia="zh-CN"/>
        </w:rPr>
        <w:t>中国采购与招标网（http://www.chinabidding.com.cn/）</w:t>
      </w:r>
      <w:r>
        <w:rPr>
          <w:rFonts w:hint="eastAsia" w:ascii="宋体" w:hAnsi="宋体" w:cs="宋体"/>
          <w:color w:val="auto"/>
          <w:kern w:val="0"/>
          <w:szCs w:val="21"/>
          <w:highlight w:val="none"/>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9.</w:t>
      </w:r>
      <w:r>
        <w:rPr>
          <w:rFonts w:hint="eastAsia" w:ascii="宋体" w:hAnsi="宋体" w:cs="宋体"/>
          <w:b/>
          <w:color w:val="auto"/>
          <w:kern w:val="0"/>
          <w:szCs w:val="21"/>
          <w:highlight w:val="none"/>
        </w:rPr>
        <w:t>响应文件递交截止时间、谈判会议时间及地点</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9.1</w:t>
      </w:r>
      <w:r>
        <w:rPr>
          <w:rFonts w:hint="eastAsia" w:hAnsi="宋体" w:cs="宋体"/>
          <w:color w:val="auto"/>
          <w:kern w:val="0"/>
          <w:highlight w:val="none"/>
        </w:rPr>
        <w:t>谈判单位递交响应文件截止时间、谈判会议</w:t>
      </w:r>
      <w:r>
        <w:rPr>
          <w:rFonts w:hint="eastAsia" w:hAnsi="宋体" w:cs="宋体"/>
          <w:color w:val="auto"/>
          <w:highlight w:val="none"/>
        </w:rPr>
        <w:t>时间及地点见</w:t>
      </w:r>
      <w:r>
        <w:rPr>
          <w:rFonts w:hint="eastAsia" w:hAnsi="宋体" w:cs="宋体"/>
          <w:b/>
          <w:color w:val="auto"/>
          <w:highlight w:val="none"/>
        </w:rPr>
        <w:t>前附表</w:t>
      </w:r>
      <w:r>
        <w:rPr>
          <w:rFonts w:hint="eastAsia" w:hAnsi="宋体" w:cs="宋体"/>
          <w:color w:val="auto"/>
          <w:highlight w:val="none"/>
        </w:rPr>
        <w:t>。</w:t>
      </w:r>
    </w:p>
    <w:p>
      <w:pPr>
        <w:pStyle w:val="4"/>
        <w:keepNext w:val="0"/>
        <w:keepLines w:val="0"/>
        <w:rPr>
          <w:rFonts w:ascii="宋体" w:hAnsi="宋体" w:cs="宋体"/>
          <w:color w:val="auto"/>
          <w:sz w:val="21"/>
          <w:szCs w:val="21"/>
          <w:highlight w:val="none"/>
        </w:rPr>
      </w:pPr>
      <w:bookmarkStart w:id="29" w:name="_Toc14891070"/>
      <w:bookmarkStart w:id="30" w:name="_Toc4718"/>
      <w:r>
        <w:rPr>
          <w:rFonts w:hint="eastAsia" w:ascii="宋体" w:hAnsi="宋体" w:cs="宋体"/>
          <w:color w:val="auto"/>
          <w:sz w:val="21"/>
          <w:szCs w:val="21"/>
          <w:highlight w:val="none"/>
        </w:rPr>
        <w:t>三、响应文件</w:t>
      </w:r>
      <w:bookmarkEnd w:id="29"/>
      <w:bookmarkEnd w:id="30"/>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10.一般要求</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10.1谈判单位应仔细阅读谈判文件的所有内容，按谈判文件的要求编制响应文件，</w:t>
      </w:r>
      <w:r>
        <w:rPr>
          <w:rFonts w:hint="eastAsia" w:ascii="宋体" w:hAnsi="宋体" w:cs="宋体"/>
          <w:b/>
          <w:color w:val="auto"/>
          <w:szCs w:val="21"/>
          <w:highlight w:val="none"/>
        </w:rPr>
        <w:t>严禁复制、粘贴，</w:t>
      </w:r>
      <w:r>
        <w:rPr>
          <w:rFonts w:hint="eastAsia" w:ascii="宋体" w:hAnsi="宋体" w:cs="宋体"/>
          <w:bCs/>
          <w:color w:val="auto"/>
          <w:szCs w:val="21"/>
          <w:highlight w:val="none"/>
        </w:rPr>
        <w:t>并保证所提供的全部资料的真实性。</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10.2</w:t>
      </w:r>
      <w:r>
        <w:rPr>
          <w:rFonts w:hint="eastAsia" w:ascii="宋体" w:hAnsi="宋体" w:cs="宋体"/>
          <w:color w:val="auto"/>
          <w:szCs w:val="21"/>
          <w:highlight w:val="none"/>
        </w:rPr>
        <w:t>谈判单位提交的响应文件、谈判单位与采购单位及采购代理机构的所有来往函电均使用中文。</w:t>
      </w:r>
    </w:p>
    <w:p>
      <w:pPr>
        <w:pStyle w:val="10"/>
        <w:adjustRightInd w:val="0"/>
        <w:snapToGrid w:val="0"/>
        <w:spacing w:line="360" w:lineRule="auto"/>
        <w:ind w:firstLine="420" w:firstLineChars="200"/>
        <w:rPr>
          <w:rFonts w:hAnsi="宋体" w:cs="宋体"/>
          <w:color w:val="auto"/>
          <w:highlight w:val="none"/>
        </w:rPr>
      </w:pPr>
      <w:r>
        <w:rPr>
          <w:rFonts w:hint="eastAsia" w:hAnsi="宋体" w:cs="宋体"/>
          <w:bCs/>
          <w:color w:val="auto"/>
          <w:highlight w:val="none"/>
        </w:rPr>
        <w:t>10.3</w:t>
      </w:r>
      <w:r>
        <w:rPr>
          <w:rFonts w:hint="eastAsia" w:hAnsi="宋体" w:cs="宋体"/>
          <w:color w:val="auto"/>
          <w:highlight w:val="none"/>
        </w:rPr>
        <w:t>计量单位应使用我国法定计量单位，未列明时应默认为我国法定计量单位。</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10.4响应文件应采用书面形式，电报、传真、电子邮件形式的响应文件概不接受。</w:t>
      </w:r>
    </w:p>
    <w:p>
      <w:pPr>
        <w:adjustRightInd w:val="0"/>
        <w:snapToGrid w:val="0"/>
        <w:spacing w:line="360" w:lineRule="auto"/>
        <w:ind w:firstLine="420" w:firstLineChars="200"/>
        <w:rPr>
          <w:color w:val="auto"/>
          <w:highlight w:val="none"/>
        </w:rPr>
      </w:pPr>
      <w:r>
        <w:rPr>
          <w:rFonts w:hint="eastAsia" w:ascii="宋体" w:hAnsi="宋体" w:cs="宋体"/>
          <w:color w:val="auto"/>
          <w:szCs w:val="21"/>
          <w:highlight w:val="none"/>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的组成</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11.1响应文件应包括下列内容：</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（1）谈判承诺书</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（2）法定代表人身份证明书</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（3）授权委托书</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（4）谈判单位资格条件证明文件</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5</w:t>
      </w:r>
      <w:r>
        <w:rPr>
          <w:rFonts w:hint="eastAsia" w:hAnsi="宋体" w:cs="宋体"/>
          <w:color w:val="auto"/>
          <w:highlight w:val="none"/>
        </w:rPr>
        <w:t>）报价一览表</w:t>
      </w:r>
    </w:p>
    <w:p>
      <w:pPr>
        <w:pStyle w:val="10"/>
        <w:adjustRightInd w:val="0"/>
        <w:snapToGrid w:val="0"/>
        <w:spacing w:line="360" w:lineRule="auto"/>
        <w:ind w:firstLine="420" w:firstLineChars="200"/>
        <w:rPr>
          <w:rFonts w:hint="eastAsia" w:hAnsi="宋体" w:eastAsia="宋体" w:cs="宋体"/>
          <w:color w:val="auto"/>
          <w:highlight w:val="none"/>
          <w:lang w:eastAsia="zh-CN"/>
        </w:rPr>
      </w:pPr>
      <w:r>
        <w:rPr>
          <w:rFonts w:hint="eastAsia" w:hAnsi="宋体" w:cs="宋体"/>
          <w:color w:val="auto"/>
          <w:highlight w:val="none"/>
        </w:rPr>
        <w:t>（</w:t>
      </w:r>
      <w:r>
        <w:rPr>
          <w:rFonts w:hint="eastAsia" w:hAnsi="宋体" w:cs="宋体"/>
          <w:color w:val="auto"/>
          <w:highlight w:val="none"/>
          <w:lang w:val="en-US" w:eastAsia="zh-CN"/>
        </w:rPr>
        <w:t>6</w:t>
      </w:r>
      <w:r>
        <w:rPr>
          <w:rFonts w:hint="eastAsia" w:hAnsi="宋体" w:cs="宋体"/>
          <w:color w:val="auto"/>
          <w:highlight w:val="none"/>
        </w:rPr>
        <w:t>）</w:t>
      </w:r>
      <w:r>
        <w:rPr>
          <w:rFonts w:hint="eastAsia" w:hAnsi="宋体" w:cs="宋体"/>
          <w:color w:val="auto"/>
          <w:highlight w:val="none"/>
          <w:lang w:eastAsia="zh-CN"/>
        </w:rPr>
        <w:t>谈判报价表</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7</w:t>
      </w:r>
      <w:r>
        <w:rPr>
          <w:rFonts w:hint="eastAsia" w:hAnsi="宋体" w:cs="宋体"/>
          <w:color w:val="auto"/>
          <w:highlight w:val="none"/>
        </w:rPr>
        <w:t>）其他资料</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11.2在谈判过程中，谈判单位根据</w:t>
      </w:r>
      <w:r>
        <w:rPr>
          <w:rFonts w:hint="eastAsia" w:hAnsi="宋体" w:cs="宋体"/>
          <w:color w:val="auto"/>
          <w:kern w:val="0"/>
          <w:highlight w:val="none"/>
        </w:rPr>
        <w:t>谈判评审小组</w:t>
      </w:r>
      <w:r>
        <w:rPr>
          <w:rFonts w:hint="eastAsia" w:hAnsi="宋体" w:cs="宋体"/>
          <w:bCs/>
          <w:color w:val="auto"/>
          <w:highlight w:val="none"/>
        </w:rPr>
        <w:t>要求</w:t>
      </w:r>
      <w:r>
        <w:rPr>
          <w:rFonts w:hint="eastAsia" w:hAnsi="宋体" w:cs="宋体"/>
          <w:color w:val="auto"/>
          <w:kern w:val="0"/>
          <w:highlight w:val="none"/>
        </w:rPr>
        <w:t>提交的</w:t>
      </w:r>
      <w:r>
        <w:rPr>
          <w:rFonts w:hint="eastAsia" w:hAnsi="宋体" w:cs="宋体"/>
          <w:color w:val="auto"/>
          <w:highlight w:val="none"/>
        </w:rPr>
        <w:t>书面承诺或其他文件是响应文件的有效组成部分。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11.3谈判单位无论成交与否，其递交的响应文件均不予退还。</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12.报价要求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12.1谈判单位应按第六章“响应文件格式”的要求在报价文件中进行报价</w:t>
      </w:r>
      <w:r>
        <w:rPr>
          <w:rFonts w:hint="eastAsia" w:ascii="宋体" w:hAnsi="宋体" w:cs="宋体"/>
          <w:b w:val="0"/>
          <w:bCs w:val="0"/>
          <w:color w:val="auto"/>
          <w:szCs w:val="21"/>
          <w:highlight w:val="none"/>
        </w:rPr>
        <w:t>。谈判单位所报的总价及综合单价均不得超过最高投标限价，不超过最高投标限价的谈判报价为有效报价，谈判时需明确税费，税率必须符合国家政策法规规定，合同支付时服务单</w:t>
      </w:r>
      <w:r>
        <w:rPr>
          <w:rFonts w:hint="eastAsia" w:ascii="宋体" w:hAnsi="宋体" w:cs="宋体"/>
          <w:color w:val="auto"/>
          <w:szCs w:val="21"/>
          <w:highlight w:val="none"/>
        </w:rPr>
        <w:t>位需开具经</w:t>
      </w:r>
      <w:r>
        <w:rPr>
          <w:rFonts w:hint="eastAsia" w:ascii="宋体" w:hAnsi="宋体" w:cs="宋体"/>
          <w:b/>
          <w:color w:val="auto"/>
          <w:szCs w:val="21"/>
          <w:highlight w:val="none"/>
        </w:rPr>
        <w:t>采购单位</w:t>
      </w:r>
      <w:r>
        <w:rPr>
          <w:rFonts w:hint="eastAsia" w:ascii="宋体" w:hAnsi="宋体" w:cs="宋体"/>
          <w:color w:val="auto"/>
          <w:szCs w:val="21"/>
          <w:highlight w:val="none"/>
        </w:rPr>
        <w:t>认可的合法完税单据。</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12.2谈判单位应充分了解该项目的总体情况以及影响谈判报价的其他要素。</w:t>
      </w:r>
      <w:r>
        <w:rPr>
          <w:rFonts w:hint="eastAsia" w:ascii="宋体" w:hAnsi="宋体" w:cs="宋体"/>
          <w:b/>
          <w:color w:val="auto"/>
          <w:szCs w:val="21"/>
          <w:highlight w:val="none"/>
        </w:rPr>
        <w:t>最终结算以长沙市轨道交通运营有限公司审核为准。</w:t>
      </w:r>
    </w:p>
    <w:p>
      <w:pPr>
        <w:adjustRightInd w:val="0"/>
        <w:snapToGrid w:val="0"/>
        <w:spacing w:line="360" w:lineRule="auto"/>
        <w:ind w:firstLine="420" w:firstLineChars="200"/>
        <w:rPr>
          <w:color w:val="auto"/>
          <w:highlight w:val="none"/>
        </w:rPr>
      </w:pPr>
      <w:r>
        <w:rPr>
          <w:rFonts w:hint="eastAsia" w:ascii="宋体" w:hAnsi="宋体" w:cs="宋体"/>
          <w:color w:val="auto"/>
          <w:szCs w:val="21"/>
          <w:highlight w:val="none"/>
        </w:rPr>
        <w:t>12.3谈判总报价为各</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报价金额之和，谈判总报价与的合价不一致的，应以各</w:t>
      </w:r>
      <w:r>
        <w:rPr>
          <w:rFonts w:hint="eastAsia" w:ascii="宋体" w:hAnsi="宋体" w:cs="宋体"/>
          <w:color w:val="auto"/>
          <w:szCs w:val="21"/>
          <w:highlight w:val="none"/>
          <w:lang w:eastAsia="zh-CN"/>
        </w:rPr>
        <w:t>谈判报价</w:t>
      </w:r>
      <w:r>
        <w:rPr>
          <w:rFonts w:hint="eastAsia" w:ascii="宋体" w:hAnsi="宋体" w:cs="宋体"/>
          <w:color w:val="auto"/>
          <w:szCs w:val="21"/>
          <w:highlight w:val="none"/>
        </w:rPr>
        <w:t>合价累计数为准，修正谈判总报价；如</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报价中存在缺漏项，则视为缺漏项价格已包含在其他</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报价之中。谈判单位在谈判截止时间前修改报价文件中的谈判总报价，应同时修改报价文件《报价一览表》和《</w:t>
      </w:r>
      <w:r>
        <w:rPr>
          <w:rFonts w:hint="eastAsia" w:ascii="宋体" w:hAnsi="宋体" w:cs="宋体"/>
          <w:color w:val="auto"/>
          <w:szCs w:val="21"/>
          <w:highlight w:val="none"/>
          <w:lang w:eastAsia="zh-CN"/>
        </w:rPr>
        <w:t>谈判报价</w:t>
      </w:r>
      <w:r>
        <w:rPr>
          <w:rFonts w:hint="eastAsia" w:ascii="宋体" w:hAnsi="宋体" w:cs="宋体"/>
          <w:color w:val="auto"/>
          <w:szCs w:val="21"/>
          <w:highlight w:val="none"/>
        </w:rPr>
        <w:t>表》中的相应报价。</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12.4本项目最高投标限价见</w:t>
      </w:r>
      <w:r>
        <w:rPr>
          <w:rFonts w:hint="eastAsia" w:ascii="宋体" w:hAnsi="宋体" w:cs="宋体"/>
          <w:b/>
          <w:color w:val="auto"/>
          <w:szCs w:val="21"/>
          <w:highlight w:val="none"/>
        </w:rPr>
        <w:t>前附表</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12.5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被拒绝。</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12.6谈判单位递交两份或多份内容不同的报价文件，或在一份报价文件中对同一项目报有两个或多个报价，且未声明哪一个有效的，将被认为是非实质响应被拒绝。</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12.7最低报价不能作为中选的保证。</w:t>
      </w:r>
    </w:p>
    <w:p>
      <w:pPr>
        <w:adjustRightInd w:val="0"/>
        <w:snapToGrid w:val="0"/>
        <w:spacing w:line="360" w:lineRule="auto"/>
        <w:ind w:firstLine="422" w:firstLineChars="200"/>
        <w:rPr>
          <w:rFonts w:ascii="宋体" w:hAnsi="宋体" w:cs="宋体"/>
          <w:b/>
          <w:bCs/>
          <w:color w:val="auto"/>
          <w:highlight w:val="none"/>
        </w:rPr>
      </w:pPr>
      <w:r>
        <w:rPr>
          <w:rFonts w:hint="eastAsia" w:ascii="宋体" w:hAnsi="宋体" w:cs="宋体"/>
          <w:b/>
          <w:bCs/>
          <w:color w:val="auto"/>
          <w:szCs w:val="21"/>
          <w:highlight w:val="none"/>
        </w:rPr>
        <w:t>12.8</w:t>
      </w:r>
      <w:r>
        <w:rPr>
          <w:rFonts w:hint="eastAsia" w:ascii="宋体" w:hAnsi="宋体" w:cs="宋体"/>
          <w:color w:val="auto"/>
          <w:szCs w:val="21"/>
          <w:highlight w:val="none"/>
        </w:rPr>
        <w:t>单价合同（除税率调整外，合同单价（即中标单价/中选单价/成交单价）在合同执行过程中固定不变，不随政府政策（长沙市规定的最低工资标准变化等）及市场物价上涨或回落等因素调整）</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项目检测清单中各项计量器具数量为暂估数量，具体以项目执行期间乙方实际检测的数量为准。双方以实际检测的数量进行结算并确定合同价格。双方确认，合同价格不得超过签约合同价。</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13.响应文件有效期</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13.1响应文件有效期见</w:t>
      </w:r>
      <w:r>
        <w:rPr>
          <w:rFonts w:hint="eastAsia" w:ascii="宋体" w:hAnsi="宋体" w:cs="宋体"/>
          <w:b/>
          <w:color w:val="auto"/>
          <w:szCs w:val="21"/>
          <w:highlight w:val="none"/>
        </w:rPr>
        <w:t>前附表</w:t>
      </w:r>
      <w:r>
        <w:rPr>
          <w:rFonts w:hint="eastAsia" w:ascii="宋体" w:hAnsi="宋体" w:cs="宋体"/>
          <w:color w:val="auto"/>
          <w:szCs w:val="21"/>
          <w:highlight w:val="none"/>
        </w:rPr>
        <w:t>，在此期间响应文件对谈判单位具有法律约束力，从</w:t>
      </w:r>
      <w:r>
        <w:rPr>
          <w:rFonts w:hint="eastAsia" w:ascii="宋体" w:hAnsi="宋体" w:cs="宋体"/>
          <w:b/>
          <w:color w:val="auto"/>
          <w:szCs w:val="21"/>
          <w:highlight w:val="none"/>
        </w:rPr>
        <w:t>前附表</w:t>
      </w:r>
      <w:r>
        <w:rPr>
          <w:rFonts w:hint="eastAsia" w:ascii="宋体" w:hAnsi="宋体" w:cs="宋体"/>
          <w:color w:val="auto"/>
          <w:szCs w:val="21"/>
          <w:highlight w:val="none"/>
        </w:rPr>
        <w:t>规定的</w:t>
      </w:r>
      <w:r>
        <w:rPr>
          <w:rFonts w:hint="eastAsia" w:ascii="宋体" w:hAnsi="宋体" w:cs="宋体"/>
          <w:color w:val="auto"/>
          <w:kern w:val="0"/>
          <w:szCs w:val="21"/>
          <w:highlight w:val="none"/>
        </w:rPr>
        <w:t>响应文件递交截止时间</w:t>
      </w:r>
      <w:r>
        <w:rPr>
          <w:rFonts w:hint="eastAsia" w:ascii="宋体" w:hAnsi="宋体" w:cs="宋体"/>
          <w:color w:val="auto"/>
          <w:szCs w:val="21"/>
          <w:highlight w:val="none"/>
        </w:rPr>
        <w:t>之日起计算。响应文件有效期不足的将被视为无效响应。</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14.响应文件的编制</w:t>
      </w:r>
    </w:p>
    <w:p>
      <w:pPr>
        <w:pStyle w:val="25"/>
        <w:ind w:firstLine="420" w:firstLineChars="200"/>
        <w:jc w:val="both"/>
        <w:rPr>
          <w:rFonts w:hAnsi="宋体" w:cs="宋体"/>
          <w:color w:val="auto"/>
          <w:sz w:val="21"/>
          <w:szCs w:val="21"/>
          <w:highlight w:val="none"/>
        </w:rPr>
      </w:pPr>
      <w:r>
        <w:rPr>
          <w:rFonts w:hint="eastAsia" w:hAnsi="宋体" w:cs="宋体"/>
          <w:color w:val="auto"/>
          <w:sz w:val="21"/>
          <w:szCs w:val="21"/>
          <w:highlight w:val="none"/>
        </w:rPr>
        <w:t>14.1响应文件应按</w:t>
      </w:r>
      <w:r>
        <w:rPr>
          <w:rFonts w:hint="eastAsia" w:hAnsi="宋体" w:cs="宋体"/>
          <w:b/>
          <w:bCs/>
          <w:color w:val="auto"/>
          <w:sz w:val="21"/>
          <w:szCs w:val="21"/>
          <w:highlight w:val="none"/>
        </w:rPr>
        <w:t>第六章</w:t>
      </w:r>
      <w:r>
        <w:rPr>
          <w:rFonts w:hint="eastAsia" w:hAnsi="宋体" w:cs="宋体"/>
          <w:color w:val="auto"/>
          <w:sz w:val="21"/>
          <w:szCs w:val="21"/>
          <w:highlight w:val="none"/>
        </w:rPr>
        <w:t>“响应文件格式”进行编写，如有必要，可以增加附页，作为响应文件的组成部分。</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14.2响应文件应用不褪色的材料书写或打印（建议双面打印），并按</w:t>
      </w:r>
      <w:r>
        <w:rPr>
          <w:rFonts w:hint="eastAsia" w:hAnsi="宋体" w:cs="宋体"/>
          <w:b/>
          <w:bCs/>
          <w:color w:val="auto"/>
          <w:highlight w:val="none"/>
        </w:rPr>
        <w:t>第六章</w:t>
      </w:r>
      <w:r>
        <w:rPr>
          <w:rFonts w:hint="eastAsia" w:hAnsi="宋体" w:cs="宋体"/>
          <w:color w:val="auto"/>
          <w:highlight w:val="none"/>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color w:val="auto"/>
          <w:highlight w:val="none"/>
        </w:rPr>
        <w:t>第六章</w:t>
      </w:r>
      <w:r>
        <w:rPr>
          <w:rFonts w:hint="eastAsia" w:hAnsi="宋体" w:cs="宋体"/>
          <w:color w:val="auto"/>
          <w:highlight w:val="none"/>
        </w:rPr>
        <w:t>“响应文件格式”的要求。</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14.3响应文件应尽量避免涂改、行间插字或删除。如果出现上述情况，改动之处应由谈判单位的法定代表人或其授权的代理人签字或盖单位公章。</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color w:val="auto"/>
          <w:highlight w:val="none"/>
        </w:rPr>
        <w:t>“正本”</w:t>
      </w:r>
      <w:r>
        <w:rPr>
          <w:rFonts w:hint="eastAsia" w:hAnsi="宋体" w:cs="宋体"/>
          <w:color w:val="auto"/>
          <w:highlight w:val="none"/>
        </w:rPr>
        <w:t>或</w:t>
      </w:r>
      <w:r>
        <w:rPr>
          <w:rFonts w:hint="eastAsia" w:hAnsi="宋体" w:cs="宋体"/>
          <w:b/>
          <w:bCs/>
          <w:color w:val="auto"/>
          <w:highlight w:val="none"/>
        </w:rPr>
        <w:t>“副本”</w:t>
      </w:r>
      <w:r>
        <w:rPr>
          <w:rFonts w:hint="eastAsia" w:hAnsi="宋体" w:cs="宋体"/>
          <w:color w:val="auto"/>
          <w:highlight w:val="none"/>
        </w:rPr>
        <w:t>的字样，若响应文件副本为正本的复印件，还需在谈判文件要求盖章处加盖单位公章。当正本和副本有差异时，以正本为准。</w:t>
      </w:r>
    </w:p>
    <w:p>
      <w:pPr>
        <w:pStyle w:val="4"/>
        <w:keepNext w:val="0"/>
        <w:keepLines w:val="0"/>
        <w:rPr>
          <w:rFonts w:ascii="宋体" w:hAnsi="宋体" w:cs="宋体"/>
          <w:color w:val="auto"/>
          <w:sz w:val="21"/>
          <w:szCs w:val="21"/>
          <w:highlight w:val="none"/>
        </w:rPr>
      </w:pPr>
      <w:bookmarkStart w:id="31" w:name="_Toc4171"/>
      <w:bookmarkStart w:id="32" w:name="_Toc14891071"/>
      <w:r>
        <w:rPr>
          <w:rFonts w:hint="eastAsia" w:ascii="宋体" w:hAnsi="宋体" w:cs="宋体"/>
          <w:color w:val="auto"/>
          <w:sz w:val="21"/>
          <w:szCs w:val="21"/>
          <w:highlight w:val="none"/>
        </w:rPr>
        <w:t>四、响应文件的递交</w:t>
      </w:r>
      <w:bookmarkEnd w:id="31"/>
      <w:bookmarkEnd w:id="32"/>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15.</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的密封</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15.1谈判单位须将响应文件一正两副与电子文件一起密封包装。</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16.响应文件的标记</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16.1</w:t>
      </w:r>
      <w:r>
        <w:rPr>
          <w:rFonts w:hint="eastAsia" w:ascii="宋体" w:hAnsi="宋体" w:cs="宋体"/>
          <w:bCs/>
          <w:color w:val="auto"/>
          <w:szCs w:val="21"/>
          <w:highlight w:val="none"/>
        </w:rPr>
        <w:t>响应文件的密封封套上须写明如下内容</w:t>
      </w:r>
      <w:r>
        <w:rPr>
          <w:rFonts w:hint="eastAsia" w:ascii="宋体" w:hAnsi="宋体" w:cs="宋体"/>
          <w:color w:val="auto"/>
          <w:szCs w:val="21"/>
          <w:highlight w:val="none"/>
        </w:rPr>
        <w:t>。</w:t>
      </w:r>
    </w:p>
    <w:tbl>
      <w:tblPr>
        <w:tblStyle w:val="19"/>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采购单位：</w:t>
            </w:r>
            <w:r>
              <w:rPr>
                <w:rFonts w:hint="eastAsia" w:ascii="宋体" w:hAnsi="宋体" w:cs="宋体"/>
                <w:color w:val="auto"/>
                <w:szCs w:val="21"/>
                <w:highlight w:val="none"/>
                <w:u w:val="single"/>
              </w:rPr>
              <w:t xml:space="preserve">                              </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cs="宋体"/>
                <w:color w:val="auto"/>
                <w:szCs w:val="21"/>
                <w:highlight w:val="none"/>
                <w:u w:val="single"/>
              </w:rPr>
              <w:t xml:space="preserve">                              </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谈判单位：</w:t>
            </w:r>
            <w:r>
              <w:rPr>
                <w:rFonts w:hint="eastAsia" w:ascii="宋体" w:hAnsi="宋体" w:cs="宋体"/>
                <w:color w:val="auto"/>
                <w:szCs w:val="21"/>
                <w:highlight w:val="none"/>
                <w:u w:val="single"/>
              </w:rPr>
              <w:t>（填写单位名称并加盖单位公章）</w:t>
            </w:r>
          </w:p>
          <w:p>
            <w:pPr>
              <w:spacing w:line="360" w:lineRule="auto"/>
              <w:ind w:firstLine="840" w:firstLineChars="400"/>
              <w:rPr>
                <w:rFonts w:ascii="宋体" w:hAnsi="宋体" w:cs="宋体"/>
                <w:color w:val="auto"/>
                <w:szCs w:val="21"/>
                <w:highlight w:val="none"/>
              </w:rPr>
            </w:pP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日</w:t>
            </w:r>
          </w:p>
        </w:tc>
      </w:tr>
    </w:tbl>
    <w:p>
      <w:pPr>
        <w:adjustRightInd w:val="0"/>
        <w:snapToGrid w:val="0"/>
        <w:spacing w:line="360" w:lineRule="auto"/>
        <w:ind w:firstLine="413" w:firstLineChars="196"/>
        <w:rPr>
          <w:rFonts w:ascii="宋体" w:hAnsi="宋体" w:cs="宋体"/>
          <w:b/>
          <w:bCs/>
          <w:color w:val="auto"/>
          <w:szCs w:val="21"/>
          <w:highlight w:val="none"/>
        </w:rPr>
      </w:pP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17.响应文件的递交</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17.1谈判单位应按要求在</w:t>
      </w:r>
      <w:r>
        <w:rPr>
          <w:rFonts w:hint="eastAsia" w:ascii="宋体" w:hAnsi="宋体" w:cs="宋体"/>
          <w:color w:val="auto"/>
          <w:kern w:val="0"/>
          <w:szCs w:val="21"/>
          <w:highlight w:val="none"/>
        </w:rPr>
        <w:t>响应文件递交截止时间</w:t>
      </w:r>
      <w:r>
        <w:rPr>
          <w:rFonts w:hint="eastAsia" w:ascii="宋体" w:hAnsi="宋体" w:cs="宋体"/>
          <w:color w:val="auto"/>
          <w:szCs w:val="21"/>
          <w:highlight w:val="none"/>
        </w:rPr>
        <w:t>前，将响应文件送达指定地点，响应文件递交截止时间、地点及要求见</w:t>
      </w:r>
      <w:r>
        <w:rPr>
          <w:rFonts w:hint="eastAsia" w:ascii="宋体" w:hAnsi="宋体" w:cs="宋体"/>
          <w:b/>
          <w:color w:val="auto"/>
          <w:szCs w:val="21"/>
          <w:highlight w:val="none"/>
        </w:rPr>
        <w:t>前附表</w:t>
      </w:r>
      <w:r>
        <w:rPr>
          <w:rFonts w:hint="eastAsia" w:ascii="宋体" w:hAnsi="宋体" w:cs="宋体"/>
          <w:color w:val="auto"/>
          <w:szCs w:val="21"/>
          <w:highlight w:val="none"/>
        </w:rPr>
        <w:t>。</w:t>
      </w:r>
      <w:r>
        <w:rPr>
          <w:rFonts w:hint="eastAsia" w:ascii="宋体" w:hAnsi="宋体" w:cs="宋体"/>
          <w:color w:val="auto"/>
          <w:kern w:val="0"/>
          <w:szCs w:val="21"/>
          <w:highlight w:val="none"/>
        </w:rPr>
        <w:t>在截止时间后送达的响应文件，采购单位应当拒收。</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17.2采购单位在</w:t>
      </w:r>
      <w:r>
        <w:rPr>
          <w:rFonts w:hint="eastAsia" w:ascii="宋体" w:hAnsi="宋体" w:cs="宋体"/>
          <w:b/>
          <w:bCs/>
          <w:color w:val="auto"/>
          <w:szCs w:val="21"/>
          <w:highlight w:val="none"/>
        </w:rPr>
        <w:t>前附表</w:t>
      </w:r>
      <w:r>
        <w:rPr>
          <w:rFonts w:hint="eastAsia" w:ascii="宋体" w:hAnsi="宋体" w:cs="宋体"/>
          <w:bCs/>
          <w:color w:val="auto"/>
          <w:szCs w:val="21"/>
          <w:highlight w:val="none"/>
        </w:rPr>
        <w:t>规定的谈判时间和地点，组织谈判单位签到并接收谈判文件。</w:t>
      </w:r>
    </w:p>
    <w:p>
      <w:pPr>
        <w:pStyle w:val="4"/>
        <w:keepNext w:val="0"/>
        <w:keepLines w:val="0"/>
        <w:rPr>
          <w:rFonts w:ascii="宋体" w:hAnsi="宋体" w:cs="宋体"/>
          <w:color w:val="auto"/>
          <w:sz w:val="21"/>
          <w:szCs w:val="21"/>
          <w:highlight w:val="none"/>
        </w:rPr>
      </w:pPr>
      <w:bookmarkStart w:id="33" w:name="_Toc9700"/>
      <w:bookmarkStart w:id="34" w:name="_Toc14891072"/>
      <w:r>
        <w:rPr>
          <w:rFonts w:hint="eastAsia" w:ascii="宋体" w:hAnsi="宋体" w:cs="宋体"/>
          <w:color w:val="auto"/>
          <w:sz w:val="21"/>
          <w:szCs w:val="21"/>
          <w:highlight w:val="none"/>
        </w:rPr>
        <w:t>五、响应文件的评审</w:t>
      </w:r>
      <w:bookmarkEnd w:id="33"/>
      <w:bookmarkEnd w:id="34"/>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18.</w:t>
      </w:r>
      <w:r>
        <w:rPr>
          <w:rFonts w:hint="eastAsia" w:ascii="宋体" w:hAnsi="宋体" w:cs="宋体"/>
          <w:bCs/>
          <w:color w:val="auto"/>
          <w:szCs w:val="21"/>
          <w:highlight w:val="none"/>
        </w:rPr>
        <w:t>评审由谈判评审小组负责，谈判评审小组应按照本谈判文件第三章“评审办法及标准”的内容和程序对响应文件进行评审。</w:t>
      </w:r>
    </w:p>
    <w:p>
      <w:pPr>
        <w:pStyle w:val="4"/>
        <w:keepNext w:val="0"/>
        <w:keepLines w:val="0"/>
        <w:rPr>
          <w:rFonts w:ascii="宋体" w:hAnsi="宋体" w:cs="宋体"/>
          <w:color w:val="auto"/>
          <w:sz w:val="21"/>
          <w:szCs w:val="21"/>
          <w:highlight w:val="none"/>
        </w:rPr>
      </w:pPr>
      <w:bookmarkStart w:id="35" w:name="_Toc26558"/>
      <w:bookmarkStart w:id="36" w:name="_Toc14891073"/>
      <w:r>
        <w:rPr>
          <w:rFonts w:hint="eastAsia" w:ascii="宋体" w:hAnsi="宋体" w:cs="宋体"/>
          <w:color w:val="auto"/>
          <w:sz w:val="21"/>
          <w:szCs w:val="21"/>
          <w:highlight w:val="none"/>
        </w:rPr>
        <w:t>六、响应文件的澄清、说明及补正</w:t>
      </w:r>
      <w:bookmarkEnd w:id="35"/>
      <w:bookmarkEnd w:id="36"/>
    </w:p>
    <w:p>
      <w:pPr>
        <w:widowControl/>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19.澄清</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19.1谈判评审小组可就响应文件中含糊之处要求谈判单位进行解释或澄清，谈判单位必须按照要求派法定代表人或授权委托人进行答疑和澄清。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20.说明及补正</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kern w:val="0"/>
          <w:szCs w:val="21"/>
          <w:highlight w:val="none"/>
        </w:rPr>
        <w:t>20.3与谈判文件有重大偏离的响应文件将被拒绝。重大偏离指谈判总报价、谈判有效期、服务期明显不能满足谈判文件的要求。这些偏离不允许在响应文件递交截止时间之后修正。</w:t>
      </w:r>
    </w:p>
    <w:p>
      <w:pPr>
        <w:pStyle w:val="4"/>
        <w:keepNext w:val="0"/>
        <w:keepLines w:val="0"/>
        <w:rPr>
          <w:rFonts w:ascii="宋体" w:hAnsi="宋体" w:cs="宋体"/>
          <w:color w:val="auto"/>
          <w:sz w:val="21"/>
          <w:szCs w:val="21"/>
          <w:highlight w:val="none"/>
        </w:rPr>
      </w:pPr>
      <w:bookmarkStart w:id="37" w:name="_Toc18863"/>
      <w:bookmarkStart w:id="38" w:name="_Toc14891074"/>
      <w:r>
        <w:rPr>
          <w:rFonts w:hint="eastAsia" w:ascii="宋体" w:hAnsi="宋体" w:cs="宋体"/>
          <w:color w:val="auto"/>
          <w:sz w:val="21"/>
          <w:szCs w:val="21"/>
          <w:highlight w:val="none"/>
        </w:rPr>
        <w:t>七、中选结果与授予合同</w:t>
      </w:r>
      <w:bookmarkEnd w:id="37"/>
      <w:bookmarkEnd w:id="38"/>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21.中选信息的公布</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21.1中选单位确定后，采购单位应将结果信息在</w:t>
      </w:r>
      <w:r>
        <w:rPr>
          <w:rFonts w:hint="eastAsia" w:hAnsi="宋体" w:cs="宋体"/>
          <w:b/>
          <w:color w:val="auto"/>
          <w:highlight w:val="none"/>
        </w:rPr>
        <w:t>前附表</w:t>
      </w:r>
      <w:r>
        <w:rPr>
          <w:rFonts w:hint="eastAsia" w:hAnsi="宋体" w:cs="宋体"/>
          <w:color w:val="auto"/>
          <w:highlight w:val="none"/>
        </w:rPr>
        <w:t>指定的媒体上公布，</w:t>
      </w:r>
      <w:r>
        <w:rPr>
          <w:rFonts w:hint="eastAsia" w:hAnsi="宋体" w:cs="宋体"/>
          <w:b/>
          <w:bCs/>
          <w:color w:val="auto"/>
          <w:highlight w:val="none"/>
        </w:rPr>
        <w:t>公示期限为3个工作日</w:t>
      </w:r>
      <w:r>
        <w:rPr>
          <w:rFonts w:hint="eastAsia" w:hAnsi="宋体" w:cs="宋体"/>
          <w:color w:val="auto"/>
          <w:highlight w:val="none"/>
        </w:rPr>
        <w:t>。</w:t>
      </w:r>
    </w:p>
    <w:p>
      <w:pPr>
        <w:pStyle w:val="10"/>
        <w:adjustRightInd w:val="0"/>
        <w:snapToGrid w:val="0"/>
        <w:spacing w:line="360" w:lineRule="auto"/>
        <w:ind w:firstLine="422" w:firstLineChars="200"/>
        <w:rPr>
          <w:rFonts w:hAnsi="宋体" w:cs="宋体"/>
          <w:b/>
          <w:bCs/>
          <w:color w:val="auto"/>
          <w:highlight w:val="none"/>
        </w:rPr>
      </w:pPr>
      <w:r>
        <w:rPr>
          <w:rFonts w:hint="eastAsia" w:hAnsi="宋体" w:cs="宋体"/>
          <w:b/>
          <w:bCs/>
          <w:color w:val="auto"/>
          <w:highlight w:val="none"/>
        </w:rPr>
        <w:t>22.评审结果异议</w:t>
      </w:r>
    </w:p>
    <w:p>
      <w:pPr>
        <w:pStyle w:val="10"/>
        <w:adjustRightInd w:val="0"/>
        <w:snapToGrid w:val="0"/>
        <w:spacing w:line="360" w:lineRule="auto"/>
        <w:ind w:firstLine="420" w:firstLineChars="200"/>
        <w:rPr>
          <w:rFonts w:hAnsi="宋体" w:cs="宋体"/>
          <w:b/>
          <w:color w:val="auto"/>
          <w:highlight w:val="none"/>
        </w:rPr>
      </w:pPr>
      <w:r>
        <w:rPr>
          <w:rFonts w:hint="eastAsia" w:hAnsi="宋体" w:cs="宋体"/>
          <w:color w:val="auto"/>
          <w:kern w:val="0"/>
          <w:highlight w:val="none"/>
        </w:rPr>
        <w:t>22.1谈判单位对评审结果有异议的，应当在结果公示期间提出。</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23.中选通知</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24.签订合同</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24.1谈判文件、中选单位的响应文件及其补充的文件等均为签订合同的依据。</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24.2中选单位应当在中选通知书发出后及时与采购单位签订合同。</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24.3中选单位应当按照合同约定履行义务。</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25.纪律和监督</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25.1对采购单位的纪律要求</w:t>
      </w:r>
    </w:p>
    <w:p>
      <w:pPr>
        <w:pStyle w:val="25"/>
        <w:ind w:firstLine="420" w:firstLineChars="200"/>
        <w:jc w:val="both"/>
        <w:rPr>
          <w:rFonts w:hAnsi="宋体" w:cs="宋体"/>
          <w:color w:val="auto"/>
          <w:sz w:val="21"/>
          <w:szCs w:val="21"/>
          <w:highlight w:val="none"/>
        </w:rPr>
      </w:pPr>
      <w:r>
        <w:rPr>
          <w:rFonts w:hint="eastAsia" w:hAnsi="宋体" w:cs="宋体"/>
          <w:color w:val="auto"/>
          <w:sz w:val="21"/>
          <w:szCs w:val="21"/>
          <w:highlight w:val="none"/>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25.2对谈判单位的纪律要求</w:t>
      </w:r>
    </w:p>
    <w:p>
      <w:pPr>
        <w:pStyle w:val="25"/>
        <w:ind w:firstLine="420" w:firstLineChars="200"/>
        <w:jc w:val="both"/>
        <w:rPr>
          <w:rFonts w:hAnsi="宋体" w:cs="宋体"/>
          <w:color w:val="auto"/>
          <w:sz w:val="21"/>
          <w:szCs w:val="21"/>
          <w:highlight w:val="none"/>
        </w:rPr>
      </w:pPr>
      <w:r>
        <w:rPr>
          <w:rFonts w:hint="eastAsia" w:hAnsi="宋体" w:cs="宋体"/>
          <w:color w:val="auto"/>
          <w:sz w:val="21"/>
          <w:szCs w:val="21"/>
          <w:highlight w:val="none"/>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25.3对</w:t>
      </w:r>
      <w:r>
        <w:rPr>
          <w:rFonts w:hint="eastAsia" w:ascii="宋体" w:hAnsi="宋体" w:cs="宋体"/>
          <w:b/>
          <w:color w:val="auto"/>
          <w:szCs w:val="21"/>
          <w:highlight w:val="none"/>
        </w:rPr>
        <w:t>谈判评审小组</w:t>
      </w:r>
      <w:r>
        <w:rPr>
          <w:rFonts w:hint="eastAsia" w:ascii="宋体" w:hAnsi="宋体" w:cs="宋体"/>
          <w:b/>
          <w:bCs/>
          <w:color w:val="auto"/>
          <w:szCs w:val="21"/>
          <w:highlight w:val="none"/>
        </w:rPr>
        <w:t>成员的纪律要求</w:t>
      </w:r>
    </w:p>
    <w:p>
      <w:pPr>
        <w:pStyle w:val="25"/>
        <w:ind w:firstLine="420" w:firstLineChars="200"/>
        <w:jc w:val="both"/>
        <w:rPr>
          <w:rFonts w:hAnsi="宋体" w:cs="宋体"/>
          <w:color w:val="auto"/>
          <w:sz w:val="21"/>
          <w:szCs w:val="21"/>
          <w:highlight w:val="none"/>
        </w:rPr>
      </w:pPr>
      <w:r>
        <w:rPr>
          <w:rFonts w:hint="eastAsia" w:hAnsi="宋体" w:cs="宋体"/>
          <w:color w:val="auto"/>
          <w:sz w:val="21"/>
          <w:szCs w:val="21"/>
          <w:highlight w:val="none"/>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9" w:name="page32"/>
      <w:bookmarkEnd w:id="39"/>
      <w:r>
        <w:rPr>
          <w:rFonts w:hint="eastAsia" w:hAnsi="宋体" w:cs="宋体"/>
          <w:color w:val="auto"/>
          <w:sz w:val="21"/>
          <w:szCs w:val="21"/>
          <w:highlight w:val="none"/>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25.4对与评审活动有关的工作人员的纪律要求</w:t>
      </w:r>
    </w:p>
    <w:p>
      <w:pPr>
        <w:pStyle w:val="10"/>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ascii="宋体" w:hAnsi="宋体" w:cs="宋体"/>
          <w:color w:val="auto"/>
          <w:sz w:val="21"/>
          <w:szCs w:val="21"/>
          <w:highlight w:val="none"/>
        </w:rPr>
      </w:pPr>
      <w:bookmarkStart w:id="40" w:name="_Toc24331"/>
      <w:bookmarkStart w:id="41" w:name="_Toc14891075"/>
      <w:r>
        <w:rPr>
          <w:rFonts w:hint="eastAsia" w:ascii="宋体" w:hAnsi="宋体" w:cs="宋体"/>
          <w:color w:val="auto"/>
          <w:sz w:val="21"/>
          <w:szCs w:val="21"/>
          <w:highlight w:val="none"/>
        </w:rPr>
        <w:t>八、其他</w:t>
      </w:r>
      <w:bookmarkEnd w:id="40"/>
      <w:bookmarkEnd w:id="41"/>
    </w:p>
    <w:p>
      <w:pPr>
        <w:adjustRightInd w:val="0"/>
        <w:snapToGrid w:val="0"/>
        <w:spacing w:line="360" w:lineRule="auto"/>
        <w:ind w:firstLine="420" w:firstLineChars="200"/>
        <w:rPr>
          <w:rFonts w:hAnsi="宋体"/>
          <w:color w:val="auto"/>
          <w:szCs w:val="21"/>
          <w:highlight w:val="none"/>
        </w:rPr>
      </w:pPr>
      <w:r>
        <w:rPr>
          <w:rFonts w:hint="eastAsia" w:ascii="宋体" w:hAnsi="宋体" w:cs="宋体"/>
          <w:color w:val="auto"/>
          <w:szCs w:val="21"/>
          <w:highlight w:val="none"/>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黑体" w:eastAsia="黑体"/>
          <w:b/>
          <w:color w:val="auto"/>
          <w:sz w:val="32"/>
          <w:szCs w:val="32"/>
          <w:highlight w:val="none"/>
        </w:rPr>
        <w:sectPr>
          <w:pgSz w:w="11906" w:h="16838"/>
          <w:pgMar w:top="1440" w:right="1800" w:bottom="1440" w:left="1800" w:header="851" w:footer="851" w:gutter="0"/>
          <w:pgNumType w:fmt="decimal"/>
          <w:cols w:space="720" w:num="1"/>
          <w:docGrid w:linePitch="312" w:charSpace="0"/>
        </w:sectPr>
      </w:pPr>
    </w:p>
    <w:p>
      <w:pPr>
        <w:adjustRightInd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附件：采购代理服务费收费标准</w:t>
      </w:r>
    </w:p>
    <w:tbl>
      <w:tblPr>
        <w:tblStyle w:val="20"/>
        <w:tblpPr w:leftFromText="180" w:rightFromText="180" w:vertAnchor="text" w:horzAnchor="page" w:tblpXSpec="center" w:tblpY="258"/>
        <w:tblOverlap w:val="never"/>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color w:val="auto"/>
                <w:szCs w:val="21"/>
                <w:highlight w:val="none"/>
              </w:rPr>
            </w:pPr>
            <w:r>
              <w:rPr>
                <w:rFonts w:hint="eastAsia" w:ascii="宋体" w:hAnsi="宋体"/>
                <w:color w:val="auto"/>
                <w:szCs w:val="21"/>
                <w:highlight w:val="none"/>
              </w:rPr>
              <w:t>汇率</w:t>
            </w:r>
          </w:p>
          <w:p>
            <w:pPr>
              <w:adjustRightInd w:val="0"/>
              <w:snapToGrid w:val="0"/>
              <w:rPr>
                <w:rFonts w:ascii="宋体" w:hAnsi="宋体"/>
                <w:color w:val="auto"/>
                <w:szCs w:val="21"/>
                <w:highlight w:val="none"/>
              </w:rPr>
            </w:pPr>
            <w:r>
              <w:rPr>
                <w:rFonts w:hint="eastAsia" w:ascii="宋体" w:hAnsi="宋体"/>
                <w:color w:val="auto"/>
                <w:szCs w:val="21"/>
                <w:highlight w:val="none"/>
              </w:rPr>
              <w:t>中</w:t>
            </w:r>
            <w:r>
              <w:rPr>
                <w:rFonts w:ascii="宋体" w:hAnsi="宋体"/>
                <w:color w:val="auto"/>
                <w:szCs w:val="21"/>
                <w:highlight w:val="none"/>
              </w:rPr>
              <w:t>选金额</w:t>
            </w:r>
          </w:p>
        </w:tc>
        <w:tc>
          <w:tcPr>
            <w:tcW w:w="2451" w:type="dxa"/>
            <w:tcBorders>
              <w:top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货物</w:t>
            </w:r>
            <w:r>
              <w:rPr>
                <w:rFonts w:ascii="宋体" w:hAnsi="宋体"/>
                <w:color w:val="auto"/>
                <w:szCs w:val="21"/>
                <w:highlight w:val="none"/>
              </w:rPr>
              <w:t>采购</w:t>
            </w:r>
          </w:p>
        </w:tc>
        <w:tc>
          <w:tcPr>
            <w:tcW w:w="2325" w:type="dxa"/>
            <w:tcBorders>
              <w:top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服务</w:t>
            </w:r>
            <w:r>
              <w:rPr>
                <w:rFonts w:ascii="宋体" w:hAnsi="宋体"/>
                <w:color w:val="auto"/>
                <w:szCs w:val="21"/>
                <w:highlight w:val="none"/>
              </w:rPr>
              <w:t>采购</w:t>
            </w:r>
          </w:p>
        </w:tc>
        <w:tc>
          <w:tcPr>
            <w:tcW w:w="2367" w:type="dxa"/>
            <w:tcBorders>
              <w:top w:val="single" w:color="auto" w:sz="12" w:space="0"/>
              <w:right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工程</w:t>
            </w:r>
            <w:r>
              <w:rPr>
                <w:rFonts w:ascii="宋体" w:hAnsi="宋体"/>
                <w:color w:val="auto"/>
                <w:szCs w:val="21"/>
                <w:highlight w:val="none"/>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100万</w:t>
            </w:r>
            <w:r>
              <w:rPr>
                <w:rFonts w:ascii="宋体" w:hAnsi="宋体"/>
                <w:color w:val="auto"/>
                <w:szCs w:val="21"/>
                <w:highlight w:val="none"/>
              </w:rPr>
              <w:t>元以下</w:t>
            </w:r>
          </w:p>
        </w:tc>
        <w:tc>
          <w:tcPr>
            <w:tcW w:w="2451"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1.5%</w:t>
            </w:r>
          </w:p>
        </w:tc>
        <w:tc>
          <w:tcPr>
            <w:tcW w:w="2325"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1.5%</w:t>
            </w:r>
          </w:p>
        </w:tc>
        <w:tc>
          <w:tcPr>
            <w:tcW w:w="2367" w:type="dxa"/>
            <w:tcBorders>
              <w:right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100～400万</w:t>
            </w:r>
            <w:r>
              <w:rPr>
                <w:rFonts w:ascii="宋体" w:hAnsi="宋体"/>
                <w:color w:val="auto"/>
                <w:szCs w:val="21"/>
                <w:highlight w:val="none"/>
              </w:rPr>
              <w:t>元</w:t>
            </w:r>
          </w:p>
        </w:tc>
        <w:tc>
          <w:tcPr>
            <w:tcW w:w="2451"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1.1%</w:t>
            </w:r>
          </w:p>
        </w:tc>
        <w:tc>
          <w:tcPr>
            <w:tcW w:w="2325"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0.8%</w:t>
            </w:r>
          </w:p>
        </w:tc>
        <w:tc>
          <w:tcPr>
            <w:tcW w:w="2367" w:type="dxa"/>
            <w:tcBorders>
              <w:right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采购代理</w:t>
            </w:r>
            <w:r>
              <w:rPr>
                <w:rFonts w:ascii="宋体" w:hAnsi="宋体"/>
                <w:color w:val="auto"/>
                <w:szCs w:val="21"/>
                <w:highlight w:val="none"/>
              </w:rPr>
              <w:t>服务费的收费标准为：以中选价为基数，按《</w:t>
            </w:r>
            <w:r>
              <w:rPr>
                <w:rFonts w:hint="eastAsia" w:ascii="宋体" w:hAnsi="宋体"/>
                <w:color w:val="auto"/>
                <w:szCs w:val="21"/>
                <w:highlight w:val="none"/>
              </w:rPr>
              <w:t>采购</w:t>
            </w:r>
            <w:r>
              <w:rPr>
                <w:rFonts w:ascii="宋体" w:hAnsi="宋体"/>
                <w:color w:val="auto"/>
                <w:szCs w:val="21"/>
                <w:highlight w:val="none"/>
              </w:rPr>
              <w:t>代理服务收费汇率表》</w:t>
            </w:r>
            <w:r>
              <w:rPr>
                <w:rFonts w:hint="eastAsia" w:ascii="宋体" w:hAnsi="宋体"/>
                <w:color w:val="auto"/>
                <w:szCs w:val="21"/>
                <w:highlight w:val="none"/>
              </w:rPr>
              <w:t>进行</w:t>
            </w:r>
            <w:r>
              <w:rPr>
                <w:rFonts w:ascii="宋体" w:hAnsi="宋体"/>
                <w:color w:val="auto"/>
                <w:szCs w:val="21"/>
                <w:highlight w:val="none"/>
              </w:rPr>
              <w:t>计算后，向中选单位收取。服务</w:t>
            </w:r>
            <w:r>
              <w:rPr>
                <w:rFonts w:hint="eastAsia" w:ascii="宋体" w:hAnsi="宋体"/>
                <w:color w:val="auto"/>
                <w:szCs w:val="21"/>
                <w:highlight w:val="none"/>
              </w:rPr>
              <w:t>费</w:t>
            </w:r>
            <w:r>
              <w:rPr>
                <w:rFonts w:ascii="宋体" w:hAnsi="宋体"/>
                <w:color w:val="auto"/>
                <w:szCs w:val="21"/>
                <w:highlight w:val="none"/>
              </w:rPr>
              <w:t>超过</w:t>
            </w:r>
            <w:r>
              <w:rPr>
                <w:rFonts w:hint="eastAsia" w:ascii="宋体" w:hAnsi="宋体"/>
                <w:color w:val="auto"/>
                <w:szCs w:val="21"/>
                <w:highlight w:val="none"/>
              </w:rPr>
              <w:t>2万</w:t>
            </w:r>
            <w:r>
              <w:rPr>
                <w:rFonts w:ascii="宋体" w:hAnsi="宋体"/>
                <w:color w:val="auto"/>
                <w:szCs w:val="21"/>
                <w:highlight w:val="none"/>
              </w:rPr>
              <w:t>元的，按</w:t>
            </w:r>
            <w:r>
              <w:rPr>
                <w:rFonts w:hint="eastAsia" w:ascii="宋体" w:hAnsi="宋体"/>
                <w:color w:val="auto"/>
                <w:szCs w:val="21"/>
                <w:highlight w:val="none"/>
              </w:rPr>
              <w:t>2万</w:t>
            </w:r>
            <w:r>
              <w:rPr>
                <w:rFonts w:ascii="宋体" w:hAnsi="宋体"/>
                <w:color w:val="auto"/>
                <w:szCs w:val="21"/>
                <w:highlight w:val="none"/>
              </w:rPr>
              <w:t>元</w:t>
            </w:r>
            <w:r>
              <w:rPr>
                <w:rFonts w:hint="eastAsia" w:ascii="宋体" w:hAnsi="宋体"/>
                <w:color w:val="auto"/>
                <w:szCs w:val="21"/>
                <w:highlight w:val="none"/>
              </w:rPr>
              <w:t>计</w:t>
            </w:r>
            <w:r>
              <w:rPr>
                <w:rFonts w:ascii="宋体" w:hAnsi="宋体"/>
                <w:color w:val="auto"/>
                <w:szCs w:val="21"/>
                <w:highlight w:val="none"/>
              </w:rPr>
              <w:t>取，服务费低于</w:t>
            </w:r>
            <w:r>
              <w:rPr>
                <w:rFonts w:hint="eastAsia" w:ascii="宋体" w:hAnsi="宋体"/>
                <w:color w:val="auto"/>
                <w:szCs w:val="21"/>
                <w:highlight w:val="none"/>
              </w:rPr>
              <w:t>5000元</w:t>
            </w:r>
            <w:r>
              <w:rPr>
                <w:rFonts w:ascii="宋体" w:hAnsi="宋体"/>
                <w:color w:val="auto"/>
                <w:szCs w:val="21"/>
                <w:highlight w:val="none"/>
              </w:rPr>
              <w:t>的，按</w:t>
            </w:r>
            <w:r>
              <w:rPr>
                <w:rFonts w:hint="eastAsia" w:ascii="宋体" w:hAnsi="宋体"/>
                <w:color w:val="auto"/>
                <w:szCs w:val="21"/>
                <w:highlight w:val="none"/>
              </w:rPr>
              <w:t>5000元</w:t>
            </w:r>
            <w:r>
              <w:rPr>
                <w:rFonts w:ascii="宋体" w:hAnsi="宋体"/>
                <w:color w:val="auto"/>
                <w:szCs w:val="21"/>
                <w:highlight w:val="none"/>
              </w:rPr>
              <w:t>计取。</w:t>
            </w:r>
          </w:p>
        </w:tc>
      </w:tr>
    </w:tbl>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100万元×1.0%＝1万元</w:t>
      </w:r>
    </w:p>
    <w:p>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（300-100）万元×0.7%＝1.4万元</w:t>
      </w:r>
    </w:p>
    <w:p>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合计收费＝1+1.4＝2.4（万元）</w:t>
      </w:r>
    </w:p>
    <w:p>
      <w:pPr>
        <w:adjustRightInd w:val="0"/>
        <w:snapToGrid w:val="0"/>
        <w:spacing w:line="360" w:lineRule="auto"/>
        <w:ind w:firstLine="420" w:firstLineChars="200"/>
        <w:jc w:val="left"/>
        <w:rPr>
          <w:rFonts w:ascii="宋体" w:hAnsi="宋体" w:cs="宋体"/>
          <w:b/>
          <w:color w:val="auto"/>
          <w:szCs w:val="21"/>
          <w:highlight w:val="none"/>
        </w:rPr>
        <w:sectPr>
          <w:footerReference r:id="rId8" w:type="default"/>
          <w:pgSz w:w="11906" w:h="16838"/>
          <w:pgMar w:top="1440" w:right="1797" w:bottom="1440" w:left="1797" w:header="851" w:footer="851" w:gutter="0"/>
          <w:pgNumType w:fmt="decimal"/>
          <w:cols w:space="720" w:num="1"/>
          <w:docGrid w:linePitch="312" w:charSpace="0"/>
        </w:sectPr>
      </w:pPr>
      <w:r>
        <w:rPr>
          <w:rFonts w:hint="eastAsia" w:ascii="宋体" w:hAnsi="宋体" w:cs="宋体"/>
          <w:color w:val="auto"/>
          <w:szCs w:val="21"/>
          <w:highlight w:val="none"/>
        </w:rPr>
        <w:t>本项目采购代理服务费为2万元</w:t>
      </w:r>
    </w:p>
    <w:p>
      <w:pPr>
        <w:pStyle w:val="3"/>
        <w:keepNext w:val="0"/>
        <w:spacing w:line="360" w:lineRule="auto"/>
        <w:rPr>
          <w:rFonts w:ascii="宋体" w:hAnsi="宋体" w:cs="宋体"/>
          <w:bCs w:val="0"/>
          <w:color w:val="auto"/>
          <w:sz w:val="32"/>
          <w:szCs w:val="32"/>
          <w:highlight w:val="none"/>
        </w:rPr>
      </w:pPr>
      <w:bookmarkStart w:id="42" w:name="_Toc5567"/>
      <w:bookmarkStart w:id="43" w:name="_Toc28427"/>
      <w:bookmarkStart w:id="44" w:name="_Toc4275"/>
      <w:bookmarkStart w:id="45" w:name="_Toc6237"/>
      <w:r>
        <w:rPr>
          <w:rFonts w:hint="eastAsia" w:ascii="宋体" w:hAnsi="宋体" w:cs="宋体"/>
          <w:bCs w:val="0"/>
          <w:color w:val="auto"/>
          <w:sz w:val="32"/>
          <w:szCs w:val="32"/>
          <w:highlight w:val="none"/>
        </w:rPr>
        <w:t>第三章  评审办法及标准</w:t>
      </w:r>
      <w:bookmarkEnd w:id="42"/>
      <w:bookmarkEnd w:id="43"/>
      <w:bookmarkEnd w:id="44"/>
      <w:bookmarkEnd w:id="45"/>
    </w:p>
    <w:p>
      <w:pPr>
        <w:adjustRightInd w:val="0"/>
        <w:snapToGrid w:val="0"/>
        <w:spacing w:line="360" w:lineRule="auto"/>
        <w:ind w:left="632" w:hanging="632" w:hangingChars="300"/>
        <w:rPr>
          <w:rFonts w:ascii="宋体" w:hAnsi="宋体" w:cs="宋体"/>
          <w:b/>
          <w:color w:val="auto"/>
          <w:szCs w:val="21"/>
          <w:highlight w:val="none"/>
        </w:rPr>
      </w:pP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一、评审办法</w:t>
      </w:r>
    </w:p>
    <w:p>
      <w:pPr>
        <w:widowControl/>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1.本项目采用经符合性审查合格后的</w:t>
      </w:r>
      <w:r>
        <w:rPr>
          <w:rFonts w:hint="eastAsia" w:ascii="宋体" w:hAnsi="宋体" w:cs="宋体"/>
          <w:b/>
          <w:bCs/>
          <w:color w:val="auto"/>
          <w:szCs w:val="21"/>
          <w:highlight w:val="none"/>
          <w:u w:val="single"/>
        </w:rPr>
        <w:t>最低价法</w:t>
      </w:r>
      <w:r>
        <w:rPr>
          <w:rFonts w:hint="eastAsia" w:ascii="宋体" w:hAnsi="宋体" w:cs="宋体"/>
          <w:color w:val="auto"/>
          <w:szCs w:val="21"/>
          <w:highlight w:val="none"/>
        </w:rPr>
        <w:t>。</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二、谈判程序</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2.2谈判程序分为：</w:t>
      </w:r>
      <w:r>
        <w:rPr>
          <w:rFonts w:hint="eastAsia" w:ascii="宋体" w:hAnsi="宋体" w:cs="宋体"/>
          <w:b/>
          <w:color w:val="auto"/>
          <w:szCs w:val="21"/>
          <w:highlight w:val="none"/>
        </w:rPr>
        <w:t>谈判验证阶段及谈判评审阶段。</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三、谈判验证阶段</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谈判验证阶段分为身份验证和唱价。</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3.1身份验证阶段</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3.1.2参与谈判的代表身份经验证不合格的，视为无效响应，</w:t>
      </w:r>
      <w:r>
        <w:rPr>
          <w:rFonts w:hint="eastAsia" w:ascii="宋体" w:hAnsi="宋体" w:cs="宋体"/>
          <w:color w:val="auto"/>
          <w:szCs w:val="21"/>
          <w:highlight w:val="none"/>
        </w:rPr>
        <w:t>不得进入下一阶段。</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3.2.唱价阶段</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3.2.2谈判单位法定代表人或授权委托人、现场监审、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四、谈判评审阶段</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谈判评审阶段分为符合性审查、详细评审及推荐中选单位。</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4.符合性审查阶段</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符合性审查分为对谈判单位资格的符合性审查及报价的符合性审查。</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4.1资格的符合性审查</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谈判评审</w:t>
      </w:r>
      <w:r>
        <w:rPr>
          <w:rFonts w:hint="eastAsia" w:ascii="宋体" w:hAnsi="宋体" w:cs="宋体"/>
          <w:bCs/>
          <w:color w:val="auto"/>
          <w:szCs w:val="21"/>
          <w:highlight w:val="none"/>
        </w:rPr>
        <w:t>小组</w:t>
      </w:r>
      <w:r>
        <w:rPr>
          <w:rFonts w:hint="eastAsia" w:ascii="宋体" w:hAnsi="宋体" w:cs="宋体"/>
          <w:color w:val="auto"/>
          <w:szCs w:val="21"/>
          <w:highlight w:val="none"/>
        </w:rPr>
        <w:t>根据本谈判文件</w:t>
      </w:r>
      <w:r>
        <w:rPr>
          <w:rFonts w:hint="eastAsia" w:ascii="宋体" w:hAnsi="宋体" w:cs="宋体"/>
          <w:b/>
          <w:color w:val="auto"/>
          <w:szCs w:val="21"/>
          <w:highlight w:val="none"/>
        </w:rPr>
        <w:t>前附表</w:t>
      </w:r>
      <w:r>
        <w:rPr>
          <w:rFonts w:hint="eastAsia" w:ascii="宋体" w:hAnsi="宋体" w:cs="宋体"/>
          <w:color w:val="auto"/>
          <w:szCs w:val="21"/>
          <w:highlight w:val="none"/>
        </w:rPr>
        <w:t>内规定的谈判单位资格要求，对谈判单位进行符合性审查，资格审查以谈判单位递交的原件资料为准。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4.2报价的符合性审查</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4.3有下列情形之一的，为符合性审查不合格，视为无效响应，不进入下一阶段：</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（1）未按照谈判文件规定要求签署盖章的。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（2）响应</w:t>
      </w:r>
      <w:r>
        <w:rPr>
          <w:rFonts w:hint="eastAsia" w:ascii="宋体" w:hAnsi="宋体" w:cs="宋体"/>
          <w:color w:val="auto"/>
          <w:kern w:val="0"/>
          <w:szCs w:val="21"/>
          <w:highlight w:val="none"/>
        </w:rPr>
        <w:t>文件有效期不满足谈判文件规定的。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（3）未带加盖谈判单位公章的营业执照</w:t>
      </w:r>
      <w:r>
        <w:rPr>
          <w:rFonts w:hint="eastAsia" w:ascii="宋体" w:hAnsi="宋体"/>
          <w:color w:val="auto"/>
          <w:szCs w:val="21"/>
          <w:highlight w:val="none"/>
          <w:lang w:eastAsia="zh-CN"/>
        </w:rPr>
        <w:t>或事业单位法人证书</w:t>
      </w:r>
      <w:r>
        <w:rPr>
          <w:rFonts w:hint="eastAsia" w:ascii="宋体" w:hAnsi="宋体"/>
          <w:color w:val="auto"/>
          <w:szCs w:val="21"/>
          <w:highlight w:val="none"/>
        </w:rPr>
        <w:t>复印件的。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（4）不满足资格条件要求的。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（5）不满足用户需求书要求的。</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（6）超过</w:t>
      </w:r>
      <w:r>
        <w:rPr>
          <w:rFonts w:hint="eastAsia" w:ascii="宋体" w:hAnsi="宋体"/>
          <w:color w:val="auto"/>
          <w:szCs w:val="21"/>
          <w:highlight w:val="none"/>
        </w:rPr>
        <w:t>最高投标限价的</w:t>
      </w:r>
      <w:r>
        <w:rPr>
          <w:rFonts w:hint="eastAsia" w:ascii="宋体" w:hAnsi="宋体" w:cs="宋体"/>
          <w:color w:val="auto"/>
          <w:kern w:val="0"/>
          <w:szCs w:val="21"/>
          <w:highlight w:val="none"/>
        </w:rPr>
        <w:t>。</w:t>
      </w:r>
    </w:p>
    <w:p>
      <w:pPr>
        <w:adjustRightInd w:val="0"/>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（7）递交两份或多份内容不同的报价文件，或在一份报价文件中对同一项目报有两个或多个报价，且未声明哪一个有效的。</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olor w:val="auto"/>
          <w:szCs w:val="21"/>
          <w:highlight w:val="none"/>
        </w:rPr>
        <w:t>（8）被长沙市轨道交通集团函告禁止在一定期限内参与轨道公司项目投标或谈判的单位按函告内容执行。</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5.</w:t>
      </w:r>
      <w:r>
        <w:rPr>
          <w:rFonts w:hint="eastAsia" w:ascii="宋体" w:hAnsi="宋体" w:cs="宋体"/>
          <w:b/>
          <w:bCs/>
          <w:color w:val="auto"/>
          <w:szCs w:val="21"/>
          <w:highlight w:val="none"/>
        </w:rPr>
        <w:t>详细评审阶段</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6.推荐中选单位</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6.1</w:t>
      </w:r>
      <w:r>
        <w:rPr>
          <w:rFonts w:hint="eastAsia" w:ascii="宋体" w:hAnsi="宋体" w:cs="宋体"/>
          <w:color w:val="auto"/>
          <w:kern w:val="0"/>
          <w:szCs w:val="21"/>
          <w:highlight w:val="none"/>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bCs/>
          <w:color w:val="auto"/>
          <w:szCs w:val="21"/>
          <w:highlight w:val="none"/>
        </w:rPr>
        <w:sectPr>
          <w:pgSz w:w="11906" w:h="16838"/>
          <w:pgMar w:top="1440" w:right="1797" w:bottom="1440" w:left="1797" w:header="851" w:footer="851" w:gutter="0"/>
          <w:pgNumType w:fmt="decimal"/>
          <w:cols w:space="720" w:num="1"/>
          <w:docGrid w:linePitch="312" w:charSpace="0"/>
        </w:sectPr>
      </w:pPr>
      <w:r>
        <w:rPr>
          <w:rFonts w:hint="eastAsia" w:ascii="宋体" w:hAnsi="宋体" w:cs="宋体"/>
          <w:color w:val="auto"/>
          <w:kern w:val="0"/>
          <w:szCs w:val="21"/>
          <w:highlight w:val="none"/>
        </w:rPr>
        <w:t>6.2全部评审结束后，若出现报价得分相同的情形，则采用现场抽签方式确定中选单位。</w:t>
      </w:r>
      <w:r>
        <w:rPr>
          <w:rFonts w:hint="eastAsia" w:ascii="宋体" w:hAnsi="宋体" w:cs="宋体"/>
          <w:color w:val="auto"/>
          <w:kern w:val="0"/>
          <w:szCs w:val="21"/>
          <w:highlight w:val="none"/>
        </w:rPr>
        <w:br w:type="page"/>
      </w:r>
    </w:p>
    <w:p>
      <w:pPr>
        <w:pStyle w:val="3"/>
        <w:keepNext w:val="0"/>
        <w:rPr>
          <w:rFonts w:ascii="宋体" w:hAnsi="宋体" w:cs="宋体"/>
          <w:bCs w:val="0"/>
          <w:color w:val="auto"/>
          <w:sz w:val="32"/>
          <w:szCs w:val="32"/>
          <w:highlight w:val="none"/>
        </w:rPr>
      </w:pPr>
      <w:bookmarkStart w:id="46" w:name="_Toc17997"/>
      <w:bookmarkStart w:id="47" w:name="_Toc23442"/>
      <w:bookmarkStart w:id="48" w:name="_Toc17562"/>
      <w:bookmarkStart w:id="49" w:name="_Toc14891077"/>
      <w:bookmarkStart w:id="50" w:name="_Toc16230"/>
      <w:r>
        <w:rPr>
          <w:rFonts w:hint="eastAsia" w:ascii="宋体" w:hAnsi="宋体" w:cs="宋体"/>
          <w:bCs w:val="0"/>
          <w:color w:val="auto"/>
          <w:sz w:val="32"/>
          <w:szCs w:val="32"/>
          <w:highlight w:val="none"/>
        </w:rPr>
        <w:t>第四章  用户需求书</w:t>
      </w:r>
      <w:bookmarkEnd w:id="46"/>
      <w:bookmarkEnd w:id="47"/>
      <w:bookmarkEnd w:id="48"/>
      <w:bookmarkEnd w:id="49"/>
      <w:r>
        <w:rPr>
          <w:rFonts w:hint="eastAsia" w:ascii="宋体" w:hAnsi="宋体" w:cs="宋体"/>
          <w:bCs w:val="0"/>
          <w:color w:val="auto"/>
          <w:sz w:val="32"/>
          <w:szCs w:val="32"/>
          <w:highlight w:val="none"/>
        </w:rPr>
        <w:t>（另册）</w:t>
      </w:r>
      <w:bookmarkEnd w:id="50"/>
    </w:p>
    <w:p>
      <w:pPr>
        <w:rPr>
          <w:color w:val="auto"/>
          <w:highlight w:val="none"/>
        </w:rPr>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pPr>
    </w:p>
    <w:p>
      <w:pPr>
        <w:pStyle w:val="18"/>
        <w:rPr>
          <w:color w:val="auto"/>
          <w:highlight w:val="none"/>
        </w:rPr>
      </w:pPr>
    </w:p>
    <w:p>
      <w:pPr>
        <w:pStyle w:val="3"/>
        <w:keepNext w:val="0"/>
        <w:numPr>
          <w:ilvl w:val="0"/>
          <w:numId w:val="2"/>
        </w:numPr>
        <w:rPr>
          <w:rFonts w:hint="eastAsia" w:ascii="宋体" w:hAnsi="宋体" w:cs="宋体"/>
          <w:bCs w:val="0"/>
          <w:color w:val="auto"/>
          <w:sz w:val="32"/>
          <w:szCs w:val="32"/>
          <w:highlight w:val="none"/>
        </w:rPr>
      </w:pPr>
      <w:bookmarkStart w:id="51" w:name="_Toc14891078"/>
      <w:bookmarkStart w:id="52" w:name="_Toc21441"/>
      <w:bookmarkStart w:id="53" w:name="_Toc22262"/>
      <w:bookmarkStart w:id="54" w:name="_Toc17441"/>
      <w:bookmarkStart w:id="55" w:name="_Toc13521"/>
      <w:r>
        <w:rPr>
          <w:rFonts w:hint="eastAsia" w:ascii="宋体" w:hAnsi="宋体" w:cs="宋体"/>
          <w:bCs w:val="0"/>
          <w:color w:val="auto"/>
          <w:sz w:val="32"/>
          <w:szCs w:val="32"/>
          <w:highlight w:val="none"/>
        </w:rPr>
        <w:t>合同格式条款</w:t>
      </w:r>
      <w:bookmarkEnd w:id="51"/>
      <w:bookmarkEnd w:id="52"/>
      <w:bookmarkEnd w:id="53"/>
      <w:bookmarkEnd w:id="54"/>
      <w:bookmarkEnd w:id="55"/>
    </w:p>
    <w:p>
      <w:pPr>
        <w:numPr>
          <w:ilvl w:val="0"/>
          <w:numId w:val="0"/>
        </w:numPr>
        <w:rPr>
          <w:color w:val="auto"/>
          <w:highlight w:val="none"/>
        </w:rPr>
      </w:pPr>
    </w:p>
    <w:p>
      <w:pPr>
        <w:jc w:val="left"/>
        <w:rPr>
          <w:rFonts w:hint="eastAsia" w:ascii="仿宋_GB2312" w:hAnsi="仿宋_GB2312" w:eastAsia="仿宋_GB2312" w:cs="仿宋_GB2312"/>
          <w:b/>
          <w:color w:val="auto"/>
          <w:sz w:val="24"/>
          <w:highlight w:val="none"/>
        </w:rPr>
      </w:pPr>
      <w:bookmarkStart w:id="56" w:name="_Toc227520433"/>
      <w:bookmarkEnd w:id="56"/>
      <w:bookmarkStart w:id="57" w:name="_Toc367274929"/>
      <w:bookmarkEnd w:id="57"/>
      <w:r>
        <w:rPr>
          <w:rFonts w:hint="eastAsia" w:ascii="仿宋_GB2312" w:hAnsi="仿宋_GB2312" w:eastAsia="仿宋_GB2312" w:cs="仿宋_GB2312"/>
          <w:b/>
          <w:color w:val="auto"/>
          <w:sz w:val="24"/>
          <w:highlight w:val="none"/>
        </w:rPr>
        <w:t>版本号：CSGDHT-JSFW(SBJC)2019-20200220</w:t>
      </w:r>
    </w:p>
    <w:p>
      <w:pPr>
        <w:adjustRightInd w:val="0"/>
        <w:snapToGrid w:val="0"/>
        <w:spacing w:line="360" w:lineRule="auto"/>
        <w:ind w:firstLine="2891" w:firstLineChars="1200"/>
        <w:jc w:val="right"/>
        <w:rPr>
          <w:rFonts w:hint="eastAsia" w:ascii="仿宋_GB2312" w:hAnsi="仿宋_GB2312" w:eastAsia="仿宋_GB2312" w:cs="仿宋_GB2312"/>
          <w:b/>
          <w:color w:val="auto"/>
          <w:sz w:val="24"/>
          <w:highlight w:val="none"/>
        </w:rPr>
      </w:pPr>
    </w:p>
    <w:p>
      <w:pPr>
        <w:adjustRightInd w:val="0"/>
        <w:snapToGrid w:val="0"/>
        <w:spacing w:line="360" w:lineRule="auto"/>
        <w:ind w:firstLine="2891" w:firstLineChars="1200"/>
        <w:jc w:val="right"/>
        <w:rPr>
          <w:rFonts w:hint="eastAsia" w:ascii="仿宋_GB2312" w:hAnsi="仿宋_GB2312" w:eastAsia="仿宋_GB2312" w:cs="仿宋_GB2312"/>
          <w:color w:val="auto"/>
          <w:sz w:val="22"/>
          <w:szCs w:val="18"/>
          <w:highlight w:val="none"/>
        </w:rPr>
      </w:pPr>
      <w:r>
        <w:rPr>
          <w:rFonts w:hint="eastAsia" w:ascii="仿宋_GB2312" w:hAnsi="仿宋_GB2312" w:eastAsia="仿宋_GB2312" w:cs="仿宋_GB2312"/>
          <w:b/>
          <w:color w:val="auto"/>
          <w:sz w:val="24"/>
          <w:highlight w:val="none"/>
        </w:rPr>
        <w:t>合同编号：</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u w:val="dotted"/>
          <w:lang w:val="en-US" w:eastAsia="zh-CN"/>
        </w:rPr>
        <w:t xml:space="preserve">  </w:t>
      </w:r>
      <w:r>
        <w:rPr>
          <w:rFonts w:hint="eastAsia" w:ascii="仿宋_GB2312" w:hAnsi="仿宋_GB2312" w:eastAsia="仿宋_GB2312" w:cs="仿宋_GB2312"/>
          <w:color w:val="auto"/>
          <w:sz w:val="24"/>
          <w:highlight w:val="none"/>
          <w:u w:val="dotted"/>
        </w:rPr>
        <w:t xml:space="preserve">  合同【20   】   号</w:t>
      </w:r>
    </w:p>
    <w:p>
      <w:pPr>
        <w:adjustRightInd w:val="0"/>
        <w:snapToGrid w:val="0"/>
        <w:spacing w:line="360" w:lineRule="auto"/>
        <w:rPr>
          <w:rFonts w:hint="eastAsia" w:ascii="仿宋_GB2312" w:hAnsi="仿宋_GB2312" w:eastAsia="仿宋_GB2312" w:cs="仿宋_GB2312"/>
          <w:b/>
          <w:color w:val="auto"/>
          <w:sz w:val="18"/>
          <w:szCs w:val="18"/>
          <w:highlight w:val="none"/>
        </w:rPr>
      </w:pPr>
    </w:p>
    <w:p>
      <w:pPr>
        <w:adjustRightInd w:val="0"/>
        <w:snapToGrid w:val="0"/>
        <w:spacing w:line="360" w:lineRule="auto"/>
        <w:rPr>
          <w:rFonts w:hint="eastAsia" w:ascii="仿宋_GB2312" w:hAnsi="仿宋_GB2312" w:eastAsia="仿宋_GB2312" w:cs="仿宋_GB2312"/>
          <w:b/>
          <w:color w:val="auto"/>
          <w:sz w:val="18"/>
          <w:szCs w:val="18"/>
          <w:highlight w:val="none"/>
        </w:rPr>
      </w:pPr>
    </w:p>
    <w:p>
      <w:pPr>
        <w:adjustRightInd w:val="0"/>
        <w:snapToGrid w:val="0"/>
        <w:spacing w:line="360" w:lineRule="auto"/>
        <w:rPr>
          <w:rFonts w:hint="eastAsia" w:ascii="仿宋_GB2312" w:hAnsi="仿宋_GB2312" w:eastAsia="仿宋_GB2312" w:cs="仿宋_GB2312"/>
          <w:b/>
          <w:color w:val="auto"/>
          <w:sz w:val="18"/>
          <w:szCs w:val="18"/>
          <w:highlight w:val="none"/>
        </w:rPr>
      </w:pPr>
    </w:p>
    <w:p>
      <w:pPr>
        <w:adjustRightInd w:val="0"/>
        <w:snapToGrid w:val="0"/>
        <w:spacing w:line="360" w:lineRule="auto"/>
        <w:rPr>
          <w:rFonts w:hint="eastAsia" w:ascii="仿宋_GB2312" w:hAnsi="仿宋_GB2312" w:eastAsia="仿宋_GB2312" w:cs="仿宋_GB2312"/>
          <w:b/>
          <w:color w:val="auto"/>
          <w:sz w:val="18"/>
          <w:szCs w:val="18"/>
          <w:highlight w:val="none"/>
        </w:rPr>
      </w:pPr>
    </w:p>
    <w:p>
      <w:pPr>
        <w:adjustRightInd w:val="0"/>
        <w:snapToGrid w:val="0"/>
        <w:spacing w:line="360" w:lineRule="auto"/>
        <w:rPr>
          <w:rFonts w:hint="eastAsia" w:ascii="仿宋_GB2312" w:hAnsi="仿宋_GB2312" w:eastAsia="仿宋_GB2312" w:cs="仿宋_GB2312"/>
          <w:b/>
          <w:color w:val="auto"/>
          <w:sz w:val="18"/>
          <w:szCs w:val="18"/>
          <w:highlight w:val="none"/>
        </w:rPr>
      </w:pPr>
    </w:p>
    <w:p>
      <w:pPr>
        <w:snapToGrid w:val="0"/>
        <w:jc w:val="center"/>
        <w:rPr>
          <w:rFonts w:hint="eastAsia" w:ascii="仿宋_GB2312" w:hAnsi="仿宋_GB2312" w:eastAsia="仿宋_GB2312" w:cs="仿宋_GB2312"/>
          <w:b/>
          <w:color w:val="auto"/>
          <w:sz w:val="52"/>
          <w:szCs w:val="52"/>
          <w:highlight w:val="none"/>
        </w:rPr>
      </w:pPr>
    </w:p>
    <w:p>
      <w:pPr>
        <w:snapToGrid w:val="0"/>
        <w:jc w:val="center"/>
        <w:rPr>
          <w:rFonts w:hint="eastAsia" w:ascii="仿宋_GB2312" w:hAnsi="仿宋_GB2312" w:eastAsia="仿宋_GB2312" w:cs="仿宋_GB2312"/>
          <w:b/>
          <w:color w:val="auto"/>
          <w:sz w:val="52"/>
          <w:szCs w:val="52"/>
          <w:highlight w:val="none"/>
        </w:rPr>
      </w:pPr>
      <w:r>
        <w:rPr>
          <w:rFonts w:hint="eastAsia" w:ascii="仿宋_GB2312" w:hAnsi="仿宋_GB2312" w:eastAsia="仿宋_GB2312" w:cs="仿宋_GB2312"/>
          <w:b/>
          <w:color w:val="auto"/>
          <w:sz w:val="52"/>
          <w:szCs w:val="52"/>
          <w:highlight w:val="none"/>
        </w:rPr>
        <w:t>技术服务合同</w:t>
      </w:r>
    </w:p>
    <w:p>
      <w:pPr>
        <w:snapToGrid w:val="0"/>
        <w:jc w:val="center"/>
        <w:rPr>
          <w:rFonts w:hint="eastAsia" w:ascii="仿宋_GB2312" w:hAnsi="仿宋_GB2312" w:eastAsia="仿宋_GB2312" w:cs="仿宋_GB2312"/>
          <w:b/>
          <w:color w:val="auto"/>
          <w:sz w:val="52"/>
          <w:szCs w:val="52"/>
          <w:highlight w:val="none"/>
        </w:rPr>
      </w:pPr>
      <w:r>
        <w:rPr>
          <w:rFonts w:hint="eastAsia" w:ascii="仿宋_GB2312" w:hAnsi="仿宋_GB2312" w:eastAsia="仿宋_GB2312" w:cs="仿宋_GB2312"/>
          <w:b/>
          <w:color w:val="auto"/>
          <w:sz w:val="52"/>
          <w:szCs w:val="52"/>
          <w:highlight w:val="none"/>
        </w:rPr>
        <w:t>(运营期设备、工器具委外检测服务)</w:t>
      </w:r>
    </w:p>
    <w:p>
      <w:pPr>
        <w:adjustRightInd w:val="0"/>
        <w:snapToGrid w:val="0"/>
        <w:spacing w:line="360" w:lineRule="auto"/>
        <w:jc w:val="center"/>
        <w:rPr>
          <w:rFonts w:hint="eastAsia" w:ascii="仿宋_GB2312" w:hAnsi="仿宋_GB2312" w:eastAsia="仿宋_GB2312" w:cs="仿宋_GB2312"/>
          <w:b/>
          <w:color w:val="auto"/>
          <w:sz w:val="18"/>
          <w:szCs w:val="18"/>
          <w:highlight w:val="none"/>
        </w:rPr>
      </w:pPr>
      <w:r>
        <w:rPr>
          <w:rFonts w:hint="eastAsia" w:ascii="仿宋_GB2312" w:hAnsi="仿宋_GB2312" w:eastAsia="仿宋_GB2312" w:cs="仿宋_GB2312"/>
          <w:b/>
          <w:color w:val="auto"/>
          <w:spacing w:val="20"/>
          <w:sz w:val="48"/>
          <w:szCs w:val="48"/>
          <w:highlight w:val="none"/>
        </w:rPr>
        <w:t xml:space="preserve"> </w:t>
      </w:r>
    </w:p>
    <w:p>
      <w:pPr>
        <w:adjustRightInd w:val="0"/>
        <w:snapToGrid w:val="0"/>
        <w:spacing w:line="360" w:lineRule="auto"/>
        <w:rPr>
          <w:rFonts w:hint="eastAsia" w:ascii="仿宋_GB2312" w:hAnsi="仿宋_GB2312" w:eastAsia="仿宋_GB2312" w:cs="仿宋_GB2312"/>
          <w:b/>
          <w:color w:val="auto"/>
          <w:sz w:val="18"/>
          <w:szCs w:val="18"/>
          <w:highlight w:val="none"/>
        </w:rPr>
      </w:pPr>
    </w:p>
    <w:p>
      <w:pPr>
        <w:adjustRightInd w:val="0"/>
        <w:snapToGrid w:val="0"/>
        <w:spacing w:line="360" w:lineRule="auto"/>
        <w:rPr>
          <w:rFonts w:hint="eastAsia" w:ascii="仿宋_GB2312" w:hAnsi="仿宋_GB2312" w:eastAsia="仿宋_GB2312" w:cs="仿宋_GB2312"/>
          <w:b/>
          <w:color w:val="auto"/>
          <w:sz w:val="18"/>
          <w:szCs w:val="18"/>
          <w:highlight w:val="none"/>
        </w:rPr>
      </w:pPr>
    </w:p>
    <w:p>
      <w:pPr>
        <w:adjustRightInd w:val="0"/>
        <w:snapToGrid w:val="0"/>
        <w:spacing w:line="360" w:lineRule="auto"/>
        <w:rPr>
          <w:rFonts w:hint="eastAsia" w:ascii="仿宋_GB2312" w:hAnsi="仿宋_GB2312" w:eastAsia="仿宋_GB2312" w:cs="仿宋_GB2312"/>
          <w:b/>
          <w:color w:val="auto"/>
          <w:sz w:val="18"/>
          <w:szCs w:val="18"/>
          <w:highlight w:val="none"/>
        </w:rPr>
      </w:pPr>
    </w:p>
    <w:p>
      <w:pPr>
        <w:adjustRightInd w:val="0"/>
        <w:snapToGrid w:val="0"/>
        <w:spacing w:line="360" w:lineRule="auto"/>
        <w:rPr>
          <w:rFonts w:hint="eastAsia" w:ascii="仿宋_GB2312" w:hAnsi="仿宋_GB2312" w:eastAsia="仿宋_GB2312" w:cs="仿宋_GB2312"/>
          <w:b/>
          <w:color w:val="auto"/>
          <w:sz w:val="18"/>
          <w:szCs w:val="18"/>
          <w:highlight w:val="none"/>
        </w:rPr>
      </w:pPr>
    </w:p>
    <w:p>
      <w:pPr>
        <w:ind w:firstLine="1445" w:firstLineChars="514"/>
        <w:rPr>
          <w:rFonts w:hint="eastAsia" w:ascii="仿宋_GB2312" w:hAnsi="仿宋_GB2312" w:eastAsia="仿宋_GB2312" w:cs="仿宋_GB2312"/>
          <w:b/>
          <w:color w:val="auto"/>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color w:val="auto"/>
          <w:sz w:val="28"/>
          <w:szCs w:val="28"/>
          <w:highlight w:val="none"/>
          <w:u w:val="dotted"/>
          <w:lang w:val="en-US" w:eastAsia="zh-CN"/>
        </w:rPr>
      </w:pPr>
      <w:r>
        <w:rPr>
          <w:rFonts w:hint="eastAsia" w:ascii="仿宋_GB2312" w:hAnsi="仿宋_GB2312" w:eastAsia="仿宋_GB2312" w:cs="仿宋_GB2312"/>
          <w:b/>
          <w:color w:val="auto"/>
          <w:sz w:val="28"/>
          <w:szCs w:val="28"/>
          <w:highlight w:val="none"/>
        </w:rPr>
        <w:t>项目名称：</w:t>
      </w:r>
      <w:r>
        <w:rPr>
          <w:rFonts w:hint="eastAsia" w:ascii="仿宋_GB2312" w:hAnsi="仿宋_GB2312" w:eastAsia="仿宋_GB2312" w:cs="仿宋_GB2312"/>
          <w:b/>
          <w:color w:val="auto"/>
          <w:sz w:val="28"/>
          <w:szCs w:val="28"/>
          <w:highlight w:val="none"/>
          <w:u w:val="dotted"/>
          <w:lang w:eastAsia="zh-CN"/>
        </w:rPr>
        <w:t>长沙市轨道交通</w:t>
      </w:r>
      <w:r>
        <w:rPr>
          <w:rFonts w:hint="eastAsia" w:ascii="仿宋_GB2312" w:hAnsi="仿宋_GB2312" w:eastAsia="仿宋_GB2312" w:cs="仿宋_GB2312"/>
          <w:b/>
          <w:color w:val="auto"/>
          <w:sz w:val="28"/>
          <w:szCs w:val="28"/>
          <w:highlight w:val="none"/>
          <w:u w:val="dotted"/>
          <w:lang w:val="en-US" w:eastAsia="zh-CN"/>
        </w:rPr>
        <w:t>1、2、3、4、5号线运营期2020年-2021年计量器具委外检测服务项目</w:t>
      </w:r>
    </w:p>
    <w:p>
      <w:pPr>
        <w:adjustRightInd w:val="0"/>
        <w:snapToGrid w:val="0"/>
        <w:spacing w:line="360" w:lineRule="auto"/>
        <w:ind w:firstLine="835" w:firstLineChars="297"/>
        <w:rPr>
          <w:rFonts w:hint="eastAsia" w:ascii="仿宋_GB2312" w:hAnsi="仿宋_GB2312" w:eastAsia="仿宋_GB2312" w:cs="仿宋_GB2312"/>
          <w:b/>
          <w:color w:val="auto"/>
          <w:sz w:val="28"/>
          <w:szCs w:val="28"/>
          <w:highlight w:val="none"/>
          <w:u w:val="dotted"/>
        </w:rPr>
      </w:pPr>
    </w:p>
    <w:p>
      <w:pPr>
        <w:adjustRightInd w:val="0"/>
        <w:snapToGrid w:val="0"/>
        <w:spacing w:line="360" w:lineRule="auto"/>
        <w:ind w:firstLine="835" w:firstLineChars="297"/>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项目地点：</w:t>
      </w:r>
      <w:r>
        <w:rPr>
          <w:rFonts w:hint="eastAsia" w:ascii="仿宋_GB2312" w:hAnsi="仿宋_GB2312" w:eastAsia="仿宋_GB2312" w:cs="仿宋_GB2312"/>
          <w:b/>
          <w:color w:val="auto"/>
          <w:sz w:val="28"/>
          <w:szCs w:val="28"/>
          <w:highlight w:val="none"/>
          <w:u w:val="dotted"/>
        </w:rPr>
        <w:t xml:space="preserve">           湖南省长沙市              </w:t>
      </w:r>
    </w:p>
    <w:p>
      <w:pPr>
        <w:adjustRightInd w:val="0"/>
        <w:snapToGrid w:val="0"/>
        <w:spacing w:line="360" w:lineRule="auto"/>
        <w:ind w:firstLine="1344" w:firstLineChars="478"/>
        <w:rPr>
          <w:rFonts w:hint="eastAsia" w:ascii="仿宋_GB2312" w:hAnsi="仿宋_GB2312" w:eastAsia="仿宋_GB2312" w:cs="仿宋_GB2312"/>
          <w:b/>
          <w:color w:val="auto"/>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color w:val="auto"/>
          <w:sz w:val="28"/>
          <w:szCs w:val="28"/>
          <w:highlight w:val="none"/>
          <w:u w:val="dotted"/>
        </w:rPr>
      </w:pPr>
      <w:r>
        <w:rPr>
          <w:rFonts w:hint="eastAsia" w:ascii="仿宋_GB2312" w:hAnsi="仿宋_GB2312" w:eastAsia="仿宋_GB2312" w:cs="仿宋_GB2312"/>
          <w:b/>
          <w:color w:val="auto"/>
          <w:sz w:val="28"/>
          <w:szCs w:val="28"/>
          <w:highlight w:val="none"/>
        </w:rPr>
        <w:t>委 托 人：</w:t>
      </w:r>
      <w:r>
        <w:rPr>
          <w:rFonts w:hint="eastAsia" w:ascii="仿宋_GB2312" w:hAnsi="仿宋_GB2312" w:eastAsia="仿宋_GB2312" w:cs="仿宋_GB2312"/>
          <w:b/>
          <w:color w:val="auto"/>
          <w:sz w:val="28"/>
          <w:szCs w:val="28"/>
          <w:highlight w:val="none"/>
          <w:u w:val="dotted"/>
        </w:rPr>
        <w:t xml:space="preserve">                                     </w:t>
      </w:r>
    </w:p>
    <w:p>
      <w:pPr>
        <w:adjustRightInd w:val="0"/>
        <w:snapToGrid w:val="0"/>
        <w:spacing w:line="360" w:lineRule="auto"/>
        <w:ind w:firstLine="1344" w:firstLineChars="478"/>
        <w:rPr>
          <w:rFonts w:hint="eastAsia" w:ascii="仿宋_GB2312" w:hAnsi="仿宋_GB2312" w:eastAsia="仿宋_GB2312" w:cs="仿宋_GB2312"/>
          <w:b/>
          <w:color w:val="auto"/>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color w:val="auto"/>
          <w:sz w:val="18"/>
          <w:szCs w:val="18"/>
          <w:highlight w:val="none"/>
        </w:rPr>
      </w:pPr>
      <w:r>
        <w:rPr>
          <w:rFonts w:hint="eastAsia" w:ascii="仿宋_GB2312" w:hAnsi="仿宋_GB2312" w:eastAsia="仿宋_GB2312" w:cs="仿宋_GB2312"/>
          <w:b/>
          <w:color w:val="auto"/>
          <w:sz w:val="28"/>
          <w:szCs w:val="28"/>
          <w:highlight w:val="none"/>
        </w:rPr>
        <w:t>受 托 人：</w:t>
      </w:r>
      <w:r>
        <w:rPr>
          <w:rFonts w:hint="eastAsia" w:ascii="仿宋_GB2312" w:hAnsi="仿宋_GB2312" w:eastAsia="仿宋_GB2312" w:cs="仿宋_GB2312"/>
          <w:b/>
          <w:color w:val="auto"/>
          <w:sz w:val="28"/>
          <w:szCs w:val="28"/>
          <w:highlight w:val="none"/>
          <w:u w:val="dotted"/>
        </w:rPr>
        <w:t xml:space="preserve">                                     </w:t>
      </w:r>
    </w:p>
    <w:p>
      <w:pPr>
        <w:adjustRightInd w:val="0"/>
        <w:snapToGrid w:val="0"/>
        <w:spacing w:line="400" w:lineRule="exact"/>
        <w:ind w:firstLine="480" w:firstLineChars="200"/>
        <w:rPr>
          <w:rFonts w:hint="eastAsia" w:ascii="仿宋_GB2312" w:hAnsi="仿宋_GB2312" w:eastAsia="仿宋_GB2312" w:cs="仿宋_GB2312"/>
          <w:color w:val="auto"/>
          <w:sz w:val="24"/>
          <w:highlight w:val="none"/>
        </w:rPr>
        <w:sectPr>
          <w:headerReference r:id="rId11" w:type="default"/>
          <w:endnotePr>
            <w:numFmt w:val="decimal"/>
          </w:endnotePr>
          <w:pgSz w:w="11906" w:h="16838"/>
          <w:pgMar w:top="1440" w:right="1797" w:bottom="1440" w:left="1797" w:header="851" w:footer="850" w:gutter="0"/>
          <w:pgNumType w:fmt="decimal"/>
          <w:cols w:space="720" w:num="1"/>
          <w:docGrid w:type="lines" w:linePitch="312" w:charSpace="0"/>
        </w:sectPr>
      </w:pPr>
    </w:p>
    <w:p>
      <w:pPr>
        <w:tabs>
          <w:tab w:val="left" w:pos="2580"/>
          <w:tab w:val="center" w:pos="5121"/>
        </w:tabs>
        <w:snapToGrid w:val="0"/>
        <w:spacing w:line="360" w:lineRule="auto"/>
        <w:jc w:val="center"/>
        <w:outlineLvl w:val="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第一部分 合同协议书</w:t>
      </w:r>
    </w:p>
    <w:p>
      <w:pPr>
        <w:adjustRightInd w:val="0"/>
        <w:snapToGrid w:val="0"/>
        <w:spacing w:line="360" w:lineRule="auto"/>
        <w:jc w:val="left"/>
        <w:rPr>
          <w:rFonts w:hint="eastAsia" w:ascii="仿宋_GB2312" w:hAnsi="仿宋_GB2312" w:eastAsia="仿宋_GB2312" w:cs="仿宋_GB2312"/>
          <w:b/>
          <w:color w:val="auto"/>
          <w:kern w:val="0"/>
          <w:sz w:val="24"/>
          <w:szCs w:val="24"/>
          <w:highlight w:val="none"/>
        </w:rPr>
      </w:pPr>
    </w:p>
    <w:p>
      <w:pPr>
        <w:adjustRightInd w:val="0"/>
        <w:snapToGrid w:val="0"/>
        <w:spacing w:line="360" w:lineRule="auto"/>
        <w:jc w:val="left"/>
        <w:rPr>
          <w:rFonts w:hint="eastAsia" w:ascii="仿宋_GB2312" w:hAnsi="仿宋_GB2312" w:eastAsia="仿宋_GB2312" w:cs="仿宋_GB2312"/>
          <w:b/>
          <w:color w:val="auto"/>
          <w:kern w:val="0"/>
          <w:sz w:val="24"/>
          <w:szCs w:val="24"/>
          <w:highlight w:val="none"/>
          <w:u w:val="single"/>
        </w:rPr>
      </w:pPr>
      <w:r>
        <w:rPr>
          <w:rFonts w:hint="eastAsia" w:ascii="仿宋_GB2312" w:hAnsi="仿宋_GB2312" w:eastAsia="仿宋_GB2312" w:cs="仿宋_GB2312"/>
          <w:b/>
          <w:color w:val="auto"/>
          <w:kern w:val="0"/>
          <w:sz w:val="24"/>
          <w:szCs w:val="24"/>
          <w:highlight w:val="none"/>
        </w:rPr>
        <w:t>委托人（以下简称甲方）：</w:t>
      </w:r>
      <w:r>
        <w:rPr>
          <w:rFonts w:hint="eastAsia" w:ascii="仿宋_GB2312" w:hAnsi="仿宋_GB2312" w:eastAsia="仿宋_GB2312" w:cs="仿宋_GB2312"/>
          <w:b/>
          <w:color w:val="auto"/>
          <w:kern w:val="0"/>
          <w:sz w:val="24"/>
          <w:szCs w:val="24"/>
          <w:highlight w:val="none"/>
          <w:u w:val="single"/>
        </w:rPr>
        <w:t xml:space="preserve">                           </w:t>
      </w:r>
    </w:p>
    <w:p>
      <w:pPr>
        <w:adjustRightInd w:val="0"/>
        <w:snapToGrid w:val="0"/>
        <w:spacing w:line="360" w:lineRule="auto"/>
        <w:jc w:val="left"/>
        <w:rPr>
          <w:rFonts w:hint="eastAsia" w:ascii="仿宋_GB2312" w:hAnsi="仿宋_GB2312" w:eastAsia="仿宋_GB2312" w:cs="仿宋_GB2312"/>
          <w:b/>
          <w:color w:val="auto"/>
          <w:kern w:val="0"/>
          <w:sz w:val="24"/>
          <w:szCs w:val="24"/>
          <w:highlight w:val="none"/>
          <w:u w:val="single"/>
        </w:rPr>
      </w:pPr>
      <w:r>
        <w:rPr>
          <w:rFonts w:hint="eastAsia" w:ascii="仿宋_GB2312" w:hAnsi="仿宋_GB2312" w:eastAsia="仿宋_GB2312" w:cs="仿宋_GB2312"/>
          <w:b/>
          <w:color w:val="auto"/>
          <w:kern w:val="0"/>
          <w:sz w:val="24"/>
          <w:szCs w:val="24"/>
          <w:highlight w:val="none"/>
        </w:rPr>
        <w:t>受托人（以下简称乙方）：</w:t>
      </w:r>
      <w:r>
        <w:rPr>
          <w:rFonts w:hint="eastAsia" w:ascii="仿宋_GB2312" w:hAnsi="仿宋_GB2312" w:eastAsia="仿宋_GB2312" w:cs="仿宋_GB2312"/>
          <w:b/>
          <w:color w:val="auto"/>
          <w:kern w:val="0"/>
          <w:sz w:val="24"/>
          <w:szCs w:val="24"/>
          <w:highlight w:val="none"/>
          <w:u w:val="single"/>
        </w:rPr>
        <w:t xml:space="preserve">                           </w:t>
      </w:r>
    </w:p>
    <w:p>
      <w:pPr>
        <w:widowControl/>
        <w:snapToGrid w:val="0"/>
        <w:spacing w:line="360" w:lineRule="auto"/>
        <w:ind w:firstLine="465"/>
        <w:jc w:val="left"/>
        <w:rPr>
          <w:rFonts w:hint="eastAsia" w:ascii="仿宋_GB2312" w:hAnsi="仿宋_GB2312" w:eastAsia="仿宋_GB2312" w:cs="仿宋_GB2312"/>
          <w:color w:val="auto"/>
          <w:sz w:val="24"/>
          <w:szCs w:val="24"/>
          <w:highlight w:val="none"/>
        </w:rPr>
      </w:pPr>
      <w:bookmarkStart w:id="58" w:name="_Toc32742"/>
      <w:bookmarkStart w:id="59" w:name="_Toc26171"/>
      <w:bookmarkStart w:id="60" w:name="_Toc26896"/>
      <w:bookmarkStart w:id="61" w:name="_Toc17907"/>
      <w:bookmarkStart w:id="62" w:name="_Toc25897"/>
      <w:bookmarkStart w:id="63" w:name="_Toc20903"/>
      <w:bookmarkStart w:id="64" w:name="_Toc9422"/>
      <w:bookmarkStart w:id="65" w:name="_Toc485"/>
      <w:r>
        <w:rPr>
          <w:rFonts w:hint="eastAsia" w:ascii="仿宋_GB2312" w:hAnsi="仿宋_GB2312" w:eastAsia="仿宋_GB2312" w:cs="仿宋_GB2312"/>
          <w:color w:val="auto"/>
          <w:sz w:val="24"/>
          <w:highlight w:val="none"/>
        </w:rPr>
        <w:t>根据《中华人民共和国合同法》及其他有关法律、法规，遵循平等、自愿、公平和诚实信用的原则，双方就下述项目委托检测及有关事项协商一致，共同签订本合同</w:t>
      </w:r>
      <w:r>
        <w:rPr>
          <w:rFonts w:hint="eastAsia" w:ascii="仿宋_GB2312" w:hAnsi="仿宋_GB2312" w:eastAsia="仿宋_GB2312" w:cs="仿宋_GB2312"/>
          <w:color w:val="auto"/>
          <w:sz w:val="24"/>
          <w:szCs w:val="24"/>
          <w:highlight w:val="none"/>
        </w:rPr>
        <w:t>。</w:t>
      </w:r>
    </w:p>
    <w:p>
      <w:pPr>
        <w:pStyle w:val="2"/>
        <w:spacing w:line="360" w:lineRule="auto"/>
        <w:ind w:left="0" w:leftChars="0" w:firstLine="482" w:firstLineChars="200"/>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一、项目概况</w:t>
      </w:r>
      <w:bookmarkEnd w:id="58"/>
      <w:bookmarkEnd w:id="59"/>
      <w:bookmarkEnd w:id="60"/>
      <w:bookmarkEnd w:id="61"/>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1、项目名称：</w:t>
      </w:r>
      <w:r>
        <w:rPr>
          <w:rFonts w:hint="eastAsia" w:ascii="仿宋_GB2312" w:hAnsi="仿宋_GB2312" w:eastAsia="仿宋_GB2312" w:cs="仿宋_GB2312"/>
          <w:color w:val="auto"/>
          <w:sz w:val="24"/>
          <w:szCs w:val="24"/>
          <w:highlight w:val="none"/>
          <w:u w:val="single"/>
        </w:rPr>
        <w:t xml:space="preserve">                    </w:t>
      </w: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2、项目概况：</w:t>
      </w:r>
      <w:r>
        <w:rPr>
          <w:rFonts w:hint="eastAsia" w:ascii="仿宋_GB2312" w:hAnsi="仿宋_GB2312" w:eastAsia="仿宋_GB2312" w:cs="仿宋_GB2312"/>
          <w:color w:val="auto"/>
          <w:sz w:val="24"/>
          <w:szCs w:val="24"/>
          <w:highlight w:val="none"/>
          <w:u w:val="single"/>
        </w:rPr>
        <w:t xml:space="preserve">                    </w:t>
      </w:r>
    </w:p>
    <w:p>
      <w:pPr>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kern w:val="0"/>
          <w:sz w:val="24"/>
          <w:szCs w:val="24"/>
          <w:highlight w:val="none"/>
        </w:rPr>
        <w:t>检测范围及内容：</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，具体</w:t>
      </w:r>
      <w:r>
        <w:rPr>
          <w:rFonts w:hint="eastAsia" w:ascii="仿宋_GB2312" w:hAnsi="仿宋_GB2312" w:eastAsia="仿宋_GB2312" w:cs="仿宋_GB2312"/>
          <w:color w:val="auto"/>
          <w:kern w:val="0"/>
          <w:sz w:val="24"/>
          <w:szCs w:val="24"/>
          <w:highlight w:val="none"/>
        </w:rPr>
        <w:t>内容详见</w:t>
      </w:r>
      <w:r>
        <w:rPr>
          <w:rFonts w:hint="eastAsia" w:ascii="仿宋_GB2312" w:hAnsi="仿宋_GB2312" w:eastAsia="仿宋_GB2312" w:cs="仿宋_GB2312"/>
          <w:color w:val="auto"/>
          <w:sz w:val="24"/>
          <w:szCs w:val="24"/>
          <w:highlight w:val="none"/>
        </w:rPr>
        <w:t>用户需求书/技术规格书。</w:t>
      </w:r>
    </w:p>
    <w:p>
      <w:pPr>
        <w:adjustRightInd w:val="0"/>
        <w:snapToGrid w:val="0"/>
        <w:spacing w:line="360" w:lineRule="auto"/>
        <w:ind w:firstLine="482" w:firstLineChars="20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二、服务期限</w:t>
      </w: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服务期限为：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，具体</w:t>
      </w:r>
      <w:r>
        <w:rPr>
          <w:rFonts w:hint="eastAsia" w:ascii="仿宋_GB2312" w:hAnsi="仿宋_GB2312" w:eastAsia="仿宋_GB2312" w:cs="仿宋_GB2312"/>
          <w:color w:val="auto"/>
          <w:kern w:val="0"/>
          <w:sz w:val="24"/>
          <w:szCs w:val="24"/>
          <w:highlight w:val="none"/>
        </w:rPr>
        <w:t>内容详见</w:t>
      </w:r>
      <w:r>
        <w:rPr>
          <w:rFonts w:hint="eastAsia" w:ascii="仿宋_GB2312" w:hAnsi="仿宋_GB2312" w:eastAsia="仿宋_GB2312" w:cs="仿宋_GB2312"/>
          <w:color w:val="auto"/>
          <w:sz w:val="24"/>
          <w:szCs w:val="24"/>
          <w:highlight w:val="none"/>
        </w:rPr>
        <w:t>用户需求书/技术规格书。</w:t>
      </w:r>
    </w:p>
    <w:p>
      <w:pPr>
        <w:numPr>
          <w:ilvl w:val="0"/>
          <w:numId w:val="3"/>
        </w:numPr>
        <w:adjustRightInd w:val="0"/>
        <w:snapToGrid w:val="0"/>
        <w:spacing w:line="360" w:lineRule="auto"/>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签约合同价</w:t>
      </w:r>
    </w:p>
    <w:p>
      <w:pPr>
        <w:pStyle w:val="17"/>
        <w:snapToGrid w:val="0"/>
        <w:spacing w:before="0" w:beforeAutospacing="0" w:after="0" w:afterAutospacing="0" w:line="360" w:lineRule="auto"/>
        <w:ind w:firstLine="480" w:firstLineChars="200"/>
        <w:rPr>
          <w:rFonts w:hint="eastAsia" w:ascii="仿宋_GB2312" w:hAnsi="仿宋_GB2312" w:eastAsia="仿宋_GB2312" w:cs="仿宋_GB2312"/>
          <w:color w:val="auto"/>
          <w:highlight w:val="none"/>
          <w:shd w:val="clear" w:color="auto" w:fill="FFFFFF"/>
        </w:rPr>
      </w:pPr>
      <w:bookmarkStart w:id="66" w:name="_Toc10509"/>
      <w:bookmarkStart w:id="67" w:name="_Toc27578"/>
      <w:bookmarkStart w:id="68" w:name="_Toc25652"/>
      <w:bookmarkStart w:id="69" w:name="_Toc7501"/>
      <w:r>
        <w:rPr>
          <w:rFonts w:hint="eastAsia" w:ascii="仿宋_GB2312" w:hAnsi="仿宋_GB2312" w:eastAsia="仿宋_GB2312" w:cs="仿宋_GB2312"/>
          <w:color w:val="auto"/>
          <w:highlight w:val="none"/>
        </w:rPr>
        <w:t>1.合同价格形式：</w:t>
      </w:r>
      <w:r>
        <w:rPr>
          <w:rFonts w:hint="eastAsia" w:ascii="仿宋_GB2312" w:hAnsi="仿宋_GB2312" w:eastAsia="仿宋_GB2312" w:cs="仿宋_GB2312"/>
          <w:color w:val="auto"/>
          <w:highlight w:val="none"/>
          <w:u w:val="single"/>
        </w:rPr>
        <w:t>单价合同（除税率调整外，合同单价（即中标单价/中选单价/成交单价）在合同执行过程中固定不变，不随政府政策（长沙市规定的最低工资标准变化等）及市场物价上涨或回落等因素调整）</w:t>
      </w:r>
      <w:r>
        <w:rPr>
          <w:rFonts w:hint="eastAsia" w:ascii="仿宋_GB2312" w:hAnsi="仿宋_GB2312" w:eastAsia="仿宋_GB2312" w:cs="仿宋_GB2312"/>
          <w:color w:val="auto"/>
          <w:highlight w:val="none"/>
          <w:u w:val="single"/>
          <w:lang w:eastAsia="zh-CN"/>
        </w:rPr>
        <w:t>。</w:t>
      </w:r>
      <w:r>
        <w:rPr>
          <w:rFonts w:hint="eastAsia" w:ascii="仿宋_GB2312" w:hAnsi="仿宋_GB2312" w:eastAsia="仿宋_GB2312" w:cs="仿宋_GB2312"/>
          <w:color w:val="auto"/>
          <w:highlight w:val="none"/>
          <w:u w:val="single"/>
        </w:rPr>
        <w:t>项目检测清单中各项计量器具数量为暂估数量，具体以项目执行期间乙方实际检测的数量为准。双方以实际检测的数量进行结算并确定合同价格。双方确认，合同价格不得超过签约合同价。</w:t>
      </w:r>
    </w:p>
    <w:p>
      <w:pPr>
        <w:spacing w:line="360" w:lineRule="auto"/>
        <w:ind w:firstLine="46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2.</w:t>
      </w:r>
      <w:r>
        <w:rPr>
          <w:rFonts w:hint="eastAsia" w:ascii="仿宋" w:hAnsi="仿宋" w:eastAsia="仿宋" w:cs="仿宋"/>
          <w:color w:val="auto"/>
          <w:kern w:val="0"/>
          <w:sz w:val="24"/>
          <w:szCs w:val="24"/>
          <w:highlight w:val="none"/>
          <w:shd w:val="clear" w:color="auto" w:fill="FFFFFF"/>
        </w:rPr>
        <w:t>签约合同价（含税价）为：人民币（大写）</w:t>
      </w:r>
      <w:r>
        <w:rPr>
          <w:rFonts w:hint="eastAsia" w:ascii="宋体" w:hAnsi="宋体" w:eastAsia="仿宋" w:cs="宋体"/>
          <w:color w:val="auto"/>
          <w:kern w:val="0"/>
          <w:sz w:val="24"/>
          <w:szCs w:val="24"/>
          <w:highlight w:val="none"/>
          <w:u w:val="single"/>
          <w:shd w:val="clear" w:color="auto" w:fill="FFFFFF"/>
        </w:rPr>
        <w:t>     </w:t>
      </w:r>
      <w:r>
        <w:rPr>
          <w:rFonts w:hint="eastAsia" w:ascii="仿宋" w:hAnsi="仿宋" w:eastAsia="仿宋" w:cs="仿宋"/>
          <w:color w:val="auto"/>
          <w:kern w:val="0"/>
          <w:sz w:val="24"/>
          <w:szCs w:val="24"/>
          <w:highlight w:val="none"/>
          <w:shd w:val="clear" w:color="auto" w:fill="FFFFFF"/>
        </w:rPr>
        <w:t>（</w:t>
      </w:r>
      <w:r>
        <w:rPr>
          <w:rFonts w:hint="eastAsia" w:ascii="Times New Roman" w:hAnsi="Times New Roman" w:eastAsia="仿宋"/>
          <w:color w:val="auto"/>
          <w:sz w:val="24"/>
          <w:szCs w:val="24"/>
          <w:highlight w:val="none"/>
          <w:shd w:val="clear" w:color="auto" w:fill="FFFFFF"/>
        </w:rPr>
        <w:t>¥</w:t>
      </w:r>
      <w:r>
        <w:rPr>
          <w:rFonts w:hint="eastAsia" w:ascii="宋体" w:hAnsi="宋体" w:eastAsia="仿宋" w:cs="宋体"/>
          <w:color w:val="auto"/>
          <w:kern w:val="0"/>
          <w:sz w:val="24"/>
          <w:szCs w:val="24"/>
          <w:highlight w:val="none"/>
          <w:u w:val="single"/>
          <w:shd w:val="clear" w:color="auto" w:fill="FFFFFF"/>
        </w:rPr>
        <w:t>    </w:t>
      </w:r>
      <w:r>
        <w:rPr>
          <w:rFonts w:hint="eastAsia" w:ascii="仿宋" w:hAnsi="仿宋" w:eastAsia="仿宋" w:cs="仿宋"/>
          <w:color w:val="auto"/>
          <w:kern w:val="0"/>
          <w:sz w:val="24"/>
          <w:szCs w:val="24"/>
          <w:highlight w:val="none"/>
          <w:shd w:val="clear" w:color="auto" w:fill="FFFFFF"/>
        </w:rPr>
        <w:t>），</w:t>
      </w:r>
      <w:r>
        <w:rPr>
          <w:rFonts w:hint="eastAsia" w:ascii="仿宋" w:hAnsi="仿宋" w:eastAsia="仿宋" w:cs="仿宋"/>
          <w:color w:val="auto"/>
          <w:sz w:val="24"/>
          <w:szCs w:val="24"/>
          <w:highlight w:val="none"/>
        </w:rPr>
        <w:t>具体价格组成详见签约合同价清单。</w:t>
      </w:r>
    </w:p>
    <w:p>
      <w:pPr>
        <w:spacing w:line="360" w:lineRule="auto"/>
        <w:ind w:firstLine="48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bCs/>
          <w:color w:val="auto"/>
          <w:sz w:val="24"/>
          <w:szCs w:val="24"/>
          <w:highlight w:val="none"/>
        </w:rPr>
        <w:t>本项目的合同价格最终以</w:t>
      </w:r>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bCs/>
          <w:color w:val="auto"/>
          <w:sz w:val="24"/>
          <w:szCs w:val="24"/>
          <w:highlight w:val="none"/>
          <w:u w:val="single"/>
        </w:rPr>
        <w:t>长沙市人民政府相关职能部门或长沙市轨道交通集团有限公司授权的单位审定价款为准</w:t>
      </w:r>
      <w:r>
        <w:rPr>
          <w:rFonts w:hint="eastAsia" w:ascii="仿宋_GB2312" w:hAnsi="仿宋_GB2312" w:eastAsia="仿宋_GB2312" w:cs="仿宋_GB2312"/>
          <w:color w:val="auto"/>
          <w:kern w:val="0"/>
          <w:sz w:val="24"/>
          <w:highlight w:val="none"/>
          <w:u w:val="single"/>
        </w:rPr>
        <w:t>/</w:t>
      </w:r>
      <w:r>
        <w:rPr>
          <w:rFonts w:hint="eastAsia" w:ascii="仿宋_GB2312" w:hAnsi="仿宋_GB2312" w:eastAsia="仿宋_GB2312" w:cs="仿宋_GB2312"/>
          <w:color w:val="auto"/>
          <w:kern w:val="0"/>
          <w:sz w:val="24"/>
          <w:highlight w:val="none"/>
          <w:u w:val="single"/>
          <w:lang w:eastAsia="zh-CN"/>
        </w:rPr>
        <w:t>☑</w:t>
      </w:r>
      <w:r>
        <w:rPr>
          <w:rFonts w:hint="eastAsia" w:ascii="仿宋_GB2312" w:hAnsi="仿宋_GB2312" w:eastAsia="仿宋_GB2312" w:cs="仿宋_GB2312"/>
          <w:color w:val="auto"/>
          <w:kern w:val="0"/>
          <w:sz w:val="24"/>
          <w:highlight w:val="none"/>
          <w:u w:val="single"/>
        </w:rPr>
        <w:t>项目履约验收确定价款</w:t>
      </w:r>
      <w:r>
        <w:rPr>
          <w:rFonts w:hint="eastAsia" w:ascii="仿宋_GB2312" w:hAnsi="仿宋_GB2312" w:eastAsia="仿宋_GB2312" w:cs="仿宋_GB2312"/>
          <w:bCs/>
          <w:color w:val="auto"/>
          <w:sz w:val="24"/>
          <w:szCs w:val="24"/>
          <w:highlight w:val="none"/>
        </w:rPr>
        <w:t>为准。合同价格包括乙方按合同约定进行检测所产生的成本、费用、税金、利润、保险、专利、风险。</w:t>
      </w:r>
    </w:p>
    <w:bookmarkEnd w:id="66"/>
    <w:bookmarkEnd w:id="67"/>
    <w:bookmarkEnd w:id="68"/>
    <w:bookmarkEnd w:id="69"/>
    <w:p>
      <w:pPr>
        <w:spacing w:line="360" w:lineRule="auto"/>
        <w:ind w:firstLine="422" w:firstLineChars="175"/>
        <w:rPr>
          <w:rFonts w:hint="eastAsia" w:ascii="仿宋_GB2312" w:hAnsi="仿宋_GB2312" w:eastAsia="仿宋_GB2312" w:cs="仿宋_GB2312"/>
          <w:b/>
          <w:color w:val="auto"/>
          <w:kern w:val="0"/>
          <w:sz w:val="24"/>
          <w:szCs w:val="24"/>
          <w:highlight w:val="none"/>
        </w:rPr>
      </w:pPr>
      <w:bookmarkStart w:id="70" w:name="_Toc457826210"/>
      <w:r>
        <w:rPr>
          <w:rFonts w:hint="eastAsia" w:ascii="仿宋_GB2312" w:hAnsi="仿宋_GB2312" w:eastAsia="仿宋_GB2312" w:cs="仿宋_GB2312"/>
          <w:b/>
          <w:color w:val="auto"/>
          <w:kern w:val="0"/>
          <w:sz w:val="24"/>
          <w:szCs w:val="24"/>
          <w:highlight w:val="none"/>
        </w:rPr>
        <w:t>四、质量标准</w:t>
      </w:r>
    </w:p>
    <w:p>
      <w:pPr>
        <w:tabs>
          <w:tab w:val="left" w:pos="1260"/>
        </w:tabs>
        <w:adjustRightInd w:val="0"/>
        <w:snapToGrid w:val="0"/>
        <w:spacing w:line="360" w:lineRule="auto"/>
        <w:ind w:firstLine="480" w:firstLineChars="200"/>
        <w:jc w:val="left"/>
        <w:outlineLvl w:val="2"/>
        <w:rPr>
          <w:rFonts w:hint="eastAsia" w:ascii="仿宋_GB2312" w:hAnsi="仿宋_GB2312" w:eastAsia="仿宋_GB2312" w:cs="仿宋_GB2312"/>
          <w:color w:val="auto"/>
          <w:kern w:val="0"/>
          <w:sz w:val="24"/>
          <w:szCs w:val="24"/>
          <w:highlight w:val="none"/>
          <w:u w:val="single"/>
        </w:rPr>
      </w:pPr>
      <w:r>
        <w:rPr>
          <w:rFonts w:hint="eastAsia" w:ascii="仿宋_GB2312" w:hAnsi="仿宋_GB2312" w:eastAsia="仿宋_GB2312" w:cs="仿宋_GB2312"/>
          <w:color w:val="auto"/>
          <w:kern w:val="0"/>
          <w:sz w:val="24"/>
          <w:szCs w:val="24"/>
          <w:highlight w:val="none"/>
        </w:rPr>
        <w:t>质量标准为：</w:t>
      </w:r>
      <w:r>
        <w:rPr>
          <w:rFonts w:hint="eastAsia" w:ascii="仿宋_GB2312" w:hAnsi="仿宋_GB2312" w:eastAsia="仿宋_GB2312" w:cs="仿宋_GB2312"/>
          <w:color w:val="auto"/>
          <w:kern w:val="0"/>
          <w:sz w:val="24"/>
          <w:szCs w:val="24"/>
          <w:highlight w:val="none"/>
          <w:u w:val="single"/>
        </w:rPr>
        <w:t>符合国家、省市及行业现行有关规定、标准和规范的要求，具体要求以用户需求书/技术规格书为准。</w:t>
      </w:r>
    </w:p>
    <w:p>
      <w:pPr>
        <w:tabs>
          <w:tab w:val="left" w:pos="1260"/>
        </w:tabs>
        <w:adjustRightInd w:val="0"/>
        <w:snapToGrid w:val="0"/>
        <w:spacing w:line="360" w:lineRule="auto"/>
        <w:ind w:firstLine="482" w:firstLineChars="200"/>
        <w:jc w:val="left"/>
        <w:outlineLvl w:val="2"/>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五、合同文件及优先解释顺序</w:t>
      </w:r>
      <w:bookmarkEnd w:id="70"/>
    </w:p>
    <w:p>
      <w:pPr>
        <w:snapToGrid w:val="0"/>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合同文件组成及优先解释顺序：</w:t>
      </w:r>
    </w:p>
    <w:p>
      <w:pPr>
        <w:snapToGrid w:val="0"/>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（1）补充协议（如果有）；</w:t>
      </w:r>
    </w:p>
    <w:p>
      <w:pPr>
        <w:snapToGrid w:val="0"/>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（2）合同协议书；</w:t>
      </w:r>
    </w:p>
    <w:p>
      <w:pPr>
        <w:snapToGrid w:val="0"/>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（3）中标通知书/中选通知书</w:t>
      </w:r>
      <w:r>
        <w:rPr>
          <w:rFonts w:hint="eastAsia" w:ascii="仿宋_GB2312" w:hAnsi="仿宋_GB2312" w:eastAsia="仿宋_GB2312" w:cs="仿宋_GB2312"/>
          <w:color w:val="auto"/>
          <w:sz w:val="24"/>
          <w:szCs w:val="24"/>
          <w:highlight w:val="none"/>
        </w:rPr>
        <w:t>/谈判记录表</w:t>
      </w:r>
      <w:r>
        <w:rPr>
          <w:rFonts w:hint="eastAsia" w:ascii="仿宋_GB2312" w:hAnsi="仿宋_GB2312" w:eastAsia="仿宋_GB2312" w:cs="仿宋_GB2312"/>
          <w:color w:val="auto"/>
          <w:kern w:val="0"/>
          <w:sz w:val="24"/>
          <w:szCs w:val="24"/>
          <w:highlight w:val="none"/>
        </w:rPr>
        <w:t>;</w:t>
      </w:r>
    </w:p>
    <w:p>
      <w:pPr>
        <w:snapToGrid w:val="0"/>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（4）合同条款；</w:t>
      </w:r>
    </w:p>
    <w:p>
      <w:pPr>
        <w:snapToGrid w:val="0"/>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（5）用户需求书/技术规格书；</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（6）</w:t>
      </w:r>
      <w:r>
        <w:rPr>
          <w:rFonts w:hint="eastAsia" w:ascii="仿宋_GB2312" w:hAnsi="仿宋_GB2312" w:eastAsia="仿宋_GB2312" w:cs="仿宋_GB2312"/>
          <w:color w:val="auto"/>
          <w:sz w:val="24"/>
          <w:szCs w:val="24"/>
          <w:highlight w:val="none"/>
        </w:rPr>
        <w:t>签约合同价清单；</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（7）合同附件及乙方按合同附录格式及要求出具的文件；</w:t>
      </w:r>
    </w:p>
    <w:p>
      <w:pPr>
        <w:snapToGrid w:val="0"/>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（8）图纸；</w:t>
      </w:r>
    </w:p>
    <w:p>
      <w:pPr>
        <w:snapToGrid w:val="0"/>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（9）技术标准；</w:t>
      </w:r>
    </w:p>
    <w:p>
      <w:pPr>
        <w:snapToGrid w:val="0"/>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（10）招标文件/自主竞争性谈判文件/直接委托谈判文件及澄清与答疑文件及其它补充资料；</w:t>
      </w:r>
    </w:p>
    <w:p>
      <w:pPr>
        <w:snapToGrid w:val="0"/>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（11）投标文件/谈判响应文件及澄清文件及其它补充资料；</w:t>
      </w:r>
    </w:p>
    <w:p>
      <w:pPr>
        <w:snapToGrid w:val="0"/>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（12）其他构成本合同的文件。</w:t>
      </w:r>
    </w:p>
    <w:p>
      <w:pPr>
        <w:snapToGrid w:val="0"/>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上述各项合同文件包括合同当事人就该项合同文件所作出的补充和修改，属于同一类内容的文件，应以最新签署的为准。</w:t>
      </w:r>
    </w:p>
    <w:p>
      <w:pPr>
        <w:snapToGrid w:val="0"/>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在合同履行过程中形成的与合同有关的文件均构成合同文件组成部分，并根据其性质确定优先解释顺序。</w:t>
      </w:r>
    </w:p>
    <w:p>
      <w:pPr>
        <w:spacing w:line="360" w:lineRule="auto"/>
        <w:ind w:firstLine="482" w:firstLineChars="200"/>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六、承诺</w:t>
      </w:r>
    </w:p>
    <w:p>
      <w:pPr>
        <w:spacing w:line="360" w:lineRule="auto"/>
        <w:ind w:firstLine="420" w:firstLineChars="175"/>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1.甲方承诺按照合同约定提供有关条件和相关资料，并按照合同约定的期限和方式支付合同价款。</w:t>
      </w:r>
    </w:p>
    <w:p>
      <w:pPr>
        <w:spacing w:line="360" w:lineRule="auto"/>
        <w:ind w:firstLine="420" w:firstLineChars="175"/>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2.乙方承诺按照法律法规和技术标准规定及合同约定提供技术服务。</w:t>
      </w:r>
      <w:bookmarkStart w:id="71" w:name="_Toc406150417"/>
      <w:bookmarkStart w:id="72" w:name="_Toc457826146"/>
    </w:p>
    <w:p>
      <w:pPr>
        <w:spacing w:line="360" w:lineRule="auto"/>
        <w:ind w:firstLine="482" w:firstLineChars="200"/>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七、词语定义</w:t>
      </w:r>
      <w:bookmarkEnd w:id="71"/>
      <w:bookmarkEnd w:id="72"/>
    </w:p>
    <w:p>
      <w:pPr>
        <w:spacing w:line="360" w:lineRule="auto"/>
        <w:ind w:firstLine="48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本合同协议书中词语含义与合同条款中的词语含义相同。</w:t>
      </w:r>
      <w:bookmarkStart w:id="73" w:name="_Toc406150418"/>
      <w:bookmarkStart w:id="74" w:name="_Toc457826147"/>
      <w:bookmarkStart w:id="75" w:name="_Toc351203489"/>
    </w:p>
    <w:bookmarkEnd w:id="73"/>
    <w:bookmarkEnd w:id="74"/>
    <w:bookmarkEnd w:id="75"/>
    <w:p>
      <w:pPr>
        <w:spacing w:line="360" w:lineRule="auto"/>
        <w:ind w:firstLine="465"/>
        <w:rPr>
          <w:rFonts w:hint="eastAsia" w:ascii="仿宋_GB2312" w:hAnsi="仿宋_GB2312" w:eastAsia="仿宋_GB2312" w:cs="仿宋_GB2312"/>
          <w:b/>
          <w:bCs/>
          <w:color w:val="auto"/>
          <w:sz w:val="24"/>
          <w:szCs w:val="24"/>
          <w:highlight w:val="none"/>
        </w:rPr>
      </w:pPr>
      <w:bookmarkStart w:id="76" w:name="_Toc457826149"/>
      <w:bookmarkStart w:id="77" w:name="_Toc351203492"/>
      <w:bookmarkStart w:id="78" w:name="_Toc406150420"/>
      <w:r>
        <w:rPr>
          <w:rFonts w:hint="eastAsia" w:ascii="仿宋_GB2312" w:hAnsi="仿宋_GB2312" w:eastAsia="仿宋_GB2312" w:cs="仿宋_GB2312"/>
          <w:b/>
          <w:bCs/>
          <w:color w:val="auto"/>
          <w:sz w:val="24"/>
          <w:szCs w:val="24"/>
          <w:highlight w:val="none"/>
        </w:rPr>
        <w:t>八、合同签订时间</w:t>
      </w:r>
    </w:p>
    <w:p>
      <w:pPr>
        <w:spacing w:line="360" w:lineRule="auto"/>
        <w:ind w:firstLine="465"/>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本合同于</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年</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月</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日签订。</w:t>
      </w:r>
      <w:bookmarkStart w:id="79" w:name="_Toc406150419"/>
      <w:bookmarkStart w:id="80" w:name="_Toc457826148"/>
      <w:bookmarkStart w:id="81" w:name="_Toc351203490"/>
    </w:p>
    <w:p>
      <w:pPr>
        <w:spacing w:line="360" w:lineRule="auto"/>
        <w:ind w:firstLine="465"/>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九、合同签订地点</w:t>
      </w:r>
      <w:bookmarkEnd w:id="79"/>
      <w:bookmarkEnd w:id="80"/>
      <w:bookmarkEnd w:id="81"/>
    </w:p>
    <w:p>
      <w:pPr>
        <w:spacing w:line="360" w:lineRule="auto"/>
        <w:ind w:firstLine="465"/>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本合同在</w:t>
      </w:r>
      <w:r>
        <w:rPr>
          <w:rFonts w:hint="eastAsia" w:ascii="仿宋_GB2312" w:hAnsi="仿宋_GB2312" w:eastAsia="仿宋_GB2312" w:cs="仿宋_GB2312"/>
          <w:bCs/>
          <w:color w:val="auto"/>
          <w:sz w:val="24"/>
          <w:szCs w:val="24"/>
          <w:highlight w:val="none"/>
          <w:u w:val="single"/>
        </w:rPr>
        <w:t xml:space="preserve"> 湖南省长沙市雨花区 </w:t>
      </w:r>
      <w:r>
        <w:rPr>
          <w:rFonts w:hint="eastAsia" w:ascii="仿宋_GB2312" w:hAnsi="仿宋_GB2312" w:eastAsia="仿宋_GB2312" w:cs="仿宋_GB2312"/>
          <w:bCs/>
          <w:color w:val="auto"/>
          <w:sz w:val="24"/>
          <w:szCs w:val="24"/>
          <w:highlight w:val="none"/>
        </w:rPr>
        <w:t>签订。</w:t>
      </w:r>
    </w:p>
    <w:p>
      <w:pPr>
        <w:spacing w:line="360" w:lineRule="auto"/>
        <w:ind w:firstLine="465"/>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十、合同生效</w:t>
      </w:r>
      <w:bookmarkEnd w:id="76"/>
      <w:bookmarkEnd w:id="77"/>
      <w:bookmarkEnd w:id="78"/>
    </w:p>
    <w:p>
      <w:pPr>
        <w:spacing w:line="360" w:lineRule="auto"/>
        <w:ind w:firstLine="465"/>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本合同自</w:t>
      </w:r>
      <w:r>
        <w:rPr>
          <w:rFonts w:hint="eastAsia" w:ascii="仿宋_GB2312" w:hAnsi="仿宋_GB2312" w:eastAsia="仿宋_GB2312" w:cs="仿宋_GB2312"/>
          <w:color w:val="auto"/>
          <w:sz w:val="24"/>
          <w:szCs w:val="24"/>
          <w:highlight w:val="none"/>
          <w:u w:val="single"/>
        </w:rPr>
        <w:t>合同双方法定代表人或其授权代表签字并加盖合同专用章</w:t>
      </w:r>
      <w:r>
        <w:rPr>
          <w:rFonts w:hint="eastAsia" w:ascii="仿宋_GB2312" w:hAnsi="仿宋_GB2312" w:eastAsia="仿宋_GB2312" w:cs="仿宋_GB2312"/>
          <w:bCs/>
          <w:color w:val="auto"/>
          <w:sz w:val="24"/>
          <w:szCs w:val="24"/>
          <w:highlight w:val="none"/>
        </w:rPr>
        <w:t>生效。</w:t>
      </w:r>
      <w:bookmarkStart w:id="82" w:name="_Toc457826150"/>
    </w:p>
    <w:p>
      <w:pPr>
        <w:spacing w:line="360" w:lineRule="auto"/>
        <w:ind w:firstLine="465"/>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十一、合同份数</w:t>
      </w:r>
      <w:bookmarkEnd w:id="82"/>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本合同正本</w:t>
      </w:r>
      <w:r>
        <w:rPr>
          <w:rFonts w:hint="eastAsia" w:ascii="仿宋_GB2312" w:hAnsi="仿宋_GB2312" w:eastAsia="仿宋_GB2312" w:cs="仿宋_GB2312"/>
          <w:color w:val="auto"/>
          <w:sz w:val="24"/>
          <w:szCs w:val="24"/>
          <w:highlight w:val="none"/>
          <w:u w:val="single"/>
        </w:rPr>
        <w:t>二</w:t>
      </w:r>
      <w:r>
        <w:rPr>
          <w:rFonts w:hint="eastAsia" w:ascii="仿宋_GB2312" w:hAnsi="仿宋_GB2312" w:eastAsia="仿宋_GB2312" w:cs="仿宋_GB2312"/>
          <w:color w:val="auto"/>
          <w:sz w:val="24"/>
          <w:szCs w:val="24"/>
          <w:highlight w:val="none"/>
        </w:rPr>
        <w:t>份、副本</w:t>
      </w:r>
      <w:r>
        <w:rPr>
          <w:rFonts w:hint="eastAsia" w:ascii="仿宋_GB2312" w:hAnsi="仿宋_GB2312" w:eastAsia="仿宋_GB2312" w:cs="仿宋_GB2312"/>
          <w:color w:val="auto"/>
          <w:sz w:val="24"/>
          <w:szCs w:val="24"/>
          <w:highlight w:val="none"/>
          <w:u w:val="single"/>
        </w:rPr>
        <w:t>十</w:t>
      </w:r>
      <w:r>
        <w:rPr>
          <w:rFonts w:hint="eastAsia" w:ascii="仿宋_GB2312" w:hAnsi="仿宋_GB2312" w:eastAsia="仿宋_GB2312" w:cs="仿宋_GB2312"/>
          <w:color w:val="auto"/>
          <w:sz w:val="24"/>
          <w:szCs w:val="24"/>
          <w:highlight w:val="none"/>
        </w:rPr>
        <w:t>份，甲方持正本</w:t>
      </w:r>
      <w:r>
        <w:rPr>
          <w:rFonts w:hint="eastAsia" w:ascii="仿宋_GB2312" w:hAnsi="仿宋_GB2312" w:eastAsia="仿宋_GB2312" w:cs="仿宋_GB2312"/>
          <w:color w:val="auto"/>
          <w:sz w:val="24"/>
          <w:szCs w:val="24"/>
          <w:highlight w:val="none"/>
          <w:u w:val="single"/>
        </w:rPr>
        <w:t>一</w:t>
      </w:r>
      <w:r>
        <w:rPr>
          <w:rFonts w:hint="eastAsia" w:ascii="仿宋_GB2312" w:hAnsi="仿宋_GB2312" w:eastAsia="仿宋_GB2312" w:cs="仿宋_GB2312"/>
          <w:color w:val="auto"/>
          <w:sz w:val="24"/>
          <w:szCs w:val="24"/>
          <w:highlight w:val="none"/>
        </w:rPr>
        <w:t>份、副本</w:t>
      </w:r>
      <w:r>
        <w:rPr>
          <w:rFonts w:hint="eastAsia" w:ascii="仿宋_GB2312" w:hAnsi="仿宋_GB2312" w:eastAsia="仿宋_GB2312" w:cs="仿宋_GB2312"/>
          <w:color w:val="auto"/>
          <w:sz w:val="24"/>
          <w:szCs w:val="24"/>
          <w:highlight w:val="none"/>
          <w:u w:val="single"/>
        </w:rPr>
        <w:t>七</w:t>
      </w:r>
      <w:r>
        <w:rPr>
          <w:rFonts w:hint="eastAsia" w:ascii="仿宋_GB2312" w:hAnsi="仿宋_GB2312" w:eastAsia="仿宋_GB2312" w:cs="仿宋_GB2312"/>
          <w:color w:val="auto"/>
          <w:sz w:val="24"/>
          <w:szCs w:val="24"/>
          <w:highlight w:val="none"/>
        </w:rPr>
        <w:t>份，乙方持正本</w:t>
      </w:r>
      <w:r>
        <w:rPr>
          <w:rFonts w:hint="eastAsia" w:ascii="仿宋_GB2312" w:hAnsi="仿宋_GB2312" w:eastAsia="仿宋_GB2312" w:cs="仿宋_GB2312"/>
          <w:color w:val="auto"/>
          <w:sz w:val="24"/>
          <w:szCs w:val="24"/>
          <w:highlight w:val="none"/>
          <w:u w:val="single"/>
        </w:rPr>
        <w:t>一</w:t>
      </w:r>
      <w:r>
        <w:rPr>
          <w:rFonts w:hint="eastAsia" w:ascii="仿宋_GB2312" w:hAnsi="仿宋_GB2312" w:eastAsia="仿宋_GB2312" w:cs="仿宋_GB2312"/>
          <w:color w:val="auto"/>
          <w:sz w:val="24"/>
          <w:szCs w:val="24"/>
          <w:highlight w:val="none"/>
        </w:rPr>
        <w:t>份、副本</w:t>
      </w:r>
      <w:r>
        <w:rPr>
          <w:rFonts w:hint="eastAsia" w:ascii="仿宋_GB2312" w:hAnsi="仿宋_GB2312" w:eastAsia="仿宋_GB2312" w:cs="仿宋_GB2312"/>
          <w:color w:val="auto"/>
          <w:sz w:val="24"/>
          <w:szCs w:val="24"/>
          <w:highlight w:val="none"/>
          <w:u w:val="single"/>
        </w:rPr>
        <w:t>三</w:t>
      </w:r>
      <w:r>
        <w:rPr>
          <w:rFonts w:hint="eastAsia" w:ascii="仿宋_GB2312" w:hAnsi="仿宋_GB2312" w:eastAsia="仿宋_GB2312" w:cs="仿宋_GB2312"/>
          <w:color w:val="auto"/>
          <w:sz w:val="24"/>
          <w:szCs w:val="24"/>
          <w:highlight w:val="none"/>
        </w:rPr>
        <w:t>份。合同正本与副本具有同等效力，当合同副本与正本之间存有差异时，以合同正本为准。</w:t>
      </w:r>
    </w:p>
    <w:p>
      <w:pPr>
        <w:pageBreakBefore/>
        <w:snapToGrid w:val="0"/>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（本页无正文）</w:t>
      </w: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p>
    <w:tbl>
      <w:tblPr>
        <w:tblStyle w:val="19"/>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vAlign w:val="top"/>
          </w:tcPr>
          <w:p>
            <w:pPr>
              <w:pStyle w:val="10"/>
              <w:snapToGrid w:val="0"/>
              <w:spacing w:line="360" w:lineRule="auto"/>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委托人（甲方）：(盖章)</w:t>
            </w:r>
          </w:p>
          <w:p>
            <w:pPr>
              <w:pStyle w:val="10"/>
              <w:snapToGrid w:val="0"/>
              <w:spacing w:line="360" w:lineRule="auto"/>
              <w:rPr>
                <w:rFonts w:ascii="仿宋_GB2312" w:hAnsi="仿宋_GB2312" w:eastAsia="仿宋_GB2312" w:cs="仿宋_GB2312"/>
                <w:color w:val="auto"/>
                <w:sz w:val="24"/>
                <w:szCs w:val="24"/>
                <w:highlight w:val="none"/>
              </w:rPr>
            </w:pPr>
          </w:p>
        </w:tc>
        <w:tc>
          <w:tcPr>
            <w:tcW w:w="4252" w:type="dxa"/>
            <w:tcBorders>
              <w:top w:val="nil"/>
              <w:left w:val="nil"/>
              <w:bottom w:val="nil"/>
              <w:right w:val="nil"/>
            </w:tcBorders>
            <w:vAlign w:val="top"/>
          </w:tcPr>
          <w:p>
            <w:pPr>
              <w:pStyle w:val="10"/>
              <w:snapToGrid w:val="0"/>
              <w:spacing w:line="360" w:lineRule="auto"/>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受托人（乙方）：（盖章）</w:t>
            </w:r>
          </w:p>
          <w:p>
            <w:pPr>
              <w:pStyle w:val="10"/>
              <w:snapToGrid w:val="0"/>
              <w:spacing w:line="360" w:lineRule="auto"/>
              <w:rPr>
                <w:rFonts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858" w:hRule="atLeast"/>
          <w:jc w:val="center"/>
        </w:trPr>
        <w:tc>
          <w:tcPr>
            <w:tcW w:w="4467" w:type="dxa"/>
            <w:tcBorders>
              <w:top w:val="nil"/>
              <w:left w:val="nil"/>
              <w:bottom w:val="nil"/>
              <w:right w:val="nil"/>
            </w:tcBorders>
            <w:vAlign w:val="top"/>
          </w:tcPr>
          <w:p>
            <w:pPr>
              <w:pStyle w:val="10"/>
              <w:snapToGrid w:val="0"/>
              <w:spacing w:line="360" w:lineRule="auto"/>
              <w:ind w:left="19" w:leftChars="9"/>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法定代表人或其授权代表：</w:t>
            </w:r>
          </w:p>
          <w:p>
            <w:pPr>
              <w:pStyle w:val="10"/>
              <w:snapToGrid w:val="0"/>
              <w:spacing w:line="360" w:lineRule="auto"/>
              <w:ind w:left="19" w:leftChars="9"/>
              <w:rPr>
                <w:rFonts w:ascii="仿宋_GB2312" w:hAnsi="仿宋_GB2312" w:eastAsia="仿宋_GB2312" w:cs="仿宋_GB2312"/>
                <w:color w:val="auto"/>
                <w:sz w:val="24"/>
                <w:szCs w:val="24"/>
                <w:highlight w:val="none"/>
              </w:rPr>
            </w:pPr>
          </w:p>
        </w:tc>
        <w:tc>
          <w:tcPr>
            <w:tcW w:w="4252" w:type="dxa"/>
            <w:tcBorders>
              <w:top w:val="nil"/>
              <w:left w:val="nil"/>
              <w:bottom w:val="nil"/>
              <w:right w:val="nil"/>
            </w:tcBorders>
            <w:vAlign w:val="top"/>
          </w:tcPr>
          <w:p>
            <w:pPr>
              <w:pStyle w:val="10"/>
              <w:snapToGrid w:val="0"/>
              <w:spacing w:line="360" w:lineRule="auto"/>
              <w:ind w:left="34" w:leftChars="16"/>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法定代表人或其授权代表：</w:t>
            </w:r>
          </w:p>
          <w:p>
            <w:pPr>
              <w:pStyle w:val="10"/>
              <w:snapToGrid w:val="0"/>
              <w:spacing w:line="360" w:lineRule="auto"/>
              <w:ind w:left="34" w:leftChars="16"/>
              <w:rPr>
                <w:rFonts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vAlign w:val="top"/>
          </w:tcPr>
          <w:p>
            <w:pPr>
              <w:pStyle w:val="10"/>
              <w:snapToGrid w:val="0"/>
              <w:spacing w:line="360" w:lineRule="auto"/>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 xml:space="preserve">地址：  </w:t>
            </w:r>
          </w:p>
        </w:tc>
        <w:tc>
          <w:tcPr>
            <w:tcW w:w="4252" w:type="dxa"/>
            <w:tcBorders>
              <w:top w:val="nil"/>
              <w:left w:val="nil"/>
              <w:bottom w:val="nil"/>
              <w:right w:val="nil"/>
            </w:tcBorders>
            <w:vAlign w:val="top"/>
          </w:tcPr>
          <w:p>
            <w:pPr>
              <w:pStyle w:val="10"/>
              <w:snapToGrid w:val="0"/>
              <w:spacing w:line="360" w:lineRule="auto"/>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地址：</w:t>
            </w:r>
          </w:p>
        </w:tc>
      </w:tr>
      <w:tr>
        <w:tblPrEx>
          <w:tblCellMar>
            <w:top w:w="0" w:type="dxa"/>
            <w:left w:w="108" w:type="dxa"/>
            <w:bottom w:w="0" w:type="dxa"/>
            <w:right w:w="108" w:type="dxa"/>
          </w:tblCellMar>
        </w:tblPrEx>
        <w:trPr>
          <w:trHeight w:val="816" w:hRule="atLeast"/>
          <w:jc w:val="center"/>
        </w:trPr>
        <w:tc>
          <w:tcPr>
            <w:tcW w:w="4467" w:type="dxa"/>
            <w:tcBorders>
              <w:top w:val="nil"/>
              <w:left w:val="nil"/>
              <w:bottom w:val="nil"/>
              <w:right w:val="nil"/>
            </w:tcBorders>
            <w:vAlign w:val="top"/>
          </w:tcPr>
          <w:p>
            <w:pPr>
              <w:pStyle w:val="10"/>
              <w:snapToGrid w:val="0"/>
              <w:spacing w:line="360" w:lineRule="auto"/>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 xml:space="preserve">邮编： </w:t>
            </w:r>
          </w:p>
        </w:tc>
        <w:tc>
          <w:tcPr>
            <w:tcW w:w="4252" w:type="dxa"/>
            <w:tcBorders>
              <w:top w:val="nil"/>
              <w:left w:val="nil"/>
              <w:bottom w:val="nil"/>
              <w:right w:val="nil"/>
            </w:tcBorders>
            <w:vAlign w:val="top"/>
          </w:tcPr>
          <w:p>
            <w:pPr>
              <w:pStyle w:val="10"/>
              <w:snapToGrid w:val="0"/>
              <w:spacing w:line="360" w:lineRule="auto"/>
              <w:ind w:left="34" w:leftChars="16"/>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邮编：</w:t>
            </w:r>
          </w:p>
        </w:tc>
      </w:tr>
      <w:tr>
        <w:tblPrEx>
          <w:tblCellMar>
            <w:top w:w="0" w:type="dxa"/>
            <w:left w:w="108" w:type="dxa"/>
            <w:bottom w:w="0" w:type="dxa"/>
            <w:right w:w="108" w:type="dxa"/>
          </w:tblCellMar>
        </w:tblPrEx>
        <w:trPr>
          <w:trHeight w:val="753" w:hRule="atLeast"/>
          <w:jc w:val="center"/>
        </w:trPr>
        <w:tc>
          <w:tcPr>
            <w:tcW w:w="4467" w:type="dxa"/>
            <w:tcBorders>
              <w:top w:val="nil"/>
              <w:left w:val="nil"/>
              <w:bottom w:val="nil"/>
              <w:right w:val="nil"/>
            </w:tcBorders>
            <w:vAlign w:val="top"/>
          </w:tcPr>
          <w:p>
            <w:pPr>
              <w:pStyle w:val="10"/>
              <w:snapToGrid w:val="0"/>
              <w:spacing w:line="360" w:lineRule="auto"/>
              <w:ind w:left="19" w:leftChars="9"/>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 xml:space="preserve">电话： </w:t>
            </w:r>
          </w:p>
        </w:tc>
        <w:tc>
          <w:tcPr>
            <w:tcW w:w="4252" w:type="dxa"/>
            <w:tcBorders>
              <w:top w:val="nil"/>
              <w:left w:val="nil"/>
              <w:bottom w:val="nil"/>
              <w:right w:val="nil"/>
            </w:tcBorders>
            <w:vAlign w:val="top"/>
          </w:tcPr>
          <w:p>
            <w:pPr>
              <w:pStyle w:val="10"/>
              <w:snapToGrid w:val="0"/>
              <w:spacing w:line="360" w:lineRule="auto"/>
              <w:ind w:left="34" w:leftChars="16"/>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电话：</w:t>
            </w:r>
          </w:p>
        </w:tc>
      </w:tr>
      <w:tr>
        <w:tblPrEx>
          <w:tblCellMar>
            <w:top w:w="0" w:type="dxa"/>
            <w:left w:w="108" w:type="dxa"/>
            <w:bottom w:w="0" w:type="dxa"/>
            <w:right w:w="108" w:type="dxa"/>
          </w:tblCellMar>
        </w:tblPrEx>
        <w:trPr>
          <w:trHeight w:val="783" w:hRule="atLeast"/>
          <w:jc w:val="center"/>
        </w:trPr>
        <w:tc>
          <w:tcPr>
            <w:tcW w:w="4467" w:type="dxa"/>
            <w:tcBorders>
              <w:top w:val="nil"/>
              <w:left w:val="nil"/>
              <w:bottom w:val="nil"/>
              <w:right w:val="nil"/>
            </w:tcBorders>
            <w:vAlign w:val="top"/>
          </w:tcPr>
          <w:p>
            <w:pPr>
              <w:pStyle w:val="10"/>
              <w:snapToGrid w:val="0"/>
              <w:spacing w:line="360" w:lineRule="auto"/>
              <w:ind w:left="19" w:leftChars="9"/>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 xml:space="preserve">传真： </w:t>
            </w:r>
          </w:p>
        </w:tc>
        <w:tc>
          <w:tcPr>
            <w:tcW w:w="4252" w:type="dxa"/>
            <w:tcBorders>
              <w:top w:val="nil"/>
              <w:left w:val="nil"/>
              <w:bottom w:val="nil"/>
              <w:right w:val="nil"/>
            </w:tcBorders>
            <w:vAlign w:val="top"/>
          </w:tcPr>
          <w:p>
            <w:pPr>
              <w:pStyle w:val="10"/>
              <w:snapToGrid w:val="0"/>
              <w:spacing w:line="360" w:lineRule="auto"/>
              <w:ind w:left="34" w:leftChars="16"/>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传真：</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vAlign w:val="top"/>
          </w:tcPr>
          <w:p>
            <w:pPr>
              <w:pStyle w:val="10"/>
              <w:snapToGrid w:val="0"/>
              <w:spacing w:line="360" w:lineRule="auto"/>
              <w:ind w:left="19" w:leftChars="9"/>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开户银行：</w:t>
            </w:r>
          </w:p>
        </w:tc>
        <w:tc>
          <w:tcPr>
            <w:tcW w:w="4252" w:type="dxa"/>
            <w:tcBorders>
              <w:top w:val="nil"/>
              <w:left w:val="nil"/>
              <w:bottom w:val="nil"/>
              <w:right w:val="nil"/>
            </w:tcBorders>
            <w:vAlign w:val="top"/>
          </w:tcPr>
          <w:p>
            <w:pPr>
              <w:pStyle w:val="10"/>
              <w:snapToGrid w:val="0"/>
              <w:spacing w:line="360" w:lineRule="auto"/>
              <w:ind w:left="34" w:leftChars="16"/>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开户银行：</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vAlign w:val="top"/>
          </w:tcPr>
          <w:p>
            <w:pPr>
              <w:pStyle w:val="10"/>
              <w:snapToGrid w:val="0"/>
              <w:spacing w:line="360" w:lineRule="auto"/>
              <w:ind w:left="19" w:leftChars="9"/>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账号：</w:t>
            </w:r>
          </w:p>
        </w:tc>
        <w:tc>
          <w:tcPr>
            <w:tcW w:w="4252" w:type="dxa"/>
            <w:tcBorders>
              <w:top w:val="nil"/>
              <w:left w:val="nil"/>
              <w:bottom w:val="nil"/>
              <w:right w:val="nil"/>
            </w:tcBorders>
            <w:vAlign w:val="top"/>
          </w:tcPr>
          <w:p>
            <w:pPr>
              <w:pStyle w:val="10"/>
              <w:snapToGrid w:val="0"/>
              <w:spacing w:line="360" w:lineRule="auto"/>
              <w:ind w:left="34" w:leftChars="16"/>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账号：</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vAlign w:val="top"/>
          </w:tcPr>
          <w:p>
            <w:pPr>
              <w:pStyle w:val="10"/>
              <w:snapToGrid w:val="0"/>
              <w:spacing w:line="360" w:lineRule="auto"/>
              <w:ind w:left="19" w:leftChars="9"/>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时间：</w:t>
            </w:r>
          </w:p>
        </w:tc>
        <w:tc>
          <w:tcPr>
            <w:tcW w:w="4252" w:type="dxa"/>
            <w:tcBorders>
              <w:top w:val="nil"/>
              <w:left w:val="nil"/>
              <w:bottom w:val="nil"/>
              <w:right w:val="nil"/>
            </w:tcBorders>
            <w:vAlign w:val="top"/>
          </w:tcPr>
          <w:p>
            <w:pPr>
              <w:pStyle w:val="10"/>
              <w:snapToGrid w:val="0"/>
              <w:spacing w:line="360" w:lineRule="auto"/>
              <w:ind w:left="34" w:leftChars="16"/>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时间：</w:t>
            </w:r>
          </w:p>
        </w:tc>
      </w:tr>
      <w:bookmarkEnd w:id="62"/>
      <w:bookmarkEnd w:id="63"/>
      <w:bookmarkEnd w:id="64"/>
      <w:bookmarkEnd w:id="65"/>
    </w:tbl>
    <w:p>
      <w:pPr>
        <w:adjustRightInd w:val="0"/>
        <w:snapToGrid w:val="0"/>
        <w:spacing w:line="400" w:lineRule="exact"/>
        <w:jc w:val="center"/>
        <w:outlineLvl w:val="0"/>
        <w:rPr>
          <w:rFonts w:hint="eastAsia" w:ascii="仿宋_GB2312" w:hAnsi="仿宋_GB2312" w:eastAsia="仿宋_GB2312" w:cs="仿宋_GB2312"/>
          <w:b/>
          <w:color w:val="auto"/>
          <w:sz w:val="32"/>
          <w:szCs w:val="32"/>
          <w:highlight w:val="none"/>
        </w:rPr>
        <w:sectPr>
          <w:footerReference r:id="rId13" w:type="first"/>
          <w:footerReference r:id="rId12" w:type="default"/>
          <w:pgSz w:w="11850" w:h="16783"/>
          <w:pgMar w:top="1440" w:right="1361" w:bottom="1440" w:left="1474" w:header="851" w:footer="992" w:gutter="0"/>
          <w:pgNumType w:fmt="decimal"/>
          <w:cols w:space="720" w:num="1"/>
          <w:titlePg/>
          <w:docGrid w:type="lines" w:linePitch="312" w:charSpace="0"/>
        </w:sectPr>
      </w:pPr>
      <w:bookmarkStart w:id="83" w:name="_Toc28738"/>
      <w:bookmarkStart w:id="84" w:name="_Toc31260"/>
      <w:bookmarkStart w:id="85" w:name="_Toc1724"/>
      <w:bookmarkStart w:id="86" w:name="_Toc10635"/>
      <w:bookmarkStart w:id="87" w:name="_Toc25130"/>
      <w:bookmarkStart w:id="88" w:name="_Toc12367"/>
      <w:bookmarkStart w:id="89" w:name="_Toc2440"/>
      <w:bookmarkStart w:id="90" w:name="_Toc15642"/>
    </w:p>
    <w:p>
      <w:pPr>
        <w:tabs>
          <w:tab w:val="left" w:pos="2580"/>
          <w:tab w:val="center" w:pos="5121"/>
        </w:tabs>
        <w:snapToGrid w:val="0"/>
        <w:spacing w:line="360" w:lineRule="auto"/>
        <w:jc w:val="center"/>
        <w:outlineLvl w:val="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第二部分 合同条款</w:t>
      </w:r>
      <w:bookmarkEnd w:id="83"/>
      <w:bookmarkEnd w:id="84"/>
      <w:bookmarkEnd w:id="85"/>
      <w:bookmarkEnd w:id="86"/>
    </w:p>
    <w:p>
      <w:pPr>
        <w:pStyle w:val="4"/>
        <w:keepNext w:val="0"/>
        <w:keepLines w:val="0"/>
        <w:snapToGrid w:val="0"/>
        <w:spacing w:line="360" w:lineRule="auto"/>
        <w:ind w:firstLine="482" w:firstLineChars="200"/>
        <w:rPr>
          <w:rFonts w:hint="eastAsia" w:ascii="仿宋_GB2312" w:hAnsi="仿宋_GB2312" w:eastAsia="仿宋_GB2312" w:cs="仿宋_GB2312"/>
          <w:color w:val="auto"/>
          <w:sz w:val="24"/>
          <w:szCs w:val="24"/>
          <w:highlight w:val="none"/>
        </w:rPr>
      </w:pPr>
      <w:bookmarkStart w:id="91" w:name="_Toc457826152"/>
      <w:bookmarkStart w:id="92" w:name="_Toc493574679"/>
      <w:bookmarkStart w:id="93" w:name="_Toc22585"/>
      <w:r>
        <w:rPr>
          <w:rFonts w:hint="eastAsia" w:ascii="仿宋_GB2312" w:hAnsi="仿宋_GB2312" w:eastAsia="仿宋_GB2312" w:cs="仿宋_GB2312"/>
          <w:color w:val="auto"/>
          <w:sz w:val="24"/>
          <w:szCs w:val="24"/>
          <w:highlight w:val="none"/>
        </w:rPr>
        <w:t>1．一般约定</w:t>
      </w:r>
      <w:bookmarkEnd w:id="91"/>
      <w:bookmarkEnd w:id="92"/>
    </w:p>
    <w:p>
      <w:pPr>
        <w:pStyle w:val="5"/>
        <w:keepNext w:val="0"/>
        <w:keepLines w:val="0"/>
        <w:tabs>
          <w:tab w:val="left" w:pos="180"/>
          <w:tab w:val="left" w:pos="360"/>
        </w:tabs>
        <w:snapToGrid w:val="0"/>
        <w:spacing w:line="360" w:lineRule="auto"/>
        <w:ind w:firstLine="482" w:firstLineChars="200"/>
        <w:rPr>
          <w:rFonts w:hint="eastAsia" w:ascii="仿宋_GB2312" w:hAnsi="仿宋_GB2312" w:eastAsia="仿宋_GB2312" w:cs="仿宋_GB2312"/>
          <w:color w:val="auto"/>
          <w:kern w:val="0"/>
          <w:sz w:val="24"/>
          <w:szCs w:val="24"/>
          <w:highlight w:val="none"/>
        </w:rPr>
      </w:pPr>
      <w:bookmarkStart w:id="94" w:name="_Toc457826153"/>
      <w:bookmarkStart w:id="95" w:name="_Toc406150424"/>
      <w:r>
        <w:rPr>
          <w:rFonts w:hint="eastAsia" w:ascii="仿宋_GB2312" w:hAnsi="仿宋_GB2312" w:eastAsia="仿宋_GB2312" w:cs="仿宋_GB2312"/>
          <w:color w:val="auto"/>
          <w:kern w:val="0"/>
          <w:sz w:val="24"/>
          <w:szCs w:val="24"/>
          <w:highlight w:val="none"/>
        </w:rPr>
        <w:t>1.1 词语定义</w:t>
      </w:r>
      <w:bookmarkEnd w:id="94"/>
      <w:bookmarkEnd w:id="95"/>
    </w:p>
    <w:p>
      <w:pPr>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 合同：</w:t>
      </w:r>
      <w:r>
        <w:rPr>
          <w:rFonts w:hint="eastAsia" w:ascii="仿宋_GB2312" w:hAnsi="仿宋_GB2312" w:eastAsia="仿宋_GB2312" w:cs="仿宋_GB2312"/>
          <w:color w:val="auto"/>
          <w:sz w:val="24"/>
          <w:highlight w:val="none"/>
        </w:rPr>
        <w:t>指甲乙双方签署的、合同协议书中载明的甲乙双方所达成的协议，包括所有的附件、附录和上述文件所提到的构成合同的所有文件</w:t>
      </w:r>
      <w:r>
        <w:rPr>
          <w:rFonts w:hint="eastAsia" w:ascii="仿宋_GB2312" w:hAnsi="仿宋_GB2312" w:eastAsia="仿宋_GB2312" w:cs="仿宋_GB2312"/>
          <w:color w:val="auto"/>
          <w:kern w:val="0"/>
          <w:sz w:val="24"/>
          <w:szCs w:val="24"/>
          <w:highlight w:val="none"/>
        </w:rPr>
        <w:t>。</w:t>
      </w:r>
    </w:p>
    <w:p>
      <w:pPr>
        <w:adjustRightInd w:val="0"/>
        <w:snapToGrid w:val="0"/>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1.1.2 合同协议书：指构成合同的由甲方和乙方共同签署的称为“合同协议书”的书面文件。</w:t>
      </w:r>
    </w:p>
    <w:p>
      <w:pPr>
        <w:adjustRightInd w:val="0"/>
        <w:snapToGrid w:val="0"/>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1.1.3 合同条款：是甲方与乙方根据法律、行政法规规定，结合具体项目实际，经协商达成一致意见的合同条款。</w:t>
      </w:r>
    </w:p>
    <w:p>
      <w:pPr>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1.1.4甲方：指与乙方签定合同协议书的当事人以及取得该当事人资格的合法继承人。</w:t>
      </w:r>
    </w:p>
    <w:p>
      <w:pPr>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1.1.5乙方：指为本项目提供服务与甲方签订合同协议书的，具有项目实施资质的当事人以及取得该当事人资格的合法继承人。</w:t>
      </w:r>
    </w:p>
    <w:p>
      <w:pPr>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1.1.6 项目：指甲方与乙方在合同协议书中约定的项目。</w:t>
      </w:r>
    </w:p>
    <w:p>
      <w:pPr>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1.1.7费用：指为履行合同所发生的或将要发生的所有支出。</w:t>
      </w:r>
    </w:p>
    <w:p>
      <w:pPr>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1.1.8 服务期限：指合同当事人在合同协议书中约定的期限。</w:t>
      </w:r>
    </w:p>
    <w:p>
      <w:pPr>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1.1.9 天：除特别指明外，均指日历天。约定按天计算时间的，开始当天不计入，从次日开始计算。时限的最后一天是休息日或者其他法定节假日的，以节假日次日为时限的最后一天，时限的最后一天的截止时间为当日24时。</w:t>
      </w:r>
    </w:p>
    <w:p>
      <w:pPr>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1.1.10 成果提交日期：指合同当事人约定乙方完成合同范围内工作并提交成果资料的绝对或相对日期，具体要求详见用户需求书/技术规格书。</w:t>
      </w:r>
    </w:p>
    <w:p>
      <w:pPr>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1.1.11 书面形式：指合同书、信件和数据电文（包括电报、电传、传真、电子数据交换和电子邮件）等可以有形地表现所载内容的形式。</w:t>
      </w:r>
    </w:p>
    <w:p>
      <w:pPr>
        <w:adjustRightInd w:val="0"/>
        <w:snapToGrid w:val="0"/>
        <w:spacing w:line="360" w:lineRule="auto"/>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    1.1.12 索赔：指在合同履行过程中，一方违反合同约定，直接或间接地给另一方造成实际损失，受损方向违约方提出经济赔偿和（或）服务期限顺延的要求。</w:t>
      </w:r>
    </w:p>
    <w:p>
      <w:pPr>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1.1.13 签约合同价：是指甲方和乙方在合同协议书中确定的金额，即本项目的中标价格/中选价格/成交价格。</w:t>
      </w:r>
    </w:p>
    <w:p>
      <w:pPr>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1.1.14 合同价格：是指根据本合同规定乙方在正确地完全履行合同义务后，经长沙市人民政府相关职能部门或长沙市轨道交通集团有限公司授权的单位审定的价款/项目履约验收确定的价款。</w:t>
      </w:r>
    </w:p>
    <w:p>
      <w:pPr>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1.1.15 “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adjustRightInd w:val="0"/>
        <w:snapToGrid w:val="0"/>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1.1.16 不可抗力：是指双方在订立本合同时不可预见，在合同履行过程中不可避免并不能克服的自然灾害和社会性突发事件，如地震、海啸、瘟疫、水灾、骚乱、暴动、战争等情形。</w:t>
      </w:r>
    </w:p>
    <w:p>
      <w:pPr>
        <w:pStyle w:val="5"/>
        <w:keepNext w:val="0"/>
        <w:keepLines w:val="0"/>
        <w:tabs>
          <w:tab w:val="left" w:pos="180"/>
          <w:tab w:val="left" w:pos="360"/>
        </w:tabs>
        <w:snapToGrid w:val="0"/>
        <w:spacing w:line="360" w:lineRule="auto"/>
        <w:ind w:firstLine="482" w:firstLineChars="200"/>
        <w:rPr>
          <w:rFonts w:hint="eastAsia" w:ascii="仿宋_GB2312" w:hAnsi="仿宋_GB2312" w:eastAsia="仿宋_GB2312" w:cs="仿宋_GB2312"/>
          <w:color w:val="auto"/>
          <w:kern w:val="0"/>
          <w:sz w:val="24"/>
          <w:szCs w:val="24"/>
          <w:highlight w:val="none"/>
        </w:rPr>
      </w:pPr>
      <w:bookmarkStart w:id="96" w:name="_Toc406150426"/>
      <w:bookmarkStart w:id="97" w:name="_Toc457826156"/>
      <w:r>
        <w:rPr>
          <w:rFonts w:hint="eastAsia" w:ascii="仿宋_GB2312" w:hAnsi="仿宋_GB2312" w:eastAsia="仿宋_GB2312" w:cs="仿宋_GB2312"/>
          <w:color w:val="auto"/>
          <w:kern w:val="0"/>
          <w:sz w:val="24"/>
          <w:szCs w:val="24"/>
          <w:highlight w:val="none"/>
        </w:rPr>
        <w:t>1.2 适用法律法规、技术标准</w:t>
      </w:r>
      <w:bookmarkEnd w:id="96"/>
      <w:bookmarkEnd w:id="97"/>
    </w:p>
    <w:p>
      <w:pPr>
        <w:adjustRightInd w:val="0"/>
        <w:snapToGrid w:val="0"/>
        <w:spacing w:line="360" w:lineRule="auto"/>
        <w:ind w:firstLine="480" w:firstLineChars="200"/>
        <w:jc w:val="left"/>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color w:val="auto"/>
          <w:kern w:val="0"/>
          <w:sz w:val="24"/>
          <w:szCs w:val="24"/>
          <w:highlight w:val="none"/>
        </w:rPr>
        <w:t>1.2.1 适用法律法规</w:t>
      </w:r>
    </w:p>
    <w:p>
      <w:pPr>
        <w:adjustRightInd w:val="0"/>
        <w:snapToGrid w:val="0"/>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本合同文件适用中华人民共和国法律、行政法规、部门规章以及项目所在地的地方性法规、自治条例、单行条例和地方政府规章等。</w:t>
      </w:r>
    </w:p>
    <w:p>
      <w:pPr>
        <w:adjustRightInd w:val="0"/>
        <w:snapToGrid w:val="0"/>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1.2.2 适用技术标准</w:t>
      </w:r>
    </w:p>
    <w:p>
      <w:pPr>
        <w:autoSpaceDE w:val="0"/>
        <w:autoSpaceDN w:val="0"/>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适用于项目的现行有效国家标准、行业标准、项目所在地的地方标准以及相应的规范、规程为本合同文件适用的技术标准。</w:t>
      </w:r>
    </w:p>
    <w:p>
      <w:pPr>
        <w:autoSpaceDE w:val="0"/>
        <w:autoSpaceDN w:val="0"/>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1.2.3 具体技术要求详见合同附件“用户需求书/技术规格书”。</w:t>
      </w:r>
    </w:p>
    <w:p>
      <w:pPr>
        <w:pStyle w:val="5"/>
        <w:keepNext w:val="0"/>
        <w:keepLines w:val="0"/>
        <w:tabs>
          <w:tab w:val="left" w:pos="180"/>
          <w:tab w:val="left" w:pos="360"/>
        </w:tabs>
        <w:snapToGrid w:val="0"/>
        <w:spacing w:line="360" w:lineRule="auto"/>
        <w:ind w:firstLine="482" w:firstLineChars="200"/>
        <w:rPr>
          <w:rFonts w:hint="eastAsia" w:ascii="仿宋_GB2312" w:hAnsi="仿宋_GB2312" w:eastAsia="仿宋_GB2312" w:cs="仿宋_GB2312"/>
          <w:color w:val="auto"/>
          <w:kern w:val="0"/>
          <w:sz w:val="24"/>
          <w:szCs w:val="24"/>
          <w:highlight w:val="none"/>
        </w:rPr>
      </w:pPr>
      <w:bookmarkStart w:id="98" w:name="_Toc457826157"/>
      <w:r>
        <w:rPr>
          <w:rFonts w:hint="eastAsia" w:ascii="仿宋_GB2312" w:hAnsi="仿宋_GB2312" w:eastAsia="仿宋_GB2312" w:cs="仿宋_GB2312"/>
          <w:color w:val="auto"/>
          <w:kern w:val="0"/>
          <w:sz w:val="24"/>
          <w:szCs w:val="24"/>
          <w:highlight w:val="none"/>
        </w:rPr>
        <w:t>1.3 语言文字</w:t>
      </w:r>
      <w:bookmarkEnd w:id="98"/>
    </w:p>
    <w:p>
      <w:pPr>
        <w:tabs>
          <w:tab w:val="left" w:pos="540"/>
        </w:tabs>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本合同文件使用汉语语言文字书写、解释和说明。</w:t>
      </w:r>
    </w:p>
    <w:p>
      <w:pPr>
        <w:pStyle w:val="5"/>
        <w:keepNext w:val="0"/>
        <w:keepLines w:val="0"/>
        <w:tabs>
          <w:tab w:val="left" w:pos="180"/>
          <w:tab w:val="left" w:pos="360"/>
        </w:tabs>
        <w:snapToGrid w:val="0"/>
        <w:spacing w:line="360" w:lineRule="auto"/>
        <w:ind w:firstLine="482" w:firstLineChars="200"/>
        <w:rPr>
          <w:rFonts w:hint="eastAsia" w:ascii="仿宋_GB2312" w:hAnsi="仿宋_GB2312" w:eastAsia="仿宋_GB2312" w:cs="仿宋_GB2312"/>
          <w:color w:val="auto"/>
          <w:kern w:val="0"/>
          <w:sz w:val="24"/>
          <w:szCs w:val="24"/>
          <w:highlight w:val="none"/>
        </w:rPr>
      </w:pPr>
      <w:bookmarkStart w:id="99" w:name="_Toc351203502"/>
      <w:bookmarkStart w:id="100" w:name="_Toc457826158"/>
      <w:bookmarkStart w:id="101" w:name="_Toc406150428"/>
      <w:bookmarkStart w:id="102" w:name="_Toc296503033"/>
      <w:bookmarkStart w:id="103" w:name="_Toc337558733"/>
      <w:bookmarkStart w:id="104" w:name="_Toc296346534"/>
      <w:r>
        <w:rPr>
          <w:rFonts w:hint="eastAsia" w:ascii="仿宋_GB2312" w:hAnsi="仿宋_GB2312" w:eastAsia="仿宋_GB2312" w:cs="仿宋_GB2312"/>
          <w:color w:val="auto"/>
          <w:kern w:val="0"/>
          <w:sz w:val="24"/>
          <w:szCs w:val="24"/>
          <w:highlight w:val="none"/>
        </w:rPr>
        <w:t>1.4 联络</w:t>
      </w:r>
      <w:bookmarkEnd w:id="99"/>
      <w:bookmarkEnd w:id="100"/>
      <w:bookmarkEnd w:id="101"/>
    </w:p>
    <w:bookmarkEnd w:id="102"/>
    <w:bookmarkEnd w:id="103"/>
    <w:bookmarkEnd w:id="104"/>
    <w:p>
      <w:pPr>
        <w:tabs>
          <w:tab w:val="left" w:pos="540"/>
          <w:tab w:val="left" w:pos="720"/>
        </w:tabs>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1.4.1 与合同有关的批准文件、通知、证明、证书、指示、指令、要求、请求、意见、确定和决定等，均应采用书面形式或合同双方确认的其他形式，并应在5个工作日内送达接收人。</w:t>
      </w:r>
    </w:p>
    <w:p>
      <w:pPr>
        <w:tabs>
          <w:tab w:val="left" w:pos="540"/>
          <w:tab w:val="left" w:pos="1260"/>
        </w:tabs>
        <w:adjustRightInd w:val="0"/>
        <w:snapToGrid w:val="0"/>
        <w:spacing w:line="360" w:lineRule="auto"/>
        <w:ind w:firstLine="480" w:firstLineChars="200"/>
        <w:jc w:val="left"/>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color w:val="auto"/>
          <w:kern w:val="0"/>
          <w:sz w:val="24"/>
          <w:szCs w:val="24"/>
          <w:highlight w:val="none"/>
        </w:rPr>
        <w:t>1.4.2 甲方和乙方另行约定各自的送达接收人、送达形式及联系方式。合同当事人指定的接收人、送达地点或联系方式发生变动的，应提前3天以书面形式通知对方，否则视为未发生变动。</w:t>
      </w:r>
    </w:p>
    <w:p>
      <w:pPr>
        <w:tabs>
          <w:tab w:val="left" w:pos="540"/>
          <w:tab w:val="left" w:pos="1260"/>
        </w:tabs>
        <w:adjustRightInd w:val="0"/>
        <w:snapToGrid w:val="0"/>
        <w:spacing w:line="360" w:lineRule="auto"/>
        <w:ind w:firstLine="480" w:firstLineChars="200"/>
        <w:jc w:val="left"/>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color w:val="auto"/>
          <w:kern w:val="0"/>
          <w:sz w:val="24"/>
          <w:szCs w:val="24"/>
          <w:highlight w:val="none"/>
        </w:rPr>
        <w:t>1.4.3 甲方、乙方应及时签收对方送达至约定送达地点和指定接收人的来往信函；如确有充分证据证明一方无正当理由拒不签收的，视为拒绝签收一方认可往来信函的内容。</w:t>
      </w:r>
    </w:p>
    <w:p>
      <w:pPr>
        <w:pStyle w:val="5"/>
        <w:keepNext w:val="0"/>
        <w:keepLines w:val="0"/>
        <w:tabs>
          <w:tab w:val="left" w:pos="180"/>
          <w:tab w:val="left" w:pos="360"/>
        </w:tabs>
        <w:snapToGrid w:val="0"/>
        <w:spacing w:line="360" w:lineRule="auto"/>
        <w:ind w:firstLine="482" w:firstLineChars="200"/>
        <w:rPr>
          <w:rFonts w:hint="eastAsia" w:ascii="仿宋_GB2312" w:hAnsi="仿宋_GB2312" w:eastAsia="仿宋_GB2312" w:cs="仿宋_GB2312"/>
          <w:color w:val="auto"/>
          <w:kern w:val="0"/>
          <w:sz w:val="24"/>
          <w:szCs w:val="24"/>
          <w:highlight w:val="none"/>
        </w:rPr>
      </w:pPr>
      <w:bookmarkStart w:id="105" w:name="_Toc449383259"/>
      <w:bookmarkStart w:id="106" w:name="_Toc406150429"/>
      <w:bookmarkStart w:id="107" w:name="_Toc351203503"/>
      <w:bookmarkStart w:id="108" w:name="_Toc337558734"/>
      <w:bookmarkStart w:id="109" w:name="_Toc296346536"/>
      <w:bookmarkStart w:id="110" w:name="_Toc296503035"/>
      <w:bookmarkStart w:id="111" w:name="_Toc457826159"/>
      <w:bookmarkStart w:id="112" w:name="_Toc406150430"/>
      <w:bookmarkStart w:id="113" w:name="_Toc337558738"/>
      <w:r>
        <w:rPr>
          <w:rFonts w:hint="eastAsia" w:ascii="仿宋_GB2312" w:hAnsi="仿宋_GB2312" w:eastAsia="仿宋_GB2312" w:cs="仿宋_GB2312"/>
          <w:color w:val="auto"/>
          <w:kern w:val="0"/>
          <w:sz w:val="24"/>
          <w:szCs w:val="24"/>
          <w:highlight w:val="none"/>
        </w:rPr>
        <w:t>1.5 严禁贿赂</w:t>
      </w:r>
      <w:bookmarkEnd w:id="105"/>
      <w:bookmarkEnd w:id="106"/>
      <w:bookmarkEnd w:id="107"/>
    </w:p>
    <w:bookmarkEnd w:id="108"/>
    <w:bookmarkEnd w:id="109"/>
    <w:bookmarkEnd w:id="110"/>
    <w:p>
      <w:pPr>
        <w:tabs>
          <w:tab w:val="left" w:pos="540"/>
        </w:tabs>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合同当事人不得以贿赂或变相贿赂的方式，谋取非法利益或损害对方权益。因一方的贿赂造成对方损失的，应赔偿损失并承担相应的法律责任。</w:t>
      </w:r>
    </w:p>
    <w:p>
      <w:pPr>
        <w:tabs>
          <w:tab w:val="left" w:pos="540"/>
        </w:tabs>
        <w:adjustRightInd w:val="0"/>
        <w:snapToGrid w:val="0"/>
        <w:spacing w:line="360" w:lineRule="auto"/>
        <w:ind w:firstLine="482" w:firstLineChars="200"/>
        <w:jc w:val="left"/>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1.6 知识产权及保密</w:t>
      </w:r>
      <w:bookmarkEnd w:id="111"/>
      <w:bookmarkEnd w:id="112"/>
      <w:bookmarkEnd w:id="113"/>
    </w:p>
    <w:p>
      <w:pPr>
        <w:tabs>
          <w:tab w:val="left" w:pos="540"/>
        </w:tabs>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1.6.1 在本合同有效期内，甲方利用乙方提交的工作成果所形成的知识产权，归甲方所有。</w:t>
      </w:r>
    </w:p>
    <w:p>
      <w:pPr>
        <w:tabs>
          <w:tab w:val="left" w:pos="540"/>
        </w:tabs>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1.6.2 在本合同有效期内，乙方利用甲方提供的技术资料和工作条件所形成的知识产权，归双方所有。</w:t>
      </w:r>
    </w:p>
    <w:p>
      <w:pPr>
        <w:tabs>
          <w:tab w:val="left" w:pos="540"/>
        </w:tabs>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1.6.3 除法律法规规定或合同另有约定外，未经甲方书面同意，乙方不得将甲方提供的图纸、文件、声明及检测成果等需要保密的资料信息等商业秘密泄露给第三方。</w:t>
      </w:r>
    </w:p>
    <w:p>
      <w:pPr>
        <w:tabs>
          <w:tab w:val="left" w:pos="540"/>
        </w:tabs>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1.6.4乙方对其所提供的物资、技术等应当享有知识产权或经权利人合法授权，保证没有侵犯任何第三人的知识产权。</w:t>
      </w:r>
    </w:p>
    <w:p>
      <w:pPr>
        <w:pStyle w:val="4"/>
        <w:keepNext w:val="0"/>
        <w:keepLines w:val="0"/>
        <w:snapToGrid w:val="0"/>
        <w:spacing w:line="360" w:lineRule="auto"/>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2．双方的权利和义务</w:t>
      </w:r>
    </w:p>
    <w:p>
      <w:pPr>
        <w:pStyle w:val="5"/>
        <w:keepNext w:val="0"/>
        <w:keepLines w:val="0"/>
        <w:tabs>
          <w:tab w:val="left" w:pos="180"/>
          <w:tab w:val="left" w:pos="360"/>
        </w:tabs>
        <w:snapToGrid w:val="0"/>
        <w:spacing w:line="360" w:lineRule="auto"/>
        <w:ind w:firstLine="482" w:firstLineChars="200"/>
        <w:rPr>
          <w:rFonts w:hint="eastAsia" w:ascii="仿宋_GB2312" w:hAnsi="仿宋_GB2312" w:eastAsia="仿宋_GB2312" w:cs="仿宋_GB2312"/>
          <w:color w:val="auto"/>
          <w:kern w:val="0"/>
          <w:sz w:val="24"/>
          <w:szCs w:val="24"/>
          <w:highlight w:val="none"/>
        </w:rPr>
      </w:pPr>
      <w:bookmarkStart w:id="114" w:name="_Toc457826161"/>
      <w:bookmarkStart w:id="115" w:name="_Toc406150432"/>
      <w:r>
        <w:rPr>
          <w:rFonts w:hint="eastAsia" w:ascii="仿宋_GB2312" w:hAnsi="仿宋_GB2312" w:eastAsia="仿宋_GB2312" w:cs="仿宋_GB2312"/>
          <w:color w:val="auto"/>
          <w:kern w:val="0"/>
          <w:sz w:val="24"/>
          <w:szCs w:val="24"/>
          <w:highlight w:val="none"/>
        </w:rPr>
        <w:t>2.1 甲方的权利</w:t>
      </w:r>
      <w:bookmarkEnd w:id="114"/>
      <w:bookmarkEnd w:id="115"/>
      <w:r>
        <w:rPr>
          <w:rFonts w:hint="eastAsia" w:ascii="仿宋_GB2312" w:hAnsi="仿宋_GB2312" w:eastAsia="仿宋_GB2312" w:cs="仿宋_GB2312"/>
          <w:color w:val="auto"/>
          <w:kern w:val="0"/>
          <w:sz w:val="24"/>
          <w:szCs w:val="24"/>
          <w:highlight w:val="none"/>
        </w:rPr>
        <w:t>和义务</w:t>
      </w:r>
    </w:p>
    <w:bookmarkEnd w:id="93"/>
    <w:p>
      <w:pPr>
        <w:widowControl/>
        <w:autoSpaceDE w:val="0"/>
        <w:autoSpaceDN w:val="0"/>
        <w:adjustRightInd w:val="0"/>
        <w:snapToGrid w:val="0"/>
        <w:spacing w:line="360" w:lineRule="auto"/>
        <w:ind w:firstLine="480" w:firstLineChars="200"/>
        <w:jc w:val="left"/>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2.1.1 向乙方提供本项目的基础资料，安排专人负责项目的组织、协调、管理工作。</w:t>
      </w:r>
    </w:p>
    <w:p>
      <w:pPr>
        <w:widowControl/>
        <w:autoSpaceDE w:val="0"/>
        <w:autoSpaceDN w:val="0"/>
        <w:adjustRightInd w:val="0"/>
        <w:snapToGrid w:val="0"/>
        <w:spacing w:line="360" w:lineRule="auto"/>
        <w:ind w:firstLine="480" w:firstLineChars="200"/>
        <w:jc w:val="left"/>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 甲方有权对乙方的服务进行监督、检查，有权根据合同对乙方的工作进行考核。</w:t>
      </w:r>
    </w:p>
    <w:p>
      <w:pPr>
        <w:widowControl/>
        <w:autoSpaceDE w:val="0"/>
        <w:autoSpaceDN w:val="0"/>
        <w:adjustRightInd w:val="0"/>
        <w:snapToGrid w:val="0"/>
        <w:spacing w:line="360" w:lineRule="auto"/>
        <w:ind w:firstLine="480" w:firstLineChars="200"/>
        <w:jc w:val="left"/>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2.1.3 检定、校准、检测工作需要在现场进行的，甲方有权根据生产需要合理安排检测时间，并提前通知乙方，同时协助乙方做好现场检测工作，特殊情况双方协商处理。</w:t>
      </w:r>
    </w:p>
    <w:p>
      <w:pPr>
        <w:widowControl/>
        <w:autoSpaceDE w:val="0"/>
        <w:autoSpaceDN w:val="0"/>
        <w:adjustRightInd w:val="0"/>
        <w:snapToGrid w:val="0"/>
        <w:spacing w:line="360" w:lineRule="auto"/>
        <w:ind w:firstLine="480" w:firstLineChars="200"/>
        <w:jc w:val="left"/>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2.1.4 按合同约定向乙方及时支付合同价款。</w:t>
      </w:r>
    </w:p>
    <w:p>
      <w:pPr>
        <w:widowControl/>
        <w:autoSpaceDE w:val="0"/>
        <w:autoSpaceDN w:val="0"/>
        <w:adjustRightInd w:val="0"/>
        <w:snapToGrid w:val="0"/>
        <w:spacing w:line="360" w:lineRule="auto"/>
        <w:ind w:firstLine="480" w:firstLineChars="200"/>
        <w:jc w:val="left"/>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2.1.5 按合同要求组织验收。</w:t>
      </w:r>
    </w:p>
    <w:p>
      <w:pPr>
        <w:widowControl/>
        <w:autoSpaceDE w:val="0"/>
        <w:autoSpaceDN w:val="0"/>
        <w:adjustRightInd w:val="0"/>
        <w:snapToGrid w:val="0"/>
        <w:spacing w:line="360" w:lineRule="auto"/>
        <w:ind w:firstLine="480" w:firstLineChars="200"/>
        <w:jc w:val="left"/>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2.1.6 甲方有权书面通知乙方，在本合同范围内对下述内容进行调整（包括但不限于）：检测要求、检测工作日、检测数量和规格型号、运输、装卸、取送地点、乙方提供的服务内容等项目。</w:t>
      </w:r>
    </w:p>
    <w:p>
      <w:pPr>
        <w:widowControl/>
        <w:autoSpaceDE w:val="0"/>
        <w:autoSpaceDN w:val="0"/>
        <w:adjustRightInd w:val="0"/>
        <w:snapToGrid w:val="0"/>
        <w:spacing w:line="360" w:lineRule="auto"/>
        <w:ind w:firstLine="482" w:firstLineChars="200"/>
        <w:jc w:val="left"/>
        <w:outlineLvl w:val="1"/>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2.2 乙方的权利与义务</w:t>
      </w:r>
    </w:p>
    <w:p>
      <w:pPr>
        <w:widowControl/>
        <w:autoSpaceDE w:val="0"/>
        <w:autoSpaceDN w:val="0"/>
        <w:adjustRightInd w:val="0"/>
        <w:snapToGrid w:val="0"/>
        <w:spacing w:line="360" w:lineRule="auto"/>
        <w:ind w:firstLine="480" w:firstLineChars="200"/>
        <w:jc w:val="left"/>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2.2.1 乙方必须严格执行检定、校准、检测的国家及行业相关法律法规、规程规范有关规定，严格按照本合同约定开展检测工作，乙方对检测成果的真实性、准确性负责。</w:t>
      </w:r>
    </w:p>
    <w:p>
      <w:pPr>
        <w:widowControl/>
        <w:autoSpaceDE w:val="0"/>
        <w:autoSpaceDN w:val="0"/>
        <w:adjustRightInd w:val="0"/>
        <w:snapToGrid w:val="0"/>
        <w:spacing w:line="360" w:lineRule="auto"/>
        <w:ind w:firstLine="480" w:firstLineChars="200"/>
        <w:jc w:val="left"/>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2.2.2 乙方提交的检测成果（包括但不限于检定证书、校准证书、检测证书等）的内容、格式、形式、数量等必须符合相应规程、规范、标准及本合同约定的内容。检测成果出现的遗漏或错误的，乙方应自费进行补充和修改，甲方不再另行支付费用。</w:t>
      </w:r>
    </w:p>
    <w:p>
      <w:pPr>
        <w:widowControl/>
        <w:autoSpaceDE w:val="0"/>
        <w:autoSpaceDN w:val="0"/>
        <w:adjustRightInd w:val="0"/>
        <w:snapToGrid w:val="0"/>
        <w:spacing w:line="360" w:lineRule="auto"/>
        <w:ind w:firstLine="480" w:firstLineChars="200"/>
        <w:jc w:val="left"/>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2.2.3 属于本合同检测范围，但乙方无法自行开展检测服务的，乙方应将设备、工器具送往其他具有相关专业资质的检测机构进行检测（简称代送检），但不免除本合同约定的乙方责任。除本合同约定的检测费用以外，代送检产生的其他所有费用由乙方自行承担。</w:t>
      </w:r>
    </w:p>
    <w:p>
      <w:pPr>
        <w:widowControl/>
        <w:autoSpaceDE w:val="0"/>
        <w:autoSpaceDN w:val="0"/>
        <w:adjustRightInd w:val="0"/>
        <w:snapToGrid w:val="0"/>
        <w:spacing w:line="360" w:lineRule="auto"/>
        <w:ind w:firstLine="480" w:firstLineChars="200"/>
        <w:jc w:val="left"/>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2.2.4 乙方须指定专人负责合同的执行，包括但不限于检测工作的具体实施、设备、工器具的交接和取送、检测完工确认等。未经甲方同意，乙方不得擅自更换人员。</w:t>
      </w:r>
    </w:p>
    <w:p>
      <w:pPr>
        <w:widowControl/>
        <w:autoSpaceDE w:val="0"/>
        <w:autoSpaceDN w:val="0"/>
        <w:adjustRightInd w:val="0"/>
        <w:snapToGrid w:val="0"/>
        <w:spacing w:line="360" w:lineRule="auto"/>
        <w:ind w:firstLine="480" w:firstLineChars="200"/>
        <w:jc w:val="left"/>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2.2.5 乙方应按照法律法规的要求购买其工作人员的工伤保险、人身意外伤害险和其他保险，并使保险合同在合同服务期内保持有效，并承担其工作人员现场工作期间所产生的一切费用。因乙方原因导致的安全事故及损失，由乙方承担全部责任；若因此而导致甲方承担任何费用（包括但不限于诉讼费、保全费、合理的律师费等）的，乙方均应向甲方进行赔偿。</w:t>
      </w:r>
    </w:p>
    <w:p>
      <w:pPr>
        <w:widowControl/>
        <w:autoSpaceDE w:val="0"/>
        <w:autoSpaceDN w:val="0"/>
        <w:adjustRightInd w:val="0"/>
        <w:snapToGrid w:val="0"/>
        <w:spacing w:line="360" w:lineRule="auto"/>
        <w:ind w:firstLine="480" w:firstLineChars="200"/>
        <w:jc w:val="left"/>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2.2.6 乙方应根据甲方需要对检测范围内的设备、工器具的使用维护、保养等提供培训和咨询服务。</w:t>
      </w:r>
    </w:p>
    <w:p>
      <w:pPr>
        <w:widowControl/>
        <w:autoSpaceDE w:val="0"/>
        <w:autoSpaceDN w:val="0"/>
        <w:adjustRightInd w:val="0"/>
        <w:snapToGrid w:val="0"/>
        <w:spacing w:line="360" w:lineRule="auto"/>
        <w:ind w:firstLine="480" w:firstLineChars="200"/>
        <w:jc w:val="left"/>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2.2.7 乙方应根据用户需求书/技术规格书中相关要求，履行相应的义务。</w:t>
      </w:r>
    </w:p>
    <w:p>
      <w:pPr>
        <w:tabs>
          <w:tab w:val="left" w:pos="540"/>
        </w:tabs>
        <w:adjustRightInd w:val="0"/>
        <w:snapToGrid w:val="0"/>
        <w:spacing w:line="360" w:lineRule="auto"/>
        <w:ind w:firstLine="482" w:firstLineChars="200"/>
        <w:jc w:val="left"/>
        <w:outlineLvl w:val="1"/>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snapToGrid w:val="0"/>
          <w:color w:val="auto"/>
          <w:sz w:val="24"/>
          <w:szCs w:val="24"/>
          <w:highlight w:val="none"/>
        </w:rPr>
        <w:t>3、</w:t>
      </w:r>
      <w:r>
        <w:rPr>
          <w:rFonts w:hint="eastAsia" w:ascii="仿宋_GB2312" w:hAnsi="仿宋_GB2312" w:eastAsia="仿宋_GB2312" w:cs="仿宋_GB2312"/>
          <w:b/>
          <w:color w:val="auto"/>
          <w:sz w:val="24"/>
          <w:szCs w:val="24"/>
          <w:highlight w:val="none"/>
        </w:rPr>
        <w:t>履约担保</w:t>
      </w:r>
    </w:p>
    <w:p>
      <w:pPr>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履约担保是办理付款的必要条件之一，乙方应在本合同签订后</w:t>
      </w:r>
      <w:r>
        <w:rPr>
          <w:rFonts w:hint="eastAsia" w:ascii="仿宋_GB2312" w:hAnsi="仿宋_GB2312" w:eastAsia="仿宋_GB2312" w:cs="仿宋_GB2312"/>
          <w:color w:val="auto"/>
          <w:sz w:val="24"/>
          <w:highlight w:val="none"/>
          <w:lang w:val="en-US" w:eastAsia="zh-CN"/>
        </w:rPr>
        <w:t>15个工作日</w:t>
      </w:r>
      <w:r>
        <w:rPr>
          <w:rFonts w:hint="eastAsia" w:ascii="仿宋_GB2312" w:hAnsi="仿宋_GB2312" w:eastAsia="仿宋_GB2312" w:cs="仿宋_GB2312"/>
          <w:color w:val="auto"/>
          <w:sz w:val="24"/>
          <w:highlight w:val="none"/>
        </w:rPr>
        <w:t>内提供履约担保。</w:t>
      </w:r>
    </w:p>
    <w:p>
      <w:pPr>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履约担保用于补偿甲方因乙方不能完成其合同义务而蒙受的损失。</w:t>
      </w:r>
    </w:p>
    <w:p>
      <w:pPr>
        <w:adjustRightInd w:val="0"/>
        <w:snapToGrid w:val="0"/>
        <w:spacing w:line="360" w:lineRule="auto"/>
        <w:ind w:firstLine="480" w:firstLineChars="200"/>
        <w:rPr>
          <w:rFonts w:hint="eastAsia"/>
          <w:color w:val="auto"/>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乙方提供履约担保的形式、金额及期限可采用以下方式</w:t>
      </w:r>
      <w:r>
        <w:rPr>
          <w:rFonts w:hint="eastAsia" w:ascii="仿宋_GB2312" w:hAnsi="仿宋_GB2312" w:eastAsia="仿宋_GB2312" w:cs="仿宋_GB2312"/>
          <w:color w:val="auto"/>
          <w:sz w:val="24"/>
          <w:highlight w:val="none"/>
          <w:lang w:eastAsia="zh-CN"/>
        </w:rPr>
        <w:t>之一</w:t>
      </w:r>
      <w:r>
        <w:rPr>
          <w:rFonts w:hint="eastAsia" w:ascii="仿宋_GB2312" w:hAnsi="仿宋_GB2312" w:eastAsia="仿宋_GB2312" w:cs="仿宋_GB2312"/>
          <w:color w:val="auto"/>
          <w:sz w:val="24"/>
          <w:highlight w:val="none"/>
        </w:rPr>
        <w:t xml:space="preserve"> ：</w:t>
      </w:r>
    </w:p>
    <w:p>
      <w:pPr>
        <w:tabs>
          <w:tab w:val="left" w:pos="851"/>
        </w:tabs>
        <w:adjustRightInd w:val="0"/>
        <w:snapToGrid w:val="0"/>
        <w:spacing w:line="360" w:lineRule="auto"/>
        <w:ind w:firstLine="480" w:firstLineChars="200"/>
        <w:textAlignment w:val="baseline"/>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（1）采用银行履约保函形式，银行履约保函的担保额度为签约合同价的</w:t>
      </w:r>
      <w:r>
        <w:rPr>
          <w:rFonts w:hint="eastAsia" w:ascii="仿宋_GB2312" w:hAnsi="仿宋_GB2312" w:eastAsia="仿宋_GB2312" w:cs="仿宋_GB2312"/>
          <w:color w:val="auto"/>
          <w:kern w:val="0"/>
          <w:sz w:val="24"/>
          <w:szCs w:val="24"/>
          <w:highlight w:val="none"/>
          <w:u w:val="single"/>
        </w:rPr>
        <w:t>10%</w:t>
      </w:r>
      <w:r>
        <w:rPr>
          <w:rFonts w:hint="eastAsia" w:ascii="仿宋_GB2312" w:hAnsi="仿宋_GB2312" w:eastAsia="仿宋_GB2312" w:cs="仿宋_GB2312"/>
          <w:color w:val="auto"/>
          <w:kern w:val="0"/>
          <w:sz w:val="24"/>
          <w:szCs w:val="24"/>
          <w:highlight w:val="none"/>
        </w:rPr>
        <w:t>，担保期限为自保函生效之日起，至服务期满之日止。银行履约保函应为在中国境内注册和营业的银行出具的、以甲方为受益人首次申请即作为无条件付款的保函，银行履约保函格式具体详见合同附录。</w:t>
      </w:r>
    </w:p>
    <w:p>
      <w:pPr>
        <w:tabs>
          <w:tab w:val="left" w:pos="851"/>
        </w:tabs>
        <w:adjustRightInd w:val="0"/>
        <w:snapToGrid w:val="0"/>
        <w:spacing w:line="360" w:lineRule="auto"/>
        <w:ind w:firstLine="480" w:firstLineChars="200"/>
        <w:textAlignment w:val="baseline"/>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（2）采用现金形式，现金担保额度为签约合同价的</w:t>
      </w:r>
      <w:r>
        <w:rPr>
          <w:rFonts w:hint="eastAsia" w:ascii="仿宋_GB2312" w:hAnsi="仿宋_GB2312" w:eastAsia="仿宋_GB2312" w:cs="仿宋_GB2312"/>
          <w:color w:val="auto"/>
          <w:kern w:val="0"/>
          <w:sz w:val="24"/>
          <w:szCs w:val="24"/>
          <w:highlight w:val="none"/>
          <w:u w:val="single"/>
        </w:rPr>
        <w:t>10%</w:t>
      </w:r>
      <w:r>
        <w:rPr>
          <w:rFonts w:hint="eastAsia" w:ascii="仿宋_GB2312" w:hAnsi="仿宋_GB2312" w:eastAsia="仿宋_GB2312" w:cs="仿宋_GB2312"/>
          <w:color w:val="auto"/>
          <w:kern w:val="0"/>
          <w:sz w:val="24"/>
          <w:szCs w:val="24"/>
          <w:highlight w:val="none"/>
        </w:rPr>
        <w:t>，担保期限为履约保证金到账之日起，至服务期满之日止。履约担保以现金形式提交的，乙方应从其基本账户通过转帐或电汇至甲方指定的账户。</w:t>
      </w:r>
      <w:r>
        <w:rPr>
          <w:rFonts w:hint="eastAsia" w:ascii="仿宋_GB2312" w:hAnsi="宋体" w:eastAsia="仿宋_GB2312"/>
          <w:color w:val="auto"/>
          <w:sz w:val="24"/>
          <w:highlight w:val="none"/>
        </w:rPr>
        <w:t>户名：</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宋体" w:eastAsia="仿宋_GB2312"/>
          <w:color w:val="auto"/>
          <w:sz w:val="24"/>
          <w:highlight w:val="none"/>
        </w:rPr>
        <w:t>；开户行：</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宋体" w:eastAsia="仿宋_GB2312"/>
          <w:color w:val="auto"/>
          <w:sz w:val="24"/>
          <w:highlight w:val="none"/>
        </w:rPr>
        <w:t>；账号：</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宋体" w:eastAsia="仿宋_GB2312"/>
          <w:color w:val="auto"/>
          <w:sz w:val="24"/>
          <w:highlight w:val="none"/>
          <w:u w:val="none"/>
          <w:lang w:eastAsia="zh-CN"/>
        </w:rPr>
        <w:t>。</w:t>
      </w:r>
    </w:p>
    <w:p>
      <w:pPr>
        <w:tabs>
          <w:tab w:val="left" w:pos="851"/>
        </w:tabs>
        <w:adjustRightInd w:val="0"/>
        <w:snapToGrid w:val="0"/>
        <w:spacing w:line="360" w:lineRule="auto"/>
        <w:ind w:firstLine="480" w:firstLineChars="200"/>
        <w:textAlignment w:val="baseline"/>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w:t>
      </w: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在乙方完成其合同义务包括任何保证义务后，甲方将把履约担保无息退还乙方。</w:t>
      </w:r>
    </w:p>
    <w:bookmarkEnd w:id="87"/>
    <w:bookmarkEnd w:id="88"/>
    <w:bookmarkEnd w:id="89"/>
    <w:bookmarkEnd w:id="90"/>
    <w:p>
      <w:pPr>
        <w:pStyle w:val="5"/>
        <w:keepNext w:val="0"/>
        <w:keepLines w:val="0"/>
        <w:tabs>
          <w:tab w:val="left" w:pos="180"/>
          <w:tab w:val="left" w:pos="360"/>
        </w:tabs>
        <w:snapToGrid w:val="0"/>
        <w:spacing w:line="360" w:lineRule="auto"/>
        <w:ind w:firstLine="482" w:firstLineChars="200"/>
        <w:rPr>
          <w:rFonts w:hint="eastAsia" w:ascii="仿宋_GB2312" w:hAnsi="仿宋_GB2312" w:eastAsia="仿宋_GB2312" w:cs="仿宋_GB2312"/>
          <w:color w:val="auto"/>
          <w:kern w:val="0"/>
          <w:sz w:val="24"/>
          <w:szCs w:val="24"/>
          <w:highlight w:val="none"/>
        </w:rPr>
      </w:pPr>
      <w:bookmarkStart w:id="116" w:name="_Toc13504"/>
      <w:r>
        <w:rPr>
          <w:rFonts w:hint="eastAsia" w:ascii="仿宋_GB2312" w:hAnsi="仿宋_GB2312" w:eastAsia="仿宋_GB2312" w:cs="仿宋_GB2312"/>
          <w:color w:val="auto"/>
          <w:kern w:val="0"/>
          <w:sz w:val="24"/>
          <w:szCs w:val="24"/>
          <w:highlight w:val="none"/>
        </w:rPr>
        <w:t>4．价款支付</w:t>
      </w:r>
    </w:p>
    <w:p>
      <w:pPr>
        <w:pStyle w:val="17"/>
        <w:adjustRightInd w:val="0"/>
        <w:snapToGrid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4.1.1本项目支付方式采用以下</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eastAsia="zh-CN"/>
        </w:rPr>
        <w:t>（</w:t>
      </w:r>
      <w:r>
        <w:rPr>
          <w:rFonts w:hint="eastAsia" w:ascii="仿宋_GB2312" w:hAnsi="仿宋_GB2312" w:eastAsia="仿宋_GB2312" w:cs="仿宋_GB2312"/>
          <w:color w:val="auto"/>
          <w:highlight w:val="none"/>
          <w:u w:val="single"/>
          <w:lang w:val="en-US" w:eastAsia="zh-CN"/>
        </w:rPr>
        <w:t>2</w:t>
      </w:r>
      <w:r>
        <w:rPr>
          <w:rFonts w:hint="eastAsia" w:ascii="仿宋_GB2312" w:hAnsi="仿宋_GB2312" w:eastAsia="仿宋_GB2312" w:cs="仿宋_GB2312"/>
          <w:color w:val="auto"/>
          <w:highlight w:val="none"/>
          <w:u w:val="single"/>
          <w:lang w:eastAsia="zh-CN"/>
        </w:rPr>
        <w:t>）</w:t>
      </w:r>
      <w:r>
        <w:rPr>
          <w:rFonts w:hint="eastAsia" w:ascii="仿宋_GB2312" w:hAnsi="仿宋_GB2312" w:eastAsia="仿宋_GB2312" w:cs="仿宋_GB2312"/>
          <w:color w:val="auto"/>
          <w:highlight w:val="none"/>
        </w:rPr>
        <w:t>方式。</w:t>
      </w:r>
    </w:p>
    <w:p>
      <w:pPr>
        <w:pStyle w:val="17"/>
        <w:adjustRightInd w:val="0"/>
        <w:snapToGrid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（1）一次支付：</w:t>
      </w:r>
    </w:p>
    <w:p>
      <w:pPr>
        <w:pStyle w:val="17"/>
        <w:adjustRightInd w:val="0"/>
        <w:snapToGrid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乙方按合同约定完成全部工作，且</w:t>
      </w:r>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bCs/>
          <w:color w:val="auto"/>
          <w:highlight w:val="none"/>
          <w:u w:val="single"/>
        </w:rPr>
        <w:t>合同价格经长沙市人民政府相关职能部门或长沙市轨道交通集团有限公司授权的单位审定</w:t>
      </w:r>
      <w:r>
        <w:rPr>
          <w:rFonts w:hint="eastAsia" w:ascii="仿宋_GB2312" w:hAnsi="仿宋_GB2312" w:eastAsia="仿宋_GB2312" w:cs="仿宋_GB2312"/>
          <w:color w:val="auto"/>
          <w:highlight w:val="none"/>
          <w:u w:val="single"/>
        </w:rPr>
        <w:t>/□项目履约验收合格</w:t>
      </w:r>
      <w:r>
        <w:rPr>
          <w:rFonts w:hint="eastAsia" w:ascii="仿宋_GB2312" w:hAnsi="仿宋_GB2312" w:eastAsia="仿宋_GB2312" w:cs="仿宋_GB2312"/>
          <w:color w:val="auto"/>
          <w:highlight w:val="none"/>
        </w:rPr>
        <w:t>，支付至合同价格的100%。</w:t>
      </w:r>
    </w:p>
    <w:p>
      <w:pPr>
        <w:adjustRightInd w:val="0"/>
        <w:snapToGrid w:val="0"/>
        <w:spacing w:line="360" w:lineRule="auto"/>
        <w:ind w:firstLine="420" w:firstLineChars="17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（2）分期支付：</w:t>
      </w:r>
    </w:p>
    <w:p>
      <w:pPr>
        <w:adjustRightInd w:val="0"/>
        <w:snapToGrid w:val="0"/>
        <w:spacing w:line="360" w:lineRule="auto"/>
        <w:ind w:firstLine="420" w:firstLineChars="17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1）进度款支付：进度款按</w:t>
      </w:r>
      <w:r>
        <w:rPr>
          <w:rFonts w:hint="eastAsia" w:ascii="仿宋_GB2312" w:hAnsi="仿宋_GB2312" w:eastAsia="仿宋_GB2312" w:cs="仿宋_GB2312"/>
          <w:color w:val="auto"/>
          <w:sz w:val="24"/>
          <w:szCs w:val="24"/>
          <w:highlight w:val="none"/>
          <w:u w:val="single"/>
        </w:rPr>
        <w:t>□年度</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rPr>
        <w:t>半年□季度□月</w:t>
      </w:r>
      <w:r>
        <w:rPr>
          <w:rFonts w:hint="eastAsia" w:ascii="仿宋_GB2312" w:hAnsi="仿宋_GB2312" w:eastAsia="仿宋_GB2312" w:cs="仿宋_GB2312"/>
          <w:color w:val="auto"/>
          <w:sz w:val="24"/>
          <w:szCs w:val="24"/>
          <w:highlight w:val="none"/>
        </w:rPr>
        <w:t>支付，每个付款周期的支付额度为计量金额（即本次付款周期内完成的合格工作量*合同单价）并综合考核结果后金额的</w:t>
      </w:r>
      <w:r>
        <w:rPr>
          <w:rFonts w:hint="eastAsia" w:ascii="仿宋_GB2312" w:hAnsi="仿宋_GB2312" w:eastAsia="仿宋_GB2312" w:cs="仿宋_GB2312"/>
          <w:color w:val="auto"/>
          <w:sz w:val="24"/>
          <w:szCs w:val="24"/>
          <w:highlight w:val="none"/>
          <w:lang w:val="en-US" w:eastAsia="zh-CN"/>
        </w:rPr>
        <w:t>100</w:t>
      </w:r>
      <w:r>
        <w:rPr>
          <w:rFonts w:hint="eastAsia" w:ascii="仿宋_GB2312" w:hAnsi="仿宋_GB2312" w:eastAsia="仿宋_GB2312" w:cs="仿宋_GB2312"/>
          <w:color w:val="auto"/>
          <w:sz w:val="24"/>
          <w:szCs w:val="24"/>
          <w:highlight w:val="none"/>
        </w:rPr>
        <w:t>%。</w:t>
      </w:r>
    </w:p>
    <w:p>
      <w:pPr>
        <w:adjustRightInd w:val="0"/>
        <w:snapToGrid w:val="0"/>
        <w:spacing w:line="360" w:lineRule="auto"/>
        <w:ind w:firstLine="420" w:firstLineChars="17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2）乙方按合同约定完成全部工作，且</w:t>
      </w:r>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bCs/>
          <w:color w:val="auto"/>
          <w:sz w:val="24"/>
          <w:szCs w:val="24"/>
          <w:highlight w:val="none"/>
          <w:u w:val="single"/>
        </w:rPr>
        <w:t>合同价格经长沙市人民政府相关职能部门或长沙市轨道交通集团有限公司授权的单位审定</w:t>
      </w:r>
      <w:r>
        <w:rPr>
          <w:rFonts w:hint="eastAsia" w:ascii="仿宋_GB2312" w:hAnsi="仿宋_GB2312" w:eastAsia="仿宋_GB2312" w:cs="仿宋_GB2312"/>
          <w:color w:val="auto"/>
          <w:kern w:val="0"/>
          <w:sz w:val="24"/>
          <w:highlight w:val="none"/>
          <w:u w:val="single"/>
        </w:rPr>
        <w:t>/</w:t>
      </w:r>
      <w:r>
        <w:rPr>
          <w:rFonts w:hint="eastAsia" w:ascii="仿宋_GB2312" w:hAnsi="仿宋_GB2312" w:eastAsia="仿宋_GB2312" w:cs="仿宋_GB2312"/>
          <w:color w:val="auto"/>
          <w:kern w:val="0"/>
          <w:sz w:val="24"/>
          <w:highlight w:val="none"/>
          <w:u w:val="single"/>
          <w:lang w:eastAsia="zh-CN"/>
        </w:rPr>
        <w:t>☑</w:t>
      </w:r>
      <w:r>
        <w:rPr>
          <w:rFonts w:hint="eastAsia" w:ascii="仿宋_GB2312" w:hAnsi="仿宋_GB2312" w:eastAsia="仿宋_GB2312" w:cs="仿宋_GB2312"/>
          <w:color w:val="auto"/>
          <w:kern w:val="0"/>
          <w:sz w:val="24"/>
          <w:highlight w:val="none"/>
          <w:u w:val="single"/>
        </w:rPr>
        <w:t>项目履约验收合格</w:t>
      </w:r>
      <w:r>
        <w:rPr>
          <w:rFonts w:hint="eastAsia" w:ascii="仿宋_GB2312" w:hAnsi="仿宋_GB2312" w:eastAsia="仿宋_GB2312" w:cs="仿宋_GB2312"/>
          <w:color w:val="auto"/>
          <w:sz w:val="24"/>
          <w:szCs w:val="24"/>
          <w:highlight w:val="none"/>
        </w:rPr>
        <w:t>，支付</w:t>
      </w:r>
      <w:r>
        <w:rPr>
          <w:rFonts w:hint="eastAsia" w:ascii="仿宋_GB2312" w:hAnsi="仿宋_GB2312" w:eastAsia="仿宋_GB2312" w:cs="仿宋_GB2312"/>
          <w:color w:val="auto"/>
          <w:sz w:val="24"/>
          <w:szCs w:val="24"/>
          <w:highlight w:val="none"/>
          <w:lang w:eastAsia="zh-CN"/>
        </w:rPr>
        <w:t>最后一个付款周期的合同金额</w:t>
      </w:r>
      <w:r>
        <w:rPr>
          <w:rFonts w:hint="eastAsia" w:ascii="仿宋_GB2312" w:hAnsi="仿宋_GB2312" w:eastAsia="仿宋_GB2312" w:cs="仿宋_GB2312"/>
          <w:color w:val="auto"/>
          <w:sz w:val="24"/>
          <w:szCs w:val="24"/>
          <w:highlight w:val="none"/>
        </w:rPr>
        <w:t>。</w:t>
      </w:r>
    </w:p>
    <w:p>
      <w:pPr>
        <w:pStyle w:val="17"/>
        <w:adjustRightInd w:val="0"/>
        <w:snapToGrid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4.1.2 支付时间</w:t>
      </w:r>
    </w:p>
    <w:p>
      <w:pPr>
        <w:pStyle w:val="17"/>
        <w:adjustRightInd w:val="0"/>
        <w:snapToGrid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上述款项在甲方收到乙方的经甲方审批同意支付申请及增值税专用发票、有效期内的履约担保复印件等相关资料后28个工作日内支付。</w:t>
      </w:r>
    </w:p>
    <w:bookmarkEnd w:id="116"/>
    <w:p>
      <w:pPr>
        <w:pStyle w:val="5"/>
        <w:keepNext w:val="0"/>
        <w:keepLines w:val="0"/>
        <w:tabs>
          <w:tab w:val="left" w:pos="180"/>
          <w:tab w:val="left" w:pos="360"/>
        </w:tabs>
        <w:snapToGrid w:val="0"/>
        <w:spacing w:line="360" w:lineRule="auto"/>
        <w:ind w:firstLine="482" w:firstLineChars="200"/>
        <w:rPr>
          <w:rFonts w:hint="eastAsia" w:ascii="仿宋_GB2312" w:hAnsi="仿宋_GB2312" w:eastAsia="仿宋_GB2312" w:cs="仿宋_GB2312"/>
          <w:color w:val="auto"/>
          <w:kern w:val="0"/>
          <w:sz w:val="24"/>
          <w:szCs w:val="24"/>
          <w:highlight w:val="none"/>
        </w:rPr>
      </w:pPr>
      <w:bookmarkStart w:id="117" w:name="_Toc30378"/>
      <w:bookmarkStart w:id="118" w:name="_Toc28510"/>
      <w:r>
        <w:rPr>
          <w:rFonts w:hint="eastAsia" w:ascii="仿宋_GB2312" w:hAnsi="仿宋_GB2312" w:eastAsia="仿宋_GB2312" w:cs="仿宋_GB2312"/>
          <w:color w:val="auto"/>
          <w:kern w:val="0"/>
          <w:sz w:val="24"/>
          <w:szCs w:val="24"/>
          <w:highlight w:val="none"/>
        </w:rPr>
        <w:t>5．价格调整</w:t>
      </w:r>
      <w:bookmarkStart w:id="119" w:name="_Toc488132090"/>
    </w:p>
    <w:p>
      <w:pPr>
        <w:pStyle w:val="5"/>
        <w:keepNext w:val="0"/>
        <w:keepLines w:val="0"/>
        <w:tabs>
          <w:tab w:val="left" w:pos="180"/>
          <w:tab w:val="left" w:pos="360"/>
        </w:tabs>
        <w:snapToGrid w:val="0"/>
        <w:spacing w:line="360" w:lineRule="auto"/>
        <w:ind w:firstLine="480" w:firstLineChars="200"/>
        <w:rPr>
          <w:rFonts w:hint="eastAsia" w:ascii="仿宋_GB2312" w:hAnsi="仿宋_GB2312" w:eastAsia="仿宋_GB2312" w:cs="仿宋_GB2312"/>
          <w:b w:val="0"/>
          <w:i/>
          <w:color w:val="auto"/>
          <w:kern w:val="0"/>
          <w:sz w:val="24"/>
          <w:szCs w:val="24"/>
          <w:highlight w:val="none"/>
        </w:rPr>
      </w:pPr>
      <w:r>
        <w:rPr>
          <w:rFonts w:hint="eastAsia" w:ascii="仿宋_GB2312" w:hAnsi="仿宋_GB2312" w:eastAsia="仿宋_GB2312" w:cs="仿宋_GB2312"/>
          <w:b w:val="0"/>
          <w:color w:val="auto"/>
          <w:kern w:val="0"/>
          <w:sz w:val="24"/>
          <w:szCs w:val="24"/>
          <w:highlight w:val="none"/>
        </w:rPr>
        <w:t>5.1价格调整是指合同签订生效后因项目需要引起的工作量增减而导致的价格调整。</w:t>
      </w:r>
    </w:p>
    <w:p>
      <w:pPr>
        <w:snapToGrid w:val="0"/>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5.2价格调整的计价：</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（1）增减的工作量对应项目在签约合同价清单中已有相同项目单价的，则按该相同项目综合单价计价。</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（2）增减的工作量对应项目在签约合同价清单中已有类似项目单价的，则按该类似项目综合单价进行调整换算再计价。</w:t>
      </w:r>
    </w:p>
    <w:p>
      <w:pPr>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（3）增减的工作量对应项目在签约合同价清单中没有类似项目单价的，则由乙方按控制价编制原则或报价编制原则编制综合单价报甲方审批，并按审批的综合单价计价。</w:t>
      </w:r>
    </w:p>
    <w:bookmarkEnd w:id="119"/>
    <w:p>
      <w:pPr>
        <w:pStyle w:val="5"/>
        <w:keepNext w:val="0"/>
        <w:keepLines w:val="0"/>
        <w:tabs>
          <w:tab w:val="left" w:pos="180"/>
          <w:tab w:val="left" w:pos="360"/>
        </w:tabs>
        <w:snapToGrid w:val="0"/>
        <w:spacing w:line="360" w:lineRule="auto"/>
        <w:ind w:firstLine="482"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6、运输与保险</w:t>
      </w:r>
    </w:p>
    <w:p>
      <w:pPr>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6.1 取样检测期间，被检测设备、工器具的损坏及丢失的风险由乙方承担。乙方应保证被检测设备、工器具在运输、装卸过程中完好无损，包装应适应于远距离运输、防潮、防震、防锈和防野蛮装卸等要求，</w:t>
      </w:r>
      <w:r>
        <w:rPr>
          <w:rFonts w:hint="eastAsia" w:ascii="仿宋_GB2312" w:hAnsi="仿宋_GB2312" w:eastAsia="仿宋_GB2312" w:cs="仿宋_GB2312"/>
          <w:color w:val="auto"/>
          <w:sz w:val="24"/>
          <w:highlight w:val="none"/>
        </w:rPr>
        <w:t>以确保</w:t>
      </w:r>
      <w:r>
        <w:rPr>
          <w:rFonts w:hint="eastAsia" w:ascii="仿宋_GB2312" w:hAnsi="仿宋_GB2312" w:eastAsia="仿宋_GB2312" w:cs="仿宋_GB2312"/>
          <w:color w:val="auto"/>
          <w:sz w:val="24"/>
          <w:szCs w:val="24"/>
          <w:highlight w:val="none"/>
        </w:rPr>
        <w:t>被检测设备、工器具</w:t>
      </w:r>
      <w:r>
        <w:rPr>
          <w:rFonts w:hint="eastAsia" w:ascii="仿宋_GB2312" w:hAnsi="仿宋_GB2312" w:eastAsia="仿宋_GB2312" w:cs="仿宋_GB2312"/>
          <w:color w:val="auto"/>
          <w:sz w:val="24"/>
          <w:highlight w:val="none"/>
        </w:rPr>
        <w:t>安全无损地运抵指定现场。由于包装防护措施不妥而引起的损坏、丢失由乙方承担责任。</w:t>
      </w:r>
    </w:p>
    <w:p>
      <w:pPr>
        <w:pStyle w:val="5"/>
        <w:keepNext w:val="0"/>
        <w:keepLines w:val="0"/>
        <w:tabs>
          <w:tab w:val="left" w:pos="180"/>
          <w:tab w:val="left" w:pos="360"/>
        </w:tabs>
        <w:snapToGrid w:val="0"/>
        <w:spacing w:line="360" w:lineRule="auto"/>
        <w:ind w:firstLine="480" w:firstLineChars="200"/>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color w:val="auto"/>
          <w:sz w:val="24"/>
          <w:szCs w:val="24"/>
          <w:highlight w:val="none"/>
        </w:rPr>
        <w:t>6.2 乙方在接收被检测设备、器具后，包括运输、装卸、存放及交货过程中的丢失或损坏等所有风险均由乙方承担。</w:t>
      </w:r>
    </w:p>
    <w:p>
      <w:pPr>
        <w:pStyle w:val="5"/>
        <w:keepNext w:val="0"/>
        <w:keepLines w:val="0"/>
        <w:tabs>
          <w:tab w:val="left" w:pos="180"/>
          <w:tab w:val="left" w:pos="360"/>
        </w:tabs>
        <w:snapToGrid w:val="0"/>
        <w:spacing w:line="360" w:lineRule="auto"/>
        <w:ind w:firstLine="482"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7、违约责任</w:t>
      </w:r>
    </w:p>
    <w:p>
      <w:pPr>
        <w:pStyle w:val="17"/>
        <w:snapToGrid w:val="0"/>
        <w:spacing w:before="0" w:beforeAutospacing="0" w:after="0" w:afterAutospacing="0" w:line="360" w:lineRule="auto"/>
        <w:ind w:firstLine="480" w:firstLineChars="200"/>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highlight w:val="none"/>
        </w:rPr>
        <w:t>违约责任在用户需求书/技术规格书中明确的，按用户需求书/技术规格书执行，无明确约定的，按下述条款执行：</w:t>
      </w:r>
    </w:p>
    <w:p>
      <w:pPr>
        <w:pStyle w:val="17"/>
        <w:snapToGrid w:val="0"/>
        <w:spacing w:before="0" w:beforeAutospacing="0" w:after="0" w:afterAutospacing="0" w:line="360" w:lineRule="auto"/>
        <w:ind w:firstLine="480" w:firstLineChars="200"/>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7.1 本合同生效后，因甲方原因要求解除合同，当乙方实际完成工作量应付费用大于已付费用时，不足部分由甲方补齐。</w:t>
      </w:r>
    </w:p>
    <w:p>
      <w:pPr>
        <w:pStyle w:val="17"/>
        <w:snapToGrid w:val="0"/>
        <w:spacing w:before="0" w:beforeAutospacing="0" w:after="0" w:afterAutospacing="0" w:line="360" w:lineRule="auto"/>
        <w:ind w:firstLine="480" w:firstLineChars="200"/>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7.2 本合同生效后，因乙方原因要求解除合同，甲方有权要求乙方支付签约合同价20%的违约金；由此给甲方造成的损失，乙方应承担赔偿责任。</w:t>
      </w:r>
    </w:p>
    <w:bookmarkEnd w:id="117"/>
    <w:bookmarkEnd w:id="118"/>
    <w:p>
      <w:pPr>
        <w:pStyle w:val="17"/>
        <w:snapToGrid w:val="0"/>
        <w:spacing w:before="0" w:beforeAutospacing="0" w:after="0" w:afterAutospacing="0" w:line="360" w:lineRule="auto"/>
        <w:ind w:firstLine="480" w:firstLineChars="200"/>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7.3 乙方提供的服务内容不符合合同约定的，乙方应按甲方要求进行整改并承担整改所需的费用，同时，甲方有权要求乙方交纳1000元/次的违约金；乙方违约行为给甲方造成损失，违约金不足以补偿的，乙方还应承担相应的赔偿责任。</w:t>
      </w:r>
    </w:p>
    <w:p>
      <w:pPr>
        <w:pStyle w:val="17"/>
        <w:snapToGrid w:val="0"/>
        <w:spacing w:before="0" w:beforeAutospacing="0" w:after="0" w:afterAutospacing="0" w:line="360" w:lineRule="auto"/>
        <w:ind w:firstLine="480" w:firstLineChars="200"/>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7.4 非甲方原因导致未按合同约定时间完成服务，每逾期一天，甲方有权要求乙方交纳1000元/天的违约金，且甲方有权要求乙方限期纠正其违约行为，并采取补救措施以确保项目进度符合合同约定，采取补救措施的费用由乙方承担。</w:t>
      </w:r>
    </w:p>
    <w:p>
      <w:pPr>
        <w:pStyle w:val="17"/>
        <w:snapToGrid w:val="0"/>
        <w:spacing w:before="0" w:beforeAutospacing="0" w:after="0" w:afterAutospacing="0" w:line="360" w:lineRule="auto"/>
        <w:ind w:firstLine="480" w:firstLineChars="200"/>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7.5 由于乙方原因导致</w:t>
      </w:r>
      <w:r>
        <w:rPr>
          <w:rFonts w:hint="eastAsia" w:ascii="仿宋_GB2312" w:hAnsi="仿宋_GB2312" w:eastAsia="仿宋_GB2312" w:cs="仿宋_GB2312"/>
          <w:color w:val="auto"/>
          <w:highlight w:val="none"/>
        </w:rPr>
        <w:t>被检测设备、工器具损坏或丢失的，</w:t>
      </w:r>
      <w:r>
        <w:rPr>
          <w:rFonts w:hint="eastAsia" w:ascii="仿宋_GB2312" w:hAnsi="仿宋_GB2312" w:eastAsia="仿宋_GB2312" w:cs="仿宋_GB2312"/>
          <w:color w:val="auto"/>
          <w:kern w:val="2"/>
          <w:highlight w:val="none"/>
        </w:rPr>
        <w:t>乙方应承担赔偿责任。</w:t>
      </w:r>
    </w:p>
    <w:p>
      <w:pPr>
        <w:pStyle w:val="17"/>
        <w:snapToGrid w:val="0"/>
        <w:spacing w:before="0" w:beforeAutospacing="0" w:after="0" w:afterAutospacing="0" w:line="360" w:lineRule="auto"/>
        <w:ind w:firstLine="480" w:firstLineChars="200"/>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7.6 经甲方查实，乙方伪造检测报告或检测数据的，甲方有权解除合同，并要求乙方支付签约合同价20%的违约金。由此给甲方造成的损失，乙方应承担赔偿责任。</w:t>
      </w:r>
    </w:p>
    <w:p>
      <w:pPr>
        <w:pStyle w:val="17"/>
        <w:snapToGrid w:val="0"/>
        <w:spacing w:before="0" w:beforeAutospacing="0" w:after="0" w:afterAutospacing="0" w:line="360" w:lineRule="auto"/>
        <w:ind w:firstLine="480" w:firstLineChars="200"/>
        <w:rPr>
          <w:rFonts w:hint="eastAsia" w:ascii="仿宋_GB2312" w:hAnsi="仿宋_GB2312" w:eastAsia="仿宋_GB2312" w:cs="仿宋_GB2312"/>
          <w:color w:val="auto"/>
          <w:kern w:val="2"/>
          <w:highlight w:val="none"/>
        </w:rPr>
      </w:pPr>
      <w:r>
        <w:rPr>
          <w:rFonts w:hint="eastAsia" w:ascii="仿宋" w:hAnsi="仿宋" w:eastAsia="仿宋" w:cs="仿宋_GB2312"/>
          <w:color w:val="auto"/>
          <w:kern w:val="2"/>
          <w:highlight w:val="none"/>
        </w:rPr>
        <w:t xml:space="preserve">7.7 </w:t>
      </w:r>
      <w:r>
        <w:rPr>
          <w:rFonts w:hint="eastAsia" w:ascii="仿宋_GB2312" w:hAnsi="仿宋_GB2312" w:eastAsia="仿宋_GB2312" w:cs="仿宋_GB2312"/>
          <w:color w:val="auto"/>
          <w:kern w:val="2"/>
          <w:sz w:val="24"/>
          <w:szCs w:val="24"/>
          <w:highlight w:val="none"/>
          <w:lang w:val="en-US" w:eastAsia="zh-CN" w:bidi="ar-SA"/>
        </w:rPr>
        <w:t>逾期提供部分或全部履约担保在30天内的：每逾期一天乙方应按300元/天向甲方赔偿损失，损失最高额为签约合同价的6%或人民币叁万元整（以两者数额较低者计取）；逾期提供履约担保超过30天（含）的：甲方有权解除合同。甲方解除合同的，乙方应向甲方支付签约合同价的10%或人民币十万元整的违约金（以两者数额较低者计取）；甲方要求继续履行合同的，每逾期一天（从逾期第30日当日开始计算）乙方应按500元/天向甲方支付违约金，违约金最高为签约合同价的8%或人民币伍万元整（以两者数额较低者计取）。</w:t>
      </w:r>
    </w:p>
    <w:p>
      <w:pPr>
        <w:pStyle w:val="17"/>
        <w:snapToGrid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7.8 乙方在接到甲方发出的违约通知后，应按通知要求交纳违约金；否则，甲方有权暂停合同价款支付或从乙方的合同价款中扣除相应的违约金。</w:t>
      </w:r>
    </w:p>
    <w:p>
      <w:pPr>
        <w:widowControl/>
        <w:snapToGrid w:val="0"/>
        <w:spacing w:line="360" w:lineRule="auto"/>
        <w:ind w:firstLine="465"/>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highlight w:val="none"/>
        </w:rPr>
        <w:t xml:space="preserve">7.9 </w:t>
      </w:r>
      <w:r>
        <w:rPr>
          <w:rFonts w:hint="eastAsia" w:ascii="仿宋_GB2312" w:hAnsi="仿宋_GB2312" w:eastAsia="仿宋_GB2312" w:cs="仿宋_GB2312"/>
          <w:color w:val="auto"/>
          <w:kern w:val="0"/>
          <w:sz w:val="24"/>
          <w:szCs w:val="24"/>
          <w:highlight w:val="none"/>
        </w:rPr>
        <w:t>违约金以现金或转账方式交纳，甲方开具收款收据，乙方不得因此冲减增值税专用发票金额。</w:t>
      </w:r>
    </w:p>
    <w:p>
      <w:pPr>
        <w:pStyle w:val="17"/>
        <w:snapToGrid w:val="0"/>
        <w:spacing w:before="0" w:beforeAutospacing="0" w:after="0" w:afterAutospacing="0" w:line="360" w:lineRule="auto"/>
        <w:ind w:firstLine="480" w:firstLineChars="200"/>
        <w:rPr>
          <w:rFonts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7.10</w:t>
      </w:r>
      <w:r>
        <w:rPr>
          <w:rFonts w:hint="eastAsia" w:ascii="仿宋_GB2312" w:hAnsi="仿宋_GB2312" w:eastAsia="仿宋_GB2312" w:cs="仿宋_GB2312"/>
          <w:color w:val="auto"/>
          <w:highlight w:val="none"/>
        </w:rPr>
        <w:t>因乙方提供的发票导致甲方被税务部门追究相关法律责任的，乙方应承担由此给甲方造成的损失（包括但不限于未抵扣的税费、滞纳金）。</w:t>
      </w:r>
    </w:p>
    <w:p>
      <w:pPr>
        <w:pStyle w:val="4"/>
        <w:keepNext w:val="0"/>
        <w:keepLines w:val="0"/>
        <w:snapToGrid w:val="0"/>
        <w:spacing w:line="360" w:lineRule="auto"/>
        <w:ind w:firstLine="482" w:firstLineChars="200"/>
        <w:rPr>
          <w:rFonts w:ascii="仿宋_GB2312" w:hAnsi="仿宋_GB2312" w:eastAsia="仿宋_GB2312" w:cs="仿宋_GB2312"/>
          <w:color w:val="auto"/>
          <w:sz w:val="24"/>
          <w:szCs w:val="24"/>
          <w:highlight w:val="none"/>
        </w:rPr>
      </w:pPr>
      <w:bookmarkStart w:id="120" w:name="_Toc21133"/>
      <w:bookmarkStart w:id="121" w:name="_Toc4977"/>
      <w:bookmarkStart w:id="122" w:name="_Toc20581"/>
      <w:bookmarkStart w:id="123" w:name="_Toc7715"/>
      <w:bookmarkStart w:id="124" w:name="_Toc17986"/>
      <w:r>
        <w:rPr>
          <w:rFonts w:hint="eastAsia" w:ascii="仿宋_GB2312" w:hAnsi="仿宋_GB2312" w:eastAsia="仿宋_GB2312" w:cs="仿宋_GB2312"/>
          <w:color w:val="auto"/>
          <w:sz w:val="24"/>
          <w:szCs w:val="24"/>
          <w:highlight w:val="none"/>
        </w:rPr>
        <w:t>8、不可抗力</w:t>
      </w:r>
    </w:p>
    <w:p>
      <w:pPr>
        <w:pStyle w:val="5"/>
        <w:keepNext w:val="0"/>
        <w:keepLines w:val="0"/>
        <w:tabs>
          <w:tab w:val="left" w:pos="180"/>
          <w:tab w:val="left" w:pos="360"/>
        </w:tabs>
        <w:snapToGrid w:val="0"/>
        <w:spacing w:line="360" w:lineRule="auto"/>
        <w:ind w:firstLine="480" w:firstLineChars="200"/>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8.1不可抗力的确认</w:t>
      </w:r>
    </w:p>
    <w:p>
      <w:pPr>
        <w:pStyle w:val="5"/>
        <w:keepNext w:val="0"/>
        <w:keepLines w:val="0"/>
        <w:tabs>
          <w:tab w:val="left" w:pos="180"/>
          <w:tab w:val="left" w:pos="360"/>
        </w:tabs>
        <w:snapToGrid w:val="0"/>
        <w:spacing w:line="360" w:lineRule="auto"/>
        <w:ind w:firstLine="480" w:firstLineChars="200"/>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不可抗力发生后，合同当事人应收集证明不可抗力发生及不可抗力造成损失的证据，并及时认真统计所造成的损失。合同当事人对是否属于不可抗力或其损失发生争议时，按第1</w:t>
      </w:r>
      <w:r>
        <w:rPr>
          <w:rFonts w:hint="eastAsia" w:ascii="仿宋_GB2312" w:hAnsi="仿宋_GB2312" w:eastAsia="仿宋_GB2312" w:cs="仿宋_GB2312"/>
          <w:b w:val="0"/>
          <w:bCs/>
          <w:color w:val="auto"/>
          <w:kern w:val="0"/>
          <w:sz w:val="24"/>
          <w:highlight w:val="none"/>
          <w:shd w:val="clear" w:color="auto" w:fill="FFFFFF"/>
          <w:lang w:val="en-US" w:eastAsia="zh-CN"/>
        </w:rPr>
        <w:t>1</w:t>
      </w:r>
      <w:r>
        <w:rPr>
          <w:rFonts w:hint="eastAsia" w:ascii="仿宋_GB2312" w:hAnsi="仿宋_GB2312" w:eastAsia="仿宋_GB2312" w:cs="仿宋_GB2312"/>
          <w:b w:val="0"/>
          <w:bCs/>
          <w:color w:val="auto"/>
          <w:kern w:val="0"/>
          <w:sz w:val="24"/>
          <w:highlight w:val="none"/>
          <w:shd w:val="clear" w:color="auto" w:fill="FFFFFF"/>
        </w:rPr>
        <w:t>条〔争议解决〕的约定处理。</w:t>
      </w:r>
    </w:p>
    <w:p>
      <w:pPr>
        <w:pStyle w:val="5"/>
        <w:keepNext w:val="0"/>
        <w:keepLines w:val="0"/>
        <w:tabs>
          <w:tab w:val="left" w:pos="180"/>
          <w:tab w:val="left" w:pos="360"/>
        </w:tabs>
        <w:snapToGrid w:val="0"/>
        <w:spacing w:line="360" w:lineRule="auto"/>
        <w:ind w:firstLine="480" w:firstLineChars="200"/>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8.2不可抗力的通知</w:t>
      </w:r>
    </w:p>
    <w:p>
      <w:pPr>
        <w:pStyle w:val="5"/>
        <w:keepNext w:val="0"/>
        <w:keepLines w:val="0"/>
        <w:tabs>
          <w:tab w:val="left" w:pos="180"/>
          <w:tab w:val="left" w:pos="360"/>
        </w:tabs>
        <w:snapToGrid w:val="0"/>
        <w:spacing w:line="360" w:lineRule="auto"/>
        <w:ind w:firstLine="480" w:firstLineChars="200"/>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pStyle w:val="5"/>
        <w:keepNext w:val="0"/>
        <w:keepLines w:val="0"/>
        <w:tabs>
          <w:tab w:val="left" w:pos="180"/>
          <w:tab w:val="left" w:pos="360"/>
        </w:tabs>
        <w:snapToGrid w:val="0"/>
        <w:spacing w:line="360" w:lineRule="auto"/>
        <w:ind w:firstLine="480" w:firstLineChars="200"/>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pStyle w:val="5"/>
        <w:keepNext w:val="0"/>
        <w:keepLines w:val="0"/>
        <w:tabs>
          <w:tab w:val="left" w:pos="180"/>
          <w:tab w:val="left" w:pos="360"/>
        </w:tabs>
        <w:snapToGrid w:val="0"/>
        <w:spacing w:line="360" w:lineRule="auto"/>
        <w:ind w:firstLine="480" w:firstLineChars="200"/>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8.3不可抗力后果的承担</w:t>
      </w:r>
    </w:p>
    <w:p>
      <w:pPr>
        <w:pStyle w:val="5"/>
        <w:keepNext w:val="0"/>
        <w:keepLines w:val="0"/>
        <w:tabs>
          <w:tab w:val="left" w:pos="180"/>
          <w:tab w:val="left" w:pos="360"/>
        </w:tabs>
        <w:snapToGrid w:val="0"/>
        <w:spacing w:line="360" w:lineRule="auto"/>
        <w:ind w:firstLine="480" w:firstLineChars="200"/>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pStyle w:val="5"/>
        <w:keepNext w:val="0"/>
        <w:keepLines w:val="0"/>
        <w:tabs>
          <w:tab w:val="left" w:pos="180"/>
          <w:tab w:val="left" w:pos="360"/>
        </w:tabs>
        <w:snapToGrid w:val="0"/>
        <w:spacing w:line="360" w:lineRule="auto"/>
        <w:ind w:firstLine="480" w:firstLineChars="200"/>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pStyle w:val="5"/>
        <w:keepNext w:val="0"/>
        <w:keepLines w:val="0"/>
        <w:tabs>
          <w:tab w:val="left" w:pos="180"/>
          <w:tab w:val="left" w:pos="360"/>
        </w:tabs>
        <w:snapToGrid w:val="0"/>
        <w:spacing w:line="360" w:lineRule="auto"/>
        <w:ind w:firstLine="480" w:firstLineChars="200"/>
        <w:rPr>
          <w:rFonts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highlight w:val="none"/>
          <w:shd w:val="clear" w:color="auto" w:fill="FFFFFF"/>
        </w:rPr>
        <w:t>因合同一方迟延履行合同义务，在迟延履行期间遭遇不可抗力的，不免除其违约责任。</w:t>
      </w:r>
    </w:p>
    <w:p>
      <w:pPr>
        <w:tabs>
          <w:tab w:val="left" w:pos="540"/>
          <w:tab w:val="left" w:pos="720"/>
        </w:tabs>
        <w:adjustRightInd w:val="0"/>
        <w:snapToGrid w:val="0"/>
        <w:spacing w:line="360" w:lineRule="auto"/>
        <w:ind w:firstLine="482" w:firstLineChars="200"/>
        <w:jc w:val="left"/>
        <w:outlineLvl w:val="1"/>
        <w:rPr>
          <w:rFonts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9、合同终止</w:t>
      </w:r>
    </w:p>
    <w:p>
      <w:pPr>
        <w:adjustRightInd w:val="0"/>
        <w:snapToGrid w:val="0"/>
        <w:spacing w:line="360" w:lineRule="auto"/>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9.1 甲方、乙方履行合同全部义务，合同价款支付完毕，本合同即告终止。</w:t>
      </w:r>
    </w:p>
    <w:p>
      <w:pPr>
        <w:pStyle w:val="17"/>
        <w:snapToGrid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9.2 合同的权利义务终止后，合同当事人应遵循诚实信用原则，履行通知、协助和保密等义务。</w:t>
      </w:r>
    </w:p>
    <w:p>
      <w:pPr>
        <w:pStyle w:val="17"/>
        <w:snapToGrid w:val="0"/>
        <w:spacing w:before="0" w:beforeAutospacing="0" w:after="0" w:afterAutospacing="0" w:line="360" w:lineRule="auto"/>
        <w:ind w:firstLine="482" w:firstLineChars="200"/>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10、合同解除</w:t>
      </w:r>
    </w:p>
    <w:p>
      <w:pPr>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10.1 有下列情形之一的，合同当事人一方或双方可以解除合同：</w:t>
      </w:r>
    </w:p>
    <w:p>
      <w:pPr>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（1）乙方将本合同约定的工作全部或部分转包给他人，甲方有权解除合同；</w:t>
      </w:r>
    </w:p>
    <w:p>
      <w:pPr>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（2）因不可抗力致使合同无法履行；</w:t>
      </w:r>
    </w:p>
    <w:p>
      <w:pPr>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（3）因一方违约致使合同无法实际履行或实际履行已无必要；</w:t>
      </w:r>
    </w:p>
    <w:p>
      <w:pPr>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（4）违约金总额超过合同签约价的20%，甲方有权解除合同。</w:t>
      </w:r>
    </w:p>
    <w:p>
      <w:pPr>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（5）经甲方进行质量管理考核评分，乙方当月综合考评分&lt;60分的，甲方有权解除合同。</w:t>
      </w:r>
    </w:p>
    <w:p>
      <w:pPr>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10.2 乙方因违约而依据本合同相关条款受到违约金处罚后，相关违约行为仍持续或未停止、未改正的，甲方有权解除合同。</w:t>
      </w:r>
    </w:p>
    <w:p>
      <w:pPr>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10.3 任何一方提出解除合同的，应提前</w:t>
      </w:r>
      <w:r>
        <w:rPr>
          <w:rFonts w:hint="eastAsia" w:ascii="仿宋_GB2312" w:hAnsi="仿宋_GB2312" w:eastAsia="仿宋_GB2312" w:cs="仿宋_GB2312"/>
          <w:color w:val="auto"/>
          <w:kern w:val="0"/>
          <w:sz w:val="24"/>
          <w:szCs w:val="24"/>
          <w:highlight w:val="none"/>
          <w:lang w:val="en-US" w:eastAsia="zh-CN"/>
        </w:rPr>
        <w:t>15</w:t>
      </w:r>
      <w:r>
        <w:rPr>
          <w:rFonts w:hint="eastAsia" w:ascii="仿宋_GB2312" w:hAnsi="仿宋_GB2312" w:eastAsia="仿宋_GB2312" w:cs="仿宋_GB2312"/>
          <w:color w:val="auto"/>
          <w:kern w:val="0"/>
          <w:sz w:val="24"/>
          <w:szCs w:val="24"/>
          <w:highlight w:val="none"/>
        </w:rPr>
        <w:t>天书面通知对方，违约方应赔偿由此给守约方造成的直接损失和间接损失。因不可抗力导致的合同解除，双方各自承担自身的损失。</w:t>
      </w:r>
    </w:p>
    <w:p>
      <w:pPr>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10.4 因乙方原因导致的合同解除，按照违约责任处理，甲方有权解除部分或全部合同。解除部分合同的，甲方有权另行委托因部分解除合同而乙方未履行部分，乙方应承担甲方由此产生的费用并继续履行合同中未解除的部分。</w:t>
      </w:r>
    </w:p>
    <w:p>
      <w:pPr>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10.5 合同解除后，本合同约定的有关结算、争议解决方式的条款仍然有效。</w:t>
      </w:r>
    </w:p>
    <w:p>
      <w:pPr>
        <w:pStyle w:val="17"/>
        <w:snapToGrid w:val="0"/>
        <w:spacing w:before="0" w:beforeAutospacing="0" w:after="0" w:afterAutospacing="0" w:line="360" w:lineRule="auto"/>
        <w:ind w:firstLine="482" w:firstLineChars="200"/>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11、争议解决</w:t>
      </w:r>
    </w:p>
    <w:p>
      <w:pPr>
        <w:pStyle w:val="17"/>
        <w:snapToGrid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Pr>
          <w:rFonts w:hint="eastAsia" w:ascii="仿宋_GB2312" w:hAnsi="仿宋_GB2312" w:eastAsia="仿宋_GB2312" w:cs="仿宋_GB2312"/>
          <w:color w:val="auto"/>
          <w:highlight w:val="none"/>
          <w:u w:val="single"/>
        </w:rPr>
        <w:t>第（2）种</w:t>
      </w:r>
      <w:r>
        <w:rPr>
          <w:rFonts w:hint="eastAsia" w:ascii="仿宋_GB2312" w:hAnsi="仿宋_GB2312" w:eastAsia="仿宋_GB2312" w:cs="仿宋_GB2312"/>
          <w:color w:val="auto"/>
          <w:highlight w:val="none"/>
        </w:rPr>
        <w:t>方式解决：</w:t>
      </w:r>
    </w:p>
    <w:p>
      <w:pPr>
        <w:pStyle w:val="17"/>
        <w:snapToGrid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（1）提交</w:t>
      </w:r>
      <w:r>
        <w:rPr>
          <w:rFonts w:hint="eastAsia" w:ascii="仿宋_GB2312" w:hAnsi="仿宋_GB2312" w:eastAsia="仿宋_GB2312" w:cs="仿宋_GB2312"/>
          <w:color w:val="auto"/>
          <w:highlight w:val="none"/>
          <w:u w:val="single"/>
        </w:rPr>
        <w:t>长沙</w:t>
      </w:r>
      <w:r>
        <w:rPr>
          <w:rFonts w:hint="eastAsia" w:ascii="仿宋_GB2312" w:hAnsi="仿宋_GB2312" w:eastAsia="仿宋_GB2312" w:cs="仿宋_GB2312"/>
          <w:color w:val="auto"/>
          <w:highlight w:val="none"/>
        </w:rPr>
        <w:t>仲裁委员会仲裁；</w:t>
      </w:r>
    </w:p>
    <w:p>
      <w:pPr>
        <w:pStyle w:val="17"/>
        <w:snapToGrid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（2）依法向</w:t>
      </w:r>
      <w:r>
        <w:rPr>
          <w:rFonts w:hint="eastAsia" w:ascii="仿宋_GB2312" w:hAnsi="仿宋_GB2312" w:eastAsia="仿宋_GB2312" w:cs="仿宋_GB2312"/>
          <w:color w:val="auto"/>
          <w:highlight w:val="none"/>
          <w:u w:val="single"/>
          <w:lang w:eastAsia="zh-CN"/>
        </w:rPr>
        <w:t>长沙市雨花区</w:t>
      </w:r>
      <w:r>
        <w:rPr>
          <w:rFonts w:hint="eastAsia" w:ascii="仿宋_GB2312" w:hAnsi="仿宋_GB2312" w:eastAsia="仿宋_GB2312" w:cs="仿宋_GB2312"/>
          <w:color w:val="auto"/>
          <w:highlight w:val="none"/>
        </w:rPr>
        <w:t>人民法院起诉。</w:t>
      </w:r>
    </w:p>
    <w:p>
      <w:pPr>
        <w:spacing w:line="360" w:lineRule="auto"/>
        <w:ind w:firstLine="482" w:firstLineChars="200"/>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12、通知</w:t>
      </w:r>
    </w:p>
    <w:p>
      <w:pPr>
        <w:pStyle w:val="17"/>
        <w:snapToGrid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12.1本合同一方给另一方的通知均应采用书面形式，传真或快递送到本合同中规定的对方的地址和办理签收手续，</w:t>
      </w:r>
    </w:p>
    <w:p>
      <w:pPr>
        <w:pStyle w:val="17"/>
        <w:snapToGrid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12.2通知以送到之日或通知书中规定的生效之日起生效，两者中以较迟之日为准。</w:t>
      </w:r>
    </w:p>
    <w:p>
      <w:pPr>
        <w:pStyle w:val="17"/>
        <w:snapToGrid w:val="0"/>
        <w:spacing w:before="0" w:beforeAutospacing="0" w:after="0" w:afterAutospacing="0" w:line="360" w:lineRule="auto"/>
        <w:ind w:firstLine="482" w:firstLineChars="200"/>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13、其他约定</w:t>
      </w:r>
    </w:p>
    <w:p>
      <w:pPr>
        <w:snapToGrid w:val="0"/>
        <w:spacing w:line="360" w:lineRule="auto"/>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rPr>
        <w:t>甲、乙双方特别约定事项</w:t>
      </w:r>
      <w:r>
        <w:rPr>
          <w:rFonts w:hint="eastAsia" w:ascii="仿宋_GB2312" w:hAnsi="仿宋_GB2312" w:eastAsia="仿宋_GB2312" w:cs="仿宋_GB2312"/>
          <w:b/>
          <w:color w:val="auto"/>
          <w:sz w:val="24"/>
          <w:highlight w:val="none"/>
        </w:rPr>
        <w:t>（本条约定与本合同其他约定不一致时，以本条为准）</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p>
    <w:bookmarkEnd w:id="120"/>
    <w:bookmarkEnd w:id="121"/>
    <w:bookmarkEnd w:id="122"/>
    <w:bookmarkEnd w:id="123"/>
    <w:bookmarkEnd w:id="124"/>
    <w:p>
      <w:pPr>
        <w:tabs>
          <w:tab w:val="left" w:pos="2580"/>
          <w:tab w:val="center" w:pos="5121"/>
        </w:tabs>
        <w:snapToGrid w:val="0"/>
        <w:spacing w:before="156" w:beforeLines="50" w:after="156" w:afterLines="50" w:line="360" w:lineRule="auto"/>
        <w:jc w:val="center"/>
        <w:outlineLvl w:val="0"/>
        <w:rPr>
          <w:rFonts w:hint="eastAsia" w:ascii="仿宋_GB2312" w:hAnsi="仿宋_GB2312" w:eastAsia="仿宋_GB2312" w:cs="仿宋_GB2312"/>
          <w:b/>
          <w:bCs/>
          <w:color w:val="auto"/>
          <w:highlight w:val="none"/>
        </w:rPr>
        <w:sectPr>
          <w:footerReference r:id="rId14" w:type="default"/>
          <w:footerReference r:id="rId15" w:type="even"/>
          <w:pgSz w:w="11906" w:h="16838"/>
          <w:pgMar w:top="1440" w:right="1800" w:bottom="1440" w:left="1800" w:header="851" w:footer="992" w:gutter="0"/>
          <w:pgNumType w:fmt="decimal"/>
          <w:cols w:space="720" w:num="1"/>
          <w:docGrid w:type="lines" w:linePitch="312" w:charSpace="0"/>
        </w:sectPr>
      </w:pPr>
      <w:bookmarkStart w:id="125" w:name="_Toc501718838"/>
      <w:bookmarkStart w:id="126" w:name="_Toc501718835"/>
    </w:p>
    <w:p>
      <w:pPr>
        <w:tabs>
          <w:tab w:val="left" w:pos="2580"/>
          <w:tab w:val="center" w:pos="5121"/>
        </w:tabs>
        <w:snapToGrid w:val="0"/>
        <w:spacing w:line="360" w:lineRule="auto"/>
        <w:jc w:val="center"/>
        <w:outlineLvl w:val="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第三部分 合同附件</w:t>
      </w:r>
    </w:p>
    <w:p>
      <w:pPr>
        <w:pStyle w:val="6"/>
        <w:snapToGrid w:val="0"/>
        <w:spacing w:line="360" w:lineRule="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附件1 廉政协议</w:t>
      </w:r>
    </w:p>
    <w:p>
      <w:pPr>
        <w:adjustRightInd w:val="0"/>
        <w:snapToGrid w:val="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廉政协议</w:t>
      </w:r>
    </w:p>
    <w:p>
      <w:pPr>
        <w:widowControl/>
        <w:snapToGrid w:val="0"/>
        <w:spacing w:line="360" w:lineRule="auto"/>
        <w:jc w:val="left"/>
        <w:rPr>
          <w:rFonts w:hint="eastAsia" w:ascii="仿宋_GB2312" w:hAnsi="仿宋_GB2312" w:eastAsia="仿宋_GB2312" w:cs="仿宋_GB2312"/>
          <w:color w:val="auto"/>
          <w:kern w:val="0"/>
          <w:sz w:val="24"/>
          <w:szCs w:val="24"/>
          <w:highlight w:val="none"/>
          <w:lang w:bidi="en-US"/>
        </w:rPr>
      </w:pPr>
    </w:p>
    <w:p>
      <w:pPr>
        <w:pStyle w:val="6"/>
        <w:snapToGrid w:val="0"/>
        <w:spacing w:line="440" w:lineRule="exact"/>
        <w:ind w:left="0" w:firstLine="0"/>
        <w:jc w:val="left"/>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甲方：</w:t>
      </w:r>
      <w:r>
        <w:rPr>
          <w:rFonts w:hint="eastAsia" w:ascii="仿宋_GB2312" w:hAnsi="仿宋_GB2312" w:eastAsia="仿宋_GB2312" w:cs="仿宋_GB2312"/>
          <w:color w:val="auto"/>
          <w:sz w:val="24"/>
          <w:szCs w:val="24"/>
          <w:highlight w:val="none"/>
          <w:u w:val="single"/>
        </w:rPr>
        <w:t xml:space="preserve">                               </w:t>
      </w:r>
    </w:p>
    <w:p>
      <w:pPr>
        <w:pStyle w:val="6"/>
        <w:snapToGrid w:val="0"/>
        <w:spacing w:line="440" w:lineRule="exact"/>
        <w:ind w:left="0" w:firstLine="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w:t>
      </w:r>
      <w:r>
        <w:rPr>
          <w:rFonts w:hint="eastAsia" w:ascii="仿宋_GB2312" w:hAnsi="仿宋_GB2312" w:eastAsia="仿宋_GB2312" w:cs="仿宋_GB2312"/>
          <w:color w:val="auto"/>
          <w:sz w:val="24"/>
          <w:szCs w:val="24"/>
          <w:highlight w:val="none"/>
          <w:u w:val="single"/>
        </w:rPr>
        <w:t xml:space="preserve">                               </w:t>
      </w:r>
    </w:p>
    <w:p>
      <w:pPr>
        <w:adjustRightInd w:val="0"/>
        <w:snapToGrid w:val="0"/>
        <w:spacing w:line="440" w:lineRule="exact"/>
        <w:ind w:firstLine="48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根据</w:t>
      </w:r>
      <w:r>
        <w:rPr>
          <w:rFonts w:hint="eastAsia" w:ascii="仿宋_GB2312" w:hAnsi="仿宋_GB2312" w:eastAsia="仿宋_GB2312" w:cs="仿宋_GB2312"/>
          <w:color w:val="auto"/>
          <w:sz w:val="24"/>
          <w:highlight w:val="none"/>
        </w:rPr>
        <w:t>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仿宋_GB2312" w:hAnsi="仿宋_GB2312" w:eastAsia="仿宋_GB2312" w:cs="仿宋_GB2312"/>
          <w:color w:val="auto"/>
          <w:sz w:val="24"/>
          <w:highlight w:val="none"/>
        </w:rPr>
      </w:pPr>
      <w:bookmarkStart w:id="127" w:name="_Toc59896701"/>
      <w:bookmarkStart w:id="128" w:name="_Toc59900969"/>
      <w:r>
        <w:rPr>
          <w:rFonts w:hint="eastAsia" w:ascii="仿宋_GB2312" w:hAnsi="仿宋_GB2312" w:eastAsia="仿宋_GB2312" w:cs="仿宋_GB2312"/>
          <w:color w:val="auto"/>
          <w:sz w:val="24"/>
          <w:highlight w:val="none"/>
        </w:rPr>
        <w:t xml:space="preserve">第一条 </w:t>
      </w:r>
      <w:bookmarkEnd w:id="127"/>
      <w:bookmarkEnd w:id="128"/>
      <w:r>
        <w:rPr>
          <w:rFonts w:hint="eastAsia" w:ascii="仿宋_GB2312" w:hAnsi="仿宋_GB2312" w:eastAsia="仿宋_GB2312" w:cs="仿宋_GB2312"/>
          <w:color w:val="auto"/>
          <w:sz w:val="24"/>
          <w:highlight w:val="none"/>
        </w:rPr>
        <w:t>共同责任</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（一）严格遵守党和国家有关法律法规及湖南省、长沙市的相关规定。</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（二）严格执行</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（以下称主合同）的合同文件，自觉按合同办事。</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第二条 共同权利</w:t>
      </w:r>
    </w:p>
    <w:p>
      <w:pPr>
        <w:adjustRightInd w:val="0"/>
        <w:snapToGrid w:val="0"/>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仿宋_GB2312" w:hAnsi="仿宋_GB2312" w:eastAsia="仿宋_GB2312" w:cs="仿宋_GB2312"/>
          <w:color w:val="auto"/>
          <w:sz w:val="24"/>
          <w:highlight w:val="none"/>
        </w:rPr>
      </w:pPr>
      <w:bookmarkStart w:id="129" w:name="_Toc59896702"/>
      <w:bookmarkStart w:id="130" w:name="_Toc59900970"/>
      <w:r>
        <w:rPr>
          <w:rFonts w:hint="eastAsia" w:ascii="仿宋_GB2312" w:hAnsi="仿宋_GB2312" w:eastAsia="仿宋_GB2312" w:cs="仿宋_GB2312"/>
          <w:color w:val="auto"/>
          <w:sz w:val="24"/>
          <w:highlight w:val="none"/>
        </w:rPr>
        <w:t>第三条 甲方的义务</w:t>
      </w:r>
      <w:bookmarkEnd w:id="129"/>
      <w:bookmarkEnd w:id="130"/>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（一）甲方及其工作人员不得索要或接受乙方的礼金、有价证券和贵重物品。</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（二）甲方及其工作人员不得在乙方报销任何应由甲方或个人支付的费用等。</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（三）甲方及其工作人员不得参加乙方安排的超标准宴请和娱乐活动。</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（四）甲方及其工作人员不得接受乙方提供的通讯工具、交通工具和高档办公用品等。</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（六）甲方及其工作人员不得有违反法律、法规、廉洁从业规定的其他行为。</w:t>
      </w:r>
    </w:p>
    <w:p>
      <w:pPr>
        <w:adjustRightInd w:val="0"/>
        <w:snapToGrid w:val="0"/>
        <w:spacing w:line="440" w:lineRule="exact"/>
        <w:ind w:firstLine="480"/>
        <w:rPr>
          <w:rFonts w:hint="eastAsia" w:ascii="仿宋_GB2312" w:hAnsi="仿宋_GB2312" w:eastAsia="仿宋_GB2312" w:cs="仿宋_GB2312"/>
          <w:color w:val="auto"/>
          <w:sz w:val="24"/>
          <w:highlight w:val="none"/>
        </w:rPr>
      </w:pPr>
      <w:bookmarkStart w:id="131" w:name="_Toc59896703"/>
      <w:bookmarkStart w:id="132" w:name="_Toc59900971"/>
      <w:r>
        <w:rPr>
          <w:rFonts w:hint="eastAsia" w:ascii="仿宋_GB2312" w:hAnsi="仿宋_GB2312" w:eastAsia="仿宋_GB2312" w:cs="仿宋_GB2312"/>
          <w:color w:val="auto"/>
          <w:sz w:val="24"/>
          <w:highlight w:val="none"/>
        </w:rPr>
        <w:t>第四条 乙方义务</w:t>
      </w:r>
      <w:bookmarkEnd w:id="131"/>
      <w:bookmarkEnd w:id="132"/>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（一）乙方不得以任何理由向甲方及其工作人员行贿或馈赠礼金、有价证券、贵重物品。</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（三）乙方不得以任何理由安排甲方工作人员参加超标准宴请、健身及娱乐活动。</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（六）乙方不得有违反法律、法规、廉洁从业规定的其他行为。</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第五条 违约责任</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第七条 本协议有效期为甲乙双方签署之日起至主合同完全履行完毕之日止。</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第八条 本协议作为主合同的附件，与主合同具有同等的法律效力，经合同双方签署立即生效。</w:t>
      </w:r>
    </w:p>
    <w:p>
      <w:pPr>
        <w:snapToGrid w:val="0"/>
        <w:spacing w:line="440" w:lineRule="exact"/>
        <w:rPr>
          <w:rFonts w:hint="eastAsia" w:ascii="仿宋_GB2312" w:hAnsi="仿宋_GB2312" w:eastAsia="仿宋_GB2312" w:cs="仿宋_GB2312"/>
          <w:color w:val="auto"/>
          <w:sz w:val="24"/>
          <w:highlight w:val="none"/>
        </w:rPr>
        <w:sectPr>
          <w:pgSz w:w="11906" w:h="16838"/>
          <w:pgMar w:top="1440" w:right="1800" w:bottom="1440" w:left="1800" w:header="851" w:footer="992" w:gutter="0"/>
          <w:pgNumType w:fmt="decimal"/>
          <w:cols w:space="720" w:num="1"/>
          <w:docGrid w:type="lines" w:linePitch="312" w:charSpace="0"/>
        </w:sectPr>
      </w:pPr>
    </w:p>
    <w:p>
      <w:pPr>
        <w:pStyle w:val="2"/>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（本页无正文）</w:t>
      </w:r>
    </w:p>
    <w:p>
      <w:pPr>
        <w:pStyle w:val="2"/>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snapToGrid w:val="0"/>
        <w:spacing w:line="440" w:lineRule="exac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color w:val="auto"/>
          <w:sz w:val="24"/>
          <w:highlight w:val="none"/>
          <w:u w:val="single"/>
        </w:rPr>
        <w:t xml:space="preserve"> （盖章）            </w:t>
      </w:r>
      <w:r>
        <w:rPr>
          <w:rFonts w:hint="eastAsia" w:ascii="仿宋_GB2312" w:hAnsi="仿宋_GB2312" w:eastAsia="仿宋_GB2312" w:cs="仿宋_GB2312"/>
          <w:color w:val="auto"/>
          <w:sz w:val="24"/>
          <w:highlight w:val="none"/>
        </w:rPr>
        <w:t xml:space="preserve">             乙方：</w:t>
      </w:r>
      <w:r>
        <w:rPr>
          <w:rFonts w:hint="eastAsia" w:ascii="仿宋_GB2312" w:hAnsi="仿宋_GB2312" w:eastAsia="仿宋_GB2312" w:cs="仿宋_GB2312"/>
          <w:color w:val="auto"/>
          <w:sz w:val="24"/>
          <w:highlight w:val="none"/>
          <w:u w:val="single"/>
        </w:rPr>
        <w:t xml:space="preserve"> （盖章）                 </w:t>
      </w:r>
    </w:p>
    <w:p>
      <w:pPr>
        <w:snapToGrid w:val="0"/>
        <w:spacing w:line="440" w:lineRule="exac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法定代表人：</w:t>
      </w:r>
      <w:r>
        <w:rPr>
          <w:rFonts w:hint="eastAsia" w:ascii="仿宋_GB2312" w:hAnsi="仿宋_GB2312" w:eastAsia="仿宋_GB2312" w:cs="仿宋_GB2312"/>
          <w:color w:val="auto"/>
          <w:sz w:val="24"/>
          <w:highlight w:val="none"/>
          <w:u w:val="single"/>
        </w:rPr>
        <w:t xml:space="preserve"> （签字）           </w:t>
      </w:r>
    </w:p>
    <w:p>
      <w:pPr>
        <w:snapToGrid w:val="0"/>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或授权代理人：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或授权代理人：</w:t>
      </w:r>
      <w:r>
        <w:rPr>
          <w:rFonts w:hint="eastAsia" w:ascii="仿宋_GB2312" w:hAnsi="仿宋_GB2312" w:eastAsia="仿宋_GB2312" w:cs="仿宋_GB2312"/>
          <w:color w:val="auto"/>
          <w:sz w:val="24"/>
          <w:highlight w:val="none"/>
          <w:u w:val="single"/>
        </w:rPr>
        <w:t xml:space="preserve">（签字）           </w:t>
      </w:r>
    </w:p>
    <w:p>
      <w:pPr>
        <w:snapToGrid w:val="0"/>
        <w:spacing w:line="440" w:lineRule="exac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电话：</w:t>
      </w:r>
      <w:r>
        <w:rPr>
          <w:rFonts w:hint="eastAsia" w:ascii="仿宋_GB2312" w:hAnsi="仿宋_GB2312" w:eastAsia="仿宋_GB2312" w:cs="仿宋_GB2312"/>
          <w:color w:val="auto"/>
          <w:sz w:val="24"/>
          <w:highlight w:val="none"/>
          <w:u w:val="single"/>
        </w:rPr>
        <w:t xml:space="preserve">                          </w:t>
      </w:r>
    </w:p>
    <w:p>
      <w:pPr>
        <w:snapToGrid w:val="0"/>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日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pStyle w:val="6"/>
        <w:snapToGrid w:val="0"/>
        <w:spacing w:line="360" w:lineRule="auto"/>
        <w:outlineLvl w:val="1"/>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甲方监督单位：</w:t>
      </w:r>
      <w:r>
        <w:rPr>
          <w:rFonts w:hint="eastAsia" w:ascii="仿宋_GB2312" w:hAnsi="仿宋_GB2312" w:eastAsia="仿宋_GB2312" w:cs="仿宋_GB2312"/>
          <w:color w:val="auto"/>
          <w:sz w:val="24"/>
          <w:highlight w:val="none"/>
          <w:u w:val="single"/>
        </w:rPr>
        <w:t xml:space="preserve">（盖章）      </w:t>
      </w:r>
      <w:r>
        <w:rPr>
          <w:rFonts w:hint="eastAsia" w:ascii="仿宋_GB2312" w:hAnsi="仿宋_GB2312" w:eastAsia="仿宋_GB2312" w:cs="仿宋_GB2312"/>
          <w:color w:val="auto"/>
          <w:sz w:val="24"/>
          <w:highlight w:val="none"/>
        </w:rPr>
        <w:t xml:space="preserve">             乙方监督单位：</w:t>
      </w:r>
      <w:r>
        <w:rPr>
          <w:rFonts w:hint="eastAsia" w:ascii="仿宋_GB2312" w:hAnsi="仿宋_GB2312" w:eastAsia="仿宋_GB2312" w:cs="仿宋_GB2312"/>
          <w:color w:val="auto"/>
          <w:sz w:val="24"/>
          <w:highlight w:val="none"/>
          <w:u w:val="single"/>
        </w:rPr>
        <w:t xml:space="preserve">（盖章）        </w:t>
      </w:r>
    </w:p>
    <w:p>
      <w:pPr>
        <w:pStyle w:val="6"/>
        <w:snapToGrid w:val="0"/>
        <w:spacing w:line="360" w:lineRule="auto"/>
        <w:outlineLvl w:val="1"/>
        <w:rPr>
          <w:rFonts w:ascii="仿宋_GB2312" w:hAnsi="仿宋_GB2312" w:eastAsia="仿宋_GB2312" w:cs="仿宋_GB2312"/>
          <w:b/>
          <w:color w:val="auto"/>
          <w:sz w:val="24"/>
          <w:szCs w:val="24"/>
          <w:highlight w:val="none"/>
        </w:rPr>
      </w:pPr>
      <w:r>
        <w:rPr>
          <w:rFonts w:ascii="仿宋_GB2312" w:hAnsi="仿宋_GB2312" w:eastAsia="仿宋_GB2312" w:cs="仿宋_GB2312"/>
          <w:b/>
          <w:color w:val="auto"/>
          <w:sz w:val="24"/>
          <w:szCs w:val="24"/>
          <w:highlight w:val="none"/>
        </w:rPr>
        <w:br w:type="page"/>
      </w:r>
      <w:r>
        <w:rPr>
          <w:rFonts w:hint="eastAsia" w:ascii="仿宋_GB2312" w:hAnsi="仿宋_GB2312" w:eastAsia="仿宋_GB2312" w:cs="仿宋_GB2312"/>
          <w:b/>
          <w:color w:val="auto"/>
          <w:sz w:val="24"/>
          <w:szCs w:val="24"/>
          <w:highlight w:val="none"/>
        </w:rPr>
        <w:t>附件2</w:t>
      </w:r>
      <w:r>
        <w:rPr>
          <w:rFonts w:ascii="仿宋_GB2312" w:hAnsi="仿宋_GB2312" w:eastAsia="仿宋_GB2312" w:cs="仿宋_GB2312"/>
          <w:b/>
          <w:color w:val="auto"/>
          <w:sz w:val="24"/>
          <w:szCs w:val="24"/>
          <w:highlight w:val="none"/>
        </w:rPr>
        <w:t xml:space="preserve"> </w:t>
      </w:r>
      <w:r>
        <w:rPr>
          <w:rFonts w:hint="eastAsia" w:ascii="仿宋_GB2312" w:hAnsi="仿宋_GB2312" w:eastAsia="仿宋_GB2312" w:cs="仿宋_GB2312"/>
          <w:b/>
          <w:color w:val="auto"/>
          <w:sz w:val="24"/>
          <w:szCs w:val="24"/>
          <w:highlight w:val="none"/>
        </w:rPr>
        <w:t>保密协议</w:t>
      </w:r>
    </w:p>
    <w:p>
      <w:pPr>
        <w:widowControl/>
        <w:snapToGrid w:val="0"/>
        <w:spacing w:line="360" w:lineRule="auto"/>
        <w:jc w:val="center"/>
        <w:rPr>
          <w:rFonts w:ascii="仿宋_GB2312" w:hAnsi="仿宋_GB2312" w:eastAsia="仿宋_GB2312" w:cs="仿宋_GB2312"/>
          <w:color w:val="auto"/>
          <w:kern w:val="0"/>
          <w:sz w:val="32"/>
          <w:szCs w:val="32"/>
          <w:highlight w:val="none"/>
          <w:lang w:bidi="en-US"/>
        </w:rPr>
      </w:pPr>
      <w:r>
        <w:rPr>
          <w:rFonts w:hint="eastAsia" w:ascii="仿宋_GB2312" w:hAnsi="仿宋_GB2312" w:eastAsia="仿宋_GB2312" w:cs="仿宋_GB2312"/>
          <w:b/>
          <w:bCs/>
          <w:smallCaps/>
          <w:color w:val="auto"/>
          <w:kern w:val="0"/>
          <w:sz w:val="32"/>
          <w:szCs w:val="32"/>
          <w:highlight w:val="none"/>
          <w:lang w:bidi="en-US"/>
        </w:rPr>
        <w:t>保密协议</w:t>
      </w:r>
    </w:p>
    <w:p>
      <w:pPr>
        <w:widowControl/>
        <w:snapToGrid w:val="0"/>
        <w:spacing w:line="360" w:lineRule="auto"/>
        <w:jc w:val="left"/>
        <w:rPr>
          <w:rFonts w:ascii="仿宋_GB2312" w:hAnsi="仿宋_GB2312" w:eastAsia="仿宋_GB2312" w:cs="仿宋_GB2312"/>
          <w:color w:val="auto"/>
          <w:kern w:val="0"/>
          <w:sz w:val="24"/>
          <w:szCs w:val="24"/>
          <w:highlight w:val="none"/>
          <w:lang w:bidi="en-US"/>
        </w:rPr>
      </w:pPr>
    </w:p>
    <w:p>
      <w:pPr>
        <w:widowControl/>
        <w:snapToGrid w:val="0"/>
        <w:spacing w:line="360" w:lineRule="auto"/>
        <w:jc w:val="left"/>
        <w:rPr>
          <w:rFonts w:ascii="仿宋_GB2312" w:hAnsi="仿宋_GB2312" w:eastAsia="仿宋_GB2312" w:cs="仿宋_GB2312"/>
          <w:color w:val="auto"/>
          <w:kern w:val="0"/>
          <w:sz w:val="24"/>
          <w:szCs w:val="24"/>
          <w:highlight w:val="none"/>
          <w:u w:val="single"/>
          <w:lang w:bidi="en-US"/>
        </w:rPr>
      </w:pPr>
      <w:r>
        <w:rPr>
          <w:rFonts w:hint="eastAsia" w:ascii="仿宋_GB2312" w:hAnsi="仿宋_GB2312" w:eastAsia="仿宋_GB2312" w:cs="仿宋_GB2312"/>
          <w:color w:val="auto"/>
          <w:kern w:val="0"/>
          <w:sz w:val="24"/>
          <w:szCs w:val="24"/>
          <w:highlight w:val="none"/>
          <w:lang w:bidi="en-US"/>
        </w:rPr>
        <w:t>甲方（全称）：</w:t>
      </w:r>
      <w:r>
        <w:rPr>
          <w:rFonts w:ascii="仿宋_GB2312" w:hAnsi="仿宋_GB2312" w:eastAsia="仿宋_GB2312" w:cs="仿宋_GB2312"/>
          <w:color w:val="auto"/>
          <w:kern w:val="0"/>
          <w:sz w:val="24"/>
          <w:szCs w:val="24"/>
          <w:highlight w:val="none"/>
          <w:u w:val="single"/>
          <w:lang w:bidi="en-US"/>
        </w:rPr>
        <w:t xml:space="preserve">             </w:t>
      </w:r>
      <w:r>
        <w:rPr>
          <w:rFonts w:hint="eastAsia" w:ascii="仿宋_GB2312" w:hAnsi="仿宋_GB2312" w:eastAsia="仿宋_GB2312" w:cs="仿宋_GB2312"/>
          <w:color w:val="auto"/>
          <w:kern w:val="0"/>
          <w:sz w:val="24"/>
          <w:szCs w:val="24"/>
          <w:highlight w:val="none"/>
          <w:u w:val="single"/>
          <w:lang w:bidi="en-US"/>
        </w:rPr>
        <w:t xml:space="preserve"> </w:t>
      </w:r>
      <w:r>
        <w:rPr>
          <w:rFonts w:ascii="仿宋_GB2312" w:hAnsi="仿宋_GB2312" w:eastAsia="仿宋_GB2312" w:cs="仿宋_GB2312"/>
          <w:color w:val="auto"/>
          <w:kern w:val="0"/>
          <w:sz w:val="24"/>
          <w:szCs w:val="24"/>
          <w:highlight w:val="none"/>
          <w:u w:val="single"/>
          <w:lang w:bidi="en-US"/>
        </w:rPr>
        <w:t xml:space="preserve"> </w:t>
      </w:r>
      <w:r>
        <w:rPr>
          <w:rFonts w:hint="eastAsia" w:ascii="仿宋_GB2312" w:hAnsi="仿宋_GB2312" w:eastAsia="仿宋_GB2312" w:cs="仿宋_GB2312"/>
          <w:color w:val="auto"/>
          <w:kern w:val="0"/>
          <w:sz w:val="24"/>
          <w:szCs w:val="24"/>
          <w:highlight w:val="none"/>
          <w:u w:val="single"/>
          <w:lang w:bidi="en-US"/>
        </w:rPr>
        <w:t xml:space="preserve">  </w:t>
      </w:r>
      <w:r>
        <w:rPr>
          <w:rFonts w:ascii="仿宋_GB2312" w:hAnsi="仿宋_GB2312" w:eastAsia="仿宋_GB2312" w:cs="仿宋_GB2312"/>
          <w:color w:val="auto"/>
          <w:kern w:val="0"/>
          <w:sz w:val="24"/>
          <w:szCs w:val="24"/>
          <w:highlight w:val="none"/>
          <w:u w:val="single"/>
          <w:lang w:bidi="en-US"/>
        </w:rPr>
        <w:t xml:space="preserve">        </w:t>
      </w:r>
    </w:p>
    <w:p>
      <w:pPr>
        <w:widowControl/>
        <w:snapToGrid w:val="0"/>
        <w:spacing w:line="360" w:lineRule="auto"/>
        <w:jc w:val="left"/>
        <w:rPr>
          <w:rFonts w:ascii="仿宋_GB2312" w:hAnsi="仿宋_GB2312" w:eastAsia="仿宋_GB2312" w:cs="仿宋_GB2312"/>
          <w:color w:val="auto"/>
          <w:kern w:val="0"/>
          <w:sz w:val="24"/>
          <w:szCs w:val="24"/>
          <w:highlight w:val="none"/>
          <w:lang w:bidi="en-US"/>
        </w:rPr>
      </w:pPr>
      <w:r>
        <w:rPr>
          <w:rFonts w:hint="eastAsia" w:ascii="仿宋_GB2312" w:hAnsi="仿宋_GB2312" w:eastAsia="仿宋_GB2312" w:cs="仿宋_GB2312"/>
          <w:color w:val="auto"/>
          <w:kern w:val="0"/>
          <w:sz w:val="24"/>
          <w:szCs w:val="24"/>
          <w:highlight w:val="none"/>
          <w:lang w:bidi="en-US"/>
        </w:rPr>
        <w:t>乙方（全称）：</w:t>
      </w:r>
      <w:r>
        <w:rPr>
          <w:rFonts w:ascii="仿宋_GB2312" w:hAnsi="仿宋_GB2312" w:eastAsia="仿宋_GB2312" w:cs="仿宋_GB2312"/>
          <w:color w:val="auto"/>
          <w:kern w:val="0"/>
          <w:sz w:val="24"/>
          <w:szCs w:val="24"/>
          <w:highlight w:val="none"/>
          <w:u w:val="single"/>
          <w:lang w:bidi="en-US"/>
        </w:rPr>
        <w:t xml:space="preserve">            </w:t>
      </w:r>
      <w:r>
        <w:rPr>
          <w:rFonts w:hint="eastAsia" w:ascii="仿宋_GB2312" w:hAnsi="仿宋_GB2312" w:eastAsia="仿宋_GB2312" w:cs="仿宋_GB2312"/>
          <w:color w:val="auto"/>
          <w:kern w:val="0"/>
          <w:sz w:val="24"/>
          <w:szCs w:val="24"/>
          <w:highlight w:val="none"/>
          <w:u w:val="single"/>
          <w:lang w:bidi="en-US"/>
        </w:rPr>
        <w:t xml:space="preserve">   </w:t>
      </w:r>
      <w:r>
        <w:rPr>
          <w:rFonts w:ascii="仿宋_GB2312" w:hAnsi="仿宋_GB2312" w:eastAsia="仿宋_GB2312" w:cs="仿宋_GB2312"/>
          <w:color w:val="auto"/>
          <w:kern w:val="0"/>
          <w:sz w:val="24"/>
          <w:szCs w:val="24"/>
          <w:highlight w:val="none"/>
          <w:u w:val="single"/>
          <w:lang w:bidi="en-US"/>
        </w:rPr>
        <w:t xml:space="preserve">          </w:t>
      </w:r>
    </w:p>
    <w:p>
      <w:pPr>
        <w:widowControl/>
        <w:snapToGrid w:val="0"/>
        <w:spacing w:line="360" w:lineRule="auto"/>
        <w:ind w:firstLine="480" w:firstLineChars="200"/>
        <w:rPr>
          <w:rFonts w:ascii="仿宋_GB2312" w:hAnsi="仿宋_GB2312" w:eastAsia="仿宋_GB2312" w:cs="仿宋_GB2312"/>
          <w:color w:val="auto"/>
          <w:kern w:val="0"/>
          <w:sz w:val="24"/>
          <w:szCs w:val="24"/>
          <w:highlight w:val="none"/>
          <w:lang w:bidi="en-US"/>
        </w:rPr>
      </w:pPr>
      <w:r>
        <w:rPr>
          <w:rFonts w:hint="eastAsia" w:ascii="仿宋_GB2312" w:hAnsi="仿宋_GB2312" w:eastAsia="仿宋_GB2312" w:cs="仿宋_GB2312"/>
          <w:color w:val="auto"/>
          <w:kern w:val="0"/>
          <w:sz w:val="24"/>
          <w:szCs w:val="24"/>
          <w:highlight w:val="none"/>
          <w:lang w:bidi="en-US"/>
        </w:rPr>
        <w:t>鉴于甲方和乙方签订的</w:t>
      </w:r>
      <w:r>
        <w:rPr>
          <w:rFonts w:ascii="仿宋_GB2312" w:hAnsi="仿宋_GB2312" w:eastAsia="仿宋_GB2312" w:cs="仿宋_GB2312"/>
          <w:color w:val="auto"/>
          <w:kern w:val="0"/>
          <w:sz w:val="24"/>
          <w:szCs w:val="24"/>
          <w:highlight w:val="none"/>
          <w:u w:val="single"/>
          <w:lang w:bidi="en-US"/>
        </w:rPr>
        <w:t xml:space="preserve">       </w:t>
      </w:r>
      <w:r>
        <w:rPr>
          <w:rFonts w:hint="eastAsia" w:ascii="仿宋_GB2312" w:hAnsi="仿宋_GB2312" w:eastAsia="仿宋_GB2312" w:cs="仿宋_GB2312"/>
          <w:color w:val="auto"/>
          <w:kern w:val="0"/>
          <w:sz w:val="24"/>
          <w:szCs w:val="24"/>
          <w:highlight w:val="none"/>
          <w:u w:val="single"/>
          <w:lang w:val="en-US" w:eastAsia="zh-CN" w:bidi="en-US"/>
        </w:rPr>
        <w:t xml:space="preserve">  </w:t>
      </w:r>
      <w:r>
        <w:rPr>
          <w:rFonts w:ascii="仿宋_GB2312" w:hAnsi="仿宋_GB2312" w:eastAsia="仿宋_GB2312" w:cs="仿宋_GB2312"/>
          <w:color w:val="auto"/>
          <w:kern w:val="0"/>
          <w:sz w:val="24"/>
          <w:szCs w:val="24"/>
          <w:highlight w:val="none"/>
          <w:u w:val="single"/>
          <w:lang w:bidi="en-US"/>
        </w:rPr>
        <w:t xml:space="preserve">         </w:t>
      </w:r>
      <w:r>
        <w:rPr>
          <w:rFonts w:hint="eastAsia" w:ascii="仿宋_GB2312" w:hAnsi="仿宋_GB2312" w:eastAsia="仿宋_GB2312" w:cs="仿宋_GB2312"/>
          <w:color w:val="auto"/>
          <w:kern w:val="0"/>
          <w:sz w:val="24"/>
          <w:szCs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第一条</w:t>
      </w:r>
      <w:r>
        <w:rPr>
          <w:rFonts w:ascii="仿宋_GB2312" w:hAnsi="仿宋_GB2312" w:eastAsia="仿宋_GB2312" w:cs="仿宋_GB2312"/>
          <w:b/>
          <w:color w:val="auto"/>
          <w:kern w:val="0"/>
          <w:sz w:val="24"/>
          <w:szCs w:val="24"/>
          <w:highlight w:val="none"/>
          <w:lang w:bidi="en-US"/>
        </w:rPr>
        <w:t xml:space="preserve"> </w:t>
      </w:r>
      <w:r>
        <w:rPr>
          <w:rFonts w:hint="eastAsia" w:ascii="仿宋_GB2312" w:hAnsi="仿宋_GB2312" w:eastAsia="仿宋_GB2312" w:cs="仿宋_GB2312"/>
          <w:b/>
          <w:color w:val="auto"/>
          <w:kern w:val="0"/>
          <w:sz w:val="24"/>
          <w:szCs w:val="24"/>
          <w:highlight w:val="none"/>
          <w:lang w:bidi="en-US"/>
        </w:rPr>
        <w:t>保密内容</w:t>
      </w:r>
    </w:p>
    <w:p>
      <w:pPr>
        <w:widowControl/>
        <w:snapToGrid w:val="0"/>
        <w:spacing w:line="360" w:lineRule="auto"/>
        <w:ind w:firstLine="482" w:firstLineChars="200"/>
        <w:jc w:val="left"/>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甲、乙双方确认，乙方应承担保密义务的内容为：</w:t>
      </w:r>
    </w:p>
    <w:p>
      <w:pPr>
        <w:widowControl/>
        <w:snapToGrid w:val="0"/>
        <w:spacing w:line="360" w:lineRule="auto"/>
        <w:ind w:firstLine="480" w:firstLineChars="200"/>
        <w:jc w:val="left"/>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1</w:t>
      </w:r>
      <w:r>
        <w:rPr>
          <w:rFonts w:hint="eastAsia" w:ascii="仿宋_GB2312" w:hAnsi="仿宋_GB2312" w:eastAsia="仿宋_GB2312" w:cs="仿宋_GB2312"/>
          <w:color w:val="auto"/>
          <w:kern w:val="0"/>
          <w:sz w:val="24"/>
          <w:szCs w:val="24"/>
          <w:highlight w:val="none"/>
          <w:lang w:bidi="en-US"/>
        </w:rPr>
        <w:t>、技术信息：包括技术方案、设计要求、工作内容、实现方法、运作流程、技术指标、软件系统、数据库、运行环境、作业平台、测试结果、图纸、样本、模型、技术文档、涉及技术秘密的业务函电等；</w:t>
      </w:r>
      <w:r>
        <w:rPr>
          <w:rFonts w:ascii="仿宋_GB2312" w:hAnsi="仿宋_GB2312" w:eastAsia="仿宋_GB2312" w:cs="仿宋_GB2312"/>
          <w:color w:val="auto"/>
          <w:kern w:val="0"/>
          <w:sz w:val="24"/>
          <w:szCs w:val="24"/>
          <w:highlight w:val="none"/>
          <w:lang w:bidi="en-US"/>
        </w:rPr>
        <w:t> </w:t>
      </w:r>
    </w:p>
    <w:p>
      <w:pPr>
        <w:widowControl/>
        <w:snapToGrid w:val="0"/>
        <w:spacing w:line="360" w:lineRule="auto"/>
        <w:ind w:firstLine="480" w:firstLineChars="200"/>
        <w:jc w:val="left"/>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2</w:t>
      </w:r>
      <w:r>
        <w:rPr>
          <w:rFonts w:hint="eastAsia" w:ascii="仿宋_GB2312" w:hAnsi="仿宋_GB2312" w:eastAsia="仿宋_GB2312" w:cs="仿宋_GB2312"/>
          <w:color w:val="auto"/>
          <w:kern w:val="0"/>
          <w:sz w:val="24"/>
          <w:szCs w:val="24"/>
          <w:highlight w:val="none"/>
          <w:lang w:bidi="en-US"/>
        </w:rPr>
        <w:t>、经营信息：包括客户名称、客户地址及联系方式、需求信息、营销计划、定价政策、招投标中的标底及标书内容、项目组人员构成、费用预算、利润情况及不公开的财务资料等；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3</w:t>
      </w:r>
      <w:r>
        <w:rPr>
          <w:rFonts w:hint="eastAsia" w:ascii="仿宋_GB2312" w:hAnsi="仿宋_GB2312" w:eastAsia="仿宋_GB2312" w:cs="仿宋_GB2312"/>
          <w:color w:val="auto"/>
          <w:kern w:val="0"/>
          <w:sz w:val="24"/>
          <w:szCs w:val="24"/>
          <w:highlight w:val="none"/>
          <w:lang w:bidi="en-US"/>
        </w:rPr>
        <w:t>、其他事项：甲方依照法律规定和有关协议（包括与项目对方当事人以及其他项目当事人订立协议、合同）的约定要求乙方承担保密义务的其他事项。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第二条</w:t>
      </w:r>
      <w:r>
        <w:rPr>
          <w:rFonts w:ascii="仿宋_GB2312" w:hAnsi="仿宋_GB2312" w:eastAsia="仿宋_GB2312" w:cs="仿宋_GB2312"/>
          <w:b/>
          <w:color w:val="auto"/>
          <w:kern w:val="0"/>
          <w:sz w:val="24"/>
          <w:szCs w:val="24"/>
          <w:highlight w:val="none"/>
          <w:lang w:bidi="en-US"/>
        </w:rPr>
        <w:t xml:space="preserve"> </w:t>
      </w:r>
      <w:r>
        <w:rPr>
          <w:rFonts w:hint="eastAsia" w:ascii="仿宋_GB2312" w:hAnsi="仿宋_GB2312" w:eastAsia="仿宋_GB2312" w:cs="仿宋_GB2312"/>
          <w:b/>
          <w:color w:val="auto"/>
          <w:kern w:val="0"/>
          <w:sz w:val="24"/>
          <w:szCs w:val="24"/>
          <w:highlight w:val="none"/>
          <w:lang w:bidi="en-US"/>
        </w:rPr>
        <w:t>乙方的保密义务</w:t>
      </w:r>
    </w:p>
    <w:p>
      <w:pPr>
        <w:widowControl/>
        <w:snapToGrid w:val="0"/>
        <w:spacing w:line="360" w:lineRule="auto"/>
        <w:ind w:firstLine="480" w:firstLineChars="200"/>
        <w:jc w:val="left"/>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1</w:t>
      </w:r>
      <w:r>
        <w:rPr>
          <w:rFonts w:hint="eastAsia" w:ascii="仿宋_GB2312" w:hAnsi="仿宋_GB2312" w:eastAsia="仿宋_GB2312" w:cs="仿宋_GB2312"/>
          <w:color w:val="auto"/>
          <w:kern w:val="0"/>
          <w:sz w:val="24"/>
          <w:szCs w:val="24"/>
          <w:highlight w:val="none"/>
          <w:lang w:bidi="en-US"/>
        </w:rPr>
        <w:t>、乙方应主动采取加密措施对上述第一条所列内容进行保密，防止不承担同等保密义务的任何第三者知悉及使用。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2</w:t>
      </w:r>
      <w:r>
        <w:rPr>
          <w:rFonts w:hint="eastAsia" w:ascii="仿宋_GB2312" w:hAnsi="仿宋_GB2312" w:eastAsia="仿宋_GB2312" w:cs="仿宋_GB2312"/>
          <w:color w:val="auto"/>
          <w:kern w:val="0"/>
          <w:sz w:val="24"/>
          <w:szCs w:val="24"/>
          <w:highlight w:val="none"/>
          <w:lang w:bidi="en-US"/>
        </w:rPr>
        <w:t>、乙方不得刺探或者以其他不正当手段（包括利用计算机进行检索、浏览、复制等）获取主合同及主合同执行过程中的甲方秘密。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3</w:t>
      </w:r>
      <w:r>
        <w:rPr>
          <w:rFonts w:hint="eastAsia" w:ascii="仿宋_GB2312" w:hAnsi="仿宋_GB2312" w:eastAsia="仿宋_GB2312" w:cs="仿宋_GB2312"/>
          <w:color w:val="auto"/>
          <w:kern w:val="0"/>
          <w:sz w:val="24"/>
          <w:szCs w:val="24"/>
          <w:highlight w:val="none"/>
          <w:lang w:bidi="en-US"/>
        </w:rPr>
        <w:t>、乙方不得向不承担同等保密义务的任何第三人披露上述第一条所列内容。</w:t>
      </w:r>
    </w:p>
    <w:p>
      <w:pPr>
        <w:widowControl/>
        <w:snapToGrid w:val="0"/>
        <w:spacing w:line="360" w:lineRule="auto"/>
        <w:ind w:firstLine="480" w:firstLineChars="200"/>
        <w:jc w:val="left"/>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4</w:t>
      </w:r>
      <w:r>
        <w:rPr>
          <w:rFonts w:hint="eastAsia" w:ascii="仿宋_GB2312" w:hAnsi="仿宋_GB2312" w:eastAsia="仿宋_GB2312" w:cs="仿宋_GB2312"/>
          <w:color w:val="auto"/>
          <w:kern w:val="0"/>
          <w:sz w:val="24"/>
          <w:szCs w:val="24"/>
          <w:highlight w:val="none"/>
          <w:lang w:bidi="en-US"/>
        </w:rPr>
        <w:t>、乙方不得允许（包括出借、赠与、出租、转让等行为）或协助不承担同等保密义务的任何第三人使用上述第一条所列内容。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5</w:t>
      </w:r>
      <w:r>
        <w:rPr>
          <w:rFonts w:hint="eastAsia" w:ascii="仿宋_GB2312" w:hAnsi="仿宋_GB2312" w:eastAsia="仿宋_GB2312" w:cs="仿宋_GB2312"/>
          <w:color w:val="auto"/>
          <w:kern w:val="0"/>
          <w:sz w:val="24"/>
          <w:szCs w:val="24"/>
          <w:highlight w:val="none"/>
          <w:lang w:bidi="en-US"/>
        </w:rPr>
        <w:t>、不论因何种原因主合同终止后，乙方都不得利用上述第一条所列内容为其他与甲方有竞争关系的第三人提供服务或进行合作。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6</w:t>
      </w:r>
      <w:r>
        <w:rPr>
          <w:rFonts w:hint="eastAsia" w:ascii="仿宋_GB2312" w:hAnsi="仿宋_GB2312" w:eastAsia="仿宋_GB2312" w:cs="仿宋_GB2312"/>
          <w:color w:val="auto"/>
          <w:kern w:val="0"/>
          <w:sz w:val="24"/>
          <w:szCs w:val="24"/>
          <w:highlight w:val="none"/>
          <w:lang w:bidi="en-US"/>
        </w:rPr>
        <w:t>、上述第一条所列内容的所有权始终全部归属甲方，乙方不得利用自身对项目不同程度的了解申请对于该项目的商业秘密所有权，在本协议签订前乙方已依法具有某些所有权者除外；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7</w:t>
      </w:r>
      <w:r>
        <w:rPr>
          <w:rFonts w:hint="eastAsia" w:ascii="仿宋_GB2312" w:hAnsi="仿宋_GB2312" w:eastAsia="仿宋_GB2312" w:cs="仿宋_GB2312"/>
          <w:color w:val="auto"/>
          <w:kern w:val="0"/>
          <w:sz w:val="24"/>
          <w:szCs w:val="24"/>
          <w:highlight w:val="none"/>
          <w:lang w:bidi="en-US"/>
        </w:rPr>
        <w:t>、乙方如发现上述第一条所列内容被泄露或者自己过失泄露秘密，应当采取有效措施防止泄密进一步扩大，并及时向甲方报告。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第三条</w:t>
      </w:r>
      <w:r>
        <w:rPr>
          <w:rFonts w:ascii="仿宋_GB2312" w:hAnsi="仿宋_GB2312" w:eastAsia="仿宋_GB2312" w:cs="仿宋_GB2312"/>
          <w:b/>
          <w:color w:val="auto"/>
          <w:kern w:val="0"/>
          <w:sz w:val="24"/>
          <w:szCs w:val="24"/>
          <w:highlight w:val="none"/>
          <w:lang w:bidi="en-US"/>
        </w:rPr>
        <w:t xml:space="preserve"> </w:t>
      </w:r>
      <w:r>
        <w:rPr>
          <w:rFonts w:hint="eastAsia" w:ascii="仿宋_GB2312" w:hAnsi="仿宋_GB2312" w:eastAsia="仿宋_GB2312" w:cs="仿宋_GB2312"/>
          <w:b/>
          <w:color w:val="auto"/>
          <w:kern w:val="0"/>
          <w:sz w:val="24"/>
          <w:szCs w:val="24"/>
          <w:highlight w:val="none"/>
          <w:lang w:bidi="en-US"/>
        </w:rPr>
        <w:t>保密期限</w:t>
      </w:r>
    </w:p>
    <w:p>
      <w:pPr>
        <w:widowControl/>
        <w:snapToGrid w:val="0"/>
        <w:spacing w:line="360" w:lineRule="auto"/>
        <w:ind w:firstLine="480" w:firstLineChars="200"/>
        <w:jc w:val="left"/>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color w:val="auto"/>
          <w:kern w:val="0"/>
          <w:sz w:val="24"/>
          <w:szCs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第四条</w:t>
      </w:r>
      <w:r>
        <w:rPr>
          <w:rFonts w:ascii="仿宋_GB2312" w:hAnsi="仿宋_GB2312" w:eastAsia="仿宋_GB2312" w:cs="仿宋_GB2312"/>
          <w:b/>
          <w:color w:val="auto"/>
          <w:kern w:val="0"/>
          <w:sz w:val="24"/>
          <w:szCs w:val="24"/>
          <w:highlight w:val="none"/>
          <w:lang w:bidi="en-US"/>
        </w:rPr>
        <w:t xml:space="preserve"> </w:t>
      </w:r>
      <w:r>
        <w:rPr>
          <w:rFonts w:hint="eastAsia" w:ascii="仿宋_GB2312" w:hAnsi="仿宋_GB2312" w:eastAsia="仿宋_GB2312" w:cs="仿宋_GB2312"/>
          <w:b/>
          <w:color w:val="auto"/>
          <w:kern w:val="0"/>
          <w:sz w:val="24"/>
          <w:szCs w:val="24"/>
          <w:highlight w:val="none"/>
          <w:lang w:bidi="en-US"/>
        </w:rPr>
        <w:t>违约责任</w:t>
      </w:r>
    </w:p>
    <w:p>
      <w:pPr>
        <w:widowControl/>
        <w:snapToGrid w:val="0"/>
        <w:spacing w:line="360" w:lineRule="auto"/>
        <w:ind w:firstLine="480" w:firstLineChars="200"/>
        <w:jc w:val="left"/>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1</w:t>
      </w:r>
      <w:r>
        <w:rPr>
          <w:rFonts w:hint="eastAsia" w:ascii="仿宋_GB2312" w:hAnsi="仿宋_GB2312" w:eastAsia="仿宋_GB2312" w:cs="仿宋_GB2312"/>
          <w:color w:val="auto"/>
          <w:kern w:val="0"/>
          <w:sz w:val="24"/>
          <w:szCs w:val="24"/>
          <w:highlight w:val="none"/>
          <w:lang w:bidi="en-US"/>
        </w:rPr>
        <w:t>、因乙方未履行本协议第二条规定的保密义务，但尚未给甲方造成损失或严重后果的，每发生一次，甲方有权要求乙方支付</w:t>
      </w:r>
      <w:r>
        <w:rPr>
          <w:rFonts w:hint="eastAsia" w:ascii="仿宋_GB2312" w:hAnsi="仿宋_GB2312" w:eastAsia="仿宋_GB2312" w:cs="仿宋_GB2312"/>
          <w:b/>
          <w:color w:val="auto"/>
          <w:kern w:val="0"/>
          <w:sz w:val="24"/>
          <w:szCs w:val="24"/>
          <w:highlight w:val="none"/>
          <w:lang w:bidi="en-US"/>
        </w:rPr>
        <w:t>人民币</w:t>
      </w:r>
      <w:r>
        <w:rPr>
          <w:rFonts w:ascii="仿宋_GB2312" w:hAnsi="仿宋_GB2312" w:eastAsia="仿宋_GB2312" w:cs="仿宋_GB2312"/>
          <w:b/>
          <w:color w:val="auto"/>
          <w:kern w:val="0"/>
          <w:sz w:val="24"/>
          <w:szCs w:val="24"/>
          <w:highlight w:val="none"/>
          <w:u w:val="single"/>
          <w:lang w:bidi="en-US"/>
        </w:rPr>
        <w:t>1000</w:t>
      </w:r>
      <w:r>
        <w:rPr>
          <w:rFonts w:hint="eastAsia" w:ascii="仿宋_GB2312" w:hAnsi="仿宋_GB2312" w:eastAsia="仿宋_GB2312" w:cs="仿宋_GB2312"/>
          <w:b/>
          <w:color w:val="auto"/>
          <w:kern w:val="0"/>
          <w:sz w:val="24"/>
          <w:szCs w:val="24"/>
          <w:highlight w:val="none"/>
          <w:lang w:bidi="en-US"/>
        </w:rPr>
        <w:t>元</w:t>
      </w:r>
      <w:r>
        <w:rPr>
          <w:rFonts w:hint="eastAsia" w:ascii="仿宋_GB2312" w:hAnsi="仿宋_GB2312" w:eastAsia="仿宋_GB2312" w:cs="仿宋_GB2312"/>
          <w:color w:val="auto"/>
          <w:kern w:val="0"/>
          <w:sz w:val="24"/>
          <w:szCs w:val="24"/>
          <w:highlight w:val="none"/>
          <w:lang w:bidi="en-US"/>
        </w:rPr>
        <w:t>的违约金。</w:t>
      </w:r>
    </w:p>
    <w:p>
      <w:pPr>
        <w:widowControl/>
        <w:snapToGrid w:val="0"/>
        <w:spacing w:line="360" w:lineRule="auto"/>
        <w:ind w:firstLine="480" w:firstLineChars="200"/>
        <w:jc w:val="left"/>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2</w:t>
      </w:r>
      <w:r>
        <w:rPr>
          <w:rFonts w:hint="eastAsia" w:ascii="仿宋_GB2312" w:hAnsi="仿宋_GB2312" w:eastAsia="仿宋_GB2312" w:cs="仿宋_GB2312"/>
          <w:color w:val="auto"/>
          <w:kern w:val="0"/>
          <w:sz w:val="24"/>
          <w:szCs w:val="24"/>
          <w:highlight w:val="none"/>
          <w:lang w:bidi="en-US"/>
        </w:rPr>
        <w:t>、因乙方未履行本协议第二条规定的保密义务，给甲方造成损失或严重后果的，每发生一次，乙方应承担以下赔偿责任：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ascii="仿宋_GB2312" w:hAnsi="仿宋_GB2312" w:eastAsia="仿宋_GB2312" w:cs="仿宋_GB2312"/>
          <w:color w:val="auto"/>
          <w:kern w:val="0"/>
          <w:sz w:val="24"/>
          <w:szCs w:val="24"/>
          <w:highlight w:val="none"/>
          <w:lang w:bidi="en-US"/>
        </w:rPr>
      </w:pPr>
      <w:r>
        <w:rPr>
          <w:rFonts w:hint="eastAsia" w:ascii="仿宋_GB2312" w:hAnsi="仿宋_GB2312" w:eastAsia="仿宋_GB2312" w:cs="仿宋_GB2312"/>
          <w:color w:val="auto"/>
          <w:kern w:val="0"/>
          <w:sz w:val="24"/>
          <w:szCs w:val="24"/>
          <w:highlight w:val="none"/>
          <w:lang w:bidi="en-US"/>
        </w:rPr>
        <w:t>（</w:t>
      </w:r>
      <w:r>
        <w:rPr>
          <w:rFonts w:ascii="仿宋_GB2312" w:hAnsi="仿宋_GB2312" w:eastAsia="仿宋_GB2312" w:cs="仿宋_GB2312"/>
          <w:color w:val="auto"/>
          <w:kern w:val="0"/>
          <w:sz w:val="24"/>
          <w:szCs w:val="24"/>
          <w:highlight w:val="none"/>
          <w:lang w:bidi="en-US"/>
        </w:rPr>
        <w:t>1</w:t>
      </w:r>
      <w:r>
        <w:rPr>
          <w:rFonts w:hint="eastAsia" w:ascii="仿宋_GB2312" w:hAnsi="仿宋_GB2312" w:eastAsia="仿宋_GB2312" w:cs="仿宋_GB2312"/>
          <w:color w:val="auto"/>
          <w:kern w:val="0"/>
          <w:sz w:val="24"/>
          <w:szCs w:val="24"/>
          <w:highlight w:val="none"/>
          <w:lang w:bidi="en-US"/>
        </w:rPr>
        <w:t>）甲方调查乙方的违反协议行为而发生的所有费用；</w:t>
      </w:r>
    </w:p>
    <w:p>
      <w:pPr>
        <w:widowControl/>
        <w:snapToGrid w:val="0"/>
        <w:spacing w:line="360" w:lineRule="auto"/>
        <w:ind w:firstLine="480" w:firstLineChars="200"/>
        <w:jc w:val="left"/>
        <w:rPr>
          <w:rFonts w:ascii="仿宋_GB2312" w:hAnsi="仿宋_GB2312" w:eastAsia="仿宋_GB2312" w:cs="仿宋_GB2312"/>
          <w:color w:val="auto"/>
          <w:kern w:val="0"/>
          <w:sz w:val="24"/>
          <w:szCs w:val="24"/>
          <w:highlight w:val="none"/>
          <w:lang w:bidi="en-US"/>
        </w:rPr>
      </w:pPr>
      <w:r>
        <w:rPr>
          <w:rFonts w:hint="eastAsia" w:ascii="仿宋_GB2312" w:hAnsi="仿宋_GB2312" w:eastAsia="仿宋_GB2312" w:cs="仿宋_GB2312"/>
          <w:color w:val="auto"/>
          <w:kern w:val="0"/>
          <w:sz w:val="24"/>
          <w:szCs w:val="24"/>
          <w:highlight w:val="none"/>
          <w:lang w:bidi="en-US"/>
        </w:rPr>
        <w:t>（</w:t>
      </w:r>
      <w:r>
        <w:rPr>
          <w:rFonts w:ascii="仿宋_GB2312" w:hAnsi="仿宋_GB2312" w:eastAsia="仿宋_GB2312" w:cs="仿宋_GB2312"/>
          <w:color w:val="auto"/>
          <w:kern w:val="0"/>
          <w:sz w:val="24"/>
          <w:szCs w:val="24"/>
          <w:highlight w:val="none"/>
          <w:lang w:bidi="en-US"/>
        </w:rPr>
        <w:t>2</w:t>
      </w:r>
      <w:r>
        <w:rPr>
          <w:rFonts w:hint="eastAsia" w:ascii="仿宋_GB2312" w:hAnsi="仿宋_GB2312" w:eastAsia="仿宋_GB2312" w:cs="仿宋_GB2312"/>
          <w:color w:val="auto"/>
          <w:kern w:val="0"/>
          <w:sz w:val="24"/>
          <w:szCs w:val="24"/>
          <w:highlight w:val="none"/>
          <w:lang w:bidi="en-US"/>
        </w:rPr>
        <w:t>）因乙方的违反协议行为给甲方造成的经济损失，损失赔偿金额为</w:t>
      </w:r>
      <w:r>
        <w:rPr>
          <w:rFonts w:hint="eastAsia" w:ascii="仿宋_GB2312" w:hAnsi="仿宋_GB2312" w:eastAsia="仿宋_GB2312" w:cs="仿宋_GB2312"/>
          <w:b/>
          <w:color w:val="auto"/>
          <w:kern w:val="0"/>
          <w:sz w:val="24"/>
          <w:szCs w:val="24"/>
          <w:highlight w:val="none"/>
          <w:lang w:bidi="en-US"/>
        </w:rPr>
        <w:t>主合同签约合同价的</w:t>
      </w:r>
      <w:r>
        <w:rPr>
          <w:rFonts w:ascii="仿宋_GB2312" w:hAnsi="仿宋_GB2312" w:eastAsia="仿宋_GB2312" w:cs="仿宋_GB2312"/>
          <w:b/>
          <w:color w:val="auto"/>
          <w:kern w:val="0"/>
          <w:sz w:val="24"/>
          <w:szCs w:val="24"/>
          <w:highlight w:val="none"/>
          <w:u w:val="single"/>
          <w:lang w:bidi="en-US"/>
        </w:rPr>
        <w:t>1</w:t>
      </w:r>
      <w:r>
        <w:rPr>
          <w:rFonts w:hint="eastAsia" w:ascii="仿宋_GB2312" w:hAnsi="仿宋_GB2312" w:eastAsia="仿宋_GB2312" w:cs="仿宋_GB2312"/>
          <w:b/>
          <w:color w:val="auto"/>
          <w:kern w:val="0"/>
          <w:sz w:val="24"/>
          <w:szCs w:val="24"/>
          <w:highlight w:val="none"/>
          <w:lang w:bidi="en-US"/>
        </w:rPr>
        <w:t>％</w:t>
      </w:r>
      <w:r>
        <w:rPr>
          <w:rFonts w:hint="eastAsia" w:ascii="仿宋_GB2312" w:hAnsi="仿宋_GB2312" w:eastAsia="仿宋_GB2312" w:cs="仿宋_GB2312"/>
          <w:color w:val="auto"/>
          <w:kern w:val="0"/>
          <w:sz w:val="24"/>
          <w:szCs w:val="24"/>
          <w:highlight w:val="none"/>
          <w:lang w:bidi="en-US"/>
        </w:rPr>
        <w:t>（有证据证明甲方实际损失超过这一金额的，以甲方实际损失为准）。</w:t>
      </w:r>
    </w:p>
    <w:p>
      <w:pPr>
        <w:widowControl/>
        <w:snapToGrid w:val="0"/>
        <w:spacing w:line="360" w:lineRule="auto"/>
        <w:ind w:firstLine="482" w:firstLineChars="200"/>
        <w:jc w:val="left"/>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第五条</w:t>
      </w:r>
      <w:r>
        <w:rPr>
          <w:rFonts w:ascii="仿宋_GB2312" w:hAnsi="仿宋_GB2312" w:eastAsia="仿宋_GB2312" w:cs="仿宋_GB2312"/>
          <w:b/>
          <w:color w:val="auto"/>
          <w:kern w:val="0"/>
          <w:sz w:val="24"/>
          <w:szCs w:val="24"/>
          <w:highlight w:val="none"/>
          <w:lang w:bidi="en-US"/>
        </w:rPr>
        <w:t xml:space="preserve"> </w:t>
      </w:r>
      <w:r>
        <w:rPr>
          <w:rFonts w:hint="eastAsia" w:ascii="仿宋_GB2312" w:hAnsi="仿宋_GB2312" w:eastAsia="仿宋_GB2312" w:cs="仿宋_GB2312"/>
          <w:b/>
          <w:color w:val="auto"/>
          <w:kern w:val="0"/>
          <w:sz w:val="24"/>
          <w:szCs w:val="24"/>
          <w:highlight w:val="none"/>
          <w:lang w:bidi="en-US"/>
        </w:rPr>
        <w:t>争议的解决</w:t>
      </w:r>
    </w:p>
    <w:p>
      <w:pPr>
        <w:widowControl/>
        <w:snapToGrid w:val="0"/>
        <w:spacing w:line="360" w:lineRule="auto"/>
        <w:ind w:firstLine="480" w:firstLineChars="200"/>
        <w:jc w:val="left"/>
        <w:rPr>
          <w:rFonts w:ascii="仿宋_GB2312" w:hAnsi="仿宋_GB2312" w:eastAsia="仿宋_GB2312" w:cs="仿宋_GB2312"/>
          <w:color w:val="auto"/>
          <w:kern w:val="0"/>
          <w:sz w:val="24"/>
          <w:szCs w:val="24"/>
          <w:highlight w:val="none"/>
          <w:lang w:bidi="en-US"/>
        </w:rPr>
      </w:pPr>
      <w:r>
        <w:rPr>
          <w:rFonts w:hint="eastAsia" w:ascii="仿宋_GB2312" w:hAnsi="仿宋_GB2312" w:eastAsia="仿宋_GB2312" w:cs="仿宋_GB2312"/>
          <w:color w:val="auto"/>
          <w:kern w:val="0"/>
          <w:sz w:val="24"/>
          <w:szCs w:val="24"/>
          <w:highlight w:val="none"/>
          <w:lang w:bidi="en-US"/>
        </w:rPr>
        <w:t>因执行本协议而发生的纠纷，可由双方协商解决；协商不成的，任何一方有权向</w:t>
      </w:r>
      <w:r>
        <w:rPr>
          <w:rFonts w:hint="eastAsia" w:ascii="仿宋_GB2312" w:hAnsi="仿宋_GB2312" w:eastAsia="仿宋_GB2312" w:cs="仿宋_GB2312"/>
          <w:color w:val="auto"/>
          <w:kern w:val="0"/>
          <w:sz w:val="24"/>
          <w:szCs w:val="24"/>
          <w:highlight w:val="none"/>
          <w:u w:val="single"/>
          <w:lang w:bidi="en-US"/>
        </w:rPr>
        <w:t>甲方所在地人民法院</w:t>
      </w:r>
      <w:r>
        <w:rPr>
          <w:rFonts w:hint="eastAsia" w:ascii="仿宋_GB2312" w:hAnsi="仿宋_GB2312" w:eastAsia="仿宋_GB2312" w:cs="仿宋_GB2312"/>
          <w:color w:val="auto"/>
          <w:kern w:val="0"/>
          <w:sz w:val="24"/>
          <w:szCs w:val="24"/>
          <w:highlight w:val="none"/>
          <w:lang w:bidi="en-US"/>
        </w:rPr>
        <w:t>提起诉讼。</w:t>
      </w:r>
    </w:p>
    <w:p>
      <w:pPr>
        <w:widowControl/>
        <w:snapToGrid w:val="0"/>
        <w:spacing w:line="360" w:lineRule="auto"/>
        <w:ind w:firstLine="482" w:firstLineChars="200"/>
        <w:jc w:val="left"/>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第六条</w:t>
      </w:r>
      <w:r>
        <w:rPr>
          <w:rFonts w:ascii="仿宋_GB2312" w:hAnsi="仿宋_GB2312" w:eastAsia="仿宋_GB2312" w:cs="仿宋_GB2312"/>
          <w:b/>
          <w:color w:val="auto"/>
          <w:kern w:val="0"/>
          <w:sz w:val="24"/>
          <w:szCs w:val="24"/>
          <w:highlight w:val="none"/>
          <w:lang w:bidi="en-US"/>
        </w:rPr>
        <w:t xml:space="preserve"> </w:t>
      </w:r>
      <w:r>
        <w:rPr>
          <w:rFonts w:hint="eastAsia" w:ascii="仿宋_GB2312" w:hAnsi="仿宋_GB2312" w:eastAsia="仿宋_GB2312" w:cs="仿宋_GB2312"/>
          <w:b/>
          <w:color w:val="auto"/>
          <w:kern w:val="0"/>
          <w:sz w:val="24"/>
          <w:szCs w:val="24"/>
          <w:highlight w:val="none"/>
          <w:lang w:bidi="en-US"/>
        </w:rPr>
        <w:t>协议的效力和变更</w:t>
      </w:r>
    </w:p>
    <w:p>
      <w:pPr>
        <w:widowControl/>
        <w:snapToGrid w:val="0"/>
        <w:spacing w:line="360" w:lineRule="auto"/>
        <w:ind w:firstLine="480" w:firstLineChars="200"/>
        <w:jc w:val="left"/>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1</w:t>
      </w:r>
      <w:r>
        <w:rPr>
          <w:rFonts w:hint="eastAsia" w:ascii="仿宋_GB2312" w:hAnsi="仿宋_GB2312" w:eastAsia="仿宋_GB2312" w:cs="仿宋_GB2312"/>
          <w:color w:val="auto"/>
          <w:kern w:val="0"/>
          <w:sz w:val="24"/>
          <w:szCs w:val="24"/>
          <w:highlight w:val="none"/>
          <w:lang w:bidi="en-US"/>
        </w:rPr>
        <w:t>、本协议自双方法定代表人或其授权代表签字并加盖公章后生效。</w:t>
      </w:r>
    </w:p>
    <w:p>
      <w:pPr>
        <w:widowControl/>
        <w:snapToGrid w:val="0"/>
        <w:spacing w:line="360" w:lineRule="auto"/>
        <w:ind w:firstLine="480" w:firstLineChars="200"/>
        <w:jc w:val="left"/>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2</w:t>
      </w:r>
      <w:r>
        <w:rPr>
          <w:rFonts w:hint="eastAsia" w:ascii="仿宋_GB2312" w:hAnsi="仿宋_GB2312" w:eastAsia="仿宋_GB2312" w:cs="仿宋_GB2312"/>
          <w:color w:val="auto"/>
          <w:kern w:val="0"/>
          <w:sz w:val="24"/>
          <w:szCs w:val="24"/>
          <w:highlight w:val="none"/>
          <w:lang w:bidi="en-US"/>
        </w:rPr>
        <w:t>、任何对本协议所作的任何增补和修改，除非由双方合法指派的代表书面做出，否则视为无效或对双方均无约束力。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ascii="仿宋_GB2312" w:hAnsi="仿宋_GB2312" w:eastAsia="仿宋_GB2312" w:cs="仿宋_GB2312"/>
          <w:color w:val="auto"/>
          <w:kern w:val="0"/>
          <w:sz w:val="24"/>
          <w:szCs w:val="24"/>
          <w:highlight w:val="none"/>
          <w:lang w:bidi="en-US"/>
        </w:rPr>
      </w:pPr>
    </w:p>
    <w:p>
      <w:pPr>
        <w:widowControl/>
        <w:snapToGrid w:val="0"/>
        <w:spacing w:line="360" w:lineRule="auto"/>
        <w:jc w:val="left"/>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br w:type="page"/>
      </w:r>
      <w:r>
        <w:rPr>
          <w:rFonts w:hint="eastAsia" w:ascii="仿宋_GB2312" w:hAnsi="仿宋_GB2312" w:eastAsia="仿宋_GB2312" w:cs="仿宋_GB2312"/>
          <w:color w:val="auto"/>
          <w:kern w:val="0"/>
          <w:sz w:val="24"/>
          <w:szCs w:val="24"/>
          <w:highlight w:val="none"/>
          <w:lang w:bidi="en-US"/>
        </w:rPr>
        <w:t>（本页无正文）</w:t>
      </w:r>
    </w:p>
    <w:p>
      <w:pPr>
        <w:widowControl/>
        <w:snapToGrid w:val="0"/>
        <w:spacing w:line="360" w:lineRule="auto"/>
        <w:ind w:firstLine="480" w:firstLineChars="200"/>
        <w:jc w:val="left"/>
        <w:rPr>
          <w:rFonts w:ascii="仿宋_GB2312" w:hAnsi="仿宋_GB2312" w:eastAsia="仿宋_GB2312" w:cs="仿宋_GB2312"/>
          <w:color w:val="auto"/>
          <w:kern w:val="0"/>
          <w:sz w:val="24"/>
          <w:szCs w:val="24"/>
          <w:highlight w:val="none"/>
          <w:lang w:bidi="en-US"/>
        </w:rPr>
      </w:pPr>
    </w:p>
    <w:p>
      <w:pPr>
        <w:widowControl/>
        <w:snapToGrid w:val="0"/>
        <w:spacing w:line="360" w:lineRule="auto"/>
        <w:ind w:firstLine="480" w:firstLineChars="200"/>
        <w:jc w:val="left"/>
        <w:rPr>
          <w:rFonts w:ascii="仿宋_GB2312" w:hAnsi="仿宋_GB2312" w:eastAsia="仿宋_GB2312" w:cs="仿宋_GB2312"/>
          <w:color w:val="auto"/>
          <w:kern w:val="0"/>
          <w:sz w:val="24"/>
          <w:szCs w:val="24"/>
          <w:highlight w:val="none"/>
          <w:lang w:bidi="en-US"/>
        </w:rPr>
      </w:pPr>
    </w:p>
    <w:p>
      <w:pPr>
        <w:widowControl/>
        <w:snapToGrid w:val="0"/>
        <w:spacing w:line="360" w:lineRule="auto"/>
        <w:ind w:firstLine="480" w:firstLineChars="200"/>
        <w:jc w:val="left"/>
        <w:rPr>
          <w:rFonts w:ascii="仿宋_GB2312" w:hAnsi="仿宋_GB2312" w:eastAsia="仿宋_GB2312" w:cs="仿宋_GB2312"/>
          <w:color w:val="auto"/>
          <w:kern w:val="0"/>
          <w:sz w:val="24"/>
          <w:szCs w:val="24"/>
          <w:highlight w:val="none"/>
          <w:lang w:bidi="en-US"/>
        </w:rPr>
      </w:pPr>
    </w:p>
    <w:tbl>
      <w:tblPr>
        <w:tblStyle w:val="19"/>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vAlign w:val="top"/>
          </w:tcPr>
          <w:p>
            <w:pPr>
              <w:adjustRightInd w:val="0"/>
              <w:snapToGrid w:val="0"/>
              <w:spacing w:line="360" w:lineRule="auto"/>
              <w:textAlignment w:val="baseline"/>
              <w:rPr>
                <w:rFonts w:ascii="仿宋_GB2312" w:hAnsi="仿宋_GB2312" w:eastAsia="仿宋_GB2312" w:cs="仿宋_GB2312"/>
                <w:color w:val="auto"/>
                <w:kern w:val="0"/>
                <w:sz w:val="24"/>
                <w:szCs w:val="24"/>
                <w:highlight w:val="none"/>
              </w:rPr>
            </w:pPr>
            <w:bookmarkStart w:id="133" w:name="3"/>
            <w:bookmarkEnd w:id="133"/>
            <w:r>
              <w:rPr>
                <w:rFonts w:hint="eastAsia" w:ascii="仿宋_GB2312" w:hAnsi="仿宋_GB2312" w:eastAsia="仿宋_GB2312" w:cs="仿宋_GB2312"/>
                <w:color w:val="auto"/>
                <w:kern w:val="0"/>
                <w:sz w:val="24"/>
                <w:szCs w:val="24"/>
                <w:highlight w:val="none"/>
              </w:rPr>
              <w:t>甲方：</w:t>
            </w:r>
            <w:r>
              <w:rPr>
                <w:rFonts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rPr>
              <w:t>盖章</w:t>
            </w:r>
            <w:r>
              <w:rPr>
                <w:rFonts w:ascii="仿宋_GB2312" w:hAnsi="仿宋_GB2312" w:eastAsia="仿宋_GB2312" w:cs="仿宋_GB2312"/>
                <w:color w:val="auto"/>
                <w:kern w:val="0"/>
                <w:sz w:val="24"/>
                <w:szCs w:val="24"/>
                <w:highlight w:val="none"/>
              </w:rPr>
              <w:t>)</w:t>
            </w:r>
          </w:p>
        </w:tc>
        <w:tc>
          <w:tcPr>
            <w:tcW w:w="4252" w:type="dxa"/>
            <w:vAlign w:val="top"/>
          </w:tcPr>
          <w:p>
            <w:pPr>
              <w:adjustRightInd w:val="0"/>
              <w:snapToGrid w:val="0"/>
              <w:spacing w:line="360" w:lineRule="auto"/>
              <w:textAlignment w:val="baseline"/>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vAlign w:val="top"/>
          </w:tcPr>
          <w:p>
            <w:pPr>
              <w:adjustRightInd w:val="0"/>
              <w:snapToGrid w:val="0"/>
              <w:spacing w:line="360" w:lineRule="auto"/>
              <w:ind w:left="19" w:leftChars="9"/>
              <w:textAlignment w:val="baseline"/>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法定代表人或其授权代表：（签字）</w:t>
            </w:r>
          </w:p>
          <w:p>
            <w:pPr>
              <w:adjustRightInd w:val="0"/>
              <w:snapToGrid w:val="0"/>
              <w:spacing w:line="360" w:lineRule="auto"/>
              <w:ind w:left="19" w:leftChars="9"/>
              <w:textAlignment w:val="baseline"/>
              <w:rPr>
                <w:rFonts w:ascii="仿宋_GB2312" w:hAnsi="仿宋_GB2312" w:eastAsia="仿宋_GB2312" w:cs="仿宋_GB2312"/>
                <w:color w:val="auto"/>
                <w:kern w:val="0"/>
                <w:sz w:val="24"/>
                <w:szCs w:val="24"/>
                <w:highlight w:val="none"/>
              </w:rPr>
            </w:pPr>
          </w:p>
        </w:tc>
        <w:tc>
          <w:tcPr>
            <w:tcW w:w="4252" w:type="dxa"/>
            <w:vAlign w:val="top"/>
          </w:tcPr>
          <w:p>
            <w:pPr>
              <w:adjustRightInd w:val="0"/>
              <w:snapToGrid w:val="0"/>
              <w:spacing w:line="360" w:lineRule="auto"/>
              <w:ind w:left="34" w:leftChars="16"/>
              <w:textAlignment w:val="baseline"/>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vAlign w:val="top"/>
          </w:tcPr>
          <w:p>
            <w:pPr>
              <w:adjustRightInd w:val="0"/>
              <w:snapToGrid w:val="0"/>
              <w:spacing w:line="360" w:lineRule="auto"/>
              <w:ind w:left="19" w:leftChars="9"/>
              <w:textAlignment w:val="baseline"/>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时间：</w:t>
            </w:r>
          </w:p>
        </w:tc>
        <w:tc>
          <w:tcPr>
            <w:tcW w:w="4252" w:type="dxa"/>
            <w:vAlign w:val="top"/>
          </w:tcPr>
          <w:p>
            <w:pPr>
              <w:adjustRightInd w:val="0"/>
              <w:snapToGrid w:val="0"/>
              <w:spacing w:line="360" w:lineRule="auto"/>
              <w:ind w:left="34" w:leftChars="16"/>
              <w:textAlignment w:val="baseline"/>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时间：</w:t>
            </w:r>
          </w:p>
        </w:tc>
      </w:tr>
    </w:tbl>
    <w:p>
      <w:pPr>
        <w:widowControl/>
        <w:snapToGrid w:val="0"/>
        <w:spacing w:line="360" w:lineRule="auto"/>
        <w:jc w:val="left"/>
        <w:rPr>
          <w:rFonts w:ascii="仿宋_GB2312" w:hAnsi="仿宋_GB2312" w:eastAsia="仿宋_GB2312" w:cs="仿宋_GB2312"/>
          <w:color w:val="auto"/>
          <w:kern w:val="0"/>
          <w:sz w:val="24"/>
          <w:szCs w:val="24"/>
          <w:highlight w:val="none"/>
          <w:lang w:bidi="en-US"/>
        </w:rPr>
      </w:pPr>
    </w:p>
    <w:p>
      <w:pPr>
        <w:pStyle w:val="6"/>
        <w:snapToGrid w:val="0"/>
        <w:spacing w:line="360" w:lineRule="auto"/>
        <w:ind w:firstLine="0"/>
        <w:outlineLvl w:val="1"/>
        <w:rPr>
          <w:rFonts w:ascii="仿宋_GB2312" w:hAnsi="仿宋_GB2312" w:eastAsia="仿宋_GB2312" w:cs="仿宋_GB2312"/>
          <w:b/>
          <w:color w:val="auto"/>
          <w:sz w:val="24"/>
          <w:szCs w:val="24"/>
          <w:highlight w:val="none"/>
        </w:rPr>
      </w:pPr>
    </w:p>
    <w:p>
      <w:pPr>
        <w:pStyle w:val="6"/>
        <w:snapToGrid w:val="0"/>
        <w:spacing w:line="360" w:lineRule="auto"/>
        <w:outlineLvl w:val="1"/>
        <w:rPr>
          <w:rFonts w:hint="eastAsia" w:ascii="仿宋_GB2312" w:hAnsi="仿宋_GB2312" w:eastAsia="仿宋_GB2312" w:cs="仿宋_GB2312"/>
          <w:b/>
          <w:color w:val="auto"/>
          <w:sz w:val="24"/>
          <w:highlight w:val="none"/>
        </w:rPr>
      </w:pPr>
      <w:r>
        <w:rPr>
          <w:rFonts w:ascii="仿宋_GB2312" w:hAnsi="仿宋_GB2312" w:eastAsia="仿宋_GB2312" w:cs="仿宋_GB2312"/>
          <w:b/>
          <w:color w:val="auto"/>
          <w:sz w:val="24"/>
          <w:szCs w:val="24"/>
          <w:highlight w:val="none"/>
        </w:rPr>
        <w:br w:type="page"/>
      </w:r>
      <w:r>
        <w:rPr>
          <w:rFonts w:hint="eastAsia" w:ascii="仿宋_GB2312" w:hAnsi="仿宋_GB2312" w:eastAsia="仿宋_GB2312" w:cs="仿宋_GB2312"/>
          <w:b/>
          <w:color w:val="auto"/>
          <w:sz w:val="24"/>
          <w:highlight w:val="none"/>
        </w:rPr>
        <w:t>附件3 中标通知书</w:t>
      </w:r>
      <w:bookmarkEnd w:id="125"/>
      <w:r>
        <w:rPr>
          <w:rFonts w:hint="eastAsia" w:ascii="仿宋_GB2312" w:hAnsi="仿宋_GB2312" w:eastAsia="仿宋_GB2312" w:cs="仿宋_GB2312"/>
          <w:b/>
          <w:color w:val="auto"/>
          <w:sz w:val="24"/>
          <w:highlight w:val="none"/>
        </w:rPr>
        <w:t>/中选通知书/谈判记录表</w:t>
      </w:r>
    </w:p>
    <w:p>
      <w:pPr>
        <w:pStyle w:val="6"/>
        <w:snapToGrid w:val="0"/>
        <w:spacing w:line="360" w:lineRule="auto"/>
        <w:outlineLvl w:val="1"/>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br w:type="page"/>
      </w:r>
      <w:r>
        <w:rPr>
          <w:rFonts w:hint="eastAsia" w:ascii="仿宋_GB2312" w:hAnsi="仿宋_GB2312" w:eastAsia="仿宋_GB2312" w:cs="仿宋_GB2312"/>
          <w:b/>
          <w:color w:val="auto"/>
          <w:sz w:val="24"/>
          <w:highlight w:val="none"/>
        </w:rPr>
        <w:t>附件4 签约合同价清单</w:t>
      </w:r>
      <w:bookmarkEnd w:id="126"/>
    </w:p>
    <w:p>
      <w:pPr>
        <w:pStyle w:val="6"/>
        <w:snapToGrid w:val="0"/>
        <w:spacing w:line="360" w:lineRule="auto"/>
        <w:outlineLvl w:val="1"/>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br w:type="page"/>
      </w:r>
      <w:r>
        <w:rPr>
          <w:rFonts w:hint="eastAsia" w:ascii="仿宋_GB2312" w:hAnsi="仿宋_GB2312" w:eastAsia="仿宋_GB2312" w:cs="仿宋_GB2312"/>
          <w:b/>
          <w:color w:val="auto"/>
          <w:sz w:val="24"/>
          <w:highlight w:val="none"/>
        </w:rPr>
        <w:t>附件5 澄清与答疑文件</w:t>
      </w:r>
    </w:p>
    <w:p>
      <w:pPr>
        <w:pStyle w:val="6"/>
        <w:snapToGrid w:val="0"/>
        <w:spacing w:line="360" w:lineRule="auto"/>
        <w:outlineLvl w:val="1"/>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br w:type="page"/>
      </w:r>
    </w:p>
    <w:p>
      <w:pPr>
        <w:pStyle w:val="6"/>
        <w:snapToGrid w:val="0"/>
        <w:spacing w:line="360" w:lineRule="auto"/>
        <w:outlineLvl w:val="1"/>
        <w:rPr>
          <w:rFonts w:hint="eastAsia" w:ascii="仿宋_GB2312" w:hAnsi="仿宋_GB2312" w:eastAsia="仿宋_GB2312" w:cs="仿宋_GB2312"/>
          <w:b/>
          <w:color w:val="auto"/>
          <w:sz w:val="24"/>
          <w:highlight w:val="none"/>
        </w:rPr>
      </w:pPr>
      <w:bookmarkStart w:id="134" w:name="_Toc501718837"/>
      <w:r>
        <w:rPr>
          <w:rFonts w:hint="eastAsia" w:ascii="仿宋_GB2312" w:hAnsi="仿宋_GB2312" w:eastAsia="仿宋_GB2312" w:cs="仿宋_GB2312"/>
          <w:b/>
          <w:color w:val="auto"/>
          <w:sz w:val="24"/>
          <w:highlight w:val="none"/>
        </w:rPr>
        <w:t>附件</w:t>
      </w:r>
      <w:r>
        <w:rPr>
          <w:rFonts w:hint="eastAsia" w:ascii="仿宋_GB2312" w:hAnsi="仿宋_GB2312" w:eastAsia="仿宋_GB2312" w:cs="仿宋_GB2312"/>
          <w:b/>
          <w:color w:val="auto"/>
          <w:sz w:val="24"/>
          <w:highlight w:val="none"/>
          <w:lang w:val="en-US" w:eastAsia="zh-CN"/>
        </w:rPr>
        <w:t>6</w:t>
      </w:r>
      <w:r>
        <w:rPr>
          <w:rFonts w:hint="eastAsia" w:ascii="仿宋_GB2312" w:hAnsi="仿宋_GB2312" w:eastAsia="仿宋_GB2312" w:cs="仿宋_GB2312"/>
          <w:b/>
          <w:color w:val="auto"/>
          <w:sz w:val="24"/>
          <w:highlight w:val="none"/>
        </w:rPr>
        <w:t xml:space="preserve"> 用户需求书/技术规格书</w:t>
      </w:r>
      <w:bookmarkEnd w:id="134"/>
    </w:p>
    <w:p>
      <w:pPr>
        <w:widowControl/>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highlight w:val="none"/>
        </w:rPr>
        <w:br w:type="page"/>
      </w:r>
    </w:p>
    <w:p>
      <w:pPr>
        <w:tabs>
          <w:tab w:val="left" w:pos="2580"/>
          <w:tab w:val="center" w:pos="5121"/>
        </w:tabs>
        <w:snapToGrid w:val="0"/>
        <w:spacing w:line="360" w:lineRule="auto"/>
        <w:jc w:val="center"/>
        <w:outlineLvl w:val="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第四部分 合同附录</w:t>
      </w:r>
    </w:p>
    <w:p>
      <w:pPr>
        <w:snapToGrid w:val="0"/>
        <w:spacing w:line="360" w:lineRule="auto"/>
        <w:outlineLvl w:val="1"/>
        <w:rPr>
          <w:rFonts w:hint="eastAsia" w:ascii="仿宋_GB2312" w:hAnsi="仿宋_GB2312" w:eastAsia="仿宋_GB2312" w:cs="仿宋_GB2312"/>
          <w:b/>
          <w:color w:val="auto"/>
          <w:sz w:val="24"/>
          <w:szCs w:val="24"/>
          <w:highlight w:val="none"/>
        </w:rPr>
      </w:pPr>
      <w:bookmarkStart w:id="135" w:name="_Toc499044866"/>
      <w:bookmarkStart w:id="136" w:name="_Toc492458580"/>
      <w:bookmarkStart w:id="137" w:name="_Toc494117898"/>
      <w:r>
        <w:rPr>
          <w:rFonts w:hint="eastAsia" w:ascii="仿宋_GB2312" w:hAnsi="仿宋_GB2312" w:eastAsia="仿宋_GB2312" w:cs="仿宋_GB2312"/>
          <w:b/>
          <w:color w:val="auto"/>
          <w:sz w:val="24"/>
          <w:szCs w:val="24"/>
          <w:highlight w:val="none"/>
        </w:rPr>
        <w:t xml:space="preserve">附录1 </w:t>
      </w:r>
      <w:bookmarkEnd w:id="135"/>
      <w:bookmarkEnd w:id="136"/>
      <w:bookmarkEnd w:id="137"/>
      <w:bookmarkStart w:id="138" w:name="_Toc492458581"/>
      <w:bookmarkStart w:id="139" w:name="_Toc494117899"/>
      <w:bookmarkStart w:id="140" w:name="_Toc499044867"/>
      <w:r>
        <w:rPr>
          <w:rFonts w:hint="eastAsia" w:ascii="仿宋_GB2312" w:hAnsi="仿宋_GB2312" w:eastAsia="仿宋_GB2312" w:cs="仿宋_GB2312"/>
          <w:b/>
          <w:color w:val="auto"/>
          <w:sz w:val="24"/>
          <w:szCs w:val="24"/>
          <w:highlight w:val="none"/>
        </w:rPr>
        <w:t>履约保函（格式）</w:t>
      </w:r>
      <w:bookmarkEnd w:id="138"/>
      <w:bookmarkEnd w:id="139"/>
      <w:bookmarkEnd w:id="140"/>
    </w:p>
    <w:p>
      <w:pPr>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 xml:space="preserve">                             保函编号：</w:t>
      </w:r>
    </w:p>
    <w:p>
      <w:pPr>
        <w:jc w:val="center"/>
        <w:rPr>
          <w:rFonts w:hint="eastAsia" w:ascii="仿宋_GB2312" w:hAnsi="仿宋_GB2312" w:eastAsia="仿宋_GB2312" w:cs="仿宋_GB2312"/>
          <w:b/>
          <w:color w:val="auto"/>
          <w:sz w:val="24"/>
          <w:szCs w:val="24"/>
          <w:highlight w:val="none"/>
        </w:rPr>
      </w:pPr>
    </w:p>
    <w:p>
      <w:pPr>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银行履约保函</w:t>
      </w:r>
    </w:p>
    <w:p>
      <w:pPr>
        <w:jc w:val="center"/>
        <w:rPr>
          <w:rFonts w:hint="eastAsia" w:ascii="仿宋_GB2312" w:hAnsi="仿宋_GB2312" w:eastAsia="仿宋_GB2312" w:cs="仿宋_GB2312"/>
          <w:b/>
          <w:color w:val="auto"/>
          <w:sz w:val="24"/>
          <w:szCs w:val="24"/>
          <w:highlight w:val="none"/>
        </w:rPr>
      </w:pPr>
    </w:p>
    <w:p>
      <w:pPr>
        <w:adjustRightInd w:val="0"/>
        <w:snapToGrid w:val="0"/>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甲方（全称）：</w:t>
      </w:r>
      <w:r>
        <w:rPr>
          <w:rFonts w:hint="eastAsia" w:ascii="仿宋_GB2312" w:hAnsi="仿宋_GB2312" w:eastAsia="仿宋_GB2312" w:cs="仿宋_GB2312"/>
          <w:color w:val="auto"/>
          <w:sz w:val="24"/>
          <w:szCs w:val="24"/>
          <w:highlight w:val="none"/>
          <w:u w:val="single"/>
        </w:rPr>
        <w:t xml:space="preserve">                  </w:t>
      </w:r>
    </w:p>
    <w:p>
      <w:pPr>
        <w:adjustRightInd w:val="0"/>
        <w:snapToGrid w:val="0"/>
        <w:spacing w:line="360" w:lineRule="auto"/>
        <w:ind w:left="15" w:leftChars="7"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鉴于甲方</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（以下简称“你方”）与</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（乙方全称，以下简称“乙方”）于</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日协商一致共同签订合同编号为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1、担保金额为人民币（大写）</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元（小写：¥</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w:t>
      </w:r>
    </w:p>
    <w:p>
      <w:pPr>
        <w:adjustRightInd w:val="0"/>
        <w:snapToGrid w:val="0"/>
        <w:spacing w:line="360" w:lineRule="auto"/>
        <w:ind w:left="15" w:leftChars="7" w:firstLine="480"/>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2、担保期限为自本保函生效之日起至</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之日止。</w:t>
      </w:r>
    </w:p>
    <w:p>
      <w:pPr>
        <w:adjustRightInd w:val="0"/>
        <w:snapToGrid w:val="0"/>
        <w:spacing w:line="360" w:lineRule="auto"/>
        <w:ind w:left="15" w:leftChars="7" w:firstLine="480"/>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4、你方和乙方按合同约定变更合同时，我方承担本担保规定的义务不变。</w:t>
      </w:r>
    </w:p>
    <w:p>
      <w:pPr>
        <w:adjustRightInd w:val="0"/>
        <w:snapToGrid w:val="0"/>
        <w:spacing w:line="360" w:lineRule="auto"/>
        <w:ind w:left="15" w:leftChars="7"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本保函自我方加盖公章之日起生效。</w:t>
      </w:r>
    </w:p>
    <w:p>
      <w:pPr>
        <w:adjustRightInd w:val="0"/>
        <w:snapToGrid w:val="0"/>
        <w:spacing w:line="360" w:lineRule="auto"/>
        <w:ind w:left="15" w:leftChars="7" w:firstLine="403" w:firstLineChars="168"/>
        <w:rPr>
          <w:rFonts w:hint="eastAsia" w:ascii="仿宋_GB2312" w:hAnsi="仿宋_GB2312" w:eastAsia="仿宋_GB2312" w:cs="仿宋_GB2312"/>
          <w:color w:val="auto"/>
          <w:sz w:val="24"/>
          <w:szCs w:val="20"/>
          <w:highlight w:val="none"/>
        </w:rPr>
      </w:pPr>
    </w:p>
    <w:p>
      <w:pPr>
        <w:adjustRightInd w:val="0"/>
        <w:snapToGrid w:val="0"/>
        <w:spacing w:line="360" w:lineRule="auto"/>
        <w:ind w:left="15" w:leftChars="7" w:firstLine="403" w:firstLineChars="168"/>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担保人（盖公章）：</w:t>
      </w:r>
    </w:p>
    <w:p>
      <w:pPr>
        <w:adjustRightInd w:val="0"/>
        <w:snapToGrid w:val="0"/>
        <w:spacing w:line="360" w:lineRule="auto"/>
        <w:ind w:firstLine="480" w:firstLineChars="200"/>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签字：</w:t>
      </w:r>
    </w:p>
    <w:p>
      <w:pPr>
        <w:adjustRightInd w:val="0"/>
        <w:snapToGrid w:val="0"/>
        <w:spacing w:line="360" w:lineRule="auto"/>
        <w:ind w:left="15" w:leftChars="7" w:firstLine="403" w:firstLineChars="168"/>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地址：</w:t>
      </w:r>
    </w:p>
    <w:p>
      <w:pPr>
        <w:adjustRightInd w:val="0"/>
        <w:snapToGrid w:val="0"/>
        <w:spacing w:line="360" w:lineRule="auto"/>
        <w:ind w:left="15" w:leftChars="7" w:firstLine="403" w:firstLineChars="168"/>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邮政编码：</w:t>
      </w:r>
    </w:p>
    <w:p>
      <w:pPr>
        <w:adjustRightInd w:val="0"/>
        <w:snapToGrid w:val="0"/>
        <w:spacing w:line="360" w:lineRule="auto"/>
        <w:ind w:left="15" w:leftChars="7" w:firstLine="403" w:firstLineChars="168"/>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电话：</w:t>
      </w:r>
    </w:p>
    <w:p>
      <w:pPr>
        <w:adjustRightInd w:val="0"/>
        <w:snapToGrid w:val="0"/>
        <w:spacing w:line="360" w:lineRule="auto"/>
        <w:ind w:left="15" w:leftChars="7" w:firstLine="403" w:firstLineChars="168"/>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传真：</w:t>
      </w:r>
    </w:p>
    <w:p>
      <w:pPr>
        <w:adjustRightInd w:val="0"/>
        <w:snapToGrid w:val="0"/>
        <w:spacing w:line="360" w:lineRule="auto"/>
        <w:ind w:left="15" w:leftChars="7" w:firstLine="403" w:firstLineChars="168"/>
        <w:rPr>
          <w:rFonts w:hint="eastAsia" w:ascii="仿宋_GB2312" w:hAnsi="仿宋_GB2312" w:eastAsia="仿宋_GB2312" w:cs="仿宋_GB2312"/>
          <w:color w:val="auto"/>
          <w:szCs w:val="20"/>
          <w:highlight w:val="none"/>
        </w:rPr>
      </w:pPr>
      <w:r>
        <w:rPr>
          <w:rFonts w:hint="eastAsia" w:ascii="仿宋_GB2312" w:hAnsi="仿宋_GB2312" w:eastAsia="仿宋_GB2312" w:cs="仿宋_GB2312"/>
          <w:color w:val="auto"/>
          <w:sz w:val="24"/>
          <w:szCs w:val="20"/>
          <w:highlight w:val="none"/>
        </w:rPr>
        <w:t>时间：</w:t>
      </w:r>
    </w:p>
    <w:p>
      <w:pPr>
        <w:pStyle w:val="2"/>
        <w:rPr>
          <w:rFonts w:hint="eastAsia" w:ascii="仿宋_GB2312" w:hAnsi="仿宋_GB2312" w:eastAsia="仿宋_GB2312" w:cs="仿宋_GB2312"/>
          <w:color w:val="auto"/>
          <w:highlight w:val="none"/>
        </w:rPr>
        <w:sectPr>
          <w:headerReference r:id="rId16" w:type="default"/>
          <w:footerReference r:id="rId17" w:type="default"/>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jc w:val="left"/>
        <w:rPr>
          <w:rFonts w:ascii="仿宋_GB2312" w:hAnsi="仿宋_GB2312" w:eastAsia="仿宋_GB2312" w:cs="仿宋_GB2312"/>
          <w:b/>
          <w:color w:val="auto"/>
          <w:sz w:val="24"/>
          <w:highlight w:val="none"/>
        </w:rPr>
      </w:pPr>
    </w:p>
    <w:p>
      <w:pPr>
        <w:adjustRightInd w:val="0"/>
        <w:snapToGrid w:val="0"/>
        <w:spacing w:line="360" w:lineRule="auto"/>
        <w:jc w:val="left"/>
        <w:rPr>
          <w:rFonts w:ascii="仿宋_GB2312" w:hAnsi="仿宋_GB2312" w:eastAsia="仿宋_GB2312" w:cs="仿宋_GB2312"/>
          <w:b/>
          <w:color w:val="auto"/>
          <w:sz w:val="24"/>
          <w:highlight w:val="none"/>
        </w:rPr>
      </w:pPr>
    </w:p>
    <w:p>
      <w:pPr>
        <w:adjustRightInd w:val="0"/>
        <w:snapToGrid w:val="0"/>
        <w:spacing w:line="360" w:lineRule="auto"/>
        <w:jc w:val="left"/>
        <w:rPr>
          <w:rFonts w:ascii="仿宋_GB2312" w:hAnsi="仿宋_GB2312" w:eastAsia="仿宋_GB2312" w:cs="仿宋_GB2312"/>
          <w:b/>
          <w:color w:val="auto"/>
          <w:sz w:val="24"/>
          <w:highlight w:val="none"/>
        </w:rPr>
      </w:pPr>
    </w:p>
    <w:p>
      <w:pPr>
        <w:adjustRightInd w:val="0"/>
        <w:snapToGrid w:val="0"/>
        <w:spacing w:line="360" w:lineRule="auto"/>
        <w:jc w:val="left"/>
        <w:rPr>
          <w:rFonts w:ascii="仿宋_GB2312" w:hAnsi="仿宋_GB2312" w:eastAsia="仿宋_GB2312" w:cs="仿宋_GB2312"/>
          <w:b/>
          <w:color w:val="auto"/>
          <w:sz w:val="24"/>
          <w:highlight w:val="none"/>
        </w:rPr>
      </w:pPr>
    </w:p>
    <w:p>
      <w:pPr>
        <w:adjustRightInd w:val="0"/>
        <w:snapToGrid w:val="0"/>
        <w:spacing w:line="360" w:lineRule="auto"/>
        <w:jc w:val="left"/>
        <w:rPr>
          <w:rFonts w:ascii="仿宋_GB2312" w:hAnsi="仿宋_GB2312" w:eastAsia="仿宋_GB2312" w:cs="仿宋_GB2312"/>
          <w:b/>
          <w:color w:val="auto"/>
          <w:sz w:val="24"/>
          <w:highlight w:val="none"/>
        </w:rPr>
      </w:pPr>
    </w:p>
    <w:p>
      <w:pPr>
        <w:adjustRightInd w:val="0"/>
        <w:snapToGrid w:val="0"/>
        <w:spacing w:line="360" w:lineRule="auto"/>
        <w:jc w:val="left"/>
        <w:rPr>
          <w:rFonts w:ascii="仿宋_GB2312" w:hAnsi="仿宋_GB2312" w:eastAsia="仿宋_GB2312" w:cs="仿宋_GB2312"/>
          <w:b/>
          <w:color w:val="auto"/>
          <w:sz w:val="24"/>
          <w:highlight w:val="none"/>
        </w:rPr>
      </w:pPr>
    </w:p>
    <w:p>
      <w:pPr>
        <w:pStyle w:val="6"/>
        <w:snapToGrid w:val="0"/>
        <w:ind w:left="0" w:firstLine="0"/>
        <w:jc w:val="left"/>
        <w:outlineLvl w:val="1"/>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第五部分  招标文件/自主竞争性谈判文件/直接委托谈判文件、澄清与答疑文件及其他补充资料（如有，另册）</w:t>
      </w:r>
    </w:p>
    <w:p>
      <w:pPr>
        <w:pStyle w:val="6"/>
        <w:snapToGrid w:val="0"/>
        <w:spacing w:line="360" w:lineRule="auto"/>
        <w:ind w:left="0" w:firstLine="0"/>
        <w:jc w:val="left"/>
        <w:outlineLvl w:val="1"/>
        <w:rPr>
          <w:rFonts w:ascii="仿宋_GB2312" w:hAnsi="仿宋_GB2312" w:eastAsia="仿宋_GB2312" w:cs="仿宋_GB2312"/>
          <w:b/>
          <w:bCs/>
          <w:color w:val="auto"/>
          <w:sz w:val="32"/>
          <w:szCs w:val="32"/>
          <w:highlight w:val="none"/>
        </w:rPr>
      </w:pPr>
    </w:p>
    <w:p>
      <w:pPr>
        <w:pStyle w:val="6"/>
        <w:snapToGrid w:val="0"/>
        <w:spacing w:line="360" w:lineRule="auto"/>
        <w:ind w:left="0" w:firstLine="0"/>
        <w:jc w:val="left"/>
        <w:outlineLvl w:val="1"/>
        <w:rPr>
          <w:rFonts w:ascii="仿宋_GB2312" w:hAnsi="仿宋_GB2312" w:eastAsia="仿宋_GB2312" w:cs="仿宋_GB2312"/>
          <w:b/>
          <w:bCs/>
          <w:color w:val="auto"/>
          <w:sz w:val="32"/>
          <w:szCs w:val="32"/>
          <w:highlight w:val="none"/>
        </w:rPr>
      </w:pPr>
    </w:p>
    <w:p>
      <w:pPr>
        <w:pStyle w:val="6"/>
        <w:snapToGrid w:val="0"/>
        <w:spacing w:line="360" w:lineRule="auto"/>
        <w:ind w:left="0" w:firstLine="0"/>
        <w:jc w:val="left"/>
        <w:outlineLvl w:val="1"/>
        <w:rPr>
          <w:rFonts w:ascii="仿宋_GB2312" w:hAnsi="仿宋_GB2312" w:eastAsia="仿宋_GB2312" w:cs="仿宋_GB2312"/>
          <w:b/>
          <w:bCs/>
          <w:color w:val="auto"/>
          <w:sz w:val="32"/>
          <w:szCs w:val="32"/>
          <w:highlight w:val="none"/>
        </w:rPr>
      </w:pPr>
    </w:p>
    <w:p>
      <w:pPr>
        <w:pStyle w:val="6"/>
        <w:snapToGrid w:val="0"/>
        <w:ind w:left="0" w:firstLine="0"/>
        <w:jc w:val="left"/>
        <w:outlineLvl w:val="1"/>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第六部分  投标文件/谈判响应文件、澄清文件及其他补充资料（如有，另册）</w:t>
      </w:r>
    </w:p>
    <w:p>
      <w:pPr>
        <w:pStyle w:val="6"/>
        <w:snapToGrid w:val="0"/>
        <w:spacing w:line="360" w:lineRule="auto"/>
        <w:ind w:firstLine="0"/>
        <w:jc w:val="left"/>
        <w:outlineLvl w:val="1"/>
        <w:rPr>
          <w:rFonts w:ascii="仿宋_GB2312" w:hAnsi="仿宋_GB2312" w:eastAsia="仿宋_GB2312" w:cs="仿宋_GB2312"/>
          <w:b/>
          <w:bCs/>
          <w:color w:val="auto"/>
          <w:sz w:val="32"/>
          <w:szCs w:val="32"/>
          <w:highlight w:val="none"/>
        </w:rPr>
      </w:pPr>
    </w:p>
    <w:p>
      <w:pPr>
        <w:rPr>
          <w:rFonts w:hint="eastAsia"/>
          <w:color w:val="auto"/>
          <w:highlight w:val="none"/>
        </w:rPr>
      </w:pPr>
    </w:p>
    <w:p>
      <w:pPr>
        <w:rPr>
          <w:color w:val="auto"/>
          <w:highlight w:val="none"/>
        </w:rPr>
      </w:pPr>
    </w:p>
    <w:p>
      <w:pPr>
        <w:pStyle w:val="2"/>
        <w:rPr>
          <w:color w:val="auto"/>
          <w:highlight w:val="none"/>
        </w:rPr>
      </w:pPr>
    </w:p>
    <w:p>
      <w:pPr>
        <w:snapToGrid w:val="0"/>
        <w:spacing w:line="360" w:lineRule="auto"/>
        <w:jc w:val="center"/>
        <w:outlineLvl w:val="0"/>
        <w:rPr>
          <w:rFonts w:ascii="宋体" w:hAnsi="宋体" w:cs="宋体"/>
          <w:b/>
          <w:color w:val="auto"/>
          <w:sz w:val="32"/>
          <w:szCs w:val="32"/>
          <w:highlight w:val="none"/>
        </w:rPr>
        <w:sectPr>
          <w:pgSz w:w="11906" w:h="16838"/>
          <w:pgMar w:top="1440" w:right="1797" w:bottom="1440" w:left="1797" w:header="851" w:footer="851" w:gutter="0"/>
          <w:pgNumType w:fmt="decimal"/>
          <w:cols w:space="720" w:num="1"/>
          <w:docGrid w:linePitch="312" w:charSpace="0"/>
        </w:sectPr>
      </w:pPr>
      <w:bookmarkStart w:id="141" w:name="_Toc5097"/>
      <w:bookmarkStart w:id="142" w:name="_Toc20891"/>
      <w:bookmarkStart w:id="143" w:name="_Toc29654"/>
    </w:p>
    <w:p>
      <w:pPr>
        <w:snapToGrid w:val="0"/>
        <w:spacing w:line="360" w:lineRule="auto"/>
        <w:jc w:val="center"/>
        <w:outlineLvl w:val="0"/>
        <w:rPr>
          <w:rFonts w:ascii="宋体" w:hAnsi="宋体" w:cs="宋体"/>
          <w:bCs/>
          <w:color w:val="auto"/>
          <w:sz w:val="32"/>
          <w:szCs w:val="32"/>
          <w:highlight w:val="none"/>
        </w:rPr>
      </w:pPr>
      <w:bookmarkStart w:id="144" w:name="_Toc13053"/>
      <w:r>
        <w:rPr>
          <w:rFonts w:ascii="宋体" w:hAnsi="宋体" w:cs="宋体"/>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9504;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BTpeNgAAAAKAQAADwAAAAAAAAABACAAAAAiAAAAZHJzL2Rvd25yZXYueG1sUEsBAhQA&#10;FAAAAAgAh07iQHN2tBQrAgAASAQAAA4AAAAAAAAAAQAgAAAAJwEAAGRycy9lMm9Eb2MueG1sUEsF&#10;BgAAAAAGAAYAWQEAAMQ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color w:val="auto"/>
          <w:sz w:val="32"/>
          <w:szCs w:val="32"/>
          <w:highlight w:val="none"/>
        </w:rPr>
        <w:t>第六章</w:t>
      </w:r>
      <w:bookmarkStart w:id="145" w:name="_Toc14891079"/>
      <w:r>
        <w:rPr>
          <w:rFonts w:hint="eastAsia" w:ascii="宋体" w:hAnsi="宋体" w:cs="宋体"/>
          <w:b/>
          <w:color w:val="auto"/>
          <w:sz w:val="32"/>
          <w:szCs w:val="32"/>
          <w:highlight w:val="none"/>
          <w:lang w:val="en-US" w:eastAsia="zh-CN"/>
        </w:rPr>
        <w:t xml:space="preserve">  </w:t>
      </w:r>
      <w:r>
        <w:rPr>
          <w:rFonts w:hint="eastAsia" w:ascii="宋体" w:hAnsi="宋体" w:cs="宋体"/>
          <w:b/>
          <w:bCs/>
          <w:color w:val="auto"/>
          <w:sz w:val="32"/>
          <w:szCs w:val="32"/>
          <w:highlight w:val="none"/>
        </w:rPr>
        <w:t>响应文件组成</w:t>
      </w:r>
      <w:bookmarkEnd w:id="141"/>
      <w:bookmarkEnd w:id="142"/>
      <w:bookmarkEnd w:id="143"/>
      <w:bookmarkEnd w:id="144"/>
      <w:bookmarkEnd w:id="145"/>
    </w:p>
    <w:p>
      <w:pPr>
        <w:spacing w:line="360" w:lineRule="auto"/>
        <w:rPr>
          <w:rFonts w:ascii="宋体" w:hAnsi="宋体"/>
          <w:b/>
          <w:bCs/>
          <w:color w:val="auto"/>
          <w:sz w:val="52"/>
          <w:szCs w:val="52"/>
          <w:highlight w:val="none"/>
        </w:rPr>
      </w:pPr>
    </w:p>
    <w:p>
      <w:pPr>
        <w:spacing w:line="360" w:lineRule="auto"/>
        <w:jc w:val="center"/>
        <w:rPr>
          <w:rFonts w:ascii="宋体" w:hAnsi="宋体"/>
          <w:b/>
          <w:bCs/>
          <w:color w:val="auto"/>
          <w:sz w:val="52"/>
          <w:szCs w:val="52"/>
          <w:highlight w:val="none"/>
        </w:rPr>
      </w:pPr>
      <w:r>
        <w:rPr>
          <w:rFonts w:hint="eastAsia" w:ascii="宋体" w:hAnsi="宋体"/>
          <w:b/>
          <w:bCs/>
          <w:color w:val="auto"/>
          <w:sz w:val="52"/>
          <w:szCs w:val="52"/>
          <w:highlight w:val="none"/>
        </w:rPr>
        <w:t>自主竞争性谈判</w:t>
      </w:r>
    </w:p>
    <w:p>
      <w:pPr>
        <w:adjustRightInd w:val="0"/>
        <w:snapToGrid w:val="0"/>
        <w:spacing w:line="360" w:lineRule="auto"/>
        <w:jc w:val="center"/>
        <w:rPr>
          <w:rFonts w:ascii="宋体" w:hAnsi="宋体"/>
          <w:b/>
          <w:bCs/>
          <w:color w:val="auto"/>
          <w:sz w:val="52"/>
          <w:szCs w:val="52"/>
          <w:highlight w:val="none"/>
        </w:rPr>
      </w:pPr>
      <w:r>
        <w:rPr>
          <w:rFonts w:hint="eastAsia" w:ascii="宋体" w:hAnsi="宋体"/>
          <w:b/>
          <w:bCs/>
          <w:color w:val="auto"/>
          <w:sz w:val="52"/>
          <w:szCs w:val="52"/>
          <w:highlight w:val="none"/>
        </w:rPr>
        <w:t>响应文件</w:t>
      </w:r>
    </w:p>
    <w:p>
      <w:pPr>
        <w:spacing w:line="360" w:lineRule="auto"/>
        <w:rPr>
          <w:rFonts w:ascii="宋体" w:hAnsi="宋体"/>
          <w:b/>
          <w:bCs/>
          <w:color w:val="auto"/>
          <w:sz w:val="28"/>
          <w:szCs w:val="28"/>
          <w:highlight w:val="none"/>
        </w:rPr>
      </w:pPr>
    </w:p>
    <w:p>
      <w:pPr>
        <w:pStyle w:val="10"/>
        <w:spacing w:line="360" w:lineRule="auto"/>
        <w:rPr>
          <w:rFonts w:hAnsi="宋体"/>
          <w:b/>
          <w:bCs/>
          <w:color w:val="auto"/>
          <w:sz w:val="32"/>
          <w:szCs w:val="32"/>
          <w:highlight w:val="none"/>
        </w:rPr>
      </w:pPr>
    </w:p>
    <w:p>
      <w:pPr>
        <w:pStyle w:val="10"/>
        <w:adjustRightInd w:val="0"/>
        <w:snapToGrid w:val="0"/>
        <w:spacing w:line="360" w:lineRule="auto"/>
        <w:rPr>
          <w:rFonts w:hAnsi="宋体"/>
          <w:b/>
          <w:bCs/>
          <w:color w:val="auto"/>
          <w:sz w:val="32"/>
          <w:szCs w:val="32"/>
          <w:highlight w:val="none"/>
          <w:u w:val="single"/>
        </w:rPr>
      </w:pPr>
      <w:r>
        <w:rPr>
          <w:rFonts w:hint="eastAsia" w:hAnsi="宋体"/>
          <w:b/>
          <w:bCs/>
          <w:color w:val="auto"/>
          <w:sz w:val="32"/>
          <w:szCs w:val="32"/>
          <w:highlight w:val="none"/>
        </w:rPr>
        <w:t>谈判项目名称：</w:t>
      </w:r>
      <w:r>
        <w:rPr>
          <w:rFonts w:hint="eastAsia" w:hAnsi="宋体"/>
          <w:b/>
          <w:bCs/>
          <w:color w:val="auto"/>
          <w:sz w:val="32"/>
          <w:szCs w:val="32"/>
          <w:highlight w:val="none"/>
          <w:u w:val="single"/>
        </w:rPr>
        <w:t xml:space="preserve">                      </w:t>
      </w:r>
    </w:p>
    <w:p>
      <w:pPr>
        <w:pStyle w:val="10"/>
        <w:adjustRightInd w:val="0"/>
        <w:snapToGrid w:val="0"/>
        <w:spacing w:line="360" w:lineRule="auto"/>
        <w:rPr>
          <w:rFonts w:hAnsi="宋体"/>
          <w:b/>
          <w:bCs/>
          <w:color w:val="auto"/>
          <w:sz w:val="32"/>
          <w:szCs w:val="32"/>
          <w:highlight w:val="none"/>
          <w:u w:val="single"/>
        </w:rPr>
      </w:pPr>
    </w:p>
    <w:p>
      <w:pPr>
        <w:pStyle w:val="10"/>
        <w:adjustRightInd w:val="0"/>
        <w:snapToGrid w:val="0"/>
        <w:spacing w:line="360" w:lineRule="auto"/>
        <w:rPr>
          <w:rFonts w:hAnsi="宋体"/>
          <w:b/>
          <w:bCs/>
          <w:color w:val="auto"/>
          <w:sz w:val="32"/>
          <w:szCs w:val="32"/>
          <w:highlight w:val="none"/>
          <w:u w:val="single"/>
        </w:rPr>
      </w:pPr>
      <w:r>
        <w:rPr>
          <w:rFonts w:hint="eastAsia" w:hAnsi="宋体"/>
          <w:b/>
          <w:bCs/>
          <w:color w:val="auto"/>
          <w:sz w:val="32"/>
          <w:szCs w:val="32"/>
          <w:highlight w:val="none"/>
        </w:rPr>
        <w:t>谈判单位名称：</w:t>
      </w:r>
      <w:r>
        <w:rPr>
          <w:rFonts w:hint="eastAsia" w:hAnsi="宋体"/>
          <w:b/>
          <w:bCs/>
          <w:color w:val="auto"/>
          <w:sz w:val="32"/>
          <w:szCs w:val="32"/>
          <w:highlight w:val="none"/>
          <w:u w:val="single"/>
        </w:rPr>
        <w:t xml:space="preserve">      （加盖单位公章）</w:t>
      </w:r>
    </w:p>
    <w:p>
      <w:pPr>
        <w:pStyle w:val="10"/>
        <w:adjustRightInd w:val="0"/>
        <w:snapToGrid w:val="0"/>
        <w:spacing w:line="360" w:lineRule="auto"/>
        <w:rPr>
          <w:rFonts w:hAnsi="宋体"/>
          <w:b/>
          <w:bCs/>
          <w:color w:val="auto"/>
          <w:sz w:val="32"/>
          <w:szCs w:val="32"/>
          <w:highlight w:val="none"/>
          <w:u w:val="single"/>
        </w:rPr>
      </w:pPr>
    </w:p>
    <w:p>
      <w:pPr>
        <w:pStyle w:val="10"/>
        <w:adjustRightInd w:val="0"/>
        <w:snapToGrid w:val="0"/>
        <w:spacing w:line="360" w:lineRule="auto"/>
        <w:rPr>
          <w:rFonts w:hAnsi="宋体"/>
          <w:b/>
          <w:bCs/>
          <w:color w:val="auto"/>
          <w:sz w:val="32"/>
          <w:szCs w:val="32"/>
          <w:highlight w:val="none"/>
          <w:u w:val="single"/>
        </w:rPr>
      </w:pPr>
      <w:r>
        <w:rPr>
          <w:rFonts w:hint="eastAsia" w:hAnsi="宋体"/>
          <w:b/>
          <w:bCs/>
          <w:color w:val="auto"/>
          <w:sz w:val="32"/>
          <w:szCs w:val="32"/>
          <w:highlight w:val="none"/>
        </w:rPr>
        <w:t>谈判项目编号：</w:t>
      </w:r>
      <w:r>
        <w:rPr>
          <w:rFonts w:hint="eastAsia" w:hAnsi="宋体"/>
          <w:b/>
          <w:bCs/>
          <w:color w:val="auto"/>
          <w:sz w:val="32"/>
          <w:szCs w:val="32"/>
          <w:highlight w:val="none"/>
          <w:u w:val="single"/>
        </w:rPr>
        <w:t xml:space="preserve">                      </w:t>
      </w:r>
    </w:p>
    <w:p>
      <w:pPr>
        <w:pStyle w:val="10"/>
        <w:adjustRightInd w:val="0"/>
        <w:snapToGrid w:val="0"/>
        <w:spacing w:line="360" w:lineRule="auto"/>
        <w:rPr>
          <w:rFonts w:hAnsi="宋体"/>
          <w:b/>
          <w:bCs/>
          <w:color w:val="auto"/>
          <w:sz w:val="32"/>
          <w:szCs w:val="32"/>
          <w:highlight w:val="none"/>
          <w:u w:val="single"/>
        </w:rPr>
      </w:pPr>
    </w:p>
    <w:p>
      <w:pPr>
        <w:pStyle w:val="10"/>
        <w:adjustRightInd w:val="0"/>
        <w:snapToGrid w:val="0"/>
        <w:spacing w:line="360" w:lineRule="auto"/>
        <w:rPr>
          <w:rFonts w:hAnsi="宋体"/>
          <w:b/>
          <w:bCs/>
          <w:color w:val="auto"/>
          <w:sz w:val="32"/>
          <w:szCs w:val="32"/>
          <w:highlight w:val="none"/>
          <w:u w:val="single"/>
        </w:rPr>
      </w:pPr>
    </w:p>
    <w:p>
      <w:pPr>
        <w:pStyle w:val="10"/>
        <w:adjustRightInd w:val="0"/>
        <w:snapToGrid w:val="0"/>
        <w:spacing w:line="360" w:lineRule="auto"/>
        <w:rPr>
          <w:rFonts w:hAnsi="宋体"/>
          <w:b/>
          <w:bCs/>
          <w:color w:val="auto"/>
          <w:sz w:val="32"/>
          <w:szCs w:val="32"/>
          <w:highlight w:val="none"/>
          <w:u w:val="single"/>
        </w:rPr>
      </w:pPr>
    </w:p>
    <w:p>
      <w:pPr>
        <w:pStyle w:val="10"/>
        <w:adjustRightInd w:val="0"/>
        <w:snapToGrid w:val="0"/>
        <w:spacing w:line="360" w:lineRule="auto"/>
        <w:rPr>
          <w:rFonts w:hAnsi="宋体"/>
          <w:b/>
          <w:bCs/>
          <w:color w:val="auto"/>
          <w:sz w:val="32"/>
          <w:szCs w:val="32"/>
          <w:highlight w:val="none"/>
          <w:u w:val="single"/>
        </w:rPr>
      </w:pPr>
    </w:p>
    <w:p>
      <w:pPr>
        <w:pStyle w:val="10"/>
        <w:adjustRightInd w:val="0"/>
        <w:snapToGrid w:val="0"/>
        <w:spacing w:line="360" w:lineRule="auto"/>
        <w:rPr>
          <w:rFonts w:hAnsi="宋体"/>
          <w:b/>
          <w:bCs/>
          <w:color w:val="auto"/>
          <w:sz w:val="32"/>
          <w:szCs w:val="32"/>
          <w:highlight w:val="none"/>
          <w:u w:val="single"/>
        </w:rPr>
      </w:pPr>
    </w:p>
    <w:p>
      <w:pPr>
        <w:pStyle w:val="10"/>
        <w:adjustRightInd w:val="0"/>
        <w:snapToGrid w:val="0"/>
        <w:spacing w:line="360" w:lineRule="auto"/>
        <w:rPr>
          <w:rFonts w:hAnsi="宋体"/>
          <w:b/>
          <w:bCs/>
          <w:color w:val="auto"/>
          <w:sz w:val="32"/>
          <w:szCs w:val="32"/>
          <w:highlight w:val="none"/>
          <w:u w:val="single"/>
        </w:rPr>
      </w:pPr>
    </w:p>
    <w:p>
      <w:pPr>
        <w:pStyle w:val="10"/>
        <w:adjustRightInd w:val="0"/>
        <w:snapToGrid w:val="0"/>
        <w:spacing w:line="360" w:lineRule="auto"/>
        <w:rPr>
          <w:rFonts w:hAnsi="宋体"/>
          <w:b/>
          <w:bCs/>
          <w:color w:val="auto"/>
          <w:sz w:val="32"/>
          <w:szCs w:val="32"/>
          <w:highlight w:val="none"/>
          <w:u w:val="single"/>
        </w:rPr>
      </w:pPr>
    </w:p>
    <w:p>
      <w:pPr>
        <w:pStyle w:val="10"/>
        <w:adjustRightInd w:val="0"/>
        <w:snapToGrid w:val="0"/>
        <w:spacing w:line="360" w:lineRule="auto"/>
        <w:jc w:val="center"/>
        <w:rPr>
          <w:rFonts w:hAnsi="宋体"/>
          <w:b/>
          <w:bCs/>
          <w:color w:val="auto"/>
          <w:sz w:val="32"/>
          <w:szCs w:val="32"/>
          <w:highlight w:val="none"/>
        </w:rPr>
      </w:pPr>
      <w:r>
        <w:rPr>
          <w:rFonts w:hint="eastAsia" w:hAnsi="宋体"/>
          <w:b/>
          <w:bCs/>
          <w:color w:val="auto"/>
          <w:sz w:val="32"/>
          <w:szCs w:val="32"/>
          <w:highlight w:val="none"/>
        </w:rPr>
        <w:t>日  期：</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年</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月</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日</w:t>
      </w:r>
    </w:p>
    <w:p>
      <w:pPr>
        <w:rPr>
          <w:color w:val="auto"/>
          <w:highlight w:val="none"/>
        </w:rPr>
      </w:pPr>
    </w:p>
    <w:p>
      <w:pPr>
        <w:spacing w:line="360" w:lineRule="exact"/>
        <w:rPr>
          <w:rFonts w:ascii="宋体" w:hAnsi="宋体"/>
          <w:b/>
          <w:color w:val="auto"/>
          <w:highlight w:val="none"/>
        </w:rPr>
      </w:pPr>
    </w:p>
    <w:p>
      <w:pPr>
        <w:adjustRightInd w:val="0"/>
        <w:snapToGrid w:val="0"/>
        <w:spacing w:line="360" w:lineRule="auto"/>
        <w:jc w:val="center"/>
        <w:outlineLvl w:val="0"/>
        <w:rPr>
          <w:rFonts w:ascii="黑体" w:eastAsia="黑体"/>
          <w:b/>
          <w:color w:val="auto"/>
          <w:sz w:val="32"/>
          <w:szCs w:val="32"/>
          <w:highlight w:val="none"/>
        </w:rPr>
        <w:sectPr>
          <w:pgSz w:w="11906" w:h="16838"/>
          <w:pgMar w:top="1440" w:right="1797" w:bottom="1440" w:left="1797" w:header="851" w:footer="851" w:gutter="0"/>
          <w:pgNumType w:fmt="decimal"/>
          <w:cols w:space="720" w:num="1"/>
          <w:docGrid w:linePitch="312" w:charSpace="0"/>
        </w:sectPr>
      </w:pPr>
    </w:p>
    <w:p>
      <w:pPr>
        <w:widowControl/>
        <w:spacing w:line="360" w:lineRule="auto"/>
        <w:jc w:val="center"/>
        <w:rPr>
          <w:rFonts w:hAnsi="宋体" w:cs="宋体"/>
          <w:b/>
          <w:bCs/>
          <w:color w:val="auto"/>
          <w:sz w:val="32"/>
          <w:szCs w:val="32"/>
          <w:highlight w:val="none"/>
        </w:rPr>
      </w:pPr>
      <w:r>
        <w:rPr>
          <w:rFonts w:hint="eastAsia" w:ascii="宋体" w:hAnsi="宋体"/>
          <w:b/>
          <w:color w:val="auto"/>
          <w:sz w:val="32"/>
          <w:szCs w:val="32"/>
          <w:highlight w:val="none"/>
        </w:rPr>
        <w:t>目  录</w:t>
      </w:r>
    </w:p>
    <w:p>
      <w:pPr>
        <w:adjustRightInd w:val="0"/>
        <w:snapToGrid w:val="0"/>
        <w:spacing w:line="360" w:lineRule="auto"/>
        <w:ind w:firstLine="480" w:firstLineChars="200"/>
        <w:outlineLvl w:val="0"/>
        <w:rPr>
          <w:rFonts w:ascii="宋体" w:hAnsi="宋体"/>
          <w:color w:val="auto"/>
          <w:sz w:val="24"/>
          <w:highlight w:val="none"/>
        </w:rPr>
      </w:pP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一、谈判承诺书</w:t>
      </w:r>
    </w:p>
    <w:p>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二、法定代表人身份证明书</w:t>
      </w:r>
    </w:p>
    <w:p>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三、授权委托书</w:t>
      </w:r>
    </w:p>
    <w:p>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四、</w:t>
      </w:r>
      <w:r>
        <w:rPr>
          <w:rFonts w:hint="eastAsia" w:hAnsi="宋体"/>
          <w:color w:val="auto"/>
          <w:szCs w:val="21"/>
          <w:highlight w:val="none"/>
        </w:rPr>
        <w:t>谈判单位资格条件证明文件</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五</w:t>
      </w:r>
      <w:r>
        <w:rPr>
          <w:rFonts w:hint="eastAsia" w:ascii="宋体" w:hAnsi="宋体"/>
          <w:color w:val="auto"/>
          <w:szCs w:val="21"/>
          <w:highlight w:val="none"/>
        </w:rPr>
        <w:t>、报价一览表</w:t>
      </w:r>
    </w:p>
    <w:p>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六</w:t>
      </w:r>
      <w:r>
        <w:rPr>
          <w:rFonts w:hint="eastAsia" w:ascii="宋体" w:hAnsi="宋体"/>
          <w:color w:val="auto"/>
          <w:szCs w:val="21"/>
          <w:highlight w:val="none"/>
        </w:rPr>
        <w:t>、</w:t>
      </w:r>
      <w:r>
        <w:rPr>
          <w:rFonts w:hint="eastAsia" w:ascii="宋体" w:hAnsi="宋体"/>
          <w:color w:val="auto"/>
          <w:szCs w:val="21"/>
          <w:highlight w:val="none"/>
          <w:lang w:eastAsia="zh-CN"/>
        </w:rPr>
        <w:t>谈判报价表</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七</w:t>
      </w:r>
      <w:r>
        <w:rPr>
          <w:rFonts w:hint="eastAsia" w:ascii="宋体" w:hAnsi="宋体"/>
          <w:color w:val="auto"/>
          <w:szCs w:val="21"/>
          <w:highlight w:val="none"/>
        </w:rPr>
        <w:t>、其他资料</w:t>
      </w:r>
    </w:p>
    <w:p>
      <w:pPr>
        <w:ind w:firstLine="480" w:firstLineChars="200"/>
        <w:jc w:val="center"/>
        <w:outlineLvl w:val="1"/>
        <w:rPr>
          <w:rFonts w:ascii="黑体" w:hAnsi="黑体" w:eastAsia="黑体"/>
          <w:b/>
          <w:color w:val="auto"/>
          <w:sz w:val="32"/>
          <w:szCs w:val="32"/>
          <w:highlight w:val="none"/>
        </w:rPr>
      </w:pPr>
      <w:r>
        <w:rPr>
          <w:rFonts w:hint="eastAsia" w:ascii="宋体" w:hAnsi="宋体"/>
          <w:color w:val="auto"/>
          <w:sz w:val="24"/>
          <w:highlight w:val="none"/>
        </w:rPr>
        <w:br w:type="page"/>
      </w:r>
      <w:bookmarkStart w:id="146" w:name="_Toc22098"/>
      <w:bookmarkStart w:id="147" w:name="_Toc14530"/>
      <w:bookmarkStart w:id="148" w:name="_Toc32600"/>
      <w:bookmarkStart w:id="149" w:name="_Toc32569"/>
      <w:r>
        <w:rPr>
          <w:rFonts w:hint="eastAsia" w:ascii="宋体" w:hAnsi="宋体" w:cs="宋体"/>
          <w:b/>
          <w:color w:val="auto"/>
          <w:sz w:val="32"/>
          <w:szCs w:val="32"/>
          <w:highlight w:val="none"/>
        </w:rPr>
        <w:t>一、谈判承诺书</w:t>
      </w:r>
      <w:bookmarkEnd w:id="146"/>
      <w:bookmarkEnd w:id="147"/>
      <w:bookmarkEnd w:id="148"/>
      <w:bookmarkEnd w:id="149"/>
    </w:p>
    <w:p>
      <w:pPr>
        <w:adjustRightInd w:val="0"/>
        <w:snapToGrid w:val="0"/>
        <w:spacing w:line="360" w:lineRule="auto"/>
        <w:rPr>
          <w:rFonts w:ascii="仿宋_GB2312" w:hAnsi="宋体" w:eastAsia="仿宋_GB2312"/>
          <w:color w:val="auto"/>
          <w:szCs w:val="21"/>
          <w:highlight w:val="none"/>
        </w:rPr>
      </w:pP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s="宋体"/>
          <w:color w:val="auto"/>
          <w:szCs w:val="21"/>
          <w:highlight w:val="none"/>
        </w:rPr>
        <w:t>(采购单位)</w:t>
      </w:r>
      <w:r>
        <w:rPr>
          <w:rFonts w:hint="eastAsia" w:ascii="宋体" w:hAnsi="宋体"/>
          <w:color w:val="auto"/>
          <w:szCs w:val="21"/>
          <w:highlight w:val="none"/>
        </w:rPr>
        <w:t>：</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我方已仔细研究了</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的竞争性谈判文件（谈判项目编号：）的全部内容，</w:t>
      </w:r>
      <w:r>
        <w:rPr>
          <w:rFonts w:hint="eastAsia" w:hAnsi="宋体"/>
          <w:color w:val="auto"/>
          <w:szCs w:val="21"/>
          <w:highlight w:val="none"/>
        </w:rPr>
        <w:t>知悉参加竞争性谈判的风险，我方承诺接受谈判文件的全部条款且无任何异议。</w:t>
      </w:r>
    </w:p>
    <w:p>
      <w:pPr>
        <w:pStyle w:val="10"/>
        <w:adjustRightInd w:val="0"/>
        <w:snapToGrid w:val="0"/>
        <w:spacing w:line="360" w:lineRule="auto"/>
        <w:ind w:firstLine="420" w:firstLineChars="200"/>
        <w:rPr>
          <w:rFonts w:hAnsi="宋体"/>
          <w:color w:val="auto"/>
          <w:highlight w:val="none"/>
        </w:rPr>
      </w:pPr>
      <w:r>
        <w:rPr>
          <w:rFonts w:hint="eastAsia" w:hAnsi="宋体"/>
          <w:color w:val="auto"/>
          <w:highlight w:val="none"/>
        </w:rPr>
        <w:t>一、</w:t>
      </w:r>
      <w:r>
        <w:rPr>
          <w:rFonts w:hint="eastAsia"/>
          <w:color w:val="auto"/>
          <w:highlight w:val="none"/>
        </w:rPr>
        <w:t>参与本项目竞争性谈判活动系本公司自愿行为。</w:t>
      </w:r>
    </w:p>
    <w:p>
      <w:pPr>
        <w:pStyle w:val="10"/>
        <w:adjustRightInd w:val="0"/>
        <w:snapToGrid w:val="0"/>
        <w:spacing w:line="360" w:lineRule="auto"/>
        <w:ind w:firstLine="420" w:firstLineChars="200"/>
        <w:rPr>
          <w:rFonts w:hAnsi="宋体"/>
          <w:color w:val="auto"/>
          <w:highlight w:val="none"/>
        </w:rPr>
      </w:pPr>
      <w:r>
        <w:rPr>
          <w:rFonts w:hint="eastAsia" w:hAnsi="宋体"/>
          <w:color w:val="auto"/>
          <w:highlight w:val="none"/>
        </w:rPr>
        <w:t>二、我方同意在谈判文件中规定的提交响应文件截止时间起</w:t>
      </w:r>
      <w:r>
        <w:rPr>
          <w:rFonts w:hint="eastAsia" w:hAnsi="宋体"/>
          <w:color w:val="auto"/>
          <w:highlight w:val="none"/>
          <w:u w:val="single"/>
        </w:rPr>
        <w:t>180</w:t>
      </w:r>
      <w:r>
        <w:rPr>
          <w:rFonts w:hint="eastAsia" w:hAnsi="宋体"/>
          <w:color w:val="auto"/>
          <w:highlight w:val="none"/>
        </w:rPr>
        <w:t>日历天内(响应文件有效期)遵守本响应文件中的承诺且在此期限期满之前均具有法律约束力。</w:t>
      </w:r>
    </w:p>
    <w:p>
      <w:pPr>
        <w:pStyle w:val="10"/>
        <w:adjustRightInd w:val="0"/>
        <w:snapToGrid w:val="0"/>
        <w:spacing w:line="360" w:lineRule="auto"/>
        <w:ind w:firstLine="420" w:firstLineChars="200"/>
        <w:rPr>
          <w:rFonts w:hAnsi="宋体"/>
          <w:bCs/>
          <w:color w:val="auto"/>
          <w:highlight w:val="none"/>
        </w:rPr>
      </w:pPr>
      <w:r>
        <w:rPr>
          <w:rFonts w:hint="eastAsia" w:hAnsi="宋体"/>
          <w:color w:val="auto"/>
          <w:highlight w:val="none"/>
        </w:rPr>
        <w:t>三、我方提交的响应文件均为正本份和副本份，电子文件（包括响应文件全部内容）份，并保证响应文件提供的数据和材料是真实、准确的，</w:t>
      </w:r>
      <w:r>
        <w:rPr>
          <w:rFonts w:hint="eastAsia" w:hAnsi="宋体"/>
          <w:b/>
          <w:bCs/>
          <w:color w:val="auto"/>
          <w:highlight w:val="none"/>
        </w:rPr>
        <w:t>均无复制、粘贴之情形，</w:t>
      </w:r>
      <w:r>
        <w:rPr>
          <w:rFonts w:hint="eastAsia" w:hAnsi="宋体"/>
          <w:color w:val="auto"/>
          <w:highlight w:val="none"/>
        </w:rPr>
        <w:t>且无低于成本的恶意报价行为。否则，愿承担由此引起的一切</w:t>
      </w:r>
      <w:r>
        <w:rPr>
          <w:rFonts w:hint="eastAsia" w:hAnsi="宋体"/>
          <w:bCs/>
          <w:color w:val="auto"/>
          <w:highlight w:val="none"/>
        </w:rPr>
        <w:t>法律责任。</w:t>
      </w:r>
    </w:p>
    <w:p>
      <w:pPr>
        <w:pStyle w:val="10"/>
        <w:adjustRightInd w:val="0"/>
        <w:snapToGrid w:val="0"/>
        <w:spacing w:line="360" w:lineRule="auto"/>
        <w:ind w:firstLine="420" w:firstLineChars="200"/>
        <w:rPr>
          <w:rFonts w:hAnsi="宋体"/>
          <w:color w:val="auto"/>
          <w:highlight w:val="none"/>
        </w:rPr>
      </w:pPr>
      <w:r>
        <w:rPr>
          <w:rFonts w:hint="eastAsia" w:hAnsi="宋体"/>
          <w:color w:val="auto"/>
          <w:highlight w:val="none"/>
        </w:rPr>
        <w:t>四、</w:t>
      </w:r>
      <w:r>
        <w:rPr>
          <w:rFonts w:hint="eastAsia"/>
          <w:color w:val="auto"/>
          <w:highlight w:val="none"/>
        </w:rPr>
        <w:t>遵守贵司各项管理制度和谈判现场纪律，服从现场工作人员管理，自觉维护贵司谈判活动秩序。</w:t>
      </w:r>
    </w:p>
    <w:p>
      <w:pPr>
        <w:pStyle w:val="10"/>
        <w:adjustRightInd w:val="0"/>
        <w:snapToGrid w:val="0"/>
        <w:spacing w:line="360" w:lineRule="auto"/>
        <w:ind w:firstLine="420" w:firstLineChars="200"/>
        <w:rPr>
          <w:color w:val="auto"/>
          <w:highlight w:val="none"/>
        </w:rPr>
      </w:pPr>
      <w:r>
        <w:rPr>
          <w:rFonts w:hint="eastAsia" w:hAnsi="宋体"/>
          <w:color w:val="auto"/>
          <w:highlight w:val="none"/>
        </w:rPr>
        <w:t>五、</w:t>
      </w:r>
      <w:r>
        <w:rPr>
          <w:rFonts w:hint="eastAsia"/>
          <w:color w:val="auto"/>
          <w:highlight w:val="none"/>
        </w:rPr>
        <w:t>保证没有组织、参与围标、串标行为。</w:t>
      </w:r>
    </w:p>
    <w:p>
      <w:pPr>
        <w:pStyle w:val="10"/>
        <w:adjustRightInd w:val="0"/>
        <w:snapToGrid w:val="0"/>
        <w:spacing w:line="360" w:lineRule="auto"/>
        <w:ind w:firstLine="420" w:firstLineChars="200"/>
        <w:rPr>
          <w:color w:val="auto"/>
          <w:highlight w:val="none"/>
        </w:rPr>
      </w:pPr>
      <w:r>
        <w:rPr>
          <w:rFonts w:hint="eastAsia"/>
          <w:color w:val="auto"/>
          <w:highlight w:val="none"/>
        </w:rPr>
        <w:t>六、不与采购单位或采购代理机构或谈判评审小组成员私下联络和串通以牟取中选；不以他人名义参与谈判或者以其他方式弄虚作假骗取中选；不在谈判结束后进行虚假、恶意质疑和投诉。</w:t>
      </w:r>
    </w:p>
    <w:p>
      <w:pPr>
        <w:pStyle w:val="10"/>
        <w:adjustRightInd w:val="0"/>
        <w:snapToGrid w:val="0"/>
        <w:spacing w:line="360" w:lineRule="auto"/>
        <w:ind w:firstLine="420" w:firstLineChars="200"/>
        <w:rPr>
          <w:rFonts w:hAnsi="宋体"/>
          <w:color w:val="auto"/>
          <w:highlight w:val="none"/>
        </w:rPr>
      </w:pPr>
      <w:r>
        <w:rPr>
          <w:rFonts w:hint="eastAsia"/>
          <w:color w:val="auto"/>
          <w:highlight w:val="none"/>
        </w:rPr>
        <w:t>七、</w:t>
      </w:r>
      <w:r>
        <w:rPr>
          <w:rFonts w:hint="eastAsia" w:hAnsi="宋体"/>
          <w:color w:val="auto"/>
          <w:highlight w:val="none"/>
        </w:rPr>
        <w:t>我方承诺，若贵方需要，我方愿意提供任何与本次谈判有关的数据、情况和技术资料。</w:t>
      </w:r>
    </w:p>
    <w:p>
      <w:pPr>
        <w:pStyle w:val="10"/>
        <w:adjustRightInd w:val="0"/>
        <w:snapToGrid w:val="0"/>
        <w:spacing w:line="360" w:lineRule="auto"/>
        <w:ind w:firstLine="420" w:firstLineChars="200"/>
        <w:rPr>
          <w:rFonts w:hAnsi="宋体"/>
          <w:color w:val="auto"/>
          <w:highlight w:val="none"/>
        </w:rPr>
      </w:pPr>
      <w:r>
        <w:rPr>
          <w:rFonts w:hint="eastAsia" w:hAnsi="宋体"/>
          <w:color w:val="auto"/>
          <w:highlight w:val="none"/>
        </w:rPr>
        <w:t>八、我方承诺遵守相关法律法规及贵司的有关规定，保证在获得成交资格后，按照谈判文件确定的事项签订合同，履行双方所签订的合同，并承担合同规定的责任和义务。</w:t>
      </w:r>
    </w:p>
    <w:p>
      <w:pPr>
        <w:pStyle w:val="10"/>
        <w:adjustRightInd w:val="0"/>
        <w:snapToGrid w:val="0"/>
        <w:spacing w:line="360" w:lineRule="auto"/>
        <w:ind w:firstLine="420" w:firstLineChars="200"/>
        <w:rPr>
          <w:rFonts w:hAnsi="宋体"/>
          <w:color w:val="auto"/>
          <w:highlight w:val="none"/>
        </w:rPr>
      </w:pPr>
      <w:r>
        <w:rPr>
          <w:rFonts w:hint="eastAsia" w:hAnsi="宋体"/>
          <w:color w:val="auto"/>
          <w:highlight w:val="none"/>
        </w:rPr>
        <w:t>九、我方承诺在参与本次竞争性谈判过程中，若出现本文件第26条规定之情形，我方无条件接受条款规定作出的处罚。</w:t>
      </w:r>
    </w:p>
    <w:p>
      <w:pPr>
        <w:pStyle w:val="10"/>
        <w:adjustRightInd w:val="0"/>
        <w:snapToGrid w:val="0"/>
        <w:spacing w:line="360" w:lineRule="auto"/>
        <w:ind w:firstLine="420" w:firstLineChars="200"/>
        <w:rPr>
          <w:color w:val="auto"/>
          <w:highlight w:val="none"/>
        </w:rPr>
      </w:pPr>
      <w:r>
        <w:rPr>
          <w:rFonts w:hint="eastAsia" w:hAnsi="宋体"/>
          <w:color w:val="auto"/>
          <w:highlight w:val="none"/>
        </w:rPr>
        <w:t>十、我方承诺完全响应本文件第四章“用户需求书”及第五章“合同格式条款”内的全部内容。</w:t>
      </w:r>
    </w:p>
    <w:p>
      <w:pPr>
        <w:ind w:firstLine="420" w:firstLineChars="200"/>
        <w:rPr>
          <w:rFonts w:hAnsi="宋体"/>
          <w:color w:val="auto"/>
          <w:szCs w:val="21"/>
          <w:highlight w:val="none"/>
        </w:rPr>
      </w:pPr>
      <w:r>
        <w:rPr>
          <w:rFonts w:hint="eastAsia"/>
          <w:color w:val="auto"/>
          <w:szCs w:val="21"/>
          <w:highlight w:val="none"/>
        </w:rPr>
        <w:t>十一、如有违反本承诺书内容的行为，愿意承担由此产生的法律责任及后果。</w:t>
      </w:r>
    </w:p>
    <w:p>
      <w:pPr>
        <w:adjustRightInd w:val="0"/>
        <w:snapToGrid w:val="0"/>
        <w:spacing w:line="360" w:lineRule="auto"/>
        <w:ind w:right="24"/>
        <w:rPr>
          <w:rFonts w:ascii="宋体" w:hAnsi="宋体"/>
          <w:bCs/>
          <w:color w:val="auto"/>
          <w:szCs w:val="21"/>
          <w:highlight w:val="none"/>
        </w:rPr>
      </w:pPr>
    </w:p>
    <w:p>
      <w:pPr>
        <w:pStyle w:val="10"/>
        <w:adjustRightInd w:val="0"/>
        <w:snapToGrid w:val="0"/>
        <w:spacing w:line="360" w:lineRule="auto"/>
        <w:rPr>
          <w:rFonts w:hAnsi="宋体"/>
          <w:color w:val="auto"/>
          <w:highlight w:val="none"/>
        </w:rPr>
      </w:pPr>
    </w:p>
    <w:p>
      <w:pPr>
        <w:pStyle w:val="10"/>
        <w:adjustRightInd w:val="0"/>
        <w:snapToGrid w:val="0"/>
        <w:spacing w:line="360" w:lineRule="auto"/>
        <w:rPr>
          <w:rFonts w:hAnsi="宋体"/>
          <w:color w:val="auto"/>
          <w:highlight w:val="none"/>
        </w:rPr>
      </w:pPr>
    </w:p>
    <w:p>
      <w:pPr>
        <w:spacing w:line="360" w:lineRule="auto"/>
        <w:rPr>
          <w:color w:val="auto"/>
          <w:szCs w:val="21"/>
          <w:highlight w:val="none"/>
          <w:u w:val="single"/>
        </w:rPr>
      </w:pPr>
      <w:r>
        <w:rPr>
          <w:rFonts w:hint="eastAsia"/>
          <w:color w:val="auto"/>
          <w:szCs w:val="21"/>
          <w:highlight w:val="none"/>
        </w:rPr>
        <w:t>谈判单位名称：</w:t>
      </w:r>
      <w:r>
        <w:rPr>
          <w:rFonts w:hint="eastAsia"/>
          <w:color w:val="auto"/>
          <w:szCs w:val="21"/>
          <w:highlight w:val="none"/>
          <w:u w:val="single"/>
        </w:rPr>
        <w:t xml:space="preserve">    （盖单位章）    </w:t>
      </w:r>
    </w:p>
    <w:p>
      <w:pPr>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法定</w:t>
      </w:r>
      <w:r>
        <w:rPr>
          <w:rFonts w:hint="eastAsia"/>
          <w:color w:val="auto"/>
          <w:szCs w:val="21"/>
          <w:highlight w:val="none"/>
        </w:rPr>
        <w:t>代表</w:t>
      </w:r>
      <w:r>
        <w:rPr>
          <w:rFonts w:hint="eastAsia" w:ascii="宋体" w:hAnsi="宋体"/>
          <w:color w:val="auto"/>
          <w:szCs w:val="21"/>
          <w:highlight w:val="none"/>
        </w:rPr>
        <w:t>人(签字或盖章)：</w:t>
      </w:r>
      <w:r>
        <w:rPr>
          <w:rFonts w:hint="eastAsia" w:ascii="宋体" w:hAnsi="宋体"/>
          <w:color w:val="auto"/>
          <w:szCs w:val="21"/>
          <w:highlight w:val="none"/>
          <w:u w:val="single"/>
          <w:lang w:val="en-US" w:eastAsia="zh-CN"/>
        </w:rPr>
        <w:t xml:space="preserve">          </w:t>
      </w:r>
    </w:p>
    <w:p>
      <w:pPr>
        <w:spacing w:line="360" w:lineRule="auto"/>
        <w:rPr>
          <w:rFonts w:ascii="宋体"/>
          <w:color w:val="auto"/>
          <w:szCs w:val="21"/>
          <w:highlight w:val="none"/>
        </w:rPr>
      </w:pPr>
      <w:r>
        <w:rPr>
          <w:rFonts w:hint="eastAsia"/>
          <w:color w:val="auto"/>
          <w:szCs w:val="21"/>
          <w:highlight w:val="none"/>
        </w:rPr>
        <w:t>日期</w:t>
      </w:r>
      <w:r>
        <w:rPr>
          <w:rFonts w:hint="eastAsia" w:ascii="宋体" w:hAnsi="宋体"/>
          <w:color w:val="auto"/>
          <w:szCs w:val="21"/>
          <w:highlight w:val="none"/>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w:t>
      </w:r>
    </w:p>
    <w:p>
      <w:pPr>
        <w:adjustRightInd w:val="0"/>
        <w:snapToGrid w:val="0"/>
        <w:spacing w:line="360" w:lineRule="auto"/>
        <w:ind w:right="24"/>
        <w:rPr>
          <w:rFonts w:ascii="黑体" w:hAnsi="华文中宋" w:eastAsia="黑体"/>
          <w:bCs/>
          <w:color w:val="auto"/>
          <w:szCs w:val="21"/>
          <w:highlight w:val="none"/>
        </w:rPr>
      </w:pPr>
    </w:p>
    <w:p>
      <w:pPr>
        <w:adjustRightInd w:val="0"/>
        <w:snapToGrid w:val="0"/>
        <w:spacing w:line="360" w:lineRule="auto"/>
        <w:ind w:right="24"/>
        <w:jc w:val="center"/>
        <w:outlineLvl w:val="1"/>
        <w:rPr>
          <w:rFonts w:ascii="宋体" w:hAnsi="宋体" w:cs="宋体"/>
          <w:b/>
          <w:color w:val="auto"/>
          <w:sz w:val="32"/>
          <w:szCs w:val="32"/>
          <w:highlight w:val="none"/>
        </w:rPr>
        <w:sectPr>
          <w:pgSz w:w="11906" w:h="16838"/>
          <w:pgMar w:top="1440" w:right="1797" w:bottom="1440" w:left="1797" w:header="851" w:footer="851" w:gutter="0"/>
          <w:pgNumType w:fmt="decimal"/>
          <w:cols w:space="720" w:num="1"/>
          <w:docGrid w:linePitch="312" w:charSpace="0"/>
        </w:sectPr>
      </w:pPr>
      <w:bookmarkStart w:id="150" w:name="_Toc1313"/>
      <w:bookmarkStart w:id="151" w:name="_Toc31277"/>
      <w:bookmarkStart w:id="152" w:name="_Toc3026"/>
    </w:p>
    <w:p>
      <w:pPr>
        <w:adjustRightInd w:val="0"/>
        <w:snapToGrid w:val="0"/>
        <w:spacing w:line="360" w:lineRule="auto"/>
        <w:ind w:right="24"/>
        <w:jc w:val="center"/>
        <w:outlineLvl w:val="1"/>
        <w:rPr>
          <w:rFonts w:ascii="宋体" w:hAnsi="宋体" w:cs="宋体"/>
          <w:b/>
          <w:color w:val="auto"/>
          <w:sz w:val="32"/>
          <w:szCs w:val="32"/>
          <w:highlight w:val="none"/>
        </w:rPr>
      </w:pPr>
      <w:bookmarkStart w:id="153" w:name="_Toc10086"/>
      <w:r>
        <w:rPr>
          <w:rFonts w:hint="eastAsia" w:ascii="宋体" w:hAnsi="宋体" w:cs="宋体"/>
          <w:b/>
          <w:color w:val="auto"/>
          <w:sz w:val="32"/>
          <w:szCs w:val="32"/>
          <w:highlight w:val="none"/>
        </w:rPr>
        <w:t>二、法定代表人身份证明书</w:t>
      </w:r>
      <w:bookmarkEnd w:id="150"/>
      <w:bookmarkEnd w:id="151"/>
      <w:bookmarkEnd w:id="152"/>
      <w:bookmarkEnd w:id="153"/>
    </w:p>
    <w:p>
      <w:pPr>
        <w:snapToGrid w:val="0"/>
        <w:spacing w:line="480" w:lineRule="auto"/>
        <w:rPr>
          <w:rFonts w:ascii="宋体" w:hAnsi="宋体"/>
          <w:color w:val="auto"/>
          <w:szCs w:val="21"/>
          <w:highlight w:val="none"/>
        </w:rPr>
      </w:pPr>
    </w:p>
    <w:p>
      <w:pPr>
        <w:autoSpaceDE w:val="0"/>
        <w:autoSpaceDN w:val="0"/>
        <w:adjustRightInd w:val="0"/>
        <w:snapToGrid w:val="0"/>
        <w:spacing w:beforeLines="50" w:line="360" w:lineRule="auto"/>
        <w:jc w:val="left"/>
        <w:outlineLvl w:val="9"/>
        <w:rPr>
          <w:rFonts w:ascii="宋体" w:hAnsi="宋体" w:cs="宋体"/>
          <w:color w:val="auto"/>
          <w:kern w:val="0"/>
          <w:szCs w:val="21"/>
          <w:highlight w:val="none"/>
        </w:rPr>
      </w:pPr>
      <w:r>
        <w:rPr>
          <w:rFonts w:hint="eastAsia" w:ascii="宋体" w:hAnsi="宋体"/>
          <w:color w:val="auto"/>
          <w:szCs w:val="21"/>
          <w:highlight w:val="none"/>
        </w:rPr>
        <w:t>谈判单位</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Lines="50" w:line="360" w:lineRule="auto"/>
        <w:jc w:val="left"/>
        <w:outlineLvl w:val="9"/>
        <w:rPr>
          <w:rFonts w:ascii="宋体" w:hAnsi="宋体" w:cs="宋体"/>
          <w:b/>
          <w:bCs/>
          <w:color w:val="auto"/>
          <w:kern w:val="0"/>
          <w:szCs w:val="21"/>
          <w:highlight w:val="none"/>
          <w:u w:val="single"/>
        </w:rPr>
      </w:pP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Lines="50" w:line="360" w:lineRule="auto"/>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p>
    <w:p>
      <w:pPr>
        <w:spacing w:line="360" w:lineRule="auto"/>
        <w:outlineLvl w:val="9"/>
        <w:rPr>
          <w:rFonts w:ascii="宋体" w:hAnsi="宋体" w:cs="宋体"/>
          <w:color w:val="auto"/>
          <w:kern w:val="0"/>
          <w:szCs w:val="21"/>
          <w:highlight w:val="none"/>
        </w:rPr>
      </w:pPr>
      <w:r>
        <w:rPr>
          <w:rFonts w:hint="eastAsia" w:ascii="宋体" w:hAnsi="宋体" w:cs="宋体"/>
          <w:color w:val="auto"/>
          <w:kern w:val="0"/>
          <w:szCs w:val="21"/>
          <w:highlight w:val="none"/>
        </w:rPr>
        <w:t>成立日期：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utoSpaceDE w:val="0"/>
        <w:autoSpaceDN w:val="0"/>
        <w:adjustRightInd w:val="0"/>
        <w:snapToGrid w:val="0"/>
        <w:spacing w:beforeLines="50" w:line="360" w:lineRule="auto"/>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Lines="50" w:line="360" w:lineRule="auto"/>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Lines="50" w:line="360" w:lineRule="auto"/>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w:t>
      </w:r>
      <w:r>
        <w:rPr>
          <w:rFonts w:hint="eastAsia" w:ascii="宋体" w:hAnsi="宋体"/>
          <w:color w:val="auto"/>
          <w:szCs w:val="21"/>
          <w:highlight w:val="none"/>
          <w:u w:val="single"/>
        </w:rPr>
        <w:t>谈判单位</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w:t>
      </w:r>
    </w:p>
    <w:p>
      <w:pPr>
        <w:autoSpaceDE w:val="0"/>
        <w:autoSpaceDN w:val="0"/>
        <w:adjustRightInd w:val="0"/>
        <w:snapToGrid w:val="0"/>
        <w:spacing w:beforeLines="50" w:line="360" w:lineRule="auto"/>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napToGrid w:val="0"/>
        <w:spacing w:line="360" w:lineRule="auto"/>
        <w:jc w:val="left"/>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93056"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4pt;margin-top:10.65pt;height:96.15pt;width:185.5pt;z-index:-251623424;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zDryl1wAAAAoBAAAPAAAAAAAAAAEAIAAAACIAAABkcnMvZG93bnJldi54bWxQSwECFAAUAAAA&#10;CACHTuJA+zQsRigCAABGBAAADgAAAAAAAAABACAAAAAmAQAAZHJzL2Uyb0RvYy54bWxQSwUGAAAA&#10;AAYABgBZAQAAwA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671552"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44928;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fjdNtkAAAAKAQAADwAAAAAAAAABACAAAAAiAAAAZHJzL2Rvd25yZXYueG1sUEsBAhQAFAAA&#10;AAgAh07iQAJlIQEnAgAARgQAAA4AAAAAAAAAAQAgAAAAKAEAAGRycy9lMm9Eb2MueG1sUEsFBgAA&#10;AAAGAAYAWQEAAME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72576;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lIUVo2AAAAAoBAAAPAAAAAAAAAAEAIAAAACIAAABkcnMvZG93bnJldi54bWxQSwECFAAUAAAA&#10;CACHTuJAVaolPCcCAABGBAAADgAAAAAAAAABACAAAAAnAQAAZHJzL2Uyb0RvYy54bWxQSwUGAAAA&#10;AAYABgBZAQAAwA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b/>
          <w:color w:val="auto"/>
          <w:szCs w:val="21"/>
          <w:highlight w:val="none"/>
        </w:rPr>
        <w:t>备注：上述证件复印件可另附页，另附页时，证件复印件均须加盖单位公章。</w:t>
      </w:r>
    </w:p>
    <w:p>
      <w:pPr>
        <w:snapToGrid w:val="0"/>
        <w:rPr>
          <w:rFonts w:ascii="宋体" w:hAnsi="宋体"/>
          <w:color w:val="auto"/>
          <w:szCs w:val="21"/>
          <w:highlight w:val="none"/>
        </w:rPr>
      </w:pPr>
    </w:p>
    <w:p>
      <w:pPr>
        <w:snapToGrid w:val="0"/>
        <w:rPr>
          <w:rFonts w:ascii="宋体" w:hAnsi="宋体"/>
          <w:color w:val="auto"/>
          <w:szCs w:val="21"/>
          <w:highlight w:val="none"/>
        </w:rPr>
      </w:pPr>
    </w:p>
    <w:p>
      <w:pPr>
        <w:snapToGrid w:val="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谈判单位名称（盖单位章）：</w:t>
      </w:r>
      <w:r>
        <w:rPr>
          <w:rFonts w:hint="eastAsia"/>
          <w:color w:val="auto"/>
          <w:highlight w:val="none"/>
          <w:u w:val="single"/>
        </w:rPr>
        <w:t xml:space="preserve">    （盖单位章）    </w:t>
      </w:r>
    </w:p>
    <w:p>
      <w:pPr>
        <w:spacing w:line="360" w:lineRule="auto"/>
        <w:outlineLvl w:val="9"/>
        <w:rPr>
          <w:rFonts w:ascii="宋体"/>
          <w:color w:val="auto"/>
          <w:highlight w:val="none"/>
        </w:rPr>
      </w:pPr>
      <w:r>
        <w:rPr>
          <w:rFonts w:hint="eastAsia"/>
          <w:color w:val="auto"/>
          <w:highlight w:val="none"/>
        </w:rPr>
        <w:t>日期</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ascii="黑体" w:hAnsi="宋体" w:eastAsia="黑体"/>
          <w:b/>
          <w:color w:val="auto"/>
          <w:sz w:val="32"/>
          <w:szCs w:val="32"/>
          <w:highlight w:val="none"/>
        </w:rPr>
      </w:pPr>
      <w:r>
        <w:rPr>
          <w:rFonts w:ascii="黑体" w:hAnsi="华文中宋" w:eastAsia="黑体"/>
          <w:bCs/>
          <w:color w:val="auto"/>
          <w:sz w:val="24"/>
          <w:highlight w:val="none"/>
        </w:rPr>
        <w:br w:type="page"/>
      </w:r>
      <w:bookmarkStart w:id="154" w:name="_Toc761"/>
      <w:bookmarkStart w:id="155" w:name="_Toc18531"/>
      <w:bookmarkStart w:id="156" w:name="_Toc14170"/>
      <w:bookmarkStart w:id="157" w:name="_Toc21066"/>
      <w:r>
        <w:rPr>
          <w:rFonts w:hint="eastAsia" w:ascii="宋体" w:hAnsi="宋体" w:cs="宋体"/>
          <w:b/>
          <w:color w:val="auto"/>
          <w:sz w:val="32"/>
          <w:szCs w:val="32"/>
          <w:highlight w:val="none"/>
        </w:rPr>
        <w:t>三、授权委托书</w:t>
      </w:r>
      <w:bookmarkEnd w:id="154"/>
      <w:bookmarkEnd w:id="155"/>
      <w:bookmarkEnd w:id="156"/>
      <w:bookmarkEnd w:id="157"/>
    </w:p>
    <w:p>
      <w:pPr>
        <w:adjustRightInd w:val="0"/>
        <w:snapToGrid w:val="0"/>
        <w:spacing w:line="360" w:lineRule="auto"/>
        <w:jc w:val="center"/>
        <w:rPr>
          <w:rFonts w:ascii="黑体" w:hAnsi="华文中宋" w:eastAsia="黑体"/>
          <w:b/>
          <w:color w:val="auto"/>
          <w:sz w:val="28"/>
          <w:szCs w:val="28"/>
          <w:highlight w:val="none"/>
        </w:rPr>
      </w:pPr>
    </w:p>
    <w:p>
      <w:pPr>
        <w:autoSpaceDE w:val="0"/>
        <w:autoSpaceDN w:val="0"/>
        <w:adjustRightInd w:val="0"/>
        <w:snapToGrid w:val="0"/>
        <w:spacing w:before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w:t>
      </w:r>
      <w:r>
        <w:rPr>
          <w:rFonts w:hint="eastAsia" w:ascii="宋体" w:hAnsi="宋体"/>
          <w:color w:val="auto"/>
          <w:szCs w:val="21"/>
          <w:highlight w:val="none"/>
          <w:u w:val="single"/>
        </w:rPr>
        <w:t>谈判单位</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的法定代表人，现授权</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为我方代理人。代理人根据授权，以我方名义签署、澄清、补正、修改、撤回、提交</w:t>
      </w:r>
      <w:r>
        <w:rPr>
          <w:rFonts w:hint="eastAsia" w:ascii="宋体" w:hAnsi="宋体" w:cs="宋体"/>
          <w:color w:val="auto"/>
          <w:kern w:val="0"/>
          <w:szCs w:val="21"/>
          <w:highlight w:val="none"/>
          <w:u w:val="single"/>
        </w:rPr>
        <w:t>（项目名称、</w:t>
      </w:r>
      <w:r>
        <w:rPr>
          <w:rFonts w:hint="eastAsia" w:ascii="宋体" w:hAnsi="宋体"/>
          <w:color w:val="auto"/>
          <w:szCs w:val="21"/>
          <w:highlight w:val="none"/>
          <w:u w:val="single"/>
        </w:rPr>
        <w:t>项目</w:t>
      </w:r>
      <w:r>
        <w:rPr>
          <w:rFonts w:hint="eastAsia" w:ascii="宋体" w:hAnsi="宋体" w:cs="宋体"/>
          <w:color w:val="auto"/>
          <w:kern w:val="0"/>
          <w:szCs w:val="21"/>
          <w:highlight w:val="none"/>
          <w:u w:val="single"/>
        </w:rPr>
        <w:t>编号）</w:t>
      </w:r>
      <w:r>
        <w:rPr>
          <w:rFonts w:hint="eastAsia" w:ascii="宋体" w:hAnsi="宋体" w:cs="宋体"/>
          <w:color w:val="auto"/>
          <w:kern w:val="0"/>
          <w:szCs w:val="21"/>
          <w:highlight w:val="none"/>
        </w:rPr>
        <w:t>响应文件及与本谈判项目的有关事宜，其法律后果由我方承担。</w:t>
      </w:r>
    </w:p>
    <w:p>
      <w:pPr>
        <w:spacing w:line="360" w:lineRule="auto"/>
        <w:ind w:firstLine="435"/>
        <w:rPr>
          <w:rFonts w:ascii="宋体" w:hAnsi="宋体" w:cs="宋体"/>
          <w:color w:val="auto"/>
          <w:kern w:val="0"/>
          <w:szCs w:val="21"/>
          <w:highlight w:val="none"/>
        </w:rPr>
      </w:pPr>
    </w:p>
    <w:p>
      <w:pPr>
        <w:spacing w:line="360" w:lineRule="auto"/>
        <w:ind w:firstLine="435"/>
        <w:rPr>
          <w:rFonts w:ascii="宋体" w:hAnsi="宋体" w:cs="宋体"/>
          <w:color w:val="auto"/>
          <w:kern w:val="0"/>
          <w:szCs w:val="21"/>
          <w:highlight w:val="none"/>
        </w:rPr>
      </w:pPr>
    </w:p>
    <w:p>
      <w:pPr>
        <w:spacing w:line="360" w:lineRule="auto"/>
        <w:ind w:firstLine="435"/>
        <w:outlineLvl w:val="9"/>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pPr>
        <w:spacing w:line="360" w:lineRule="auto"/>
        <w:ind w:firstLine="435"/>
        <w:outlineLvl w:val="9"/>
        <w:rPr>
          <w:rFonts w:hint="eastAsia" w:ascii="宋体" w:hAnsi="宋体"/>
          <w:color w:val="auto"/>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日签字生效，特此声明。</w:t>
      </w:r>
    </w:p>
    <w:p>
      <w:pPr>
        <w:spacing w:line="360" w:lineRule="auto"/>
        <w:ind w:firstLine="435"/>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743232" behindDoc="1" locked="0" layoutInCell="1" allowOverlap="1">
                <wp:simplePos x="0" y="0"/>
                <wp:positionH relativeFrom="column">
                  <wp:posOffset>-114300</wp:posOffset>
                </wp:positionH>
                <wp:positionV relativeFrom="paragraph">
                  <wp:posOffset>41910</wp:posOffset>
                </wp:positionV>
                <wp:extent cx="2355850" cy="1221105"/>
                <wp:effectExtent l="4445" t="4445" r="20955" b="1270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3.3pt;height:96.15pt;width:185.5pt;z-index:-251573248;mso-width-relative:page;mso-height-relative:page;" fillcolor="#FFFFFF" filled="t" stroked="t" coordsize="21600,21600" o:gfxdata="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KuzSvdYAAAAJAQAADwAAAAAAAAABACAAAAAiAAAAZHJzL2Rvd25yZXYueG1sUEsBAhQAFAAAAAgA&#10;h07iQAm6bLwnAgAARgQAAA4AAAAAAAAAAQAgAAAAJQEAAGRycy9lMm9Eb2MueG1sUEsFBgAAAAAG&#10;AAYAWQEAAL4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764736" behindDoc="1" locked="0" layoutInCell="1" allowOverlap="1">
                <wp:simplePos x="0" y="0"/>
                <wp:positionH relativeFrom="column">
                  <wp:posOffset>2969260</wp:posOffset>
                </wp:positionH>
                <wp:positionV relativeFrom="paragraph">
                  <wp:posOffset>31115</wp:posOffset>
                </wp:positionV>
                <wp:extent cx="2355850" cy="1221105"/>
                <wp:effectExtent l="4445" t="4445" r="20955" b="1270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3.8pt;margin-top:2.45pt;height:96.15pt;width:185.5pt;z-index:-251551744;mso-width-relative:page;mso-height-relative:page;" fillcolor="#FFFFFF" filled="t" stroked="t" coordsize="21600,21600" o:gfxdata="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ePHo3XAAAACQEAAA8AAAAAAAAAAQAgAAAAIgAAAGRycy9kb3ducmV2LnhtbFBLAQIUABQAAAAI&#10;AIdO4kBedWiBJwIAAEYEAAAOAAAAAAAAAAEAIAAAACYBAABkcnMvZTJvRG9jLnhtbFBLBQYAAAAA&#10;BgAGAFkBAAC/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p>
    <w:p>
      <w:pPr>
        <w:spacing w:line="360" w:lineRule="auto"/>
        <w:ind w:firstLine="435"/>
        <w:rPr>
          <w:rFonts w:ascii="宋体" w:hAnsi="宋体"/>
          <w:color w:val="auto"/>
          <w:szCs w:val="21"/>
          <w:highlight w:val="none"/>
        </w:rPr>
      </w:pPr>
    </w:p>
    <w:p>
      <w:pPr>
        <w:spacing w:line="360" w:lineRule="auto"/>
        <w:ind w:firstLine="435"/>
        <w:rPr>
          <w:rFonts w:ascii="宋体" w:hAnsi="宋体"/>
          <w:color w:val="auto"/>
          <w:szCs w:val="21"/>
          <w:highlight w:val="none"/>
        </w:rPr>
      </w:pPr>
    </w:p>
    <w:p>
      <w:pPr>
        <w:spacing w:line="360" w:lineRule="auto"/>
        <w:ind w:firstLine="435"/>
        <w:rPr>
          <w:rFonts w:ascii="宋体" w:hAnsi="宋体"/>
          <w:color w:val="auto"/>
          <w:szCs w:val="21"/>
          <w:highlight w:val="none"/>
        </w:rPr>
      </w:pPr>
    </w:p>
    <w:p>
      <w:pPr>
        <w:spacing w:line="360" w:lineRule="auto"/>
        <w:ind w:firstLine="435"/>
        <w:rPr>
          <w:rFonts w:ascii="宋体" w:hAnsi="宋体"/>
          <w:color w:val="auto"/>
          <w:szCs w:val="21"/>
          <w:highlight w:val="none"/>
        </w:rPr>
      </w:pPr>
    </w:p>
    <w:p>
      <w:pPr>
        <w:spacing w:line="360" w:lineRule="auto"/>
        <w:ind w:firstLine="435"/>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872256" behindDoc="1" locked="0" layoutInCell="1" allowOverlap="1">
                <wp:simplePos x="0" y="0"/>
                <wp:positionH relativeFrom="column">
                  <wp:posOffset>2969260</wp:posOffset>
                </wp:positionH>
                <wp:positionV relativeFrom="paragraph">
                  <wp:posOffset>143510</wp:posOffset>
                </wp:positionV>
                <wp:extent cx="2355850" cy="1221105"/>
                <wp:effectExtent l="4445" t="4445" r="20955" b="12700"/>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委托代理人身份证（反面）复印件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3.8pt;margin-top:11.3pt;height:96.15pt;width:185.5pt;z-index:-251444224;mso-width-relative:page;mso-height-relative:page;" fillcolor="#FFFFFF" filled="t" stroked="t" coordsize="21600,21600" o:gfxdata="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tBolHYAAAACgEAAA8AAAAAAAAAAQAgAAAAIgAAAGRycy9kb3ducmV2LnhtbFBLAQIUABQA&#10;AAAIAIdO4kB66JEHKQIAAEgEAAAOAAAAAAAAAAEAIAAAACcBAABkcnMvZTJvRG9jLnhtbFBLBQYA&#10;AAAABgAGAFkBAADC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委托代理人身份证（反面）复印件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744256" behindDoc="0" locked="0" layoutInCell="1" allowOverlap="1">
                <wp:simplePos x="0" y="0"/>
                <wp:positionH relativeFrom="column">
                  <wp:posOffset>-116840</wp:posOffset>
                </wp:positionH>
                <wp:positionV relativeFrom="paragraph">
                  <wp:posOffset>153035</wp:posOffset>
                </wp:positionV>
                <wp:extent cx="2355850" cy="1221105"/>
                <wp:effectExtent l="4445" t="4445" r="20955" b="1270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2pt;margin-top:12.05pt;height:96.15pt;width:185.5pt;z-index:251744256;mso-width-relative:page;mso-height-relative:page;" fillcolor="#FFFFFF" filled="t" stroked="t" coordsize="21600,21600" o:gfxdata="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a1cFXZAAAACgEAAA8AAAAAAAAAAQAgAAAAIgAAAGRycy9kb3ducmV2LnhtbFBLAQIUABQA&#10;AAAIAIdO4kAjJCOHKAIAAEgEAAAOAAAAAAAAAAEAIAAAACgBAABkcnMvZTJvRG9jLnhtbFBLBQYA&#10;AAAABgAGAFkBAADC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委托代理人身份证（正面）复印件</w:t>
                      </w:r>
                    </w:p>
                    <w:p/>
                  </w:txbxContent>
                </v:textbox>
              </v:rect>
            </w:pict>
          </mc:Fallback>
        </mc:AlternateContent>
      </w:r>
    </w:p>
    <w:p>
      <w:pPr>
        <w:spacing w:line="360" w:lineRule="auto"/>
        <w:ind w:firstLine="435"/>
        <w:rPr>
          <w:rFonts w:ascii="宋体" w:hAnsi="宋体"/>
          <w:color w:val="auto"/>
          <w:szCs w:val="21"/>
          <w:highlight w:val="none"/>
        </w:rPr>
      </w:pPr>
    </w:p>
    <w:p>
      <w:pPr>
        <w:adjustRightInd w:val="0"/>
        <w:snapToGrid w:val="0"/>
        <w:spacing w:beforeLines="50" w:line="360" w:lineRule="auto"/>
        <w:ind w:firstLine="420" w:firstLineChars="20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959296" behindDoc="0" locked="0" layoutInCell="1" allowOverlap="1">
                <wp:simplePos x="0" y="0"/>
                <wp:positionH relativeFrom="column">
                  <wp:posOffset>-116840</wp:posOffset>
                </wp:positionH>
                <wp:positionV relativeFrom="paragraph">
                  <wp:posOffset>189865</wp:posOffset>
                </wp:positionV>
                <wp:extent cx="2355850" cy="1221105"/>
                <wp:effectExtent l="4445" t="4445" r="20955" b="12700"/>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2pt;margin-top:14.95pt;height:96.15pt;width:185.5pt;z-index:251959296;mso-width-relative:page;mso-height-relative:page;" fillcolor="#FFFFFF" filled="t" stroked="t" coordsize="21600,21600" o:gfxdata="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6AoEDYAAAACgEAAA8AAAAAAAAAAQAgAAAAIgAAAGRycy9kb3ducmV2LnhtbFBLAQIUABQA&#10;AAAIAIdO4kCJdoXdKQIAAEgEAAAOAAAAAAAAAAEAIAAAACcBAABkcnMvZTJvRG9jLnhtbFBLBQYA&#10;AAAABgAGAFkBAADC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b/>
          <w:color w:val="auto"/>
          <w:szCs w:val="21"/>
          <w:highlight w:val="none"/>
        </w:rPr>
        <w:t xml:space="preserve">备注：上述证件复印件可另附页，另附页时，证件复印件均须加盖单位公章。 </w:t>
      </w: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bookmarkStart w:id="158" w:name="_Toc2295"/>
      <w:bookmarkStart w:id="159" w:name="_Toc18944"/>
      <w:bookmarkStart w:id="160" w:name="_Toc11357"/>
      <w:r>
        <w:rPr>
          <w:rFonts w:hint="eastAsia" w:ascii="宋体" w:hAnsi="宋体"/>
          <w:color w:val="auto"/>
          <w:szCs w:val="21"/>
          <w:highlight w:val="none"/>
        </w:rPr>
        <w:t>谈判单位名称（盖单位章）：</w:t>
      </w:r>
      <w:r>
        <w:rPr>
          <w:rFonts w:hint="eastAsia"/>
          <w:color w:val="auto"/>
          <w:highlight w:val="none"/>
          <w:u w:val="single"/>
        </w:rPr>
        <w:t xml:space="preserve">    （盖单位章）    </w:t>
      </w:r>
    </w:p>
    <w:p>
      <w:pPr>
        <w:adjustRightInd w:val="0"/>
        <w:snapToGrid w:val="0"/>
        <w:spacing w:line="360" w:lineRule="auto"/>
        <w:ind w:right="420"/>
        <w:outlineLvl w:val="9"/>
        <w:rPr>
          <w:rFonts w:ascii="宋体" w:hAnsi="宋体"/>
          <w:color w:val="auto"/>
          <w:szCs w:val="21"/>
          <w:highlight w:val="none"/>
        </w:rPr>
      </w:pPr>
      <w:r>
        <w:rPr>
          <w:rFonts w:hint="eastAsia" w:ascii="宋体" w:hAnsi="宋体"/>
          <w:color w:val="auto"/>
          <w:szCs w:val="21"/>
          <w:highlight w:val="none"/>
        </w:rPr>
        <w:t>法定代表人（亲笔签字）：</w:t>
      </w:r>
      <w:r>
        <w:rPr>
          <w:rFonts w:hint="eastAsia" w:ascii="宋体" w:hAnsi="宋体"/>
          <w:color w:val="auto"/>
          <w:szCs w:val="21"/>
          <w:highlight w:val="none"/>
          <w:u w:val="single"/>
        </w:rPr>
        <w:t xml:space="preserve">               </w:t>
      </w:r>
    </w:p>
    <w:p>
      <w:pPr>
        <w:adjustRightInd w:val="0"/>
        <w:snapToGrid w:val="0"/>
        <w:spacing w:line="360" w:lineRule="auto"/>
        <w:ind w:right="420"/>
        <w:outlineLvl w:val="9"/>
        <w:rPr>
          <w:rFonts w:ascii="宋体" w:hAnsi="宋体"/>
          <w:color w:val="auto"/>
          <w:szCs w:val="21"/>
          <w:highlight w:val="none"/>
        </w:rPr>
      </w:pPr>
      <w:r>
        <w:rPr>
          <w:rFonts w:hint="eastAsia" w:ascii="宋体" w:hAnsi="宋体"/>
          <w:color w:val="auto"/>
          <w:szCs w:val="21"/>
          <w:highlight w:val="none"/>
        </w:rPr>
        <w:t>委托代理人（亲笔签字）：</w:t>
      </w:r>
      <w:r>
        <w:rPr>
          <w:rFonts w:hint="eastAsia" w:ascii="宋体" w:hAnsi="宋体"/>
          <w:color w:val="auto"/>
          <w:szCs w:val="21"/>
          <w:highlight w:val="none"/>
          <w:u w:val="single"/>
        </w:rPr>
        <w:t xml:space="preserve">               </w:t>
      </w:r>
    </w:p>
    <w:p>
      <w:pPr>
        <w:spacing w:line="360" w:lineRule="auto"/>
        <w:outlineLvl w:val="9"/>
        <w:rPr>
          <w:rFonts w:ascii="宋体" w:hAnsi="宋体"/>
          <w:color w:val="auto"/>
          <w:szCs w:val="21"/>
          <w:highlight w:val="none"/>
        </w:rPr>
        <w:sectPr>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color w:val="auto"/>
          <w:highlight w:val="none"/>
        </w:rPr>
        <w:t>日期</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ascii="宋体" w:hAnsi="宋体" w:cs="宋体"/>
          <w:b/>
          <w:color w:val="auto"/>
          <w:sz w:val="32"/>
          <w:szCs w:val="32"/>
          <w:highlight w:val="none"/>
        </w:rPr>
      </w:pPr>
      <w:bookmarkStart w:id="161" w:name="_Toc6258"/>
      <w:r>
        <w:rPr>
          <w:rFonts w:hint="eastAsia" w:ascii="宋体" w:hAnsi="宋体" w:cs="宋体"/>
          <w:b/>
          <w:color w:val="auto"/>
          <w:sz w:val="32"/>
          <w:szCs w:val="32"/>
          <w:highlight w:val="none"/>
        </w:rPr>
        <w:t>四、谈判单位资格条件证明文件</w:t>
      </w:r>
      <w:bookmarkEnd w:id="158"/>
      <w:bookmarkEnd w:id="159"/>
      <w:bookmarkEnd w:id="160"/>
      <w:bookmarkEnd w:id="161"/>
    </w:p>
    <w:p>
      <w:pPr>
        <w:adjustRightInd w:val="0"/>
        <w:snapToGrid w:val="0"/>
        <w:spacing w:line="360" w:lineRule="auto"/>
        <w:rPr>
          <w:rFonts w:ascii="仿宋" w:hAnsi="仿宋" w:eastAsia="仿宋"/>
          <w:bCs/>
          <w:color w:val="auto"/>
          <w:szCs w:val="21"/>
          <w:highlight w:val="none"/>
        </w:rPr>
      </w:pP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根据本谈判文件</w:t>
      </w:r>
      <w:r>
        <w:rPr>
          <w:rFonts w:hint="eastAsia" w:ascii="宋体" w:hAnsi="宋体"/>
          <w:b/>
          <w:bCs/>
          <w:color w:val="auto"/>
          <w:szCs w:val="21"/>
          <w:highlight w:val="none"/>
        </w:rPr>
        <w:t>前附表</w:t>
      </w:r>
      <w:r>
        <w:rPr>
          <w:rFonts w:hint="eastAsia" w:ascii="宋体" w:hAnsi="宋体"/>
          <w:bCs/>
          <w:color w:val="auto"/>
          <w:szCs w:val="21"/>
          <w:highlight w:val="none"/>
        </w:rPr>
        <w:t>内的资格要求，本章节须附下列证明文件：</w:t>
      </w:r>
    </w:p>
    <w:p>
      <w:pPr>
        <w:spacing w:line="360" w:lineRule="auto"/>
        <w:ind w:firstLine="420" w:firstLineChars="200"/>
        <w:rPr>
          <w:rFonts w:ascii="宋体" w:hAnsi="宋体" w:cs="宋体"/>
          <w:iCs/>
          <w:color w:val="auto"/>
          <w:highlight w:val="none"/>
        </w:rPr>
      </w:pPr>
      <w:r>
        <w:rPr>
          <w:rFonts w:hint="eastAsia" w:ascii="宋体" w:hAnsi="宋体" w:cs="宋体"/>
          <w:iCs/>
          <w:color w:val="auto"/>
          <w:highlight w:val="none"/>
        </w:rPr>
        <w:t>1.谈判单位营</w:t>
      </w:r>
      <w:r>
        <w:rPr>
          <w:rFonts w:hint="eastAsia" w:ascii="宋体" w:hAnsi="宋体" w:cs="宋体"/>
          <w:color w:val="auto"/>
          <w:szCs w:val="21"/>
          <w:highlight w:val="none"/>
        </w:rPr>
        <w:t>须提供加盖谈判单位公章的营业执照</w:t>
      </w:r>
      <w:r>
        <w:rPr>
          <w:rFonts w:hint="eastAsia" w:ascii="宋体" w:hAnsi="宋体" w:cs="宋体"/>
          <w:color w:val="auto"/>
          <w:szCs w:val="21"/>
          <w:highlight w:val="none"/>
          <w:lang w:eastAsia="zh-CN"/>
        </w:rPr>
        <w:t>或</w:t>
      </w:r>
      <w:r>
        <w:rPr>
          <w:rFonts w:hint="eastAsia" w:ascii="宋体" w:hAnsi="宋体" w:cs="宋体"/>
          <w:color w:val="auto"/>
          <w:szCs w:val="21"/>
          <w:highlight w:val="none"/>
        </w:rPr>
        <w:t>事业单位法人证书复印件</w:t>
      </w:r>
      <w:r>
        <w:rPr>
          <w:rFonts w:hint="eastAsia" w:ascii="宋体" w:hAnsi="宋体" w:cs="宋体"/>
          <w:iCs/>
          <w:color w:val="auto"/>
          <w:highlight w:val="none"/>
        </w:rPr>
        <w:t>。</w:t>
      </w:r>
    </w:p>
    <w:p>
      <w:pPr>
        <w:spacing w:line="360" w:lineRule="auto"/>
        <w:ind w:firstLine="420" w:firstLineChars="200"/>
        <w:rPr>
          <w:rFonts w:ascii="宋体" w:hAnsi="宋体" w:cs="宋体"/>
          <w:iCs/>
          <w:color w:val="auto"/>
          <w:highlight w:val="none"/>
        </w:rPr>
      </w:pPr>
      <w:r>
        <w:rPr>
          <w:rFonts w:hint="eastAsia" w:ascii="宋体" w:hAnsi="宋体" w:cs="宋体"/>
          <w:iCs/>
          <w:color w:val="auto"/>
          <w:highlight w:val="none"/>
        </w:rPr>
        <w:t>2.谈判单位在本项目谈判截止之日前36个月内单项合同金额不少于30万元的计量器具检测服务业绩。不接受联合体业绩、港澳台或境外业绩。</w:t>
      </w:r>
    </w:p>
    <w:p>
      <w:pPr>
        <w:spacing w:line="360" w:lineRule="auto"/>
        <w:ind w:firstLine="420" w:firstLineChars="200"/>
        <w:rPr>
          <w:rFonts w:ascii="宋体" w:hAnsi="宋体" w:cs="宋体"/>
          <w:iCs/>
          <w:color w:val="auto"/>
          <w:highlight w:val="none"/>
        </w:rPr>
      </w:pPr>
      <w:r>
        <w:rPr>
          <w:rFonts w:hint="eastAsia" w:ascii="宋体" w:hAnsi="宋体" w:cs="宋体"/>
          <w:iCs/>
          <w:color w:val="auto"/>
          <w:highlight w:val="none"/>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420" w:firstLineChars="200"/>
        <w:rPr>
          <w:rFonts w:ascii="宋体" w:hAnsi="宋体" w:cs="宋体"/>
          <w:iCs/>
          <w:color w:val="auto"/>
          <w:highlight w:val="none"/>
        </w:rPr>
      </w:pPr>
      <w:r>
        <w:rPr>
          <w:rFonts w:hint="eastAsia" w:ascii="宋体" w:hAnsi="宋体" w:cs="宋体"/>
          <w:iCs/>
          <w:color w:val="auto"/>
          <w:highlight w:val="none"/>
        </w:rPr>
        <w:t>3.谈判单位须具有中国合格评定国家认可委员会颁发的检测或校准实验室认可资质（CNAS资质），且提供CNAS认可证书及检测范围附件原件。</w:t>
      </w:r>
    </w:p>
    <w:p>
      <w:pPr>
        <w:spacing w:line="360" w:lineRule="auto"/>
        <w:ind w:firstLine="420" w:firstLineChars="200"/>
        <w:rPr>
          <w:rFonts w:hint="eastAsia" w:ascii="宋体" w:hAnsi="宋体" w:cs="宋体"/>
          <w:iCs/>
          <w:color w:val="auto"/>
          <w:highlight w:val="none"/>
        </w:rPr>
      </w:pPr>
      <w:r>
        <w:rPr>
          <w:rFonts w:hint="eastAsia" w:ascii="宋体" w:hAnsi="宋体" w:cs="宋体"/>
          <w:iCs/>
          <w:color w:val="auto"/>
          <w:highlight w:val="none"/>
        </w:rPr>
        <w:t>谈判单位所提供的资质证书及相关附件，所载明的检测范围须涵盖本项目检测清单总项数的50%（不含）以上，具体详见附表1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1、2、3、4、5号线2020年-2021年计量器具委外检测清单评审表</w:t>
      </w:r>
      <w:r>
        <w:rPr>
          <w:rFonts w:hint="eastAsia" w:ascii="宋体" w:hAnsi="宋体" w:eastAsia="宋体" w:cs="宋体"/>
          <w:color w:val="auto"/>
          <w:sz w:val="21"/>
          <w:szCs w:val="21"/>
          <w:highlight w:val="none"/>
          <w:lang w:eastAsia="zh-CN"/>
        </w:rPr>
        <w:t>》</w:t>
      </w:r>
      <w:r>
        <w:rPr>
          <w:rFonts w:hint="eastAsia" w:ascii="宋体" w:hAnsi="宋体" w:cs="宋体"/>
          <w:iCs/>
          <w:color w:val="auto"/>
          <w:highlight w:val="none"/>
        </w:rPr>
        <w:t>。</w:t>
      </w:r>
    </w:p>
    <w:p>
      <w:pPr>
        <w:spacing w:line="360" w:lineRule="auto"/>
        <w:ind w:firstLine="420" w:firstLineChars="200"/>
        <w:rPr>
          <w:rFonts w:ascii="宋体" w:hAnsi="宋体" w:cs="宋体"/>
          <w:iCs/>
          <w:color w:val="auto"/>
          <w:highlight w:val="none"/>
        </w:rPr>
      </w:pPr>
      <w:r>
        <w:rPr>
          <w:rFonts w:hint="eastAsia" w:ascii="宋体" w:hAnsi="宋体" w:cs="宋体"/>
          <w:iCs/>
          <w:color w:val="auto"/>
          <w:highlight w:val="none"/>
          <w:lang w:val="en-US" w:eastAsia="zh-CN"/>
        </w:rPr>
        <w:t>4</w:t>
      </w:r>
      <w:r>
        <w:rPr>
          <w:rFonts w:hint="eastAsia" w:ascii="宋体" w:hAnsi="宋体" w:cs="宋体"/>
          <w:iCs/>
          <w:color w:val="auto"/>
          <w:highlight w:val="none"/>
        </w:rPr>
        <w:t>.</w:t>
      </w:r>
      <w:r>
        <w:rPr>
          <w:rFonts w:hint="eastAsia" w:ascii="宋体" w:hAnsi="宋体" w:cs="宋体"/>
          <w:color w:val="auto"/>
          <w:szCs w:val="21"/>
          <w:highlight w:val="none"/>
          <w:lang w:eastAsia="zh-CN"/>
        </w:rPr>
        <w:t>谈判单位</w:t>
      </w:r>
      <w:r>
        <w:rPr>
          <w:rFonts w:hint="eastAsia" w:ascii="宋体" w:hAnsi="宋体" w:cs="宋体"/>
          <w:color w:val="auto"/>
          <w:szCs w:val="21"/>
          <w:highlight w:val="none"/>
        </w:rPr>
        <w:t>拟投入本</w:t>
      </w:r>
      <w:bookmarkStart w:id="173" w:name="_GoBack"/>
      <w:bookmarkEnd w:id="173"/>
      <w:r>
        <w:rPr>
          <w:rFonts w:hint="eastAsia" w:ascii="宋体" w:hAnsi="宋体" w:cs="宋体"/>
          <w:color w:val="auto"/>
          <w:szCs w:val="21"/>
          <w:highlight w:val="none"/>
        </w:rPr>
        <w:t>项目的项目服务人员须满足最低配备要求，详见</w:t>
      </w:r>
      <w:r>
        <w:rPr>
          <w:rFonts w:hint="eastAsia" w:ascii="宋体" w:hAnsi="宋体" w:cs="宋体"/>
          <w:color w:val="auto"/>
          <w:szCs w:val="21"/>
          <w:highlight w:val="none"/>
          <w:lang w:eastAsia="zh-CN"/>
        </w:rPr>
        <w:t>谈判邀请</w:t>
      </w:r>
      <w:r>
        <w:rPr>
          <w:rFonts w:hint="eastAsia" w:ascii="宋体" w:hAnsi="宋体" w:cs="宋体"/>
          <w:color w:val="auto"/>
          <w:szCs w:val="21"/>
          <w:highlight w:val="none"/>
        </w:rPr>
        <w:t>公告附表2《项目人员最低配备要求表》</w:t>
      </w:r>
      <w:r>
        <w:rPr>
          <w:rFonts w:hint="eastAsia" w:ascii="宋体" w:hAnsi="宋体" w:cs="宋体"/>
          <w:iCs/>
          <w:color w:val="auto"/>
          <w:highlight w:val="none"/>
        </w:rPr>
        <w:t>。</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s="宋体"/>
          <w:color w:val="auto"/>
          <w:kern w:val="0"/>
          <w:szCs w:val="21"/>
          <w:highlight w:val="none"/>
        </w:rPr>
        <w:t>谈判单位认为与本项目资格条件有关的其它证明文件（如有，格式自拟）。</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备注：</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1、上述证明文件复印件均须加盖谈判单位公章。</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2、上述证明文件如须递交原件的，应用文件袋单独包装，在响应文件递交的同时一并提交。</w:t>
      </w:r>
    </w:p>
    <w:p>
      <w:pPr>
        <w:pStyle w:val="2"/>
        <w:rPr>
          <w:color w:val="auto"/>
          <w:highlight w:val="none"/>
        </w:rPr>
      </w:pPr>
    </w:p>
    <w:p>
      <w:pPr>
        <w:pStyle w:val="2"/>
        <w:rPr>
          <w:color w:val="auto"/>
          <w:highlight w:val="none"/>
        </w:rPr>
        <w:sectPr>
          <w:pgSz w:w="11906" w:h="16838"/>
          <w:pgMar w:top="1440" w:right="1797" w:bottom="1440" w:left="1797" w:header="851" w:footer="851" w:gutter="0"/>
          <w:pgNumType w:fmt="decimal"/>
          <w:cols w:space="720" w:num="1"/>
        </w:sectPr>
      </w:pPr>
    </w:p>
    <w:p>
      <w:pPr>
        <w:adjustRightInd w:val="0"/>
        <w:snapToGrid w:val="0"/>
        <w:spacing w:line="360" w:lineRule="auto"/>
        <w:ind w:right="24"/>
        <w:jc w:val="center"/>
        <w:outlineLvl w:val="1"/>
        <w:rPr>
          <w:rFonts w:ascii="黑体" w:hAnsi="宋体" w:eastAsia="黑体"/>
          <w:b/>
          <w:color w:val="auto"/>
          <w:sz w:val="28"/>
          <w:szCs w:val="28"/>
          <w:highlight w:val="none"/>
        </w:rPr>
      </w:pPr>
      <w:bookmarkStart w:id="162" w:name="_Toc32"/>
      <w:bookmarkStart w:id="163" w:name="_Toc15835"/>
      <w:bookmarkStart w:id="164" w:name="_Toc25553"/>
      <w:bookmarkStart w:id="165" w:name="_Toc5387"/>
      <w:r>
        <w:rPr>
          <w:rFonts w:hint="eastAsia" w:ascii="宋体" w:hAnsi="宋体" w:cs="宋体"/>
          <w:b/>
          <w:color w:val="auto"/>
          <w:sz w:val="32"/>
          <w:szCs w:val="32"/>
          <w:highlight w:val="none"/>
          <w:lang w:eastAsia="zh-CN"/>
        </w:rPr>
        <w:t>五</w:t>
      </w:r>
      <w:r>
        <w:rPr>
          <w:rFonts w:hint="eastAsia" w:ascii="宋体" w:hAnsi="宋体" w:cs="宋体"/>
          <w:b/>
          <w:color w:val="auto"/>
          <w:sz w:val="32"/>
          <w:szCs w:val="32"/>
          <w:highlight w:val="none"/>
        </w:rPr>
        <w:t>、报价一览表</w:t>
      </w:r>
      <w:bookmarkEnd w:id="162"/>
      <w:bookmarkEnd w:id="163"/>
      <w:bookmarkEnd w:id="164"/>
      <w:bookmarkEnd w:id="165"/>
    </w:p>
    <w:p>
      <w:pPr>
        <w:adjustRightInd w:val="0"/>
        <w:snapToGrid w:val="0"/>
        <w:jc w:val="right"/>
        <w:rPr>
          <w:rFonts w:ascii="黑体" w:hAnsi="宋体" w:eastAsia="黑体"/>
          <w:color w:val="auto"/>
          <w:sz w:val="24"/>
          <w:highlight w:val="none"/>
        </w:rPr>
      </w:pPr>
    </w:p>
    <w:tbl>
      <w:tblPr>
        <w:tblStyle w:val="19"/>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42"/>
        <w:gridCol w:w="3478"/>
        <w:gridCol w:w="3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1742" w:type="dxa"/>
            <w:vAlign w:val="center"/>
          </w:tcPr>
          <w:p>
            <w:pPr>
              <w:tabs>
                <w:tab w:val="left" w:pos="403"/>
                <w:tab w:val="center" w:pos="3781"/>
              </w:tabs>
              <w:spacing w:line="420" w:lineRule="exact"/>
              <w:ind w:right="-5206" w:rightChars="-2479" w:firstLine="315" w:firstLineChars="150"/>
              <w:rPr>
                <w:rFonts w:ascii="宋体" w:hAnsi="宋体"/>
                <w:color w:val="auto"/>
                <w:szCs w:val="21"/>
                <w:highlight w:val="none"/>
              </w:rPr>
            </w:pPr>
            <w:r>
              <w:rPr>
                <w:rFonts w:ascii="宋体" w:hAnsi="宋体"/>
                <w:color w:val="auto"/>
                <w:szCs w:val="21"/>
                <w:highlight w:val="none"/>
              </w:rPr>
              <w:t>项目名称</w:t>
            </w:r>
            <w:r>
              <w:rPr>
                <w:rFonts w:ascii="宋体" w:hAnsi="宋体"/>
                <w:color w:val="auto"/>
                <w:szCs w:val="21"/>
                <w:highlight w:val="none"/>
              </w:rPr>
              <w:tab/>
            </w:r>
            <w:r>
              <w:rPr>
                <w:rFonts w:ascii="宋体" w:hAnsi="宋体"/>
                <w:color w:val="auto"/>
                <w:szCs w:val="21"/>
                <w:highlight w:val="none"/>
              </w:rPr>
              <w:t>项目名称</w:t>
            </w:r>
          </w:p>
        </w:tc>
        <w:tc>
          <w:tcPr>
            <w:tcW w:w="7078" w:type="dxa"/>
            <w:gridSpan w:val="2"/>
            <w:vAlign w:val="center"/>
          </w:tcPr>
          <w:p>
            <w:pPr>
              <w:spacing w:line="42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742" w:type="dxa"/>
            <w:vAlign w:val="center"/>
          </w:tcPr>
          <w:p>
            <w:pPr>
              <w:tabs>
                <w:tab w:val="left" w:pos="403"/>
                <w:tab w:val="center" w:pos="3781"/>
              </w:tabs>
              <w:spacing w:line="420" w:lineRule="exact"/>
              <w:ind w:right="-5206" w:rightChars="-2479" w:firstLine="315" w:firstLineChars="150"/>
              <w:rPr>
                <w:rFonts w:ascii="宋体" w:hAnsi="宋体"/>
                <w:color w:val="auto"/>
                <w:szCs w:val="21"/>
                <w:highlight w:val="none"/>
              </w:rPr>
            </w:pPr>
            <w:r>
              <w:rPr>
                <w:rFonts w:hint="eastAsia" w:ascii="宋体" w:hAnsi="宋体"/>
                <w:color w:val="auto"/>
                <w:szCs w:val="21"/>
                <w:highlight w:val="none"/>
              </w:rPr>
              <w:t>项目</w:t>
            </w:r>
            <w:r>
              <w:rPr>
                <w:rFonts w:ascii="宋体" w:hAnsi="宋体"/>
                <w:color w:val="auto"/>
                <w:szCs w:val="21"/>
                <w:highlight w:val="none"/>
              </w:rPr>
              <w:t>编号</w:t>
            </w:r>
          </w:p>
        </w:tc>
        <w:tc>
          <w:tcPr>
            <w:tcW w:w="7078" w:type="dxa"/>
            <w:gridSpan w:val="2"/>
            <w:vAlign w:val="center"/>
          </w:tcPr>
          <w:p>
            <w:pPr>
              <w:spacing w:line="42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742" w:type="dxa"/>
            <w:vAlign w:val="center"/>
          </w:tcPr>
          <w:p>
            <w:pPr>
              <w:spacing w:line="420" w:lineRule="exact"/>
              <w:jc w:val="center"/>
              <w:rPr>
                <w:rFonts w:ascii="宋体" w:hAnsi="宋体"/>
                <w:color w:val="auto"/>
                <w:szCs w:val="21"/>
                <w:highlight w:val="none"/>
              </w:rPr>
            </w:pPr>
            <w:r>
              <w:rPr>
                <w:rFonts w:hint="eastAsia" w:ascii="宋体" w:hAnsi="宋体"/>
                <w:color w:val="auto"/>
                <w:szCs w:val="21"/>
                <w:highlight w:val="none"/>
              </w:rPr>
              <w:t>服务期限</w:t>
            </w:r>
          </w:p>
        </w:tc>
        <w:tc>
          <w:tcPr>
            <w:tcW w:w="7078" w:type="dxa"/>
            <w:gridSpan w:val="2"/>
            <w:vAlign w:val="center"/>
          </w:tcPr>
          <w:p>
            <w:pP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742" w:type="dxa"/>
            <w:vAlign w:val="center"/>
          </w:tcPr>
          <w:p>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①1号线报价</w:t>
            </w:r>
          </w:p>
        </w:tc>
        <w:tc>
          <w:tcPr>
            <w:tcW w:w="3478" w:type="dxa"/>
            <w:vAlign w:val="center"/>
          </w:tcPr>
          <w:p>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c>
          <w:tcPr>
            <w:tcW w:w="3600" w:type="dxa"/>
            <w:vAlign w:val="center"/>
          </w:tcPr>
          <w:p>
            <w:pPr>
              <w:spacing w:line="42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742" w:type="dxa"/>
            <w:vAlign w:val="center"/>
          </w:tcPr>
          <w:p>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②2号线报价</w:t>
            </w:r>
          </w:p>
        </w:tc>
        <w:tc>
          <w:tcPr>
            <w:tcW w:w="3478" w:type="dxa"/>
            <w:vAlign w:val="center"/>
          </w:tcPr>
          <w:p>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c>
          <w:tcPr>
            <w:tcW w:w="3600" w:type="dxa"/>
            <w:vAlign w:val="center"/>
          </w:tcPr>
          <w:p>
            <w:pPr>
              <w:spacing w:line="42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742" w:type="dxa"/>
            <w:vAlign w:val="center"/>
          </w:tcPr>
          <w:p>
            <w:pPr>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③</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号线报价</w:t>
            </w:r>
          </w:p>
        </w:tc>
        <w:tc>
          <w:tcPr>
            <w:tcW w:w="3478" w:type="dxa"/>
            <w:vAlign w:val="center"/>
          </w:tcPr>
          <w:p>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c>
          <w:tcPr>
            <w:tcW w:w="3600" w:type="dxa"/>
            <w:vAlign w:val="center"/>
          </w:tcPr>
          <w:p>
            <w:pPr>
              <w:spacing w:line="42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742" w:type="dxa"/>
            <w:vAlign w:val="center"/>
          </w:tcPr>
          <w:p>
            <w:pPr>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号线报价</w:t>
            </w:r>
          </w:p>
        </w:tc>
        <w:tc>
          <w:tcPr>
            <w:tcW w:w="3478" w:type="dxa"/>
            <w:vAlign w:val="center"/>
          </w:tcPr>
          <w:p>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c>
          <w:tcPr>
            <w:tcW w:w="3600" w:type="dxa"/>
            <w:vAlign w:val="center"/>
          </w:tcPr>
          <w:p>
            <w:pPr>
              <w:spacing w:line="42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742" w:type="dxa"/>
            <w:vAlign w:val="center"/>
          </w:tcPr>
          <w:p>
            <w:pPr>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⑤</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号线报价</w:t>
            </w:r>
          </w:p>
        </w:tc>
        <w:tc>
          <w:tcPr>
            <w:tcW w:w="3478" w:type="dxa"/>
            <w:vAlign w:val="center"/>
          </w:tcPr>
          <w:p>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c>
          <w:tcPr>
            <w:tcW w:w="3600" w:type="dxa"/>
            <w:vAlign w:val="center"/>
          </w:tcPr>
          <w:p>
            <w:pPr>
              <w:spacing w:line="42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742" w:type="dxa"/>
            <w:vAlign w:val="center"/>
          </w:tcPr>
          <w:p>
            <w:pPr>
              <w:spacing w:line="420" w:lineRule="exact"/>
              <w:jc w:val="center"/>
              <w:rPr>
                <w:rFonts w:ascii="宋体" w:hAnsi="宋体"/>
                <w:b/>
                <w:color w:val="auto"/>
                <w:szCs w:val="21"/>
                <w:highlight w:val="none"/>
              </w:rPr>
            </w:pPr>
            <w:r>
              <w:rPr>
                <w:rFonts w:hint="eastAsia" w:ascii="宋体" w:hAnsi="宋体" w:cs="宋体"/>
                <w:b/>
                <w:bCs/>
                <w:color w:val="auto"/>
                <w:szCs w:val="21"/>
                <w:highlight w:val="none"/>
                <w:lang w:eastAsia="zh-CN"/>
              </w:rPr>
              <w:t>①</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eastAsia="zh-CN"/>
              </w:rPr>
              <w:t>②</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eastAsia="zh-CN"/>
              </w:rPr>
              <w:t>③</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eastAsia="zh-CN"/>
              </w:rPr>
              <w:t>④</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eastAsia="zh-CN"/>
              </w:rPr>
              <w:t>⑤</w:t>
            </w:r>
            <w:r>
              <w:rPr>
                <w:rFonts w:hint="eastAsia" w:ascii="宋体" w:hAnsi="宋体"/>
                <w:b/>
                <w:bCs/>
                <w:color w:val="auto"/>
                <w:szCs w:val="21"/>
                <w:highlight w:val="none"/>
              </w:rPr>
              <w:t>谈判</w:t>
            </w:r>
            <w:r>
              <w:rPr>
                <w:rFonts w:ascii="宋体" w:hAnsi="宋体"/>
                <w:b/>
                <w:bCs/>
                <w:color w:val="auto"/>
                <w:szCs w:val="21"/>
                <w:highlight w:val="none"/>
              </w:rPr>
              <w:t>总报价</w:t>
            </w:r>
          </w:p>
        </w:tc>
        <w:tc>
          <w:tcPr>
            <w:tcW w:w="3478" w:type="dxa"/>
            <w:vAlign w:val="center"/>
          </w:tcPr>
          <w:p>
            <w:pPr>
              <w:jc w:val="center"/>
              <w:rPr>
                <w:rFonts w:ascii="宋体" w:hAnsi="宋体"/>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c>
          <w:tcPr>
            <w:tcW w:w="3600" w:type="dxa"/>
            <w:vAlign w:val="center"/>
          </w:tcPr>
          <w:p>
            <w:pPr>
              <w:spacing w:line="420" w:lineRule="exact"/>
              <w:jc w:val="center"/>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742" w:type="dxa"/>
            <w:vAlign w:val="center"/>
          </w:tcPr>
          <w:p>
            <w:pPr>
              <w:spacing w:line="420" w:lineRule="exact"/>
              <w:jc w:val="center"/>
              <w:rPr>
                <w:rFonts w:ascii="宋体" w:hAnsi="宋体"/>
                <w:color w:val="auto"/>
                <w:szCs w:val="21"/>
                <w:highlight w:val="none"/>
              </w:rPr>
            </w:pPr>
            <w:r>
              <w:rPr>
                <w:rFonts w:ascii="宋体" w:hAnsi="宋体"/>
                <w:color w:val="auto"/>
                <w:szCs w:val="21"/>
                <w:highlight w:val="none"/>
              </w:rPr>
              <w:t>备  注</w:t>
            </w:r>
          </w:p>
        </w:tc>
        <w:tc>
          <w:tcPr>
            <w:tcW w:w="7078" w:type="dxa"/>
            <w:gridSpan w:val="2"/>
            <w:vAlign w:val="center"/>
          </w:tcPr>
          <w:p>
            <w:pPr>
              <w:spacing w:line="420" w:lineRule="exact"/>
              <w:rPr>
                <w:rFonts w:ascii="宋体" w:hAnsi="宋体"/>
                <w:color w:val="auto"/>
                <w:szCs w:val="21"/>
                <w:highlight w:val="none"/>
              </w:rPr>
            </w:pPr>
          </w:p>
        </w:tc>
      </w:tr>
    </w:tbl>
    <w:p>
      <w:pPr>
        <w:spacing w:line="360" w:lineRule="auto"/>
        <w:rPr>
          <w:rFonts w:hint="eastAsia" w:hAnsi="宋体" w:cs="宋体"/>
          <w:b/>
          <w:color w:val="auto"/>
          <w:szCs w:val="21"/>
          <w:highlight w:val="none"/>
        </w:rPr>
      </w:pPr>
      <w:r>
        <w:rPr>
          <w:rFonts w:hint="eastAsia" w:hAnsi="宋体" w:cs="宋体"/>
          <w:b/>
          <w:color w:val="auto"/>
          <w:szCs w:val="21"/>
          <w:highlight w:val="none"/>
        </w:rPr>
        <w:t>备注：1、所有报价保留小数点后两位，小数点后第三位“四舍五入”。</w:t>
      </w:r>
    </w:p>
    <w:p>
      <w:pPr>
        <w:spacing w:line="360" w:lineRule="auto"/>
        <w:ind w:left="630" w:leftChars="300" w:firstLine="0" w:firstLineChars="0"/>
        <w:rPr>
          <w:rFonts w:hint="eastAsia" w:hAnsi="宋体" w:cs="宋体"/>
          <w:b/>
          <w:color w:val="auto"/>
          <w:szCs w:val="21"/>
          <w:highlight w:val="none"/>
        </w:rPr>
      </w:pPr>
      <w:r>
        <w:rPr>
          <w:rFonts w:hint="eastAsia" w:hAnsi="宋体" w:cs="宋体"/>
          <w:b/>
          <w:color w:val="auto"/>
          <w:szCs w:val="21"/>
          <w:highlight w:val="none"/>
        </w:rPr>
        <w:t>2、</w:t>
      </w:r>
      <w:r>
        <w:rPr>
          <w:rFonts w:hint="eastAsia" w:hAnsi="宋体" w:cs="宋体"/>
          <w:b/>
          <w:color w:val="auto"/>
          <w:szCs w:val="21"/>
          <w:highlight w:val="none"/>
          <w:lang w:eastAsia="zh-CN"/>
        </w:rPr>
        <w:t>谈判</w:t>
      </w:r>
      <w:r>
        <w:rPr>
          <w:rFonts w:hint="eastAsia" w:hAnsi="宋体" w:cs="宋体"/>
          <w:b/>
          <w:color w:val="auto"/>
          <w:szCs w:val="21"/>
          <w:highlight w:val="none"/>
        </w:rPr>
        <w:t>总报价已包含了</w:t>
      </w:r>
      <w:r>
        <w:rPr>
          <w:rFonts w:hint="eastAsia" w:hAnsi="宋体" w:cs="宋体"/>
          <w:b/>
          <w:color w:val="auto"/>
          <w:szCs w:val="21"/>
          <w:highlight w:val="none"/>
          <w:lang w:eastAsia="zh-CN"/>
        </w:rPr>
        <w:t>谈判</w:t>
      </w:r>
      <w:r>
        <w:rPr>
          <w:rFonts w:hint="eastAsia" w:hAnsi="宋体" w:cs="宋体"/>
          <w:b/>
          <w:color w:val="auto"/>
          <w:szCs w:val="21"/>
          <w:highlight w:val="none"/>
        </w:rPr>
        <w:t>文件要求的所有内容及要求。</w:t>
      </w:r>
      <w:r>
        <w:rPr>
          <w:rFonts w:hint="eastAsia" w:hAnsi="宋体" w:cs="宋体"/>
          <w:b/>
          <w:color w:val="auto"/>
          <w:szCs w:val="21"/>
          <w:highlight w:val="none"/>
          <w:lang w:eastAsia="zh-CN"/>
        </w:rPr>
        <w:t>谈判</w:t>
      </w:r>
      <w:r>
        <w:rPr>
          <w:rFonts w:hint="eastAsia" w:hAnsi="宋体" w:cs="宋体"/>
          <w:b/>
          <w:color w:val="auto"/>
          <w:szCs w:val="21"/>
          <w:highlight w:val="none"/>
        </w:rPr>
        <w:t>报价表中未具体列明的，但在合同执行阶段可能发生的一切费用已经包含在</w:t>
      </w:r>
      <w:r>
        <w:rPr>
          <w:rFonts w:hint="eastAsia" w:hAnsi="宋体" w:cs="宋体"/>
          <w:b/>
          <w:color w:val="auto"/>
          <w:szCs w:val="21"/>
          <w:highlight w:val="none"/>
          <w:lang w:eastAsia="zh-CN"/>
        </w:rPr>
        <w:t>谈判</w:t>
      </w:r>
      <w:r>
        <w:rPr>
          <w:rFonts w:hint="eastAsia" w:hAnsi="宋体" w:cs="宋体"/>
          <w:b/>
          <w:color w:val="auto"/>
          <w:szCs w:val="21"/>
          <w:highlight w:val="none"/>
        </w:rPr>
        <w:t>报价中。</w:t>
      </w:r>
    </w:p>
    <w:p>
      <w:pPr>
        <w:spacing w:line="360" w:lineRule="auto"/>
        <w:ind w:firstLine="632" w:firstLineChars="300"/>
        <w:rPr>
          <w:rFonts w:hint="eastAsia" w:hAnsi="宋体" w:cs="宋体"/>
          <w:b/>
          <w:color w:val="auto"/>
          <w:szCs w:val="21"/>
          <w:highlight w:val="none"/>
        </w:rPr>
      </w:pPr>
      <w:r>
        <w:rPr>
          <w:rFonts w:hint="eastAsia" w:hAnsi="宋体" w:cs="宋体"/>
          <w:b/>
          <w:color w:val="auto"/>
          <w:szCs w:val="21"/>
          <w:highlight w:val="none"/>
        </w:rPr>
        <w:t>3、如果不提供详细</w:t>
      </w:r>
      <w:r>
        <w:rPr>
          <w:rFonts w:hint="eastAsia" w:hAnsi="宋体" w:cs="宋体"/>
          <w:b/>
          <w:color w:val="auto"/>
          <w:szCs w:val="21"/>
          <w:highlight w:val="none"/>
          <w:lang w:eastAsia="zh-CN"/>
        </w:rPr>
        <w:t>谈判</w:t>
      </w:r>
      <w:r>
        <w:rPr>
          <w:rFonts w:hint="eastAsia" w:hAnsi="宋体" w:cs="宋体"/>
          <w:b/>
          <w:color w:val="auto"/>
          <w:szCs w:val="21"/>
          <w:highlight w:val="none"/>
        </w:rPr>
        <w:t>报价将视为没有实质性响应</w:t>
      </w:r>
      <w:r>
        <w:rPr>
          <w:rFonts w:hint="eastAsia" w:hAnsi="宋体" w:cs="宋体"/>
          <w:b/>
          <w:color w:val="auto"/>
          <w:szCs w:val="21"/>
          <w:highlight w:val="none"/>
          <w:lang w:eastAsia="zh-CN"/>
        </w:rPr>
        <w:t>谈判</w:t>
      </w:r>
      <w:r>
        <w:rPr>
          <w:rFonts w:hint="eastAsia" w:hAnsi="宋体" w:cs="宋体"/>
          <w:b/>
          <w:color w:val="auto"/>
          <w:szCs w:val="21"/>
          <w:highlight w:val="none"/>
        </w:rPr>
        <w:t>文件。</w:t>
      </w:r>
    </w:p>
    <w:p>
      <w:pPr>
        <w:spacing w:line="360" w:lineRule="auto"/>
        <w:ind w:firstLine="632" w:firstLineChars="300"/>
        <w:rPr>
          <w:rFonts w:hint="eastAsia" w:hAnsi="宋体" w:cs="宋体"/>
          <w:b/>
          <w:color w:val="auto"/>
          <w:szCs w:val="21"/>
          <w:highlight w:val="none"/>
        </w:rPr>
      </w:pPr>
      <w:r>
        <w:rPr>
          <w:rFonts w:hint="eastAsia" w:hAnsi="宋体" w:cs="宋体"/>
          <w:b/>
          <w:color w:val="auto"/>
          <w:szCs w:val="21"/>
          <w:highlight w:val="none"/>
        </w:rPr>
        <w:t>4、本表中的“报价金额”应与《</w:t>
      </w:r>
      <w:r>
        <w:rPr>
          <w:rFonts w:hint="eastAsia" w:hAnsi="宋体" w:cs="宋体"/>
          <w:b/>
          <w:color w:val="auto"/>
          <w:szCs w:val="21"/>
          <w:highlight w:val="none"/>
          <w:lang w:eastAsia="zh-CN"/>
        </w:rPr>
        <w:t>谈判</w:t>
      </w:r>
      <w:r>
        <w:rPr>
          <w:rFonts w:hint="eastAsia" w:hAnsi="宋体" w:cs="宋体"/>
          <w:b/>
          <w:color w:val="auto"/>
          <w:szCs w:val="21"/>
          <w:highlight w:val="none"/>
        </w:rPr>
        <w:t>报价表》中的相应金额一致。</w:t>
      </w:r>
    </w:p>
    <w:p>
      <w:pPr>
        <w:pStyle w:val="18"/>
        <w:ind w:firstLine="632" w:firstLineChars="300"/>
        <w:rPr>
          <w:rFonts w:hint="eastAsia" w:ascii="Times New Roman" w:hAnsi="宋体" w:eastAsia="宋体" w:cs="宋体"/>
          <w:b/>
          <w:color w:val="auto"/>
          <w:kern w:val="2"/>
          <w:sz w:val="21"/>
          <w:szCs w:val="21"/>
          <w:highlight w:val="none"/>
          <w:lang w:val="en-US" w:eastAsia="zh-CN" w:bidi="ar-SA"/>
        </w:rPr>
      </w:pPr>
      <w:r>
        <w:rPr>
          <w:rFonts w:hint="eastAsia" w:ascii="Times New Roman" w:hAnsi="宋体" w:eastAsia="宋体" w:cs="宋体"/>
          <w:b/>
          <w:color w:val="auto"/>
          <w:kern w:val="2"/>
          <w:sz w:val="21"/>
          <w:szCs w:val="21"/>
          <w:highlight w:val="none"/>
          <w:lang w:val="en-US" w:eastAsia="zh-CN" w:bidi="ar-SA"/>
        </w:rPr>
        <w:t>5、</w:t>
      </w:r>
      <w:r>
        <w:rPr>
          <w:rFonts w:hint="eastAsia" w:hAnsi="宋体" w:cs="宋体"/>
          <w:b/>
          <w:color w:val="auto"/>
          <w:kern w:val="2"/>
          <w:sz w:val="21"/>
          <w:szCs w:val="21"/>
          <w:highlight w:val="none"/>
          <w:lang w:val="en-US" w:eastAsia="zh-CN" w:bidi="ar-SA"/>
        </w:rPr>
        <w:t>谈判报价综合单价、总价</w:t>
      </w:r>
      <w:r>
        <w:rPr>
          <w:rFonts w:hint="eastAsia" w:ascii="Times New Roman" w:hAnsi="宋体" w:eastAsia="宋体" w:cs="宋体"/>
          <w:b/>
          <w:color w:val="auto"/>
          <w:kern w:val="2"/>
          <w:sz w:val="21"/>
          <w:szCs w:val="21"/>
          <w:highlight w:val="none"/>
          <w:lang w:val="en-US" w:eastAsia="zh-CN" w:bidi="ar-SA"/>
        </w:rPr>
        <w:t>不能高于采购单位公布的最高投标限价，不超过最高投标限价的</w:t>
      </w:r>
      <w:r>
        <w:rPr>
          <w:rFonts w:hint="eastAsia" w:hAnsi="宋体" w:cs="宋体"/>
          <w:b/>
          <w:color w:val="auto"/>
          <w:kern w:val="2"/>
          <w:sz w:val="21"/>
          <w:szCs w:val="21"/>
          <w:highlight w:val="none"/>
          <w:lang w:val="en-US" w:eastAsia="zh-CN" w:bidi="ar-SA"/>
        </w:rPr>
        <w:t>谈判报价综合单价、总价</w:t>
      </w:r>
      <w:r>
        <w:rPr>
          <w:rFonts w:hint="eastAsia" w:ascii="Times New Roman" w:hAnsi="宋体" w:eastAsia="宋体" w:cs="宋体"/>
          <w:b/>
          <w:color w:val="auto"/>
          <w:kern w:val="2"/>
          <w:sz w:val="21"/>
          <w:szCs w:val="21"/>
          <w:highlight w:val="none"/>
          <w:lang w:val="en-US" w:eastAsia="zh-CN" w:bidi="ar-SA"/>
        </w:rPr>
        <w:t>方为有效报价。</w:t>
      </w:r>
    </w:p>
    <w:p>
      <w:pPr>
        <w:adjustRightInd w:val="0"/>
        <w:snapToGrid w:val="0"/>
        <w:spacing w:line="360" w:lineRule="auto"/>
        <w:ind w:firstLine="422" w:firstLineChars="200"/>
        <w:rPr>
          <w:rFonts w:hint="default" w:ascii="宋体" w:hAnsi="宋体"/>
          <w:b/>
          <w:color w:val="auto"/>
          <w:szCs w:val="21"/>
          <w:highlight w:val="none"/>
          <w:lang w:val="en-US" w:eastAsia="zh-CN"/>
        </w:rPr>
      </w:pPr>
    </w:p>
    <w:p>
      <w:pPr>
        <w:adjustRightInd w:val="0"/>
        <w:snapToGrid w:val="0"/>
        <w:spacing w:line="360" w:lineRule="auto"/>
        <w:ind w:left="-88" w:leftChars="-42"/>
        <w:rPr>
          <w:rFonts w:ascii="宋体" w:hAnsi="宋体"/>
          <w:color w:val="auto"/>
          <w:szCs w:val="21"/>
          <w:highlight w:val="none"/>
        </w:rPr>
      </w:pPr>
    </w:p>
    <w:p>
      <w:pPr>
        <w:adjustRightInd w:val="0"/>
        <w:snapToGrid w:val="0"/>
        <w:spacing w:line="360" w:lineRule="auto"/>
        <w:ind w:left="-88" w:leftChars="-42"/>
        <w:rPr>
          <w:rFonts w:ascii="宋体" w:hAnsi="宋体"/>
          <w:color w:val="auto"/>
          <w:szCs w:val="21"/>
          <w:highlight w:val="none"/>
        </w:rPr>
      </w:pPr>
    </w:p>
    <w:p>
      <w:pPr>
        <w:pStyle w:val="11"/>
        <w:adjustRightInd w:val="0"/>
        <w:snapToGrid w:val="0"/>
        <w:spacing w:line="360" w:lineRule="auto"/>
        <w:outlineLvl w:val="9"/>
        <w:rPr>
          <w:rFonts w:ascii="宋体" w:hAnsi="宋体"/>
          <w:bCs/>
          <w:color w:val="auto"/>
          <w:sz w:val="21"/>
          <w:szCs w:val="21"/>
          <w:highlight w:val="none"/>
        </w:rPr>
      </w:pPr>
      <w:bookmarkStart w:id="166" w:name="_Toc5231"/>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w:t>
      </w:r>
      <w:bookmarkEnd w:id="166"/>
      <w:r>
        <w:rPr>
          <w:rFonts w:hint="eastAsia" w:ascii="宋体" w:hAnsi="宋体"/>
          <w:color w:val="auto"/>
          <w:sz w:val="21"/>
          <w:szCs w:val="21"/>
          <w:highlight w:val="none"/>
          <w:u w:val="single"/>
        </w:rPr>
        <w:t xml:space="preserve">    </w:t>
      </w:r>
    </w:p>
    <w:p>
      <w:pPr>
        <w:adjustRightInd w:val="0"/>
        <w:snapToGrid w:val="0"/>
        <w:spacing w:line="360" w:lineRule="auto"/>
        <w:outlineLvl w:val="9"/>
        <w:rPr>
          <w:rFonts w:ascii="宋体" w:hAnsi="宋体"/>
          <w:color w:val="auto"/>
          <w:szCs w:val="21"/>
          <w:highlight w:val="none"/>
        </w:rPr>
      </w:pPr>
      <w:bookmarkStart w:id="167" w:name="_Toc28605"/>
      <w:r>
        <w:rPr>
          <w:rFonts w:hint="eastAsia" w:ascii="宋体" w:hAnsi="宋体"/>
          <w:color w:val="auto"/>
          <w:szCs w:val="21"/>
          <w:highlight w:val="none"/>
        </w:rPr>
        <w:t>法定代表人或其委托代理人(签字或盖章)：</w:t>
      </w:r>
      <w:bookmarkEnd w:id="167"/>
      <w:r>
        <w:rPr>
          <w:rFonts w:hint="eastAsia" w:ascii="宋体" w:hAnsi="宋体"/>
          <w:color w:val="auto"/>
          <w:szCs w:val="21"/>
          <w:highlight w:val="none"/>
          <w:u w:val="single"/>
        </w:rPr>
        <w:t xml:space="preserve">               </w:t>
      </w:r>
    </w:p>
    <w:p>
      <w:pPr>
        <w:spacing w:line="360" w:lineRule="auto"/>
        <w:rPr>
          <w:rFonts w:ascii="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jc w:val="center"/>
        <w:rPr>
          <w:rFonts w:ascii="黑体" w:eastAsia="黑体"/>
          <w:b/>
          <w:bCs/>
          <w:color w:val="auto"/>
          <w:sz w:val="32"/>
          <w:szCs w:val="32"/>
          <w:highlight w:val="none"/>
        </w:rPr>
      </w:pPr>
    </w:p>
    <w:p>
      <w:pPr>
        <w:adjustRightInd w:val="0"/>
        <w:snapToGrid w:val="0"/>
        <w:jc w:val="center"/>
        <w:rPr>
          <w:rFonts w:ascii="黑体" w:eastAsia="黑体"/>
          <w:b/>
          <w:bCs/>
          <w:color w:val="auto"/>
          <w:sz w:val="32"/>
          <w:szCs w:val="32"/>
          <w:highlight w:val="none"/>
        </w:rPr>
        <w:sectPr>
          <w:pgSz w:w="11906" w:h="16838"/>
          <w:pgMar w:top="1440" w:right="1800" w:bottom="1440" w:left="1800" w:header="851" w:footer="992" w:gutter="0"/>
          <w:pgNumType w:fmt="decimal"/>
          <w:cols w:space="720" w:num="1"/>
          <w:docGrid w:type="lines" w:linePitch="312" w:charSpace="0"/>
        </w:sectPr>
      </w:pPr>
    </w:p>
    <w:p>
      <w:pPr>
        <w:numPr>
          <w:ilvl w:val="0"/>
          <w:numId w:val="4"/>
        </w:numPr>
        <w:adjustRightInd w:val="0"/>
        <w:snapToGrid w:val="0"/>
        <w:spacing w:line="360" w:lineRule="auto"/>
        <w:ind w:right="24"/>
        <w:jc w:val="center"/>
        <w:outlineLvl w:val="1"/>
        <w:rPr>
          <w:rFonts w:hint="eastAsia" w:ascii="宋体" w:hAnsi="宋体" w:cs="宋体"/>
          <w:b/>
          <w:color w:val="auto"/>
          <w:sz w:val="32"/>
          <w:szCs w:val="32"/>
          <w:highlight w:val="none"/>
          <w:lang w:eastAsia="zh-CN"/>
        </w:rPr>
      </w:pPr>
      <w:bookmarkStart w:id="168" w:name="_Toc11959"/>
      <w:r>
        <w:rPr>
          <w:rFonts w:hint="eastAsia" w:ascii="宋体" w:hAnsi="宋体" w:cs="宋体"/>
          <w:b/>
          <w:color w:val="auto"/>
          <w:sz w:val="32"/>
          <w:szCs w:val="32"/>
          <w:highlight w:val="none"/>
          <w:lang w:eastAsia="zh-CN"/>
        </w:rPr>
        <w:t>谈判报价表</w:t>
      </w:r>
      <w:bookmarkEnd w:id="168"/>
    </w:p>
    <w:p>
      <w:pPr>
        <w:pStyle w:val="10"/>
        <w:spacing w:line="360" w:lineRule="auto"/>
        <w:ind w:firstLine="420" w:firstLineChars="200"/>
        <w:outlineLvl w:val="9"/>
        <w:rPr>
          <w:rFonts w:hint="eastAsia" w:hAnsi="宋体" w:cs="宋体"/>
          <w:bCs/>
          <w:color w:val="auto"/>
          <w:sz w:val="21"/>
          <w:szCs w:val="21"/>
          <w:highlight w:val="none"/>
          <w:lang w:eastAsia="zh-CN"/>
        </w:rPr>
      </w:pPr>
      <w:r>
        <w:rPr>
          <w:rFonts w:hint="eastAsia" w:hAnsi="宋体" w:cs="宋体"/>
          <w:bCs/>
          <w:color w:val="auto"/>
          <w:sz w:val="21"/>
          <w:szCs w:val="21"/>
          <w:highlight w:val="none"/>
          <w:lang w:eastAsia="zh-CN"/>
        </w:rPr>
        <w:t>本项目谈判报价表详见谈判文件附件《长沙市轨道交通1、2、3、4、5号线运营期2020年-2021年计量器具委外检测服务项目谈判报价表》。</w:t>
      </w:r>
    </w:p>
    <w:p>
      <w:pPr>
        <w:pStyle w:val="10"/>
        <w:spacing w:line="360" w:lineRule="auto"/>
        <w:ind w:firstLine="420" w:firstLineChars="200"/>
        <w:outlineLvl w:val="9"/>
        <w:rPr>
          <w:rFonts w:hint="eastAsia" w:hAnsi="宋体" w:cs="宋体"/>
          <w:bCs/>
          <w:color w:val="auto"/>
          <w:sz w:val="21"/>
          <w:szCs w:val="21"/>
          <w:highlight w:val="none"/>
        </w:rPr>
      </w:pPr>
    </w:p>
    <w:p>
      <w:pPr>
        <w:pStyle w:val="10"/>
        <w:spacing w:line="360" w:lineRule="auto"/>
        <w:ind w:firstLine="420" w:firstLineChars="200"/>
        <w:outlineLvl w:val="9"/>
        <w:rPr>
          <w:rFonts w:hint="eastAsia" w:ascii="宋体" w:hAnsi="宋体" w:cs="宋体"/>
          <w:color w:val="auto"/>
          <w:sz w:val="21"/>
          <w:szCs w:val="21"/>
          <w:highlight w:val="none"/>
          <w:lang w:val="en-US" w:eastAsia="zh-CN"/>
        </w:rPr>
      </w:pPr>
      <w:r>
        <w:rPr>
          <w:rFonts w:hint="eastAsia" w:hAnsi="宋体" w:cs="宋体"/>
          <w:bCs/>
          <w:color w:val="auto"/>
          <w:sz w:val="21"/>
          <w:szCs w:val="21"/>
          <w:highlight w:val="none"/>
          <w:lang w:eastAsia="zh-CN"/>
        </w:rPr>
        <w:t>注：</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不能高于采购单位公布的最高投标限价，不超过最高投标限价的</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方为有效报价。</w:t>
      </w:r>
    </w:p>
    <w:p>
      <w:pPr>
        <w:pStyle w:val="10"/>
        <w:spacing w:line="360" w:lineRule="auto"/>
        <w:ind w:firstLine="400" w:firstLineChars="200"/>
        <w:outlineLvl w:val="9"/>
        <w:rPr>
          <w:rFonts w:hint="eastAsia" w:ascii="宋体" w:hAnsi="宋体" w:cs="宋体"/>
          <w:color w:val="auto"/>
          <w:sz w:val="20"/>
          <w:szCs w:val="20"/>
          <w:highlight w:val="none"/>
          <w:lang w:val="en-US" w:eastAsia="zh-CN"/>
        </w:rPr>
      </w:pPr>
    </w:p>
    <w:p>
      <w:pPr>
        <w:pStyle w:val="10"/>
        <w:spacing w:line="360" w:lineRule="auto"/>
        <w:ind w:firstLine="400" w:firstLineChars="200"/>
        <w:outlineLvl w:val="9"/>
        <w:rPr>
          <w:rFonts w:hint="eastAsia" w:ascii="宋体" w:hAnsi="宋体" w:cs="宋体"/>
          <w:color w:val="auto"/>
          <w:sz w:val="20"/>
          <w:szCs w:val="20"/>
          <w:highlight w:val="none"/>
          <w:lang w:val="en-US" w:eastAsia="zh-CN"/>
        </w:rPr>
      </w:pPr>
    </w:p>
    <w:p>
      <w:pPr>
        <w:pStyle w:val="11"/>
        <w:adjustRightInd w:val="0"/>
        <w:snapToGrid w:val="0"/>
        <w:spacing w:line="360" w:lineRule="auto"/>
        <w:outlineLvl w:val="9"/>
        <w:rPr>
          <w:rFonts w:ascii="宋体" w:hAnsi="宋体"/>
          <w:color w:val="auto"/>
          <w:sz w:val="21"/>
          <w:szCs w:val="21"/>
          <w:highlight w:val="none"/>
        </w:rPr>
      </w:pP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18"/>
        <w:outlineLvl w:val="9"/>
        <w:rPr>
          <w:rFonts w:hint="eastAsia" w:ascii="宋体" w:hAnsi="宋体"/>
          <w:color w:val="auto"/>
          <w:szCs w:val="21"/>
          <w:highlight w:val="none"/>
        </w:rPr>
      </w:pPr>
    </w:p>
    <w:p>
      <w:pPr>
        <w:pStyle w:val="18"/>
        <w:outlineLvl w:val="9"/>
        <w:rPr>
          <w:rFonts w:hint="eastAsia" w:ascii="宋体" w:hAnsi="宋体"/>
          <w:color w:val="auto"/>
          <w:szCs w:val="21"/>
          <w:highlight w:val="none"/>
        </w:rPr>
      </w:pPr>
    </w:p>
    <w:p>
      <w:pPr>
        <w:pStyle w:val="18"/>
        <w:rPr>
          <w:rFonts w:hint="eastAsia" w:ascii="宋体" w:hAnsi="宋体"/>
          <w:color w:val="auto"/>
          <w:sz w:val="20"/>
          <w:szCs w:val="20"/>
          <w:highlight w:val="none"/>
        </w:rPr>
      </w:pPr>
    </w:p>
    <w:p>
      <w:pPr>
        <w:adjustRightInd w:val="0"/>
        <w:snapToGrid w:val="0"/>
        <w:spacing w:line="360" w:lineRule="auto"/>
        <w:ind w:left="-88" w:leftChars="-42" w:firstLine="211" w:firstLineChars="100"/>
        <w:rPr>
          <w:rFonts w:ascii="宋体" w:hAnsi="宋体"/>
          <w:b/>
          <w:color w:val="auto"/>
          <w:szCs w:val="21"/>
          <w:highlight w:val="none"/>
        </w:rPr>
      </w:pPr>
    </w:p>
    <w:p>
      <w:pPr>
        <w:adjustRightInd w:val="0"/>
        <w:snapToGrid w:val="0"/>
        <w:jc w:val="center"/>
        <w:rPr>
          <w:rFonts w:ascii="黑体" w:hAnsi="宋体" w:eastAsia="黑体"/>
          <w:b/>
          <w:color w:val="auto"/>
          <w:sz w:val="32"/>
          <w:szCs w:val="32"/>
          <w:highlight w:val="none"/>
        </w:rPr>
        <w:sectPr>
          <w:pgSz w:w="11906" w:h="16838"/>
          <w:pgMar w:top="1440" w:right="1797" w:bottom="1440" w:left="1797" w:header="851" w:footer="992" w:gutter="0"/>
          <w:pgNumType w:fmt="decimal"/>
          <w:cols w:space="720" w:num="1"/>
          <w:docGrid w:type="lines" w:linePitch="312" w:charSpace="0"/>
        </w:sectPr>
      </w:pPr>
    </w:p>
    <w:p>
      <w:pPr>
        <w:numPr>
          <w:ilvl w:val="0"/>
          <w:numId w:val="5"/>
        </w:numPr>
        <w:adjustRightInd w:val="0"/>
        <w:snapToGrid w:val="0"/>
        <w:spacing w:line="360" w:lineRule="auto"/>
        <w:ind w:right="24"/>
        <w:jc w:val="center"/>
        <w:outlineLvl w:val="1"/>
        <w:rPr>
          <w:rFonts w:hint="eastAsia" w:ascii="宋体" w:hAnsi="宋体" w:cs="宋体"/>
          <w:b/>
          <w:color w:val="auto"/>
          <w:sz w:val="32"/>
          <w:szCs w:val="32"/>
          <w:highlight w:val="none"/>
          <w:lang w:eastAsia="zh-CN"/>
        </w:rPr>
      </w:pPr>
      <w:bookmarkStart w:id="169" w:name="_Toc27585"/>
      <w:bookmarkStart w:id="170" w:name="_Toc9077"/>
      <w:bookmarkStart w:id="171" w:name="_Toc27258"/>
      <w:bookmarkStart w:id="172" w:name="_Toc22739"/>
      <w:r>
        <w:rPr>
          <w:rFonts w:hint="eastAsia" w:ascii="宋体" w:hAnsi="宋体" w:cs="宋体"/>
          <w:b/>
          <w:color w:val="auto"/>
          <w:sz w:val="32"/>
          <w:szCs w:val="32"/>
          <w:highlight w:val="none"/>
        </w:rPr>
        <w:t>其他资料</w:t>
      </w:r>
      <w:bookmarkEnd w:id="169"/>
      <w:bookmarkEnd w:id="170"/>
      <w:bookmarkEnd w:id="171"/>
      <w:bookmarkEnd w:id="172"/>
    </w:p>
    <w:p>
      <w:pPr>
        <w:adjustRightInd w:val="0"/>
        <w:snapToGrid w:val="0"/>
        <w:spacing w:beforeLines="50" w:line="360" w:lineRule="auto"/>
        <w:ind w:firstLine="420" w:firstLineChars="200"/>
        <w:jc w:val="left"/>
        <w:rPr>
          <w:rFonts w:hint="eastAsia" w:ascii="宋体" w:hAnsi="宋体"/>
          <w:color w:val="auto"/>
          <w:szCs w:val="21"/>
          <w:highlight w:val="none"/>
          <w:lang w:eastAsia="zh-CN"/>
        </w:rPr>
      </w:pPr>
      <w:r>
        <w:rPr>
          <w:rFonts w:hint="eastAsia" w:ascii="宋体" w:hAnsi="宋体"/>
          <w:color w:val="auto"/>
          <w:szCs w:val="21"/>
          <w:highlight w:val="none"/>
        </w:rPr>
        <w:t>谈判单位认为需要提供的其他报价资料，格式自拟。</w:t>
      </w:r>
      <w:r>
        <w:rPr>
          <w:rFonts w:hint="eastAsia" w:ascii="宋体" w:hAnsi="宋体"/>
          <w:color w:val="auto"/>
          <w:szCs w:val="21"/>
          <w:highlight w:val="none"/>
          <w:lang w:eastAsia="zh-CN"/>
        </w:rPr>
        <w:t>（如有）</w:t>
      </w:r>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280" w:firstLineChars="100"/>
      <w:rPr>
        <w:rFonts w:ascii="宋体" w:hAnsi="宋体"/>
        <w:sz w:val="28"/>
        <w:szCs w:val="28"/>
      </w:rPr>
    </w:pPr>
    <w:r>
      <w:rPr>
        <w:rStyle w:val="22"/>
        <w:rFonts w:hint="eastAsia"/>
        <w:sz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r>
      <w:rPr>
        <w:rStyle w:val="22"/>
        <w:rFonts w:hint="eastAsia"/>
        <w:sz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960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60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AxPYr0HAIAACMEAAAO&#10;AAAAAAAAAAEAIAAAAB8BAABkcnMvZTJvRG9jLnhtbFBLBQYAAAAABgAGAFkBAACt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1659268109"/>
                          </w:sdtPr>
                          <w:sdtContent>
                            <w:p>
                              <w:pPr>
                                <w:pStyle w:val="13"/>
                                <w:jc w:val="center"/>
                              </w:pPr>
                              <w:r>
                                <w:fldChar w:fldCharType="begin"/>
                              </w:r>
                              <w:r>
                                <w:instrText xml:space="preserve">PAGE   \* MERGEFORMAT</w:instrText>
                              </w:r>
                              <w:r>
                                <w:fldChar w:fldCharType="separate"/>
                              </w:r>
                              <w:r>
                                <w:rPr>
                                  <w:lang w:val="zh-CN"/>
                                </w:rPr>
                                <w:t>3</w:t>
                              </w:r>
                              <w:r>
                                <w:rPr>
                                  <w:lang w:val="zh-CN"/>
                                </w:rPr>
                                <w:fldChar w:fldCharType="end"/>
                              </w:r>
                            </w:p>
                          </w:sdtContent>
                        </w:sdt>
                        <w:p>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fill on="f" focussize="0,0"/>
              <v:stroke on="f"/>
              <v:imagedata o:title=""/>
              <o:lock v:ext="edit" aspectratio="f"/>
              <v:textbox inset="0mm,0mm,0mm,0mm" style="mso-fit-shape-to-text:t;">
                <w:txbxContent>
                  <w:sdt>
                    <w:sdtPr>
                      <w:id w:val="1659268109"/>
                    </w:sdtPr>
                    <w:sdtContent>
                      <w:p>
                        <w:pPr>
                          <w:pStyle w:val="13"/>
                          <w:jc w:val="center"/>
                        </w:pPr>
                        <w:r>
                          <w:fldChar w:fldCharType="begin"/>
                        </w:r>
                        <w:r>
                          <w:instrText xml:space="preserve">PAGE   \* MERGEFORMAT</w:instrText>
                        </w:r>
                        <w:r>
                          <w:fldChar w:fldCharType="separate"/>
                        </w:r>
                        <w:r>
                          <w:rPr>
                            <w:lang w:val="zh-CN"/>
                          </w:rPr>
                          <w:t>3</w:t>
                        </w:r>
                        <w:r>
                          <w:rPr>
                            <w:lang w:val="zh-CN"/>
                          </w:rPr>
                          <w:fldChar w:fldCharType="end"/>
                        </w:r>
                      </w:p>
                    </w:sdtContent>
                  </w:sdt>
                  <w:p>
                    <w:pPr>
                      <w:pStyle w:val="2"/>
                    </w:pPr>
                  </w:p>
                </w:txbxContent>
              </v:textbox>
            </v:shape>
          </w:pict>
        </mc:Fallback>
      </mc:AlternateContent>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11816411"/>
                          </w:sdtPr>
                          <w:sdtContent>
                            <w:p>
                              <w:pPr>
                                <w:pStyle w:val="13"/>
                                <w:jc w:val="center"/>
                              </w:pPr>
                              <w:r>
                                <w:fldChar w:fldCharType="begin"/>
                              </w:r>
                              <w:r>
                                <w:instrText xml:space="preserve">PAGE   \* MERGEFORMAT</w:instrText>
                              </w:r>
                              <w:r>
                                <w:fldChar w:fldCharType="separate"/>
                              </w:r>
                              <w:r>
                                <w:rPr>
                                  <w:lang w:val="zh-CN"/>
                                </w:rPr>
                                <w:t>27</w:t>
                              </w:r>
                              <w:r>
                                <w:rPr>
                                  <w:lang w:val="zh-CN"/>
                                </w:rPr>
                                <w:fldChar w:fldCharType="end"/>
                              </w:r>
                            </w:p>
                          </w:sdtContent>
                        </w:sdt>
                        <w:p>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sdt>
                    <w:sdtPr>
                      <w:id w:val="11816411"/>
                    </w:sdtPr>
                    <w:sdtContent>
                      <w:p>
                        <w:pPr>
                          <w:pStyle w:val="13"/>
                          <w:jc w:val="center"/>
                        </w:pPr>
                        <w:r>
                          <w:fldChar w:fldCharType="begin"/>
                        </w:r>
                        <w:r>
                          <w:instrText xml:space="preserve">PAGE   \* MERGEFORMAT</w:instrText>
                        </w:r>
                        <w:r>
                          <w:fldChar w:fldCharType="separate"/>
                        </w:r>
                        <w:r>
                          <w:rPr>
                            <w:lang w:val="zh-CN"/>
                          </w:rPr>
                          <w:t>27</w:t>
                        </w:r>
                        <w:r>
                          <w:rPr>
                            <w:lang w:val="zh-CN"/>
                          </w:rPr>
                          <w:fldChar w:fldCharType="end"/>
                        </w:r>
                      </w:p>
                    </w:sdtContent>
                  </w:sdt>
                  <w:p>
                    <w:pPr>
                      <w:pStyle w:val="2"/>
                    </w:pPr>
                  </w:p>
                </w:txbxContent>
              </v:textbox>
            </v:shape>
          </w:pict>
        </mc:Fallback>
      </mc:AlternateContent>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6"/>
        <w:tab w:val="clear" w:pos="8306"/>
      </w:tabs>
      <w:rPr>
        <w:rFonts w:hint="eastAsia" w:eastAsia="宋体"/>
        <w:lang w:eastAsia="zh-CN"/>
      </w:rPr>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rPr>
                              <w:rFonts w:eastAsia="仿宋_GB2312"/>
                            </w:rPr>
                          </w:pPr>
                          <w:r>
                            <w:fldChar w:fldCharType="begin"/>
                          </w:r>
                          <w:r>
                            <w:instrText xml:space="preserve"> PAGE  \* MERGEFORMAT </w:instrText>
                          </w:r>
                          <w:r>
                            <w:fldChar w:fldCharType="separate"/>
                          </w:r>
                          <w:r>
                            <w:t>40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v:fill on="f" focussize="0,0"/>
              <v:stroke on="f"/>
              <v:imagedata o:title=""/>
              <o:lock v:ext="edit" aspectratio="f"/>
              <v:textbox inset="0mm,0mm,0mm,0mm" style="mso-fit-shape-to-text:t;">
                <w:txbxContent>
                  <w:p>
                    <w:pPr>
                      <w:pStyle w:val="13"/>
                      <w:rPr>
                        <w:rFonts w:eastAsia="仿宋_GB2312"/>
                      </w:rPr>
                    </w:pPr>
                    <w:r>
                      <w:fldChar w:fldCharType="begin"/>
                    </w:r>
                    <w:r>
                      <w:instrText xml:space="preserve"> PAGE  \* MERGEFORMAT </w:instrText>
                    </w:r>
                    <w:r>
                      <w:fldChar w:fldCharType="separate"/>
                    </w:r>
                    <w:r>
                      <w:t>40</w:t>
                    </w:r>
                    <w:r>
                      <w:fldChar w:fldCharType="end"/>
                    </w:r>
                  </w:p>
                </w:txbxContent>
              </v:textbox>
            </v:shape>
          </w:pict>
        </mc:Fallback>
      </mc:AlternateContent>
    </w:r>
    <w:r>
      <w:rPr>
        <w:rFonts w:hint="eastAsia"/>
      </w:rPr>
      <w:tab/>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961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61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zXnD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LLzXnDDAgAA2AUAAA4AAAAA&#10;AAAAAQAgAAAAHwEAAGRycy9lMm9Eb2MueG1sUEsFBgAAAAAGAAYAWQEAAFQG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center"/>
    </w:pPr>
    <w:r>
      <w:rPr>
        <w:sz w:val="18"/>
      </w:rPr>
      <mc:AlternateContent>
        <mc:Choice Requires="wps">
          <w:drawing>
            <wp:anchor distT="0" distB="0" distL="114300" distR="114300" simplePos="0" relativeHeight="251962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62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OTMYNrDAgAA2AUAAA4AAAAA&#10;AAAAAQAgAAAAHwEAAGRycy9lMm9Eb2MueG1sUEsFBgAAAAAGAAYAWQEAAFQG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rPr>
        <w:rFonts w:hint="eastAsia" w:ascii="宋体" w:hAnsi="宋体"/>
        <w:sz w:val="28"/>
        <w:szCs w:val="28"/>
      </w:rPr>
    </w:pPr>
    <w:r>
      <w:rPr>
        <w:sz w:val="28"/>
      </w:rPr>
      <mc:AlternateContent>
        <mc:Choice Requires="wps">
          <w:drawing>
            <wp:anchor distT="0" distB="0" distL="114300" distR="114300" simplePos="0" relativeHeight="251963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63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U//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F+LU//DAgAA2AUAAA4AAAAA&#10;AAAAAQAgAAAAHwEAAGRycy9lMm9Eb2MueG1sUEsFBgAAAAAGAAYAWQEAAFQG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FFFFFF" w:sz="6"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12D699"/>
    <w:multiLevelType w:val="singleLevel"/>
    <w:tmpl w:val="8512D699"/>
    <w:lvl w:ilvl="0" w:tentative="0">
      <w:start w:val="7"/>
      <w:numFmt w:val="chineseCounting"/>
      <w:suff w:val="nothing"/>
      <w:lvlText w:val="%1、"/>
      <w:lvlJc w:val="left"/>
      <w:rPr>
        <w:rFonts w:hint="eastAsia"/>
      </w:rPr>
    </w:lvl>
  </w:abstractNum>
  <w:abstractNum w:abstractNumId="1">
    <w:nsid w:val="08DB2034"/>
    <w:multiLevelType w:val="singleLevel"/>
    <w:tmpl w:val="08DB2034"/>
    <w:lvl w:ilvl="0" w:tentative="0">
      <w:start w:val="5"/>
      <w:numFmt w:val="chineseCounting"/>
      <w:suff w:val="space"/>
      <w:lvlText w:val="第%1章"/>
      <w:lvlJc w:val="left"/>
      <w:rPr>
        <w:rFonts w:hint="eastAsia"/>
      </w:rPr>
    </w:lvl>
  </w:abstractNum>
  <w:abstractNum w:abstractNumId="2">
    <w:nsid w:val="38248D8C"/>
    <w:multiLevelType w:val="singleLevel"/>
    <w:tmpl w:val="38248D8C"/>
    <w:lvl w:ilvl="0" w:tentative="0">
      <w:start w:val="3"/>
      <w:numFmt w:val="chineseCounting"/>
      <w:suff w:val="nothing"/>
      <w:lvlText w:val="%1、"/>
      <w:lvlJc w:val="left"/>
      <w:rPr>
        <w:rFonts w:hint="eastAsia"/>
      </w:rPr>
    </w:lvl>
  </w:abstractNum>
  <w:abstractNum w:abstractNumId="3">
    <w:nsid w:val="631F59A3"/>
    <w:multiLevelType w:val="multilevel"/>
    <w:tmpl w:val="631F59A3"/>
    <w:lvl w:ilvl="0" w:tentative="0">
      <w:start w:val="1"/>
      <w:numFmt w:val="decimal"/>
      <w:pStyle w:val="28"/>
      <w:suff w:val="nothing"/>
      <w:lvlText w:val="注%1："/>
      <w:lvlJc w:val="left"/>
      <w:pPr>
        <w:ind w:left="1156" w:hanging="448"/>
      </w:pPr>
      <w:rPr>
        <w:rFonts w:hint="eastAsia" w:ascii="黑体" w:eastAsia="黑体"/>
        <w:b w:val="0"/>
        <w:i w:val="0"/>
        <w:sz w:val="18"/>
        <w:szCs w:val="18"/>
        <w:vertAlign w:val="baseline"/>
        <w:lang w:val="en-US"/>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4">
    <w:nsid w:val="7CE30E84"/>
    <w:multiLevelType w:val="singleLevel"/>
    <w:tmpl w:val="7CE30E84"/>
    <w:lvl w:ilvl="0" w:tentative="0">
      <w:start w:val="6"/>
      <w:numFmt w:val="chineseCounting"/>
      <w:suff w:val="nothing"/>
      <w:lvlText w:val="%1、"/>
      <w:lvlJc w:val="left"/>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F8"/>
    <w:rsid w:val="000A29C3"/>
    <w:rsid w:val="000C500E"/>
    <w:rsid w:val="00137593"/>
    <w:rsid w:val="002500F8"/>
    <w:rsid w:val="00323AA2"/>
    <w:rsid w:val="003A2810"/>
    <w:rsid w:val="00447539"/>
    <w:rsid w:val="005F3086"/>
    <w:rsid w:val="006309FB"/>
    <w:rsid w:val="00645DE8"/>
    <w:rsid w:val="00720287"/>
    <w:rsid w:val="007C07A4"/>
    <w:rsid w:val="00817618"/>
    <w:rsid w:val="00880673"/>
    <w:rsid w:val="008B2ECD"/>
    <w:rsid w:val="008D1564"/>
    <w:rsid w:val="00A8294C"/>
    <w:rsid w:val="00BE5F2B"/>
    <w:rsid w:val="00CF620B"/>
    <w:rsid w:val="00E61B92"/>
    <w:rsid w:val="00F5632B"/>
    <w:rsid w:val="02C3263C"/>
    <w:rsid w:val="03653CEB"/>
    <w:rsid w:val="06A93232"/>
    <w:rsid w:val="07663FE6"/>
    <w:rsid w:val="081278AF"/>
    <w:rsid w:val="09794BDB"/>
    <w:rsid w:val="0C7B555D"/>
    <w:rsid w:val="0F1D750C"/>
    <w:rsid w:val="0FEC631E"/>
    <w:rsid w:val="11190528"/>
    <w:rsid w:val="11FF729B"/>
    <w:rsid w:val="132A2A27"/>
    <w:rsid w:val="15641787"/>
    <w:rsid w:val="16B57812"/>
    <w:rsid w:val="187F02CA"/>
    <w:rsid w:val="18C71857"/>
    <w:rsid w:val="1A7E6F7E"/>
    <w:rsid w:val="1D5C4901"/>
    <w:rsid w:val="1E872559"/>
    <w:rsid w:val="1FD60D77"/>
    <w:rsid w:val="1FEC45C6"/>
    <w:rsid w:val="20EF3104"/>
    <w:rsid w:val="2816342A"/>
    <w:rsid w:val="29A8099C"/>
    <w:rsid w:val="2A0205F1"/>
    <w:rsid w:val="2AB73676"/>
    <w:rsid w:val="2D554A55"/>
    <w:rsid w:val="301B178A"/>
    <w:rsid w:val="31F271DC"/>
    <w:rsid w:val="33E4670B"/>
    <w:rsid w:val="3AF1691D"/>
    <w:rsid w:val="3D3F228E"/>
    <w:rsid w:val="44D42AD1"/>
    <w:rsid w:val="44DD6CD2"/>
    <w:rsid w:val="452252A6"/>
    <w:rsid w:val="4A020F38"/>
    <w:rsid w:val="4FB342D4"/>
    <w:rsid w:val="557C576F"/>
    <w:rsid w:val="55C760E7"/>
    <w:rsid w:val="5950354A"/>
    <w:rsid w:val="59F74B58"/>
    <w:rsid w:val="5B006C6A"/>
    <w:rsid w:val="5BE55603"/>
    <w:rsid w:val="5C0509E7"/>
    <w:rsid w:val="5C5D62A5"/>
    <w:rsid w:val="5F2A2DB8"/>
    <w:rsid w:val="5FEE269D"/>
    <w:rsid w:val="6B683FA3"/>
    <w:rsid w:val="6E8D1C50"/>
    <w:rsid w:val="6F694A35"/>
    <w:rsid w:val="787D389B"/>
    <w:rsid w:val="79A25250"/>
    <w:rsid w:val="7A2B735B"/>
    <w:rsid w:val="7BA14824"/>
    <w:rsid w:val="7D9F1E92"/>
    <w:rsid w:val="7E092AEB"/>
    <w:rsid w:val="7F9A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b/>
      <w:bCs/>
      <w:kern w:val="0"/>
      <w:sz w:val="24"/>
      <w:szCs w:val="20"/>
    </w:rPr>
  </w:style>
  <w:style w:type="paragraph" w:styleId="4">
    <w:name w:val="heading 2"/>
    <w:basedOn w:val="1"/>
    <w:next w:val="1"/>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qFormat/>
    <w:uiPriority w:val="0"/>
    <w:pPr>
      <w:keepNext/>
      <w:keepLines/>
      <w:spacing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6">
    <w:name w:val="Normal Indent"/>
    <w:basedOn w:val="1"/>
    <w:qFormat/>
    <w:uiPriority w:val="0"/>
    <w:pPr>
      <w:tabs>
        <w:tab w:val="left" w:pos="720"/>
      </w:tabs>
      <w:adjustRightInd w:val="0"/>
      <w:ind w:left="624" w:hanging="624"/>
      <w:textAlignment w:val="baseline"/>
    </w:pPr>
    <w:rPr>
      <w:rFonts w:ascii="宋体"/>
      <w:szCs w:val="20"/>
    </w:rPr>
  </w:style>
  <w:style w:type="paragraph" w:styleId="7">
    <w:name w:val="toa heading"/>
    <w:basedOn w:val="1"/>
    <w:next w:val="1"/>
    <w:unhideWhenUsed/>
    <w:qFormat/>
    <w:uiPriority w:val="0"/>
    <w:pPr>
      <w:spacing w:before="120"/>
    </w:pPr>
    <w:rPr>
      <w:rFonts w:hint="eastAsia" w:ascii="Arial" w:hAnsi="Arial"/>
    </w:rPr>
  </w:style>
  <w:style w:type="paragraph" w:styleId="8">
    <w:name w:val="annotation text"/>
    <w:basedOn w:val="1"/>
    <w:link w:val="27"/>
    <w:qFormat/>
    <w:uiPriority w:val="0"/>
    <w:pPr>
      <w:jc w:val="left"/>
    </w:pPr>
    <w:rPr>
      <w:rFonts w:asciiTheme="minorHAnsi" w:hAnsiTheme="minorHAnsi" w:eastAsiaTheme="minorEastAsia" w:cstheme="minorBidi"/>
    </w:rPr>
  </w:style>
  <w:style w:type="paragraph" w:styleId="9">
    <w:name w:val="Body Text"/>
    <w:basedOn w:val="1"/>
    <w:qFormat/>
    <w:uiPriority w:val="0"/>
    <w:pPr>
      <w:spacing w:after="120"/>
    </w:p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rPr>
      <w:rFonts w:ascii="Calibri" w:hAnsi="Calibri" w:cs="黑体"/>
      <w:sz w:val="24"/>
      <w:szCs w:val="22"/>
    </w:rPr>
  </w:style>
  <w:style w:type="paragraph" w:styleId="12">
    <w:name w:val="Balloon Text"/>
    <w:basedOn w:val="1"/>
    <w:link w:val="26"/>
    <w:qFormat/>
    <w:uiPriority w:val="0"/>
    <w:rPr>
      <w:sz w:val="18"/>
      <w:szCs w:val="18"/>
    </w:rPr>
  </w:style>
  <w:style w:type="paragraph" w:styleId="13">
    <w:name w:val="footer"/>
    <w:basedOn w:val="1"/>
    <w:link w:val="31"/>
    <w:unhideWhenUsed/>
    <w:qFormat/>
    <w:uiPriority w:val="0"/>
    <w:pPr>
      <w:tabs>
        <w:tab w:val="center" w:pos="4153"/>
        <w:tab w:val="right" w:pos="8306"/>
      </w:tabs>
      <w:snapToGrid w:val="0"/>
      <w:jc w:val="left"/>
    </w:pPr>
    <w:rPr>
      <w:sz w:val="18"/>
      <w:szCs w:val="18"/>
    </w:rPr>
  </w:style>
  <w:style w:type="paragraph" w:styleId="14">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7"/>
    <w:unhideWhenUsed/>
    <w:qFormat/>
    <w:uiPriority w:val="39"/>
  </w:style>
  <w:style w:type="paragraph" w:styleId="16">
    <w:name w:val="toc 2"/>
    <w:basedOn w:val="1"/>
    <w:next w:val="1"/>
    <w:qFormat/>
    <w:uiPriority w:val="39"/>
    <w:pPr>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Body Text First Indent"/>
    <w:basedOn w:val="9"/>
    <w:link w:val="32"/>
    <w:unhideWhenUsed/>
    <w:qFormat/>
    <w:uiPriority w:val="99"/>
    <w:pPr>
      <w:spacing w:line="500" w:lineRule="exact"/>
      <w:ind w:firstLine="42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0"/>
  </w:style>
  <w:style w:type="character" w:styleId="23">
    <w:name w:val="Hyperlink"/>
    <w:qFormat/>
    <w:uiPriority w:val="99"/>
    <w:rPr>
      <w:color w:val="136EC2"/>
      <w:u w:val="single"/>
    </w:rPr>
  </w:style>
  <w:style w:type="character" w:customStyle="1" w:styleId="24">
    <w:name w:val="fontstyle01"/>
    <w:qFormat/>
    <w:uiPriority w:val="0"/>
    <w:rPr>
      <w:rFonts w:hint="eastAsia" w:ascii="宋体" w:hAnsi="宋体" w:eastAsia="宋体"/>
      <w:color w:val="000000"/>
      <w:sz w:val="22"/>
      <w:szCs w:val="22"/>
    </w:rPr>
  </w:style>
  <w:style w:type="paragraph" w:customStyle="1" w:styleId="25">
    <w:name w:val="样式3"/>
    <w:basedOn w:val="1"/>
    <w:qFormat/>
    <w:uiPriority w:val="0"/>
    <w:pPr>
      <w:spacing w:line="360" w:lineRule="auto"/>
      <w:ind w:firstLine="480"/>
      <w:jc w:val="left"/>
    </w:pPr>
    <w:rPr>
      <w:rFonts w:ascii="宋体"/>
      <w:sz w:val="24"/>
      <w:szCs w:val="22"/>
    </w:rPr>
  </w:style>
  <w:style w:type="character" w:customStyle="1" w:styleId="26">
    <w:name w:val="批注框文本 Char"/>
    <w:basedOn w:val="21"/>
    <w:link w:val="12"/>
    <w:qFormat/>
    <w:uiPriority w:val="0"/>
    <w:rPr>
      <w:kern w:val="2"/>
      <w:sz w:val="18"/>
      <w:szCs w:val="18"/>
    </w:rPr>
  </w:style>
  <w:style w:type="character" w:customStyle="1" w:styleId="27">
    <w:name w:val="批注文字 Char"/>
    <w:basedOn w:val="21"/>
    <w:link w:val="8"/>
    <w:qFormat/>
    <w:uiPriority w:val="0"/>
    <w:rPr>
      <w:rFonts w:asciiTheme="minorHAnsi" w:hAnsiTheme="minorHAnsi" w:eastAsiaTheme="minorEastAsia" w:cstheme="minorBidi"/>
      <w:kern w:val="2"/>
      <w:sz w:val="21"/>
      <w:szCs w:val="24"/>
    </w:rPr>
  </w:style>
  <w:style w:type="paragraph" w:customStyle="1" w:styleId="28">
    <w:name w:val="注×：（正文）"/>
    <w:qFormat/>
    <w:uiPriority w:val="0"/>
    <w:pPr>
      <w:numPr>
        <w:ilvl w:val="0"/>
        <w:numId w:val="1"/>
      </w:numPr>
      <w:jc w:val="both"/>
    </w:pPr>
    <w:rPr>
      <w:rFonts w:ascii="宋体" w:hAnsi="Times New Roman" w:eastAsia="宋体" w:cs="Times New Roman"/>
      <w:sz w:val="18"/>
      <w:szCs w:val="18"/>
      <w:lang w:val="en-US" w:eastAsia="zh-CN" w:bidi="ar-SA"/>
    </w:rPr>
  </w:style>
  <w:style w:type="paragraph" w:customStyle="1" w:styleId="29">
    <w:name w:val="标题 31"/>
    <w:basedOn w:val="1"/>
    <w:next w:val="1"/>
    <w:qFormat/>
    <w:uiPriority w:val="0"/>
    <w:pPr>
      <w:spacing w:line="300" w:lineRule="auto"/>
      <w:outlineLvl w:val="2"/>
    </w:pPr>
    <w:rPr>
      <w:rFonts w:ascii="宋体" w:hAnsi="宋体" w:eastAsiaTheme="minorEastAsia" w:cstheme="minorBidi"/>
      <w:snapToGrid w:val="0"/>
      <w:kern w:val="0"/>
      <w:sz w:val="24"/>
      <w:szCs w:val="22"/>
    </w:rPr>
  </w:style>
  <w:style w:type="character" w:customStyle="1" w:styleId="30">
    <w:name w:val="页眉 Char"/>
    <w:basedOn w:val="21"/>
    <w:link w:val="14"/>
    <w:qFormat/>
    <w:uiPriority w:val="0"/>
    <w:rPr>
      <w:kern w:val="2"/>
      <w:sz w:val="18"/>
      <w:szCs w:val="18"/>
    </w:rPr>
  </w:style>
  <w:style w:type="character" w:customStyle="1" w:styleId="31">
    <w:name w:val="页脚 Char"/>
    <w:basedOn w:val="21"/>
    <w:link w:val="13"/>
    <w:qFormat/>
    <w:uiPriority w:val="0"/>
    <w:rPr>
      <w:kern w:val="2"/>
      <w:sz w:val="18"/>
      <w:szCs w:val="18"/>
    </w:rPr>
  </w:style>
  <w:style w:type="character" w:customStyle="1" w:styleId="32">
    <w:name w:val="正文首行缩进 Char"/>
    <w:basedOn w:val="21"/>
    <w:link w:val="18"/>
    <w:qFormat/>
    <w:uiPriority w:val="99"/>
    <w:rPr>
      <w:kern w:val="2"/>
      <w:sz w:val="21"/>
      <w:szCs w:val="24"/>
    </w:rPr>
  </w:style>
  <w:style w:type="character" w:customStyle="1" w:styleId="33">
    <w:name w:val="font31"/>
    <w:basedOn w:val="21"/>
    <w:qFormat/>
    <w:uiPriority w:val="0"/>
    <w:rPr>
      <w:rFonts w:hint="eastAsia" w:ascii="宋体" w:hAnsi="宋体" w:eastAsia="宋体" w:cs="宋体"/>
      <w:color w:val="000000"/>
      <w:sz w:val="22"/>
      <w:szCs w:val="22"/>
      <w:u w:val="none"/>
    </w:rPr>
  </w:style>
  <w:style w:type="character" w:customStyle="1" w:styleId="34">
    <w:name w:val="font21"/>
    <w:basedOn w:val="21"/>
    <w:qFormat/>
    <w:uiPriority w:val="0"/>
    <w:rPr>
      <w:rFonts w:hint="eastAsia" w:ascii="宋体" w:hAnsi="宋体" w:eastAsia="宋体" w:cs="宋体"/>
      <w:color w:val="000000"/>
      <w:sz w:val="22"/>
      <w:szCs w:val="22"/>
      <w:u w:val="none"/>
    </w:rPr>
  </w:style>
  <w:style w:type="character" w:customStyle="1" w:styleId="35">
    <w:name w:val="font01"/>
    <w:basedOn w:val="21"/>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3540</Words>
  <Characters>20178</Characters>
  <Lines>168</Lines>
  <Paragraphs>47</Paragraphs>
  <TotalTime>31</TotalTime>
  <ScaleCrop>false</ScaleCrop>
  <LinksUpToDate>false</LinksUpToDate>
  <CharactersWithSpaces>23671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Hmz0326</dc:creator>
  <cp:lastModifiedBy>justbeyourself1419340238</cp:lastModifiedBy>
  <cp:lastPrinted>2020-06-01T08:19:00Z</cp:lastPrinted>
  <dcterms:modified xsi:type="dcterms:W3CDTF">2020-06-04T01:26:45Z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