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asciiTheme="minorEastAsia" w:hAnsiTheme="minorEastAsia" w:eastAsiaTheme="minorEastAsia"/>
          <w:b/>
        </w:rPr>
      </w:pPr>
    </w:p>
    <w:p>
      <w:pPr>
        <w:pStyle w:val="25"/>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5"/>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5"/>
        <w:adjustRightInd w:val="0"/>
        <w:snapToGrid w:val="0"/>
        <w:spacing w:before="161" w:beforeLines="50" w:line="360" w:lineRule="auto"/>
        <w:rPr>
          <w:rFonts w:asciiTheme="minorEastAsia" w:hAnsiTheme="minorEastAsia" w:eastAsiaTheme="minorEastAsia"/>
          <w:b/>
          <w:sz w:val="32"/>
          <w:szCs w:val="32"/>
        </w:rPr>
      </w:pPr>
    </w:p>
    <w:p>
      <w:pPr>
        <w:pStyle w:val="25"/>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hint="default" w:cs="Courier New" w:asciiTheme="minorEastAsia" w:hAnsiTheme="minorEastAsia" w:eastAsiaTheme="minorEastAsia"/>
          <w:b/>
          <w:sz w:val="32"/>
          <w:szCs w:val="21"/>
          <w:u w:val="single"/>
          <w:lang w:val="en-US" w:eastAsia="zh-CN"/>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长沙市轨道交通运营期2020年-2021年清分中心及1、2号线信号、自动化中心系统设备维护保养服务项目</w:t>
      </w:r>
      <w:r>
        <w:rPr>
          <w:rFonts w:hint="eastAsia" w:cs="Courier New" w:asciiTheme="minorEastAsia" w:hAnsiTheme="minorEastAsia" w:eastAsiaTheme="minorEastAsia"/>
          <w:b/>
          <w:sz w:val="32"/>
          <w:szCs w:val="21"/>
          <w:u w:val="single"/>
          <w:lang w:val="en-US" w:eastAsia="zh-CN"/>
        </w:rPr>
        <w:t>(第二次</w:t>
      </w:r>
      <w:bookmarkStart w:id="230" w:name="_GoBack"/>
      <w:bookmarkEnd w:id="230"/>
      <w:r>
        <w:rPr>
          <w:rFonts w:hint="eastAsia" w:cs="Courier New" w:asciiTheme="minorEastAsia" w:hAnsiTheme="minorEastAsia" w:eastAsiaTheme="minorEastAsia"/>
          <w:b/>
          <w:sz w:val="32"/>
          <w:szCs w:val="21"/>
          <w:u w:val="single"/>
          <w:lang w:val="en-US" w:eastAsia="zh-CN"/>
        </w:rPr>
        <w:t>)</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长沙市轨道交通运营有限公司</w:t>
      </w:r>
    </w:p>
    <w:p>
      <w:pPr>
        <w:spacing w:line="360" w:lineRule="auto"/>
        <w:ind w:firstLine="2249" w:firstLine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single"/>
        </w:rPr>
        <w:t>长沙市轨道交通一号线建设发展有限公司</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长轨运服采【2019】19号</w:t>
      </w: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二〇二〇</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四</w:t>
      </w:r>
      <w:r>
        <w:rPr>
          <w:rFonts w:hint="eastAsia" w:asciiTheme="minorEastAsia" w:hAnsiTheme="minorEastAsia" w:eastAsiaTheme="minorEastAsia"/>
          <w:b/>
          <w:sz w:val="32"/>
        </w:rPr>
        <w:t>月</w:t>
      </w:r>
    </w:p>
    <w:p>
      <w:pPr>
        <w:pStyle w:val="25"/>
        <w:adjustRightInd w:val="0"/>
        <w:snapToGrid w:val="0"/>
        <w:spacing w:line="360" w:lineRule="auto"/>
        <w:ind w:firstLine="643" w:firstLineChars="200"/>
        <w:jc w:val="center"/>
        <w:rPr>
          <w:rFonts w:asciiTheme="minorEastAsia" w:hAnsiTheme="minorEastAsia" w:eastAsiaTheme="minorEastAsia"/>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w:t>
      </w: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录</w:t>
      </w:r>
    </w:p>
    <w:p>
      <w:pPr>
        <w:pStyle w:val="32"/>
        <w:tabs>
          <w:tab w:val="right" w:leader="dot" w:pos="9972"/>
        </w:tabs>
        <w:spacing w:line="360" w:lineRule="auto"/>
        <w:ind w:firstLine="420" w:firstLineChars="200"/>
        <w:jc w:val="center"/>
        <w:rPr>
          <w:rFonts w:asciiTheme="minorEastAsia" w:hAnsiTheme="minorEastAsia" w:eastAsiaTheme="minorEastAsia"/>
        </w:rPr>
      </w:pPr>
    </w:p>
    <w:p>
      <w:pPr>
        <w:pStyle w:val="32"/>
        <w:tabs>
          <w:tab w:val="right" w:leader="dot" w:pos="9972"/>
        </w:tabs>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"_Toc18373" </w:instrText>
      </w:r>
      <w:r>
        <w:fldChar w:fldCharType="separate"/>
      </w:r>
      <w:r>
        <w:rPr>
          <w:rFonts w:hint="eastAsia" w:cs="宋体" w:asciiTheme="minorEastAsia" w:hAnsiTheme="minorEastAsia" w:eastAsiaTheme="minorEastAsia"/>
        </w:rPr>
        <w:t>第一章  谈判邀请公告</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"_Toc5436" </w:instrText>
      </w:r>
      <w:r>
        <w:fldChar w:fldCharType="separate"/>
      </w:r>
      <w:r>
        <w:rPr>
          <w:rFonts w:hint="eastAsia" w:cs="宋体" w:asciiTheme="minorEastAsia" w:hAnsiTheme="minorEastAsia" w:eastAsiaTheme="minorEastAsia"/>
          <w:szCs w:val="32"/>
        </w:rPr>
        <w:t>第二章  谈判须知</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p>
    <w:p>
      <w:pPr>
        <w:pStyle w:val="37"/>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"_Toc22770" </w:instrText>
      </w:r>
      <w:r>
        <w:fldChar w:fldCharType="separate"/>
      </w:r>
      <w:r>
        <w:rPr>
          <w:rFonts w:hint="eastAsia" w:cs="宋体" w:asciiTheme="minorEastAsia" w:hAnsiTheme="minorEastAsia" w:eastAsiaTheme="minorEastAsia"/>
        </w:rPr>
        <w:t>谈判须知前附表</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p>
    <w:p>
      <w:pPr>
        <w:pStyle w:val="37"/>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"_Toc30385" </w:instrText>
      </w:r>
      <w:r>
        <w:fldChar w:fldCharType="separate"/>
      </w:r>
      <w:r>
        <w:rPr>
          <w:rFonts w:hint="eastAsia" w:cs="宋体" w:asciiTheme="minorEastAsia" w:hAnsiTheme="minorEastAsia" w:eastAsiaTheme="minorEastAsia"/>
          <w:szCs w:val="30"/>
        </w:rPr>
        <w:t>谈判须知正文</w:t>
      </w:r>
      <w:r>
        <w:rPr>
          <w:rFonts w:hint="eastAsia" w:cs="宋体" w:asciiTheme="minorEastAsia" w:hAnsiTheme="minorEastAsia" w:eastAsiaTheme="minorEastAsia"/>
        </w:rPr>
        <w:tab/>
      </w:r>
      <w:r>
        <w:rPr>
          <w:rFonts w:hint="eastAsia" w:cs="宋体" w:asciiTheme="minorEastAsia" w:hAnsiTheme="minorEastAsia" w:eastAsiaTheme="minorEastAsia"/>
        </w:rPr>
        <w:t>6</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"_Toc23354" </w:instrText>
      </w:r>
      <w:r>
        <w:fldChar w:fldCharType="separate"/>
      </w:r>
      <w:r>
        <w:rPr>
          <w:rFonts w:hint="eastAsia" w:cs="宋体" w:asciiTheme="minorEastAsia" w:hAnsiTheme="minorEastAsia" w:eastAsiaTheme="minorEastAsia"/>
        </w:rPr>
        <w:t>一、说明</w:t>
      </w:r>
      <w:r>
        <w:rPr>
          <w:rFonts w:hint="eastAsia" w:cs="宋体" w:asciiTheme="minorEastAsia" w:hAnsiTheme="minorEastAsia" w:eastAsiaTheme="minorEastAsia"/>
        </w:rPr>
        <w:tab/>
      </w:r>
      <w:r>
        <w:rPr>
          <w:rFonts w:hint="eastAsia" w:cs="宋体" w:asciiTheme="minorEastAsia" w:hAnsiTheme="minorEastAsia" w:eastAsiaTheme="minorEastAsia"/>
        </w:rPr>
        <w:t>6</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"_Toc19198" </w:instrText>
      </w:r>
      <w:r>
        <w:fldChar w:fldCharType="separate"/>
      </w:r>
      <w:r>
        <w:rPr>
          <w:rFonts w:hint="eastAsia" w:cs="宋体" w:asciiTheme="minorEastAsia" w:hAnsiTheme="minorEastAsia" w:eastAsiaTheme="minorEastAsia"/>
        </w:rPr>
        <w:t>二、谈判文件</w:t>
      </w:r>
      <w:r>
        <w:rPr>
          <w:rFonts w:hint="eastAsia" w:cs="宋体" w:asciiTheme="minorEastAsia" w:hAnsiTheme="minorEastAsia" w:eastAsiaTheme="minorEastAsia"/>
        </w:rPr>
        <w:tab/>
      </w:r>
      <w:r>
        <w:rPr>
          <w:rFonts w:hint="eastAsia" w:cs="宋体" w:asciiTheme="minorEastAsia" w:hAnsiTheme="minorEastAsia" w:eastAsiaTheme="minorEastAsia"/>
        </w:rPr>
        <w:t>7</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"_Toc24457" </w:instrText>
      </w:r>
      <w:r>
        <w:fldChar w:fldCharType="separate"/>
      </w:r>
      <w:r>
        <w:rPr>
          <w:rFonts w:hint="eastAsia" w:cs="宋体" w:asciiTheme="minorEastAsia" w:hAnsiTheme="minorEastAsia" w:eastAsiaTheme="minorEastAsia"/>
        </w:rPr>
        <w:t>三、响应文件</w:t>
      </w:r>
      <w:r>
        <w:rPr>
          <w:rFonts w:hint="eastAsia" w:cs="宋体" w:asciiTheme="minorEastAsia" w:hAnsiTheme="minorEastAsia" w:eastAsiaTheme="minorEastAsia"/>
        </w:rPr>
        <w:tab/>
      </w:r>
      <w:r>
        <w:rPr>
          <w:rFonts w:hint="eastAsia" w:cs="宋体" w:asciiTheme="minorEastAsia" w:hAnsiTheme="minorEastAsia" w:eastAsiaTheme="minorEastAsia"/>
        </w:rPr>
        <w:t>7</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"_Toc664" </w:instrText>
      </w:r>
      <w:r>
        <w:fldChar w:fldCharType="separate"/>
      </w:r>
      <w:r>
        <w:rPr>
          <w:rFonts w:hint="eastAsia" w:cs="宋体" w:asciiTheme="minorEastAsia" w:hAnsiTheme="minorEastAsia" w:eastAsiaTheme="minorEastAsia"/>
        </w:rPr>
        <w:t>四、响应文件的递交</w:t>
      </w:r>
      <w:r>
        <w:rPr>
          <w:rFonts w:hint="eastAsia" w:cs="宋体" w:asciiTheme="minorEastAsia" w:hAnsiTheme="minorEastAsia" w:eastAsiaTheme="minorEastAsia"/>
        </w:rPr>
        <w:tab/>
      </w:r>
      <w:r>
        <w:rPr>
          <w:rFonts w:hint="eastAsia" w:cs="宋体" w:asciiTheme="minorEastAsia" w:hAnsiTheme="minorEastAsia" w:eastAsiaTheme="minorEastAsia"/>
        </w:rPr>
        <w:t>9</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"_Toc4809" </w:instrText>
      </w:r>
      <w:r>
        <w:fldChar w:fldCharType="separate"/>
      </w:r>
      <w:r>
        <w:rPr>
          <w:rFonts w:hint="eastAsia" w:cs="宋体" w:asciiTheme="minorEastAsia" w:hAnsiTheme="minorEastAsia" w:eastAsiaTheme="minorEastAsia"/>
        </w:rPr>
        <w:t>五、响应文件的评审</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"_Toc25543" </w:instrText>
      </w:r>
      <w:r>
        <w:fldChar w:fldCharType="separate"/>
      </w:r>
      <w:r>
        <w:rPr>
          <w:rFonts w:hint="eastAsia" w:cs="宋体" w:asciiTheme="minorEastAsia" w:hAnsiTheme="minorEastAsia" w:eastAsiaTheme="minorEastAsia"/>
        </w:rPr>
        <w:t>六、响应文件的澄清、说明及补正</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"_Toc25353" </w:instrText>
      </w:r>
      <w:r>
        <w:fldChar w:fldCharType="separate"/>
      </w:r>
      <w:r>
        <w:rPr>
          <w:rFonts w:hint="eastAsia" w:cs="宋体" w:asciiTheme="minorEastAsia" w:hAnsiTheme="minorEastAsia" w:eastAsiaTheme="minorEastAsia"/>
        </w:rPr>
        <w:t>七、中选结果与授予合同</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"_Toc27069" </w:instrText>
      </w:r>
      <w:r>
        <w:fldChar w:fldCharType="separate"/>
      </w:r>
      <w:r>
        <w:rPr>
          <w:rFonts w:hint="eastAsia" w:cs="宋体" w:asciiTheme="minorEastAsia" w:hAnsiTheme="minorEastAsia" w:eastAsiaTheme="minorEastAsia"/>
        </w:rPr>
        <w:t>八、其他</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1</w:t>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"_Toc30375" </w:instrText>
      </w:r>
      <w:r>
        <w:fldChar w:fldCharType="separate"/>
      </w:r>
      <w:r>
        <w:rPr>
          <w:rFonts w:hint="eastAsia" w:cs="宋体" w:asciiTheme="minorEastAsia" w:hAnsiTheme="minorEastAsia" w:eastAsiaTheme="minorEastAsia"/>
          <w:szCs w:val="32"/>
        </w:rPr>
        <w:t>第三章  评审办法及标准</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_Toc30375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14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"_Toc8585" </w:instrText>
      </w:r>
      <w:r>
        <w:fldChar w:fldCharType="separate"/>
      </w:r>
      <w:r>
        <w:rPr>
          <w:rFonts w:hint="eastAsia" w:cs="宋体" w:asciiTheme="minorEastAsia" w:hAnsiTheme="minorEastAsia" w:eastAsiaTheme="minorEastAsia"/>
          <w:szCs w:val="32"/>
        </w:rPr>
        <w:t>第四章  用户需求书</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_Toc8585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16</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"_Toc19957" </w:instrText>
      </w:r>
      <w:r>
        <w:fldChar w:fldCharType="separate"/>
      </w:r>
      <w:r>
        <w:rPr>
          <w:rFonts w:hint="eastAsia" w:cs="宋体" w:asciiTheme="minorEastAsia" w:hAnsiTheme="minorEastAsia" w:eastAsiaTheme="minorEastAsia"/>
          <w:szCs w:val="32"/>
        </w:rPr>
        <w:t>第五章  合同格式条款</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_Toc19957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22</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"_Toc27097" </w:instrText>
      </w:r>
      <w:r>
        <w:fldChar w:fldCharType="separate"/>
      </w:r>
      <w:r>
        <w:rPr>
          <w:rFonts w:hint="eastAsia" w:cs="宋体" w:asciiTheme="minorEastAsia" w:hAnsiTheme="minorEastAsia" w:eastAsiaTheme="minorEastAsia"/>
          <w:szCs w:val="32"/>
        </w:rPr>
        <w:t>第六章  响应文件组成</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5</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"_Toc27212" </w:instrText>
      </w:r>
      <w:r>
        <w:fldChar w:fldCharType="separate"/>
      </w:r>
      <w:r>
        <w:rPr>
          <w:rFonts w:hint="eastAsia" w:cs="宋体" w:asciiTheme="minorEastAsia" w:hAnsiTheme="minorEastAsia" w:eastAsiaTheme="minorEastAsia"/>
        </w:rPr>
        <w:t>一、谈判承诺书</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7</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"_Toc31855" </w:instrText>
      </w:r>
      <w:r>
        <w:fldChar w:fldCharType="separate"/>
      </w:r>
      <w:r>
        <w:rPr>
          <w:rFonts w:hint="eastAsia" w:cs="宋体" w:asciiTheme="minorEastAsia" w:hAnsiTheme="minorEastAsia" w:eastAsiaTheme="minorEastAsia"/>
        </w:rPr>
        <w:t>二、法定代表人身份证明书</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_Toc31855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38</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"_Toc26247" </w:instrText>
      </w:r>
      <w:r>
        <w:fldChar w:fldCharType="separate"/>
      </w:r>
      <w:r>
        <w:rPr>
          <w:rFonts w:hint="eastAsia" w:cs="宋体" w:asciiTheme="minorEastAsia" w:hAnsiTheme="minorEastAsia" w:eastAsiaTheme="minorEastAsia"/>
        </w:rPr>
        <w:t>三、授权委托书</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9</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"_Toc30184" </w:instrText>
      </w:r>
      <w:r>
        <w:fldChar w:fldCharType="separate"/>
      </w:r>
      <w:r>
        <w:rPr>
          <w:rFonts w:hint="eastAsia" w:cs="宋体" w:asciiTheme="minorEastAsia" w:hAnsiTheme="minorEastAsia" w:eastAsiaTheme="minorEastAsia"/>
        </w:rPr>
        <w:t>四、谈判单位资格证明文件</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"_Toc4407" </w:instrText>
      </w:r>
      <w:r>
        <w:fldChar w:fldCharType="separate"/>
      </w:r>
      <w:r>
        <w:rPr>
          <w:rFonts w:hint="eastAsia" w:cs="宋体" w:asciiTheme="minorEastAsia" w:hAnsiTheme="minorEastAsia" w:eastAsiaTheme="minorEastAsia"/>
        </w:rPr>
        <w:t>五、</w:t>
      </w:r>
      <w:r>
        <w:rPr>
          <w:rFonts w:hint="eastAsia" w:cs="宋体" w:asciiTheme="minorEastAsia" w:hAnsiTheme="minorEastAsia" w:eastAsiaTheme="minorEastAsia"/>
          <w:bCs/>
        </w:rPr>
        <w:t>服务方案（如有）</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1</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"_Toc2978" </w:instrText>
      </w:r>
      <w:r>
        <w:fldChar w:fldCharType="separate"/>
      </w:r>
      <w:r>
        <w:rPr>
          <w:rFonts w:hint="eastAsia" w:cs="宋体" w:asciiTheme="minorEastAsia" w:hAnsiTheme="minorEastAsia" w:eastAsiaTheme="minorEastAsia"/>
        </w:rPr>
        <w:t>六、报价一览表</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2</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"_Toc8265" </w:instrText>
      </w:r>
      <w:r>
        <w:fldChar w:fldCharType="separate"/>
      </w:r>
      <w:r>
        <w:rPr>
          <w:rFonts w:hint="eastAsia" w:cs="宋体" w:asciiTheme="minorEastAsia" w:hAnsiTheme="minorEastAsia" w:eastAsiaTheme="minorEastAsia"/>
          <w:lang w:val="zh-CN"/>
        </w:rPr>
        <w:t>七</w:t>
      </w:r>
      <w:r>
        <w:rPr>
          <w:rFonts w:hint="eastAsia" w:cs="宋体" w:asciiTheme="minorEastAsia" w:hAnsiTheme="minorEastAsia" w:eastAsiaTheme="minorEastAsia"/>
        </w:rPr>
        <w:t>、其他资料(如有)</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_Toc8265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45</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spacing w:line="360" w:lineRule="auto"/>
        <w:ind w:firstLine="420" w:firstLineChars="200"/>
        <w:rPr>
          <w:rFonts w:asciiTheme="minorEastAsia" w:hAnsiTheme="minorEastAsia" w:eastAsiaTheme="minorEastAsia"/>
          <w:b/>
          <w:sz w:val="32"/>
          <w:szCs w:val="32"/>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3"/>
        <w:keepNext w:val="0"/>
        <w:spacing w:line="360" w:lineRule="auto"/>
        <w:ind w:firstLine="643" w:firstLineChars="200"/>
        <w:rPr>
          <w:rFonts w:cs="宋体" w:asciiTheme="minorEastAsia" w:hAnsiTheme="minorEastAsia" w:eastAsiaTheme="minorEastAsia"/>
          <w:sz w:val="32"/>
          <w:szCs w:val="32"/>
        </w:rPr>
      </w:pPr>
      <w:bookmarkStart w:id="0" w:name="_Toc18373"/>
      <w:r>
        <w:rPr>
          <w:rFonts w:hint="eastAsia" w:cs="宋体" w:asciiTheme="minorEastAsia" w:hAnsiTheme="minorEastAsia" w:eastAsiaTheme="minorEastAsia"/>
          <w:sz w:val="32"/>
          <w:szCs w:val="32"/>
        </w:rPr>
        <w:t>第一章  谈判邀请公告</w:t>
      </w:r>
      <w:bookmarkEnd w:id="0"/>
    </w:p>
    <w:p>
      <w:pPr>
        <w:pStyle w:val="25"/>
        <w:adjustRightInd w:val="0"/>
        <w:snapToGrid w:val="0"/>
        <w:spacing w:line="360" w:lineRule="auto"/>
        <w:ind w:firstLine="420" w:firstLineChars="200"/>
        <w:rPr>
          <w:rFonts w:asciiTheme="minorEastAsia" w:hAnsiTheme="minorEastAsia" w:eastAsiaTheme="minorEastAsia"/>
          <w:iCs/>
          <w:u w:val="single"/>
        </w:rPr>
      </w:pP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u w:val="single"/>
        </w:rPr>
        <w:t>湖南新泉工程造价咨询有限公司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长沙市轨道交通运营有限公司、</w:t>
      </w:r>
      <w:r>
        <w:rPr>
          <w:rFonts w:hint="eastAsia" w:asciiTheme="minorEastAsia" w:hAnsiTheme="minorEastAsia" w:eastAsiaTheme="minorEastAsia"/>
          <w:sz w:val="24"/>
          <w:u w:val="single"/>
        </w:rPr>
        <w:t>长</w:t>
      </w:r>
      <w:r>
        <w:rPr>
          <w:rFonts w:hint="eastAsia" w:cs="宋体" w:asciiTheme="minorEastAsia" w:hAnsiTheme="minorEastAsia" w:eastAsiaTheme="minorEastAsia"/>
          <w:szCs w:val="21"/>
          <w:u w:val="single"/>
        </w:rPr>
        <w:t>沙市轨道交通一号线建设发展有限公司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iCs/>
          <w:u w:val="single"/>
        </w:rPr>
        <w:t>长沙市轨道交通运营期2020年-2021年清分中心及1、2号线信号、自动化中心系统设备维护保养服务项目</w:t>
      </w:r>
      <w:r>
        <w:rPr>
          <w:rFonts w:hint="eastAsia" w:cs="宋体" w:asciiTheme="minorEastAsia" w:hAnsiTheme="minorEastAsia" w:eastAsiaTheme="minorEastAsia"/>
          <w:iCs/>
          <w:u w:val="single"/>
          <w:lang w:val="en-US" w:eastAsia="zh-CN"/>
        </w:rPr>
        <w:t>(第二次)</w:t>
      </w:r>
      <w:r>
        <w:rPr>
          <w:rFonts w:hint="eastAsia" w:cs="宋体" w:asciiTheme="minorEastAsia" w:hAnsiTheme="minorEastAsia" w:eastAsiaTheme="minorEastAsia"/>
          <w:iCs/>
        </w:rPr>
        <w:t>进行自主竞争性谈判采购，现发布公告，邀请符合条件的单位参与谈判采购活动。</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一、项目概况</w:t>
      </w:r>
    </w:p>
    <w:p>
      <w:pPr>
        <w:pStyle w:val="25"/>
        <w:adjustRightInd w:val="0"/>
        <w:snapToGrid w:val="0"/>
        <w:spacing w:line="360" w:lineRule="auto"/>
        <w:ind w:firstLine="420" w:firstLineChars="200"/>
        <w:rPr>
          <w:rFonts w:hint="eastAsia" w:cs="宋体" w:asciiTheme="minorEastAsia" w:hAnsiTheme="minorEastAsia" w:eastAsiaTheme="minorEastAsia"/>
          <w:iCs/>
          <w:lang w:eastAsia="zh-CN"/>
        </w:rPr>
      </w:pPr>
      <w:r>
        <w:rPr>
          <w:rFonts w:hint="eastAsia" w:cs="宋体" w:asciiTheme="minorEastAsia" w:hAnsiTheme="minorEastAsia" w:eastAsiaTheme="minorEastAsia"/>
          <w:iCs/>
        </w:rPr>
        <w:t>1.项目名称：长沙市轨道交通运营期2020年-2021年清分中心及1、2号线信号、自动化中心系统设备维护保养服务项目</w:t>
      </w:r>
      <w:r>
        <w:rPr>
          <w:rFonts w:hint="eastAsia" w:cs="宋体" w:asciiTheme="minorEastAsia" w:hAnsiTheme="minorEastAsia" w:eastAsiaTheme="minorEastAsia"/>
          <w:iCs/>
          <w:lang w:eastAsia="zh-CN"/>
        </w:rPr>
        <w:t>（第二次）</w:t>
      </w:r>
    </w:p>
    <w:p>
      <w:pPr>
        <w:pStyle w:val="25"/>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2.项目</w:t>
      </w:r>
      <w:r>
        <w:rPr>
          <w:rFonts w:hint="eastAsia" w:cs="宋体" w:asciiTheme="minorEastAsia" w:hAnsiTheme="minorEastAsia" w:eastAsiaTheme="minorEastAsia"/>
          <w:iCs/>
          <w:lang w:eastAsia="zh-CN"/>
        </w:rPr>
        <w:t>最高投标限价</w:t>
      </w:r>
      <w:r>
        <w:rPr>
          <w:rFonts w:hint="eastAsia" w:cs="宋体" w:asciiTheme="minorEastAsia" w:hAnsiTheme="minorEastAsia" w:eastAsiaTheme="minorEastAsia"/>
          <w:iCs/>
        </w:rPr>
        <w:t>：912291.12</w:t>
      </w:r>
      <w:r>
        <w:rPr>
          <w:rFonts w:hint="eastAsia" w:cs="宋体" w:asciiTheme="minorEastAsia" w:hAnsiTheme="minorEastAsia" w:eastAsiaTheme="minorEastAsia"/>
        </w:rPr>
        <w:t>元</w:t>
      </w:r>
    </w:p>
    <w:p>
      <w:pPr>
        <w:spacing w:line="360" w:lineRule="auto"/>
        <w:ind w:firstLine="420" w:firstLineChars="200"/>
        <w:jc w:val="left"/>
        <w:rPr>
          <w:rFonts w:cs="宋体" w:asciiTheme="minorEastAsia" w:hAnsiTheme="minorEastAsia" w:eastAsiaTheme="minorEastAsia"/>
          <w:iCs/>
          <w:color w:val="FF0000"/>
          <w:u w:val="single"/>
        </w:rPr>
      </w:pPr>
      <w:r>
        <w:rPr>
          <w:rFonts w:hint="eastAsia" w:cs="宋体" w:asciiTheme="minorEastAsia" w:hAnsiTheme="minorEastAsia" w:eastAsiaTheme="minorEastAsia"/>
          <w:iCs/>
          <w:color w:val="auto"/>
          <w:szCs w:val="21"/>
        </w:rPr>
        <w:t>3.</w:t>
      </w:r>
      <w:r>
        <w:rPr>
          <w:rFonts w:hint="eastAsia" w:cs="宋体" w:asciiTheme="minorEastAsia" w:hAnsiTheme="minorEastAsia" w:eastAsiaTheme="minorEastAsia"/>
          <w:iCs/>
          <w:color w:val="auto"/>
        </w:rPr>
        <w:t>谈判内容：</w:t>
      </w:r>
      <w:r>
        <w:rPr>
          <w:rFonts w:hint="eastAsia" w:cs="宋体" w:asciiTheme="minorEastAsia" w:hAnsiTheme="minorEastAsia" w:eastAsiaTheme="minorEastAsia"/>
          <w:iCs/>
        </w:rPr>
        <w:t>本项目主要为长沙轨道交通的清分中心系统软硬件的维修、维护及应急抢修和1号线、2号线的信号系统、自动化系统核心设备硬件和集群的维修、维护及应急抢修等工作（具体详见用户需求书）。</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rPr>
        <w:t>4</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cs="宋体" w:asciiTheme="minorEastAsia" w:hAnsiTheme="minorEastAsia" w:eastAsiaTheme="minorEastAsia"/>
          <w:iCs/>
        </w:rPr>
      </w:pPr>
      <w:r>
        <w:rPr>
          <w:rFonts w:hint="eastAsia" w:cs="宋体" w:asciiTheme="minorEastAsia" w:hAnsiTheme="minorEastAsia" w:eastAsiaTheme="minorEastAsia"/>
          <w:iCs/>
        </w:rPr>
        <w:t>5</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服务期限：</w:t>
      </w:r>
      <w:r>
        <w:rPr>
          <w:rFonts w:hint="eastAsia" w:cs="宋体" w:asciiTheme="minorEastAsia" w:hAnsiTheme="minorEastAsia" w:eastAsiaTheme="minorEastAsia"/>
        </w:rPr>
        <w:t>本项目服务期限为12个月（实际服务时间以采购单位发出的进场通知起算）（具体详见用户需求书）。</w:t>
      </w:r>
      <w:r>
        <w:rPr>
          <w:rFonts w:cs="宋体" w:asciiTheme="minorEastAsia" w:hAnsiTheme="minorEastAsia" w:eastAsiaTheme="minorEastAsia"/>
          <w:iCs/>
        </w:rPr>
        <w:t xml:space="preserve"> </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二、资格要求</w:t>
      </w:r>
    </w:p>
    <w:p>
      <w:pPr>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szCs w:val="21"/>
        </w:rPr>
        <w:t>1.</w:t>
      </w:r>
      <w:r>
        <w:rPr>
          <w:rFonts w:hint="eastAsia" w:cs="宋体" w:asciiTheme="minorEastAsia" w:hAnsiTheme="minorEastAsia" w:eastAsiaTheme="minorEastAsia"/>
          <w:iCs/>
        </w:rPr>
        <w:t>谈判单位须为具有独立法人资格、自主经营、独立核算的公司。</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2.谈判单位在本项目响应文件递交截止之日前36个月内须具有以下业绩之一：</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①单项合同金额不少于45万元/年的轨道交通清分系统维保业绩；</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②单项合同金额不少于45万元的轨道交通清分系统集成业绩。</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3.本次谈判不接受联合体形式参与谈判。</w:t>
      </w:r>
    </w:p>
    <w:p>
      <w:pPr>
        <w:spacing w:line="360" w:lineRule="auto"/>
        <w:ind w:firstLine="420" w:firstLineChars="200"/>
        <w:rPr>
          <w:rFonts w:cs="Courier New" w:asciiTheme="minorEastAsia" w:hAnsiTheme="minorEastAsia" w:eastAsiaTheme="minorEastAsia"/>
          <w:iCs/>
          <w:szCs w:val="21"/>
        </w:rPr>
      </w:pPr>
      <w:r>
        <w:rPr>
          <w:rFonts w:hint="eastAsia" w:cs="宋体" w:asciiTheme="minorEastAsia" w:hAnsiTheme="minorEastAsia" w:eastAsiaTheme="minorEastAsia"/>
          <w:szCs w:val="21"/>
        </w:rPr>
        <w:t>4.</w:t>
      </w:r>
      <w:r>
        <w:rPr>
          <w:rFonts w:hint="eastAsia" w:cs="宋体" w:asciiTheme="minorEastAsia" w:hAnsiTheme="minorEastAsia" w:eastAsiaTheme="minorEastAsia"/>
          <w:iCs/>
          <w:szCs w:val="21"/>
        </w:rPr>
        <w:t>被长沙市轨道交通集团函告禁止在一定期限内参与轨道公司项目投标或谈判的单位按函告内容执行。</w:t>
      </w:r>
    </w:p>
    <w:p>
      <w:pPr>
        <w:spacing w:line="360" w:lineRule="auto"/>
        <w:ind w:firstLine="422" w:firstLineChars="200"/>
        <w:rPr>
          <w:rFonts w:asciiTheme="minorEastAsia" w:hAnsiTheme="minorEastAsia" w:eastAsiaTheme="minorEastAsia"/>
          <w:b/>
          <w:bCs/>
          <w:iCs/>
        </w:rPr>
      </w:pPr>
      <w:r>
        <w:rPr>
          <w:rFonts w:hint="eastAsia" w:asciiTheme="minorEastAsia" w:hAnsiTheme="minorEastAsia" w:eastAsiaTheme="minorEastAsia"/>
          <w:b/>
          <w:bCs/>
          <w:szCs w:val="21"/>
        </w:rPr>
        <w:t>三、</w:t>
      </w:r>
      <w:r>
        <w:rPr>
          <w:rFonts w:hint="eastAsia" w:asciiTheme="minorEastAsia" w:hAnsiTheme="minorEastAsia" w:eastAsiaTheme="minorEastAsia"/>
          <w:b/>
          <w:bCs/>
          <w:iCs/>
        </w:rPr>
        <w:t>评审办法</w:t>
      </w:r>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四、自主竞争性谈判文件的获取</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凡有意参加谈判的单位，请于2020年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14</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日至2020年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日登录长沙市轨道交通集团有限公司官方网站</w:t>
      </w:r>
      <w:r>
        <w:rPr>
          <w:rFonts w:hint="eastAsia" w:cs="宋体" w:asciiTheme="minorEastAsia" w:hAnsiTheme="minorEastAsia" w:eastAsiaTheme="minorEastAsia"/>
          <w:kern w:val="0"/>
          <w:szCs w:val="21"/>
        </w:rPr>
        <w:t>（http://www.hncsmtr.com/）</w:t>
      </w:r>
      <w:r>
        <w:rPr>
          <w:rFonts w:hint="eastAsia" w:asciiTheme="minorEastAsia" w:hAnsiTheme="minorEastAsia" w:eastAsiaTheme="minorEastAsia"/>
          <w:szCs w:val="21"/>
        </w:rPr>
        <w:t>获取自主竞争性谈判文件。</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五、</w:t>
      </w:r>
      <w:r>
        <w:rPr>
          <w:rFonts w:hint="eastAsia" w:asciiTheme="minorEastAsia" w:hAnsiTheme="minorEastAsia" w:eastAsiaTheme="minorEastAsia"/>
          <w:b/>
          <w:bCs/>
          <w:iCs/>
        </w:rPr>
        <w:t>谈判文件的</w:t>
      </w:r>
      <w:r>
        <w:rPr>
          <w:rFonts w:hint="eastAsia" w:asciiTheme="minorEastAsia" w:hAnsiTheme="minorEastAsia" w:eastAsiaTheme="minorEastAsia"/>
          <w:b/>
          <w:bCs/>
          <w:szCs w:val="21"/>
        </w:rPr>
        <w:t>澄清与答疑</w:t>
      </w:r>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2.谈判单位若对谈判文件有任何疑问，</w:t>
      </w:r>
      <w:r>
        <w:rPr>
          <w:rFonts w:hint="eastAsia" w:asciiTheme="minorEastAsia" w:hAnsiTheme="minorEastAsia" w:eastAsiaTheme="minorEastAsia"/>
          <w:szCs w:val="21"/>
        </w:rPr>
        <w:t>应于</w:t>
      </w:r>
      <w:r>
        <w:rPr>
          <w:rFonts w:hint="eastAsia" w:asciiTheme="minorEastAsia" w:hAnsiTheme="minorEastAsia" w:eastAsiaTheme="minorEastAsia"/>
          <w:szCs w:val="21"/>
          <w:u w:val="single"/>
        </w:rPr>
        <w:t>2020</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21</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hint="eastAsia" w:cs="Courier New" w:asciiTheme="minorEastAsia" w:hAnsiTheme="minorEastAsia" w:eastAsiaTheme="minorEastAsia"/>
          <w:iCs/>
          <w:szCs w:val="21"/>
        </w:rPr>
        <w:t>17：00时（含）前（节假日除外）以书面形式（经法定代表人签字或盖章，并加盖单位公章）递交至采购代理机构。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w:t>
      </w:r>
      <w:r>
        <w:rPr>
          <w:rFonts w:hint="eastAsia" w:cs="Courier New" w:asciiTheme="minorEastAsia" w:hAnsiTheme="minorEastAsia" w:eastAsiaTheme="minorEastAsia"/>
          <w:iCs/>
          <w:szCs w:val="21"/>
          <w:lang w:eastAsia="zh-CN"/>
        </w:rPr>
        <w:t>的</w:t>
      </w:r>
      <w:r>
        <w:rPr>
          <w:rFonts w:hint="eastAsia" w:cs="Courier New" w:asciiTheme="minorEastAsia" w:hAnsiTheme="minorEastAsia" w:eastAsiaTheme="minorEastAsia"/>
          <w:iCs/>
          <w:szCs w:val="21"/>
        </w:rPr>
        <w:t>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Theme="minorEastAsia" w:hAnsiTheme="minorEastAsia" w:eastAsiaTheme="minorEastAsia"/>
          <w:b/>
          <w:iCs/>
        </w:rPr>
      </w:pPr>
      <w:r>
        <w:rPr>
          <w:rFonts w:hint="eastAsia" w:cs="宋体" w:asciiTheme="minorEastAsia" w:hAnsiTheme="minorEastAsia" w:eastAsiaTheme="minorEastAsia"/>
          <w:b/>
          <w:bCs/>
          <w:kern w:val="0"/>
          <w:szCs w:val="21"/>
        </w:rPr>
        <w:t>六</w:t>
      </w:r>
      <w:r>
        <w:rPr>
          <w:rFonts w:hint="eastAsia" w:cs="宋体" w:asciiTheme="minorEastAsia" w:hAnsiTheme="minorEastAsia" w:eastAsiaTheme="minorEastAsia"/>
          <w:kern w:val="0"/>
          <w:szCs w:val="21"/>
        </w:rPr>
        <w:t>、</w:t>
      </w:r>
      <w:r>
        <w:rPr>
          <w:rFonts w:hint="eastAsia" w:asciiTheme="minorEastAsia" w:hAnsiTheme="minorEastAsia" w:eastAsiaTheme="minorEastAsia"/>
          <w:b/>
          <w:iCs/>
        </w:rPr>
        <w:t>响应文件的递交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1.响应</w:t>
      </w:r>
      <w:r>
        <w:rPr>
          <w:rFonts w:asciiTheme="minorEastAsia" w:hAnsiTheme="minorEastAsia" w:eastAsiaTheme="minorEastAsia"/>
          <w:bCs/>
          <w:szCs w:val="21"/>
        </w:rPr>
        <w:t>文件递交的截止时间</w:t>
      </w:r>
      <w:r>
        <w:rPr>
          <w:rFonts w:hint="eastAsia" w:asciiTheme="minorEastAsia" w:hAnsiTheme="minorEastAsia" w:eastAsiaTheme="minorEastAsia"/>
          <w:bCs/>
          <w:szCs w:val="21"/>
        </w:rPr>
        <w:t>及谈判时间</w:t>
      </w:r>
      <w:r>
        <w:rPr>
          <w:rFonts w:asciiTheme="minorEastAsia" w:hAnsiTheme="minorEastAsia" w:eastAsiaTheme="minorEastAsia"/>
          <w:bCs/>
          <w:szCs w:val="21"/>
        </w:rPr>
        <w:t>为</w:t>
      </w:r>
      <w:r>
        <w:rPr>
          <w:rFonts w:hint="eastAsia" w:asciiTheme="minorEastAsia" w:hAnsiTheme="minorEastAsia" w:eastAsiaTheme="minorEastAsia"/>
          <w:bCs/>
          <w:szCs w:val="21"/>
        </w:rPr>
        <w:t>2020</w:t>
      </w:r>
      <w:r>
        <w:rPr>
          <w:rFonts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5</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27</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日</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14</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时</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30</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分，地点为</w:t>
      </w:r>
      <w:r>
        <w:rPr>
          <w:rFonts w:hint="eastAsia" w:cs="宋体" w:asciiTheme="minorEastAsia" w:hAnsiTheme="minorEastAsia" w:eastAsiaTheme="minorEastAsia"/>
          <w:szCs w:val="21"/>
        </w:rPr>
        <w:t>长沙市劳动东路二段48号长沙市轨道交通运营有限公司综合楼910室。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spacing w:line="360" w:lineRule="auto"/>
        <w:ind w:firstLine="422" w:firstLineChars="200"/>
        <w:rPr>
          <w:rFonts w:cs="黑体" w:asciiTheme="minorEastAsia" w:hAnsiTheme="minorEastAsia" w:eastAsiaTheme="minorEastAsia"/>
          <w:b/>
          <w:sz w:val="24"/>
        </w:rPr>
      </w:pPr>
      <w:r>
        <w:rPr>
          <w:rFonts w:hint="eastAsia" w:cs="Courier New" w:asciiTheme="minorEastAsia" w:hAnsiTheme="minorEastAsia" w:eastAsiaTheme="minorEastAsia"/>
          <w:b/>
          <w:iCs/>
          <w:szCs w:val="21"/>
        </w:rPr>
        <w:t>七、采购单位及其委托的采购代理机构的名称、地址和联系方法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采购单位：长沙市轨道交通运营有限公司、长沙市轨道交通一号线建设发展有限公司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w:t>
      </w:r>
      <w:r>
        <w:rPr>
          <w:rFonts w:hint="eastAsia" w:cs="宋体" w:asciiTheme="minorEastAsia" w:hAnsiTheme="minorEastAsia" w:eastAsiaTheme="minorEastAsia"/>
          <w:szCs w:val="21"/>
          <w:lang w:val="en-US" w:eastAsia="zh-CN"/>
        </w:rPr>
        <w:t>02</w:t>
      </w:r>
      <w:r>
        <w:rPr>
          <w:rFonts w:hint="eastAsia" w:cs="宋体" w:asciiTheme="minorEastAsia" w:hAnsiTheme="minorEastAsia" w:eastAsiaTheme="minorEastAsia"/>
          <w:szCs w:val="21"/>
        </w:rPr>
        <w:t>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沈工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0731-86852248</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采购代理机构：湖南新泉工程造价咨询有限公司</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  址：长沙市芙蓉中路三段420号华升大厦1418房</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联系人：何女士</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电  话：0731-85410207/85226831</w:t>
      </w:r>
    </w:p>
    <w:p>
      <w:pPr>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2020年</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14</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pStyle w:val="3"/>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1" w:name="_Toc5436"/>
      <w:r>
        <w:rPr>
          <w:rFonts w:hint="eastAsia" w:cs="宋体" w:asciiTheme="minorEastAsia" w:hAnsiTheme="minorEastAsia" w:eastAsiaTheme="minorEastAsia"/>
          <w:bCs w:val="0"/>
          <w:sz w:val="32"/>
          <w:szCs w:val="32"/>
        </w:rPr>
        <w:t>第二章  谈判须知</w:t>
      </w:r>
      <w:bookmarkEnd w:id="1"/>
    </w:p>
    <w:p>
      <w:pPr>
        <w:pStyle w:val="4"/>
        <w:keepNext w:val="0"/>
        <w:keepLines w:val="0"/>
        <w:ind w:firstLine="643" w:firstLineChars="200"/>
        <w:jc w:val="center"/>
        <w:rPr>
          <w:rFonts w:cs="宋体" w:asciiTheme="minorEastAsia" w:hAnsiTheme="minorEastAsia" w:eastAsiaTheme="minorEastAsia"/>
          <w:sz w:val="32"/>
        </w:rPr>
      </w:pPr>
      <w:bookmarkStart w:id="2" w:name="_Toc22770"/>
      <w:r>
        <w:rPr>
          <w:rFonts w:hint="eastAsia" w:cs="宋体" w:asciiTheme="minorEastAsia" w:hAnsiTheme="minorEastAsia" w:eastAsiaTheme="minorEastAsia"/>
          <w:sz w:val="32"/>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788"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788" w:type="dxa"/>
            <w:vAlign w:val="center"/>
          </w:tcPr>
          <w:p>
            <w:pPr>
              <w:pStyle w:val="25"/>
              <w:adjustRightInd w:val="0"/>
              <w:snapToGrid w:val="0"/>
              <w:spacing w:line="360" w:lineRule="auto"/>
              <w:rPr>
                <w:rFonts w:hint="eastAsia" w:cs="宋体" w:asciiTheme="minorEastAsia" w:hAnsiTheme="minorEastAsia" w:eastAsiaTheme="minorEastAsia"/>
                <w:lang w:eastAsia="zh-CN"/>
              </w:rPr>
            </w:pPr>
            <w:r>
              <w:rPr>
                <w:rFonts w:hint="eastAsia" w:cs="宋体" w:asciiTheme="minorEastAsia" w:hAnsiTheme="minorEastAsia" w:eastAsiaTheme="minorEastAsia"/>
              </w:rPr>
              <w:t>长沙市轨道交通运营期2020年-2021年清分中心及1、2号线信号、自动化中心系统设备维护保养服务项目</w:t>
            </w:r>
            <w:r>
              <w:rPr>
                <w:rFonts w:hint="eastAsia" w:cs="宋体" w:asciiTheme="minorEastAsia" w:hAnsiTheme="minorEastAsia" w:eastAsiaTheme="minorEastAsia"/>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长沙市轨道交通运营有限公司、长沙市轨道交通一号线建设发展有限公司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谈判</w:t>
            </w:r>
            <w:r>
              <w:rPr>
                <w:rFonts w:hint="eastAsia" w:asciiTheme="minorEastAsia" w:hAnsiTheme="minorEastAsia" w:eastAsiaTheme="minorEastAsia"/>
                <w:b/>
                <w:szCs w:val="21"/>
                <w:lang w:eastAsia="zh-CN"/>
              </w:rPr>
              <w:t>最高限价</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rPr>
              <w:t>912291.12</w:t>
            </w:r>
            <w:r>
              <w:rPr>
                <w:rFonts w:hint="eastAsia" w:cs="宋体" w:asciiTheme="minorEastAsia" w:hAnsiTheme="minorEastAsia" w:eastAsiaTheme="minorEastAsia"/>
                <w:iCs/>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788" w:type="dxa"/>
            <w:vAlign w:val="center"/>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1.谈判单位须为具有独立法人资格、自主经营、独立核算的公司。</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2.谈判单位在本项目响应文件递交截止之日前36个月内须具有以下业绩之一：</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①单项合同金额不少于45万元/年的轨道交通清分系统维保业绩；</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②单项合同金额不少于45万元的轨道交通清分系统集成业绩。</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3.本次谈判不接受联合体形式参与谈判。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788" w:type="dxa"/>
            <w:vAlign w:val="center"/>
          </w:tcPr>
          <w:p>
            <w:pPr>
              <w:pStyle w:val="25"/>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u w:val="single"/>
              </w:rPr>
              <w:t>2020</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5</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21</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17</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00</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788" w:type="dxa"/>
            <w:vAlign w:val="center"/>
          </w:tcPr>
          <w:p>
            <w:pPr>
              <w:pStyle w:val="25"/>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rPr>
              <w:t>谈判答疑文件应以书面形式递交至湖南新泉工程造价咨询有限公司（长沙市芙蓉中路三段420号华升大厦1418房）。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u w:val="single"/>
              </w:rPr>
              <w:t>2020</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5</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27</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14</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30</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长沙市轨道交通运营有限公司劳动东路二段48号黄兴车辆段综合楼910室。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788"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价格承包内容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rPr>
              <w:t>本项目采用总价合同方式，合同价格包括在维保过程中所需的管理费、利润、税金等一切费用。在项目实施中出现任何遗漏，均由乙方免费提供，甲方不再支付任何费用。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项目支付方式</w:t>
            </w:r>
          </w:p>
        </w:tc>
        <w:tc>
          <w:tcPr>
            <w:tcW w:w="7788" w:type="dxa"/>
            <w:vAlign w:val="center"/>
          </w:tcPr>
          <w:p>
            <w:pPr>
              <w:pStyle w:val="45"/>
              <w:adjustRightInd w:val="0"/>
              <w:snapToGrid w:val="0"/>
              <w:spacing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1.付款周期为每半年支付一次，甲方对乙方维保工作进行综合考核，乙方按甲方的支付程序办理请款手续并提供增值税专用发票、有效期内的履约担保复印件后28个工作日内，由甲方向乙方支付。</w:t>
            </w:r>
          </w:p>
          <w:p>
            <w:pPr>
              <w:pStyle w:val="45"/>
              <w:adjustRightInd w:val="0"/>
              <w:snapToGrid w:val="0"/>
              <w:spacing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2.每次支付的金额：按签约合同价的90%平均到每个付款周期，甲方依据考核结果向乙方支付上一个付款周期的价款，累计支付不得超过签约合同价的90%。</w:t>
            </w:r>
          </w:p>
          <w:p>
            <w:pPr>
              <w:pStyle w:val="45"/>
              <w:adjustRightInd w:val="0"/>
              <w:snapToGrid w:val="0"/>
              <w:spacing w:after="0"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3.履约验收完成付款：项目按合同约定完成履约且按甲方相关规定办理履约验收，履约验收完成后，在收到乙方支付申请并证实完整后28个工作日内，支付至合同价格的100%。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w:t>
            </w:r>
            <w:r>
              <w:rPr>
                <w:rFonts w:hint="eastAsia" w:cs="宋体" w:asciiTheme="minorEastAsia" w:hAnsiTheme="minorEastAsia" w:eastAsiaTheme="minorEastAsia"/>
                <w:szCs w:val="21"/>
                <w:lang w:eastAsia="zh-CN"/>
              </w:rPr>
              <w:t>采购</w:t>
            </w:r>
            <w:r>
              <w:rPr>
                <w:rFonts w:hint="eastAsia" w:cs="宋体" w:asciiTheme="minorEastAsia" w:hAnsiTheme="minorEastAsia" w:eastAsiaTheme="minorEastAsia"/>
                <w:szCs w:val="21"/>
              </w:rPr>
              <w:t>代理服务收费汇率表》(附件</w:t>
            </w:r>
            <w:r>
              <w:rPr>
                <w:rFonts w:hint="eastAsia" w:cs="宋体" w:asciiTheme="minorEastAsia" w:hAnsiTheme="minorEastAsia" w:eastAsiaTheme="minorEastAsia"/>
                <w:szCs w:val="21"/>
                <w:lang w:eastAsia="zh-CN"/>
              </w:rPr>
              <w:t>一</w:t>
            </w:r>
            <w:r>
              <w:rPr>
                <w:rFonts w:hint="eastAsia" w:cs="宋体" w:asciiTheme="minorEastAsia" w:hAnsiTheme="minorEastAsia" w:eastAsiaTheme="minorEastAsia"/>
                <w:szCs w:val="21"/>
              </w:rPr>
              <w:t>)计算，服务费超过2万元的，按2万元计取，服务费低于5000元的，按5000元计取。由中选单位全额支付，中选单位应在本项目完成中选通知书备案、资料归档等手续，且接到采购</w:t>
            </w:r>
            <w:r>
              <w:rPr>
                <w:rFonts w:hint="eastAsia" w:cs="宋体" w:asciiTheme="minorEastAsia" w:hAnsiTheme="minorEastAsia" w:eastAsiaTheme="minorEastAsia"/>
                <w:szCs w:val="21"/>
                <w:lang w:eastAsia="zh-CN"/>
              </w:rPr>
              <w:t>单位</w:t>
            </w:r>
            <w:r>
              <w:rPr>
                <w:rFonts w:hint="eastAsia" w:cs="宋体" w:asciiTheme="minorEastAsia" w:hAnsiTheme="minorEastAsia" w:eastAsiaTheme="minorEastAsia"/>
                <w:szCs w:val="21"/>
              </w:rPr>
              <w:t>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其他规定</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（如有）</w:t>
            </w:r>
          </w:p>
        </w:tc>
      </w:tr>
    </w:tbl>
    <w:p>
      <w:pPr>
        <w:pStyle w:val="4"/>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cs="宋体" w:asciiTheme="minorEastAsia" w:hAnsiTheme="minorEastAsia" w:eastAsiaTheme="minorEastAsia"/>
          <w:sz w:val="32"/>
        </w:rPr>
      </w:pPr>
      <w:bookmarkStart w:id="3" w:name="_Toc30385"/>
      <w:r>
        <w:rPr>
          <w:rFonts w:hint="eastAsia" w:cs="宋体" w:asciiTheme="minorEastAsia" w:hAnsiTheme="minorEastAsia" w:eastAsiaTheme="minorEastAsia"/>
          <w:sz w:val="32"/>
        </w:rPr>
        <w:t>谈判须知正文</w:t>
      </w:r>
      <w:bookmarkEnd w:id="3"/>
    </w:p>
    <w:p>
      <w:pPr>
        <w:pStyle w:val="5"/>
        <w:keepNext w:val="0"/>
        <w:keepLines w:val="0"/>
        <w:spacing w:before="0" w:after="0" w:line="360" w:lineRule="auto"/>
        <w:rPr>
          <w:rFonts w:cs="宋体" w:asciiTheme="minorEastAsia" w:hAnsiTheme="minorEastAsia" w:eastAsiaTheme="minorEastAsia"/>
          <w:sz w:val="21"/>
          <w:szCs w:val="21"/>
        </w:rPr>
      </w:pPr>
      <w:bookmarkStart w:id="4" w:name="_Toc23354"/>
      <w:r>
        <w:rPr>
          <w:rFonts w:hint="eastAsia" w:cs="宋体" w:asciiTheme="minorEastAsia" w:hAnsiTheme="minorEastAsia" w:eastAsiaTheme="minorEastAsia"/>
          <w:sz w:val="21"/>
          <w:szCs w:val="21"/>
        </w:rPr>
        <w:t>一、说明</w:t>
      </w:r>
      <w:bookmarkEnd w:id="4"/>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5"/>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5"/>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5"/>
        <w:keepNext w:val="0"/>
        <w:keepLines w:val="0"/>
        <w:spacing w:before="0" w:after="0" w:line="360" w:lineRule="auto"/>
        <w:rPr>
          <w:rFonts w:cs="宋体" w:asciiTheme="minorEastAsia" w:hAnsiTheme="minorEastAsia" w:eastAsiaTheme="minorEastAsia"/>
          <w:sz w:val="21"/>
          <w:szCs w:val="21"/>
        </w:rPr>
      </w:pPr>
      <w:bookmarkStart w:id="5" w:name="_Toc19198"/>
      <w:r>
        <w:rPr>
          <w:rFonts w:hint="eastAsia" w:cs="宋体" w:asciiTheme="minorEastAsia" w:hAnsiTheme="minorEastAsia" w:eastAsiaTheme="minorEastAsia"/>
          <w:sz w:val="21"/>
          <w:szCs w:val="21"/>
        </w:rPr>
        <w:t>二、谈判文件</w:t>
      </w:r>
      <w:bookmarkEnd w:id="5"/>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w:t>
      </w:r>
      <w:r>
        <w:rPr>
          <w:rFonts w:hint="eastAsia" w:cs="Courier New" w:asciiTheme="minorEastAsia" w:hAnsiTheme="minorEastAsia" w:eastAsiaTheme="minorEastAsia"/>
          <w:iCs/>
          <w:szCs w:val="21"/>
          <w:lang w:eastAsia="zh-CN"/>
        </w:rPr>
        <w:t>的</w:t>
      </w:r>
      <w:r>
        <w:rPr>
          <w:rFonts w:hint="eastAsia" w:cs="Courier New" w:asciiTheme="minorEastAsia" w:hAnsiTheme="minorEastAsia" w:eastAsiaTheme="minorEastAsia"/>
          <w:iCs/>
          <w:szCs w:val="21"/>
        </w:rPr>
        <w:t>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5"/>
        <w:keepNext w:val="0"/>
        <w:keepLines w:val="0"/>
        <w:spacing w:before="0" w:after="0" w:line="360" w:lineRule="auto"/>
        <w:rPr>
          <w:rFonts w:cs="宋体" w:asciiTheme="minorEastAsia" w:hAnsiTheme="minorEastAsia" w:eastAsiaTheme="minorEastAsia"/>
          <w:sz w:val="21"/>
          <w:szCs w:val="21"/>
        </w:rPr>
      </w:pPr>
      <w:bookmarkStart w:id="6" w:name="_Toc24457"/>
      <w:r>
        <w:rPr>
          <w:rFonts w:hint="eastAsia" w:cs="宋体" w:asciiTheme="minorEastAsia" w:hAnsiTheme="minorEastAsia" w:eastAsiaTheme="minorEastAsia"/>
          <w:sz w:val="21"/>
          <w:szCs w:val="21"/>
        </w:rPr>
        <w:t>三、响应文件</w:t>
      </w:r>
      <w:bookmarkEnd w:id="6"/>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5"/>
        <w:adjustRightInd w:val="0"/>
        <w:snapToGrid w:val="0"/>
        <w:spacing w:line="36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（5）服务方案（如有）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（6）报价一览表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（7）其他资料（如有）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b/>
          <w:bCs/>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rPr>
        <w:t>，</w:t>
      </w:r>
      <w:r>
        <w:rPr>
          <w:rFonts w:hint="eastAsia" w:asciiTheme="minorEastAsia" w:hAnsiTheme="minorEastAsia" w:eastAsiaTheme="minorEastAsia"/>
          <w:szCs w:val="21"/>
        </w:rPr>
        <w:t>不超过谈判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rPr>
        <w:t>单位在</w:t>
      </w:r>
      <w:r>
        <w:rPr>
          <w:rFonts w:hint="eastAsia" w:asciiTheme="minorEastAsia" w:hAnsiTheme="minorEastAsia" w:eastAsiaTheme="minorEastAsia"/>
          <w:szCs w:val="21"/>
        </w:rPr>
        <w:t>谈判</w:t>
      </w:r>
      <w:r>
        <w:rPr>
          <w:rFonts w:asciiTheme="minorEastAsia" w:hAnsiTheme="minorEastAsia" w:eastAsiaTheme="minorEastAsia"/>
          <w:szCs w:val="21"/>
        </w:rPr>
        <w:t>截止时间前修改</w:t>
      </w:r>
      <w:r>
        <w:rPr>
          <w:rFonts w:hint="eastAsia" w:asciiTheme="minorEastAsia" w:hAnsiTheme="minorEastAsia" w:eastAsiaTheme="minorEastAsia"/>
          <w:szCs w:val="21"/>
        </w:rPr>
        <w:t>报价文件</w:t>
      </w:r>
      <w:r>
        <w:rPr>
          <w:rFonts w:asciiTheme="minorEastAsia" w:hAnsiTheme="minorEastAsia" w:eastAsiaTheme="minorEastAsia"/>
          <w:szCs w:val="21"/>
        </w:rPr>
        <w:t>中的</w:t>
      </w:r>
      <w:r>
        <w:rPr>
          <w:rFonts w:hint="eastAsia" w:asciiTheme="minorEastAsia" w:hAnsiTheme="minorEastAsia" w:eastAsiaTheme="minorEastAsia"/>
          <w:szCs w:val="21"/>
        </w:rPr>
        <w:t>谈判总</w:t>
      </w:r>
      <w:r>
        <w:rPr>
          <w:rFonts w:asciiTheme="minorEastAsia" w:hAnsiTheme="minorEastAsia" w:eastAsiaTheme="minorEastAsia"/>
          <w:szCs w:val="21"/>
        </w:rPr>
        <w:t>报价，应同时修改</w:t>
      </w:r>
      <w:r>
        <w:rPr>
          <w:rFonts w:hint="eastAsia" w:asciiTheme="minorEastAsia" w:hAnsiTheme="minorEastAsia" w:eastAsiaTheme="minorEastAsia"/>
          <w:szCs w:val="21"/>
        </w:rPr>
        <w:t>报价</w:t>
      </w:r>
      <w:r>
        <w:rPr>
          <w:rFonts w:asciiTheme="minorEastAsia" w:hAnsiTheme="minorEastAsia" w:eastAsiaTheme="minorEastAsia"/>
          <w:szCs w:val="21"/>
        </w:rPr>
        <w:t>文件</w:t>
      </w:r>
      <w:r>
        <w:rPr>
          <w:rFonts w:hint="eastAsia" w:asciiTheme="minorEastAsia" w:hAnsiTheme="minorEastAsia" w:eastAsiaTheme="minorEastAsia"/>
          <w:szCs w:val="21"/>
        </w:rPr>
        <w:t>《报价一览表》和《分项价格表》</w:t>
      </w:r>
      <w:r>
        <w:rPr>
          <w:rFonts w:asciiTheme="minorEastAsia" w:hAnsiTheme="minorEastAsia" w:eastAsiaTheme="minorEastAsia"/>
          <w:szCs w:val="21"/>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asciiTheme="minorEastAsia" w:hAnsiTheme="minorEastAsia" w:eastAsiaTheme="minorEastAsia"/>
          <w:szCs w:val="21"/>
        </w:rPr>
        <w:t>12.8本项目采用总价方式</w:t>
      </w:r>
      <w:r>
        <w:rPr>
          <w:rFonts w:hint="eastAsia" w:cs="宋体" w:asciiTheme="minorEastAsia" w:hAnsiTheme="minorEastAsia" w:eastAsiaTheme="minorEastAsia"/>
          <w:kern w:val="0"/>
          <w:szCs w:val="21"/>
        </w:rPr>
        <w:t>，</w:t>
      </w:r>
      <w:r>
        <w:rPr>
          <w:rFonts w:hint="eastAsia" w:cs="Times New Roman" w:asciiTheme="minorEastAsia" w:hAnsiTheme="minorEastAsia" w:eastAsiaTheme="minorEastAsia"/>
          <w:szCs w:val="21"/>
          <w:lang w:val="en-US" w:eastAsia="zh-CN"/>
        </w:rPr>
        <w:t>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5"/>
        <w:keepNext w:val="0"/>
        <w:keepLines w:val="0"/>
        <w:spacing w:before="0" w:after="0" w:line="360" w:lineRule="auto"/>
        <w:rPr>
          <w:rFonts w:cs="宋体" w:asciiTheme="minorEastAsia" w:hAnsiTheme="minorEastAsia" w:eastAsiaTheme="minorEastAsia"/>
          <w:sz w:val="21"/>
          <w:szCs w:val="21"/>
        </w:rPr>
      </w:pPr>
      <w:bookmarkStart w:id="7" w:name="_Toc664"/>
      <w:r>
        <w:rPr>
          <w:rFonts w:hint="eastAsia" w:cs="宋体" w:asciiTheme="minorEastAsia" w:hAnsiTheme="minorEastAsia" w:eastAsiaTheme="minorEastAsia"/>
          <w:sz w:val="21"/>
          <w:szCs w:val="21"/>
        </w:rPr>
        <w:t>四、响应文件的递交</w:t>
      </w:r>
      <w:bookmarkEnd w:id="7"/>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5"/>
        <w:keepNext w:val="0"/>
        <w:keepLines w:val="0"/>
        <w:spacing w:before="0" w:after="0" w:line="360" w:lineRule="auto"/>
        <w:rPr>
          <w:rFonts w:cs="宋体" w:asciiTheme="minorEastAsia" w:hAnsiTheme="minorEastAsia" w:eastAsiaTheme="minorEastAsia"/>
          <w:sz w:val="21"/>
          <w:szCs w:val="21"/>
        </w:rPr>
      </w:pPr>
      <w:bookmarkStart w:id="8" w:name="_Toc4809"/>
      <w:r>
        <w:rPr>
          <w:rFonts w:hint="eastAsia" w:cs="宋体" w:asciiTheme="minorEastAsia" w:hAnsiTheme="minorEastAsia" w:eastAsiaTheme="minorEastAsia"/>
          <w:sz w:val="21"/>
          <w:szCs w:val="21"/>
        </w:rPr>
        <w:t>五、响应文件的评审</w:t>
      </w:r>
      <w:bookmarkEnd w:id="8"/>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cs="宋体" w:asciiTheme="minorEastAsia" w:hAnsiTheme="minorEastAsia" w:eastAsiaTheme="minorEastAsia"/>
          <w:sz w:val="21"/>
          <w:szCs w:val="21"/>
        </w:rPr>
      </w:pPr>
      <w:bookmarkStart w:id="9" w:name="_Toc25543"/>
      <w:r>
        <w:rPr>
          <w:rFonts w:hint="eastAsia" w:cs="宋体" w:asciiTheme="minorEastAsia" w:hAnsiTheme="minorEastAsia" w:eastAsiaTheme="minorEastAsia"/>
          <w:sz w:val="21"/>
          <w:szCs w:val="21"/>
        </w:rPr>
        <w:t>六、响应文件的澄清、说明及补正</w:t>
      </w:r>
      <w:bookmarkEnd w:id="9"/>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cs="宋体" w:asciiTheme="minorEastAsia" w:hAnsiTheme="minorEastAsia" w:eastAsiaTheme="minorEastAsia"/>
          <w:sz w:val="21"/>
          <w:szCs w:val="21"/>
        </w:rPr>
      </w:pPr>
      <w:bookmarkStart w:id="10" w:name="_Toc25353"/>
      <w:r>
        <w:rPr>
          <w:rFonts w:hint="eastAsia" w:cs="宋体" w:asciiTheme="minorEastAsia" w:hAnsiTheme="minorEastAsia" w:eastAsiaTheme="minorEastAsia"/>
          <w:sz w:val="21"/>
          <w:szCs w:val="21"/>
        </w:rPr>
        <w:t>七、中选结果与授予合同</w:t>
      </w:r>
      <w:bookmarkEnd w:id="10"/>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5"/>
        <w:adjustRightInd w:val="0"/>
        <w:snapToGrid w:val="0"/>
        <w:spacing w:line="360" w:lineRule="auto"/>
        <w:ind w:firstLine="422" w:firstLineChars="20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r>
        <w:rPr>
          <w:rFonts w:hint="eastAsia" w:asciiTheme="minorEastAsia" w:hAnsiTheme="minorEastAsia" w:eastAsiaTheme="minorEastAsia"/>
        </w:rPr>
        <w:br w:type="textWrapping"/>
      </w:r>
      <w:r>
        <w:rPr>
          <w:rFonts w:hint="eastAsia" w:asciiTheme="minorEastAsia" w:hAnsiTheme="minorEastAsia" w:eastAsiaTheme="minorEastAsia"/>
        </w:rPr>
        <w:t>22.2异议的提出与处理按相关规定执行。</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1" w:name="page32"/>
      <w:bookmarkEnd w:id="11"/>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5"/>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5"/>
        <w:keepNext w:val="0"/>
        <w:keepLines w:val="0"/>
        <w:spacing w:before="0" w:after="0" w:line="360" w:lineRule="auto"/>
        <w:rPr>
          <w:rFonts w:cs="宋体" w:asciiTheme="minorEastAsia" w:hAnsiTheme="minorEastAsia" w:eastAsiaTheme="minorEastAsia"/>
          <w:sz w:val="21"/>
          <w:szCs w:val="21"/>
        </w:rPr>
      </w:pPr>
      <w:bookmarkStart w:id="12" w:name="_Toc27069"/>
      <w:r>
        <w:rPr>
          <w:rFonts w:hint="eastAsia" w:cs="宋体" w:asciiTheme="minorEastAsia" w:hAnsiTheme="minorEastAsia" w:eastAsiaTheme="minorEastAsia"/>
          <w:sz w:val="21"/>
          <w:szCs w:val="21"/>
        </w:rPr>
        <w:t>八、其他</w:t>
      </w:r>
      <w:bookmarkEnd w:id="12"/>
    </w:p>
    <w:p>
      <w:pPr>
        <w:adjustRightInd w:val="0"/>
        <w:snapToGrid w:val="0"/>
        <w:spacing w:line="360" w:lineRule="auto"/>
        <w:ind w:firstLine="420" w:firstLineChars="200"/>
        <w:rPr>
          <w:rFonts w:asciiTheme="minorEastAsia" w:hAnsiTheme="minorEastAsia" w:eastAsiaTheme="minorEastAsia"/>
        </w:rPr>
        <w:sectPr>
          <w:pgSz w:w="12240" w:h="15840"/>
          <w:pgMar w:top="1440" w:right="1800" w:bottom="1440" w:left="1800" w:header="720" w:footer="720" w:gutter="0"/>
          <w:cols w:space="720" w:num="1"/>
          <w:titlePg/>
          <w:docGrid w:type="lines" w:linePitch="323" w:charSpace="0"/>
        </w:sect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附件一：采购代理服务费收费标准</w:t>
      </w:r>
    </w:p>
    <w:p>
      <w:pPr>
        <w:adjustRightInd w:val="0"/>
        <w:snapToGrid w:val="0"/>
        <w:spacing w:line="360" w:lineRule="auto"/>
        <w:ind w:firstLine="422" w:firstLineChars="20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采购代理服务收费汇率表</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采购代理服务费的收费标准为：以中选价为基数，按《采购代理服务收费汇率表》进行计算后，向中选单位收取。服务费超过2万元的，按2万元计取，服务费低于5000元的，按5000元计取。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3"/>
        <w:keepNext w:val="0"/>
        <w:spacing w:line="360" w:lineRule="auto"/>
        <w:ind w:firstLine="643" w:firstLineChars="200"/>
        <w:rPr>
          <w:rFonts w:cs="宋体" w:asciiTheme="minorEastAsia" w:hAnsiTheme="minorEastAsia" w:eastAsiaTheme="minorEastAsia"/>
          <w:bCs w:val="0"/>
          <w:sz w:val="32"/>
          <w:szCs w:val="32"/>
        </w:rPr>
      </w:pPr>
      <w:bookmarkStart w:id="13" w:name="_Toc30375"/>
      <w:r>
        <w:rPr>
          <w:rFonts w:hint="eastAsia" w:cs="宋体" w:asciiTheme="minorEastAsia" w:hAnsiTheme="minorEastAsia" w:eastAsiaTheme="minorEastAsia"/>
          <w:bCs w:val="0"/>
          <w:sz w:val="32"/>
          <w:szCs w:val="32"/>
        </w:rPr>
        <w:t>第三章 评审办法及标准</w:t>
      </w:r>
      <w:bookmarkEnd w:id="13"/>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一、评审办法</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二、谈判程序</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3．谈判程序分为：</w:t>
      </w:r>
      <w:r>
        <w:rPr>
          <w:rFonts w:hint="eastAsia" w:asciiTheme="minorEastAsia" w:hAnsiTheme="minorEastAsia" w:eastAsiaTheme="minorEastAsia"/>
          <w:b/>
          <w:szCs w:val="21"/>
        </w:rPr>
        <w:t>谈判验证阶段及谈判评审阶段。</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三、谈判验证阶段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4.身份验证阶段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4.2参与谈判的代表身份经验证不合格的，视为无效响应，</w:t>
      </w:r>
      <w:r>
        <w:rPr>
          <w:rFonts w:hint="eastAsia" w:asciiTheme="minorEastAsia" w:hAnsiTheme="minorEastAsia" w:eastAsiaTheme="minorEastAsia"/>
          <w:szCs w:val="21"/>
        </w:rPr>
        <w:t>不得进入下一阶段。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5.唱价阶段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5.2谈判单位法定代表人或授权委托人、现场监</w:t>
      </w:r>
      <w:r>
        <w:rPr>
          <w:rFonts w:hint="eastAsia" w:asciiTheme="minorEastAsia" w:hAnsiTheme="minorEastAsia" w:eastAsiaTheme="minorEastAsia"/>
          <w:bCs/>
          <w:szCs w:val="21"/>
          <w:lang w:eastAsia="zh-CN"/>
        </w:rPr>
        <w:t>审</w:t>
      </w:r>
      <w:r>
        <w:rPr>
          <w:rFonts w:hint="eastAsia" w:asciiTheme="minorEastAsia" w:hAnsiTheme="minorEastAsia" w:eastAsiaTheme="minorEastAsia"/>
          <w:bCs/>
          <w:szCs w:val="21"/>
        </w:rPr>
        <w:t>、记录人等有关人员在</w:t>
      </w:r>
      <w:r>
        <w:rPr>
          <w:rFonts w:hint="eastAsia" w:asciiTheme="minorEastAsia" w:hAnsiTheme="minorEastAsia" w:eastAsiaTheme="minorEastAsia"/>
          <w:bCs/>
          <w:szCs w:val="21"/>
          <w:lang w:eastAsia="zh-CN"/>
        </w:rPr>
        <w:t>《谈判报价记录一览表》</w:t>
      </w:r>
      <w:r>
        <w:rPr>
          <w:rFonts w:hint="eastAsia" w:asciiTheme="minorEastAsia" w:hAnsiTheme="minorEastAsia" w:eastAsiaTheme="minorEastAsia"/>
          <w:bCs/>
          <w:szCs w:val="21"/>
        </w:rPr>
        <w:t>上签字确认，谈判单位对本阶段有异议的应当场提出，采购人当场作出答复，并记录在案，未提出的，视为无异议。</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四、谈判</w:t>
      </w:r>
      <w:r>
        <w:rPr>
          <w:rFonts w:hint="eastAsia" w:cs="宋体" w:asciiTheme="minorEastAsia" w:hAnsiTheme="minorEastAsia" w:eastAsiaTheme="minorEastAsia"/>
          <w:b/>
          <w:szCs w:val="21"/>
          <w:lang w:eastAsia="zh-CN"/>
        </w:rPr>
        <w:t>评审</w:t>
      </w:r>
      <w:r>
        <w:rPr>
          <w:rFonts w:hint="eastAsia" w:cs="宋体" w:asciiTheme="minorEastAsia" w:hAnsiTheme="minorEastAsia" w:eastAsiaTheme="minorEastAsia"/>
          <w:b/>
          <w:szCs w:val="21"/>
        </w:rPr>
        <w:t>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6.符合性审查阶段</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符合性审查分为对谈判单位资格的符合性审查及报价的符合性审查。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6.1资格的符合性审查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谈判评审</w:t>
      </w:r>
      <w:r>
        <w:rPr>
          <w:rFonts w:hint="eastAsia" w:asciiTheme="minorEastAsia" w:hAnsiTheme="minorEastAsia" w:eastAsiaTheme="minorEastAsia"/>
          <w:bCs/>
          <w:szCs w:val="21"/>
        </w:rPr>
        <w:t>小组</w:t>
      </w:r>
      <w:r>
        <w:rPr>
          <w:rFonts w:hint="eastAsia" w:asciiTheme="minorEastAsia" w:hAnsiTheme="minorEastAsia" w:eastAsiaTheme="minorEastAsia"/>
          <w:szCs w:val="21"/>
        </w:rPr>
        <w:t>根据本谈判文件</w:t>
      </w:r>
      <w:r>
        <w:rPr>
          <w:rFonts w:hint="eastAsia" w:asciiTheme="minorEastAsia" w:hAnsiTheme="minorEastAsia" w:eastAsiaTheme="minorEastAsia"/>
          <w:b/>
        </w:rPr>
        <w:t>前附表</w:t>
      </w:r>
      <w:r>
        <w:rPr>
          <w:rFonts w:hint="eastAsia" w:asciiTheme="minorEastAsia" w:hAnsiTheme="minorEastAsia" w:eastAsiaTheme="minorEastAsia"/>
        </w:rPr>
        <w:t>内</w:t>
      </w:r>
      <w:r>
        <w:rPr>
          <w:rFonts w:hint="eastAsia" w:asciiTheme="minorEastAsia" w:hAnsiTheme="minorEastAsia" w:eastAsiaTheme="minorEastAsia"/>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6.2报价的符合性审查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谈判评审小组根据谈判文件的规定，对报价文件的有效性、完整性等进行符合性审查。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6.3有下列情形之一的，为符合性审查不合格，视为无效响应，不进入下一阶段：</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（1）未按照谈判文件规定要求签署盖章的；</w:t>
      </w:r>
    </w:p>
    <w:p>
      <w:pPr>
        <w:adjustRightInd w:val="0"/>
        <w:snapToGrid w:val="0"/>
        <w:spacing w:line="360" w:lineRule="auto"/>
        <w:ind w:firstLine="420" w:firstLineChars="200"/>
        <w:rPr>
          <w:rFonts w:hint="eastAsia" w:cs="宋体" w:asciiTheme="minorEastAsia" w:hAnsiTheme="minorEastAsia" w:eastAsiaTheme="minorEastAsia"/>
          <w:kern w:val="0"/>
          <w:szCs w:val="21"/>
        </w:rPr>
      </w:pPr>
      <w:r>
        <w:rPr>
          <w:rFonts w:hint="eastAsia" w:asciiTheme="minorEastAsia" w:hAnsiTheme="minorEastAsia" w:eastAsiaTheme="minorEastAsia"/>
          <w:szCs w:val="21"/>
        </w:rPr>
        <w:t>（2）响应</w:t>
      </w:r>
      <w:r>
        <w:rPr>
          <w:rFonts w:hint="eastAsia" w:cs="宋体" w:asciiTheme="minorEastAsia" w:hAnsiTheme="minorEastAsia" w:eastAsiaTheme="minorEastAsia"/>
          <w:kern w:val="0"/>
          <w:szCs w:val="21"/>
        </w:rPr>
        <w:t>文件有效期不满足谈判文件规定的；</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lang w:eastAsia="zh-CN"/>
        </w:rPr>
        <w:t>）未带营业执照副本原件</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lang w:eastAsia="zh-CN"/>
        </w:rPr>
        <w:t>未带</w:t>
      </w:r>
      <w:r>
        <w:rPr>
          <w:rFonts w:hint="eastAsia" w:cs="Times New Roman" w:asciiTheme="minorEastAsia" w:hAnsiTheme="minorEastAsia" w:eastAsiaTheme="minorEastAsia"/>
          <w:szCs w:val="21"/>
          <w:lang w:val="en-US" w:eastAsia="zh-CN"/>
        </w:rPr>
        <w:t>加盖谈判单位盖章</w:t>
      </w:r>
      <w:r>
        <w:rPr>
          <w:rFonts w:hint="eastAsia" w:cs="Times New Roman" w:asciiTheme="minorEastAsia" w:hAnsiTheme="minorEastAsia" w:eastAsiaTheme="minorEastAsia"/>
          <w:szCs w:val="21"/>
          <w:lang w:eastAsia="zh-CN"/>
        </w:rPr>
        <w:t>的营业执照副本</w:t>
      </w:r>
      <w:r>
        <w:rPr>
          <w:rFonts w:hint="eastAsia" w:cs="Times New Roman" w:asciiTheme="minorEastAsia" w:hAnsiTheme="minorEastAsia" w:eastAsiaTheme="minorEastAsia"/>
          <w:szCs w:val="21"/>
          <w:lang w:val="en-US" w:eastAsia="zh-CN"/>
        </w:rPr>
        <w:t>复印件的；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）不满足资格条件要求的；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）不满足用户需求书要求书的；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6</w:t>
      </w:r>
      <w:r>
        <w:rPr>
          <w:rFonts w:hint="eastAsia" w:cs="Times New Roman" w:asciiTheme="minorEastAsia" w:hAnsiTheme="minorEastAsia" w:eastAsiaTheme="minorEastAsia"/>
          <w:szCs w:val="21"/>
        </w:rPr>
        <w:t>）超过谈判</w:t>
      </w:r>
      <w:r>
        <w:rPr>
          <w:rFonts w:hint="eastAsia" w:cs="Times New Roman" w:asciiTheme="minorEastAsia" w:hAnsiTheme="minorEastAsia" w:eastAsiaTheme="minorEastAsia"/>
          <w:szCs w:val="21"/>
          <w:lang w:eastAsia="zh-CN"/>
        </w:rPr>
        <w:t>最高限价</w:t>
      </w:r>
      <w:r>
        <w:rPr>
          <w:rFonts w:hint="eastAsia" w:cs="Times New Roman" w:asciiTheme="minorEastAsia" w:hAnsiTheme="minorEastAsia" w:eastAsiaTheme="minorEastAsia"/>
          <w:szCs w:val="21"/>
        </w:rPr>
        <w:t>的；</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）递交两份或多份内容不同的报价文件，或在一份报价文件中对同一项目报有两个或多个报价，且未声明哪一个有效的</w:t>
      </w:r>
      <w:r>
        <w:rPr>
          <w:rFonts w:hint="eastAsia" w:cs="Times New Roman" w:asciiTheme="minorEastAsia" w:hAnsiTheme="minorEastAsia" w:eastAsiaTheme="minorEastAsia"/>
          <w:szCs w:val="21"/>
          <w:lang w:eastAsia="zh-CN"/>
        </w:rPr>
        <w:t>；</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被长沙市轨道交通集团函告禁止在一定期限内参与轨道公司项目投标或谈判的单位按函告内容执行。</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szCs w:val="21"/>
        </w:rPr>
        <w:t>7.</w:t>
      </w:r>
      <w:r>
        <w:rPr>
          <w:rFonts w:hint="eastAsia" w:asciiTheme="minorEastAsia" w:hAnsiTheme="minorEastAsia" w:eastAsiaTheme="minorEastAsia"/>
          <w:b/>
          <w:bCs/>
          <w:szCs w:val="21"/>
        </w:rPr>
        <w:t>详细评审阶段</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（1）</w:t>
      </w:r>
      <w:r>
        <w:rPr>
          <w:rFonts w:hint="eastAsia" w:cs="宋体" w:asciiTheme="minorEastAsia" w:hAnsiTheme="minorEastAsia" w:eastAsiaTheme="minorEastAsia"/>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hint="eastAsia" w:asciiTheme="minorEastAsia" w:hAnsiTheme="minorEastAsia" w:eastAsiaTheme="minorEastAsia"/>
          <w:b/>
          <w:bCs/>
          <w:szCs w:val="21"/>
          <w:lang w:eastAsia="zh-CN"/>
        </w:rPr>
      </w:pPr>
      <w:r>
        <w:rPr>
          <w:rFonts w:hint="eastAsia" w:asciiTheme="minorEastAsia" w:hAnsiTheme="minorEastAsia" w:eastAsiaTheme="minorEastAsia"/>
          <w:szCs w:val="21"/>
        </w:rPr>
        <w:t>（2）</w:t>
      </w:r>
      <w:r>
        <w:rPr>
          <w:rFonts w:hint="eastAsia" w:cs="宋体" w:asciiTheme="minorEastAsia" w:hAnsiTheme="minorEastAsia" w:eastAsiaTheme="minorEastAsia"/>
          <w:kern w:val="0"/>
          <w:szCs w:val="21"/>
        </w:rPr>
        <w:t>其他有效单位的得分统一按下列公式计算（保留2位小数，第3位四舍五入）：谈判单位得分=(基准价／谈判总报价)×100</w:t>
      </w:r>
      <w:r>
        <w:rPr>
          <w:rFonts w:hint="eastAsia" w:cs="宋体" w:asciiTheme="minorEastAsia" w:hAnsiTheme="minorEastAsia" w:eastAsiaTheme="minorEastAsia"/>
          <w:kern w:val="0"/>
          <w:szCs w:val="21"/>
          <w:lang w:eastAsia="zh-CN"/>
        </w:rPr>
        <w:t>。</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8.推荐中选单位</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bCs/>
          <w:szCs w:val="21"/>
        </w:rPr>
        <w:t xml:space="preserve">8.1 </w:t>
      </w:r>
      <w:r>
        <w:rPr>
          <w:rFonts w:hint="eastAsia" w:cs="宋体" w:asciiTheme="minorEastAsia" w:hAnsiTheme="minorEastAsia" w:eastAsiaTheme="minorEastAsia"/>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8.2 全部评审结束后，若出现报价得分相同的情形，则采用现场抽签方式确定中选单位。</w:t>
      </w:r>
    </w:p>
    <w:p>
      <w:pPr>
        <w:adjustRightInd w:val="0"/>
        <w:snapToGrid w:val="0"/>
        <w:spacing w:line="360" w:lineRule="auto"/>
        <w:ind w:firstLine="420" w:firstLineChars="20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8.3 中选单位放弃中选、因不可抗力不能履行合同，或者被查实存在影响中选结果的违法行为等情形，不符合中选条件的，采购单位可以依次确定排序靠后的中选候选单位为中选单位或重新采购。</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3"/>
        <w:keepNext w:val="0"/>
        <w:numPr>
          <w:ilvl w:val="0"/>
          <w:numId w:val="2"/>
        </w:numPr>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 xml:space="preserve"> </w:t>
      </w:r>
      <w:bookmarkStart w:id="14" w:name="_Toc8585"/>
      <w:r>
        <w:rPr>
          <w:rFonts w:hint="eastAsia" w:cs="宋体" w:asciiTheme="minorEastAsia" w:hAnsiTheme="minorEastAsia" w:eastAsiaTheme="minorEastAsia"/>
          <w:bCs w:val="0"/>
          <w:sz w:val="32"/>
          <w:szCs w:val="32"/>
        </w:rPr>
        <w:t>用户需求书</w:t>
      </w:r>
      <w:bookmarkEnd w:id="14"/>
      <w:bookmarkStart w:id="15" w:name="_Toc8303500"/>
      <w:bookmarkStart w:id="16" w:name="_Toc4401260"/>
      <w:bookmarkStart w:id="17" w:name="_Toc5975439"/>
    </w:p>
    <w:bookmarkEnd w:id="15"/>
    <w:bookmarkEnd w:id="16"/>
    <w:bookmarkEnd w:id="17"/>
    <w:p>
      <w:pPr>
        <w:pStyle w:val="32"/>
        <w:tabs>
          <w:tab w:val="right" w:leader="middleDot" w:pos="8306"/>
        </w:tabs>
        <w:spacing w:line="560" w:lineRule="atLeast"/>
        <w:ind w:firstLine="420" w:firstLineChars="200"/>
        <w:outlineLvl w:val="0"/>
        <w:rPr>
          <w:rFonts w:hint="eastAsia" w:ascii="宋体" w:hAnsi="宋体" w:eastAsia="宋体" w:cs="宋体"/>
          <w:szCs w:val="21"/>
        </w:rPr>
      </w:pPr>
      <w:bookmarkStart w:id="18" w:name="_Toc36047373"/>
      <w:bookmarkStart w:id="19" w:name="_Toc19957"/>
      <w:r>
        <w:rPr>
          <w:rFonts w:hint="eastAsia" w:ascii="宋体" w:hAnsi="宋体" w:eastAsia="宋体" w:cs="宋体"/>
          <w:iCs/>
          <w:szCs w:val="21"/>
        </w:rPr>
        <w:t>一、</w:t>
      </w:r>
      <w:r>
        <w:rPr>
          <w:rFonts w:hint="eastAsia" w:ascii="宋体" w:hAnsi="宋体" w:eastAsia="宋体" w:cs="宋体"/>
        </w:rPr>
        <w:fldChar w:fldCharType="begin"/>
      </w:r>
      <w:r>
        <w:rPr>
          <w:rFonts w:hint="eastAsia" w:ascii="宋体" w:hAnsi="宋体" w:eastAsia="宋体" w:cs="宋体"/>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"_Toc28139" </w:instrText>
      </w:r>
      <w:r>
        <w:rPr>
          <w:rFonts w:hint="eastAsia" w:ascii="宋体" w:hAnsi="宋体" w:eastAsia="宋体" w:cs="宋体"/>
        </w:rPr>
        <w:fldChar w:fldCharType="separate"/>
      </w:r>
      <w:r>
        <w:rPr>
          <w:rStyle w:val="55"/>
          <w:rFonts w:hint="eastAsia" w:ascii="宋体" w:hAnsi="宋体" w:eastAsia="宋体" w:cs="宋体"/>
          <w:iCs/>
          <w:color w:val="auto"/>
          <w:szCs w:val="21"/>
          <w:u w:val="none"/>
        </w:rPr>
        <w:t>项目概况及招标范围</w:t>
      </w:r>
      <w:bookmarkEnd w:id="18"/>
      <w:r>
        <w:rPr>
          <w:rStyle w:val="55"/>
          <w:rFonts w:hint="eastAsia" w:ascii="宋体" w:hAnsi="宋体" w:eastAsia="宋体" w:cs="宋体"/>
          <w:iCs/>
          <w:color w:val="auto"/>
          <w:szCs w:val="21"/>
          <w:u w:val="none"/>
        </w:rPr>
        <w:fldChar w:fldCharType="end"/>
      </w:r>
    </w:p>
    <w:p>
      <w:pPr>
        <w:pStyle w:val="76"/>
        <w:widowControl/>
        <w:numPr>
          <w:ilvl w:val="0"/>
          <w:numId w:val="3"/>
        </w:numPr>
        <w:tabs>
          <w:tab w:val="left" w:pos="120"/>
        </w:tabs>
        <w:adjustRightInd w:val="0"/>
        <w:spacing w:line="560" w:lineRule="exact"/>
        <w:ind w:firstLine="315" w:firstLineChars="150"/>
        <w:outlineLvl w:val="1"/>
        <w:rPr>
          <w:rFonts w:hint="eastAsia" w:ascii="宋体" w:hAnsi="宋体" w:eastAsia="宋体" w:cs="宋体"/>
          <w:iCs/>
          <w:color w:val="auto"/>
        </w:rPr>
      </w:pPr>
      <w:bookmarkStart w:id="20" w:name="_Toc36047374"/>
      <w:bookmarkStart w:id="21" w:name="_Toc4401261"/>
      <w:bookmarkStart w:id="22" w:name="_Toc5975440"/>
      <w:r>
        <w:rPr>
          <w:rFonts w:hint="eastAsia" w:ascii="宋体" w:hAnsi="宋体" w:eastAsia="宋体" w:cs="宋体"/>
          <w:color w:val="auto"/>
        </w:rPr>
        <w:t>项目概况</w:t>
      </w:r>
      <w:bookmarkEnd w:id="20"/>
      <w:bookmarkEnd w:id="21"/>
      <w:bookmarkEnd w:id="22"/>
      <w:r>
        <w:rPr>
          <w:rFonts w:hint="eastAsia" w:ascii="宋体" w:hAnsi="宋体" w:eastAsia="宋体" w:cs="宋体"/>
          <w:color w:val="auto"/>
        </w:rPr>
        <w:t xml:space="preserve"> </w:t>
      </w:r>
    </w:p>
    <w:p>
      <w:pPr>
        <w:adjustRightInd w:val="0"/>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地点位于长沙市轨道交通集团有限公司裙楼（以下简称“OCC裙楼”），包括长沙市轨道交通的清分中心系统（以下简称“ACC”）软硬件的维修维护、应急抢修和1号线、2号线的信号系统、自动化系统核心设备硬件和集群的维修维护、应急抢修等工作。</w:t>
      </w:r>
    </w:p>
    <w:p>
      <w:pPr>
        <w:pStyle w:val="76"/>
        <w:widowControl/>
        <w:numPr>
          <w:ilvl w:val="0"/>
          <w:numId w:val="3"/>
        </w:numPr>
        <w:tabs>
          <w:tab w:val="left" w:pos="120"/>
        </w:tabs>
        <w:adjustRightInd w:val="0"/>
        <w:spacing w:line="560" w:lineRule="exact"/>
        <w:ind w:firstLine="315" w:firstLineChars="150"/>
        <w:outlineLvl w:val="1"/>
        <w:rPr>
          <w:rFonts w:asciiTheme="minorEastAsia" w:hAnsiTheme="minorEastAsia" w:eastAsiaTheme="minorEastAsia"/>
          <w:color w:val="auto"/>
        </w:rPr>
      </w:pPr>
      <w:bookmarkStart w:id="23" w:name="_Toc4401262"/>
      <w:bookmarkStart w:id="24" w:name="_Toc36047375"/>
      <w:bookmarkStart w:id="25" w:name="_Toc5975441"/>
      <w:bookmarkStart w:id="26" w:name="_Hlk15997401"/>
      <w:bookmarkStart w:id="27" w:name="_Hlk15997410"/>
      <w:r>
        <w:rPr>
          <w:rFonts w:hint="eastAsia" w:asciiTheme="minorEastAsia" w:hAnsiTheme="minorEastAsia" w:eastAsiaTheme="minorEastAsia"/>
          <w:color w:val="auto"/>
        </w:rPr>
        <w:t>招标范围</w:t>
      </w:r>
      <w:bookmarkEnd w:id="23"/>
      <w:bookmarkEnd w:id="24"/>
      <w:bookmarkEnd w:id="25"/>
      <w:bookmarkStart w:id="28" w:name="_Hlk4770272"/>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本维护保养项目（以下简称“项目”）</w:t>
      </w:r>
      <w:bookmarkEnd w:id="26"/>
      <w:r>
        <w:rPr>
          <w:rFonts w:hint="eastAsia" w:asciiTheme="minorEastAsia" w:hAnsiTheme="minorEastAsia" w:eastAsiaTheme="minorEastAsia"/>
          <w:szCs w:val="21"/>
        </w:rPr>
        <w:t>涉及软硬件定期预防性维护、故障维修、应急抢修、技术支持、培训服务等内容，具体项目内容详见附件1，包括但不限于附件1的内容</w:t>
      </w:r>
      <w:bookmarkEnd w:id="28"/>
      <w:r>
        <w:rPr>
          <w:rFonts w:hint="eastAsia" w:asciiTheme="minorEastAsia" w:hAnsiTheme="minorEastAsia" w:eastAsiaTheme="minorEastAsia"/>
          <w:szCs w:val="21"/>
        </w:rPr>
        <w:t>。</w:t>
      </w:r>
    </w:p>
    <w:bookmarkEnd w:id="27"/>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r>
        <w:rPr>
          <w:rFonts w:cs="楷体" w:asciiTheme="minorEastAsia" w:hAnsiTheme="minorEastAsia" w:eastAsiaTheme="minorEastAsia"/>
          <w:iCs/>
          <w:szCs w:val="21"/>
        </w:rPr>
        <w:fldChar w:fldCharType="begin"/>
      </w:r>
      <w:r>
        <w:rPr>
          <w:rFonts w:cs="楷体" w:asciiTheme="minorEastAsia" w:hAnsiTheme="minorEastAsia" w:eastAsiaTheme="minorEastAsia"/>
          <w:iCs/>
          <w:szCs w:val="21"/>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"_Toc11191" </w:instrText>
      </w:r>
      <w:r>
        <w:rPr>
          <w:rFonts w:cs="楷体" w:asciiTheme="minorEastAsia" w:hAnsiTheme="minorEastAsia" w:eastAsiaTheme="minorEastAsia"/>
          <w:iCs/>
          <w:szCs w:val="21"/>
        </w:rPr>
        <w:fldChar w:fldCharType="separate"/>
      </w:r>
      <w:bookmarkStart w:id="29" w:name="_Toc5975442"/>
      <w:bookmarkStart w:id="30" w:name="_Toc4401263"/>
      <w:bookmarkStart w:id="31" w:name="_Toc36047376"/>
      <w:r>
        <w:rPr>
          <w:rStyle w:val="55"/>
          <w:rFonts w:hint="eastAsia" w:cs="楷体" w:asciiTheme="minorEastAsia" w:hAnsiTheme="minorEastAsia" w:eastAsiaTheme="minorEastAsia"/>
          <w:iCs/>
          <w:color w:val="auto"/>
          <w:szCs w:val="21"/>
          <w:u w:val="none"/>
        </w:rPr>
        <w:t>二、项目计划</w:t>
      </w:r>
      <w:bookmarkEnd w:id="29"/>
      <w:bookmarkEnd w:id="30"/>
      <w:bookmarkEnd w:id="31"/>
      <w:r>
        <w:rPr>
          <w:rFonts w:cs="楷体" w:asciiTheme="minorEastAsia" w:hAnsiTheme="minorEastAsia" w:eastAsiaTheme="minorEastAsia"/>
          <w:iCs/>
          <w:szCs w:val="21"/>
        </w:rPr>
        <w:fldChar w:fldCharType="end"/>
      </w:r>
    </w:p>
    <w:p>
      <w:pPr>
        <w:pStyle w:val="76"/>
        <w:widowControl/>
        <w:numPr>
          <w:ilvl w:val="0"/>
          <w:numId w:val="4"/>
        </w:numPr>
        <w:tabs>
          <w:tab w:val="left" w:pos="120"/>
        </w:tabs>
        <w:adjustRightInd w:val="0"/>
        <w:spacing w:line="560" w:lineRule="exact"/>
        <w:ind w:firstLine="315" w:firstLineChars="150"/>
        <w:outlineLvl w:val="1"/>
        <w:rPr>
          <w:rFonts w:cs="Courier New" w:asciiTheme="minorEastAsia" w:hAnsiTheme="minorEastAsia" w:eastAsiaTheme="minorEastAsia"/>
          <w:iCs/>
          <w:color w:val="auto"/>
        </w:rPr>
      </w:pPr>
      <w:bookmarkStart w:id="32" w:name="_Toc5975443"/>
      <w:bookmarkStart w:id="33" w:name="_Toc4401264"/>
      <w:bookmarkStart w:id="34" w:name="_Toc36047377"/>
      <w:r>
        <w:rPr>
          <w:rFonts w:hint="eastAsia" w:asciiTheme="minorEastAsia" w:hAnsiTheme="minorEastAsia" w:eastAsiaTheme="minorEastAsia"/>
          <w:color w:val="auto"/>
        </w:rPr>
        <w:t>服务期限</w:t>
      </w:r>
      <w:bookmarkEnd w:id="32"/>
      <w:bookmarkEnd w:id="33"/>
      <w:bookmarkEnd w:id="34"/>
    </w:p>
    <w:p>
      <w:pPr>
        <w:snapToGrid w:val="0"/>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本项目服务期限为12个月（实际服务时间以供应商接到招标人发出的开工令起算）。</w:t>
      </w:r>
    </w:p>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bookmarkStart w:id="35" w:name="_Toc5975444"/>
      <w:bookmarkStart w:id="36" w:name="_Toc4401265"/>
      <w:bookmarkStart w:id="37" w:name="_Toc36047378"/>
      <w:r>
        <w:rPr>
          <w:rFonts w:hint="eastAsia" w:cs="楷体" w:asciiTheme="minorEastAsia" w:hAnsiTheme="minorEastAsia" w:eastAsiaTheme="minorEastAsia"/>
          <w:iCs/>
          <w:szCs w:val="21"/>
        </w:rPr>
        <w:t>三、相关技术标准及规范</w:t>
      </w:r>
      <w:bookmarkEnd w:id="35"/>
      <w:bookmarkEnd w:id="36"/>
      <w:bookmarkEnd w:id="37"/>
    </w:p>
    <w:p>
      <w:pPr>
        <w:spacing w:line="560" w:lineRule="atLeast"/>
        <w:ind w:firstLine="420" w:firstLineChars="200"/>
        <w:rPr>
          <w:rFonts w:asciiTheme="minorEastAsia" w:hAnsiTheme="minorEastAsia" w:eastAsiaTheme="minorEastAsia"/>
          <w:iCs/>
          <w:szCs w:val="21"/>
        </w:rPr>
      </w:pPr>
      <w:r>
        <w:rPr>
          <w:rFonts w:hint="eastAsia" w:asciiTheme="minorEastAsia" w:hAnsiTheme="minorEastAsia" w:eastAsiaTheme="minorEastAsia"/>
          <w:szCs w:val="21"/>
        </w:rPr>
        <w:t>投标人应遵照符合国家与行业相关规范及招标人的相关作业技术标准和规范执行，技术标准版本如有更新，应遵照新版本执行</w:t>
      </w:r>
      <w:bookmarkStart w:id="38" w:name="_Hlk5606179"/>
      <w:r>
        <w:rPr>
          <w:rFonts w:hint="eastAsia" w:asciiTheme="minorEastAsia" w:hAnsiTheme="minorEastAsia" w:eastAsiaTheme="minorEastAsia"/>
          <w:szCs w:val="21"/>
        </w:rPr>
        <w:t>（详见表一）。</w:t>
      </w:r>
      <w:bookmarkEnd w:id="38"/>
    </w:p>
    <w:tbl>
      <w:tblPr>
        <w:tblStyle w:val="46"/>
        <w:tblW w:w="0" w:type="auto"/>
        <w:tblInd w:w="0" w:type="dxa"/>
        <w:tblLayout w:type="fixed"/>
        <w:tblCellMar>
          <w:top w:w="0" w:type="dxa"/>
          <w:left w:w="108" w:type="dxa"/>
          <w:bottom w:w="0" w:type="dxa"/>
          <w:right w:w="108" w:type="dxa"/>
        </w:tblCellMar>
      </w:tblPr>
      <w:tblGrid>
        <w:gridCol w:w="1079"/>
        <w:gridCol w:w="2251"/>
        <w:gridCol w:w="5250"/>
      </w:tblGrid>
      <w:tr>
        <w:tblPrEx>
          <w:tblCellMar>
            <w:top w:w="0" w:type="dxa"/>
            <w:left w:w="108" w:type="dxa"/>
            <w:bottom w:w="0" w:type="dxa"/>
            <w:right w:w="108" w:type="dxa"/>
          </w:tblCellMar>
        </w:tblPrEx>
        <w:trPr>
          <w:trHeight w:val="284" w:hRule="atLeast"/>
        </w:trPr>
        <w:tc>
          <w:tcPr>
            <w:tcW w:w="858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表一</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标准汇总表</w:t>
            </w:r>
          </w:p>
        </w:tc>
      </w:tr>
      <w:tr>
        <w:tblPrEx>
          <w:tblCellMar>
            <w:top w:w="0" w:type="dxa"/>
            <w:left w:w="108" w:type="dxa"/>
            <w:bottom w:w="0" w:type="dxa"/>
            <w:right w:w="108" w:type="dxa"/>
          </w:tblCellMar>
        </w:tblPrEx>
        <w:trPr>
          <w:trHeight w:val="284" w:hRule="atLeast"/>
        </w:trPr>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22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标准代号</w:t>
            </w:r>
          </w:p>
        </w:tc>
        <w:tc>
          <w:tcPr>
            <w:tcW w:w="52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标准名称</w:t>
            </w:r>
          </w:p>
        </w:tc>
      </w:tr>
      <w:tr>
        <w:tblPrEx>
          <w:tblCellMar>
            <w:top w:w="0" w:type="dxa"/>
            <w:left w:w="108" w:type="dxa"/>
            <w:bottom w:w="0" w:type="dxa"/>
            <w:right w:w="108" w:type="dxa"/>
          </w:tblCellMar>
        </w:tblPrEx>
        <w:trPr>
          <w:trHeight w:val="284" w:hRule="atLeast"/>
        </w:trPr>
        <w:tc>
          <w:tcPr>
            <w:tcW w:w="107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w:t>
            </w:r>
          </w:p>
        </w:tc>
        <w:tc>
          <w:tcPr>
            <w:tcW w:w="2251"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50157－2013）</w:t>
            </w:r>
          </w:p>
        </w:tc>
        <w:tc>
          <w:tcPr>
            <w:tcW w:w="525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《地铁设计规范》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2</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30012-2013）</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《城市轨道交通运营管理规范》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3</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50490-2009）</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《城市轨道交通技术规范》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4</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20907-2007）</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《城市轨道交通自动售检票系统技术条件》</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5</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4943.1-2011 ）</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《信息技术设备 安全 第1部分：通用要求》</w:t>
            </w:r>
          </w:p>
        </w:tc>
      </w:tr>
      <w:tr>
        <w:tblPrEx>
          <w:tblCellMar>
            <w:top w:w="0" w:type="dxa"/>
            <w:left w:w="108" w:type="dxa"/>
            <w:bottom w:w="0" w:type="dxa"/>
            <w:right w:w="108" w:type="dxa"/>
          </w:tblCellMar>
        </w:tblPrEx>
        <w:trPr>
          <w:trHeight w:val="90"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6</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12505-1990）</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《计算机软件配置管理计划规范》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szCs w:val="21"/>
              </w:rPr>
              <w:t>7</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50831-2018）</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《城市规划基础资料搜集规范》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8</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（CGY/G-105-140-A/0）</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《运营公司承包商安全管理办法》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9</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（CGY/J-201-001-A/2）</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《运营公司突发事件综合应急预案》</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kern w:val="0"/>
                <w:szCs w:val="21"/>
                <w:lang w:bidi="ar"/>
              </w:rPr>
              <w:t>10</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（CGY/J-107-001-A/1）</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《运营公司设备设施质量管理办法》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11</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（交运规〔2019〕7号）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《城市轨道交通运营安全风险分级管控和隐患排查治理管理办法》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12</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（交运规〔2019〕8号）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《城市轨道交通设施设备运行维护管理办法》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13</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（交运规〔2019〕9号）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《城市轨道交通运营突发事件应急演练管理办法》</w:t>
            </w:r>
          </w:p>
        </w:tc>
      </w:tr>
    </w:tbl>
    <w:p>
      <w:pPr>
        <w:pStyle w:val="32"/>
        <w:tabs>
          <w:tab w:val="right" w:leader="dot" w:pos="8306"/>
        </w:tabs>
        <w:spacing w:line="560" w:lineRule="atLeast"/>
        <w:ind w:firstLine="420" w:firstLineChars="200"/>
        <w:outlineLvl w:val="0"/>
        <w:rPr>
          <w:rFonts w:cs="楷体" w:asciiTheme="minorEastAsia" w:hAnsiTheme="minorEastAsia" w:eastAsiaTheme="minorEastAsia"/>
          <w:bCs/>
          <w:szCs w:val="21"/>
        </w:rPr>
      </w:pPr>
      <w:bookmarkStart w:id="39" w:name="_Toc4401267"/>
      <w:bookmarkStart w:id="40" w:name="_Toc5975446"/>
      <w:bookmarkStart w:id="41" w:name="_Toc36047379"/>
      <w:r>
        <w:rPr>
          <w:rFonts w:hint="eastAsia" w:cs="楷体" w:asciiTheme="minorEastAsia" w:hAnsiTheme="minorEastAsia" w:eastAsiaTheme="minorEastAsia"/>
          <w:iCs/>
          <w:szCs w:val="21"/>
        </w:rPr>
        <w:t>四、项目管控要求</w:t>
      </w:r>
      <w:bookmarkEnd w:id="39"/>
      <w:bookmarkEnd w:id="40"/>
      <w:bookmarkEnd w:id="41"/>
    </w:p>
    <w:p>
      <w:pPr>
        <w:pStyle w:val="76"/>
        <w:widowControl/>
        <w:numPr>
          <w:ilvl w:val="0"/>
          <w:numId w:val="5"/>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42" w:name="_Toc4401268"/>
      <w:bookmarkStart w:id="43" w:name="_Toc5975447"/>
      <w:bookmarkStart w:id="44" w:name="_Toc36047380"/>
      <w:r>
        <w:rPr>
          <w:rFonts w:hint="eastAsia" w:asciiTheme="minorEastAsia" w:hAnsiTheme="minorEastAsia" w:eastAsiaTheme="minorEastAsia"/>
          <w:bCs/>
          <w:color w:val="auto"/>
        </w:rPr>
        <w:t>人员配备要求</w:t>
      </w:r>
      <w:bookmarkEnd w:id="42"/>
      <w:bookmarkEnd w:id="43"/>
      <w:bookmarkEnd w:id="44"/>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bCs/>
          <w:color w:val="auto"/>
        </w:rPr>
      </w:pPr>
      <w:r>
        <w:rPr>
          <w:rFonts w:hint="eastAsia" w:asciiTheme="minorEastAsia" w:hAnsiTheme="minorEastAsia" w:eastAsiaTheme="minorEastAsia"/>
          <w:color w:val="auto"/>
        </w:rPr>
        <w:t>投标人须根据招标人的设备具体情况和系统运行的重要性，成立技术服务小组为招标人提供维护保养服务。</w:t>
      </w:r>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要求该技术服务小组由1名技术总监，2名软件工程师，1名硬件维护工程师，1名数据库维护工程师，1名网络工程师组成（详见表二），各专业工程师负责</w:t>
      </w:r>
      <w:bookmarkStart w:id="45" w:name="_Hlk7938031"/>
      <w:r>
        <w:rPr>
          <w:rFonts w:hint="eastAsia" w:asciiTheme="minorEastAsia" w:hAnsiTheme="minorEastAsia" w:eastAsiaTheme="minorEastAsia"/>
          <w:color w:val="auto"/>
        </w:rPr>
        <w:t>故障处理、应急抢修、设备巡检、性能评估、技术支持等工作。</w:t>
      </w:r>
      <w:bookmarkEnd w:id="45"/>
    </w:p>
    <w:tbl>
      <w:tblPr>
        <w:tblStyle w:val="46"/>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992"/>
        <w:gridCol w:w="4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bCs/>
                <w:iCs/>
                <w:szCs w:val="21"/>
              </w:rPr>
            </w:pPr>
            <w:r>
              <w:rPr>
                <w:rFonts w:hint="eastAsia" w:asciiTheme="minorEastAsia" w:hAnsiTheme="minorEastAsia" w:eastAsiaTheme="minorEastAsia"/>
                <w:b/>
                <w:kern w:val="0"/>
                <w:szCs w:val="21"/>
                <w:lang w:bidi="ar"/>
              </w:rPr>
              <w:t xml:space="preserve">表二 </w:t>
            </w:r>
            <w:r>
              <w:rPr>
                <w:rFonts w:hint="eastAsia" w:cs="宋体" w:asciiTheme="minorEastAsia" w:hAnsiTheme="minorEastAsia" w:eastAsiaTheme="minorEastAsia"/>
                <w:b/>
                <w:szCs w:val="21"/>
              </w:rPr>
              <w:t>项目服务小组最低人员配置要求表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岗位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人数</w:t>
            </w:r>
          </w:p>
        </w:tc>
        <w:tc>
          <w:tcPr>
            <w:tcW w:w="49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技术总监</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须具有人力资源和社会保障部、工业和信息化部共同颁发的计算机技术与软件专业技术高级资格证书。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软件工程师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2</w:t>
            </w:r>
          </w:p>
        </w:tc>
        <w:tc>
          <w:tcPr>
            <w:tcW w:w="491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kern w:val="0"/>
                <w:szCs w:val="21"/>
              </w:rPr>
            </w:pPr>
            <w:r>
              <w:rPr>
                <w:rFonts w:hint="eastAsia" w:cs="宋体" w:asciiTheme="minorEastAsia" w:hAnsiTheme="minorEastAsia" w:eastAsiaTheme="minorEastAsia"/>
                <w:szCs w:val="21"/>
              </w:rPr>
              <w:t>须具有人力资源和社会保障部、工业和信息化部共同颁发的计算机技术与软件专业技术资格证书中的计算机软件专业中级（含）以上资格证书。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硬件工程师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须具有人力资源和社会保障部、工业和信息化部共同颁发的计算机硬件工程师资格证书。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数据库工程师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须具有人力资源和社会保障部、工业和信息化部共同颁发的数据库系统工程师资格证书。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网络工程师</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须具有人力资源和社会保障部、工业和信息化部共同颁发的网络工程师资格证书。</w:t>
            </w:r>
          </w:p>
        </w:tc>
      </w:tr>
    </w:tbl>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bCs/>
          <w:iCs/>
          <w:color w:val="auto"/>
        </w:rPr>
      </w:pPr>
      <w:r>
        <w:rPr>
          <w:rFonts w:hint="eastAsia" w:asciiTheme="minorEastAsia" w:hAnsiTheme="minorEastAsia" w:eastAsiaTheme="minorEastAsia"/>
          <w:color w:val="auto"/>
        </w:rPr>
        <w:t>该小组应确保每天有不少于1名工程师驻场工作（包含工作日、节假日），驻场地点为OCC裙楼。单日驻场时间不少于8小时。驻场工程师可进行轮换，专职为招标人提供快捷的本地化服务。</w:t>
      </w:r>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投标人须提供7*24小时故障维修服务。同时投标人须设立24小时技术支持热线，提供技术咨询。</w:t>
      </w:r>
    </w:p>
    <w:p>
      <w:pPr>
        <w:pStyle w:val="76"/>
        <w:widowControl/>
        <w:numPr>
          <w:ilvl w:val="0"/>
          <w:numId w:val="5"/>
        </w:numPr>
        <w:tabs>
          <w:tab w:val="left" w:pos="120"/>
        </w:tabs>
        <w:adjustRightInd w:val="0"/>
        <w:spacing w:line="560" w:lineRule="atLeast"/>
        <w:ind w:firstLine="420" w:firstLineChars="200"/>
        <w:outlineLvl w:val="1"/>
        <w:rPr>
          <w:rFonts w:cs="Courier New" w:asciiTheme="minorEastAsia" w:hAnsiTheme="minorEastAsia" w:eastAsiaTheme="minorEastAsia"/>
          <w:color w:val="auto"/>
        </w:rPr>
      </w:pPr>
      <w:bookmarkStart w:id="46" w:name="_Toc4401269"/>
      <w:bookmarkStart w:id="47" w:name="_Toc36047381"/>
      <w:bookmarkStart w:id="48" w:name="_Toc5975448"/>
      <w:r>
        <w:rPr>
          <w:rFonts w:hint="eastAsia" w:asciiTheme="minorEastAsia" w:hAnsiTheme="minorEastAsia" w:eastAsiaTheme="minorEastAsia"/>
          <w:color w:val="auto"/>
        </w:rPr>
        <w:t>设备配备要求</w:t>
      </w:r>
      <w:bookmarkEnd w:id="46"/>
      <w:bookmarkEnd w:id="47"/>
      <w:bookmarkEnd w:id="48"/>
    </w:p>
    <w:p>
      <w:pPr>
        <w:widowControl/>
        <w:numPr>
          <w:ilvl w:val="0"/>
          <w:numId w:val="7"/>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bookmarkStart w:id="49" w:name="_Hlk4420398"/>
      <w:r>
        <w:rPr>
          <w:rFonts w:hint="eastAsia" w:asciiTheme="minorEastAsia" w:hAnsiTheme="minorEastAsia" w:eastAsiaTheme="minorEastAsia"/>
          <w:kern w:val="0"/>
          <w:szCs w:val="21"/>
        </w:rPr>
        <w:t>投标人在故障维修过程中产生的费用由投标人全部承担，维修所需的备品备件均须在1个工作日内到达现场，应优先使用招标人已有备品备件，故障修复完成后，投标人对使用的同型号、同规格备品备件进行补齐。设备的部分主要易损耗件（详见附件2）须在1小时内到场，由于设备硬件故障而进行的备件更换必须为全新原厂产品，如涉及到的备品备件已停产，替代的备品备件必须为同品牌或同系列的升级产品，且其兼容性、参数和性能不得低于原产品。</w:t>
      </w:r>
    </w:p>
    <w:p>
      <w:pPr>
        <w:widowControl/>
        <w:numPr>
          <w:ilvl w:val="0"/>
          <w:numId w:val="7"/>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设备维护保养、故障维修相关工器具和生产材料由投标人自行准备。包括但不限于以下工器具和材料，如网线钳、网络测试仪、螺丝刀、斜口钳、尖嘴钳、电工工具组套、黄油枪、小型吹风机、屏蔽类网线、水晶头、无尘布、轧带等。</w:t>
      </w:r>
    </w:p>
    <w:bookmarkEnd w:id="49"/>
    <w:p>
      <w:pPr>
        <w:pStyle w:val="76"/>
        <w:widowControl/>
        <w:numPr>
          <w:ilvl w:val="0"/>
          <w:numId w:val="5"/>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50" w:name="_Toc36047382"/>
      <w:bookmarkStart w:id="51" w:name="_Toc5975449"/>
      <w:bookmarkStart w:id="52" w:name="_Toc4401270"/>
      <w:r>
        <w:rPr>
          <w:rFonts w:hint="eastAsia" w:asciiTheme="minorEastAsia" w:hAnsiTheme="minorEastAsia" w:eastAsiaTheme="minorEastAsia"/>
          <w:color w:val="auto"/>
        </w:rPr>
        <w:t>安全管理规定</w:t>
      </w:r>
      <w:bookmarkEnd w:id="50"/>
      <w:bookmarkEnd w:id="51"/>
      <w:bookmarkEnd w:id="52"/>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bookmarkStart w:id="53" w:name="_Hlk4593603"/>
      <w:r>
        <w:rPr>
          <w:rFonts w:hint="eastAsia" w:asciiTheme="minorEastAsia" w:hAnsiTheme="minorEastAsia" w:eastAsiaTheme="minorEastAsia"/>
          <w:color w:val="auto"/>
        </w:rPr>
        <w:t>投标人需严格按照《运营公司承包商安全管理办法》执行。</w:t>
      </w:r>
    </w:p>
    <w:bookmarkEnd w:id="53"/>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投标人按照国家、行业相关规定及招标人企业标准提供维护保养服务。安全第一、预防保养为主、故障检修为辅，通过维修保养达到出现故障及时处理，减少停机检修时间，保证系统设备高效运行。</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投标人对该项目进行安全管理时必须有明确的安全目标和安全指标，安全生产考核按合同约定及招标人管理制度执行。</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投标人进行维护保养作业时，在招标人提供实施服务条件的前提下，应严格遵守招标人有关规章制度，同时系统设备的维修、保养由招标人参与实施，并交由招标人确认质量合格。</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未经招标人同意，投标人不得私自更改设备的运行程序、运行方式和运行参数。</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投标人在维护保养作业过程中，应对设备运行环境进行检查，如发现有影响设备正常运行的因素，应及时通知招标人进行改善。</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投标人应进行预防性维护保养工作，及时排除设备故障隐患，因不及时处理故障隐患而造成系统异常，所带来的损失，由投标人承担，并纳入考核。</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投标人进行维护保养作业时，需对作业区域设置安全防护措施，在作业过程中由于投标人违规操作或没有进行有效的安全防护而造成的事故，由投标人承担全部责任，并纳入考核。</w:t>
      </w:r>
    </w:p>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bookmarkStart w:id="54" w:name="_Toc4401271"/>
      <w:bookmarkStart w:id="55" w:name="_Toc5975450"/>
      <w:bookmarkStart w:id="56" w:name="_Toc36047383"/>
      <w:r>
        <w:rPr>
          <w:rFonts w:hint="eastAsia" w:cs="楷体" w:asciiTheme="minorEastAsia" w:hAnsiTheme="minorEastAsia" w:eastAsiaTheme="minorEastAsia"/>
          <w:iCs/>
          <w:szCs w:val="21"/>
        </w:rPr>
        <w:t>五、项</w:t>
      </w:r>
      <w:bookmarkStart w:id="57" w:name="_Hlt2066523"/>
      <w:bookmarkStart w:id="58" w:name="_Hlt2066522"/>
      <w:r>
        <w:rPr>
          <w:rFonts w:hint="eastAsia" w:cs="楷体" w:asciiTheme="minorEastAsia" w:hAnsiTheme="minorEastAsia" w:eastAsiaTheme="minorEastAsia"/>
          <w:iCs/>
          <w:szCs w:val="21"/>
        </w:rPr>
        <w:t>目</w:t>
      </w:r>
      <w:bookmarkEnd w:id="57"/>
      <w:bookmarkEnd w:id="58"/>
      <w:r>
        <w:rPr>
          <w:rFonts w:hint="eastAsia" w:cs="楷体" w:asciiTheme="minorEastAsia" w:hAnsiTheme="minorEastAsia" w:eastAsiaTheme="minorEastAsia"/>
          <w:iCs/>
          <w:szCs w:val="21"/>
        </w:rPr>
        <w:t>实施要求</w:t>
      </w:r>
      <w:bookmarkEnd w:id="54"/>
      <w:bookmarkEnd w:id="55"/>
      <w:bookmarkEnd w:id="56"/>
    </w:p>
    <w:p>
      <w:pPr>
        <w:pStyle w:val="76"/>
        <w:widowControl/>
        <w:numPr>
          <w:ilvl w:val="0"/>
          <w:numId w:val="9"/>
        </w:numPr>
        <w:tabs>
          <w:tab w:val="left" w:pos="120"/>
        </w:tabs>
        <w:adjustRightInd w:val="0"/>
        <w:spacing w:line="560" w:lineRule="atLeast"/>
        <w:ind w:firstLine="420" w:firstLineChars="200"/>
        <w:outlineLvl w:val="1"/>
        <w:rPr>
          <w:rFonts w:cs="Courier New" w:asciiTheme="minorEastAsia" w:hAnsiTheme="minorEastAsia" w:eastAsiaTheme="minorEastAsia"/>
          <w:iCs/>
          <w:color w:val="auto"/>
        </w:rPr>
      </w:pPr>
      <w:bookmarkStart w:id="59" w:name="_Toc36047384"/>
      <w:bookmarkStart w:id="60" w:name="_Toc5975452"/>
      <w:bookmarkStart w:id="61" w:name="_Toc4401273"/>
      <w:r>
        <w:rPr>
          <w:rFonts w:hint="eastAsia" w:asciiTheme="minorEastAsia" w:hAnsiTheme="minorEastAsia" w:eastAsiaTheme="minorEastAsia"/>
          <w:color w:val="auto"/>
        </w:rPr>
        <w:t>工作时间和范围</w:t>
      </w:r>
      <w:bookmarkEnd w:id="59"/>
      <w:bookmarkEnd w:id="60"/>
      <w:bookmarkEnd w:id="61"/>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kern w:val="0"/>
          <w:szCs w:val="21"/>
        </w:rPr>
        <w:t>定期预防性维护：根据设备、模块的运行状况，进行预防性检修，排除潜在的隐患，延长使用寿命，提高系统稳定性。主要包含相关设备的月</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、季</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、半年</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、专项</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、节前</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等内容。</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月检：根据设备检修规程规定的周期，按月对相应设备或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季检：根据设备检修规程规定的周期，按季度对相应设备或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半年检：根据设备检修规程规定的周期，按半年对相应设备或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专项检：根据设备及模块的特点及运营的实际生产需求，开展专项设备、系统检查，</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节前检：根据法定节假日或重大活动前开展的专项预防性检修，保障节假日期间、重大活动期间设备系统安全运行。同时投标人提供节假日及与招标人生产业务相关的重要时段的现场值班服务，以保证招标人系统设备的稳定运行。</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故障维修：设备发生故障，投标人应在招标人规章文本规定的时间内到达现场，及时处理故障，故障维护结束后，投标人须提供相应报告。</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应急抢修：当清分中心系统、自动化系统、信号系统发生紧急故障，影响业务正常运行，投标人须在规定时间内响应和解决(详见表三)，具体规定以招标人最新的规章文本为准。故障排除后1个工作日内提供相应的故障分析、处理报告。 </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投标人须在合同执行前向招标人提交设备应急故障维修、抢修方案，包括但不限于表三中各类应急故障。</w:t>
      </w:r>
    </w:p>
    <w:tbl>
      <w:tblPr>
        <w:tblStyle w:val="46"/>
        <w:tblW w:w="9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2411"/>
        <w:gridCol w:w="1276"/>
        <w:gridCol w:w="992"/>
        <w:gridCol w:w="992"/>
        <w:gridCol w:w="972"/>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09"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bookmarkStart w:id="62" w:name="_Hlk15998434"/>
            <w:r>
              <w:rPr>
                <w:rFonts w:hint="eastAsia" w:asciiTheme="minorEastAsia" w:hAnsiTheme="minorEastAsia" w:eastAsiaTheme="minorEastAsia"/>
                <w:b/>
                <w:szCs w:val="21"/>
              </w:rPr>
              <w:t>表三</w:t>
            </w:r>
            <w:r>
              <w:rPr>
                <w:rFonts w:asciiTheme="minorEastAsia" w:hAnsiTheme="minorEastAsia" w:eastAsiaTheme="minorEastAsia"/>
                <w:b/>
                <w:szCs w:val="21"/>
              </w:rPr>
              <w:t xml:space="preserve"> </w:t>
            </w:r>
            <w:r>
              <w:rPr>
                <w:rFonts w:hint="eastAsia" w:asciiTheme="minorEastAsia" w:hAnsiTheme="minorEastAsia" w:eastAsiaTheme="minorEastAsia"/>
                <w:b/>
                <w:szCs w:val="21"/>
              </w:rPr>
              <w:t>应急抢修响应范围及要求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故障分类</w:t>
            </w: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故障说明</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运营期间（含运营前</w:t>
            </w:r>
            <w:r>
              <w:rPr>
                <w:rFonts w:asciiTheme="minorEastAsia" w:hAnsiTheme="minorEastAsia" w:eastAsiaTheme="minorEastAsia"/>
                <w:b/>
                <w:szCs w:val="21"/>
              </w:rPr>
              <w:t>1h</w:t>
            </w:r>
            <w:r>
              <w:rPr>
                <w:rFonts w:hint="eastAsia" w:asciiTheme="minorEastAsia" w:hAnsiTheme="minorEastAsia" w:eastAsiaTheme="minorEastAsia"/>
                <w:b/>
                <w:szCs w:val="21"/>
              </w:rPr>
              <w:t>）响应时间</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非运营期间响应时间</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临时性修复时间</w:t>
            </w:r>
          </w:p>
        </w:tc>
        <w:tc>
          <w:tcPr>
            <w:tcW w:w="97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完全修复时间</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与线路中心的通讯故障</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当线路中心计算机与清分中心发生通讯故障或相关数据、参数在</w:t>
            </w:r>
            <w:r>
              <w:rPr>
                <w:rFonts w:asciiTheme="minorEastAsia" w:hAnsiTheme="minorEastAsia" w:eastAsiaTheme="minorEastAsia"/>
                <w:szCs w:val="21"/>
              </w:rPr>
              <w:t>20</w:t>
            </w:r>
            <w:r>
              <w:rPr>
                <w:rFonts w:hint="eastAsia" w:asciiTheme="minorEastAsia" w:hAnsiTheme="minorEastAsia" w:eastAsiaTheme="minorEastAsia"/>
                <w:szCs w:val="21"/>
              </w:rPr>
              <w:t>分钟内未上传、接收</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应与招标人协同处理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发生重大事故</w:t>
            </w:r>
          </w:p>
        </w:tc>
        <w:tc>
          <w:tcPr>
            <w:tcW w:w="2410"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发生火灾、爆炸等消防事故，影响中心</w:t>
            </w:r>
            <w:r>
              <w:rPr>
                <w:rFonts w:hint="eastAsia" w:asciiTheme="minorEastAsia" w:hAnsiTheme="minorEastAsia" w:eastAsiaTheme="minorEastAsia"/>
                <w:szCs w:val="21"/>
              </w:rPr>
              <w:t>系统</w:t>
            </w:r>
            <w:r>
              <w:rPr>
                <w:rFonts w:hint="eastAsia" w:asciiTheme="minorEastAsia" w:hAnsiTheme="minorEastAsia" w:eastAsiaTheme="minorEastAsia"/>
                <w:kern w:val="0"/>
                <w:szCs w:val="21"/>
              </w:rPr>
              <w:t>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w:t>
            </w:r>
            <w:r>
              <w:rPr>
                <w:rFonts w:hint="eastAsia" w:asciiTheme="minorEastAsia" w:hAnsiTheme="minorEastAsia" w:eastAsiaTheme="minorEastAsia"/>
                <w:kern w:val="0"/>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发生自然灾害</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发生台风、暴雨、水淹、地震、高温、冰冻等自然灾害，影响</w:t>
            </w:r>
            <w:r>
              <w:rPr>
                <w:rFonts w:hint="eastAsia" w:asciiTheme="minorEastAsia" w:hAnsiTheme="minorEastAsia" w:eastAsiaTheme="minorEastAsia"/>
                <w:kern w:val="0"/>
                <w:szCs w:val="21"/>
              </w:rPr>
              <w:t>中心</w:t>
            </w:r>
            <w:r>
              <w:rPr>
                <w:rFonts w:hint="eastAsia" w:asciiTheme="minorEastAsia" w:hAnsiTheme="minorEastAsia" w:eastAsiaTheme="minorEastAsia"/>
                <w:szCs w:val="21"/>
              </w:rPr>
              <w:t>系统设备运行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发生突发事件</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发生恐怖袭击（如爆炸、毒气、纵火）等突发事件，影响系统设备运行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清分中心系统及自动化系统、信号系统服务器</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主服务器、通信服务器、报表服务器等服务器发生硬件故障、软件系统故障或报警等异常</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清分中心系统及自动化系统、信号系统服务器周边设备</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磁盘阵列、防火墙、入侵检测设备发生硬件故障或报警等异常</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99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磁带库不能正常备份</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60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网络设备</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光纤交换机、三层交换机等网络设备系统故障或因其造成网络通信故障</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bookmarkEnd w:id="62"/>
    </w:tbl>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 xml:space="preserve">培训服务 </w:t>
      </w:r>
    </w:p>
    <w:p>
      <w:pPr>
        <w:widowControl/>
        <w:numPr>
          <w:ilvl w:val="0"/>
          <w:numId w:val="12"/>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投标人须制定定期的培训计划，包括培训课程、人员安排、培训方式、培训时间等，并报招标人审核通过后实施。</w:t>
      </w:r>
    </w:p>
    <w:p>
      <w:pPr>
        <w:widowControl/>
        <w:numPr>
          <w:ilvl w:val="0"/>
          <w:numId w:val="12"/>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投标人每月须组织一次对招标人的培训。培训内容主要是设备故障处理、操作系统维护、网络维护及数据库维护等。培训方式分为理论和实际操作两部分，培训时间应不少于3小时。</w:t>
      </w:r>
    </w:p>
    <w:p>
      <w:pPr>
        <w:pStyle w:val="76"/>
        <w:widowControl/>
        <w:numPr>
          <w:ilvl w:val="0"/>
          <w:numId w:val="9"/>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63" w:name="_Toc5975453"/>
      <w:bookmarkStart w:id="64" w:name="_Toc4401274"/>
      <w:bookmarkStart w:id="65" w:name="_Toc36047385"/>
      <w:r>
        <w:rPr>
          <w:rFonts w:hint="eastAsia" w:asciiTheme="minorEastAsia" w:hAnsiTheme="minorEastAsia" w:eastAsiaTheme="minorEastAsia"/>
          <w:color w:val="auto"/>
        </w:rPr>
        <w:t>服务标准、流程及操作要求</w:t>
      </w:r>
      <w:bookmarkEnd w:id="63"/>
      <w:bookmarkEnd w:id="64"/>
      <w:bookmarkEnd w:id="65"/>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应按照标准及规范提供服务，维护维修内容包含清分中心系统、信号系统、自动化系统已经使用的设备及新增加第三方外购软件、设备、专项服务，并包含相关的软件、参数及补丁更新，如因投标人技术水平不足，未达到维护、维修要求，</w:t>
      </w:r>
      <w:bookmarkStart w:id="66" w:name="_Hlk15999145"/>
      <w:r>
        <w:rPr>
          <w:rFonts w:hint="eastAsia" w:asciiTheme="minorEastAsia" w:hAnsiTheme="minorEastAsia" w:eastAsiaTheme="minorEastAsia"/>
          <w:kern w:val="0"/>
          <w:szCs w:val="21"/>
        </w:rPr>
        <w:t>投标人须自行购买第三方服务，确保系统正常</w:t>
      </w:r>
      <w:bookmarkStart w:id="67" w:name="_Hlk5606156"/>
      <w:r>
        <w:rPr>
          <w:rFonts w:hint="eastAsia" w:asciiTheme="minorEastAsia" w:hAnsiTheme="minorEastAsia" w:eastAsiaTheme="minorEastAsia"/>
          <w:kern w:val="0"/>
          <w:szCs w:val="21"/>
        </w:rPr>
        <w:t>（详见表四）</w:t>
      </w:r>
      <w:bookmarkEnd w:id="67"/>
      <w:r>
        <w:rPr>
          <w:rFonts w:hint="eastAsia" w:asciiTheme="minorEastAsia" w:hAnsiTheme="minorEastAsia" w:eastAsiaTheme="minorEastAsia"/>
          <w:kern w:val="0"/>
          <w:szCs w:val="21"/>
        </w:rPr>
        <w:t>，</w:t>
      </w:r>
      <w:r>
        <w:rPr>
          <w:rFonts w:hint="eastAsia" w:asciiTheme="minorEastAsia" w:hAnsiTheme="minorEastAsia" w:eastAsiaTheme="minorEastAsia"/>
          <w:szCs w:val="21"/>
        </w:rPr>
        <w:t>包括但不限于表四内容</w:t>
      </w:r>
      <w:r>
        <w:rPr>
          <w:rFonts w:hint="eastAsia" w:asciiTheme="minorEastAsia" w:hAnsiTheme="minorEastAsia" w:eastAsiaTheme="minorEastAsia"/>
          <w:kern w:val="0"/>
          <w:szCs w:val="21"/>
        </w:rPr>
        <w:t>。</w:t>
      </w:r>
    </w:p>
    <w:bookmarkEnd w:id="66"/>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7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2"/>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表四</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故障处理，操作系统维护，补丁升级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auto"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p>
          <w:p>
            <w:pPr>
              <w:textAlignment w:val="center"/>
              <w:rPr>
                <w:rFonts w:asciiTheme="minorEastAsia" w:hAnsiTheme="minorEastAsia" w:eastAsiaTheme="minorEastAsia"/>
                <w:kern w:val="0"/>
                <w:szCs w:val="21"/>
                <w:lang w:bidi="ar"/>
              </w:rPr>
            </w:pPr>
            <w:r>
              <w:rPr>
                <w:rFonts w:hint="eastAsia" w:asciiTheme="minorEastAsia" w:hAnsiTheme="minorEastAsia" w:eastAsiaTheme="minorEastAsia"/>
                <w:kern w:val="0"/>
                <w:szCs w:val="21"/>
                <w:lang w:bidi="ar"/>
              </w:rPr>
              <w:t>小型机、服务器、存储设备、网络设备、安全加密设备、</w:t>
            </w:r>
            <w:r>
              <w:rPr>
                <w:rFonts w:asciiTheme="minorEastAsia" w:hAnsiTheme="minorEastAsia" w:eastAsiaTheme="minorEastAsia"/>
                <w:kern w:val="0"/>
                <w:szCs w:val="21"/>
                <w:lang w:bidi="ar"/>
              </w:rPr>
              <w:t>HMC</w:t>
            </w:r>
          </w:p>
          <w:p>
            <w:pPr>
              <w:textAlignment w:val="center"/>
              <w:rPr>
                <w:rFonts w:asciiTheme="minorEastAsia" w:hAnsiTheme="minorEastAsia" w:eastAsiaTheme="minorEastAsia"/>
                <w:bCs/>
                <w:iCs/>
                <w:kern w:val="0"/>
                <w:szCs w:val="21"/>
                <w:lang w:bidi="ar"/>
              </w:rPr>
            </w:pPr>
          </w:p>
        </w:tc>
        <w:tc>
          <w:tcPr>
            <w:tcW w:w="7108"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bookmarkStart w:id="68" w:name="_Hlk15999189"/>
            <w:r>
              <w:rPr>
                <w:rFonts w:hint="eastAsia" w:asciiTheme="minorEastAsia" w:hAnsiTheme="minorEastAsia" w:eastAsiaTheme="minorEastAsia"/>
                <w:kern w:val="0"/>
                <w:szCs w:val="21"/>
                <w:lang w:bidi="ar"/>
              </w:rPr>
              <w:t>故障排除服务：</w:t>
            </w:r>
            <w:r>
              <w:rPr>
                <w:rFonts w:asciiTheme="minorEastAsia" w:hAnsiTheme="minorEastAsia" w:eastAsiaTheme="minorEastAsia"/>
                <w:kern w:val="0"/>
                <w:szCs w:val="21"/>
                <w:lang w:bidi="ar"/>
              </w:rPr>
              <w:t>7*24</w:t>
            </w:r>
            <w:bookmarkEnd w:id="68"/>
            <w:r>
              <w:rPr>
                <w:rFonts w:hint="eastAsia" w:asciiTheme="minorEastAsia" w:hAnsiTheme="minorEastAsia" w:eastAsiaTheme="minorEastAsia"/>
                <w:kern w:val="0"/>
                <w:szCs w:val="21"/>
                <w:lang w:bidi="ar"/>
              </w:rPr>
              <w:t>小时现场故障处理服务，响应时间为</w:t>
            </w:r>
            <w:r>
              <w:rPr>
                <w:rFonts w:asciiTheme="minorEastAsia" w:hAnsiTheme="minorEastAsia" w:eastAsiaTheme="minorEastAsia"/>
                <w:kern w:val="0"/>
                <w:szCs w:val="21"/>
                <w:lang w:bidi="ar"/>
              </w:rPr>
              <w:t>20</w:t>
            </w:r>
            <w:r>
              <w:rPr>
                <w:rFonts w:hint="eastAsia" w:asciiTheme="minorEastAsia" w:hAnsiTheme="minorEastAsia" w:eastAsiaTheme="minorEastAsia"/>
                <w:kern w:val="0"/>
                <w:szCs w:val="21"/>
                <w:lang w:bidi="ar"/>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维修备件更换。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补丁服务：消除软件漏洞给系统带来的安全隐患，并对安装补丁所引起的系统连锁反应进行合理的平衡。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升级服务：对系统进行软件或硬件的升级，以改进、完善现有系统或消除现有系统的漏洞。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系统优化：对</w:t>
            </w:r>
            <w:r>
              <w:rPr>
                <w:rFonts w:asciiTheme="minorEastAsia" w:hAnsiTheme="minorEastAsia" w:eastAsiaTheme="minorEastAsia"/>
                <w:kern w:val="0"/>
                <w:szCs w:val="21"/>
                <w:lang w:bidi="ar"/>
              </w:rPr>
              <w:t>IBM</w:t>
            </w:r>
            <w:r>
              <w:rPr>
                <w:rFonts w:hint="eastAsia" w:asciiTheme="minorEastAsia" w:hAnsiTheme="minorEastAsia" w:eastAsiaTheme="minorEastAsia"/>
                <w:kern w:val="0"/>
                <w:szCs w:val="21"/>
                <w:lang w:bidi="ar"/>
              </w:rPr>
              <w:t>主机服务系统，包括主机、存储设备、操作系统、提供优化服务。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strike/>
                <w:kern w:val="0"/>
                <w:szCs w:val="21"/>
                <w:lang w:bidi="ar"/>
              </w:rPr>
            </w:pPr>
            <w:r>
              <w:rPr>
                <w:rFonts w:asciiTheme="minorEastAsia" w:hAnsiTheme="minorEastAsia" w:eastAsiaTheme="minorEastAsia"/>
                <w:kern w:val="0"/>
                <w:szCs w:val="21"/>
                <w:lang w:bidi="ar"/>
              </w:rPr>
              <w:t>7*24</w:t>
            </w:r>
            <w:r>
              <w:rPr>
                <w:rFonts w:hint="eastAsia" w:asciiTheme="minorEastAsia" w:hAnsiTheme="minorEastAsia" w:eastAsiaTheme="minorEastAsia"/>
                <w:kern w:val="0"/>
                <w:szCs w:val="21"/>
                <w:lang w:bidi="ar"/>
              </w:rPr>
              <w:t>电话支持服务</w:t>
            </w: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7*24</w:t>
            </w:r>
            <w:r>
              <w:rPr>
                <w:rFonts w:hint="eastAsia" w:asciiTheme="minorEastAsia" w:hAnsiTheme="minorEastAsia" w:eastAsiaTheme="minorEastAsia"/>
                <w:kern w:val="0"/>
                <w:szCs w:val="21"/>
                <w:lang w:bidi="ar"/>
              </w:rPr>
              <w:t>小时现场服务与远程技术支持，以满足业务需要。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技术专家直接同招标人对话，帮助解决招标人提出的疑难问题。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根据问题的严重程度，将优先解决招标人认为是关键而紧急的任务。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对招标人提出的一般性问题进行技术咨询、指导。</w:t>
            </w:r>
          </w:p>
        </w:tc>
      </w:tr>
    </w:tbl>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bookmarkStart w:id="69" w:name="_Hlk7938820"/>
      <w:r>
        <w:rPr>
          <w:rFonts w:hint="eastAsia" w:asciiTheme="minorEastAsia" w:hAnsiTheme="minorEastAsia" w:eastAsiaTheme="minorEastAsia"/>
          <w:kern w:val="0"/>
          <w:szCs w:val="21"/>
        </w:rPr>
        <w:t>投标人须提供生产及测试环境下操作系统、数据库备份及恢复工作实施方案</w:t>
      </w:r>
      <w:bookmarkEnd w:id="69"/>
      <w:r>
        <w:rPr>
          <w:rFonts w:hint="eastAsia" w:asciiTheme="minorEastAsia" w:hAnsiTheme="minorEastAsia" w:eastAsiaTheme="minorEastAsia"/>
          <w:kern w:val="0"/>
          <w:szCs w:val="21"/>
        </w:rPr>
        <w:t>。</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提供第三方软件在本系统上安装的技术协助工作。根据招标人工作安排，投标人须无条件配合相关对口业务、单位部门完成相关施工配合（含清分中心系统、信号系统、自动化系统及相关接口系统的软件升级、参数下发、施工整改等作业内容），配合所需的各项费用由投标人承担。</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bookmarkStart w:id="70" w:name="_Hlk15999241"/>
      <w:r>
        <w:rPr>
          <w:rFonts w:hint="eastAsia" w:asciiTheme="minorEastAsia" w:hAnsiTheme="minorEastAsia" w:eastAsiaTheme="minorEastAsia"/>
          <w:kern w:val="0"/>
          <w:szCs w:val="21"/>
        </w:rPr>
        <w:t>投标人须提供系统切换、软件升级及设备</w:t>
      </w:r>
      <w:bookmarkStart w:id="71" w:name="_Hlk16153354"/>
      <w:r>
        <w:rPr>
          <w:rFonts w:hint="eastAsia" w:asciiTheme="minorEastAsia" w:hAnsiTheme="minorEastAsia" w:eastAsiaTheme="minorEastAsia"/>
          <w:kern w:val="0"/>
          <w:szCs w:val="21"/>
        </w:rPr>
        <w:t>存储</w:t>
      </w:r>
      <w:bookmarkEnd w:id="71"/>
      <w:r>
        <w:rPr>
          <w:rFonts w:hint="eastAsia" w:asciiTheme="minorEastAsia" w:hAnsiTheme="minorEastAsia" w:eastAsiaTheme="minorEastAsia"/>
          <w:kern w:val="0"/>
          <w:szCs w:val="21"/>
        </w:rPr>
        <w:t>扩容</w:t>
      </w:r>
      <w:bookmarkStart w:id="72" w:name="_Hlk16153384"/>
      <w:r>
        <w:rPr>
          <w:rFonts w:hint="eastAsia" w:asciiTheme="minorEastAsia" w:hAnsiTheme="minorEastAsia" w:eastAsiaTheme="minorEastAsia"/>
          <w:kern w:val="0"/>
          <w:szCs w:val="21"/>
        </w:rPr>
        <w:t>等项目的配合工作</w:t>
      </w:r>
      <w:bookmarkEnd w:id="72"/>
      <w:r>
        <w:rPr>
          <w:rFonts w:hint="eastAsia" w:asciiTheme="minorEastAsia" w:hAnsiTheme="minorEastAsia" w:eastAsiaTheme="minorEastAsia"/>
          <w:kern w:val="0"/>
          <w:szCs w:val="21"/>
        </w:rPr>
        <w:t>。</w:t>
      </w:r>
    </w:p>
    <w:bookmarkEnd w:id="70"/>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投标人须对招标人系统运行做出评估并提供合理化建议及解决方案。</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投标人须提供移机技术服务。</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投标人须配合管理所管辖系统设备的安保、卫生、防火、防汛、防盗等工作。</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3" w:name="_Hlk7959399"/>
      <w:r>
        <w:rPr>
          <w:rFonts w:hint="eastAsia" w:asciiTheme="minorEastAsia" w:hAnsiTheme="minorEastAsia" w:eastAsiaTheme="minorEastAsia"/>
          <w:kern w:val="0"/>
          <w:szCs w:val="21"/>
        </w:rPr>
        <w:t>投标人进行维护保养作业的时间段，应遵守招标人对于施工检修管理规定，设备维护保养原则上须在运营结束后开展</w:t>
      </w:r>
      <w:bookmarkEnd w:id="73"/>
      <w:r>
        <w:rPr>
          <w:rFonts w:hint="eastAsia" w:asciiTheme="minorEastAsia" w:hAnsiTheme="minorEastAsia" w:eastAsiaTheme="minorEastAsia"/>
          <w:kern w:val="0"/>
          <w:szCs w:val="21"/>
        </w:rPr>
        <w:t>。</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4" w:name="_Hlk7959495"/>
      <w:r>
        <w:rPr>
          <w:rFonts w:hint="eastAsia" w:asciiTheme="minorEastAsia" w:hAnsiTheme="minorEastAsia" w:eastAsiaTheme="minorEastAsia"/>
          <w:kern w:val="0"/>
          <w:szCs w:val="21"/>
        </w:rPr>
        <w:t>投标人须根据招标人安排及要求制定相应的设备维护、故障管控、人员培训、安全管理等方案</w:t>
      </w:r>
      <w:bookmarkEnd w:id="74"/>
      <w:r>
        <w:rPr>
          <w:rFonts w:hint="eastAsia" w:asciiTheme="minorEastAsia" w:hAnsiTheme="minorEastAsia" w:eastAsiaTheme="minorEastAsia"/>
          <w:kern w:val="0"/>
          <w:szCs w:val="21"/>
        </w:rPr>
        <w:t>（包括但不限于以下内容）：</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各类设备维护计划及方案；</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故障处置方案，包括故障的紧急抢修方案、应急演练等；</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系统性能调整计划及方案；</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维护保养期间内的故障统计、汇报、故障分析等工作；</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定期组织进行技术交流与反馈，并定期提供设备维护总结报告；</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投标人应及时做好维护保养技术和现场准备工作，需要投标人提供的风险保障措施（包括但不限于以下内容）：</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质量管理保证措施</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系统安全建议</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系统运行相关产品的建议</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rPr>
        <w:tab/>
      </w:r>
      <w:r>
        <w:rPr>
          <w:rFonts w:hint="eastAsia" w:asciiTheme="minorEastAsia" w:hAnsiTheme="minorEastAsia" w:eastAsiaTheme="minorEastAsia"/>
          <w:szCs w:val="21"/>
        </w:rPr>
        <w:t>应急方案</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作业技术准备应做好下列工作：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编制维护保养组织方案，并交予招标人审核。</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做好技术交底和培训。</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根据标准要求及招标人提供的相关资料，制定维护标准及测试记录表格，并交予招标人审核。</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开工准备应做好下列工作：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bookmarkStart w:id="75" w:name="_Hlk16153548"/>
      <w:r>
        <w:rPr>
          <w:rFonts w:hint="eastAsia" w:asciiTheme="minorEastAsia" w:hAnsiTheme="minorEastAsia" w:eastAsiaTheme="minorEastAsia"/>
          <w:szCs w:val="21"/>
        </w:rPr>
        <w:t>投标人</w:t>
      </w:r>
      <w:bookmarkEnd w:id="75"/>
      <w:r>
        <w:rPr>
          <w:rFonts w:hint="eastAsia" w:asciiTheme="minorEastAsia" w:hAnsiTheme="minorEastAsia" w:eastAsiaTheme="minorEastAsia"/>
          <w:szCs w:val="21"/>
        </w:rPr>
        <w:t>编制作业计划，安排好作业程序，协调好各工序的配合工作。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(2)投标人组建相应的专业技术服务团队，并组织进场前的安全培训。</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编制材料、工器具和设备易损耗件的供应计划并做好供应。</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6" w:name="_Hlk7363243"/>
      <w:r>
        <w:rPr>
          <w:rFonts w:hint="eastAsia" w:asciiTheme="minorEastAsia" w:hAnsiTheme="minorEastAsia" w:eastAsiaTheme="minorEastAsia"/>
          <w:kern w:val="0"/>
          <w:szCs w:val="21"/>
        </w:rPr>
        <w:t>投标人须按招标人下发的年度设备检修计划要求完成维护保养计划，</w:t>
      </w:r>
      <w:bookmarkStart w:id="77" w:name="_Hlk16153607"/>
      <w:r>
        <w:rPr>
          <w:rFonts w:hint="eastAsia" w:asciiTheme="minorEastAsia" w:hAnsiTheme="minorEastAsia" w:eastAsiaTheme="minorEastAsia"/>
          <w:kern w:val="0"/>
          <w:szCs w:val="21"/>
        </w:rPr>
        <w:t>检修标准不低于正式进场阶段（详见表五）检修修程及检修内容的要求。</w:t>
      </w:r>
      <w:bookmarkEnd w:id="77"/>
    </w:p>
    <w:bookmarkEnd w:id="76"/>
    <w:p>
      <w:pPr>
        <w:widowControl/>
        <w:numPr>
          <w:ilvl w:val="0"/>
          <w:numId w:val="13"/>
        </w:numPr>
        <w:spacing w:line="560" w:lineRule="atLeast"/>
        <w:ind w:left="0"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工作量清单</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招标人提供的工作量清单列出的工作项目及其相应的工作量（包括但不限于），仅供投标人参考，投标人应谨慎使用本文件提供的工作量清单，并根据工作量清单进行报价，其所产生的一切风险由投标人自行承担。投标人须根据自身对本文件和本项目的研究和了解，完善工作量，并按规定填入工作量清单中。</w:t>
      </w:r>
    </w:p>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提前进场阶段(详见表五)</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26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5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表五</w:t>
            </w:r>
            <w:r>
              <w:rPr>
                <w:rFonts w:asciiTheme="minorEastAsia" w:hAnsiTheme="minorEastAsia" w:eastAsiaTheme="minorEastAsia"/>
                <w:b/>
                <w:szCs w:val="21"/>
              </w:rPr>
              <w:t xml:space="preserve"> </w:t>
            </w:r>
            <w:r>
              <w:rPr>
                <w:rFonts w:hint="eastAsia" w:asciiTheme="minorEastAsia" w:hAnsiTheme="minorEastAsia" w:eastAsiaTheme="minorEastAsia"/>
                <w:b/>
                <w:szCs w:val="21"/>
              </w:rPr>
              <w:t>提前进场阶段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iCs/>
                <w:szCs w:val="21"/>
              </w:rPr>
            </w:pPr>
            <w:r>
              <w:rPr>
                <w:rFonts w:hint="eastAsia" w:asciiTheme="minorEastAsia" w:hAnsiTheme="minorEastAsia" w:eastAsiaTheme="minorEastAsia"/>
                <w:b/>
                <w:szCs w:val="21"/>
              </w:rPr>
              <w:t>序号</w:t>
            </w:r>
          </w:p>
        </w:tc>
        <w:tc>
          <w:tcPr>
            <w:tcW w:w="726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工作量</w:t>
            </w:r>
          </w:p>
        </w:tc>
        <w:tc>
          <w:tcPr>
            <w:tcW w:w="138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iCs/>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参加招标人组织的相关规章制度学习并考试合格。</w:t>
            </w:r>
          </w:p>
        </w:tc>
        <w:tc>
          <w:tcPr>
            <w:tcW w:w="1385" w:type="dxa"/>
            <w:vMerge w:val="restart"/>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招标人将结合培训情况定期安排评估考试，提前进场人员需服从招标人安排。第一阶段进场人员作息制度须与招标人相同。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参加招标人组织的专业理论、实操培训并考试合格。</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参加招标人组织的应急预案培训并考试合格。</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熟练掌握招标人配备的工具、仪器、仪表的使用方法。</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熟悉本项目涉及设备及其检修、试验方法，参与制定相关技术文本。</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组织内部业务培训、考试，接受招标人安排的其它培训。</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维护保养人员进入工班进行正常化运作。</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参与招标人组织的相关应急演练。</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完成项目部组建，建立健全相关管理制度、台账</w:t>
            </w:r>
            <w:r>
              <w:rPr>
                <w:rFonts w:asciiTheme="minorEastAsia" w:hAnsiTheme="minorEastAsia" w:eastAsiaTheme="minorEastAsia"/>
                <w:szCs w:val="21"/>
              </w:rPr>
              <w:t>,</w:t>
            </w:r>
            <w:r>
              <w:rPr>
                <w:rFonts w:hint="eastAsia" w:asciiTheme="minorEastAsia" w:hAnsiTheme="minorEastAsia" w:eastAsiaTheme="minorEastAsia"/>
                <w:szCs w:val="21"/>
              </w:rPr>
              <w:t>完成项目内部三级安全教育。</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配合新增线路试运营前的工程介入等运营筹备工作。</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bl>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正式进场阶段（详见表六）</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正式进场阶段，正式进场后主要维护保养工作量清单如下（实际工作内容及工作量以招标人检修规程及相关规定为准）：</w:t>
      </w:r>
    </w:p>
    <w:tbl>
      <w:tblPr>
        <w:tblStyle w:val="4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26"/>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58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表六</w:t>
            </w:r>
            <w:r>
              <w:rPr>
                <w:rFonts w:asciiTheme="minorEastAsia" w:hAnsiTheme="minorEastAsia" w:eastAsiaTheme="minorEastAsia"/>
                <w:b/>
                <w:szCs w:val="21"/>
              </w:rPr>
              <w:t xml:space="preserve"> </w:t>
            </w:r>
            <w:r>
              <w:rPr>
                <w:rFonts w:hint="eastAsia" w:asciiTheme="minorEastAsia" w:hAnsiTheme="minorEastAsia" w:eastAsiaTheme="minorEastAsia"/>
                <w:b/>
                <w:szCs w:val="21"/>
              </w:rPr>
              <w:t>修程及要求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修程</w:t>
            </w:r>
          </w:p>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（周期）</w:t>
            </w:r>
          </w:p>
        </w:tc>
        <w:tc>
          <w:tcPr>
            <w:tcW w:w="13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设备名称</w:t>
            </w:r>
          </w:p>
        </w:tc>
        <w:tc>
          <w:tcPr>
            <w:tcW w:w="68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设备维护技术要求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月检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设备基本信息检查（设备运行版本、补丁信息、储存卡空间情况、配置）、备份配置文件；</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端口内容检查（端口协商率、配置、状态等），分析端口数据、状态等，排除影响端口运行影响；</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是否正常收到交互消息，排查交互失败原因，保障线路数据、外部数据、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完成月检后，将检修情况如实填写月检相关记录表。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季检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完成系统启动后，检查系统日志，对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停机保养设备，按系统、业务程序启动系统、程序，并完善各服务器系统、程序启动流程；</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查看</w:t>
            </w:r>
            <w:r>
              <w:rPr>
                <w:rFonts w:asciiTheme="minorEastAsia" w:hAnsiTheme="minorEastAsia" w:eastAsiaTheme="minorEastAsia"/>
                <w:kern w:val="0"/>
                <w:szCs w:val="21"/>
              </w:rPr>
              <w:t>HMC</w:t>
            </w:r>
            <w:r>
              <w:rPr>
                <w:rFonts w:hint="eastAsia" w:asciiTheme="minorEastAsia" w:hAnsiTheme="minorEastAsia" w:eastAsiaTheme="minorEastAsia"/>
                <w:kern w:val="0"/>
                <w:szCs w:val="21"/>
              </w:rPr>
              <w:t>控制台是否正常，分析服务器运行状态、处理服务器告警信息；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按业务程序启动流程重启业务软件，记录、分析业务软件</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检查各业务软件运行状态，备份、清理业务软件过期日志。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w:t>
            </w:r>
            <w:r>
              <w:rPr>
                <w:rFonts w:asciiTheme="minorEastAsia" w:hAnsiTheme="minorEastAsia" w:eastAsiaTheme="minorEastAsia"/>
                <w:kern w:val="0"/>
                <w:szCs w:val="21"/>
              </w:rPr>
              <w:t>TSM</w:t>
            </w:r>
            <w:r>
              <w:rPr>
                <w:rFonts w:hint="eastAsia" w:asciiTheme="minorEastAsia" w:hAnsiTheme="minorEastAsia" w:eastAsiaTheme="minorEastAsia"/>
                <w:kern w:val="0"/>
                <w:szCs w:val="21"/>
              </w:rPr>
              <w:t>备份信息，对磁带库备份失败日志进行分析，并制定解决方案；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检查磁盘阵列空间池使用率、存储</w:t>
            </w:r>
            <w:r>
              <w:rPr>
                <w:rFonts w:asciiTheme="minorEastAsia" w:hAnsiTheme="minorEastAsia" w:eastAsiaTheme="minorEastAsia"/>
                <w:kern w:val="0"/>
                <w:szCs w:val="21"/>
              </w:rPr>
              <w:t>LUN</w:t>
            </w:r>
            <w:r>
              <w:rPr>
                <w:rFonts w:hint="eastAsia" w:asciiTheme="minorEastAsia" w:hAnsiTheme="minorEastAsia" w:eastAsiaTheme="minorEastAsia"/>
                <w:kern w:val="0"/>
                <w:szCs w:val="21"/>
              </w:rPr>
              <w:t>分配、</w:t>
            </w:r>
            <w:r>
              <w:rPr>
                <w:rFonts w:asciiTheme="minorEastAsia" w:hAnsiTheme="minorEastAsia" w:eastAsiaTheme="minorEastAsia"/>
                <w:kern w:val="0"/>
                <w:szCs w:val="21"/>
              </w:rPr>
              <w:t>I/O</w:t>
            </w:r>
            <w:r>
              <w:rPr>
                <w:rFonts w:hint="eastAsia" w:asciiTheme="minorEastAsia" w:hAnsiTheme="minorEastAsia" w:eastAsiaTheme="minorEastAsia"/>
                <w:kern w:val="0"/>
                <w:szCs w:val="21"/>
              </w:rPr>
              <w:t>使用率、网卡使用率，当使用率超过</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进行性能分析，制定性能优化方案。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开关）、备份配置文件；</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端口内容检查（端口协商率、配置、错包率、状态、模式等），分析端口数据、状态等，排除影响端口运行影响；</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检查清算程序日志，对清算程序报错日志进行分析，减少因清算程序问题造成的数据积压、报表数据错误等问题；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是否正常通信，排查交互失败原因，保障线路数据、外部数据、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检查运营中心管理系统黑名单下发、参数下发等日常操作记录，协助招标人排查异常记录；</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检索密钥卡管理系统单据流水号表、日志记录表，排查异常问题；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完成季检维护后，将检修情况如实填写季检相关记录表。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半年检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停机保养设备，按系统、业务程序启动系统、程序，并完善各服务器系统、程序启动流程；</w:t>
            </w:r>
            <w:r>
              <w:rPr>
                <w:rFonts w:asciiTheme="minorEastAsia" w:hAnsiTheme="minorEastAsia" w:eastAsiaTheme="minorEastAsia"/>
                <w:kern w:val="0"/>
                <w:szCs w:val="21"/>
              </w:rPr>
              <w:t xml:space="preserve"> </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完成系统启动后，检查系统日志，对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调试时钟同步系统，保持</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系统时钟同步；</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查看</w:t>
            </w:r>
            <w:r>
              <w:rPr>
                <w:rFonts w:asciiTheme="minorEastAsia" w:hAnsiTheme="minorEastAsia" w:eastAsiaTheme="minorEastAsia"/>
                <w:kern w:val="0"/>
                <w:szCs w:val="21"/>
              </w:rPr>
              <w:t>HMC</w:t>
            </w:r>
            <w:r>
              <w:rPr>
                <w:rFonts w:hint="eastAsia" w:asciiTheme="minorEastAsia" w:hAnsiTheme="minorEastAsia" w:eastAsiaTheme="minorEastAsia"/>
                <w:kern w:val="0"/>
                <w:szCs w:val="21"/>
              </w:rPr>
              <w:t>控制台是否正常，分析服务器运行状态、处理服务器告警信息；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按业务程序启动流程重启业务软件，记录、分析业务软件</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检查各业务软件运行状态，备份、清理业务软件过期日志；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检查分析数据库</w:t>
            </w:r>
            <w:r>
              <w:rPr>
                <w:rFonts w:asciiTheme="minorEastAsia" w:hAnsiTheme="minorEastAsia" w:eastAsiaTheme="minorEastAsia"/>
                <w:kern w:val="0"/>
                <w:szCs w:val="21"/>
              </w:rPr>
              <w:t>alert</w:t>
            </w:r>
            <w:r>
              <w:rPr>
                <w:rFonts w:hint="eastAsia" w:asciiTheme="minorEastAsia" w:hAnsiTheme="minorEastAsia" w:eastAsiaTheme="minorEastAsia"/>
                <w:kern w:val="0"/>
                <w:szCs w:val="21"/>
              </w:rPr>
              <w:t>日志、监听日志，并对日志中的报错信息进行跟踪、排查问题；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系统镜像盘制作（若有更新或改造应及时制作镜像）；</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进行病毒检测、查杀工作</w:t>
            </w:r>
            <w:r>
              <w:rPr>
                <w:rFonts w:asciiTheme="minorEastAsia" w:hAnsiTheme="minorEastAsia" w:eastAsiaTheme="minorEastAsia"/>
                <w:kern w:val="0"/>
                <w:szCs w:val="21"/>
              </w:rPr>
              <w:t>,</w:t>
            </w:r>
            <w:r>
              <w:rPr>
                <w:rFonts w:hint="eastAsia" w:asciiTheme="minorEastAsia" w:hAnsiTheme="minorEastAsia" w:eastAsiaTheme="minorEastAsia"/>
                <w:kern w:val="0"/>
                <w:szCs w:val="21"/>
              </w:rPr>
              <w:t>对分析病毒来源、清理病毒。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检查磁盘阵列空间池使用率、存储</w:t>
            </w:r>
            <w:r>
              <w:rPr>
                <w:rFonts w:asciiTheme="minorEastAsia" w:hAnsiTheme="minorEastAsia" w:eastAsiaTheme="minorEastAsia"/>
                <w:kern w:val="0"/>
                <w:szCs w:val="21"/>
              </w:rPr>
              <w:t>LUN</w:t>
            </w:r>
            <w:r>
              <w:rPr>
                <w:rFonts w:hint="eastAsia" w:asciiTheme="minorEastAsia" w:hAnsiTheme="minorEastAsia" w:eastAsiaTheme="minorEastAsia"/>
                <w:kern w:val="0"/>
                <w:szCs w:val="21"/>
              </w:rPr>
              <w:t>分配、</w:t>
            </w:r>
            <w:r>
              <w:rPr>
                <w:rFonts w:asciiTheme="minorEastAsia" w:hAnsiTheme="minorEastAsia" w:eastAsiaTheme="minorEastAsia"/>
                <w:kern w:val="0"/>
                <w:szCs w:val="21"/>
              </w:rPr>
              <w:t>I/O</w:t>
            </w:r>
            <w:r>
              <w:rPr>
                <w:rFonts w:hint="eastAsia" w:asciiTheme="minorEastAsia" w:hAnsiTheme="minorEastAsia" w:eastAsiaTheme="minorEastAsia"/>
                <w:kern w:val="0"/>
                <w:szCs w:val="21"/>
              </w:rPr>
              <w:t>使用率、网卡使用率，当使用率超过</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进行性能分析，制定性能优化方案；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w:t>
            </w:r>
            <w:r>
              <w:rPr>
                <w:rFonts w:asciiTheme="minorEastAsia" w:hAnsiTheme="minorEastAsia" w:eastAsiaTheme="minorEastAsia"/>
                <w:kern w:val="0"/>
                <w:szCs w:val="21"/>
              </w:rPr>
              <w:t>TSM</w:t>
            </w:r>
            <w:r>
              <w:rPr>
                <w:rFonts w:hint="eastAsia" w:asciiTheme="minorEastAsia" w:hAnsiTheme="minorEastAsia" w:eastAsiaTheme="minorEastAsia"/>
                <w:kern w:val="0"/>
                <w:szCs w:val="21"/>
              </w:rPr>
              <w:t>备份信息，对磁带库备份失败日志进行分析，并制定解决方案；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磁盘阵列主备控制器切换功能验证、电源模块热拔插功能验证，消除磁盘阵列单点故障。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设备环境检查（设备电源、散热、线缆标签等）；</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开关、备份状态），备份配置等基础数据；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设备运行检查（系统关键模块状态、单板运行状态、主背板备份状态），对运行异常模块进行故障处理；</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端口内容检查（端口协商率、配置、错包率、状态、模式等），分析端口数据、状态等，排除影响端口运行因素；</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性能检查（主备倒换、业务切换、丢包率等），排除设备单节点故障；</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检查清算程序日志，对清算程序报错日志进行分析，减少因清算程序问题造成的数据积压、报表数据错误等问题；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检查在线充值日志，检查在线通信、充值、充值撤销记录，排查分析异常数据原因，并提供解决方案；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是否正常通信，排查交互失败原因，保障线路数据、外部数据、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检查运营中心管理系统黑名单下发、参数下发等日常操作记录，协助招标人排查异常记录；</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检索密钥卡管理系统单据流水号、日志记录表，排查异常问题；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检查票务管理系统日志记录表、出入库信息数据表、生产单据数据表，异常数据表，排查分析异常数据，解决异常数据原因；</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检查清分规则系统日志表、版本记录表，排查分析异常数据，分析处理无效存储过程、触发器；</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完成半年检后，将检修情况如实填写半年检相关记录表。</w:t>
            </w:r>
          </w:p>
        </w:tc>
      </w:tr>
    </w:tbl>
    <w:p>
      <w:pPr>
        <w:autoSpaceDE w:val="0"/>
        <w:autoSpaceDN w:val="0"/>
        <w:adjustRightInd w:val="0"/>
        <w:snapToGrid w:val="0"/>
        <w:spacing w:line="560" w:lineRule="exact"/>
        <w:ind w:firstLine="420" w:firstLineChars="200"/>
        <w:rPr>
          <w:rFonts w:asciiTheme="minorEastAsia" w:hAnsiTheme="minorEastAsia" w:eastAsiaTheme="minorEastAsia"/>
          <w:bCs/>
          <w:iCs/>
          <w:kern w:val="0"/>
          <w:szCs w:val="21"/>
        </w:rPr>
      </w:pPr>
      <w:r>
        <w:rPr>
          <w:rFonts w:hint="eastAsia" w:asciiTheme="minorEastAsia" w:hAnsiTheme="minorEastAsia" w:eastAsiaTheme="minorEastAsia"/>
          <w:kern w:val="0"/>
          <w:szCs w:val="21"/>
        </w:rPr>
        <w:t>清分中心系统、自动化系统、信号系统设备节假日或重大活动前的专项检查，具体时间点以招标人要求的为准，检查内容包括但不限于数据库服务器、应用服务器、数据库、网络设备等。</w:t>
      </w:r>
      <w:bookmarkStart w:id="78" w:name="_Hlk8120099"/>
      <w:r>
        <w:rPr>
          <w:rFonts w:hint="eastAsia" w:asciiTheme="minorEastAsia" w:hAnsiTheme="minorEastAsia" w:eastAsiaTheme="minorEastAsia"/>
          <w:kern w:val="0"/>
          <w:szCs w:val="21"/>
        </w:rPr>
        <w:t>当检修计划中的修程重叠时，如半年检与季检重叠时一并进行，半年检的内容应包括季度检的全部内容。季检与月检重叠时应一并进行，季度检的内容应包括月检的全部内容。</w:t>
      </w:r>
      <w:bookmarkEnd w:id="78"/>
    </w:p>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软件项目</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清分中心系统、自动化系统、信号系统设备软件项目主要工作量参考如下（详见表七）以下工作以根据业务范围界定，不限于系统设备层：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54"/>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72" w:type="dxa"/>
            <w:gridSpan w:val="3"/>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表七</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软件项目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序号</w:t>
            </w:r>
          </w:p>
        </w:tc>
        <w:tc>
          <w:tcPr>
            <w:tcW w:w="165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项目</w:t>
            </w:r>
          </w:p>
        </w:tc>
        <w:tc>
          <w:tcPr>
            <w:tcW w:w="6551"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数据保障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bCs/>
                <w:szCs w:val="21"/>
              </w:rPr>
              <w:t>投标人须保证操作规范，并保证所维修维护范围内设备产生的票款、交易数据正常上传，并保证数据库的稳定正常运转。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系统及软件管理</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投标人须及时完成设备系统和程序版本管理、参数管理、完成软件升级与故障修复后的系统与软件更新，进行软件测试并提供测试报告等工作。招标人有权随时参与和监督各项内容，投标人须无条件配合。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参数管理</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管理清分中心责任范围内运营、业务、设备等相关的参数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杀毒相关工作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投标人须定期对清分中心设备系统的杀毒、杀毒软件的升级等工作并提供杀毒报告。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备份服务</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投标人须在不影响运营的前提下及时完成系统、软件及数据的备份等工作。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其它工作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招标人根据实际需要提出的其它配合工作、培训工作等</w:t>
            </w:r>
          </w:p>
        </w:tc>
      </w:tr>
    </w:tbl>
    <w:p>
      <w:pPr>
        <w:pStyle w:val="32"/>
        <w:tabs>
          <w:tab w:val="right" w:leader="dot" w:pos="8306"/>
        </w:tabs>
        <w:spacing w:line="560" w:lineRule="atLeast"/>
        <w:ind w:firstLine="420" w:firstLineChars="200"/>
        <w:outlineLvl w:val="0"/>
        <w:rPr>
          <w:rFonts w:cs="楷体" w:asciiTheme="minorEastAsia" w:hAnsiTheme="minorEastAsia" w:eastAsiaTheme="minorEastAsia"/>
          <w:bCs/>
          <w:szCs w:val="21"/>
          <w:u w:val="none"/>
        </w:rPr>
      </w:pPr>
      <w:r>
        <w:rPr>
          <w:u w:val="none"/>
        </w:rPr>
        <w:fldChar w:fldCharType="begin"/>
      </w:r>
      <w:r>
        <w:rPr>
          <w:u w:val="none"/>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"_Toc28783" </w:instrText>
      </w:r>
      <w:r>
        <w:rPr>
          <w:u w:val="none"/>
        </w:rPr>
        <w:fldChar w:fldCharType="separate"/>
      </w:r>
      <w:bookmarkStart w:id="79" w:name="_Toc36047386"/>
      <w:bookmarkStart w:id="80" w:name="_Toc5975455"/>
      <w:bookmarkStart w:id="81" w:name="_Toc4401276"/>
      <w:r>
        <w:rPr>
          <w:rStyle w:val="55"/>
          <w:rFonts w:hint="eastAsia" w:cs="楷体" w:asciiTheme="minorEastAsia" w:hAnsiTheme="minorEastAsia" w:eastAsiaTheme="minorEastAsia"/>
          <w:iCs/>
          <w:color w:val="auto"/>
          <w:szCs w:val="21"/>
          <w:u w:val="none"/>
        </w:rPr>
        <w:t>六、项目验收</w:t>
      </w:r>
      <w:bookmarkEnd w:id="79"/>
      <w:bookmarkEnd w:id="80"/>
      <w:bookmarkEnd w:id="81"/>
      <w:r>
        <w:rPr>
          <w:rStyle w:val="55"/>
          <w:rFonts w:hint="eastAsia" w:cs="楷体" w:asciiTheme="minorEastAsia" w:hAnsiTheme="minorEastAsia" w:eastAsiaTheme="minorEastAsia"/>
          <w:iCs/>
          <w:color w:val="auto"/>
          <w:szCs w:val="21"/>
          <w:u w:val="none"/>
        </w:rPr>
        <w:fldChar w:fldCharType="end"/>
      </w:r>
    </w:p>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82" w:name="_Toc4401277"/>
      <w:bookmarkStart w:id="83" w:name="_Toc5975456"/>
      <w:bookmarkStart w:id="84" w:name="_Toc36047387"/>
      <w:r>
        <w:rPr>
          <w:rFonts w:hint="eastAsia" w:asciiTheme="minorEastAsia" w:hAnsiTheme="minorEastAsia" w:eastAsiaTheme="minorEastAsia"/>
          <w:bCs/>
          <w:color w:val="auto"/>
        </w:rPr>
        <w:t>验收小组</w:t>
      </w:r>
      <w:bookmarkEnd w:id="82"/>
      <w:bookmarkEnd w:id="83"/>
      <w:bookmarkEnd w:id="84"/>
    </w:p>
    <w:p>
      <w:pPr>
        <w:spacing w:line="560" w:lineRule="atLeast"/>
        <w:ind w:firstLine="420" w:firstLineChars="200"/>
        <w:rPr>
          <w:rFonts w:asciiTheme="minorEastAsia" w:hAnsiTheme="minorEastAsia" w:eastAsiaTheme="minorEastAsia"/>
          <w:bCs/>
          <w:kern w:val="0"/>
          <w:szCs w:val="21"/>
        </w:rPr>
      </w:pPr>
      <w:bookmarkStart w:id="85" w:name="_Hlk4591423"/>
      <w:r>
        <w:rPr>
          <w:rFonts w:hint="eastAsia" w:asciiTheme="minorEastAsia" w:hAnsiTheme="minorEastAsia" w:eastAsiaTheme="minorEastAsia"/>
          <w:kern w:val="0"/>
          <w:szCs w:val="21"/>
        </w:rPr>
        <w:t>验收小组由招标人相关人员组成。</w:t>
      </w:r>
    </w:p>
    <w:bookmarkEnd w:id="85"/>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86" w:name="_Toc4401278"/>
      <w:bookmarkStart w:id="87" w:name="_Toc5975457"/>
      <w:bookmarkStart w:id="88" w:name="_Toc36047388"/>
      <w:r>
        <w:rPr>
          <w:rFonts w:hint="eastAsia" w:asciiTheme="minorEastAsia" w:hAnsiTheme="minorEastAsia" w:eastAsiaTheme="minorEastAsia"/>
          <w:bCs/>
          <w:color w:val="auto"/>
        </w:rPr>
        <w:t>验收周期</w:t>
      </w:r>
      <w:bookmarkEnd w:id="86"/>
      <w:bookmarkEnd w:id="87"/>
      <w:bookmarkEnd w:id="88"/>
    </w:p>
    <w:p>
      <w:pPr>
        <w:spacing w:line="5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kern w:val="0"/>
          <w:szCs w:val="21"/>
        </w:rPr>
        <w:t>此项目每半年验收一次，投标人须提供项目周期内的维护保养报告、投标人服务单等招标人所需资料进行验收，招标人将安排人员在项目周期内不定期对维护保养质量进行抽查，发现不符合项目合同质量要求的内容将对投标人进行考核，</w:t>
      </w:r>
      <w:bookmarkStart w:id="89" w:name="_Toc4401279"/>
      <w:r>
        <w:rPr>
          <w:rFonts w:hint="eastAsia" w:asciiTheme="minorEastAsia" w:hAnsiTheme="minorEastAsia" w:eastAsiaTheme="minorEastAsia"/>
          <w:szCs w:val="21"/>
        </w:rPr>
        <w:t>考核标准参考《质量考核标准》、《日常管理考核标准》、</w:t>
      </w:r>
      <w:r>
        <w:rPr>
          <w:rFonts w:hint="eastAsia" w:asciiTheme="minorEastAsia" w:hAnsiTheme="minorEastAsia" w:eastAsiaTheme="minorEastAsia"/>
          <w:kern w:val="0"/>
          <w:szCs w:val="21"/>
        </w:rPr>
        <w:t>《运营公司承包商安全管理办法》</w:t>
      </w:r>
      <w:r>
        <w:rPr>
          <w:rFonts w:hint="eastAsia" w:asciiTheme="minorEastAsia" w:hAnsiTheme="minorEastAsia" w:eastAsiaTheme="minorEastAsia"/>
          <w:szCs w:val="21"/>
        </w:rPr>
        <w:t>。</w:t>
      </w:r>
    </w:p>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90" w:name="_Toc5975458"/>
      <w:bookmarkStart w:id="91" w:name="_Toc36047389"/>
      <w:r>
        <w:rPr>
          <w:rFonts w:hint="eastAsia" w:asciiTheme="minorEastAsia" w:hAnsiTheme="minorEastAsia" w:eastAsiaTheme="minorEastAsia"/>
          <w:bCs/>
          <w:color w:val="auto"/>
        </w:rPr>
        <w:t>验收标准</w:t>
      </w:r>
      <w:bookmarkEnd w:id="89"/>
      <w:bookmarkEnd w:id="90"/>
      <w:bookmarkEnd w:id="91"/>
    </w:p>
    <w:p>
      <w:pPr>
        <w:pStyle w:val="76"/>
        <w:spacing w:line="560" w:lineRule="atLeast"/>
        <w:ind w:firstLine="420" w:firstLineChars="200"/>
        <w:rPr>
          <w:rFonts w:asciiTheme="minorEastAsia" w:hAnsiTheme="minorEastAsia" w:eastAsiaTheme="minorEastAsia"/>
          <w:bCs/>
          <w:color w:val="auto"/>
          <w:kern w:val="0"/>
        </w:rPr>
      </w:pPr>
      <w:r>
        <w:rPr>
          <w:rFonts w:hint="eastAsia" w:asciiTheme="minorEastAsia" w:hAnsiTheme="minorEastAsia" w:eastAsiaTheme="minorEastAsia"/>
          <w:color w:val="auto"/>
          <w:kern w:val="0"/>
        </w:rPr>
        <w:t>1.招标人有权根据合同规定的服务范围、内容以及合同附件对投标人的工作进行检查验收，所有服务应符合合同及招标文件、用户需求书、技术规格书的要求。</w:t>
      </w:r>
    </w:p>
    <w:p>
      <w:pPr>
        <w:pStyle w:val="76"/>
        <w:spacing w:line="560" w:lineRule="atLeast"/>
        <w:ind w:firstLine="420" w:firstLineChars="200"/>
        <w:rPr>
          <w:rFonts w:asciiTheme="minorEastAsia" w:hAnsiTheme="minorEastAsia" w:eastAsiaTheme="minorEastAsia"/>
          <w:color w:val="auto"/>
          <w:kern w:val="0"/>
        </w:rPr>
      </w:pPr>
      <w:r>
        <w:rPr>
          <w:rFonts w:hint="eastAsia" w:asciiTheme="minorEastAsia" w:hAnsiTheme="minorEastAsia" w:eastAsiaTheme="minorEastAsia"/>
          <w:color w:val="auto"/>
          <w:kern w:val="0"/>
        </w:rPr>
        <w:t>2.招标人有权安排专人全面检查并根据现场实际情况要求投标人现场整改。</w:t>
      </w:r>
    </w:p>
    <w:p>
      <w:pPr>
        <w:pStyle w:val="76"/>
        <w:spacing w:line="560" w:lineRule="atLeast"/>
        <w:ind w:firstLine="420" w:firstLineChars="200"/>
        <w:rPr>
          <w:rFonts w:asciiTheme="minorEastAsia" w:hAnsiTheme="minorEastAsia" w:eastAsiaTheme="minorEastAsia"/>
          <w:color w:val="auto"/>
          <w:kern w:val="0"/>
        </w:rPr>
      </w:pPr>
      <w:r>
        <w:rPr>
          <w:rFonts w:hint="eastAsia" w:asciiTheme="minorEastAsia" w:hAnsiTheme="minorEastAsia" w:eastAsiaTheme="minorEastAsia"/>
          <w:color w:val="auto"/>
          <w:kern w:val="0"/>
        </w:rPr>
        <w:t>3.招标人根据以下验收标准表进行验收（包括但不限于），具体详见表八：</w:t>
      </w:r>
    </w:p>
    <w:tbl>
      <w:tblPr>
        <w:tblStyle w:val="46"/>
        <w:tblW w:w="9228" w:type="dxa"/>
        <w:tblInd w:w="0" w:type="dxa"/>
        <w:tblLayout w:type="fixed"/>
        <w:tblCellMar>
          <w:top w:w="0" w:type="dxa"/>
          <w:left w:w="108" w:type="dxa"/>
          <w:bottom w:w="0" w:type="dxa"/>
          <w:right w:w="108" w:type="dxa"/>
        </w:tblCellMar>
      </w:tblPr>
      <w:tblGrid>
        <w:gridCol w:w="1081"/>
        <w:gridCol w:w="3898"/>
        <w:gridCol w:w="4249"/>
      </w:tblGrid>
      <w:tr>
        <w:tblPrEx>
          <w:tblCellMar>
            <w:top w:w="0" w:type="dxa"/>
            <w:left w:w="108" w:type="dxa"/>
            <w:bottom w:w="0" w:type="dxa"/>
            <w:right w:w="108" w:type="dxa"/>
          </w:tblCellMar>
        </w:tblPrEx>
        <w:trPr>
          <w:trHeight w:val="390" w:hRule="atLeast"/>
        </w:trPr>
        <w:tc>
          <w:tcPr>
            <w:tcW w:w="92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表八</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验收标准表</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验收内容</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验收标准</w:t>
            </w:r>
          </w:p>
        </w:tc>
      </w:tr>
      <w:tr>
        <w:tblPrEx>
          <w:tblCellMar>
            <w:top w:w="0" w:type="dxa"/>
            <w:left w:w="108" w:type="dxa"/>
            <w:bottom w:w="0" w:type="dxa"/>
            <w:right w:w="108" w:type="dxa"/>
          </w:tblCellMar>
        </w:tblPrEx>
        <w:trPr>
          <w:trHeight w:val="309"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1</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月检报告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月检检修规程验收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2</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3</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半年检报告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半年检检修规程验收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4</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专项检报告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根据实际检修规程验收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5</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节前检报告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6</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设备</w:t>
            </w:r>
            <w:r>
              <w:rPr>
                <w:rFonts w:hint="eastAsia" w:asciiTheme="minorEastAsia" w:hAnsiTheme="minorEastAsia" w:eastAsiaTheme="minorEastAsia"/>
                <w:szCs w:val="21"/>
              </w:rPr>
              <w:t>可靠度</w:t>
            </w:r>
            <w:r>
              <w:rPr>
                <w:rFonts w:hint="eastAsia" w:asciiTheme="minorEastAsia" w:hAnsiTheme="minorEastAsia" w:eastAsiaTheme="minorEastAsia"/>
                <w:kern w:val="0"/>
                <w:szCs w:val="21"/>
                <w:lang w:bidi="ar"/>
              </w:rPr>
              <w:t>指标</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大于等于</w:t>
            </w:r>
            <w:r>
              <w:rPr>
                <w:rFonts w:asciiTheme="minorEastAsia" w:hAnsiTheme="minorEastAsia" w:eastAsiaTheme="minorEastAsia"/>
                <w:kern w:val="0"/>
                <w:szCs w:val="21"/>
                <w:lang w:bidi="ar"/>
              </w:rPr>
              <w:t>99.8%</w:t>
            </w:r>
          </w:p>
        </w:tc>
      </w:tr>
    </w:tbl>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92" w:name="_Toc36047390"/>
      <w:bookmarkStart w:id="93" w:name="_Toc5975459"/>
      <w:bookmarkStart w:id="94" w:name="_Toc4401280"/>
      <w:r>
        <w:rPr>
          <w:rFonts w:hint="eastAsia" w:asciiTheme="minorEastAsia" w:hAnsiTheme="minorEastAsia" w:eastAsiaTheme="minorEastAsia"/>
          <w:bCs/>
          <w:color w:val="auto"/>
        </w:rPr>
        <w:t>验收资料</w:t>
      </w:r>
      <w:bookmarkEnd w:id="92"/>
      <w:bookmarkEnd w:id="93"/>
      <w:bookmarkEnd w:id="94"/>
    </w:p>
    <w:p>
      <w:pPr>
        <w:widowControl/>
        <w:numPr>
          <w:ilvl w:val="0"/>
          <w:numId w:val="18"/>
        </w:numPr>
        <w:adjustRightInd w:val="0"/>
        <w:snapToGrid w:val="0"/>
        <w:spacing w:line="560" w:lineRule="atLeas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此项目中可独立作业完成的项目具备完工验收条件，投标人按有关规定和招标人确定的验收要求，向招标人提供完整的验收资料及验收报告。</w:t>
      </w:r>
      <w:bookmarkStart w:id="95" w:name="_Hlk4591490"/>
      <w:r>
        <w:rPr>
          <w:rFonts w:hint="eastAsia" w:asciiTheme="minorEastAsia" w:hAnsiTheme="minorEastAsia" w:eastAsiaTheme="minorEastAsia"/>
          <w:szCs w:val="21"/>
        </w:rPr>
        <w:t>如月检报告、季检报告、半年检报告、节前维护报告、专项维护报告、设备可靠度指标。</w:t>
      </w:r>
    </w:p>
    <w:bookmarkEnd w:id="95"/>
    <w:p>
      <w:pPr>
        <w:widowControl/>
        <w:numPr>
          <w:ilvl w:val="0"/>
          <w:numId w:val="18"/>
        </w:numPr>
        <w:adjustRightInd w:val="0"/>
        <w:snapToGrid w:val="0"/>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收到验收报告后，对验收报告进行进一步确认，招标人在验收后给予批准或提出修改意见。不符合条件，投标人按要求修改，并承担自身原因引起的修改费用，若修改后仍不满足验收要求，投标人需承担招标人的损失。</w:t>
      </w:r>
    </w:p>
    <w:p>
      <w:pPr>
        <w:widowControl/>
        <w:numPr>
          <w:ilvl w:val="0"/>
          <w:numId w:val="18"/>
        </w:numPr>
        <w:adjustRightInd w:val="0"/>
        <w:snapToGrid w:val="0"/>
        <w:spacing w:line="560" w:lineRule="atLeast"/>
        <w:ind w:left="0" w:firstLine="420" w:firstLineChars="200"/>
        <w:rPr>
          <w:rFonts w:asciiTheme="minorEastAsia" w:hAnsiTheme="minorEastAsia" w:eastAsiaTheme="minorEastAsia"/>
          <w:kern w:val="0"/>
          <w:szCs w:val="21"/>
        </w:rPr>
      </w:pPr>
      <w:bookmarkStart w:id="96" w:name="_Toc4401282"/>
      <w:r>
        <w:rPr>
          <w:rFonts w:hint="eastAsia" w:asciiTheme="minorEastAsia" w:hAnsiTheme="minorEastAsia" w:eastAsiaTheme="minorEastAsia"/>
          <w:kern w:val="0"/>
          <w:szCs w:val="21"/>
        </w:rPr>
        <w:t>项目结束时投标人应确保设备设施无遗留问题，如有遗留问题，招标人有权请第三方处理，其产生的费用由投标人承担。</w:t>
      </w:r>
    </w:p>
    <w:p>
      <w:pPr>
        <w:pStyle w:val="32"/>
        <w:tabs>
          <w:tab w:val="right" w:leader="dot" w:pos="8306"/>
        </w:tabs>
        <w:spacing w:line="560" w:lineRule="atLeast"/>
        <w:ind w:left="643"/>
        <w:outlineLvl w:val="0"/>
        <w:rPr>
          <w:rFonts w:cs="楷体" w:asciiTheme="minorEastAsia" w:hAnsiTheme="minorEastAsia" w:eastAsiaTheme="minorEastAsia"/>
          <w:szCs w:val="21"/>
        </w:rPr>
      </w:pPr>
      <w:bookmarkStart w:id="97" w:name="_Toc36047391"/>
      <w:bookmarkStart w:id="98" w:name="_Toc5975460"/>
      <w:r>
        <w:rPr>
          <w:rFonts w:hint="eastAsia" w:cs="楷体" w:asciiTheme="minorEastAsia" w:hAnsiTheme="minorEastAsia" w:eastAsiaTheme="minorEastAsia"/>
          <w:szCs w:val="21"/>
        </w:rPr>
        <w:t>七、质保期</w:t>
      </w:r>
      <w:bookmarkEnd w:id="97"/>
      <w:bookmarkEnd w:id="98"/>
    </w:p>
    <w:p>
      <w:pPr>
        <w:spacing w:line="56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投标人提供的材料、零部件必须是全新原厂合格产品。从单项零部件更换日期开始起算，质保一年。</w:t>
      </w:r>
    </w:p>
    <w:p>
      <w:pPr>
        <w:pStyle w:val="32"/>
        <w:tabs>
          <w:tab w:val="right" w:leader="dot" w:pos="8306"/>
        </w:tabs>
        <w:spacing w:line="560" w:lineRule="atLeast"/>
        <w:ind w:left="643"/>
        <w:outlineLvl w:val="0"/>
        <w:rPr>
          <w:rFonts w:cs="楷体" w:asciiTheme="minorEastAsia" w:hAnsiTheme="minorEastAsia" w:eastAsiaTheme="minorEastAsia"/>
          <w:szCs w:val="21"/>
        </w:rPr>
      </w:pPr>
      <w:bookmarkStart w:id="99" w:name="_Toc36047392"/>
      <w:bookmarkStart w:id="100" w:name="_Toc5975461"/>
      <w:r>
        <w:rPr>
          <w:rFonts w:hint="eastAsia" w:cs="楷体" w:asciiTheme="minorEastAsia" w:hAnsiTheme="minorEastAsia" w:eastAsiaTheme="minorEastAsia"/>
          <w:szCs w:val="21"/>
        </w:rPr>
        <w:t>八、考核标准</w:t>
      </w:r>
      <w:bookmarkEnd w:id="96"/>
      <w:bookmarkEnd w:id="99"/>
      <w:bookmarkEnd w:id="100"/>
    </w:p>
    <w:p>
      <w:pPr>
        <w:pStyle w:val="76"/>
        <w:widowControl/>
        <w:numPr>
          <w:ilvl w:val="0"/>
          <w:numId w:val="19"/>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101" w:name="_Toc36047393"/>
      <w:bookmarkStart w:id="102" w:name="_Toc5975462"/>
      <w:bookmarkStart w:id="103" w:name="_Toc4401283"/>
      <w:r>
        <w:rPr>
          <w:rFonts w:hint="eastAsia" w:asciiTheme="minorEastAsia" w:hAnsiTheme="minorEastAsia" w:eastAsiaTheme="minorEastAsia"/>
          <w:bCs/>
          <w:color w:val="auto"/>
        </w:rPr>
        <w:t>质量考核标准</w:t>
      </w:r>
      <w:bookmarkEnd w:id="101"/>
      <w:bookmarkEnd w:id="102"/>
      <w:bookmarkEnd w:id="103"/>
    </w:p>
    <w:p>
      <w:pPr>
        <w:widowControl/>
        <w:numPr>
          <w:ilvl w:val="0"/>
          <w:numId w:val="20"/>
        </w:numPr>
        <w:adjustRightInd w:val="0"/>
        <w:snapToGrid w:val="0"/>
        <w:spacing w:line="560" w:lineRule="atLeas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招标人将从安全生产、设备表现、维护维修等方面对投标人进行半年度考核评分，按比例核算半年度服务费，并将考核结果纳入对投标人的半年度评定结算，当有考核项目发生重复时以最高程度考核项为考核标准，投标人须无条件执行招标人确定的最新指标标准及相关的管理办法、实施细则。</w:t>
      </w:r>
    </w:p>
    <w:p>
      <w:pPr>
        <w:widowControl/>
        <w:numPr>
          <w:ilvl w:val="0"/>
          <w:numId w:val="20"/>
        </w:numPr>
        <w:tabs>
          <w:tab w:val="left" w:pos="0"/>
        </w:tabs>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违反招标人相关规定、制度，原则上按照《日常管理考核标准》、《质量考核标准》、《运营公司承包商安全管理办法》进行考核。如下：表九《质量考核标准》、表十《考核支付表》、附件3《日常管理考核标准》进行考核（包括但不限于）。</w:t>
      </w:r>
    </w:p>
    <w:p>
      <w:pPr>
        <w:widowControl/>
        <w:numPr>
          <w:ilvl w:val="0"/>
          <w:numId w:val="20"/>
        </w:numPr>
        <w:adjustRightInd w:val="0"/>
        <w:snapToGrid w:val="0"/>
        <w:spacing w:line="560" w:lineRule="exact"/>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质量考核标准表</w:t>
      </w:r>
      <w:bookmarkStart w:id="104" w:name="_Hlk5606341"/>
      <w:r>
        <w:rPr>
          <w:rFonts w:hint="eastAsia" w:asciiTheme="minorEastAsia" w:hAnsiTheme="minorEastAsia" w:eastAsiaTheme="minorEastAsia"/>
          <w:kern w:val="0"/>
          <w:szCs w:val="21"/>
        </w:rPr>
        <w:t>（详见表九）</w:t>
      </w:r>
      <w:bookmarkEnd w:id="104"/>
    </w:p>
    <w:tbl>
      <w:tblPr>
        <w:tblStyle w:val="46"/>
        <w:tblW w:w="0" w:type="auto"/>
        <w:tblInd w:w="0" w:type="dxa"/>
        <w:tblLayout w:type="fixed"/>
        <w:tblCellMar>
          <w:top w:w="0" w:type="dxa"/>
          <w:left w:w="108" w:type="dxa"/>
          <w:bottom w:w="0" w:type="dxa"/>
          <w:right w:w="108" w:type="dxa"/>
        </w:tblCellMar>
      </w:tblPr>
      <w:tblGrid>
        <w:gridCol w:w="582"/>
        <w:gridCol w:w="5529"/>
        <w:gridCol w:w="1037"/>
        <w:gridCol w:w="2196"/>
      </w:tblGrid>
      <w:tr>
        <w:tblPrEx>
          <w:tblCellMar>
            <w:top w:w="0" w:type="dxa"/>
            <w:left w:w="108" w:type="dxa"/>
            <w:bottom w:w="0" w:type="dxa"/>
            <w:right w:w="108" w:type="dxa"/>
          </w:tblCellMar>
        </w:tblPrEx>
        <w:trPr>
          <w:trHeight w:val="480" w:hRule="atLeast"/>
        </w:trPr>
        <w:tc>
          <w:tcPr>
            <w:tcW w:w="9344"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表九</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质量考核标准表</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考核内容</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处罚结果</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rPr>
            </w:pPr>
            <w:r>
              <w:rPr>
                <w:rFonts w:hint="eastAsia" w:asciiTheme="minorEastAsia" w:hAnsiTheme="minorEastAsia" w:eastAsiaTheme="minorEastAsia"/>
                <w:szCs w:val="21"/>
              </w:rPr>
              <w:t>1</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因投标人维护不当导致线网、线路</w:t>
            </w:r>
            <w:r>
              <w:rPr>
                <w:rFonts w:asciiTheme="minorEastAsia" w:hAnsiTheme="minorEastAsia" w:eastAsiaTheme="minorEastAsia"/>
                <w:kern w:val="0"/>
                <w:szCs w:val="21"/>
              </w:rPr>
              <w:t>AFC</w:t>
            </w:r>
            <w:r>
              <w:rPr>
                <w:rFonts w:hint="eastAsia" w:asciiTheme="minorEastAsia" w:hAnsiTheme="minorEastAsia" w:eastAsiaTheme="minorEastAsia"/>
                <w:kern w:val="0"/>
                <w:szCs w:val="21"/>
              </w:rPr>
              <w:t>系统瘫痪，所有终端设备不能使用（指售票、检票、异常处理等主要业务功能停用）。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2</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因投标人维护不当导致全线网、线路全部同类终端设备不能使用。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3</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因投标人维护不当导致清分中心系统及自动化系统、信号系统设备发生漏电击人事故，造成人员伤亡的。</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4</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投标人私传招标人相关资料、传播虚假信息、未经授权擅自传播招标人生产信息的。</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5</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因投标人维护不当导致非运营时间内线网、线路单种终端设备全部故障，直到运营开始部分设备仍未完成修复投入使用。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6</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因投标人维护不当或设备检修、维修不到位造成设备交易数据丢失。</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7</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因清分中心系统设备故障导致的交易未上传在</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小时内未解决。</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8</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lang w:bidi="ar"/>
              </w:rPr>
              <w:t>设备可靠度指标</w:t>
            </w:r>
            <w:r>
              <w:rPr>
                <w:rFonts w:asciiTheme="minorEastAsia" w:hAnsiTheme="minorEastAsia" w:eastAsiaTheme="minorEastAsia"/>
                <w:kern w:val="0"/>
                <w:szCs w:val="21"/>
                <w:lang w:bidi="ar"/>
              </w:rPr>
              <w:t>&lt;</w:t>
            </w:r>
            <w:r>
              <w:rPr>
                <w:rFonts w:asciiTheme="minorEastAsia" w:hAnsiTheme="minorEastAsia" w:eastAsiaTheme="minorEastAsia"/>
                <w:szCs w:val="21"/>
              </w:rPr>
              <w:t>99.7%</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设备可靠度指标算法</w:t>
            </w:r>
            <w:r>
              <w:rPr>
                <w:rFonts w:asciiTheme="minorEastAsia" w:hAnsiTheme="minorEastAsia" w:eastAsiaTheme="minorEastAsia"/>
                <w:szCs w:val="21"/>
              </w:rPr>
              <w:t xml:space="preserve">: </w:t>
            </w:r>
            <w:r>
              <w:rPr>
                <w:rFonts w:hint="eastAsia" w:asciiTheme="minorEastAsia" w:hAnsiTheme="minorEastAsia" w:eastAsiaTheme="minorEastAsia"/>
                <w:szCs w:val="21"/>
              </w:rPr>
              <w:t>（设备总运行时间</w:t>
            </w:r>
            <w:r>
              <w:rPr>
                <w:rFonts w:asciiTheme="minorEastAsia" w:hAnsiTheme="minorEastAsia" w:eastAsiaTheme="minorEastAsia"/>
                <w:szCs w:val="21"/>
              </w:rPr>
              <w:t>-</w:t>
            </w:r>
            <w:r>
              <w:rPr>
                <w:rFonts w:hint="eastAsia" w:asciiTheme="minorEastAsia" w:hAnsiTheme="minorEastAsia" w:eastAsiaTheme="minorEastAsia"/>
                <w:szCs w:val="21"/>
              </w:rPr>
              <w:t>设备总停用时间）</w:t>
            </w:r>
            <w:r>
              <w:rPr>
                <w:rFonts w:asciiTheme="minorEastAsia" w:hAnsiTheme="minorEastAsia" w:eastAsiaTheme="minorEastAsia"/>
                <w:szCs w:val="21"/>
              </w:rPr>
              <w:t>/</w:t>
            </w:r>
            <w:r>
              <w:rPr>
                <w:rFonts w:hint="eastAsia" w:asciiTheme="minorEastAsia" w:hAnsiTheme="minorEastAsia" w:eastAsiaTheme="minorEastAsia"/>
                <w:szCs w:val="21"/>
              </w:rPr>
              <w:t>设备总运行时间</w:t>
            </w:r>
            <w:r>
              <w:rPr>
                <w:rFonts w:asciiTheme="minorEastAsia" w:hAnsiTheme="minorEastAsia" w:eastAsiaTheme="minorEastAsia"/>
                <w:szCs w:val="21"/>
              </w:rPr>
              <w:t>*100%</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9</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rPr>
              <w:t>如因投标人工作不到位，产生不良影响（包括集团公司、运营公司考核，媒体负面报道，有责投诉等情况）。</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10</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运营期间清分中心系统及自动化系统、信号系统主服务器、通信服务器、报表服务器等服务器发生硬件故障、软件系统故障或报警等异常时投标人应急响应时间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11</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运营期间清分中心系统及自动化系统、信号系统磁盘阵列、防火墙、入侵检测设备发生硬件故障或报警等异常时投标人应急响应时间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12</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运营期间清分中心系统及自动化系统、信号系统主光纤交换机、三层交换机等网络设备系统故障或因其造成网络通信故障时投标人应急响应时间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13</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szCs w:val="21"/>
              </w:rPr>
              <w:t>运营期间清分中心系统磁带库不能正常备份时投标人应急响应时间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120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14</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因投标人维护不当导致运营时间内发生单个及以上车站单种终端设备全部故障（非线路级故障）。</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15</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因投标人维护不当导致非运营时间内发生单个及以上车站单种终端设备全部故障，直到运营开始部分设备仍未完成修复投入使用。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16</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因投标人维护不当导致清分中心系统与线路中心系统网络中断超过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分钟，以及影响清分中心业务工作超过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分钟的清分中心系统故障。</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17</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因投标人维护不当直接或间接导致清分中心设备交易无法正常传送，参数文件无法下发至线路中心超过</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18</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因投标人维护不当导致直接或间接导致一个及以上车站所有终端设备交易</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小时及以上无法正常上传。</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bl>
    <w:p>
      <w:pPr>
        <w:tabs>
          <w:tab w:val="left" w:pos="0"/>
        </w:tabs>
        <w:adjustRightInd w:val="0"/>
        <w:snapToGrid w:val="0"/>
        <w:spacing w:line="560" w:lineRule="atLeast"/>
        <w:ind w:firstLine="420" w:firstLineChars="200"/>
        <w:textAlignment w:val="baseline"/>
        <w:rPr>
          <w:rFonts w:asciiTheme="minorEastAsia" w:hAnsiTheme="minorEastAsia" w:eastAsiaTheme="minorEastAsia"/>
          <w:bCs/>
          <w:iCs/>
          <w:szCs w:val="21"/>
        </w:rPr>
      </w:pPr>
      <w:r>
        <w:rPr>
          <w:rFonts w:hint="eastAsia" w:asciiTheme="minorEastAsia" w:hAnsiTheme="minorEastAsia" w:eastAsiaTheme="minorEastAsia"/>
          <w:szCs w:val="21"/>
        </w:rPr>
        <w:t>4.考核支付表（详见表十）</w:t>
      </w:r>
    </w:p>
    <w:tbl>
      <w:tblPr>
        <w:tblStyle w:val="46"/>
        <w:tblW w:w="0" w:type="auto"/>
        <w:tblInd w:w="0" w:type="dxa"/>
        <w:tblLayout w:type="fixed"/>
        <w:tblCellMar>
          <w:top w:w="0" w:type="dxa"/>
          <w:left w:w="108" w:type="dxa"/>
          <w:bottom w:w="0" w:type="dxa"/>
          <w:right w:w="108" w:type="dxa"/>
        </w:tblCellMar>
      </w:tblPr>
      <w:tblGrid>
        <w:gridCol w:w="1236"/>
        <w:gridCol w:w="5300"/>
        <w:gridCol w:w="2126"/>
      </w:tblGrid>
      <w:tr>
        <w:tblPrEx>
          <w:tblCellMar>
            <w:top w:w="0" w:type="dxa"/>
            <w:left w:w="108" w:type="dxa"/>
            <w:bottom w:w="0" w:type="dxa"/>
            <w:right w:w="108"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表十</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考核支付表</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考核等级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考核标准及应用（基础分</w:t>
            </w:r>
            <w:r>
              <w:rPr>
                <w:rFonts w:asciiTheme="minorEastAsia" w:hAnsiTheme="minorEastAsia" w:eastAsiaTheme="minorEastAsia"/>
                <w:b/>
                <w:kern w:val="0"/>
                <w:szCs w:val="21"/>
                <w:lang w:bidi="ar"/>
              </w:rPr>
              <w:t>100</w:t>
            </w:r>
            <w:r>
              <w:rPr>
                <w:rFonts w:hint="eastAsia" w:asciiTheme="minorEastAsia" w:hAnsiTheme="minorEastAsia" w:eastAsiaTheme="minorEastAsia"/>
                <w:b/>
                <w:kern w:val="0"/>
                <w:szCs w:val="21"/>
                <w:lang w:bidi="ar"/>
              </w:rPr>
              <w:t>分）</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A</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hint="eastAsia" w:asciiTheme="minorEastAsia" w:hAnsiTheme="minorEastAsia" w:eastAsiaTheme="minorEastAsia"/>
                <w:kern w:val="0"/>
                <w:szCs w:val="21"/>
              </w:rPr>
              <w:t>综合考评分≥</w:t>
            </w:r>
            <w:r>
              <w:rPr>
                <w:rFonts w:asciiTheme="minorEastAsia" w:hAnsiTheme="minorEastAsia" w:eastAsiaTheme="minorEastAsia"/>
                <w:kern w:val="0"/>
                <w:szCs w:val="21"/>
              </w:rPr>
              <w:t>90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支付比例</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Cs/>
                <w:iCs/>
                <w:kern w:val="0"/>
                <w:szCs w:val="21"/>
                <w:lang w:bidi="ar"/>
              </w:rPr>
            </w:pP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B</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80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&lt;90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95%</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5%</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C</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70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&lt;80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90%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10%</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D</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60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&lt;70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20%</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E</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rPr>
              <w:t>综合考评分</w:t>
            </w:r>
            <w:r>
              <w:rPr>
                <w:rFonts w:asciiTheme="minorEastAsia" w:hAnsiTheme="minorEastAsia" w:eastAsiaTheme="minorEastAsia"/>
                <w:kern w:val="0"/>
                <w:szCs w:val="21"/>
              </w:rPr>
              <w:t>&lt;60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70%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30%</w:t>
            </w:r>
            <w:r>
              <w:rPr>
                <w:rFonts w:hint="eastAsia" w:asciiTheme="minorEastAsia" w:hAnsiTheme="minorEastAsia" w:eastAsiaTheme="minorEastAsia"/>
                <w:szCs w:val="21"/>
              </w:rPr>
              <w:t>金额</w:t>
            </w:r>
            <w:r>
              <w:rPr>
                <w:rFonts w:hint="eastAsia" w:asciiTheme="minorEastAsia" w:hAnsiTheme="minorEastAsia" w:eastAsiaTheme="minorEastAsia"/>
                <w:kern w:val="0"/>
                <w:szCs w:val="21"/>
              </w:rPr>
              <w:t>，赔偿相关损失，招标人有权解除合同。</w:t>
            </w:r>
          </w:p>
        </w:tc>
      </w:tr>
      <w:tr>
        <w:tblPrEx>
          <w:tblCellMar>
            <w:top w:w="0" w:type="dxa"/>
            <w:left w:w="108" w:type="dxa"/>
            <w:bottom w:w="0" w:type="dxa"/>
            <w:right w:w="108"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top"/>
              <w:rPr>
                <w:rFonts w:asciiTheme="minorEastAsia" w:hAnsiTheme="minorEastAsia" w:eastAsiaTheme="minorEastAsia"/>
                <w:bCs/>
                <w:iCs/>
                <w:kern w:val="0"/>
                <w:szCs w:val="21"/>
                <w:lang w:bidi="ar"/>
              </w:rPr>
            </w:pPr>
            <w:r>
              <w:rPr>
                <w:rFonts w:hint="eastAsia" w:asciiTheme="minorEastAsia" w:hAnsiTheme="minorEastAsia" w:eastAsiaTheme="minorEastAsia"/>
                <w:bCs/>
                <w:szCs w:val="21"/>
              </w:rPr>
              <w:t>当综合考评分</w:t>
            </w:r>
            <w:r>
              <w:rPr>
                <w:rFonts w:asciiTheme="minorEastAsia" w:hAnsiTheme="minorEastAsia" w:eastAsiaTheme="minorEastAsia"/>
                <w:bCs/>
                <w:szCs w:val="21"/>
              </w:rPr>
              <w:t>90</w:t>
            </w:r>
            <w:r>
              <w:rPr>
                <w:rFonts w:hint="eastAsia" w:asciiTheme="minorEastAsia" w:hAnsiTheme="minorEastAsia" w:eastAsiaTheme="minorEastAsia"/>
                <w:bCs/>
                <w:szCs w:val="21"/>
              </w:rPr>
              <w:t>分以上（含</w:t>
            </w:r>
            <w:r>
              <w:rPr>
                <w:rFonts w:asciiTheme="minorEastAsia" w:hAnsiTheme="minorEastAsia" w:eastAsiaTheme="minorEastAsia"/>
                <w:bCs/>
                <w:szCs w:val="21"/>
              </w:rPr>
              <w:t>90</w:t>
            </w:r>
            <w:r>
              <w:rPr>
                <w:rFonts w:hint="eastAsia" w:asciiTheme="minorEastAsia" w:hAnsiTheme="minorEastAsia" w:eastAsiaTheme="minorEastAsia"/>
                <w:bCs/>
                <w:szCs w:val="21"/>
              </w:rPr>
              <w:t>分）时，按照《日常管理考核标准》、《质量考核标准》、《运营公司承包商安全管理办法》进行考核，当综合考评分数在</w:t>
            </w:r>
            <w:r>
              <w:rPr>
                <w:rFonts w:asciiTheme="minorEastAsia" w:hAnsiTheme="minorEastAsia" w:eastAsiaTheme="minorEastAsia"/>
                <w:bCs/>
                <w:szCs w:val="21"/>
              </w:rPr>
              <w:t>90</w:t>
            </w:r>
            <w:r>
              <w:rPr>
                <w:rFonts w:hint="eastAsia" w:asciiTheme="minorEastAsia" w:hAnsiTheme="minorEastAsia" w:eastAsiaTheme="minorEastAsia"/>
                <w:bCs/>
                <w:szCs w:val="21"/>
              </w:rPr>
              <w:t>分以下时，按照此表扣除相对应的服务费，扣除费用不再支付。同时，供应商应遵守《日常管理考核标准》、《质量考核标准》、《运营公司承包商安全管理办法》相关规定。</w:t>
            </w:r>
          </w:p>
        </w:tc>
      </w:tr>
    </w:tbl>
    <w:p>
      <w:pPr>
        <w:pStyle w:val="3"/>
        <w:spacing w:line="560" w:lineRule="atLeast"/>
        <w:ind w:firstLine="420" w:firstLineChars="200"/>
        <w:rPr>
          <w:rFonts w:cs="楷体" w:asciiTheme="minorEastAsia" w:hAnsiTheme="minorEastAsia" w:eastAsiaTheme="minorEastAsia"/>
          <w:b w:val="0"/>
          <w:iCs/>
          <w:kern w:val="44"/>
          <w:sz w:val="21"/>
          <w:szCs w:val="21"/>
        </w:rPr>
      </w:pPr>
      <w:bookmarkStart w:id="105" w:name="_Toc36047394"/>
      <w:bookmarkStart w:id="106" w:name="_Toc4401285"/>
      <w:bookmarkStart w:id="107" w:name="_Toc5975463"/>
      <w:r>
        <w:rPr>
          <w:rFonts w:hint="eastAsia" w:cs="楷体" w:asciiTheme="minorEastAsia" w:hAnsiTheme="minorEastAsia" w:eastAsiaTheme="minorEastAsia"/>
          <w:b w:val="0"/>
          <w:bCs w:val="0"/>
          <w:sz w:val="21"/>
          <w:szCs w:val="21"/>
        </w:rPr>
        <w:t>九、其他（附件）</w:t>
      </w:r>
      <w:bookmarkEnd w:id="105"/>
      <w:bookmarkEnd w:id="106"/>
      <w:bookmarkEnd w:id="107"/>
    </w:p>
    <w:p>
      <w:pPr>
        <w:pStyle w:val="76"/>
        <w:spacing w:line="560" w:lineRule="atLeast"/>
        <w:outlineLvl w:val="1"/>
        <w:rPr>
          <w:rFonts w:asciiTheme="minorEastAsia" w:hAnsiTheme="minorEastAsia" w:eastAsiaTheme="minorEastAsia"/>
          <w:bCs/>
          <w:color w:val="auto"/>
        </w:rPr>
      </w:pPr>
      <w:bookmarkStart w:id="108" w:name="_Toc36047395"/>
      <w:bookmarkStart w:id="109" w:name="_Toc535218523"/>
      <w:bookmarkStart w:id="110" w:name="_Toc5975464"/>
      <w:bookmarkStart w:id="111" w:name="_Toc7894"/>
      <w:bookmarkStart w:id="112" w:name="_Toc26818"/>
      <w:bookmarkStart w:id="113" w:name="_Toc2633"/>
      <w:r>
        <w:rPr>
          <w:rFonts w:hint="eastAsia" w:asciiTheme="minorEastAsia" w:hAnsiTheme="minorEastAsia" w:eastAsiaTheme="minorEastAsia"/>
          <w:bCs/>
          <w:color w:val="auto"/>
        </w:rPr>
        <w:t>附件1：具体维护系统设备、软件清单</w:t>
      </w:r>
      <w:bookmarkEnd w:id="108"/>
      <w:bookmarkEnd w:id="109"/>
      <w:bookmarkEnd w:id="110"/>
      <w:bookmarkEnd w:id="111"/>
      <w:bookmarkEnd w:id="112"/>
      <w:bookmarkEnd w:id="113"/>
    </w:p>
    <w:tbl>
      <w:tblPr>
        <w:tblStyle w:val="46"/>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2052"/>
        <w:gridCol w:w="2840"/>
        <w:gridCol w:w="878"/>
        <w:gridCol w:w="1107"/>
        <w:gridCol w:w="709"/>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4"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序号</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名称</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规格型号</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原产地</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制造商</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单位</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
                <w:szCs w:val="21"/>
              </w:rPr>
              <w:t>清分中心系统设备设施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清分中心软件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Unix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7</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SAP Business Objects EnterprisePremium  Edition</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德国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SAP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消息中间件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  WEBSPHERE  MQ</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备份软件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  Tivoli  Storage  Manager</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防病毒软件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SYMC  ENDPOINT  PROTECTION  FORNETWORK  SERVERS  11.0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Symantec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1.10</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密钥管理子系统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票务管理子系统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运营管理子系统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数据交换子系统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开发测试子系统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ACC </w:t>
            </w:r>
            <w:r>
              <w:rPr>
                <w:rFonts w:hint="eastAsia" w:asciiTheme="minorEastAsia" w:hAnsiTheme="minorEastAsia" w:eastAsiaTheme="minorEastAsia"/>
                <w:szCs w:val="21"/>
              </w:rPr>
              <w:t>二次开发软件（含开发工具）</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、清分中心系统设备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Power  750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V7000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磁带库</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TS3200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  Database  EnterpriseEdition</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B24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刀片服务器机箱（含背板）</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BladeCenter  H</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运营管理服务器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通信服务器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监控服务器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2.10</w:t>
            </w:r>
          </w:p>
        </w:tc>
        <w:tc>
          <w:tcPr>
            <w:tcW w:w="205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测试服务器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2.11</w:t>
            </w:r>
          </w:p>
        </w:tc>
        <w:tc>
          <w:tcPr>
            <w:tcW w:w="205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4"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2.13</w:t>
            </w:r>
          </w:p>
        </w:tc>
        <w:tc>
          <w:tcPr>
            <w:tcW w:w="205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备用服务器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2.14</w:t>
            </w:r>
          </w:p>
        </w:tc>
        <w:tc>
          <w:tcPr>
            <w:tcW w:w="205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3</w:t>
            </w:r>
            <w:r>
              <w:rPr>
                <w:rFonts w:hint="eastAsia" w:asciiTheme="minorEastAsia" w:hAnsiTheme="minorEastAsia" w:eastAsiaTheme="minorEastAsia"/>
                <w:bCs/>
                <w:szCs w:val="21"/>
              </w:rPr>
              <w:t>、票务系统设备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TOKEN </w:t>
            </w:r>
            <w:r>
              <w:rPr>
                <w:rFonts w:hint="eastAsia" w:asciiTheme="minorEastAsia" w:hAnsiTheme="minorEastAsia" w:eastAsiaTheme="minorEastAsia"/>
                <w:szCs w:val="21"/>
              </w:rPr>
              <w:t>编码分拣机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JC-8200ES</w:t>
            </w:r>
            <w:r>
              <w:rPr>
                <w:rFonts w:hint="eastAsia" w:asciiTheme="minorEastAsia" w:hAnsiTheme="minorEastAsia" w:eastAsiaTheme="minorEastAsia"/>
                <w:szCs w:val="21"/>
              </w:rPr>
              <w:t>（</w:t>
            </w:r>
            <w:r>
              <w:rPr>
                <w:rFonts w:asciiTheme="minorEastAsia" w:hAnsiTheme="minorEastAsia" w:eastAsiaTheme="minorEastAsia"/>
                <w:szCs w:val="21"/>
              </w:rPr>
              <w:t>TK</w:t>
            </w:r>
            <w:r>
              <w:rPr>
                <w:rFonts w:hint="eastAsia"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CARD </w:t>
            </w:r>
            <w:r>
              <w:rPr>
                <w:rFonts w:hint="eastAsia" w:asciiTheme="minorEastAsia" w:hAnsiTheme="minorEastAsia" w:eastAsiaTheme="minorEastAsia"/>
                <w:szCs w:val="21"/>
              </w:rPr>
              <w:t>编码分拣机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JC-8200ES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车票清洁机（</w:t>
            </w:r>
            <w:r>
              <w:rPr>
                <w:rFonts w:asciiTheme="minorEastAsia" w:hAnsiTheme="minorEastAsia" w:eastAsiaTheme="minorEastAsia"/>
                <w:szCs w:val="21"/>
              </w:rPr>
              <w:t>TOKEN</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票卡清点机（</w:t>
            </w:r>
            <w:r>
              <w:rPr>
                <w:rFonts w:asciiTheme="minorEastAsia" w:hAnsiTheme="minorEastAsia" w:eastAsiaTheme="minorEastAsia"/>
                <w:szCs w:val="21"/>
              </w:rPr>
              <w:t>TOKEN</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HCS-3500AH</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日宝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票卡清点机（</w:t>
            </w:r>
            <w:r>
              <w:rPr>
                <w:rFonts w:asciiTheme="minorEastAsia" w:hAnsiTheme="minorEastAsia" w:eastAsiaTheme="minorEastAsia"/>
                <w:szCs w:val="21"/>
              </w:rPr>
              <w:t>CARD</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JC-3200C</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硬件加密机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SJL06E</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江南科友</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4</w:t>
            </w:r>
            <w:r>
              <w:rPr>
                <w:rFonts w:hint="eastAsia" w:asciiTheme="minorEastAsia" w:hAnsiTheme="minorEastAsia" w:eastAsiaTheme="minorEastAsia"/>
                <w:bCs/>
                <w:szCs w:val="21"/>
              </w:rPr>
              <w:t>、网络设备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S7503E-S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数据交换子系统交换机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S7503E-S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票务管理子系统交换机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开发测试子系统交换机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系统管理子系统交换机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管理交换机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路由器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SR6604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防火墙</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SecPath  U200-A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5</w:t>
            </w:r>
            <w:r>
              <w:rPr>
                <w:rFonts w:hint="eastAsia" w:asciiTheme="minorEastAsia" w:hAnsiTheme="minorEastAsia" w:eastAsiaTheme="minorEastAsia"/>
                <w:bCs/>
                <w:szCs w:val="21"/>
              </w:rPr>
              <w:t>、其他设备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记名卡打印机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zebra P330i</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斑马</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信号系统、自动化系统设备设施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7943"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号线信号系统服务器</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6.1</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数据库服务器小型机</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P750</w:t>
            </w:r>
          </w:p>
        </w:tc>
        <w:tc>
          <w:tcPr>
            <w:tcW w:w="87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6.2</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DS5020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6.3</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HMC</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X3550 M4/1723-17X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10g</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集群</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7943"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号线自动化设备（</w:t>
            </w:r>
            <w:r>
              <w:rPr>
                <w:rFonts w:asciiTheme="minorEastAsia" w:hAnsiTheme="minorEastAsia" w:eastAsiaTheme="minorEastAsia"/>
                <w:szCs w:val="21"/>
              </w:rPr>
              <w:t>K320</w:t>
            </w:r>
            <w:r>
              <w:rPr>
                <w:rFonts w:hint="eastAsia"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实时服务器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X3850 X5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历史服务器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X3850 X5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r>
              <w:rPr>
                <w:rFonts w:asciiTheme="minorEastAsia" w:hAnsiTheme="minorEastAsia" w:eastAsiaTheme="minorEastAsia"/>
                <w:szCs w:val="21"/>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r>
              <w:rPr>
                <w:rFonts w:asciiTheme="minorEastAsia" w:hAnsiTheme="minorEastAsia" w:eastAsiaTheme="minorEastAsia"/>
                <w:szCs w:val="21"/>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DS3512</w:t>
            </w: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300GB</w:t>
            </w:r>
            <w:r>
              <w:rPr>
                <w:rFonts w:hint="eastAsia"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门禁服务器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X3650 M4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Linux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ISCS</w:t>
            </w:r>
            <w:r>
              <w:rPr>
                <w:rFonts w:hint="eastAsia" w:asciiTheme="minorEastAsia" w:hAnsiTheme="minorEastAsia" w:eastAsiaTheme="minorEastAsia"/>
                <w:szCs w:val="21"/>
              </w:rPr>
              <w:t>历史数据库</w:t>
            </w:r>
            <w:r>
              <w:rPr>
                <w:rFonts w:asciiTheme="minorEastAsia" w:hAnsiTheme="minorEastAsia" w:eastAsiaTheme="minorEastAsia"/>
                <w:szCs w:val="21"/>
              </w:rPr>
              <w:t>microsoft sql server 2008 R2 (64</w:t>
            </w:r>
            <w:r>
              <w:rPr>
                <w:rFonts w:hint="eastAsia" w:asciiTheme="minorEastAsia" w:hAnsiTheme="minorEastAsia" w:eastAsiaTheme="minorEastAsia"/>
                <w:szCs w:val="21"/>
              </w:rPr>
              <w:t>位</w:t>
            </w:r>
            <w:r>
              <w:rPr>
                <w:rFonts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虚拟数据管理平台</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VMware ESXI 5.1.0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VMware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7.10</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B24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号线自动化设备（</w:t>
            </w:r>
            <w:r>
              <w:rPr>
                <w:rFonts w:asciiTheme="minorEastAsia" w:hAnsiTheme="minorEastAsia" w:eastAsiaTheme="minorEastAsia"/>
                <w:szCs w:val="21"/>
              </w:rPr>
              <w:t>K322</w:t>
            </w: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8.1</w:t>
            </w:r>
          </w:p>
        </w:tc>
        <w:tc>
          <w:tcPr>
            <w:tcW w:w="2052"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历史服务器</w:t>
            </w:r>
          </w:p>
        </w:tc>
        <w:tc>
          <w:tcPr>
            <w:tcW w:w="2840"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 DL580 Gen8</w:t>
            </w:r>
          </w:p>
        </w:tc>
        <w:tc>
          <w:tcPr>
            <w:tcW w:w="87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 8/24 FC</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 MSA204016</w:t>
            </w:r>
            <w:r>
              <w:rPr>
                <w:rFonts w:hint="eastAsia" w:asciiTheme="minorEastAsia" w:hAnsiTheme="minorEastAsia" w:eastAsiaTheme="minorEastAsia"/>
                <w:szCs w:val="21"/>
              </w:rPr>
              <w:t>个</w:t>
            </w:r>
            <w:r>
              <w:rPr>
                <w:rFonts w:asciiTheme="minorEastAsia" w:hAnsiTheme="minorEastAsia" w:eastAsiaTheme="minorEastAsia"/>
                <w:szCs w:val="21"/>
              </w:rPr>
              <w:t xml:space="preserve">HP MSA 300GB 6G SAS 15K 2.5-inch </w:t>
            </w:r>
            <w:r>
              <w:rPr>
                <w:rFonts w:hint="eastAsia" w:asciiTheme="minorEastAsia" w:hAnsiTheme="minorEastAsia" w:eastAsiaTheme="minorEastAsia"/>
                <w:szCs w:val="21"/>
              </w:rPr>
              <w:t>双端口热插拔硬盘</w:t>
            </w:r>
            <w:r>
              <w:rPr>
                <w:rFonts w:asciiTheme="minorEastAsia" w:hAnsiTheme="minorEastAsia" w:eastAsiaTheme="minorEastAsia"/>
                <w:szCs w:val="21"/>
              </w:rPr>
              <w:t>/2</w:t>
            </w:r>
            <w:r>
              <w:rPr>
                <w:rFonts w:hint="eastAsia" w:asciiTheme="minorEastAsia" w:hAnsiTheme="minorEastAsia" w:eastAsiaTheme="minorEastAsia"/>
                <w:szCs w:val="21"/>
              </w:rPr>
              <w:t>个</w:t>
            </w:r>
            <w:r>
              <w:rPr>
                <w:rFonts w:asciiTheme="minorEastAsia" w:hAnsiTheme="minorEastAsia" w:eastAsiaTheme="minorEastAsia"/>
                <w:szCs w:val="21"/>
              </w:rPr>
              <w:t xml:space="preserve">HP MSA 2040 8Gb </w:t>
            </w:r>
            <w:r>
              <w:rPr>
                <w:rFonts w:hint="eastAsia" w:asciiTheme="minorEastAsia" w:hAnsiTheme="minorEastAsia" w:eastAsiaTheme="minorEastAsia"/>
                <w:szCs w:val="21"/>
              </w:rPr>
              <w:t>多模光纤</w:t>
            </w:r>
            <w:r>
              <w:rPr>
                <w:rFonts w:asciiTheme="minorEastAsia" w:hAnsiTheme="minorEastAsia" w:eastAsiaTheme="minorEastAsia"/>
                <w:szCs w:val="21"/>
              </w:rPr>
              <w:t xml:space="preserve"> SFP+ </w:t>
            </w:r>
            <w:r>
              <w:rPr>
                <w:rFonts w:hint="eastAsia" w:asciiTheme="minorEastAsia" w:hAnsiTheme="minorEastAsia" w:eastAsiaTheme="minorEastAsia"/>
                <w:szCs w:val="21"/>
              </w:rPr>
              <w:t>模块</w:t>
            </w:r>
            <w:r>
              <w:rPr>
                <w:rFonts w:asciiTheme="minorEastAsia" w:hAnsiTheme="minorEastAsia" w:eastAsiaTheme="minorEastAsia"/>
                <w:szCs w:val="21"/>
              </w:rPr>
              <w:t xml:space="preserve"> (4</w:t>
            </w:r>
            <w:r>
              <w:rPr>
                <w:rFonts w:hint="eastAsia" w:asciiTheme="minorEastAsia" w:hAnsiTheme="minorEastAsia" w:eastAsiaTheme="minorEastAsia"/>
                <w:szCs w:val="21"/>
              </w:rPr>
              <w:t>个</w:t>
            </w:r>
            <w:r>
              <w:rPr>
                <w:rFonts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门禁服务器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 DL380p Gen8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2012</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MySQL</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8652"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9</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号线信号系统服务器</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P950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Storwize V5000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HMC</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X3550 M4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10g</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集群</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bl>
    <w:p>
      <w:pPr>
        <w:pStyle w:val="76"/>
        <w:spacing w:line="560" w:lineRule="atLeast"/>
        <w:outlineLvl w:val="1"/>
        <w:rPr>
          <w:rFonts w:asciiTheme="minorEastAsia" w:hAnsiTheme="minorEastAsia" w:eastAsiaTheme="minorEastAsia"/>
          <w:bCs/>
          <w:iCs/>
          <w:color w:val="auto"/>
        </w:rPr>
      </w:pPr>
      <w:bookmarkStart w:id="114" w:name="_Toc5975465"/>
      <w:bookmarkStart w:id="115" w:name="_Toc36047396"/>
      <w:r>
        <w:rPr>
          <w:rFonts w:hint="eastAsia" w:asciiTheme="minorEastAsia" w:hAnsiTheme="minorEastAsia" w:eastAsiaTheme="minorEastAsia"/>
          <w:bCs/>
          <w:color w:val="auto"/>
        </w:rPr>
        <w:t>附件2: 《易损耗备件清单</w:t>
      </w:r>
      <w:bookmarkEnd w:id="114"/>
      <w:r>
        <w:rPr>
          <w:rFonts w:hint="eastAsia" w:asciiTheme="minorEastAsia" w:hAnsiTheme="minorEastAsia" w:eastAsiaTheme="minorEastAsia"/>
          <w:bCs/>
          <w:color w:val="auto"/>
        </w:rPr>
        <w:t>》（包括但不限于）</w:t>
      </w:r>
      <w:bookmarkEnd w:id="115"/>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3402"/>
        <w:gridCol w:w="143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序号</w:t>
            </w:r>
          </w:p>
        </w:tc>
        <w:tc>
          <w:tcPr>
            <w:tcW w:w="1701"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物资名称</w:t>
            </w:r>
          </w:p>
        </w:tc>
        <w:tc>
          <w:tcPr>
            <w:tcW w:w="3402"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规格型号</w:t>
            </w:r>
          </w:p>
        </w:tc>
        <w:tc>
          <w:tcPr>
            <w:tcW w:w="1438"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品牌</w:t>
            </w:r>
          </w:p>
        </w:tc>
        <w:tc>
          <w:tcPr>
            <w:tcW w:w="1702"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w:t>
            </w:r>
            <w:r>
              <w:rPr>
                <w:rFonts w:asciiTheme="minorEastAsia" w:hAnsiTheme="minorEastAsia" w:eastAsiaTheme="minorEastAsia"/>
                <w:szCs w:val="21"/>
              </w:rPr>
              <w:t>.IBM.HS22 Windows</w:t>
            </w:r>
            <w:r>
              <w:rPr>
                <w:rFonts w:hint="eastAsia" w:asciiTheme="minorEastAsia" w:hAnsiTheme="minorEastAsia" w:eastAsiaTheme="minorEastAsia"/>
                <w:szCs w:val="21"/>
              </w:rPr>
              <w:t>刀片服务器</w:t>
            </w:r>
            <w:r>
              <w:rPr>
                <w:rFonts w:asciiTheme="minorEastAsia" w:hAnsiTheme="minorEastAsia" w:eastAsiaTheme="minorEastAsia"/>
                <w:szCs w:val="21"/>
              </w:rPr>
              <w:t>.</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PS900</w:t>
            </w:r>
            <w:r>
              <w:rPr>
                <w:rFonts w:hint="eastAsia" w:asciiTheme="minorEastAsia" w:hAnsiTheme="minorEastAsia" w:eastAsiaTheme="minorEastAsia"/>
                <w:szCs w:val="21"/>
              </w:rPr>
              <w:t>服务器硬盘</w:t>
            </w:r>
            <w:r>
              <w:rPr>
                <w:rFonts w:asciiTheme="minorEastAsia" w:hAnsiTheme="minorEastAsia" w:eastAsiaTheme="minorEastAsia"/>
                <w:szCs w:val="21"/>
              </w:rPr>
              <w:t xml:space="preserve"> 6Gb SAS FRU 90Y8898 300GB</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V9000  600GB 10K 6Gb SAS FRU 85Y5864</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Power950</w:t>
            </w:r>
            <w:r>
              <w:rPr>
                <w:rFonts w:hint="eastAsia" w:asciiTheme="minorEastAsia" w:hAnsiTheme="minorEastAsia" w:eastAsiaTheme="minorEastAsia"/>
                <w:szCs w:val="21"/>
              </w:rPr>
              <w:t>硬盘</w:t>
            </w:r>
            <w:r>
              <w:rPr>
                <w:rFonts w:asciiTheme="minorEastAsia" w:hAnsiTheme="minorEastAsia" w:eastAsiaTheme="minorEastAsia"/>
                <w:szCs w:val="21"/>
              </w:rPr>
              <w:t xml:space="preserve">    300GB 15K RPM SAS SFF Disk Drive (AIX/Linux)</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磁盘阵列电源</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V9000</w:t>
            </w:r>
            <w:r>
              <w:rPr>
                <w:rFonts w:hint="eastAsia" w:asciiTheme="minorEastAsia" w:hAnsiTheme="minorEastAsia" w:eastAsiaTheme="minorEastAsia"/>
                <w:szCs w:val="21"/>
              </w:rPr>
              <w:t>电源，</w:t>
            </w:r>
            <w:r>
              <w:rPr>
                <w:rFonts w:asciiTheme="minorEastAsia" w:hAnsiTheme="minorEastAsia" w:eastAsiaTheme="minorEastAsia"/>
                <w:szCs w:val="21"/>
              </w:rPr>
              <w:t xml:space="preserve">964W Power Supply Unit,Fru(85Y5849) </w:t>
            </w:r>
            <w:r>
              <w:rPr>
                <w:rFonts w:hint="eastAsia" w:asciiTheme="minorEastAsia" w:hAnsiTheme="minorEastAsia" w:eastAsiaTheme="minorEastAsia"/>
                <w:szCs w:val="21"/>
              </w:rPr>
              <w:t>，</w:t>
            </w:r>
            <w:r>
              <w:rPr>
                <w:rFonts w:asciiTheme="minorEastAsia" w:hAnsiTheme="minorEastAsia" w:eastAsiaTheme="minorEastAsia"/>
                <w:szCs w:val="21"/>
              </w:rPr>
              <w:t>SP-PCM2-HE964-AC-HEP</w:t>
            </w:r>
            <w:r>
              <w:rPr>
                <w:rFonts w:asciiTheme="minorEastAsia" w:hAnsiTheme="minorEastAsia" w:eastAsiaTheme="minorEastAsia"/>
                <w:szCs w:val="21"/>
              </w:rPr>
              <w:tab/>
            </w:r>
            <w:r>
              <w:rPr>
                <w:rFonts w:asciiTheme="minorEastAsia" w:hAnsiTheme="minorEastAsia" w:eastAsiaTheme="minorEastAsia"/>
                <w:szCs w:val="21"/>
              </w:rPr>
              <w:t xml:space="preserve"> SPAXRTX-09AG</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bl>
    <w:p>
      <w:pPr>
        <w:pStyle w:val="76"/>
        <w:spacing w:line="560" w:lineRule="atLeast"/>
        <w:outlineLvl w:val="1"/>
        <w:rPr>
          <w:rFonts w:asciiTheme="minorEastAsia" w:hAnsiTheme="minorEastAsia" w:eastAsiaTheme="minorEastAsia"/>
          <w:bCs/>
          <w:iCs/>
          <w:color w:val="auto"/>
        </w:rPr>
      </w:pPr>
      <w:bookmarkStart w:id="116" w:name="_Toc5975466"/>
      <w:bookmarkStart w:id="117" w:name="_Toc4401284"/>
      <w:bookmarkStart w:id="118" w:name="_Toc36047397"/>
      <w:r>
        <w:rPr>
          <w:rFonts w:hint="eastAsia" w:asciiTheme="minorEastAsia" w:hAnsiTheme="minorEastAsia" w:eastAsiaTheme="minorEastAsia"/>
          <w:bCs/>
          <w:color w:val="auto"/>
        </w:rPr>
        <w:t>附件3：《日常管理考核标准</w:t>
      </w:r>
      <w:bookmarkEnd w:id="116"/>
      <w:bookmarkEnd w:id="117"/>
      <w:r>
        <w:rPr>
          <w:rFonts w:hint="eastAsia" w:asciiTheme="minorEastAsia" w:hAnsiTheme="minorEastAsia" w:eastAsiaTheme="minorEastAsia"/>
          <w:bCs/>
          <w:color w:val="auto"/>
        </w:rPr>
        <w:t>》</w:t>
      </w:r>
      <w:bookmarkEnd w:id="118"/>
    </w:p>
    <w:tbl>
      <w:tblPr>
        <w:tblStyle w:val="46"/>
        <w:tblW w:w="9516" w:type="dxa"/>
        <w:jc w:val="center"/>
        <w:tblLayout w:type="fixed"/>
        <w:tblCellMar>
          <w:top w:w="0" w:type="dxa"/>
          <w:left w:w="108" w:type="dxa"/>
          <w:bottom w:w="0" w:type="dxa"/>
          <w:right w:w="108" w:type="dxa"/>
        </w:tblCellMar>
      </w:tblPr>
      <w:tblGrid>
        <w:gridCol w:w="1080"/>
        <w:gridCol w:w="4465"/>
        <w:gridCol w:w="1985"/>
        <w:gridCol w:w="1986"/>
      </w:tblGrid>
      <w:tr>
        <w:tblPrEx>
          <w:tblCellMar>
            <w:top w:w="0" w:type="dxa"/>
            <w:left w:w="108" w:type="dxa"/>
            <w:bottom w:w="0" w:type="dxa"/>
            <w:right w:w="108" w:type="dxa"/>
          </w:tblCellMar>
        </w:tblPrEx>
        <w:trPr>
          <w:trHeight w:val="510" w:hRule="atLeast"/>
          <w:jc w:val="center"/>
        </w:trPr>
        <w:tc>
          <w:tcPr>
            <w:tcW w:w="95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日常管理考核扣分标准表</w:t>
            </w:r>
          </w:p>
        </w:tc>
      </w:tr>
      <w:tr>
        <w:tblPrEx>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44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考核内容</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处罚结果</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kern w:val="0"/>
                <w:szCs w:val="21"/>
              </w:rPr>
            </w:pPr>
          </w:p>
        </w:tc>
        <w:tc>
          <w:tcPr>
            <w:tcW w:w="44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asciiTheme="minorEastAsia" w:hAnsiTheme="minorEastAsia" w:eastAsiaTheme="minorEastAsia"/>
                <w:szCs w:val="21"/>
              </w:rPr>
              <w:t>99.7%</w:t>
            </w:r>
            <w:r>
              <w:rPr>
                <w:rFonts w:hint="eastAsia" w:asciiTheme="minorEastAsia" w:hAnsiTheme="minorEastAsia" w:eastAsiaTheme="minorEastAsia"/>
                <w:kern w:val="0"/>
                <w:szCs w:val="21"/>
                <w:lang w:bidi="ar"/>
              </w:rPr>
              <w:t>≤设备可靠度指标</w:t>
            </w:r>
            <w:r>
              <w:rPr>
                <w:rFonts w:asciiTheme="minorEastAsia" w:hAnsiTheme="minorEastAsia" w:eastAsiaTheme="minorEastAsia"/>
                <w:szCs w:val="21"/>
              </w:rPr>
              <w:t>&lt;99.8%</w:t>
            </w:r>
            <w:r>
              <w:rPr>
                <w:rFonts w:hint="eastAsia" w:asciiTheme="minorEastAsia" w:hAnsiTheme="minorEastAsia" w:eastAsiaTheme="minorEastAsia"/>
                <w:szCs w:val="21"/>
              </w:rPr>
              <w:t>。</w:t>
            </w:r>
          </w:p>
          <w:p>
            <w:pPr>
              <w:rPr>
                <w:rFonts w:asciiTheme="minorEastAsia" w:hAnsiTheme="minorEastAsia" w:eastAsiaTheme="minorEastAsia"/>
                <w:bCs/>
                <w:iCs/>
                <w:szCs w:val="21"/>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kern w:val="0"/>
                <w:szCs w:val="21"/>
              </w:rPr>
              <w:t>低于指标扣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设备可靠度指标算法</w:t>
            </w:r>
            <w:r>
              <w:rPr>
                <w:rFonts w:asciiTheme="minorEastAsia" w:hAnsiTheme="minorEastAsia" w:eastAsiaTheme="minorEastAsia"/>
                <w:szCs w:val="21"/>
              </w:rPr>
              <w:t xml:space="preserve">: </w:t>
            </w:r>
            <w:r>
              <w:rPr>
                <w:rFonts w:hint="eastAsia" w:asciiTheme="minorEastAsia" w:hAnsiTheme="minorEastAsia" w:eastAsiaTheme="minorEastAsia"/>
                <w:szCs w:val="21"/>
              </w:rPr>
              <w:t>（设备总运行时间</w:t>
            </w:r>
            <w:r>
              <w:rPr>
                <w:rFonts w:asciiTheme="minorEastAsia" w:hAnsiTheme="minorEastAsia" w:eastAsiaTheme="minorEastAsia"/>
                <w:szCs w:val="21"/>
              </w:rPr>
              <w:t>-</w:t>
            </w:r>
            <w:r>
              <w:rPr>
                <w:rFonts w:hint="eastAsia" w:asciiTheme="minorEastAsia" w:hAnsiTheme="minorEastAsia" w:eastAsiaTheme="minorEastAsia"/>
                <w:szCs w:val="21"/>
              </w:rPr>
              <w:t>设备总停用时间）</w:t>
            </w:r>
            <w:r>
              <w:rPr>
                <w:rFonts w:asciiTheme="minorEastAsia" w:hAnsiTheme="minorEastAsia" w:eastAsiaTheme="minorEastAsia"/>
                <w:szCs w:val="21"/>
              </w:rPr>
              <w:t>/</w:t>
            </w:r>
            <w:r>
              <w:rPr>
                <w:rFonts w:hint="eastAsia" w:asciiTheme="minorEastAsia" w:hAnsiTheme="minorEastAsia" w:eastAsiaTheme="minorEastAsia"/>
                <w:szCs w:val="21"/>
              </w:rPr>
              <w:t>设备总运行时间</w:t>
            </w:r>
            <w:r>
              <w:rPr>
                <w:rFonts w:asciiTheme="minorEastAsia" w:hAnsiTheme="minorEastAsia" w:eastAsiaTheme="minorEastAsia"/>
                <w:szCs w:val="21"/>
              </w:rPr>
              <w:t>*100%</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投标人人为原因直接或间接导致清分中心设备交易无法正常传送，参数文件无法下发至线路中心。</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如超过此标准以质量考核表标表为准。</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投标人人为原因直接或间接导致清分中心数据无法解析、入库、备份。</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667"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投标人未按要求完成设备系统故障处理、杀毒，软件程序测试，参数版本管理、升级等工作。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投标人未及时备份或及时解决备份软件工作不稳定情况造成</w:t>
            </w:r>
            <w:r>
              <w:rPr>
                <w:rFonts w:asciiTheme="minorEastAsia" w:hAnsiTheme="minorEastAsia" w:eastAsiaTheme="minorEastAsia"/>
                <w:kern w:val="0"/>
                <w:szCs w:val="21"/>
              </w:rPr>
              <w:t>3</w:t>
            </w:r>
            <w:r>
              <w:rPr>
                <w:rFonts w:hint="eastAsia" w:asciiTheme="minorEastAsia" w:hAnsiTheme="minorEastAsia" w:eastAsiaTheme="minorEastAsia"/>
                <w:kern w:val="0"/>
                <w:szCs w:val="21"/>
              </w:rPr>
              <w:t>日及以上天数相关数据不能实时备份。</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次，在此基础上每增加一天扣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因投标人维护不当导致清分中心系统业务故障但未超过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分钟的故障。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投标人未按合同要求定期驻场。</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人次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天</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招标人组织的考试，投标人人员不合格。</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人次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投标人因故障误判及其它原因浪费招标人材料或未按招标人的相关规定处置应属于招标人的材料、备件、废料以及多余材料的行为，除投标人按价赔偿招标人损失外。</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招标人对投标人视情节严重情况扣</w:t>
            </w:r>
            <w:r>
              <w:rPr>
                <w:rFonts w:asciiTheme="minorEastAsia" w:hAnsiTheme="minorEastAsia" w:eastAsiaTheme="minorEastAsia"/>
                <w:kern w:val="0"/>
                <w:szCs w:val="21"/>
              </w:rPr>
              <w:t>10-20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投标人在招标人工作区域或公共区域应该注重仪表仪容及形象，发现工装不整、任意躺坐、嬉戏打闹、大声喧哗的。</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分／人</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投标人应在招标人工作区域或公共区域注意卫生，发现乱扔垃圾、饮食、吸烟、随地吐痰。</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分／人</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投标人未按期向招标人提交各级检修计划。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投标人检修计划未按招标人规定和要求编制。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每处</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投标人未征得招标人同意私自调整检修计划。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投标人未按检修计划如期完成当日检修作业且未向招标人报备。</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每月每类设备检修未达到完成率</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（按设备台数计算）。</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次，每下降</w:t>
            </w:r>
            <w:r>
              <w:rPr>
                <w:rFonts w:asciiTheme="minorEastAsia" w:hAnsiTheme="minorEastAsia" w:eastAsiaTheme="minorEastAsia"/>
                <w:kern w:val="0"/>
                <w:szCs w:val="21"/>
              </w:rPr>
              <w:t>1</w:t>
            </w:r>
            <w:r>
              <w:rPr>
                <w:rFonts w:hint="eastAsia" w:asciiTheme="minorEastAsia" w:hAnsiTheme="minorEastAsia" w:eastAsiaTheme="minorEastAsia"/>
                <w:kern w:val="0"/>
                <w:szCs w:val="21"/>
              </w:rPr>
              <w:t>个百分点另扣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投标人违反招标人工作流程、违反操作规范、安全管理等相关管理规定实施检修作业。</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投标人未按照招标人检修规程、作业标准书、检修作业工艺等检修标准实施检修作业或质量达不到标准要求。</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检修过程中发生投标人人为损坏设备部件，除赔偿原部件费用外并进行考核扣分。</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投标人在巡检、检修过程中发现设备、环境异常情况或安全隐患未及时通知招标人和处理。</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投标人未及时整改招标人检查发现的设备遗漏检修等检修质量问题。</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投标人检修设备后出现与检修项目有关的设备故障等质量问题。</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投标人检修工作完成后，因检修操作造成现场设备无法正常使用。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投标人设备检修完成后未检查试验或观察设备能否正常使用。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投标人检修过程中未正确使用工器具，及造成设备损坏。</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投标人巡检记录、检修记录填写不完整、错误、字迹潦草不清。</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处</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投标人巡检记录、检修记录未按计划填写（视为该项作业未做）。</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投标人在收到招标人整改通知后，未在三日内向招标人反馈整改结果。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每超</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投标人在运营时间内故障响应≥</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分钟，非运营时间内故障响应≥</w:t>
            </w:r>
            <w:r>
              <w:rPr>
                <w:rFonts w:asciiTheme="minorEastAsia" w:hAnsiTheme="minorEastAsia" w:eastAsiaTheme="minorEastAsia"/>
                <w:kern w:val="0"/>
                <w:szCs w:val="21"/>
              </w:rPr>
              <w:t>60</w:t>
            </w:r>
            <w:r>
              <w:rPr>
                <w:rFonts w:hint="eastAsia" w:asciiTheme="minorEastAsia" w:hAnsiTheme="minorEastAsia" w:eastAsiaTheme="minorEastAsia"/>
                <w:kern w:val="0"/>
                <w:szCs w:val="21"/>
              </w:rPr>
              <w:t>分钟。</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次，超出扣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分钟</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如超过此标准以质量考核表标准为准。</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产生跨日故障（≥</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8</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台，超出加扣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故障维修时间＜</w:t>
            </w:r>
            <w:r>
              <w:rPr>
                <w:rFonts w:asciiTheme="minorEastAsia" w:hAnsiTheme="minorEastAsia" w:eastAsiaTheme="minorEastAsia"/>
                <w:kern w:val="0"/>
                <w:szCs w:val="21"/>
              </w:rPr>
              <w:t>12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12</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故障维修时间＜</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投标人原因造成故障修复时间＜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因故障隐患或模块零件磨损、老化未及时更换，造成设备反复出现故障。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次，在此基础上每增加</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维修设备时由于投标人造成该设备停用。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投标人维修工作结束后没有及时正确复原设备状态，如线缆未正确绑扎、缺少螺丝、紧固件、螺丝松动等。</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投标人巡检报告弄虚作假。</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投标人对故障分析报告中故障现象、故障原因描述不清，故障处理整改措施不到位。</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投标人设备更换部件，未及时在设备履历本记录。</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易损耗件到达维修现场时间＜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投标人未按合同要求完成对招标人的培训计划。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bl>
    <w:p>
      <w:pPr>
        <w:rPr>
          <w:rFonts w:asciiTheme="minorEastAsia" w:hAnsiTheme="minorEastAsia" w:eastAsiaTheme="minorEastAsia"/>
          <w:b/>
          <w:bCs/>
          <w:iCs/>
          <w:kern w:val="0"/>
          <w:sz w:val="32"/>
          <w:szCs w:val="21"/>
        </w:rPr>
      </w:pPr>
    </w:p>
    <w:p>
      <w:pPr>
        <w:widowControl/>
        <w:jc w:val="left"/>
        <w:rPr>
          <w:rFonts w:cs="宋体" w:asciiTheme="minorEastAsia" w:hAnsiTheme="minorEastAsia" w:eastAsiaTheme="minorEastAsia"/>
          <w:b/>
          <w:kern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第五章  合同格式条款</w:t>
      </w:r>
      <w:bookmarkEnd w:id="19"/>
    </w:p>
    <w:p>
      <w:pPr>
        <w:spacing w:line="360" w:lineRule="auto"/>
        <w:jc w:val="right"/>
        <w:rPr>
          <w:rFonts w:cs="仿宋" w:asciiTheme="minorEastAsia" w:hAnsiTheme="minorEastAsia" w:eastAsiaTheme="minorEastAsia"/>
          <w:b/>
          <w:sz w:val="24"/>
        </w:rPr>
      </w:pPr>
    </w:p>
    <w:p>
      <w:pPr>
        <w:spacing w:line="360" w:lineRule="auto"/>
        <w:jc w:val="right"/>
        <w:rPr>
          <w:rFonts w:cs="仿宋" w:asciiTheme="minorEastAsia" w:hAnsiTheme="minorEastAsia" w:eastAsiaTheme="minorEastAsia"/>
          <w:b/>
          <w:sz w:val="24"/>
        </w:rPr>
      </w:pPr>
    </w:p>
    <w:p>
      <w:pPr>
        <w:spacing w:line="360" w:lineRule="auto"/>
        <w:jc w:val="right"/>
        <w:rPr>
          <w:rFonts w:cs="仿宋" w:asciiTheme="minorEastAsia" w:hAnsiTheme="minorEastAsia" w:eastAsiaTheme="minorEastAsia"/>
          <w:b/>
          <w:sz w:val="52"/>
        </w:rPr>
      </w:pPr>
      <w:r>
        <w:rPr>
          <w:rFonts w:hint="eastAsia" w:cs="仿宋" w:asciiTheme="minorEastAsia" w:hAnsiTheme="minorEastAsia" w:eastAsiaTheme="minorEastAsia"/>
          <w:b/>
          <w:sz w:val="24"/>
        </w:rPr>
        <w:t>合同编号：</w:t>
      </w:r>
      <w:r>
        <w:rPr>
          <w:rFonts w:hint="eastAsia" w:cs="仿宋" w:asciiTheme="minorEastAsia" w:hAnsiTheme="minorEastAsia" w:eastAsiaTheme="minorEastAsia"/>
          <w:sz w:val="24"/>
          <w:u w:val="single"/>
        </w:rPr>
        <w:t xml:space="preserve">       合同【20   】   号</w:t>
      </w:r>
    </w:p>
    <w:p>
      <w:pPr>
        <w:snapToGrid w:val="0"/>
        <w:spacing w:line="700" w:lineRule="exact"/>
        <w:jc w:val="center"/>
        <w:rPr>
          <w:rFonts w:cs="仿宋" w:asciiTheme="minorEastAsia" w:hAnsiTheme="minorEastAsia" w:eastAsiaTheme="minorEastAsia"/>
          <w:b/>
          <w:sz w:val="28"/>
          <w:szCs w:val="28"/>
        </w:rPr>
      </w:pPr>
    </w:p>
    <w:p>
      <w:pPr>
        <w:tabs>
          <w:tab w:val="left" w:pos="3105"/>
        </w:tabs>
        <w:snapToGrid w:val="0"/>
        <w:spacing w:line="70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ab/>
      </w:r>
    </w:p>
    <w:p>
      <w:pPr>
        <w:snapToGrid w:val="0"/>
        <w:spacing w:line="700" w:lineRule="exact"/>
        <w:jc w:val="center"/>
        <w:rPr>
          <w:rFonts w:cs="仿宋" w:asciiTheme="minorEastAsia" w:hAnsiTheme="minorEastAsia" w:eastAsiaTheme="minorEastAsia"/>
          <w:b/>
          <w:sz w:val="28"/>
          <w:szCs w:val="28"/>
        </w:rPr>
      </w:pPr>
    </w:p>
    <w:p>
      <w:pPr>
        <w:spacing w:line="360" w:lineRule="auto"/>
        <w:jc w:val="center"/>
        <w:rPr>
          <w:rFonts w:cs="仿宋" w:asciiTheme="minorEastAsia" w:hAnsiTheme="minorEastAsia" w:eastAsiaTheme="minorEastAsia"/>
          <w:b/>
          <w:spacing w:val="20"/>
          <w:sz w:val="28"/>
          <w:szCs w:val="28"/>
        </w:rPr>
      </w:pPr>
    </w:p>
    <w:p>
      <w:pPr>
        <w:spacing w:line="360" w:lineRule="auto"/>
        <w:jc w:val="center"/>
        <w:rPr>
          <w:rFonts w:cs="仿宋" w:asciiTheme="minorEastAsia" w:hAnsiTheme="minorEastAsia" w:eastAsiaTheme="minorEastAsia"/>
          <w:b/>
          <w:spacing w:val="20"/>
          <w:sz w:val="52"/>
          <w:szCs w:val="52"/>
        </w:rPr>
      </w:pPr>
      <w:r>
        <w:rPr>
          <w:rFonts w:hint="eastAsia" w:cs="仿宋" w:asciiTheme="minorEastAsia" w:hAnsiTheme="minorEastAsia" w:eastAsiaTheme="minorEastAsia"/>
          <w:b/>
          <w:spacing w:val="20"/>
          <w:sz w:val="52"/>
          <w:szCs w:val="52"/>
        </w:rPr>
        <w:t>设备维修保养服务委外合同</w:t>
      </w:r>
    </w:p>
    <w:p>
      <w:pPr>
        <w:spacing w:before="240" w:beforeLines="100"/>
        <w:jc w:val="center"/>
        <w:rPr>
          <w:rFonts w:cs="仿宋" w:asciiTheme="minorEastAsia" w:hAnsiTheme="minorEastAsia" w:eastAsiaTheme="minorEastAsia"/>
          <w:b/>
          <w:sz w:val="28"/>
          <w:szCs w:val="28"/>
        </w:rPr>
      </w:pPr>
    </w:p>
    <w:p>
      <w:pPr>
        <w:spacing w:before="240" w:beforeLines="100"/>
        <w:jc w:val="center"/>
        <w:rPr>
          <w:rFonts w:cs="仿宋" w:asciiTheme="minorEastAsia" w:hAnsiTheme="minorEastAsia" w:eastAsiaTheme="minorEastAsia"/>
          <w:b/>
          <w:sz w:val="28"/>
          <w:szCs w:val="28"/>
        </w:rPr>
      </w:pPr>
    </w:p>
    <w:p>
      <w:pPr>
        <w:spacing w:before="240" w:beforeLines="100"/>
        <w:jc w:val="center"/>
        <w:rPr>
          <w:rFonts w:cs="仿宋" w:asciiTheme="minorEastAsia" w:hAnsiTheme="minorEastAsia" w:eastAsiaTheme="minorEastAsia"/>
          <w:b/>
          <w:sz w:val="28"/>
          <w:szCs w:val="28"/>
        </w:rPr>
      </w:pPr>
    </w:p>
    <w:p>
      <w:pPr>
        <w:spacing w:before="240" w:beforeLines="100"/>
        <w:rPr>
          <w:rFonts w:cs="仿宋" w:asciiTheme="minorEastAsia" w:hAnsiTheme="minorEastAsia" w:eastAsiaTheme="minorEastAsia"/>
          <w:b/>
          <w:sz w:val="28"/>
          <w:szCs w:val="28"/>
        </w:rPr>
      </w:pPr>
    </w:p>
    <w:p>
      <w:pPr>
        <w:adjustRightInd w:val="0"/>
        <w:snapToGrid w:val="0"/>
        <w:spacing w:line="360" w:lineRule="auto"/>
        <w:ind w:firstLine="835" w:firstLineChars="297"/>
        <w:rPr>
          <w:rFonts w:cs="仿宋" w:asciiTheme="minorEastAsia" w:hAnsiTheme="minorEastAsia" w:eastAsiaTheme="minorEastAsia"/>
          <w:b/>
          <w:sz w:val="28"/>
          <w:szCs w:val="20"/>
          <w:u w:val="dotted"/>
        </w:rPr>
      </w:pPr>
      <w:r>
        <w:rPr>
          <w:rFonts w:hint="eastAsia" w:cs="仿宋" w:asciiTheme="minorEastAsia" w:hAnsiTheme="minorEastAsia" w:eastAsiaTheme="minorEastAsia"/>
          <w:b/>
          <w:sz w:val="28"/>
        </w:rPr>
        <w:t>项目名称：</w:t>
      </w:r>
      <w:r>
        <w:rPr>
          <w:rFonts w:hint="eastAsia" w:cs="仿宋" w:asciiTheme="minorEastAsia" w:hAnsiTheme="minorEastAsia" w:eastAsiaTheme="minorEastAsia"/>
          <w:b/>
          <w:sz w:val="28"/>
          <w:u w:val="single"/>
        </w:rPr>
        <w:t xml:space="preserve">                                     </w:t>
      </w:r>
    </w:p>
    <w:p>
      <w:pPr>
        <w:adjustRightInd w:val="0"/>
        <w:snapToGrid w:val="0"/>
        <w:spacing w:line="360" w:lineRule="auto"/>
        <w:ind w:firstLine="835" w:firstLineChars="297"/>
        <w:rPr>
          <w:rFonts w:cs="仿宋" w:asciiTheme="minorEastAsia" w:hAnsiTheme="minorEastAsia" w:eastAsiaTheme="minorEastAsia"/>
          <w:b/>
          <w:sz w:val="28"/>
          <w:u w:val="dotted"/>
        </w:rPr>
      </w:pPr>
    </w:p>
    <w:p>
      <w:pPr>
        <w:adjustRightInd w:val="0"/>
        <w:snapToGrid w:val="0"/>
        <w:spacing w:line="360" w:lineRule="auto"/>
        <w:ind w:firstLine="835" w:firstLineChars="297"/>
        <w:rPr>
          <w:rFonts w:cs="仿宋" w:asciiTheme="minorEastAsia" w:hAnsiTheme="minorEastAsia" w:eastAsiaTheme="minorEastAsia"/>
          <w:b/>
          <w:sz w:val="28"/>
          <w:u w:val="dotted"/>
        </w:rPr>
      </w:pPr>
      <w:r>
        <w:rPr>
          <w:rFonts w:hint="eastAsia" w:cs="仿宋" w:asciiTheme="minorEastAsia" w:hAnsiTheme="minorEastAsia" w:eastAsiaTheme="minorEastAsia"/>
          <w:b/>
          <w:sz w:val="28"/>
        </w:rPr>
        <w:t>项目地点：</w:t>
      </w:r>
      <w:r>
        <w:rPr>
          <w:rFonts w:hint="eastAsia" w:cs="仿宋" w:asciiTheme="minorEastAsia" w:hAnsiTheme="minorEastAsia" w:eastAsiaTheme="minorEastAsia"/>
          <w:b/>
          <w:sz w:val="28"/>
          <w:u w:val="single"/>
        </w:rPr>
        <w:t xml:space="preserve">            湖南省长沙市             </w:t>
      </w:r>
    </w:p>
    <w:p>
      <w:pPr>
        <w:adjustRightInd w:val="0"/>
        <w:snapToGrid w:val="0"/>
        <w:spacing w:line="360" w:lineRule="auto"/>
        <w:ind w:firstLine="1344" w:firstLineChars="478"/>
        <w:rPr>
          <w:rFonts w:cs="仿宋" w:asciiTheme="minorEastAsia" w:hAnsiTheme="minorEastAsia" w:eastAsiaTheme="minorEastAsia"/>
          <w:b/>
          <w:sz w:val="28"/>
        </w:rPr>
      </w:pPr>
    </w:p>
    <w:p>
      <w:pPr>
        <w:adjustRightInd w:val="0"/>
        <w:snapToGrid w:val="0"/>
        <w:spacing w:line="360" w:lineRule="auto"/>
        <w:ind w:firstLine="835" w:firstLineChars="297"/>
        <w:rPr>
          <w:rFonts w:cs="仿宋" w:asciiTheme="minorEastAsia" w:hAnsiTheme="minorEastAsia" w:eastAsiaTheme="minorEastAsia"/>
          <w:b/>
          <w:sz w:val="28"/>
          <w:u w:val="single"/>
        </w:rPr>
      </w:pPr>
      <w:r>
        <w:rPr>
          <w:rFonts w:hint="eastAsia" w:cs="仿宋" w:asciiTheme="minorEastAsia" w:hAnsiTheme="minorEastAsia" w:eastAsiaTheme="minorEastAsia"/>
          <w:b/>
          <w:sz w:val="28"/>
        </w:rPr>
        <w:t>甲    方：</w:t>
      </w:r>
      <w:r>
        <w:rPr>
          <w:rFonts w:hint="eastAsia" w:cs="仿宋" w:asciiTheme="minorEastAsia" w:hAnsiTheme="minorEastAsia" w:eastAsiaTheme="minorEastAsia"/>
          <w:b/>
          <w:sz w:val="28"/>
          <w:u w:val="single"/>
        </w:rPr>
        <w:t xml:space="preserve">                                     </w:t>
      </w:r>
    </w:p>
    <w:p>
      <w:pPr>
        <w:adjustRightInd w:val="0"/>
        <w:snapToGrid w:val="0"/>
        <w:spacing w:line="360" w:lineRule="auto"/>
        <w:ind w:firstLine="1344" w:firstLineChars="478"/>
        <w:rPr>
          <w:rFonts w:cs="仿宋" w:asciiTheme="minorEastAsia" w:hAnsiTheme="minorEastAsia" w:eastAsiaTheme="minorEastAsia"/>
          <w:b/>
          <w:sz w:val="28"/>
        </w:rPr>
      </w:pPr>
    </w:p>
    <w:p>
      <w:pPr>
        <w:adjustRightInd w:val="0"/>
        <w:snapToGrid w:val="0"/>
        <w:spacing w:line="360" w:lineRule="auto"/>
        <w:ind w:firstLine="835" w:firstLineChars="297"/>
        <w:rPr>
          <w:rFonts w:cs="仿宋" w:asciiTheme="minorEastAsia" w:hAnsiTheme="minorEastAsia" w:eastAsiaTheme="minorEastAsia"/>
          <w:b/>
          <w:sz w:val="28"/>
          <w:u w:val="dotted"/>
        </w:rPr>
      </w:pPr>
      <w:r>
        <w:rPr>
          <w:rFonts w:hint="eastAsia" w:cs="仿宋" w:asciiTheme="minorEastAsia" w:hAnsiTheme="minorEastAsia" w:eastAsiaTheme="minorEastAsia"/>
          <w:b/>
          <w:sz w:val="28"/>
        </w:rPr>
        <w:t>乙    方：</w:t>
      </w:r>
      <w:r>
        <w:rPr>
          <w:rFonts w:hint="eastAsia" w:cs="仿宋" w:asciiTheme="minorEastAsia" w:hAnsiTheme="minorEastAsia" w:eastAsiaTheme="minorEastAsia"/>
          <w:b/>
          <w:sz w:val="28"/>
          <w:u w:val="single"/>
        </w:rPr>
        <w:t xml:space="preserve">                                     </w:t>
      </w:r>
    </w:p>
    <w:p>
      <w:pPr>
        <w:widowControl/>
        <w:jc w:val="left"/>
        <w:rPr>
          <w:rFonts w:cs="仿宋" w:asciiTheme="minorEastAsia" w:hAnsiTheme="minorEastAsia" w:eastAsiaTheme="minorEastAsia"/>
          <w:b/>
          <w:sz w:val="36"/>
          <w:szCs w:val="36"/>
        </w:rPr>
        <w:sectPr>
          <w:pgSz w:w="11850" w:h="16783"/>
          <w:pgMar w:top="1440" w:right="1800" w:bottom="1440" w:left="1800" w:header="851" w:footer="992" w:gutter="0"/>
          <w:cols w:space="720" w:num="1"/>
        </w:sectPr>
      </w:pPr>
    </w:p>
    <w:p>
      <w:pPr>
        <w:pStyle w:val="32"/>
        <w:spacing w:line="360" w:lineRule="auto"/>
        <w:jc w:val="center"/>
        <w:outlineLvl w:val="0"/>
        <w:rPr>
          <w:rFonts w:cs="仿宋" w:asciiTheme="minorEastAsia" w:hAnsiTheme="minorEastAsia" w:eastAsiaTheme="minorEastAsia"/>
          <w:b/>
          <w:sz w:val="32"/>
          <w:szCs w:val="32"/>
          <w:u w:val="single"/>
        </w:rPr>
      </w:pPr>
      <w:bookmarkStart w:id="119" w:name="_Toc30639"/>
      <w:bookmarkStart w:id="120" w:name="_Toc368066683"/>
      <w:bookmarkStart w:id="121" w:name="_Toc29208"/>
      <w:r>
        <w:rPr>
          <w:rFonts w:hint="eastAsia" w:cs="仿宋" w:asciiTheme="minorEastAsia" w:hAnsiTheme="minorEastAsia" w:eastAsiaTheme="minorEastAsia"/>
          <w:sz w:val="32"/>
          <w:szCs w:val="32"/>
        </w:rPr>
        <w:t>第一部分 合同协议书</w:t>
      </w:r>
      <w:bookmarkEnd w:id="119"/>
      <w:bookmarkEnd w:id="120"/>
      <w:bookmarkEnd w:id="121"/>
    </w:p>
    <w:p>
      <w:pPr>
        <w:snapToGrid w:val="0"/>
        <w:spacing w:line="360" w:lineRule="auto"/>
        <w:rPr>
          <w:rFonts w:hint="eastAsia" w:ascii="宋体" w:hAnsi="宋体" w:eastAsia="宋体" w:cs="宋体"/>
          <w:b/>
          <w:sz w:val="21"/>
          <w:szCs w:val="21"/>
        </w:rPr>
      </w:pPr>
    </w:p>
    <w:p>
      <w:pPr>
        <w:pStyle w:val="13"/>
        <w:snapToGrid w:val="0"/>
        <w:spacing w:line="360" w:lineRule="auto"/>
        <w:ind w:left="205" w:hanging="179" w:hangingChars="85"/>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日由甲方和乙方依照《中华人民共和国合同法》及其他有关法律、行政法规，遵循平等、自愿、公平和诚实信用的原则，按下述条款和条件在</w:t>
      </w:r>
      <w:r>
        <w:rPr>
          <w:rFonts w:hint="eastAsia" w:ascii="宋体" w:hAnsi="宋体" w:eastAsia="宋体" w:cs="宋体"/>
          <w:sz w:val="21"/>
          <w:szCs w:val="21"/>
          <w:u w:val="single"/>
        </w:rPr>
        <w:t>湖南省长沙市雨花区</w:t>
      </w:r>
      <w:r>
        <w:rPr>
          <w:rFonts w:hint="eastAsia" w:ascii="宋体" w:hAnsi="宋体" w:eastAsia="宋体" w:cs="宋体"/>
          <w:sz w:val="21"/>
          <w:szCs w:val="21"/>
        </w:rPr>
        <w:t>签署。</w:t>
      </w:r>
    </w:p>
    <w:p>
      <w:pPr>
        <w:pStyle w:val="13"/>
        <w:snapToGrid w:val="0"/>
        <w:spacing w:line="360" w:lineRule="auto"/>
        <w:ind w:firstLine="0"/>
        <w:rPr>
          <w:rFonts w:hint="eastAsia" w:ascii="宋体" w:hAnsi="宋体" w:eastAsia="宋体" w:cs="宋体"/>
          <w:sz w:val="21"/>
          <w:szCs w:val="21"/>
          <w:u w:val="single"/>
          <w:lang w:val="en-GB"/>
        </w:rPr>
      </w:pPr>
      <w:r>
        <w:rPr>
          <w:rFonts w:hint="eastAsia" w:ascii="宋体" w:hAnsi="宋体" w:eastAsia="宋体" w:cs="宋体"/>
          <w:sz w:val="21"/>
          <w:szCs w:val="21"/>
        </w:rPr>
        <w:t xml:space="preserve">    鉴于甲方为获得以下服务，即</w:t>
      </w:r>
      <w:bookmarkStart w:id="122" w:name="OLE_LINK1"/>
      <w:r>
        <w:rPr>
          <w:rFonts w:hint="eastAsia" w:ascii="宋体" w:hAnsi="宋体" w:eastAsia="宋体" w:cs="宋体"/>
          <w:sz w:val="21"/>
          <w:szCs w:val="21"/>
          <w:u w:val="single"/>
        </w:rPr>
        <w:t xml:space="preserve">                  </w:t>
      </w:r>
      <w:r>
        <w:rPr>
          <w:rFonts w:hint="eastAsia" w:ascii="宋体" w:hAnsi="宋体" w:eastAsia="宋体" w:cs="宋体"/>
          <w:sz w:val="21"/>
          <w:szCs w:val="21"/>
        </w:rPr>
        <w:t>项目</w:t>
      </w:r>
      <w:bookmarkEnd w:id="122"/>
      <w:r>
        <w:rPr>
          <w:rFonts w:hint="eastAsia" w:ascii="宋体" w:hAnsi="宋体" w:eastAsia="宋体" w:cs="宋体"/>
          <w:sz w:val="21"/>
          <w:szCs w:val="21"/>
        </w:rPr>
        <w:t>而进行招标，并接受了乙方以总金额</w:t>
      </w:r>
      <w:r>
        <w:rPr>
          <w:rFonts w:hint="eastAsia" w:ascii="宋体" w:hAnsi="宋体" w:eastAsia="宋体" w:cs="宋体"/>
          <w:sz w:val="21"/>
          <w:szCs w:val="21"/>
          <w:shd w:val="clear" w:color="auto" w:fill="FFFFFF"/>
          <w:lang w:bidi="ar"/>
        </w:rPr>
        <w:t>人民币（大写）</w:t>
      </w:r>
      <w:r>
        <w:rPr>
          <w:rFonts w:hint="eastAsia" w:ascii="宋体" w:hAnsi="宋体" w:eastAsia="宋体" w:cs="宋体"/>
          <w:sz w:val="21"/>
          <w:szCs w:val="21"/>
          <w:u w:val="single"/>
          <w:shd w:val="clear" w:color="auto" w:fill="FFFFFF"/>
          <w:lang w:bidi="ar"/>
        </w:rPr>
        <w:t>            </w:t>
      </w:r>
      <w:r>
        <w:rPr>
          <w:rFonts w:hint="eastAsia" w:ascii="宋体" w:hAnsi="宋体" w:eastAsia="宋体" w:cs="宋体"/>
          <w:sz w:val="21"/>
          <w:szCs w:val="21"/>
          <w:shd w:val="clear" w:color="auto" w:fill="FFFFFF"/>
          <w:lang w:bidi="ar"/>
        </w:rPr>
        <w:t>（¥</w:t>
      </w:r>
      <w:r>
        <w:rPr>
          <w:rFonts w:hint="eastAsia" w:ascii="宋体" w:hAnsi="宋体" w:eastAsia="宋体" w:cs="宋体"/>
          <w:sz w:val="21"/>
          <w:szCs w:val="21"/>
          <w:u w:val="single"/>
          <w:shd w:val="clear" w:color="auto" w:fill="FFFFFF"/>
          <w:lang w:bidi="ar"/>
        </w:rPr>
        <w:t>            </w:t>
      </w:r>
      <w:r>
        <w:rPr>
          <w:rFonts w:hint="eastAsia" w:ascii="宋体" w:hAnsi="宋体" w:eastAsia="宋体" w:cs="宋体"/>
          <w:sz w:val="21"/>
          <w:szCs w:val="21"/>
          <w:shd w:val="clear" w:color="auto" w:fill="FFFFFF"/>
          <w:lang w:bidi="ar"/>
        </w:rPr>
        <w:t>）</w:t>
      </w:r>
      <w:r>
        <w:rPr>
          <w:rFonts w:hint="eastAsia" w:ascii="宋体" w:hAnsi="宋体" w:eastAsia="宋体" w:cs="宋体"/>
          <w:sz w:val="21"/>
          <w:szCs w:val="21"/>
        </w:rPr>
        <w:t>（以下简称“签约合同价”）提供上述服务的投标。</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一、项目概况：</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二、服务范围：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四、</w:t>
      </w:r>
      <w:r>
        <w:rPr>
          <w:rFonts w:hint="eastAsia" w:ascii="宋体" w:hAnsi="宋体" w:eastAsia="宋体" w:cs="宋体"/>
          <w:sz w:val="21"/>
          <w:szCs w:val="21"/>
        </w:rPr>
        <w:t>下述文件是本合同的一部分，一起阅读和解释：</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（3）中标通知书/中选通知书;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（4）合同专用条款;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（5）合同通用条款;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（6）技术规格书;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（7）价格清单;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（8）合同其他附件及乙方供应商按合同附录格式及要求出具的文件;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（9）招标文件/自主竞争性谈判文件、澄清与答疑文件及其它补充资料；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（10）投标文件/谈判响应文件、澄清文件及其它补充资料；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（11）批准的图纸（如果有）；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（12）其他构成本合同的文件。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五、考虑到甲方将按照本合同向乙方支付，乙方在此保证全部按照合同的规定向甲方提供货物和服务，并修补缺陷。</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六、考虑到乙方提供的货物和服务并修补缺陷，甲方在此保证按照合同规定的时间和方式向乙方支付合同价格或其它按合同规定应支付的金额。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六</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五</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一</w:t>
      </w:r>
      <w:r>
        <w:rPr>
          <w:rFonts w:hint="eastAsia" w:ascii="宋体" w:hAnsi="宋体" w:eastAsia="宋体" w:cs="宋体"/>
          <w:sz w:val="21"/>
          <w:szCs w:val="21"/>
        </w:rPr>
        <w:t>份。合同正本与副本具有同等效力，当合同副本与正本之间存有差异时，以合同正本为准。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w:t>
      </w:r>
      <w:r>
        <w:rPr>
          <w:rFonts w:hint="eastAsia" w:ascii="宋体" w:hAnsi="宋体" w:eastAsia="宋体" w:cs="宋体"/>
          <w:sz w:val="21"/>
          <w:szCs w:val="21"/>
          <w:u w:val="single"/>
        </w:rPr>
        <w:t>双方法定代表人或其授权代表签字，加盖合同专用章/公章后</w:t>
      </w:r>
      <w:r>
        <w:rPr>
          <w:rFonts w:hint="eastAsia" w:ascii="宋体" w:hAnsi="宋体" w:eastAsia="宋体" w:cs="宋体"/>
          <w:sz w:val="21"/>
          <w:szCs w:val="21"/>
        </w:rPr>
        <w:t>生效。</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（本页无正文）</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bl>
    <w:p>
      <w:pPr>
        <w:spacing w:line="360" w:lineRule="auto"/>
        <w:rPr>
          <w:rFonts w:cs="仿宋" w:asciiTheme="minorEastAsia" w:hAnsiTheme="minorEastAsia" w:eastAsiaTheme="minorEastAsia"/>
          <w:sz w:val="24"/>
        </w:rPr>
      </w:pPr>
    </w:p>
    <w:p>
      <w:pPr>
        <w:spacing w:line="360" w:lineRule="auto"/>
        <w:jc w:val="center"/>
        <w:outlineLvl w:val="0"/>
        <w:rPr>
          <w:rFonts w:cs="仿宋" w:asciiTheme="minorEastAsia" w:hAnsiTheme="minorEastAsia" w:eastAsiaTheme="minorEastAsia"/>
          <w:sz w:val="32"/>
          <w:szCs w:val="32"/>
          <w:u w:val="single"/>
        </w:rPr>
      </w:pPr>
      <w:r>
        <w:rPr>
          <w:rFonts w:hint="eastAsia" w:cs="仿宋" w:asciiTheme="minorEastAsia" w:hAnsiTheme="minorEastAsia" w:eastAsiaTheme="minorEastAsia"/>
          <w:b/>
          <w:sz w:val="32"/>
          <w:szCs w:val="32"/>
        </w:rPr>
        <w:br w:type="page"/>
      </w:r>
      <w:bookmarkStart w:id="123" w:name="_Toc2245"/>
      <w:bookmarkStart w:id="124" w:name="_Toc368066684"/>
      <w:bookmarkStart w:id="125" w:name="_Toc11675"/>
      <w:r>
        <w:rPr>
          <w:rFonts w:hint="eastAsia" w:cs="仿宋" w:asciiTheme="minorEastAsia" w:hAnsiTheme="minorEastAsia" w:eastAsiaTheme="minorEastAsia"/>
          <w:b/>
          <w:sz w:val="32"/>
          <w:szCs w:val="32"/>
        </w:rPr>
        <w:t>第二部分 中选通知书</w:t>
      </w:r>
      <w:bookmarkEnd w:id="123"/>
      <w:bookmarkEnd w:id="124"/>
      <w:bookmarkEnd w:id="125"/>
    </w:p>
    <w:p>
      <w:pPr>
        <w:spacing w:line="360" w:lineRule="auto"/>
        <w:rPr>
          <w:rFonts w:cs="仿宋" w:asciiTheme="minorEastAsia" w:hAnsiTheme="minorEastAsia" w:eastAsiaTheme="minorEastAsia"/>
          <w:sz w:val="24"/>
          <w:szCs w:val="20"/>
          <w:u w:val="single"/>
        </w:rPr>
      </w:pPr>
    </w:p>
    <w:p>
      <w:pPr>
        <w:jc w:val="center"/>
        <w:outlineLvl w:val="0"/>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br w:type="page"/>
      </w:r>
      <w:bookmarkStart w:id="126" w:name="_Toc368066685"/>
      <w:bookmarkStart w:id="127" w:name="_Toc26018"/>
      <w:bookmarkStart w:id="128" w:name="_Toc29343"/>
      <w:r>
        <w:rPr>
          <w:rFonts w:hint="eastAsia" w:cs="仿宋" w:asciiTheme="minorEastAsia" w:hAnsiTheme="minorEastAsia" w:eastAsiaTheme="minorEastAsia"/>
          <w:b/>
          <w:sz w:val="32"/>
          <w:szCs w:val="32"/>
        </w:rPr>
        <w:t>第三部分 合同条款</w:t>
      </w:r>
      <w:bookmarkEnd w:id="126"/>
      <w:bookmarkEnd w:id="127"/>
      <w:bookmarkEnd w:id="128"/>
    </w:p>
    <w:p>
      <w:pPr>
        <w:spacing w:line="360" w:lineRule="auto"/>
        <w:rPr>
          <w:rFonts w:cs="仿宋" w:asciiTheme="minorEastAsia" w:hAnsiTheme="minorEastAsia" w:eastAsiaTheme="minorEastAsia"/>
          <w:sz w:val="32"/>
          <w:szCs w:val="32"/>
          <w:u w:val="single"/>
        </w:rPr>
      </w:pPr>
    </w:p>
    <w:p>
      <w:pPr>
        <w:spacing w:line="360" w:lineRule="auto"/>
        <w:ind w:firstLine="413" w:firstLineChars="196"/>
        <w:outlineLvl w:val="1"/>
        <w:rPr>
          <w:rFonts w:cs="仿宋" w:asciiTheme="minorEastAsia" w:hAnsiTheme="minorEastAsia" w:eastAsiaTheme="minorEastAsia"/>
          <w:b/>
          <w:bCs/>
          <w:szCs w:val="21"/>
        </w:rPr>
      </w:pPr>
      <w:bookmarkStart w:id="129" w:name="_Toc368066686"/>
      <w:bookmarkStart w:id="130" w:name="_Toc7761"/>
      <w:bookmarkStart w:id="131" w:name="_Toc28651"/>
      <w:bookmarkStart w:id="132" w:name="_Toc240992305"/>
      <w:bookmarkStart w:id="133" w:name="_Toc136850799"/>
      <w:bookmarkStart w:id="134" w:name="_Toc192323513"/>
      <w:bookmarkStart w:id="135" w:name="_Toc357774462"/>
      <w:r>
        <w:rPr>
          <w:rFonts w:hint="eastAsia" w:cs="仿宋" w:asciiTheme="minorEastAsia" w:hAnsiTheme="minorEastAsia" w:eastAsiaTheme="minorEastAsia"/>
          <w:b/>
          <w:bCs/>
          <w:szCs w:val="21"/>
        </w:rPr>
        <w:t>1、</w:t>
      </w:r>
      <w:bookmarkEnd w:id="129"/>
      <w:r>
        <w:rPr>
          <w:rFonts w:hint="eastAsia" w:cs="仿宋" w:asciiTheme="minorEastAsia" w:hAnsiTheme="minorEastAsia" w:eastAsiaTheme="minorEastAsia"/>
          <w:b/>
          <w:bCs/>
          <w:szCs w:val="21"/>
        </w:rPr>
        <w:t>定义</w:t>
      </w:r>
      <w:bookmarkEnd w:id="130"/>
      <w:bookmarkEnd w:id="131"/>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（2）“签约合同价”系指</w:t>
      </w:r>
      <w:r>
        <w:rPr>
          <w:rFonts w:hint="eastAsia" w:asciiTheme="minorEastAsia" w:hAnsiTheme="minorEastAsia" w:eastAsiaTheme="minorEastAsia"/>
          <w:szCs w:val="21"/>
        </w:rPr>
        <w:t>甲方和乙方在合同协议书中确定的金额，即本项目的中标价格或成交价格。</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（3）“合同价格”是指根据本合同规定乙方在正确地完全履行合同义务后，按照甲方相关规定，经甲方审定的结算价格。</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（4）“甲方”是指承担直接投资责任和委托维修保养业务的一方以及其合法继承人，即</w:t>
      </w:r>
      <w:r>
        <w:rPr>
          <w:rFonts w:hint="eastAsia" w:asciiTheme="minorEastAsia" w:hAnsiTheme="minorEastAsia" w:eastAsiaTheme="minorEastAsia"/>
          <w:szCs w:val="21"/>
        </w:rPr>
        <w:t>合同协议书中所述的甲方</w:t>
      </w:r>
      <w:r>
        <w:rPr>
          <w:rFonts w:hint="eastAsia" w:cs="仿宋" w:asciiTheme="minorEastAsia" w:hAnsiTheme="minorEastAsia" w:eastAsiaTheme="minorEastAsia"/>
          <w:szCs w:val="21"/>
        </w:rPr>
        <w:t>。</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（5）“乙方”是指承担维修保养业务和维修保养责任的一方以及其合法继承人，即</w:t>
      </w:r>
      <w:r>
        <w:rPr>
          <w:rFonts w:hint="eastAsia" w:asciiTheme="minorEastAsia" w:hAnsiTheme="minorEastAsia" w:eastAsiaTheme="minorEastAsia"/>
          <w:szCs w:val="21"/>
        </w:rPr>
        <w:t>合同协议书中所述的乙方</w:t>
      </w:r>
      <w:r>
        <w:rPr>
          <w:rFonts w:hint="eastAsia" w:cs="仿宋" w:asciiTheme="minorEastAsia" w:hAnsiTheme="minorEastAsia" w:eastAsiaTheme="minorEastAsia"/>
          <w:szCs w:val="21"/>
        </w:rPr>
        <w:t>。</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（6）“维保机构”是指乙方派驻本工程现场实施维修保养业务的组织。</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（7）“日”是指任何一天零时至第二天零时的时间段。</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（8）“月”是指根据公历从一个月份中任何一天开始到下一个月相应日期的前一天的时间段。</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（10）响应时间：是指在接报故障后赶赴且到达现场处理的时间。</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（11）接报：是指甲方通知乙方的形式，包括口头、电话、电子邮件、书面等。</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（12）现场：是指故障发生地点、区段，或报故障车站、部门等。</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（14）完全修复时间：通过维修使有问题设备、设施回复到原来技术指标及状态的期限。此时限是指接报故障到设备完全修复完毕。</w:t>
      </w:r>
    </w:p>
    <w:p>
      <w:pPr>
        <w:spacing w:line="360" w:lineRule="auto"/>
        <w:ind w:firstLine="413" w:firstLineChars="196"/>
        <w:outlineLvl w:val="1"/>
        <w:rPr>
          <w:rFonts w:cs="仿宋" w:asciiTheme="minorEastAsia" w:hAnsiTheme="minorEastAsia" w:eastAsiaTheme="minorEastAsia"/>
          <w:b/>
          <w:bCs/>
          <w:szCs w:val="21"/>
        </w:rPr>
      </w:pPr>
      <w:bookmarkStart w:id="136" w:name="_Toc20721"/>
      <w:bookmarkStart w:id="137" w:name="_Toc12453"/>
      <w:bookmarkStart w:id="138" w:name="_Toc368066687"/>
      <w:r>
        <w:rPr>
          <w:rFonts w:hint="eastAsia" w:cs="仿宋" w:asciiTheme="minorEastAsia" w:hAnsiTheme="minorEastAsia" w:eastAsiaTheme="minorEastAsia"/>
          <w:b/>
          <w:bCs/>
          <w:szCs w:val="21"/>
        </w:rPr>
        <w:t>2、标准和规范</w:t>
      </w:r>
      <w:bookmarkEnd w:id="136"/>
      <w:bookmarkEnd w:id="137"/>
    </w:p>
    <w:p>
      <w:pPr>
        <w:tabs>
          <w:tab w:val="left" w:pos="851"/>
        </w:tabs>
        <w:adjustRightInd w:val="0"/>
        <w:snapToGrid w:val="0"/>
        <w:spacing w:line="360" w:lineRule="auto"/>
        <w:ind w:firstLine="420" w:firstLineChars="200"/>
        <w:textAlignment w:val="baseline"/>
        <w:rPr>
          <w:rFonts w:cs="仿宋" w:asciiTheme="minorEastAsia" w:hAnsiTheme="minorEastAsia" w:eastAsiaTheme="minorEastAsia"/>
          <w:szCs w:val="21"/>
        </w:rPr>
      </w:pPr>
      <w:r>
        <w:rPr>
          <w:rFonts w:hint="eastAsia" w:cs="仿宋" w:asciiTheme="minorEastAsia" w:hAnsiTheme="minorEastAsia" w:eastAsiaTheme="minorEastAsia"/>
          <w:szCs w:val="21"/>
        </w:rPr>
        <w:t>2.1 适用国家标准、行业标准、工程所在地的地方性标准，以及相应的规范、规程等。</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2.2 甲方对本项目的技术标准或功能的其他要求</w:t>
      </w:r>
      <w:r>
        <w:rPr>
          <w:rFonts w:hint="eastAsia" w:cs="仿宋" w:asciiTheme="minorEastAsia" w:hAnsiTheme="minorEastAsia" w:eastAsiaTheme="minorEastAsia"/>
          <w:szCs w:val="21"/>
          <w:u w:val="single"/>
        </w:rPr>
        <w:t>以用户需求书/技术规格书为准</w:t>
      </w:r>
      <w:r>
        <w:rPr>
          <w:rFonts w:hint="eastAsia" w:cs="仿宋" w:asciiTheme="minorEastAsia" w:hAnsiTheme="minorEastAsia" w:eastAsiaTheme="minorEastAsia"/>
          <w:szCs w:val="21"/>
        </w:rPr>
        <w:t>。</w:t>
      </w:r>
    </w:p>
    <w:p>
      <w:pPr>
        <w:pStyle w:val="45"/>
        <w:spacing w:after="0" w:line="360" w:lineRule="auto"/>
        <w:ind w:firstLine="422"/>
        <w:outlineLvl w:val="1"/>
        <w:rPr>
          <w:rFonts w:cs="仿宋" w:asciiTheme="minorEastAsia" w:hAnsiTheme="minorEastAsia" w:eastAsiaTheme="minorEastAsia"/>
          <w:b/>
          <w:bCs/>
          <w:szCs w:val="21"/>
        </w:rPr>
      </w:pPr>
      <w:bookmarkStart w:id="139" w:name="_Toc1523"/>
      <w:bookmarkStart w:id="140" w:name="_Toc10573"/>
      <w:r>
        <w:rPr>
          <w:rFonts w:hint="eastAsia" w:cs="仿宋" w:asciiTheme="minorEastAsia" w:hAnsiTheme="minorEastAsia" w:eastAsiaTheme="minorEastAsia"/>
          <w:b/>
          <w:bCs/>
          <w:szCs w:val="21"/>
        </w:rPr>
        <w:t>3、</w:t>
      </w:r>
      <w:bookmarkEnd w:id="138"/>
      <w:bookmarkEnd w:id="139"/>
      <w:r>
        <w:rPr>
          <w:rFonts w:hint="eastAsia" w:cs="仿宋" w:asciiTheme="minorEastAsia" w:hAnsiTheme="minorEastAsia" w:eastAsiaTheme="minorEastAsia"/>
          <w:b/>
          <w:bCs/>
          <w:szCs w:val="21"/>
        </w:rPr>
        <w:t>价款</w:t>
      </w:r>
      <w:bookmarkEnd w:id="140"/>
    </w:p>
    <w:p>
      <w:pPr>
        <w:pStyle w:val="45"/>
        <w:spacing w:after="0" w:line="360" w:lineRule="auto"/>
        <w:rPr>
          <w:rFonts w:cs="仿宋" w:asciiTheme="minorEastAsia" w:hAnsiTheme="minorEastAsia" w:eastAsiaTheme="minorEastAsia"/>
          <w:szCs w:val="21"/>
          <w:lang w:val="en-GB"/>
        </w:rPr>
      </w:pPr>
      <w:r>
        <w:rPr>
          <w:rFonts w:hint="eastAsia" w:cs="仿宋" w:asciiTheme="minorEastAsia" w:hAnsiTheme="minorEastAsia" w:eastAsiaTheme="minorEastAsia"/>
          <w:szCs w:val="21"/>
        </w:rPr>
        <w:t>3.1本项目签约合同价为</w:t>
      </w:r>
      <w:r>
        <w:rPr>
          <w:rFonts w:hint="eastAsia" w:asciiTheme="minorEastAsia" w:hAnsiTheme="minorEastAsia" w:eastAsiaTheme="minorEastAsia"/>
          <w:szCs w:val="21"/>
          <w:u w:val="single"/>
        </w:rPr>
        <w:t>合同协议书上约定的价格</w:t>
      </w:r>
      <w:r>
        <w:rPr>
          <w:rFonts w:hint="eastAsia" w:asciiTheme="minorEastAsia" w:hAnsiTheme="minorEastAsia" w:eastAsiaTheme="minorEastAsia"/>
          <w:szCs w:val="21"/>
        </w:rPr>
        <w:t>，具体分项价格表详见合同附件之签约合同价清单。</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3.2本项目采用</w:t>
      </w:r>
      <w:r>
        <w:rPr>
          <w:rFonts w:hint="eastAsia" w:cs="仿宋" w:asciiTheme="minorEastAsia" w:hAnsiTheme="minorEastAsia" w:eastAsiaTheme="minorEastAsia"/>
          <w:szCs w:val="21"/>
          <w:u w:val="single"/>
        </w:rPr>
        <w:t>总价合同</w:t>
      </w:r>
      <w:r>
        <w:rPr>
          <w:rFonts w:hint="eastAsia" w:cs="仿宋" w:asciiTheme="minorEastAsia" w:hAnsiTheme="minorEastAsia" w:eastAsiaTheme="minorEastAsia"/>
          <w:szCs w:val="21"/>
        </w:rPr>
        <w:t>方式，合同价格包括在维保过程中所需的管理费、利润、税金等一切费用。在项目实施中出现任何遗漏，均由乙方免费提供，甲方不再支付任何费用。</w:t>
      </w:r>
    </w:p>
    <w:p>
      <w:pPr>
        <w:pStyle w:val="45"/>
        <w:spacing w:after="0" w:line="360" w:lineRule="auto"/>
        <w:ind w:firstLine="422"/>
        <w:outlineLvl w:val="1"/>
        <w:rPr>
          <w:rFonts w:cs="仿宋" w:asciiTheme="minorEastAsia" w:hAnsiTheme="minorEastAsia" w:eastAsiaTheme="minorEastAsia"/>
          <w:b/>
          <w:bCs/>
          <w:szCs w:val="21"/>
        </w:rPr>
      </w:pPr>
      <w:bookmarkStart w:id="141" w:name="_Toc8367"/>
      <w:bookmarkStart w:id="142" w:name="_Toc240992306"/>
      <w:bookmarkStart w:id="143" w:name="_Toc192323515"/>
      <w:bookmarkStart w:id="144" w:name="_Toc357774463"/>
      <w:bookmarkStart w:id="145" w:name="_Toc136850801"/>
      <w:bookmarkStart w:id="146" w:name="_Toc23394"/>
      <w:bookmarkStart w:id="147" w:name="_Toc23767"/>
      <w:r>
        <w:rPr>
          <w:rFonts w:hint="eastAsia" w:cs="仿宋" w:asciiTheme="minorEastAsia" w:hAnsiTheme="minorEastAsia" w:eastAsiaTheme="minorEastAsia"/>
          <w:b/>
          <w:bCs/>
          <w:szCs w:val="21"/>
        </w:rPr>
        <w:t>4、</w:t>
      </w:r>
      <w:bookmarkEnd w:id="141"/>
      <w:bookmarkEnd w:id="142"/>
      <w:bookmarkEnd w:id="143"/>
      <w:bookmarkEnd w:id="144"/>
      <w:bookmarkEnd w:id="145"/>
      <w:r>
        <w:rPr>
          <w:rFonts w:hint="eastAsia" w:cs="仿宋" w:asciiTheme="minorEastAsia" w:hAnsiTheme="minorEastAsia" w:eastAsiaTheme="minorEastAsia"/>
          <w:b/>
          <w:bCs/>
          <w:szCs w:val="21"/>
        </w:rPr>
        <w:t>支付</w:t>
      </w:r>
      <w:bookmarkEnd w:id="146"/>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4.1付款周期为每</w:t>
      </w:r>
      <w:r>
        <w:rPr>
          <w:rFonts w:hint="eastAsia" w:asciiTheme="minorEastAsia" w:hAnsiTheme="minorEastAsia" w:eastAsiaTheme="minorEastAsia"/>
          <w:szCs w:val="21"/>
          <w:u w:val="single"/>
        </w:rPr>
        <w:t>半年</w:t>
      </w:r>
      <w:r>
        <w:rPr>
          <w:rFonts w:hint="eastAsia" w:asciiTheme="minorEastAsia" w:hAnsiTheme="minorEastAsia" w:eastAsiaTheme="minorEastAsia"/>
          <w:szCs w:val="21"/>
        </w:rPr>
        <w:t>支付一次，甲方对乙方维保工作进行综合考核（具体管理及考核办法详见用户需求书/技术规格书约定），乙方按甲方的支付程序办理请款手续并提供增值税专用发票、有效期内的履约担保复印件后28个工作日内，由甲方向乙方支付。</w:t>
      </w:r>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4.2每次支付的金额：按签约合同价的90%平均到每个付款周期，甲方依据考核结果向乙方支付上一个付款周期的价款，累计支付不得超过签约合同价的90%。</w:t>
      </w:r>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4.3.履约验收完成付款：项目按合同约定完成履约且按甲方相关规定办理履约验收，履约验收完成后，在收到乙方支付申请并证实完整后28个工作日内，支付至合同价格的100%。</w:t>
      </w:r>
    </w:p>
    <w:p>
      <w:pPr>
        <w:spacing w:line="360" w:lineRule="auto"/>
        <w:ind w:firstLine="413" w:firstLineChars="196"/>
        <w:outlineLvl w:val="1"/>
        <w:rPr>
          <w:rFonts w:cs="仿宋" w:asciiTheme="minorEastAsia" w:hAnsiTheme="minorEastAsia" w:eastAsiaTheme="minorEastAsia"/>
          <w:b/>
          <w:bCs/>
          <w:szCs w:val="21"/>
        </w:rPr>
      </w:pPr>
      <w:bookmarkStart w:id="148" w:name="_Toc19286"/>
      <w:r>
        <w:rPr>
          <w:rFonts w:hint="eastAsia" w:cs="仿宋" w:asciiTheme="minorEastAsia" w:hAnsiTheme="minorEastAsia" w:eastAsiaTheme="minorEastAsia"/>
          <w:b/>
          <w:bCs/>
          <w:szCs w:val="21"/>
        </w:rPr>
        <w:t>5、</w:t>
      </w:r>
      <w:bookmarkEnd w:id="132"/>
      <w:bookmarkEnd w:id="133"/>
      <w:bookmarkEnd w:id="134"/>
      <w:bookmarkEnd w:id="135"/>
      <w:r>
        <w:rPr>
          <w:rFonts w:hint="eastAsia" w:cs="仿宋" w:asciiTheme="minorEastAsia" w:hAnsiTheme="minorEastAsia" w:eastAsiaTheme="minorEastAsia"/>
          <w:b/>
          <w:bCs/>
          <w:szCs w:val="21"/>
        </w:rPr>
        <w:t>履约担保</w:t>
      </w:r>
      <w:bookmarkEnd w:id="147"/>
      <w:bookmarkEnd w:id="148"/>
    </w:p>
    <w:p>
      <w:pPr>
        <w:autoSpaceDE w:val="0"/>
        <w:autoSpaceDN w:val="0"/>
        <w:spacing w:line="360" w:lineRule="auto"/>
        <w:ind w:firstLine="480"/>
        <w:textAlignment w:val="bottom"/>
        <w:rPr>
          <w:rFonts w:cs="仿宋" w:asciiTheme="minorEastAsia" w:hAnsiTheme="minorEastAsia" w:eastAsiaTheme="minorEastAsia"/>
          <w:szCs w:val="21"/>
        </w:rPr>
      </w:pPr>
      <w:bookmarkStart w:id="149" w:name="_Toc443376818"/>
      <w:bookmarkStart w:id="150" w:name="_Toc443208225"/>
      <w:r>
        <w:rPr>
          <w:rFonts w:hint="eastAsia" w:cs="仿宋" w:asciiTheme="minorEastAsia" w:hAnsiTheme="minorEastAsia" w:eastAsiaTheme="minorEastAsia"/>
          <w:szCs w:val="21"/>
        </w:rPr>
        <w:t>5.1 履约担保是办理付款的必要条件之一，乙方应在本合同签订后15个工作日内提供履约担保。</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5.2 履约担保用于补偿甲方因乙方不能完成其合同义务而蒙受的损失。</w:t>
      </w:r>
    </w:p>
    <w:p>
      <w:pPr>
        <w:autoSpaceDE w:val="0"/>
        <w:autoSpaceDN w:val="0"/>
        <w:spacing w:line="360" w:lineRule="auto"/>
        <w:ind w:firstLine="480"/>
        <w:textAlignment w:val="bottom"/>
        <w:rPr>
          <w:rFonts w:asciiTheme="minorEastAsia" w:hAnsiTheme="minorEastAsia" w:eastAsiaTheme="minorEastAsia"/>
          <w:szCs w:val="21"/>
        </w:rPr>
      </w:pPr>
      <w:r>
        <w:rPr>
          <w:rFonts w:hint="eastAsia" w:asciiTheme="minorEastAsia" w:hAnsiTheme="minorEastAsia" w:eastAsiaTheme="minorEastAsia"/>
          <w:szCs w:val="21"/>
        </w:rPr>
        <w:t>5.3 乙方提供履约担保的形式、金额及期限可采用以下方式之一：</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（2）采用现金形式，现金担保额度为签约合同价的10%，担保期限为履约保证金到账之日起，至服务期满之日止。履约担保以现金形式提交的，乙方应从其基本账户通过转帐或电汇至甲方指定的账户。</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5.4 在乙方完成其合同义务包括任何保证义务后，甲方将把履约担保无息退还乙方。</w:t>
      </w:r>
    </w:p>
    <w:bookmarkEnd w:id="149"/>
    <w:bookmarkEnd w:id="150"/>
    <w:p>
      <w:pPr>
        <w:autoSpaceDE w:val="0"/>
        <w:autoSpaceDN w:val="0"/>
        <w:spacing w:line="360" w:lineRule="auto"/>
        <w:ind w:firstLine="413" w:firstLineChars="196"/>
        <w:textAlignment w:val="bottom"/>
        <w:outlineLvl w:val="1"/>
        <w:rPr>
          <w:rFonts w:cs="仿宋" w:asciiTheme="minorEastAsia" w:hAnsiTheme="minorEastAsia" w:eastAsiaTheme="minorEastAsia"/>
          <w:b/>
          <w:bCs/>
          <w:szCs w:val="21"/>
        </w:rPr>
      </w:pPr>
      <w:bookmarkStart w:id="151" w:name="_Toc469"/>
      <w:bookmarkStart w:id="152" w:name="_Toc21707"/>
      <w:r>
        <w:rPr>
          <w:rFonts w:hint="eastAsia" w:cs="仿宋" w:asciiTheme="minorEastAsia" w:hAnsiTheme="minorEastAsia" w:eastAsiaTheme="minorEastAsia"/>
          <w:b/>
          <w:bCs/>
          <w:szCs w:val="21"/>
        </w:rPr>
        <w:t>6、合同变更</w:t>
      </w:r>
      <w:bookmarkEnd w:id="151"/>
      <w:bookmarkEnd w:id="152"/>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（1）要实施的工作的说明（如果有的话）以及工作的实施进度计划；和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（2）对进度计划或本合同项下的乙方义务进行任何必要的修改的建议；和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（3）乙方对合同价格调整的建议。</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收到乙方的上述递呈，并在与乙方适当协商后，甲方应尽快决定是否进行变更。</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6.3 合同变更/修改时，如果甲乙双方未能对价格调整达成一致，则对合同价格的调整应按下述方式进行：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（1）对合同中已明确并有定价的选项及替代方案，按合同列明的相应的金额计算；</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（2）对合同中尚未明确和定价的选项及替代方案，其金额须由合同双方按以下一种或多种方法协商确定：</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1）根据合同规定的原则计出总价；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2）根据合同单价和/或单位费率计算而计出总价；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3）根据合同价格类推和/或按比例计算而计出总价；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4）根据合同规定的相应成本确定。</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6.6 除了上述情况外，不应对合同条款进行任何变更或修改。经甲方同意的对合同条款进行任何变更或修改，甲乙双方应签订补充协议予以明确。</w:t>
      </w:r>
    </w:p>
    <w:p>
      <w:pPr>
        <w:autoSpaceDE w:val="0"/>
        <w:autoSpaceDN w:val="0"/>
        <w:spacing w:line="360" w:lineRule="auto"/>
        <w:ind w:firstLine="413" w:firstLineChars="196"/>
        <w:textAlignment w:val="bottom"/>
        <w:outlineLvl w:val="1"/>
        <w:rPr>
          <w:rFonts w:cs="仿宋" w:asciiTheme="minorEastAsia" w:hAnsiTheme="minorEastAsia" w:eastAsiaTheme="minorEastAsia"/>
          <w:b/>
          <w:bCs/>
          <w:szCs w:val="21"/>
        </w:rPr>
      </w:pPr>
      <w:bookmarkStart w:id="153" w:name="_Toc16499"/>
      <w:bookmarkStart w:id="154" w:name="_Toc28160"/>
      <w:r>
        <w:rPr>
          <w:rFonts w:hint="eastAsia" w:cs="仿宋" w:asciiTheme="minorEastAsia" w:hAnsiTheme="minorEastAsia" w:eastAsiaTheme="minorEastAsia"/>
          <w:b/>
          <w:bCs/>
          <w:szCs w:val="21"/>
        </w:rPr>
        <w:t>7、材料设备供应</w:t>
      </w:r>
      <w:bookmarkEnd w:id="153"/>
      <w:bookmarkEnd w:id="154"/>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7.2 乙方必须配备足够的用于维修保养的工器具，所使用的测试仪器必须定期进行检验，检验合格的产品才能使用。</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7.4 所有维修保养更换的损坏件，应交给甲方回收报废。</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7.5 乙方所供材料、零部件、设备等质保期为   个月，自     起算。</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7.6 乙方应保证所供的材料、零部件、设备是全新的、未使用过的，并完全符合规范标准和合同规定的设计、质量、规格、性能和安全的要求，不存在因设计错误或不合理、材料选用不当、工艺粗糙、检验缺漏而造成的缺陷。</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7.7 乙方应保证所供的材料、零部件、设备在正确安装、正常使用和保养条件下，在其使用寿命期内应具有满意的性能，或者没有因乙方的行为或疏忽而产生的缺陷，同时乙方保证所更换的材料、零部件、设备在正常的寿命周期内，在正常使用维护条件下，不会因为任何潜在缺陷发生安全事故。由于所供的材料、零部件、设备本身质量原因导致安全事故的，乙方应承担一切责任。</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7.8 质保期内所发现的缺陷甲方以书面形式通知乙方，乙方收到书面通知后应在8个小时内作出响应、到达项目现场更换或免费维修有缺陷的物资或部件。</w:t>
      </w:r>
    </w:p>
    <w:p>
      <w:pPr>
        <w:autoSpaceDE w:val="0"/>
        <w:autoSpaceDN w:val="0"/>
        <w:spacing w:line="360" w:lineRule="auto"/>
        <w:ind w:firstLine="480"/>
        <w:textAlignment w:val="bottom"/>
        <w:rPr>
          <w:rFonts w:asciiTheme="minorEastAsia" w:hAnsiTheme="minorEastAsia" w:eastAsiaTheme="minorEastAsia"/>
          <w:szCs w:val="21"/>
        </w:rPr>
      </w:pPr>
      <w:r>
        <w:rPr>
          <w:rFonts w:hint="eastAsia" w:cs="仿宋" w:asciiTheme="minorEastAsia" w:hAnsiTheme="minorEastAsia" w:eastAsiaTheme="minorEastAsia"/>
          <w:szCs w:val="21"/>
        </w:rPr>
        <w:t>7.9 质保期内，如更换的材料、零部件、器材的质量或规格与合同或技术要求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pStyle w:val="45"/>
        <w:spacing w:after="0" w:line="360" w:lineRule="auto"/>
        <w:ind w:firstLine="422"/>
        <w:outlineLvl w:val="1"/>
        <w:rPr>
          <w:rFonts w:cs="仿宋" w:asciiTheme="minorEastAsia" w:hAnsiTheme="minorEastAsia" w:eastAsiaTheme="minorEastAsia"/>
          <w:b/>
          <w:bCs/>
          <w:szCs w:val="21"/>
        </w:rPr>
      </w:pPr>
      <w:bookmarkStart w:id="155" w:name="_Toc368066694"/>
      <w:bookmarkStart w:id="156" w:name="_Toc9335"/>
      <w:bookmarkStart w:id="157" w:name="_Toc16050"/>
      <w:r>
        <w:rPr>
          <w:rFonts w:hint="eastAsia" w:cs="仿宋" w:asciiTheme="minorEastAsia" w:hAnsiTheme="minorEastAsia" w:eastAsiaTheme="minorEastAsia"/>
          <w:b/>
          <w:bCs/>
          <w:szCs w:val="21"/>
        </w:rPr>
        <w:t>8、双方责任</w:t>
      </w:r>
      <w:bookmarkEnd w:id="155"/>
      <w:bookmarkEnd w:id="156"/>
      <w:bookmarkEnd w:id="157"/>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8.1甲方责任</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（1）向乙方提供完成本项目的基础资料。</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（2）协调乙方执行本合同与甲方内部有关职能部门的关系，办理有关内部批准文件。乙方进场维护保养时，甲方给予配合。</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（3）甲方在本项目履行期间派一名代表协助乙方处理维修保养中存在的问题，并对乙方维修保养工作进行监督、检查。</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（4）根据本合同规定按时向乙方付款。</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（5）按合同要求组织验收。</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8.2 乙方责任</w:t>
      </w:r>
    </w:p>
    <w:p>
      <w:pPr>
        <w:pStyle w:val="45"/>
        <w:spacing w:after="0" w:line="360" w:lineRule="auto"/>
        <w:rPr>
          <w:rFonts w:cs="仿宋" w:asciiTheme="minorEastAsia" w:hAnsiTheme="minorEastAsia" w:eastAsiaTheme="minorEastAsia"/>
          <w:szCs w:val="21"/>
        </w:rPr>
      </w:pPr>
      <w:bookmarkStart w:id="158" w:name="_Toc368066695"/>
      <w:bookmarkStart w:id="159" w:name="_Toc357774470"/>
      <w:bookmarkStart w:id="160" w:name="_Toc240992313"/>
      <w:r>
        <w:rPr>
          <w:rFonts w:hint="eastAsia" w:cs="仿宋" w:asciiTheme="minorEastAsia" w:hAnsiTheme="minorEastAsia" w:eastAsiaTheme="minorEastAsia"/>
          <w:szCs w:val="21"/>
        </w:rPr>
        <w:t>（1）乙方应按照甲方要求制定详细的维修保养计划，经甲方审核后方能进行设备维护维修工作。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（2）乙方应严格按照合同约定的标准、规范提供维修保养服务。</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（3）乙方维保人员应统一着装，并按有关规定配发劳保防护用品。维修保养过程中，乙方须采取严格的安全防护措施。</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（4）乙方须安排专人值班，确保通讯畅通。接到甲方通知后，按甲方要求在规定时间内响应并到达现场进行维修处理。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（5）乙方须接受甲方对工期、质量、人员组成、设备、仪器、维护维修过程的监督。</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（7）乙方须积极配合行业主管部门对设备的检查、检测、遗留问题整改等相关工作。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22"/>
        <w:outlineLvl w:val="1"/>
        <w:rPr>
          <w:rFonts w:cs="仿宋" w:asciiTheme="minorEastAsia" w:hAnsiTheme="minorEastAsia" w:eastAsiaTheme="minorEastAsia"/>
          <w:b/>
          <w:bCs/>
          <w:szCs w:val="21"/>
        </w:rPr>
      </w:pPr>
      <w:bookmarkStart w:id="161" w:name="_Toc13407"/>
      <w:bookmarkStart w:id="162" w:name="_Toc21185"/>
      <w:r>
        <w:rPr>
          <w:rFonts w:hint="eastAsia" w:cs="仿宋" w:asciiTheme="minorEastAsia" w:hAnsiTheme="minorEastAsia" w:eastAsiaTheme="minorEastAsia"/>
          <w:b/>
          <w:bCs/>
          <w:szCs w:val="21"/>
        </w:rPr>
        <w:t>9、项目验收</w:t>
      </w:r>
      <w:bookmarkEnd w:id="158"/>
      <w:bookmarkEnd w:id="161"/>
      <w:bookmarkEnd w:id="162"/>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乙方应按甲方规定的时间以书面形式提交维护保养报告，维护保养成果及维护保养报告经甲方确认达到本合同要求的技术及质量标准，视为验收合格。具体要求以用户需求书/技术规格书为准。</w:t>
      </w:r>
    </w:p>
    <w:bookmarkEnd w:id="159"/>
    <w:bookmarkEnd w:id="160"/>
    <w:p>
      <w:pPr>
        <w:pStyle w:val="45"/>
        <w:spacing w:after="0" w:line="360" w:lineRule="auto"/>
        <w:ind w:firstLine="422"/>
        <w:outlineLvl w:val="1"/>
        <w:rPr>
          <w:rFonts w:cs="仿宋" w:asciiTheme="minorEastAsia" w:hAnsiTheme="minorEastAsia" w:eastAsiaTheme="minorEastAsia"/>
          <w:b/>
          <w:bCs/>
          <w:szCs w:val="21"/>
          <w:lang w:bidi="ar"/>
        </w:rPr>
      </w:pPr>
      <w:bookmarkStart w:id="163" w:name="_Toc26125"/>
      <w:bookmarkStart w:id="164" w:name="_Toc368066696"/>
      <w:bookmarkStart w:id="165" w:name="_Toc2817"/>
      <w:bookmarkStart w:id="166" w:name="_Toc136850808"/>
      <w:r>
        <w:rPr>
          <w:rFonts w:hint="eastAsia" w:cs="仿宋" w:asciiTheme="minorEastAsia" w:hAnsiTheme="minorEastAsia" w:eastAsiaTheme="minorEastAsia"/>
          <w:b/>
          <w:bCs/>
          <w:szCs w:val="21"/>
          <w:lang w:bidi="ar"/>
        </w:rPr>
        <w:t>10、违约责任</w:t>
      </w:r>
      <w:bookmarkEnd w:id="163"/>
      <w:bookmarkEnd w:id="164"/>
      <w:bookmarkEnd w:id="165"/>
    </w:p>
    <w:bookmarkEnd w:id="166"/>
    <w:p>
      <w:pPr>
        <w:snapToGrid w:val="0"/>
        <w:spacing w:line="360" w:lineRule="auto"/>
        <w:ind w:firstLine="420" w:firstLineChars="200"/>
        <w:rPr>
          <w:rFonts w:cs="仿宋" w:asciiTheme="minorEastAsia" w:hAnsiTheme="minorEastAsia" w:eastAsiaTheme="minorEastAsia"/>
          <w:kern w:val="0"/>
          <w:szCs w:val="21"/>
        </w:rPr>
      </w:pPr>
      <w:bookmarkStart w:id="167" w:name="_Toc368066697"/>
      <w:bookmarkStart w:id="168" w:name="_Toc12374"/>
      <w:bookmarkStart w:id="169" w:name="_Toc11534"/>
      <w:bookmarkStart w:id="170" w:name="_Toc240992316"/>
      <w:bookmarkStart w:id="171" w:name="_Toc136850810"/>
      <w:bookmarkStart w:id="172" w:name="_Toc192323538"/>
      <w:bookmarkStart w:id="173" w:name="_Toc357774473"/>
      <w:r>
        <w:rPr>
          <w:rFonts w:hint="eastAsia" w:cs="仿宋" w:asciiTheme="minorEastAsia" w:hAnsiTheme="minorEastAsia" w:eastAsiaTheme="minorEastAsia"/>
          <w:kern w:val="0"/>
          <w:szCs w:val="21"/>
        </w:rPr>
        <w:t>10.1人员管理不到位的违约责任</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kern w:val="0"/>
          <w:szCs w:val="21"/>
        </w:rPr>
        <w:t>合同履行期间，乙方确需更换项目负责人的，乙方应按甲方相关规定办理变更手续，且只能更换一次；经报甲方审批同意更换项目负责人的，乙方须支付10000元违约金。</w:t>
      </w:r>
      <w:r>
        <w:rPr>
          <w:rFonts w:hint="eastAsia" w:asciiTheme="minorEastAsia" w:hAnsiTheme="minorEastAsia" w:eastAsiaTheme="minorEastAsia"/>
          <w:szCs w:val="21"/>
        </w:rPr>
        <w:t>未经甲方审批同意，乙方擅自变更项目负责人的，乙方须支付20000元违约金。</w:t>
      </w:r>
    </w:p>
    <w:p>
      <w:pPr>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（2）合同履行期间，未征得甲方书面审批同意，乙方不得更换项目其他人员，乙方擅自更换项目其他人员的，乙方须向甲方支付4000元/人的违约金。</w:t>
      </w:r>
    </w:p>
    <w:p>
      <w:pPr>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乙方更换项目其他人员虽经甲方书面审批同意，乙方仍按以下方式向甲方承担违约责任：如乙方每年更换项目其他人员的总数量在项目总人数的30%以内（含30%），则乙方免予承担违约责任；如乙方每年更换项目其他人员的总数量在项目总人数的30%-50%（含50%），则对超过部分，乙方须向甲方支付2000元/人的违约金；如乙方每年更换项目其他人员的总数量超过项目总人数的50%以上，则对超过部分，乙方须向甲方支付3000元/人的违约金。</w:t>
      </w:r>
    </w:p>
    <w:p>
      <w:pPr>
        <w:snapToGrid w:val="0"/>
        <w:spacing w:line="360" w:lineRule="auto"/>
        <w:ind w:firstLine="420" w:firstLineChars="200"/>
        <w:rPr>
          <w:rFonts w:asciiTheme="minorEastAsia" w:hAnsiTheme="minorEastAsia" w:eastAsiaTheme="minorEastAsia"/>
          <w:szCs w:val="21"/>
        </w:rPr>
      </w:pPr>
      <w:r>
        <w:rPr>
          <w:rFonts w:hint="eastAsia" w:cs="仿宋" w:asciiTheme="minorEastAsia" w:hAnsiTheme="minorEastAsia" w:eastAsiaTheme="minorEastAsia"/>
          <w:szCs w:val="21"/>
        </w:rPr>
        <w:t>（4）项目负责人缺勤的，乙方须支付500元/天的违约金；项目其他人员缺勤的，乙方须支付200元/人天的违约金。缺勤以甲方不定时抽查和乙方内部审核的签到表或打卡记录为准。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10.2 维保工作不到位的违约责任</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维保工作不到位的违约责任在技术规格书中明确的，按技术规格书执行，无明确约定的，按下述条款执行。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（1）未经甲方书面同意，乙方在设备维保过程中使用不符合合同要求的备件和材料的，乙方应立即按甲方要求进行整改，且乙方须支付5000元/次的违约金。</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（2）乙方未采取严格的安全防护措施导致发生人员安全事故的，由乙方承担全部责任及由此而产生的一切费用。</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（3）乙方未按合同规定的时间对设备进行日常维护保养、特定日保障的（如有），则每漏做一次 (项），甲方有权扣除相应款项并按2000元/次(项）向乙方收取违约金。</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（4）乙方未按合同规定的时间进行日常维护保养、特定日保障的，或在接到甲方设备故障（缺陷）通知后，未按甲方要求的时间响应或到达现场进行维修处理的，则甲方有权按1000元/次向乙方收取违约金。</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5）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10.3违约金以现金或转账方式交纳，甲方开具收款收据、不提供发票，乙方不得因此冲减增值税专用发票金额。</w:t>
      </w:r>
    </w:p>
    <w:p>
      <w:pPr>
        <w:pStyle w:val="45"/>
        <w:spacing w:after="0" w:line="360" w:lineRule="auto"/>
        <w:ind w:firstLine="422"/>
        <w:outlineLvl w:val="1"/>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11、不可抗力</w:t>
      </w:r>
      <w:bookmarkEnd w:id="167"/>
      <w:bookmarkEnd w:id="168"/>
      <w:bookmarkEnd w:id="169"/>
    </w:p>
    <w:p>
      <w:pPr>
        <w:pStyle w:val="45"/>
        <w:spacing w:after="0" w:line="360" w:lineRule="auto"/>
        <w:rPr>
          <w:rFonts w:cs="仿宋" w:asciiTheme="minorEastAsia" w:hAnsiTheme="minorEastAsia" w:eastAsiaTheme="minorEastAsia"/>
          <w:szCs w:val="21"/>
        </w:rPr>
      </w:pPr>
      <w:bookmarkStart w:id="174" w:name="_Toc136850809"/>
      <w:r>
        <w:rPr>
          <w:rFonts w:hint="eastAsia" w:cs="仿宋" w:asciiTheme="minorEastAsia" w:hAnsiTheme="minorEastAsia" w:eastAsiaTheme="minor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74"/>
    <w:p>
      <w:pPr>
        <w:pStyle w:val="45"/>
        <w:spacing w:after="0" w:line="360" w:lineRule="auto"/>
        <w:ind w:firstLine="422"/>
        <w:outlineLvl w:val="1"/>
        <w:rPr>
          <w:rFonts w:cs="仿宋" w:asciiTheme="minorEastAsia" w:hAnsiTheme="minorEastAsia" w:eastAsiaTheme="minorEastAsia"/>
          <w:b/>
          <w:bCs/>
          <w:szCs w:val="21"/>
        </w:rPr>
      </w:pPr>
      <w:bookmarkStart w:id="175" w:name="_Toc18270"/>
      <w:bookmarkStart w:id="176" w:name="_Toc368066698"/>
      <w:bookmarkStart w:id="177" w:name="_Toc20430"/>
      <w:r>
        <w:rPr>
          <w:rFonts w:hint="eastAsia" w:cs="仿宋" w:asciiTheme="minorEastAsia" w:hAnsiTheme="minorEastAsia" w:eastAsiaTheme="minorEastAsia"/>
          <w:b/>
          <w:bCs/>
          <w:szCs w:val="21"/>
        </w:rPr>
        <w:t>12、争议解决</w:t>
      </w:r>
      <w:bookmarkEnd w:id="175"/>
      <w:bookmarkEnd w:id="176"/>
      <w:bookmarkEnd w:id="177"/>
    </w:p>
    <w:p>
      <w:pPr>
        <w:pStyle w:val="45"/>
        <w:spacing w:after="0" w:line="360" w:lineRule="auto"/>
        <w:rPr>
          <w:rFonts w:cs="仿宋" w:asciiTheme="minorEastAsia" w:hAnsiTheme="minorEastAsia" w:eastAsiaTheme="minorEastAsia"/>
          <w:szCs w:val="21"/>
        </w:rPr>
      </w:pPr>
      <w:bookmarkStart w:id="178" w:name="_Toc368066699"/>
      <w:r>
        <w:rPr>
          <w:rFonts w:hint="eastAsia" w:cs="仿宋" w:asciiTheme="minorEastAsia" w:hAnsiTheme="minorEastAsia" w:eastAsiaTheme="minorEastAsia"/>
          <w:szCs w:val="21"/>
        </w:rPr>
        <w:t>12.1合同双方在履行合同中发生争议的，先应友好协商解决或委托中介机构或专业部门进行鉴定，检测或审核，也可提请行政主管部门的专门机构进行调解。</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12.2合同当事人友好协商解决不成，不愿委托中介机构或专业部门鉴定、检测、审核、也不提请调解的，或不接受鉴定、检测、审核结论或调解意见的，可向工程所在地的人民法院提起诉讼。</w:t>
      </w:r>
    </w:p>
    <w:bookmarkEnd w:id="178"/>
    <w:p>
      <w:pPr>
        <w:pStyle w:val="45"/>
        <w:spacing w:after="0" w:line="360" w:lineRule="auto"/>
        <w:ind w:firstLine="422"/>
        <w:outlineLvl w:val="1"/>
        <w:rPr>
          <w:rFonts w:cs="仿宋" w:asciiTheme="minorEastAsia" w:hAnsiTheme="minorEastAsia" w:eastAsiaTheme="minorEastAsia"/>
          <w:b/>
          <w:bCs/>
          <w:szCs w:val="21"/>
        </w:rPr>
      </w:pPr>
      <w:bookmarkStart w:id="179" w:name="_Toc5613"/>
      <w:bookmarkStart w:id="180" w:name="_Toc24616"/>
      <w:r>
        <w:rPr>
          <w:rFonts w:hint="eastAsia" w:cs="仿宋" w:asciiTheme="minorEastAsia" w:hAnsiTheme="minorEastAsia" w:eastAsiaTheme="minorEastAsia"/>
          <w:b/>
          <w:bCs/>
          <w:szCs w:val="21"/>
        </w:rPr>
        <w:t>13、合同解除</w:t>
      </w:r>
      <w:bookmarkEnd w:id="179"/>
      <w:bookmarkEnd w:id="180"/>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13.1 有下列情形之一的，合同当事人一方或双方可以解除合同：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（1）乙方将本合同约定的工作全部或部分转包给他人，甲方可以解除合同；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（2）因不可抗力致使合同无法履行；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（3）因一方违约致使合同无法实际履行或实际履行已无必要。</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（4）违约金总额超过合同签约价的10%，甲方有权解除合同。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13.2 任何一方提出解除合同的，应提前30天书面通知对方。</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13.4本合同解除后，本合同约定的有关结算、争议解决方式的条款仍然有效。</w:t>
      </w:r>
    </w:p>
    <w:p>
      <w:pPr>
        <w:pStyle w:val="45"/>
        <w:spacing w:after="0" w:line="360" w:lineRule="auto"/>
        <w:ind w:firstLine="422"/>
        <w:outlineLvl w:val="1"/>
        <w:rPr>
          <w:rFonts w:cs="仿宋" w:asciiTheme="minorEastAsia" w:hAnsiTheme="minorEastAsia" w:eastAsiaTheme="minorEastAsia"/>
          <w:b/>
          <w:bCs/>
          <w:szCs w:val="21"/>
        </w:rPr>
      </w:pPr>
      <w:bookmarkStart w:id="181" w:name="_Toc7465"/>
      <w:bookmarkStart w:id="182" w:name="_Toc32137"/>
      <w:r>
        <w:rPr>
          <w:rFonts w:hint="eastAsia" w:cs="仿宋" w:asciiTheme="minorEastAsia" w:hAnsiTheme="minorEastAsia" w:eastAsiaTheme="minorEastAsia"/>
          <w:b/>
          <w:bCs/>
          <w:szCs w:val="21"/>
        </w:rPr>
        <w:t>14、合同终止</w:t>
      </w:r>
      <w:bookmarkEnd w:id="181"/>
      <w:bookmarkEnd w:id="182"/>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除合同解除外，以下条件全部满足时，本合同终止：</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（1）乙方完成本合同约定的全部工作；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（2）甲方与乙方结清并支付服务费用；</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（3）乙方将甲方提供的资料交还。</w:t>
      </w:r>
    </w:p>
    <w:p>
      <w:pPr>
        <w:pStyle w:val="45"/>
        <w:spacing w:after="0" w:line="360" w:lineRule="auto"/>
        <w:ind w:firstLine="422"/>
        <w:outlineLvl w:val="1"/>
        <w:rPr>
          <w:rFonts w:cs="仿宋" w:asciiTheme="minorEastAsia" w:hAnsiTheme="minorEastAsia" w:eastAsiaTheme="minorEastAsia"/>
          <w:b/>
          <w:bCs/>
          <w:szCs w:val="21"/>
          <w:u w:val="single"/>
        </w:rPr>
      </w:pPr>
      <w:bookmarkStart w:id="183" w:name="_Toc20824"/>
      <w:r>
        <w:rPr>
          <w:rFonts w:hint="eastAsia" w:cs="仿宋" w:asciiTheme="minorEastAsia" w:hAnsiTheme="minorEastAsia" w:eastAsiaTheme="minorEastAsia"/>
          <w:b/>
          <w:bCs/>
          <w:szCs w:val="21"/>
        </w:rPr>
        <w:t>15、双方约定的其他事项</w:t>
      </w:r>
      <w:bookmarkEnd w:id="183"/>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szCs w:val="21"/>
          <w:u w:val="single"/>
        </w:rPr>
        <w:t xml:space="preserve">   /    </w:t>
      </w:r>
    </w:p>
    <w:bookmarkEnd w:id="170"/>
    <w:bookmarkEnd w:id="171"/>
    <w:bookmarkEnd w:id="172"/>
    <w:bookmarkEnd w:id="173"/>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bookmarkStart w:id="184" w:name="_Toc25884"/>
      <w:bookmarkStart w:id="185" w:name="_Toc26755"/>
    </w:p>
    <w:p>
      <w:pPr>
        <w:widowControl/>
        <w:spacing w:line="360" w:lineRule="auto"/>
        <w:jc w:val="left"/>
        <w:rPr>
          <w:rFonts w:cs="仿宋" w:asciiTheme="minorEastAsia" w:hAnsiTheme="minorEastAsia" w:eastAsiaTheme="minorEastAsia"/>
          <w:b/>
          <w:kern w:val="0"/>
          <w:sz w:val="32"/>
          <w:szCs w:val="32"/>
        </w:rPr>
        <w:sectPr>
          <w:pgSz w:w="11850" w:h="16783"/>
          <w:pgMar w:top="1440" w:right="1800" w:bottom="1440" w:left="1800" w:header="851" w:footer="992" w:gutter="0"/>
          <w:cols w:space="720" w:num="1"/>
        </w:sectPr>
      </w:pPr>
    </w:p>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r>
        <w:rPr>
          <w:rFonts w:hint="eastAsia" w:cs="仿宋" w:asciiTheme="minorEastAsia" w:hAnsiTheme="minorEastAsia" w:eastAsiaTheme="minorEastAsia"/>
          <w:b/>
          <w:kern w:val="0"/>
          <w:sz w:val="32"/>
          <w:szCs w:val="32"/>
        </w:rPr>
        <w:t>第四部分 技术规格书</w:t>
      </w:r>
      <w:bookmarkEnd w:id="184"/>
      <w:bookmarkEnd w:id="185"/>
    </w:p>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p>
    <w:p>
      <w:pPr>
        <w:widowControl/>
        <w:spacing w:line="360" w:lineRule="auto"/>
        <w:jc w:val="left"/>
        <w:rPr>
          <w:rFonts w:cs="仿宋" w:asciiTheme="minorEastAsia" w:hAnsiTheme="minorEastAsia" w:eastAsiaTheme="minorEastAsia"/>
          <w:b/>
          <w:kern w:val="0"/>
          <w:sz w:val="32"/>
          <w:szCs w:val="32"/>
        </w:rPr>
        <w:sectPr>
          <w:pgSz w:w="11850" w:h="16783"/>
          <w:pgMar w:top="1440" w:right="1800" w:bottom="1440" w:left="1800" w:header="851" w:footer="992" w:gutter="0"/>
          <w:cols w:space="720" w:num="1"/>
        </w:sectPr>
      </w:pPr>
    </w:p>
    <w:p>
      <w:pPr>
        <w:tabs>
          <w:tab w:val="left" w:pos="851"/>
          <w:tab w:val="left" w:pos="1440"/>
        </w:tabs>
        <w:adjustRightInd w:val="0"/>
        <w:snapToGrid w:val="0"/>
        <w:spacing w:before="156" w:beforeLines="50" w:after="156" w:afterLines="50" w:line="360" w:lineRule="auto"/>
        <w:jc w:val="center"/>
        <w:outlineLvl w:val="0"/>
        <w:rPr>
          <w:rFonts w:cs="仿宋" w:asciiTheme="minorEastAsia" w:hAnsiTheme="minorEastAsia" w:eastAsiaTheme="minorEastAsia"/>
          <w:b/>
          <w:kern w:val="0"/>
          <w:sz w:val="32"/>
          <w:szCs w:val="32"/>
        </w:rPr>
      </w:pPr>
      <w:bookmarkStart w:id="186" w:name="_Toc26605"/>
      <w:bookmarkStart w:id="187" w:name="_Toc29947"/>
      <w:r>
        <w:rPr>
          <w:rFonts w:hint="eastAsia" w:cs="仿宋" w:asciiTheme="minorEastAsia" w:hAnsiTheme="minorEastAsia" w:eastAsiaTheme="minorEastAsia"/>
          <w:b/>
          <w:kern w:val="0"/>
          <w:sz w:val="32"/>
          <w:szCs w:val="32"/>
        </w:rPr>
        <w:t>第五部分 合同附件</w:t>
      </w:r>
      <w:bookmarkEnd w:id="186"/>
      <w:bookmarkEnd w:id="187"/>
      <w:r>
        <w:rPr>
          <w:rFonts w:hint="eastAsia" w:cs="仿宋" w:asciiTheme="minorEastAsia" w:hAnsiTheme="minorEastAsia" w:eastAsiaTheme="minorEastAsia"/>
          <w:b/>
          <w:kern w:val="0"/>
          <w:sz w:val="32"/>
          <w:szCs w:val="32"/>
        </w:rPr>
        <w:t xml:space="preserve"> </w:t>
      </w:r>
    </w:p>
    <w:p>
      <w:pPr>
        <w:adjustRightInd w:val="0"/>
        <w:snapToGrid w:val="0"/>
        <w:outlineLvl w:val="1"/>
        <w:rPr>
          <w:rFonts w:cs="仿宋_GB2312" w:asciiTheme="minorEastAsia" w:hAnsiTheme="minorEastAsia" w:eastAsiaTheme="minorEastAsia"/>
          <w:b/>
          <w:sz w:val="32"/>
          <w:szCs w:val="32"/>
        </w:rPr>
      </w:pPr>
      <w:bookmarkStart w:id="188" w:name="_Toc24224"/>
      <w:bookmarkStart w:id="189" w:name="_Toc452557272"/>
      <w:bookmarkStart w:id="190" w:name="_Toc19498"/>
      <w:r>
        <w:rPr>
          <w:rFonts w:hint="eastAsia" w:cs="仿宋_GB2312" w:asciiTheme="minorEastAsia" w:hAnsiTheme="minorEastAsia" w:eastAsiaTheme="minorEastAsia"/>
          <w:b/>
          <w:bCs/>
          <w:sz w:val="24"/>
        </w:rPr>
        <w:t>附件1 廉政协议</w:t>
      </w:r>
    </w:p>
    <w:p>
      <w:pPr>
        <w:adjustRightInd w:val="0"/>
        <w:snapToGrid w:val="0"/>
        <w:spacing w:before="156" w:beforeLines="50"/>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廉政协议</w:t>
      </w:r>
    </w:p>
    <w:p>
      <w:pPr>
        <w:widowControl/>
        <w:snapToGrid w:val="0"/>
        <w:spacing w:line="360" w:lineRule="auto"/>
        <w:jc w:val="left"/>
        <w:rPr>
          <w:rFonts w:cs="仿宋_GB2312" w:asciiTheme="minorEastAsia" w:hAnsiTheme="minorEastAsia" w:eastAsiaTheme="minorEastAsia"/>
          <w:kern w:val="0"/>
          <w:sz w:val="24"/>
          <w:lang w:bidi="en-US"/>
        </w:rPr>
      </w:pPr>
    </w:p>
    <w:p>
      <w:pPr>
        <w:widowControl/>
        <w:snapToGrid w:val="0"/>
        <w:spacing w:line="444" w:lineRule="exact"/>
        <w:jc w:val="left"/>
        <w:rPr>
          <w:rFonts w:hint="eastAsia" w:ascii="宋体" w:hAnsi="宋体" w:eastAsia="宋体" w:cs="宋体"/>
          <w:kern w:val="0"/>
          <w:sz w:val="21"/>
          <w:szCs w:val="21"/>
          <w:u w:val="single"/>
          <w:lang w:bidi="en-US"/>
        </w:rPr>
      </w:pPr>
      <w:r>
        <w:rPr>
          <w:rFonts w:hint="eastAsia" w:ascii="宋体" w:hAnsi="宋体" w:eastAsia="宋体" w:cs="宋体"/>
          <w:kern w:val="0"/>
          <w:sz w:val="21"/>
          <w:szCs w:val="21"/>
          <w:lang w:bidi="en-US"/>
        </w:rPr>
        <w:t>甲方（全称）：</w:t>
      </w:r>
      <w:r>
        <w:rPr>
          <w:rFonts w:hint="eastAsia" w:ascii="宋体" w:hAnsi="宋体" w:eastAsia="宋体" w:cs="宋体"/>
          <w:kern w:val="0"/>
          <w:sz w:val="21"/>
          <w:szCs w:val="21"/>
          <w:u w:val="single"/>
          <w:lang w:bidi="en-US"/>
        </w:rPr>
        <w:t xml:space="preserve">                      </w:t>
      </w:r>
    </w:p>
    <w:p>
      <w:pPr>
        <w:widowControl/>
        <w:snapToGrid w:val="0"/>
        <w:spacing w:line="444" w:lineRule="exact"/>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乙方（全称）：</w:t>
      </w:r>
      <w:r>
        <w:rPr>
          <w:rFonts w:hint="eastAsia" w:ascii="宋体" w:hAnsi="宋体" w:eastAsia="宋体" w:cs="宋体"/>
          <w:kern w:val="0"/>
          <w:sz w:val="21"/>
          <w:szCs w:val="21"/>
          <w:u w:val="single"/>
          <w:lang w:bidi="en-US"/>
        </w:rPr>
        <w:t xml:space="preserve">                      </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w:t>
      </w:r>
      <w:r>
        <w:rPr>
          <w:rFonts w:hint="eastAsia" w:ascii="宋体" w:hAnsi="宋体" w:eastAsia="宋体" w:cs="宋体"/>
          <w:sz w:val="21"/>
          <w:szCs w:val="21"/>
          <w:u w:val="single"/>
        </w:rPr>
        <w:t xml:space="preserve">                </w:t>
      </w:r>
      <w:r>
        <w:rPr>
          <w:rFonts w:hint="eastAsia" w:ascii="宋体" w:hAnsi="宋体" w:eastAsia="宋体" w:cs="宋体"/>
          <w:sz w:val="21"/>
          <w:szCs w:val="21"/>
        </w:rPr>
        <w:t>的项目法人</w:t>
      </w:r>
      <w:r>
        <w:rPr>
          <w:rFonts w:hint="eastAsia" w:ascii="宋体" w:hAnsi="宋体" w:eastAsia="宋体" w:cs="宋体"/>
          <w:sz w:val="21"/>
          <w:szCs w:val="21"/>
          <w:u w:val="single"/>
        </w:rPr>
        <w:t xml:space="preserve">            </w:t>
      </w:r>
      <w:r>
        <w:rPr>
          <w:rFonts w:hint="eastAsia" w:ascii="宋体" w:hAnsi="宋体" w:eastAsia="宋体" w:cs="宋体"/>
          <w:sz w:val="21"/>
          <w:szCs w:val="21"/>
        </w:rPr>
        <w:t>(以下称甲方)与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（以下称乙方），甲、乙双方特订立如下合同：</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第一条 共同责任</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第二条 甲方义务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第三条 乙方义务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（五）乙方不得有违反法律、法规、廉洁从业规定的其他行为。</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第四条 违约责任</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（一）甲方及其工作人员违反本合同第一、二条，按管理权限，依据有关规定给予党纪、政纪或组织处理，调离其工作岗位；涉嫌犯罪的，移交司法机关追究刑事责任；给乙方造成经济损失的，应予以赔偿。</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第六条 本合同有效期为甲乙双方签署之日起至主合同完全履行完毕之日止。</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第七条 本合同作为主合同的附件，与主合同具有同等的法律效力，经合同双方签署立即生效。</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第八条 发现有违反相关要求的，可通过以下途径举报：</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（1）监督举报电话（限短信方式）：15367896029，15874975219。</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"mailto:yygsjbyx2015@163.com。" </w:instrText>
      </w:r>
      <w:r>
        <w:rPr>
          <w:rFonts w:hint="eastAsia" w:ascii="宋体" w:hAnsi="宋体" w:eastAsia="宋体" w:cs="宋体"/>
          <w:sz w:val="21"/>
          <w:szCs w:val="21"/>
        </w:rPr>
        <w:fldChar w:fldCharType="separate"/>
      </w:r>
      <w:r>
        <w:rPr>
          <w:rStyle w:val="55"/>
          <w:rFonts w:hint="eastAsia" w:ascii="宋体" w:hAnsi="宋体" w:eastAsia="宋体" w:cs="宋体"/>
          <w:color w:val="auto"/>
          <w:sz w:val="21"/>
          <w:szCs w:val="21"/>
        </w:rPr>
        <w:t>yygsjbyx2015@163.com。</w:t>
      </w:r>
      <w:r>
        <w:rPr>
          <w:rStyle w:val="55"/>
          <w:rFonts w:hint="eastAsia" w:ascii="宋体" w:hAnsi="宋体" w:eastAsia="宋体" w:cs="宋体"/>
          <w:color w:val="auto"/>
          <w:sz w:val="21"/>
          <w:szCs w:val="21"/>
        </w:rPr>
        <w:fldChar w:fldCharType="end"/>
      </w:r>
    </w:p>
    <w:p>
      <w:pPr>
        <w:pStyle w:val="2"/>
        <w:rPr>
          <w:rFonts w:hint="eastAsia" w:ascii="宋体" w:hAnsi="宋体" w:eastAsia="宋体" w:cs="宋体"/>
          <w:sz w:val="21"/>
          <w:szCs w:val="21"/>
        </w:rPr>
      </w:pPr>
    </w:p>
    <w:p>
      <w:pPr>
        <w:snapToGrid w:val="0"/>
        <w:spacing w:line="444" w:lineRule="exact"/>
        <w:ind w:firstLine="510"/>
        <w:rPr>
          <w:rFonts w:hint="eastAsia" w:ascii="宋体" w:hAnsi="宋体" w:eastAsia="宋体" w:cs="宋体"/>
          <w:sz w:val="21"/>
          <w:szCs w:val="21"/>
        </w:rPr>
      </w:pPr>
    </w:p>
    <w:p>
      <w:pPr>
        <w:adjustRightInd w:val="0"/>
        <w:snapToGrid w:val="0"/>
        <w:spacing w:line="444" w:lineRule="exact"/>
        <w:jc w:val="left"/>
        <w:rPr>
          <w:rFonts w:hint="eastAsia" w:ascii="宋体" w:hAnsi="宋体" w:eastAsia="宋体" w:cs="宋体"/>
          <w:sz w:val="21"/>
          <w:szCs w:val="21"/>
          <w:u w:val="single"/>
        </w:rPr>
      </w:pPr>
      <w:r>
        <w:rPr>
          <w:rFonts w:hint="eastAsia" w:ascii="宋体" w:hAnsi="宋体" w:eastAsia="宋体" w:cs="宋体"/>
          <w:sz w:val="21"/>
          <w:szCs w:val="21"/>
        </w:rPr>
        <w:t>甲方单位：</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乙方单位：</w:t>
      </w:r>
      <w:r>
        <w:rPr>
          <w:rFonts w:hint="eastAsia" w:ascii="宋体" w:hAnsi="宋体" w:eastAsia="宋体" w:cs="宋体"/>
          <w:sz w:val="21"/>
          <w:szCs w:val="21"/>
          <w:u w:val="single"/>
        </w:rPr>
        <w:t xml:space="preserve"> （盖章）   </w:t>
      </w:r>
    </w:p>
    <w:p>
      <w:pPr>
        <w:adjustRightInd w:val="0"/>
        <w:snapToGrid w:val="0"/>
        <w:spacing w:line="444" w:lineRule="exact"/>
        <w:jc w:val="left"/>
        <w:rPr>
          <w:rFonts w:hint="eastAsia" w:ascii="宋体" w:hAnsi="宋体" w:eastAsia="宋体" w:cs="宋体"/>
          <w:sz w:val="21"/>
          <w:szCs w:val="21"/>
        </w:rPr>
      </w:pPr>
    </w:p>
    <w:p>
      <w:pPr>
        <w:adjustRightInd w:val="0"/>
        <w:snapToGrid w:val="0"/>
        <w:spacing w:line="444" w:lineRule="exact"/>
        <w:jc w:val="left"/>
        <w:rPr>
          <w:rFonts w:hint="eastAsia" w:ascii="宋体" w:hAnsi="宋体" w:eastAsia="宋体" w:cs="宋体"/>
          <w:sz w:val="21"/>
          <w:szCs w:val="21"/>
        </w:rPr>
      </w:pPr>
      <w:r>
        <w:rPr>
          <w:rFonts w:hint="eastAsia" w:ascii="宋体" w:hAnsi="宋体" w:eastAsia="宋体" w:cs="宋体"/>
          <w:sz w:val="21"/>
          <w:szCs w:val="21"/>
        </w:rPr>
        <w:t>法定代表人或授权代表：</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法定代表人或授权代表：</w:t>
      </w:r>
      <w:r>
        <w:rPr>
          <w:rFonts w:hint="eastAsia" w:ascii="宋体" w:hAnsi="宋体" w:eastAsia="宋体" w:cs="宋体"/>
          <w:sz w:val="21"/>
          <w:szCs w:val="21"/>
          <w:u w:val="single"/>
        </w:rPr>
        <w:t>（签字）</w:t>
      </w:r>
    </w:p>
    <w:p>
      <w:pPr>
        <w:adjustRightInd w:val="0"/>
        <w:snapToGrid w:val="0"/>
        <w:spacing w:line="444" w:lineRule="exact"/>
        <w:jc w:val="left"/>
        <w:rPr>
          <w:rFonts w:hint="eastAsia" w:ascii="宋体" w:hAnsi="宋体" w:eastAsia="宋体" w:cs="宋体"/>
          <w:sz w:val="21"/>
          <w:szCs w:val="21"/>
          <w:u w:val="single"/>
        </w:rPr>
      </w:pPr>
      <w:r>
        <w:rPr>
          <w:rFonts w:hint="eastAsia" w:ascii="宋体" w:hAnsi="宋体" w:eastAsia="宋体" w:cs="宋体"/>
          <w:sz w:val="21"/>
          <w:szCs w:val="21"/>
        </w:rPr>
        <w:t xml:space="preserve">                         </w:t>
      </w:r>
    </w:p>
    <w:p>
      <w:pPr>
        <w:pStyle w:val="13"/>
        <w:snapToGrid w:val="0"/>
        <w:spacing w:line="360" w:lineRule="auto"/>
        <w:ind w:firstLine="0"/>
        <w:outlineLvl w:val="1"/>
        <w:rPr>
          <w:rFonts w:hint="eastAsia" w:ascii="宋体" w:hAnsi="宋体" w:eastAsia="宋体" w:cs="宋体"/>
          <w:b/>
          <w:sz w:val="21"/>
          <w:szCs w:val="21"/>
        </w:rPr>
      </w:pPr>
      <w:r>
        <w:rPr>
          <w:rFonts w:hint="eastAsia" w:ascii="宋体" w:hAnsi="宋体" w:eastAsia="宋体" w:cs="宋体"/>
          <w:sz w:val="21"/>
          <w:szCs w:val="21"/>
        </w:rPr>
        <w:t xml:space="preserve">时间：                                 时间：           </w:t>
      </w:r>
    </w:p>
    <w:p>
      <w:pPr>
        <w:widowControl/>
        <w:spacing w:beforeAutospacing="1" w:afterAutospacing="1" w:line="360" w:lineRule="auto"/>
        <w:jc w:val="left"/>
        <w:rPr>
          <w:rFonts w:cs="仿宋_GB2312" w:asciiTheme="minorEastAsia" w:hAnsiTheme="minorEastAsia" w:eastAsiaTheme="minorEastAsia"/>
          <w:b/>
          <w:sz w:val="24"/>
        </w:rPr>
        <w:sectPr>
          <w:pgSz w:w="11850" w:h="16783"/>
          <w:pgMar w:top="1440" w:right="1361" w:bottom="1440" w:left="1474" w:header="851" w:footer="992" w:gutter="0"/>
          <w:cols w:space="720" w:num="1"/>
          <w:docGrid w:type="lines" w:linePitch="312" w:charSpace="0"/>
        </w:sectPr>
      </w:pPr>
    </w:p>
    <w:p>
      <w:pPr>
        <w:tabs>
          <w:tab w:val="left" w:pos="540"/>
        </w:tabs>
        <w:spacing w:line="360" w:lineRule="auto"/>
        <w:outlineLvl w:val="1"/>
        <w:rPr>
          <w:rFonts w:cs="仿宋" w:asciiTheme="minorEastAsia" w:hAnsiTheme="minorEastAsia" w:eastAsiaTheme="minorEastAsia"/>
          <w:b/>
          <w:bCs/>
          <w:sz w:val="24"/>
        </w:rPr>
      </w:pPr>
      <w:r>
        <w:rPr>
          <w:rFonts w:hint="eastAsia" w:cs="仿宋" w:asciiTheme="minorEastAsia" w:hAnsiTheme="minorEastAsia" w:eastAsiaTheme="minorEastAsia"/>
          <w:b/>
          <w:bCs/>
          <w:sz w:val="24"/>
        </w:rPr>
        <w:t>附件2 签约合同价清单</w:t>
      </w:r>
      <w:bookmarkEnd w:id="188"/>
      <w:bookmarkEnd w:id="189"/>
      <w:bookmarkEnd w:id="190"/>
    </w:p>
    <w:p>
      <w:pPr>
        <w:tabs>
          <w:tab w:val="left" w:pos="540"/>
        </w:tabs>
        <w:spacing w:line="360" w:lineRule="auto"/>
        <w:outlineLvl w:val="1"/>
        <w:rPr>
          <w:rFonts w:cs="仿宋" w:asciiTheme="minorEastAsia" w:hAnsiTheme="minorEastAsia" w:eastAsiaTheme="minorEastAsia"/>
          <w:b/>
          <w:bCs/>
          <w:sz w:val="24"/>
        </w:rPr>
      </w:pPr>
      <w:bookmarkStart w:id="191" w:name="_Toc452557274"/>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4"/>
        </w:rPr>
        <w:br w:type="page"/>
      </w:r>
      <w:bookmarkStart w:id="192" w:name="_Toc14441"/>
      <w:bookmarkStart w:id="193" w:name="_Toc14602"/>
      <w:r>
        <w:rPr>
          <w:rFonts w:hint="eastAsia" w:cs="仿宋" w:asciiTheme="minorEastAsia" w:hAnsiTheme="minorEastAsia" w:eastAsiaTheme="minorEastAsia"/>
          <w:b/>
          <w:bCs/>
          <w:sz w:val="21"/>
          <w:szCs w:val="21"/>
        </w:rPr>
        <w:t>附件</w:t>
      </w:r>
      <w:bookmarkEnd w:id="191"/>
      <w:r>
        <w:rPr>
          <w:rFonts w:hint="eastAsia" w:cs="仿宋" w:asciiTheme="minorEastAsia" w:hAnsiTheme="minorEastAsia" w:eastAsiaTheme="minorEastAsia"/>
          <w:b/>
          <w:bCs/>
          <w:sz w:val="21"/>
          <w:szCs w:val="21"/>
        </w:rPr>
        <w:t>3 澄清与答疑</w:t>
      </w:r>
      <w:bookmarkEnd w:id="192"/>
      <w:r>
        <w:rPr>
          <w:rFonts w:hint="eastAsia" w:cs="仿宋" w:asciiTheme="minorEastAsia" w:hAnsiTheme="minorEastAsia" w:eastAsiaTheme="minorEastAsia"/>
          <w:b/>
          <w:bCs/>
          <w:sz w:val="21"/>
          <w:szCs w:val="21"/>
        </w:rPr>
        <w:t>文件</w:t>
      </w:r>
      <w:bookmarkEnd w:id="193"/>
      <w:bookmarkStart w:id="194" w:name="_Toc16731"/>
      <w:bookmarkStart w:id="195" w:name="_Toc18048"/>
      <w:bookmarkStart w:id="196" w:name="_Toc329927978"/>
      <w:bookmarkStart w:id="197" w:name="_Toc329933650"/>
      <w:bookmarkStart w:id="198" w:name="_Toc329859988"/>
      <w:bookmarkStart w:id="199" w:name="_Toc369359824"/>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附件4 项目关键岗位人员表（如有）</w:t>
      </w:r>
      <w:bookmarkEnd w:id="194"/>
      <w:bookmarkEnd w:id="195"/>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附件5 最高投标限价公示说明（如有）</w:t>
      </w:r>
      <w:bookmarkStart w:id="200" w:name="_Toc27309"/>
      <w:bookmarkStart w:id="201" w:name="_Toc11505"/>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第六部分  合同附录</w:t>
      </w:r>
      <w:bookmarkEnd w:id="196"/>
      <w:bookmarkEnd w:id="197"/>
      <w:bookmarkEnd w:id="198"/>
      <w:bookmarkEnd w:id="199"/>
      <w:bookmarkEnd w:id="200"/>
      <w:bookmarkEnd w:id="201"/>
    </w:p>
    <w:p>
      <w:pPr>
        <w:snapToGrid w:val="0"/>
        <w:spacing w:line="360" w:lineRule="auto"/>
        <w:outlineLvl w:val="1"/>
        <w:rPr>
          <w:rFonts w:asciiTheme="minorEastAsia" w:hAnsiTheme="minorEastAsia" w:eastAsiaTheme="minorEastAsia"/>
          <w:b/>
          <w:sz w:val="24"/>
        </w:rPr>
      </w:pPr>
      <w:bookmarkStart w:id="202" w:name="_Toc11176"/>
      <w:bookmarkStart w:id="203" w:name="_Toc24148"/>
      <w:bookmarkStart w:id="204" w:name="_Toc4754"/>
      <w:bookmarkStart w:id="205" w:name="_Toc17718"/>
      <w:bookmarkStart w:id="206" w:name="_Toc2772"/>
      <w:bookmarkStart w:id="207" w:name="_Toc15912"/>
      <w:r>
        <w:rPr>
          <w:rFonts w:hint="eastAsia" w:asciiTheme="minorEastAsia" w:hAnsiTheme="minorEastAsia" w:eastAsiaTheme="minorEastAsia"/>
          <w:b/>
          <w:sz w:val="24"/>
        </w:rPr>
        <w:t xml:space="preserve">附录1 </w:t>
      </w:r>
      <w:bookmarkEnd w:id="202"/>
      <w:bookmarkEnd w:id="203"/>
      <w:bookmarkEnd w:id="204"/>
      <w:r>
        <w:rPr>
          <w:rFonts w:hint="eastAsia" w:asciiTheme="minorEastAsia" w:hAnsiTheme="minorEastAsia" w:eastAsiaTheme="minorEastAsia"/>
          <w:b/>
          <w:sz w:val="24"/>
        </w:rPr>
        <w:t>履约保函（格式）</w:t>
      </w:r>
    </w:p>
    <w:bookmarkEnd w:id="205"/>
    <w:bookmarkEnd w:id="206"/>
    <w:p>
      <w:pPr>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 xml:space="preserve">                     保函编号：</w:t>
      </w:r>
    </w:p>
    <w:p>
      <w:pPr>
        <w:jc w:val="center"/>
        <w:rPr>
          <w:rFonts w:cs="仿宋_GB2312" w:asciiTheme="minorEastAsia" w:hAnsiTheme="minorEastAsia" w:eastAsiaTheme="minorEastAsia"/>
          <w:b/>
          <w:sz w:val="24"/>
        </w:rPr>
      </w:pPr>
    </w:p>
    <w:p>
      <w:pPr>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银行履约保函</w:t>
      </w:r>
    </w:p>
    <w:p>
      <w:pPr>
        <w:jc w:val="center"/>
        <w:rPr>
          <w:rFonts w:cs="仿宋_GB2312" w:asciiTheme="minorEastAsia" w:hAnsiTheme="minorEastAsia" w:eastAsiaTheme="minorEastAsia"/>
          <w:b/>
          <w:sz w:val="24"/>
        </w:rPr>
      </w:pPr>
    </w:p>
    <w:p>
      <w:pPr>
        <w:adjustRightInd w:val="0"/>
        <w:snapToGrid w:val="0"/>
        <w:spacing w:line="360" w:lineRule="auto"/>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甲方（全称）：</w:t>
      </w:r>
      <w:r>
        <w:rPr>
          <w:rFonts w:hint="eastAsia" w:cs="仿宋_GB2312" w:asciiTheme="minorEastAsia" w:hAnsiTheme="minorEastAsia" w:eastAsiaTheme="minorEastAsia"/>
          <w:sz w:val="21"/>
          <w:szCs w:val="21"/>
          <w:u w:val="single"/>
        </w:rPr>
        <w:t xml:space="preserve">                  </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鉴于甲方（以下简称“你方”）与</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（乙方全称，以下简称“乙方”）于</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年</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月</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日协商一致共同签订合同编号为</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的《</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1、担保金额为人民币（大写）</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元（小写：</w:t>
      </w:r>
      <w:r>
        <w:rPr>
          <w:rFonts w:hint="eastAsia" w:cs="宋体" w:asciiTheme="minorEastAsia" w:hAnsiTheme="minorEastAsia" w:eastAsiaTheme="minorEastAsia"/>
          <w:sz w:val="21"/>
          <w:szCs w:val="21"/>
        </w:rPr>
        <w:t>¥</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2、担保期限为自本保函生效之日起至</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之日止。</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4、你方和乙方按合同约定变更合同时，我方承担本担保规定的义务不变。</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本保函自我方加盖公章之日起生效。</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担保人（盖公章）：</w:t>
      </w:r>
    </w:p>
    <w:p>
      <w:pPr>
        <w:adjustRightInd w:val="0"/>
        <w:snapToGrid w:val="0"/>
        <w:spacing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签字：</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地址：</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邮政编码：</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电话：</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传真：</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时间：</w:t>
      </w:r>
    </w:p>
    <w:bookmarkEnd w:id="207"/>
    <w:p>
      <w:pPr>
        <w:rPr>
          <w:rFonts w:cs="仿宋_GB2312" w:asciiTheme="minorEastAsia" w:hAnsiTheme="minorEastAsia" w:eastAsiaTheme="minorEastAsia"/>
          <w:b/>
          <w:snapToGrid w:val="0"/>
          <w:sz w:val="18"/>
          <w:szCs w:val="18"/>
        </w:rPr>
      </w:pPr>
      <w:r>
        <w:rPr>
          <w:rFonts w:cs="仿宋_GB2312" w:asciiTheme="minorEastAsia" w:hAnsiTheme="minorEastAsia" w:eastAsiaTheme="minorEastAsia"/>
          <w:b/>
          <w:snapToGrid w:val="0"/>
          <w:sz w:val="18"/>
          <w:szCs w:val="18"/>
        </w:rPr>
        <w:br w:type="page"/>
      </w:r>
    </w:p>
    <w:p>
      <w:pPr>
        <w:pStyle w:val="3"/>
        <w:keepNext w:val="0"/>
        <w:spacing w:line="360" w:lineRule="auto"/>
        <w:ind w:firstLine="643" w:firstLineChars="200"/>
        <w:rPr>
          <w:rFonts w:cs="宋体" w:asciiTheme="minorEastAsia" w:hAnsiTheme="minorEastAsia" w:eastAsiaTheme="minorEastAsia"/>
          <w:bCs w:val="0"/>
          <w:sz w:val="32"/>
          <w:szCs w:val="32"/>
        </w:rPr>
      </w:pPr>
      <w:bookmarkStart w:id="208" w:name="_Toc27097"/>
      <w:r>
        <w:rPr>
          <w:rFonts w:hint="eastAsia" w:cs="宋体" w:asciiTheme="minorEastAsia" w:hAnsiTheme="minorEastAsia" w:eastAsiaTheme="minorEastAsia"/>
          <w:bCs w:val="0"/>
          <w:sz w:val="32"/>
          <w:szCs w:val="32"/>
        </w:rPr>
        <w:t>第六章  响应文件组成</w:t>
      </w:r>
      <w:bookmarkEnd w:id="208"/>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0</wp:posOffset>
                </wp:positionV>
                <wp:extent cx="1114425" cy="419100"/>
                <wp:effectExtent l="9525" t="12700" r="9525" b="15875"/>
                <wp:wrapNone/>
                <wp:docPr id="12"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63360;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2"/>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2"/>
        <w:ind w:left="0" w:leftChars="0"/>
        <w:rPr>
          <w:rFonts w:asciiTheme="minorEastAsia" w:hAnsiTheme="minorEastAsia" w:eastAsiaTheme="minorEastAsia"/>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谈判项目名称：</w:t>
      </w:r>
      <w:r>
        <w:rPr>
          <w:rFonts w:hint="eastAsia" w:asciiTheme="minorEastAsia" w:hAnsiTheme="minorEastAsia" w:eastAsiaTheme="minorEastAsia"/>
          <w:b/>
          <w:bCs/>
          <w:sz w:val="32"/>
          <w:szCs w:val="32"/>
          <w:u w:val="single"/>
        </w:rPr>
        <w:t xml:space="preserve">                      </w:t>
      </w:r>
    </w:p>
    <w:p>
      <w:pPr>
        <w:pStyle w:val="2"/>
        <w:spacing w:line="360" w:lineRule="auto"/>
        <w:ind w:left="0" w:leftChars="0"/>
        <w:rPr>
          <w:rFonts w:asciiTheme="minorEastAsia" w:hAnsiTheme="minorEastAsia" w:eastAsiaTheme="minorEastAsia"/>
          <w:b/>
          <w:bCs/>
          <w:sz w:val="32"/>
          <w:szCs w:val="32"/>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谈判单位名称：</w:t>
      </w:r>
      <w:r>
        <w:rPr>
          <w:rFonts w:hint="eastAsia" w:asciiTheme="minorEastAsia" w:hAnsiTheme="minorEastAsia" w:eastAsiaTheme="minorEastAsia"/>
          <w:b/>
          <w:bCs/>
          <w:sz w:val="32"/>
          <w:szCs w:val="32"/>
          <w:u w:val="single"/>
        </w:rPr>
        <w:t xml:space="preserve">      （加盖单位公章）</w:t>
      </w:r>
    </w:p>
    <w:p>
      <w:pPr>
        <w:pStyle w:val="25"/>
        <w:adjustRightInd w:val="0"/>
        <w:snapToGrid w:val="0"/>
        <w:spacing w:line="360" w:lineRule="auto"/>
        <w:rPr>
          <w:rFonts w:asciiTheme="minorEastAsia" w:hAnsiTheme="minorEastAsia" w:eastAsiaTheme="minorEastAsia"/>
          <w:b/>
          <w:bCs/>
          <w:sz w:val="32"/>
          <w:szCs w:val="32"/>
          <w:u w:val="single"/>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谈判项目编号：</w:t>
      </w:r>
      <w:r>
        <w:rPr>
          <w:rFonts w:hint="eastAsia" w:asciiTheme="minorEastAsia" w:hAnsiTheme="minorEastAsia" w:eastAsiaTheme="minorEastAsia"/>
          <w:b/>
          <w:bCs/>
          <w:sz w:val="32"/>
          <w:szCs w:val="32"/>
          <w:u w:val="single"/>
        </w:rPr>
        <w:t xml:space="preserve">                      </w:t>
      </w:r>
    </w:p>
    <w:p>
      <w:pPr>
        <w:spacing w:line="360" w:lineRule="auto"/>
        <w:rPr>
          <w:rFonts w:asciiTheme="minorEastAsia" w:hAnsiTheme="minorEastAsia" w:eastAsiaTheme="minorEastAsia"/>
          <w:b/>
          <w:bCs/>
          <w:sz w:val="44"/>
          <w:szCs w:val="44"/>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日  期：</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360" w:lineRule="auto"/>
        <w:ind w:firstLine="883" w:firstLineChars="200"/>
        <w:jc w:val="center"/>
        <w:rPr>
          <w:rFonts w:asciiTheme="minorEastAsia" w:hAnsiTheme="minorEastAsia" w:eastAsiaTheme="minorEastAsia"/>
          <w:b/>
          <w:sz w:val="44"/>
          <w:szCs w:val="44"/>
        </w:rPr>
        <w:sectPr>
          <w:footerReference r:id="rId11" w:type="first"/>
          <w:headerReference r:id="rId9" w:type="default"/>
          <w:footerReference r:id="rId10"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outlineLvl w:val="0"/>
        <w:rPr>
          <w:rFonts w:asciiTheme="minorEastAsia" w:hAnsiTheme="minorEastAsia" w:eastAsiaTheme="minorEastAsia"/>
          <w:sz w:val="24"/>
        </w:rPr>
      </w:pPr>
      <w:bookmarkStart w:id="209" w:name="_Toc27212"/>
    </w:p>
    <w:p>
      <w:pPr>
        <w:adjustRightInd w:val="0"/>
        <w:snapToGrid w:val="0"/>
        <w:spacing w:line="360" w:lineRule="auto"/>
        <w:ind w:firstLine="480" w:firstLineChars="200"/>
        <w:outlineLvl w:val="0"/>
        <w:rPr>
          <w:rFonts w:asciiTheme="minorEastAsia" w:hAnsiTheme="minorEastAsia" w:eastAsiaTheme="minorEastAsia"/>
          <w:sz w:val="24"/>
        </w:rPr>
      </w:pPr>
    </w:p>
    <w:p>
      <w:pPr>
        <w:adjustRightInd w:val="0"/>
        <w:snapToGrid w:val="0"/>
        <w:spacing w:line="360" w:lineRule="auto"/>
        <w:ind w:firstLine="420" w:firstLineChars="200"/>
        <w:outlineLvl w:val="0"/>
        <w:rPr>
          <w:rFonts w:asciiTheme="minorEastAsia" w:hAnsiTheme="minorEastAsia" w:eastAsiaTheme="minorEastAsia"/>
          <w:szCs w:val="21"/>
        </w:rPr>
      </w:pPr>
      <w:r>
        <w:rPr>
          <w:rFonts w:hint="eastAsia" w:asciiTheme="minorEastAsia" w:hAnsiTheme="minorEastAsia" w:eastAsiaTheme="minorEastAsia"/>
          <w:szCs w:val="21"/>
        </w:rPr>
        <w:t>一、谈判承诺书</w:t>
      </w:r>
      <w:bookmarkEnd w:id="209"/>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0" w:name="_Toc31855"/>
      <w:r>
        <w:rPr>
          <w:rFonts w:hint="eastAsia" w:asciiTheme="minorEastAsia" w:hAnsiTheme="minorEastAsia" w:eastAsiaTheme="minorEastAsia"/>
          <w:szCs w:val="21"/>
        </w:rPr>
        <w:t>二、法定代表人身份证明书</w:t>
      </w:r>
      <w:bookmarkEnd w:id="210"/>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1" w:name="_Toc26247"/>
      <w:r>
        <w:rPr>
          <w:rFonts w:hint="eastAsia" w:asciiTheme="minorEastAsia" w:hAnsiTheme="minorEastAsia" w:eastAsiaTheme="minorEastAsia"/>
          <w:szCs w:val="21"/>
        </w:rPr>
        <w:t>三、授权委托书</w:t>
      </w:r>
      <w:bookmarkEnd w:id="211"/>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2" w:name="_Toc30184"/>
      <w:r>
        <w:rPr>
          <w:rFonts w:hint="eastAsia" w:asciiTheme="minorEastAsia" w:hAnsiTheme="minorEastAsia" w:eastAsiaTheme="minorEastAsia"/>
          <w:szCs w:val="21"/>
        </w:rPr>
        <w:t>四、谈判单位资格条件证明文件</w:t>
      </w:r>
      <w:bookmarkEnd w:id="212"/>
    </w:p>
    <w:p>
      <w:pPr>
        <w:adjustRightInd w:val="0"/>
        <w:snapToGrid w:val="0"/>
        <w:spacing w:line="360" w:lineRule="auto"/>
        <w:ind w:firstLine="420" w:firstLineChars="200"/>
        <w:outlineLvl w:val="0"/>
        <w:rPr>
          <w:rFonts w:asciiTheme="minorEastAsia" w:hAnsiTheme="minorEastAsia" w:eastAsiaTheme="minorEastAsia"/>
          <w:color w:val="auto"/>
          <w:szCs w:val="21"/>
        </w:rPr>
      </w:pPr>
      <w:bookmarkStart w:id="213" w:name="_Toc4407"/>
      <w:r>
        <w:rPr>
          <w:rFonts w:hint="eastAsia" w:asciiTheme="minorEastAsia" w:hAnsiTheme="minorEastAsia" w:eastAsiaTheme="minorEastAsia"/>
          <w:color w:val="auto"/>
          <w:szCs w:val="21"/>
        </w:rPr>
        <w:t>五、</w:t>
      </w:r>
      <w:r>
        <w:rPr>
          <w:rFonts w:hint="eastAsia" w:asciiTheme="minorEastAsia" w:hAnsiTheme="minorEastAsia" w:eastAsiaTheme="minorEastAsia"/>
          <w:bCs/>
          <w:color w:val="auto"/>
          <w:szCs w:val="21"/>
        </w:rPr>
        <w:t>服务方案</w:t>
      </w:r>
      <w:bookmarkEnd w:id="213"/>
      <w:r>
        <w:rPr>
          <w:rFonts w:hint="eastAsia" w:asciiTheme="minorEastAsia" w:hAnsiTheme="minorEastAsia" w:eastAsiaTheme="minorEastAsia"/>
          <w:bCs/>
          <w:color w:val="auto"/>
          <w:szCs w:val="21"/>
        </w:rPr>
        <w:t>（如有）</w:t>
      </w:r>
    </w:p>
    <w:p>
      <w:pPr>
        <w:adjustRightInd w:val="0"/>
        <w:snapToGrid w:val="0"/>
        <w:spacing w:line="360" w:lineRule="auto"/>
        <w:ind w:firstLine="420" w:firstLineChars="200"/>
        <w:outlineLvl w:val="0"/>
        <w:rPr>
          <w:rFonts w:asciiTheme="minorEastAsia" w:hAnsiTheme="minorEastAsia" w:eastAsiaTheme="minorEastAsia"/>
          <w:szCs w:val="21"/>
        </w:rPr>
      </w:pPr>
      <w:bookmarkStart w:id="214" w:name="_Toc2978"/>
      <w:r>
        <w:rPr>
          <w:rFonts w:hint="eastAsia" w:asciiTheme="minorEastAsia" w:hAnsiTheme="minorEastAsia" w:eastAsiaTheme="minorEastAsia"/>
          <w:szCs w:val="21"/>
        </w:rPr>
        <w:t>六、报价一览表</w:t>
      </w:r>
      <w:bookmarkEnd w:id="214"/>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七、其他资料（如有）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）的全部内容，</w:t>
      </w:r>
      <w:r>
        <w:rPr>
          <w:rFonts w:hint="eastAsia" w:asciiTheme="minorEastAsia" w:hAnsiTheme="minorEastAsia" w:eastAsiaTheme="minorEastAsia"/>
        </w:rPr>
        <w:t>知悉参加竞争性谈判的风险，我方承诺接受谈判文件的全部条款且无任何异议。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5"/>
        <w:adjustRightInd w:val="0"/>
        <w:snapToGrid w:val="0"/>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rPr>
        <w:t>三、我方提交的响应文件均为正本</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份和副本</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份，电子文件（包括响应文件全部内容）</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份，并保证响应文件提供的数据和材料是真实、准确的，且无低于成本的恶意报价行为。否则，愿承担由此引起的一切</w:t>
      </w:r>
      <w:r>
        <w:rPr>
          <w:rFonts w:hint="eastAsia" w:asciiTheme="minorEastAsia" w:hAnsiTheme="minorEastAsia" w:eastAsiaTheme="minorEastAsia"/>
          <w:bCs/>
        </w:rPr>
        <w:t>法律责任。</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w:t>
      </w:r>
      <w:r>
        <w:rPr>
          <w:rFonts w:hint="eastAsia" w:asciiTheme="minorEastAsia" w:hAnsiTheme="minorEastAsia" w:eastAsiaTheme="minorEastAsia"/>
          <w:lang w:eastAsia="zh-CN"/>
        </w:rPr>
        <w:t>或采购代理机构</w:t>
      </w:r>
      <w:r>
        <w:rPr>
          <w:rFonts w:hint="eastAsia" w:asciiTheme="minorEastAsia" w:hAnsiTheme="minorEastAsia" w:eastAsiaTheme="minorEastAsia"/>
        </w:rPr>
        <w:t>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r>
        <w:rPr>
          <w:rFonts w:hint="eastAsia" w:cs="宋体" w:asciiTheme="minorEastAsia" w:hAnsiTheme="minorEastAsia" w:eastAsiaTheme="minorEastAsia"/>
          <w:kern w:val="0"/>
          <w:szCs w:val="21"/>
          <w:u w:val="single"/>
        </w:rPr>
        <w:t xml:space="preserve">                      </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成立日期：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姓名：</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性别：</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年龄：</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系（</w:t>
      </w: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名称）的法定代表人。</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59264" behindDoc="1" locked="0" layoutInCell="1" allowOverlap="1">
                <wp:simplePos x="0" y="0"/>
                <wp:positionH relativeFrom="column">
                  <wp:posOffset>2820670</wp:posOffset>
                </wp:positionH>
                <wp:positionV relativeFrom="paragraph">
                  <wp:posOffset>146050</wp:posOffset>
                </wp:positionV>
                <wp:extent cx="2355850" cy="1221105"/>
                <wp:effectExtent l="10795" t="10795" r="5080" b="6350"/>
                <wp:wrapNone/>
                <wp:docPr id="11"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22.1pt;margin-top:11.5pt;height:96.15pt;width:185.5pt;z-index:-251657216;mso-width-relative:page;mso-height-relative:page;" fillcolor="#FFFFFF" filled="t" stroked="t"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58240" behindDoc="1" locked="0" layoutInCell="1" allowOverlap="1">
                <wp:simplePos x="0" y="0"/>
                <wp:positionH relativeFrom="column">
                  <wp:posOffset>-111760</wp:posOffset>
                </wp:positionH>
                <wp:positionV relativeFrom="paragraph">
                  <wp:posOffset>146050</wp:posOffset>
                </wp:positionV>
                <wp:extent cx="2355850" cy="1221105"/>
                <wp:effectExtent l="12065" t="10795" r="13335" b="6350"/>
                <wp:wrapNone/>
                <wp:docPr id="10"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8240;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 xml:space="preserve">备注：上述证件复印件可另附页，另附页时，证件复印件均须加盖单位公章。 </w: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本授权书于年月日签字生效，特此声明。</w:t>
      </w:r>
    </w:p>
    <w:p>
      <w:pPr>
        <w:adjustRightInd w:val="0"/>
        <w:snapToGrid w:val="0"/>
        <w:spacing w:before="161"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18415</wp:posOffset>
                </wp:positionV>
                <wp:extent cx="1410970" cy="1299845"/>
                <wp:effectExtent l="9525" t="6350" r="8255" b="8255"/>
                <wp:wrapNone/>
                <wp:docPr id="9" name="Rectangle 5"/>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9pt;margin-top:1.45pt;height:102.35pt;width:111.1pt;z-index:-251656192;mso-width-relative:page;mso-height-relative:page;" fillcolor="#FFFFFF" filled="t" stroked="t" coordsize="21600,21600" o:gfxdata="UEsDBAoAAAAAAIdO4kAAAAAAAAAAAAAAAAAEAAAAZHJzL1BLAwQUAAAACACHTuJAYZLro9gAAAAJ&#10;AQAADwAAAGRycy9kb3ducmV2LnhtbE2PzU7DMBCE70i8g7VI3Fo7FiptGqcSIC6oSkVAPbvxkljE&#10;ayt2f3h73BPcZjWrmW+qzcWN7IRTtJ4UFHMBDKnzxlKv4PPjdbYEFpMmo0dPqOAHI2zq25tKl8af&#10;6R1PbepZDqFYagVDSqHkPHYDOh3nPiBl78tPTqd8Tj03kz7ncDdyKcSCO20pNww64POA3Xd7dAr2&#10;gUSxbUJq2je52z7t7P6lsUrd3xViDSzhJf09wxU/o0OdmQ7+SCayUcGsWOYtSYFcAcu+FA8S2OEq&#10;HhfA64r/X1D/AlBLAwQUAAAACACHTuJAK+V8EBQCAAAwBAAADgAAAGRycy9lMm9Eb2MueG1srVPb&#10;jtMwEH1H4h8sv9MkVctuo6arVVdFSAusWPgAx3ESC98Yu02Wr2fsZEsXeEL4wfJ4xsdnzsxsb0at&#10;yEmAl9ZUtFjklAjDbSNNV9GvXw5vrinxgZmGKWtERZ+Epze716+2gyvF0vZWNQIIghhfDq6ifQiu&#10;zDLPe6GZX1gnDDpbC5oFNKHLGmADomuVLfP8bTZYaBxYLrzH27vJSXcJv20FD5/a1otAVEWRW0g7&#10;pL2Oe7bbsrID5nrJZxrsH1hoJg1+eoa6Y4GRI8g/oLTkYL1tw4Jbndm2lVykHDCbIv8tm8eeOZFy&#10;QXG8O8vk/x8s/3h6ACKbim4oMUxjiT6jaMx0SpB1lGdwvsSoR/cAMUHv7i3/5omx+x6jxC2AHXrB&#10;GiRVxPjsxYNoeHxK6uGDbRCdHYNNSo0t6AiIGpAxFeTpXBAxBsLxslgV+eYK68bRVyw3m+tV4pSx&#10;8vm5Ax/eCatJPFQUkHyCZ6d7HyIdVj6HJPpWyeYglUoGdPVeATkx7I5DWikDzPIyTBkyoD7r5Toh&#10;v/D5S4g8rb9BaBmwzZXUFcWuxTUHKTMLFjWatA5jPc6y17Z5QunATm2LY4aH3sIPSgZs2Yr670cG&#10;ghL13qD8m2K1ij2ejNX6aokGXHrqSw8zHKEqGiiZjvswzcXRgex6/KlI6Rp7iyVrZRIzlnNiNfPG&#10;tkwazyMU+/7STlG/Bn3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S66PYAAAACQEAAA8AAAAA&#10;AAAAAQAgAAAAIgAAAGRycy9kb3ducmV2LnhtbFBLAQIUABQAAAAIAIdO4kAr5XwQFAIAADAEAAAO&#10;AAAAAAAAAAEAIAAAACcBAABkcnMvZTJvRG9jLnhtbFBLBQYAAAAABgAGAFkBAACtBQAAA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2336" behindDoc="1" locked="0" layoutInCell="1" allowOverlap="1">
                <wp:simplePos x="0" y="0"/>
                <wp:positionH relativeFrom="column">
                  <wp:posOffset>3455670</wp:posOffset>
                </wp:positionH>
                <wp:positionV relativeFrom="paragraph">
                  <wp:posOffset>3810</wp:posOffset>
                </wp:positionV>
                <wp:extent cx="1555750" cy="1271270"/>
                <wp:effectExtent l="7620" t="10795" r="8255" b="13335"/>
                <wp:wrapNone/>
                <wp:docPr id="8" name="Rectangle 4"/>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2.1pt;margin-top:0.3pt;height:100.1pt;width:122.5pt;z-index:-251654144;mso-width-relative:page;mso-height-relative:page;" fillcolor="#FFFFFF" filled="t" stroked="t" coordsize="21600,21600" o:gfxdata="UEsDBAoAAAAAAIdO4kAAAAAAAAAAAAAAAAAEAAAAZHJzL1BLAwQUAAAACACHTuJA+ArGKtYAAAAI&#10;AQAADwAAAGRycy9kb3ducmV2LnhtbE2PzU7DMBCE70i8g7VI3KidqJQQ4lQCxAVVqQioZzdeEot4&#10;HcXuD2/PcoLjaEYz31Trsx/FEefoAmnIFgoEUheso17Dx/vLTQEiJkPWjIFQwzdGWNeXF5UpbTjR&#10;Gx7b1AsuoVgaDUNKUyll7Ab0Ji7ChMTeZ5i9SSznXtrZnLjcjzJXaiW9ccQLg5nwacDuqz14DbuJ&#10;VLZpptS0r/l287h1u+fGaX19lakHEAnP6S8Mv/iMDjUz7cOBbBSjhtvlMueohhUItu+Ke5Z7Dbxa&#10;gKwr+f9A/QNQSwMEFAAAAAgAh07iQBeBSs8TAgAAMAQAAA4AAABkcnMvZTJvRG9jLnhtbK1TbW/T&#10;MBD+jsR/sPydpqkayqKm09SpCGnAtMEPcBwnsfAbZ7fJ+PWcnax0wCeEFVm+3Pnxc8/dba9HrchJ&#10;gJfWVDRfLCkRhttGmq6iX78c3ryjxAdmGqasERV9Ep5e716/2g6uFCvbW9UIIAhifDm4ivYhuDLL&#10;PO+FZn5hnTDobC1oFtCELmuADYiuVbZaLt9mg4XGgeXCe/x7OznpLuG3reDhc9t6EYiqKHILaYe0&#10;13HPdltWdsBcL/lMg/0DC82kwUfPULcsMHIE+QeUlhyst21YcKsz27aSi5QDZpMvf8vmsWdOpFxQ&#10;HO/OMvn/B8s/ne6ByKaiWCjDNJboAUVjplOCrKM8g/MlRj26e4gJendn+TdPjN33GCVuAOzQC9Yg&#10;qTzGZy8uRMPjVVIPH22D6OwYbFJqbEFHQNSAjKkgT+eCiDEQjj/zoig2BdaNoy9fbfBLJctY+Xzd&#10;gQ/vhdUkHioKSD7Bs9OdD5EOK59DEn2rZHOQSiUDunqvgJwYdschrZQBZnkZpgwZKnpVrIqE/MLn&#10;LyGWaf0NQsuAba6krih2La45SJlZsKjRpHUY63GWvbbNE0oHdmpbHDM89BZ+UDJgy1bUfz8yEJSo&#10;Dwblv8rX69jjyVgXmxUacOmpLz3McISqaKBkOu7DNBdHB7Lr8aU8pWvsDZaslUnMWM6J1cwb2zJp&#10;PI9Q7PtLO0X9GvT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KxirWAAAACAEAAA8AAAAAAAAA&#10;AQAgAAAAIgAAAGRycy9kb3ducmV2LnhtbFBLAQIUABQAAAAIAIdO4kAXgUrPEwIAADAEAAAOAAAA&#10;AAAAAAEAIAAAACU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1312" behindDoc="1" locked="0" layoutInCell="1" allowOverlap="1">
                <wp:simplePos x="0" y="0"/>
                <wp:positionH relativeFrom="column">
                  <wp:posOffset>1694815</wp:posOffset>
                </wp:positionH>
                <wp:positionV relativeFrom="paragraph">
                  <wp:posOffset>17145</wp:posOffset>
                </wp:positionV>
                <wp:extent cx="1433195" cy="1278255"/>
                <wp:effectExtent l="8890" t="5080" r="5715" b="12065"/>
                <wp:wrapNone/>
                <wp:docPr id="7" name="Rectangle 3"/>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flip:x;margin-left:133.45pt;margin-top:1.35pt;height:100.65pt;width:112.85pt;z-index:-251655168;mso-width-relative:page;mso-height-relative:page;" fillcolor="#FFFFFF" filled="t" stroked="t" coordsize="21600,21600" o:gfxdata="UEsDBAoAAAAAAIdO4kAAAAAAAAAAAAAAAAAEAAAAZHJzL1BLAwQUAAAACACHTuJAXbshw9cAAAAJ&#10;AQAADwAAAGRycy9kb3ducmV2LnhtbE2PzU7DMBCE70i8g7VI3KjdqIQ0xOkBUSQkpKoF7pt4SSLi&#10;dRW7P/D0LCe47WhGs99Uq7Mf1ZGmOAS2MJ8ZUMRtcAN3Ft5e1zcFqJiQHY6BycIXRVjVlxcVli6c&#10;eEvHXeqUlHAs0UKf0r7UOrY9eYyzsCcW7yNMHpPIqdNuwpOU+1FnxuTa48Dyocc9PfTUfu4O3oLj&#10;l/dnXLvN49N316QNF7exaK29vpqbe1CJzukvDL/4gg61MDXhwC6q0UKW50uJynEHSvzFMstBNaLN&#10;woCuK/1/Qf0DUEsDBBQAAAAIAIdO4kCSWDa0GgIAADoEAAAOAAAAZHJzL2Uyb0RvYy54bWytU8GO&#10;0zAQvSPxD5bvNE3a0G3UdLXqqoC0wIqFD3AcJ7FwbDN2m5avZ+xE3S5wQvhgeTzj55n3Zja3p16R&#10;owAnjS5pOptTIjQ3tdRtSb993b+5ocR5pmumjBYlPQtHb7evX20GW4jMdEbVAgiCaFcMtqSd97ZI&#10;Esc70TM3M1ZodDYGeubRhDapgQ2I3qskm8/fJoOB2oLhwjm8vR+ddBvxm0Zw/7lpnPBElRRz83GH&#10;uFdhT7YbVrTAbCf5lAb7hyx6JjV+eoG6Z56RA8g/oHrJwTjT+Bk3fWKaRnIRa8Bq0vlv1Tx1zIpY&#10;C5Lj7IUm9/9g+afjIxBZl3RFiWY9SvQFSWO6VYIsAj2DdQVGPdlHCAU6+2D4d0e02XUYJe4AzNAJ&#10;VmNSaYhPXjwIhsOnpBo+mhrR2cGbyNSpgZ40Str34WGARjbIKUpzvkgjTp5wvEyXi0W6zinh6Euz&#10;1U2W5/E3VgSg8NyC8++E6Uk4lBSwjAjLjg/Oh8SeQ2IhRsl6L5WKBrTVTgE5MuyTfVwTursOU5oM&#10;JV3nWR6RX/jcNcQ8rr9B9NJjwyvZlxT7F9cUpPREXWBrZN2fqtMkQGXqM5IIZmxgHDg8dAZ+UjJg&#10;85bU/TgwEJSoDxqFWKfLZej2aCzzVYYGXHuqaw/THKFK6ikZjzs/TsjBgmw7/GnUR5s7FK+Rkcwg&#10;7JjVlDc2aOR4GqYwAdd2jHoe+e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hw9cAAAAJAQAA&#10;DwAAAAAAAAABACAAAAAiAAAAZHJzL2Rvd25yZXYueG1sUEsBAhQAFAAAAAgAh07iQJJYNrQaAgAA&#10;OgQAAA4AAAAAAAAAAQAgAAAAJgEAAGRycy9lMm9Eb2MueG1sUEsFBgAAAAAGAAYAWQEAALIFAAAA&#10;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 xml:space="preserve">备注：上述证件复印件可另附页，另附页时，证件复印件均须加盖单位公章。 </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法定代表人（亲笔签字）：</w:t>
      </w:r>
      <w:r>
        <w:rPr>
          <w:rFonts w:hint="eastAsia" w:asciiTheme="minorEastAsia" w:hAnsiTheme="minorEastAsia" w:eastAsia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委托代理人（亲笔签字）：</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内的资格要求，本章节须附下列证明文件：</w:t>
      </w:r>
    </w:p>
    <w:p>
      <w:pPr>
        <w:spacing w:line="360" w:lineRule="auto"/>
        <w:ind w:firstLine="420" w:firstLineChars="200"/>
        <w:rPr>
          <w:rFonts w:asciiTheme="minorEastAsia" w:hAnsiTheme="minorEastAsia" w:eastAsiaTheme="minorEastAsia"/>
          <w:iCs/>
        </w:rPr>
      </w:pPr>
      <w:r>
        <w:rPr>
          <w:rFonts w:hint="eastAsia" w:cs="宋体" w:asciiTheme="minorEastAsia" w:hAnsiTheme="minorEastAsia" w:eastAsiaTheme="minorEastAsia"/>
          <w:iCs/>
        </w:rPr>
        <w:t>1.</w:t>
      </w:r>
      <w:r>
        <w:rPr>
          <w:rFonts w:hint="eastAsia" w:asciiTheme="minorEastAsia" w:hAnsiTheme="minorEastAsia" w:eastAsiaTheme="minorEastAsia"/>
          <w:iCs/>
        </w:rPr>
        <w:t>谈判单位须为具有独立法人资格、自主经营、独立核算的公司。须提供营业执照副本复印件（须加盖谈判单位公章）。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2.谈判单位在本项目响应文件递交截止之日前36个月内须提供以下业绩之一：</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①单项合同金额不少于45万元/年的轨道交通清分系统维保业绩；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②单项合同金额不少于45万元的轨道交通清分系统集成业绩。</w:t>
      </w:r>
      <w:r>
        <w:rPr>
          <w:rFonts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3.谈判单位认为与本项目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2.上述证明文件原件须用文件袋单独包装，在响应文件递交的同时一并提交。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服务方案（如有）</w:t>
      </w:r>
    </w:p>
    <w:p>
      <w:pPr>
        <w:adjustRightInd w:val="0"/>
        <w:snapToGrid w:val="0"/>
        <w:spacing w:line="360" w:lineRule="auto"/>
        <w:ind w:firstLine="643" w:firstLineChars="200"/>
        <w:jc w:val="center"/>
        <w:rPr>
          <w:rFonts w:asciiTheme="minorEastAsia" w:hAnsiTheme="minorEastAsia" w:eastAsiaTheme="minorEastAsia"/>
          <w:b/>
          <w:bCs/>
          <w:sz w:val="32"/>
          <w:szCs w:val="32"/>
        </w:rPr>
      </w:pPr>
    </w:p>
    <w:p>
      <w:pPr>
        <w:adjustRightInd w:val="0"/>
        <w:snapToGrid w:val="0"/>
        <w:spacing w:line="360" w:lineRule="auto"/>
        <w:ind w:firstLine="562" w:firstLineChars="200"/>
        <w:jc w:val="center"/>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7"/>
        <w:adjustRightInd w:val="0"/>
        <w:snapToGrid w:val="0"/>
        <w:spacing w:line="360" w:lineRule="auto"/>
        <w:ind w:firstLine="420" w:firstLineChars="200"/>
        <w:outlineLvl w:val="0"/>
        <w:rPr>
          <w:rFonts w:asciiTheme="minorEastAsia" w:hAnsiTheme="minorEastAsia" w:eastAsiaTheme="minorEastAsia"/>
          <w:bCs/>
          <w:sz w:val="21"/>
          <w:szCs w:val="21"/>
        </w:rPr>
      </w:pPr>
      <w:bookmarkStart w:id="215" w:name="_Toc29652"/>
      <w:bookmarkStart w:id="216" w:name="_Toc2524"/>
      <w:bookmarkStart w:id="217" w:name="_Toc855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215"/>
      <w:bookmarkEnd w:id="216"/>
      <w:bookmarkEnd w:id="217"/>
      <w:r>
        <w:rPr>
          <w:rFonts w:hint="eastAsia" w:asciiTheme="minorEastAsia" w:hAnsiTheme="minorEastAsia" w:eastAsiaTheme="minorEastAsia"/>
          <w:sz w:val="21"/>
          <w:szCs w:val="21"/>
          <w:u w:val="single"/>
        </w:rPr>
        <w:t xml:space="preserve">    </w:t>
      </w:r>
    </w:p>
    <w:p>
      <w:pPr>
        <w:adjustRightInd w:val="0"/>
        <w:snapToGrid w:val="0"/>
        <w:spacing w:line="360" w:lineRule="auto"/>
        <w:ind w:firstLine="420" w:firstLineChars="200"/>
        <w:outlineLvl w:val="0"/>
        <w:rPr>
          <w:rFonts w:asciiTheme="minorEastAsia" w:hAnsiTheme="minorEastAsia" w:eastAsiaTheme="minorEastAsia"/>
          <w:szCs w:val="21"/>
        </w:rPr>
      </w:pPr>
      <w:bookmarkStart w:id="218" w:name="_Toc8996"/>
      <w:bookmarkStart w:id="219" w:name="_Toc6287"/>
      <w:bookmarkStart w:id="220" w:name="_Toc10577"/>
      <w:r>
        <w:rPr>
          <w:rFonts w:hint="eastAsia" w:asciiTheme="minorEastAsia" w:hAnsiTheme="minorEastAsia" w:eastAsiaTheme="minorEastAsia"/>
          <w:szCs w:val="21"/>
        </w:rPr>
        <w:t>法定代表人或其委托代理人(签字或盖章)：</w:t>
      </w:r>
      <w:bookmarkEnd w:id="218"/>
      <w:bookmarkEnd w:id="219"/>
      <w:bookmarkEnd w:id="220"/>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六、报价一览表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1.所有报价保留小数点后两位，小数点后第三位“四舍五入”。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7"/>
        <w:adjustRightInd w:val="0"/>
        <w:snapToGrid w:val="0"/>
        <w:spacing w:line="360" w:lineRule="auto"/>
        <w:ind w:firstLine="420" w:firstLineChars="200"/>
        <w:outlineLvl w:val="0"/>
        <w:rPr>
          <w:rFonts w:asciiTheme="minorEastAsia" w:hAnsiTheme="minorEastAsia" w:eastAsiaTheme="minorEastAsia"/>
          <w:bCs/>
          <w:sz w:val="21"/>
          <w:szCs w:val="21"/>
        </w:rPr>
      </w:pPr>
      <w:bookmarkStart w:id="221" w:name="_Toc26371"/>
      <w:bookmarkStart w:id="222" w:name="_Toc22197"/>
      <w:bookmarkStart w:id="223" w:name="_Toc1536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221"/>
      <w:bookmarkEnd w:id="222"/>
      <w:bookmarkEnd w:id="223"/>
      <w:r>
        <w:rPr>
          <w:rFonts w:hint="eastAsia" w:asciiTheme="minorEastAsia" w:hAnsiTheme="minorEastAsia" w:eastAsiaTheme="minorEastAsia"/>
          <w:sz w:val="21"/>
          <w:szCs w:val="21"/>
          <w:u w:val="single"/>
        </w:rPr>
        <w:t xml:space="preserve">    </w:t>
      </w:r>
    </w:p>
    <w:p>
      <w:pPr>
        <w:adjustRightInd w:val="0"/>
        <w:snapToGrid w:val="0"/>
        <w:spacing w:line="360" w:lineRule="auto"/>
        <w:ind w:firstLine="420" w:firstLineChars="200"/>
        <w:outlineLvl w:val="0"/>
        <w:rPr>
          <w:rFonts w:asciiTheme="minorEastAsia" w:hAnsiTheme="minorEastAsia" w:eastAsiaTheme="minorEastAsia"/>
          <w:szCs w:val="21"/>
        </w:rPr>
      </w:pPr>
      <w:bookmarkStart w:id="224" w:name="_Toc26095"/>
      <w:bookmarkStart w:id="225" w:name="_Toc14381"/>
      <w:bookmarkStart w:id="226" w:name="_Toc7637"/>
      <w:r>
        <w:rPr>
          <w:rFonts w:hint="eastAsia" w:asciiTheme="minorEastAsia" w:hAnsiTheme="minorEastAsia" w:eastAsiaTheme="minorEastAsia"/>
          <w:szCs w:val="21"/>
        </w:rPr>
        <w:t>法定代表人或其委托代理人(签字或盖章)：</w:t>
      </w:r>
      <w:bookmarkEnd w:id="224"/>
      <w:bookmarkEnd w:id="225"/>
      <w:bookmarkEnd w:id="226"/>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643" w:firstLineChars="200"/>
        <w:outlineLvl w:val="0"/>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outlineLvl w:val="0"/>
        <w:rPr>
          <w:rFonts w:asciiTheme="minorEastAsia" w:hAnsiTheme="minorEastAsia" w:eastAsiaTheme="minorEastAsia"/>
          <w:b/>
          <w:sz w:val="32"/>
          <w:szCs w:val="32"/>
        </w:rPr>
      </w:pPr>
      <w:bookmarkStart w:id="227" w:name="_Toc8265"/>
      <w:r>
        <w:rPr>
          <w:rFonts w:hint="eastAsia" w:asciiTheme="minorEastAsia" w:hAnsiTheme="minorEastAsia" w:eastAsiaTheme="minorEastAsia"/>
          <w:b/>
          <w:sz w:val="32"/>
          <w:szCs w:val="32"/>
        </w:rPr>
        <w:t>七、其他资料(如有)</w:t>
      </w:r>
      <w:bookmarkEnd w:id="227"/>
    </w:p>
    <w:p>
      <w:pPr>
        <w:adjustRightInd w:val="0"/>
        <w:snapToGrid w:val="0"/>
        <w:spacing w:before="161" w:beforeLines="50" w:line="360" w:lineRule="auto"/>
        <w:ind w:firstLine="560" w:firstLineChars="200"/>
        <w:jc w:val="center"/>
        <w:outlineLvl w:val="0"/>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outlineLvl w:val="0"/>
        <w:rPr>
          <w:rFonts w:asciiTheme="minorEastAsia" w:hAnsiTheme="minorEastAsia" w:eastAsiaTheme="minorEastAsia"/>
          <w:szCs w:val="21"/>
        </w:rPr>
      </w:pPr>
      <w:bookmarkStart w:id="228" w:name="_Toc3706"/>
      <w:bookmarkStart w:id="229" w:name="_Toc15601"/>
      <w:r>
        <w:rPr>
          <w:rFonts w:hint="eastAsia" w:asciiTheme="minorEastAsia" w:hAnsiTheme="minorEastAsia" w:eastAsiaTheme="minorEastAsia"/>
          <w:szCs w:val="21"/>
        </w:rPr>
        <w:t>谈判单位认为需要提供的其他报价资料，格式自拟。</w:t>
      </w:r>
      <w:bookmarkEnd w:id="228"/>
      <w:bookmarkEnd w:id="229"/>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0000000000000000000"/>
    <w:charset w:val="86"/>
    <w:family w:val="auto"/>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3175"/>
              <wp:wrapNone/>
              <wp:docPr id="6"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7785" cy="131445"/>
              <wp:effectExtent l="0" t="1905" r="0" b="0"/>
              <wp:wrapNone/>
              <wp:docPr id="5"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6950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1905" b="0"/>
              <wp:wrapNone/>
              <wp:docPr id="4"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227C7"/>
    <w:multiLevelType w:val="singleLevel"/>
    <w:tmpl w:val="C98227C7"/>
    <w:lvl w:ilvl="0" w:tentative="0">
      <w:start w:val="1"/>
      <w:numFmt w:val="decimal"/>
      <w:lvlText w:val="%1."/>
      <w:lvlJc w:val="left"/>
      <w:pPr>
        <w:ind w:left="420" w:hanging="420"/>
      </w:pPr>
      <w:rPr>
        <w:rFonts w:hint="eastAsia"/>
      </w:rPr>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1F717BE"/>
    <w:multiLevelType w:val="multilevel"/>
    <w:tmpl w:val="01F717BE"/>
    <w:lvl w:ilvl="0" w:tentative="0">
      <w:start w:val="1"/>
      <w:numFmt w:val="chineseCountingThousand"/>
      <w:suff w:val="space"/>
      <w:lvlText w:val="(%1)"/>
      <w:lvlJc w:val="left"/>
      <w:pPr>
        <w:ind w:left="0" w:firstLine="0"/>
      </w:pPr>
      <w:rPr>
        <w:rFonts w:hint="eastAsia" w:ascii="楷体_GB2312" w:eastAsia="楷体_GB2312"/>
        <w:color w:val="auto"/>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6E38A9"/>
    <w:multiLevelType w:val="multilevel"/>
    <w:tmpl w:val="0B6E38A9"/>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16583E"/>
    <w:multiLevelType w:val="multilevel"/>
    <w:tmpl w:val="1316583E"/>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7077AC"/>
    <w:multiLevelType w:val="multilevel"/>
    <w:tmpl w:val="167077A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467508"/>
    <w:multiLevelType w:val="multilevel"/>
    <w:tmpl w:val="1B46750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7912B53"/>
    <w:multiLevelType w:val="multilevel"/>
    <w:tmpl w:val="27912B53"/>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D5B6D5"/>
    <w:multiLevelType w:val="singleLevel"/>
    <w:tmpl w:val="36D5B6D5"/>
    <w:lvl w:ilvl="0" w:tentative="0">
      <w:start w:val="1"/>
      <w:numFmt w:val="decimal"/>
      <w:lvlText w:val="%1"/>
      <w:lvlJc w:val="left"/>
      <w:pPr>
        <w:tabs>
          <w:tab w:val="left" w:pos="420"/>
        </w:tabs>
        <w:ind w:left="425" w:hanging="425"/>
      </w:pPr>
      <w:rPr>
        <w:rFonts w:hint="default"/>
      </w:rPr>
    </w:lvl>
  </w:abstractNum>
  <w:abstractNum w:abstractNumId="9">
    <w:nsid w:val="3935777A"/>
    <w:multiLevelType w:val="multilevel"/>
    <w:tmpl w:val="3935777A"/>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C35617"/>
    <w:multiLevelType w:val="singleLevel"/>
    <w:tmpl w:val="3FC35617"/>
    <w:lvl w:ilvl="0" w:tentative="0">
      <w:start w:val="1"/>
      <w:numFmt w:val="decimal"/>
      <w:lvlText w:val="%1."/>
      <w:lvlJc w:val="left"/>
      <w:pPr>
        <w:ind w:left="420" w:hanging="420"/>
      </w:pPr>
      <w:rPr>
        <w:rFonts w:hint="eastAsia"/>
      </w:rPr>
    </w:lvl>
  </w:abstractNum>
  <w:abstractNum w:abstractNumId="11">
    <w:nsid w:val="491E8A5F"/>
    <w:multiLevelType w:val="singleLevel"/>
    <w:tmpl w:val="491E8A5F"/>
    <w:lvl w:ilvl="0" w:tentative="0">
      <w:start w:val="4"/>
      <w:numFmt w:val="chineseCounting"/>
      <w:suff w:val="space"/>
      <w:lvlText w:val="第%1章"/>
      <w:lvlJc w:val="left"/>
      <w:rPr>
        <w:rFonts w:hint="eastAsia"/>
      </w:rPr>
    </w:lvl>
  </w:abstractNum>
  <w:abstractNum w:abstractNumId="12">
    <w:nsid w:val="571F8AB4"/>
    <w:multiLevelType w:val="multilevel"/>
    <w:tmpl w:val="571F8A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72F5CB3"/>
    <w:multiLevelType w:val="multilevel"/>
    <w:tmpl w:val="572F5CB3"/>
    <w:lvl w:ilvl="0" w:tentative="0">
      <w:start w:val="1"/>
      <w:numFmt w:val="decimal"/>
      <w:lvlText w:val="(%1)"/>
      <w:lvlJc w:val="left"/>
      <w:pPr>
        <w:ind w:left="988" w:hanging="4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5A54571E"/>
    <w:multiLevelType w:val="singleLevel"/>
    <w:tmpl w:val="5A54571E"/>
    <w:lvl w:ilvl="0" w:tentative="0">
      <w:start w:val="1"/>
      <w:numFmt w:val="decimal"/>
      <w:lvlText w:val="(%1)"/>
      <w:lvlJc w:val="left"/>
      <w:pPr>
        <w:ind w:left="1683" w:hanging="420"/>
      </w:pPr>
      <w:rPr>
        <w:rFonts w:hint="default"/>
      </w:rPr>
    </w:lvl>
  </w:abstractNum>
  <w:abstractNum w:abstractNumId="15">
    <w:nsid w:val="5F7F54DE"/>
    <w:multiLevelType w:val="multilevel"/>
    <w:tmpl w:val="5F7F54DE"/>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B23CB5"/>
    <w:multiLevelType w:val="multilevel"/>
    <w:tmpl w:val="70B23CB5"/>
    <w:lvl w:ilvl="0" w:tentative="0">
      <w:start w:val="1"/>
      <w:numFmt w:val="decimal"/>
      <w:lvlText w:val="%1."/>
      <w:lvlJc w:val="left"/>
      <w:pPr>
        <w:ind w:left="57" w:firstLine="0"/>
      </w:pPr>
      <w:rPr>
        <w:rFonts w:hint="eastAsia"/>
      </w:rPr>
    </w:lvl>
    <w:lvl w:ilvl="1" w:tentative="0">
      <w:start w:val="1"/>
      <w:numFmt w:val="lowerLetter"/>
      <w:lvlText w:val="%2)"/>
      <w:lvlJc w:val="left"/>
      <w:pPr>
        <w:ind w:left="114" w:firstLine="0"/>
      </w:pPr>
      <w:rPr>
        <w:rFonts w:hint="eastAsia"/>
      </w:rPr>
    </w:lvl>
    <w:lvl w:ilvl="2" w:tentative="0">
      <w:start w:val="1"/>
      <w:numFmt w:val="lowerRoman"/>
      <w:lvlText w:val="%3."/>
      <w:lvlJc w:val="right"/>
      <w:pPr>
        <w:ind w:left="171" w:firstLine="0"/>
      </w:pPr>
      <w:rPr>
        <w:rFonts w:hint="eastAsia"/>
      </w:rPr>
    </w:lvl>
    <w:lvl w:ilvl="3" w:tentative="0">
      <w:start w:val="1"/>
      <w:numFmt w:val="decimal"/>
      <w:lvlText w:val="%4."/>
      <w:lvlJc w:val="left"/>
      <w:pPr>
        <w:ind w:left="228" w:firstLine="0"/>
      </w:pPr>
      <w:rPr>
        <w:rFonts w:hint="eastAsia"/>
      </w:rPr>
    </w:lvl>
    <w:lvl w:ilvl="4" w:tentative="0">
      <w:start w:val="1"/>
      <w:numFmt w:val="lowerLetter"/>
      <w:lvlText w:val="%5)"/>
      <w:lvlJc w:val="left"/>
      <w:pPr>
        <w:ind w:left="285" w:firstLine="0"/>
      </w:pPr>
      <w:rPr>
        <w:rFonts w:hint="eastAsia"/>
      </w:rPr>
    </w:lvl>
    <w:lvl w:ilvl="5" w:tentative="0">
      <w:start w:val="1"/>
      <w:numFmt w:val="lowerRoman"/>
      <w:lvlText w:val="%6."/>
      <w:lvlJc w:val="right"/>
      <w:pPr>
        <w:ind w:left="342" w:firstLine="0"/>
      </w:pPr>
      <w:rPr>
        <w:rFonts w:hint="eastAsia"/>
      </w:rPr>
    </w:lvl>
    <w:lvl w:ilvl="6" w:tentative="0">
      <w:start w:val="1"/>
      <w:numFmt w:val="decimal"/>
      <w:lvlText w:val="%7."/>
      <w:lvlJc w:val="left"/>
      <w:pPr>
        <w:ind w:left="399" w:firstLine="0"/>
      </w:pPr>
      <w:rPr>
        <w:rFonts w:hint="eastAsia"/>
      </w:rPr>
    </w:lvl>
    <w:lvl w:ilvl="7" w:tentative="0">
      <w:start w:val="1"/>
      <w:numFmt w:val="lowerLetter"/>
      <w:lvlText w:val="%8)"/>
      <w:lvlJc w:val="left"/>
      <w:pPr>
        <w:ind w:left="456" w:firstLine="0"/>
      </w:pPr>
      <w:rPr>
        <w:rFonts w:hint="eastAsia"/>
      </w:rPr>
    </w:lvl>
    <w:lvl w:ilvl="8" w:tentative="0">
      <w:start w:val="1"/>
      <w:numFmt w:val="lowerRoman"/>
      <w:lvlText w:val="%9."/>
      <w:lvlJc w:val="right"/>
      <w:pPr>
        <w:ind w:left="513" w:firstLine="0"/>
      </w:pPr>
      <w:rPr>
        <w:rFonts w:hint="eastAsia"/>
      </w:rPr>
    </w:lvl>
  </w:abstractNum>
  <w:abstractNum w:abstractNumId="17">
    <w:nsid w:val="732B0F19"/>
    <w:multiLevelType w:val="multilevel"/>
    <w:tmpl w:val="732B0F19"/>
    <w:lvl w:ilvl="0" w:tentative="0">
      <w:start w:val="1"/>
      <w:numFmt w:val="decimal"/>
      <w:lvlText w:val="%1."/>
      <w:lvlJc w:val="left"/>
      <w:pPr>
        <w:ind w:left="127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3D20A2A"/>
    <w:multiLevelType w:val="multilevel"/>
    <w:tmpl w:val="73D20A2A"/>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5D06BD2"/>
    <w:multiLevelType w:val="multilevel"/>
    <w:tmpl w:val="75D06BD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7DAC0B02"/>
    <w:multiLevelType w:val="multilevel"/>
    <w:tmpl w:val="7DAC0B0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num>
  <w:num w:numId="11">
    <w:abstractNumId w:val="14"/>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6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44EE8"/>
    <w:rsid w:val="00052640"/>
    <w:rsid w:val="00063D15"/>
    <w:rsid w:val="00074928"/>
    <w:rsid w:val="00091C9D"/>
    <w:rsid w:val="000C106E"/>
    <w:rsid w:val="00115FE6"/>
    <w:rsid w:val="001453A1"/>
    <w:rsid w:val="00162D59"/>
    <w:rsid w:val="00186162"/>
    <w:rsid w:val="00190F50"/>
    <w:rsid w:val="00195655"/>
    <w:rsid w:val="001C23BF"/>
    <w:rsid w:val="002069C8"/>
    <w:rsid w:val="002139EB"/>
    <w:rsid w:val="0022188F"/>
    <w:rsid w:val="00222DFA"/>
    <w:rsid w:val="00224DF9"/>
    <w:rsid w:val="00230A1A"/>
    <w:rsid w:val="002314A3"/>
    <w:rsid w:val="002523FD"/>
    <w:rsid w:val="00255546"/>
    <w:rsid w:val="00286014"/>
    <w:rsid w:val="002B1D56"/>
    <w:rsid w:val="003102A2"/>
    <w:rsid w:val="00331810"/>
    <w:rsid w:val="00380064"/>
    <w:rsid w:val="00381105"/>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5DBC"/>
    <w:rsid w:val="00495F57"/>
    <w:rsid w:val="00504DED"/>
    <w:rsid w:val="00520872"/>
    <w:rsid w:val="00524466"/>
    <w:rsid w:val="00526589"/>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F5FAC"/>
    <w:rsid w:val="00703EDA"/>
    <w:rsid w:val="0070784A"/>
    <w:rsid w:val="00730CC6"/>
    <w:rsid w:val="00740D0D"/>
    <w:rsid w:val="00774657"/>
    <w:rsid w:val="007800CD"/>
    <w:rsid w:val="00793ABB"/>
    <w:rsid w:val="0079742A"/>
    <w:rsid w:val="0079784E"/>
    <w:rsid w:val="007B28AE"/>
    <w:rsid w:val="007D0446"/>
    <w:rsid w:val="007D24FB"/>
    <w:rsid w:val="007F3811"/>
    <w:rsid w:val="00802770"/>
    <w:rsid w:val="0081382B"/>
    <w:rsid w:val="008511F3"/>
    <w:rsid w:val="008B6242"/>
    <w:rsid w:val="008C7C9F"/>
    <w:rsid w:val="008D2215"/>
    <w:rsid w:val="008E2C61"/>
    <w:rsid w:val="00915948"/>
    <w:rsid w:val="00923E97"/>
    <w:rsid w:val="00976388"/>
    <w:rsid w:val="009A5642"/>
    <w:rsid w:val="009B1169"/>
    <w:rsid w:val="009B5270"/>
    <w:rsid w:val="009C10AF"/>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BD25B6"/>
    <w:rsid w:val="00C0069B"/>
    <w:rsid w:val="00C20479"/>
    <w:rsid w:val="00C532E5"/>
    <w:rsid w:val="00C57914"/>
    <w:rsid w:val="00C6008B"/>
    <w:rsid w:val="00C758E3"/>
    <w:rsid w:val="00CB534B"/>
    <w:rsid w:val="00CE51F2"/>
    <w:rsid w:val="00CE631C"/>
    <w:rsid w:val="00CE703D"/>
    <w:rsid w:val="00CF0192"/>
    <w:rsid w:val="00D164FE"/>
    <w:rsid w:val="00D31733"/>
    <w:rsid w:val="00D43330"/>
    <w:rsid w:val="00D84A7F"/>
    <w:rsid w:val="00DA51BD"/>
    <w:rsid w:val="00DF363F"/>
    <w:rsid w:val="00E14D9D"/>
    <w:rsid w:val="00E32EEF"/>
    <w:rsid w:val="00E77817"/>
    <w:rsid w:val="00E944EE"/>
    <w:rsid w:val="00EF6911"/>
    <w:rsid w:val="00F00E9C"/>
    <w:rsid w:val="00F37996"/>
    <w:rsid w:val="00F410E0"/>
    <w:rsid w:val="00F42B84"/>
    <w:rsid w:val="00F579E9"/>
    <w:rsid w:val="00F66731"/>
    <w:rsid w:val="00FA6734"/>
    <w:rsid w:val="00FE3699"/>
    <w:rsid w:val="00FF60B0"/>
    <w:rsid w:val="016E73A8"/>
    <w:rsid w:val="01DE6B70"/>
    <w:rsid w:val="02016232"/>
    <w:rsid w:val="028D51BD"/>
    <w:rsid w:val="03B46D8E"/>
    <w:rsid w:val="03D609D8"/>
    <w:rsid w:val="03ED3E80"/>
    <w:rsid w:val="040617AE"/>
    <w:rsid w:val="04072F21"/>
    <w:rsid w:val="04266FF5"/>
    <w:rsid w:val="05894214"/>
    <w:rsid w:val="06C32324"/>
    <w:rsid w:val="070C59FF"/>
    <w:rsid w:val="073C0D51"/>
    <w:rsid w:val="076456E2"/>
    <w:rsid w:val="08023E55"/>
    <w:rsid w:val="08787227"/>
    <w:rsid w:val="08C565F2"/>
    <w:rsid w:val="08E85BDE"/>
    <w:rsid w:val="09664C98"/>
    <w:rsid w:val="097D1C20"/>
    <w:rsid w:val="097F42B9"/>
    <w:rsid w:val="09D61CB2"/>
    <w:rsid w:val="0A9A0228"/>
    <w:rsid w:val="0C164A2F"/>
    <w:rsid w:val="0C665E0B"/>
    <w:rsid w:val="0D66668B"/>
    <w:rsid w:val="0E616540"/>
    <w:rsid w:val="0EE35C4D"/>
    <w:rsid w:val="0FEE6040"/>
    <w:rsid w:val="10703D88"/>
    <w:rsid w:val="10EC3B06"/>
    <w:rsid w:val="110C2C29"/>
    <w:rsid w:val="11FB259E"/>
    <w:rsid w:val="12281DA5"/>
    <w:rsid w:val="12F77001"/>
    <w:rsid w:val="136544CD"/>
    <w:rsid w:val="138B6D9B"/>
    <w:rsid w:val="1411188B"/>
    <w:rsid w:val="14506D47"/>
    <w:rsid w:val="14AB387C"/>
    <w:rsid w:val="15B1368D"/>
    <w:rsid w:val="15C505E4"/>
    <w:rsid w:val="15D00CD9"/>
    <w:rsid w:val="15DD7FEE"/>
    <w:rsid w:val="15ED6A1A"/>
    <w:rsid w:val="16570C86"/>
    <w:rsid w:val="1699000C"/>
    <w:rsid w:val="18120B9A"/>
    <w:rsid w:val="184738E0"/>
    <w:rsid w:val="1893797B"/>
    <w:rsid w:val="18D13CF0"/>
    <w:rsid w:val="18EB4CFD"/>
    <w:rsid w:val="19035318"/>
    <w:rsid w:val="19630DF4"/>
    <w:rsid w:val="1A80468D"/>
    <w:rsid w:val="1B324E6A"/>
    <w:rsid w:val="1C3228C1"/>
    <w:rsid w:val="1D5C448C"/>
    <w:rsid w:val="1E4D41B9"/>
    <w:rsid w:val="1E981D4A"/>
    <w:rsid w:val="1EFC3574"/>
    <w:rsid w:val="1FD401CA"/>
    <w:rsid w:val="20512691"/>
    <w:rsid w:val="219C6F36"/>
    <w:rsid w:val="22001CA7"/>
    <w:rsid w:val="23217DAC"/>
    <w:rsid w:val="233E41F0"/>
    <w:rsid w:val="23540F1C"/>
    <w:rsid w:val="23F8119B"/>
    <w:rsid w:val="24967E12"/>
    <w:rsid w:val="24BC37AA"/>
    <w:rsid w:val="2588569F"/>
    <w:rsid w:val="2658296F"/>
    <w:rsid w:val="26662701"/>
    <w:rsid w:val="267F0FB7"/>
    <w:rsid w:val="26B0428E"/>
    <w:rsid w:val="26D60619"/>
    <w:rsid w:val="27350900"/>
    <w:rsid w:val="273B23BD"/>
    <w:rsid w:val="27405291"/>
    <w:rsid w:val="2888133C"/>
    <w:rsid w:val="29210A38"/>
    <w:rsid w:val="2951072C"/>
    <w:rsid w:val="29FE6640"/>
    <w:rsid w:val="2AC97A0D"/>
    <w:rsid w:val="2B80536B"/>
    <w:rsid w:val="2C074F20"/>
    <w:rsid w:val="2C162F55"/>
    <w:rsid w:val="2C3C6E9F"/>
    <w:rsid w:val="2C5D4AA0"/>
    <w:rsid w:val="2C7627E2"/>
    <w:rsid w:val="2D8D261C"/>
    <w:rsid w:val="2DDB7325"/>
    <w:rsid w:val="2E8E7239"/>
    <w:rsid w:val="2EA33208"/>
    <w:rsid w:val="2EF25909"/>
    <w:rsid w:val="2F127912"/>
    <w:rsid w:val="2F634563"/>
    <w:rsid w:val="30F77CED"/>
    <w:rsid w:val="31B61A82"/>
    <w:rsid w:val="32B27CA8"/>
    <w:rsid w:val="32F7027C"/>
    <w:rsid w:val="3326112B"/>
    <w:rsid w:val="33AB69E0"/>
    <w:rsid w:val="33BD1A5D"/>
    <w:rsid w:val="343B7C3F"/>
    <w:rsid w:val="349537D0"/>
    <w:rsid w:val="3527735C"/>
    <w:rsid w:val="359D78EF"/>
    <w:rsid w:val="36586AB4"/>
    <w:rsid w:val="36630339"/>
    <w:rsid w:val="36A45702"/>
    <w:rsid w:val="36B77340"/>
    <w:rsid w:val="36E403EC"/>
    <w:rsid w:val="373D2A39"/>
    <w:rsid w:val="38907664"/>
    <w:rsid w:val="38DE4586"/>
    <w:rsid w:val="392705C8"/>
    <w:rsid w:val="392B2144"/>
    <w:rsid w:val="393442DF"/>
    <w:rsid w:val="39E27939"/>
    <w:rsid w:val="3B235613"/>
    <w:rsid w:val="3BC74370"/>
    <w:rsid w:val="3C263F3D"/>
    <w:rsid w:val="3CB459C9"/>
    <w:rsid w:val="3D350E98"/>
    <w:rsid w:val="3ECD75DF"/>
    <w:rsid w:val="3FED00A7"/>
    <w:rsid w:val="401F311B"/>
    <w:rsid w:val="40BE1148"/>
    <w:rsid w:val="425B2511"/>
    <w:rsid w:val="42A637B4"/>
    <w:rsid w:val="42B113B1"/>
    <w:rsid w:val="434660D0"/>
    <w:rsid w:val="434B6200"/>
    <w:rsid w:val="438C7A2F"/>
    <w:rsid w:val="4431133A"/>
    <w:rsid w:val="4575004E"/>
    <w:rsid w:val="457B4715"/>
    <w:rsid w:val="45BD7EF6"/>
    <w:rsid w:val="469965DF"/>
    <w:rsid w:val="46E17929"/>
    <w:rsid w:val="4774262F"/>
    <w:rsid w:val="48605FB4"/>
    <w:rsid w:val="4A164FC6"/>
    <w:rsid w:val="4AC5638E"/>
    <w:rsid w:val="4CF400BB"/>
    <w:rsid w:val="4D40298C"/>
    <w:rsid w:val="4D6E4698"/>
    <w:rsid w:val="4DAF45CE"/>
    <w:rsid w:val="4DB24FC1"/>
    <w:rsid w:val="4E8548FC"/>
    <w:rsid w:val="4EC90D3E"/>
    <w:rsid w:val="4EDE7DC9"/>
    <w:rsid w:val="4EEF295D"/>
    <w:rsid w:val="4F792F65"/>
    <w:rsid w:val="4FDD0550"/>
    <w:rsid w:val="51322546"/>
    <w:rsid w:val="51482C9B"/>
    <w:rsid w:val="51F135B6"/>
    <w:rsid w:val="522D2330"/>
    <w:rsid w:val="52F421A7"/>
    <w:rsid w:val="5322696F"/>
    <w:rsid w:val="539147A7"/>
    <w:rsid w:val="5444354A"/>
    <w:rsid w:val="548A000A"/>
    <w:rsid w:val="550C1056"/>
    <w:rsid w:val="56427277"/>
    <w:rsid w:val="56C20F2D"/>
    <w:rsid w:val="57477B2B"/>
    <w:rsid w:val="57C86EED"/>
    <w:rsid w:val="583D5903"/>
    <w:rsid w:val="58F11BFD"/>
    <w:rsid w:val="596D221D"/>
    <w:rsid w:val="598409DC"/>
    <w:rsid w:val="59BC25A2"/>
    <w:rsid w:val="59D37CF1"/>
    <w:rsid w:val="5AB44C16"/>
    <w:rsid w:val="5ADF6442"/>
    <w:rsid w:val="5B1146F6"/>
    <w:rsid w:val="5B1D7FDB"/>
    <w:rsid w:val="5B95287A"/>
    <w:rsid w:val="5BB8572C"/>
    <w:rsid w:val="5C151288"/>
    <w:rsid w:val="5C524815"/>
    <w:rsid w:val="5CDA0CDF"/>
    <w:rsid w:val="5D396783"/>
    <w:rsid w:val="5D3E7167"/>
    <w:rsid w:val="5D481133"/>
    <w:rsid w:val="5D4F4FA5"/>
    <w:rsid w:val="5DA1750E"/>
    <w:rsid w:val="5EB1616D"/>
    <w:rsid w:val="60F765D6"/>
    <w:rsid w:val="623945A2"/>
    <w:rsid w:val="624A6D8F"/>
    <w:rsid w:val="625C1A96"/>
    <w:rsid w:val="62A85CDD"/>
    <w:rsid w:val="62C96256"/>
    <w:rsid w:val="62CC2A90"/>
    <w:rsid w:val="62E35C5C"/>
    <w:rsid w:val="62E63623"/>
    <w:rsid w:val="632A666E"/>
    <w:rsid w:val="6336440C"/>
    <w:rsid w:val="643A1B9E"/>
    <w:rsid w:val="64546A26"/>
    <w:rsid w:val="652B48A4"/>
    <w:rsid w:val="65820123"/>
    <w:rsid w:val="65913AED"/>
    <w:rsid w:val="65E83D26"/>
    <w:rsid w:val="65FC519A"/>
    <w:rsid w:val="66585984"/>
    <w:rsid w:val="670D79CE"/>
    <w:rsid w:val="67392F67"/>
    <w:rsid w:val="673B1F5E"/>
    <w:rsid w:val="676A4EFC"/>
    <w:rsid w:val="677F4A59"/>
    <w:rsid w:val="685925FD"/>
    <w:rsid w:val="69CE2E46"/>
    <w:rsid w:val="69EF1903"/>
    <w:rsid w:val="6A636C96"/>
    <w:rsid w:val="6A7A5845"/>
    <w:rsid w:val="6ABE21AD"/>
    <w:rsid w:val="6B776B5F"/>
    <w:rsid w:val="6B96184C"/>
    <w:rsid w:val="6B9A5005"/>
    <w:rsid w:val="6C4224C8"/>
    <w:rsid w:val="6C94160D"/>
    <w:rsid w:val="6CF25E26"/>
    <w:rsid w:val="6E953493"/>
    <w:rsid w:val="6EEB1E65"/>
    <w:rsid w:val="6F850583"/>
    <w:rsid w:val="6FBC3B21"/>
    <w:rsid w:val="6FEE25CE"/>
    <w:rsid w:val="6FF33E1A"/>
    <w:rsid w:val="702F5C21"/>
    <w:rsid w:val="708231F8"/>
    <w:rsid w:val="7095454D"/>
    <w:rsid w:val="710E6F5D"/>
    <w:rsid w:val="71252D0C"/>
    <w:rsid w:val="715E60D0"/>
    <w:rsid w:val="730A11F0"/>
    <w:rsid w:val="738F320C"/>
    <w:rsid w:val="73952AC6"/>
    <w:rsid w:val="74410A18"/>
    <w:rsid w:val="7535292A"/>
    <w:rsid w:val="760667A9"/>
    <w:rsid w:val="76CD42B6"/>
    <w:rsid w:val="770C4A8E"/>
    <w:rsid w:val="77684BEC"/>
    <w:rsid w:val="77B417B8"/>
    <w:rsid w:val="77D949F2"/>
    <w:rsid w:val="781264F1"/>
    <w:rsid w:val="791D1490"/>
    <w:rsid w:val="79547B6C"/>
    <w:rsid w:val="79552F8E"/>
    <w:rsid w:val="79EE69A0"/>
    <w:rsid w:val="7A375F45"/>
    <w:rsid w:val="7A545A20"/>
    <w:rsid w:val="7A8377CB"/>
    <w:rsid w:val="7A851190"/>
    <w:rsid w:val="7AB93CAD"/>
    <w:rsid w:val="7AD51802"/>
    <w:rsid w:val="7B625890"/>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1"/>
    <w:qFormat/>
    <w:uiPriority w:val="0"/>
    <w:rPr>
      <w:sz w:val="18"/>
      <w:szCs w:val="18"/>
    </w:rPr>
  </w:style>
  <w:style w:type="character" w:customStyle="1" w:styleId="217">
    <w:name w:val="页脚 Char"/>
    <w:basedOn w:val="48"/>
    <w:link w:val="30"/>
    <w:qFormat/>
    <w:uiPriority w:val="99"/>
    <w:rPr>
      <w:sz w:val="18"/>
      <w:szCs w:val="18"/>
    </w:rPr>
  </w:style>
  <w:style w:type="character" w:customStyle="1" w:styleId="218">
    <w:name w:val="标题 1 Char1"/>
    <w:basedOn w:val="48"/>
    <w:link w:val="3"/>
    <w:qFormat/>
    <w:uiPriority w:val="0"/>
    <w:rPr>
      <w:rFonts w:ascii="Times New Roman" w:hAnsi="Times New Roman" w:eastAsia="宋体" w:cs="Times New Roman"/>
      <w:b/>
      <w:bCs/>
      <w:kern w:val="0"/>
      <w:sz w:val="24"/>
      <w:szCs w:val="20"/>
    </w:rPr>
  </w:style>
  <w:style w:type="character" w:customStyle="1" w:styleId="219">
    <w:name w:val="标题 2 Char1"/>
    <w:basedOn w:val="48"/>
    <w:link w:val="4"/>
    <w:qFormat/>
    <w:uiPriority w:val="0"/>
    <w:rPr>
      <w:rFonts w:ascii="Arial" w:hAnsi="Arial" w:eastAsia="宋体" w:cs="Times New Roman"/>
      <w:b/>
      <w:bCs/>
      <w:kern w:val="0"/>
      <w:sz w:val="24"/>
      <w:szCs w:val="32"/>
    </w:rPr>
  </w:style>
  <w:style w:type="character" w:customStyle="1" w:styleId="220">
    <w:name w:val="标题 3 Char1"/>
    <w:basedOn w:val="48"/>
    <w:link w:val="5"/>
    <w:qFormat/>
    <w:uiPriority w:val="0"/>
    <w:rPr>
      <w:rFonts w:ascii="Times New Roman" w:hAnsi="Times New Roman" w:eastAsia="宋体" w:cs="Times New Roman"/>
      <w:b/>
      <w:bCs/>
      <w:kern w:val="0"/>
      <w:sz w:val="32"/>
      <w:szCs w:val="32"/>
    </w:rPr>
  </w:style>
  <w:style w:type="character" w:customStyle="1" w:styleId="221">
    <w:name w:val="标题 4 Char1"/>
    <w:basedOn w:val="48"/>
    <w:link w:val="6"/>
    <w:qFormat/>
    <w:uiPriority w:val="0"/>
    <w:rPr>
      <w:rFonts w:ascii="Arial" w:hAnsi="Arial" w:eastAsia="黑体" w:cs="Times New Roman"/>
      <w:b/>
      <w:bCs/>
      <w:kern w:val="0"/>
      <w:sz w:val="28"/>
      <w:szCs w:val="28"/>
    </w:rPr>
  </w:style>
  <w:style w:type="character" w:customStyle="1" w:styleId="222">
    <w:name w:val="标题 5 Char1"/>
    <w:basedOn w:val="48"/>
    <w:link w:val="7"/>
    <w:qFormat/>
    <w:uiPriority w:val="0"/>
    <w:rPr>
      <w:rFonts w:ascii="Times New Roman" w:hAnsi="Times New Roman" w:eastAsia="宋体" w:cs="Times New Roman"/>
      <w:b/>
      <w:bCs/>
      <w:kern w:val="0"/>
      <w:sz w:val="28"/>
      <w:szCs w:val="28"/>
    </w:rPr>
  </w:style>
  <w:style w:type="character" w:customStyle="1" w:styleId="223">
    <w:name w:val="标题 6 Char1"/>
    <w:basedOn w:val="48"/>
    <w:link w:val="8"/>
    <w:qFormat/>
    <w:uiPriority w:val="0"/>
    <w:rPr>
      <w:rFonts w:ascii="Arial" w:hAnsi="Arial" w:eastAsia="黑体" w:cs="Times New Roman"/>
      <w:b/>
      <w:bCs/>
      <w:kern w:val="0"/>
      <w:sz w:val="24"/>
      <w:szCs w:val="24"/>
    </w:rPr>
  </w:style>
  <w:style w:type="character" w:customStyle="1" w:styleId="224">
    <w:name w:val="标题 7 Char1"/>
    <w:basedOn w:val="48"/>
    <w:link w:val="9"/>
    <w:qFormat/>
    <w:uiPriority w:val="0"/>
    <w:rPr>
      <w:rFonts w:ascii="Times New Roman" w:hAnsi="Times New Roman" w:eastAsia="宋体" w:cs="Times New Roman"/>
      <w:b/>
      <w:bCs/>
      <w:kern w:val="0"/>
      <w:sz w:val="24"/>
      <w:szCs w:val="24"/>
    </w:rPr>
  </w:style>
  <w:style w:type="character" w:customStyle="1" w:styleId="225">
    <w:name w:val="标题 8 Char1"/>
    <w:basedOn w:val="48"/>
    <w:link w:val="10"/>
    <w:qFormat/>
    <w:uiPriority w:val="0"/>
    <w:rPr>
      <w:rFonts w:ascii="Arial" w:hAnsi="Arial" w:eastAsia="黑体" w:cs="Times New Roman"/>
      <w:kern w:val="0"/>
      <w:sz w:val="24"/>
      <w:szCs w:val="24"/>
    </w:rPr>
  </w:style>
  <w:style w:type="character" w:customStyle="1" w:styleId="226">
    <w:name w:val="标题 9 Char1"/>
    <w:basedOn w:val="48"/>
    <w:link w:val="11"/>
    <w:qFormat/>
    <w:uiPriority w:val="0"/>
    <w:rPr>
      <w:rFonts w:ascii="Arial" w:hAnsi="Arial" w:eastAsia="黑体" w:cs="Times New Roman"/>
      <w:kern w:val="0"/>
      <w:sz w:val="20"/>
      <w:szCs w:val="21"/>
    </w:rPr>
  </w:style>
  <w:style w:type="character" w:customStyle="1" w:styleId="227">
    <w:name w:val="正文文本 2 Char"/>
    <w:basedOn w:val="48"/>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basedOn w:val="48"/>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3"/>
    <w:qFormat/>
    <w:uiPriority w:val="0"/>
    <w:rPr>
      <w:rFonts w:ascii="Cambria" w:hAnsi="Cambria" w:eastAsia="宋体" w:cs="Times New Roman"/>
      <w:b/>
      <w:sz w:val="32"/>
      <w:szCs w:val="24"/>
    </w:rPr>
  </w:style>
  <w:style w:type="character" w:customStyle="1" w:styleId="255">
    <w:name w:val="正文文本缩进 2 Char"/>
    <w:basedOn w:val="48"/>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0"/>
    <w:qFormat/>
    <w:uiPriority w:val="0"/>
    <w:rPr>
      <w:rFonts w:ascii="Arial" w:hAnsi="Arial" w:eastAsia="宋体" w:cs="Arial"/>
      <w:kern w:val="0"/>
      <w:sz w:val="24"/>
      <w:szCs w:val="24"/>
    </w:rPr>
  </w:style>
  <w:style w:type="character" w:customStyle="1" w:styleId="268">
    <w:name w:val="称呼 Char"/>
    <w:basedOn w:val="48"/>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basedOn w:val="48"/>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45"/>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Heading"/>
    <w:basedOn w:val="3"/>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
    <w:basedOn w:val="3"/>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B7247-917F-4BB6-9BB0-1D85777CC1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6545</Words>
  <Characters>37310</Characters>
  <Lines>310</Lines>
  <Paragraphs>87</Paragraphs>
  <TotalTime>86</TotalTime>
  <ScaleCrop>false</ScaleCrop>
  <LinksUpToDate>false</LinksUpToDate>
  <CharactersWithSpaces>43768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2020-03-09T13:20:00Z</dcterms:created>
  <dc:creator>李 毅</dc:creator>
  <cp:lastModifiedBy>ben</cp:lastModifiedBy>
  <cp:lastPrinted>2019-07-25T06:26:00Z</cp:lastPrinted>
  <dcterms:modified xsi:type="dcterms:W3CDTF">2020-05-14T07:54:15Z</dcterms:modified>
  <dc:title>长沙市轨道交通运营有限公司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