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sz w:val="52"/>
          <w:szCs w:val="52"/>
        </w:rPr>
      </w:pPr>
    </w:p>
    <w:p>
      <w:pPr>
        <w:pStyle w:val="25"/>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jc w:val="center"/>
        <w:rPr>
          <w:rFonts w:hAnsi="宋体"/>
          <w:b/>
          <w:sz w:val="52"/>
          <w:szCs w:val="52"/>
        </w:rPr>
      </w:pPr>
      <w:r>
        <w:rPr>
          <w:rFonts w:hint="eastAsia" w:hAnsi="宋体"/>
          <w:b/>
          <w:sz w:val="52"/>
          <w:szCs w:val="52"/>
        </w:rPr>
        <w:t>自主竞争性谈判文件</w:t>
      </w:r>
    </w:p>
    <w:p>
      <w:pPr>
        <w:pStyle w:val="25"/>
        <w:adjustRightInd w:val="0"/>
        <w:snapToGrid w:val="0"/>
        <w:spacing w:beforeLines="50" w:line="360" w:lineRule="auto"/>
        <w:rPr>
          <w:b/>
          <w:sz w:val="32"/>
          <w:szCs w:val="32"/>
        </w:rPr>
      </w:pPr>
    </w:p>
    <w:p>
      <w:pPr>
        <w:pStyle w:val="25"/>
        <w:adjustRightInd w:val="0"/>
        <w:snapToGrid w:val="0"/>
        <w:spacing w:line="360" w:lineRule="auto"/>
        <w:rPr>
          <w:rFonts w:ascii="华文中宋" w:hAnsi="华文中宋" w:eastAsia="华文中宋"/>
          <w:sz w:val="32"/>
          <w:szCs w:val="32"/>
        </w:rPr>
      </w:pPr>
    </w:p>
    <w:p>
      <w:pPr>
        <w:spacing w:line="360" w:lineRule="auto"/>
        <w:ind w:left="2240" w:hanging="2249" w:hangingChars="700"/>
        <w:jc w:val="left"/>
        <w:rPr>
          <w:rFonts w:hint="eastAsia" w:ascii="宋体" w:hAnsi="宋体" w:eastAsia="宋体" w:cs="Courier New"/>
          <w:b/>
          <w:bCs w:val="0"/>
          <w:sz w:val="32"/>
          <w:szCs w:val="21"/>
          <w:u w:val="none"/>
          <w:lang w:eastAsia="zh-CN"/>
        </w:rPr>
      </w:pPr>
      <w:r>
        <w:rPr>
          <w:rFonts w:hint="eastAsia" w:ascii="宋体" w:hAnsi="宋体" w:cs="Courier New"/>
          <w:b/>
          <w:bCs w:val="0"/>
          <w:sz w:val="32"/>
          <w:szCs w:val="21"/>
        </w:rPr>
        <w:t>谈判项目名称：</w:t>
      </w:r>
      <w:r>
        <w:rPr>
          <w:rFonts w:hint="eastAsia" w:ascii="宋体" w:hAnsi="宋体" w:cs="Courier New"/>
          <w:b/>
          <w:bCs w:val="0"/>
          <w:sz w:val="32"/>
          <w:szCs w:val="21"/>
          <w:u w:val="single"/>
          <w:lang w:eastAsia="zh-CN"/>
        </w:rPr>
        <w:t>长沙市轨道交通运营有限公司黄兴车辆段羽毛球、乒乓球场地迁改项目（第二次）</w:t>
      </w:r>
    </w:p>
    <w:p>
      <w:pPr>
        <w:spacing w:line="360" w:lineRule="auto"/>
        <w:ind w:left="2240" w:hanging="2249" w:hangingChars="700"/>
        <w:jc w:val="left"/>
        <w:rPr>
          <w:rFonts w:hint="eastAsia" w:ascii="宋体" w:hAnsi="宋体" w:cs="Courier New"/>
          <w:b/>
          <w:bCs w:val="0"/>
          <w:sz w:val="32"/>
          <w:szCs w:val="21"/>
          <w:u w:val="none"/>
        </w:rPr>
      </w:pPr>
    </w:p>
    <w:p>
      <w:pPr>
        <w:pStyle w:val="25"/>
        <w:adjustRightInd w:val="0"/>
        <w:snapToGrid w:val="0"/>
        <w:spacing w:line="360" w:lineRule="auto"/>
        <w:rPr>
          <w:rFonts w:hint="eastAsia" w:hAnsi="宋体"/>
          <w:b/>
          <w:bCs w:val="0"/>
          <w:strike w:val="0"/>
          <w:dstrike w:val="0"/>
          <w:sz w:val="32"/>
          <w:u w:val="none"/>
        </w:rPr>
      </w:pPr>
      <w:r>
        <w:rPr>
          <w:rFonts w:hint="eastAsia" w:hAnsi="宋体"/>
          <w:b/>
          <w:bCs w:val="0"/>
          <w:sz w:val="32"/>
        </w:rPr>
        <w:t>采购单位名称：</w:t>
      </w:r>
      <w:r>
        <w:rPr>
          <w:rFonts w:hint="eastAsia" w:hAnsi="宋体"/>
          <w:b/>
          <w:bCs w:val="0"/>
          <w:strike w:val="0"/>
          <w:dstrike w:val="0"/>
          <w:sz w:val="32"/>
          <w:u w:val="single"/>
          <w:lang w:eastAsia="zh-CN"/>
        </w:rPr>
        <w:t>长沙市轨道交通四号线建设发展有限公司</w:t>
      </w:r>
    </w:p>
    <w:p>
      <w:pPr>
        <w:pStyle w:val="25"/>
        <w:adjustRightInd w:val="0"/>
        <w:snapToGrid w:val="0"/>
        <w:spacing w:line="360" w:lineRule="auto"/>
        <w:rPr>
          <w:rFonts w:hint="eastAsia" w:hAnsi="宋体"/>
          <w:b/>
          <w:bCs w:val="0"/>
          <w:strike w:val="0"/>
          <w:dstrike w:val="0"/>
          <w:sz w:val="32"/>
          <w:u w:val="none"/>
        </w:rPr>
      </w:pPr>
    </w:p>
    <w:p>
      <w:pPr>
        <w:pStyle w:val="25"/>
        <w:adjustRightInd w:val="0"/>
        <w:snapToGrid w:val="0"/>
        <w:spacing w:line="360" w:lineRule="auto"/>
        <w:rPr>
          <w:rFonts w:hint="default" w:hAnsi="宋体" w:eastAsia="宋体"/>
          <w:b/>
          <w:bCs w:val="0"/>
          <w:color w:val="FF0000"/>
          <w:sz w:val="32"/>
          <w:u w:val="single"/>
          <w:lang w:val="en-US" w:eastAsia="zh-CN"/>
        </w:rPr>
      </w:pPr>
      <w:r>
        <w:rPr>
          <w:rFonts w:hint="eastAsia" w:hAnsi="宋体"/>
          <w:b/>
          <w:bCs w:val="0"/>
          <w:sz w:val="32"/>
        </w:rPr>
        <w:t>谈判项目编号：</w:t>
      </w:r>
      <w:r>
        <w:rPr>
          <w:rFonts w:hint="eastAsia" w:hAnsi="宋体"/>
          <w:b/>
          <w:bCs w:val="0"/>
          <w:color w:val="auto"/>
          <w:sz w:val="32"/>
          <w:u w:val="single"/>
          <w:lang w:eastAsia="zh-CN"/>
        </w:rPr>
        <w:t>长轨运工采【2019】001号</w:t>
      </w:r>
    </w:p>
    <w:p>
      <w:pPr>
        <w:pStyle w:val="25"/>
        <w:adjustRightInd w:val="0"/>
        <w:snapToGrid w:val="0"/>
        <w:spacing w:beforeLines="50" w:line="360" w:lineRule="auto"/>
        <w:rPr>
          <w:b/>
          <w:sz w:val="32"/>
          <w:szCs w:val="32"/>
        </w:rPr>
      </w:pPr>
    </w:p>
    <w:p>
      <w:pPr>
        <w:pStyle w:val="25"/>
        <w:adjustRightInd w:val="0"/>
        <w:snapToGrid w:val="0"/>
        <w:spacing w:beforeLines="50" w:line="360" w:lineRule="auto"/>
        <w:rPr>
          <w:b/>
          <w:sz w:val="32"/>
          <w:szCs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val="0"/>
          <w:bCs/>
          <w:sz w:val="32"/>
        </w:rPr>
      </w:pPr>
    </w:p>
    <w:p>
      <w:pPr>
        <w:pStyle w:val="25"/>
        <w:adjustRightInd w:val="0"/>
        <w:snapToGrid w:val="0"/>
        <w:spacing w:line="360" w:lineRule="auto"/>
        <w:jc w:val="center"/>
        <w:rPr>
          <w:rFonts w:hint="eastAsia" w:hAnsi="宋体"/>
          <w:b w:val="0"/>
          <w:bCs/>
          <w:sz w:val="32"/>
        </w:rPr>
      </w:pPr>
      <w:r>
        <w:rPr>
          <w:rFonts w:hint="eastAsia" w:hAnsi="宋体"/>
          <w:b/>
          <w:bCs w:val="0"/>
          <w:sz w:val="32"/>
          <w:u w:val="single"/>
        </w:rPr>
        <w:t>二〇</w:t>
      </w:r>
      <w:r>
        <w:rPr>
          <w:rFonts w:hint="eastAsia" w:hAnsi="宋体"/>
          <w:b/>
          <w:bCs w:val="0"/>
          <w:sz w:val="32"/>
          <w:u w:val="single"/>
          <w:lang w:eastAsia="zh-CN"/>
        </w:rPr>
        <w:t>二〇</w:t>
      </w:r>
      <w:r>
        <w:rPr>
          <w:rFonts w:hint="eastAsia" w:hAnsi="宋体"/>
          <w:b/>
          <w:bCs w:val="0"/>
          <w:sz w:val="32"/>
        </w:rPr>
        <w:t>年</w:t>
      </w:r>
      <w:r>
        <w:rPr>
          <w:rFonts w:hint="eastAsia" w:hAnsi="宋体"/>
          <w:b/>
          <w:bCs w:val="0"/>
          <w:sz w:val="32"/>
          <w:u w:val="single"/>
          <w:lang w:eastAsia="zh-CN"/>
        </w:rPr>
        <w:t>一</w:t>
      </w:r>
      <w:r>
        <w:rPr>
          <w:rFonts w:hint="eastAsia" w:hAnsi="宋体"/>
          <w:b/>
          <w:bCs w:val="0"/>
          <w:sz w:val="32"/>
        </w:rPr>
        <w:t>月</w:t>
      </w:r>
    </w:p>
    <w:p>
      <w:pPr>
        <w:pStyle w:val="25"/>
        <w:adjustRightInd w:val="0"/>
        <w:snapToGrid w:val="0"/>
        <w:spacing w:line="360" w:lineRule="auto"/>
        <w:jc w:val="center"/>
        <w:rPr>
          <w:rFonts w:hint="eastAsia" w:hAnsi="宋体"/>
          <w:b/>
          <w:sz w:val="32"/>
        </w:rPr>
      </w:pPr>
    </w:p>
    <w:p>
      <w:pPr>
        <w:pStyle w:val="25"/>
        <w:adjustRightInd w:val="0"/>
        <w:snapToGrid w:val="0"/>
        <w:spacing w:line="360" w:lineRule="auto"/>
        <w:jc w:val="center"/>
        <w:rPr>
          <w:rFonts w:hint="eastAsia" w:hAnsi="宋体"/>
          <w:b/>
          <w:sz w:val="32"/>
        </w:rPr>
        <w:sectPr>
          <w:pgSz w:w="11906" w:h="16838"/>
          <w:pgMar w:top="1440" w:right="1797" w:bottom="1440" w:left="1797" w:header="851" w:footer="851" w:gutter="0"/>
          <w:pgNumType w:fmt="decimal" w:start="0"/>
          <w:cols w:space="720" w:num="1"/>
          <w:docGrid w:linePitch="312" w:charSpace="0"/>
        </w:sectPr>
      </w:pPr>
    </w:p>
    <w:p>
      <w:pPr>
        <w:jc w:val="center"/>
        <w:rPr>
          <w:rFonts w:hint="eastAsia" w:ascii="宋体" w:hAnsi="宋体" w:cs="宋体"/>
          <w:b/>
          <w:bCs/>
          <w:sz w:val="32"/>
          <w:szCs w:val="32"/>
          <w:lang w:eastAsia="zh-CN"/>
        </w:rPr>
      </w:pPr>
      <w:bookmarkStart w:id="0" w:name="_Toc14891064"/>
      <w:r>
        <w:rPr>
          <w:rFonts w:hint="eastAsia" w:ascii="宋体" w:hAnsi="宋体" w:cs="宋体"/>
          <w:b/>
          <w:bCs/>
          <w:sz w:val="32"/>
          <w:szCs w:val="32"/>
          <w:lang w:eastAsia="zh-CN"/>
        </w:rPr>
        <w:t>目</w:t>
      </w:r>
      <w:r>
        <w:rPr>
          <w:rFonts w:hint="eastAsia" w:ascii="宋体" w:hAnsi="宋体" w:cs="宋体"/>
          <w:b/>
          <w:bCs/>
          <w:sz w:val="32"/>
          <w:szCs w:val="32"/>
          <w:lang w:val="en-US" w:eastAsia="zh-CN"/>
        </w:rPr>
        <w:t xml:space="preserve">   </w:t>
      </w:r>
      <w:r>
        <w:rPr>
          <w:rFonts w:hint="eastAsia" w:ascii="宋体" w:hAnsi="宋体" w:cs="宋体"/>
          <w:b/>
          <w:bCs/>
          <w:sz w:val="32"/>
          <w:szCs w:val="32"/>
          <w:lang w:eastAsia="zh-CN"/>
        </w:rPr>
        <w:t>录</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lang w:eastAsia="zh-CN"/>
        </w:rPr>
      </w:pPr>
    </w:p>
    <w:p>
      <w:pPr>
        <w:pStyle w:val="32"/>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_Toc13254 </w:instrText>
      </w:r>
      <w:r>
        <w:rPr>
          <w:rFonts w:hint="eastAsia" w:ascii="宋体" w:hAnsi="宋体" w:eastAsia="宋体" w:cs="宋体"/>
        </w:rPr>
        <w:fldChar w:fldCharType="separate"/>
      </w:r>
      <w:r>
        <w:rPr>
          <w:rFonts w:hint="eastAsia" w:ascii="宋体" w:hAnsi="宋体" w:eastAsia="宋体" w:cs="宋体"/>
          <w:szCs w:val="32"/>
        </w:rPr>
        <w:t>第一章  谈判邀请公告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_Toc13254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32"/>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_Toc26282 </w:instrText>
      </w:r>
      <w:r>
        <w:rPr>
          <w:rFonts w:hint="eastAsia" w:ascii="宋体" w:hAnsi="宋体" w:eastAsia="宋体" w:cs="宋体"/>
        </w:rPr>
        <w:fldChar w:fldCharType="separate"/>
      </w:r>
      <w:r>
        <w:rPr>
          <w:rFonts w:hint="eastAsia" w:ascii="宋体" w:hAnsi="宋体" w:eastAsia="宋体" w:cs="宋体"/>
          <w:bCs w:val="0"/>
          <w:szCs w:val="32"/>
        </w:rPr>
        <w:t xml:space="preserve">第二章 </w:t>
      </w:r>
      <w:r>
        <w:rPr>
          <w:rFonts w:hint="eastAsia" w:ascii="宋体" w:hAnsi="宋体" w:eastAsia="宋体" w:cs="宋体"/>
          <w:bCs w:val="0"/>
          <w:szCs w:val="32"/>
          <w:lang w:val="en-US" w:eastAsia="zh-CN"/>
        </w:rPr>
        <w:t xml:space="preserve"> </w:t>
      </w:r>
      <w:r>
        <w:rPr>
          <w:rFonts w:hint="eastAsia" w:ascii="宋体" w:hAnsi="宋体" w:eastAsia="宋体" w:cs="宋体"/>
          <w:bCs w:val="0"/>
          <w:szCs w:val="32"/>
        </w:rPr>
        <w:t>谈判须知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_Toc26282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_Toc17682 </w:instrText>
      </w:r>
      <w:r>
        <w:rPr>
          <w:rFonts w:hint="eastAsia" w:ascii="宋体" w:hAnsi="宋体" w:eastAsia="宋体" w:cs="宋体"/>
        </w:rPr>
        <w:fldChar w:fldCharType="separate"/>
      </w:r>
      <w:r>
        <w:rPr>
          <w:rFonts w:hint="eastAsia" w:ascii="宋体" w:hAnsi="宋体" w:eastAsia="宋体" w:cs="宋体"/>
          <w:szCs w:val="32"/>
        </w:rPr>
        <w:t>谈判须知前附表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_Toc17682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_Toc11980 </w:instrText>
      </w:r>
      <w:r>
        <w:rPr>
          <w:rFonts w:hint="eastAsia" w:ascii="宋体" w:hAnsi="宋体" w:eastAsia="宋体" w:cs="宋体"/>
        </w:rPr>
        <w:fldChar w:fldCharType="separate"/>
      </w:r>
      <w:r>
        <w:rPr>
          <w:rFonts w:hint="eastAsia" w:ascii="宋体" w:hAnsi="宋体" w:eastAsia="宋体" w:cs="宋体"/>
          <w:bCs/>
          <w:szCs w:val="32"/>
        </w:rPr>
        <w:t>谈判须知正文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_Toc11980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_Toc25658 </w:instrText>
      </w:r>
      <w:r>
        <w:rPr>
          <w:rFonts w:hint="eastAsia" w:ascii="宋体" w:hAnsi="宋体" w:eastAsia="宋体" w:cs="宋体"/>
        </w:rPr>
        <w:fldChar w:fldCharType="separate"/>
      </w:r>
      <w:r>
        <w:rPr>
          <w:rFonts w:hint="eastAsia" w:ascii="宋体" w:hAnsi="宋体" w:eastAsia="宋体" w:cs="宋体"/>
          <w:szCs w:val="21"/>
        </w:rPr>
        <w:t>一、说明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_Toc25658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_Toc10190 </w:instrText>
      </w:r>
      <w:r>
        <w:rPr>
          <w:rFonts w:hint="eastAsia" w:ascii="宋体" w:hAnsi="宋体" w:eastAsia="宋体" w:cs="宋体"/>
        </w:rPr>
        <w:fldChar w:fldCharType="separate"/>
      </w:r>
      <w:r>
        <w:rPr>
          <w:rFonts w:hint="eastAsia" w:ascii="宋体" w:hAnsi="宋体" w:eastAsia="宋体" w:cs="宋体"/>
          <w:szCs w:val="21"/>
        </w:rPr>
        <w:t>二、谈判文件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_Toc10190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_Toc15974 </w:instrText>
      </w:r>
      <w:r>
        <w:rPr>
          <w:rFonts w:hint="eastAsia" w:ascii="宋体" w:hAnsi="宋体" w:eastAsia="宋体" w:cs="宋体"/>
        </w:rPr>
        <w:fldChar w:fldCharType="separate"/>
      </w:r>
      <w:r>
        <w:rPr>
          <w:rFonts w:hint="eastAsia" w:ascii="宋体" w:hAnsi="宋体" w:eastAsia="宋体" w:cs="宋体"/>
          <w:szCs w:val="21"/>
        </w:rPr>
        <w:t>三、响应文件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_Toc15974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_Toc28626 </w:instrText>
      </w:r>
      <w:r>
        <w:rPr>
          <w:rFonts w:hint="eastAsia" w:ascii="宋体" w:hAnsi="宋体" w:eastAsia="宋体" w:cs="宋体"/>
        </w:rPr>
        <w:fldChar w:fldCharType="separate"/>
      </w:r>
      <w:r>
        <w:rPr>
          <w:rFonts w:hint="eastAsia" w:ascii="宋体" w:hAnsi="宋体" w:eastAsia="宋体" w:cs="宋体"/>
          <w:szCs w:val="21"/>
        </w:rPr>
        <w:t>四、响应文件的递交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_Toc28626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_Toc28776 </w:instrText>
      </w:r>
      <w:r>
        <w:rPr>
          <w:rFonts w:hint="eastAsia" w:ascii="宋体" w:hAnsi="宋体" w:eastAsia="宋体" w:cs="宋体"/>
        </w:rPr>
        <w:fldChar w:fldCharType="separate"/>
      </w:r>
      <w:r>
        <w:rPr>
          <w:rFonts w:hint="eastAsia" w:ascii="宋体" w:hAnsi="宋体" w:eastAsia="宋体" w:cs="宋体"/>
          <w:szCs w:val="21"/>
        </w:rPr>
        <w:t>五、响应文件的评审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_Toc28776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_Toc4811 </w:instrText>
      </w:r>
      <w:r>
        <w:rPr>
          <w:rFonts w:hint="eastAsia" w:ascii="宋体" w:hAnsi="宋体" w:eastAsia="宋体" w:cs="宋体"/>
        </w:rPr>
        <w:fldChar w:fldCharType="separate"/>
      </w:r>
      <w:r>
        <w:rPr>
          <w:rFonts w:hint="eastAsia" w:ascii="宋体" w:hAnsi="宋体" w:eastAsia="宋体" w:cs="宋体"/>
          <w:szCs w:val="21"/>
        </w:rPr>
        <w:t>六、响应文件的澄清、说明及补正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_Toc4811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_Toc22305 </w:instrText>
      </w:r>
      <w:r>
        <w:rPr>
          <w:rFonts w:hint="eastAsia" w:ascii="宋体" w:hAnsi="宋体" w:eastAsia="宋体" w:cs="宋体"/>
        </w:rPr>
        <w:fldChar w:fldCharType="separate"/>
      </w:r>
      <w:r>
        <w:rPr>
          <w:rFonts w:hint="eastAsia" w:ascii="宋体" w:hAnsi="宋体" w:eastAsia="宋体" w:cs="宋体"/>
          <w:szCs w:val="21"/>
        </w:rPr>
        <w:t>七、中选结果与授予合同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_Toc22305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_Toc32718 </w:instrText>
      </w:r>
      <w:r>
        <w:rPr>
          <w:rFonts w:hint="eastAsia" w:ascii="宋体" w:hAnsi="宋体" w:eastAsia="宋体" w:cs="宋体"/>
        </w:rPr>
        <w:fldChar w:fldCharType="separate"/>
      </w:r>
      <w:r>
        <w:rPr>
          <w:rFonts w:hint="eastAsia" w:ascii="宋体" w:hAnsi="宋体" w:eastAsia="宋体" w:cs="宋体"/>
          <w:szCs w:val="21"/>
        </w:rPr>
        <w:t>八、其他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_Toc32718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32"/>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_Toc31786 </w:instrText>
      </w:r>
      <w:r>
        <w:rPr>
          <w:rFonts w:hint="eastAsia" w:ascii="宋体" w:hAnsi="宋体" w:eastAsia="宋体" w:cs="宋体"/>
        </w:rPr>
        <w:fldChar w:fldCharType="separate"/>
      </w:r>
      <w:r>
        <w:rPr>
          <w:rFonts w:hint="eastAsia" w:ascii="宋体" w:hAnsi="宋体" w:eastAsia="宋体" w:cs="宋体"/>
          <w:bCs w:val="0"/>
          <w:szCs w:val="32"/>
        </w:rPr>
        <w:t>第三章  评审办法及标准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_Toc31786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32"/>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_Toc23967 </w:instrText>
      </w:r>
      <w:r>
        <w:rPr>
          <w:rFonts w:hint="eastAsia" w:ascii="宋体" w:hAnsi="宋体" w:eastAsia="宋体" w:cs="宋体"/>
        </w:rPr>
        <w:fldChar w:fldCharType="separate"/>
      </w:r>
      <w:r>
        <w:rPr>
          <w:rFonts w:hint="eastAsia" w:ascii="宋体" w:hAnsi="宋体" w:eastAsia="宋体" w:cs="宋体"/>
          <w:bCs w:val="0"/>
          <w:szCs w:val="32"/>
        </w:rPr>
        <w:t>第四章  用户需求书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_Toc23967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32"/>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_Toc16008 </w:instrText>
      </w:r>
      <w:r>
        <w:rPr>
          <w:rFonts w:hint="eastAsia" w:ascii="宋体" w:hAnsi="宋体" w:eastAsia="宋体" w:cs="宋体"/>
        </w:rPr>
        <w:fldChar w:fldCharType="separate"/>
      </w:r>
      <w:r>
        <w:rPr>
          <w:rFonts w:hint="eastAsia" w:ascii="宋体" w:hAnsi="宋体" w:eastAsia="宋体" w:cs="宋体"/>
          <w:bCs w:val="0"/>
          <w:szCs w:val="32"/>
        </w:rPr>
        <w:t xml:space="preserve">第五章 </w:t>
      </w:r>
      <w:r>
        <w:rPr>
          <w:rFonts w:hint="eastAsia" w:ascii="宋体" w:hAnsi="宋体" w:eastAsia="宋体" w:cs="宋体"/>
          <w:bCs w:val="0"/>
          <w:szCs w:val="32"/>
          <w:lang w:val="en-US" w:eastAsia="zh-CN"/>
        </w:rPr>
        <w:t xml:space="preserve"> </w:t>
      </w:r>
      <w:r>
        <w:rPr>
          <w:rFonts w:hint="eastAsia" w:ascii="宋体" w:hAnsi="宋体" w:eastAsia="宋体" w:cs="宋体"/>
          <w:bCs/>
          <w:szCs w:val="32"/>
        </w:rPr>
        <w:t>控制价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_Toc16008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fldChar w:fldCharType="end"/>
      </w:r>
    </w:p>
    <w:p>
      <w:pPr>
        <w:pStyle w:val="32"/>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_Toc26126 </w:instrText>
      </w:r>
      <w:r>
        <w:rPr>
          <w:rFonts w:hint="eastAsia" w:ascii="宋体" w:hAnsi="宋体" w:eastAsia="宋体" w:cs="宋体"/>
        </w:rPr>
        <w:fldChar w:fldCharType="separate"/>
      </w:r>
      <w:r>
        <w:rPr>
          <w:rFonts w:hint="eastAsia" w:ascii="宋体" w:hAnsi="宋体" w:eastAsia="宋体" w:cs="宋体"/>
          <w:bCs w:val="0"/>
          <w:szCs w:val="32"/>
        </w:rPr>
        <w:t>第</w:t>
      </w:r>
      <w:r>
        <w:rPr>
          <w:rFonts w:hint="eastAsia" w:ascii="宋体" w:hAnsi="宋体" w:eastAsia="宋体" w:cs="宋体"/>
          <w:bCs w:val="0"/>
          <w:szCs w:val="32"/>
          <w:lang w:eastAsia="zh-CN"/>
        </w:rPr>
        <w:t>六</w:t>
      </w:r>
      <w:r>
        <w:rPr>
          <w:rFonts w:hint="eastAsia" w:ascii="宋体" w:hAnsi="宋体" w:eastAsia="宋体" w:cs="宋体"/>
          <w:bCs w:val="0"/>
          <w:szCs w:val="32"/>
        </w:rPr>
        <w:t xml:space="preserve">章 </w:t>
      </w:r>
      <w:r>
        <w:rPr>
          <w:rFonts w:hint="eastAsia" w:ascii="宋体" w:hAnsi="宋体" w:eastAsia="宋体" w:cs="宋体"/>
          <w:bCs w:val="0"/>
          <w:szCs w:val="32"/>
          <w:lang w:val="en-US" w:eastAsia="zh-CN"/>
        </w:rPr>
        <w:t xml:space="preserve"> </w:t>
      </w:r>
      <w:r>
        <w:rPr>
          <w:rFonts w:hint="eastAsia" w:ascii="宋体" w:hAnsi="宋体" w:eastAsia="宋体" w:cs="宋体"/>
          <w:bCs w:val="0"/>
          <w:szCs w:val="32"/>
        </w:rPr>
        <w:t>合同格式条款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_Toc26126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rPr>
        <w:fldChar w:fldCharType="end"/>
      </w:r>
    </w:p>
    <w:p>
      <w:pPr>
        <w:pStyle w:val="32"/>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_Toc12762 </w:instrText>
      </w:r>
      <w:r>
        <w:rPr>
          <w:rFonts w:hint="eastAsia" w:ascii="宋体" w:hAnsi="宋体" w:eastAsia="宋体" w:cs="宋体"/>
        </w:rPr>
        <w:fldChar w:fldCharType="separate"/>
      </w:r>
      <w:r>
        <w:rPr>
          <w:rFonts w:hint="eastAsia" w:ascii="宋体" w:hAnsi="宋体" w:eastAsia="宋体" w:cs="宋体"/>
          <w:szCs w:val="32"/>
        </w:rPr>
        <w:t>第</w:t>
      </w:r>
      <w:r>
        <w:rPr>
          <w:rFonts w:hint="eastAsia" w:ascii="宋体" w:hAnsi="宋体" w:eastAsia="宋体" w:cs="宋体"/>
          <w:szCs w:val="32"/>
          <w:lang w:eastAsia="zh-CN"/>
        </w:rPr>
        <w:t>七</w:t>
      </w:r>
      <w:r>
        <w:rPr>
          <w:rFonts w:hint="eastAsia" w:ascii="宋体" w:hAnsi="宋体" w:eastAsia="宋体" w:cs="宋体"/>
          <w:szCs w:val="32"/>
        </w:rPr>
        <w:t xml:space="preserve">章  </w:t>
      </w:r>
      <w:r>
        <w:rPr>
          <w:rFonts w:hint="eastAsia" w:ascii="宋体" w:hAnsi="宋体" w:eastAsia="宋体" w:cs="宋体"/>
          <w:bCs/>
          <w:szCs w:val="32"/>
        </w:rPr>
        <w:t>响应文件组成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_Toc12762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_Toc2508 </w:instrText>
      </w:r>
      <w:r>
        <w:rPr>
          <w:rFonts w:hint="eastAsia" w:ascii="宋体" w:hAnsi="宋体" w:eastAsia="宋体" w:cs="宋体"/>
        </w:rPr>
        <w:fldChar w:fldCharType="separate"/>
      </w:r>
      <w:r>
        <w:rPr>
          <w:rFonts w:hint="eastAsia" w:ascii="宋体" w:hAnsi="宋体" w:eastAsia="宋体" w:cs="宋体"/>
          <w:szCs w:val="32"/>
        </w:rPr>
        <w:t>一、谈判承诺书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_Toc2508 </w:instrText>
      </w:r>
      <w:r>
        <w:rPr>
          <w:rFonts w:hint="eastAsia" w:ascii="宋体" w:hAnsi="宋体" w:eastAsia="宋体" w:cs="宋体"/>
        </w:rPr>
        <w:fldChar w:fldCharType="separate"/>
      </w:r>
      <w:r>
        <w:rPr>
          <w:rFonts w:hint="eastAsia" w:ascii="宋体" w:hAnsi="宋体" w:eastAsia="宋体" w:cs="宋体"/>
        </w:rPr>
        <w:t>61</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_Toc2211 </w:instrText>
      </w:r>
      <w:r>
        <w:rPr>
          <w:rFonts w:hint="eastAsia" w:ascii="宋体" w:hAnsi="宋体" w:eastAsia="宋体" w:cs="宋体"/>
        </w:rPr>
        <w:fldChar w:fldCharType="separate"/>
      </w:r>
      <w:r>
        <w:rPr>
          <w:rFonts w:hint="eastAsia" w:ascii="宋体" w:hAnsi="宋体" w:eastAsia="宋体" w:cs="宋体"/>
          <w:szCs w:val="32"/>
        </w:rPr>
        <w:t>二、法定代表人身份证明书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_Toc2211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_Toc3592 </w:instrText>
      </w:r>
      <w:r>
        <w:rPr>
          <w:rFonts w:hint="eastAsia" w:ascii="宋体" w:hAnsi="宋体" w:eastAsia="宋体" w:cs="宋体"/>
        </w:rPr>
        <w:fldChar w:fldCharType="separate"/>
      </w:r>
      <w:r>
        <w:rPr>
          <w:rFonts w:hint="eastAsia" w:ascii="宋体" w:hAnsi="宋体" w:eastAsia="宋体" w:cs="宋体"/>
          <w:szCs w:val="32"/>
        </w:rPr>
        <w:t>三、授权委托书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_Toc3592 </w:instrText>
      </w:r>
      <w:r>
        <w:rPr>
          <w:rFonts w:hint="eastAsia" w:ascii="宋体" w:hAnsi="宋体" w:eastAsia="宋体" w:cs="宋体"/>
        </w:rPr>
        <w:fldChar w:fldCharType="separate"/>
      </w:r>
      <w:r>
        <w:rPr>
          <w:rFonts w:hint="eastAsia" w:ascii="宋体" w:hAnsi="宋体" w:eastAsia="宋体" w:cs="宋体"/>
        </w:rPr>
        <w:t>63</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_Toc30284 </w:instrText>
      </w:r>
      <w:r>
        <w:rPr>
          <w:rFonts w:hint="eastAsia" w:ascii="宋体" w:hAnsi="宋体" w:eastAsia="宋体" w:cs="宋体"/>
        </w:rPr>
        <w:fldChar w:fldCharType="separate"/>
      </w:r>
      <w:r>
        <w:rPr>
          <w:rFonts w:hint="eastAsia" w:ascii="宋体" w:hAnsi="宋体" w:eastAsia="宋体" w:cs="宋体"/>
          <w:szCs w:val="32"/>
        </w:rPr>
        <w:t>四、谈判单位资格证明文件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_Toc30284 </w:instrText>
      </w:r>
      <w:r>
        <w:rPr>
          <w:rFonts w:hint="eastAsia" w:ascii="宋体" w:hAnsi="宋体" w:eastAsia="宋体" w:cs="宋体"/>
        </w:rPr>
        <w:fldChar w:fldCharType="separate"/>
      </w:r>
      <w:r>
        <w:rPr>
          <w:rFonts w:hint="eastAsia" w:ascii="宋体" w:hAnsi="宋体" w:eastAsia="宋体" w:cs="宋体"/>
        </w:rPr>
        <w:t>64</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_Toc6552 </w:instrText>
      </w:r>
      <w:r>
        <w:rPr>
          <w:rFonts w:hint="eastAsia" w:ascii="宋体" w:hAnsi="宋体" w:eastAsia="宋体" w:cs="宋体"/>
        </w:rPr>
        <w:fldChar w:fldCharType="separate"/>
      </w:r>
      <w:r>
        <w:rPr>
          <w:rFonts w:hint="eastAsia" w:ascii="宋体" w:hAnsi="宋体" w:eastAsia="宋体" w:cs="宋体"/>
          <w:szCs w:val="32"/>
        </w:rPr>
        <w:t>五、不拖欠农民工工资承诺书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_Toc6552 </w:instrText>
      </w:r>
      <w:r>
        <w:rPr>
          <w:rFonts w:hint="eastAsia" w:ascii="宋体" w:hAnsi="宋体" w:eastAsia="宋体" w:cs="宋体"/>
        </w:rPr>
        <w:fldChar w:fldCharType="separate"/>
      </w:r>
      <w:r>
        <w:rPr>
          <w:rFonts w:hint="eastAsia" w:ascii="宋体" w:hAnsi="宋体" w:eastAsia="宋体" w:cs="宋体"/>
        </w:rPr>
        <w:t>65</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_Toc2843 </w:instrText>
      </w:r>
      <w:r>
        <w:rPr>
          <w:rFonts w:hint="eastAsia" w:ascii="宋体" w:hAnsi="宋体" w:eastAsia="宋体" w:cs="宋体"/>
        </w:rPr>
        <w:fldChar w:fldCharType="separate"/>
      </w:r>
      <w:r>
        <w:rPr>
          <w:rFonts w:hint="eastAsia" w:ascii="宋体" w:hAnsi="宋体" w:eastAsia="宋体" w:cs="宋体"/>
          <w:szCs w:val="32"/>
        </w:rPr>
        <w:t>六、报价一览表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_Toc2843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_Toc5453 </w:instrText>
      </w:r>
      <w:r>
        <w:rPr>
          <w:rFonts w:hint="eastAsia" w:ascii="宋体" w:hAnsi="宋体" w:eastAsia="宋体" w:cs="宋体"/>
        </w:rPr>
        <w:fldChar w:fldCharType="separate"/>
      </w:r>
      <w:r>
        <w:rPr>
          <w:rFonts w:hint="eastAsia" w:ascii="宋体" w:hAnsi="宋体" w:eastAsia="宋体" w:cs="宋体"/>
          <w:szCs w:val="32"/>
        </w:rPr>
        <w:t>七、报价汇总表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_Toc5453 </w:instrText>
      </w:r>
      <w:r>
        <w:rPr>
          <w:rFonts w:hint="eastAsia" w:ascii="宋体" w:hAnsi="宋体" w:eastAsia="宋体" w:cs="宋体"/>
        </w:rPr>
        <w:fldChar w:fldCharType="separate"/>
      </w:r>
      <w:r>
        <w:rPr>
          <w:rFonts w:hint="eastAsia" w:ascii="宋体" w:hAnsi="宋体" w:eastAsia="宋体" w:cs="宋体"/>
        </w:rPr>
        <w:t>67</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_Toc18361 </w:instrText>
      </w:r>
      <w:r>
        <w:rPr>
          <w:rFonts w:hint="eastAsia" w:ascii="宋体" w:hAnsi="宋体" w:eastAsia="宋体" w:cs="宋体"/>
        </w:rPr>
        <w:fldChar w:fldCharType="separate"/>
      </w:r>
      <w:r>
        <w:rPr>
          <w:rFonts w:hint="eastAsia" w:ascii="宋体" w:hAnsi="宋体" w:eastAsia="宋体" w:cs="宋体"/>
          <w:szCs w:val="32"/>
          <w:lang w:eastAsia="zh-CN"/>
        </w:rPr>
        <w:t>八</w:t>
      </w:r>
      <w:r>
        <w:rPr>
          <w:rFonts w:hint="eastAsia" w:ascii="宋体" w:hAnsi="宋体" w:eastAsia="宋体" w:cs="宋体"/>
          <w:szCs w:val="32"/>
        </w:rPr>
        <w:t>、投标报价表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_Toc18361 </w:instrText>
      </w:r>
      <w:r>
        <w:rPr>
          <w:rFonts w:hint="eastAsia" w:ascii="宋体" w:hAnsi="宋体" w:eastAsia="宋体" w:cs="宋体"/>
        </w:rPr>
        <w:fldChar w:fldCharType="separate"/>
      </w:r>
      <w:r>
        <w:rPr>
          <w:rFonts w:hint="eastAsia" w:ascii="宋体" w:hAnsi="宋体" w:eastAsia="宋体" w:cs="宋体"/>
        </w:rPr>
        <w:t>68</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_Toc13786 </w:instrText>
      </w:r>
      <w:r>
        <w:rPr>
          <w:rFonts w:hint="eastAsia" w:ascii="宋体" w:hAnsi="宋体" w:eastAsia="宋体" w:cs="宋体"/>
        </w:rPr>
        <w:fldChar w:fldCharType="separate"/>
      </w:r>
      <w:r>
        <w:rPr>
          <w:rFonts w:hint="eastAsia" w:ascii="宋体" w:hAnsi="宋体" w:eastAsia="宋体" w:cs="宋体"/>
          <w:szCs w:val="32"/>
          <w:lang w:eastAsia="zh-CN"/>
        </w:rPr>
        <w:t>九</w:t>
      </w:r>
      <w:r>
        <w:rPr>
          <w:rFonts w:hint="eastAsia" w:ascii="宋体" w:hAnsi="宋体" w:eastAsia="宋体" w:cs="宋体"/>
          <w:szCs w:val="32"/>
        </w:rPr>
        <w:t>、其他资料（如有）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_Toc13786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rPr>
        <w:fldChar w:fldCharType="end"/>
      </w:r>
    </w:p>
    <w:p>
      <w:pPr>
        <w:pStyle w:val="3"/>
        <w:keepNext w:val="0"/>
        <w:jc w:val="center"/>
        <w:rPr>
          <w:rFonts w:hint="eastAsia" w:ascii="宋体" w:hAnsi="宋体" w:eastAsia="宋体" w:cs="宋体"/>
          <w:sz w:val="32"/>
          <w:szCs w:val="32"/>
        </w:rPr>
        <w:sectPr>
          <w:footerReference r:id="rId3" w:type="default"/>
          <w:pgSz w:w="11906" w:h="16838"/>
          <w:pgMar w:top="1440" w:right="1797" w:bottom="1440" w:left="1797" w:header="851" w:footer="851" w:gutter="0"/>
          <w:pgNumType w:fmt="decimal" w:start="1"/>
          <w:cols w:space="720" w:num="1"/>
          <w:docGrid w:linePitch="312" w:charSpace="0"/>
        </w:sectPr>
      </w:pPr>
      <w:bookmarkStart w:id="1" w:name="_Toc5016"/>
      <w:bookmarkStart w:id="2" w:name="_Toc29614"/>
    </w:p>
    <w:p>
      <w:pPr>
        <w:pStyle w:val="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32"/>
          <w:szCs w:val="32"/>
        </w:rPr>
      </w:pPr>
      <w:bookmarkStart w:id="3" w:name="_Toc13254"/>
      <w:bookmarkStart w:id="4" w:name="_Toc13376"/>
      <w:r>
        <w:rPr>
          <w:rFonts w:hint="eastAsia" w:ascii="宋体" w:hAnsi="宋体" w:eastAsia="宋体" w:cs="宋体"/>
          <w:sz w:val="32"/>
          <w:szCs w:val="32"/>
        </w:rPr>
        <w:t>第一章  谈判邀请公告</w:t>
      </w:r>
      <w:bookmarkEnd w:id="0"/>
      <w:bookmarkEnd w:id="1"/>
      <w:bookmarkEnd w:id="2"/>
      <w:bookmarkEnd w:id="3"/>
      <w:bookmarkEnd w:id="4"/>
    </w:p>
    <w:p>
      <w:pPr>
        <w:pStyle w:val="2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iCs/>
          <w:u w:val="single"/>
        </w:rPr>
      </w:pPr>
    </w:p>
    <w:p>
      <w:pPr>
        <w:keepNext w:val="0"/>
        <w:keepLines w:val="0"/>
        <w:pageBreakBefore w:val="0"/>
        <w:widowControl w:val="0"/>
        <w:kinsoku/>
        <w:wordWrap/>
        <w:overflowPunct/>
        <w:topLinePunct w:val="0"/>
        <w:autoSpaceDE/>
        <w:autoSpaceDN/>
        <w:bidi w:val="0"/>
        <w:spacing w:line="360" w:lineRule="auto"/>
        <w:ind w:left="0" w:leftChars="0" w:firstLine="420" w:firstLineChars="200"/>
        <w:jc w:val="left"/>
        <w:textAlignment w:val="auto"/>
        <w:rPr>
          <w:rFonts w:hint="eastAsia" w:ascii="宋体" w:hAnsi="宋体" w:eastAsia="宋体" w:cs="宋体"/>
          <w:iCs/>
          <w:sz w:val="21"/>
          <w:szCs w:val="21"/>
          <w:u w:val="single"/>
        </w:rPr>
      </w:pPr>
      <w:r>
        <w:rPr>
          <w:rFonts w:hint="eastAsia" w:ascii="宋体" w:hAnsi="宋体" w:cs="宋体"/>
          <w:iCs/>
          <w:sz w:val="21"/>
          <w:szCs w:val="21"/>
          <w:u w:val="single"/>
          <w:lang w:eastAsia="zh-CN"/>
        </w:rPr>
        <w:t>湖南省湘咨工程咨询有限责任公司</w:t>
      </w:r>
      <w:r>
        <w:rPr>
          <w:rFonts w:hint="eastAsia" w:ascii="宋体" w:hAnsi="宋体" w:eastAsia="宋体" w:cs="宋体"/>
          <w:sz w:val="21"/>
          <w:szCs w:val="21"/>
        </w:rPr>
        <w:t>受</w:t>
      </w:r>
      <w:r>
        <w:rPr>
          <w:rFonts w:hint="eastAsia" w:ascii="宋体" w:hAnsi="宋体" w:cs="宋体"/>
          <w:iCs/>
          <w:sz w:val="21"/>
          <w:szCs w:val="21"/>
          <w:u w:val="single"/>
          <w:lang w:eastAsia="zh-CN"/>
        </w:rPr>
        <w:t>长沙市轨道交通四号线建设发展有限公司</w:t>
      </w:r>
      <w:r>
        <w:rPr>
          <w:rFonts w:hint="eastAsia" w:ascii="宋体" w:hAnsi="宋体" w:eastAsia="宋体" w:cs="宋体"/>
          <w:sz w:val="21"/>
          <w:szCs w:val="21"/>
        </w:rPr>
        <w:t>的委托，</w:t>
      </w:r>
      <w:r>
        <w:rPr>
          <w:rFonts w:hint="eastAsia" w:ascii="宋体" w:hAnsi="宋体" w:eastAsia="宋体" w:cs="宋体"/>
          <w:iCs/>
          <w:sz w:val="21"/>
          <w:szCs w:val="21"/>
        </w:rPr>
        <w:t>对</w:t>
      </w:r>
      <w:r>
        <w:rPr>
          <w:rFonts w:hint="eastAsia" w:ascii="宋体" w:hAnsi="宋体" w:cs="宋体"/>
          <w:iCs/>
          <w:sz w:val="21"/>
          <w:szCs w:val="21"/>
          <w:u w:val="single"/>
          <w:lang w:eastAsia="zh-CN"/>
        </w:rPr>
        <w:t>长沙市轨道交通运营有限公司黄兴车辆段羽毛球、乒乓球场地迁改项目（第二次）</w:t>
      </w:r>
      <w:r>
        <w:rPr>
          <w:rFonts w:hint="eastAsia" w:ascii="宋体" w:hAnsi="宋体" w:eastAsia="宋体" w:cs="宋体"/>
          <w:iCs/>
          <w:sz w:val="21"/>
          <w:szCs w:val="21"/>
        </w:rPr>
        <w:t>进行自主竞争性谈判采购，现发布公告，邀请符合条件的单位参与谈判采购活动。</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iCs/>
          <w:sz w:val="21"/>
          <w:szCs w:val="21"/>
        </w:rPr>
      </w:pPr>
      <w:r>
        <w:rPr>
          <w:rFonts w:hint="eastAsia" w:ascii="宋体" w:hAnsi="宋体" w:eastAsia="宋体" w:cs="宋体"/>
          <w:b/>
          <w:iCs/>
          <w:sz w:val="21"/>
          <w:szCs w:val="21"/>
        </w:rPr>
        <w:t>一、项目概况</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iCs/>
          <w:sz w:val="21"/>
          <w:szCs w:val="21"/>
        </w:rPr>
      </w:pPr>
      <w:r>
        <w:rPr>
          <w:rFonts w:hint="eastAsia" w:ascii="宋体" w:hAnsi="宋体" w:eastAsia="宋体" w:cs="宋体"/>
          <w:iCs/>
          <w:sz w:val="21"/>
          <w:szCs w:val="21"/>
        </w:rPr>
        <w:t>1.项目名称：</w:t>
      </w:r>
      <w:r>
        <w:rPr>
          <w:rFonts w:hint="eastAsia" w:hAnsi="宋体" w:cs="宋体"/>
          <w:iCs/>
          <w:sz w:val="21"/>
          <w:szCs w:val="21"/>
          <w:u w:val="none"/>
          <w:lang w:eastAsia="zh-CN"/>
        </w:rPr>
        <w:t>长沙市轨道交通运营有限公司黄兴车辆段羽毛球、乒乓球场地迁改项目（第二次）</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2.</w:t>
      </w:r>
      <w:r>
        <w:rPr>
          <w:rFonts w:hint="eastAsia" w:ascii="宋体" w:hAnsi="宋体" w:eastAsia="宋体" w:cs="宋体"/>
          <w:iCs/>
          <w:color w:val="auto"/>
          <w:sz w:val="21"/>
          <w:szCs w:val="21"/>
        </w:rPr>
        <w:t>项目</w:t>
      </w:r>
      <w:r>
        <w:rPr>
          <w:rFonts w:hint="eastAsia" w:ascii="宋体" w:hAnsi="宋体" w:eastAsia="宋体" w:cs="宋体"/>
          <w:iCs/>
          <w:color w:val="auto"/>
          <w:sz w:val="21"/>
          <w:szCs w:val="21"/>
          <w:lang w:eastAsia="zh-CN"/>
        </w:rPr>
        <w:t>控制价</w:t>
      </w:r>
      <w:r>
        <w:rPr>
          <w:rFonts w:hint="eastAsia" w:ascii="宋体" w:hAnsi="宋体" w:eastAsia="宋体" w:cs="宋体"/>
          <w:iCs/>
          <w:color w:val="auto"/>
          <w:sz w:val="21"/>
          <w:szCs w:val="21"/>
        </w:rPr>
        <w:t>：</w:t>
      </w:r>
      <w:r>
        <w:rPr>
          <w:rFonts w:hint="eastAsia" w:hAnsi="宋体" w:cs="宋体"/>
          <w:iCs/>
          <w:color w:val="auto"/>
          <w:sz w:val="21"/>
          <w:szCs w:val="21"/>
          <w:lang w:val="en-US" w:eastAsia="zh-CN"/>
        </w:rPr>
        <w:t>464997.86元</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sz w:val="21"/>
          <w:szCs w:val="21"/>
        </w:rPr>
      </w:pPr>
      <w:r>
        <w:rPr>
          <w:rFonts w:hint="eastAsia" w:ascii="宋体" w:hAnsi="宋体" w:eastAsia="宋体" w:cs="宋体"/>
          <w:iCs/>
          <w:sz w:val="21"/>
          <w:szCs w:val="21"/>
        </w:rPr>
        <w:t>3.谈判内容：</w:t>
      </w:r>
      <w:r>
        <w:rPr>
          <w:rFonts w:hint="eastAsia" w:ascii="宋体" w:hAnsi="宋体" w:cs="宋体"/>
          <w:i w:val="0"/>
          <w:iCs w:val="0"/>
          <w:color w:val="auto"/>
          <w:sz w:val="21"/>
          <w:szCs w:val="21"/>
          <w:highlight w:val="none"/>
          <w:u w:val="none"/>
          <w:lang w:val="en-US" w:eastAsia="zh-CN"/>
        </w:rPr>
        <w:t>本项目主要对</w:t>
      </w:r>
      <w:r>
        <w:rPr>
          <w:rFonts w:hint="eastAsia" w:ascii="宋体" w:hAnsi="Calibri" w:eastAsia="宋体" w:cs="Times New Roman"/>
          <w:b w:val="0"/>
          <w:bCs w:val="0"/>
          <w:color w:val="auto"/>
          <w:szCs w:val="21"/>
          <w:highlight w:val="none"/>
        </w:rPr>
        <w:t>长沙市轨道交通</w:t>
      </w:r>
      <w:r>
        <w:rPr>
          <w:rFonts w:hint="eastAsia" w:ascii="宋体" w:hAnsi="宋体" w:cs="宋体"/>
          <w:i w:val="0"/>
          <w:iCs w:val="0"/>
          <w:color w:val="auto"/>
          <w:sz w:val="21"/>
          <w:szCs w:val="21"/>
          <w:highlight w:val="none"/>
          <w:u w:val="none"/>
          <w:lang w:val="en-US" w:eastAsia="zh-CN"/>
        </w:rPr>
        <w:t>黄榔停车场平面库进行改造，增设室内羽毛球场和乒乓球场地等运动场地，并开展相应配套球场灯具、遮光窗帘、男女更衣淋浴室、会议室等附属设备设施的改造。（具体详见用户需求书）</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4.标段划分：共划分</w:t>
      </w:r>
      <w:r>
        <w:rPr>
          <w:rFonts w:hint="eastAsia" w:ascii="宋体" w:hAnsi="宋体" w:eastAsia="宋体" w:cs="宋体"/>
          <w:bCs/>
          <w:sz w:val="21"/>
          <w:szCs w:val="21"/>
          <w:u w:val="none"/>
        </w:rPr>
        <w:t>1</w:t>
      </w:r>
      <w:r>
        <w:rPr>
          <w:rFonts w:hint="eastAsia" w:ascii="宋体" w:hAnsi="宋体" w:eastAsia="宋体" w:cs="宋体"/>
          <w:sz w:val="21"/>
          <w:szCs w:val="21"/>
        </w:rPr>
        <w:t>个标段</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5.服务期</w:t>
      </w:r>
      <w:r>
        <w:rPr>
          <w:rFonts w:hint="eastAsia" w:ascii="宋体" w:hAnsi="宋体" w:eastAsia="宋体" w:cs="宋体"/>
          <w:bCs/>
          <w:sz w:val="21"/>
          <w:szCs w:val="21"/>
          <w:lang w:eastAsia="zh-CN"/>
        </w:rPr>
        <w:t>限</w:t>
      </w:r>
      <w:r>
        <w:rPr>
          <w:rFonts w:hint="eastAsia" w:ascii="宋体" w:hAnsi="宋体" w:eastAsia="宋体" w:cs="宋体"/>
          <w:bCs/>
          <w:sz w:val="21"/>
          <w:szCs w:val="21"/>
        </w:rPr>
        <w:t>：</w:t>
      </w:r>
      <w:r>
        <w:rPr>
          <w:rFonts w:hint="eastAsia" w:ascii="宋体" w:hAnsi="宋体" w:cs="宋体"/>
          <w:i w:val="0"/>
          <w:iCs w:val="0"/>
          <w:color w:val="auto"/>
          <w:sz w:val="21"/>
          <w:szCs w:val="21"/>
          <w:highlight w:val="none"/>
          <w:u w:val="none"/>
          <w:lang w:val="en-US" w:eastAsia="zh-CN"/>
        </w:rPr>
        <w:t>本项目工期为承包单位接到采购单位发出的开工通知起算共60天完成项目所有施工。（具体详见用户需求书）</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iCs/>
          <w:sz w:val="21"/>
          <w:szCs w:val="21"/>
        </w:rPr>
      </w:pPr>
      <w:r>
        <w:rPr>
          <w:rFonts w:hint="eastAsia" w:ascii="宋体" w:hAnsi="宋体" w:eastAsia="宋体" w:cs="宋体"/>
          <w:b/>
          <w:iCs/>
          <w:sz w:val="21"/>
          <w:szCs w:val="21"/>
        </w:rPr>
        <w:t>二、资格要求</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sz w:val="21"/>
          <w:szCs w:val="21"/>
        </w:rPr>
        <w:t>1.</w:t>
      </w:r>
      <w:r>
        <w:rPr>
          <w:rFonts w:hint="eastAsia" w:ascii="宋体" w:hAnsi="宋体" w:eastAsia="宋体" w:cs="宋体"/>
          <w:iCs/>
          <w:sz w:val="21"/>
          <w:szCs w:val="21"/>
        </w:rPr>
        <w:t>谈判单位须为具有独立法人资格、自主经营、独立核算的公司。</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lang w:eastAsia="zh-CN"/>
        </w:rPr>
      </w:pPr>
      <w:r>
        <w:rPr>
          <w:rFonts w:hint="eastAsia" w:ascii="宋体" w:hAnsi="宋体" w:cs="宋体"/>
          <w:color w:val="auto"/>
          <w:highlight w:val="none"/>
        </w:rPr>
        <w:t>2.</w:t>
      </w:r>
      <w:r>
        <w:rPr>
          <w:rFonts w:hint="eastAsia" w:ascii="宋体" w:hAnsi="宋体" w:cs="宋体"/>
          <w:color w:val="auto"/>
          <w:highlight w:val="none"/>
          <w:lang w:eastAsia="zh-CN"/>
        </w:rPr>
        <w:t>谈判单位须具有</w:t>
      </w:r>
      <w:r>
        <w:rPr>
          <w:rFonts w:hint="eastAsia" w:ascii="宋体" w:hAnsi="宋体" w:cs="宋体"/>
          <w:color w:val="auto"/>
          <w:highlight w:val="none"/>
        </w:rPr>
        <w:t>建筑工程施工总承包三级（含）以上</w:t>
      </w:r>
      <w:r>
        <w:rPr>
          <w:rFonts w:hint="eastAsia" w:ascii="宋体" w:hAnsi="宋体" w:cs="宋体"/>
          <w:color w:val="auto"/>
          <w:highlight w:val="none"/>
          <w:lang w:eastAsia="zh-CN"/>
        </w:rPr>
        <w:t>或</w:t>
      </w:r>
      <w:r>
        <w:rPr>
          <w:rFonts w:hint="eastAsia" w:ascii="宋体" w:hAnsi="宋体" w:cs="宋体"/>
          <w:color w:val="auto"/>
          <w:highlight w:val="none"/>
        </w:rPr>
        <w:t>建筑装修装饰工程专业承包二级（含）以上</w:t>
      </w:r>
      <w:r>
        <w:rPr>
          <w:rFonts w:hint="eastAsia" w:ascii="宋体" w:hAnsi="宋体" w:cs="宋体"/>
          <w:color w:val="auto"/>
          <w:highlight w:val="none"/>
          <w:lang w:eastAsia="zh-CN"/>
        </w:rPr>
        <w:t>或</w:t>
      </w:r>
      <w:r>
        <w:rPr>
          <w:rFonts w:hint="eastAsia" w:ascii="宋体" w:hAnsi="宋体" w:cs="宋体"/>
          <w:color w:val="auto"/>
          <w:highlight w:val="none"/>
        </w:rPr>
        <w:t>建筑机电安装工程专业承包三级（含）以上资质</w:t>
      </w:r>
      <w:r>
        <w:rPr>
          <w:rFonts w:hint="eastAsia" w:ascii="宋体" w:hAnsi="宋体" w:cs="宋体"/>
          <w:color w:val="auto"/>
          <w:highlight w:val="none"/>
          <w:lang w:eastAsia="zh-CN"/>
        </w:rPr>
        <w:t>，</w:t>
      </w:r>
      <w:r>
        <w:rPr>
          <w:rFonts w:hint="eastAsia" w:ascii="宋体" w:hAnsi="宋体" w:cs="宋体"/>
          <w:color w:val="auto"/>
          <w:highlight w:val="none"/>
        </w:rPr>
        <w:t>须具有有效的施工企业《安全生产许可证》</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本项目现场施工部关键岗位人员最低配备按《湖南省建设工程施工项目部和现场监理部关键岗位人员配备管理办法》湘建建〔2015〕57号文执行</w:t>
      </w:r>
      <w:r>
        <w:rPr>
          <w:rFonts w:hint="eastAsia" w:ascii="宋体" w:hAnsi="宋体" w:cs="宋体"/>
          <w:color w:val="auto"/>
          <w:highlight w:val="none"/>
          <w:lang w:eastAsia="zh-CN"/>
        </w:rPr>
        <w:t>（详见附表）</w:t>
      </w:r>
      <w:r>
        <w:rPr>
          <w:rFonts w:hint="eastAsia" w:ascii="宋体" w:hAnsi="宋体" w:cs="宋体"/>
          <w:color w:val="auto"/>
          <w:highlight w:val="none"/>
        </w:rPr>
        <w:t>；</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湖南省外企业须按照湘建建【2015】190号文件要求办理省外入湘企业基本情况登记（以“湖南省住房和城乡建设网”查询为准）或具有入湘施工登记证（处于有效期内）。</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本</w:t>
      </w:r>
      <w:r>
        <w:rPr>
          <w:rFonts w:hint="eastAsia" w:ascii="宋体" w:hAnsi="宋体" w:cs="宋体"/>
          <w:color w:val="auto"/>
          <w:highlight w:val="none"/>
          <w:lang w:eastAsia="zh-CN"/>
        </w:rPr>
        <w:t>项目谈判</w:t>
      </w:r>
      <w:r>
        <w:rPr>
          <w:rFonts w:hint="eastAsia" w:ascii="宋体" w:hAnsi="宋体" w:cs="宋体"/>
          <w:color w:val="auto"/>
          <w:highlight w:val="none"/>
        </w:rPr>
        <w:t>不接受联合体</w:t>
      </w:r>
      <w:r>
        <w:rPr>
          <w:rFonts w:hint="eastAsia" w:ascii="宋体" w:hAnsi="宋体" w:cs="宋体"/>
          <w:color w:val="auto"/>
          <w:highlight w:val="none"/>
          <w:lang w:eastAsia="zh-CN"/>
        </w:rPr>
        <w:t>形式参与</w:t>
      </w:r>
      <w:r>
        <w:rPr>
          <w:rFonts w:hint="eastAsia" w:ascii="宋体" w:hAnsi="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.被长沙市轨道交通集团函告禁止在一定期限内参与轨道公司项目投标</w:t>
      </w:r>
      <w:r>
        <w:rPr>
          <w:rFonts w:hint="eastAsia" w:ascii="宋体" w:hAnsi="宋体" w:cs="宋体"/>
          <w:color w:val="auto"/>
          <w:sz w:val="21"/>
          <w:szCs w:val="21"/>
          <w:highlight w:val="none"/>
          <w:lang w:eastAsia="zh-CN"/>
        </w:rPr>
        <w:t>或谈判</w:t>
      </w:r>
      <w:r>
        <w:rPr>
          <w:rFonts w:hint="eastAsia" w:ascii="宋体" w:hAnsi="宋体" w:eastAsia="宋体" w:cs="宋体"/>
          <w:color w:val="auto"/>
          <w:sz w:val="21"/>
          <w:szCs w:val="21"/>
          <w:highlight w:val="none"/>
        </w:rPr>
        <w:t>的单位按函告内容执行。</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iCs/>
          <w:sz w:val="21"/>
          <w:szCs w:val="21"/>
        </w:rPr>
      </w:pPr>
      <w:r>
        <w:rPr>
          <w:rFonts w:hint="eastAsia" w:ascii="宋体" w:hAnsi="宋体" w:eastAsia="宋体" w:cs="宋体"/>
          <w:b/>
          <w:bCs/>
          <w:sz w:val="21"/>
          <w:szCs w:val="21"/>
        </w:rPr>
        <w:t>三、</w:t>
      </w:r>
      <w:r>
        <w:rPr>
          <w:rFonts w:hint="eastAsia" w:ascii="宋体" w:hAnsi="宋体" w:eastAsia="宋体" w:cs="宋体"/>
          <w:b/>
          <w:bCs/>
          <w:iCs/>
          <w:sz w:val="21"/>
          <w:szCs w:val="21"/>
        </w:rPr>
        <w:t>评审办法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iCs/>
          <w:sz w:val="21"/>
          <w:szCs w:val="21"/>
        </w:rPr>
        <w:t>本项目评审办法采用</w:t>
      </w:r>
      <w:r>
        <w:rPr>
          <w:rFonts w:hint="eastAsia" w:ascii="宋体" w:hAnsi="宋体" w:eastAsia="宋体" w:cs="宋体"/>
          <w:bCs/>
          <w:sz w:val="21"/>
          <w:szCs w:val="21"/>
          <w:u w:val="none"/>
        </w:rPr>
        <w:t>经符合性审查合格后的</w:t>
      </w:r>
      <w:r>
        <w:rPr>
          <w:rFonts w:hint="eastAsia" w:ascii="宋体" w:hAnsi="宋体" w:eastAsia="宋体" w:cs="宋体"/>
          <w:bCs/>
          <w:sz w:val="21"/>
          <w:szCs w:val="21"/>
          <w:u w:val="none"/>
          <w:lang w:eastAsia="zh-CN"/>
        </w:rPr>
        <w:t>最低价法。</w:t>
      </w:r>
    </w:p>
    <w:p>
      <w:pPr>
        <w:keepNext w:val="0"/>
        <w:keepLines w:val="0"/>
        <w:pageBreakBefore w:val="0"/>
        <w:widowControl/>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sz w:val="21"/>
          <w:szCs w:val="21"/>
        </w:rPr>
      </w:pPr>
      <w:r>
        <w:rPr>
          <w:rFonts w:hint="eastAsia" w:ascii="宋体" w:hAnsi="宋体" w:eastAsia="宋体" w:cs="宋体"/>
          <w:b/>
          <w:bCs/>
          <w:color w:val="000000"/>
          <w:sz w:val="21"/>
          <w:szCs w:val="21"/>
        </w:rPr>
        <w:t>四、自主竞争性谈判文件的获取</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凡有意参加谈判的单位，请于</w:t>
      </w:r>
      <w:r>
        <w:rPr>
          <w:rFonts w:hint="eastAsia" w:ascii="宋体" w:hAnsi="宋体"/>
          <w:color w:val="auto"/>
          <w:szCs w:val="21"/>
          <w:highlight w:val="none"/>
        </w:rPr>
        <w:t>2020年</w:t>
      </w:r>
      <w:r>
        <w:rPr>
          <w:rFonts w:hint="eastAsia" w:ascii="宋体" w:hAnsi="宋体"/>
          <w:color w:val="auto"/>
          <w:szCs w:val="21"/>
          <w:highlight w:val="none"/>
          <w:u w:val="single"/>
        </w:rPr>
        <w:t>1</w:t>
      </w:r>
      <w:r>
        <w:rPr>
          <w:rFonts w:hint="eastAsia" w:ascii="宋体" w:hAnsi="宋体"/>
          <w:color w:val="auto"/>
          <w:szCs w:val="21"/>
          <w:highlight w:val="none"/>
        </w:rPr>
        <w:t>月</w:t>
      </w:r>
      <w:r>
        <w:rPr>
          <w:rFonts w:hint="eastAsia" w:ascii="宋体" w:hAnsi="宋体"/>
          <w:color w:val="auto"/>
          <w:szCs w:val="21"/>
          <w:highlight w:val="none"/>
          <w:u w:val="single"/>
        </w:rPr>
        <w:t>8</w:t>
      </w:r>
      <w:r>
        <w:rPr>
          <w:rFonts w:hint="eastAsia" w:ascii="宋体" w:hAnsi="宋体"/>
          <w:color w:val="auto"/>
          <w:szCs w:val="21"/>
          <w:highlight w:val="none"/>
        </w:rPr>
        <w:t>日至2020年</w:t>
      </w:r>
      <w:r>
        <w:rPr>
          <w:rFonts w:hint="eastAsia" w:ascii="宋体" w:hAnsi="宋体"/>
          <w:color w:val="auto"/>
          <w:szCs w:val="21"/>
          <w:highlight w:val="none"/>
          <w:u w:val="single"/>
        </w:rPr>
        <w:t>1</w:t>
      </w:r>
      <w:r>
        <w:rPr>
          <w:rFonts w:hint="eastAsia" w:ascii="宋体" w:hAnsi="宋体"/>
          <w:color w:val="auto"/>
          <w:szCs w:val="21"/>
          <w:highlight w:val="none"/>
        </w:rPr>
        <w:t>月</w:t>
      </w:r>
      <w:r>
        <w:rPr>
          <w:rFonts w:hint="eastAsia" w:ascii="宋体" w:hAnsi="宋体"/>
          <w:color w:val="auto"/>
          <w:szCs w:val="21"/>
          <w:highlight w:val="none"/>
          <w:u w:val="single"/>
        </w:rPr>
        <w:t>14</w:t>
      </w:r>
      <w:r>
        <w:rPr>
          <w:rFonts w:hint="eastAsia" w:ascii="宋体" w:hAnsi="宋体"/>
          <w:color w:val="auto"/>
          <w:szCs w:val="21"/>
          <w:highlight w:val="none"/>
        </w:rPr>
        <w:t>日</w:t>
      </w:r>
      <w:r>
        <w:rPr>
          <w:rFonts w:hint="eastAsia" w:ascii="宋体" w:hAnsi="宋体" w:eastAsia="宋体" w:cs="宋体"/>
          <w:sz w:val="21"/>
          <w:szCs w:val="21"/>
        </w:rPr>
        <w:t>登录长沙市轨道交通集团有限公司官方网站</w:t>
      </w:r>
      <w:r>
        <w:rPr>
          <w:rFonts w:hint="eastAsia" w:ascii="宋体" w:hAnsi="宋体" w:eastAsia="宋体" w:cs="宋体"/>
          <w:kern w:val="0"/>
          <w:sz w:val="21"/>
          <w:szCs w:val="21"/>
        </w:rPr>
        <w:t>（http://www.hncsmtr.com/）</w:t>
      </w:r>
      <w:r>
        <w:rPr>
          <w:rFonts w:hint="eastAsia" w:ascii="宋体" w:hAnsi="宋体" w:eastAsia="宋体" w:cs="宋体"/>
          <w:sz w:val="21"/>
          <w:szCs w:val="21"/>
        </w:rPr>
        <w:t>获取自主竞争性谈判文件。</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五、</w:t>
      </w:r>
      <w:r>
        <w:rPr>
          <w:rFonts w:hint="eastAsia" w:ascii="宋体" w:hAnsi="宋体" w:eastAsia="宋体" w:cs="宋体"/>
          <w:b/>
          <w:bCs/>
          <w:iCs/>
          <w:sz w:val="21"/>
          <w:szCs w:val="21"/>
        </w:rPr>
        <w:t>谈判文件的</w:t>
      </w:r>
      <w:r>
        <w:rPr>
          <w:rFonts w:hint="eastAsia" w:ascii="宋体" w:hAnsi="宋体" w:eastAsia="宋体" w:cs="宋体"/>
          <w:b/>
          <w:bCs/>
          <w:sz w:val="21"/>
          <w:szCs w:val="21"/>
        </w:rPr>
        <w:t>澄清与答疑</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sz w:val="21"/>
          <w:szCs w:val="21"/>
        </w:rPr>
        <w:t>1.</w:t>
      </w:r>
      <w:r>
        <w:rPr>
          <w:rFonts w:hint="eastAsia" w:ascii="宋体" w:hAnsi="宋体" w:eastAsia="宋体" w:cs="宋体"/>
          <w:iCs/>
          <w:sz w:val="21"/>
          <w:szCs w:val="21"/>
        </w:rPr>
        <w:t>本项目不组织答疑会和现场踏勘。</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2.</w:t>
      </w:r>
      <w:r>
        <w:rPr>
          <w:rFonts w:hint="eastAsia" w:ascii="宋体" w:hAnsi="宋体" w:cs="Courier New"/>
          <w:iCs/>
          <w:color w:val="auto"/>
          <w:szCs w:val="21"/>
          <w:highlight w:val="none"/>
        </w:rPr>
        <w:t>谈判单位若对谈判文件有任何疑问，</w:t>
      </w:r>
      <w:r>
        <w:rPr>
          <w:rFonts w:hint="eastAsia" w:ascii="宋体" w:hAnsi="宋体"/>
          <w:color w:val="auto"/>
          <w:szCs w:val="21"/>
          <w:highlight w:val="none"/>
        </w:rPr>
        <w:t>应于</w:t>
      </w:r>
      <w:r>
        <w:rPr>
          <w:rFonts w:hint="eastAsia" w:ascii="宋体" w:hAnsi="宋体"/>
          <w:color w:val="auto"/>
          <w:szCs w:val="21"/>
          <w:highlight w:val="none"/>
          <w:u w:val="single"/>
        </w:rPr>
        <w:t>2020</w:t>
      </w:r>
      <w:r>
        <w:rPr>
          <w:rFonts w:hint="eastAsia" w:ascii="宋体" w:hAnsi="宋体"/>
          <w:color w:val="auto"/>
          <w:szCs w:val="21"/>
          <w:highlight w:val="none"/>
        </w:rPr>
        <w:t>年</w:t>
      </w:r>
      <w:r>
        <w:rPr>
          <w:rFonts w:hint="eastAsia" w:ascii="宋体" w:hAnsi="宋体"/>
          <w:color w:val="auto"/>
          <w:szCs w:val="21"/>
          <w:highlight w:val="none"/>
          <w:u w:val="single"/>
        </w:rPr>
        <w:t>1</w:t>
      </w:r>
      <w:r>
        <w:rPr>
          <w:rFonts w:hint="eastAsia" w:ascii="宋体" w:hAnsi="宋体"/>
          <w:color w:val="auto"/>
          <w:szCs w:val="21"/>
          <w:highlight w:val="none"/>
        </w:rPr>
        <w:t>月</w:t>
      </w:r>
      <w:r>
        <w:rPr>
          <w:rFonts w:hint="eastAsia" w:ascii="宋体" w:hAnsi="宋体"/>
          <w:color w:val="auto"/>
          <w:szCs w:val="21"/>
          <w:highlight w:val="none"/>
          <w:u w:val="single"/>
        </w:rPr>
        <w:t>15</w:t>
      </w:r>
      <w:r>
        <w:rPr>
          <w:rFonts w:hint="eastAsia" w:ascii="宋体" w:hAnsi="宋体"/>
          <w:color w:val="auto"/>
          <w:szCs w:val="21"/>
          <w:highlight w:val="none"/>
        </w:rPr>
        <w:t>日</w:t>
      </w:r>
      <w:r>
        <w:rPr>
          <w:rFonts w:hint="eastAsia" w:ascii="宋体" w:hAnsi="宋体" w:cs="Courier New"/>
          <w:iCs/>
          <w:color w:val="auto"/>
          <w:szCs w:val="21"/>
          <w:highlight w:val="none"/>
        </w:rPr>
        <w:t>17：00时（含）前（节假日除外）以书面形式（经法定代表人签字或盖章，并加盖单位公章）递交至采购代理机构</w:t>
      </w:r>
      <w:r>
        <w:rPr>
          <w:rFonts w:hint="eastAsia" w:ascii="宋体" w:hAnsi="宋体" w:eastAsia="宋体" w:cs="宋体"/>
          <w:iCs/>
          <w:sz w:val="21"/>
          <w:szCs w:val="21"/>
        </w:rPr>
        <w:t>。</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3.在谈判截止时间前，采购单位或采购代理机构可主动地或在解答谈判单位提出的问题时对谈判文件进行澄清或修改。</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kern w:val="0"/>
          <w:sz w:val="21"/>
          <w:szCs w:val="21"/>
        </w:rPr>
      </w:pPr>
      <w:r>
        <w:rPr>
          <w:rFonts w:hint="eastAsia" w:ascii="宋体" w:hAnsi="宋体" w:eastAsia="宋体" w:cs="宋体"/>
          <w:iCs/>
          <w:sz w:val="21"/>
          <w:szCs w:val="21"/>
        </w:rPr>
        <w:t>4.</w:t>
      </w:r>
      <w:r>
        <w:rPr>
          <w:rFonts w:hint="eastAsia" w:ascii="宋体" w:hAnsi="宋体" w:eastAsia="宋体" w:cs="宋体"/>
          <w:kern w:val="0"/>
          <w:sz w:val="21"/>
          <w:szCs w:val="21"/>
        </w:rPr>
        <w:t>澄清或者修改的内容可能影响响应文件编制的，采购单位或采购代理机构应当在提交响应文件截止之日3个工作日前，在长沙市轨道交通集团有限公司官</w:t>
      </w:r>
      <w:r>
        <w:rPr>
          <w:rFonts w:hint="eastAsia" w:ascii="宋体" w:hAnsi="宋体" w:eastAsia="宋体" w:cs="宋体"/>
          <w:kern w:val="0"/>
          <w:sz w:val="21"/>
          <w:szCs w:val="21"/>
          <w:lang w:eastAsia="zh-CN"/>
        </w:rPr>
        <w:t>方</w:t>
      </w:r>
      <w:r>
        <w:rPr>
          <w:rFonts w:hint="eastAsia" w:ascii="宋体" w:hAnsi="宋体" w:eastAsia="宋体" w:cs="宋体"/>
          <w:kern w:val="0"/>
          <w:sz w:val="21"/>
          <w:szCs w:val="21"/>
        </w:rPr>
        <w:t>网</w:t>
      </w:r>
      <w:r>
        <w:rPr>
          <w:rFonts w:hint="eastAsia" w:ascii="宋体" w:hAnsi="宋体" w:eastAsia="宋体" w:cs="宋体"/>
          <w:kern w:val="0"/>
          <w:sz w:val="21"/>
          <w:szCs w:val="21"/>
          <w:lang w:eastAsia="zh-CN"/>
        </w:rPr>
        <w:t>站</w:t>
      </w:r>
      <w:r>
        <w:rPr>
          <w:rFonts w:hint="eastAsia" w:ascii="宋体" w:hAnsi="宋体" w:eastAsia="宋体" w:cs="宋体"/>
          <w:kern w:val="0"/>
          <w:sz w:val="21"/>
          <w:szCs w:val="21"/>
        </w:rPr>
        <w:t>（http://www.hncsmtr.com/）发布澄清或答疑文件及顺延谈判时间，敬请获得谈判文件的所有谈判单位关注，恕不另行通知，如有遗漏采购单位或代理机构不负任何责任。</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iCs/>
          <w:sz w:val="21"/>
          <w:szCs w:val="21"/>
        </w:rPr>
      </w:pPr>
      <w:r>
        <w:rPr>
          <w:rFonts w:hint="eastAsia" w:ascii="宋体" w:hAnsi="宋体" w:eastAsia="宋体" w:cs="宋体"/>
          <w:b/>
          <w:bCs/>
          <w:kern w:val="0"/>
          <w:sz w:val="21"/>
          <w:szCs w:val="21"/>
        </w:rPr>
        <w:t>六、</w:t>
      </w:r>
      <w:r>
        <w:rPr>
          <w:rFonts w:hint="eastAsia" w:ascii="宋体" w:hAnsi="宋体" w:eastAsia="宋体" w:cs="宋体"/>
          <w:b/>
          <w:bCs/>
          <w:iCs/>
          <w:sz w:val="21"/>
          <w:szCs w:val="21"/>
        </w:rPr>
        <w:t>响应文件的递交</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1.响应文件递交的截止时间及谈判时间为</w:t>
      </w:r>
      <w:r>
        <w:rPr>
          <w:rFonts w:hint="eastAsia" w:ascii="宋体" w:hAnsi="宋体" w:cs="宋体"/>
          <w:sz w:val="21"/>
          <w:szCs w:val="21"/>
          <w:u w:val="single"/>
          <w:lang w:eastAsia="zh-CN"/>
        </w:rPr>
        <w:t>2020</w:t>
      </w:r>
      <w:r>
        <w:rPr>
          <w:rFonts w:hint="eastAsia" w:ascii="宋体" w:hAnsi="宋体" w:cs="宋体"/>
          <w:sz w:val="21"/>
          <w:szCs w:val="21"/>
          <w:lang w:eastAsia="zh-CN"/>
        </w:rPr>
        <w:t>年</w:t>
      </w:r>
      <w:r>
        <w:rPr>
          <w:rFonts w:hint="eastAsia" w:ascii="宋体" w:hAnsi="宋体" w:cs="宋体"/>
          <w:sz w:val="21"/>
          <w:szCs w:val="21"/>
          <w:u w:val="single"/>
          <w:lang w:val="en-US" w:eastAsia="zh-CN"/>
        </w:rPr>
        <w:t>2</w:t>
      </w:r>
      <w:r>
        <w:rPr>
          <w:rFonts w:hint="eastAsia" w:ascii="宋体" w:hAnsi="宋体" w:cs="宋体"/>
          <w:sz w:val="21"/>
          <w:szCs w:val="21"/>
          <w:lang w:eastAsia="zh-CN"/>
        </w:rPr>
        <w:t>月</w:t>
      </w:r>
      <w:r>
        <w:rPr>
          <w:rFonts w:hint="eastAsia" w:ascii="宋体" w:hAnsi="宋体" w:cs="宋体"/>
          <w:sz w:val="21"/>
          <w:szCs w:val="21"/>
          <w:u w:val="single"/>
          <w:lang w:val="en-US" w:eastAsia="zh-CN"/>
        </w:rPr>
        <w:t>7</w:t>
      </w:r>
      <w:r>
        <w:rPr>
          <w:rFonts w:hint="eastAsia" w:ascii="宋体" w:hAnsi="宋体" w:eastAsia="宋体" w:cs="宋体"/>
          <w:sz w:val="21"/>
          <w:szCs w:val="21"/>
        </w:rPr>
        <w:t>日</w:t>
      </w:r>
      <w:r>
        <w:rPr>
          <w:rFonts w:hint="eastAsia" w:ascii="宋体" w:hAnsi="宋体" w:cs="宋体"/>
          <w:sz w:val="21"/>
          <w:szCs w:val="21"/>
          <w:u w:val="single"/>
          <w:lang w:val="en-US" w:eastAsia="zh-CN"/>
        </w:rPr>
        <w:t>14</w:t>
      </w:r>
      <w:r>
        <w:rPr>
          <w:rFonts w:hint="eastAsia" w:ascii="宋体" w:hAnsi="宋体" w:eastAsia="宋体" w:cs="宋体"/>
          <w:sz w:val="21"/>
          <w:szCs w:val="21"/>
        </w:rPr>
        <w:t>时</w:t>
      </w:r>
      <w:r>
        <w:rPr>
          <w:rFonts w:hint="eastAsia" w:ascii="宋体" w:hAnsi="宋体" w:cs="宋体"/>
          <w:sz w:val="21"/>
          <w:szCs w:val="21"/>
          <w:u w:val="single"/>
          <w:lang w:val="en-US" w:eastAsia="zh-CN"/>
        </w:rPr>
        <w:t>30</w:t>
      </w:r>
      <w:r>
        <w:rPr>
          <w:rFonts w:hint="eastAsia" w:ascii="宋体" w:hAnsi="宋体" w:eastAsia="宋体" w:cs="宋体"/>
          <w:sz w:val="21"/>
          <w:szCs w:val="21"/>
        </w:rPr>
        <w:t>分，地点为长沙市劳动东路二段48号长沙市轨道交通运营有限公司综合楼910室。</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2.逾期送达的或者未送达指定地点的或者未密封的响应文件，采购单位或采购代理机构将予以</w:t>
      </w:r>
      <w:r>
        <w:rPr>
          <w:rFonts w:hint="eastAsia" w:ascii="宋体" w:hAnsi="宋体" w:eastAsia="宋体" w:cs="宋体"/>
          <w:b/>
          <w:bCs/>
          <w:sz w:val="21"/>
          <w:szCs w:val="21"/>
        </w:rPr>
        <w:t>拒收</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sz w:val="21"/>
          <w:szCs w:val="21"/>
        </w:rPr>
      </w:pPr>
      <w:r>
        <w:rPr>
          <w:rFonts w:hint="eastAsia" w:ascii="宋体" w:hAnsi="宋体" w:eastAsia="宋体" w:cs="宋体"/>
          <w:b/>
          <w:iCs/>
          <w:sz w:val="21"/>
          <w:szCs w:val="21"/>
        </w:rPr>
        <w:t>七、采购单位及其委托的采购代理机构的名称、地址和联系方法</w:t>
      </w:r>
    </w:p>
    <w:p>
      <w:pPr>
        <w:keepNext w:val="0"/>
        <w:keepLines w:val="0"/>
        <w:pageBreakBefore w:val="0"/>
        <w:kinsoku/>
        <w:wordWrap/>
        <w:overflowPunct/>
        <w:topLinePunct w:val="0"/>
        <w:autoSpaceDE/>
        <w:autoSpaceDN/>
        <w:bidi w:val="0"/>
        <w:adjustRightInd w:val="0"/>
        <w:snapToGrid w:val="0"/>
        <w:spacing w:line="360" w:lineRule="auto"/>
        <w:ind w:left="0" w:leftChars="0" w:firstLine="413" w:firstLineChars="196"/>
        <w:textAlignment w:val="auto"/>
        <w:rPr>
          <w:rFonts w:hint="eastAsia" w:ascii="宋体" w:hAnsi="宋体" w:eastAsia="宋体" w:cs="宋体"/>
          <w:sz w:val="21"/>
          <w:szCs w:val="21"/>
          <w:lang w:eastAsia="zh-CN"/>
        </w:rPr>
      </w:pPr>
      <w:r>
        <w:rPr>
          <w:rFonts w:hint="eastAsia" w:ascii="宋体" w:hAnsi="宋体" w:eastAsia="宋体" w:cs="宋体"/>
          <w:b/>
          <w:bCs/>
          <w:sz w:val="21"/>
          <w:szCs w:val="21"/>
        </w:rPr>
        <w:t>采购单位：</w:t>
      </w:r>
      <w:r>
        <w:rPr>
          <w:rFonts w:hint="eastAsia" w:ascii="宋体" w:hAnsi="宋体" w:cs="宋体"/>
          <w:iCs/>
          <w:sz w:val="21"/>
          <w:szCs w:val="21"/>
          <w:u w:val="none"/>
          <w:lang w:eastAsia="zh-CN"/>
        </w:rPr>
        <w:t>长沙市轨道交通四号线建设发展有限公司</w:t>
      </w:r>
    </w:p>
    <w:p>
      <w:pPr>
        <w:keepNext w:val="0"/>
        <w:keepLines w:val="0"/>
        <w:pageBreakBefore w:val="0"/>
        <w:kinsoku/>
        <w:wordWrap/>
        <w:overflowPunct/>
        <w:topLinePunct w:val="0"/>
        <w:autoSpaceDE/>
        <w:autoSpaceDN/>
        <w:bidi w:val="0"/>
        <w:adjustRightInd w:val="0"/>
        <w:snapToGrid w:val="0"/>
        <w:spacing w:line="360" w:lineRule="auto"/>
        <w:ind w:left="0" w:leftChars="0" w:firstLine="411" w:firstLineChars="196"/>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  址：</w:t>
      </w:r>
      <w:r>
        <w:rPr>
          <w:rFonts w:hint="eastAsia" w:ascii="宋体" w:hAnsi="宋体" w:eastAsia="宋体" w:cs="宋体"/>
          <w:bCs/>
          <w:sz w:val="21"/>
          <w:szCs w:val="21"/>
        </w:rPr>
        <w:t>长沙市</w:t>
      </w:r>
      <w:r>
        <w:rPr>
          <w:rFonts w:hint="eastAsia" w:ascii="宋体" w:hAnsi="宋体" w:eastAsia="宋体" w:cs="宋体"/>
          <w:iCs/>
          <w:sz w:val="21"/>
          <w:szCs w:val="21"/>
        </w:rPr>
        <w:t>劳动东路二段48号</w:t>
      </w:r>
      <w:r>
        <w:rPr>
          <w:rFonts w:hint="eastAsia" w:ascii="宋体" w:hAnsi="宋体" w:eastAsia="宋体" w:cs="宋体"/>
          <w:sz w:val="21"/>
          <w:szCs w:val="21"/>
        </w:rPr>
        <w:t>长沙市轨道交通运营有限公司</w:t>
      </w:r>
      <w:r>
        <w:rPr>
          <w:rFonts w:hint="eastAsia" w:ascii="宋体" w:hAnsi="宋体" w:eastAsia="宋体" w:cs="宋体"/>
          <w:kern w:val="0"/>
          <w:sz w:val="21"/>
          <w:szCs w:val="21"/>
          <w:shd w:val="clear" w:color="auto" w:fill="FFFFFF"/>
        </w:rPr>
        <w:t>综合楼9</w:t>
      </w:r>
      <w:r>
        <w:rPr>
          <w:rFonts w:hint="eastAsia" w:ascii="宋体" w:hAnsi="宋体" w:eastAsia="宋体" w:cs="宋体"/>
          <w:sz w:val="21"/>
          <w:szCs w:val="21"/>
        </w:rPr>
        <w:t>楼</w:t>
      </w:r>
      <w:r>
        <w:rPr>
          <w:rFonts w:hint="eastAsia" w:ascii="宋体" w:hAnsi="宋体" w:eastAsia="宋体" w:cs="宋体"/>
          <w:sz w:val="21"/>
          <w:szCs w:val="21"/>
          <w:lang w:val="en-US" w:eastAsia="zh-CN"/>
        </w:rPr>
        <w:t>910室</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联系人：</w:t>
      </w:r>
      <w:r>
        <w:rPr>
          <w:rFonts w:hint="eastAsia" w:ascii="宋体" w:hAnsi="宋体" w:cs="宋体"/>
          <w:bCs/>
          <w:sz w:val="21"/>
          <w:szCs w:val="21"/>
          <w:lang w:eastAsia="zh-CN"/>
        </w:rPr>
        <w:t>奉工</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t>电  话：</w:t>
      </w:r>
      <w:r>
        <w:rPr>
          <w:rFonts w:hint="eastAsia" w:ascii="宋体" w:hAnsi="宋体"/>
          <w:szCs w:val="21"/>
          <w:lang w:eastAsia="zh-CN"/>
        </w:rPr>
        <w:t>0731-86852373</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bCs/>
          <w:sz w:val="21"/>
          <w:szCs w:val="21"/>
        </w:rPr>
        <w:t>监督举报电话：</w:t>
      </w:r>
      <w:r>
        <w:rPr>
          <w:rFonts w:hint="eastAsia" w:ascii="宋体" w:hAnsi="宋体"/>
          <w:szCs w:val="21"/>
        </w:rPr>
        <w:t>0731-</w:t>
      </w:r>
      <w:r>
        <w:rPr>
          <w:rFonts w:hint="eastAsia" w:ascii="宋体" w:hAnsi="宋体" w:eastAsia="宋体" w:cs="宋体"/>
          <w:sz w:val="21"/>
          <w:szCs w:val="21"/>
        </w:rPr>
        <w:t>8685224</w:t>
      </w:r>
      <w:r>
        <w:rPr>
          <w:rFonts w:hint="eastAsia" w:ascii="宋体" w:hAnsi="宋体" w:cs="宋体"/>
          <w:sz w:val="21"/>
          <w:szCs w:val="21"/>
          <w:lang w:val="en-US" w:eastAsia="zh-CN"/>
        </w:rPr>
        <w:t>7</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联系人：文工</w:t>
      </w:r>
    </w:p>
    <w:p>
      <w:pPr>
        <w:keepNext w:val="0"/>
        <w:keepLines w:val="0"/>
        <w:pageBreakBefore w:val="0"/>
        <w:shd w:val="clear"/>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rPr>
        <w:t>采购代理机构：</w:t>
      </w:r>
      <w:r>
        <w:rPr>
          <w:rFonts w:hint="eastAsia" w:ascii="宋体" w:hAnsi="宋体" w:cs="宋体"/>
          <w:sz w:val="21"/>
          <w:szCs w:val="21"/>
          <w:highlight w:val="none"/>
          <w:lang w:eastAsia="zh-CN"/>
        </w:rPr>
        <w:t>湖南省湘咨工程咨询有限责任公司</w:t>
      </w:r>
    </w:p>
    <w:p>
      <w:pPr>
        <w:keepNext w:val="0"/>
        <w:keepLines w:val="0"/>
        <w:pageBreakBefore w:val="0"/>
        <w:shd w:val="clea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联系电话：</w:t>
      </w:r>
      <w:r>
        <w:rPr>
          <w:rFonts w:hint="eastAsia" w:ascii="宋体" w:hAnsi="宋体" w:cs="宋体"/>
          <w:sz w:val="21"/>
          <w:szCs w:val="21"/>
          <w:highlight w:val="none"/>
          <w:lang w:eastAsia="zh-CN"/>
        </w:rPr>
        <w:t>0731-85892066</w:t>
      </w:r>
    </w:p>
    <w:p>
      <w:pPr>
        <w:keepNext w:val="0"/>
        <w:keepLines w:val="0"/>
        <w:pageBreakBefore w:val="0"/>
        <w:shd w:val="clea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ascii="宋体" w:hAnsi="宋体" w:cs="宋体"/>
          <w:sz w:val="21"/>
          <w:szCs w:val="21"/>
          <w:highlight w:val="none"/>
          <w:lang w:eastAsia="zh-CN"/>
        </w:rPr>
        <w:t>戴先生、龙女士</w:t>
      </w:r>
    </w:p>
    <w:p>
      <w:pPr>
        <w:keepNext w:val="0"/>
        <w:keepLines w:val="0"/>
        <w:pageBreakBefore w:val="0"/>
        <w:shd w:val="clea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地址：</w:t>
      </w:r>
      <w:r>
        <w:rPr>
          <w:rFonts w:hint="eastAsia" w:ascii="宋体" w:hAnsi="宋体" w:cs="宋体"/>
          <w:sz w:val="21"/>
          <w:szCs w:val="21"/>
          <w:highlight w:val="none"/>
          <w:lang w:eastAsia="zh-CN"/>
        </w:rPr>
        <w:t>长沙市芙蓉区东二环一段1139号湖南国际商务中心五楼</w:t>
      </w:r>
    </w:p>
    <w:p>
      <w:pPr>
        <w:keepNext w:val="0"/>
        <w:keepLines w:val="0"/>
        <w:pageBreakBefore w:val="0"/>
        <w:kinsoku/>
        <w:wordWrap/>
        <w:overflowPunct/>
        <w:topLinePunct w:val="0"/>
        <w:autoSpaceDE/>
        <w:autoSpaceDN/>
        <w:bidi w:val="0"/>
        <w:adjustRightInd w:val="0"/>
        <w:snapToGrid w:val="0"/>
        <w:spacing w:line="360" w:lineRule="auto"/>
        <w:ind w:left="0" w:leftChars="0" w:firstLine="4401" w:firstLineChars="2096"/>
        <w:jc w:val="right"/>
        <w:textAlignment w:val="auto"/>
        <w:rPr>
          <w:rFonts w:ascii="宋体" w:hAnsi="宋体"/>
          <w:szCs w:val="21"/>
        </w:rPr>
      </w:pPr>
      <w:r>
        <w:rPr>
          <w:rFonts w:hint="eastAsia" w:ascii="宋体" w:hAnsi="宋体" w:cs="宋体"/>
          <w:sz w:val="21"/>
          <w:szCs w:val="21"/>
          <w:lang w:eastAsia="zh-CN"/>
        </w:rPr>
        <w:t>2020年1月</w:t>
      </w:r>
      <w:r>
        <w:rPr>
          <w:rFonts w:hint="eastAsia" w:ascii="宋体" w:hAnsi="宋体" w:cs="宋体"/>
          <w:sz w:val="21"/>
          <w:szCs w:val="21"/>
          <w:lang w:val="en-US" w:eastAsia="zh-CN"/>
        </w:rPr>
        <w:t>8</w:t>
      </w:r>
      <w:r>
        <w:rPr>
          <w:rFonts w:hint="eastAsia" w:ascii="宋体" w:hAnsi="宋体" w:eastAsia="宋体" w:cs="宋体"/>
          <w:sz w:val="21"/>
          <w:szCs w:val="21"/>
        </w:rPr>
        <w:t>日</w:t>
      </w:r>
    </w:p>
    <w:p>
      <w:pPr>
        <w:rPr>
          <w:rFonts w:ascii="黑体" w:hAnsi="黑体" w:eastAsia="黑体"/>
          <w:b w:val="0"/>
          <w:bCs w:val="0"/>
          <w:sz w:val="32"/>
          <w:szCs w:val="32"/>
        </w:rPr>
      </w:pPr>
      <w:r>
        <w:rPr>
          <w:rFonts w:ascii="黑体" w:hAnsi="黑体" w:eastAsia="黑体"/>
          <w:b w:val="0"/>
          <w:bCs w:val="0"/>
          <w:sz w:val="32"/>
          <w:szCs w:val="32"/>
        </w:rPr>
        <w:br w:type="page"/>
      </w:r>
    </w:p>
    <w:p>
      <w:pPr>
        <w:pStyle w:val="25"/>
        <w:rPr>
          <w:rFonts w:hint="eastAsia" w:hAnsi="宋体" w:cs="宋体"/>
        </w:rPr>
      </w:pPr>
      <w:r>
        <w:rPr>
          <w:rFonts w:hint="eastAsia" w:hAnsi="宋体" w:cs="宋体"/>
        </w:rPr>
        <w:t>附表：</w:t>
      </w:r>
    </w:p>
    <w:p>
      <w:pPr>
        <w:pStyle w:val="41"/>
        <w:spacing w:line="450" w:lineRule="atLeast"/>
        <w:jc w:val="center"/>
        <w:rPr>
          <w:rFonts w:hint="eastAsia"/>
        </w:rPr>
      </w:pPr>
      <w:r>
        <w:rPr>
          <w:rFonts w:hint="eastAsia"/>
          <w:color w:val="333333"/>
        </w:rPr>
        <w:t>关键岗位人员最低配备要求表</w:t>
      </w:r>
    </w:p>
    <w:tbl>
      <w:tblPr>
        <w:tblStyle w:val="46"/>
        <w:tblW w:w="501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271"/>
        <w:gridCol w:w="60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3" w:hRule="atLeast"/>
          <w:jc w:val="center"/>
        </w:trPr>
        <w:tc>
          <w:tcPr>
            <w:tcW w:w="1359" w:type="pct"/>
            <w:noWrap w:val="0"/>
            <w:vAlign w:val="center"/>
          </w:tcPr>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sz w:val="21"/>
                <w:szCs w:val="21"/>
              </w:rPr>
            </w:pPr>
            <w:r>
              <w:rPr>
                <w:rFonts w:hint="eastAsia"/>
                <w:color w:val="000000"/>
                <w:sz w:val="21"/>
                <w:szCs w:val="21"/>
              </w:rPr>
              <w:t>关键岗位人员最低配备要求</w:t>
            </w:r>
          </w:p>
        </w:tc>
        <w:tc>
          <w:tcPr>
            <w:tcW w:w="3640" w:type="pct"/>
            <w:noWrap w:val="0"/>
            <w:vAlign w:val="center"/>
          </w:tcPr>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sz w:val="21"/>
                <w:szCs w:val="21"/>
              </w:rPr>
            </w:pPr>
            <w:r>
              <w:rPr>
                <w:rFonts w:hint="eastAsia"/>
                <w:color w:val="000000"/>
                <w:sz w:val="21"/>
                <w:szCs w:val="21"/>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89" w:hRule="atLeast"/>
          <w:jc w:val="center"/>
        </w:trPr>
        <w:tc>
          <w:tcPr>
            <w:tcW w:w="1359" w:type="pct"/>
            <w:noWrap w:val="0"/>
            <w:vAlign w:val="center"/>
          </w:tcPr>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jc w:val="left"/>
              <w:textAlignment w:val="auto"/>
              <w:rPr>
                <w:rFonts w:hint="eastAsia"/>
                <w:color w:val="000000"/>
                <w:sz w:val="21"/>
                <w:szCs w:val="21"/>
              </w:rPr>
            </w:pPr>
            <w:r>
              <w:rPr>
                <w:rFonts w:hint="eastAsia"/>
                <w:color w:val="000000"/>
                <w:sz w:val="21"/>
                <w:szCs w:val="21"/>
              </w:rPr>
              <w:t>现场施工部关键岗位人员按湘建建【2015】57号文最低配备如下：</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jc w:val="left"/>
              <w:textAlignment w:val="auto"/>
              <w:rPr>
                <w:rFonts w:hint="eastAsia"/>
                <w:sz w:val="21"/>
                <w:szCs w:val="21"/>
              </w:rPr>
            </w:pPr>
            <w:r>
              <w:rPr>
                <w:rFonts w:hint="eastAsia"/>
                <w:color w:val="000000"/>
                <w:sz w:val="21"/>
                <w:szCs w:val="21"/>
              </w:rPr>
              <w:t>项目负责人1人、施工员1人、安全员1人</w:t>
            </w:r>
          </w:p>
        </w:tc>
        <w:tc>
          <w:tcPr>
            <w:tcW w:w="3640" w:type="pct"/>
            <w:noWrap w:val="0"/>
            <w:vAlign w:val="center"/>
          </w:tcPr>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jc w:val="left"/>
              <w:textAlignment w:val="auto"/>
              <w:rPr>
                <w:rFonts w:hint="eastAsia"/>
                <w:sz w:val="21"/>
                <w:szCs w:val="21"/>
              </w:rPr>
            </w:pPr>
            <w:r>
              <w:rPr>
                <w:rFonts w:hint="eastAsia"/>
                <w:color w:val="000000"/>
                <w:sz w:val="21"/>
                <w:szCs w:val="21"/>
              </w:rPr>
              <w:t>拟任项目负责人应附注册建造师证、B类安全生产考核合格证；</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jc w:val="left"/>
              <w:textAlignment w:val="auto"/>
              <w:rPr>
                <w:rFonts w:hint="eastAsia"/>
                <w:sz w:val="21"/>
                <w:szCs w:val="21"/>
              </w:rPr>
            </w:pPr>
            <w:r>
              <w:rPr>
                <w:rFonts w:hint="eastAsia"/>
                <w:color w:val="000000"/>
                <w:sz w:val="21"/>
                <w:szCs w:val="21"/>
              </w:rPr>
              <w:t>安全员应附C类安全生产考核合格证；</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2" w:firstLineChars="200"/>
              <w:jc w:val="left"/>
              <w:textAlignment w:val="auto"/>
              <w:rPr>
                <w:rFonts w:hint="eastAsia"/>
                <w:sz w:val="21"/>
                <w:szCs w:val="21"/>
              </w:rPr>
            </w:pPr>
            <w:r>
              <w:rPr>
                <w:rStyle w:val="49"/>
                <w:rFonts w:hint="eastAsia"/>
                <w:color w:val="000000"/>
                <w:sz w:val="21"/>
                <w:szCs w:val="21"/>
              </w:rPr>
              <w:t>项目负责人、安全员提供由劳动保障部门出具的谈判响应文件递交截止时间前半年内连续三个月的本单位社保证明。</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jc w:val="left"/>
              <w:textAlignment w:val="auto"/>
              <w:rPr>
                <w:rFonts w:hint="eastAsia"/>
                <w:sz w:val="21"/>
                <w:szCs w:val="21"/>
              </w:rPr>
            </w:pPr>
            <w:r>
              <w:rPr>
                <w:rFonts w:hint="eastAsia"/>
                <w:color w:val="000000"/>
                <w:sz w:val="21"/>
                <w:szCs w:val="21"/>
              </w:rPr>
              <w:t>岗位资格证书注明了单位名称的，应与本人执业单位一致。</w:t>
            </w:r>
          </w:p>
        </w:tc>
      </w:tr>
    </w:tbl>
    <w:p>
      <w:pPr>
        <w:widowControl/>
        <w:spacing w:line="357" w:lineRule="atLeast"/>
        <w:ind w:firstLine="420" w:firstLineChars="200"/>
        <w:jc w:val="left"/>
        <w:rPr>
          <w:rFonts w:hint="eastAsia" w:ascii="宋体" w:hAnsi="宋体" w:cs="宋体"/>
          <w:szCs w:val="21"/>
        </w:rPr>
      </w:pPr>
      <w:r>
        <w:rPr>
          <w:rFonts w:hint="eastAsia" w:ascii="宋体" w:hAnsi="宋体" w:cs="宋体"/>
          <w:color w:val="333333"/>
          <w:szCs w:val="21"/>
        </w:rPr>
        <w:t>注：在项目实施过程中，现场监理部关键岗位人员配备应按《湖南省建设工程施工项目部和现场监理部关键岗位人员配备管理办法》（湘建建【2015】57号文）的规定执行。</w:t>
      </w:r>
    </w:p>
    <w:p>
      <w:pPr>
        <w:pStyle w:val="3"/>
        <w:keepNext w:val="0"/>
        <w:spacing w:after="240"/>
        <w:rPr>
          <w:rFonts w:ascii="黑体" w:hAnsi="黑体" w:eastAsia="黑体"/>
          <w:bCs w:val="0"/>
          <w:sz w:val="32"/>
          <w:szCs w:val="32"/>
        </w:rPr>
      </w:pPr>
      <w:r>
        <w:rPr>
          <w:rFonts w:ascii="黑体" w:hAnsi="黑体" w:eastAsia="黑体"/>
          <w:b w:val="0"/>
          <w:bCs w:val="0"/>
          <w:sz w:val="32"/>
          <w:szCs w:val="32"/>
        </w:rPr>
        <w:br w:type="page"/>
      </w:r>
      <w:bookmarkStart w:id="5" w:name="_Toc5145"/>
      <w:bookmarkStart w:id="6" w:name="_Toc6753"/>
      <w:bookmarkStart w:id="7" w:name="_Toc14891065"/>
      <w:bookmarkStart w:id="8" w:name="_Toc26282"/>
      <w:bookmarkStart w:id="9" w:name="_Toc8914"/>
      <w:r>
        <w:rPr>
          <w:rFonts w:hint="eastAsia" w:ascii="宋体" w:hAnsi="宋体" w:eastAsia="宋体" w:cs="宋体"/>
          <w:bCs w:val="0"/>
          <w:sz w:val="32"/>
          <w:szCs w:val="32"/>
        </w:rPr>
        <w:t xml:space="preserve">第二章 </w:t>
      </w:r>
      <w:r>
        <w:rPr>
          <w:rFonts w:hint="eastAsia" w:ascii="宋体" w:hAnsi="宋体" w:cs="宋体"/>
          <w:bCs w:val="0"/>
          <w:sz w:val="32"/>
          <w:szCs w:val="32"/>
          <w:lang w:val="en-US" w:eastAsia="zh-CN"/>
        </w:rPr>
        <w:t xml:space="preserve"> </w:t>
      </w:r>
      <w:r>
        <w:rPr>
          <w:rFonts w:hint="eastAsia" w:ascii="宋体" w:hAnsi="宋体" w:eastAsia="宋体" w:cs="宋体"/>
          <w:bCs w:val="0"/>
          <w:sz w:val="32"/>
          <w:szCs w:val="32"/>
        </w:rPr>
        <w:t>谈判须知</w:t>
      </w:r>
      <w:bookmarkEnd w:id="5"/>
      <w:bookmarkEnd w:id="6"/>
      <w:bookmarkEnd w:id="7"/>
      <w:bookmarkEnd w:id="8"/>
      <w:bookmarkEnd w:id="9"/>
    </w:p>
    <w:p>
      <w:pPr>
        <w:pStyle w:val="4"/>
        <w:keepNext w:val="0"/>
        <w:keepLines w:val="0"/>
        <w:jc w:val="center"/>
        <w:rPr>
          <w:rFonts w:hint="eastAsia" w:ascii="宋体" w:hAnsi="宋体" w:eastAsia="宋体" w:cs="宋体"/>
          <w:sz w:val="21"/>
          <w:szCs w:val="21"/>
        </w:rPr>
      </w:pPr>
      <w:bookmarkStart w:id="10" w:name="_Toc17682"/>
      <w:bookmarkStart w:id="11" w:name="_Toc14891066"/>
      <w:bookmarkStart w:id="12" w:name="_Toc9591"/>
      <w:bookmarkStart w:id="13" w:name="_Toc5430"/>
      <w:bookmarkStart w:id="14" w:name="_Toc6617"/>
      <w:r>
        <w:rPr>
          <w:rFonts w:hint="eastAsia" w:ascii="宋体" w:hAnsi="宋体" w:eastAsia="宋体" w:cs="宋体"/>
          <w:sz w:val="32"/>
          <w:szCs w:val="32"/>
        </w:rPr>
        <w:t>谈判须知前附表</w:t>
      </w:r>
      <w:bookmarkEnd w:id="10"/>
      <w:bookmarkEnd w:id="11"/>
      <w:bookmarkEnd w:id="12"/>
      <w:bookmarkEnd w:id="13"/>
      <w:bookmarkEnd w:id="14"/>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名  称</w:t>
            </w:r>
          </w:p>
        </w:tc>
        <w:tc>
          <w:tcPr>
            <w:tcW w:w="7788"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采购项目</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cs="宋体"/>
                <w:iCs/>
                <w:sz w:val="21"/>
                <w:szCs w:val="21"/>
                <w:u w:val="none"/>
                <w:lang w:eastAsia="zh-CN"/>
              </w:rPr>
              <w:t>长沙市轨道交通运营有限公司黄兴车辆段羽毛球、乒乓球场地迁改项目（第二次）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采购单位</w:t>
            </w:r>
          </w:p>
        </w:tc>
        <w:tc>
          <w:tcPr>
            <w:tcW w:w="7788" w:type="dxa"/>
            <w:vAlign w:val="center"/>
          </w:tcPr>
          <w:p>
            <w:pPr>
              <w:adjustRightInd w:val="0"/>
              <w:snapToGrid w:val="0"/>
              <w:spacing w:line="360" w:lineRule="auto"/>
              <w:jc w:val="left"/>
              <w:rPr>
                <w:rFonts w:hint="eastAsia" w:ascii="宋体" w:hAnsi="宋体" w:eastAsia="宋体" w:cs="宋体"/>
                <w:iCs/>
                <w:sz w:val="21"/>
                <w:szCs w:val="21"/>
                <w:lang w:eastAsia="zh-CN"/>
              </w:rPr>
            </w:pPr>
            <w:r>
              <w:rPr>
                <w:rFonts w:hint="eastAsia" w:ascii="宋体" w:hAnsi="宋体" w:cs="宋体"/>
                <w:iCs/>
                <w:sz w:val="21"/>
                <w:szCs w:val="21"/>
                <w:u w:val="none"/>
                <w:lang w:eastAsia="zh-CN"/>
              </w:rPr>
              <w:t>长沙市轨道交通四号线建设发展有限公司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采购代理机构</w:t>
            </w:r>
          </w:p>
        </w:tc>
        <w:tc>
          <w:tcPr>
            <w:tcW w:w="7788" w:type="dxa"/>
            <w:vAlign w:val="center"/>
          </w:tcPr>
          <w:p>
            <w:pPr>
              <w:adjustRightInd w:val="0"/>
              <w:snapToGrid w:val="0"/>
              <w:spacing w:line="360" w:lineRule="auto"/>
              <w:jc w:val="left"/>
              <w:rPr>
                <w:rFonts w:hint="eastAsia" w:ascii="宋体" w:hAnsi="宋体" w:eastAsia="宋体" w:cs="宋体"/>
                <w:iCs/>
                <w:sz w:val="21"/>
                <w:szCs w:val="21"/>
                <w:lang w:eastAsia="zh-CN"/>
              </w:rPr>
            </w:pPr>
            <w:r>
              <w:rPr>
                <w:rFonts w:hint="eastAsia" w:ascii="宋体" w:hAnsi="宋体" w:cs="宋体"/>
                <w:sz w:val="21"/>
                <w:szCs w:val="21"/>
                <w:lang w:eastAsia="zh-CN"/>
              </w:rPr>
              <w:t>湖南省湘咨工程咨询有限责任公司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FF0000"/>
                <w:sz w:val="21"/>
                <w:szCs w:val="21"/>
                <w:lang w:eastAsia="zh-CN"/>
              </w:rPr>
            </w:pPr>
            <w:r>
              <w:rPr>
                <w:rFonts w:hint="eastAsia" w:ascii="宋体" w:hAnsi="宋体" w:eastAsia="宋体" w:cs="宋体"/>
                <w:b/>
                <w:color w:val="auto"/>
                <w:sz w:val="21"/>
                <w:szCs w:val="21"/>
              </w:rPr>
              <w:t>谈判</w:t>
            </w:r>
            <w:r>
              <w:rPr>
                <w:rFonts w:hint="eastAsia" w:ascii="宋体" w:hAnsi="宋体" w:eastAsia="宋体" w:cs="宋体"/>
                <w:b/>
                <w:color w:val="auto"/>
                <w:sz w:val="21"/>
                <w:szCs w:val="21"/>
                <w:lang w:eastAsia="zh-CN"/>
              </w:rPr>
              <w:t>控制价</w:t>
            </w:r>
          </w:p>
        </w:tc>
        <w:tc>
          <w:tcPr>
            <w:tcW w:w="7788" w:type="dxa"/>
            <w:vAlign w:val="center"/>
          </w:tcPr>
          <w:p>
            <w:pPr>
              <w:adjustRightInd w:val="0"/>
              <w:snapToGrid w:val="0"/>
              <w:spacing w:line="360" w:lineRule="auto"/>
              <w:jc w:val="left"/>
              <w:rPr>
                <w:rFonts w:hint="eastAsia" w:ascii="宋体" w:hAnsi="宋体" w:eastAsia="宋体" w:cs="宋体"/>
                <w:iCs/>
                <w:color w:val="FF0000"/>
                <w:sz w:val="21"/>
                <w:szCs w:val="21"/>
              </w:rPr>
            </w:pPr>
            <w:r>
              <w:rPr>
                <w:rFonts w:hint="eastAsia" w:ascii="宋体" w:hAnsi="宋体" w:cs="宋体"/>
                <w:sz w:val="21"/>
                <w:szCs w:val="21"/>
                <w:lang w:val="en-US" w:eastAsia="zh-CN"/>
              </w:rPr>
              <w:t>464997.86元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评审办法</w:t>
            </w:r>
          </w:p>
        </w:tc>
        <w:tc>
          <w:tcPr>
            <w:tcW w:w="7788" w:type="dxa"/>
            <w:vAlign w:val="center"/>
          </w:tcPr>
          <w:p>
            <w:pPr>
              <w:adjustRightInd w:val="0"/>
              <w:snapToGrid w:val="0"/>
              <w:spacing w:line="360" w:lineRule="auto"/>
              <w:jc w:val="left"/>
              <w:rPr>
                <w:rFonts w:hint="eastAsia" w:ascii="宋体" w:hAnsi="宋体" w:eastAsia="宋体" w:cs="宋体"/>
                <w:iCs/>
                <w:color w:val="FF0000"/>
                <w:sz w:val="21"/>
                <w:szCs w:val="21"/>
                <w:lang w:eastAsia="zh-CN"/>
              </w:rPr>
            </w:pPr>
            <w:r>
              <w:rPr>
                <w:rFonts w:hint="eastAsia" w:ascii="宋体" w:hAnsi="宋体" w:eastAsia="宋体" w:cs="宋体"/>
                <w:iCs/>
                <w:color w:val="auto"/>
                <w:sz w:val="21"/>
                <w:szCs w:val="21"/>
                <w:highlight w:val="none"/>
              </w:rPr>
              <w:t>本项目评审办法采用</w:t>
            </w:r>
            <w:r>
              <w:rPr>
                <w:rFonts w:hint="eastAsia" w:ascii="宋体" w:hAnsi="宋体" w:eastAsia="宋体" w:cs="宋体"/>
                <w:iCs/>
                <w:color w:val="auto"/>
                <w:sz w:val="21"/>
                <w:szCs w:val="21"/>
                <w:highlight w:val="none"/>
                <w:u w:val="none"/>
              </w:rPr>
              <w:t>经符合性审查</w:t>
            </w:r>
            <w:r>
              <w:rPr>
                <w:rFonts w:hint="eastAsia" w:ascii="宋体" w:hAnsi="宋体" w:eastAsia="宋体" w:cs="宋体"/>
                <w:iCs/>
                <w:color w:val="auto"/>
                <w:sz w:val="21"/>
                <w:szCs w:val="21"/>
                <w:highlight w:val="none"/>
                <w:u w:val="none"/>
                <w:lang w:eastAsia="zh-CN"/>
              </w:rPr>
              <w:t>合格</w:t>
            </w:r>
            <w:r>
              <w:rPr>
                <w:rFonts w:hint="eastAsia" w:ascii="宋体" w:hAnsi="宋体" w:eastAsia="宋体" w:cs="宋体"/>
                <w:iCs/>
                <w:color w:val="auto"/>
                <w:sz w:val="21"/>
                <w:szCs w:val="21"/>
                <w:highlight w:val="none"/>
                <w:u w:val="none"/>
              </w:rPr>
              <w:t>后的</w:t>
            </w:r>
            <w:r>
              <w:rPr>
                <w:rFonts w:hint="eastAsia" w:ascii="宋体" w:hAnsi="宋体" w:eastAsia="宋体" w:cs="宋体"/>
                <w:iCs/>
                <w:color w:val="auto"/>
                <w:sz w:val="21"/>
                <w:szCs w:val="21"/>
                <w:highlight w:val="none"/>
                <w:u w:val="none"/>
                <w:lang w:val="en-US" w:eastAsia="zh-CN"/>
              </w:rPr>
              <w:t>最低价法</w:t>
            </w:r>
            <w:r>
              <w:rPr>
                <w:rFonts w:hint="eastAsia" w:ascii="宋体" w:hAnsi="宋体" w:eastAsia="宋体" w:cs="宋体"/>
                <w:iCs/>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highlight w:val="yellow"/>
              </w:rPr>
            </w:pPr>
            <w:r>
              <w:rPr>
                <w:rFonts w:hint="eastAsia" w:ascii="宋体" w:hAnsi="宋体" w:eastAsia="宋体" w:cs="宋体"/>
                <w:b/>
                <w:sz w:val="21"/>
                <w:szCs w:val="21"/>
              </w:rPr>
              <w:t>资格要求</w:t>
            </w:r>
          </w:p>
        </w:tc>
        <w:tc>
          <w:tcPr>
            <w:tcW w:w="7788"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cs="宋体"/>
                <w:color w:val="auto"/>
                <w:highlight w:val="none"/>
              </w:rPr>
            </w:pPr>
            <w:r>
              <w:rPr>
                <w:rFonts w:hint="eastAsia" w:ascii="宋体" w:hAnsi="宋体" w:cs="宋体"/>
                <w:color w:val="auto"/>
                <w:highlight w:val="none"/>
              </w:rPr>
              <w:t>1.谈判单位须为具有独立法人资格、自主经营、独立核算的公司。</w:t>
            </w:r>
          </w:p>
          <w:p>
            <w:pPr>
              <w:keepNext w:val="0"/>
              <w:keepLines w:val="0"/>
              <w:pageBreakBefore w:val="0"/>
              <w:kinsoku/>
              <w:wordWrap/>
              <w:overflowPunct/>
              <w:topLinePunct w:val="0"/>
              <w:autoSpaceDE/>
              <w:autoSpaceDN/>
              <w:bidi w:val="0"/>
              <w:spacing w:line="360" w:lineRule="auto"/>
              <w:textAlignment w:val="auto"/>
              <w:rPr>
                <w:rFonts w:hint="eastAsia" w:ascii="宋体" w:hAnsi="宋体" w:cs="宋体"/>
                <w:color w:val="auto"/>
                <w:highlight w:val="none"/>
                <w:lang w:eastAsia="zh-CN"/>
              </w:rPr>
            </w:pPr>
            <w:r>
              <w:rPr>
                <w:rFonts w:hint="eastAsia" w:ascii="宋体" w:hAnsi="宋体" w:cs="宋体"/>
                <w:color w:val="auto"/>
                <w:highlight w:val="none"/>
              </w:rPr>
              <w:t>2.</w:t>
            </w:r>
            <w:r>
              <w:rPr>
                <w:rFonts w:hint="eastAsia" w:ascii="宋体" w:hAnsi="宋体" w:cs="宋体"/>
                <w:color w:val="auto"/>
                <w:highlight w:val="none"/>
                <w:lang w:eastAsia="zh-CN"/>
              </w:rPr>
              <w:t>谈判单位须具有</w:t>
            </w:r>
            <w:r>
              <w:rPr>
                <w:rFonts w:hint="eastAsia" w:ascii="宋体" w:hAnsi="宋体" w:cs="宋体"/>
                <w:color w:val="auto"/>
                <w:highlight w:val="none"/>
              </w:rPr>
              <w:t>建筑工程施工总承包三级（含）以上</w:t>
            </w:r>
            <w:r>
              <w:rPr>
                <w:rFonts w:hint="eastAsia" w:ascii="宋体" w:hAnsi="宋体" w:cs="宋体"/>
                <w:color w:val="auto"/>
                <w:highlight w:val="none"/>
                <w:lang w:eastAsia="zh-CN"/>
              </w:rPr>
              <w:t>或</w:t>
            </w:r>
            <w:r>
              <w:rPr>
                <w:rFonts w:hint="eastAsia" w:ascii="宋体" w:hAnsi="宋体" w:cs="宋体"/>
                <w:color w:val="auto"/>
                <w:highlight w:val="none"/>
              </w:rPr>
              <w:t>建筑装修装饰工程专业承包二级（含）以上</w:t>
            </w:r>
            <w:r>
              <w:rPr>
                <w:rFonts w:hint="eastAsia" w:ascii="宋体" w:hAnsi="宋体" w:cs="宋体"/>
                <w:color w:val="auto"/>
                <w:highlight w:val="none"/>
                <w:lang w:eastAsia="zh-CN"/>
              </w:rPr>
              <w:t>或</w:t>
            </w:r>
            <w:r>
              <w:rPr>
                <w:rFonts w:hint="eastAsia" w:ascii="宋体" w:hAnsi="宋体" w:cs="宋体"/>
                <w:color w:val="auto"/>
                <w:highlight w:val="none"/>
              </w:rPr>
              <w:t>建筑机电安装工程专业承包三级（含）以上资质</w:t>
            </w:r>
            <w:r>
              <w:rPr>
                <w:rFonts w:hint="eastAsia" w:ascii="宋体" w:hAnsi="宋体" w:cs="宋体"/>
                <w:color w:val="auto"/>
                <w:highlight w:val="none"/>
                <w:lang w:eastAsia="zh-CN"/>
              </w:rPr>
              <w:t>，</w:t>
            </w:r>
            <w:r>
              <w:rPr>
                <w:rFonts w:hint="eastAsia" w:ascii="宋体" w:hAnsi="宋体" w:cs="宋体"/>
                <w:color w:val="auto"/>
                <w:highlight w:val="none"/>
              </w:rPr>
              <w:t>须具有有效的施工企业《安全生产许可证》</w:t>
            </w:r>
            <w:r>
              <w:rPr>
                <w:rFonts w:hint="eastAsia" w:ascii="宋体" w:hAnsi="宋体" w:cs="宋体"/>
                <w:color w:val="auto"/>
                <w:highlight w:val="none"/>
                <w:lang w:eastAsia="zh-CN"/>
              </w:rPr>
              <w:t>。</w:t>
            </w:r>
          </w:p>
          <w:p>
            <w:pPr>
              <w:keepNext w:val="0"/>
              <w:keepLines w:val="0"/>
              <w:pageBreakBefore w:val="0"/>
              <w:kinsoku/>
              <w:wordWrap/>
              <w:overflowPunct/>
              <w:topLinePunct w:val="0"/>
              <w:autoSpaceDE/>
              <w:autoSpaceDN/>
              <w:bidi w:val="0"/>
              <w:spacing w:line="360" w:lineRule="auto"/>
              <w:textAlignment w:val="auto"/>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本项目现场施工部关键岗位人员最低配备按《湖南省建设工程施工项目部和现场监理部关键岗位人员配备管理办法》湘建建〔2015〕57号文执行；</w:t>
            </w:r>
          </w:p>
          <w:p>
            <w:pPr>
              <w:keepNext w:val="0"/>
              <w:keepLines w:val="0"/>
              <w:pageBreakBefore w:val="0"/>
              <w:kinsoku/>
              <w:wordWrap/>
              <w:overflowPunct/>
              <w:topLinePunct w:val="0"/>
              <w:autoSpaceDE/>
              <w:autoSpaceDN/>
              <w:bidi w:val="0"/>
              <w:spacing w:line="360" w:lineRule="auto"/>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4.</w:t>
            </w:r>
            <w:r>
              <w:rPr>
                <w:rFonts w:hint="eastAsia" w:ascii="宋体" w:hAnsi="宋体" w:cs="宋体"/>
                <w:color w:val="auto"/>
                <w:highlight w:val="none"/>
              </w:rPr>
              <w:t>湖南省外企业须按照湘建建【2015】190号文件要求办理省外入湘企业基本情况登记（以“湖南省住房和城乡建设网”查询为准）或具有入湘施工登记证（处于有效期内）。</w:t>
            </w:r>
          </w:p>
          <w:p>
            <w:pPr>
              <w:keepNext w:val="0"/>
              <w:keepLines w:val="0"/>
              <w:pageBreakBefore w:val="0"/>
              <w:kinsoku/>
              <w:wordWrap/>
              <w:overflowPunct/>
              <w:topLinePunct w:val="0"/>
              <w:autoSpaceDE/>
              <w:autoSpaceDN/>
              <w:bidi w:val="0"/>
              <w:spacing w:line="360" w:lineRule="auto"/>
              <w:textAlignment w:val="auto"/>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本</w:t>
            </w:r>
            <w:r>
              <w:rPr>
                <w:rFonts w:hint="eastAsia" w:ascii="宋体" w:hAnsi="宋体" w:cs="宋体"/>
                <w:color w:val="auto"/>
                <w:highlight w:val="none"/>
                <w:lang w:eastAsia="zh-CN"/>
              </w:rPr>
              <w:t>项目谈判</w:t>
            </w:r>
            <w:r>
              <w:rPr>
                <w:rFonts w:hint="eastAsia" w:ascii="宋体" w:hAnsi="宋体" w:cs="宋体"/>
                <w:color w:val="auto"/>
                <w:highlight w:val="none"/>
              </w:rPr>
              <w:t>不接受联合体</w:t>
            </w:r>
            <w:r>
              <w:rPr>
                <w:rFonts w:hint="eastAsia" w:ascii="宋体" w:hAnsi="宋体" w:cs="宋体"/>
                <w:color w:val="auto"/>
                <w:highlight w:val="none"/>
                <w:lang w:eastAsia="zh-CN"/>
              </w:rPr>
              <w:t>形式参与</w:t>
            </w:r>
            <w:r>
              <w:rPr>
                <w:rFonts w:hint="eastAsia" w:ascii="宋体" w:hAnsi="宋体" w:cs="宋体"/>
                <w:color w:val="auto"/>
                <w:highlight w:val="none"/>
              </w:rPr>
              <w:t>。</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sz w:val="21"/>
                <w:szCs w:val="21"/>
                <w:highlight w:val="yellow"/>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.被长沙市轨道交通集团函告禁止在一定期限内参与轨道公司项目投标</w:t>
            </w:r>
            <w:r>
              <w:rPr>
                <w:rFonts w:hint="eastAsia" w:ascii="宋体" w:hAnsi="宋体" w:cs="宋体"/>
                <w:color w:val="auto"/>
                <w:sz w:val="21"/>
                <w:szCs w:val="21"/>
                <w:highlight w:val="none"/>
                <w:lang w:eastAsia="zh-CN"/>
              </w:rPr>
              <w:t>或谈判</w:t>
            </w:r>
            <w:r>
              <w:rPr>
                <w:rFonts w:hint="eastAsia" w:ascii="宋体" w:hAnsi="宋体" w:eastAsia="宋体" w:cs="宋体"/>
                <w:color w:val="auto"/>
                <w:sz w:val="21"/>
                <w:szCs w:val="21"/>
                <w:highlight w:val="none"/>
              </w:rPr>
              <w:t>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谈判答疑文件递交截止时间</w:t>
            </w:r>
          </w:p>
        </w:tc>
        <w:tc>
          <w:tcPr>
            <w:tcW w:w="7788" w:type="dxa"/>
            <w:vAlign w:val="center"/>
          </w:tcPr>
          <w:p>
            <w:pPr>
              <w:pStyle w:val="25"/>
              <w:adjustRightInd w:val="0"/>
              <w:snapToGrid w:val="0"/>
              <w:spacing w:line="360" w:lineRule="auto"/>
              <w:rPr>
                <w:rFonts w:hint="eastAsia" w:ascii="宋体" w:hAnsi="宋体" w:eastAsia="宋体" w:cs="宋体"/>
                <w:color w:val="000000"/>
                <w:sz w:val="21"/>
                <w:szCs w:val="21"/>
              </w:rPr>
            </w:pPr>
            <w:r>
              <w:rPr>
                <w:rFonts w:hint="eastAsia" w:hAnsi="宋体" w:cs="宋体"/>
                <w:sz w:val="21"/>
                <w:szCs w:val="21"/>
                <w:u w:val="single"/>
                <w:lang w:eastAsia="zh-CN"/>
              </w:rPr>
              <w:t>2020年1月</w:t>
            </w:r>
            <w:r>
              <w:rPr>
                <w:rFonts w:hint="eastAsia" w:hAnsi="宋体" w:cs="宋体"/>
                <w:sz w:val="21"/>
                <w:szCs w:val="21"/>
                <w:u w:val="single"/>
                <w:lang w:val="en-US" w:eastAsia="zh-CN"/>
              </w:rPr>
              <w:t>15</w:t>
            </w:r>
            <w:r>
              <w:rPr>
                <w:rFonts w:hint="eastAsia" w:ascii="宋体" w:hAnsi="宋体" w:eastAsia="宋体" w:cs="宋体"/>
                <w:sz w:val="21"/>
                <w:szCs w:val="21"/>
              </w:rPr>
              <w:t>日</w:t>
            </w:r>
            <w:r>
              <w:rPr>
                <w:rFonts w:hint="eastAsia" w:hAnsi="宋体" w:cs="宋体"/>
                <w:sz w:val="21"/>
                <w:szCs w:val="21"/>
                <w:u w:val="single"/>
                <w:lang w:val="en-US" w:eastAsia="zh-CN"/>
              </w:rPr>
              <w:t>17</w:t>
            </w:r>
            <w:r>
              <w:rPr>
                <w:rFonts w:hint="eastAsia" w:ascii="宋体" w:hAnsi="宋体" w:eastAsia="宋体" w:cs="宋体"/>
                <w:sz w:val="21"/>
                <w:szCs w:val="21"/>
              </w:rPr>
              <w:t>时</w:t>
            </w:r>
            <w:r>
              <w:rPr>
                <w:rFonts w:hint="eastAsia" w:hAnsi="宋体" w:cs="宋体"/>
                <w:sz w:val="21"/>
                <w:szCs w:val="21"/>
                <w:u w:val="single"/>
                <w:lang w:val="en-US" w:eastAsia="zh-CN"/>
              </w:rPr>
              <w:t>00</w:t>
            </w:r>
            <w:r>
              <w:rPr>
                <w:rFonts w:hint="eastAsia" w:ascii="宋体" w:hAnsi="宋体" w:eastAsia="宋体" w:cs="宋体"/>
                <w:sz w:val="21"/>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谈判答疑文件递交方式及地点</w:t>
            </w:r>
          </w:p>
        </w:tc>
        <w:tc>
          <w:tcPr>
            <w:tcW w:w="7788" w:type="dxa"/>
            <w:vAlign w:val="center"/>
          </w:tcPr>
          <w:p>
            <w:pPr>
              <w:pStyle w:val="25"/>
              <w:adjustRightInd w:val="0"/>
              <w:snapToGrid w:val="0"/>
              <w:spacing w:line="360" w:lineRule="auto"/>
              <w:rPr>
                <w:rFonts w:hint="eastAsia" w:ascii="宋体" w:hAnsi="宋体" w:eastAsia="宋体" w:cs="宋体"/>
                <w:iCs/>
                <w:color w:val="FF0000"/>
                <w:sz w:val="21"/>
                <w:szCs w:val="21"/>
              </w:rPr>
            </w:pPr>
            <w:r>
              <w:rPr>
                <w:rFonts w:hint="eastAsia" w:ascii="宋体" w:hAnsi="宋体" w:eastAsia="宋体" w:cs="宋体"/>
                <w:sz w:val="21"/>
                <w:szCs w:val="21"/>
              </w:rPr>
              <w:t>谈判答疑文件应以书面形式递交至</w:t>
            </w:r>
            <w:r>
              <w:rPr>
                <w:rFonts w:hint="eastAsia" w:hAnsi="宋体" w:cs="宋体"/>
                <w:sz w:val="21"/>
                <w:szCs w:val="21"/>
                <w:lang w:eastAsia="zh-CN"/>
              </w:rPr>
              <w:t>长沙市芙蓉区东二环一段1139号湖南国际商务中心</w:t>
            </w:r>
            <w:r>
              <w:rPr>
                <w:rFonts w:hint="eastAsia" w:hAnsi="宋体" w:cs="宋体"/>
                <w:sz w:val="21"/>
                <w:szCs w:val="21"/>
                <w:lang w:val="en-US" w:eastAsia="zh-CN"/>
              </w:rPr>
              <w:t>432室</w:t>
            </w:r>
            <w:r>
              <w:rPr>
                <w:rFonts w:hint="eastAsia" w:hAnsi="宋体" w:cs="宋体"/>
                <w:sz w:val="21"/>
                <w:szCs w:val="21"/>
                <w:lang w:eastAsia="zh-CN"/>
              </w:rPr>
              <w:t>湖南省湘咨工程咨询有限责任公司</w:t>
            </w: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响应文件的递交截止及谈判时间</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cs="宋体"/>
                <w:sz w:val="21"/>
                <w:szCs w:val="21"/>
                <w:u w:val="single"/>
                <w:lang w:eastAsia="zh-CN"/>
              </w:rPr>
              <w:t>2020年</w:t>
            </w:r>
            <w:r>
              <w:rPr>
                <w:rFonts w:hint="eastAsia" w:ascii="宋体" w:hAnsi="宋体" w:cs="宋体"/>
                <w:sz w:val="21"/>
                <w:szCs w:val="21"/>
                <w:u w:val="single"/>
                <w:lang w:val="en-US" w:eastAsia="zh-CN"/>
              </w:rPr>
              <w:t>2</w:t>
            </w:r>
            <w:r>
              <w:rPr>
                <w:rFonts w:hint="eastAsia" w:ascii="宋体" w:hAnsi="宋体" w:cs="宋体"/>
                <w:sz w:val="21"/>
                <w:szCs w:val="21"/>
                <w:u w:val="single"/>
                <w:lang w:eastAsia="zh-CN"/>
              </w:rPr>
              <w:t>月</w:t>
            </w:r>
            <w:r>
              <w:rPr>
                <w:rFonts w:hint="eastAsia" w:ascii="宋体" w:hAnsi="宋体" w:cs="宋体"/>
                <w:sz w:val="21"/>
                <w:szCs w:val="21"/>
                <w:u w:val="single"/>
                <w:lang w:val="en-US" w:eastAsia="zh-CN"/>
              </w:rPr>
              <w:t>7</w:t>
            </w:r>
            <w:r>
              <w:rPr>
                <w:rFonts w:hint="eastAsia" w:ascii="宋体" w:hAnsi="宋体" w:eastAsia="宋体" w:cs="宋体"/>
                <w:sz w:val="21"/>
                <w:szCs w:val="21"/>
              </w:rPr>
              <w:t>日</w:t>
            </w:r>
            <w:r>
              <w:rPr>
                <w:rFonts w:hint="eastAsia" w:ascii="宋体" w:hAnsi="宋体" w:cs="宋体"/>
                <w:sz w:val="21"/>
                <w:szCs w:val="21"/>
                <w:u w:val="single"/>
                <w:lang w:val="en-US" w:eastAsia="zh-CN"/>
              </w:rPr>
              <w:t>14</w:t>
            </w:r>
            <w:r>
              <w:rPr>
                <w:rFonts w:hint="eastAsia" w:ascii="宋体" w:hAnsi="宋体" w:eastAsia="宋体" w:cs="宋体"/>
                <w:sz w:val="21"/>
                <w:szCs w:val="21"/>
              </w:rPr>
              <w:t>时</w:t>
            </w:r>
            <w:r>
              <w:rPr>
                <w:rFonts w:hint="eastAsia" w:ascii="宋体" w:hAnsi="宋体" w:cs="宋体"/>
                <w:sz w:val="21"/>
                <w:szCs w:val="21"/>
                <w:u w:val="single"/>
                <w:lang w:val="en-US" w:eastAsia="zh-CN"/>
              </w:rPr>
              <w:t>30</w:t>
            </w:r>
            <w:r>
              <w:rPr>
                <w:rFonts w:hint="eastAsia" w:ascii="宋体" w:hAnsi="宋体" w:eastAsia="宋体" w:cs="宋体"/>
                <w:sz w:val="21"/>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响应文件的递交及谈判地点</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bCs/>
                <w:sz w:val="21"/>
                <w:szCs w:val="21"/>
              </w:rPr>
              <w:t>长沙市</w:t>
            </w:r>
            <w:r>
              <w:rPr>
                <w:rFonts w:hint="eastAsia" w:ascii="宋体" w:hAnsi="宋体" w:eastAsia="宋体" w:cs="宋体"/>
                <w:iCs/>
                <w:sz w:val="21"/>
                <w:szCs w:val="21"/>
              </w:rPr>
              <w:t>劳动东路二段48号</w:t>
            </w:r>
            <w:r>
              <w:rPr>
                <w:rFonts w:hint="eastAsia" w:ascii="宋体" w:hAnsi="宋体" w:eastAsia="宋体" w:cs="宋体"/>
                <w:sz w:val="21"/>
                <w:szCs w:val="21"/>
              </w:rPr>
              <w:t>长沙市轨道交通运营有限公司</w:t>
            </w:r>
            <w:r>
              <w:rPr>
                <w:rFonts w:hint="eastAsia" w:ascii="宋体" w:hAnsi="宋体" w:eastAsia="宋体" w:cs="宋体"/>
                <w:iCs/>
                <w:sz w:val="21"/>
                <w:szCs w:val="21"/>
              </w:rPr>
              <w:t>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谈判现场验证须提交的资料</w:t>
            </w:r>
          </w:p>
        </w:tc>
        <w:tc>
          <w:tcPr>
            <w:tcW w:w="7788" w:type="dxa"/>
            <w:vAlign w:val="center"/>
          </w:tcPr>
          <w:p>
            <w:pPr>
              <w:adjustRightInd w:val="0"/>
              <w:snapToGrid w:val="0"/>
              <w:spacing w:line="360" w:lineRule="auto"/>
              <w:jc w:val="left"/>
              <w:rPr>
                <w:rFonts w:hint="eastAsia" w:ascii="宋体" w:hAnsi="宋体" w:eastAsia="宋体" w:cs="宋体"/>
                <w:color w:val="FF0000"/>
                <w:sz w:val="21"/>
                <w:szCs w:val="21"/>
              </w:rPr>
            </w:pPr>
            <w:r>
              <w:rPr>
                <w:rFonts w:hint="eastAsia" w:ascii="宋体" w:hAnsi="宋体" w:eastAsia="宋体" w:cs="宋体"/>
                <w:iCs/>
                <w:sz w:val="21"/>
                <w:szCs w:val="21"/>
              </w:rPr>
              <w:t>1.谈判单位代表是谈判单位法定代表人参加的，法定代表人须提供法定代表人身份证明书原件</w:t>
            </w:r>
            <w:r>
              <w:rPr>
                <w:rFonts w:hint="eastAsia" w:ascii="宋体" w:hAnsi="宋体" w:eastAsia="宋体" w:cs="宋体"/>
                <w:b/>
                <w:bCs/>
                <w:iCs/>
                <w:sz w:val="21"/>
                <w:szCs w:val="21"/>
              </w:rPr>
              <w:t>（格式详见本文件第</w:t>
            </w:r>
            <w:r>
              <w:rPr>
                <w:rFonts w:hint="eastAsia" w:ascii="宋体" w:hAnsi="宋体" w:cs="宋体"/>
                <w:b/>
                <w:bCs/>
                <w:iCs/>
                <w:sz w:val="21"/>
                <w:szCs w:val="21"/>
                <w:lang w:eastAsia="zh-CN"/>
              </w:rPr>
              <w:t>七</w:t>
            </w:r>
            <w:r>
              <w:rPr>
                <w:rFonts w:hint="eastAsia" w:ascii="宋体" w:hAnsi="宋体" w:eastAsia="宋体" w:cs="宋体"/>
                <w:b/>
                <w:bCs/>
                <w:iCs/>
                <w:sz w:val="21"/>
                <w:szCs w:val="21"/>
              </w:rPr>
              <w:t>章）</w:t>
            </w:r>
            <w:r>
              <w:rPr>
                <w:rFonts w:hint="eastAsia" w:ascii="宋体" w:hAnsi="宋体" w:eastAsia="宋体" w:cs="宋体"/>
                <w:sz w:val="21"/>
                <w:szCs w:val="21"/>
              </w:rPr>
              <w:t>及本人身份证原件。</w:t>
            </w:r>
          </w:p>
          <w:p>
            <w:pPr>
              <w:adjustRightInd w:val="0"/>
              <w:snapToGrid w:val="0"/>
              <w:spacing w:line="360" w:lineRule="auto"/>
              <w:jc w:val="left"/>
              <w:rPr>
                <w:rFonts w:hint="eastAsia" w:ascii="宋体" w:hAnsi="宋体" w:eastAsia="宋体" w:cs="宋体"/>
                <w:iCs/>
                <w:sz w:val="21"/>
                <w:szCs w:val="21"/>
              </w:rPr>
            </w:pPr>
            <w:r>
              <w:rPr>
                <w:rFonts w:hint="eastAsia" w:ascii="宋体" w:hAnsi="宋体" w:eastAsia="宋体" w:cs="宋体"/>
                <w:sz w:val="21"/>
                <w:szCs w:val="21"/>
              </w:rPr>
              <w:t>2.谈判单位代表是由谈判单位法定代表人授权的委托代理人参加的，其授权委托代理人须提供授权委托书原件</w:t>
            </w:r>
            <w:r>
              <w:rPr>
                <w:rFonts w:hint="eastAsia" w:ascii="宋体" w:hAnsi="宋体" w:eastAsia="宋体" w:cs="宋体"/>
                <w:b/>
                <w:sz w:val="21"/>
                <w:szCs w:val="21"/>
              </w:rPr>
              <w:t>（格式详见本文件</w:t>
            </w:r>
            <w:r>
              <w:rPr>
                <w:rFonts w:hint="eastAsia" w:ascii="宋体" w:hAnsi="宋体" w:eastAsia="宋体" w:cs="宋体"/>
                <w:b/>
                <w:bCs/>
                <w:iCs/>
                <w:sz w:val="21"/>
                <w:szCs w:val="21"/>
              </w:rPr>
              <w:t>第</w:t>
            </w:r>
            <w:r>
              <w:rPr>
                <w:rFonts w:hint="eastAsia" w:ascii="宋体" w:hAnsi="宋体" w:cs="宋体"/>
                <w:b/>
                <w:bCs/>
                <w:iCs/>
                <w:sz w:val="21"/>
                <w:szCs w:val="21"/>
                <w:lang w:eastAsia="zh-CN"/>
              </w:rPr>
              <w:t>七</w:t>
            </w:r>
            <w:r>
              <w:rPr>
                <w:rFonts w:hint="eastAsia" w:ascii="宋体" w:hAnsi="宋体" w:eastAsia="宋体" w:cs="宋体"/>
                <w:b/>
                <w:bCs/>
                <w:iCs/>
                <w:sz w:val="21"/>
                <w:szCs w:val="21"/>
              </w:rPr>
              <w:t>章</w:t>
            </w:r>
            <w:r>
              <w:rPr>
                <w:rFonts w:hint="eastAsia" w:ascii="宋体" w:hAnsi="宋体" w:eastAsia="宋体" w:cs="宋体"/>
                <w:b/>
                <w:sz w:val="21"/>
                <w:szCs w:val="21"/>
              </w:rPr>
              <w:t>）</w:t>
            </w:r>
            <w:r>
              <w:rPr>
                <w:rFonts w:hint="eastAsia" w:ascii="宋体" w:hAnsi="宋体" w:eastAsia="宋体" w:cs="宋体"/>
                <w:sz w:val="21"/>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响应文件有效期</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u w:val="none"/>
              </w:rPr>
              <w:t>180日历天</w:t>
            </w:r>
            <w:r>
              <w:rPr>
                <w:rFonts w:hint="eastAsia" w:ascii="宋体" w:hAnsi="宋体" w:eastAsia="宋体" w:cs="宋体"/>
                <w:sz w:val="21"/>
                <w:szCs w:val="21"/>
              </w:rPr>
              <w:t>，从谈判截止之日起算。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响应文件份数</w:t>
            </w:r>
          </w:p>
        </w:tc>
        <w:tc>
          <w:tcPr>
            <w:tcW w:w="7788" w:type="dxa"/>
            <w:vAlign w:val="center"/>
          </w:tcPr>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价格承包内容</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color w:val="000000"/>
                <w:sz w:val="21"/>
                <w:szCs w:val="21"/>
              </w:rPr>
              <w:t>本项目为</w:t>
            </w:r>
            <w:r>
              <w:rPr>
                <w:rFonts w:hint="eastAsia" w:ascii="宋体" w:hAnsi="宋体" w:cs="宋体"/>
                <w:color w:val="auto"/>
                <w:highlight w:val="none"/>
                <w:lang w:val="en-US" w:eastAsia="zh-CN"/>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最终结算价格不得超过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FF0000"/>
                <w:sz w:val="21"/>
                <w:szCs w:val="21"/>
              </w:rPr>
            </w:pPr>
            <w:r>
              <w:rPr>
                <w:rFonts w:hint="eastAsia" w:ascii="宋体" w:hAnsi="宋体" w:eastAsia="宋体" w:cs="宋体"/>
                <w:b/>
                <w:bCs w:val="0"/>
                <w:color w:val="auto"/>
                <w:sz w:val="21"/>
                <w:szCs w:val="21"/>
                <w:highlight w:val="none"/>
              </w:rPr>
              <w:t>项目支付方式</w:t>
            </w:r>
          </w:p>
        </w:tc>
        <w:tc>
          <w:tcPr>
            <w:tcW w:w="7788" w:type="dxa"/>
            <w:vAlign w:val="center"/>
          </w:tcPr>
          <w:p>
            <w:pPr>
              <w:pStyle w:val="45"/>
              <w:adjustRightInd w:val="0"/>
              <w:snapToGrid w:val="0"/>
              <w:spacing w:after="0" w:line="360" w:lineRule="auto"/>
              <w:ind w:firstLine="0" w:firstLineChars="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lang w:eastAsia="zh-CN"/>
              </w:rPr>
              <w:t>本工程无预付款，在工程竣工验收合格移交竣工资料后，支付至实际竣工计量金额的70%，但支付金额不得超过合同价的</w:t>
            </w:r>
            <w:r>
              <w:rPr>
                <w:rFonts w:hint="eastAsia" w:ascii="宋体" w:hAnsi="宋体" w:eastAsia="宋体" w:cs="宋体"/>
                <w:bCs/>
                <w:color w:val="auto"/>
                <w:sz w:val="21"/>
                <w:szCs w:val="21"/>
                <w:lang w:val="en-US" w:eastAsia="zh-CN"/>
              </w:rPr>
              <w:t>70%</w:t>
            </w:r>
            <w:r>
              <w:rPr>
                <w:rFonts w:hint="eastAsia" w:ascii="宋体" w:hAnsi="宋体" w:eastAsia="宋体" w:cs="宋体"/>
                <w:bCs/>
                <w:color w:val="auto"/>
                <w:sz w:val="21"/>
                <w:szCs w:val="21"/>
                <w:lang w:eastAsia="zh-CN"/>
              </w:rPr>
              <w:t>；</w:t>
            </w:r>
          </w:p>
          <w:p>
            <w:pPr>
              <w:pStyle w:val="45"/>
              <w:adjustRightInd w:val="0"/>
              <w:snapToGrid w:val="0"/>
              <w:spacing w:after="0" w:line="360" w:lineRule="auto"/>
              <w:ind w:firstLine="0" w:firstLineChars="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lang w:eastAsia="zh-CN"/>
              </w:rPr>
              <w:t>工程竣工结算</w:t>
            </w:r>
            <w:r>
              <w:rPr>
                <w:rFonts w:hint="eastAsia" w:ascii="宋体" w:hAnsi="宋体" w:eastAsia="宋体" w:cs="宋体"/>
                <w:bCs/>
                <w:color w:val="auto"/>
                <w:sz w:val="21"/>
                <w:szCs w:val="21"/>
                <w:lang w:val="en-US" w:eastAsia="zh-CN"/>
              </w:rPr>
              <w:t>经甲方审定后，支付至结算价格</w:t>
            </w:r>
            <w:r>
              <w:rPr>
                <w:rFonts w:hint="eastAsia" w:ascii="宋体" w:hAnsi="宋体" w:eastAsia="宋体" w:cs="宋体"/>
                <w:bCs/>
                <w:color w:val="auto"/>
                <w:sz w:val="21"/>
                <w:szCs w:val="21"/>
                <w:lang w:eastAsia="zh-CN"/>
              </w:rPr>
              <w:t>的9</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lang w:eastAsia="zh-CN"/>
              </w:rPr>
              <w:t>%（开具本合同总价款100%、合法有效的增值税专用发票原件），剩下的</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eastAsia="zh-CN"/>
              </w:rPr>
              <w:t>%作为工程质量保证金，在已办理结算的前提下，保修期满后如无任何质量问题一次性无息付清；</w:t>
            </w:r>
          </w:p>
          <w:p>
            <w:pPr>
              <w:pStyle w:val="45"/>
              <w:adjustRightInd w:val="0"/>
              <w:snapToGrid w:val="0"/>
              <w:spacing w:after="0" w:line="360" w:lineRule="auto"/>
              <w:ind w:firstLine="0" w:firstLineChars="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3.本合同以人民币结算，并采用银行转账方式支付；</w:t>
            </w:r>
          </w:p>
          <w:p>
            <w:pPr>
              <w:pStyle w:val="45"/>
              <w:adjustRightInd w:val="0"/>
              <w:snapToGrid w:val="0"/>
              <w:spacing w:after="0" w:line="360" w:lineRule="auto"/>
              <w:ind w:firstLine="0" w:firstLineChars="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lang w:eastAsia="zh-CN"/>
              </w:rPr>
              <w:t>所有支付均在收到乙方提供的以下资料后支付：</w:t>
            </w:r>
          </w:p>
          <w:p>
            <w:pPr>
              <w:pStyle w:val="45"/>
              <w:adjustRightInd w:val="0"/>
              <w:snapToGrid w:val="0"/>
              <w:spacing w:after="0" w:line="360" w:lineRule="auto"/>
              <w:ind w:firstLine="0" w:firstLineChars="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lang w:eastAsia="zh-CN"/>
              </w:rPr>
              <w:t>）经甲方审批同意的支付申请和相关资料；</w:t>
            </w:r>
          </w:p>
          <w:p>
            <w:pPr>
              <w:pStyle w:val="45"/>
              <w:adjustRightInd w:val="0"/>
              <w:snapToGrid w:val="0"/>
              <w:spacing w:after="0" w:line="360" w:lineRule="auto"/>
              <w:ind w:firstLine="0" w:firstLineChars="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lang w:eastAsia="zh-CN"/>
              </w:rPr>
              <w:t>）相应的税务发票原件；</w:t>
            </w:r>
          </w:p>
          <w:p>
            <w:pPr>
              <w:pStyle w:val="45"/>
              <w:adjustRightInd w:val="0"/>
              <w:snapToGrid w:val="0"/>
              <w:spacing w:after="0" w:line="360" w:lineRule="auto"/>
              <w:ind w:firstLine="0" w:firstLineChars="0"/>
              <w:rPr>
                <w:rFonts w:hint="eastAsia" w:ascii="宋体" w:hAnsi="宋体" w:eastAsia="宋体" w:cs="宋体"/>
                <w:bCs/>
                <w:color w:val="FF0000"/>
                <w:sz w:val="21"/>
                <w:szCs w:val="21"/>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eastAsia="zh-CN"/>
              </w:rPr>
              <w:t>）本合同约定的其他结算资料。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信息发布</w:t>
            </w:r>
          </w:p>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指定媒体</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长沙市轨道交通集团有限公司</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"http://www.hncsmtr.com/" </w:instrText>
            </w:r>
            <w:r>
              <w:rPr>
                <w:rFonts w:hint="eastAsia" w:ascii="宋体" w:hAnsi="宋体" w:eastAsia="宋体" w:cs="宋体"/>
                <w:color w:val="auto"/>
                <w:sz w:val="21"/>
                <w:szCs w:val="21"/>
              </w:rPr>
              <w:fldChar w:fldCharType="separate"/>
            </w:r>
            <w:r>
              <w:rPr>
                <w:rStyle w:val="55"/>
                <w:rFonts w:hint="eastAsia" w:ascii="宋体" w:hAnsi="宋体" w:eastAsia="宋体" w:cs="宋体"/>
                <w:color w:val="auto"/>
                <w:sz w:val="21"/>
                <w:szCs w:val="21"/>
              </w:rPr>
              <w:t>http://www.hncsmtr.com/</w:t>
            </w:r>
            <w:r>
              <w:rPr>
                <w:rStyle w:val="55"/>
                <w:rFonts w:hint="eastAsia" w:ascii="宋体" w:hAnsi="宋体" w:eastAsia="宋体" w:cs="宋体"/>
                <w:color w:val="auto"/>
                <w:sz w:val="21"/>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采购代理服务费</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其他规定</w:t>
            </w:r>
          </w:p>
        </w:tc>
        <w:tc>
          <w:tcPr>
            <w:tcW w:w="7788" w:type="dxa"/>
            <w:vAlign w:val="center"/>
          </w:tcPr>
          <w:p>
            <w:pPr>
              <w:adjustRightInd w:val="0"/>
              <w:snapToGrid w:val="0"/>
              <w:spacing w:line="360" w:lineRule="auto"/>
              <w:rPr>
                <w:rFonts w:hint="eastAsia"/>
                <w:lang w:eastAsia="zh-CN"/>
              </w:rPr>
            </w:pPr>
            <w:r>
              <w:rPr>
                <w:rFonts w:hint="eastAsia"/>
                <w:lang w:eastAsia="zh-CN"/>
              </w:rPr>
              <w:t>违约条款：</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color w:val="000000"/>
              </w:rPr>
            </w:pPr>
            <w:r>
              <w:rPr>
                <w:rFonts w:hint="eastAsia" w:ascii="宋体" w:hAnsi="宋体" w:cs="宋体"/>
                <w:color w:val="000000"/>
              </w:rPr>
              <w:t>1</w:t>
            </w:r>
            <w:r>
              <w:rPr>
                <w:rFonts w:hint="eastAsia" w:ascii="宋体" w:hAnsi="宋体" w:cs="宋体"/>
                <w:color w:val="000000"/>
                <w:lang w:val="en-US" w:eastAsia="zh-CN"/>
              </w:rPr>
              <w:t>.</w:t>
            </w:r>
            <w:r>
              <w:rPr>
                <w:rFonts w:hint="eastAsia" w:ascii="宋体" w:hAnsi="宋体" w:cs="宋体"/>
                <w:color w:val="000000"/>
              </w:rPr>
              <w:t>承包人因自身</w:t>
            </w:r>
            <w:r>
              <w:rPr>
                <w:rFonts w:hint="eastAsia" w:ascii="宋体" w:hAnsi="宋体" w:cs="宋体"/>
                <w:color w:val="000000"/>
                <w:lang w:val="en-US" w:eastAsia="zh-CN"/>
              </w:rPr>
              <w:t>原因</w:t>
            </w:r>
            <w:r>
              <w:rPr>
                <w:rFonts w:hint="eastAsia" w:ascii="宋体" w:hAnsi="宋体" w:cs="宋体"/>
                <w:color w:val="000000"/>
              </w:rPr>
              <w:t>未能按合同要求完成工程施工的，每延误一天应向发包人交纳500元的违约金。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color w:val="000000"/>
              </w:rPr>
            </w:pPr>
            <w:r>
              <w:rPr>
                <w:rFonts w:hint="eastAsia" w:ascii="宋体" w:hAnsi="宋体" w:cs="宋体"/>
                <w:color w:val="000000"/>
                <w:lang w:val="en-US" w:eastAsia="zh-CN"/>
              </w:rPr>
              <w:t>2.</w:t>
            </w:r>
            <w:r>
              <w:rPr>
                <w:rFonts w:hint="eastAsia" w:ascii="宋体" w:hAnsi="宋体" w:cs="宋体"/>
                <w:color w:val="000000"/>
              </w:rPr>
              <w:t>承包人违反合同约定采购和使用不合格的材料和工程设备，每查实一次应按2000元/次向发包人交纳违约金，并负责更换合格的材料和工程设备直至发包人满意为止，由此产生的相关费用由承包人承担。</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color w:val="000000"/>
              </w:rPr>
            </w:pPr>
            <w:r>
              <w:rPr>
                <w:rFonts w:hint="eastAsia" w:ascii="宋体" w:hAnsi="宋体" w:cs="宋体"/>
                <w:color w:val="000000"/>
                <w:lang w:val="en-US" w:eastAsia="zh-CN"/>
              </w:rPr>
              <w:t>3.</w:t>
            </w:r>
            <w:r>
              <w:rPr>
                <w:rFonts w:hint="eastAsia" w:ascii="宋体" w:hAnsi="宋体" w:cs="宋体"/>
                <w:color w:val="000000"/>
              </w:rPr>
              <w:t>在施工过程中，</w:t>
            </w:r>
            <w:r>
              <w:rPr>
                <w:rFonts w:hint="eastAsia" w:ascii="宋体" w:hAnsi="宋体" w:cs="宋体"/>
                <w:color w:val="000000"/>
                <w:lang w:val="en-US" w:eastAsia="zh-CN"/>
              </w:rPr>
              <w:t>承包人</w:t>
            </w:r>
            <w:r>
              <w:rPr>
                <w:rFonts w:hint="eastAsia" w:ascii="宋体" w:hAnsi="宋体" w:cs="宋体"/>
                <w:color w:val="000000"/>
              </w:rPr>
              <w:t>存在质量安全隐患及不文明行为情况，且未根据相关部门要求及时整改的，承包人应向发包人交纳2000元/次·处的违约金，并通报批评。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lang w:eastAsia="zh-CN"/>
              </w:rPr>
            </w:pPr>
            <w:r>
              <w:rPr>
                <w:rFonts w:hint="eastAsia" w:ascii="宋体" w:hAnsi="宋体" w:cs="宋体"/>
                <w:color w:val="000000"/>
                <w:lang w:val="en-US" w:eastAsia="zh-CN"/>
              </w:rPr>
              <w:t>4.</w:t>
            </w:r>
            <w:r>
              <w:rPr>
                <w:rFonts w:hint="eastAsia" w:ascii="宋体" w:hAnsi="宋体" w:cs="宋体"/>
                <w:color w:val="000000"/>
              </w:rPr>
              <w:t>在施工过程中，发生一般等级及以上质量安全责任事故的，按照国家相关规定调查处理，由承包人承担相应的责任和损失，承包人应向发包人交纳1万元的违约金。</w:t>
            </w:r>
          </w:p>
        </w:tc>
      </w:tr>
    </w:tbl>
    <w:p>
      <w:pPr>
        <w:keepNext w:val="0"/>
        <w:keepLines w:val="0"/>
        <w:jc w:val="center"/>
        <w:outlineLvl w:val="9"/>
        <w:rPr>
          <w:rFonts w:ascii="黑体" w:hAnsi="黑体" w:eastAsia="黑体"/>
          <w:sz w:val="30"/>
          <w:szCs w:val="30"/>
        </w:rPr>
      </w:pPr>
      <w:bookmarkStart w:id="15" w:name="_Toc14891067"/>
    </w:p>
    <w:p>
      <w:pPr>
        <w:widowControl/>
        <w:jc w:val="left"/>
        <w:sectPr>
          <w:footerReference r:id="rId4" w:type="default"/>
          <w:pgSz w:w="11906" w:h="16838"/>
          <w:pgMar w:top="1440" w:right="1797" w:bottom="1440" w:left="1797" w:header="851" w:footer="851" w:gutter="0"/>
          <w:pgNumType w:fmt="decimal"/>
          <w:cols w:space="720" w:num="1"/>
          <w:docGrid w:linePitch="312" w:charSpace="0"/>
        </w:sectPr>
      </w:pPr>
    </w:p>
    <w:p>
      <w:pPr>
        <w:pStyle w:val="2"/>
      </w:pPr>
    </w:p>
    <w:p>
      <w:pPr>
        <w:pStyle w:val="4"/>
        <w:keepNext w:val="0"/>
        <w:keepLines w:val="0"/>
        <w:pageBreakBefore w:val="0"/>
        <w:widowControl w:val="0"/>
        <w:kinsoku/>
        <w:wordWrap/>
        <w:overflowPunct/>
        <w:topLinePunct w:val="0"/>
        <w:autoSpaceDE/>
        <w:autoSpaceDN/>
        <w:bidi w:val="0"/>
        <w:jc w:val="center"/>
        <w:textAlignment w:val="auto"/>
        <w:rPr>
          <w:rFonts w:hint="eastAsia" w:ascii="宋体" w:hAnsi="宋体" w:eastAsia="宋体" w:cs="宋体"/>
          <w:b/>
          <w:bCs/>
          <w:sz w:val="32"/>
          <w:szCs w:val="32"/>
        </w:rPr>
      </w:pPr>
      <w:bookmarkStart w:id="16" w:name="_Toc26157"/>
      <w:bookmarkStart w:id="17" w:name="_Toc16939"/>
      <w:bookmarkStart w:id="18" w:name="_Toc30640"/>
      <w:bookmarkStart w:id="19" w:name="_Toc11980"/>
      <w:r>
        <w:rPr>
          <w:rFonts w:hint="eastAsia" w:ascii="宋体" w:hAnsi="宋体" w:eastAsia="宋体" w:cs="宋体"/>
          <w:b/>
          <w:bCs/>
          <w:sz w:val="32"/>
          <w:szCs w:val="32"/>
        </w:rPr>
        <w:t>谈判须知正文</w:t>
      </w:r>
      <w:bookmarkEnd w:id="15"/>
      <w:bookmarkEnd w:id="16"/>
      <w:bookmarkEnd w:id="17"/>
      <w:bookmarkEnd w:id="18"/>
      <w:bookmarkEnd w:id="19"/>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0" w:name="_Toc25658"/>
      <w:bookmarkStart w:id="21" w:name="_Toc14891068"/>
      <w:r>
        <w:rPr>
          <w:rFonts w:hint="eastAsia" w:ascii="宋体" w:hAnsi="宋体" w:eastAsia="宋体" w:cs="宋体"/>
          <w:sz w:val="21"/>
          <w:szCs w:val="21"/>
        </w:rPr>
        <w:t>一、说明</w:t>
      </w:r>
      <w:bookmarkEnd w:id="20"/>
      <w:bookmarkEnd w:id="21"/>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1.</w:t>
      </w:r>
      <w:r>
        <w:rPr>
          <w:rFonts w:hint="eastAsia" w:ascii="宋体" w:hAnsi="宋体" w:eastAsia="宋体" w:cs="宋体"/>
          <w:b/>
          <w:sz w:val="21"/>
          <w:szCs w:val="21"/>
        </w:rPr>
        <w:t>本《自主竞争性谈判文件》（以下简称“谈判文件”）仅适用于谈判须知前附表(以下简称前附表)中所叙述的采购项目。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sz w:val="21"/>
          <w:szCs w:val="21"/>
        </w:rPr>
        <w:t>2.本谈判文件的解释权属于</w:t>
      </w:r>
      <w:r>
        <w:rPr>
          <w:rFonts w:hint="eastAsia" w:ascii="宋体" w:hAnsi="宋体" w:eastAsia="宋体" w:cs="宋体"/>
          <w:b/>
          <w:sz w:val="21"/>
          <w:szCs w:val="21"/>
          <w:highlight w:val="none"/>
        </w:rPr>
        <w:t>长沙市轨道交通运营有限公司。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3.定义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sz w:val="21"/>
          <w:szCs w:val="21"/>
        </w:rPr>
        <w:t>3.1“采购单位”是指依法进行采购的法人组织。本项目的采购单位名称见</w:t>
      </w:r>
      <w:r>
        <w:rPr>
          <w:rFonts w:hint="eastAsia" w:ascii="宋体" w:hAnsi="宋体" w:eastAsia="宋体" w:cs="宋体"/>
          <w:b/>
          <w:sz w:val="21"/>
          <w:szCs w:val="21"/>
        </w:rPr>
        <w:t>前附表</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3.2“谈判单位”是指响应本谈判文件要求、参加谈判的法人组织。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3.3“采购代理机构”是指接受采购人委托，代理采购项目的机构。本采购项目的采购代理机构名称见</w:t>
      </w:r>
      <w:r>
        <w:rPr>
          <w:rFonts w:hint="eastAsia" w:ascii="宋体" w:hAnsi="宋体" w:eastAsia="宋体" w:cs="宋体"/>
          <w:b/>
          <w:bCs/>
          <w:sz w:val="21"/>
          <w:szCs w:val="21"/>
        </w:rPr>
        <w:t>前附表</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3.4“谈判</w:t>
      </w:r>
      <w:r>
        <w:rPr>
          <w:rFonts w:hint="eastAsia" w:ascii="宋体" w:hAnsi="宋体" w:eastAsia="宋体" w:cs="宋体"/>
          <w:b/>
          <w:bCs/>
          <w:sz w:val="21"/>
          <w:szCs w:val="21"/>
        </w:rPr>
        <w:t>评审</w:t>
      </w:r>
      <w:r>
        <w:rPr>
          <w:rFonts w:hint="eastAsia" w:ascii="宋体" w:hAnsi="宋体" w:eastAsia="宋体" w:cs="宋体"/>
          <w:sz w:val="21"/>
          <w:szCs w:val="21"/>
        </w:rPr>
        <w:t>小组”是指采购单位按其规定组建，依法依规履行其职责和义务的机构。</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4.谈判单位资格要求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4.1参与谈判的单位应当符合</w:t>
      </w:r>
      <w:r>
        <w:rPr>
          <w:rFonts w:hint="eastAsia" w:ascii="宋体" w:hAnsi="宋体" w:eastAsia="宋体" w:cs="宋体"/>
          <w:b/>
          <w:sz w:val="21"/>
          <w:szCs w:val="21"/>
        </w:rPr>
        <w:t>前附表</w:t>
      </w:r>
      <w:r>
        <w:rPr>
          <w:rFonts w:hint="eastAsia" w:ascii="宋体" w:hAnsi="宋体" w:eastAsia="宋体" w:cs="宋体"/>
          <w:sz w:val="21"/>
          <w:szCs w:val="21"/>
        </w:rPr>
        <w:t>中规定的资格要求；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4.2参与谈判的单位存在下列情形之一的，其</w:t>
      </w:r>
      <w:r>
        <w:rPr>
          <w:rFonts w:hint="eastAsia" w:ascii="宋体" w:hAnsi="宋体" w:eastAsia="宋体" w:cs="宋体"/>
          <w:bCs/>
          <w:sz w:val="21"/>
          <w:szCs w:val="21"/>
        </w:rPr>
        <w:t>谈判</w:t>
      </w:r>
      <w:r>
        <w:rPr>
          <w:rFonts w:hint="eastAsia" w:ascii="宋体" w:hAnsi="宋体" w:eastAsia="宋体" w:cs="宋体"/>
          <w:sz w:val="21"/>
          <w:szCs w:val="21"/>
        </w:rPr>
        <w:t>将被</w:t>
      </w:r>
      <w:r>
        <w:rPr>
          <w:rFonts w:hint="eastAsia" w:ascii="宋体" w:hAnsi="宋体" w:eastAsia="宋体" w:cs="宋体"/>
          <w:b/>
          <w:bCs/>
          <w:sz w:val="21"/>
          <w:szCs w:val="21"/>
        </w:rPr>
        <w:t>否决</w:t>
      </w:r>
      <w:r>
        <w:rPr>
          <w:rFonts w:hint="eastAsia" w:ascii="宋体" w:hAnsi="宋体" w:eastAsia="宋体" w:cs="宋体"/>
          <w:sz w:val="21"/>
          <w:szCs w:val="21"/>
        </w:rPr>
        <w:t>：</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（1）与采购单位（或本项目采购代理机构）存在利害关系且可能影响采购公正性；</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（2）谈判单位法定代表人或负责人与其他谈判单位法定代表人或负责人为同一人；</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（3）与本采购项目的其他谈判单位存在控股、管理关系；</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（4）被责令停产停业、暂扣或者吊销许可证、暂扣或者吊销执照；</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（5）进入破产、清算、注销程序，或存在其他可能丧失履约能力的情形；</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（6）在国家企业信用信息公示系统中显示已被列入严重违法失信企业名单；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trike/>
          <w:sz w:val="21"/>
          <w:szCs w:val="21"/>
        </w:rPr>
      </w:pPr>
      <w:r>
        <w:rPr>
          <w:rFonts w:hint="eastAsia" w:ascii="宋体" w:hAnsi="宋体" w:eastAsia="宋体" w:cs="宋体"/>
          <w:sz w:val="21"/>
          <w:szCs w:val="21"/>
        </w:rPr>
        <w:t>（7）在“信用中国”网站（www.creditchina.gov.cn）或“信用湖南”网站（www.credithunan.gov.cn）中显示已被列入失信被执行人名单。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5.参与谈判的费用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5.1无论谈判的结果如何，谈判单位应自行承担所有与本次竞争性谈判活动有关的全部费用。</w:t>
      </w:r>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5.2采购代理服务费由中选单位全额承担。本项目采购代理服务费以中选价为基数，按谈判须知</w:t>
      </w:r>
      <w:r>
        <w:rPr>
          <w:rFonts w:hint="eastAsia" w:ascii="宋体" w:hAnsi="宋体" w:eastAsia="宋体" w:cs="宋体"/>
          <w:b/>
          <w:bCs/>
          <w:sz w:val="21"/>
          <w:szCs w:val="21"/>
        </w:rPr>
        <w:t>《采购代理服务费收费标准》（详见本须知附件）</w:t>
      </w:r>
      <w:r>
        <w:rPr>
          <w:rFonts w:hint="eastAsia" w:ascii="宋体" w:hAnsi="宋体" w:eastAsia="宋体" w:cs="宋体"/>
          <w:sz w:val="21"/>
          <w:szCs w:val="21"/>
        </w:rPr>
        <w:t>向中选单位收取。</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sz w:val="21"/>
          <w:szCs w:val="21"/>
        </w:rPr>
        <w:t>6．</w:t>
      </w:r>
      <w:r>
        <w:rPr>
          <w:rFonts w:hint="eastAsia" w:ascii="宋体" w:hAnsi="宋体" w:eastAsia="宋体" w:cs="宋体"/>
          <w:b/>
          <w:bCs/>
          <w:sz w:val="21"/>
          <w:szCs w:val="21"/>
        </w:rPr>
        <w:t>谈判单位代表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6.1谈判单位代表为谈判单位法定代表人的：应提供法定代表人身份证明书</w:t>
      </w:r>
      <w:r>
        <w:rPr>
          <w:rFonts w:hint="eastAsia" w:ascii="宋体" w:hAnsi="宋体" w:eastAsia="宋体" w:cs="宋体"/>
          <w:b/>
          <w:bCs/>
          <w:sz w:val="21"/>
          <w:szCs w:val="21"/>
        </w:rPr>
        <w:t>（见</w:t>
      </w:r>
      <w:r>
        <w:rPr>
          <w:rFonts w:hint="eastAsia" w:ascii="宋体" w:hAnsi="宋体" w:eastAsia="宋体" w:cs="宋体"/>
          <w:b/>
          <w:bCs/>
          <w:iCs/>
          <w:strike w:val="0"/>
          <w:dstrike w:val="0"/>
          <w:sz w:val="21"/>
          <w:szCs w:val="21"/>
        </w:rPr>
        <w:t>第</w:t>
      </w:r>
      <w:r>
        <w:rPr>
          <w:rFonts w:hint="eastAsia" w:hAnsi="宋体" w:cs="宋体"/>
          <w:b/>
          <w:bCs/>
          <w:iCs/>
          <w:strike w:val="0"/>
          <w:dstrike w:val="0"/>
          <w:sz w:val="21"/>
          <w:szCs w:val="21"/>
          <w:lang w:eastAsia="zh-CN"/>
        </w:rPr>
        <w:t>七</w:t>
      </w:r>
      <w:r>
        <w:rPr>
          <w:rFonts w:hint="eastAsia" w:ascii="宋体" w:hAnsi="宋体" w:eastAsia="宋体" w:cs="宋体"/>
          <w:b/>
          <w:bCs/>
          <w:iCs/>
          <w:strike w:val="0"/>
          <w:dstrike w:val="0"/>
          <w:sz w:val="21"/>
          <w:szCs w:val="21"/>
        </w:rPr>
        <w:t>章</w:t>
      </w:r>
      <w:r>
        <w:rPr>
          <w:rFonts w:hint="eastAsia" w:ascii="宋体" w:hAnsi="宋体" w:eastAsia="宋体" w:cs="宋体"/>
          <w:b/>
          <w:bCs/>
          <w:strike w:val="0"/>
          <w:sz w:val="21"/>
          <w:szCs w:val="21"/>
        </w:rPr>
        <w:t>响应文件格式</w:t>
      </w:r>
      <w:r>
        <w:rPr>
          <w:rFonts w:hint="eastAsia" w:ascii="宋体" w:hAnsi="宋体" w:eastAsia="宋体" w:cs="宋体"/>
          <w:b/>
          <w:bCs/>
          <w:sz w:val="21"/>
          <w:szCs w:val="21"/>
        </w:rPr>
        <w:t>）</w:t>
      </w:r>
      <w:r>
        <w:rPr>
          <w:rFonts w:hint="eastAsia" w:ascii="宋体" w:hAnsi="宋体" w:eastAsia="宋体" w:cs="宋体"/>
          <w:sz w:val="21"/>
          <w:szCs w:val="21"/>
        </w:rPr>
        <w:t>原件及本人身份证原件。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trike/>
          <w:sz w:val="21"/>
          <w:szCs w:val="21"/>
        </w:rPr>
      </w:pPr>
      <w:r>
        <w:rPr>
          <w:rFonts w:hint="eastAsia" w:ascii="宋体" w:hAnsi="宋体" w:eastAsia="宋体" w:cs="宋体"/>
          <w:sz w:val="21"/>
          <w:szCs w:val="21"/>
        </w:rPr>
        <w:t>6.2谈判单位代表不是谈判单位法定代表人的：应提供授权委托书</w:t>
      </w:r>
      <w:r>
        <w:rPr>
          <w:rFonts w:hint="eastAsia" w:ascii="宋体" w:hAnsi="宋体" w:eastAsia="宋体" w:cs="宋体"/>
          <w:b/>
          <w:bCs/>
          <w:sz w:val="21"/>
          <w:szCs w:val="21"/>
        </w:rPr>
        <w:t>（见</w:t>
      </w:r>
      <w:r>
        <w:rPr>
          <w:rFonts w:hint="eastAsia" w:ascii="宋体" w:hAnsi="宋体" w:eastAsia="宋体" w:cs="宋体"/>
          <w:b/>
          <w:bCs/>
          <w:iCs/>
          <w:strike w:val="0"/>
          <w:dstrike w:val="0"/>
          <w:sz w:val="21"/>
          <w:szCs w:val="21"/>
        </w:rPr>
        <w:t>第</w:t>
      </w:r>
      <w:r>
        <w:rPr>
          <w:rFonts w:hint="eastAsia" w:hAnsi="宋体" w:cs="宋体"/>
          <w:b/>
          <w:bCs/>
          <w:iCs/>
          <w:strike w:val="0"/>
          <w:dstrike w:val="0"/>
          <w:sz w:val="21"/>
          <w:szCs w:val="21"/>
          <w:lang w:eastAsia="zh-CN"/>
        </w:rPr>
        <w:t>七</w:t>
      </w:r>
      <w:r>
        <w:rPr>
          <w:rFonts w:hint="eastAsia" w:ascii="宋体" w:hAnsi="宋体" w:eastAsia="宋体" w:cs="宋体"/>
          <w:b/>
          <w:bCs/>
          <w:iCs/>
          <w:strike w:val="0"/>
          <w:dstrike w:val="0"/>
          <w:sz w:val="21"/>
          <w:szCs w:val="21"/>
        </w:rPr>
        <w:t>章</w:t>
      </w:r>
      <w:r>
        <w:rPr>
          <w:rFonts w:hint="eastAsia" w:ascii="宋体" w:hAnsi="宋体" w:eastAsia="宋体" w:cs="宋体"/>
          <w:b/>
          <w:bCs/>
          <w:sz w:val="21"/>
          <w:szCs w:val="21"/>
        </w:rPr>
        <w:t>响应文件格式）</w:t>
      </w:r>
      <w:r>
        <w:rPr>
          <w:rFonts w:hint="eastAsia" w:ascii="宋体" w:hAnsi="宋体" w:eastAsia="宋体" w:cs="宋体"/>
          <w:sz w:val="21"/>
          <w:szCs w:val="21"/>
        </w:rPr>
        <w:t>原件及本人身份证原件。</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2" w:name="_Toc14891069"/>
      <w:bookmarkStart w:id="23" w:name="_Toc10190"/>
      <w:r>
        <w:rPr>
          <w:rFonts w:hint="eastAsia" w:ascii="宋体" w:hAnsi="宋体" w:eastAsia="宋体" w:cs="宋体"/>
          <w:sz w:val="21"/>
          <w:szCs w:val="21"/>
        </w:rPr>
        <w:t>二、谈判文件</w:t>
      </w:r>
      <w:bookmarkEnd w:id="22"/>
      <w:bookmarkEnd w:id="23"/>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7．谈判文件的组成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7.1谈判文件由下列文件组成：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第一章 谈判邀请公告</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第二章 谈判须知</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第三章 评审办法及标准</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第四章 用户需求书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第五章 控制价</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hAnsi="宋体" w:cs="宋体"/>
          <w:sz w:val="21"/>
          <w:szCs w:val="21"/>
          <w:lang w:eastAsia="zh-CN"/>
        </w:rPr>
        <w:t>第六章</w:t>
      </w:r>
      <w:r>
        <w:rPr>
          <w:rFonts w:hint="eastAsia" w:hAnsi="宋体" w:cs="宋体"/>
          <w:sz w:val="21"/>
          <w:szCs w:val="21"/>
          <w:lang w:val="en-US" w:eastAsia="zh-CN"/>
        </w:rPr>
        <w:t xml:space="preserve"> </w:t>
      </w:r>
      <w:r>
        <w:rPr>
          <w:rFonts w:hint="eastAsia" w:ascii="宋体" w:hAnsi="宋体" w:eastAsia="宋体" w:cs="宋体"/>
          <w:sz w:val="21"/>
          <w:szCs w:val="21"/>
        </w:rPr>
        <w:t>合同格式条款</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w:t>
      </w:r>
      <w:r>
        <w:rPr>
          <w:rFonts w:hint="eastAsia" w:hAnsi="宋体" w:cs="宋体"/>
          <w:sz w:val="21"/>
          <w:szCs w:val="21"/>
          <w:lang w:eastAsia="zh-CN"/>
        </w:rPr>
        <w:t>七</w:t>
      </w:r>
      <w:r>
        <w:rPr>
          <w:rFonts w:hint="eastAsia" w:ascii="宋体" w:hAnsi="宋体" w:eastAsia="宋体" w:cs="宋体"/>
          <w:sz w:val="21"/>
          <w:szCs w:val="21"/>
        </w:rPr>
        <w:t>章 响应文件组成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7.2</w:t>
      </w:r>
      <w:r>
        <w:rPr>
          <w:rFonts w:hint="eastAsia" w:ascii="宋体" w:hAnsi="宋体" w:eastAsia="宋体" w:cs="宋体"/>
          <w:kern w:val="0"/>
          <w:sz w:val="21"/>
          <w:szCs w:val="21"/>
        </w:rPr>
        <w:t>响应文件递交截止时间前对谈判文件澄清或者修改内容，均为谈判文件的组成部分。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7.3谈判单位应仔细阅读</w:t>
      </w:r>
      <w:r>
        <w:rPr>
          <w:rFonts w:hint="eastAsia" w:ascii="宋体" w:hAnsi="宋体" w:eastAsia="宋体" w:cs="宋体"/>
          <w:bCs/>
          <w:sz w:val="21"/>
          <w:szCs w:val="21"/>
        </w:rPr>
        <w:t>谈判</w:t>
      </w:r>
      <w:r>
        <w:rPr>
          <w:rFonts w:hint="eastAsia" w:ascii="宋体" w:hAnsi="宋体" w:eastAsia="宋体" w:cs="宋体"/>
          <w:sz w:val="21"/>
          <w:szCs w:val="21"/>
        </w:rPr>
        <w:t>文件的全部内容，按照</w:t>
      </w:r>
      <w:r>
        <w:rPr>
          <w:rFonts w:hint="eastAsia" w:ascii="宋体" w:hAnsi="宋体" w:eastAsia="宋体" w:cs="宋体"/>
          <w:bCs/>
          <w:sz w:val="21"/>
          <w:szCs w:val="21"/>
        </w:rPr>
        <w:t>谈判</w:t>
      </w:r>
      <w:r>
        <w:rPr>
          <w:rFonts w:hint="eastAsia" w:ascii="宋体" w:hAnsi="宋体" w:eastAsia="宋体" w:cs="宋体"/>
          <w:sz w:val="21"/>
          <w:szCs w:val="21"/>
        </w:rPr>
        <w:t>文件要求编制响应文件。任何对</w:t>
      </w:r>
      <w:r>
        <w:rPr>
          <w:rFonts w:hint="eastAsia" w:ascii="宋体" w:hAnsi="宋体" w:eastAsia="宋体" w:cs="宋体"/>
          <w:bCs/>
          <w:sz w:val="21"/>
          <w:szCs w:val="21"/>
        </w:rPr>
        <w:t>谈判</w:t>
      </w:r>
      <w:r>
        <w:rPr>
          <w:rFonts w:hint="eastAsia" w:ascii="宋体" w:hAnsi="宋体" w:eastAsia="宋体" w:cs="宋体"/>
          <w:sz w:val="21"/>
          <w:szCs w:val="21"/>
        </w:rPr>
        <w:t>文件的忽略或误解不能作为响应文件存在缺陷或瑕疵的理由，其风险由谈判单位承担。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bCs/>
          <w:sz w:val="21"/>
          <w:szCs w:val="21"/>
        </w:rPr>
        <w:t>8.</w:t>
      </w:r>
      <w:r>
        <w:rPr>
          <w:rFonts w:hint="eastAsia" w:ascii="宋体" w:hAnsi="宋体" w:eastAsia="宋体" w:cs="宋体"/>
          <w:b/>
          <w:kern w:val="0"/>
          <w:sz w:val="21"/>
          <w:szCs w:val="21"/>
        </w:rPr>
        <w:t>谈判文件的澄清及答疑</w:t>
      </w:r>
    </w:p>
    <w:p>
      <w:pPr>
        <w:keepNext w:val="0"/>
        <w:keepLines w:val="0"/>
        <w:pageBreakBefore w:val="0"/>
        <w:widowControl w:val="0"/>
        <w:kinsoku/>
        <w:wordWrap/>
        <w:overflowPunct/>
        <w:topLinePunct w:val="0"/>
        <w:autoSpaceDE/>
        <w:autoSpaceDN/>
        <w:bidi w:val="0"/>
        <w:spacing w:line="360" w:lineRule="auto"/>
        <w:ind w:right="0" w:rightChars="0" w:firstLine="420" w:firstLineChars="200"/>
        <w:jc w:val="both"/>
        <w:textAlignment w:val="auto"/>
        <w:rPr>
          <w:rFonts w:hint="eastAsia" w:ascii="宋体" w:hAnsi="宋体" w:eastAsia="宋体" w:cs="宋体"/>
          <w:iCs/>
          <w:sz w:val="21"/>
          <w:szCs w:val="21"/>
        </w:rPr>
      </w:pPr>
      <w:r>
        <w:rPr>
          <w:rFonts w:hint="eastAsia" w:ascii="宋体" w:hAnsi="宋体" w:eastAsia="宋体" w:cs="宋体"/>
          <w:iCs/>
          <w:sz w:val="21"/>
          <w:szCs w:val="21"/>
        </w:rPr>
        <w:t>8.1.谈判单位应仔细阅读和检查谈判文件的全部内容，如有疑问，</w:t>
      </w:r>
      <w:r>
        <w:rPr>
          <w:rFonts w:hint="eastAsia" w:ascii="宋体" w:hAnsi="宋体" w:eastAsia="宋体" w:cs="宋体"/>
          <w:sz w:val="21"/>
          <w:szCs w:val="21"/>
        </w:rPr>
        <w:t>应按</w:t>
      </w:r>
      <w:r>
        <w:rPr>
          <w:rFonts w:hint="eastAsia" w:ascii="宋体" w:hAnsi="宋体" w:eastAsia="宋体" w:cs="宋体"/>
          <w:b/>
          <w:bCs/>
          <w:sz w:val="21"/>
          <w:szCs w:val="21"/>
        </w:rPr>
        <w:t>前附表</w:t>
      </w:r>
      <w:r>
        <w:rPr>
          <w:rFonts w:hint="eastAsia" w:ascii="宋体" w:hAnsi="宋体" w:eastAsia="宋体" w:cs="宋体"/>
          <w:sz w:val="21"/>
          <w:szCs w:val="21"/>
        </w:rPr>
        <w:t>规定的时间、方式及地点</w:t>
      </w:r>
      <w:r>
        <w:rPr>
          <w:rFonts w:hint="eastAsia" w:ascii="宋体" w:hAnsi="宋体" w:eastAsia="宋体" w:cs="宋体"/>
          <w:iCs/>
          <w:sz w:val="21"/>
          <w:szCs w:val="21"/>
        </w:rPr>
        <w:t>向采购代理机构提出，</w:t>
      </w:r>
      <w:r>
        <w:rPr>
          <w:rFonts w:hint="eastAsia" w:ascii="宋体" w:hAnsi="宋体" w:eastAsia="宋体" w:cs="宋体"/>
          <w:sz w:val="21"/>
          <w:szCs w:val="21"/>
        </w:rPr>
        <w:t>否则，由此引起的损失由谈判单位自己承担。</w:t>
      </w:r>
    </w:p>
    <w:p>
      <w:pPr>
        <w:keepNext w:val="0"/>
        <w:keepLines w:val="0"/>
        <w:pageBreakBefore w:val="0"/>
        <w:widowControl w:val="0"/>
        <w:kinsoku/>
        <w:wordWrap/>
        <w:overflowPunct/>
        <w:topLinePunct w:val="0"/>
        <w:autoSpaceDE/>
        <w:autoSpaceDN/>
        <w:bidi w:val="0"/>
        <w:spacing w:line="360" w:lineRule="auto"/>
        <w:ind w:right="0" w:rightChars="0" w:firstLine="420" w:firstLineChars="200"/>
        <w:jc w:val="both"/>
        <w:textAlignment w:val="auto"/>
        <w:rPr>
          <w:rFonts w:hint="eastAsia" w:ascii="宋体" w:hAnsi="宋体" w:eastAsia="宋体" w:cs="宋体"/>
          <w:iCs/>
          <w:sz w:val="21"/>
          <w:szCs w:val="21"/>
        </w:rPr>
      </w:pPr>
      <w:r>
        <w:rPr>
          <w:rFonts w:hint="eastAsia" w:ascii="宋体" w:hAnsi="宋体" w:eastAsia="宋体" w:cs="宋体"/>
          <w:iCs/>
          <w:sz w:val="21"/>
          <w:szCs w:val="21"/>
        </w:rPr>
        <w:t>8.2.在谈判截止时间前，采购单位或采购代理机构可主动地或在解答谈判单位提出的问题时对谈判文件进行澄清或修改。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kern w:val="0"/>
          <w:sz w:val="21"/>
          <w:szCs w:val="21"/>
        </w:rPr>
      </w:pPr>
      <w:r>
        <w:rPr>
          <w:rFonts w:hint="eastAsia" w:ascii="宋体" w:hAnsi="宋体" w:eastAsia="宋体" w:cs="宋体"/>
          <w:sz w:val="21"/>
          <w:szCs w:val="21"/>
        </w:rPr>
        <w:t>8.3</w:t>
      </w:r>
      <w:r>
        <w:rPr>
          <w:rFonts w:hint="eastAsia" w:ascii="宋体" w:hAnsi="宋体" w:eastAsia="宋体" w:cs="宋体"/>
          <w:kern w:val="0"/>
          <w:sz w:val="21"/>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代理机构不负任何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9.</w:t>
      </w:r>
      <w:r>
        <w:rPr>
          <w:rFonts w:hint="eastAsia" w:ascii="宋体" w:hAnsi="宋体" w:eastAsia="宋体" w:cs="宋体"/>
          <w:b/>
          <w:kern w:val="0"/>
          <w:sz w:val="21"/>
          <w:szCs w:val="21"/>
        </w:rPr>
        <w:t>响应文件递交截止时间、谈判会议时间及地点</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9.1</w:t>
      </w:r>
      <w:r>
        <w:rPr>
          <w:rFonts w:hint="eastAsia" w:ascii="宋体" w:hAnsi="宋体" w:eastAsia="宋体" w:cs="宋体"/>
          <w:kern w:val="0"/>
          <w:sz w:val="21"/>
          <w:szCs w:val="21"/>
        </w:rPr>
        <w:t>谈判单位递交响应文件截止时间、谈判会议</w:t>
      </w:r>
      <w:r>
        <w:rPr>
          <w:rFonts w:hint="eastAsia" w:ascii="宋体" w:hAnsi="宋体" w:eastAsia="宋体" w:cs="宋体"/>
          <w:sz w:val="21"/>
          <w:szCs w:val="21"/>
        </w:rPr>
        <w:t>时间及地点见</w:t>
      </w:r>
      <w:r>
        <w:rPr>
          <w:rFonts w:hint="eastAsia" w:ascii="宋体" w:hAnsi="宋体" w:eastAsia="宋体" w:cs="宋体"/>
          <w:b/>
          <w:sz w:val="21"/>
          <w:szCs w:val="21"/>
        </w:rPr>
        <w:t>前附表</w:t>
      </w:r>
      <w:r>
        <w:rPr>
          <w:rFonts w:hint="eastAsia" w:ascii="宋体" w:hAnsi="宋体" w:eastAsia="宋体" w:cs="宋体"/>
          <w:sz w:val="21"/>
          <w:szCs w:val="21"/>
        </w:rPr>
        <w:t>。</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4" w:name="_Toc15974"/>
      <w:bookmarkStart w:id="25" w:name="_Toc14891070"/>
      <w:r>
        <w:rPr>
          <w:rFonts w:hint="eastAsia" w:ascii="宋体" w:hAnsi="宋体" w:eastAsia="宋体" w:cs="宋体"/>
          <w:sz w:val="21"/>
          <w:szCs w:val="21"/>
        </w:rPr>
        <w:t>三、响应文件</w:t>
      </w:r>
      <w:bookmarkEnd w:id="24"/>
      <w:bookmarkEnd w:id="25"/>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10.一般要求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10.1谈判单位应仔细阅读谈判文件的所有内容，按谈判文件的要求编制响应文件，并保证所提供的全部资料的真实性。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10.2</w:t>
      </w:r>
      <w:r>
        <w:rPr>
          <w:rFonts w:hint="eastAsia" w:ascii="宋体" w:hAnsi="宋体" w:eastAsia="宋体" w:cs="宋体"/>
          <w:sz w:val="21"/>
          <w:szCs w:val="21"/>
        </w:rPr>
        <w:t>谈判单位提交的响应文件、谈判单位与采购单位及采购代理机构的所有来往函电均使用中文。</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bCs/>
          <w:sz w:val="21"/>
          <w:szCs w:val="21"/>
        </w:rPr>
        <w:t>10.3</w:t>
      </w:r>
      <w:r>
        <w:rPr>
          <w:rFonts w:hint="eastAsia" w:ascii="宋体" w:hAnsi="宋体" w:eastAsia="宋体" w:cs="宋体"/>
          <w:sz w:val="21"/>
          <w:szCs w:val="21"/>
        </w:rPr>
        <w:t>计量单位应使用我国法定计量单位，未列明时应默认为我国法定计量单位。</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10.4响应文件应采用书面形式，电报、传真、电子邮件形式的响应文件概不接受。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10.5谈判单位提交的响应文件应按谈判文件中提供的响应文件格式编制。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11.</w:t>
      </w:r>
      <w:r>
        <w:rPr>
          <w:rFonts w:hint="eastAsia" w:ascii="宋体" w:hAnsi="宋体" w:eastAsia="宋体" w:cs="宋体"/>
          <w:b/>
          <w:sz w:val="21"/>
          <w:szCs w:val="21"/>
        </w:rPr>
        <w:t>响应文件</w:t>
      </w:r>
      <w:r>
        <w:rPr>
          <w:rFonts w:hint="eastAsia" w:ascii="宋体" w:hAnsi="宋体" w:eastAsia="宋体" w:cs="宋体"/>
          <w:b/>
          <w:bCs/>
          <w:sz w:val="21"/>
          <w:szCs w:val="21"/>
        </w:rPr>
        <w:t>的组成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11.1响应文件应包括下列内容：</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（1）谈判承诺书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（2）法定代表人身份证明书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（3）授权委托书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（4）谈判单位资格条件证明文件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（5）不拖欠农民工工资承诺书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（6）报价一览表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（7）报价汇总表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hAnsi="宋体" w:cs="宋体"/>
          <w:sz w:val="21"/>
          <w:szCs w:val="21"/>
          <w:lang w:eastAsia="zh-CN"/>
        </w:rPr>
        <w:t>（</w:t>
      </w:r>
      <w:r>
        <w:rPr>
          <w:rFonts w:hint="eastAsia" w:hAnsi="宋体" w:cs="宋体"/>
          <w:sz w:val="21"/>
          <w:szCs w:val="21"/>
          <w:lang w:val="en-US" w:eastAsia="zh-CN"/>
        </w:rPr>
        <w:t>8</w:t>
      </w:r>
      <w:r>
        <w:rPr>
          <w:rFonts w:hint="eastAsia" w:hAnsi="宋体" w:cs="宋体"/>
          <w:sz w:val="21"/>
          <w:szCs w:val="21"/>
          <w:lang w:eastAsia="zh-CN"/>
        </w:rPr>
        <w:t>）</w:t>
      </w:r>
      <w:r>
        <w:rPr>
          <w:rFonts w:hint="eastAsia" w:ascii="宋体" w:hAnsi="宋体" w:eastAsia="宋体" w:cs="宋体"/>
          <w:sz w:val="21"/>
          <w:szCs w:val="21"/>
        </w:rPr>
        <w:t>投标报价表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hAnsi="宋体" w:cs="宋体"/>
          <w:sz w:val="21"/>
          <w:szCs w:val="21"/>
          <w:lang w:val="en-US" w:eastAsia="zh-CN"/>
        </w:rPr>
        <w:t>9</w:t>
      </w:r>
      <w:r>
        <w:rPr>
          <w:rFonts w:hint="eastAsia" w:ascii="宋体" w:hAnsi="宋体" w:eastAsia="宋体" w:cs="宋体"/>
          <w:sz w:val="21"/>
          <w:szCs w:val="21"/>
        </w:rPr>
        <w:t>）其他资料（如有）</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11.2在谈判过程中，谈判单位根据</w:t>
      </w:r>
      <w:r>
        <w:rPr>
          <w:rFonts w:hint="eastAsia" w:ascii="宋体" w:hAnsi="宋体" w:eastAsia="宋体" w:cs="宋体"/>
          <w:kern w:val="0"/>
          <w:sz w:val="21"/>
          <w:szCs w:val="21"/>
        </w:rPr>
        <w:t>谈判评审小组</w:t>
      </w:r>
      <w:r>
        <w:rPr>
          <w:rFonts w:hint="eastAsia" w:ascii="宋体" w:hAnsi="宋体" w:eastAsia="宋体" w:cs="宋体"/>
          <w:bCs/>
          <w:sz w:val="21"/>
          <w:szCs w:val="21"/>
        </w:rPr>
        <w:t>要求</w:t>
      </w:r>
      <w:r>
        <w:rPr>
          <w:rFonts w:hint="eastAsia" w:ascii="宋体" w:hAnsi="宋体" w:eastAsia="宋体" w:cs="宋体"/>
          <w:kern w:val="0"/>
          <w:sz w:val="21"/>
          <w:szCs w:val="21"/>
        </w:rPr>
        <w:t>提交的</w:t>
      </w:r>
      <w:r>
        <w:rPr>
          <w:rFonts w:hint="eastAsia" w:ascii="宋体" w:hAnsi="宋体" w:eastAsia="宋体" w:cs="宋体"/>
          <w:sz w:val="21"/>
          <w:szCs w:val="21"/>
        </w:rPr>
        <w:t>书面承诺或其他文件是响应文件的有效组成部分。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11.3谈判单位无论成交与否，其递交的响应文件均不予退还。</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12.报价要求</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1 </w:t>
      </w:r>
      <w:r>
        <w:rPr>
          <w:rFonts w:hint="eastAsia" w:ascii="宋体" w:hAnsi="宋体"/>
          <w:szCs w:val="21"/>
        </w:rPr>
        <w:t>谈判单位的报价，应是完成谈判文件及合同条款上所列的全部谈判内容及工期，不得以任何理由予以重复，作为谈判单位计算单价或总价的依据。</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2 </w:t>
      </w:r>
      <w:r>
        <w:rPr>
          <w:rFonts w:hint="eastAsia" w:ascii="宋体" w:hAnsi="宋体"/>
          <w:szCs w:val="21"/>
        </w:rPr>
        <w:t>报价方式：除非采购单位对谈判文件予以修改，谈判单位应按采购单位提供的工程量清单中列出的工程项目和工程量填报单价和合价。每一项目只允许有一个报价。任何有选择的报价将不予接受。</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3 </w:t>
      </w:r>
      <w:r>
        <w:rPr>
          <w:rFonts w:hint="eastAsia" w:ascii="宋体" w:hAnsi="宋体"/>
          <w:szCs w:val="21"/>
        </w:rPr>
        <w:t>谈判单位应填写工程量清单中所述的所有项目的综合单价和合价，谈判单位没有填入综合单价或合价的项目，采购单位将不予支付，并认为此项目费用已包含在工程量清单的其它综合单价或合价之中。</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4 </w:t>
      </w:r>
      <w:r>
        <w:rPr>
          <w:rFonts w:hint="eastAsia" w:ascii="宋体" w:hAnsi="宋体"/>
          <w:szCs w:val="21"/>
        </w:rPr>
        <w:t>计价方式：谈判单位应遵守湘建价</w:t>
      </w:r>
      <w:r>
        <w:rPr>
          <w:rFonts w:hint="eastAsia" w:ascii="宋体" w:hAnsi="宋体" w:eastAsia="宋体" w:cs="宋体"/>
          <w:szCs w:val="21"/>
        </w:rPr>
        <w:t>﹝</w:t>
      </w:r>
      <w:r>
        <w:rPr>
          <w:rFonts w:hint="eastAsia" w:ascii="宋体" w:hAnsi="宋体"/>
          <w:szCs w:val="21"/>
        </w:rPr>
        <w:t>2014</w:t>
      </w:r>
      <w:r>
        <w:rPr>
          <w:rFonts w:hint="eastAsia" w:ascii="宋体" w:hAnsi="宋体" w:eastAsia="宋体" w:cs="宋体"/>
          <w:szCs w:val="21"/>
        </w:rPr>
        <w:t>﹞</w:t>
      </w:r>
      <w:r>
        <w:rPr>
          <w:rFonts w:hint="eastAsia" w:ascii="宋体" w:hAnsi="宋体"/>
          <w:szCs w:val="21"/>
        </w:rPr>
        <w:t>113号</w:t>
      </w:r>
      <w:r>
        <w:rPr>
          <w:rFonts w:hint="eastAsia" w:ascii="宋体" w:hAnsi="宋体"/>
          <w:color w:val="auto"/>
          <w:szCs w:val="21"/>
          <w:lang w:eastAsia="zh-CN"/>
        </w:rPr>
        <w:t>、湘建价</w:t>
      </w:r>
      <w:r>
        <w:rPr>
          <w:rFonts w:hint="eastAsia" w:ascii="宋体" w:hAnsi="宋体" w:eastAsia="宋体" w:cs="宋体"/>
          <w:color w:val="auto"/>
          <w:szCs w:val="21"/>
        </w:rPr>
        <w:t>﹝</w:t>
      </w:r>
      <w:r>
        <w:rPr>
          <w:rFonts w:hint="eastAsia" w:ascii="宋体" w:hAnsi="宋体"/>
          <w:color w:val="auto"/>
          <w:szCs w:val="21"/>
          <w:lang w:eastAsia="zh-CN"/>
        </w:rPr>
        <w:t>2016</w:t>
      </w:r>
      <w:r>
        <w:rPr>
          <w:rFonts w:hint="eastAsia" w:ascii="宋体" w:hAnsi="宋体" w:eastAsia="宋体" w:cs="宋体"/>
          <w:color w:val="auto"/>
          <w:szCs w:val="21"/>
        </w:rPr>
        <w:t>﹞</w:t>
      </w:r>
      <w:r>
        <w:rPr>
          <w:rFonts w:hint="eastAsia" w:ascii="宋体" w:hAnsi="宋体"/>
          <w:color w:val="auto"/>
          <w:szCs w:val="21"/>
          <w:lang w:eastAsia="zh-CN"/>
        </w:rPr>
        <w:t>72号、湘建价〔2016〕160号</w:t>
      </w:r>
      <w:r>
        <w:rPr>
          <w:rFonts w:hint="eastAsia" w:ascii="宋体" w:hAnsi="宋体"/>
          <w:szCs w:val="21"/>
        </w:rPr>
        <w:t>文件的有关规定，定额执行2014年湖南省消耗量标准，取费相应执行湘建价</w:t>
      </w:r>
      <w:r>
        <w:rPr>
          <w:rFonts w:hint="eastAsia" w:ascii="宋体" w:hAnsi="宋体" w:eastAsia="宋体" w:cs="宋体"/>
          <w:szCs w:val="21"/>
        </w:rPr>
        <w:t>﹝</w:t>
      </w:r>
      <w:r>
        <w:rPr>
          <w:rFonts w:hint="eastAsia" w:ascii="宋体" w:hAnsi="宋体"/>
          <w:szCs w:val="21"/>
        </w:rPr>
        <w:t>2014</w:t>
      </w:r>
      <w:r>
        <w:rPr>
          <w:rFonts w:hint="eastAsia" w:ascii="宋体" w:hAnsi="宋体" w:eastAsia="宋体" w:cs="宋体"/>
          <w:szCs w:val="21"/>
        </w:rPr>
        <w:t>﹞</w:t>
      </w:r>
      <w:r>
        <w:rPr>
          <w:rFonts w:hint="eastAsia" w:ascii="宋体" w:hAnsi="宋体"/>
          <w:szCs w:val="21"/>
        </w:rPr>
        <w:t>113号、</w:t>
      </w:r>
      <w:r>
        <w:rPr>
          <w:rFonts w:hint="eastAsia" w:ascii="宋体" w:hAnsi="宋体"/>
          <w:color w:val="auto"/>
          <w:szCs w:val="21"/>
        </w:rPr>
        <w:t>湘建价建函</w:t>
      </w:r>
      <w:r>
        <w:rPr>
          <w:rFonts w:hint="eastAsia" w:ascii="宋体" w:hAnsi="宋体" w:eastAsia="宋体" w:cs="宋体"/>
          <w:szCs w:val="21"/>
        </w:rPr>
        <w:t>﹝</w:t>
      </w:r>
      <w:r>
        <w:rPr>
          <w:rFonts w:hint="eastAsia" w:ascii="宋体" w:hAnsi="宋体"/>
          <w:color w:val="auto"/>
          <w:szCs w:val="21"/>
        </w:rPr>
        <w:t>2014</w:t>
      </w:r>
      <w:r>
        <w:rPr>
          <w:rFonts w:hint="eastAsia" w:ascii="宋体" w:hAnsi="宋体" w:eastAsia="宋体" w:cs="宋体"/>
          <w:szCs w:val="21"/>
        </w:rPr>
        <w:t>﹞</w:t>
      </w:r>
      <w:r>
        <w:rPr>
          <w:rFonts w:hint="eastAsia" w:ascii="宋体" w:hAnsi="宋体"/>
          <w:color w:val="auto"/>
          <w:szCs w:val="21"/>
        </w:rPr>
        <w:t>38号、</w:t>
      </w:r>
      <w:r>
        <w:rPr>
          <w:rFonts w:hint="eastAsia" w:ascii="宋体" w:hAnsi="宋体"/>
          <w:szCs w:val="21"/>
        </w:rPr>
        <w:t>湘建价</w:t>
      </w:r>
      <w:r>
        <w:rPr>
          <w:rFonts w:hint="eastAsia" w:ascii="宋体" w:hAnsi="宋体" w:eastAsia="宋体" w:cs="宋体"/>
          <w:szCs w:val="21"/>
        </w:rPr>
        <w:t>﹝</w:t>
      </w:r>
      <w:r>
        <w:rPr>
          <w:rFonts w:hint="eastAsia" w:ascii="宋体" w:hAnsi="宋体"/>
          <w:szCs w:val="21"/>
        </w:rPr>
        <w:t>2016</w:t>
      </w:r>
      <w:r>
        <w:rPr>
          <w:rFonts w:hint="eastAsia" w:ascii="宋体" w:hAnsi="宋体" w:eastAsia="宋体" w:cs="宋体"/>
          <w:szCs w:val="21"/>
        </w:rPr>
        <w:t>﹞</w:t>
      </w:r>
      <w:r>
        <w:rPr>
          <w:rFonts w:hint="eastAsia" w:ascii="宋体" w:hAnsi="宋体"/>
          <w:szCs w:val="21"/>
        </w:rPr>
        <w:t>134号文等有关规定，在保证质量、工期的前提下，根据工程实际情况报出自己的报价，但报价不能低于其企业成本价。</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5 </w:t>
      </w:r>
      <w:r>
        <w:rPr>
          <w:rFonts w:hint="eastAsia" w:ascii="宋体" w:hAnsi="宋体"/>
          <w:szCs w:val="21"/>
        </w:rPr>
        <w:t>人工工资单价按</w:t>
      </w:r>
      <w:r>
        <w:rPr>
          <w:rFonts w:hint="eastAsia" w:ascii="宋体" w:hAnsi="宋体"/>
          <w:color w:val="auto"/>
          <w:szCs w:val="21"/>
        </w:rPr>
        <w:t>湘建价湘建价</w:t>
      </w:r>
      <w:r>
        <w:rPr>
          <w:rFonts w:hint="eastAsia" w:ascii="宋体" w:hAnsi="宋体" w:eastAsia="宋体" w:cs="宋体"/>
          <w:color w:val="auto"/>
          <w:szCs w:val="21"/>
        </w:rPr>
        <w:t>﹝</w:t>
      </w:r>
      <w:r>
        <w:rPr>
          <w:rFonts w:hint="eastAsia" w:ascii="宋体" w:hAnsi="宋体"/>
          <w:color w:val="auto"/>
          <w:szCs w:val="21"/>
        </w:rPr>
        <w:t>2019</w:t>
      </w:r>
      <w:r>
        <w:rPr>
          <w:rFonts w:hint="eastAsia" w:ascii="宋体" w:hAnsi="宋体" w:eastAsia="宋体" w:cs="宋体"/>
          <w:color w:val="auto"/>
          <w:szCs w:val="21"/>
        </w:rPr>
        <w:t>﹞</w:t>
      </w:r>
      <w:r>
        <w:rPr>
          <w:rFonts w:hint="eastAsia" w:ascii="宋体" w:hAnsi="宋体"/>
          <w:color w:val="auto"/>
          <w:szCs w:val="21"/>
        </w:rPr>
        <w:t>130号文</w:t>
      </w:r>
      <w:r>
        <w:rPr>
          <w:rFonts w:hint="eastAsia" w:ascii="宋体" w:hAnsi="宋体"/>
          <w:szCs w:val="21"/>
        </w:rPr>
        <w:t>执行。人工工资单价在施工期间若发生政策性调整，按相应文件的人工工资单价（综合工资单价）进行调差，人工调差执行投标报价优惠率并计税金。</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6 </w:t>
      </w:r>
      <w:r>
        <w:rPr>
          <w:rFonts w:hint="eastAsia" w:ascii="宋体" w:hAnsi="宋体"/>
          <w:szCs w:val="21"/>
        </w:rPr>
        <w:t>工程安全文明施工措施费用按湘建价</w:t>
      </w:r>
      <w:r>
        <w:rPr>
          <w:rFonts w:hint="eastAsia" w:ascii="宋体" w:hAnsi="宋体" w:eastAsia="宋体" w:cs="宋体"/>
          <w:color w:val="auto"/>
          <w:szCs w:val="21"/>
        </w:rPr>
        <w:t>﹝</w:t>
      </w:r>
      <w:r>
        <w:rPr>
          <w:rFonts w:hint="eastAsia" w:ascii="宋体" w:hAnsi="宋体"/>
          <w:color w:val="auto"/>
          <w:szCs w:val="21"/>
        </w:rPr>
        <w:t>2014</w:t>
      </w:r>
      <w:r>
        <w:rPr>
          <w:rFonts w:hint="eastAsia" w:ascii="宋体" w:hAnsi="宋体" w:eastAsia="宋体" w:cs="宋体"/>
          <w:color w:val="auto"/>
          <w:szCs w:val="21"/>
        </w:rPr>
        <w:t>﹞</w:t>
      </w:r>
      <w:r>
        <w:rPr>
          <w:rFonts w:hint="eastAsia" w:ascii="宋体" w:hAnsi="宋体"/>
          <w:szCs w:val="21"/>
        </w:rPr>
        <w:t>113号</w:t>
      </w:r>
      <w:r>
        <w:rPr>
          <w:rFonts w:hint="eastAsia" w:ascii="宋体" w:hAnsi="宋体"/>
          <w:szCs w:val="21"/>
          <w:lang w:eastAsia="zh-CN"/>
        </w:rPr>
        <w:t>、湘建建</w:t>
      </w:r>
      <w:r>
        <w:rPr>
          <w:rFonts w:hint="eastAsia" w:ascii="宋体" w:hAnsi="宋体" w:eastAsia="宋体" w:cs="宋体"/>
          <w:color w:val="auto"/>
          <w:szCs w:val="21"/>
        </w:rPr>
        <w:t>﹝</w:t>
      </w:r>
      <w:r>
        <w:rPr>
          <w:rFonts w:hint="eastAsia" w:ascii="宋体" w:hAnsi="宋体"/>
          <w:color w:val="auto"/>
          <w:szCs w:val="21"/>
          <w:lang w:eastAsia="zh-CN"/>
        </w:rPr>
        <w:t>2017</w:t>
      </w:r>
      <w:r>
        <w:rPr>
          <w:rFonts w:hint="eastAsia" w:ascii="宋体" w:hAnsi="宋体" w:eastAsia="宋体" w:cs="宋体"/>
          <w:color w:val="auto"/>
          <w:szCs w:val="21"/>
        </w:rPr>
        <w:t>﹞</w:t>
      </w:r>
      <w:r>
        <w:rPr>
          <w:rFonts w:hint="eastAsia" w:ascii="宋体" w:hAnsi="宋体"/>
          <w:szCs w:val="21"/>
          <w:lang w:eastAsia="zh-CN"/>
        </w:rPr>
        <w:t>145号</w:t>
      </w:r>
      <w:r>
        <w:rPr>
          <w:rFonts w:hint="eastAsia" w:ascii="宋体" w:hAnsi="宋体"/>
          <w:szCs w:val="21"/>
        </w:rPr>
        <w:t>、长住建发</w:t>
      </w:r>
      <w:r>
        <w:rPr>
          <w:rFonts w:hint="eastAsia" w:ascii="宋体" w:hAnsi="宋体" w:eastAsia="宋体" w:cs="宋体"/>
          <w:color w:val="auto"/>
          <w:szCs w:val="21"/>
        </w:rPr>
        <w:t>﹝</w:t>
      </w:r>
      <w:r>
        <w:rPr>
          <w:rFonts w:hint="eastAsia" w:ascii="宋体" w:hAnsi="宋体"/>
          <w:szCs w:val="21"/>
        </w:rPr>
        <w:t>2018</w:t>
      </w:r>
      <w:r>
        <w:rPr>
          <w:rFonts w:hint="eastAsia" w:ascii="宋体" w:hAnsi="宋体" w:eastAsia="宋体" w:cs="宋体"/>
          <w:color w:val="auto"/>
          <w:szCs w:val="21"/>
        </w:rPr>
        <w:t>﹞</w:t>
      </w:r>
      <w:r>
        <w:rPr>
          <w:rFonts w:hint="eastAsia" w:ascii="宋体" w:hAnsi="宋体"/>
          <w:szCs w:val="21"/>
        </w:rPr>
        <w:t>104号等文件的要求，谈判单位应在投标文件对安全文明费单独列项，单独报价，不得低于文件规定的费率标准。</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7 </w:t>
      </w:r>
      <w:r>
        <w:rPr>
          <w:rFonts w:hint="eastAsia" w:ascii="宋体" w:hAnsi="宋体"/>
          <w:szCs w:val="21"/>
        </w:rPr>
        <w:t>规费、税金必须严格按标准执行，不得折扣、优惠；</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8 </w:t>
      </w:r>
      <w:r>
        <w:rPr>
          <w:rFonts w:hint="eastAsia" w:ascii="宋体" w:hAnsi="宋体"/>
          <w:szCs w:val="21"/>
        </w:rPr>
        <w:t>材料价格调整问题:见合同条款。</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9 </w:t>
      </w:r>
      <w:r>
        <w:rPr>
          <w:rFonts w:hint="eastAsia" w:ascii="宋体" w:hAnsi="宋体"/>
          <w:szCs w:val="21"/>
        </w:rPr>
        <w:t>工程量的变更调整：见合同条款。</w:t>
      </w:r>
    </w:p>
    <w:p>
      <w:pPr>
        <w:adjustRightInd w:val="0"/>
        <w:snapToGrid w:val="0"/>
        <w:spacing w:line="360" w:lineRule="auto"/>
        <w:ind w:firstLine="420" w:firstLineChars="200"/>
        <w:rPr>
          <w:rFonts w:hint="eastAsia" w:ascii="宋体" w:hAnsi="宋体"/>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0 </w:t>
      </w:r>
      <w:r>
        <w:rPr>
          <w:rFonts w:hint="eastAsia" w:ascii="宋体" w:hAnsi="宋体"/>
          <w:szCs w:val="21"/>
        </w:rPr>
        <w:t>本项目设置谈判控制价，谈判单位所报总价不能超过谈判控制价，不超过谈判控制价的报价为有效报价。本项目谈判控制价</w:t>
      </w:r>
      <w:r>
        <w:rPr>
          <w:rFonts w:hint="eastAsia" w:ascii="宋体" w:hAnsi="宋体"/>
        </w:rPr>
        <w:t>见</w:t>
      </w:r>
      <w:r>
        <w:rPr>
          <w:rFonts w:hint="eastAsia" w:ascii="宋体" w:hAnsi="宋体"/>
          <w:b/>
        </w:rPr>
        <w:t>前附表</w:t>
      </w:r>
      <w:r>
        <w:rPr>
          <w:rFonts w:hint="eastAsia" w:ascii="宋体" w:hAnsi="宋体"/>
        </w:rPr>
        <w:t>。</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1 </w:t>
      </w:r>
      <w:r>
        <w:rPr>
          <w:rFonts w:hint="eastAsia" w:ascii="宋体" w:hAnsi="宋体"/>
          <w:szCs w:val="21"/>
        </w:rPr>
        <w:t>不可计量措施项目，合同履行期间包干使用，谈判单位对不可计量措施项目可逐项自主报价，但各“项”报价总和不能超过采购单位公示的相对应的总价。谈判单位认为不发生费用的措施项目清单报价必须填“0”，且谈判单位不得对公示的措施项目清单进行任何修改。</w:t>
      </w:r>
    </w:p>
    <w:p>
      <w:pPr>
        <w:adjustRightInd w:val="0"/>
        <w:snapToGrid w:val="0"/>
        <w:spacing w:line="360" w:lineRule="auto"/>
        <w:ind w:firstLine="411" w:firstLineChars="196"/>
        <w:rPr>
          <w:rFonts w:hint="eastAsia" w:ascii="宋体" w:hAnsi="宋体"/>
          <w:b/>
          <w:bCs/>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2 </w:t>
      </w:r>
      <w:r>
        <w:rPr>
          <w:rFonts w:hint="eastAsia" w:ascii="宋体" w:hAnsi="宋体"/>
          <w:szCs w:val="21"/>
        </w:rPr>
        <w:t>谈判单位投标前请进行必要的现场踏勘，了解项目实际情况，产生的费用自行承担。</w:t>
      </w:r>
    </w:p>
    <w:p>
      <w:pPr>
        <w:adjustRightInd w:val="0"/>
        <w:snapToGrid w:val="0"/>
        <w:spacing w:line="360" w:lineRule="auto"/>
        <w:ind w:firstLine="420" w:firstLineChars="200"/>
        <w:rPr>
          <w:rFonts w:hint="eastAsia" w:ascii="宋体" w:hAnsi="宋体"/>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3 </w:t>
      </w:r>
      <w:r>
        <w:rPr>
          <w:rFonts w:hint="eastAsia" w:ascii="宋体" w:hAnsi="宋体"/>
          <w:szCs w:val="21"/>
        </w:rPr>
        <w:t>谈判单位应按谈判文件规定的要求、责任范围和合同条件，以</w:t>
      </w:r>
      <w:r>
        <w:rPr>
          <w:rFonts w:hint="eastAsia" w:ascii="宋体" w:hAnsi="宋体"/>
          <w:bCs/>
          <w:szCs w:val="21"/>
        </w:rPr>
        <w:t>人民币</w:t>
      </w:r>
      <w:r>
        <w:rPr>
          <w:rFonts w:hint="eastAsia" w:ascii="宋体" w:hAnsi="宋体"/>
          <w:szCs w:val="21"/>
        </w:rPr>
        <w:t>报价，以元为单位，保留小数点后两位。</w:t>
      </w:r>
    </w:p>
    <w:p>
      <w:pPr>
        <w:pStyle w:val="25"/>
        <w:adjustRightInd w:val="0"/>
        <w:snapToGrid w:val="0"/>
        <w:spacing w:line="360" w:lineRule="auto"/>
        <w:ind w:firstLine="420" w:firstLineChars="200"/>
        <w:rPr>
          <w:rFonts w:hint="eastAsia" w:hAnsi="宋体"/>
          <w:color w:val="auto"/>
        </w:rPr>
      </w:pPr>
      <w:r>
        <w:rPr>
          <w:rFonts w:hint="eastAsia" w:hAnsi="宋体"/>
          <w:color w:val="auto"/>
          <w:lang w:eastAsia="zh-CN"/>
        </w:rPr>
        <w:t>12</w:t>
      </w:r>
      <w:r>
        <w:rPr>
          <w:rFonts w:hint="eastAsia" w:hAnsi="宋体"/>
          <w:color w:val="auto"/>
        </w:rPr>
        <w:t>.1</w:t>
      </w:r>
      <w:r>
        <w:rPr>
          <w:rFonts w:hint="eastAsia" w:hAnsi="宋体"/>
          <w:color w:val="auto"/>
          <w:lang w:val="en-US" w:eastAsia="zh-CN"/>
        </w:rPr>
        <w:t xml:space="preserve">4 </w:t>
      </w:r>
      <w:r>
        <w:rPr>
          <w:rFonts w:hint="eastAsia" w:ascii="宋体" w:hAnsi="宋体" w:eastAsia="宋体" w:cs="宋体"/>
          <w:color w:val="auto"/>
          <w:sz w:val="21"/>
          <w:szCs w:val="21"/>
        </w:rPr>
        <w:t>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pPr>
        <w:pStyle w:val="25"/>
        <w:adjustRightInd w:val="0"/>
        <w:snapToGrid w:val="0"/>
        <w:spacing w:line="360" w:lineRule="auto"/>
        <w:ind w:firstLine="420" w:firstLineChars="200"/>
        <w:rPr>
          <w:rFonts w:hint="eastAsia" w:hAnsi="宋体"/>
        </w:rPr>
      </w:pPr>
      <w:r>
        <w:rPr>
          <w:rFonts w:hint="eastAsia" w:hAnsi="宋体"/>
          <w:lang w:eastAsia="zh-CN"/>
        </w:rPr>
        <w:t>12</w:t>
      </w:r>
      <w:r>
        <w:rPr>
          <w:rFonts w:hint="eastAsia" w:hAnsi="宋体"/>
        </w:rPr>
        <w:t>.1</w:t>
      </w:r>
      <w:r>
        <w:rPr>
          <w:rFonts w:hint="eastAsia" w:hAnsi="宋体"/>
          <w:lang w:val="en-US" w:eastAsia="zh-CN"/>
        </w:rPr>
        <w:t xml:space="preserve">5 </w:t>
      </w:r>
      <w:r>
        <w:rPr>
          <w:rFonts w:hint="eastAsia" w:hAnsi="宋体"/>
        </w:rPr>
        <w:t>谈判单位递交两份或多份内容不同的报价文件，或在一份报价文件中对同一项目报有两个或多个报价，且未声明哪一个有效的，将被认为是非实质响应而被拒绝。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FF0000"/>
          <w:sz w:val="21"/>
          <w:szCs w:val="21"/>
        </w:rPr>
      </w:pPr>
      <w:r>
        <w:rPr>
          <w:rFonts w:hint="eastAsia" w:ascii="宋体" w:hAnsi="宋体"/>
          <w:bCs/>
          <w:szCs w:val="21"/>
          <w:lang w:eastAsia="zh-CN"/>
        </w:rPr>
        <w:t>12</w:t>
      </w:r>
      <w:r>
        <w:rPr>
          <w:rFonts w:hint="eastAsia" w:ascii="宋体" w:hAnsi="宋体"/>
          <w:bCs/>
          <w:szCs w:val="21"/>
        </w:rPr>
        <w:t>.1</w:t>
      </w:r>
      <w:r>
        <w:rPr>
          <w:rFonts w:hint="eastAsia" w:ascii="宋体" w:hAnsi="宋体"/>
          <w:bCs/>
          <w:szCs w:val="21"/>
          <w:lang w:val="en-US" w:eastAsia="zh-CN"/>
        </w:rPr>
        <w:t xml:space="preserve">6 </w:t>
      </w:r>
      <w:r>
        <w:rPr>
          <w:rFonts w:hint="eastAsia" w:ascii="宋体" w:hAnsi="宋体"/>
          <w:bCs/>
          <w:szCs w:val="21"/>
        </w:rPr>
        <w:t>最低报价不能作为中选的保证。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rPr>
      </w:pPr>
      <w:r>
        <w:rPr>
          <w:rFonts w:hint="eastAsia" w:ascii="宋体" w:hAnsi="宋体" w:eastAsia="宋体" w:cs="宋体"/>
          <w:color w:val="auto"/>
          <w:kern w:val="2"/>
          <w:sz w:val="21"/>
          <w:szCs w:val="21"/>
          <w:lang w:val="en-US" w:eastAsia="zh-CN" w:bidi="ar-SA"/>
        </w:rPr>
        <w:t>12.</w:t>
      </w:r>
      <w:r>
        <w:rPr>
          <w:rFonts w:hint="eastAsia" w:ascii="宋体" w:hAnsi="宋体" w:cs="宋体"/>
          <w:color w:val="auto"/>
          <w:kern w:val="2"/>
          <w:sz w:val="21"/>
          <w:szCs w:val="21"/>
          <w:lang w:val="en-US" w:eastAsia="zh-CN" w:bidi="ar-SA"/>
        </w:rPr>
        <w:t xml:space="preserve">17 </w:t>
      </w:r>
      <w:r>
        <w:rPr>
          <w:rFonts w:hint="eastAsia" w:ascii="宋体" w:hAnsi="宋体" w:eastAsia="宋体" w:cs="宋体"/>
          <w:color w:val="auto"/>
          <w:kern w:val="2"/>
          <w:sz w:val="21"/>
          <w:szCs w:val="21"/>
          <w:lang w:val="en-US" w:eastAsia="zh-CN" w:bidi="ar-SA"/>
        </w:rPr>
        <w:t>本项目为单价合同</w:t>
      </w:r>
      <w:r>
        <w:rPr>
          <w:rFonts w:hint="eastAsia" w:ascii="宋体" w:hAnsi="宋体" w:eastAsia="宋体" w:cs="宋体"/>
          <w:color w:val="auto"/>
        </w:rPr>
        <w:t>，</w:t>
      </w:r>
      <w:r>
        <w:rPr>
          <w:rFonts w:hint="eastAsia" w:ascii="宋体" w:hAnsi="宋体" w:cs="宋体"/>
          <w:color w:val="auto"/>
          <w:highlight w:val="none"/>
          <w:lang w:val="en-US" w:eastAsia="zh-CN"/>
        </w:rPr>
        <w:t>合同单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最终结算价格不得超过签约合同价。</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13.响应文件有效期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13.1响应文件有效期见</w:t>
      </w:r>
      <w:r>
        <w:rPr>
          <w:rFonts w:hint="eastAsia" w:ascii="宋体" w:hAnsi="宋体" w:eastAsia="宋体" w:cs="宋体"/>
          <w:b/>
          <w:sz w:val="21"/>
          <w:szCs w:val="21"/>
        </w:rPr>
        <w:t>前附表</w:t>
      </w:r>
      <w:r>
        <w:rPr>
          <w:rFonts w:hint="eastAsia" w:ascii="宋体" w:hAnsi="宋体" w:eastAsia="宋体" w:cs="宋体"/>
          <w:sz w:val="21"/>
          <w:szCs w:val="21"/>
        </w:rPr>
        <w:t>，在此期间响应文件对谈判单位具有法律约束力，从</w:t>
      </w:r>
      <w:r>
        <w:rPr>
          <w:rFonts w:hint="eastAsia" w:ascii="宋体" w:hAnsi="宋体" w:eastAsia="宋体" w:cs="宋体"/>
          <w:b/>
          <w:sz w:val="21"/>
          <w:szCs w:val="21"/>
        </w:rPr>
        <w:t>前附表</w:t>
      </w:r>
      <w:r>
        <w:rPr>
          <w:rFonts w:hint="eastAsia" w:ascii="宋体" w:hAnsi="宋体" w:eastAsia="宋体" w:cs="宋体"/>
          <w:sz w:val="21"/>
          <w:szCs w:val="21"/>
        </w:rPr>
        <w:t>规定的</w:t>
      </w:r>
      <w:r>
        <w:rPr>
          <w:rFonts w:hint="eastAsia" w:ascii="宋体" w:hAnsi="宋体" w:eastAsia="宋体" w:cs="宋体"/>
          <w:kern w:val="0"/>
          <w:sz w:val="21"/>
          <w:szCs w:val="21"/>
        </w:rPr>
        <w:t>响应文件递交截止时间</w:t>
      </w:r>
      <w:r>
        <w:rPr>
          <w:rFonts w:hint="eastAsia" w:ascii="宋体" w:hAnsi="宋体" w:eastAsia="宋体" w:cs="宋体"/>
          <w:sz w:val="21"/>
          <w:szCs w:val="21"/>
        </w:rPr>
        <w:t>之日起计算。响应文件有效期不足的将被视为无效响应。</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14.响应文件的编制</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14.1响应文件应按</w:t>
      </w:r>
      <w:r>
        <w:rPr>
          <w:rFonts w:hint="eastAsia" w:ascii="宋体" w:hAnsi="宋体" w:eastAsia="宋体" w:cs="宋体"/>
          <w:b/>
          <w:bCs/>
          <w:strike w:val="0"/>
          <w:dstrike w:val="0"/>
          <w:sz w:val="21"/>
          <w:szCs w:val="21"/>
        </w:rPr>
        <w:t>第</w:t>
      </w:r>
      <w:r>
        <w:rPr>
          <w:rFonts w:hint="eastAsia" w:hAnsi="宋体" w:cs="宋体"/>
          <w:b/>
          <w:bCs/>
          <w:strike w:val="0"/>
          <w:dstrike w:val="0"/>
          <w:sz w:val="21"/>
          <w:szCs w:val="21"/>
          <w:lang w:eastAsia="zh-CN"/>
        </w:rPr>
        <w:t>七</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“响应文件格式”进行编写，如有必要，可以增加附页，作为响应文件的组成部分。</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14.2响应文件应用不褪色的材料书写或打印（建议双面打印），并按</w:t>
      </w:r>
      <w:r>
        <w:rPr>
          <w:rFonts w:hint="eastAsia" w:ascii="宋体" w:hAnsi="宋体" w:eastAsia="宋体" w:cs="宋体"/>
          <w:b/>
          <w:bCs/>
          <w:strike w:val="0"/>
          <w:dstrike w:val="0"/>
          <w:sz w:val="21"/>
          <w:szCs w:val="21"/>
        </w:rPr>
        <w:t>第</w:t>
      </w:r>
      <w:r>
        <w:rPr>
          <w:rFonts w:hint="eastAsia" w:hAnsi="宋体" w:cs="宋体"/>
          <w:b/>
          <w:bCs/>
          <w:strike w:val="0"/>
          <w:dstrike w:val="0"/>
          <w:sz w:val="21"/>
          <w:szCs w:val="21"/>
          <w:lang w:eastAsia="zh-CN"/>
        </w:rPr>
        <w:t>七</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ascii="宋体" w:hAnsi="宋体" w:eastAsia="宋体" w:cs="宋体"/>
          <w:b/>
          <w:bCs/>
          <w:strike w:val="0"/>
          <w:dstrike w:val="0"/>
          <w:sz w:val="21"/>
          <w:szCs w:val="21"/>
        </w:rPr>
        <w:t>第</w:t>
      </w:r>
      <w:r>
        <w:rPr>
          <w:rFonts w:hint="eastAsia" w:hAnsi="宋体" w:cs="宋体"/>
          <w:b/>
          <w:bCs/>
          <w:strike w:val="0"/>
          <w:dstrike w:val="0"/>
          <w:sz w:val="21"/>
          <w:szCs w:val="21"/>
          <w:lang w:eastAsia="zh-CN"/>
        </w:rPr>
        <w:t>七</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“响应文件格式”的要求。</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14.3响应文件应尽量避免涂改、行间插字或删除。如果出现上述情况，改动之处应由谈判单位的法定代表人或其授权的代理人签字或盖单位公章。</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14.4响应文件为一式三份，其中正本一份，副本两份，均须胶装成册；电子文件一份（U盘或光盘，应包含响应文件的所有内容，并标注谈判单位名称）。响应文件正本和副本的封面上应清楚地标记</w:t>
      </w:r>
      <w:r>
        <w:rPr>
          <w:rFonts w:hint="eastAsia" w:ascii="宋体" w:hAnsi="宋体" w:eastAsia="宋体" w:cs="宋体"/>
          <w:b/>
          <w:bCs/>
          <w:sz w:val="21"/>
          <w:szCs w:val="21"/>
        </w:rPr>
        <w:t>“正本”</w:t>
      </w:r>
      <w:r>
        <w:rPr>
          <w:rFonts w:hint="eastAsia" w:ascii="宋体" w:hAnsi="宋体" w:eastAsia="宋体" w:cs="宋体"/>
          <w:sz w:val="21"/>
          <w:szCs w:val="21"/>
        </w:rPr>
        <w:t>或</w:t>
      </w:r>
      <w:r>
        <w:rPr>
          <w:rFonts w:hint="eastAsia" w:ascii="宋体" w:hAnsi="宋体" w:eastAsia="宋体" w:cs="宋体"/>
          <w:b/>
          <w:bCs/>
          <w:sz w:val="21"/>
          <w:szCs w:val="21"/>
        </w:rPr>
        <w:t>“副本”</w:t>
      </w:r>
      <w:r>
        <w:rPr>
          <w:rFonts w:hint="eastAsia" w:ascii="宋体" w:hAnsi="宋体" w:eastAsia="宋体" w:cs="宋体"/>
          <w:sz w:val="21"/>
          <w:szCs w:val="21"/>
        </w:rPr>
        <w:t>的字样，若响应文件副本为正本的复印件，还需在谈判文件要求盖章处加盖单位公章。当正本和副本有差异时，以正本为准。</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6" w:name="_Toc14891071"/>
      <w:bookmarkStart w:id="27" w:name="_Toc28626"/>
      <w:r>
        <w:rPr>
          <w:rFonts w:hint="eastAsia" w:ascii="宋体" w:hAnsi="宋体" w:eastAsia="宋体" w:cs="宋体"/>
          <w:sz w:val="21"/>
          <w:szCs w:val="21"/>
        </w:rPr>
        <w:t>四、响应文件的递交</w:t>
      </w:r>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15.</w:t>
      </w:r>
      <w:r>
        <w:rPr>
          <w:rFonts w:hint="eastAsia" w:ascii="宋体" w:hAnsi="宋体" w:eastAsia="宋体" w:cs="宋体"/>
          <w:b/>
          <w:sz w:val="21"/>
          <w:szCs w:val="21"/>
        </w:rPr>
        <w:t>响应文件</w:t>
      </w:r>
      <w:r>
        <w:rPr>
          <w:rFonts w:hint="eastAsia" w:ascii="宋体" w:hAnsi="宋体" w:eastAsia="宋体" w:cs="宋体"/>
          <w:b/>
          <w:bCs/>
          <w:sz w:val="21"/>
          <w:szCs w:val="21"/>
        </w:rPr>
        <w:t>的密封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sz w:val="21"/>
          <w:szCs w:val="21"/>
        </w:rPr>
      </w:pPr>
      <w:r>
        <w:rPr>
          <w:rFonts w:hint="eastAsia" w:ascii="宋体" w:hAnsi="宋体" w:eastAsia="宋体" w:cs="宋体"/>
          <w:sz w:val="21"/>
          <w:szCs w:val="21"/>
        </w:rPr>
        <w:t>15.1谈判单位须将响应文件一正两副与电子文件一起密封包装。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16.响应文件的标记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sz w:val="21"/>
          <w:szCs w:val="21"/>
        </w:rPr>
      </w:pPr>
      <w:r>
        <w:rPr>
          <w:rFonts w:hint="eastAsia" w:ascii="宋体" w:hAnsi="宋体" w:eastAsia="宋体" w:cs="宋体"/>
          <w:sz w:val="21"/>
          <w:szCs w:val="21"/>
        </w:rPr>
        <w:t>16.1</w:t>
      </w:r>
      <w:r>
        <w:rPr>
          <w:rFonts w:hint="eastAsia" w:ascii="宋体" w:hAnsi="宋体" w:eastAsia="宋体" w:cs="宋体"/>
          <w:bCs/>
          <w:sz w:val="21"/>
          <w:szCs w:val="21"/>
        </w:rPr>
        <w:t>响应文件的密封封套上须写明如下内容</w:t>
      </w:r>
      <w:r>
        <w:rPr>
          <w:rFonts w:hint="eastAsia" w:ascii="宋体" w:hAnsi="宋体" w:eastAsia="宋体" w:cs="宋体"/>
          <w:b w:val="0"/>
          <w:bCs w:val="0"/>
          <w:sz w:val="21"/>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采购单位：</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项目名称：</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谈判单位：</w:t>
            </w:r>
            <w:r>
              <w:rPr>
                <w:rFonts w:hint="eastAsia" w:ascii="宋体" w:hAnsi="宋体" w:eastAsia="宋体" w:cs="宋体"/>
                <w:sz w:val="21"/>
                <w:szCs w:val="21"/>
                <w:u w:val="single"/>
              </w:rPr>
              <w:t>（填写单位名称并加盖单位公章）</w:t>
            </w:r>
          </w:p>
          <w:p>
            <w:pPr>
              <w:spacing w:line="360" w:lineRule="auto"/>
              <w:ind w:firstLine="840" w:firstLineChars="400"/>
              <w:rPr>
                <w:rFonts w:hint="eastAsia" w:ascii="宋体" w:hAnsi="宋体" w:eastAsia="宋体" w:cs="宋体"/>
                <w:sz w:val="21"/>
                <w:szCs w:val="21"/>
              </w:rPr>
            </w:pPr>
            <w:r>
              <w:rPr>
                <w:rFonts w:hint="eastAsia" w:ascii="宋体" w:hAnsi="宋体" w:eastAsia="宋体" w:cs="宋体"/>
                <w:bCs/>
                <w:sz w:val="21"/>
                <w:szCs w:val="21"/>
              </w:rPr>
              <w:t>年</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日</w:t>
            </w:r>
          </w:p>
        </w:tc>
      </w:tr>
    </w:tbl>
    <w:p>
      <w:pPr>
        <w:adjustRightInd w:val="0"/>
        <w:snapToGrid w:val="0"/>
        <w:spacing w:line="360" w:lineRule="auto"/>
        <w:ind w:firstLine="413" w:firstLineChars="196"/>
        <w:rPr>
          <w:rFonts w:hint="eastAsia" w:ascii="宋体" w:hAnsi="宋体" w:eastAsia="宋体" w:cs="宋体"/>
          <w:b/>
          <w:bCs/>
          <w:color w:val="FF000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17.响应文件的递交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sz w:val="21"/>
          <w:szCs w:val="21"/>
        </w:rPr>
        <w:t>17.1谈判单位应按要求在</w:t>
      </w:r>
      <w:r>
        <w:rPr>
          <w:rFonts w:hint="eastAsia" w:ascii="宋体" w:hAnsi="宋体" w:eastAsia="宋体" w:cs="宋体"/>
          <w:kern w:val="0"/>
          <w:sz w:val="21"/>
          <w:szCs w:val="21"/>
        </w:rPr>
        <w:t>响应文件递交截止时间</w:t>
      </w:r>
      <w:r>
        <w:rPr>
          <w:rFonts w:hint="eastAsia" w:ascii="宋体" w:hAnsi="宋体" w:eastAsia="宋体" w:cs="宋体"/>
          <w:sz w:val="21"/>
          <w:szCs w:val="21"/>
        </w:rPr>
        <w:t>前，将响应文件送达指定地点，响应文件递交截止时间、地点及要求见</w:t>
      </w:r>
      <w:r>
        <w:rPr>
          <w:rFonts w:hint="eastAsia" w:ascii="宋体" w:hAnsi="宋体" w:eastAsia="宋体" w:cs="宋体"/>
          <w:b/>
          <w:sz w:val="21"/>
          <w:szCs w:val="21"/>
        </w:rPr>
        <w:t>前附表</w:t>
      </w:r>
      <w:r>
        <w:rPr>
          <w:rFonts w:hint="eastAsia" w:ascii="宋体" w:hAnsi="宋体" w:eastAsia="宋体" w:cs="宋体"/>
          <w:sz w:val="21"/>
          <w:szCs w:val="21"/>
        </w:rPr>
        <w:t>。</w:t>
      </w:r>
      <w:r>
        <w:rPr>
          <w:rFonts w:hint="eastAsia" w:ascii="宋体" w:hAnsi="宋体" w:eastAsia="宋体" w:cs="宋体"/>
          <w:kern w:val="0"/>
          <w:sz w:val="21"/>
          <w:szCs w:val="21"/>
        </w:rPr>
        <w:t>在截止时间后送达的响应文件，采购单位应当拒收。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bCs/>
          <w:sz w:val="21"/>
          <w:szCs w:val="21"/>
        </w:rPr>
        <w:t>17.2采购单位在</w:t>
      </w:r>
      <w:r>
        <w:rPr>
          <w:rFonts w:hint="eastAsia" w:ascii="宋体" w:hAnsi="宋体" w:eastAsia="宋体" w:cs="宋体"/>
          <w:b/>
          <w:bCs/>
          <w:sz w:val="21"/>
          <w:szCs w:val="21"/>
        </w:rPr>
        <w:t>前附表</w:t>
      </w:r>
      <w:r>
        <w:rPr>
          <w:rFonts w:hint="eastAsia" w:ascii="宋体" w:hAnsi="宋体" w:eastAsia="宋体" w:cs="宋体"/>
          <w:bCs/>
          <w:sz w:val="21"/>
          <w:szCs w:val="21"/>
        </w:rPr>
        <w:t>规定的谈判时间和地点，组织谈判单位签到并接收谈判文件。</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8" w:name="_Toc14891072"/>
      <w:bookmarkStart w:id="29" w:name="_Toc28776"/>
      <w:r>
        <w:rPr>
          <w:rFonts w:hint="eastAsia" w:ascii="宋体" w:hAnsi="宋体" w:eastAsia="宋体" w:cs="宋体"/>
          <w:sz w:val="21"/>
          <w:szCs w:val="21"/>
        </w:rPr>
        <w:t>五、响应文件的评审</w:t>
      </w:r>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18.</w:t>
      </w:r>
      <w:r>
        <w:rPr>
          <w:rFonts w:hint="eastAsia" w:ascii="宋体" w:hAnsi="宋体" w:eastAsia="宋体" w:cs="宋体"/>
          <w:bCs/>
          <w:sz w:val="21"/>
          <w:szCs w:val="21"/>
        </w:rPr>
        <w:t>评审由谈判评审小组负责，谈判评审小组应按照本谈判文件第三章“评审办法及标准”的内容和程序对响应文件进行评审。</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30" w:name="_Toc14891073"/>
      <w:bookmarkStart w:id="31" w:name="_Toc4811"/>
      <w:r>
        <w:rPr>
          <w:rFonts w:hint="eastAsia" w:ascii="宋体" w:hAnsi="宋体" w:eastAsia="宋体" w:cs="宋体"/>
          <w:sz w:val="21"/>
          <w:szCs w:val="21"/>
        </w:rPr>
        <w:t>六、响应文件的澄清、说明及补正</w:t>
      </w:r>
      <w:bookmarkEnd w:id="30"/>
      <w:bookmarkEnd w:id="31"/>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19.澄清</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19.1谈判评审小组可就响应文件中含糊之处要求谈判单位进行解释或澄清要求，谈判单位必须按照要求派法定代表人或授权委托人进行答疑和澄清。</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20.说明及补正</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20.1必要时谈判评审小组可要求谈判单位就澄清的问题作书面回答或承诺，该书面回答或承诺应有谈判单位法定代表人或委托代理人的签字或盖章，并将作为响应文件的一部分。</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20.2谈判单位对响应文件的澄清不得改变谈判报价及实质内容。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kern w:val="0"/>
          <w:sz w:val="21"/>
          <w:szCs w:val="21"/>
        </w:rPr>
        <w:t>20.3与谈判文件有重大偏离的响应文件将被拒绝。重大偏离指谈判总报价、谈判有限期、服务期明显不能满足谈判文件的要求。这些偏离不允许在响应文件递交截止时间之后修正。</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32" w:name="_Toc14891074"/>
      <w:bookmarkStart w:id="33" w:name="_Toc22305"/>
      <w:r>
        <w:rPr>
          <w:rFonts w:hint="eastAsia" w:ascii="宋体" w:hAnsi="宋体" w:eastAsia="宋体" w:cs="宋体"/>
          <w:sz w:val="21"/>
          <w:szCs w:val="21"/>
        </w:rPr>
        <w:t>七、中选结果与授予合同</w:t>
      </w:r>
      <w:bookmarkEnd w:id="32"/>
      <w:bookmarkEnd w:id="3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21.中选信息的公布</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21.1中选单位确定后，采购单位应将结果信息在</w:t>
      </w:r>
      <w:r>
        <w:rPr>
          <w:rFonts w:hint="eastAsia" w:ascii="宋体" w:hAnsi="宋体" w:eastAsia="宋体" w:cs="宋体"/>
          <w:b/>
          <w:sz w:val="21"/>
          <w:szCs w:val="21"/>
        </w:rPr>
        <w:t>前附表</w:t>
      </w:r>
      <w:r>
        <w:rPr>
          <w:rFonts w:hint="eastAsia" w:ascii="宋体" w:hAnsi="宋体" w:eastAsia="宋体" w:cs="宋体"/>
          <w:sz w:val="21"/>
          <w:szCs w:val="21"/>
        </w:rPr>
        <w:t>指定的媒体上公布，</w:t>
      </w:r>
      <w:r>
        <w:rPr>
          <w:rFonts w:hint="eastAsia" w:ascii="宋体" w:hAnsi="宋体" w:eastAsia="宋体" w:cs="宋体"/>
          <w:b/>
          <w:bCs/>
          <w:sz w:val="21"/>
          <w:szCs w:val="21"/>
        </w:rPr>
        <w:t>公示期限为3个工作日</w:t>
      </w:r>
      <w:r>
        <w:rPr>
          <w:rFonts w:hint="eastAsia" w:ascii="宋体" w:hAnsi="宋体" w:eastAsia="宋体" w:cs="宋体"/>
          <w:sz w:val="21"/>
          <w:szCs w:val="21"/>
        </w:rPr>
        <w:t>。</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22.评审结果异议</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kern w:val="0"/>
          <w:sz w:val="21"/>
          <w:szCs w:val="21"/>
        </w:rPr>
        <w:t>22.1谈判单位对评审结果有异议的，应当在结果公示期间提出。</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23.中选通知</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23.1中选单位确定后，采购单位将以书面形式向中选单位发出中选通知书。中选通知书对采购单位和中选单位具有同等法律效力。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24.签订合同</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24.1谈判文件、中选单位的响应文件及其补充的文件等均为签订合同的依据。</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24.2中选单位应当在中选通知书发出后及时与采购单位签订合同。</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24.3中选单位应当按照合同约定履行义务。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25.纪律和监督</w:t>
      </w:r>
    </w:p>
    <w:p>
      <w:pPr>
        <w:keepNext w:val="0"/>
        <w:keepLines w:val="0"/>
        <w:pageBreakBefore w:val="0"/>
        <w:widowControl w:val="0"/>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25.1对采购单位的纪律要求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采购单位不得泄露谈判活动中应当保密的情况和资料，不得与谈判单位串通损害国家利益、社会公共利益或者他人合法权益。</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25.2对谈判单位的纪律要求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25.3对</w:t>
      </w:r>
      <w:r>
        <w:rPr>
          <w:rFonts w:hint="eastAsia" w:ascii="宋体" w:hAnsi="宋体" w:eastAsia="宋体" w:cs="宋体"/>
          <w:b/>
          <w:sz w:val="21"/>
          <w:szCs w:val="21"/>
        </w:rPr>
        <w:t>谈判评审小组</w:t>
      </w:r>
      <w:r>
        <w:rPr>
          <w:rFonts w:hint="eastAsia" w:ascii="宋体" w:hAnsi="宋体" w:eastAsia="宋体" w:cs="宋体"/>
          <w:b/>
          <w:bCs/>
          <w:sz w:val="21"/>
          <w:szCs w:val="21"/>
        </w:rPr>
        <w:t>成员的纪律要求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4" w:name="page32"/>
      <w:bookmarkEnd w:id="34"/>
      <w:r>
        <w:rPr>
          <w:rFonts w:hint="eastAsia" w:ascii="宋体" w:hAnsi="宋体" w:eastAsia="宋体" w:cs="宋体"/>
          <w:sz w:val="21"/>
          <w:szCs w:val="21"/>
        </w:rPr>
        <w:t>三章“评审办法”没有规定的评审因素和标准进行评审。</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25.4对与评审活动有关的工作人员的纪律要求</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lang w:val="en-US" w:eastAsia="zh-CN"/>
        </w:rPr>
      </w:pPr>
      <w:bookmarkStart w:id="35" w:name="_Toc14891075"/>
      <w:bookmarkStart w:id="36" w:name="_Toc32718"/>
      <w:r>
        <w:rPr>
          <w:rFonts w:hint="eastAsia" w:ascii="宋体" w:hAnsi="宋体" w:eastAsia="宋体" w:cs="宋体"/>
          <w:sz w:val="21"/>
          <w:szCs w:val="21"/>
        </w:rPr>
        <w:t>八、其他</w:t>
      </w:r>
      <w:bookmarkEnd w:id="35"/>
      <w:bookmarkEnd w:id="36"/>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Ansi="宋体"/>
          <w:sz w:val="21"/>
          <w:szCs w:val="21"/>
        </w:rPr>
      </w:pPr>
      <w:r>
        <w:rPr>
          <w:rFonts w:hint="eastAsia" w:ascii="宋体" w:hAnsi="宋体" w:eastAsia="宋体" w:cs="宋体"/>
          <w:sz w:val="21"/>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pPr>
        <w:adjustRightInd w:val="0"/>
        <w:snapToGrid w:val="0"/>
        <w:spacing w:line="360" w:lineRule="auto"/>
        <w:ind w:left="964" w:hanging="964" w:hangingChars="300"/>
        <w:jc w:val="center"/>
        <w:rPr>
          <w:rFonts w:ascii="黑体" w:eastAsia="黑体"/>
          <w:b/>
          <w:sz w:val="32"/>
          <w:szCs w:val="32"/>
        </w:rPr>
        <w:sectPr>
          <w:pgSz w:w="11906" w:h="16838"/>
          <w:pgMar w:top="1440" w:right="1797" w:bottom="1440" w:left="1797" w:header="851" w:footer="851" w:gutter="0"/>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附件：采购代理服务费收费标准</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采购代理服务收费参照汇率表</w:t>
      </w:r>
    </w:p>
    <w:tbl>
      <w:tblPr>
        <w:tblStyle w:val="47"/>
        <w:tblpPr w:leftFromText="180" w:rightFromText="180" w:vertAnchor="text" w:horzAnchor="page" w:tblpX="1674" w:tblpY="236"/>
        <w:tblOverlap w:val="never"/>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1957"/>
        <w:gridCol w:w="23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sz w:val="21"/>
                <w:szCs w:val="21"/>
              </w:rPr>
            </w:pPr>
            <w:r>
              <w:rPr>
                <w:rFonts w:hint="eastAsia" w:ascii="宋体" w:hAnsi="宋体"/>
                <w:sz w:val="21"/>
                <w:szCs w:val="21"/>
              </w:rPr>
              <w:t>汇率</w:t>
            </w:r>
          </w:p>
          <w:p>
            <w:pPr>
              <w:adjustRightInd w:val="0"/>
              <w:snapToGrid w:val="0"/>
              <w:rPr>
                <w:rFonts w:ascii="宋体" w:hAnsi="宋体"/>
                <w:sz w:val="21"/>
                <w:szCs w:val="21"/>
              </w:rPr>
            </w:pPr>
            <w:r>
              <w:rPr>
                <w:rFonts w:hint="eastAsia" w:ascii="宋体" w:hAnsi="宋体"/>
                <w:sz w:val="21"/>
                <w:szCs w:val="21"/>
              </w:rPr>
              <w:t>中</w:t>
            </w:r>
            <w:r>
              <w:rPr>
                <w:rFonts w:ascii="宋体" w:hAnsi="宋体"/>
                <w:sz w:val="21"/>
                <w:szCs w:val="21"/>
              </w:rPr>
              <w:t>选金额</w:t>
            </w:r>
          </w:p>
        </w:tc>
        <w:tc>
          <w:tcPr>
            <w:tcW w:w="1957" w:type="dxa"/>
            <w:tcBorders>
              <w:top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货物</w:t>
            </w:r>
            <w:r>
              <w:rPr>
                <w:rFonts w:ascii="宋体" w:hAnsi="宋体"/>
                <w:sz w:val="21"/>
                <w:szCs w:val="21"/>
              </w:rPr>
              <w:t>采购</w:t>
            </w:r>
          </w:p>
        </w:tc>
        <w:tc>
          <w:tcPr>
            <w:tcW w:w="2325" w:type="dxa"/>
            <w:tcBorders>
              <w:top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服务</w:t>
            </w:r>
            <w:r>
              <w:rPr>
                <w:rFonts w:ascii="宋体" w:hAnsi="宋体"/>
                <w:sz w:val="21"/>
                <w:szCs w:val="21"/>
              </w:rPr>
              <w:t>采购</w:t>
            </w:r>
          </w:p>
        </w:tc>
        <w:tc>
          <w:tcPr>
            <w:tcW w:w="2100" w:type="dxa"/>
            <w:tcBorders>
              <w:top w:val="single" w:color="auto" w:sz="12" w:space="0"/>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工程</w:t>
            </w:r>
            <w:r>
              <w:rPr>
                <w:rFonts w:ascii="宋体" w:hAnsi="宋体"/>
                <w:sz w:val="21"/>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100万</w:t>
            </w:r>
            <w:r>
              <w:rPr>
                <w:rFonts w:ascii="宋体" w:hAnsi="宋体"/>
                <w:sz w:val="21"/>
                <w:szCs w:val="21"/>
              </w:rPr>
              <w:t>元以下</w:t>
            </w:r>
          </w:p>
        </w:tc>
        <w:tc>
          <w:tcPr>
            <w:tcW w:w="1957" w:type="dxa"/>
            <w:vAlign w:val="center"/>
          </w:tcPr>
          <w:p>
            <w:pPr>
              <w:adjustRightInd w:val="0"/>
              <w:snapToGrid w:val="0"/>
              <w:jc w:val="center"/>
              <w:rPr>
                <w:rFonts w:ascii="宋体" w:hAnsi="宋体"/>
                <w:sz w:val="21"/>
                <w:szCs w:val="21"/>
              </w:rPr>
            </w:pPr>
            <w:r>
              <w:rPr>
                <w:rFonts w:hint="eastAsia" w:ascii="宋体" w:hAnsi="宋体"/>
                <w:sz w:val="21"/>
                <w:szCs w:val="21"/>
              </w:rPr>
              <w:t>1.5%</w:t>
            </w:r>
          </w:p>
        </w:tc>
        <w:tc>
          <w:tcPr>
            <w:tcW w:w="2325" w:type="dxa"/>
            <w:vAlign w:val="center"/>
          </w:tcPr>
          <w:p>
            <w:pPr>
              <w:adjustRightInd w:val="0"/>
              <w:snapToGrid w:val="0"/>
              <w:jc w:val="center"/>
              <w:rPr>
                <w:rFonts w:ascii="宋体" w:hAnsi="宋体"/>
                <w:sz w:val="21"/>
                <w:szCs w:val="21"/>
              </w:rPr>
            </w:pPr>
            <w:r>
              <w:rPr>
                <w:rFonts w:hint="eastAsia" w:ascii="宋体" w:hAnsi="宋体"/>
                <w:sz w:val="21"/>
                <w:szCs w:val="21"/>
              </w:rPr>
              <w:t>1.5%</w:t>
            </w:r>
          </w:p>
        </w:tc>
        <w:tc>
          <w:tcPr>
            <w:tcW w:w="2100" w:type="dxa"/>
            <w:tcBorders>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w:t>
            </w:r>
            <w:r>
              <w:rPr>
                <w:rFonts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100～400万</w:t>
            </w:r>
            <w:r>
              <w:rPr>
                <w:rFonts w:ascii="宋体" w:hAnsi="宋体"/>
                <w:sz w:val="21"/>
                <w:szCs w:val="21"/>
              </w:rPr>
              <w:t>元</w:t>
            </w:r>
          </w:p>
        </w:tc>
        <w:tc>
          <w:tcPr>
            <w:tcW w:w="1957" w:type="dxa"/>
            <w:vAlign w:val="center"/>
          </w:tcPr>
          <w:p>
            <w:pPr>
              <w:adjustRightInd w:val="0"/>
              <w:snapToGrid w:val="0"/>
              <w:jc w:val="center"/>
              <w:rPr>
                <w:rFonts w:ascii="宋体" w:hAnsi="宋体"/>
                <w:sz w:val="21"/>
                <w:szCs w:val="21"/>
              </w:rPr>
            </w:pPr>
            <w:r>
              <w:rPr>
                <w:rFonts w:hint="eastAsia" w:ascii="宋体" w:hAnsi="宋体"/>
                <w:sz w:val="21"/>
                <w:szCs w:val="21"/>
              </w:rPr>
              <w:t>1.1%</w:t>
            </w:r>
          </w:p>
        </w:tc>
        <w:tc>
          <w:tcPr>
            <w:tcW w:w="2325" w:type="dxa"/>
            <w:vAlign w:val="center"/>
          </w:tcPr>
          <w:p>
            <w:pPr>
              <w:adjustRightInd w:val="0"/>
              <w:snapToGrid w:val="0"/>
              <w:jc w:val="center"/>
              <w:rPr>
                <w:rFonts w:ascii="宋体" w:hAnsi="宋体"/>
                <w:sz w:val="21"/>
                <w:szCs w:val="21"/>
              </w:rPr>
            </w:pPr>
            <w:r>
              <w:rPr>
                <w:rFonts w:hint="eastAsia" w:ascii="宋体" w:hAnsi="宋体"/>
                <w:sz w:val="21"/>
                <w:szCs w:val="21"/>
              </w:rPr>
              <w:t>0.8%</w:t>
            </w:r>
          </w:p>
        </w:tc>
        <w:tc>
          <w:tcPr>
            <w:tcW w:w="2100" w:type="dxa"/>
            <w:tcBorders>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sz w:val="21"/>
                <w:szCs w:val="21"/>
              </w:rPr>
            </w:pPr>
            <w:r>
              <w:rPr>
                <w:rFonts w:hint="eastAsia" w:ascii="宋体" w:hAnsi="宋体"/>
                <w:sz w:val="21"/>
                <w:szCs w:val="21"/>
              </w:rPr>
              <w:t>备注</w:t>
            </w:r>
          </w:p>
        </w:tc>
        <w:tc>
          <w:tcPr>
            <w:tcW w:w="6382"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sz w:val="21"/>
                <w:szCs w:val="21"/>
              </w:rPr>
            </w:pPr>
            <w:r>
              <w:rPr>
                <w:rFonts w:hint="eastAsia" w:ascii="宋体" w:hAnsi="宋体"/>
                <w:sz w:val="21"/>
                <w:szCs w:val="21"/>
              </w:rPr>
              <w:t>采购代理</w:t>
            </w:r>
            <w:r>
              <w:rPr>
                <w:rFonts w:ascii="宋体" w:hAnsi="宋体"/>
                <w:sz w:val="21"/>
                <w:szCs w:val="21"/>
              </w:rPr>
              <w:t>服务费的收费标准为：以中选价为基数，按《</w:t>
            </w:r>
            <w:r>
              <w:rPr>
                <w:rFonts w:hint="eastAsia" w:ascii="宋体" w:hAnsi="宋体"/>
                <w:sz w:val="21"/>
                <w:szCs w:val="21"/>
              </w:rPr>
              <w:t>采购</w:t>
            </w:r>
            <w:r>
              <w:rPr>
                <w:rFonts w:ascii="宋体" w:hAnsi="宋体"/>
                <w:sz w:val="21"/>
                <w:szCs w:val="21"/>
              </w:rPr>
              <w:t>代理服务收费参照汇率表》</w:t>
            </w:r>
            <w:r>
              <w:rPr>
                <w:rFonts w:hint="eastAsia" w:ascii="宋体" w:hAnsi="宋体"/>
                <w:sz w:val="21"/>
                <w:szCs w:val="21"/>
              </w:rPr>
              <w:t>进行</w:t>
            </w:r>
            <w:r>
              <w:rPr>
                <w:rFonts w:ascii="宋体" w:hAnsi="宋体"/>
                <w:sz w:val="21"/>
                <w:szCs w:val="21"/>
              </w:rPr>
              <w:t>计算后，向中选单位收取。服务</w:t>
            </w:r>
            <w:r>
              <w:rPr>
                <w:rFonts w:hint="eastAsia" w:ascii="宋体" w:hAnsi="宋体"/>
                <w:sz w:val="21"/>
                <w:szCs w:val="21"/>
              </w:rPr>
              <w:t>费</w:t>
            </w:r>
            <w:r>
              <w:rPr>
                <w:rFonts w:ascii="宋体" w:hAnsi="宋体"/>
                <w:sz w:val="21"/>
                <w:szCs w:val="21"/>
              </w:rPr>
              <w:t>超过</w:t>
            </w:r>
            <w:r>
              <w:rPr>
                <w:rFonts w:hint="eastAsia" w:ascii="宋体" w:hAnsi="宋体"/>
                <w:sz w:val="21"/>
                <w:szCs w:val="21"/>
              </w:rPr>
              <w:t>2万</w:t>
            </w:r>
            <w:r>
              <w:rPr>
                <w:rFonts w:ascii="宋体" w:hAnsi="宋体"/>
                <w:sz w:val="21"/>
                <w:szCs w:val="21"/>
              </w:rPr>
              <w:t>元的，按</w:t>
            </w:r>
            <w:r>
              <w:rPr>
                <w:rFonts w:hint="eastAsia" w:ascii="宋体" w:hAnsi="宋体"/>
                <w:sz w:val="21"/>
                <w:szCs w:val="21"/>
              </w:rPr>
              <w:t>2万</w:t>
            </w:r>
            <w:r>
              <w:rPr>
                <w:rFonts w:ascii="宋体" w:hAnsi="宋体"/>
                <w:sz w:val="21"/>
                <w:szCs w:val="21"/>
              </w:rPr>
              <w:t>元</w:t>
            </w:r>
            <w:r>
              <w:rPr>
                <w:rFonts w:hint="eastAsia" w:ascii="宋体" w:hAnsi="宋体"/>
                <w:sz w:val="21"/>
                <w:szCs w:val="21"/>
              </w:rPr>
              <w:t>计</w:t>
            </w:r>
            <w:r>
              <w:rPr>
                <w:rFonts w:ascii="宋体" w:hAnsi="宋体"/>
                <w:sz w:val="21"/>
                <w:szCs w:val="21"/>
              </w:rPr>
              <w:t>取，服务费低于</w:t>
            </w:r>
            <w:r>
              <w:rPr>
                <w:rFonts w:hint="eastAsia" w:ascii="宋体" w:hAnsi="宋体"/>
                <w:sz w:val="21"/>
                <w:szCs w:val="21"/>
              </w:rPr>
              <w:t>5000元</w:t>
            </w:r>
            <w:r>
              <w:rPr>
                <w:rFonts w:ascii="宋体" w:hAnsi="宋体"/>
                <w:sz w:val="21"/>
                <w:szCs w:val="21"/>
              </w:rPr>
              <w:t>的，按</w:t>
            </w:r>
            <w:r>
              <w:rPr>
                <w:rFonts w:hint="eastAsia" w:ascii="宋体" w:hAnsi="宋体"/>
                <w:sz w:val="21"/>
                <w:szCs w:val="21"/>
              </w:rPr>
              <w:t>5000元</w:t>
            </w:r>
            <w:r>
              <w:rPr>
                <w:rFonts w:ascii="宋体" w:hAnsi="宋体"/>
                <w:sz w:val="21"/>
                <w:szCs w:val="21"/>
              </w:rPr>
              <w:t>计取。</w:t>
            </w:r>
          </w:p>
        </w:tc>
      </w:tr>
    </w:tbl>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100万元×1.0%＝1万元</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（300-100）万元×0.7%＝1.4万元</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合计收费＝1+1.4＝2.4（万元）</w:t>
      </w:r>
    </w:p>
    <w:p>
      <w:pPr>
        <w:adjustRightInd w:val="0"/>
        <w:snapToGrid w:val="0"/>
        <w:spacing w:line="360" w:lineRule="auto"/>
        <w:ind w:firstLine="420" w:firstLineChars="200"/>
        <w:jc w:val="left"/>
        <w:rPr>
          <w:rFonts w:hint="eastAsia" w:ascii="宋体" w:hAnsi="宋体" w:eastAsia="宋体" w:cs="宋体"/>
          <w:b/>
          <w:sz w:val="21"/>
          <w:szCs w:val="21"/>
        </w:rPr>
        <w:sectPr>
          <w:footerReference r:id="rId5" w:type="default"/>
          <w:pgSz w:w="11906" w:h="16838"/>
          <w:pgMar w:top="1440" w:right="1797" w:bottom="1440" w:left="1797" w:header="851" w:footer="851" w:gutter="0"/>
          <w:pgNumType w:fmt="decimal"/>
          <w:cols w:space="720" w:num="1"/>
          <w:docGrid w:linePitch="312" w:charSpace="0"/>
        </w:sectPr>
      </w:pPr>
      <w:r>
        <w:rPr>
          <w:rFonts w:hint="eastAsia" w:ascii="宋体" w:hAnsi="宋体" w:eastAsia="宋体" w:cs="宋体"/>
          <w:sz w:val="21"/>
          <w:szCs w:val="21"/>
        </w:rPr>
        <w:t>本项目采购代理服务费为2万元</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sz w:val="32"/>
          <w:szCs w:val="32"/>
        </w:rPr>
      </w:pPr>
      <w:bookmarkStart w:id="37" w:name="_Toc5567"/>
      <w:bookmarkStart w:id="38" w:name="_Toc28427"/>
      <w:bookmarkStart w:id="39" w:name="_Toc31786"/>
      <w:bookmarkStart w:id="40" w:name="_Toc4275"/>
      <w:r>
        <w:rPr>
          <w:rFonts w:hint="eastAsia" w:ascii="宋体" w:hAnsi="宋体" w:eastAsia="宋体" w:cs="宋体"/>
          <w:bCs w:val="0"/>
          <w:sz w:val="32"/>
          <w:szCs w:val="32"/>
        </w:rPr>
        <w:t>第三章  评审办法及标准</w:t>
      </w:r>
      <w:bookmarkEnd w:id="37"/>
      <w:bookmarkEnd w:id="38"/>
      <w:bookmarkEnd w:id="39"/>
      <w:bookmarkEnd w:id="40"/>
    </w:p>
    <w:p>
      <w:pPr>
        <w:adjustRightInd w:val="0"/>
        <w:snapToGrid w:val="0"/>
        <w:spacing w:line="360" w:lineRule="auto"/>
        <w:ind w:left="723" w:hanging="632" w:hangingChars="300"/>
        <w:rPr>
          <w:rFonts w:hint="eastAsia" w:ascii="宋体" w:hAnsi="宋体" w:eastAsia="宋体" w:cs="宋体"/>
          <w:b/>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color w:val="auto"/>
          <w:sz w:val="21"/>
          <w:szCs w:val="21"/>
        </w:rPr>
      </w:pPr>
      <w:r>
        <w:rPr>
          <w:rFonts w:hint="eastAsia" w:ascii="宋体" w:hAnsi="宋体" w:eastAsia="宋体" w:cs="宋体"/>
          <w:b/>
          <w:sz w:val="21"/>
          <w:szCs w:val="21"/>
        </w:rPr>
        <w:t>一、评审办法</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1.本项目采用经符合性审查合格后的</w:t>
      </w:r>
      <w:r>
        <w:rPr>
          <w:rFonts w:hint="eastAsia" w:ascii="宋体" w:hAnsi="宋体" w:eastAsia="宋体" w:cs="宋体"/>
          <w:b/>
          <w:bCs/>
          <w:color w:val="auto"/>
          <w:sz w:val="21"/>
          <w:szCs w:val="21"/>
          <w:u w:val="single"/>
        </w:rPr>
        <w:t>最低价法</w:t>
      </w:r>
      <w:r>
        <w:rPr>
          <w:rFonts w:hint="eastAsia" w:ascii="宋体" w:hAnsi="宋体" w:eastAsia="宋体" w:cs="宋体"/>
          <w:b w:val="0"/>
          <w:bCs w:val="0"/>
          <w:color w:val="auto"/>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sz w:val="21"/>
          <w:szCs w:val="21"/>
        </w:rPr>
      </w:pPr>
      <w:r>
        <w:rPr>
          <w:rFonts w:hint="eastAsia" w:ascii="宋体" w:hAnsi="宋体" w:eastAsia="宋体" w:cs="宋体"/>
          <w:b/>
          <w:sz w:val="21"/>
          <w:szCs w:val="21"/>
        </w:rPr>
        <w:t>二、谈判程序</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2.采购单位在前附表内规定的谈判时间及地点组织谈判活动。谈判活动由采购单位、谈判单位代表参与。</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3．谈判程序分为：</w:t>
      </w:r>
      <w:r>
        <w:rPr>
          <w:rFonts w:hint="eastAsia" w:ascii="宋体" w:hAnsi="宋体" w:eastAsia="宋体" w:cs="宋体"/>
          <w:b/>
          <w:color w:val="auto"/>
          <w:sz w:val="21"/>
          <w:szCs w:val="21"/>
        </w:rPr>
        <w:t>谈判验证阶段及谈判评审阶段。</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三、谈判验证阶段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谈判验证阶段分为身份验证和唱价。</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4.身份验证阶段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4.1采购单位按本文件前附表内规定的响应文件的谈判现场验证要求，对参与谈判的单位代表身份进行验证。</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4.2参与谈判的代表身份经验证不合格的，视为无效响应，</w:t>
      </w:r>
      <w:r>
        <w:rPr>
          <w:rFonts w:hint="eastAsia" w:ascii="宋体" w:hAnsi="宋体" w:eastAsia="宋体" w:cs="宋体"/>
          <w:color w:val="auto"/>
          <w:sz w:val="21"/>
          <w:szCs w:val="21"/>
        </w:rPr>
        <w:t>不得进入下一阶段。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5.唱价阶段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5.1身份验证结束后，由采购单位当众拆封经身份验证合格的谈判单位的谈判响应文件，宣读响应文件中《报价一览表》内容，并记录在案。</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5.2谈判单位法定代表人或授权委托人、现场监委、记录人等有关人员在唱价记录表上签字确认，谈判单位对本阶段有异议的应当场提出，采购人当场作出答复，并记录在案，未提出的，视为无异议。</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四、谈判</w:t>
      </w:r>
      <w:r>
        <w:rPr>
          <w:rFonts w:hint="eastAsia" w:ascii="宋体" w:hAnsi="宋体" w:eastAsia="宋体" w:cs="宋体"/>
          <w:b/>
          <w:color w:val="auto"/>
          <w:sz w:val="21"/>
          <w:szCs w:val="21"/>
          <w:lang w:eastAsia="zh-CN"/>
        </w:rPr>
        <w:t>评审</w:t>
      </w:r>
      <w:r>
        <w:rPr>
          <w:rFonts w:hint="eastAsia" w:ascii="宋体" w:hAnsi="宋体" w:eastAsia="宋体" w:cs="宋体"/>
          <w:b/>
          <w:color w:val="auto"/>
          <w:sz w:val="21"/>
          <w:szCs w:val="21"/>
        </w:rPr>
        <w:t>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谈判评审阶段分为符合性审查、详细评审及推荐中选单位。</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6.符合性审查阶段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符合性审查分为对谈判单位资格的符合性审查及报价的符合性审查。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6.1资格的符合性审查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谈判评审</w:t>
      </w:r>
      <w:r>
        <w:rPr>
          <w:rFonts w:hint="eastAsia" w:ascii="宋体" w:hAnsi="宋体" w:eastAsia="宋体" w:cs="宋体"/>
          <w:bCs/>
          <w:color w:val="auto"/>
          <w:sz w:val="21"/>
          <w:szCs w:val="21"/>
        </w:rPr>
        <w:t>小组</w:t>
      </w:r>
      <w:r>
        <w:rPr>
          <w:rFonts w:hint="eastAsia" w:ascii="宋体" w:hAnsi="宋体" w:eastAsia="宋体" w:cs="宋体"/>
          <w:color w:val="auto"/>
          <w:sz w:val="21"/>
          <w:szCs w:val="21"/>
        </w:rPr>
        <w:t>根据本谈判文件</w:t>
      </w:r>
      <w:r>
        <w:rPr>
          <w:rFonts w:hint="eastAsia" w:ascii="宋体" w:hAnsi="宋体" w:eastAsia="宋体" w:cs="宋体"/>
          <w:b/>
          <w:color w:val="auto"/>
          <w:sz w:val="21"/>
          <w:szCs w:val="21"/>
        </w:rPr>
        <w:t>前附表</w:t>
      </w:r>
      <w:r>
        <w:rPr>
          <w:rFonts w:hint="eastAsia" w:ascii="宋体" w:hAnsi="宋体" w:eastAsia="宋体" w:cs="宋体"/>
          <w:color w:val="auto"/>
          <w:sz w:val="21"/>
          <w:szCs w:val="21"/>
        </w:rPr>
        <w:t>内规定的谈判单位资格要求，对谈判单位进行符合性审查，资格审查以谈判单位递交的原件资料为准。</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6.2报价的符合性审查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谈判评审小组根据谈判文件的规定，对报价文件的有效性、完整性等进行符合性审查。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6.3有下列情形之一的，为符合性审查不合格，视为无效响应，不进入下一阶段：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（1）未按照谈判文件规定要求签署盖章的；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（2）响应</w:t>
      </w:r>
      <w:r>
        <w:rPr>
          <w:rFonts w:hint="eastAsia" w:ascii="宋体" w:hAnsi="宋体" w:eastAsia="宋体" w:cs="宋体"/>
          <w:color w:val="auto"/>
          <w:kern w:val="0"/>
          <w:sz w:val="21"/>
          <w:szCs w:val="21"/>
        </w:rPr>
        <w:t>文件有效期不满足谈判文件规定的；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（3）不满足资格条件要求的；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（4）不满足用户需求书要求书的；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（5）超过谈判控制价的；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lang w:eastAsia="zh-CN"/>
        </w:rPr>
      </w:pPr>
      <w:r>
        <w:rPr>
          <w:rFonts w:hint="eastAsia" w:ascii="宋体" w:hAnsi="宋体" w:eastAsia="宋体" w:cs="宋体"/>
          <w:color w:val="auto"/>
          <w:sz w:val="21"/>
          <w:szCs w:val="21"/>
        </w:rPr>
        <w:t>（6）递交两份或多份内容不同的报价文件，或在一份报价文件中对同一项目报有两个或多个报价，且未声明哪一个有效的</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color w:val="auto"/>
          <w:sz w:val="21"/>
          <w:szCs w:val="21"/>
        </w:rPr>
        <w:t>7.</w:t>
      </w:r>
      <w:r>
        <w:rPr>
          <w:rFonts w:hint="eastAsia" w:ascii="宋体" w:hAnsi="宋体" w:eastAsia="宋体" w:cs="宋体"/>
          <w:b/>
          <w:bCs/>
          <w:color w:val="auto"/>
          <w:sz w:val="21"/>
          <w:szCs w:val="21"/>
        </w:rPr>
        <w:t>详细评审阶段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7.1谈判评审小组应按以下要求对经符合性审查合格的谈判单位进行详细评审：</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（1）</w:t>
      </w:r>
      <w:r>
        <w:rPr>
          <w:rFonts w:hint="eastAsia" w:ascii="宋体" w:hAnsi="宋体" w:eastAsia="宋体" w:cs="宋体"/>
          <w:color w:val="auto"/>
          <w:kern w:val="0"/>
          <w:sz w:val="21"/>
          <w:szCs w:val="21"/>
        </w:rPr>
        <w:t>以经谈判评审小组一致认定满足《竞争性谈判文件》要求且谈判总报价最低的报价为基准价，其得分为满分。</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kern w:val="0"/>
          <w:sz w:val="21"/>
          <w:szCs w:val="21"/>
        </w:rPr>
        <w:t>其他有效单位的得分统一按下列公式计算（保留2位小数，第3位四舍五入）：谈判单位得分=(基准价／谈判总报价)×100</w:t>
      </w:r>
    </w:p>
    <w:p>
      <w:pPr>
        <w:keepNext w:val="0"/>
        <w:keepLines w:val="0"/>
        <w:pageBreakBefore w:val="0"/>
        <w:kinsoku/>
        <w:wordWrap/>
        <w:overflowPunct/>
        <w:topLinePunct w:val="0"/>
        <w:autoSpaceDE/>
        <w:autoSpaceDN/>
        <w:bidi w:val="0"/>
        <w:adjustRightInd w:val="0"/>
        <w:snapToGrid w:val="0"/>
        <w:spacing w:line="360" w:lineRule="auto"/>
        <w:ind w:left="0" w:firstLine="413" w:firstLineChars="196"/>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8.推荐中选单位</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bCs/>
          <w:color w:val="auto"/>
          <w:sz w:val="21"/>
          <w:szCs w:val="21"/>
        </w:rPr>
        <w:t>8.1</w:t>
      </w:r>
      <w:r>
        <w:rPr>
          <w:rFonts w:hint="eastAsia" w:ascii="宋体" w:hAnsi="宋体" w:eastAsia="宋体" w:cs="宋体"/>
          <w:color w:val="auto"/>
          <w:kern w:val="0"/>
          <w:sz w:val="21"/>
          <w:szCs w:val="21"/>
        </w:rPr>
        <w:t>谈判评审小组应当在全部评审结束后，按照得分由高到低顺序推荐1名中选单位，并填写评审报告。</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8.2全部评审结束后，若出现报价得分相同的情形，则采用现场抽签方式确定中选单位。</w:t>
      </w:r>
    </w:p>
    <w:p>
      <w:pPr>
        <w:rPr>
          <w:rFonts w:ascii="宋体" w:hAnsi="宋体"/>
          <w:bCs/>
          <w:szCs w:val="21"/>
        </w:rPr>
        <w:sectPr>
          <w:pgSz w:w="11906" w:h="16838"/>
          <w:pgMar w:top="1440" w:right="1797" w:bottom="1440" w:left="1797" w:header="851" w:footer="851" w:gutter="0"/>
          <w:pgNumType w:fmt="decimal"/>
          <w:cols w:space="720" w:num="1"/>
          <w:docGrid w:linePitch="312" w:charSpace="0"/>
        </w:sectPr>
      </w:pPr>
      <w:r>
        <w:rPr>
          <w:rFonts w:hint="eastAsia" w:ascii="宋体" w:hAnsi="宋体" w:eastAsia="宋体" w:cs="宋体"/>
          <w:color w:val="auto"/>
          <w:kern w:val="0"/>
          <w:sz w:val="21"/>
          <w:szCs w:val="21"/>
        </w:rPr>
        <w:br w:type="page"/>
      </w:r>
    </w:p>
    <w:p>
      <w:pPr>
        <w:pStyle w:val="3"/>
        <w:keepNext w:val="0"/>
        <w:rPr>
          <w:rFonts w:hint="eastAsia" w:ascii="宋体" w:hAnsi="宋体" w:eastAsia="宋体" w:cs="宋体"/>
          <w:bCs w:val="0"/>
          <w:sz w:val="32"/>
          <w:szCs w:val="32"/>
        </w:rPr>
      </w:pPr>
      <w:bookmarkStart w:id="41" w:name="_Toc23442"/>
      <w:bookmarkStart w:id="42" w:name="_Toc17562"/>
      <w:bookmarkStart w:id="43" w:name="_Toc14891077"/>
      <w:bookmarkStart w:id="44" w:name="_Toc17997"/>
      <w:bookmarkStart w:id="45" w:name="_Toc23967"/>
      <w:r>
        <w:rPr>
          <w:rFonts w:hint="eastAsia" w:ascii="宋体" w:hAnsi="宋体" w:eastAsia="宋体" w:cs="宋体"/>
          <w:bCs w:val="0"/>
          <w:sz w:val="32"/>
          <w:szCs w:val="32"/>
        </w:rPr>
        <w:t>第四章  用户需求书</w:t>
      </w:r>
      <w:bookmarkEnd w:id="41"/>
      <w:bookmarkEnd w:id="42"/>
      <w:bookmarkEnd w:id="43"/>
      <w:bookmarkEnd w:id="44"/>
      <w:bookmarkEnd w:id="45"/>
    </w:p>
    <w:p>
      <w:pPr>
        <w:rPr>
          <w:rFonts w:hint="eastAsia"/>
          <w:lang w:eastAsia="zh-CN"/>
        </w:rPr>
      </w:pPr>
    </w:p>
    <w:p>
      <w:pPr>
        <w:keepNext/>
        <w:keepLines/>
        <w:widowControl w:val="0"/>
        <w:numPr>
          <w:ilvl w:val="0"/>
          <w:numId w:val="6"/>
        </w:numPr>
        <w:shd w:val="clear"/>
        <w:spacing w:line="180" w:lineRule="auto"/>
        <w:ind w:left="420" w:hanging="420"/>
        <w:jc w:val="both"/>
        <w:outlineLvl w:val="0"/>
        <w:rPr>
          <w:rFonts w:hint="eastAsia" w:ascii="宋体" w:hAnsi="宋体" w:eastAsia="宋体" w:cs="宋体"/>
          <w:b/>
          <w:bCs/>
          <w:kern w:val="44"/>
          <w:sz w:val="21"/>
          <w:szCs w:val="21"/>
          <w:lang w:val="en-US" w:eastAsia="zh-CN" w:bidi="ar-SA"/>
        </w:rPr>
      </w:pPr>
      <w:bookmarkStart w:id="46" w:name="_Toc10178"/>
      <w:bookmarkStart w:id="47" w:name="_Toc2196737"/>
      <w:bookmarkStart w:id="48" w:name="_Toc536513578"/>
      <w:r>
        <w:rPr>
          <w:rFonts w:hint="eastAsia" w:ascii="宋体" w:hAnsi="宋体" w:eastAsia="宋体" w:cs="宋体"/>
          <w:b/>
          <w:bCs/>
          <w:kern w:val="44"/>
          <w:sz w:val="21"/>
          <w:szCs w:val="21"/>
          <w:lang w:val="en-US" w:eastAsia="zh-CN" w:bidi="ar-SA"/>
        </w:rPr>
        <w:t>总体</w:t>
      </w:r>
      <w:bookmarkEnd w:id="46"/>
      <w:bookmarkEnd w:id="47"/>
      <w:bookmarkEnd w:id="48"/>
    </w:p>
    <w:p>
      <w:pPr>
        <w:widowControl w:val="0"/>
        <w:numPr>
          <w:ilvl w:val="1"/>
          <w:numId w:val="7"/>
        </w:numPr>
        <w:shd w:val="clear"/>
        <w:spacing w:line="360" w:lineRule="auto"/>
        <w:ind w:left="840" w:hanging="420" w:firstLineChars="0"/>
        <w:jc w:val="both"/>
        <w:outlineLvl w:val="1"/>
        <w:rPr>
          <w:rFonts w:hint="eastAsia" w:ascii="宋体" w:hAnsi="宋体" w:eastAsia="宋体" w:cs="宋体"/>
          <w:b/>
          <w:bCs/>
          <w:kern w:val="2"/>
          <w:sz w:val="21"/>
          <w:szCs w:val="21"/>
          <w:lang w:val="en-US" w:eastAsia="zh-CN" w:bidi="ar-SA"/>
        </w:rPr>
      </w:pPr>
      <w:bookmarkStart w:id="49" w:name="_Toc5525"/>
      <w:bookmarkStart w:id="50" w:name="_Toc536513579"/>
      <w:bookmarkStart w:id="51" w:name="_Toc2196738"/>
      <w:r>
        <w:rPr>
          <w:rFonts w:hint="eastAsia" w:ascii="宋体" w:hAnsi="宋体" w:eastAsia="宋体" w:cs="宋体"/>
          <w:b/>
          <w:bCs/>
          <w:kern w:val="2"/>
          <w:sz w:val="21"/>
          <w:szCs w:val="21"/>
          <w:lang w:val="en-US" w:eastAsia="zh-CN" w:bidi="ar-SA"/>
        </w:rPr>
        <w:t>项目说明</w:t>
      </w:r>
      <w:bookmarkEnd w:id="49"/>
      <w:bookmarkEnd w:id="50"/>
      <w:bookmarkEnd w:id="51"/>
    </w:p>
    <w:p>
      <w:pPr>
        <w:widowControl w:val="0"/>
        <w:shd w:val="clear"/>
        <w:spacing w:line="360" w:lineRule="auto"/>
        <w:ind w:firstLine="0" w:firstLineChars="0"/>
        <w:jc w:val="both"/>
        <w:rPr>
          <w:rFonts w:hint="eastAsia" w:ascii="宋体" w:hAnsi="宋体" w:eastAsia="宋体" w:cs="宋体"/>
          <w:color w:val="000000"/>
          <w:kern w:val="2"/>
          <w:sz w:val="21"/>
          <w:szCs w:val="21"/>
          <w:shd w:val="clear" w:color="050000" w:fill="auto"/>
          <w:lang w:val="en-US" w:eastAsia="zh-CN" w:bidi="ar-SA"/>
        </w:rPr>
      </w:pPr>
      <w:r>
        <w:rPr>
          <w:rFonts w:hint="eastAsia" w:ascii="宋体" w:hAnsi="宋体" w:eastAsia="宋体" w:cs="宋体"/>
          <w:kern w:val="2"/>
          <w:sz w:val="21"/>
          <w:szCs w:val="21"/>
          <w:lang w:val="en-US" w:eastAsia="zh-CN" w:bidi="ar-SA"/>
        </w:rPr>
        <w:t>1.1.1</w:t>
      </w:r>
      <w:r>
        <w:rPr>
          <w:rFonts w:hint="eastAsia" w:ascii="宋体" w:hAnsi="宋体" w:eastAsia="宋体" w:cs="宋体"/>
          <w:color w:val="000000"/>
          <w:kern w:val="2"/>
          <w:sz w:val="21"/>
          <w:szCs w:val="21"/>
          <w:shd w:val="clear" w:color="050000" w:fill="auto"/>
          <w:lang w:val="en-US" w:eastAsia="zh-CN" w:bidi="ar-SA"/>
        </w:rPr>
        <w:t>谈判单位应保证采购方在中华人民共和国使用产品及服务或其任何一部分时，免受第三方提出侵犯其任何专利、注册的设计、版权、商标或商品名称或其他知识产权工业设计权的起诉及索赔。</w:t>
      </w:r>
    </w:p>
    <w:p>
      <w:pPr>
        <w:widowControl w:val="0"/>
        <w:shd w:val="clear"/>
        <w:spacing w:line="360" w:lineRule="auto"/>
        <w:ind w:firstLine="0" w:firstLineChars="0"/>
        <w:jc w:val="both"/>
        <w:rPr>
          <w:rFonts w:hint="eastAsia" w:ascii="宋体" w:hAnsi="宋体" w:eastAsia="宋体" w:cs="宋体"/>
          <w:color w:val="000000"/>
          <w:kern w:val="2"/>
          <w:sz w:val="21"/>
          <w:szCs w:val="21"/>
          <w:shd w:val="clear" w:color="050000" w:fill="auto"/>
          <w:lang w:val="en-US" w:eastAsia="zh-CN" w:bidi="ar-SA"/>
        </w:rPr>
      </w:pPr>
      <w:r>
        <w:rPr>
          <w:rFonts w:hint="eastAsia" w:ascii="宋体" w:hAnsi="宋体" w:eastAsia="宋体" w:cs="宋体"/>
          <w:color w:val="000000"/>
          <w:kern w:val="2"/>
          <w:sz w:val="21"/>
          <w:szCs w:val="21"/>
          <w:shd w:val="clear" w:color="050000" w:fill="auto"/>
          <w:lang w:val="en-US" w:eastAsia="zh-CN" w:bidi="ar-SA"/>
        </w:rPr>
        <w:t>1.1.2本用户需求书并未充分引述有关标准和规范的条文，提出的是最低限度的技术要求，谈判单位应提供符合本需求书和工业制造标准的优质产品。</w:t>
      </w:r>
    </w:p>
    <w:p>
      <w:pPr>
        <w:widowControl w:val="0"/>
        <w:shd w:val="clear"/>
        <w:spacing w:line="360" w:lineRule="auto"/>
        <w:ind w:firstLine="0" w:firstLineChars="0"/>
        <w:jc w:val="both"/>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kern w:val="2"/>
          <w:sz w:val="21"/>
          <w:szCs w:val="21"/>
          <w:shd w:val="clear" w:color="050000" w:fill="auto"/>
          <w:lang w:val="en-US" w:eastAsia="zh-CN" w:bidi="ar-SA"/>
        </w:rPr>
        <w:t>1.1.3本需求书所使用的标准如与谈判单位所执行的标准不一致时，谈判单位可以采用相应的国标替代，但谈判单位应确认替代标准不低于需求书所列标准，并在响应文件中加以说明。</w:t>
      </w:r>
    </w:p>
    <w:p>
      <w:pPr>
        <w:widowControl w:val="0"/>
        <w:numPr>
          <w:ilvl w:val="1"/>
          <w:numId w:val="7"/>
        </w:numPr>
        <w:shd w:val="clear"/>
        <w:spacing w:line="360" w:lineRule="auto"/>
        <w:ind w:left="840" w:hanging="420" w:firstLineChars="0"/>
        <w:jc w:val="both"/>
        <w:outlineLvl w:val="1"/>
        <w:rPr>
          <w:rFonts w:hint="eastAsia" w:ascii="宋体" w:hAnsi="宋体" w:eastAsia="宋体" w:cs="宋体"/>
          <w:b/>
          <w:bCs/>
          <w:kern w:val="2"/>
          <w:sz w:val="21"/>
          <w:szCs w:val="21"/>
          <w:lang w:val="en-US" w:eastAsia="zh-CN" w:bidi="ar-SA"/>
        </w:rPr>
      </w:pPr>
      <w:bookmarkStart w:id="52" w:name="_Toc536513580"/>
      <w:bookmarkStart w:id="53" w:name="_Toc30776"/>
      <w:bookmarkStart w:id="54" w:name="_Toc2196739"/>
      <w:r>
        <w:rPr>
          <w:rFonts w:hint="eastAsia" w:ascii="宋体" w:hAnsi="宋体" w:eastAsia="宋体" w:cs="宋体"/>
          <w:b/>
          <w:bCs/>
          <w:kern w:val="2"/>
          <w:sz w:val="21"/>
          <w:szCs w:val="21"/>
          <w:lang w:val="en-US" w:eastAsia="zh-CN" w:bidi="ar-SA"/>
        </w:rPr>
        <w:t>工程概况</w:t>
      </w:r>
      <w:bookmarkEnd w:id="52"/>
      <w:bookmarkEnd w:id="53"/>
      <w:bookmarkEnd w:id="54"/>
    </w:p>
    <w:p>
      <w:pPr>
        <w:shd w:val="clear"/>
        <w:spacing w:line="500" w:lineRule="exact"/>
        <w:ind w:firstLine="420" w:firstLineChars="200"/>
        <w:rPr>
          <w:rFonts w:hint="eastAsia" w:ascii="宋体" w:hAnsi="宋体" w:eastAsia="宋体" w:cs="宋体"/>
          <w:color w:val="auto"/>
          <w:sz w:val="21"/>
          <w:szCs w:val="21"/>
          <w:u w:val="none"/>
          <w:shd w:val="clear" w:color="050000" w:fill="auto"/>
        </w:rPr>
      </w:pPr>
      <w:r>
        <w:rPr>
          <w:rFonts w:hint="eastAsia" w:ascii="宋体" w:hAnsi="宋体" w:eastAsia="宋体" w:cs="宋体"/>
          <w:sz w:val="21"/>
          <w:szCs w:val="21"/>
          <w:shd w:val="clear" w:color="050000" w:fill="auto"/>
          <w:lang w:eastAsia="zh-CN"/>
        </w:rPr>
        <w:t>长沙轨道交通运营有限公司黄兴车辆段羽毛球、乒乓球场地改迁项目拟对</w:t>
      </w:r>
      <w:r>
        <w:rPr>
          <w:rFonts w:hint="eastAsia" w:ascii="宋体" w:hAnsi="宋体" w:eastAsia="宋体" w:cs="宋体"/>
          <w:sz w:val="21"/>
          <w:szCs w:val="21"/>
        </w:rPr>
        <w:t>黄榔停车场平面库</w:t>
      </w:r>
      <w:r>
        <w:rPr>
          <w:rFonts w:hint="eastAsia" w:ascii="宋体" w:hAnsi="宋体" w:eastAsia="宋体" w:cs="宋体"/>
          <w:sz w:val="21"/>
          <w:szCs w:val="21"/>
          <w:lang w:eastAsia="zh-CN"/>
        </w:rPr>
        <w:t>进行改造，增设室内羽毛球场和乒乓球场地等运动场地，并开展相应配套</w:t>
      </w:r>
      <w:r>
        <w:rPr>
          <w:rFonts w:hint="eastAsia" w:ascii="宋体" w:hAnsi="宋体" w:eastAsia="宋体" w:cs="宋体"/>
          <w:sz w:val="21"/>
          <w:szCs w:val="21"/>
          <w:shd w:val="clear" w:color="050000" w:fill="auto"/>
        </w:rPr>
        <w:t>球场灯具、遮光窗帘、男女更衣淋浴室、会议室等</w:t>
      </w:r>
      <w:r>
        <w:rPr>
          <w:rFonts w:hint="eastAsia" w:ascii="宋体" w:hAnsi="宋体" w:eastAsia="宋体" w:cs="宋体"/>
          <w:sz w:val="21"/>
          <w:szCs w:val="21"/>
          <w:lang w:eastAsia="zh-CN"/>
        </w:rPr>
        <w:t>附属设备设施的改造</w:t>
      </w:r>
      <w:r>
        <w:rPr>
          <w:rFonts w:hint="eastAsia" w:ascii="宋体" w:hAnsi="宋体" w:eastAsia="宋体" w:cs="宋体"/>
          <w:sz w:val="21"/>
          <w:szCs w:val="21"/>
          <w:shd w:val="clear" w:color="050000" w:fill="auto"/>
          <w:lang w:eastAsia="zh-CN"/>
        </w:rPr>
        <w:t>，</w:t>
      </w:r>
      <w:r>
        <w:rPr>
          <w:rFonts w:hint="eastAsia" w:ascii="宋体" w:hAnsi="宋体" w:eastAsia="宋体" w:cs="宋体"/>
          <w:color w:val="auto"/>
          <w:sz w:val="21"/>
          <w:szCs w:val="21"/>
          <w:u w:val="none"/>
          <w:shd w:val="clear" w:color="050000" w:fill="auto"/>
          <w:lang w:eastAsia="zh-CN"/>
        </w:rPr>
        <w:t>以</w:t>
      </w:r>
      <w:r>
        <w:rPr>
          <w:rFonts w:hint="eastAsia" w:ascii="宋体" w:hAnsi="宋体" w:eastAsia="宋体" w:cs="宋体"/>
          <w:color w:val="auto"/>
          <w:sz w:val="21"/>
          <w:szCs w:val="21"/>
          <w:u w:val="none"/>
          <w:shd w:val="clear" w:color="050000" w:fill="auto"/>
        </w:rPr>
        <w:t>丰富长沙市轨道交通职工生活，舒缓紧张的工作压力，从而</w:t>
      </w:r>
      <w:r>
        <w:rPr>
          <w:rFonts w:hint="eastAsia" w:ascii="宋体" w:hAnsi="宋体" w:eastAsia="宋体" w:cs="宋体"/>
          <w:color w:val="auto"/>
          <w:sz w:val="21"/>
          <w:szCs w:val="21"/>
          <w:u w:val="none"/>
        </w:rPr>
        <w:t>加</w:t>
      </w:r>
      <w:r>
        <w:rPr>
          <w:rFonts w:hint="eastAsia" w:ascii="宋体" w:hAnsi="宋体" w:eastAsia="宋体" w:cs="宋体"/>
          <w:color w:val="auto"/>
          <w:sz w:val="21"/>
          <w:szCs w:val="21"/>
          <w:u w:val="none"/>
          <w:shd w:val="clear" w:color="050000" w:fill="auto"/>
        </w:rPr>
        <w:t>强职工内部团结，提高职工工作效率</w:t>
      </w:r>
      <w:r>
        <w:rPr>
          <w:rFonts w:hint="eastAsia" w:ascii="宋体" w:hAnsi="宋体" w:eastAsia="宋体" w:cs="宋体"/>
          <w:color w:val="auto"/>
          <w:sz w:val="21"/>
          <w:szCs w:val="21"/>
          <w:u w:val="none"/>
          <w:shd w:val="clear" w:color="050000" w:fill="auto"/>
          <w:lang w:eastAsia="zh-CN"/>
        </w:rPr>
        <w:t>。</w:t>
      </w:r>
    </w:p>
    <w:p>
      <w:pPr>
        <w:widowControl w:val="0"/>
        <w:numPr>
          <w:ilvl w:val="1"/>
          <w:numId w:val="7"/>
        </w:numPr>
        <w:shd w:val="clear"/>
        <w:spacing w:line="360" w:lineRule="auto"/>
        <w:ind w:left="840" w:hanging="420" w:firstLineChars="0"/>
        <w:jc w:val="both"/>
        <w:outlineLvl w:val="1"/>
        <w:rPr>
          <w:rFonts w:hint="eastAsia" w:ascii="宋体" w:hAnsi="宋体" w:eastAsia="宋体" w:cs="宋体"/>
          <w:b/>
          <w:bCs/>
          <w:color w:val="auto"/>
          <w:kern w:val="2"/>
          <w:sz w:val="21"/>
          <w:szCs w:val="21"/>
          <w:u w:val="none"/>
          <w:lang w:val="en-US" w:eastAsia="zh-CN" w:bidi="ar-SA"/>
        </w:rPr>
      </w:pPr>
      <w:bookmarkStart w:id="55" w:name="_Toc536513581"/>
      <w:bookmarkStart w:id="56" w:name="_Toc13353"/>
      <w:bookmarkStart w:id="57" w:name="_Toc2196740"/>
      <w:r>
        <w:rPr>
          <w:rFonts w:hint="eastAsia" w:ascii="宋体" w:hAnsi="宋体" w:eastAsia="宋体" w:cs="宋体"/>
          <w:b/>
          <w:bCs/>
          <w:color w:val="auto"/>
          <w:kern w:val="2"/>
          <w:sz w:val="21"/>
          <w:szCs w:val="21"/>
          <w:u w:val="none"/>
          <w:lang w:val="en-US" w:eastAsia="zh-CN" w:bidi="ar-SA"/>
        </w:rPr>
        <w:t>工程施工地点及范围</w:t>
      </w:r>
      <w:bookmarkEnd w:id="55"/>
      <w:bookmarkEnd w:id="56"/>
      <w:bookmarkEnd w:id="57"/>
    </w:p>
    <w:p>
      <w:pPr>
        <w:shd w:val="clear"/>
        <w:spacing w:line="360" w:lineRule="auto"/>
        <w:ind w:firstLine="420" w:firstLineChars="200"/>
        <w:rPr>
          <w:rFonts w:hint="eastAsia" w:ascii="宋体" w:hAnsi="宋体" w:eastAsia="宋体" w:cs="宋体"/>
          <w:color w:val="auto"/>
          <w:sz w:val="21"/>
          <w:szCs w:val="21"/>
          <w:u w:val="none"/>
          <w:shd w:val="clear" w:color="050000" w:fill="auto"/>
        </w:rPr>
      </w:pPr>
      <w:r>
        <w:rPr>
          <w:rFonts w:hint="eastAsia" w:ascii="宋体" w:hAnsi="宋体" w:eastAsia="宋体" w:cs="宋体"/>
          <w:color w:val="auto"/>
          <w:sz w:val="21"/>
          <w:szCs w:val="21"/>
          <w:u w:val="none"/>
          <w:shd w:val="clear" w:color="050000" w:fill="auto"/>
        </w:rPr>
        <w:t>本项目施工地点：</w:t>
      </w:r>
      <w:r>
        <w:rPr>
          <w:rFonts w:hint="eastAsia" w:ascii="宋体" w:hAnsi="宋体" w:eastAsia="宋体" w:cs="宋体"/>
          <w:color w:val="auto"/>
          <w:sz w:val="21"/>
          <w:szCs w:val="21"/>
          <w:u w:val="none"/>
        </w:rPr>
        <w:t>长沙市轨道交通4号线黄榔停车场平面库</w:t>
      </w:r>
      <w:r>
        <w:rPr>
          <w:rFonts w:hint="eastAsia" w:ascii="宋体" w:hAnsi="宋体" w:eastAsia="宋体" w:cs="宋体"/>
          <w:color w:val="auto"/>
          <w:sz w:val="21"/>
          <w:szCs w:val="21"/>
          <w:u w:val="none"/>
          <w:shd w:val="clear" w:color="050000" w:fill="auto"/>
        </w:rPr>
        <w:t>。</w:t>
      </w:r>
    </w:p>
    <w:p>
      <w:pPr>
        <w:shd w:val="clear"/>
        <w:spacing w:line="360" w:lineRule="auto"/>
        <w:ind w:firstLine="420" w:firstLineChars="200"/>
        <w:rPr>
          <w:rFonts w:hint="eastAsia" w:ascii="宋体" w:hAnsi="宋体" w:eastAsia="宋体" w:cs="宋体"/>
          <w:sz w:val="21"/>
          <w:szCs w:val="21"/>
          <w:shd w:val="clear" w:color="050000" w:fill="auto"/>
          <w:lang w:eastAsia="zh-CN"/>
        </w:rPr>
      </w:pPr>
      <w:r>
        <w:rPr>
          <w:rFonts w:hint="eastAsia" w:ascii="宋体" w:hAnsi="宋体" w:eastAsia="宋体" w:cs="宋体"/>
          <w:color w:val="auto"/>
          <w:sz w:val="21"/>
          <w:szCs w:val="21"/>
          <w:u w:val="none"/>
          <w:shd w:val="clear" w:color="050000" w:fill="auto"/>
        </w:rPr>
        <w:t>本次施工的项目范围：</w:t>
      </w:r>
      <w:r>
        <w:rPr>
          <w:rFonts w:hint="eastAsia" w:ascii="宋体" w:hAnsi="宋体" w:eastAsia="宋体" w:cs="宋体"/>
          <w:color w:val="auto"/>
          <w:sz w:val="21"/>
          <w:szCs w:val="21"/>
          <w:u w:val="none"/>
        </w:rPr>
        <w:t>黄榔停车场平面库</w:t>
      </w:r>
      <w:r>
        <w:rPr>
          <w:rFonts w:hint="eastAsia" w:ascii="宋体" w:hAnsi="宋体" w:eastAsia="宋体" w:cs="宋体"/>
          <w:color w:val="auto"/>
          <w:sz w:val="21"/>
          <w:szCs w:val="21"/>
          <w:u w:val="none"/>
          <w:shd w:val="clear" w:color="050000" w:fill="auto"/>
        </w:rPr>
        <w:t>球场地面、球场灯具、遮</w:t>
      </w:r>
      <w:r>
        <w:rPr>
          <w:rFonts w:hint="eastAsia" w:ascii="宋体" w:hAnsi="宋体" w:eastAsia="宋体" w:cs="宋体"/>
          <w:sz w:val="21"/>
          <w:szCs w:val="21"/>
          <w:shd w:val="clear" w:color="050000" w:fill="auto"/>
        </w:rPr>
        <w:t>光窗帘、男女更衣淋浴室、会议室等</w:t>
      </w:r>
      <w:r>
        <w:rPr>
          <w:rFonts w:hint="eastAsia" w:ascii="宋体" w:hAnsi="宋体" w:eastAsia="宋体" w:cs="宋体"/>
          <w:sz w:val="21"/>
          <w:szCs w:val="21"/>
          <w:shd w:val="clear" w:color="050000" w:fill="auto"/>
          <w:lang w:eastAsia="zh-CN"/>
        </w:rPr>
        <w:t>。</w:t>
      </w:r>
    </w:p>
    <w:p>
      <w:pPr>
        <w:widowControl w:val="0"/>
        <w:numPr>
          <w:ilvl w:val="1"/>
          <w:numId w:val="7"/>
        </w:numPr>
        <w:shd w:val="clear"/>
        <w:spacing w:line="360" w:lineRule="auto"/>
        <w:ind w:left="840" w:hanging="420" w:firstLineChars="0"/>
        <w:jc w:val="both"/>
        <w:outlineLvl w:val="1"/>
        <w:rPr>
          <w:rFonts w:hint="eastAsia" w:ascii="宋体" w:hAnsi="宋体" w:eastAsia="宋体" w:cs="宋体"/>
          <w:b/>
          <w:bCs/>
          <w:kern w:val="2"/>
          <w:sz w:val="21"/>
          <w:szCs w:val="21"/>
          <w:lang w:val="en-US" w:eastAsia="zh-CN" w:bidi="ar-SA"/>
        </w:rPr>
      </w:pPr>
      <w:bookmarkStart w:id="58" w:name="_Toc23607"/>
      <w:bookmarkStart w:id="59" w:name="_Toc2196741"/>
      <w:bookmarkStart w:id="60" w:name="_Toc536513582"/>
      <w:r>
        <w:rPr>
          <w:rFonts w:hint="eastAsia" w:ascii="宋体" w:hAnsi="宋体" w:eastAsia="宋体" w:cs="宋体"/>
          <w:b/>
          <w:bCs/>
          <w:kern w:val="2"/>
          <w:sz w:val="21"/>
          <w:szCs w:val="21"/>
          <w:lang w:val="en-US" w:eastAsia="zh-CN" w:bidi="ar-SA"/>
        </w:rPr>
        <w:t>项目工期计划</w:t>
      </w:r>
      <w:bookmarkEnd w:id="58"/>
      <w:bookmarkEnd w:id="59"/>
    </w:p>
    <w:p>
      <w:pPr>
        <w:numPr>
          <w:ilvl w:val="255"/>
          <w:numId w:val="0"/>
        </w:numPr>
        <w:shd w:val="clear"/>
        <w:spacing w:line="360" w:lineRule="auto"/>
        <w:ind w:firstLine="210" w:firstLineChars="100"/>
        <w:outlineLvl w:val="9"/>
        <w:rPr>
          <w:rFonts w:hint="eastAsia" w:ascii="宋体" w:hAnsi="宋体" w:eastAsia="宋体" w:cs="宋体"/>
          <w:b/>
          <w:bCs/>
          <w:sz w:val="21"/>
          <w:szCs w:val="21"/>
        </w:rPr>
      </w:pPr>
      <w:r>
        <w:rPr>
          <w:rFonts w:hint="eastAsia" w:ascii="宋体" w:hAnsi="宋体" w:eastAsia="宋体" w:cs="宋体"/>
          <w:sz w:val="21"/>
          <w:szCs w:val="21"/>
          <w:shd w:val="clear" w:color="050000" w:fill="auto"/>
        </w:rPr>
        <w:t xml:space="preserve">  </w:t>
      </w:r>
      <w:bookmarkStart w:id="61" w:name="_Toc8050690"/>
      <w:bookmarkStart w:id="62" w:name="_Toc25740"/>
      <w:bookmarkStart w:id="63" w:name="_Toc30925"/>
      <w:bookmarkStart w:id="64" w:name="_Toc2196742"/>
      <w:r>
        <w:rPr>
          <w:rFonts w:hint="eastAsia" w:ascii="宋体" w:hAnsi="宋体" w:eastAsia="宋体" w:cs="宋体"/>
          <w:sz w:val="21"/>
          <w:szCs w:val="21"/>
          <w:shd w:val="clear" w:color="050000" w:fill="auto"/>
        </w:rPr>
        <w:t>本项目工期</w:t>
      </w:r>
      <w:r>
        <w:rPr>
          <w:rFonts w:hint="eastAsia" w:ascii="宋体" w:hAnsi="宋体" w:eastAsia="宋体" w:cs="宋体"/>
          <w:sz w:val="21"/>
          <w:szCs w:val="21"/>
          <w:shd w:val="clear" w:color="050000" w:fill="auto"/>
          <w:lang w:eastAsia="zh-CN"/>
        </w:rPr>
        <w:t>计划为</w:t>
      </w:r>
      <w:r>
        <w:rPr>
          <w:rFonts w:hint="eastAsia" w:ascii="宋体" w:hAnsi="宋体" w:eastAsia="宋体" w:cs="宋体"/>
          <w:sz w:val="21"/>
          <w:szCs w:val="21"/>
          <w:shd w:val="clear" w:color="050000" w:fill="auto"/>
        </w:rPr>
        <w:t>60天。</w:t>
      </w:r>
      <w:bookmarkEnd w:id="60"/>
      <w:bookmarkEnd w:id="61"/>
      <w:bookmarkEnd w:id="62"/>
      <w:bookmarkEnd w:id="63"/>
      <w:bookmarkEnd w:id="64"/>
    </w:p>
    <w:p>
      <w:pPr>
        <w:widowControl w:val="0"/>
        <w:numPr>
          <w:ilvl w:val="1"/>
          <w:numId w:val="7"/>
        </w:numPr>
        <w:shd w:val="clear"/>
        <w:spacing w:line="360" w:lineRule="auto"/>
        <w:ind w:left="840" w:hanging="420" w:firstLineChars="0"/>
        <w:jc w:val="both"/>
        <w:outlineLvl w:val="1"/>
        <w:rPr>
          <w:rFonts w:hint="eastAsia" w:ascii="宋体" w:hAnsi="宋体" w:eastAsia="宋体" w:cs="宋体"/>
          <w:b/>
          <w:bCs/>
          <w:kern w:val="2"/>
          <w:sz w:val="21"/>
          <w:szCs w:val="21"/>
          <w:lang w:val="en-US" w:eastAsia="zh-CN" w:bidi="ar-SA"/>
        </w:rPr>
      </w:pPr>
      <w:bookmarkStart w:id="65" w:name="_Toc536513583"/>
      <w:bookmarkStart w:id="66" w:name="_Toc31264"/>
      <w:bookmarkStart w:id="67" w:name="_Toc2196743"/>
      <w:r>
        <w:rPr>
          <w:rFonts w:hint="eastAsia" w:ascii="宋体" w:hAnsi="宋体" w:eastAsia="宋体" w:cs="宋体"/>
          <w:b/>
          <w:bCs/>
          <w:kern w:val="2"/>
          <w:sz w:val="21"/>
          <w:szCs w:val="21"/>
          <w:lang w:val="en-US" w:eastAsia="zh-CN" w:bidi="ar-SA"/>
        </w:rPr>
        <w:t>环境及条件</w:t>
      </w:r>
      <w:bookmarkEnd w:id="65"/>
      <w:bookmarkEnd w:id="66"/>
      <w:bookmarkEnd w:id="67"/>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1.5.1施工限制条件</w:t>
      </w:r>
    </w:p>
    <w:p>
      <w:pPr>
        <w:shd w:val="clear"/>
        <w:spacing w:line="360" w:lineRule="auto"/>
        <w:ind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eastAsia="zh-CN"/>
        </w:rPr>
        <w:t>本项目</w:t>
      </w:r>
      <w:r>
        <w:rPr>
          <w:rFonts w:hint="eastAsia" w:ascii="宋体" w:hAnsi="宋体" w:eastAsia="宋体" w:cs="宋体"/>
          <w:sz w:val="21"/>
          <w:szCs w:val="21"/>
          <w:shd w:val="clear" w:color="050000" w:fill="auto"/>
        </w:rPr>
        <w:t>施</w:t>
      </w:r>
      <w:r>
        <w:rPr>
          <w:rFonts w:hint="eastAsia" w:ascii="宋体" w:hAnsi="宋体" w:eastAsia="宋体" w:cs="宋体"/>
          <w:sz w:val="21"/>
          <w:szCs w:val="21"/>
        </w:rPr>
        <w:t>工地点主要在长沙市轨道交通4号线黄榔停车场平面库</w:t>
      </w:r>
      <w:r>
        <w:rPr>
          <w:rFonts w:hint="eastAsia" w:ascii="宋体" w:hAnsi="宋体" w:eastAsia="宋体" w:cs="宋体"/>
          <w:sz w:val="21"/>
          <w:szCs w:val="21"/>
          <w:shd w:val="clear" w:color="050000" w:fill="auto"/>
        </w:rPr>
        <w:t>进行，施工计划及时间需严格依照长沙轨道交通运营有限公司施工相关要求执行。施工期间不得影响到职工工作和休息时间，如需夜间加班则提前通知，经过同意方可加班施工。</w:t>
      </w:r>
    </w:p>
    <w:p>
      <w:pPr>
        <w:shd w:val="clear"/>
        <w:spacing w:line="360" w:lineRule="auto"/>
        <w:rPr>
          <w:rFonts w:hint="eastAsia" w:ascii="宋体" w:hAnsi="宋体" w:eastAsia="宋体" w:cs="宋体"/>
          <w:sz w:val="21"/>
          <w:szCs w:val="21"/>
          <w:shd w:val="clear" w:color="050000" w:fill="auto"/>
        </w:rPr>
      </w:pPr>
      <w:bookmarkStart w:id="68" w:name="_Toc12402_WPSOffice_Level3"/>
      <w:r>
        <w:rPr>
          <w:rFonts w:hint="eastAsia" w:ascii="宋体" w:hAnsi="宋体" w:eastAsia="宋体" w:cs="宋体"/>
          <w:sz w:val="21"/>
          <w:szCs w:val="21"/>
          <w:shd w:val="clear" w:color="050000" w:fill="auto"/>
        </w:rPr>
        <w:t>1.5.2具体施工限制条件包括但不限于以下几点：</w:t>
      </w:r>
      <w:bookmarkEnd w:id="68"/>
    </w:p>
    <w:p>
      <w:pPr>
        <w:numPr>
          <w:ilvl w:val="0"/>
          <w:numId w:val="8"/>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所有施工人员必须进行</w:t>
      </w:r>
      <w:r>
        <w:rPr>
          <w:rFonts w:hint="eastAsia" w:ascii="宋体" w:hAnsi="宋体" w:eastAsia="宋体" w:cs="宋体"/>
          <w:sz w:val="21"/>
          <w:szCs w:val="21"/>
          <w:shd w:val="clear" w:color="050000" w:fill="auto"/>
          <w:lang w:eastAsia="zh-CN"/>
        </w:rPr>
        <w:t>运营</w:t>
      </w:r>
      <w:r>
        <w:rPr>
          <w:rFonts w:hint="eastAsia" w:ascii="宋体" w:hAnsi="宋体" w:eastAsia="宋体" w:cs="宋体"/>
          <w:sz w:val="21"/>
          <w:szCs w:val="21"/>
          <w:shd w:val="clear" w:color="050000" w:fill="auto"/>
        </w:rPr>
        <w:t>公司相关的安全教育，方可进行作业。</w:t>
      </w:r>
    </w:p>
    <w:p>
      <w:pPr>
        <w:numPr>
          <w:ilvl w:val="0"/>
          <w:numId w:val="8"/>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其他有关事项流程必须按照运营公司标准、制度、规定执行。</w:t>
      </w:r>
    </w:p>
    <w:p>
      <w:pPr>
        <w:numPr>
          <w:ilvl w:val="0"/>
          <w:numId w:val="8"/>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凡2m以上的高空作业，必须做好安全防范，高空作业时不得抛掷传递工具、零部件和材料等。</w:t>
      </w:r>
    </w:p>
    <w:p>
      <w:pPr>
        <w:numPr>
          <w:ilvl w:val="0"/>
          <w:numId w:val="8"/>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施工区域保障原有设备设施的成品保护。</w:t>
      </w:r>
    </w:p>
    <w:p>
      <w:pPr>
        <w:numPr>
          <w:ilvl w:val="0"/>
          <w:numId w:val="8"/>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施工所产生的垃圾应及时进行清理外运，做好工完料清，保障运营质量。</w:t>
      </w:r>
    </w:p>
    <w:p>
      <w:pPr>
        <w:shd w:val="clear"/>
        <w:spacing w:line="360" w:lineRule="auto"/>
        <w:rPr>
          <w:rFonts w:hint="eastAsia" w:ascii="宋体" w:hAnsi="宋体" w:eastAsia="宋体" w:cs="宋体"/>
          <w:sz w:val="21"/>
          <w:szCs w:val="21"/>
          <w:shd w:val="clear" w:color="050000" w:fill="auto"/>
        </w:rPr>
      </w:pPr>
    </w:p>
    <w:p>
      <w:pPr>
        <w:keepNext/>
        <w:keepLines/>
        <w:widowControl w:val="0"/>
        <w:numPr>
          <w:ilvl w:val="0"/>
          <w:numId w:val="6"/>
        </w:numPr>
        <w:shd w:val="clear"/>
        <w:spacing w:line="180" w:lineRule="auto"/>
        <w:ind w:left="420" w:hanging="420"/>
        <w:jc w:val="both"/>
        <w:outlineLvl w:val="0"/>
        <w:rPr>
          <w:rFonts w:hint="eastAsia" w:ascii="宋体" w:hAnsi="宋体" w:eastAsia="宋体" w:cs="宋体"/>
          <w:b/>
          <w:bCs/>
          <w:kern w:val="44"/>
          <w:sz w:val="21"/>
          <w:szCs w:val="21"/>
          <w:lang w:val="en-US" w:eastAsia="zh-CN" w:bidi="ar-SA"/>
        </w:rPr>
      </w:pPr>
      <w:bookmarkStart w:id="69" w:name="_Toc2196744"/>
      <w:bookmarkStart w:id="70" w:name="_Toc8472"/>
      <w:bookmarkStart w:id="71" w:name="_Toc536513584"/>
      <w:r>
        <w:rPr>
          <w:rFonts w:hint="eastAsia" w:ascii="宋体" w:hAnsi="宋体" w:eastAsia="宋体" w:cs="宋体"/>
          <w:b/>
          <w:bCs/>
          <w:kern w:val="44"/>
          <w:sz w:val="21"/>
          <w:szCs w:val="21"/>
          <w:lang w:val="en-US" w:eastAsia="zh-CN" w:bidi="ar-SA"/>
        </w:rPr>
        <w:t>工程内容</w:t>
      </w:r>
      <w:bookmarkEnd w:id="69"/>
      <w:bookmarkEnd w:id="70"/>
      <w:bookmarkEnd w:id="71"/>
    </w:p>
    <w:p>
      <w:pPr>
        <w:widowControl w:val="0"/>
        <w:numPr>
          <w:ilvl w:val="1"/>
          <w:numId w:val="9"/>
        </w:numPr>
        <w:shd w:val="clear"/>
        <w:spacing w:line="360" w:lineRule="auto"/>
        <w:ind w:left="840" w:hanging="420" w:firstLineChars="0"/>
        <w:jc w:val="both"/>
        <w:outlineLvl w:val="1"/>
        <w:rPr>
          <w:rFonts w:hint="eastAsia" w:ascii="宋体" w:hAnsi="宋体" w:eastAsia="宋体" w:cs="宋体"/>
          <w:b/>
          <w:bCs/>
          <w:kern w:val="2"/>
          <w:sz w:val="21"/>
          <w:szCs w:val="21"/>
          <w:shd w:val="clear" w:color="050000" w:fill="auto"/>
          <w:lang w:val="en-US" w:eastAsia="zh-CN" w:bidi="ar-SA"/>
        </w:rPr>
      </w:pPr>
      <w:bookmarkStart w:id="72" w:name="_Toc2196745"/>
      <w:bookmarkStart w:id="73" w:name="_Toc8518"/>
      <w:bookmarkStart w:id="74" w:name="_Toc536513585"/>
      <w:r>
        <w:rPr>
          <w:rFonts w:hint="eastAsia" w:ascii="宋体" w:hAnsi="宋体" w:eastAsia="宋体" w:cs="宋体"/>
          <w:b/>
          <w:bCs/>
          <w:kern w:val="2"/>
          <w:sz w:val="21"/>
          <w:szCs w:val="21"/>
          <w:lang w:val="en-US" w:eastAsia="zh-CN" w:bidi="ar-SA"/>
        </w:rPr>
        <w:t>主要工程内容</w:t>
      </w:r>
      <w:bookmarkEnd w:id="72"/>
      <w:bookmarkEnd w:id="73"/>
      <w:bookmarkEnd w:id="74"/>
    </w:p>
    <w:p>
      <w:pPr>
        <w:shd w:val="clear"/>
        <w:spacing w:line="360" w:lineRule="auto"/>
        <w:ind w:firstLine="420" w:firstLineChars="200"/>
        <w:rPr>
          <w:rFonts w:hint="eastAsia" w:ascii="宋体" w:hAnsi="宋体" w:eastAsia="宋体" w:cs="宋体"/>
          <w:sz w:val="21"/>
          <w:szCs w:val="21"/>
          <w:shd w:val="clear" w:color="050000" w:fill="auto"/>
          <w:lang w:eastAsia="zh-CN"/>
        </w:rPr>
      </w:pPr>
      <w:bookmarkStart w:id="75" w:name="_Toc16841"/>
      <w:bookmarkStart w:id="76" w:name="_Toc2196746"/>
      <w:r>
        <w:rPr>
          <w:rFonts w:hint="eastAsia" w:ascii="宋体" w:hAnsi="宋体" w:eastAsia="宋体" w:cs="宋体"/>
          <w:sz w:val="21"/>
          <w:szCs w:val="21"/>
          <w:shd w:val="clear" w:color="050000" w:fill="auto"/>
        </w:rPr>
        <w:t>本次施工的主要工程内容包括</w:t>
      </w:r>
      <w:r>
        <w:rPr>
          <w:rFonts w:hint="eastAsia" w:ascii="宋体" w:hAnsi="宋体" w:eastAsia="宋体" w:cs="宋体"/>
          <w:sz w:val="21"/>
          <w:szCs w:val="21"/>
        </w:rPr>
        <w:t>黄榔停车场平面库</w:t>
      </w:r>
      <w:r>
        <w:rPr>
          <w:rFonts w:hint="eastAsia" w:ascii="宋体" w:hAnsi="宋体" w:eastAsia="宋体" w:cs="宋体"/>
          <w:sz w:val="21"/>
          <w:szCs w:val="21"/>
          <w:shd w:val="clear" w:color="050000" w:fill="auto"/>
        </w:rPr>
        <w:t>球场地面、球场灯具、遮光窗帘、男女更衣淋浴室、会议室等</w:t>
      </w:r>
      <w:r>
        <w:rPr>
          <w:rFonts w:hint="eastAsia" w:ascii="宋体" w:hAnsi="宋体" w:eastAsia="宋体" w:cs="宋体"/>
          <w:sz w:val="21"/>
          <w:szCs w:val="21"/>
          <w:shd w:val="clear" w:color="050000" w:fill="auto"/>
          <w:lang w:eastAsia="zh-CN"/>
        </w:rPr>
        <w:t>。</w:t>
      </w:r>
    </w:p>
    <w:bookmarkEnd w:id="75"/>
    <w:bookmarkEnd w:id="76"/>
    <w:p>
      <w:pPr>
        <w:shd w:val="clear"/>
        <w:spacing w:line="360" w:lineRule="auto"/>
        <w:ind w:left="0" w:leftChars="0" w:firstLine="0" w:firstLineChars="0"/>
        <w:rPr>
          <w:rFonts w:hint="eastAsia" w:ascii="宋体" w:hAnsi="宋体" w:eastAsia="宋体" w:cs="宋体"/>
          <w:sz w:val="21"/>
          <w:szCs w:val="21"/>
          <w:shd w:val="clear" w:color="050000" w:fill="auto"/>
          <w:lang w:eastAsia="zh-CN"/>
        </w:rPr>
      </w:pPr>
      <w:r>
        <w:rPr>
          <w:rFonts w:hint="eastAsia" w:ascii="宋体" w:hAnsi="宋体" w:eastAsia="宋体" w:cs="宋体"/>
          <w:sz w:val="21"/>
          <w:szCs w:val="21"/>
          <w:shd w:val="clear" w:color="050000" w:fill="auto"/>
        </w:rPr>
        <w:t>2.1.1球场地面：地面填缝、打磨、自流平、原有羽毛球地胶修补安装、乒乓球地胶、缓冲区地胶安装、球场风扇</w:t>
      </w:r>
      <w:r>
        <w:rPr>
          <w:rFonts w:hint="eastAsia" w:ascii="宋体" w:hAnsi="宋体" w:eastAsia="宋体" w:cs="宋体"/>
          <w:sz w:val="21"/>
          <w:szCs w:val="21"/>
          <w:shd w:val="clear" w:color="050000" w:fill="auto"/>
          <w:lang w:eastAsia="zh-CN"/>
        </w:rPr>
        <w:t>及</w:t>
      </w:r>
      <w:r>
        <w:rPr>
          <w:rFonts w:hint="eastAsia" w:ascii="宋体" w:hAnsi="宋体" w:eastAsia="宋体" w:cs="宋体"/>
          <w:sz w:val="21"/>
          <w:szCs w:val="21"/>
          <w:shd w:val="clear" w:color="050000" w:fill="auto"/>
        </w:rPr>
        <w:t>插座安装等</w:t>
      </w:r>
      <w:r>
        <w:rPr>
          <w:rFonts w:hint="eastAsia" w:ascii="宋体" w:hAnsi="宋体" w:eastAsia="宋体" w:cs="宋体"/>
          <w:sz w:val="21"/>
          <w:szCs w:val="21"/>
          <w:shd w:val="clear" w:color="050000" w:fill="auto"/>
          <w:lang w:eastAsia="zh-CN"/>
        </w:rPr>
        <w:t>。</w:t>
      </w:r>
    </w:p>
    <w:p>
      <w:pPr>
        <w:shd w:val="clear"/>
        <w:spacing w:line="360" w:lineRule="auto"/>
        <w:ind w:left="0" w:leftChars="0" w:firstLine="0" w:firstLineChars="0"/>
        <w:rPr>
          <w:rFonts w:hint="eastAsia" w:ascii="宋体" w:hAnsi="宋体" w:eastAsia="宋体" w:cs="宋体"/>
          <w:sz w:val="21"/>
          <w:szCs w:val="21"/>
          <w:shd w:val="clear" w:color="050000" w:fill="auto"/>
          <w:lang w:eastAsia="zh-CN"/>
        </w:rPr>
      </w:pPr>
      <w:r>
        <w:rPr>
          <w:rFonts w:hint="eastAsia" w:ascii="宋体" w:hAnsi="宋体" w:eastAsia="宋体" w:cs="宋体"/>
          <w:sz w:val="21"/>
          <w:szCs w:val="21"/>
          <w:shd w:val="clear" w:color="050000" w:fill="auto"/>
        </w:rPr>
        <w:t>2.1.2球场灯具：羽毛球</w:t>
      </w:r>
      <w:r>
        <w:rPr>
          <w:rFonts w:hint="eastAsia" w:ascii="宋体" w:hAnsi="宋体" w:eastAsia="宋体" w:cs="宋体"/>
          <w:sz w:val="21"/>
          <w:szCs w:val="21"/>
          <w:shd w:val="clear" w:color="050000" w:fill="auto"/>
          <w:lang w:eastAsia="zh-CN"/>
        </w:rPr>
        <w:t>场</w:t>
      </w:r>
      <w:r>
        <w:rPr>
          <w:rFonts w:hint="eastAsia" w:ascii="宋体" w:hAnsi="宋体" w:eastAsia="宋体" w:cs="宋体"/>
          <w:sz w:val="21"/>
          <w:szCs w:val="21"/>
          <w:shd w:val="clear" w:color="050000" w:fill="auto"/>
        </w:rPr>
        <w:t>、乒乓球</w:t>
      </w:r>
      <w:r>
        <w:rPr>
          <w:rFonts w:hint="eastAsia" w:ascii="宋体" w:hAnsi="宋体" w:eastAsia="宋体" w:cs="宋体"/>
          <w:sz w:val="21"/>
          <w:szCs w:val="21"/>
          <w:shd w:val="clear" w:color="050000" w:fill="auto"/>
          <w:lang w:eastAsia="zh-CN"/>
        </w:rPr>
        <w:t>场专业灯具、配电</w:t>
      </w:r>
      <w:r>
        <w:rPr>
          <w:rFonts w:hint="eastAsia" w:ascii="宋体" w:hAnsi="宋体" w:eastAsia="宋体" w:cs="宋体"/>
          <w:sz w:val="21"/>
          <w:szCs w:val="21"/>
          <w:shd w:val="clear" w:color="050000" w:fill="auto"/>
        </w:rPr>
        <w:t>线路</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rPr>
        <w:t>配电箱</w:t>
      </w:r>
      <w:r>
        <w:rPr>
          <w:rFonts w:hint="eastAsia" w:ascii="宋体" w:hAnsi="宋体" w:eastAsia="宋体" w:cs="宋体"/>
          <w:sz w:val="21"/>
          <w:szCs w:val="21"/>
          <w:shd w:val="clear" w:color="050000" w:fill="auto"/>
          <w:lang w:eastAsia="zh-CN"/>
        </w:rPr>
        <w:t>等的</w:t>
      </w:r>
      <w:r>
        <w:rPr>
          <w:rFonts w:hint="eastAsia" w:ascii="宋体" w:hAnsi="宋体" w:eastAsia="宋体" w:cs="宋体"/>
          <w:sz w:val="21"/>
          <w:szCs w:val="21"/>
          <w:shd w:val="clear" w:color="050000" w:fill="auto"/>
        </w:rPr>
        <w:t>安装</w:t>
      </w:r>
      <w:r>
        <w:rPr>
          <w:rFonts w:hint="eastAsia" w:ascii="宋体" w:hAnsi="宋体" w:eastAsia="宋体" w:cs="宋体"/>
          <w:sz w:val="21"/>
          <w:szCs w:val="21"/>
          <w:shd w:val="clear" w:color="050000" w:fill="auto"/>
          <w:lang w:eastAsia="zh-CN"/>
        </w:rPr>
        <w:t>。</w:t>
      </w:r>
    </w:p>
    <w:p>
      <w:pPr>
        <w:shd w:val="clear"/>
        <w:spacing w:line="360" w:lineRule="auto"/>
        <w:ind w:left="0" w:leftChars="0" w:firstLine="0" w:firstLineChars="0"/>
        <w:rPr>
          <w:rFonts w:hint="eastAsia" w:ascii="宋体" w:hAnsi="宋体" w:eastAsia="宋体" w:cs="宋体"/>
          <w:sz w:val="21"/>
          <w:szCs w:val="21"/>
          <w:shd w:val="clear" w:color="050000" w:fill="auto"/>
          <w:lang w:eastAsia="zh-CN"/>
        </w:rPr>
      </w:pPr>
      <w:r>
        <w:rPr>
          <w:rFonts w:hint="eastAsia" w:ascii="宋体" w:hAnsi="宋体" w:eastAsia="宋体" w:cs="宋体"/>
          <w:sz w:val="21"/>
          <w:szCs w:val="21"/>
          <w:shd w:val="clear" w:color="050000" w:fill="auto"/>
        </w:rPr>
        <w:t>2.1.3遮光窗帘：球场三面窗户遮光窗帘安装等</w:t>
      </w:r>
      <w:r>
        <w:rPr>
          <w:rFonts w:hint="eastAsia" w:ascii="宋体" w:hAnsi="宋体" w:eastAsia="宋体" w:cs="宋体"/>
          <w:sz w:val="21"/>
          <w:szCs w:val="21"/>
          <w:shd w:val="clear" w:color="050000" w:fill="auto"/>
          <w:lang w:eastAsia="zh-CN"/>
        </w:rPr>
        <w:t>。</w:t>
      </w:r>
    </w:p>
    <w:p>
      <w:pPr>
        <w:shd w:val="clear"/>
        <w:spacing w:line="360" w:lineRule="auto"/>
        <w:ind w:left="0" w:leftChars="0" w:firstLine="0" w:firstLineChars="0"/>
        <w:rPr>
          <w:rFonts w:hint="eastAsia" w:ascii="宋体" w:hAnsi="宋体" w:eastAsia="宋体" w:cs="宋体"/>
          <w:sz w:val="21"/>
          <w:szCs w:val="21"/>
          <w:shd w:val="clear" w:color="050000" w:fill="auto"/>
          <w:lang w:eastAsia="zh-CN"/>
        </w:rPr>
      </w:pPr>
      <w:r>
        <w:rPr>
          <w:rFonts w:hint="eastAsia" w:ascii="宋体" w:hAnsi="宋体" w:eastAsia="宋体" w:cs="宋体"/>
          <w:sz w:val="21"/>
          <w:szCs w:val="21"/>
          <w:shd w:val="clear" w:color="050000" w:fill="auto"/>
        </w:rPr>
        <w:t>2.1.4男女更衣淋浴室：墙体改造、水电安装、防水处理、地面墙面施工、空气能热水器安装、洁具柜子等成品安装等</w:t>
      </w:r>
      <w:r>
        <w:rPr>
          <w:rFonts w:hint="eastAsia" w:ascii="宋体" w:hAnsi="宋体" w:eastAsia="宋体" w:cs="宋体"/>
          <w:sz w:val="21"/>
          <w:szCs w:val="21"/>
          <w:shd w:val="clear" w:color="050000" w:fill="auto"/>
          <w:lang w:eastAsia="zh-CN"/>
        </w:rPr>
        <w:t>。</w:t>
      </w:r>
    </w:p>
    <w:p>
      <w:pPr>
        <w:shd w:val="clear"/>
        <w:spacing w:line="360" w:lineRule="auto"/>
        <w:ind w:left="0" w:leftChars="0" w:firstLine="0" w:firstLineChars="0"/>
        <w:rPr>
          <w:rFonts w:hint="eastAsia" w:ascii="宋体" w:hAnsi="宋体" w:eastAsia="宋体" w:cs="宋体"/>
          <w:sz w:val="21"/>
          <w:szCs w:val="21"/>
          <w:shd w:val="clear" w:color="050000" w:fill="auto"/>
          <w:lang w:eastAsia="zh-CN"/>
        </w:rPr>
      </w:pPr>
      <w:r>
        <w:rPr>
          <w:rFonts w:hint="eastAsia" w:ascii="宋体" w:hAnsi="宋体" w:eastAsia="宋体" w:cs="宋体"/>
          <w:sz w:val="21"/>
          <w:szCs w:val="21"/>
          <w:shd w:val="clear" w:color="050000" w:fill="auto"/>
        </w:rPr>
        <w:t>2.1.5会议室：地面改造、球场音响施工等</w:t>
      </w:r>
      <w:r>
        <w:rPr>
          <w:rFonts w:hint="eastAsia" w:ascii="宋体" w:hAnsi="宋体" w:eastAsia="宋体" w:cs="宋体"/>
          <w:sz w:val="21"/>
          <w:szCs w:val="21"/>
          <w:shd w:val="clear" w:color="050000" w:fill="auto"/>
          <w:lang w:eastAsia="zh-CN"/>
        </w:rPr>
        <w:t>。</w:t>
      </w:r>
    </w:p>
    <w:p>
      <w:pPr>
        <w:widowControl w:val="0"/>
        <w:numPr>
          <w:ilvl w:val="1"/>
          <w:numId w:val="9"/>
        </w:numPr>
        <w:shd w:val="clear"/>
        <w:spacing w:line="360" w:lineRule="auto"/>
        <w:ind w:left="840" w:hanging="420" w:firstLineChars="0"/>
        <w:jc w:val="both"/>
        <w:outlineLvl w:val="1"/>
        <w:rPr>
          <w:rFonts w:hint="eastAsia" w:ascii="宋体" w:hAnsi="宋体" w:eastAsia="宋体" w:cs="宋体"/>
          <w:b/>
          <w:bCs/>
          <w:kern w:val="2"/>
          <w:sz w:val="21"/>
          <w:szCs w:val="21"/>
          <w:shd w:val="clear" w:color="050000" w:fill="auto"/>
          <w:lang w:val="en-US" w:eastAsia="zh-CN" w:bidi="ar-SA"/>
        </w:rPr>
      </w:pPr>
      <w:bookmarkStart w:id="77" w:name="_Toc7151"/>
      <w:bookmarkStart w:id="78" w:name="_Toc2196747"/>
      <w:bookmarkStart w:id="79" w:name="_Toc536513587"/>
      <w:r>
        <w:rPr>
          <w:rFonts w:hint="eastAsia" w:ascii="宋体" w:hAnsi="宋体" w:eastAsia="宋体" w:cs="宋体"/>
          <w:b/>
          <w:bCs/>
          <w:kern w:val="2"/>
          <w:sz w:val="21"/>
          <w:szCs w:val="21"/>
          <w:lang w:val="en-US" w:eastAsia="zh-CN" w:bidi="ar-SA"/>
        </w:rPr>
        <w:t>零星包干内容</w:t>
      </w:r>
      <w:bookmarkEnd w:id="77"/>
      <w:bookmarkEnd w:id="78"/>
    </w:p>
    <w:p>
      <w:pPr>
        <w:shd w:val="clear"/>
        <w:spacing w:line="360" w:lineRule="auto"/>
        <w:ind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本球场改造项目安装、</w:t>
      </w:r>
      <w:r>
        <w:rPr>
          <w:rFonts w:hint="eastAsia" w:ascii="宋体" w:hAnsi="宋体" w:eastAsia="宋体" w:cs="宋体"/>
          <w:sz w:val="21"/>
          <w:szCs w:val="21"/>
          <w:highlight w:val="none"/>
          <w:shd w:val="clear" w:color="050000" w:fill="auto"/>
        </w:rPr>
        <w:t>布线布管施工过</w:t>
      </w:r>
      <w:r>
        <w:rPr>
          <w:rFonts w:hint="eastAsia" w:ascii="宋体" w:hAnsi="宋体" w:eastAsia="宋体" w:cs="宋体"/>
          <w:sz w:val="21"/>
          <w:szCs w:val="21"/>
          <w:shd w:val="clear" w:color="050000" w:fill="auto"/>
        </w:rPr>
        <w:t>程中涉及到的墙体开钻孔、膨胀螺丝固定、地面墙面开槽、电配线管、室外排污管道开挖、墙地面修复、绿化带复原、音响系统软件等</w:t>
      </w:r>
      <w:r>
        <w:rPr>
          <w:rFonts w:hint="eastAsia" w:ascii="宋体" w:hAnsi="宋体" w:eastAsia="宋体" w:cs="宋体"/>
          <w:sz w:val="21"/>
          <w:szCs w:val="21"/>
          <w:shd w:val="clear" w:color="050000" w:fill="auto"/>
          <w:lang w:eastAsia="zh-CN"/>
        </w:rPr>
        <w:t>零星工程</w:t>
      </w:r>
      <w:r>
        <w:rPr>
          <w:rFonts w:hint="eastAsia" w:ascii="宋体" w:hAnsi="宋体" w:eastAsia="宋体" w:cs="宋体"/>
          <w:sz w:val="21"/>
          <w:szCs w:val="21"/>
          <w:shd w:val="clear" w:color="050000" w:fill="auto"/>
        </w:rPr>
        <w:t>均采用包干形式。</w:t>
      </w:r>
    </w:p>
    <w:p>
      <w:pPr>
        <w:widowControl w:val="0"/>
        <w:numPr>
          <w:ilvl w:val="1"/>
          <w:numId w:val="9"/>
        </w:numPr>
        <w:shd w:val="clear"/>
        <w:spacing w:line="360" w:lineRule="auto"/>
        <w:ind w:left="840" w:hanging="420" w:firstLineChars="0"/>
        <w:jc w:val="both"/>
        <w:outlineLvl w:val="1"/>
        <w:rPr>
          <w:rFonts w:hint="eastAsia" w:ascii="宋体" w:hAnsi="宋体" w:eastAsia="宋体" w:cs="宋体"/>
          <w:b/>
          <w:bCs/>
          <w:kern w:val="2"/>
          <w:sz w:val="21"/>
          <w:szCs w:val="21"/>
          <w:shd w:val="clear" w:color="050000" w:fill="auto"/>
          <w:lang w:val="en-US" w:eastAsia="zh-CN" w:bidi="ar-SA"/>
        </w:rPr>
      </w:pPr>
      <w:bookmarkStart w:id="80" w:name="_Toc2196748"/>
      <w:bookmarkStart w:id="81" w:name="_Toc27399"/>
      <w:r>
        <w:rPr>
          <w:rFonts w:hint="eastAsia" w:ascii="宋体" w:hAnsi="宋体" w:eastAsia="宋体" w:cs="宋体"/>
          <w:b/>
          <w:bCs/>
          <w:kern w:val="2"/>
          <w:sz w:val="21"/>
          <w:szCs w:val="21"/>
          <w:shd w:val="clear" w:color="050000" w:fill="auto"/>
          <w:lang w:val="en-US" w:eastAsia="zh-CN" w:bidi="ar-SA"/>
        </w:rPr>
        <w:t>设备/材料选用标准</w:t>
      </w:r>
      <w:bookmarkEnd w:id="79"/>
      <w:bookmarkEnd w:id="80"/>
      <w:bookmarkEnd w:id="81"/>
    </w:p>
    <w:p>
      <w:pPr>
        <w:widowControl w:val="0"/>
        <w:numPr>
          <w:ilvl w:val="0"/>
          <w:numId w:val="10"/>
        </w:numPr>
        <w:shd w:val="clear"/>
        <w:spacing w:line="360" w:lineRule="auto"/>
        <w:ind w:left="0" w:firstLine="6" w:firstLineChars="0"/>
        <w:jc w:val="both"/>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color w:val="000000"/>
          <w:kern w:val="2"/>
          <w:sz w:val="21"/>
          <w:szCs w:val="21"/>
          <w:shd w:val="clear" w:color="050000" w:fill="auto"/>
          <w:lang w:val="en-US" w:eastAsia="zh-CN" w:bidi="ar-SA"/>
        </w:rPr>
        <w:t>谈判单位应提供符合本需求书和国家标准的合格产品（含所供设备、材料等）</w:t>
      </w:r>
      <w:r>
        <w:rPr>
          <w:rFonts w:hint="eastAsia" w:ascii="宋体" w:hAnsi="宋体" w:eastAsia="宋体" w:cs="宋体"/>
          <w:kern w:val="2"/>
          <w:sz w:val="21"/>
          <w:szCs w:val="21"/>
          <w:shd w:val="clear" w:color="050000" w:fill="auto"/>
          <w:lang w:val="en-US" w:eastAsia="zh-CN" w:bidi="ar-SA"/>
        </w:rPr>
        <w:t>。</w:t>
      </w:r>
    </w:p>
    <w:p>
      <w:pPr>
        <w:widowControl w:val="0"/>
        <w:numPr>
          <w:ilvl w:val="0"/>
          <w:numId w:val="10"/>
        </w:numPr>
        <w:shd w:val="clear"/>
        <w:spacing w:line="360" w:lineRule="auto"/>
        <w:ind w:left="0" w:firstLine="6" w:firstLineChars="0"/>
        <w:jc w:val="both"/>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kern w:val="2"/>
          <w:sz w:val="21"/>
          <w:szCs w:val="21"/>
          <w:shd w:val="clear" w:color="050000" w:fill="auto"/>
          <w:lang w:val="en-US" w:eastAsia="zh-CN" w:bidi="ar-SA"/>
        </w:rPr>
        <w:t>设备的所有硬件应具有高稳定性、高可靠性，满足连续不间断、稳定、可靠工作的要求。</w:t>
      </w:r>
    </w:p>
    <w:p>
      <w:pPr>
        <w:widowControl w:val="0"/>
        <w:numPr>
          <w:ilvl w:val="0"/>
          <w:numId w:val="10"/>
        </w:numPr>
        <w:shd w:val="clear"/>
        <w:spacing w:line="360" w:lineRule="auto"/>
        <w:ind w:left="0" w:firstLine="6" w:firstLineChars="0"/>
        <w:jc w:val="both"/>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kern w:val="2"/>
          <w:sz w:val="21"/>
          <w:szCs w:val="21"/>
          <w:shd w:val="clear" w:color="050000" w:fill="auto"/>
          <w:lang w:val="en-US" w:eastAsia="zh-CN" w:bidi="ar-SA"/>
        </w:rPr>
        <w:t>设备所采用的接触件应接触可靠，保证长期使用接触良好。</w:t>
      </w:r>
    </w:p>
    <w:p>
      <w:pPr>
        <w:widowControl w:val="0"/>
        <w:numPr>
          <w:ilvl w:val="0"/>
          <w:numId w:val="10"/>
        </w:numPr>
        <w:shd w:val="clear"/>
        <w:spacing w:line="360" w:lineRule="auto"/>
        <w:ind w:left="0" w:firstLine="6" w:firstLineChars="0"/>
        <w:jc w:val="both"/>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kern w:val="2"/>
          <w:sz w:val="21"/>
          <w:szCs w:val="21"/>
          <w:shd w:val="clear" w:color="050000" w:fill="auto"/>
          <w:lang w:val="en-US" w:eastAsia="zh-CN" w:bidi="ar-SA"/>
        </w:rPr>
        <w:t>所有设备应具备相应的过载、短路跳闸等保护措施。</w:t>
      </w:r>
    </w:p>
    <w:p>
      <w:pPr>
        <w:keepNext/>
        <w:keepLines/>
        <w:widowControl w:val="0"/>
        <w:numPr>
          <w:ilvl w:val="0"/>
          <w:numId w:val="6"/>
        </w:numPr>
        <w:shd w:val="clear"/>
        <w:spacing w:line="180" w:lineRule="auto"/>
        <w:ind w:left="420" w:hanging="420"/>
        <w:jc w:val="both"/>
        <w:outlineLvl w:val="0"/>
        <w:rPr>
          <w:rFonts w:hint="eastAsia" w:ascii="宋体" w:hAnsi="宋体" w:eastAsia="宋体" w:cs="宋体"/>
          <w:b/>
          <w:bCs/>
          <w:kern w:val="44"/>
          <w:sz w:val="21"/>
          <w:szCs w:val="21"/>
          <w:lang w:val="en-US" w:eastAsia="zh-CN" w:bidi="ar-SA"/>
        </w:rPr>
      </w:pPr>
      <w:bookmarkStart w:id="82" w:name="_Toc536513588"/>
      <w:bookmarkStart w:id="83" w:name="_Toc2196749"/>
      <w:bookmarkStart w:id="84" w:name="_Toc28278"/>
      <w:r>
        <w:rPr>
          <w:rFonts w:hint="eastAsia" w:ascii="宋体" w:hAnsi="宋体" w:eastAsia="宋体" w:cs="宋体"/>
          <w:b/>
          <w:bCs/>
          <w:kern w:val="44"/>
          <w:sz w:val="21"/>
          <w:szCs w:val="21"/>
          <w:lang w:val="en-US" w:eastAsia="zh-CN" w:bidi="ar-SA"/>
        </w:rPr>
        <w:t>工程技术要求</w:t>
      </w:r>
      <w:bookmarkEnd w:id="82"/>
      <w:bookmarkEnd w:id="83"/>
      <w:bookmarkEnd w:id="84"/>
    </w:p>
    <w:p>
      <w:pPr>
        <w:widowControl w:val="0"/>
        <w:numPr>
          <w:ilvl w:val="0"/>
          <w:numId w:val="11"/>
        </w:numPr>
        <w:shd w:val="clear"/>
        <w:spacing w:line="360" w:lineRule="auto"/>
        <w:ind w:left="840" w:hanging="420" w:firstLineChars="0"/>
        <w:jc w:val="both"/>
        <w:outlineLvl w:val="1"/>
        <w:rPr>
          <w:rFonts w:hint="eastAsia" w:ascii="宋体" w:hAnsi="宋体" w:eastAsia="宋体" w:cs="宋体"/>
          <w:b/>
          <w:bCs/>
          <w:kern w:val="2"/>
          <w:sz w:val="21"/>
          <w:szCs w:val="21"/>
          <w:lang w:val="en-US" w:eastAsia="zh-CN" w:bidi="ar-SA"/>
        </w:rPr>
      </w:pPr>
      <w:bookmarkStart w:id="85" w:name="_Toc18482"/>
      <w:bookmarkStart w:id="86" w:name="_Toc2196750"/>
      <w:bookmarkStart w:id="87" w:name="_Toc536513589"/>
      <w:r>
        <w:rPr>
          <w:rFonts w:hint="eastAsia" w:ascii="宋体" w:hAnsi="宋体" w:eastAsia="宋体" w:cs="宋体"/>
          <w:b/>
          <w:bCs/>
          <w:kern w:val="2"/>
          <w:sz w:val="21"/>
          <w:szCs w:val="21"/>
          <w:lang w:val="en-US" w:eastAsia="zh-CN" w:bidi="ar-SA"/>
        </w:rPr>
        <w:t>技术标准与要求</w:t>
      </w:r>
      <w:bookmarkEnd w:id="85"/>
      <w:bookmarkEnd w:id="86"/>
      <w:bookmarkEnd w:id="87"/>
    </w:p>
    <w:p>
      <w:pPr>
        <w:shd w:val="clear"/>
        <w:spacing w:line="360" w:lineRule="auto"/>
        <w:rPr>
          <w:rFonts w:hint="eastAsia" w:ascii="宋体" w:hAnsi="宋体" w:eastAsia="宋体" w:cs="宋体"/>
          <w:sz w:val="21"/>
          <w:szCs w:val="21"/>
          <w:shd w:val="clear" w:color="050000" w:fill="auto"/>
          <w:lang w:val="en-US" w:eastAsia="zh-CN"/>
        </w:rPr>
      </w:pPr>
      <w:bookmarkStart w:id="88" w:name="_Toc536513591"/>
      <w:bookmarkStart w:id="89" w:name="_Toc2196752"/>
      <w:r>
        <w:rPr>
          <w:rFonts w:hint="eastAsia" w:ascii="宋体" w:hAnsi="宋体" w:eastAsia="宋体" w:cs="宋体"/>
          <w:sz w:val="21"/>
          <w:szCs w:val="21"/>
          <w:shd w:val="clear" w:color="050000" w:fill="auto"/>
          <w:lang w:val="en-US" w:eastAsia="zh-CN"/>
        </w:rPr>
        <w:t>3.1.1隔墙改造</w:t>
      </w:r>
    </w:p>
    <w:p>
      <w:pPr>
        <w:shd w:val="clear"/>
        <w:spacing w:line="360" w:lineRule="auto"/>
        <w:ind w:firstLine="420" w:firstLineChars="200"/>
        <w:rPr>
          <w:rFonts w:hint="eastAsia" w:ascii="宋体" w:hAnsi="宋体" w:eastAsia="宋体" w:cs="宋体"/>
          <w:sz w:val="21"/>
          <w:szCs w:val="21"/>
          <w:shd w:val="clear" w:color="050000" w:fill="auto"/>
          <w:lang w:val="en-US" w:eastAsia="zh-CN"/>
        </w:rPr>
      </w:pPr>
      <w:r>
        <w:rPr>
          <w:rFonts w:hint="eastAsia" w:ascii="宋体" w:hAnsi="宋体" w:eastAsia="宋体" w:cs="宋体"/>
          <w:kern w:val="2"/>
          <w:sz w:val="21"/>
          <w:szCs w:val="21"/>
          <w:shd w:val="clear" w:color="050000" w:fill="auto"/>
          <w:lang w:val="en-US" w:eastAsia="zh-CN" w:bidi="ar-SA"/>
        </w:rPr>
        <w:t>隔墙采用砖混结构（砖砌+构造柱形式），砖砌墙长12900mm(含门宽）,高按4700mm计取（底面红砖墙，高500mm）,墙厚200mm，双面抹灰，砖砌体中铺设Φ8mm@500mm拉筋，每层2根，不少于8层，拉筋嵌入构造柱长度不小于50d。构造柱均采用C20砼，尺寸200mm*200mm。新砌墙面与构造柱采用马牙槎：间隔300mm，退</w:t>
      </w:r>
      <w:r>
        <w:rPr>
          <w:rFonts w:hint="eastAsia" w:ascii="宋体" w:hAnsi="宋体" w:eastAsia="宋体" w:cs="宋体"/>
          <w:kern w:val="2"/>
          <w:sz w:val="21"/>
          <w:szCs w:val="21"/>
          <w:highlight w:val="none"/>
          <w:shd w:val="clear" w:color="050000" w:fill="auto"/>
          <w:lang w:val="en-US" w:eastAsia="zh-CN" w:bidi="ar-SA"/>
        </w:rPr>
        <w:t>进60m</w:t>
      </w:r>
      <w:r>
        <w:rPr>
          <w:rFonts w:hint="eastAsia" w:ascii="宋体" w:hAnsi="宋体" w:eastAsia="宋体" w:cs="宋体"/>
          <w:kern w:val="2"/>
          <w:sz w:val="21"/>
          <w:szCs w:val="21"/>
          <w:shd w:val="clear" w:color="050000" w:fill="auto"/>
          <w:lang w:val="en-US" w:eastAsia="zh-CN" w:bidi="ar-SA"/>
        </w:rPr>
        <w:t>m。构造柱、采用4根Φ14mm；箍筋Φ10mm、间距150mm；植筋深度不低于60mm（含打胶等）。</w:t>
      </w:r>
    </w:p>
    <w:p>
      <w:pPr>
        <w:shd w:val="clear"/>
        <w:spacing w:line="360" w:lineRule="auto"/>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kern w:val="2"/>
          <w:sz w:val="21"/>
          <w:szCs w:val="21"/>
          <w:shd w:val="clear" w:color="050000" w:fill="auto"/>
          <w:lang w:val="en-US" w:eastAsia="zh-CN" w:bidi="ar-SA"/>
        </w:rPr>
        <w:t>3.1.2淋浴间和卫生间回填</w:t>
      </w:r>
    </w:p>
    <w:p>
      <w:pPr>
        <w:shd w:val="clear"/>
        <w:spacing w:line="360" w:lineRule="auto"/>
        <w:ind w:firstLine="420" w:firstLineChars="200"/>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kern w:val="2"/>
          <w:sz w:val="21"/>
          <w:szCs w:val="21"/>
          <w:shd w:val="clear" w:color="050000" w:fill="auto"/>
          <w:lang w:val="en-US" w:eastAsia="zh-CN" w:bidi="ar-SA"/>
        </w:rPr>
        <w:t>1）回填区域包括新设淋浴室和卫生间地面。</w:t>
      </w:r>
    </w:p>
    <w:p>
      <w:pPr>
        <w:shd w:val="clear"/>
        <w:spacing w:line="360" w:lineRule="auto"/>
        <w:ind w:firstLine="420" w:firstLineChars="200"/>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kern w:val="2"/>
          <w:sz w:val="21"/>
          <w:szCs w:val="21"/>
          <w:shd w:val="clear" w:color="050000" w:fill="auto"/>
          <w:lang w:val="en-US" w:eastAsia="zh-CN" w:bidi="ar-SA"/>
        </w:rPr>
        <w:t>2）采用陶瓷颗粒回填，回填高度350mm。</w:t>
      </w:r>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3.1.3</w:t>
      </w:r>
      <w:r>
        <w:rPr>
          <w:rFonts w:hint="eastAsia" w:ascii="宋体" w:hAnsi="宋体" w:eastAsia="宋体" w:cs="宋体"/>
          <w:sz w:val="21"/>
          <w:szCs w:val="21"/>
          <w:shd w:val="clear" w:color="050000" w:fill="auto"/>
        </w:rPr>
        <w:t xml:space="preserve">地砖铺设: </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sz w:val="21"/>
          <w:szCs w:val="21"/>
          <w:shd w:val="clear" w:color="050000" w:fill="auto"/>
        </w:rPr>
        <w:t>1）</w:t>
      </w:r>
      <w:r>
        <w:rPr>
          <w:rFonts w:hint="eastAsia" w:ascii="宋体" w:hAnsi="宋体" w:eastAsia="宋体" w:cs="宋体"/>
          <w:kern w:val="2"/>
          <w:sz w:val="21"/>
          <w:szCs w:val="21"/>
          <w:shd w:val="clear" w:color="050000" w:fill="auto"/>
          <w:lang w:val="en-US" w:eastAsia="zh-CN" w:bidi="ar-SA"/>
        </w:rPr>
        <w:t>采用300*300mm防滑地砖，铺设区域包括淋浴室地面及淋浴间和卫生间回填抬高面。</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shd w:val="clear" w:color="050000" w:fill="auto"/>
          <w:lang w:eastAsia="zh-CN"/>
        </w:rPr>
      </w:pPr>
      <w:r>
        <w:rPr>
          <w:rFonts w:hint="eastAsia" w:ascii="宋体" w:hAnsi="宋体" w:eastAsia="宋体" w:cs="宋体"/>
          <w:sz w:val="21"/>
          <w:szCs w:val="21"/>
          <w:shd w:val="clear" w:color="050000" w:fill="auto"/>
          <w:lang w:val="en-US" w:eastAsia="zh-CN"/>
        </w:rPr>
        <w:t>2）</w:t>
      </w:r>
      <w:r>
        <w:rPr>
          <w:rFonts w:hint="eastAsia" w:ascii="宋体" w:hAnsi="宋体" w:eastAsia="宋体" w:cs="宋体"/>
          <w:sz w:val="21"/>
          <w:szCs w:val="21"/>
          <w:shd w:val="clear" w:color="050000" w:fill="auto"/>
        </w:rPr>
        <w:t>抹结合层 用1：3干硬性水泥砂浆抹铺结合层</w:t>
      </w:r>
      <w:r>
        <w:rPr>
          <w:rFonts w:hint="eastAsia" w:ascii="宋体" w:hAnsi="宋体" w:eastAsia="宋体" w:cs="宋体"/>
          <w:sz w:val="21"/>
          <w:szCs w:val="21"/>
          <w:shd w:val="clear" w:color="050000" w:fill="auto"/>
          <w:lang w:eastAsia="zh-CN"/>
        </w:rPr>
        <w:t>。</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3</w:t>
      </w:r>
      <w:r>
        <w:rPr>
          <w:rFonts w:hint="eastAsia" w:ascii="宋体" w:hAnsi="宋体" w:eastAsia="宋体" w:cs="宋体"/>
          <w:sz w:val="21"/>
          <w:szCs w:val="21"/>
          <w:shd w:val="clear" w:color="050000" w:fill="auto"/>
        </w:rPr>
        <w:t>）地砖铺贴 用素水泥浆（约2-3㎜厚）满涂块料背面，对准接线及缝子，将地砖块铺贴上。</w:t>
      </w:r>
      <w:bookmarkStart w:id="90" w:name="_Toc8050699"/>
      <w:r>
        <w:rPr>
          <w:rFonts w:hint="eastAsia" w:ascii="宋体" w:hAnsi="宋体" w:eastAsia="宋体" w:cs="宋体"/>
          <w:sz w:val="21"/>
          <w:szCs w:val="21"/>
          <w:shd w:val="clear" w:color="050000" w:fill="auto"/>
        </w:rPr>
        <w:t>待粘贴素水泥浆凝固后，用白水泥或颜色料（色泽根据面料颜色调配）填平缝隙（过大缝隙要拌细砂填灌），将表面擦干净至不留残灰为止。</w:t>
      </w:r>
      <w:bookmarkEnd w:id="90"/>
    </w:p>
    <w:p>
      <w:pPr>
        <w:keepNext w:val="0"/>
        <w:keepLines w:val="0"/>
        <w:pageBreakBefore w:val="0"/>
        <w:widowControl w:val="0"/>
        <w:shd w:val="clear"/>
        <w:kinsoku/>
        <w:overflowPunct/>
        <w:topLinePunct w:val="0"/>
        <w:autoSpaceDE/>
        <w:autoSpaceDN/>
        <w:bidi w:val="0"/>
        <w:adjustRightInd/>
        <w:snapToGrid/>
        <w:spacing w:line="360" w:lineRule="auto"/>
        <w:ind w:firstLine="0" w:firstLineChars="0"/>
        <w:jc w:val="both"/>
        <w:textAlignment w:val="auto"/>
        <w:outlineLvl w:val="1"/>
        <w:rPr>
          <w:rFonts w:hint="eastAsia" w:ascii="宋体" w:hAnsi="宋体" w:eastAsia="宋体" w:cs="宋体"/>
          <w:kern w:val="2"/>
          <w:sz w:val="21"/>
          <w:szCs w:val="21"/>
          <w:shd w:val="clear" w:color="050000" w:fill="auto"/>
          <w:lang w:val="en-US" w:eastAsia="zh-CN" w:bidi="ar-SA"/>
        </w:rPr>
      </w:pPr>
      <w:bookmarkStart w:id="91" w:name="_Toc11348"/>
      <w:bookmarkStart w:id="92" w:name="_Toc8050700"/>
      <w:r>
        <w:rPr>
          <w:rFonts w:hint="eastAsia" w:ascii="宋体" w:hAnsi="宋体" w:eastAsia="宋体" w:cs="宋体"/>
          <w:kern w:val="2"/>
          <w:sz w:val="21"/>
          <w:szCs w:val="21"/>
          <w:shd w:val="clear" w:color="050000" w:fill="auto"/>
          <w:lang w:val="en-US" w:eastAsia="zh-CN" w:bidi="ar-SA"/>
        </w:rPr>
        <w:t>3.1.4墙砖铺设</w:t>
      </w:r>
      <w:bookmarkEnd w:id="91"/>
      <w:bookmarkEnd w:id="92"/>
    </w:p>
    <w:p>
      <w:pPr>
        <w:numPr>
          <w:ilvl w:val="0"/>
          <w:numId w:val="12"/>
        </w:numPr>
        <w:shd w:val="clear"/>
        <w:spacing w:line="360" w:lineRule="auto"/>
        <w:ind w:left="0" w:leftChars="0" w:firstLine="420" w:firstLineChars="200"/>
        <w:rPr>
          <w:rFonts w:hint="eastAsia" w:ascii="宋体" w:hAnsi="宋体" w:eastAsia="宋体" w:cs="宋体"/>
          <w:sz w:val="21"/>
          <w:szCs w:val="21"/>
          <w:shd w:val="clear" w:color="050000" w:fill="auto"/>
          <w:lang w:eastAsia="zh-CN"/>
        </w:rPr>
      </w:pPr>
      <w:r>
        <w:rPr>
          <w:rFonts w:hint="eastAsia" w:ascii="宋体" w:hAnsi="宋体" w:eastAsia="宋体" w:cs="宋体"/>
          <w:sz w:val="21"/>
          <w:szCs w:val="21"/>
          <w:shd w:val="clear" w:color="050000" w:fill="auto"/>
          <w:lang w:eastAsia="zh-CN"/>
        </w:rPr>
        <w:t>采用300*600墙砖，铺贴区域包括淋浴室内所有墙面（含新砌墙两面）及门、窗户内沿（内沿宽度按</w:t>
      </w:r>
      <w:r>
        <w:rPr>
          <w:rFonts w:hint="eastAsia" w:ascii="宋体" w:hAnsi="宋体" w:eastAsia="宋体" w:cs="宋体"/>
          <w:sz w:val="21"/>
          <w:szCs w:val="21"/>
          <w:shd w:val="clear" w:color="050000" w:fill="auto"/>
          <w:lang w:val="en-US" w:eastAsia="zh-CN"/>
        </w:rPr>
        <w:t>100mm计取</w:t>
      </w:r>
      <w:r>
        <w:rPr>
          <w:rFonts w:hint="eastAsia" w:ascii="宋体" w:hAnsi="宋体" w:eastAsia="宋体" w:cs="宋体"/>
          <w:sz w:val="21"/>
          <w:szCs w:val="21"/>
          <w:shd w:val="clear" w:color="050000" w:fill="auto"/>
          <w:lang w:eastAsia="zh-CN"/>
        </w:rPr>
        <w:t>），铺贴高度按4.7m计取；</w:t>
      </w:r>
    </w:p>
    <w:p>
      <w:pPr>
        <w:numPr>
          <w:ilvl w:val="0"/>
          <w:numId w:val="12"/>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基层处理和抹底子灰</w:t>
      </w:r>
      <w:r>
        <w:rPr>
          <w:rFonts w:hint="eastAsia" w:ascii="宋体" w:hAnsi="宋体" w:eastAsia="宋体" w:cs="宋体"/>
          <w:sz w:val="21"/>
          <w:szCs w:val="21"/>
          <w:shd w:val="clear" w:color="050000" w:fill="auto"/>
          <w:lang w:val="en-US" w:eastAsia="zh-CN"/>
        </w:rPr>
        <w:t>;</w:t>
      </w:r>
    </w:p>
    <w:p>
      <w:pPr>
        <w:numPr>
          <w:ilvl w:val="0"/>
          <w:numId w:val="12"/>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预排砖块、弹线</w:t>
      </w:r>
      <w:r>
        <w:rPr>
          <w:rFonts w:hint="eastAsia" w:ascii="宋体" w:hAnsi="宋体" w:eastAsia="宋体" w:cs="宋体"/>
          <w:sz w:val="21"/>
          <w:szCs w:val="21"/>
          <w:shd w:val="clear" w:color="050000" w:fill="auto"/>
          <w:lang w:val="en-US" w:eastAsia="zh-CN"/>
        </w:rPr>
        <w:t>;</w:t>
      </w:r>
    </w:p>
    <w:p>
      <w:pPr>
        <w:numPr>
          <w:ilvl w:val="0"/>
          <w:numId w:val="12"/>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贴面砖</w:t>
      </w:r>
      <w:r>
        <w:rPr>
          <w:rFonts w:hint="eastAsia" w:ascii="宋体" w:hAnsi="宋体" w:eastAsia="宋体" w:cs="宋体"/>
          <w:sz w:val="21"/>
          <w:szCs w:val="21"/>
          <w:shd w:val="clear" w:color="050000" w:fill="auto"/>
          <w:lang w:val="en-US" w:eastAsia="zh-CN"/>
        </w:rPr>
        <w:t>;</w:t>
      </w:r>
    </w:p>
    <w:p>
      <w:pPr>
        <w:numPr>
          <w:ilvl w:val="0"/>
          <w:numId w:val="12"/>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铺贴切应从最低一皮砖开始，并按基准点接线，逐排由下向上铺贴。面砖背面应满涂水泥膏</w:t>
      </w:r>
      <w:r>
        <w:rPr>
          <w:rFonts w:hint="eastAsia" w:ascii="宋体" w:hAnsi="宋体" w:eastAsia="宋体" w:cs="宋体"/>
          <w:sz w:val="21"/>
          <w:szCs w:val="21"/>
          <w:shd w:val="clear" w:color="050000" w:fill="auto"/>
          <w:lang w:eastAsia="zh-CN"/>
        </w:rPr>
        <w:t>或瓷砖胶等</w:t>
      </w:r>
      <w:r>
        <w:rPr>
          <w:rFonts w:hint="eastAsia" w:ascii="宋体" w:hAnsi="宋体" w:eastAsia="宋体" w:cs="宋体"/>
          <w:sz w:val="21"/>
          <w:szCs w:val="21"/>
          <w:shd w:val="clear" w:color="050000" w:fill="auto"/>
        </w:rPr>
        <w:t>（厚度一般控制在2-3㎜内），贴上后着力敲击，使面砖粘牢。铺贴完毕，待</w:t>
      </w:r>
      <w:r>
        <w:rPr>
          <w:rFonts w:hint="eastAsia" w:ascii="宋体" w:hAnsi="宋体" w:eastAsia="宋体" w:cs="宋体"/>
          <w:sz w:val="21"/>
          <w:szCs w:val="21"/>
          <w:highlight w:val="none"/>
          <w:shd w:val="clear" w:color="050000" w:fill="auto"/>
        </w:rPr>
        <w:t>粘贴水</w:t>
      </w:r>
      <w:r>
        <w:rPr>
          <w:rFonts w:hint="eastAsia" w:ascii="宋体" w:hAnsi="宋体" w:eastAsia="宋体" w:cs="宋体"/>
          <w:sz w:val="21"/>
          <w:szCs w:val="21"/>
          <w:shd w:val="clear" w:color="050000" w:fill="auto"/>
        </w:rPr>
        <w:t>泥初凝后，用清水将砖面洗干净，用白水泥浆（彩色面砖应按设计要求用矿物颜料调色）将缝填平，完工后将表面试擦干净至不留残灰痕迹为止。</w:t>
      </w:r>
    </w:p>
    <w:p>
      <w:pPr>
        <w:keepNext w:val="0"/>
        <w:keepLines w:val="0"/>
        <w:pageBreakBefore w:val="0"/>
        <w:widowControl/>
        <w:shd w:val="clear" w:color="auto"/>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3.</w:t>
      </w:r>
      <w:r>
        <w:rPr>
          <w:rFonts w:hint="eastAsia" w:ascii="宋体" w:hAnsi="宋体" w:eastAsia="宋体" w:cs="宋体"/>
          <w:sz w:val="21"/>
          <w:szCs w:val="21"/>
          <w:shd w:val="clear" w:color="050000" w:fill="auto"/>
          <w:lang w:val="en-US" w:eastAsia="zh-CN"/>
        </w:rPr>
        <w:t>1.5</w:t>
      </w:r>
      <w:r>
        <w:rPr>
          <w:rFonts w:hint="eastAsia" w:ascii="宋体" w:hAnsi="宋体" w:eastAsia="宋体" w:cs="宋体"/>
          <w:sz w:val="21"/>
          <w:szCs w:val="21"/>
          <w:shd w:val="clear" w:color="050000" w:fill="auto"/>
        </w:rPr>
        <w:t>电器安装</w:t>
      </w:r>
      <w:r>
        <w:rPr>
          <w:rFonts w:hint="eastAsia" w:ascii="宋体" w:hAnsi="宋体" w:eastAsia="宋体" w:cs="宋体"/>
          <w:sz w:val="21"/>
          <w:szCs w:val="21"/>
          <w:shd w:val="clear" w:color="050000" w:fill="auto"/>
          <w:lang w:eastAsia="zh-CN"/>
        </w:rPr>
        <w:t>基本</w:t>
      </w:r>
      <w:r>
        <w:rPr>
          <w:rFonts w:hint="eastAsia" w:ascii="宋体" w:hAnsi="宋体" w:eastAsia="宋体" w:cs="宋体"/>
          <w:sz w:val="21"/>
          <w:szCs w:val="21"/>
          <w:shd w:val="clear" w:color="050000" w:fill="auto"/>
        </w:rPr>
        <w:t>要求</w:t>
      </w:r>
    </w:p>
    <w:p>
      <w:pPr>
        <w:keepNext w:val="0"/>
        <w:keepLines w:val="0"/>
        <w:pageBreakBefore w:val="0"/>
        <w:widowControl/>
        <w:shd w:val="clear" w:color="auto"/>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050000" w:fill="auto"/>
          <w:lang w:eastAsia="zh-CN"/>
        </w:rPr>
      </w:pPr>
      <w:r>
        <w:rPr>
          <w:rFonts w:hint="eastAsia" w:ascii="宋体" w:hAnsi="宋体" w:eastAsia="宋体" w:cs="宋体"/>
          <w:sz w:val="21"/>
          <w:szCs w:val="21"/>
          <w:shd w:val="clear" w:color="050000" w:fill="auto"/>
          <w:lang w:val="en-US" w:eastAsia="zh-CN"/>
        </w:rPr>
        <w:t>3.1.5.1</w:t>
      </w:r>
      <w:r>
        <w:rPr>
          <w:rFonts w:hint="eastAsia" w:ascii="宋体" w:hAnsi="宋体" w:eastAsia="宋体" w:cs="宋体"/>
          <w:sz w:val="21"/>
          <w:szCs w:val="21"/>
          <w:shd w:val="clear" w:color="050000" w:fill="auto"/>
        </w:rPr>
        <w:t>敷设在多尘或潮湿场所的电线保护管，管口及各连接处均应密封</w:t>
      </w:r>
      <w:r>
        <w:rPr>
          <w:rFonts w:hint="eastAsia" w:ascii="宋体" w:hAnsi="宋体" w:eastAsia="宋体" w:cs="宋体"/>
          <w:sz w:val="21"/>
          <w:szCs w:val="21"/>
          <w:shd w:val="clear" w:color="050000" w:fill="auto"/>
          <w:lang w:eastAsia="zh-CN"/>
        </w:rPr>
        <w:t>。</w:t>
      </w:r>
    </w:p>
    <w:p>
      <w:pPr>
        <w:keepNext w:val="0"/>
        <w:keepLines w:val="0"/>
        <w:pageBreakBefore w:val="0"/>
        <w:widowControl/>
        <w:shd w:val="clear" w:color="auto"/>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050000" w:fill="auto"/>
          <w:lang w:eastAsia="zh-CN"/>
        </w:rPr>
      </w:pPr>
      <w:r>
        <w:rPr>
          <w:rFonts w:hint="eastAsia" w:ascii="宋体" w:hAnsi="宋体" w:eastAsia="宋体" w:cs="宋体"/>
          <w:sz w:val="21"/>
          <w:szCs w:val="21"/>
          <w:shd w:val="clear" w:color="050000" w:fill="auto"/>
          <w:lang w:val="en-US" w:eastAsia="zh-CN"/>
        </w:rPr>
        <w:t>3.1.5.2</w:t>
      </w:r>
      <w:r>
        <w:rPr>
          <w:rFonts w:hint="eastAsia" w:ascii="宋体" w:hAnsi="宋体" w:eastAsia="宋体" w:cs="宋体"/>
          <w:sz w:val="21"/>
          <w:szCs w:val="21"/>
          <w:shd w:val="clear" w:color="050000" w:fill="auto"/>
        </w:rPr>
        <w:t>配线所采用的导线型号、规格</w:t>
      </w:r>
      <w:r>
        <w:rPr>
          <w:rFonts w:hint="eastAsia" w:ascii="宋体" w:hAnsi="宋体" w:eastAsia="宋体" w:cs="宋体"/>
          <w:sz w:val="21"/>
          <w:szCs w:val="21"/>
          <w:shd w:val="clear" w:color="050000" w:fill="auto"/>
          <w:lang w:eastAsia="zh-CN"/>
        </w:rPr>
        <w:t>以及导线的敷设安装</w:t>
      </w:r>
      <w:r>
        <w:rPr>
          <w:rFonts w:hint="eastAsia" w:ascii="宋体" w:hAnsi="宋体" w:eastAsia="宋体" w:cs="宋体"/>
          <w:sz w:val="21"/>
          <w:szCs w:val="21"/>
          <w:shd w:val="clear" w:color="050000" w:fill="auto"/>
        </w:rPr>
        <w:t>应符合</w:t>
      </w:r>
      <w:r>
        <w:rPr>
          <w:rFonts w:hint="eastAsia" w:ascii="宋体" w:hAnsi="宋体" w:eastAsia="宋体" w:cs="宋体"/>
          <w:sz w:val="21"/>
          <w:szCs w:val="21"/>
          <w:shd w:val="clear" w:color="050000" w:fill="auto"/>
          <w:lang w:eastAsia="zh-CN"/>
        </w:rPr>
        <w:t>相关标准要求。</w:t>
      </w:r>
    </w:p>
    <w:p>
      <w:pPr>
        <w:keepNext w:val="0"/>
        <w:keepLines w:val="0"/>
        <w:pageBreakBefore w:val="0"/>
        <w:widowControl/>
        <w:shd w:val="clear" w:color="auto"/>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3.1.5.3</w:t>
      </w:r>
      <w:r>
        <w:rPr>
          <w:rFonts w:hint="eastAsia" w:ascii="宋体" w:hAnsi="宋体" w:eastAsia="宋体" w:cs="宋体"/>
          <w:sz w:val="21"/>
          <w:szCs w:val="21"/>
          <w:shd w:val="clear" w:color="050000" w:fill="auto"/>
        </w:rPr>
        <w:t>所有新安装的电源设备需单独做配电箱控制，不能影响既有控制设备的正常工作。</w:t>
      </w:r>
    </w:p>
    <w:p>
      <w:pPr>
        <w:keepNext w:val="0"/>
        <w:keepLines w:val="0"/>
        <w:pageBreakBefore w:val="0"/>
        <w:widowControl/>
        <w:shd w:val="clear" w:color="auto"/>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3.1.5.4</w:t>
      </w:r>
      <w:r>
        <w:rPr>
          <w:rFonts w:hint="eastAsia" w:ascii="宋体" w:hAnsi="宋体" w:eastAsia="宋体" w:cs="宋体"/>
          <w:sz w:val="21"/>
          <w:szCs w:val="21"/>
          <w:shd w:val="clear" w:color="050000" w:fill="auto"/>
        </w:rPr>
        <w:t>灯具</w:t>
      </w:r>
    </w:p>
    <w:p>
      <w:pPr>
        <w:numPr>
          <w:ilvl w:val="0"/>
          <w:numId w:val="13"/>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灯具及其配件应齐全并应无机械损伤、变形、油漆剥落和灯罩破裂等缺陷。</w:t>
      </w:r>
    </w:p>
    <w:p>
      <w:pPr>
        <w:numPr>
          <w:ilvl w:val="0"/>
          <w:numId w:val="13"/>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根据灯具的安装场所及用途，引向每一灯具的导线芯最小面应符合规定。</w:t>
      </w:r>
    </w:p>
    <w:p>
      <w:pPr>
        <w:numPr>
          <w:ilvl w:val="0"/>
          <w:numId w:val="13"/>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对带开关的灯头，开关手柄不应有裸露的金属部分。</w:t>
      </w:r>
    </w:p>
    <w:p>
      <w:pPr>
        <w:keepNext w:val="0"/>
        <w:keepLines w:val="0"/>
        <w:pageBreakBefore w:val="0"/>
        <w:widowControl/>
        <w:shd w:val="clear" w:color="auto"/>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3.1.5.5</w:t>
      </w:r>
      <w:r>
        <w:rPr>
          <w:rFonts w:hint="eastAsia" w:ascii="宋体" w:hAnsi="宋体" w:eastAsia="宋体" w:cs="宋体"/>
          <w:sz w:val="21"/>
          <w:szCs w:val="21"/>
          <w:shd w:val="clear" w:color="050000" w:fill="auto"/>
        </w:rPr>
        <w:t>插座、开关</w:t>
      </w:r>
    </w:p>
    <w:p>
      <w:pPr>
        <w:numPr>
          <w:ilvl w:val="0"/>
          <w:numId w:val="14"/>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插座</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a</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rPr>
        <w:t>插座的安装高度应符合</w:t>
      </w:r>
      <w:r>
        <w:rPr>
          <w:rFonts w:hint="eastAsia" w:ascii="宋体" w:hAnsi="宋体" w:eastAsia="宋体" w:cs="宋体"/>
          <w:sz w:val="21"/>
          <w:szCs w:val="21"/>
          <w:shd w:val="clear" w:color="050000" w:fill="auto"/>
          <w:lang w:eastAsia="zh-CN"/>
        </w:rPr>
        <w:t>要求</w:t>
      </w:r>
      <w:r>
        <w:rPr>
          <w:rFonts w:hint="eastAsia" w:ascii="宋体" w:hAnsi="宋体" w:eastAsia="宋体" w:cs="宋体"/>
          <w:sz w:val="21"/>
          <w:szCs w:val="21"/>
          <w:shd w:val="clear" w:color="050000" w:fill="auto"/>
        </w:rPr>
        <w:t>。</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b</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rPr>
        <w:t>插座的接线应符合下列要求：</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c</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rPr>
        <w:t>单相两孔插座，面对插座的右孔与相线相接；左孔或下孔与零线相接。单相三孔插座，面对插座的右孔与相线相接；左孔与零线相接。</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d</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rPr>
        <w:t>单相三孔，三相四孔及三相五孔插座的接地线或接零线均</w:t>
      </w:r>
      <w:r>
        <w:rPr>
          <w:rFonts w:hint="eastAsia" w:ascii="宋体" w:hAnsi="宋体" w:eastAsia="宋体" w:cs="宋体"/>
          <w:sz w:val="21"/>
          <w:szCs w:val="21"/>
          <w:highlight w:val="none"/>
          <w:shd w:val="clear" w:color="050000" w:fill="auto"/>
        </w:rPr>
        <w:t>应接在上孔。</w:t>
      </w:r>
      <w:r>
        <w:rPr>
          <w:rFonts w:hint="eastAsia" w:ascii="宋体" w:hAnsi="宋体" w:eastAsia="宋体" w:cs="宋体"/>
          <w:sz w:val="21"/>
          <w:szCs w:val="21"/>
          <w:shd w:val="clear" w:color="050000" w:fill="auto"/>
        </w:rPr>
        <w:t>插座的接地端子不应与零线端子直接相接。</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e</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rPr>
        <w:t>同一场所的三相插座，其接线相位必须一致。</w:t>
      </w:r>
    </w:p>
    <w:p>
      <w:pPr>
        <w:numPr>
          <w:ilvl w:val="0"/>
          <w:numId w:val="14"/>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开关</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a</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rPr>
        <w:t>安装在同一建筑物、构筑物内的开关，宜采用同一类产品。开关的通断位置应一致，且操作灵活，接触可靠。</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b</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rPr>
        <w:t>开关安装的位置应便于操作。</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c</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rPr>
        <w:t>并列安装的相同型号开关距地面高度一致。</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d</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rPr>
        <w:t>相线应经开关控制。</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e</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highlight w:val="none"/>
          <w:shd w:val="clear" w:color="050000" w:fill="auto"/>
        </w:rPr>
        <w:t>暗装的</w:t>
      </w:r>
      <w:r>
        <w:rPr>
          <w:rFonts w:hint="eastAsia" w:ascii="宋体" w:hAnsi="宋体" w:eastAsia="宋体" w:cs="宋体"/>
          <w:sz w:val="21"/>
          <w:szCs w:val="21"/>
          <w:shd w:val="clear" w:color="050000" w:fill="auto"/>
        </w:rPr>
        <w:t>开关应采用专用盒；专用盒的四周不应有空隙且盖板应端正并紧贴墙面。</w:t>
      </w:r>
    </w:p>
    <w:p>
      <w:pPr>
        <w:keepNext w:val="0"/>
        <w:keepLines w:val="0"/>
        <w:pageBreakBefore w:val="0"/>
        <w:shd w:val="clear"/>
        <w:kinsoku/>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3.</w:t>
      </w:r>
      <w:r>
        <w:rPr>
          <w:rFonts w:hint="eastAsia" w:ascii="宋体" w:hAnsi="宋体" w:eastAsia="宋体" w:cs="宋体"/>
          <w:sz w:val="21"/>
          <w:szCs w:val="21"/>
          <w:shd w:val="clear" w:color="050000" w:fill="auto"/>
          <w:lang w:val="en-US" w:eastAsia="zh-CN"/>
        </w:rPr>
        <w:t>1.6</w:t>
      </w:r>
      <w:r>
        <w:rPr>
          <w:rFonts w:hint="eastAsia" w:ascii="宋体" w:hAnsi="宋体" w:eastAsia="宋体" w:cs="宋体"/>
          <w:sz w:val="21"/>
          <w:szCs w:val="21"/>
          <w:shd w:val="clear" w:color="050000" w:fill="auto"/>
        </w:rPr>
        <w:t xml:space="preserve"> PVC地胶施工</w:t>
      </w:r>
    </w:p>
    <w:p>
      <w:pPr>
        <w:keepNext w:val="0"/>
        <w:keepLines w:val="0"/>
        <w:pageBreakBefore w:val="0"/>
        <w:widowControl w:val="0"/>
        <w:numPr>
          <w:ilvl w:val="0"/>
          <w:numId w:val="0"/>
        </w:numPr>
        <w:shd w:val="clear"/>
        <w:kinsoku/>
        <w:overflowPunct/>
        <w:topLinePunct w:val="0"/>
        <w:autoSpaceDE/>
        <w:autoSpaceDN/>
        <w:bidi w:val="0"/>
        <w:adjustRightInd/>
        <w:snapToGrid/>
        <w:spacing w:line="360" w:lineRule="auto"/>
        <w:ind w:leftChars="0" w:firstLine="420" w:firstLineChars="200"/>
        <w:jc w:val="both"/>
        <w:textAlignment w:val="auto"/>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kern w:val="2"/>
          <w:sz w:val="21"/>
          <w:szCs w:val="21"/>
          <w:shd w:val="clear" w:color="050000" w:fill="auto"/>
          <w:lang w:val="en-US" w:eastAsia="zh-CN" w:bidi="ar-SA"/>
        </w:rPr>
        <w:t>3.1.6.1施工顺序：处理基层——涂底油——分格弹线——试铺地板——刮胶——铺贴地板——排气压实——清洁保养——成品保护</w:t>
      </w:r>
    </w:p>
    <w:p>
      <w:pPr>
        <w:keepNext w:val="0"/>
        <w:keepLines w:val="0"/>
        <w:pageBreakBefore w:val="0"/>
        <w:widowControl w:val="0"/>
        <w:numPr>
          <w:ilvl w:val="0"/>
          <w:numId w:val="0"/>
        </w:numPr>
        <w:shd w:val="clear"/>
        <w:kinsoku/>
        <w:overflowPunct/>
        <w:topLinePunct w:val="0"/>
        <w:autoSpaceDE/>
        <w:autoSpaceDN/>
        <w:bidi w:val="0"/>
        <w:adjustRightInd/>
        <w:snapToGrid/>
        <w:spacing w:line="360" w:lineRule="auto"/>
        <w:ind w:leftChars="0" w:firstLine="420" w:firstLineChars="200"/>
        <w:jc w:val="both"/>
        <w:textAlignment w:val="auto"/>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kern w:val="2"/>
          <w:sz w:val="21"/>
          <w:szCs w:val="21"/>
          <w:shd w:val="clear" w:color="050000" w:fill="auto"/>
          <w:lang w:val="en-US" w:eastAsia="zh-CN" w:bidi="ar-SA"/>
        </w:rPr>
        <w:t>3.1.6.2施工标准：</w:t>
      </w:r>
    </w:p>
    <w:p>
      <w:pPr>
        <w:numPr>
          <w:ilvl w:val="0"/>
          <w:numId w:val="15"/>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 xml:space="preserve">地坪预处理: </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a</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rPr>
        <w:t>地坪要求:干净、干燥、无油脂、无起沙、裂缝等现象,表面光洁度手摸无粗糙感。</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b）采用地坪打磨机配适当的磨片对地坪进行整体打磨, 除去油漆,胶水等残留物,凸起和疏松的地块,有空鼓的地块也必须去除</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c</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lang w:val="en-US" w:eastAsia="zh-CN"/>
        </w:rPr>
        <w:t>对于地坪上的裂缝,可采用不锈钢加强筋以</w:t>
      </w:r>
      <w:r>
        <w:rPr>
          <w:rFonts w:hint="eastAsia" w:ascii="宋体" w:hAnsi="宋体" w:eastAsia="宋体" w:cs="宋体"/>
          <w:sz w:val="21"/>
          <w:szCs w:val="21"/>
          <w:highlight w:val="none"/>
          <w:shd w:val="clear" w:color="050000" w:fill="auto"/>
          <w:lang w:val="en-US" w:eastAsia="zh-CN"/>
        </w:rPr>
        <w:t>及聚氨脂防</w:t>
      </w:r>
      <w:r>
        <w:rPr>
          <w:rFonts w:hint="eastAsia" w:ascii="宋体" w:hAnsi="宋体" w:eastAsia="宋体" w:cs="宋体"/>
          <w:sz w:val="21"/>
          <w:szCs w:val="21"/>
          <w:shd w:val="clear" w:color="050000" w:fill="auto"/>
          <w:lang w:val="en-US" w:eastAsia="zh-CN"/>
        </w:rPr>
        <w:t>水型粘合剂表面铺石英砂进行修补</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d</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lang w:val="en-US" w:eastAsia="zh-CN"/>
        </w:rPr>
        <w:t>地下室或较潮湿的地面须于土建时备置适当的防水处理,铺装前需检查地坪是否已完全干透。</w:t>
      </w:r>
    </w:p>
    <w:p>
      <w:pPr>
        <w:numPr>
          <w:ilvl w:val="0"/>
          <w:numId w:val="15"/>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PVC塑胶地板施工</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a</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lang w:val="en-US" w:eastAsia="zh-CN"/>
        </w:rPr>
        <w:t xml:space="preserve">预铺及裁割: </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无论是卷材还是块材,使用材料记忆性还原,温度与施工现场一致。</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使用专用的修边器对卷材的毛边进行切割清理;</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卷材铺设时,两块材料的搭接处应采用重叠切割,注意保持一刀割断</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块材铺设时,两块材料之间应紧贴并没有接缝。</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b）排气、滚压:</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a、地板粘贴后,先用软木块推压地板表面进行平整并挤出空气;</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shd w:val="clear" w:color="050000" w:fill="auto"/>
          <w:lang w:val="en-US" w:eastAsia="zh-CN"/>
        </w:rPr>
        <w:t>b、 随后用钢压辊均匀滚压</w:t>
      </w:r>
      <w:r>
        <w:rPr>
          <w:rFonts w:hint="eastAsia" w:ascii="宋体" w:hAnsi="宋体" w:eastAsia="宋体" w:cs="宋体"/>
          <w:sz w:val="21"/>
          <w:szCs w:val="21"/>
          <w:highlight w:val="none"/>
          <w:shd w:val="clear" w:color="050000" w:fill="auto"/>
          <w:lang w:val="en-US" w:eastAsia="zh-CN"/>
        </w:rPr>
        <w:t>地板并及时修整拼接处翘边的情况;</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c、进行开槽和焊缝。</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c</w:t>
      </w:r>
      <w:r>
        <w:rPr>
          <w:rFonts w:hint="eastAsia" w:ascii="宋体" w:hAnsi="宋体" w:eastAsia="宋体" w:cs="宋体"/>
          <w:sz w:val="21"/>
          <w:szCs w:val="21"/>
          <w:highlight w:val="none"/>
          <w:shd w:val="clear" w:color="050000" w:fill="auto"/>
          <w:lang w:eastAsia="zh-CN"/>
        </w:rPr>
        <w:t>）</w:t>
      </w:r>
      <w:r>
        <w:rPr>
          <w:rFonts w:hint="eastAsia" w:ascii="宋体" w:hAnsi="宋体" w:eastAsia="宋体" w:cs="宋体"/>
          <w:sz w:val="21"/>
          <w:szCs w:val="21"/>
          <w:highlight w:val="none"/>
          <w:shd w:val="clear" w:color="050000" w:fill="auto"/>
          <w:lang w:val="en-US" w:eastAsia="zh-CN"/>
        </w:rPr>
        <w:t>开槽:</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使用专用的开槽器沿接缝处进行开槽, 为使焊接牢固,开缝不应透底,建议开槽深度为地板厚度的2/3;</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highlight w:val="none"/>
          <w:shd w:val="clear" w:color="050000" w:fill="auto"/>
          <w:lang w:val="en-US" w:eastAsia="zh-CN"/>
        </w:rPr>
        <w:t>在开缝器无法开刀的末端部位,请使用手动开缝器以同</w:t>
      </w:r>
      <w:r>
        <w:rPr>
          <w:rFonts w:hint="eastAsia" w:ascii="宋体" w:hAnsi="宋体" w:eastAsia="宋体" w:cs="宋体"/>
          <w:sz w:val="21"/>
          <w:szCs w:val="21"/>
          <w:shd w:val="clear" w:color="050000" w:fill="auto"/>
          <w:lang w:val="en-US" w:eastAsia="zh-CN"/>
        </w:rPr>
        <w:t>样的深度和宽度开缝;</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焊缝之前,须清除槽内残留的灰尘和碎料。</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d</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lang w:val="en-US" w:eastAsia="zh-CN"/>
        </w:rPr>
        <w:t xml:space="preserve">焊缝: </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可选用手工焊枪或自动焊接设备进行焊缝;</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焊枪的温度应设置于350～400度左右;</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c、以适当的焊接速度(保证焊条熔化),匀速地将焊条挤压入开好的槽中;</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d、在焊条半冷却时,用焊条修平器或月型割刀把焊条余下的凸起部分割去, 一般作两次削刮,这样使PVC地材之间的接缝更具完全平整的效果。</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e</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lang w:val="en-US" w:eastAsia="zh-CN"/>
        </w:rPr>
        <w:t>卫生清理:施工完毕之后清理、清洁现场。</w:t>
      </w:r>
    </w:p>
    <w:p>
      <w:pPr>
        <w:keepNext w:val="0"/>
        <w:keepLines w:val="0"/>
        <w:pageBreakBefore w:val="0"/>
        <w:shd w:val="clear"/>
        <w:kinsoku/>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rPr>
        <w:t>3.</w:t>
      </w:r>
      <w:r>
        <w:rPr>
          <w:rFonts w:hint="eastAsia" w:ascii="宋体" w:hAnsi="宋体" w:eastAsia="宋体" w:cs="宋体"/>
          <w:sz w:val="21"/>
          <w:szCs w:val="21"/>
          <w:shd w:val="clear" w:color="050000" w:fill="auto"/>
          <w:lang w:val="en-US" w:eastAsia="zh-CN"/>
        </w:rPr>
        <w:t>1.7</w:t>
      </w:r>
      <w:r>
        <w:rPr>
          <w:rFonts w:hint="eastAsia" w:ascii="宋体" w:hAnsi="宋体" w:eastAsia="宋体" w:cs="宋体"/>
          <w:sz w:val="21"/>
          <w:szCs w:val="21"/>
          <w:shd w:val="clear" w:color="050000" w:fill="auto"/>
        </w:rPr>
        <w:t xml:space="preserve"> </w:t>
      </w:r>
      <w:r>
        <w:rPr>
          <w:rFonts w:hint="eastAsia" w:ascii="宋体" w:hAnsi="宋体" w:eastAsia="宋体" w:cs="宋体"/>
          <w:sz w:val="21"/>
          <w:szCs w:val="21"/>
          <w:shd w:val="clear" w:color="050000" w:fill="auto"/>
          <w:lang w:eastAsia="zh-CN"/>
        </w:rPr>
        <w:t>其他详见工程量清单。</w:t>
      </w:r>
    </w:p>
    <w:p>
      <w:pPr>
        <w:widowControl w:val="0"/>
        <w:numPr>
          <w:ilvl w:val="0"/>
          <w:numId w:val="11"/>
        </w:numPr>
        <w:shd w:val="clear"/>
        <w:spacing w:line="360" w:lineRule="auto"/>
        <w:ind w:left="840" w:hanging="420" w:firstLineChars="0"/>
        <w:jc w:val="both"/>
        <w:outlineLvl w:val="1"/>
        <w:rPr>
          <w:rFonts w:hint="eastAsia" w:ascii="宋体" w:hAnsi="宋体" w:eastAsia="宋体" w:cs="宋体"/>
          <w:b/>
          <w:bCs/>
          <w:kern w:val="2"/>
          <w:sz w:val="21"/>
          <w:szCs w:val="21"/>
          <w:shd w:val="clear" w:color="050000" w:fill="auto"/>
          <w:lang w:val="en-US" w:eastAsia="zh-CN" w:bidi="ar-SA"/>
        </w:rPr>
      </w:pPr>
      <w:bookmarkStart w:id="93" w:name="_Toc5020"/>
      <w:r>
        <w:rPr>
          <w:rFonts w:hint="eastAsia" w:ascii="宋体" w:hAnsi="宋体" w:eastAsia="宋体" w:cs="宋体"/>
          <w:b/>
          <w:bCs/>
          <w:kern w:val="2"/>
          <w:sz w:val="21"/>
          <w:szCs w:val="21"/>
          <w:shd w:val="clear" w:color="050000" w:fill="auto"/>
          <w:lang w:val="en-US" w:eastAsia="zh-CN" w:bidi="ar-SA"/>
        </w:rPr>
        <w:t>执行参考标准</w:t>
      </w:r>
      <w:bookmarkEnd w:id="88"/>
      <w:bookmarkEnd w:id="89"/>
      <w:bookmarkEnd w:id="93"/>
    </w:p>
    <w:p>
      <w:pPr>
        <w:keepNext w:val="0"/>
        <w:keepLines w:val="0"/>
        <w:pageBreakBefore w:val="0"/>
        <w:shd w:val="clear"/>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施工及竣工验收中应遵守国家的现行相关规程规范，主要有：</w:t>
      </w:r>
    </w:p>
    <w:tbl>
      <w:tblPr>
        <w:tblStyle w:val="46"/>
        <w:tblW w:w="8580" w:type="dxa"/>
        <w:tblInd w:w="0" w:type="dxa"/>
        <w:tblLayout w:type="fixed"/>
        <w:tblCellMar>
          <w:top w:w="15" w:type="dxa"/>
          <w:left w:w="15" w:type="dxa"/>
          <w:bottom w:w="15" w:type="dxa"/>
          <w:right w:w="15" w:type="dxa"/>
        </w:tblCellMar>
      </w:tblPr>
      <w:tblGrid>
        <w:gridCol w:w="880"/>
        <w:gridCol w:w="2585"/>
        <w:gridCol w:w="5115"/>
      </w:tblGrid>
      <w:tr>
        <w:tblPrEx>
          <w:tblCellMar>
            <w:top w:w="15" w:type="dxa"/>
            <w:left w:w="15" w:type="dxa"/>
            <w:bottom w:w="15" w:type="dxa"/>
            <w:right w:w="15" w:type="dxa"/>
          </w:tblCellMar>
        </w:tblPrEx>
        <w:trPr>
          <w:trHeight w:val="555" w:hRule="atLeast"/>
        </w:trPr>
        <w:tc>
          <w:tcPr>
            <w:tcW w:w="8580" w:type="dxa"/>
            <w:gridSpan w:val="3"/>
            <w:tcBorders>
              <w:top w:val="single" w:color="auto" w:sz="4" w:space="0"/>
              <w:left w:val="single" w:color="auto" w:sz="4" w:space="0"/>
              <w:bottom w:val="single" w:color="auto" w:sz="4" w:space="0"/>
              <w:right w:val="single" w:color="auto" w:sz="4" w:space="0"/>
            </w:tcBorders>
            <w:noWrap/>
            <w:vAlign w:val="center"/>
          </w:tcPr>
          <w:p>
            <w:pPr>
              <w:widowControl/>
              <w:shd w:val="clear"/>
              <w:spacing w:line="560" w:lineRule="exact"/>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标准汇总表</w:t>
            </w:r>
          </w:p>
        </w:tc>
      </w:tr>
      <w:tr>
        <w:tblPrEx>
          <w:tblCellMar>
            <w:top w:w="15" w:type="dxa"/>
            <w:left w:w="15" w:type="dxa"/>
            <w:bottom w:w="15" w:type="dxa"/>
            <w:right w:w="15" w:type="dxa"/>
          </w:tblCellMar>
        </w:tblPrEx>
        <w:trPr>
          <w:trHeight w:val="555" w:hRule="atLeast"/>
        </w:trPr>
        <w:tc>
          <w:tcPr>
            <w:tcW w:w="880" w:type="dxa"/>
            <w:tcBorders>
              <w:top w:val="single" w:color="auto" w:sz="4" w:space="0"/>
              <w:left w:val="single" w:color="auto" w:sz="4" w:space="0"/>
              <w:bottom w:val="single" w:color="auto" w:sz="4" w:space="0"/>
              <w:right w:val="single" w:color="auto" w:sz="4" w:space="0"/>
            </w:tcBorders>
            <w:noWrap/>
            <w:vAlign w:val="center"/>
          </w:tcPr>
          <w:p>
            <w:pPr>
              <w:widowControl/>
              <w:shd w:val="clear"/>
              <w:spacing w:line="560" w:lineRule="exact"/>
              <w:ind w:firstLine="211" w:firstLineChars="100"/>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序号</w:t>
            </w:r>
          </w:p>
        </w:tc>
        <w:tc>
          <w:tcPr>
            <w:tcW w:w="2585" w:type="dxa"/>
            <w:tcBorders>
              <w:top w:val="single" w:color="auto" w:sz="4" w:space="0"/>
              <w:left w:val="single" w:color="auto" w:sz="4" w:space="0"/>
              <w:bottom w:val="single" w:color="auto" w:sz="4" w:space="0"/>
              <w:right w:val="single" w:color="auto" w:sz="4" w:space="0"/>
            </w:tcBorders>
            <w:noWrap/>
            <w:vAlign w:val="center"/>
          </w:tcPr>
          <w:p>
            <w:pPr>
              <w:widowControl/>
              <w:shd w:val="clear"/>
              <w:spacing w:line="560" w:lineRule="exact"/>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标准代号</w:t>
            </w:r>
          </w:p>
        </w:tc>
        <w:tc>
          <w:tcPr>
            <w:tcW w:w="5115" w:type="dxa"/>
            <w:tcBorders>
              <w:top w:val="single" w:color="auto" w:sz="4" w:space="0"/>
              <w:left w:val="single" w:color="auto" w:sz="4" w:space="0"/>
              <w:bottom w:val="single" w:color="auto" w:sz="4" w:space="0"/>
              <w:right w:val="single" w:color="auto" w:sz="4" w:space="0"/>
            </w:tcBorders>
            <w:noWrap/>
            <w:vAlign w:val="center"/>
          </w:tcPr>
          <w:p>
            <w:pPr>
              <w:widowControl/>
              <w:shd w:val="clear"/>
              <w:spacing w:line="560" w:lineRule="exact"/>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标准名称</w:t>
            </w:r>
          </w:p>
        </w:tc>
      </w:tr>
      <w:tr>
        <w:tblPrEx>
          <w:tblCellMar>
            <w:top w:w="15" w:type="dxa"/>
            <w:left w:w="15" w:type="dxa"/>
            <w:bottom w:w="15" w:type="dxa"/>
            <w:right w:w="15" w:type="dxa"/>
          </w:tblCellMar>
        </w:tblPrEx>
        <w:trPr>
          <w:trHeight w:val="509" w:hRule="atLeast"/>
        </w:trPr>
        <w:tc>
          <w:tcPr>
            <w:tcW w:w="88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1</w:t>
            </w:r>
          </w:p>
        </w:tc>
        <w:tc>
          <w:tcPr>
            <w:tcW w:w="258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GB50354-2005</w:t>
            </w:r>
          </w:p>
        </w:tc>
        <w:tc>
          <w:tcPr>
            <w:tcW w:w="511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《建筑内部装修防火施工及验收规范》</w:t>
            </w:r>
          </w:p>
        </w:tc>
      </w:tr>
      <w:tr>
        <w:tblPrEx>
          <w:tblCellMar>
            <w:top w:w="15" w:type="dxa"/>
            <w:left w:w="15" w:type="dxa"/>
            <w:bottom w:w="15" w:type="dxa"/>
            <w:right w:w="15" w:type="dxa"/>
          </w:tblCellMar>
        </w:tblPrEx>
        <w:trPr>
          <w:trHeight w:val="509"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2</w:t>
            </w:r>
          </w:p>
        </w:tc>
        <w:tc>
          <w:tcPr>
            <w:tcW w:w="2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GB50300-2001</w:t>
            </w:r>
          </w:p>
        </w:tc>
        <w:tc>
          <w:tcPr>
            <w:tcW w:w="5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《建筑工程施工质量验收统一标准》</w:t>
            </w:r>
          </w:p>
        </w:tc>
      </w:tr>
      <w:tr>
        <w:tblPrEx>
          <w:tblCellMar>
            <w:top w:w="15" w:type="dxa"/>
            <w:left w:w="15" w:type="dxa"/>
            <w:bottom w:w="15" w:type="dxa"/>
            <w:right w:w="15" w:type="dxa"/>
          </w:tblCellMar>
        </w:tblPrEx>
        <w:trPr>
          <w:trHeight w:val="509"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3</w:t>
            </w:r>
          </w:p>
        </w:tc>
        <w:tc>
          <w:tcPr>
            <w:tcW w:w="2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GB50210-2001</w:t>
            </w:r>
          </w:p>
        </w:tc>
        <w:tc>
          <w:tcPr>
            <w:tcW w:w="5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《建筑装饰装修工程施工质量验收规范》</w:t>
            </w:r>
          </w:p>
        </w:tc>
      </w:tr>
      <w:tr>
        <w:tblPrEx>
          <w:tblCellMar>
            <w:top w:w="15" w:type="dxa"/>
            <w:left w:w="15" w:type="dxa"/>
            <w:bottom w:w="15" w:type="dxa"/>
            <w:right w:w="15" w:type="dxa"/>
          </w:tblCellMar>
        </w:tblPrEx>
        <w:trPr>
          <w:trHeight w:val="509"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4</w:t>
            </w:r>
          </w:p>
        </w:tc>
        <w:tc>
          <w:tcPr>
            <w:tcW w:w="2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rPr>
              <w:t>GB50327—20</w:t>
            </w:r>
            <w:r>
              <w:rPr>
                <w:rFonts w:hint="eastAsia" w:ascii="宋体" w:hAnsi="宋体" w:eastAsia="宋体" w:cs="宋体"/>
                <w:sz w:val="21"/>
                <w:szCs w:val="21"/>
                <w:highlight w:val="none"/>
                <w:shd w:val="clear" w:color="050000" w:fill="auto"/>
                <w:lang w:val="en-US" w:eastAsia="zh-CN"/>
              </w:rPr>
              <w:t>18</w:t>
            </w:r>
          </w:p>
        </w:tc>
        <w:tc>
          <w:tcPr>
            <w:tcW w:w="5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《建筑装饰装修工程质量验收规范》</w:t>
            </w:r>
          </w:p>
        </w:tc>
      </w:tr>
      <w:tr>
        <w:tblPrEx>
          <w:tblCellMar>
            <w:top w:w="15" w:type="dxa"/>
            <w:left w:w="15" w:type="dxa"/>
            <w:bottom w:w="15" w:type="dxa"/>
            <w:right w:w="15" w:type="dxa"/>
          </w:tblCellMar>
        </w:tblPrEx>
        <w:trPr>
          <w:trHeight w:val="509"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5</w:t>
            </w:r>
          </w:p>
        </w:tc>
        <w:tc>
          <w:tcPr>
            <w:tcW w:w="2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GB50203-2011</w:t>
            </w:r>
          </w:p>
        </w:tc>
        <w:tc>
          <w:tcPr>
            <w:tcW w:w="5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《砌体工程施工质量验收规范》</w:t>
            </w:r>
          </w:p>
        </w:tc>
      </w:tr>
      <w:tr>
        <w:tblPrEx>
          <w:tblCellMar>
            <w:top w:w="15" w:type="dxa"/>
            <w:left w:w="15" w:type="dxa"/>
            <w:bottom w:w="15" w:type="dxa"/>
            <w:right w:w="15" w:type="dxa"/>
          </w:tblCellMar>
        </w:tblPrEx>
        <w:trPr>
          <w:trHeight w:val="509"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6</w:t>
            </w:r>
          </w:p>
        </w:tc>
        <w:tc>
          <w:tcPr>
            <w:tcW w:w="2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rPr>
              <w:t>GB50254～50259</w:t>
            </w:r>
            <w:r>
              <w:rPr>
                <w:rFonts w:hint="eastAsia" w:ascii="宋体" w:hAnsi="宋体" w:eastAsia="宋体" w:cs="宋体"/>
                <w:sz w:val="21"/>
                <w:szCs w:val="21"/>
                <w:highlight w:val="none"/>
                <w:shd w:val="clear" w:color="050000" w:fill="auto"/>
                <w:lang w:val="en-US" w:eastAsia="zh-CN"/>
              </w:rPr>
              <w:t>-2016</w:t>
            </w:r>
          </w:p>
        </w:tc>
        <w:tc>
          <w:tcPr>
            <w:tcW w:w="5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《电气装置安装工程施工及验收规范》</w:t>
            </w:r>
          </w:p>
        </w:tc>
      </w:tr>
      <w:tr>
        <w:tblPrEx>
          <w:tblCellMar>
            <w:top w:w="15" w:type="dxa"/>
            <w:left w:w="15" w:type="dxa"/>
            <w:bottom w:w="15" w:type="dxa"/>
            <w:right w:w="15" w:type="dxa"/>
          </w:tblCellMar>
        </w:tblPrEx>
        <w:trPr>
          <w:trHeight w:val="509"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7</w:t>
            </w:r>
          </w:p>
        </w:tc>
        <w:tc>
          <w:tcPr>
            <w:tcW w:w="2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rPr>
              <w:t>JGJ46</w:t>
            </w:r>
            <w:r>
              <w:rPr>
                <w:rFonts w:hint="eastAsia" w:ascii="宋体" w:hAnsi="宋体" w:eastAsia="宋体" w:cs="宋体"/>
                <w:sz w:val="21"/>
                <w:szCs w:val="21"/>
                <w:highlight w:val="none"/>
                <w:shd w:val="clear" w:color="050000" w:fill="auto"/>
                <w:lang w:val="en-US" w:eastAsia="zh-CN"/>
              </w:rPr>
              <w:t>-2005</w:t>
            </w:r>
          </w:p>
        </w:tc>
        <w:tc>
          <w:tcPr>
            <w:tcW w:w="5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《施工现场临时用电安全技术规范》</w:t>
            </w:r>
          </w:p>
        </w:tc>
      </w:tr>
      <w:tr>
        <w:tblPrEx>
          <w:tblCellMar>
            <w:top w:w="15" w:type="dxa"/>
            <w:left w:w="15" w:type="dxa"/>
            <w:bottom w:w="15" w:type="dxa"/>
            <w:right w:w="15" w:type="dxa"/>
          </w:tblCellMar>
        </w:tblPrEx>
        <w:trPr>
          <w:trHeight w:val="509" w:hRule="atLeast"/>
        </w:trPr>
        <w:tc>
          <w:tcPr>
            <w:tcW w:w="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8</w:t>
            </w:r>
          </w:p>
        </w:tc>
        <w:tc>
          <w:tcPr>
            <w:tcW w:w="2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GBJ01</w:t>
            </w:r>
            <w:r>
              <w:rPr>
                <w:rFonts w:hint="eastAsia" w:ascii="宋体" w:hAnsi="宋体" w:eastAsia="宋体" w:cs="宋体"/>
                <w:sz w:val="21"/>
                <w:szCs w:val="21"/>
                <w:highlight w:val="none"/>
                <w:shd w:val="clear" w:color="050000" w:fill="auto"/>
                <w:lang w:val="en-US" w:eastAsia="zh-CN"/>
              </w:rPr>
              <w:t>-</w:t>
            </w:r>
            <w:r>
              <w:rPr>
                <w:rFonts w:hint="eastAsia" w:ascii="宋体" w:hAnsi="宋体" w:eastAsia="宋体" w:cs="宋体"/>
                <w:sz w:val="21"/>
                <w:szCs w:val="21"/>
                <w:highlight w:val="none"/>
                <w:shd w:val="clear" w:color="050000" w:fill="auto"/>
              </w:rPr>
              <w:t>26</w:t>
            </w:r>
            <w:r>
              <w:rPr>
                <w:rFonts w:hint="eastAsia" w:ascii="宋体" w:hAnsi="宋体" w:eastAsia="宋体" w:cs="宋体"/>
                <w:sz w:val="21"/>
                <w:szCs w:val="21"/>
                <w:highlight w:val="none"/>
                <w:shd w:val="clear" w:color="050000" w:fill="auto"/>
                <w:lang w:val="en-US" w:eastAsia="zh-CN"/>
              </w:rPr>
              <w:t>-</w:t>
            </w:r>
            <w:r>
              <w:rPr>
                <w:rFonts w:hint="eastAsia" w:ascii="宋体" w:hAnsi="宋体" w:eastAsia="宋体" w:cs="宋体"/>
                <w:sz w:val="21"/>
                <w:szCs w:val="21"/>
                <w:highlight w:val="none"/>
                <w:shd w:val="clear" w:color="050000" w:fill="auto"/>
              </w:rPr>
              <w:t>96</w:t>
            </w:r>
          </w:p>
        </w:tc>
        <w:tc>
          <w:tcPr>
            <w:tcW w:w="5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《建筑安装分项工程施工工艺规程》（第二分册）</w:t>
            </w:r>
          </w:p>
        </w:tc>
      </w:tr>
    </w:tbl>
    <w:p>
      <w:pPr>
        <w:keepNext w:val="0"/>
        <w:keepLines w:val="0"/>
        <w:pageBreakBefore w:val="0"/>
        <w:shd w:val="clear"/>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shd w:val="clear" w:color="050000" w:fill="auto"/>
          <w:lang w:eastAsia="zh-CN"/>
        </w:rPr>
      </w:pPr>
      <w:r>
        <w:rPr>
          <w:rFonts w:hint="eastAsia" w:ascii="宋体" w:hAnsi="宋体" w:eastAsia="宋体" w:cs="宋体"/>
          <w:sz w:val="21"/>
          <w:szCs w:val="21"/>
          <w:shd w:val="clear" w:color="050000" w:fill="auto"/>
        </w:rPr>
        <w:t>上述标准和规范如有不涉及之处或未能达到国际和国家最新标准时，</w:t>
      </w:r>
      <w:r>
        <w:rPr>
          <w:rFonts w:hint="eastAsia" w:ascii="宋体" w:hAnsi="宋体" w:eastAsia="宋体" w:cs="宋体"/>
          <w:sz w:val="21"/>
          <w:szCs w:val="21"/>
          <w:shd w:val="clear" w:color="050000" w:fill="auto"/>
          <w:lang w:eastAsia="zh-CN"/>
        </w:rPr>
        <w:t>谈判</w:t>
      </w:r>
      <w:r>
        <w:rPr>
          <w:rFonts w:hint="eastAsia" w:ascii="宋体" w:hAnsi="宋体" w:eastAsia="宋体" w:cs="宋体"/>
          <w:sz w:val="21"/>
          <w:szCs w:val="21"/>
          <w:shd w:val="clear" w:color="050000" w:fill="auto"/>
        </w:rPr>
        <w:t>单位提供的产品需符合最新版本的国际、国家标准和规范，并提供所采用的国际、国家标准和规范以及所采用版本的有关技术资料</w:t>
      </w:r>
      <w:r>
        <w:rPr>
          <w:rFonts w:hint="eastAsia" w:ascii="宋体" w:hAnsi="宋体" w:eastAsia="宋体" w:cs="宋体"/>
          <w:sz w:val="21"/>
          <w:szCs w:val="21"/>
          <w:shd w:val="clear" w:color="050000" w:fill="auto"/>
          <w:lang w:eastAsia="zh-CN"/>
        </w:rPr>
        <w:t>。</w:t>
      </w:r>
    </w:p>
    <w:p>
      <w:pPr>
        <w:keepNext/>
        <w:keepLines/>
        <w:widowControl w:val="0"/>
        <w:numPr>
          <w:ilvl w:val="0"/>
          <w:numId w:val="6"/>
        </w:numPr>
        <w:shd w:val="clear"/>
        <w:spacing w:line="180" w:lineRule="auto"/>
        <w:ind w:left="420" w:hanging="420"/>
        <w:jc w:val="both"/>
        <w:outlineLvl w:val="0"/>
        <w:rPr>
          <w:rFonts w:hint="eastAsia" w:ascii="宋体" w:hAnsi="宋体" w:eastAsia="宋体" w:cs="宋体"/>
          <w:b/>
          <w:bCs/>
          <w:kern w:val="44"/>
          <w:sz w:val="21"/>
          <w:szCs w:val="21"/>
          <w:lang w:val="en-US" w:eastAsia="zh-CN" w:bidi="ar-SA"/>
        </w:rPr>
      </w:pPr>
      <w:bookmarkStart w:id="94" w:name="_Toc2196753"/>
      <w:bookmarkStart w:id="95" w:name="_Toc11179"/>
      <w:bookmarkStart w:id="96" w:name="_Toc536513592"/>
      <w:r>
        <w:rPr>
          <w:rFonts w:hint="eastAsia" w:ascii="宋体" w:hAnsi="宋体" w:eastAsia="宋体" w:cs="宋体"/>
          <w:b/>
          <w:bCs/>
          <w:kern w:val="44"/>
          <w:sz w:val="21"/>
          <w:szCs w:val="21"/>
          <w:lang w:val="en-US" w:eastAsia="zh-CN" w:bidi="ar-SA"/>
        </w:rPr>
        <w:t>工程量清单</w:t>
      </w:r>
      <w:bookmarkEnd w:id="94"/>
      <w:bookmarkEnd w:id="95"/>
      <w:bookmarkEnd w:id="96"/>
      <w:bookmarkStart w:id="97" w:name="_Toc2196754"/>
      <w:bookmarkStart w:id="98" w:name="_Toc536513593"/>
    </w:p>
    <w:tbl>
      <w:tblPr>
        <w:tblStyle w:val="46"/>
        <w:tblW w:w="9129" w:type="dxa"/>
        <w:tblInd w:w="96" w:type="dxa"/>
        <w:tblLayout w:type="fixed"/>
        <w:tblCellMar>
          <w:top w:w="0" w:type="dxa"/>
          <w:left w:w="108" w:type="dxa"/>
          <w:bottom w:w="0" w:type="dxa"/>
          <w:right w:w="108" w:type="dxa"/>
        </w:tblCellMar>
      </w:tblPr>
      <w:tblGrid>
        <w:gridCol w:w="586"/>
        <w:gridCol w:w="1955"/>
        <w:gridCol w:w="3875"/>
        <w:gridCol w:w="863"/>
        <w:gridCol w:w="925"/>
        <w:gridCol w:w="925"/>
      </w:tblGrid>
      <w:tr>
        <w:tblPrEx>
          <w:tblCellMar>
            <w:top w:w="0" w:type="dxa"/>
            <w:left w:w="108" w:type="dxa"/>
            <w:bottom w:w="0" w:type="dxa"/>
            <w:right w:w="108" w:type="dxa"/>
          </w:tblCellMar>
        </w:tblPrEx>
        <w:trPr>
          <w:trHeight w:val="312"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序号</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项目名称</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b/>
                <w:bCs/>
                <w:kern w:val="0"/>
                <w:sz w:val="21"/>
                <w:szCs w:val="21"/>
                <w:highlight w:val="none"/>
                <w:lang w:eastAsia="zh-CN"/>
              </w:rPr>
            </w:pPr>
            <w:r>
              <w:rPr>
                <w:rFonts w:hint="eastAsia" w:ascii="宋体" w:hAnsi="宋体" w:eastAsia="宋体" w:cs="宋体"/>
                <w:b/>
                <w:bCs/>
                <w:kern w:val="0"/>
                <w:sz w:val="21"/>
                <w:szCs w:val="21"/>
                <w:highlight w:val="none"/>
                <w:lang w:eastAsia="zh-CN"/>
              </w:rPr>
              <w:t>标准或要求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计量</w:t>
            </w:r>
            <w:r>
              <w:rPr>
                <w:rFonts w:hint="eastAsia" w:ascii="宋体" w:hAnsi="宋体" w:eastAsia="宋体" w:cs="宋体"/>
                <w:b/>
                <w:bCs/>
                <w:kern w:val="0"/>
                <w:sz w:val="21"/>
                <w:szCs w:val="21"/>
                <w:highlight w:val="none"/>
              </w:rPr>
              <w:br w:type="textWrapping"/>
            </w:r>
            <w:r>
              <w:rPr>
                <w:rFonts w:hint="eastAsia" w:ascii="宋体" w:hAnsi="宋体" w:eastAsia="宋体" w:cs="宋体"/>
                <w:b/>
                <w:bCs/>
                <w:kern w:val="0"/>
                <w:sz w:val="21"/>
                <w:szCs w:val="21"/>
                <w:highlight w:val="none"/>
              </w:rPr>
              <w:t>单位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工程量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b/>
                <w:bCs/>
                <w:kern w:val="0"/>
                <w:sz w:val="21"/>
                <w:szCs w:val="21"/>
                <w:highlight w:val="none"/>
                <w:lang w:eastAsia="zh-CN"/>
              </w:rPr>
            </w:pPr>
            <w:r>
              <w:rPr>
                <w:rFonts w:hint="eastAsia" w:ascii="宋体" w:hAnsi="宋体" w:eastAsia="宋体" w:cs="宋体"/>
                <w:b/>
                <w:bCs/>
                <w:kern w:val="0"/>
                <w:sz w:val="21"/>
                <w:szCs w:val="21"/>
                <w:highlight w:val="none"/>
                <w:lang w:eastAsia="zh-CN"/>
              </w:rPr>
              <w:t>备注</w:t>
            </w:r>
          </w:p>
        </w:tc>
      </w:tr>
      <w:tr>
        <w:tblPrEx>
          <w:tblCellMar>
            <w:top w:w="0" w:type="dxa"/>
            <w:left w:w="108" w:type="dxa"/>
            <w:bottom w:w="0" w:type="dxa"/>
            <w:right w:w="108" w:type="dxa"/>
          </w:tblCellMar>
        </w:tblPrEx>
        <w:trPr>
          <w:trHeight w:val="90" w:hRule="atLeast"/>
        </w:trPr>
        <w:tc>
          <w:tcPr>
            <w:tcW w:w="9129"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一、场地改造部分</w:t>
            </w:r>
          </w:p>
        </w:tc>
      </w:tr>
      <w:tr>
        <w:tblPrEx>
          <w:tblCellMar>
            <w:top w:w="0" w:type="dxa"/>
            <w:left w:w="108" w:type="dxa"/>
            <w:bottom w:w="0" w:type="dxa"/>
            <w:right w:w="108" w:type="dxa"/>
          </w:tblCellMar>
        </w:tblPrEx>
        <w:trPr>
          <w:trHeight w:val="70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运动场地打磨、修补</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35.5*24.7m</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专用缝隙填补，打磨机打磨平整，坡度控制在3‰内</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876.85</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2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运动场地自流平</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35.5*24.7m厚3mm</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界面剂底涂+专用自流平水泥平整</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876.85</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786"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乒乓球区PVC运动地胶(红色）</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rPr>
              <w:t>海锐，宝石纹</w:t>
            </w:r>
            <w:r>
              <w:rPr>
                <w:rFonts w:hint="eastAsia" w:ascii="宋体" w:hAnsi="宋体" w:eastAsia="宋体" w:cs="宋体"/>
                <w:color w:val="auto"/>
                <w:kern w:val="0"/>
                <w:sz w:val="21"/>
                <w:szCs w:val="21"/>
                <w:lang w:eastAsia="zh-CN"/>
              </w:rPr>
              <w:t>（材料进场</w:t>
            </w:r>
            <w:r>
              <w:rPr>
                <w:rFonts w:hint="eastAsia" w:ascii="宋体" w:hAnsi="宋体" w:eastAsia="宋体" w:cs="宋体"/>
                <w:color w:val="auto"/>
                <w:kern w:val="0"/>
                <w:sz w:val="21"/>
                <w:szCs w:val="21"/>
              </w:rPr>
              <w:t>时</w:t>
            </w:r>
            <w:r>
              <w:rPr>
                <w:rFonts w:hint="eastAsia" w:ascii="宋体" w:hAnsi="宋体" w:eastAsia="宋体" w:cs="宋体"/>
                <w:color w:val="auto"/>
                <w:kern w:val="0"/>
                <w:sz w:val="21"/>
                <w:szCs w:val="21"/>
                <w:lang w:eastAsia="zh-CN"/>
              </w:rPr>
              <w:t>须</w:t>
            </w:r>
            <w:r>
              <w:rPr>
                <w:rFonts w:hint="eastAsia" w:ascii="宋体" w:hAnsi="宋体" w:eastAsia="宋体" w:cs="宋体"/>
                <w:color w:val="auto"/>
                <w:kern w:val="0"/>
                <w:sz w:val="21"/>
                <w:szCs w:val="21"/>
              </w:rPr>
              <w:t>提供</w:t>
            </w:r>
            <w:r>
              <w:rPr>
                <w:rFonts w:hint="eastAsia" w:ascii="宋体" w:hAnsi="宋体" w:eastAsia="宋体" w:cs="宋体"/>
                <w:color w:val="auto"/>
                <w:kern w:val="0"/>
                <w:sz w:val="21"/>
                <w:szCs w:val="21"/>
                <w:lang w:eastAsia="zh-CN"/>
              </w:rPr>
              <w:t>产品合格证、</w:t>
            </w:r>
            <w:r>
              <w:rPr>
                <w:rFonts w:hint="eastAsia" w:ascii="宋体" w:hAnsi="宋体" w:eastAsia="宋体" w:cs="宋体"/>
                <w:color w:val="auto"/>
                <w:kern w:val="0"/>
                <w:sz w:val="21"/>
                <w:szCs w:val="21"/>
              </w:rPr>
              <w:t>相关检测报告</w:t>
            </w:r>
            <w:r>
              <w:rPr>
                <w:rFonts w:hint="eastAsia" w:ascii="宋体" w:hAnsi="宋体" w:eastAsia="宋体" w:cs="宋体"/>
                <w:color w:val="auto"/>
                <w:kern w:val="0"/>
                <w:sz w:val="21"/>
                <w:szCs w:val="21"/>
                <w:lang w:eastAsia="zh-CN"/>
              </w:rPr>
              <w:t>（如有）等证明文件）</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highlight w:val="none"/>
              </w:rPr>
              <w:t>厚4.5mm</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7.9</w:t>
            </w:r>
            <w:r>
              <w:rPr>
                <w:rFonts w:hint="eastAsia" w:ascii="宋体" w:hAnsi="宋体" w:eastAsia="宋体" w:cs="宋体"/>
                <w:color w:val="auto"/>
                <w:kern w:val="0"/>
                <w:sz w:val="21"/>
                <w:szCs w:val="21"/>
                <w:highlight w:val="none"/>
                <w:lang w:val="en-US" w:eastAsia="zh-CN"/>
              </w:rPr>
              <w:t>m</w:t>
            </w:r>
            <w:r>
              <w:rPr>
                <w:rFonts w:hint="eastAsia" w:ascii="宋体" w:hAnsi="宋体" w:eastAsia="宋体" w:cs="宋体"/>
                <w:color w:val="auto"/>
                <w:kern w:val="0"/>
                <w:sz w:val="21"/>
                <w:szCs w:val="21"/>
                <w:highlight w:val="none"/>
              </w:rPr>
              <w:t>*35.5m</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PVC防滑、耐磨，宝石纹，底胶+V型开槽+热焊+铲平</w:t>
            </w:r>
            <w:r>
              <w:rPr>
                <w:rFonts w:hint="eastAsia" w:ascii="宋体" w:hAnsi="宋体" w:eastAsia="宋体" w:cs="宋体"/>
                <w:color w:val="auto"/>
                <w:kern w:val="0"/>
                <w:sz w:val="21"/>
                <w:szCs w:val="21"/>
                <w:highlight w:val="none"/>
                <w:lang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280</w:t>
            </w:r>
            <w:r>
              <w:rPr>
                <w:rFonts w:hint="eastAsia" w:ascii="宋体" w:hAnsi="宋体" w:eastAsia="宋体" w:cs="宋体"/>
                <w:kern w:val="0"/>
                <w:sz w:val="21"/>
                <w:szCs w:val="21"/>
                <w:highlight w:val="none"/>
                <w:lang w:val="en-US" w:eastAsia="zh-CN"/>
              </w:rPr>
              <w:t>.45</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70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羽毛球场缓冲区PVC运动地胶（绿色）</w:t>
            </w:r>
          </w:p>
        </w:tc>
        <w:tc>
          <w:tcPr>
            <w:tcW w:w="3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hd w:val="clear"/>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rPr>
              <w:t>海锐，宝石纹</w:t>
            </w:r>
            <w:r>
              <w:rPr>
                <w:rFonts w:hint="eastAsia" w:ascii="宋体" w:hAnsi="宋体" w:eastAsia="宋体" w:cs="宋体"/>
                <w:color w:val="auto"/>
                <w:kern w:val="0"/>
                <w:sz w:val="21"/>
                <w:szCs w:val="21"/>
                <w:lang w:eastAsia="zh-CN"/>
              </w:rPr>
              <w:t>（材料进场</w:t>
            </w:r>
            <w:r>
              <w:rPr>
                <w:rFonts w:hint="eastAsia" w:ascii="宋体" w:hAnsi="宋体" w:eastAsia="宋体" w:cs="宋体"/>
                <w:color w:val="auto"/>
                <w:kern w:val="0"/>
                <w:sz w:val="21"/>
                <w:szCs w:val="21"/>
              </w:rPr>
              <w:t>时</w:t>
            </w:r>
            <w:r>
              <w:rPr>
                <w:rFonts w:hint="eastAsia" w:ascii="宋体" w:hAnsi="宋体" w:eastAsia="宋体" w:cs="宋体"/>
                <w:color w:val="auto"/>
                <w:kern w:val="0"/>
                <w:sz w:val="21"/>
                <w:szCs w:val="21"/>
                <w:lang w:eastAsia="zh-CN"/>
              </w:rPr>
              <w:t>须</w:t>
            </w:r>
            <w:r>
              <w:rPr>
                <w:rFonts w:hint="eastAsia" w:ascii="宋体" w:hAnsi="宋体" w:eastAsia="宋体" w:cs="宋体"/>
                <w:color w:val="auto"/>
                <w:kern w:val="0"/>
                <w:sz w:val="21"/>
                <w:szCs w:val="21"/>
              </w:rPr>
              <w:t>提供</w:t>
            </w:r>
            <w:r>
              <w:rPr>
                <w:rFonts w:hint="eastAsia" w:ascii="宋体" w:hAnsi="宋体" w:eastAsia="宋体" w:cs="宋体"/>
                <w:color w:val="auto"/>
                <w:kern w:val="0"/>
                <w:sz w:val="21"/>
                <w:szCs w:val="21"/>
                <w:lang w:eastAsia="zh-CN"/>
              </w:rPr>
              <w:t>产品合格证、</w:t>
            </w:r>
            <w:r>
              <w:rPr>
                <w:rFonts w:hint="eastAsia" w:ascii="宋体" w:hAnsi="宋体" w:eastAsia="宋体" w:cs="宋体"/>
                <w:color w:val="auto"/>
                <w:kern w:val="0"/>
                <w:sz w:val="21"/>
                <w:szCs w:val="21"/>
              </w:rPr>
              <w:t>相关检测报告</w:t>
            </w:r>
            <w:r>
              <w:rPr>
                <w:rFonts w:hint="eastAsia" w:ascii="宋体" w:hAnsi="宋体" w:eastAsia="宋体" w:cs="宋体"/>
                <w:color w:val="auto"/>
                <w:kern w:val="0"/>
                <w:sz w:val="21"/>
                <w:szCs w:val="21"/>
                <w:lang w:eastAsia="zh-CN"/>
              </w:rPr>
              <w:t>（如有）等证明文件）</w:t>
            </w:r>
            <w:r>
              <w:rPr>
                <w:rFonts w:hint="eastAsia" w:ascii="宋体" w:hAnsi="宋体" w:eastAsia="宋体" w:cs="宋体"/>
                <w:kern w:val="0"/>
                <w:sz w:val="21"/>
                <w:szCs w:val="21"/>
                <w:highlight w:val="none"/>
                <w:lang w:val="en-US" w:eastAsia="zh-CN"/>
              </w:rPr>
              <w:t>，厚</w:t>
            </w:r>
            <w:r>
              <w:rPr>
                <w:rFonts w:hint="eastAsia" w:ascii="宋体" w:hAnsi="宋体" w:eastAsia="宋体" w:cs="宋体"/>
                <w:kern w:val="0"/>
                <w:sz w:val="21"/>
                <w:szCs w:val="21"/>
                <w:highlight w:val="none"/>
              </w:rPr>
              <w:t>4.5mm</w:t>
            </w:r>
            <w:r>
              <w:rPr>
                <w:rFonts w:hint="eastAsia" w:ascii="宋体" w:hAnsi="宋体" w:eastAsia="宋体" w:cs="宋体"/>
                <w:color w:val="auto"/>
                <w:kern w:val="0"/>
                <w:sz w:val="21"/>
                <w:szCs w:val="21"/>
                <w:lang w:eastAsia="zh-CN"/>
              </w:rPr>
              <w:t>，</w:t>
            </w:r>
            <w:r>
              <w:rPr>
                <w:rFonts w:hint="eastAsia" w:ascii="宋体" w:hAnsi="宋体" w:eastAsia="宋体" w:cs="宋体"/>
                <w:kern w:val="0"/>
                <w:sz w:val="21"/>
                <w:szCs w:val="21"/>
                <w:highlight w:val="none"/>
              </w:rPr>
              <w:t>缓冲区面</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羽毛球活动区域面积-四个羽毛球场面积</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即：16.8*35.5-7.1*15*4），PVC防滑、耐磨，宝石纹，底胶+V型开槽+热焊+铲平</w:t>
            </w:r>
            <w:r>
              <w:rPr>
                <w:rFonts w:hint="eastAsia" w:ascii="宋体" w:hAnsi="宋体" w:eastAsia="宋体" w:cs="宋体"/>
                <w:kern w:val="0"/>
                <w:sz w:val="21"/>
                <w:szCs w:val="21"/>
                <w:highlight w:val="none"/>
                <w:lang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w:t>
            </w:r>
            <w:r>
              <w:rPr>
                <w:rFonts w:hint="eastAsia" w:ascii="宋体" w:hAnsi="宋体" w:eastAsia="宋体" w:cs="宋体"/>
                <w:kern w:val="0"/>
                <w:sz w:val="21"/>
                <w:szCs w:val="21"/>
                <w:highlight w:val="none"/>
                <w:lang w:val="en-US" w:eastAsia="zh-CN"/>
              </w:rPr>
              <w:t>0.4</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70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原羽毛球</w:t>
            </w:r>
            <w:r>
              <w:rPr>
                <w:rFonts w:hint="eastAsia" w:ascii="宋体" w:hAnsi="宋体" w:eastAsia="宋体" w:cs="宋体"/>
                <w:kern w:val="0"/>
                <w:sz w:val="21"/>
                <w:szCs w:val="21"/>
                <w:highlight w:val="none"/>
              </w:rPr>
              <w:t>运动地胶</w:t>
            </w:r>
            <w:r>
              <w:rPr>
                <w:rFonts w:hint="eastAsia" w:ascii="宋体" w:hAnsi="宋体" w:eastAsia="宋体" w:cs="宋体"/>
                <w:kern w:val="0"/>
                <w:sz w:val="21"/>
                <w:szCs w:val="21"/>
                <w:highlight w:val="none"/>
                <w:lang w:eastAsia="zh-CN"/>
              </w:rPr>
              <w:t>迁移</w:t>
            </w:r>
          </w:p>
        </w:tc>
        <w:tc>
          <w:tcPr>
            <w:tcW w:w="3875" w:type="dxa"/>
            <w:tcBorders>
              <w:top w:val="nil"/>
              <w:left w:val="nil"/>
              <w:bottom w:val="single" w:color="000000" w:sz="4" w:space="0"/>
              <w:right w:val="single" w:color="000000" w:sz="4" w:space="0"/>
            </w:tcBorders>
            <w:shd w:val="clear" w:color="auto" w:fill="auto"/>
            <w:vAlign w:val="center"/>
          </w:tcPr>
          <w:p>
            <w:pPr>
              <w:widowControl/>
              <w:numPr>
                <w:ilvl w:val="0"/>
                <w:numId w:val="0"/>
              </w:numPr>
              <w:shd w:val="clear"/>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1.拆除</w:t>
            </w:r>
            <w:r>
              <w:rPr>
                <w:rFonts w:hint="eastAsia" w:ascii="宋体" w:hAnsi="宋体" w:eastAsia="宋体" w:cs="宋体"/>
                <w:kern w:val="0"/>
                <w:sz w:val="21"/>
                <w:szCs w:val="21"/>
                <w:highlight w:val="none"/>
                <w:lang w:eastAsia="zh-CN"/>
              </w:rPr>
              <w:t>原羽毛球</w:t>
            </w:r>
            <w:r>
              <w:rPr>
                <w:rFonts w:hint="eastAsia" w:ascii="宋体" w:hAnsi="宋体" w:eastAsia="宋体" w:cs="宋体"/>
                <w:kern w:val="0"/>
                <w:sz w:val="21"/>
                <w:szCs w:val="21"/>
                <w:highlight w:val="none"/>
              </w:rPr>
              <w:t>运动地胶</w:t>
            </w:r>
            <w:r>
              <w:rPr>
                <w:rFonts w:hint="eastAsia" w:ascii="宋体" w:hAnsi="宋体" w:eastAsia="宋体" w:cs="宋体"/>
                <w:kern w:val="0"/>
                <w:sz w:val="21"/>
                <w:szCs w:val="21"/>
                <w:highlight w:val="none"/>
                <w:lang w:eastAsia="zh-CN"/>
              </w:rPr>
              <w:t>，移装至新场地指定位置。含清理、搬运（含叉车等，运距约1.5km）、</w:t>
            </w:r>
            <w:r>
              <w:rPr>
                <w:rFonts w:hint="eastAsia" w:ascii="宋体" w:hAnsi="宋体" w:eastAsia="宋体" w:cs="宋体"/>
                <w:kern w:val="0"/>
                <w:sz w:val="21"/>
                <w:szCs w:val="21"/>
                <w:highlight w:val="none"/>
              </w:rPr>
              <w:t>地胶修补</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底胶+V型开槽+热焊+铲平</w:t>
            </w:r>
            <w:r>
              <w:rPr>
                <w:rFonts w:hint="eastAsia" w:ascii="宋体" w:hAnsi="宋体" w:eastAsia="宋体" w:cs="宋体"/>
                <w:kern w:val="0"/>
                <w:sz w:val="21"/>
                <w:szCs w:val="21"/>
                <w:highlight w:val="none"/>
                <w:lang w:eastAsia="zh-CN"/>
              </w:rPr>
              <w:t>）等</w:t>
            </w:r>
            <w:r>
              <w:rPr>
                <w:rFonts w:hint="eastAsia" w:ascii="宋体" w:hAnsi="宋体" w:eastAsia="宋体" w:cs="宋体"/>
                <w:kern w:val="0"/>
                <w:sz w:val="21"/>
                <w:szCs w:val="21"/>
                <w:highlight w:val="none"/>
                <w:lang w:val="en-US" w:eastAsia="zh-CN"/>
              </w:rPr>
              <w:t>。</w:t>
            </w:r>
          </w:p>
          <w:p>
            <w:pPr>
              <w:widowControl/>
              <w:numPr>
                <w:ilvl w:val="0"/>
                <w:numId w:val="0"/>
              </w:numPr>
              <w:shd w:val="clear"/>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2.单片</w:t>
            </w:r>
            <w:r>
              <w:rPr>
                <w:rFonts w:hint="eastAsia" w:ascii="宋体" w:hAnsi="宋体" w:eastAsia="宋体" w:cs="宋体"/>
                <w:kern w:val="0"/>
                <w:sz w:val="21"/>
                <w:szCs w:val="21"/>
                <w:highlight w:val="none"/>
              </w:rPr>
              <w:t>7.1m*15m</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eastAsia="zh-CN"/>
              </w:rPr>
              <w:t>共</w:t>
            </w:r>
            <w:r>
              <w:rPr>
                <w:rFonts w:hint="eastAsia" w:ascii="宋体" w:hAnsi="宋体" w:eastAsia="宋体" w:cs="宋体"/>
                <w:kern w:val="0"/>
                <w:sz w:val="21"/>
                <w:szCs w:val="21"/>
                <w:highlight w:val="none"/>
                <w:lang w:val="en-US" w:eastAsia="zh-CN"/>
              </w:rPr>
              <w:t>4片。</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426</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2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移动可调式气排球架</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参考尺寸：</w:t>
            </w:r>
            <w:r>
              <w:rPr>
                <w:rFonts w:hint="eastAsia" w:ascii="宋体" w:hAnsi="宋体" w:eastAsia="宋体" w:cs="宋体"/>
                <w:kern w:val="0"/>
                <w:sz w:val="21"/>
                <w:szCs w:val="21"/>
                <w:highlight w:val="none"/>
              </w:rPr>
              <w:t>700*宽520*高1560mm可移动式，可升降</w:t>
            </w:r>
            <w:r>
              <w:rPr>
                <w:rFonts w:hint="eastAsia" w:ascii="宋体" w:hAnsi="宋体" w:eastAsia="宋体" w:cs="宋体"/>
                <w:kern w:val="0"/>
                <w:sz w:val="21"/>
                <w:szCs w:val="21"/>
                <w:highlight w:val="none"/>
                <w:lang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2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气排球场地划线</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每片场地规格：12*6m，</w:t>
            </w:r>
            <w:r>
              <w:rPr>
                <w:rFonts w:hint="eastAsia" w:ascii="宋体" w:hAnsi="宋体" w:eastAsia="宋体" w:cs="宋体"/>
                <w:kern w:val="0"/>
                <w:sz w:val="21"/>
                <w:szCs w:val="21"/>
                <w:highlight w:val="none"/>
                <w:lang w:eastAsia="zh-CN"/>
              </w:rPr>
              <w:t>单个场地</w:t>
            </w:r>
            <w:r>
              <w:rPr>
                <w:rFonts w:hint="eastAsia" w:ascii="宋体" w:hAnsi="宋体" w:eastAsia="宋体" w:cs="宋体"/>
                <w:kern w:val="0"/>
                <w:sz w:val="21"/>
                <w:szCs w:val="21"/>
                <w:highlight w:val="none"/>
              </w:rPr>
              <w:t>划线长度54m</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12*2+6*5</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，界线宽为5厘米，采用耐磨高亮度油漆。</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108</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lang w:val="en-US"/>
              </w:rPr>
            </w:pPr>
          </w:p>
        </w:tc>
      </w:tr>
      <w:tr>
        <w:tblPrEx>
          <w:tblCellMar>
            <w:top w:w="0" w:type="dxa"/>
            <w:left w:w="108" w:type="dxa"/>
            <w:bottom w:w="0" w:type="dxa"/>
            <w:right w:w="108" w:type="dxa"/>
          </w:tblCellMar>
        </w:tblPrEx>
        <w:trPr>
          <w:trHeight w:val="70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乒乓球挡板</w:t>
            </w:r>
            <w:r>
              <w:rPr>
                <w:rFonts w:hint="eastAsia" w:ascii="宋体" w:hAnsi="宋体" w:eastAsia="宋体" w:cs="宋体"/>
                <w:kern w:val="0"/>
                <w:sz w:val="21"/>
                <w:szCs w:val="21"/>
                <w:highlight w:val="none"/>
                <w:lang w:eastAsia="zh-CN"/>
              </w:rPr>
              <w:t>（含安装）</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L1200</w:t>
            </w:r>
            <w:r>
              <w:rPr>
                <w:rFonts w:hint="eastAsia" w:ascii="宋体" w:hAnsi="宋体" w:eastAsia="宋体" w:cs="宋体"/>
                <w:kern w:val="0"/>
                <w:sz w:val="21"/>
                <w:szCs w:val="21"/>
                <w:highlight w:val="none"/>
                <w:lang w:eastAsia="zh-CN"/>
              </w:rPr>
              <w:t>型</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 xml:space="preserve">材质：特制牛津材料 </w:t>
            </w:r>
            <w:r>
              <w:rPr>
                <w:rFonts w:hint="eastAsia" w:ascii="宋体" w:hAnsi="宋体" w:eastAsia="宋体" w:cs="宋体"/>
                <w:kern w:val="0"/>
                <w:sz w:val="21"/>
                <w:szCs w:val="21"/>
                <w:highlight w:val="none"/>
                <w:lang w:eastAsia="zh-CN"/>
              </w:rPr>
              <w:t>参考</w:t>
            </w:r>
            <w:r>
              <w:rPr>
                <w:rFonts w:hint="eastAsia" w:ascii="宋体" w:hAnsi="宋体" w:eastAsia="宋体" w:cs="宋体"/>
                <w:kern w:val="0"/>
                <w:sz w:val="21"/>
                <w:szCs w:val="21"/>
                <w:highlight w:val="none"/>
              </w:rPr>
              <w:t>颜色：蓝色</w:t>
            </w:r>
            <w:r>
              <w:rPr>
                <w:rFonts w:hint="eastAsia" w:ascii="宋体" w:hAnsi="宋体" w:eastAsia="宋体" w:cs="宋体"/>
                <w:kern w:val="0"/>
                <w:sz w:val="21"/>
                <w:szCs w:val="21"/>
                <w:highlight w:val="none"/>
                <w:lang w:eastAsia="zh-CN"/>
              </w:rPr>
              <w:t>或</w:t>
            </w:r>
            <w:r>
              <w:rPr>
                <w:rFonts w:hint="eastAsia" w:ascii="宋体" w:hAnsi="宋体" w:eastAsia="宋体" w:cs="宋体"/>
                <w:kern w:val="0"/>
                <w:sz w:val="21"/>
                <w:szCs w:val="21"/>
                <w:highlight w:val="none"/>
              </w:rPr>
              <w:t>绿色</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重量：约2.5（kg）</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2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风扇</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商用级风扇</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Φ650mm，电压220V,功率280W，转速1400rpm</w:t>
            </w:r>
            <w:r>
              <w:rPr>
                <w:rFonts w:hint="eastAsia" w:ascii="宋体" w:hAnsi="宋体" w:eastAsia="宋体" w:cs="宋体"/>
                <w:kern w:val="0"/>
                <w:sz w:val="21"/>
                <w:szCs w:val="21"/>
                <w:highlight w:val="none"/>
                <w:lang w:eastAsia="zh-CN"/>
              </w:rPr>
              <w:t>；安装高度离地约</w:t>
            </w:r>
            <w:r>
              <w:rPr>
                <w:rFonts w:hint="eastAsia" w:ascii="宋体" w:hAnsi="宋体" w:eastAsia="宋体" w:cs="宋体"/>
                <w:kern w:val="0"/>
                <w:sz w:val="21"/>
                <w:szCs w:val="21"/>
                <w:highlight w:val="none"/>
                <w:lang w:val="en-US" w:eastAsia="zh-CN"/>
              </w:rPr>
              <w:t>2m，单个风扇设独立开关控制，具体安装位置现场确定。（含控制开关、辅材等）</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9</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球场五孔插座</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球场五孔插座220V,10A,含铺材</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9</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球场风扇电源线</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BV2.5mm</w:t>
            </w:r>
            <w:r>
              <w:rPr>
                <w:rFonts w:hint="eastAsia" w:ascii="宋体" w:hAnsi="宋体" w:eastAsia="宋体" w:cs="宋体"/>
                <w:kern w:val="0"/>
                <w:sz w:val="21"/>
                <w:szCs w:val="21"/>
                <w:highlight w:val="none"/>
                <w:vertAlign w:val="superscript"/>
              </w:rPr>
              <w:t>2</w:t>
            </w:r>
            <w:r>
              <w:rPr>
                <w:rFonts w:hint="eastAsia" w:ascii="宋体" w:hAnsi="宋体" w:eastAsia="宋体" w:cs="宋体"/>
                <w:kern w:val="0"/>
                <w:sz w:val="21"/>
                <w:szCs w:val="21"/>
                <w:highlight w:val="none"/>
              </w:rPr>
              <w:t>，含铺材</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6</w:t>
            </w:r>
            <w:r>
              <w:rPr>
                <w:rFonts w:hint="eastAsia" w:ascii="宋体" w:hAnsi="宋体" w:eastAsia="宋体" w:cs="宋体"/>
                <w:kern w:val="0"/>
                <w:sz w:val="21"/>
                <w:szCs w:val="21"/>
                <w:highlight w:val="none"/>
                <w:lang w:val="en-US" w:eastAsia="zh-CN"/>
              </w:rPr>
              <w:t>00</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球场插座线</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BV4mm</w:t>
            </w:r>
            <w:r>
              <w:rPr>
                <w:rFonts w:hint="eastAsia" w:ascii="宋体" w:hAnsi="宋体" w:eastAsia="宋体" w:cs="宋体"/>
                <w:kern w:val="0"/>
                <w:sz w:val="21"/>
                <w:szCs w:val="21"/>
                <w:highlight w:val="none"/>
                <w:vertAlign w:val="superscript"/>
              </w:rPr>
              <w:t>2</w:t>
            </w:r>
            <w:r>
              <w:rPr>
                <w:rFonts w:hint="eastAsia" w:ascii="宋体" w:hAnsi="宋体" w:eastAsia="宋体" w:cs="宋体"/>
                <w:kern w:val="0"/>
                <w:sz w:val="21"/>
                <w:szCs w:val="21"/>
                <w:highlight w:val="none"/>
              </w:rPr>
              <w:t>，含铺材</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5</w:t>
            </w:r>
            <w:r>
              <w:rPr>
                <w:rFonts w:hint="eastAsia" w:ascii="宋体" w:hAnsi="宋体" w:eastAsia="宋体" w:cs="宋体"/>
                <w:kern w:val="0"/>
                <w:sz w:val="21"/>
                <w:szCs w:val="21"/>
                <w:highlight w:val="none"/>
                <w:lang w:val="en-US" w:eastAsia="zh-CN"/>
              </w:rPr>
              <w:t>80</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70" w:hRule="atLeast"/>
        </w:trPr>
        <w:tc>
          <w:tcPr>
            <w:tcW w:w="58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w:t>
            </w:r>
          </w:p>
        </w:tc>
        <w:tc>
          <w:tcPr>
            <w:tcW w:w="1955" w:type="dxa"/>
            <w:tcBorders>
              <w:top w:val="single" w:color="auto" w:sz="4" w:space="0"/>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KBG线管</w:t>
            </w:r>
          </w:p>
        </w:tc>
        <w:tc>
          <w:tcPr>
            <w:tcW w:w="3875" w:type="dxa"/>
            <w:tcBorders>
              <w:top w:val="single" w:color="auto" w:sz="4" w:space="0"/>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KBG线管，含铺材</w:t>
            </w:r>
          </w:p>
        </w:tc>
        <w:tc>
          <w:tcPr>
            <w:tcW w:w="863" w:type="dxa"/>
            <w:tcBorders>
              <w:top w:val="single" w:color="auto" w:sz="4" w:space="0"/>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36</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87" w:hRule="atLeast"/>
        </w:trPr>
        <w:tc>
          <w:tcPr>
            <w:tcW w:w="9129" w:type="dxa"/>
            <w:gridSpan w:val="6"/>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both"/>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二、灯具安装部分</w:t>
            </w:r>
          </w:p>
        </w:tc>
      </w:tr>
      <w:tr>
        <w:tblPrEx>
          <w:tblCellMar>
            <w:top w:w="0" w:type="dxa"/>
            <w:left w:w="108" w:type="dxa"/>
            <w:bottom w:w="0" w:type="dxa"/>
            <w:right w:w="108" w:type="dxa"/>
          </w:tblCellMar>
        </w:tblPrEx>
        <w:trPr>
          <w:trHeight w:val="120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羽毛球专业灯具</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rPr>
              <w:t>能士光宝专业羽毛球侧灯板</w:t>
            </w:r>
            <w:r>
              <w:rPr>
                <w:rFonts w:hint="eastAsia" w:ascii="宋体" w:hAnsi="宋体" w:eastAsia="宋体" w:cs="宋体"/>
                <w:color w:val="auto"/>
                <w:kern w:val="0"/>
                <w:sz w:val="21"/>
                <w:szCs w:val="21"/>
                <w:lang w:eastAsia="zh-CN"/>
              </w:rPr>
              <w:t>（材料进场</w:t>
            </w:r>
            <w:r>
              <w:rPr>
                <w:rFonts w:hint="eastAsia" w:ascii="宋体" w:hAnsi="宋体" w:eastAsia="宋体" w:cs="宋体"/>
                <w:color w:val="auto"/>
                <w:kern w:val="0"/>
                <w:sz w:val="21"/>
                <w:szCs w:val="21"/>
              </w:rPr>
              <w:t>时</w:t>
            </w:r>
            <w:r>
              <w:rPr>
                <w:rFonts w:hint="eastAsia" w:ascii="宋体" w:hAnsi="宋体" w:eastAsia="宋体" w:cs="宋体"/>
                <w:color w:val="auto"/>
                <w:kern w:val="0"/>
                <w:sz w:val="21"/>
                <w:szCs w:val="21"/>
                <w:lang w:eastAsia="zh-CN"/>
              </w:rPr>
              <w:t>须</w:t>
            </w:r>
            <w:r>
              <w:rPr>
                <w:rFonts w:hint="eastAsia" w:ascii="宋体" w:hAnsi="宋体" w:eastAsia="宋体" w:cs="宋体"/>
                <w:color w:val="auto"/>
                <w:kern w:val="0"/>
                <w:sz w:val="21"/>
                <w:szCs w:val="21"/>
              </w:rPr>
              <w:t>提供</w:t>
            </w:r>
            <w:r>
              <w:rPr>
                <w:rFonts w:hint="eastAsia" w:ascii="宋体" w:hAnsi="宋体" w:eastAsia="宋体" w:cs="宋体"/>
                <w:color w:val="auto"/>
                <w:kern w:val="0"/>
                <w:sz w:val="21"/>
                <w:szCs w:val="21"/>
                <w:lang w:eastAsia="zh-CN"/>
              </w:rPr>
              <w:t>产品合格证、</w:t>
            </w:r>
            <w:r>
              <w:rPr>
                <w:rFonts w:hint="eastAsia" w:ascii="宋体" w:hAnsi="宋体" w:eastAsia="宋体" w:cs="宋体"/>
                <w:color w:val="auto"/>
                <w:kern w:val="0"/>
                <w:sz w:val="21"/>
                <w:szCs w:val="21"/>
              </w:rPr>
              <w:t>相关检测报告</w:t>
            </w:r>
            <w:r>
              <w:rPr>
                <w:rFonts w:hint="eastAsia" w:ascii="宋体" w:hAnsi="宋体" w:eastAsia="宋体" w:cs="宋体"/>
                <w:color w:val="auto"/>
                <w:kern w:val="0"/>
                <w:sz w:val="21"/>
                <w:szCs w:val="21"/>
                <w:lang w:eastAsia="zh-CN"/>
              </w:rPr>
              <w:t>（如有）等证明文件）</w:t>
            </w:r>
            <w:r>
              <w:rPr>
                <w:rFonts w:hint="eastAsia" w:ascii="宋体" w:hAnsi="宋体" w:eastAsia="宋体" w:cs="宋体"/>
                <w:kern w:val="0"/>
                <w:sz w:val="21"/>
                <w:szCs w:val="21"/>
                <w:highlight w:val="none"/>
              </w:rPr>
              <w:t>32</w:t>
            </w:r>
            <w:r>
              <w:rPr>
                <w:rFonts w:hint="eastAsia" w:ascii="宋体" w:hAnsi="宋体" w:eastAsia="宋体" w:cs="宋体"/>
                <w:kern w:val="0"/>
                <w:sz w:val="21"/>
                <w:szCs w:val="21"/>
                <w:highlight w:val="none"/>
                <w:lang w:eastAsia="zh-CN"/>
              </w:rPr>
              <w:t>套：</w:t>
            </w:r>
            <w:r>
              <w:rPr>
                <w:rFonts w:hint="eastAsia" w:ascii="宋体" w:hAnsi="宋体" w:eastAsia="宋体" w:cs="宋体"/>
                <w:kern w:val="0"/>
                <w:sz w:val="21"/>
                <w:szCs w:val="21"/>
                <w:highlight w:val="none"/>
              </w:rPr>
              <w:t>每套6组18wLED照明灯具，100W光通量不低于2000lm,平均照度在500lx以上，需符合业余比赛或专业训练国家标准值。包含灯板、单、双头连接头、卡扣件、钢索绳、拉玛、接线柱、钢丝卡、管卡、紧固件等辅材。</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9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乒乓球专业灯具</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lang w:eastAsia="zh-CN"/>
              </w:rPr>
            </w:pPr>
            <w:r>
              <w:rPr>
                <w:rFonts w:hint="eastAsia" w:ascii="宋体" w:hAnsi="宋体" w:eastAsia="宋体" w:cs="宋体"/>
                <w:color w:val="auto"/>
                <w:kern w:val="0"/>
                <w:sz w:val="21"/>
                <w:szCs w:val="21"/>
                <w:highlight w:val="none"/>
              </w:rPr>
              <w:t>能士光宝乒乓球LED防眩眼灯（带磨砂罩）12</w:t>
            </w:r>
            <w:r>
              <w:rPr>
                <w:rFonts w:hint="eastAsia" w:ascii="宋体" w:hAnsi="宋体" w:eastAsia="宋体" w:cs="宋体"/>
                <w:color w:val="auto"/>
                <w:kern w:val="0"/>
                <w:sz w:val="21"/>
                <w:szCs w:val="21"/>
                <w:highlight w:val="none"/>
                <w:lang w:eastAsia="zh-CN"/>
              </w:rPr>
              <w:t>套</w:t>
            </w:r>
            <w:r>
              <w:rPr>
                <w:rFonts w:hint="eastAsia" w:ascii="宋体" w:hAnsi="宋体" w:eastAsia="宋体" w:cs="宋体"/>
                <w:color w:val="auto"/>
                <w:kern w:val="0"/>
                <w:sz w:val="21"/>
                <w:szCs w:val="21"/>
                <w:lang w:eastAsia="zh-CN"/>
              </w:rPr>
              <w:t>（材料进场</w:t>
            </w:r>
            <w:r>
              <w:rPr>
                <w:rFonts w:hint="eastAsia" w:ascii="宋体" w:hAnsi="宋体" w:eastAsia="宋体" w:cs="宋体"/>
                <w:color w:val="auto"/>
                <w:kern w:val="0"/>
                <w:sz w:val="21"/>
                <w:szCs w:val="21"/>
              </w:rPr>
              <w:t>时</w:t>
            </w:r>
            <w:r>
              <w:rPr>
                <w:rFonts w:hint="eastAsia" w:ascii="宋体" w:hAnsi="宋体" w:eastAsia="宋体" w:cs="宋体"/>
                <w:color w:val="auto"/>
                <w:kern w:val="0"/>
                <w:sz w:val="21"/>
                <w:szCs w:val="21"/>
                <w:lang w:eastAsia="zh-CN"/>
              </w:rPr>
              <w:t>须</w:t>
            </w:r>
            <w:r>
              <w:rPr>
                <w:rFonts w:hint="eastAsia" w:ascii="宋体" w:hAnsi="宋体" w:eastAsia="宋体" w:cs="宋体"/>
                <w:color w:val="auto"/>
                <w:kern w:val="0"/>
                <w:sz w:val="21"/>
                <w:szCs w:val="21"/>
              </w:rPr>
              <w:t>提供</w:t>
            </w:r>
            <w:r>
              <w:rPr>
                <w:rFonts w:hint="eastAsia" w:ascii="宋体" w:hAnsi="宋体" w:eastAsia="宋体" w:cs="宋体"/>
                <w:color w:val="auto"/>
                <w:kern w:val="0"/>
                <w:sz w:val="21"/>
                <w:szCs w:val="21"/>
                <w:lang w:eastAsia="zh-CN"/>
              </w:rPr>
              <w:t>产品合格证、</w:t>
            </w:r>
            <w:r>
              <w:rPr>
                <w:rFonts w:hint="eastAsia" w:ascii="宋体" w:hAnsi="宋体" w:eastAsia="宋体" w:cs="宋体"/>
                <w:color w:val="auto"/>
                <w:kern w:val="0"/>
                <w:sz w:val="21"/>
                <w:szCs w:val="21"/>
              </w:rPr>
              <w:t>相关检测报告</w:t>
            </w:r>
            <w:r>
              <w:rPr>
                <w:rFonts w:hint="eastAsia" w:ascii="宋体" w:hAnsi="宋体" w:eastAsia="宋体" w:cs="宋体"/>
                <w:color w:val="auto"/>
                <w:kern w:val="0"/>
                <w:sz w:val="21"/>
                <w:szCs w:val="21"/>
                <w:lang w:eastAsia="zh-CN"/>
              </w:rPr>
              <w:t>（如有）等证明文件）</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100w</w:t>
            </w:r>
            <w:r>
              <w:rPr>
                <w:rFonts w:hint="eastAsia" w:ascii="宋体" w:hAnsi="宋体" w:eastAsia="宋体" w:cs="宋体"/>
                <w:kern w:val="0"/>
                <w:sz w:val="21"/>
                <w:szCs w:val="21"/>
                <w:highlight w:val="none"/>
              </w:rPr>
              <w:t>光通量</w:t>
            </w:r>
            <w:r>
              <w:rPr>
                <w:rFonts w:hint="eastAsia" w:ascii="宋体" w:hAnsi="宋体" w:eastAsia="宋体" w:cs="宋体"/>
                <w:kern w:val="0"/>
                <w:sz w:val="21"/>
                <w:szCs w:val="21"/>
                <w:highlight w:val="none"/>
                <w:lang w:eastAsia="zh-CN"/>
              </w:rPr>
              <w:t>不低于</w:t>
            </w:r>
            <w:r>
              <w:rPr>
                <w:rFonts w:hint="eastAsia" w:ascii="宋体" w:hAnsi="宋体" w:eastAsia="宋体" w:cs="宋体"/>
                <w:kern w:val="0"/>
                <w:sz w:val="21"/>
                <w:szCs w:val="21"/>
                <w:highlight w:val="none"/>
              </w:rPr>
              <w:t>1200lm，平均照度在330lx以上，需符合国家标准值。包含镀锌链、磨砂罩、接线柱、钢丝卡、管卡、紧固件等辅材</w:t>
            </w:r>
            <w:r>
              <w:rPr>
                <w:rFonts w:hint="eastAsia" w:ascii="宋体" w:hAnsi="宋体" w:eastAsia="宋体" w:cs="宋体"/>
                <w:kern w:val="0"/>
                <w:sz w:val="21"/>
                <w:szCs w:val="21"/>
                <w:highlight w:val="none"/>
                <w:lang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732"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球场灯具配电箱</w:t>
            </w:r>
          </w:p>
        </w:tc>
        <w:tc>
          <w:tcPr>
            <w:tcW w:w="3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hd w:val="clear"/>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eastAsia="zh-CN"/>
              </w:rPr>
              <w:t>成套</w:t>
            </w:r>
            <w:r>
              <w:rPr>
                <w:rFonts w:hint="eastAsia" w:ascii="宋体" w:hAnsi="宋体" w:eastAsia="宋体" w:cs="宋体"/>
                <w:kern w:val="0"/>
                <w:sz w:val="21"/>
                <w:szCs w:val="21"/>
                <w:highlight w:val="none"/>
              </w:rPr>
              <w:t>配电箱</w:t>
            </w:r>
            <w:r>
              <w:rPr>
                <w:rFonts w:hint="eastAsia" w:ascii="宋体" w:hAnsi="宋体" w:eastAsia="宋体" w:cs="宋体"/>
                <w:kern w:val="0"/>
                <w:sz w:val="21"/>
                <w:szCs w:val="21"/>
                <w:highlight w:val="none"/>
                <w:lang w:eastAsia="zh-CN"/>
              </w:rPr>
              <w:t>：含</w:t>
            </w:r>
            <w:r>
              <w:rPr>
                <w:rFonts w:hint="eastAsia" w:ascii="宋体" w:hAnsi="宋体" w:eastAsia="宋体" w:cs="宋体"/>
                <w:kern w:val="0"/>
                <w:sz w:val="21"/>
                <w:szCs w:val="21"/>
                <w:highlight w:val="none"/>
              </w:rPr>
              <w:t>2P36A</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kern w:val="0"/>
                <w:sz w:val="21"/>
                <w:szCs w:val="21"/>
                <w:highlight w:val="none"/>
              </w:rPr>
              <w:t>1个</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1P16A</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kern w:val="0"/>
                <w:sz w:val="21"/>
                <w:szCs w:val="21"/>
                <w:highlight w:val="none"/>
              </w:rPr>
              <w:t>7个</w:t>
            </w:r>
            <w:r>
              <w:rPr>
                <w:rFonts w:hint="eastAsia" w:ascii="宋体" w:hAnsi="宋体" w:eastAsia="宋体" w:cs="宋体"/>
                <w:kern w:val="0"/>
                <w:sz w:val="21"/>
                <w:szCs w:val="21"/>
                <w:highlight w:val="none"/>
                <w:lang w:eastAsia="zh-CN"/>
              </w:rPr>
              <w:t>及其他</w:t>
            </w:r>
            <w:r>
              <w:rPr>
                <w:rFonts w:hint="eastAsia" w:ascii="宋体" w:hAnsi="宋体" w:eastAsia="宋体" w:cs="宋体"/>
                <w:kern w:val="0"/>
                <w:sz w:val="21"/>
                <w:szCs w:val="21"/>
                <w:highlight w:val="none"/>
              </w:rPr>
              <w:t>辅材</w:t>
            </w:r>
            <w:r>
              <w:rPr>
                <w:rFonts w:hint="eastAsia" w:ascii="宋体" w:hAnsi="宋体" w:eastAsia="宋体" w:cs="宋体"/>
                <w:kern w:val="0"/>
                <w:sz w:val="21"/>
                <w:szCs w:val="21"/>
                <w:highlight w:val="none"/>
                <w:lang w:eastAsia="zh-CN"/>
              </w:rPr>
              <w:t>等，参考</w:t>
            </w:r>
            <w:r>
              <w:rPr>
                <w:rFonts w:hint="eastAsia" w:ascii="宋体" w:hAnsi="宋体" w:eastAsia="宋体" w:cs="宋体"/>
                <w:kern w:val="0"/>
                <w:sz w:val="21"/>
                <w:szCs w:val="21"/>
                <w:highlight w:val="none"/>
              </w:rPr>
              <w:t>规格</w:t>
            </w:r>
            <w:r>
              <w:rPr>
                <w:rFonts w:hint="eastAsia" w:ascii="宋体" w:hAnsi="宋体" w:eastAsia="宋体" w:cs="宋体"/>
                <w:kern w:val="0"/>
                <w:sz w:val="21"/>
                <w:szCs w:val="21"/>
                <w:highlight w:val="none"/>
                <w:lang w:eastAsia="zh-CN"/>
              </w:rPr>
              <w:t>尺寸</w:t>
            </w:r>
            <w:r>
              <w:rPr>
                <w:rFonts w:hint="eastAsia" w:ascii="宋体" w:hAnsi="宋体" w:eastAsia="宋体" w:cs="宋体"/>
                <w:kern w:val="0"/>
                <w:sz w:val="21"/>
                <w:szCs w:val="21"/>
                <w:highlight w:val="none"/>
              </w:rPr>
              <w:t>：215*200*85mm</w:t>
            </w:r>
            <w:r>
              <w:rPr>
                <w:rFonts w:hint="eastAsia" w:ascii="宋体" w:hAnsi="宋体" w:eastAsia="宋体" w:cs="宋体"/>
                <w:kern w:val="0"/>
                <w:sz w:val="21"/>
                <w:szCs w:val="21"/>
                <w:highlight w:val="none"/>
                <w:lang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现场确定</w:t>
            </w: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球场灯具电线</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羽毛球、乒乓球场电线：BV2.5mm² 包辅材。</w:t>
            </w:r>
            <w:r>
              <w:rPr>
                <w:rFonts w:hint="eastAsia" w:ascii="宋体" w:hAnsi="宋体" w:eastAsia="宋体" w:cs="宋体"/>
                <w:kern w:val="0"/>
                <w:sz w:val="21"/>
                <w:szCs w:val="21"/>
                <w:highlight w:val="none"/>
                <w:lang w:eastAsia="zh-CN"/>
              </w:rPr>
              <w:t>（单个球场一组，单组三根电线）</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00</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2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球场灯具线KBG20线管</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灯具电线采用KBG20线管,包含法兰钩、三通、四通、直接、弯头等辅材</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440</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430" w:hRule="atLeast"/>
        </w:trPr>
        <w:tc>
          <w:tcPr>
            <w:tcW w:w="9129" w:type="dxa"/>
            <w:gridSpan w:val="6"/>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both"/>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三、窗帘安装部分</w:t>
            </w:r>
          </w:p>
        </w:tc>
      </w:tr>
      <w:tr>
        <w:tblPrEx>
          <w:tblCellMar>
            <w:top w:w="0" w:type="dxa"/>
            <w:left w:w="108" w:type="dxa"/>
            <w:bottom w:w="0" w:type="dxa"/>
            <w:right w:w="108" w:type="dxa"/>
          </w:tblCellMar>
        </w:tblPrEx>
        <w:trPr>
          <w:trHeight w:val="52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球场加厚遮光卷帘绒布</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3.6m*2.5m窗户22个,含损耗、加厚、淡蓝色、遮光、隔热、防紫外线,阳光油面料</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70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球场加厚遮光卷帘绒布</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2.4m*2.5m窗户12个</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含损耗、加厚、淡蓝色、遮光、隔热、防紫外线，阳光油面料</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456"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加长加粗</w:t>
            </w:r>
            <w:r>
              <w:rPr>
                <w:rFonts w:hint="eastAsia" w:ascii="宋体" w:hAnsi="宋体" w:eastAsia="宋体" w:cs="宋体"/>
                <w:kern w:val="0"/>
                <w:sz w:val="21"/>
                <w:szCs w:val="21"/>
                <w:highlight w:val="none"/>
                <w:lang w:eastAsia="zh-CN"/>
              </w:rPr>
              <w:t>拉绳</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高窗户数量18个，每个窗户需分成两个窗帘</w:t>
            </w:r>
            <w:r>
              <w:rPr>
                <w:rFonts w:hint="eastAsia" w:ascii="宋体" w:hAnsi="宋体" w:eastAsia="宋体" w:cs="宋体"/>
                <w:kern w:val="0"/>
                <w:sz w:val="21"/>
                <w:szCs w:val="21"/>
                <w:highlight w:val="none"/>
                <w:lang w:eastAsia="zh-CN"/>
              </w:rPr>
              <w:t>、增加两根拉绳</w:t>
            </w:r>
            <w:r>
              <w:rPr>
                <w:rFonts w:hint="eastAsia" w:ascii="宋体" w:hAnsi="宋体" w:eastAsia="宋体" w:cs="宋体"/>
                <w:kern w:val="0"/>
                <w:sz w:val="21"/>
                <w:szCs w:val="21"/>
                <w:highlight w:val="none"/>
              </w:rPr>
              <w:t>，共</w:t>
            </w:r>
            <w:r>
              <w:rPr>
                <w:rFonts w:hint="eastAsia" w:ascii="宋体" w:hAnsi="宋体" w:eastAsia="宋体" w:cs="宋体"/>
                <w:kern w:val="0"/>
                <w:sz w:val="21"/>
                <w:szCs w:val="21"/>
                <w:highlight w:val="none"/>
                <w:lang w:eastAsia="zh-CN"/>
              </w:rPr>
              <w:t>需增加</w:t>
            </w:r>
            <w:r>
              <w:rPr>
                <w:rFonts w:hint="eastAsia" w:ascii="宋体" w:hAnsi="宋体" w:eastAsia="宋体" w:cs="宋体"/>
                <w:kern w:val="0"/>
                <w:sz w:val="21"/>
                <w:szCs w:val="21"/>
                <w:highlight w:val="none"/>
              </w:rPr>
              <w:t>36</w:t>
            </w:r>
            <w:r>
              <w:rPr>
                <w:rFonts w:hint="eastAsia" w:ascii="宋体" w:hAnsi="宋体" w:eastAsia="宋体" w:cs="宋体"/>
                <w:kern w:val="0"/>
                <w:sz w:val="21"/>
                <w:szCs w:val="21"/>
                <w:highlight w:val="none"/>
                <w:lang w:eastAsia="zh-CN"/>
              </w:rPr>
              <w:t>根加粗拉绳</w:t>
            </w:r>
            <w:r>
              <w:rPr>
                <w:rFonts w:hint="eastAsia" w:ascii="宋体" w:hAnsi="宋体" w:eastAsia="宋体" w:cs="宋体"/>
                <w:kern w:val="0"/>
                <w:sz w:val="21"/>
                <w:szCs w:val="21"/>
                <w:highlight w:val="none"/>
              </w:rPr>
              <w:t>，每</w:t>
            </w:r>
            <w:r>
              <w:rPr>
                <w:rFonts w:hint="eastAsia" w:ascii="宋体" w:hAnsi="宋体" w:eastAsia="宋体" w:cs="宋体"/>
                <w:kern w:val="0"/>
                <w:sz w:val="21"/>
                <w:szCs w:val="21"/>
                <w:highlight w:val="none"/>
                <w:lang w:eastAsia="zh-CN"/>
              </w:rPr>
              <w:t>根</w:t>
            </w:r>
            <w:r>
              <w:rPr>
                <w:rFonts w:hint="eastAsia" w:ascii="宋体" w:hAnsi="宋体" w:eastAsia="宋体" w:cs="宋体"/>
                <w:kern w:val="0"/>
                <w:sz w:val="21"/>
                <w:szCs w:val="21"/>
                <w:highlight w:val="none"/>
              </w:rPr>
              <w:t>加粗绳子为13m</w:t>
            </w:r>
            <w:r>
              <w:rPr>
                <w:rFonts w:hint="eastAsia" w:ascii="宋体" w:hAnsi="宋体" w:eastAsia="宋体" w:cs="宋体"/>
                <w:kern w:val="0"/>
                <w:sz w:val="21"/>
                <w:szCs w:val="21"/>
                <w:highlight w:val="none"/>
                <w:lang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36</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61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加粗杆子</w:t>
            </w:r>
          </w:p>
        </w:tc>
        <w:tc>
          <w:tcPr>
            <w:tcW w:w="3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hd w:val="clear"/>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加粗杆子总长为108m(即3.6*22+2.4*12=108m)，并含其他配件</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108</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61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承重制头</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卷帘承重制头（定制高强度，加固制头）</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共</w:t>
            </w:r>
            <w:r>
              <w:rPr>
                <w:rFonts w:hint="eastAsia" w:ascii="宋体" w:hAnsi="宋体" w:eastAsia="宋体" w:cs="宋体"/>
                <w:kern w:val="0"/>
                <w:sz w:val="21"/>
                <w:szCs w:val="21"/>
                <w:highlight w:val="none"/>
                <w:lang w:val="en-US" w:eastAsia="zh-CN"/>
              </w:rPr>
              <w:t>34个窗户，</w:t>
            </w:r>
            <w:r>
              <w:rPr>
                <w:rFonts w:hint="eastAsia" w:ascii="宋体" w:hAnsi="宋体" w:eastAsia="宋体" w:cs="宋体"/>
                <w:kern w:val="0"/>
                <w:sz w:val="21"/>
                <w:szCs w:val="21"/>
                <w:highlight w:val="none"/>
              </w:rPr>
              <w:t>68个窗帘</w:t>
            </w:r>
            <w:r>
              <w:rPr>
                <w:rFonts w:hint="eastAsia" w:ascii="宋体" w:hAnsi="宋体" w:eastAsia="宋体" w:cs="宋体"/>
                <w:kern w:val="0"/>
                <w:sz w:val="21"/>
                <w:szCs w:val="21"/>
                <w:highlight w:val="none"/>
                <w:lang w:eastAsia="zh-CN"/>
              </w:rPr>
              <w:t>，每个窗帘一个。</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68</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70" w:hRule="atLeast"/>
        </w:trPr>
        <w:tc>
          <w:tcPr>
            <w:tcW w:w="9129" w:type="dxa"/>
            <w:gridSpan w:val="6"/>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四、</w:t>
            </w:r>
            <w:r>
              <w:rPr>
                <w:rFonts w:hint="eastAsia" w:ascii="宋体" w:hAnsi="宋体" w:eastAsia="宋体" w:cs="宋体"/>
                <w:kern w:val="0"/>
                <w:sz w:val="21"/>
                <w:szCs w:val="21"/>
                <w:highlight w:val="none"/>
              </w:rPr>
              <w:t>更衣室改造</w:t>
            </w:r>
          </w:p>
        </w:tc>
      </w:tr>
      <w:tr>
        <w:tblPrEx>
          <w:tblCellMar>
            <w:top w:w="0" w:type="dxa"/>
            <w:left w:w="108" w:type="dxa"/>
            <w:bottom w:w="0" w:type="dxa"/>
            <w:right w:w="108" w:type="dxa"/>
          </w:tblCellMar>
        </w:tblPrEx>
        <w:trPr>
          <w:trHeight w:val="705" w:hRule="atLeast"/>
        </w:trPr>
        <w:tc>
          <w:tcPr>
            <w:tcW w:w="58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w:t>
            </w:r>
          </w:p>
        </w:tc>
        <w:tc>
          <w:tcPr>
            <w:tcW w:w="1955" w:type="dxa"/>
            <w:tcBorders>
              <w:top w:val="single" w:color="auto" w:sz="4" w:space="0"/>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条形码型智能物品柜（24柜)</w:t>
            </w:r>
          </w:p>
        </w:tc>
        <w:tc>
          <w:tcPr>
            <w:tcW w:w="3875"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shd w:val="clear"/>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1700*460*1800mm</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柜体料厚≥0.9mm</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配置微电脑系统，集成智能功能,“一机一柜”</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一个主柜一个附柜</w:t>
            </w:r>
            <w:r>
              <w:rPr>
                <w:rFonts w:hint="eastAsia" w:ascii="宋体" w:hAnsi="宋体" w:eastAsia="宋体" w:cs="宋体"/>
                <w:kern w:val="0"/>
                <w:sz w:val="21"/>
                <w:szCs w:val="21"/>
                <w:highlight w:val="none"/>
                <w:lang w:eastAsia="zh-CN"/>
              </w:rPr>
              <w:t>）</w:t>
            </w:r>
          </w:p>
        </w:tc>
        <w:tc>
          <w:tcPr>
            <w:tcW w:w="863" w:type="dxa"/>
            <w:tcBorders>
              <w:top w:val="single" w:color="auto" w:sz="4" w:space="0"/>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61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25</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淋浴室和</w:t>
            </w:r>
            <w:r>
              <w:rPr>
                <w:rFonts w:hint="eastAsia" w:ascii="宋体" w:hAnsi="宋体" w:eastAsia="宋体" w:cs="宋体"/>
                <w:kern w:val="0"/>
                <w:sz w:val="21"/>
                <w:szCs w:val="21"/>
                <w:highlight w:val="none"/>
              </w:rPr>
              <w:t>卫生间隔断</w:t>
            </w:r>
          </w:p>
        </w:tc>
        <w:tc>
          <w:tcPr>
            <w:tcW w:w="3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hd w:val="clear"/>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1.4m*0.</w:t>
            </w:r>
            <w:r>
              <w:rPr>
                <w:rFonts w:hint="eastAsia" w:ascii="宋体" w:hAnsi="宋体" w:eastAsia="宋体" w:cs="宋体"/>
                <w:kern w:val="0"/>
                <w:sz w:val="21"/>
                <w:szCs w:val="21"/>
                <w:highlight w:val="none"/>
                <w:lang w:val="en-US" w:eastAsia="zh-CN"/>
              </w:rPr>
              <w:t>9</w:t>
            </w:r>
            <w:r>
              <w:rPr>
                <w:rFonts w:hint="eastAsia" w:ascii="宋体" w:hAnsi="宋体" w:eastAsia="宋体" w:cs="宋体"/>
                <w:kern w:val="0"/>
                <w:sz w:val="21"/>
                <w:szCs w:val="21"/>
                <w:highlight w:val="none"/>
              </w:rPr>
              <w:t>m*1.8m防水隔断，含门锁、支架等五金配件</w:t>
            </w:r>
            <w:r>
              <w:rPr>
                <w:rFonts w:hint="eastAsia" w:ascii="宋体" w:hAnsi="宋体" w:eastAsia="宋体" w:cs="宋体"/>
                <w:kern w:val="0"/>
                <w:sz w:val="21"/>
                <w:szCs w:val="21"/>
                <w:highlight w:val="none"/>
                <w:lang w:eastAsia="zh-CN"/>
              </w:rPr>
              <w:t>及基层处理、台阶设置等。（隔断尺寸可根据现场情况适当调整，隔断区域与地面高差</w:t>
            </w:r>
            <w:r>
              <w:rPr>
                <w:rFonts w:hint="eastAsia" w:ascii="宋体" w:hAnsi="宋体" w:eastAsia="宋体" w:cs="宋体"/>
                <w:kern w:val="0"/>
                <w:sz w:val="21"/>
                <w:szCs w:val="21"/>
                <w:highlight w:val="none"/>
                <w:lang w:val="en-US" w:eastAsia="zh-CN"/>
              </w:rPr>
              <w:t>350mm，</w:t>
            </w:r>
            <w:r>
              <w:rPr>
                <w:rFonts w:hint="eastAsia" w:ascii="宋体" w:hAnsi="宋体" w:eastAsia="宋体" w:cs="宋体"/>
                <w:kern w:val="0"/>
                <w:sz w:val="21"/>
                <w:szCs w:val="21"/>
                <w:highlight w:val="none"/>
                <w:lang w:eastAsia="zh-CN"/>
              </w:rPr>
              <w:t>设置一个台阶，具体现场确定）</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61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屏风</w:t>
            </w:r>
          </w:p>
        </w:tc>
        <w:tc>
          <w:tcPr>
            <w:tcW w:w="3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hd w:val="clear"/>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两个，单个</w:t>
            </w:r>
            <w:r>
              <w:rPr>
                <w:rFonts w:hint="eastAsia" w:ascii="宋体" w:hAnsi="宋体" w:eastAsia="宋体" w:cs="宋体"/>
                <w:kern w:val="0"/>
                <w:sz w:val="21"/>
                <w:szCs w:val="21"/>
                <w:highlight w:val="none"/>
              </w:rPr>
              <w:t>屏风规格1.2*2.2m</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材质：印花钢化玻璃12mm，玫瑰金不锈钢包边，含支架等五金配件</w:t>
            </w:r>
            <w:r>
              <w:rPr>
                <w:rFonts w:hint="eastAsia" w:ascii="宋体" w:hAnsi="宋体" w:eastAsia="宋体" w:cs="宋体"/>
                <w:kern w:val="0"/>
                <w:sz w:val="21"/>
                <w:szCs w:val="21"/>
                <w:highlight w:val="none"/>
                <w:lang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5.28</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70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淋浴室和</w:t>
            </w:r>
            <w:r>
              <w:rPr>
                <w:rFonts w:hint="eastAsia" w:ascii="宋体" w:hAnsi="宋体" w:eastAsia="宋体" w:cs="宋体"/>
                <w:kern w:val="0"/>
                <w:sz w:val="21"/>
                <w:szCs w:val="21"/>
                <w:highlight w:val="none"/>
              </w:rPr>
              <w:t>卫生间回填</w:t>
            </w:r>
          </w:p>
        </w:tc>
        <w:tc>
          <w:tcPr>
            <w:tcW w:w="3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hd w:val="clear"/>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1、20厚1:3水泥砂浆找平层 2、回填高度：350mm；3、回填陶瓷颗粒；</w:t>
            </w:r>
            <w:r>
              <w:rPr>
                <w:rFonts w:hint="eastAsia" w:ascii="宋体" w:hAnsi="宋体" w:eastAsia="宋体" w:cs="宋体"/>
                <w:kern w:val="0"/>
                <w:sz w:val="21"/>
                <w:szCs w:val="21"/>
                <w:highlight w:val="none"/>
                <w:lang w:val="en-US" w:eastAsia="zh-CN"/>
              </w:rPr>
              <w:t>4、面积约为：1.4*0.9*14=17.64</w:t>
            </w: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r>
              <w:rPr>
                <w:rFonts w:hint="eastAsia" w:ascii="宋体" w:hAnsi="宋体" w:eastAsia="宋体" w:cs="宋体"/>
                <w:kern w:val="0"/>
                <w:sz w:val="21"/>
                <w:szCs w:val="21"/>
                <w:highlight w:val="none"/>
                <w:lang w:eastAsia="zh-CN"/>
              </w:rPr>
              <w:t>（含基层处理等）</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17.64</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left"/>
              <w:rPr>
                <w:rFonts w:hint="eastAsia" w:ascii="宋体" w:hAnsi="宋体" w:eastAsia="宋体" w:cs="宋体"/>
                <w:kern w:val="0"/>
                <w:sz w:val="21"/>
                <w:szCs w:val="21"/>
                <w:highlight w:val="none"/>
                <w:lang w:eastAsia="zh-CN"/>
              </w:rPr>
            </w:pPr>
          </w:p>
        </w:tc>
      </w:tr>
      <w:tr>
        <w:tblPrEx>
          <w:tblCellMar>
            <w:top w:w="0" w:type="dxa"/>
            <w:left w:w="108" w:type="dxa"/>
            <w:bottom w:w="0" w:type="dxa"/>
            <w:right w:w="108" w:type="dxa"/>
          </w:tblCellMar>
        </w:tblPrEx>
        <w:trPr>
          <w:trHeight w:val="70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28</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地面防滑砖铺设</w:t>
            </w:r>
          </w:p>
        </w:tc>
        <w:tc>
          <w:tcPr>
            <w:tcW w:w="3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hd w:val="clear"/>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300*300</w:t>
            </w:r>
            <w:r>
              <w:rPr>
                <w:rFonts w:hint="eastAsia" w:ascii="宋体" w:hAnsi="宋体" w:eastAsia="宋体" w:cs="宋体"/>
                <w:kern w:val="0"/>
                <w:sz w:val="21"/>
                <w:szCs w:val="21"/>
                <w:highlight w:val="none"/>
                <w:lang w:eastAsia="zh-CN"/>
              </w:rPr>
              <w:t>防滑地砖：</w:t>
            </w:r>
            <w:r>
              <w:rPr>
                <w:rFonts w:hint="eastAsia" w:ascii="宋体" w:hAnsi="宋体" w:eastAsia="宋体" w:cs="宋体"/>
                <w:kern w:val="0"/>
                <w:sz w:val="21"/>
                <w:szCs w:val="21"/>
                <w:highlight w:val="none"/>
              </w:rPr>
              <w:t>1.结合层厚度、砂浆配合比: 40mm厚1:3水泥砂浆</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2. 防滑砖、300*300mm</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3. 铺贴区域含原地面（约8.4*6.2=52.08</w:t>
            </w: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r>
              <w:rPr>
                <w:rFonts w:hint="eastAsia" w:ascii="宋体" w:hAnsi="宋体" w:eastAsia="宋体" w:cs="宋体"/>
                <w:kern w:val="0"/>
                <w:sz w:val="21"/>
                <w:szCs w:val="21"/>
                <w:highlight w:val="none"/>
                <w:lang w:val="en-US" w:eastAsia="zh-CN"/>
              </w:rPr>
              <w:t>）及隔断抬高面（高度350mm，0.9*0.35*14=4.41</w:t>
            </w: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r>
              <w:rPr>
                <w:rFonts w:hint="eastAsia" w:ascii="宋体" w:hAnsi="宋体" w:eastAsia="宋体" w:cs="宋体"/>
                <w:kern w:val="0"/>
                <w:sz w:val="21"/>
                <w:szCs w:val="21"/>
                <w:highlight w:val="none"/>
                <w:lang w:val="en-US"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56.49</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61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29</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墙砖铺设</w:t>
            </w:r>
          </w:p>
        </w:tc>
        <w:tc>
          <w:tcPr>
            <w:tcW w:w="3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hd w:val="clear"/>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300*600</w:t>
            </w:r>
            <w:r>
              <w:rPr>
                <w:rFonts w:hint="eastAsia" w:ascii="宋体" w:hAnsi="宋体" w:eastAsia="宋体" w:cs="宋体"/>
                <w:kern w:val="0"/>
                <w:sz w:val="21"/>
                <w:szCs w:val="21"/>
                <w:highlight w:val="none"/>
                <w:lang w:eastAsia="zh-CN"/>
              </w:rPr>
              <w:t>墙砖，淋浴室内所有墙面（含新砌墙两面，</w:t>
            </w:r>
            <w:r>
              <w:rPr>
                <w:rFonts w:hint="eastAsia" w:ascii="宋体" w:hAnsi="宋体" w:eastAsia="宋体" w:cs="宋体"/>
                <w:kern w:val="0"/>
                <w:sz w:val="21"/>
                <w:szCs w:val="21"/>
                <w:highlight w:val="none"/>
                <w:lang w:val="en-US" w:eastAsia="zh-CN"/>
              </w:rPr>
              <w:t>233.36</w:t>
            </w: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r>
              <w:rPr>
                <w:rFonts w:hint="eastAsia" w:ascii="宋体" w:hAnsi="宋体" w:eastAsia="宋体" w:cs="宋体"/>
                <w:kern w:val="0"/>
                <w:sz w:val="21"/>
                <w:szCs w:val="21"/>
                <w:highlight w:val="none"/>
                <w:lang w:eastAsia="zh-CN"/>
              </w:rPr>
              <w:t>）及门、窗户内沿（内沿宽度按</w:t>
            </w:r>
            <w:r>
              <w:rPr>
                <w:rFonts w:hint="eastAsia" w:ascii="宋体" w:hAnsi="宋体" w:eastAsia="宋体" w:cs="宋体"/>
                <w:kern w:val="0"/>
                <w:sz w:val="21"/>
                <w:szCs w:val="21"/>
                <w:highlight w:val="none"/>
                <w:lang w:val="en-US" w:eastAsia="zh-CN"/>
              </w:rPr>
              <w:t>100mm计取，约2.23</w:t>
            </w: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r>
              <w:rPr>
                <w:rFonts w:hint="eastAsia" w:ascii="宋体" w:hAnsi="宋体" w:eastAsia="宋体" w:cs="宋体"/>
                <w:kern w:val="0"/>
                <w:sz w:val="21"/>
                <w:szCs w:val="21"/>
                <w:highlight w:val="none"/>
                <w:lang w:eastAsia="zh-CN"/>
              </w:rPr>
              <w:t>），铺贴</w:t>
            </w:r>
            <w:r>
              <w:rPr>
                <w:rFonts w:hint="eastAsia" w:ascii="宋体" w:hAnsi="宋体" w:eastAsia="宋体" w:cs="宋体"/>
                <w:kern w:val="0"/>
                <w:sz w:val="21"/>
                <w:szCs w:val="21"/>
                <w:highlight w:val="none"/>
              </w:rPr>
              <w:t>高</w:t>
            </w:r>
            <w:r>
              <w:rPr>
                <w:rFonts w:hint="eastAsia" w:ascii="宋体" w:hAnsi="宋体" w:eastAsia="宋体" w:cs="宋体"/>
                <w:kern w:val="0"/>
                <w:sz w:val="21"/>
                <w:szCs w:val="21"/>
                <w:highlight w:val="none"/>
                <w:lang w:eastAsia="zh-CN"/>
              </w:rPr>
              <w:t>度按</w:t>
            </w:r>
            <w:r>
              <w:rPr>
                <w:rFonts w:hint="eastAsia" w:ascii="宋体" w:hAnsi="宋体" w:eastAsia="宋体" w:cs="宋体"/>
                <w:kern w:val="0"/>
                <w:sz w:val="21"/>
                <w:szCs w:val="21"/>
                <w:highlight w:val="none"/>
              </w:rPr>
              <w:t>4.7m</w:t>
            </w:r>
            <w:r>
              <w:rPr>
                <w:rFonts w:hint="eastAsia" w:ascii="宋体" w:hAnsi="宋体" w:eastAsia="宋体" w:cs="宋体"/>
                <w:kern w:val="0"/>
                <w:sz w:val="21"/>
                <w:szCs w:val="21"/>
                <w:highlight w:val="none"/>
                <w:lang w:eastAsia="zh-CN"/>
              </w:rPr>
              <w:t>计取</w:t>
            </w:r>
            <w:r>
              <w:rPr>
                <w:rFonts w:hint="eastAsia" w:ascii="宋体" w:hAnsi="宋体" w:eastAsia="宋体" w:cs="宋体"/>
                <w:kern w:val="0"/>
                <w:sz w:val="21"/>
                <w:szCs w:val="21"/>
                <w:highlight w:val="none"/>
              </w:rPr>
              <w:t>，2mm瓷砖胶粘连</w:t>
            </w:r>
            <w:r>
              <w:rPr>
                <w:rFonts w:hint="eastAsia" w:ascii="宋体" w:hAnsi="宋体" w:eastAsia="宋体" w:cs="宋体"/>
                <w:kern w:val="0"/>
                <w:sz w:val="21"/>
                <w:szCs w:val="21"/>
                <w:highlight w:val="none"/>
                <w:lang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239.36</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61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普通水银镜子</w:t>
            </w:r>
          </w:p>
        </w:tc>
        <w:tc>
          <w:tcPr>
            <w:tcW w:w="3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hd w:val="clear"/>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1.2m*2m，5mm厚</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块</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31</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更衣长凳</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L1500mm  实木更衣长凳</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条</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防水卷帘</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更衣室窗户尺寸：2.35</w:t>
            </w:r>
            <w:r>
              <w:rPr>
                <w:rFonts w:hint="eastAsia" w:ascii="宋体" w:hAnsi="宋体" w:eastAsia="宋体" w:cs="宋体"/>
                <w:kern w:val="0"/>
                <w:sz w:val="21"/>
                <w:szCs w:val="21"/>
                <w:highlight w:val="none"/>
                <w:lang w:val="en-US" w:eastAsia="zh-CN"/>
              </w:rPr>
              <w:t>m</w:t>
            </w:r>
            <w:r>
              <w:rPr>
                <w:rFonts w:hint="eastAsia" w:ascii="宋体" w:hAnsi="宋体" w:eastAsia="宋体" w:cs="宋体"/>
                <w:kern w:val="0"/>
                <w:sz w:val="21"/>
                <w:szCs w:val="21"/>
                <w:highlight w:val="none"/>
              </w:rPr>
              <w:t>*2.38</w:t>
            </w:r>
            <w:r>
              <w:rPr>
                <w:rFonts w:hint="eastAsia" w:ascii="宋体" w:hAnsi="宋体" w:eastAsia="宋体" w:cs="宋体"/>
                <w:kern w:val="0"/>
                <w:sz w:val="21"/>
                <w:szCs w:val="21"/>
                <w:highlight w:val="none"/>
                <w:lang w:val="en-US" w:eastAsia="zh-CN"/>
              </w:rPr>
              <w:t>m</w:t>
            </w:r>
            <w:r>
              <w:rPr>
                <w:rFonts w:hint="eastAsia" w:ascii="宋体" w:hAnsi="宋体" w:eastAsia="宋体" w:cs="宋体"/>
                <w:kern w:val="0"/>
                <w:sz w:val="21"/>
                <w:szCs w:val="21"/>
                <w:highlight w:val="none"/>
              </w:rPr>
              <w:t>，数量2个，做防水卷帘，防水、防紫外线</w:t>
            </w:r>
            <w:r>
              <w:rPr>
                <w:rFonts w:hint="eastAsia" w:ascii="宋体" w:hAnsi="宋体" w:eastAsia="宋体" w:cs="宋体"/>
                <w:kern w:val="0"/>
                <w:sz w:val="21"/>
                <w:szCs w:val="21"/>
                <w:highlight w:val="none"/>
                <w:lang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r>
              <w:rPr>
                <w:rFonts w:hint="eastAsia" w:ascii="宋体" w:hAnsi="宋体" w:eastAsia="宋体" w:cs="宋体"/>
                <w:kern w:val="0"/>
                <w:sz w:val="21"/>
                <w:szCs w:val="21"/>
                <w:highlight w:val="none"/>
                <w:lang w:val="en-US" w:eastAsia="zh-CN"/>
              </w:rPr>
              <w:t>.19</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864"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33</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成品防雾镜</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规格：2*1.5m    1.镜面玻璃品种、规格: 5mm厚银镜;2.框材质、断面尺寸: 1mm厚香槟不锈钢收边;3.基层材料种类: 18mm阻燃板;4、暗藏LED灯带</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34</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成品门</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1.洞口尺寸: 850*2100mm;</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2.含五金件及锁具;</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樘</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卫生纸盒</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材质：不锈钢</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70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3</w:t>
            </w:r>
            <w:r>
              <w:rPr>
                <w:rFonts w:hint="eastAsia" w:ascii="宋体" w:hAnsi="宋体" w:eastAsia="宋体" w:cs="宋体"/>
                <w:kern w:val="0"/>
                <w:sz w:val="21"/>
                <w:szCs w:val="21"/>
                <w:highlight w:val="none"/>
                <w:lang w:val="en-US" w:eastAsia="zh-CN"/>
              </w:rPr>
              <w:t>6</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洗手台</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1.箱体材质、规格: 大理石、600*2000mm;</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2.基层材料种类: L5镀锌角钢支架（膨胀螺栓固定）</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3</w:t>
            </w:r>
            <w:r>
              <w:rPr>
                <w:rFonts w:hint="eastAsia" w:ascii="宋体" w:hAnsi="宋体" w:eastAsia="宋体" w:cs="宋体"/>
                <w:kern w:val="0"/>
                <w:sz w:val="21"/>
                <w:szCs w:val="21"/>
                <w:highlight w:val="none"/>
                <w:lang w:val="en-US" w:eastAsia="zh-CN"/>
              </w:rPr>
              <w:t>7</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原墙漆铲除</w:t>
            </w:r>
          </w:p>
        </w:tc>
        <w:tc>
          <w:tcPr>
            <w:tcW w:w="3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hd w:val="clear"/>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原有墙漆铲除</w:t>
            </w:r>
            <w:r>
              <w:rPr>
                <w:rFonts w:hint="eastAsia" w:ascii="宋体" w:hAnsi="宋体" w:eastAsia="宋体" w:cs="宋体"/>
                <w:kern w:val="0"/>
                <w:sz w:val="21"/>
                <w:szCs w:val="21"/>
                <w:highlight w:val="none"/>
                <w:lang w:eastAsia="zh-CN"/>
              </w:rPr>
              <w:t>、清理：含原有内墙面（约</w:t>
            </w:r>
            <w:r>
              <w:rPr>
                <w:rFonts w:hint="eastAsia" w:ascii="宋体" w:hAnsi="宋体" w:eastAsia="宋体" w:cs="宋体"/>
                <w:kern w:val="0"/>
                <w:sz w:val="21"/>
                <w:szCs w:val="21"/>
                <w:highlight w:val="none"/>
                <w:lang w:val="en-US" w:eastAsia="zh-CN"/>
              </w:rPr>
              <w:t>115.67</w:t>
            </w: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r>
              <w:rPr>
                <w:rFonts w:hint="eastAsia" w:ascii="宋体" w:hAnsi="宋体" w:eastAsia="宋体" w:cs="宋体"/>
                <w:kern w:val="0"/>
                <w:sz w:val="21"/>
                <w:szCs w:val="21"/>
                <w:highlight w:val="none"/>
                <w:lang w:eastAsia="zh-CN"/>
              </w:rPr>
              <w:t>）及门框、窗户内沿（内沿宽度按</w:t>
            </w:r>
            <w:r>
              <w:rPr>
                <w:rFonts w:hint="eastAsia" w:ascii="宋体" w:hAnsi="宋体" w:eastAsia="宋体" w:cs="宋体"/>
                <w:kern w:val="0"/>
                <w:sz w:val="21"/>
                <w:szCs w:val="21"/>
                <w:highlight w:val="none"/>
                <w:lang w:val="en-US" w:eastAsia="zh-CN"/>
              </w:rPr>
              <w:t>100mm计取，约2.23</w:t>
            </w: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r>
              <w:rPr>
                <w:rFonts w:hint="eastAsia" w:ascii="宋体" w:hAnsi="宋体" w:eastAsia="宋体" w:cs="宋体"/>
                <w:kern w:val="0"/>
                <w:sz w:val="21"/>
                <w:szCs w:val="21"/>
                <w:highlight w:val="none"/>
                <w:lang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117.9</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70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3</w:t>
            </w:r>
            <w:r>
              <w:rPr>
                <w:rFonts w:hint="eastAsia" w:ascii="宋体" w:hAnsi="宋体" w:eastAsia="宋体" w:cs="宋体"/>
                <w:kern w:val="0"/>
                <w:sz w:val="21"/>
                <w:szCs w:val="21"/>
                <w:highlight w:val="none"/>
                <w:lang w:val="en-US" w:eastAsia="zh-CN"/>
              </w:rPr>
              <w:t>8</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楼(地)面</w:t>
            </w:r>
            <w:r>
              <w:rPr>
                <w:rFonts w:hint="eastAsia" w:ascii="宋体" w:hAnsi="宋体" w:eastAsia="宋体" w:cs="宋体"/>
                <w:kern w:val="0"/>
                <w:sz w:val="21"/>
                <w:szCs w:val="21"/>
                <w:highlight w:val="none"/>
                <w:lang w:eastAsia="zh-CN"/>
              </w:rPr>
              <w:t>和</w:t>
            </w:r>
            <w:r>
              <w:rPr>
                <w:rFonts w:hint="eastAsia" w:ascii="宋体" w:hAnsi="宋体" w:eastAsia="宋体" w:cs="宋体"/>
                <w:kern w:val="0"/>
                <w:sz w:val="21"/>
                <w:szCs w:val="21"/>
                <w:highlight w:val="none"/>
              </w:rPr>
              <w:t>墙面</w:t>
            </w:r>
            <w:r>
              <w:rPr>
                <w:rFonts w:hint="eastAsia" w:ascii="宋体" w:hAnsi="宋体" w:eastAsia="宋体" w:cs="宋体"/>
                <w:kern w:val="0"/>
                <w:sz w:val="21"/>
                <w:szCs w:val="21"/>
                <w:highlight w:val="none"/>
                <w:lang w:eastAsia="zh-CN"/>
              </w:rPr>
              <w:t>防水</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1.防水膜品种: 聚氨酯</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2.涂膜厚度、遍数: 2mm聚氨酯涂膜防水、2遍</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3.反边高度:全墙高</w:t>
            </w:r>
            <w:r>
              <w:rPr>
                <w:rFonts w:hint="eastAsia" w:ascii="宋体" w:hAnsi="宋体" w:eastAsia="宋体" w:cs="宋体"/>
                <w:kern w:val="0"/>
                <w:sz w:val="21"/>
                <w:szCs w:val="21"/>
                <w:highlight w:val="none"/>
                <w:lang w:eastAsia="zh-CN"/>
              </w:rPr>
              <w:t>按</w:t>
            </w:r>
            <w:r>
              <w:rPr>
                <w:rFonts w:hint="eastAsia" w:ascii="宋体" w:hAnsi="宋体" w:eastAsia="宋体" w:cs="宋体"/>
                <w:kern w:val="0"/>
                <w:sz w:val="21"/>
                <w:szCs w:val="21"/>
                <w:highlight w:val="none"/>
              </w:rPr>
              <w:t>4.7m</w:t>
            </w:r>
            <w:r>
              <w:rPr>
                <w:rFonts w:hint="eastAsia" w:ascii="宋体" w:hAnsi="宋体" w:eastAsia="宋体" w:cs="宋体"/>
                <w:kern w:val="0"/>
                <w:sz w:val="21"/>
                <w:szCs w:val="21"/>
                <w:highlight w:val="none"/>
                <w:lang w:eastAsia="zh-CN"/>
              </w:rPr>
              <w:t>计取；</w:t>
            </w:r>
            <w:r>
              <w:rPr>
                <w:rFonts w:hint="eastAsia" w:ascii="宋体" w:hAnsi="宋体" w:eastAsia="宋体" w:cs="宋体"/>
                <w:kern w:val="0"/>
                <w:sz w:val="21"/>
                <w:szCs w:val="21"/>
                <w:highlight w:val="none"/>
                <w:lang w:val="en-US" w:eastAsia="zh-CN"/>
              </w:rPr>
              <w:t>4.防水区域包括淋浴室所有墙面（含门、窗户内沿，约239.36</w:t>
            </w: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r>
              <w:rPr>
                <w:rFonts w:hint="eastAsia" w:ascii="宋体" w:hAnsi="宋体" w:eastAsia="宋体" w:cs="宋体"/>
                <w:kern w:val="0"/>
                <w:sz w:val="21"/>
                <w:szCs w:val="21"/>
                <w:highlight w:val="none"/>
                <w:lang w:val="en-US" w:eastAsia="zh-CN"/>
              </w:rPr>
              <w:t>）和地面（含隔断抬高面，约56.49</w:t>
            </w: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r>
              <w:rPr>
                <w:rFonts w:hint="eastAsia" w:ascii="宋体" w:hAnsi="宋体" w:eastAsia="宋体" w:cs="宋体"/>
                <w:kern w:val="0"/>
                <w:sz w:val="21"/>
                <w:szCs w:val="21"/>
                <w:highlight w:val="none"/>
                <w:lang w:val="en-US"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295.85</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25" w:hRule="atLeast"/>
        </w:trPr>
        <w:tc>
          <w:tcPr>
            <w:tcW w:w="58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strike w:val="0"/>
                <w:dstrike w:val="0"/>
                <w:kern w:val="0"/>
                <w:sz w:val="21"/>
                <w:szCs w:val="21"/>
                <w:highlight w:val="none"/>
                <w:lang w:val="en-US" w:eastAsia="zh-CN"/>
              </w:rPr>
              <w:t>39</w:t>
            </w:r>
          </w:p>
        </w:tc>
        <w:tc>
          <w:tcPr>
            <w:tcW w:w="1955" w:type="dxa"/>
            <w:tcBorders>
              <w:top w:val="single" w:color="auto" w:sz="4" w:space="0"/>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砖砌</w:t>
            </w:r>
            <w:r>
              <w:rPr>
                <w:rFonts w:hint="eastAsia" w:ascii="宋体" w:hAnsi="宋体" w:eastAsia="宋体" w:cs="宋体"/>
                <w:kern w:val="0"/>
                <w:sz w:val="21"/>
                <w:szCs w:val="21"/>
                <w:highlight w:val="none"/>
              </w:rPr>
              <w:t>隔墙、抹灰</w:t>
            </w:r>
          </w:p>
        </w:tc>
        <w:tc>
          <w:tcPr>
            <w:tcW w:w="3875" w:type="dxa"/>
            <w:tcBorders>
              <w:top w:val="single" w:color="auto" w:sz="4" w:space="0"/>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 宽200mm*高4</w:t>
            </w:r>
            <w:r>
              <w:rPr>
                <w:rFonts w:hint="eastAsia" w:ascii="宋体" w:hAnsi="宋体" w:eastAsia="宋体" w:cs="宋体"/>
                <w:kern w:val="0"/>
                <w:sz w:val="21"/>
                <w:szCs w:val="21"/>
                <w:highlight w:val="none"/>
                <w:lang w:val="en-US" w:eastAsia="zh-CN"/>
              </w:rPr>
              <w:t>7</w:t>
            </w:r>
            <w:r>
              <w:rPr>
                <w:rFonts w:hint="eastAsia" w:ascii="宋体" w:hAnsi="宋体" w:eastAsia="宋体" w:cs="宋体"/>
                <w:kern w:val="0"/>
                <w:sz w:val="21"/>
                <w:szCs w:val="21"/>
                <w:highlight w:val="none"/>
              </w:rPr>
              <w:t>00mm*长12900mm(含两边门洞</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850*2100</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砖砌墙体</w:t>
            </w:r>
            <w:r>
              <w:rPr>
                <w:rFonts w:hint="eastAsia" w:ascii="宋体" w:hAnsi="宋体" w:eastAsia="宋体" w:cs="宋体"/>
                <w:kern w:val="0"/>
                <w:sz w:val="21"/>
                <w:szCs w:val="21"/>
                <w:highlight w:val="none"/>
                <w:lang w:eastAsia="zh-CN"/>
              </w:rPr>
              <w:t>（包括对预留门洞的处理）、</w:t>
            </w:r>
            <w:r>
              <w:rPr>
                <w:rFonts w:hint="eastAsia" w:ascii="宋体" w:hAnsi="宋体" w:eastAsia="宋体" w:cs="宋体"/>
                <w:kern w:val="0"/>
                <w:sz w:val="21"/>
                <w:szCs w:val="21"/>
                <w:highlight w:val="none"/>
              </w:rPr>
              <w:t>双面抹灰；</w:t>
            </w:r>
            <w:r>
              <w:rPr>
                <w:rFonts w:hint="eastAsia" w:ascii="宋体" w:hAnsi="宋体" w:eastAsia="宋体" w:cs="宋体"/>
                <w:kern w:val="0"/>
                <w:sz w:val="21"/>
                <w:szCs w:val="21"/>
                <w:highlight w:val="none"/>
                <w:lang w:val="en-US" w:eastAsia="zh-CN"/>
              </w:rPr>
              <w:t>与构造柱接口采用马牙槎（</w:t>
            </w:r>
            <w:r>
              <w:rPr>
                <w:rFonts w:hint="eastAsia" w:ascii="宋体" w:hAnsi="宋体" w:eastAsia="宋体" w:cs="宋体"/>
                <w:kern w:val="0"/>
                <w:sz w:val="21"/>
                <w:szCs w:val="21"/>
                <w:highlight w:val="none"/>
              </w:rPr>
              <w:t>马牙间隔</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00mm，退进</w:t>
            </w:r>
            <w:r>
              <w:rPr>
                <w:rFonts w:hint="eastAsia" w:ascii="宋体" w:hAnsi="宋体" w:eastAsia="宋体" w:cs="宋体"/>
                <w:kern w:val="0"/>
                <w:sz w:val="21"/>
                <w:szCs w:val="21"/>
                <w:highlight w:val="none"/>
                <w:lang w:eastAsia="zh-CN"/>
              </w:rPr>
              <w:t>不少于</w:t>
            </w:r>
            <w:r>
              <w:rPr>
                <w:rFonts w:hint="eastAsia" w:ascii="宋体" w:hAnsi="宋体" w:eastAsia="宋体" w:cs="宋体"/>
                <w:kern w:val="0"/>
                <w:sz w:val="21"/>
                <w:szCs w:val="21"/>
                <w:highlight w:val="none"/>
                <w:lang w:val="en-US" w:eastAsia="zh-CN"/>
              </w:rPr>
              <w:t>60</w:t>
            </w:r>
            <w:r>
              <w:rPr>
                <w:rFonts w:hint="eastAsia" w:ascii="宋体" w:hAnsi="宋体" w:eastAsia="宋体" w:cs="宋体"/>
                <w:kern w:val="0"/>
                <w:sz w:val="21"/>
                <w:szCs w:val="21"/>
                <w:highlight w:val="none"/>
              </w:rPr>
              <w:t>mm</w:t>
            </w:r>
            <w:r>
              <w:rPr>
                <w:rFonts w:hint="eastAsia" w:ascii="宋体" w:hAnsi="宋体" w:eastAsia="宋体" w:cs="宋体"/>
                <w:kern w:val="0"/>
                <w:sz w:val="21"/>
                <w:szCs w:val="21"/>
                <w:highlight w:val="none"/>
                <w:lang w:val="en-US" w:eastAsia="zh-CN"/>
              </w:rPr>
              <w:t>）。</w:t>
            </w:r>
          </w:p>
          <w:p>
            <w:pPr>
              <w:keepNext w:val="0"/>
              <w:keepLines w:val="0"/>
              <w:pageBreakBefore w:val="0"/>
              <w:widowControl/>
              <w:shd w:val="clear"/>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2. 铺设拉筋：Φ</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mm，</w:t>
            </w:r>
            <w:r>
              <w:rPr>
                <w:rFonts w:hint="eastAsia" w:ascii="宋体" w:hAnsi="宋体" w:eastAsia="宋体" w:cs="宋体"/>
                <w:kern w:val="0"/>
                <w:sz w:val="21"/>
                <w:szCs w:val="21"/>
                <w:highlight w:val="none"/>
                <w:lang w:eastAsia="zh-CN"/>
              </w:rPr>
              <w:t>可</w:t>
            </w:r>
            <w:r>
              <w:rPr>
                <w:rFonts w:hint="eastAsia" w:ascii="宋体" w:hAnsi="宋体" w:eastAsia="宋体" w:cs="宋体"/>
                <w:kern w:val="0"/>
                <w:sz w:val="21"/>
                <w:szCs w:val="21"/>
                <w:highlight w:val="none"/>
              </w:rPr>
              <w:t>贯通构造柱，铺设间距</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00mm，植入墙面不少于60mm（门洞处布设至门框），不少于8层，单层两根。</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拉筋用量理论测算：</w:t>
            </w:r>
            <w:r>
              <w:rPr>
                <w:rFonts w:hint="eastAsia" w:ascii="宋体" w:hAnsi="宋体" w:eastAsia="宋体" w:cs="宋体"/>
                <w:kern w:val="0"/>
                <w:sz w:val="21"/>
                <w:szCs w:val="21"/>
                <w:highlight w:val="none"/>
              </w:rPr>
              <w:t>拉筋总长度约为：12.9*8*2=206.4m，Φ</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钢筋理论重量为0.</w:t>
            </w:r>
            <w:r>
              <w:rPr>
                <w:rFonts w:hint="eastAsia" w:ascii="宋体" w:hAnsi="宋体" w:eastAsia="宋体" w:cs="宋体"/>
                <w:kern w:val="0"/>
                <w:sz w:val="21"/>
                <w:szCs w:val="21"/>
                <w:highlight w:val="none"/>
                <w:lang w:val="en-US" w:eastAsia="zh-CN"/>
              </w:rPr>
              <w:t>395</w:t>
            </w:r>
            <w:r>
              <w:rPr>
                <w:rFonts w:hint="eastAsia" w:ascii="宋体" w:hAnsi="宋体" w:eastAsia="宋体" w:cs="宋体"/>
                <w:kern w:val="0"/>
                <w:sz w:val="21"/>
                <w:szCs w:val="21"/>
                <w:highlight w:val="none"/>
              </w:rPr>
              <w:t>Kg/m，则拉筋重量约为：206.4*0</w:t>
            </w:r>
            <w:r>
              <w:rPr>
                <w:rFonts w:hint="eastAsia" w:ascii="宋体" w:hAnsi="宋体" w:eastAsia="宋体" w:cs="宋体"/>
                <w:kern w:val="0"/>
                <w:sz w:val="21"/>
                <w:szCs w:val="21"/>
                <w:highlight w:val="none"/>
                <w:lang w:val="en-US" w:eastAsia="zh-CN"/>
              </w:rPr>
              <w:t>.395</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81.53</w:t>
            </w:r>
            <w:r>
              <w:rPr>
                <w:rFonts w:hint="eastAsia" w:ascii="宋体" w:hAnsi="宋体" w:eastAsia="宋体" w:cs="宋体"/>
                <w:kern w:val="0"/>
                <w:sz w:val="21"/>
                <w:szCs w:val="21"/>
                <w:highlight w:val="none"/>
              </w:rPr>
              <w:t>kg</w:t>
            </w:r>
            <w:r>
              <w:rPr>
                <w:rFonts w:hint="eastAsia" w:ascii="宋体" w:hAnsi="宋体" w:eastAsia="宋体" w:cs="宋体"/>
                <w:kern w:val="0"/>
                <w:sz w:val="21"/>
                <w:szCs w:val="21"/>
                <w:highlight w:val="none"/>
                <w:lang w:eastAsia="zh-CN"/>
              </w:rPr>
              <w:t>，包干计取。）</w:t>
            </w:r>
          </w:p>
        </w:tc>
        <w:tc>
          <w:tcPr>
            <w:tcW w:w="863" w:type="dxa"/>
            <w:tcBorders>
              <w:top w:val="single" w:color="auto" w:sz="4" w:space="0"/>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m</w:t>
            </w:r>
            <w:r>
              <w:rPr>
                <w:rFonts w:hint="eastAsia" w:ascii="宋体" w:hAnsi="宋体" w:eastAsia="宋体" w:cs="宋体"/>
                <w:kern w:val="0"/>
                <w:sz w:val="21"/>
                <w:szCs w:val="21"/>
                <w:highlight w:val="none"/>
                <w:vertAlign w:val="superscript"/>
                <w:lang w:val="en-US" w:eastAsia="zh-CN"/>
              </w:rPr>
              <w:t>3</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11.41</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25" w:hRule="atLeast"/>
        </w:trPr>
        <w:tc>
          <w:tcPr>
            <w:tcW w:w="58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40</w:t>
            </w:r>
          </w:p>
        </w:tc>
        <w:tc>
          <w:tcPr>
            <w:tcW w:w="1955" w:type="dxa"/>
            <w:tcBorders>
              <w:top w:val="single" w:color="auto" w:sz="4" w:space="0"/>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构造柱</w:t>
            </w:r>
          </w:p>
        </w:tc>
        <w:tc>
          <w:tcPr>
            <w:tcW w:w="3875"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shd w:val="clear"/>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构造柱灌注(含钢筋加工、后期养护等）</w:t>
            </w:r>
          </w:p>
          <w:p>
            <w:pPr>
              <w:keepNext w:val="0"/>
              <w:keepLines w:val="0"/>
              <w:pageBreakBefore w:val="0"/>
              <w:widowControl/>
              <w:shd w:val="clear"/>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 200mm*200mm构造柱，</w:t>
            </w:r>
            <w:r>
              <w:rPr>
                <w:rFonts w:hint="eastAsia" w:ascii="宋体" w:hAnsi="宋体" w:eastAsia="宋体" w:cs="宋体"/>
                <w:kern w:val="0"/>
                <w:sz w:val="21"/>
                <w:szCs w:val="21"/>
                <w:highlight w:val="none"/>
                <w:lang w:val="en-US" w:eastAsia="zh-CN"/>
              </w:rPr>
              <w:t>C20，</w:t>
            </w:r>
            <w:r>
              <w:rPr>
                <w:rFonts w:hint="eastAsia" w:ascii="宋体" w:hAnsi="宋体" w:eastAsia="宋体" w:cs="宋体"/>
                <w:kern w:val="0"/>
                <w:sz w:val="21"/>
                <w:szCs w:val="21"/>
                <w:highlight w:val="none"/>
                <w:lang w:eastAsia="zh-CN"/>
              </w:rPr>
              <w:t>新砌墙面与构造柱采用</w:t>
            </w:r>
            <w:r>
              <w:rPr>
                <w:rFonts w:hint="eastAsia" w:ascii="宋体" w:hAnsi="宋体" w:eastAsia="宋体" w:cs="宋体"/>
                <w:kern w:val="0"/>
                <w:sz w:val="21"/>
                <w:szCs w:val="21"/>
                <w:highlight w:val="none"/>
              </w:rPr>
              <w:t>马牙槎：间隔</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00mm，退进</w:t>
            </w:r>
            <w:r>
              <w:rPr>
                <w:rFonts w:hint="eastAsia" w:ascii="宋体" w:hAnsi="宋体" w:eastAsia="宋体" w:cs="宋体"/>
                <w:kern w:val="0"/>
                <w:sz w:val="21"/>
                <w:szCs w:val="21"/>
                <w:highlight w:val="none"/>
                <w:lang w:eastAsia="zh-CN"/>
              </w:rPr>
              <w:t>不少于</w:t>
            </w: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0mm。</w:t>
            </w:r>
          </w:p>
          <w:p>
            <w:pPr>
              <w:keepNext w:val="0"/>
              <w:keepLines w:val="0"/>
              <w:pageBreakBefore w:val="0"/>
              <w:widowControl/>
              <w:shd w:val="clear"/>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highlight w:val="yellow"/>
                <w:lang w:eastAsia="zh-CN"/>
              </w:rPr>
            </w:pPr>
            <w:r>
              <w:rPr>
                <w:rFonts w:hint="eastAsia" w:ascii="宋体" w:hAnsi="宋体" w:eastAsia="宋体" w:cs="宋体"/>
                <w:kern w:val="0"/>
                <w:sz w:val="21"/>
                <w:szCs w:val="21"/>
                <w:highlight w:val="none"/>
              </w:rPr>
              <w:t>2. 构造柱立筋4根、Φ14mm；箍筋Φ10mm、间距150mm（约30个）；植筋深度不低于60mm</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含打胶等。</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 xml:space="preserve"> </w:t>
            </w:r>
            <w:r>
              <w:rPr>
                <w:rFonts w:hint="eastAsia" w:ascii="宋体" w:hAnsi="宋体" w:eastAsia="宋体" w:cs="宋体"/>
                <w:kern w:val="0"/>
                <w:sz w:val="21"/>
                <w:szCs w:val="21"/>
                <w:highlight w:val="none"/>
                <w:lang w:eastAsia="zh-CN"/>
              </w:rPr>
              <w:t>钢筋理论用量测算：</w:t>
            </w:r>
            <w:r>
              <w:rPr>
                <w:rFonts w:hint="eastAsia" w:ascii="宋体" w:hAnsi="宋体" w:eastAsia="宋体" w:cs="宋体"/>
                <w:kern w:val="0"/>
                <w:sz w:val="21"/>
                <w:szCs w:val="21"/>
                <w:highlight w:val="none"/>
              </w:rPr>
              <w:t>立筋总长度=立筋长度（4700+120）*数量4=19280mm，Φ14钢筋理论重量为1.21Kg/m，则立筋重量约为：19.28*1.21=23.33kg；箍筋长度约为：单个箍筋长度（190*4+200）*箍筋数量30=28800mm，Φ10钢筋理论重量为0.617Kg/m，箍筋的重量约为：28.8*0.617=17.77kg。</w:t>
            </w:r>
            <w:r>
              <w:rPr>
                <w:rFonts w:hint="eastAsia" w:ascii="宋体" w:hAnsi="宋体" w:eastAsia="宋体" w:cs="宋体"/>
                <w:kern w:val="0"/>
                <w:sz w:val="21"/>
                <w:szCs w:val="21"/>
                <w:highlight w:val="none"/>
                <w:lang w:eastAsia="zh-CN"/>
              </w:rPr>
              <w:t>包干计取。）</w:t>
            </w:r>
          </w:p>
        </w:tc>
        <w:tc>
          <w:tcPr>
            <w:tcW w:w="863" w:type="dxa"/>
            <w:tcBorders>
              <w:top w:val="single" w:color="auto" w:sz="4" w:space="0"/>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m</w:t>
            </w:r>
            <w:r>
              <w:rPr>
                <w:rFonts w:hint="eastAsia" w:ascii="宋体" w:hAnsi="宋体" w:eastAsia="宋体" w:cs="宋体"/>
                <w:kern w:val="0"/>
                <w:sz w:val="21"/>
                <w:szCs w:val="21"/>
                <w:highlight w:val="none"/>
                <w:vertAlign w:val="superscript"/>
                <w:lang w:val="en-US" w:eastAsia="zh-CN"/>
              </w:rPr>
              <w:t>3</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0.27</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2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41</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顶面封堵</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高度为4.70m至4.75m</w:t>
            </w:r>
            <w:r>
              <w:rPr>
                <w:rFonts w:hint="eastAsia" w:ascii="宋体" w:hAnsi="宋体" w:eastAsia="宋体" w:cs="宋体"/>
                <w:kern w:val="0"/>
                <w:sz w:val="21"/>
                <w:szCs w:val="21"/>
                <w:highlight w:val="none"/>
                <w:lang w:eastAsia="zh-CN"/>
              </w:rPr>
              <w:t>处（</w:t>
            </w:r>
            <w:r>
              <w:rPr>
                <w:rFonts w:hint="eastAsia" w:ascii="宋体" w:hAnsi="宋体" w:eastAsia="宋体" w:cs="宋体"/>
                <w:kern w:val="0"/>
                <w:sz w:val="21"/>
                <w:szCs w:val="21"/>
                <w:highlight w:val="none"/>
              </w:rPr>
              <w:t>50mm</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,长度：21.4m,孔洞估计50mm*50mm,估计面积为10.7m</w:t>
            </w:r>
            <w:r>
              <w:rPr>
                <w:rFonts w:hint="eastAsia" w:ascii="宋体" w:hAnsi="宋体" w:eastAsia="宋体" w:cs="宋体"/>
                <w:kern w:val="0"/>
                <w:sz w:val="21"/>
                <w:szCs w:val="21"/>
                <w:highlight w:val="none"/>
                <w:vertAlign w:val="superscript"/>
              </w:rPr>
              <w:t>2</w:t>
            </w:r>
            <w:r>
              <w:rPr>
                <w:rFonts w:hint="eastAsia" w:ascii="宋体" w:hAnsi="宋体" w:eastAsia="宋体" w:cs="宋体"/>
                <w:kern w:val="0"/>
                <w:sz w:val="21"/>
                <w:szCs w:val="21"/>
                <w:highlight w:val="none"/>
              </w:rPr>
              <w:t>,原子灰封堵,此项封堵采用包干计取方式</w:t>
            </w:r>
            <w:r>
              <w:rPr>
                <w:rFonts w:hint="eastAsia" w:ascii="宋体" w:hAnsi="宋体" w:eastAsia="宋体" w:cs="宋体"/>
                <w:kern w:val="0"/>
                <w:sz w:val="21"/>
                <w:szCs w:val="21"/>
                <w:highlight w:val="none"/>
                <w:lang w:eastAsia="zh-CN"/>
              </w:rPr>
              <w:t>。（含新墙）</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both"/>
              <w:rPr>
                <w:rFonts w:hint="eastAsia" w:ascii="宋体" w:hAnsi="宋体" w:eastAsia="宋体" w:cs="宋体"/>
                <w:kern w:val="0"/>
                <w:sz w:val="21"/>
                <w:szCs w:val="21"/>
                <w:highlight w:val="none"/>
                <w:lang w:eastAsia="zh-CN"/>
              </w:rPr>
            </w:pPr>
          </w:p>
        </w:tc>
      </w:tr>
      <w:tr>
        <w:tblPrEx>
          <w:tblCellMar>
            <w:top w:w="0" w:type="dxa"/>
            <w:left w:w="108" w:type="dxa"/>
            <w:bottom w:w="0" w:type="dxa"/>
            <w:right w:w="108" w:type="dxa"/>
          </w:tblCellMar>
        </w:tblPrEx>
        <w:trPr>
          <w:trHeight w:val="52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42</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不锈钢淋浴器</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不锈钢，莲蓬头及给排水附件</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1116"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43</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电控制箱</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配电箱：63A漏电断路器，40A漏电保护器，32A漏电保护器（空气能），16A漏电保护器（卫生间），16A漏电保护器（球场插座、风扇）各一个，定制规格：400*400*85mm左右，含辅材</w:t>
            </w:r>
            <w:r>
              <w:rPr>
                <w:rFonts w:hint="eastAsia" w:ascii="宋体" w:hAnsi="宋体" w:eastAsia="宋体" w:cs="宋体"/>
                <w:kern w:val="0"/>
                <w:sz w:val="21"/>
                <w:szCs w:val="21"/>
                <w:highlight w:val="none"/>
                <w:lang w:val="en-US"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1</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2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44</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空气能一体化机</w:t>
            </w:r>
          </w:p>
        </w:tc>
        <w:tc>
          <w:tcPr>
            <w:tcW w:w="3875" w:type="dxa"/>
            <w:tcBorders>
              <w:top w:val="nil"/>
              <w:left w:val="nil"/>
              <w:bottom w:val="single" w:color="000000" w:sz="4" w:space="0"/>
              <w:right w:val="single" w:color="000000" w:sz="4" w:space="0"/>
            </w:tcBorders>
            <w:shd w:val="clear" w:color="auto" w:fill="auto"/>
            <w:vAlign w:val="center"/>
          </w:tcPr>
          <w:p>
            <w:pPr>
              <w:widowControl/>
              <w:numPr>
                <w:ilvl w:val="0"/>
                <w:numId w:val="0"/>
              </w:numPr>
              <w:shd w:val="clear"/>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美的</w:t>
            </w:r>
            <w:r>
              <w:rPr>
                <w:rFonts w:hint="eastAsia" w:ascii="宋体" w:hAnsi="宋体" w:eastAsia="宋体" w:cs="宋体"/>
                <w:color w:val="auto"/>
                <w:kern w:val="0"/>
                <w:sz w:val="21"/>
                <w:szCs w:val="21"/>
                <w:lang w:eastAsia="zh-CN"/>
              </w:rPr>
              <w:t>（材料进场</w:t>
            </w:r>
            <w:r>
              <w:rPr>
                <w:rFonts w:hint="eastAsia" w:ascii="宋体" w:hAnsi="宋体" w:eastAsia="宋体" w:cs="宋体"/>
                <w:color w:val="auto"/>
                <w:kern w:val="0"/>
                <w:sz w:val="21"/>
                <w:szCs w:val="21"/>
              </w:rPr>
              <w:t>时</w:t>
            </w:r>
            <w:r>
              <w:rPr>
                <w:rFonts w:hint="eastAsia" w:ascii="宋体" w:hAnsi="宋体" w:eastAsia="宋体" w:cs="宋体"/>
                <w:color w:val="auto"/>
                <w:kern w:val="0"/>
                <w:sz w:val="21"/>
                <w:szCs w:val="21"/>
                <w:lang w:eastAsia="zh-CN"/>
              </w:rPr>
              <w:t>须</w:t>
            </w:r>
            <w:r>
              <w:rPr>
                <w:rFonts w:hint="eastAsia" w:ascii="宋体" w:hAnsi="宋体" w:eastAsia="宋体" w:cs="宋体"/>
                <w:color w:val="auto"/>
                <w:kern w:val="0"/>
                <w:sz w:val="21"/>
                <w:szCs w:val="21"/>
              </w:rPr>
              <w:t>提供</w:t>
            </w:r>
            <w:r>
              <w:rPr>
                <w:rFonts w:hint="eastAsia" w:ascii="宋体" w:hAnsi="宋体" w:eastAsia="宋体" w:cs="宋体"/>
                <w:color w:val="auto"/>
                <w:kern w:val="0"/>
                <w:sz w:val="21"/>
                <w:szCs w:val="21"/>
                <w:lang w:eastAsia="zh-CN"/>
              </w:rPr>
              <w:t>产品合格证、</w:t>
            </w:r>
            <w:r>
              <w:rPr>
                <w:rFonts w:hint="eastAsia" w:ascii="宋体" w:hAnsi="宋体" w:eastAsia="宋体" w:cs="宋体"/>
                <w:color w:val="auto"/>
                <w:kern w:val="0"/>
                <w:sz w:val="21"/>
                <w:szCs w:val="21"/>
              </w:rPr>
              <w:t>相关检测报告</w:t>
            </w:r>
            <w:r>
              <w:rPr>
                <w:rFonts w:hint="eastAsia" w:ascii="宋体" w:hAnsi="宋体" w:eastAsia="宋体" w:cs="宋体"/>
                <w:color w:val="auto"/>
                <w:kern w:val="0"/>
                <w:sz w:val="21"/>
                <w:szCs w:val="21"/>
                <w:lang w:eastAsia="zh-CN"/>
              </w:rPr>
              <w:t>（如有）等证明文件）</w:t>
            </w:r>
            <w:r>
              <w:rPr>
                <w:rFonts w:hint="eastAsia" w:ascii="宋体" w:hAnsi="宋体" w:eastAsia="宋体" w:cs="宋体"/>
                <w:kern w:val="0"/>
                <w:sz w:val="21"/>
                <w:szCs w:val="21"/>
                <w:highlight w:val="none"/>
                <w:lang w:val="en-US" w:eastAsia="zh-CN"/>
              </w:rPr>
              <w:t>，3匹3吨空气能一体机（含空气能主机、保温水箱、水泵、相应的管道和阀门、控制系统、配电系统、电辅热装置及其他配套设施等），技术要求不低于美的、格力或海尔同类型产品的技术标准。基本要求及参考标准如下：</w:t>
            </w:r>
          </w:p>
          <w:p>
            <w:pPr>
              <w:widowControl/>
              <w:numPr>
                <w:ilvl w:val="0"/>
                <w:numId w:val="0"/>
              </w:numPr>
              <w:shd w:val="clear"/>
              <w:spacing w:line="240" w:lineRule="auto"/>
              <w:ind w:leftChars="0"/>
              <w:jc w:val="left"/>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电压/频率（V/HZ）</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220V/50HZ或者380V/50HZ</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容积</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300</w:t>
            </w:r>
            <w:r>
              <w:rPr>
                <w:rFonts w:hint="eastAsia" w:ascii="宋体" w:hAnsi="宋体" w:eastAsia="宋体" w:cs="宋体"/>
                <w:kern w:val="0"/>
                <w:sz w:val="21"/>
                <w:szCs w:val="21"/>
                <w:highlight w:val="none"/>
                <w:lang w:val="en-US" w:eastAsia="zh-CN"/>
              </w:rPr>
              <w:t>L及以上；</w:t>
            </w:r>
            <w:r>
              <w:rPr>
                <w:rFonts w:hint="eastAsia" w:ascii="宋体" w:hAnsi="宋体" w:eastAsia="宋体" w:cs="宋体"/>
                <w:kern w:val="0"/>
                <w:sz w:val="21"/>
                <w:szCs w:val="21"/>
                <w:highlight w:val="none"/>
              </w:rPr>
              <w:t>出水温度</w:t>
            </w:r>
            <w:r>
              <w:rPr>
                <w:rFonts w:hint="eastAsia" w:ascii="宋体" w:hAnsi="宋体" w:eastAsia="宋体" w:cs="宋体"/>
                <w:kern w:val="0"/>
                <w:sz w:val="21"/>
                <w:szCs w:val="21"/>
                <w:highlight w:val="none"/>
                <w:lang w:eastAsia="zh-CN"/>
              </w:rPr>
              <w:t>：不低于</w:t>
            </w:r>
            <w:r>
              <w:rPr>
                <w:rFonts w:hint="eastAsia" w:ascii="宋体" w:hAnsi="宋体" w:eastAsia="宋体" w:cs="宋体"/>
                <w:kern w:val="0"/>
                <w:sz w:val="21"/>
                <w:szCs w:val="21"/>
                <w:highlight w:val="none"/>
              </w:rPr>
              <w:t>5</w:t>
            </w:r>
            <w:r>
              <w:rPr>
                <w:rFonts w:hint="eastAsia" w:ascii="宋体" w:hAnsi="宋体" w:eastAsia="宋体" w:cs="宋体"/>
                <w:kern w:val="0"/>
                <w:sz w:val="21"/>
                <w:szCs w:val="21"/>
                <w:highlight w:val="none"/>
                <w:lang w:val="en-US" w:eastAsia="zh-CN"/>
              </w:rPr>
              <w:t>0</w:t>
            </w:r>
            <w:r>
              <w:rPr>
                <w:rFonts w:hint="eastAsia" w:ascii="宋体" w:hAnsi="宋体" w:eastAsia="宋体" w:cs="宋体"/>
                <w:kern w:val="0"/>
                <w:sz w:val="21"/>
                <w:szCs w:val="21"/>
                <w:highlight w:val="none"/>
              </w:rPr>
              <w:t>°C</w:t>
            </w:r>
            <w:r>
              <w:rPr>
                <w:rFonts w:hint="eastAsia" w:ascii="宋体" w:hAnsi="宋体" w:eastAsia="宋体" w:cs="宋体"/>
                <w:kern w:val="0"/>
                <w:sz w:val="21"/>
                <w:szCs w:val="21"/>
                <w:highlight w:val="none"/>
                <w:lang w:val="en-US" w:eastAsia="zh-CN"/>
              </w:rPr>
              <w:t>；运行噪声低于60dB。</w:t>
            </w:r>
          </w:p>
          <w:p>
            <w:pPr>
              <w:widowControl/>
              <w:numPr>
                <w:ilvl w:val="0"/>
                <w:numId w:val="0"/>
              </w:numPr>
              <w:shd w:val="clear"/>
              <w:spacing w:line="240" w:lineRule="auto"/>
              <w:ind w:leftChars="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2.配套控制系统（含控制箱）：操作界面查询方便、快捷。</w:t>
            </w:r>
          </w:p>
          <w:p>
            <w:pPr>
              <w:shd w:val="clear"/>
              <w:spacing w:line="0" w:lineRule="atLeas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3.保温水箱：3t水箱：采用304不锈钢板材制作，钢板厚≥1.0mm；外壁不锈钢板厚≥0.8mm；</w:t>
            </w:r>
          </w:p>
          <w:p>
            <w:pPr>
              <w:widowControl/>
              <w:numPr>
                <w:ilvl w:val="0"/>
                <w:numId w:val="0"/>
              </w:numPr>
              <w:shd w:val="clear"/>
              <w:spacing w:line="240" w:lineRule="auto"/>
              <w:ind w:leftChars="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4.含配套的</w:t>
            </w:r>
            <w:r>
              <w:rPr>
                <w:rFonts w:hint="eastAsia" w:ascii="宋体" w:hAnsi="宋体" w:eastAsia="宋体" w:cs="宋体"/>
                <w:kern w:val="0"/>
                <w:sz w:val="21"/>
                <w:szCs w:val="21"/>
                <w:highlight w:val="none"/>
              </w:rPr>
              <w:t>循环水泵</w:t>
            </w:r>
            <w:r>
              <w:rPr>
                <w:rFonts w:hint="eastAsia" w:ascii="宋体" w:hAnsi="宋体" w:eastAsia="宋体" w:cs="宋体"/>
                <w:kern w:val="0"/>
                <w:sz w:val="21"/>
                <w:szCs w:val="21"/>
                <w:highlight w:val="none"/>
                <w:lang w:eastAsia="zh-CN"/>
              </w:rPr>
              <w:t>、增压泵；</w:t>
            </w:r>
          </w:p>
          <w:p>
            <w:pPr>
              <w:widowControl/>
              <w:numPr>
                <w:ilvl w:val="0"/>
                <w:numId w:val="0"/>
              </w:numPr>
              <w:shd w:val="clear"/>
              <w:spacing w:line="240" w:lineRule="auto"/>
              <w:ind w:leftChars="0"/>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5.含配套管路、阀门、</w:t>
            </w:r>
            <w:r>
              <w:rPr>
                <w:rFonts w:hint="eastAsia" w:ascii="宋体" w:hAnsi="宋体" w:eastAsia="宋体" w:cs="宋体"/>
                <w:kern w:val="0"/>
                <w:sz w:val="21"/>
                <w:szCs w:val="21"/>
                <w:highlight w:val="none"/>
              </w:rPr>
              <w:t>压力开关、保温材料等</w:t>
            </w:r>
            <w:r>
              <w:rPr>
                <w:rFonts w:hint="eastAsia" w:ascii="宋体" w:hAnsi="宋体" w:eastAsia="宋体" w:cs="宋体"/>
                <w:kern w:val="0"/>
                <w:sz w:val="21"/>
                <w:szCs w:val="21"/>
                <w:highlight w:val="none"/>
                <w:lang w:eastAsia="zh-CN"/>
              </w:rPr>
              <w:t>；</w:t>
            </w:r>
          </w:p>
          <w:p>
            <w:pPr>
              <w:widowControl/>
              <w:numPr>
                <w:ilvl w:val="0"/>
                <w:numId w:val="0"/>
              </w:numPr>
              <w:shd w:val="clear"/>
              <w:spacing w:line="240" w:lineRule="auto"/>
              <w:ind w:leftChars="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6.含配套基础、托架、防水挡板等。</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套</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p>
        </w:tc>
      </w:tr>
      <w:tr>
        <w:tblPrEx>
          <w:tblCellMar>
            <w:top w:w="0" w:type="dxa"/>
            <w:left w:w="108" w:type="dxa"/>
            <w:bottom w:w="0" w:type="dxa"/>
            <w:right w:w="108" w:type="dxa"/>
          </w:tblCellMar>
        </w:tblPrEx>
        <w:trPr>
          <w:trHeight w:val="48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45</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空气能热水器主线</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空气能主线：BV6mm2电源线，含辅材</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75</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744"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46</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淋浴室</w:t>
            </w:r>
            <w:r>
              <w:rPr>
                <w:rFonts w:hint="eastAsia" w:ascii="宋体" w:hAnsi="宋体" w:eastAsia="宋体" w:cs="宋体"/>
                <w:kern w:val="0"/>
                <w:sz w:val="21"/>
                <w:szCs w:val="21"/>
                <w:highlight w:val="none"/>
              </w:rPr>
              <w:t>电源线</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BV2.5mm2,包含灯具线、插座线，含辅材,  1.墙体和地面电线暗敷,2.墙体和地面开槽、开孔及修复</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 xml:space="preserve"> </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260</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924"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47</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KBG管20线管</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含铁盒，锁帽等辅材         ;</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1.铁盒安装;</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2.灯线线管明装</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3.完成线管敷设的所有工作内容及材料费用</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127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48</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UPVC100管</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含存水弯，弯头，三T等铺材      1.排水管道安装;</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2.管件、支吊架制作安装;</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3.防水套管制作安装;</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4.开槽、开孔及恢复;</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5.完成排水管道的所有工作内容及材料费用;</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29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49</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UPVC75管</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含存水弯，弯头，三T等铺材        1.排水管道安装;</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2.管件、支吊架制作安装;</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3.防水套管制作安装;</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4.开槽、开孔及恢复;</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5.完成排水管道的所有工作内容及材料费用;</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1680" w:hRule="atLeast"/>
        </w:trPr>
        <w:tc>
          <w:tcPr>
            <w:tcW w:w="58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50</w:t>
            </w:r>
          </w:p>
        </w:tc>
        <w:tc>
          <w:tcPr>
            <w:tcW w:w="1955" w:type="dxa"/>
            <w:tcBorders>
              <w:top w:val="single" w:color="auto" w:sz="4" w:space="0"/>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热水管PPR25</w:t>
            </w:r>
          </w:p>
        </w:tc>
        <w:tc>
          <w:tcPr>
            <w:tcW w:w="3875" w:type="dxa"/>
            <w:tcBorders>
              <w:top w:val="single" w:color="auto" w:sz="4" w:space="0"/>
              <w:left w:val="nil"/>
              <w:bottom w:val="single" w:color="000000" w:sz="4" w:space="0"/>
              <w:right w:val="single" w:color="000000" w:sz="4" w:space="0"/>
            </w:tcBorders>
            <w:shd w:val="clear" w:color="auto" w:fill="auto"/>
            <w:vAlign w:val="center"/>
          </w:tcPr>
          <w:p>
            <w:pPr>
              <w:widowControl/>
              <w:shd w:val="clear"/>
              <w:spacing w:line="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含弯头、直接、三T、定位架、内丝弯、堵头等辅材                           1.给水管道暗装敷设;</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2.管件、支吊架制作安装;</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3.管道冲洗、消毒及压力试验;</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4.防水套管制作安装;</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5.开槽、开孔及恢复;</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6.完成给水管道的所有工作内容及材料费用;</w:t>
            </w:r>
          </w:p>
        </w:tc>
        <w:tc>
          <w:tcPr>
            <w:tcW w:w="863" w:type="dxa"/>
            <w:tcBorders>
              <w:top w:val="single" w:color="auto" w:sz="4" w:space="0"/>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168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51</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热水管PPR32</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含弯头、直接、三T、定位架、内丝弯、堵头等辅材                           1.给水管道暗装敷设;</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2.管件、支吊架制作安装;</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3.管道冲洗、消毒及压力试验;</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4.防水套管制作安装;</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5.开槽、开孔及恢复;</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6.完成给水管道的所有工作内容及材料费用;</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172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52</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冷水管PPR25</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含弯头、直接、三T、定位架、内丝弯、堵头等辅材                         1.给水管道暗装敷设;</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2.管件、支吊架制作安装;</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3.管道冲洗、消毒及压力试验;</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4.防水套管制作安装;</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5.开槽、开孔及恢复;</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6.完成给水管道的所有工作内容及材料费用;</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50</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53</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排水管沟开挖与回填（包干）</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含挖沟、回填、草皮恢复及其他零星工程；</w:t>
            </w:r>
            <w:r>
              <w:rPr>
                <w:rFonts w:hint="eastAsia" w:ascii="宋体" w:hAnsi="宋体" w:eastAsia="宋体" w:cs="宋体"/>
                <w:kern w:val="0"/>
                <w:sz w:val="21"/>
                <w:szCs w:val="21"/>
                <w:highlight w:val="none"/>
              </w:rPr>
              <w:t>挖沟：深度400mm,宽300mm</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包干计取</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长度约8m</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项</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1</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948"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54</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墙体</w:t>
            </w:r>
            <w:r>
              <w:rPr>
                <w:rFonts w:hint="eastAsia" w:ascii="宋体" w:hAnsi="宋体" w:eastAsia="宋体" w:cs="宋体"/>
                <w:kern w:val="0"/>
                <w:sz w:val="21"/>
                <w:szCs w:val="21"/>
                <w:highlight w:val="none"/>
                <w:lang w:eastAsia="zh-CN"/>
              </w:rPr>
              <w:t>开孔</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冷热水管开孔：直径约32mm,数量2个；排水管墙体开孔：直径约100mm,数量1个；原水沟开挖：面积约1.5m2,修复面积约1.5m2,包干计取方式。</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r>
              <w:rPr>
                <w:rFonts w:hint="eastAsia" w:ascii="宋体" w:hAnsi="宋体" w:eastAsia="宋体" w:cs="宋体"/>
                <w:kern w:val="0"/>
                <w:sz w:val="21"/>
                <w:szCs w:val="21"/>
                <w:highlight w:val="none"/>
                <w:lang w:val="en-US" w:eastAsia="zh-CN"/>
              </w:rPr>
              <w:t>5</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不锈钢地漏</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不锈钢地漏，DN50</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56</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防水插座</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防水五孔插座，包含底盒。1.型号：250V 10A；2.安装方式：暗装</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57</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插座</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五孔插座，包含底盒。1.型号：250V 10A；</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2.安装方式：暗装</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58</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开关</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双联单控开关，包含底盒。1.型号：250V 10A；2.安装方式：暗装</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70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59</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换气扇</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300*300含换气扇、墙面/窗户开孔、加长管道、电源线路等</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60</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蹲便器</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材质：瓷质，尺寸：大约520x420，含水箱、零配件</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2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61</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防爆灯</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1.名称：防爆灯；2.规格：18W；</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25" w:hRule="atLeast"/>
        </w:trPr>
        <w:tc>
          <w:tcPr>
            <w:tcW w:w="58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62</w:t>
            </w:r>
          </w:p>
        </w:tc>
        <w:tc>
          <w:tcPr>
            <w:tcW w:w="1955" w:type="dxa"/>
            <w:tcBorders>
              <w:top w:val="single" w:color="auto" w:sz="4" w:space="0"/>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洗手盆</w:t>
            </w:r>
          </w:p>
        </w:tc>
        <w:tc>
          <w:tcPr>
            <w:tcW w:w="3875" w:type="dxa"/>
            <w:tcBorders>
              <w:top w:val="single" w:color="auto" w:sz="4" w:space="0"/>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洗手盆材质：陶瓷，尺寸：大约520*400*233mm(带水龙头、下水管、下水等)</w:t>
            </w:r>
          </w:p>
        </w:tc>
        <w:tc>
          <w:tcPr>
            <w:tcW w:w="863" w:type="dxa"/>
            <w:tcBorders>
              <w:top w:val="single" w:color="auto" w:sz="4" w:space="0"/>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25" w:hRule="atLeast"/>
        </w:trPr>
        <w:tc>
          <w:tcPr>
            <w:tcW w:w="58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6</w:t>
            </w:r>
            <w:r>
              <w:rPr>
                <w:rFonts w:hint="eastAsia" w:ascii="宋体" w:hAnsi="宋体" w:eastAsia="宋体" w:cs="宋体"/>
                <w:kern w:val="0"/>
                <w:sz w:val="21"/>
                <w:szCs w:val="21"/>
                <w:highlight w:val="none"/>
                <w:lang w:val="en-US" w:eastAsia="zh-CN"/>
              </w:rPr>
              <w:t>3</w:t>
            </w:r>
          </w:p>
        </w:tc>
        <w:tc>
          <w:tcPr>
            <w:tcW w:w="1955" w:type="dxa"/>
            <w:tcBorders>
              <w:top w:val="single" w:color="auto" w:sz="4" w:space="0"/>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拖把池</w:t>
            </w:r>
          </w:p>
        </w:tc>
        <w:tc>
          <w:tcPr>
            <w:tcW w:w="3875" w:type="dxa"/>
            <w:tcBorders>
              <w:top w:val="single" w:color="auto" w:sz="4" w:space="0"/>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成品拖把池，规格：长宽400mm-500mm高500mm-600mm(带水龙头、下水管、下水等)</w:t>
            </w:r>
          </w:p>
        </w:tc>
        <w:tc>
          <w:tcPr>
            <w:tcW w:w="863" w:type="dxa"/>
            <w:tcBorders>
              <w:top w:val="single" w:color="auto" w:sz="4" w:space="0"/>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96" w:hRule="atLeast"/>
        </w:trPr>
        <w:tc>
          <w:tcPr>
            <w:tcW w:w="9129" w:type="dxa"/>
            <w:gridSpan w:val="6"/>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会议室</w:t>
            </w:r>
            <w:r>
              <w:rPr>
                <w:rFonts w:hint="eastAsia" w:ascii="宋体" w:hAnsi="宋体" w:eastAsia="宋体" w:cs="宋体"/>
                <w:kern w:val="0"/>
                <w:sz w:val="21"/>
                <w:szCs w:val="21"/>
                <w:highlight w:val="none"/>
                <w:lang w:eastAsia="zh-CN"/>
              </w:rPr>
              <w:t>装修</w:t>
            </w:r>
          </w:p>
        </w:tc>
      </w:tr>
      <w:tr>
        <w:tblPrEx>
          <w:tblCellMar>
            <w:top w:w="0" w:type="dxa"/>
            <w:left w:w="108" w:type="dxa"/>
            <w:bottom w:w="0" w:type="dxa"/>
            <w:right w:w="108" w:type="dxa"/>
          </w:tblCellMar>
        </w:tblPrEx>
        <w:trPr>
          <w:trHeight w:val="70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64</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PVC运动地胶(红色）</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rPr>
              <w:t>海锐</w:t>
            </w:r>
            <w:r>
              <w:rPr>
                <w:rFonts w:hint="eastAsia" w:ascii="宋体" w:hAnsi="宋体" w:eastAsia="宋体" w:cs="宋体"/>
                <w:color w:val="auto"/>
                <w:kern w:val="0"/>
                <w:sz w:val="21"/>
                <w:szCs w:val="21"/>
                <w:highlight w:val="none"/>
                <w:lang w:eastAsia="zh-CN"/>
              </w:rPr>
              <w:t>牌</w:t>
            </w:r>
            <w:r>
              <w:rPr>
                <w:rFonts w:hint="eastAsia" w:ascii="宋体" w:hAnsi="宋体" w:eastAsia="宋体" w:cs="宋体"/>
                <w:color w:val="auto"/>
                <w:kern w:val="0"/>
                <w:sz w:val="21"/>
                <w:szCs w:val="21"/>
                <w:highlight w:val="none"/>
              </w:rPr>
              <w:t>宝石纹</w:t>
            </w:r>
            <w:r>
              <w:rPr>
                <w:rFonts w:hint="eastAsia" w:ascii="宋体" w:hAnsi="宋体" w:eastAsia="宋体" w:cs="宋体"/>
                <w:color w:val="auto"/>
                <w:kern w:val="0"/>
                <w:sz w:val="21"/>
                <w:szCs w:val="21"/>
                <w:highlight w:val="none"/>
                <w:lang w:eastAsia="zh-CN"/>
              </w:rPr>
              <w:t>运动地胶</w:t>
            </w:r>
            <w:r>
              <w:rPr>
                <w:rFonts w:hint="eastAsia" w:ascii="宋体" w:hAnsi="宋体" w:eastAsia="宋体" w:cs="宋体"/>
                <w:color w:val="auto"/>
                <w:kern w:val="0"/>
                <w:sz w:val="21"/>
                <w:szCs w:val="21"/>
                <w:lang w:eastAsia="zh-CN"/>
              </w:rPr>
              <w:t>（材料进场</w:t>
            </w:r>
            <w:r>
              <w:rPr>
                <w:rFonts w:hint="eastAsia" w:ascii="宋体" w:hAnsi="宋体" w:eastAsia="宋体" w:cs="宋体"/>
                <w:color w:val="auto"/>
                <w:kern w:val="0"/>
                <w:sz w:val="21"/>
                <w:szCs w:val="21"/>
              </w:rPr>
              <w:t>时</w:t>
            </w:r>
            <w:r>
              <w:rPr>
                <w:rFonts w:hint="eastAsia" w:ascii="宋体" w:hAnsi="宋体" w:eastAsia="宋体" w:cs="宋体"/>
                <w:color w:val="auto"/>
                <w:kern w:val="0"/>
                <w:sz w:val="21"/>
                <w:szCs w:val="21"/>
                <w:lang w:eastAsia="zh-CN"/>
              </w:rPr>
              <w:t>须</w:t>
            </w:r>
            <w:r>
              <w:rPr>
                <w:rFonts w:hint="eastAsia" w:ascii="宋体" w:hAnsi="宋体" w:eastAsia="宋体" w:cs="宋体"/>
                <w:color w:val="auto"/>
                <w:kern w:val="0"/>
                <w:sz w:val="21"/>
                <w:szCs w:val="21"/>
              </w:rPr>
              <w:t>提供</w:t>
            </w:r>
            <w:r>
              <w:rPr>
                <w:rFonts w:hint="eastAsia" w:ascii="宋体" w:hAnsi="宋体" w:eastAsia="宋体" w:cs="宋体"/>
                <w:color w:val="auto"/>
                <w:kern w:val="0"/>
                <w:sz w:val="21"/>
                <w:szCs w:val="21"/>
                <w:lang w:eastAsia="zh-CN"/>
              </w:rPr>
              <w:t>产品合格证、</w:t>
            </w:r>
            <w:r>
              <w:rPr>
                <w:rFonts w:hint="eastAsia" w:ascii="宋体" w:hAnsi="宋体" w:eastAsia="宋体" w:cs="宋体"/>
                <w:color w:val="auto"/>
                <w:kern w:val="0"/>
                <w:sz w:val="21"/>
                <w:szCs w:val="21"/>
              </w:rPr>
              <w:t>相关检测报告</w:t>
            </w:r>
            <w:r>
              <w:rPr>
                <w:rFonts w:hint="eastAsia" w:ascii="宋体" w:hAnsi="宋体" w:eastAsia="宋体" w:cs="宋体"/>
                <w:color w:val="auto"/>
                <w:kern w:val="0"/>
                <w:sz w:val="21"/>
                <w:szCs w:val="21"/>
                <w:lang w:eastAsia="zh-CN"/>
              </w:rPr>
              <w:t>（如有）等证明文件）</w:t>
            </w:r>
            <w:r>
              <w:rPr>
                <w:rFonts w:hint="eastAsia" w:ascii="宋体" w:hAnsi="宋体" w:eastAsia="宋体" w:cs="宋体"/>
                <w:color w:val="auto"/>
                <w:kern w:val="0"/>
                <w:sz w:val="21"/>
                <w:szCs w:val="21"/>
                <w:highlight w:val="none"/>
                <w:lang w:eastAsia="zh-CN"/>
              </w:rPr>
              <w:t>：</w:t>
            </w:r>
            <w:r>
              <w:rPr>
                <w:rFonts w:hint="eastAsia" w:ascii="宋体" w:hAnsi="宋体" w:eastAsia="宋体" w:cs="宋体"/>
                <w:kern w:val="0"/>
                <w:sz w:val="21"/>
                <w:szCs w:val="21"/>
                <w:highlight w:val="none"/>
              </w:rPr>
              <w:t>6.2*8m厚4.5mm</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含损耗</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，PVC防滑、耐磨，宝石纹，底胶+V型开槽+热焊+铲平</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49.6</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6</w:t>
            </w:r>
            <w:r>
              <w:rPr>
                <w:rFonts w:hint="eastAsia" w:ascii="宋体" w:hAnsi="宋体" w:eastAsia="宋体" w:cs="宋体"/>
                <w:kern w:val="0"/>
                <w:sz w:val="21"/>
                <w:szCs w:val="21"/>
                <w:highlight w:val="none"/>
                <w:lang w:val="en-US" w:eastAsia="zh-CN"/>
              </w:rPr>
              <w:t>5</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自流平</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6.2*8m厚3mm</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界面剂底涂+专用自流平水泥平整</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49.6</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480" w:hRule="atLeast"/>
        </w:trPr>
        <w:tc>
          <w:tcPr>
            <w:tcW w:w="9129" w:type="dxa"/>
            <w:gridSpan w:val="6"/>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音频改造</w:t>
            </w:r>
          </w:p>
        </w:tc>
      </w:tr>
      <w:tr>
        <w:tblPrEx>
          <w:tblCellMar>
            <w:top w:w="0" w:type="dxa"/>
            <w:left w:w="108" w:type="dxa"/>
            <w:bottom w:w="0" w:type="dxa"/>
            <w:right w:w="108" w:type="dxa"/>
          </w:tblCellMar>
        </w:tblPrEx>
        <w:trPr>
          <w:trHeight w:val="91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66</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全频喇叭（环绕球场周边安装）</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rPr>
              <w:t>广州迪士普</w:t>
            </w:r>
            <w:r>
              <w:rPr>
                <w:rFonts w:hint="eastAsia" w:ascii="宋体" w:hAnsi="宋体" w:eastAsia="宋体" w:cs="宋体"/>
                <w:color w:val="auto"/>
                <w:kern w:val="0"/>
                <w:sz w:val="21"/>
                <w:szCs w:val="21"/>
                <w:lang w:eastAsia="zh-CN"/>
              </w:rPr>
              <w:t>（材料进场</w:t>
            </w:r>
            <w:r>
              <w:rPr>
                <w:rFonts w:hint="eastAsia" w:ascii="宋体" w:hAnsi="宋体" w:eastAsia="宋体" w:cs="宋体"/>
                <w:color w:val="auto"/>
                <w:kern w:val="0"/>
                <w:sz w:val="21"/>
                <w:szCs w:val="21"/>
              </w:rPr>
              <w:t>时</w:t>
            </w:r>
            <w:r>
              <w:rPr>
                <w:rFonts w:hint="eastAsia" w:ascii="宋体" w:hAnsi="宋体" w:eastAsia="宋体" w:cs="宋体"/>
                <w:color w:val="auto"/>
                <w:kern w:val="0"/>
                <w:sz w:val="21"/>
                <w:szCs w:val="21"/>
                <w:lang w:eastAsia="zh-CN"/>
              </w:rPr>
              <w:t>须</w:t>
            </w:r>
            <w:r>
              <w:rPr>
                <w:rFonts w:hint="eastAsia" w:ascii="宋体" w:hAnsi="宋体" w:eastAsia="宋体" w:cs="宋体"/>
                <w:color w:val="auto"/>
                <w:kern w:val="0"/>
                <w:sz w:val="21"/>
                <w:szCs w:val="21"/>
              </w:rPr>
              <w:t>提供</w:t>
            </w:r>
            <w:r>
              <w:rPr>
                <w:rFonts w:hint="eastAsia" w:ascii="宋体" w:hAnsi="宋体" w:eastAsia="宋体" w:cs="宋体"/>
                <w:color w:val="auto"/>
                <w:kern w:val="0"/>
                <w:sz w:val="21"/>
                <w:szCs w:val="21"/>
                <w:lang w:eastAsia="zh-CN"/>
              </w:rPr>
              <w:t>产品合格证、</w:t>
            </w:r>
            <w:r>
              <w:rPr>
                <w:rFonts w:hint="eastAsia" w:ascii="宋体" w:hAnsi="宋体" w:eastAsia="宋体" w:cs="宋体"/>
                <w:color w:val="auto"/>
                <w:kern w:val="0"/>
                <w:sz w:val="21"/>
                <w:szCs w:val="21"/>
              </w:rPr>
              <w:t>相关检测报告</w:t>
            </w:r>
            <w:r>
              <w:rPr>
                <w:rFonts w:hint="eastAsia" w:ascii="宋体" w:hAnsi="宋体" w:eastAsia="宋体" w:cs="宋体"/>
                <w:color w:val="auto"/>
                <w:kern w:val="0"/>
                <w:sz w:val="21"/>
                <w:szCs w:val="21"/>
                <w:lang w:eastAsia="zh-CN"/>
              </w:rPr>
              <w:t>（如有）等证明文件）</w:t>
            </w:r>
            <w:r>
              <w:rPr>
                <w:rFonts w:hint="eastAsia" w:ascii="宋体" w:hAnsi="宋体" w:eastAsia="宋体" w:cs="宋体"/>
                <w:color w:val="auto"/>
                <w:kern w:val="0"/>
                <w:sz w:val="21"/>
                <w:szCs w:val="21"/>
                <w:highlight w:val="none"/>
                <w:lang w:eastAsia="zh-CN"/>
              </w:rPr>
              <w:t>，性能不低于</w:t>
            </w:r>
            <w:r>
              <w:rPr>
                <w:rFonts w:hint="eastAsia" w:ascii="宋体" w:hAnsi="宋体" w:eastAsia="宋体" w:cs="宋体"/>
                <w:kern w:val="0"/>
                <w:sz w:val="21"/>
                <w:szCs w:val="21"/>
                <w:highlight w:val="none"/>
              </w:rPr>
              <w:t>DSPPA DSP308</w:t>
            </w:r>
            <w:r>
              <w:rPr>
                <w:rFonts w:hint="eastAsia" w:ascii="宋体" w:hAnsi="宋体" w:eastAsia="宋体" w:cs="宋体"/>
                <w:kern w:val="0"/>
                <w:sz w:val="21"/>
                <w:szCs w:val="21"/>
                <w:highlight w:val="none"/>
                <w:lang w:eastAsia="zh-CN"/>
              </w:rPr>
              <w:t>型号</w:t>
            </w:r>
            <w:r>
              <w:rPr>
                <w:rFonts w:hint="eastAsia" w:ascii="宋体" w:hAnsi="宋体" w:eastAsia="宋体" w:cs="宋体"/>
                <w:kern w:val="0"/>
                <w:sz w:val="21"/>
                <w:szCs w:val="21"/>
                <w:highlight w:val="none"/>
              </w:rPr>
              <w:t xml:space="preserve">   1、通过防水认证等认证，适宜室内外使用；2、采用铝质面网，不生锈；3、 选用优质高灵敏度、高动态范围扬声器，二分频结构。</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91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67</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前置放大器</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rPr>
              <w:t>广州迪士普</w:t>
            </w:r>
            <w:r>
              <w:rPr>
                <w:rFonts w:hint="eastAsia" w:ascii="宋体" w:hAnsi="宋体" w:eastAsia="宋体" w:cs="宋体"/>
                <w:color w:val="auto"/>
                <w:kern w:val="0"/>
                <w:sz w:val="21"/>
                <w:szCs w:val="21"/>
                <w:lang w:eastAsia="zh-CN"/>
              </w:rPr>
              <w:t>（材料进场</w:t>
            </w:r>
            <w:r>
              <w:rPr>
                <w:rFonts w:hint="eastAsia" w:ascii="宋体" w:hAnsi="宋体" w:eastAsia="宋体" w:cs="宋体"/>
                <w:color w:val="auto"/>
                <w:kern w:val="0"/>
                <w:sz w:val="21"/>
                <w:szCs w:val="21"/>
              </w:rPr>
              <w:t>时</w:t>
            </w:r>
            <w:r>
              <w:rPr>
                <w:rFonts w:hint="eastAsia" w:ascii="宋体" w:hAnsi="宋体" w:eastAsia="宋体" w:cs="宋体"/>
                <w:color w:val="auto"/>
                <w:kern w:val="0"/>
                <w:sz w:val="21"/>
                <w:szCs w:val="21"/>
                <w:lang w:eastAsia="zh-CN"/>
              </w:rPr>
              <w:t>须</w:t>
            </w:r>
            <w:r>
              <w:rPr>
                <w:rFonts w:hint="eastAsia" w:ascii="宋体" w:hAnsi="宋体" w:eastAsia="宋体" w:cs="宋体"/>
                <w:color w:val="auto"/>
                <w:kern w:val="0"/>
                <w:sz w:val="21"/>
                <w:szCs w:val="21"/>
              </w:rPr>
              <w:t>提供</w:t>
            </w:r>
            <w:r>
              <w:rPr>
                <w:rFonts w:hint="eastAsia" w:ascii="宋体" w:hAnsi="宋体" w:eastAsia="宋体" w:cs="宋体"/>
                <w:color w:val="auto"/>
                <w:kern w:val="0"/>
                <w:sz w:val="21"/>
                <w:szCs w:val="21"/>
                <w:lang w:eastAsia="zh-CN"/>
              </w:rPr>
              <w:t>产品合格证、</w:t>
            </w:r>
            <w:r>
              <w:rPr>
                <w:rFonts w:hint="eastAsia" w:ascii="宋体" w:hAnsi="宋体" w:eastAsia="宋体" w:cs="宋体"/>
                <w:color w:val="auto"/>
                <w:kern w:val="0"/>
                <w:sz w:val="21"/>
                <w:szCs w:val="21"/>
              </w:rPr>
              <w:t>相关检测报告</w:t>
            </w:r>
            <w:r>
              <w:rPr>
                <w:rFonts w:hint="eastAsia" w:ascii="宋体" w:hAnsi="宋体" w:eastAsia="宋体" w:cs="宋体"/>
                <w:color w:val="auto"/>
                <w:kern w:val="0"/>
                <w:sz w:val="21"/>
                <w:szCs w:val="21"/>
                <w:lang w:eastAsia="zh-CN"/>
              </w:rPr>
              <w:t>（如有）等证明文件）</w:t>
            </w:r>
            <w:r>
              <w:rPr>
                <w:rFonts w:hint="eastAsia" w:ascii="宋体" w:hAnsi="宋体" w:eastAsia="宋体" w:cs="宋体"/>
                <w:color w:val="auto"/>
                <w:kern w:val="0"/>
                <w:sz w:val="21"/>
                <w:szCs w:val="21"/>
                <w:highlight w:val="none"/>
                <w:lang w:eastAsia="zh-CN"/>
              </w:rPr>
              <w:t>，性能不低于</w:t>
            </w:r>
            <w:r>
              <w:rPr>
                <w:rFonts w:hint="eastAsia" w:ascii="宋体" w:hAnsi="宋体" w:eastAsia="宋体" w:cs="宋体"/>
                <w:kern w:val="0"/>
                <w:sz w:val="21"/>
                <w:szCs w:val="21"/>
                <w:highlight w:val="none"/>
              </w:rPr>
              <w:t>DSPPA MP9811</w:t>
            </w:r>
            <w:r>
              <w:rPr>
                <w:rFonts w:hint="eastAsia" w:ascii="宋体" w:hAnsi="宋体" w:eastAsia="宋体" w:cs="宋体"/>
                <w:kern w:val="0"/>
                <w:sz w:val="21"/>
                <w:szCs w:val="21"/>
                <w:highlight w:val="none"/>
                <w:lang w:eastAsia="zh-CN"/>
              </w:rPr>
              <w:t>型号</w:t>
            </w:r>
            <w:r>
              <w:rPr>
                <w:rFonts w:hint="eastAsia" w:ascii="宋体" w:hAnsi="宋体" w:eastAsia="宋体" w:cs="宋体"/>
                <w:kern w:val="0"/>
                <w:sz w:val="21"/>
                <w:szCs w:val="21"/>
                <w:highlight w:val="none"/>
              </w:rPr>
              <w:t xml:space="preserve">   1 、多种、多个输入/输出口：5个话筒口；3个辅助口；2个优先口；4个输出口。2、各通道独立音量控制。3、高音和低音音调控制。4、 自动默音（有强插功能）。</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111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68</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纯后级功放</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rPr>
              <w:t>广州迪士普</w:t>
            </w:r>
            <w:r>
              <w:rPr>
                <w:rFonts w:hint="eastAsia" w:ascii="宋体" w:hAnsi="宋体" w:eastAsia="宋体" w:cs="宋体"/>
                <w:color w:val="auto"/>
                <w:kern w:val="0"/>
                <w:sz w:val="21"/>
                <w:szCs w:val="21"/>
                <w:lang w:eastAsia="zh-CN"/>
              </w:rPr>
              <w:t>（材料进场</w:t>
            </w:r>
            <w:r>
              <w:rPr>
                <w:rFonts w:hint="eastAsia" w:ascii="宋体" w:hAnsi="宋体" w:eastAsia="宋体" w:cs="宋体"/>
                <w:color w:val="auto"/>
                <w:kern w:val="0"/>
                <w:sz w:val="21"/>
                <w:szCs w:val="21"/>
              </w:rPr>
              <w:t>时</w:t>
            </w:r>
            <w:r>
              <w:rPr>
                <w:rFonts w:hint="eastAsia" w:ascii="宋体" w:hAnsi="宋体" w:eastAsia="宋体" w:cs="宋体"/>
                <w:color w:val="auto"/>
                <w:kern w:val="0"/>
                <w:sz w:val="21"/>
                <w:szCs w:val="21"/>
                <w:lang w:eastAsia="zh-CN"/>
              </w:rPr>
              <w:t>须</w:t>
            </w:r>
            <w:r>
              <w:rPr>
                <w:rFonts w:hint="eastAsia" w:ascii="宋体" w:hAnsi="宋体" w:eastAsia="宋体" w:cs="宋体"/>
                <w:color w:val="auto"/>
                <w:kern w:val="0"/>
                <w:sz w:val="21"/>
                <w:szCs w:val="21"/>
              </w:rPr>
              <w:t>提供</w:t>
            </w:r>
            <w:r>
              <w:rPr>
                <w:rFonts w:hint="eastAsia" w:ascii="宋体" w:hAnsi="宋体" w:eastAsia="宋体" w:cs="宋体"/>
                <w:color w:val="auto"/>
                <w:kern w:val="0"/>
                <w:sz w:val="21"/>
                <w:szCs w:val="21"/>
                <w:lang w:eastAsia="zh-CN"/>
              </w:rPr>
              <w:t>产品合格证、</w:t>
            </w:r>
            <w:r>
              <w:rPr>
                <w:rFonts w:hint="eastAsia" w:ascii="宋体" w:hAnsi="宋体" w:eastAsia="宋体" w:cs="宋体"/>
                <w:color w:val="auto"/>
                <w:kern w:val="0"/>
                <w:sz w:val="21"/>
                <w:szCs w:val="21"/>
              </w:rPr>
              <w:t>相关检测报告</w:t>
            </w:r>
            <w:r>
              <w:rPr>
                <w:rFonts w:hint="eastAsia" w:ascii="宋体" w:hAnsi="宋体" w:eastAsia="宋体" w:cs="宋体"/>
                <w:color w:val="auto"/>
                <w:kern w:val="0"/>
                <w:sz w:val="21"/>
                <w:szCs w:val="21"/>
                <w:lang w:eastAsia="zh-CN"/>
              </w:rPr>
              <w:t>（如有）等证明文件）</w:t>
            </w:r>
            <w:r>
              <w:rPr>
                <w:rFonts w:hint="eastAsia" w:ascii="宋体" w:hAnsi="宋体" w:eastAsia="宋体" w:cs="宋体"/>
                <w:color w:val="auto"/>
                <w:kern w:val="0"/>
                <w:sz w:val="21"/>
                <w:szCs w:val="21"/>
                <w:highlight w:val="none"/>
                <w:lang w:eastAsia="zh-CN"/>
              </w:rPr>
              <w:t>，性能不低于</w:t>
            </w:r>
            <w:r>
              <w:rPr>
                <w:rFonts w:hint="eastAsia" w:ascii="宋体" w:hAnsi="宋体" w:eastAsia="宋体" w:cs="宋体"/>
                <w:kern w:val="0"/>
                <w:sz w:val="21"/>
                <w:szCs w:val="21"/>
                <w:highlight w:val="none"/>
              </w:rPr>
              <w:t>DSPPA MP2500P</w:t>
            </w:r>
            <w:r>
              <w:rPr>
                <w:rFonts w:hint="eastAsia" w:ascii="宋体" w:hAnsi="宋体" w:eastAsia="宋体" w:cs="宋体"/>
                <w:kern w:val="0"/>
                <w:sz w:val="21"/>
                <w:szCs w:val="21"/>
                <w:highlight w:val="none"/>
                <w:lang w:eastAsia="zh-CN"/>
              </w:rPr>
              <w:t>型号</w:t>
            </w:r>
            <w:r>
              <w:rPr>
                <w:rFonts w:hint="eastAsia" w:ascii="宋体" w:hAnsi="宋体" w:eastAsia="宋体" w:cs="宋体"/>
                <w:kern w:val="0"/>
                <w:sz w:val="21"/>
                <w:szCs w:val="21"/>
                <w:highlight w:val="none"/>
              </w:rPr>
              <w:t xml:space="preserve">   1、100V、70V定压输出和P1输出（平衡、不接地）。2、5 单位LED 显示器，作状态显示 3、 6.35mm插口和 XLR 插口可方便地实现环接。4、输出短路保护并示警。5、 一系列大功率纯后级可供选择。</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295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69</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真分集无线话筒（标配两个话筒全场无缝对接麦克风）</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0" w:lineRule="atLeast"/>
              <w:jc w:val="left"/>
              <w:rPr>
                <w:rFonts w:hint="eastAsia" w:ascii="宋体" w:hAnsi="宋体" w:eastAsia="宋体" w:cs="宋体"/>
                <w:kern w:val="0"/>
                <w:sz w:val="21"/>
                <w:szCs w:val="21"/>
                <w:highlight w:val="none"/>
              </w:rPr>
            </w:pPr>
            <w:r>
              <w:rPr>
                <w:rFonts w:hint="eastAsia" w:ascii="宋体" w:hAnsi="宋体" w:eastAsia="宋体" w:cs="宋体"/>
                <w:strike w:val="0"/>
                <w:dstrike w:val="0"/>
                <w:kern w:val="0"/>
                <w:sz w:val="21"/>
                <w:szCs w:val="21"/>
                <w:highlight w:val="none"/>
                <w:lang w:eastAsia="zh-CN"/>
              </w:rPr>
              <w:t>性能不低于</w:t>
            </w:r>
            <w:r>
              <w:rPr>
                <w:rFonts w:hint="eastAsia" w:ascii="宋体" w:hAnsi="宋体" w:eastAsia="宋体" w:cs="宋体"/>
                <w:kern w:val="0"/>
                <w:sz w:val="21"/>
                <w:szCs w:val="21"/>
                <w:highlight w:val="none"/>
              </w:rPr>
              <w:t>MAXSON LF3000</w:t>
            </w:r>
            <w:r>
              <w:rPr>
                <w:rFonts w:hint="eastAsia" w:ascii="宋体" w:hAnsi="宋体" w:eastAsia="宋体" w:cs="宋体"/>
                <w:kern w:val="0"/>
                <w:sz w:val="21"/>
                <w:szCs w:val="21"/>
                <w:highlight w:val="none"/>
                <w:lang w:eastAsia="zh-CN"/>
              </w:rPr>
              <w:t>型号</w:t>
            </w:r>
            <w:r>
              <w:rPr>
                <w:rFonts w:hint="eastAsia" w:ascii="宋体" w:hAnsi="宋体" w:eastAsia="宋体" w:cs="宋体"/>
                <w:kern w:val="0"/>
                <w:sz w:val="21"/>
                <w:szCs w:val="21"/>
                <w:highlight w:val="none"/>
              </w:rPr>
              <w:t xml:space="preserve">   真分集无线系统采用全新的无线数字导频技术,具有卓越的音质和超强的控制功能.这是一款专业演出级无线话筒，系统采用同频段设计，两个发射机可互换使用，可供超过100套系统同场使用。</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·全新的无线数字导频技术。</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·自动跟踪调谐技术，保证系统在任何频率工作时保持最佳的选择性。</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·LCD显示，可同时显示发射器的电池电量，所有工作状态一目了然。</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·数字音量控制系统，轻触式按钮控制，易于设定和操作。</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·红外线数据同步装置，具自动搜索空闲频道功能。</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516"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7</w:t>
            </w:r>
            <w:r>
              <w:rPr>
                <w:rFonts w:hint="eastAsia" w:ascii="宋体" w:hAnsi="宋体" w:eastAsia="宋体" w:cs="宋体"/>
                <w:kern w:val="0"/>
                <w:sz w:val="21"/>
                <w:szCs w:val="21"/>
                <w:highlight w:val="none"/>
                <w:lang w:val="en-US" w:eastAsia="zh-CN"/>
              </w:rPr>
              <w:t>0</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线材</w:t>
            </w:r>
          </w:p>
        </w:tc>
        <w:tc>
          <w:tcPr>
            <w:tcW w:w="387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国标2*1.0   300支音响线，含线管 接头 线卡 胶布等辅材</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400</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615" w:hRule="atLeast"/>
        </w:trPr>
        <w:tc>
          <w:tcPr>
            <w:tcW w:w="58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7</w:t>
            </w:r>
            <w:r>
              <w:rPr>
                <w:rFonts w:hint="eastAsia" w:ascii="宋体" w:hAnsi="宋体" w:eastAsia="宋体" w:cs="宋体"/>
                <w:kern w:val="0"/>
                <w:sz w:val="21"/>
                <w:szCs w:val="21"/>
                <w:highlight w:val="none"/>
                <w:lang w:val="en-US" w:eastAsia="zh-CN"/>
              </w:rPr>
              <w:t>1</w:t>
            </w:r>
          </w:p>
        </w:tc>
        <w:tc>
          <w:tcPr>
            <w:tcW w:w="1955" w:type="dxa"/>
            <w:tcBorders>
              <w:top w:val="single" w:color="auto" w:sz="4" w:space="0"/>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机柜</w:t>
            </w:r>
          </w:p>
        </w:tc>
        <w:tc>
          <w:tcPr>
            <w:tcW w:w="3875" w:type="dxa"/>
            <w:tcBorders>
              <w:top w:val="single" w:color="auto" w:sz="4" w:space="0"/>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1000*600 豪华型玻璃门机柜</w:t>
            </w:r>
          </w:p>
        </w:tc>
        <w:tc>
          <w:tcPr>
            <w:tcW w:w="863" w:type="dxa"/>
            <w:tcBorders>
              <w:top w:val="single" w:color="auto" w:sz="4" w:space="0"/>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hd w:val="clear"/>
              <w:spacing w:line="240" w:lineRule="auto"/>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221" w:hRule="atLeast"/>
        </w:trPr>
        <w:tc>
          <w:tcPr>
            <w:tcW w:w="9129"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其他</w:t>
            </w:r>
          </w:p>
        </w:tc>
      </w:tr>
      <w:tr>
        <w:tblPrEx>
          <w:tblCellMar>
            <w:top w:w="0" w:type="dxa"/>
            <w:left w:w="108" w:type="dxa"/>
            <w:bottom w:w="0" w:type="dxa"/>
            <w:right w:w="108" w:type="dxa"/>
          </w:tblCellMar>
        </w:tblPrEx>
        <w:trPr>
          <w:trHeight w:val="984"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7</w:t>
            </w:r>
            <w:r>
              <w:rPr>
                <w:rFonts w:hint="eastAsia" w:ascii="宋体" w:hAnsi="宋体" w:eastAsia="宋体" w:cs="宋体"/>
                <w:kern w:val="0"/>
                <w:sz w:val="21"/>
                <w:szCs w:val="21"/>
                <w:highlight w:val="none"/>
                <w:lang w:val="en-US" w:eastAsia="zh-CN"/>
              </w:rPr>
              <w:t>2</w:t>
            </w:r>
          </w:p>
        </w:tc>
        <w:tc>
          <w:tcPr>
            <w:tcW w:w="1955"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其他措施项、零星工程（包干计取）</w:t>
            </w:r>
          </w:p>
        </w:tc>
        <w:tc>
          <w:tcPr>
            <w:tcW w:w="3875" w:type="dxa"/>
            <w:tcBorders>
              <w:top w:val="nil"/>
              <w:left w:val="nil"/>
              <w:bottom w:val="single" w:color="000000" w:sz="4" w:space="0"/>
              <w:right w:val="single" w:color="000000" w:sz="4" w:space="0"/>
            </w:tcBorders>
            <w:shd w:val="clear" w:color="auto" w:fill="auto"/>
            <w:vAlign w:val="center"/>
          </w:tcPr>
          <w:p>
            <w:pPr>
              <w:widowControl/>
              <w:numPr>
                <w:ilvl w:val="0"/>
                <w:numId w:val="0"/>
              </w:numPr>
              <w:shd w:val="clear"/>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1.施工场地线盘清理：FS/FY-WDEA-YJY63型150m</w:t>
            </w: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r>
              <w:rPr>
                <w:rFonts w:hint="eastAsia" w:ascii="宋体" w:hAnsi="宋体" w:eastAsia="宋体" w:cs="宋体"/>
                <w:kern w:val="0"/>
                <w:sz w:val="21"/>
                <w:szCs w:val="21"/>
                <w:highlight w:val="none"/>
                <w:lang w:val="en-US" w:eastAsia="zh-CN"/>
              </w:rPr>
              <w:t>电缆（500m/盘）和300m</w:t>
            </w:r>
            <w:r>
              <w:rPr>
                <w:rFonts w:hint="eastAsia" w:ascii="宋体" w:hAnsi="宋体" w:eastAsia="宋体" w:cs="宋体"/>
                <w:kern w:val="0"/>
                <w:sz w:val="21"/>
                <w:szCs w:val="21"/>
                <w:highlight w:val="none"/>
              </w:rPr>
              <w:t>m</w:t>
            </w:r>
            <w:r>
              <w:rPr>
                <w:rFonts w:hint="eastAsia" w:ascii="宋体" w:hAnsi="宋体" w:eastAsia="宋体" w:cs="宋体"/>
                <w:kern w:val="0"/>
                <w:sz w:val="21"/>
                <w:szCs w:val="21"/>
                <w:highlight w:val="none"/>
                <w:vertAlign w:val="superscript"/>
              </w:rPr>
              <w:t>2</w:t>
            </w:r>
            <w:r>
              <w:rPr>
                <w:rFonts w:hint="eastAsia" w:ascii="宋体" w:hAnsi="宋体" w:eastAsia="宋体" w:cs="宋体"/>
                <w:kern w:val="0"/>
                <w:sz w:val="21"/>
                <w:szCs w:val="21"/>
                <w:highlight w:val="none"/>
                <w:lang w:val="en-US" w:eastAsia="zh-CN"/>
              </w:rPr>
              <w:t>电缆（1000m/盘）各两盘，运距1000m以内。</w:t>
            </w:r>
          </w:p>
          <w:p>
            <w:pPr>
              <w:widowControl/>
              <w:numPr>
                <w:ilvl w:val="0"/>
                <w:numId w:val="0"/>
              </w:numPr>
              <w:shd w:val="clear"/>
              <w:spacing w:line="240" w:lineRule="auto"/>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eastAsia="zh-CN"/>
              </w:rPr>
              <w:t>脚手架：整个改造区域内均涉及需</w:t>
            </w:r>
            <w:r>
              <w:rPr>
                <w:rFonts w:hint="eastAsia" w:ascii="宋体" w:hAnsi="宋体" w:eastAsia="宋体" w:cs="宋体"/>
                <w:kern w:val="0"/>
                <w:sz w:val="21"/>
                <w:szCs w:val="21"/>
                <w:highlight w:val="none"/>
              </w:rPr>
              <w:t>搭建移动脚手架</w:t>
            </w:r>
            <w:r>
              <w:rPr>
                <w:rFonts w:hint="eastAsia" w:ascii="宋体" w:hAnsi="宋体" w:eastAsia="宋体" w:cs="宋体"/>
                <w:kern w:val="0"/>
                <w:sz w:val="21"/>
                <w:szCs w:val="21"/>
                <w:highlight w:val="none"/>
                <w:lang w:eastAsia="zh-CN"/>
              </w:rPr>
              <w:t>的高空作业，</w:t>
            </w:r>
            <w:r>
              <w:rPr>
                <w:rFonts w:hint="eastAsia" w:ascii="宋体" w:hAnsi="宋体" w:eastAsia="宋体" w:cs="宋体"/>
                <w:kern w:val="0"/>
                <w:sz w:val="21"/>
                <w:szCs w:val="21"/>
                <w:highlight w:val="none"/>
              </w:rPr>
              <w:t>面积</w:t>
            </w:r>
            <w:r>
              <w:rPr>
                <w:rFonts w:hint="eastAsia" w:ascii="宋体" w:hAnsi="宋体" w:eastAsia="宋体" w:cs="宋体"/>
                <w:kern w:val="0"/>
                <w:sz w:val="21"/>
                <w:szCs w:val="21"/>
                <w:highlight w:val="none"/>
                <w:lang w:eastAsia="zh-CN"/>
              </w:rPr>
              <w:t>约</w:t>
            </w:r>
            <w:r>
              <w:rPr>
                <w:rFonts w:hint="eastAsia" w:ascii="宋体" w:hAnsi="宋体" w:eastAsia="宋体" w:cs="宋体"/>
                <w:kern w:val="0"/>
                <w:sz w:val="21"/>
                <w:szCs w:val="21"/>
                <w:highlight w:val="none"/>
              </w:rPr>
              <w:t>为942m</w:t>
            </w:r>
            <w:r>
              <w:rPr>
                <w:rFonts w:hint="eastAsia" w:ascii="宋体" w:hAnsi="宋体" w:eastAsia="宋体" w:cs="宋体"/>
                <w:kern w:val="0"/>
                <w:sz w:val="21"/>
                <w:szCs w:val="21"/>
                <w:highlight w:val="none"/>
                <w:vertAlign w:val="superscript"/>
              </w:rPr>
              <w:t>2</w:t>
            </w:r>
            <w:r>
              <w:rPr>
                <w:rFonts w:hint="eastAsia" w:ascii="宋体" w:hAnsi="宋体" w:eastAsia="宋体" w:cs="宋体"/>
                <w:kern w:val="0"/>
                <w:sz w:val="21"/>
                <w:szCs w:val="21"/>
                <w:highlight w:val="none"/>
                <w:lang w:eastAsia="zh-CN"/>
              </w:rPr>
              <w:t>；</w:t>
            </w:r>
          </w:p>
          <w:p>
            <w:pPr>
              <w:widowControl/>
              <w:numPr>
                <w:ilvl w:val="0"/>
                <w:numId w:val="0"/>
              </w:numPr>
              <w:shd w:val="clear"/>
              <w:spacing w:line="240" w:lineRule="auto"/>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 xml:space="preserve">3. </w:t>
            </w:r>
            <w:r>
              <w:rPr>
                <w:rFonts w:hint="eastAsia" w:ascii="宋体" w:hAnsi="宋体" w:eastAsia="宋体" w:cs="宋体"/>
                <w:kern w:val="0"/>
                <w:sz w:val="21"/>
                <w:szCs w:val="21"/>
                <w:highlight w:val="none"/>
              </w:rPr>
              <w:t>成品保护</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面积</w:t>
            </w:r>
            <w:r>
              <w:rPr>
                <w:rFonts w:hint="eastAsia" w:ascii="宋体" w:hAnsi="宋体" w:eastAsia="宋体" w:cs="宋体"/>
                <w:kern w:val="0"/>
                <w:sz w:val="21"/>
                <w:szCs w:val="21"/>
                <w:highlight w:val="none"/>
                <w:lang w:eastAsia="zh-CN"/>
              </w:rPr>
              <w:t>约</w:t>
            </w:r>
            <w:r>
              <w:rPr>
                <w:rFonts w:hint="eastAsia" w:ascii="宋体" w:hAnsi="宋体" w:eastAsia="宋体" w:cs="宋体"/>
                <w:kern w:val="0"/>
                <w:sz w:val="21"/>
                <w:szCs w:val="21"/>
                <w:highlight w:val="none"/>
              </w:rPr>
              <w:t>为942m</w:t>
            </w:r>
            <w:r>
              <w:rPr>
                <w:rFonts w:hint="eastAsia" w:ascii="宋体" w:hAnsi="宋体" w:eastAsia="宋体" w:cs="宋体"/>
                <w:kern w:val="0"/>
                <w:sz w:val="21"/>
                <w:szCs w:val="21"/>
                <w:highlight w:val="none"/>
                <w:vertAlign w:val="superscript"/>
              </w:rPr>
              <w:t>2</w:t>
            </w:r>
            <w:r>
              <w:rPr>
                <w:rFonts w:hint="eastAsia" w:ascii="宋体" w:hAnsi="宋体" w:eastAsia="宋体" w:cs="宋体"/>
                <w:kern w:val="0"/>
                <w:sz w:val="21"/>
                <w:szCs w:val="21"/>
                <w:highlight w:val="none"/>
                <w:lang w:eastAsia="zh-CN"/>
              </w:rPr>
              <w:t>；</w:t>
            </w:r>
          </w:p>
          <w:p>
            <w:pPr>
              <w:widowControl/>
              <w:numPr>
                <w:ilvl w:val="0"/>
                <w:numId w:val="0"/>
              </w:numPr>
              <w:shd w:val="clear"/>
              <w:spacing w:line="240" w:lineRule="auto"/>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 xml:space="preserve">4. </w:t>
            </w:r>
            <w:r>
              <w:rPr>
                <w:rFonts w:hint="eastAsia" w:ascii="宋体" w:hAnsi="宋体" w:eastAsia="宋体" w:cs="宋体"/>
                <w:kern w:val="0"/>
                <w:sz w:val="21"/>
                <w:szCs w:val="21"/>
                <w:highlight w:val="none"/>
              </w:rPr>
              <w:t>垃圾</w:t>
            </w:r>
            <w:r>
              <w:rPr>
                <w:rFonts w:hint="eastAsia" w:ascii="宋体" w:hAnsi="宋体" w:eastAsia="宋体" w:cs="宋体"/>
                <w:kern w:val="0"/>
                <w:sz w:val="21"/>
                <w:szCs w:val="21"/>
                <w:highlight w:val="none"/>
                <w:lang w:eastAsia="zh-CN"/>
              </w:rPr>
              <w:t>清运</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eastAsia="zh-CN"/>
              </w:rPr>
              <w:t>约</w:t>
            </w:r>
            <w:r>
              <w:rPr>
                <w:rFonts w:hint="eastAsia" w:ascii="宋体" w:hAnsi="宋体" w:eastAsia="宋体" w:cs="宋体"/>
                <w:kern w:val="0"/>
                <w:sz w:val="21"/>
                <w:szCs w:val="21"/>
                <w:highlight w:val="none"/>
              </w:rPr>
              <w:t>20个立方左右（包括铲除、开挖、施工损耗、施工完毕后垃圾等）</w:t>
            </w:r>
            <w:r>
              <w:rPr>
                <w:rFonts w:hint="eastAsia" w:ascii="宋体" w:hAnsi="宋体" w:eastAsia="宋体" w:cs="宋体"/>
                <w:kern w:val="0"/>
                <w:sz w:val="21"/>
                <w:szCs w:val="21"/>
                <w:highlight w:val="none"/>
                <w:lang w:eastAsia="zh-CN"/>
              </w:rPr>
              <w:t>；</w:t>
            </w:r>
          </w:p>
          <w:p>
            <w:pPr>
              <w:widowControl/>
              <w:numPr>
                <w:ilvl w:val="0"/>
                <w:numId w:val="0"/>
              </w:numPr>
              <w:shd w:val="clear"/>
              <w:spacing w:line="240" w:lineRule="auto"/>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 xml:space="preserve">5. </w:t>
            </w:r>
            <w:r>
              <w:rPr>
                <w:rFonts w:hint="eastAsia" w:ascii="宋体" w:hAnsi="宋体" w:eastAsia="宋体" w:cs="宋体"/>
                <w:kern w:val="0"/>
                <w:sz w:val="21"/>
                <w:szCs w:val="21"/>
                <w:highlight w:val="none"/>
              </w:rPr>
              <w:t>二次搬运</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卫生</w:t>
            </w:r>
            <w:r>
              <w:rPr>
                <w:rFonts w:hint="eastAsia" w:ascii="宋体" w:hAnsi="宋体" w:eastAsia="宋体" w:cs="宋体"/>
                <w:kern w:val="0"/>
                <w:sz w:val="21"/>
                <w:szCs w:val="21"/>
                <w:highlight w:val="none"/>
                <w:lang w:eastAsia="zh-CN"/>
              </w:rPr>
              <w:t>等及其他零星工程；</w:t>
            </w:r>
          </w:p>
          <w:p>
            <w:pPr>
              <w:widowControl/>
              <w:numPr>
                <w:ilvl w:val="0"/>
                <w:numId w:val="0"/>
              </w:numPr>
              <w:shd w:val="clear"/>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 以上内容包干计取一项。</w:t>
            </w:r>
          </w:p>
        </w:tc>
        <w:tc>
          <w:tcPr>
            <w:tcW w:w="863" w:type="dxa"/>
            <w:tcBorders>
              <w:top w:val="nil"/>
              <w:left w:val="nil"/>
              <w:bottom w:val="single" w:color="000000" w:sz="4" w:space="0"/>
              <w:right w:val="single" w:color="000000" w:sz="4" w:space="0"/>
            </w:tcBorders>
            <w:shd w:val="clear" w:color="auto" w:fill="auto"/>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925" w:type="dxa"/>
            <w:tcBorders>
              <w:top w:val="nil"/>
              <w:left w:val="nil"/>
              <w:bottom w:val="single" w:color="000000" w:sz="4" w:space="0"/>
              <w:right w:val="single" w:color="000000" w:sz="4" w:space="0"/>
            </w:tcBorders>
            <w:shd w:val="clear" w:color="auto" w:fill="auto"/>
            <w:noWrap/>
            <w:vAlign w:val="center"/>
          </w:tcPr>
          <w:p>
            <w:pPr>
              <w:widowControl/>
              <w:shd w:val="clear"/>
              <w:spacing w:line="240" w:lineRule="auto"/>
              <w:jc w:val="center"/>
              <w:rPr>
                <w:rFonts w:hint="eastAsia" w:ascii="宋体" w:hAnsi="宋体" w:eastAsia="宋体" w:cs="宋体"/>
                <w:kern w:val="0"/>
                <w:sz w:val="21"/>
                <w:szCs w:val="21"/>
                <w:highlight w:val="none"/>
              </w:rPr>
            </w:pPr>
          </w:p>
        </w:tc>
      </w:tr>
    </w:tbl>
    <w:p>
      <w:pPr>
        <w:keepNext/>
        <w:keepLines/>
        <w:widowControl w:val="0"/>
        <w:numPr>
          <w:ilvl w:val="0"/>
          <w:numId w:val="6"/>
        </w:numPr>
        <w:shd w:val="clear"/>
        <w:spacing w:line="180" w:lineRule="auto"/>
        <w:ind w:left="420" w:hanging="420"/>
        <w:jc w:val="both"/>
        <w:outlineLvl w:val="0"/>
        <w:rPr>
          <w:rFonts w:hint="eastAsia" w:ascii="宋体" w:hAnsi="宋体" w:eastAsia="宋体" w:cs="宋体"/>
          <w:b/>
          <w:bCs/>
          <w:kern w:val="44"/>
          <w:sz w:val="21"/>
          <w:szCs w:val="21"/>
          <w:lang w:val="en-US" w:eastAsia="zh-CN" w:bidi="ar-SA"/>
        </w:rPr>
      </w:pPr>
      <w:bookmarkStart w:id="99" w:name="_Toc7929"/>
      <w:r>
        <w:rPr>
          <w:rFonts w:hint="eastAsia" w:ascii="宋体" w:hAnsi="宋体" w:eastAsia="宋体" w:cs="宋体"/>
          <w:b/>
          <w:bCs/>
          <w:kern w:val="44"/>
          <w:sz w:val="21"/>
          <w:szCs w:val="21"/>
          <w:lang w:val="en-US" w:eastAsia="zh-CN" w:bidi="ar-SA"/>
        </w:rPr>
        <w:t>施工管理</w:t>
      </w:r>
      <w:bookmarkEnd w:id="97"/>
      <w:bookmarkEnd w:id="98"/>
      <w:bookmarkEnd w:id="99"/>
    </w:p>
    <w:p>
      <w:pPr>
        <w:widowControl w:val="0"/>
        <w:numPr>
          <w:ilvl w:val="0"/>
          <w:numId w:val="17"/>
        </w:numPr>
        <w:shd w:val="clear"/>
        <w:spacing w:line="360" w:lineRule="auto"/>
        <w:ind w:left="840" w:hanging="420" w:firstLineChars="0"/>
        <w:jc w:val="both"/>
        <w:outlineLvl w:val="1"/>
        <w:rPr>
          <w:rFonts w:hint="eastAsia" w:ascii="宋体" w:hAnsi="宋体" w:eastAsia="宋体" w:cs="宋体"/>
          <w:b/>
          <w:bCs/>
          <w:kern w:val="2"/>
          <w:sz w:val="21"/>
          <w:szCs w:val="21"/>
          <w:lang w:val="en-US" w:eastAsia="zh-CN" w:bidi="ar-SA"/>
        </w:rPr>
      </w:pPr>
      <w:bookmarkStart w:id="100" w:name="_Toc2196755"/>
      <w:bookmarkStart w:id="101" w:name="_Toc536513594"/>
      <w:bookmarkStart w:id="102" w:name="_Toc25363"/>
      <w:r>
        <w:rPr>
          <w:rFonts w:hint="eastAsia" w:ascii="宋体" w:hAnsi="宋体" w:eastAsia="宋体" w:cs="宋体"/>
          <w:b/>
          <w:bCs/>
          <w:kern w:val="2"/>
          <w:sz w:val="21"/>
          <w:szCs w:val="21"/>
          <w:lang w:val="en-US" w:eastAsia="zh-CN" w:bidi="ar-SA"/>
        </w:rPr>
        <w:t>一般要求</w:t>
      </w:r>
      <w:bookmarkEnd w:id="100"/>
      <w:bookmarkEnd w:id="101"/>
      <w:bookmarkEnd w:id="102"/>
    </w:p>
    <w:p>
      <w:pPr>
        <w:shd w:val="clear"/>
        <w:spacing w:line="360" w:lineRule="auto"/>
        <w:jc w:val="left"/>
        <w:rPr>
          <w:rFonts w:hint="eastAsia" w:ascii="宋体" w:hAnsi="宋体" w:eastAsia="宋体" w:cs="宋体"/>
          <w:sz w:val="21"/>
          <w:szCs w:val="21"/>
          <w:shd w:val="clear" w:color="050000" w:fill="auto"/>
        </w:rPr>
      </w:pPr>
      <w:r>
        <w:rPr>
          <w:rFonts w:hint="eastAsia" w:ascii="宋体" w:hAnsi="宋体" w:eastAsia="宋体" w:cs="宋体"/>
          <w:sz w:val="21"/>
          <w:szCs w:val="21"/>
        </w:rPr>
        <w:t>5.</w:t>
      </w:r>
      <w:r>
        <w:rPr>
          <w:rFonts w:hint="eastAsia" w:ascii="宋体" w:hAnsi="宋体" w:eastAsia="宋体" w:cs="宋体"/>
          <w:sz w:val="21"/>
          <w:szCs w:val="21"/>
          <w:shd w:val="clear" w:color="050000" w:fill="auto"/>
        </w:rPr>
        <w:t>1.1本工程是改造工程，为不影响地铁正常运营，</w:t>
      </w:r>
      <w:r>
        <w:rPr>
          <w:rFonts w:hint="eastAsia" w:ascii="宋体" w:hAnsi="宋体" w:eastAsia="宋体" w:cs="宋体"/>
          <w:sz w:val="21"/>
          <w:szCs w:val="21"/>
          <w:shd w:val="clear" w:color="050000" w:fill="auto"/>
          <w:lang w:eastAsia="zh-CN"/>
        </w:rPr>
        <w:t>进场前</w:t>
      </w:r>
      <w:r>
        <w:rPr>
          <w:rFonts w:hint="eastAsia" w:ascii="宋体" w:hAnsi="宋体" w:eastAsia="宋体" w:cs="宋体"/>
          <w:sz w:val="21"/>
          <w:szCs w:val="21"/>
          <w:shd w:val="clear" w:color="050000" w:fill="auto"/>
        </w:rPr>
        <w:t>施工单位需根据现场实际情况，编制项目施工方案，并根据施工方案组织工程施工。</w:t>
      </w:r>
    </w:p>
    <w:p>
      <w:pPr>
        <w:shd w:val="clear"/>
        <w:spacing w:line="360" w:lineRule="auto"/>
        <w:jc w:val="left"/>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5.1.2 施工过程中，施工单位须服从现场管理单位的管理，并严格遵守运营公司相关施工管理制度要求。</w:t>
      </w:r>
    </w:p>
    <w:p>
      <w:pPr>
        <w:shd w:val="clear"/>
        <w:spacing w:line="360" w:lineRule="auto"/>
        <w:jc w:val="left"/>
        <w:rPr>
          <w:rFonts w:hint="eastAsia" w:ascii="宋体" w:hAnsi="宋体" w:eastAsia="宋体" w:cs="宋体"/>
          <w:sz w:val="21"/>
          <w:szCs w:val="21"/>
          <w:shd w:val="clear" w:color="050000" w:fill="auto"/>
        </w:rPr>
      </w:pPr>
      <w:r>
        <w:rPr>
          <w:rFonts w:hint="eastAsia" w:ascii="宋体" w:hAnsi="宋体" w:eastAsia="宋体" w:cs="宋体"/>
          <w:sz w:val="21"/>
          <w:szCs w:val="21"/>
        </w:rPr>
        <w:t>5.</w:t>
      </w:r>
      <w:r>
        <w:rPr>
          <w:rFonts w:hint="eastAsia" w:ascii="宋体" w:hAnsi="宋体" w:eastAsia="宋体" w:cs="宋体"/>
          <w:sz w:val="21"/>
          <w:szCs w:val="21"/>
          <w:shd w:val="clear" w:color="050000" w:fill="auto"/>
        </w:rPr>
        <w:t>1.3施工过程中，如果需要停用相关设备，需要跟设备管理部门进行沟通，获得允许之后才能停用相关设备，且设备操作由</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人员来完成。</w:t>
      </w:r>
    </w:p>
    <w:p>
      <w:pPr>
        <w:shd w:val="clear"/>
        <w:spacing w:line="360" w:lineRule="auto"/>
        <w:jc w:val="left"/>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5.1.4对运营有影响的施工需申报施工计划，施工计划批准后才能进行施工。</w:t>
      </w:r>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5.1.5所有施工方案及技术要求如与现场情况相冲突，应以现场情况为准，由</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和</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共同确定技术方案，所确定技术方案不能违反国家及行业技术标准和规范。</w:t>
      </w:r>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5.1.6在车站进行作业时必须严格执行请销点流程，在进行动火作业时严格按照《运营公司动火作业管理办法》执行。</w:t>
      </w:r>
    </w:p>
    <w:p>
      <w:pPr>
        <w:widowControl w:val="0"/>
        <w:numPr>
          <w:ilvl w:val="0"/>
          <w:numId w:val="17"/>
        </w:numPr>
        <w:shd w:val="clear"/>
        <w:spacing w:line="360" w:lineRule="auto"/>
        <w:ind w:left="840" w:hanging="420" w:firstLineChars="0"/>
        <w:jc w:val="both"/>
        <w:outlineLvl w:val="1"/>
        <w:rPr>
          <w:rFonts w:hint="eastAsia" w:ascii="宋体" w:hAnsi="宋体" w:eastAsia="宋体" w:cs="宋体"/>
          <w:b/>
          <w:bCs/>
          <w:kern w:val="2"/>
          <w:sz w:val="21"/>
          <w:szCs w:val="21"/>
          <w:shd w:val="clear" w:color="050000" w:fill="auto"/>
          <w:lang w:val="en-US" w:eastAsia="zh-CN" w:bidi="ar-SA"/>
        </w:rPr>
      </w:pPr>
      <w:bookmarkStart w:id="103" w:name="_Toc2921"/>
      <w:bookmarkStart w:id="104" w:name="_Toc536513595"/>
      <w:bookmarkStart w:id="105" w:name="_Toc2196756"/>
      <w:r>
        <w:rPr>
          <w:rFonts w:hint="eastAsia" w:ascii="宋体" w:hAnsi="宋体" w:eastAsia="宋体" w:cs="宋体"/>
          <w:b/>
          <w:bCs/>
          <w:kern w:val="2"/>
          <w:sz w:val="21"/>
          <w:szCs w:val="21"/>
          <w:shd w:val="clear" w:color="050000" w:fill="auto"/>
          <w:lang w:val="en-US" w:eastAsia="zh-CN" w:bidi="ar-SA"/>
        </w:rPr>
        <w:t>安全文明生产</w:t>
      </w:r>
      <w:bookmarkEnd w:id="103"/>
      <w:bookmarkEnd w:id="104"/>
      <w:bookmarkEnd w:id="105"/>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5.2.1在工程最终验收之前的整个施工期内，</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必须制定并采取一切必要的措施，保证工程现场施工安全，维护工地正常生产、生活秩序。</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必须遵守国家颁布的有关安全规程，对于不符合我国法律、法令、安全规程及本合同规定的事故隐患，</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有权进行干预，如发生重大安全事故，</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必须按国家的有关法规及时通知</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和有关上级主管部门，并按《工程建设重大事故报告和调查程序规定》执行。</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应对因违反安全规程造成的责任事故承担责任，而不应为此增加</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支付费用或延迟施工进度。</w:t>
      </w:r>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5.2.2</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各项临时设施，堆放大宗货物、成品、半成品和机具设备，不得侵占紧急疏散通道及安全防护等设施。</w:t>
      </w:r>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5.2.3施工现场的用电线路、用电设施的安装和使用必须符合相关安装规范和安全操作规程并按照施工组织设计进行架设，严禁任意拉线接电。</w:t>
      </w:r>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5.2.4施工机械进场必须经过安全检查，经检查合格的方能使用。施工机械操作人员必须建立机组责任制，并依照有关规定持证上岗，禁止无证人员操作。</w:t>
      </w:r>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5.2.5凡属</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雇用的现场工作人员，</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必须根据作业种类和特点并按照国家的劳动保护法发给相应的劳保用品。</w:t>
      </w:r>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5.2.6</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应当做好施工现场安全保卫工作，采取必要的防盗措施，在现场周边设立维护设施。非施工人员不得擅自进入施工现场。</w:t>
      </w:r>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5.2.7</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应当严格依照《中华人民共和国消防条例》的规定，在施工现场建立并执行防火管理制度，设置符合消防要求的消防设施，使用易燃易爆器材时，</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应当采取特殊的消防安全措施。</w:t>
      </w:r>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5.2.8施工现场发生的工程建设重大事故的处理，依照《工程建设重大事故报告和调查程序规定》执行。</w:t>
      </w:r>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5.2.9为加强地铁工程现场文明施工管理，提高文明施工水平，创建文明工地；维护市容整洁和城市安全，使文明施工规范化、标准化、制度化：</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应当认真贯彻文明施工的要求，推行现代管理方法，科学组织施工，做好整个正线现场文明施工的各项管理工作并承担责任。</w:t>
      </w:r>
    </w:p>
    <w:p>
      <w:pPr>
        <w:widowControl w:val="0"/>
        <w:numPr>
          <w:ilvl w:val="0"/>
          <w:numId w:val="17"/>
        </w:numPr>
        <w:shd w:val="clear"/>
        <w:spacing w:line="360" w:lineRule="auto"/>
        <w:ind w:left="840" w:hanging="420" w:firstLineChars="0"/>
        <w:jc w:val="both"/>
        <w:outlineLvl w:val="1"/>
        <w:rPr>
          <w:rFonts w:hint="eastAsia" w:ascii="宋体" w:hAnsi="宋体" w:eastAsia="宋体" w:cs="宋体"/>
          <w:b/>
          <w:bCs/>
          <w:kern w:val="2"/>
          <w:sz w:val="21"/>
          <w:szCs w:val="21"/>
          <w:shd w:val="clear" w:color="050000" w:fill="auto"/>
          <w:lang w:val="en-US" w:eastAsia="zh-CN" w:bidi="ar-SA"/>
        </w:rPr>
      </w:pPr>
      <w:bookmarkStart w:id="106" w:name="_Toc536513596"/>
      <w:bookmarkStart w:id="107" w:name="_Toc2154"/>
      <w:bookmarkStart w:id="108" w:name="_Toc2196757"/>
      <w:r>
        <w:rPr>
          <w:rFonts w:hint="eastAsia" w:ascii="宋体" w:hAnsi="宋体" w:eastAsia="宋体" w:cs="宋体"/>
          <w:b/>
          <w:bCs/>
          <w:kern w:val="2"/>
          <w:sz w:val="21"/>
          <w:szCs w:val="21"/>
          <w:shd w:val="clear" w:color="050000" w:fill="auto"/>
          <w:lang w:val="en-US" w:eastAsia="zh-CN" w:bidi="ar-SA"/>
        </w:rPr>
        <w:t>项目组织机构及人员要求</w:t>
      </w:r>
      <w:bookmarkEnd w:id="106"/>
      <w:bookmarkEnd w:id="107"/>
      <w:bookmarkEnd w:id="108"/>
    </w:p>
    <w:p>
      <w:pPr>
        <w:widowControl w:val="0"/>
        <w:numPr>
          <w:ilvl w:val="0"/>
          <w:numId w:val="18"/>
        </w:numPr>
        <w:shd w:val="clear"/>
        <w:spacing w:line="360" w:lineRule="auto"/>
        <w:ind w:left="420" w:hanging="420" w:firstLineChars="0"/>
        <w:jc w:val="both"/>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kern w:val="2"/>
          <w:sz w:val="21"/>
          <w:szCs w:val="21"/>
          <w:shd w:val="clear" w:color="050000" w:fill="auto"/>
          <w:lang w:val="en-US" w:eastAsia="zh-CN" w:bidi="ar-SA"/>
        </w:rPr>
        <w:t>项目组织机构</w:t>
      </w:r>
    </w:p>
    <w:p>
      <w:pPr>
        <w:shd w:val="clear"/>
        <w:spacing w:line="360" w:lineRule="auto"/>
        <w:ind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应根据本项目的具体情况，需在长沙成立相应的项目组，配备固定的人员、制定项目计划，并服从</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单位的管理，使整个项目得以顺利实施。</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至少需在响应文件中明确项目负责人和项目技术负责人。</w:t>
      </w:r>
    </w:p>
    <w:p>
      <w:pPr>
        <w:widowControl w:val="0"/>
        <w:numPr>
          <w:ilvl w:val="0"/>
          <w:numId w:val="18"/>
        </w:numPr>
        <w:shd w:val="clear"/>
        <w:spacing w:line="360" w:lineRule="auto"/>
        <w:ind w:left="420" w:hanging="420" w:firstLineChars="0"/>
        <w:jc w:val="both"/>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kern w:val="2"/>
          <w:sz w:val="21"/>
          <w:szCs w:val="21"/>
          <w:shd w:val="clear" w:color="050000" w:fill="auto"/>
          <w:lang w:val="en-US" w:eastAsia="zh-CN" w:bidi="ar-SA"/>
        </w:rPr>
        <w:t>项目基本要求</w:t>
      </w:r>
    </w:p>
    <w:p>
      <w:pPr>
        <w:shd w:val="clear"/>
        <w:spacing w:line="500" w:lineRule="exact"/>
        <w:ind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为本项目提供完整的施工安装的劳动力、设备、工具和器材。除特别声明，</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的费用应包含：为完成本用户需求文件要求的在实施过程中所有可能发生的费用，项目实施过程中所需的一切人工、物耗、临设、工具、设备、用水、用电、保安、保险、货物运杂费和所有可能发生的相关费用均由</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承担，所有费用计入投标总价。</w:t>
      </w:r>
    </w:p>
    <w:p>
      <w:pPr>
        <w:widowControl w:val="0"/>
        <w:numPr>
          <w:ilvl w:val="0"/>
          <w:numId w:val="19"/>
        </w:numPr>
        <w:shd w:val="clear"/>
        <w:spacing w:line="500" w:lineRule="exact"/>
        <w:ind w:left="420" w:hanging="420" w:firstLineChars="0"/>
        <w:jc w:val="both"/>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kern w:val="2"/>
          <w:sz w:val="21"/>
          <w:szCs w:val="21"/>
          <w:shd w:val="clear" w:color="050000" w:fill="auto"/>
          <w:lang w:val="en-US" w:eastAsia="zh-CN" w:bidi="ar-SA"/>
        </w:rPr>
        <w:t xml:space="preserve">谈判单位应对本项目的施工及安装的质量和施工工期负责，对其施工及安装人员引起的工期延误负完全责任。 </w:t>
      </w:r>
    </w:p>
    <w:p>
      <w:pPr>
        <w:widowControl w:val="0"/>
        <w:numPr>
          <w:ilvl w:val="0"/>
          <w:numId w:val="19"/>
        </w:numPr>
        <w:shd w:val="clear"/>
        <w:spacing w:line="500" w:lineRule="exact"/>
        <w:ind w:left="420" w:hanging="420" w:firstLineChars="0"/>
        <w:jc w:val="both"/>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kern w:val="2"/>
          <w:sz w:val="21"/>
          <w:szCs w:val="21"/>
          <w:shd w:val="clear" w:color="050000" w:fill="auto"/>
          <w:lang w:val="en-US" w:eastAsia="zh-CN" w:bidi="ar-SA"/>
        </w:rPr>
        <w:t>谈判单位必须完成各阶段的工作（包括安装、调试、测试、验收和质保服务），应承诺能够确保提供的设备、材料满足本项目及用户需求书的所有要求。</w:t>
      </w:r>
    </w:p>
    <w:p>
      <w:pPr>
        <w:widowControl w:val="0"/>
        <w:numPr>
          <w:ilvl w:val="0"/>
          <w:numId w:val="19"/>
        </w:numPr>
        <w:shd w:val="clear"/>
        <w:spacing w:line="500" w:lineRule="exact"/>
        <w:ind w:left="420" w:hanging="420" w:firstLineChars="0"/>
        <w:jc w:val="both"/>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kern w:val="2"/>
          <w:sz w:val="21"/>
          <w:szCs w:val="21"/>
          <w:shd w:val="clear" w:color="050000" w:fill="auto"/>
          <w:lang w:val="en-US" w:eastAsia="zh-CN" w:bidi="ar-SA"/>
        </w:rPr>
        <w:t>谈判单位应在本项目的土建条件和工程环境下提供本项目所有设备的施工及安装工作。未经允许，不得破坏本项目现场任何相关条件。</w:t>
      </w:r>
    </w:p>
    <w:p>
      <w:pPr>
        <w:widowControl w:val="0"/>
        <w:numPr>
          <w:ilvl w:val="0"/>
          <w:numId w:val="19"/>
        </w:numPr>
        <w:shd w:val="clear"/>
        <w:spacing w:line="500" w:lineRule="exact"/>
        <w:ind w:left="420" w:hanging="420" w:firstLineChars="0"/>
        <w:jc w:val="both"/>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kern w:val="2"/>
          <w:sz w:val="21"/>
          <w:szCs w:val="21"/>
          <w:shd w:val="clear" w:color="050000" w:fill="auto"/>
          <w:lang w:val="en-US" w:eastAsia="zh-CN" w:bidi="ar-SA"/>
        </w:rPr>
        <w:t>谈判单位在本项目所有的施工安装作业必须接受质量监督和检查。</w:t>
      </w:r>
    </w:p>
    <w:p>
      <w:pPr>
        <w:widowControl w:val="0"/>
        <w:numPr>
          <w:ilvl w:val="0"/>
          <w:numId w:val="19"/>
        </w:numPr>
        <w:shd w:val="clear"/>
        <w:spacing w:line="500" w:lineRule="exact"/>
        <w:ind w:left="420" w:hanging="420" w:firstLineChars="0"/>
        <w:jc w:val="both"/>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kern w:val="2"/>
          <w:sz w:val="21"/>
          <w:szCs w:val="21"/>
          <w:shd w:val="clear" w:color="050000" w:fill="auto"/>
          <w:lang w:val="en-US" w:eastAsia="zh-CN" w:bidi="ar-SA"/>
        </w:rPr>
        <w:t>谈判单位应按采购方提出的要求提供必要的各类人员上岗证书或资格证明。</w:t>
      </w:r>
    </w:p>
    <w:p>
      <w:pPr>
        <w:widowControl w:val="0"/>
        <w:numPr>
          <w:ilvl w:val="0"/>
          <w:numId w:val="19"/>
        </w:numPr>
        <w:shd w:val="clear"/>
        <w:spacing w:line="500" w:lineRule="exact"/>
        <w:ind w:left="420" w:hanging="420" w:firstLineChars="0"/>
        <w:jc w:val="both"/>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kern w:val="2"/>
          <w:sz w:val="21"/>
          <w:szCs w:val="21"/>
          <w:shd w:val="clear" w:color="050000" w:fill="auto"/>
          <w:lang w:val="en-US" w:eastAsia="zh-CN" w:bidi="ar-SA"/>
        </w:rPr>
        <w:t>谈判单位应执行采</w:t>
      </w:r>
      <w:r>
        <w:rPr>
          <w:rFonts w:hint="eastAsia" w:ascii="宋体" w:hAnsi="宋体" w:eastAsia="宋体" w:cs="宋体"/>
          <w:kern w:val="2"/>
          <w:sz w:val="21"/>
          <w:szCs w:val="21"/>
          <w:highlight w:val="none"/>
          <w:shd w:val="clear" w:color="050000" w:fill="auto"/>
          <w:lang w:val="en-US" w:eastAsia="zh-CN" w:bidi="ar-SA"/>
        </w:rPr>
        <w:t>购方制定的有关</w:t>
      </w:r>
      <w:r>
        <w:rPr>
          <w:rFonts w:hint="eastAsia" w:ascii="宋体" w:hAnsi="宋体" w:eastAsia="宋体" w:cs="宋体"/>
          <w:kern w:val="2"/>
          <w:sz w:val="21"/>
          <w:szCs w:val="21"/>
          <w:shd w:val="clear" w:color="050000" w:fill="auto"/>
          <w:lang w:val="en-US" w:eastAsia="zh-CN" w:bidi="ar-SA"/>
        </w:rPr>
        <w:t>施工管理制度。</w:t>
      </w:r>
    </w:p>
    <w:p>
      <w:pPr>
        <w:widowControl w:val="0"/>
        <w:numPr>
          <w:ilvl w:val="0"/>
          <w:numId w:val="19"/>
        </w:numPr>
        <w:shd w:val="clear"/>
        <w:spacing w:line="500" w:lineRule="exact"/>
        <w:ind w:left="420" w:hanging="420" w:firstLineChars="0"/>
        <w:jc w:val="both"/>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kern w:val="2"/>
          <w:sz w:val="21"/>
          <w:szCs w:val="21"/>
          <w:shd w:val="clear" w:color="050000" w:fill="auto"/>
          <w:lang w:val="en-US" w:eastAsia="zh-CN" w:bidi="ar-SA"/>
        </w:rPr>
        <w:t>谈判单位应承诺为了满足用户需求书要求，所涉及的硬件、软件的变动，服务的增加，不增加任何费用。</w:t>
      </w:r>
    </w:p>
    <w:p>
      <w:pPr>
        <w:widowControl w:val="0"/>
        <w:numPr>
          <w:ilvl w:val="0"/>
          <w:numId w:val="17"/>
        </w:numPr>
        <w:shd w:val="clear"/>
        <w:spacing w:line="360" w:lineRule="auto"/>
        <w:ind w:left="840" w:hanging="420" w:firstLineChars="0"/>
        <w:jc w:val="both"/>
        <w:outlineLvl w:val="1"/>
        <w:rPr>
          <w:rFonts w:hint="eastAsia" w:ascii="宋体" w:hAnsi="宋体" w:eastAsia="宋体" w:cs="宋体"/>
          <w:b/>
          <w:bCs/>
          <w:kern w:val="2"/>
          <w:sz w:val="21"/>
          <w:szCs w:val="21"/>
          <w:shd w:val="clear" w:color="050000" w:fill="auto"/>
          <w:lang w:val="en-US" w:eastAsia="zh-CN" w:bidi="ar-SA"/>
        </w:rPr>
      </w:pPr>
      <w:bookmarkStart w:id="109" w:name="_Toc2196758"/>
      <w:bookmarkStart w:id="110" w:name="_Toc29582"/>
      <w:bookmarkStart w:id="111" w:name="_Toc536513597"/>
      <w:r>
        <w:rPr>
          <w:rFonts w:hint="eastAsia" w:ascii="宋体" w:hAnsi="宋体" w:eastAsia="宋体" w:cs="宋体"/>
          <w:b/>
          <w:bCs/>
          <w:kern w:val="2"/>
          <w:sz w:val="21"/>
          <w:szCs w:val="21"/>
          <w:shd w:val="clear" w:color="050000" w:fill="auto"/>
          <w:lang w:val="en-US" w:eastAsia="zh-CN" w:bidi="ar-SA"/>
        </w:rPr>
        <w:t>施工准备</w:t>
      </w:r>
      <w:bookmarkEnd w:id="109"/>
      <w:bookmarkEnd w:id="110"/>
      <w:bookmarkEnd w:id="111"/>
    </w:p>
    <w:p>
      <w:pPr>
        <w:shd w:val="clear"/>
        <w:spacing w:line="360" w:lineRule="auto"/>
        <w:ind w:firstLine="48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在正式开工之前，应做好以下施工技术准备工作：</w:t>
      </w:r>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5.4.1熟悉施工现场、文件及技术交底。</w:t>
      </w:r>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5.4.2组建施工管理机构和相应的专业施工队伍，并进行进场前的教育。</w:t>
      </w:r>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5.4.3编制设备和材料供应计划并做好供应安排。</w:t>
      </w:r>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5.4.4组织施工及工程机械设备和货物进场。</w:t>
      </w:r>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5.4.5</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在进场之前，所有投入施工的车辆、机具、设备、仪器仪表必须到位，和投标文件中所提供的数量、规格、性能一致。所有投入施工的特种车辆、机具、设备、仪器仪表必须质量合格，已通过相关权威部门的检验、审查。</w:t>
      </w:r>
    </w:p>
    <w:p>
      <w:pPr>
        <w:widowControl w:val="0"/>
        <w:numPr>
          <w:ilvl w:val="0"/>
          <w:numId w:val="17"/>
        </w:numPr>
        <w:shd w:val="clear"/>
        <w:spacing w:line="360" w:lineRule="auto"/>
        <w:ind w:left="840" w:hanging="420" w:firstLineChars="0"/>
        <w:jc w:val="both"/>
        <w:outlineLvl w:val="1"/>
        <w:rPr>
          <w:rFonts w:hint="eastAsia" w:ascii="宋体" w:hAnsi="宋体" w:eastAsia="宋体" w:cs="宋体"/>
          <w:b/>
          <w:bCs/>
          <w:kern w:val="2"/>
          <w:sz w:val="21"/>
          <w:szCs w:val="21"/>
          <w:shd w:val="clear" w:color="050000" w:fill="auto"/>
          <w:lang w:val="en-US" w:eastAsia="zh-CN" w:bidi="ar-SA"/>
        </w:rPr>
      </w:pPr>
      <w:bookmarkStart w:id="112" w:name="_Toc32543"/>
      <w:bookmarkStart w:id="113" w:name="_Toc2196759"/>
      <w:bookmarkStart w:id="114" w:name="_Toc536513598"/>
      <w:r>
        <w:rPr>
          <w:rFonts w:hint="eastAsia" w:ascii="宋体" w:hAnsi="宋体" w:eastAsia="宋体" w:cs="宋体"/>
          <w:b/>
          <w:bCs/>
          <w:kern w:val="2"/>
          <w:sz w:val="21"/>
          <w:szCs w:val="21"/>
          <w:shd w:val="clear" w:color="050000" w:fill="auto"/>
          <w:lang w:val="en-US" w:eastAsia="zh-CN" w:bidi="ar-SA"/>
        </w:rPr>
        <w:t>工期及进度管理</w:t>
      </w:r>
      <w:bookmarkEnd w:id="112"/>
      <w:bookmarkEnd w:id="113"/>
      <w:bookmarkEnd w:id="114"/>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5.5.1 工期</w:t>
      </w:r>
    </w:p>
    <w:p>
      <w:pPr>
        <w:shd w:val="clear"/>
        <w:spacing w:line="360" w:lineRule="auto"/>
        <w:ind w:firstLine="48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合同签订后</w:t>
      </w:r>
      <w:r>
        <w:rPr>
          <w:rFonts w:hint="eastAsia" w:ascii="宋体" w:hAnsi="宋体" w:eastAsia="宋体" w:cs="宋体"/>
          <w:sz w:val="21"/>
          <w:szCs w:val="21"/>
          <w:u w:val="single"/>
          <w:shd w:val="clear" w:color="050000" w:fill="auto"/>
        </w:rPr>
        <w:t>60</w:t>
      </w:r>
      <w:r>
        <w:rPr>
          <w:rFonts w:hint="eastAsia" w:ascii="宋体" w:hAnsi="宋体" w:eastAsia="宋体" w:cs="宋体"/>
          <w:sz w:val="21"/>
          <w:szCs w:val="21"/>
          <w:shd w:val="clear" w:color="050000" w:fill="auto"/>
        </w:rPr>
        <w:t>天内完成此项目所有施工及调试，具备验收条件。</w:t>
      </w:r>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5.5.2 工程进度</w:t>
      </w:r>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5.5.2.1</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在收到开工通知后，应在合理的时间内尽早开工，不延迟施工进度。</w:t>
      </w:r>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5.5.2.2为达到工期目标，</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必须采取一切措施保证如期完成，不得延误。</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单位</w:t>
      </w:r>
      <w:r>
        <w:rPr>
          <w:rFonts w:hint="eastAsia" w:ascii="宋体" w:hAnsi="宋体" w:eastAsia="宋体" w:cs="宋体"/>
          <w:sz w:val="21"/>
          <w:szCs w:val="21"/>
          <w:shd w:val="clear" w:color="050000" w:fill="auto"/>
          <w:lang w:eastAsia="zh-CN"/>
        </w:rPr>
        <w:t>可</w:t>
      </w:r>
      <w:r>
        <w:rPr>
          <w:rFonts w:hint="eastAsia" w:ascii="宋体" w:hAnsi="宋体" w:eastAsia="宋体" w:cs="宋体"/>
          <w:sz w:val="21"/>
          <w:szCs w:val="21"/>
          <w:shd w:val="clear" w:color="050000" w:fill="auto"/>
        </w:rPr>
        <w:t>要求</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加快进度或修改原施工计划</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不得因此而向</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单位提出任何的补偿。</w:t>
      </w:r>
    </w:p>
    <w:p>
      <w:pPr>
        <w:widowControl w:val="0"/>
        <w:numPr>
          <w:ilvl w:val="0"/>
          <w:numId w:val="17"/>
        </w:numPr>
        <w:shd w:val="clear"/>
        <w:spacing w:line="360" w:lineRule="auto"/>
        <w:ind w:left="840" w:hanging="420" w:firstLineChars="0"/>
        <w:jc w:val="both"/>
        <w:outlineLvl w:val="1"/>
        <w:rPr>
          <w:rFonts w:hint="eastAsia" w:ascii="宋体" w:hAnsi="宋体" w:eastAsia="宋体" w:cs="宋体"/>
          <w:b/>
          <w:bCs/>
          <w:kern w:val="2"/>
          <w:sz w:val="21"/>
          <w:szCs w:val="21"/>
          <w:lang w:val="en-US" w:eastAsia="zh-CN" w:bidi="ar-SA"/>
        </w:rPr>
      </w:pPr>
      <w:bookmarkStart w:id="115" w:name="_Toc23329"/>
      <w:bookmarkStart w:id="116" w:name="_Toc2196760"/>
      <w:bookmarkStart w:id="117" w:name="_Toc536513599"/>
      <w:r>
        <w:rPr>
          <w:rFonts w:hint="eastAsia" w:ascii="宋体" w:hAnsi="宋体" w:eastAsia="宋体" w:cs="宋体"/>
          <w:b/>
          <w:bCs/>
          <w:kern w:val="2"/>
          <w:sz w:val="21"/>
          <w:szCs w:val="21"/>
          <w:lang w:val="en-US" w:eastAsia="zh-CN" w:bidi="ar-SA"/>
        </w:rPr>
        <w:t>成品保护</w:t>
      </w:r>
      <w:bookmarkEnd w:id="115"/>
      <w:bookmarkEnd w:id="116"/>
      <w:bookmarkEnd w:id="117"/>
    </w:p>
    <w:p>
      <w:pPr>
        <w:shd w:val="clear"/>
        <w:spacing w:line="360" w:lineRule="auto"/>
        <w:ind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施工期间以及施工结束后需对已安装设备设施进行成品保护。</w:t>
      </w:r>
    </w:p>
    <w:p>
      <w:pPr>
        <w:widowControl w:val="0"/>
        <w:numPr>
          <w:ilvl w:val="0"/>
          <w:numId w:val="17"/>
        </w:numPr>
        <w:shd w:val="clear"/>
        <w:spacing w:line="360" w:lineRule="auto"/>
        <w:ind w:left="840" w:hanging="420" w:firstLineChars="0"/>
        <w:jc w:val="both"/>
        <w:outlineLvl w:val="1"/>
        <w:rPr>
          <w:rFonts w:hint="eastAsia" w:ascii="宋体" w:hAnsi="宋体" w:eastAsia="宋体" w:cs="宋体"/>
          <w:b/>
          <w:bCs/>
          <w:kern w:val="2"/>
          <w:sz w:val="21"/>
          <w:szCs w:val="21"/>
          <w:lang w:val="en-US" w:eastAsia="zh-CN" w:bidi="ar-SA"/>
        </w:rPr>
      </w:pPr>
      <w:bookmarkStart w:id="118" w:name="_Toc2196761"/>
      <w:bookmarkEnd w:id="118"/>
      <w:bookmarkStart w:id="119" w:name="_Toc2196766"/>
      <w:bookmarkEnd w:id="119"/>
      <w:bookmarkStart w:id="120" w:name="_Toc2196765"/>
      <w:bookmarkEnd w:id="120"/>
      <w:bookmarkStart w:id="121" w:name="_Toc2196762"/>
      <w:bookmarkEnd w:id="121"/>
      <w:bookmarkStart w:id="122" w:name="_Toc2196763"/>
      <w:bookmarkEnd w:id="122"/>
      <w:bookmarkStart w:id="123" w:name="_Toc2196764"/>
      <w:bookmarkEnd w:id="123"/>
      <w:bookmarkStart w:id="124" w:name="_Toc23016"/>
      <w:bookmarkStart w:id="125" w:name="_Toc2196767"/>
      <w:bookmarkStart w:id="126" w:name="_Toc536513600"/>
      <w:r>
        <w:rPr>
          <w:rFonts w:hint="eastAsia" w:ascii="宋体" w:hAnsi="宋体" w:eastAsia="宋体" w:cs="宋体"/>
          <w:b/>
          <w:bCs/>
          <w:kern w:val="2"/>
          <w:sz w:val="21"/>
          <w:szCs w:val="21"/>
          <w:lang w:val="en-US" w:eastAsia="zh-CN" w:bidi="ar-SA"/>
        </w:rPr>
        <w:t>应急抢险救援</w:t>
      </w:r>
      <w:bookmarkEnd w:id="124"/>
      <w:bookmarkEnd w:id="125"/>
      <w:bookmarkEnd w:id="126"/>
    </w:p>
    <w:p>
      <w:pPr>
        <w:widowControl w:val="0"/>
        <w:shd w:val="clear"/>
        <w:spacing w:line="360" w:lineRule="auto"/>
        <w:ind w:firstLine="315" w:firstLineChars="15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在质量保修期内，当发生故障或者缺陷时，谈判单位应立即配合运营抢修，此费用已包括在合同价内。</w:t>
      </w:r>
    </w:p>
    <w:p>
      <w:pPr>
        <w:numPr>
          <w:ilvl w:val="255"/>
          <w:numId w:val="0"/>
        </w:numPr>
        <w:shd w:val="clear"/>
        <w:spacing w:line="360" w:lineRule="auto"/>
        <w:ind w:left="420"/>
        <w:rPr>
          <w:rFonts w:hint="eastAsia" w:ascii="宋体" w:hAnsi="宋体" w:eastAsia="宋体" w:cs="宋体"/>
          <w:sz w:val="21"/>
          <w:szCs w:val="21"/>
        </w:rPr>
      </w:pPr>
    </w:p>
    <w:p>
      <w:pPr>
        <w:keepNext/>
        <w:keepLines/>
        <w:widowControl w:val="0"/>
        <w:numPr>
          <w:ilvl w:val="0"/>
          <w:numId w:val="6"/>
        </w:numPr>
        <w:shd w:val="clear"/>
        <w:spacing w:line="180" w:lineRule="auto"/>
        <w:ind w:left="420" w:hanging="420"/>
        <w:jc w:val="both"/>
        <w:outlineLvl w:val="0"/>
        <w:rPr>
          <w:rFonts w:hint="eastAsia" w:ascii="宋体" w:hAnsi="宋体" w:eastAsia="宋体" w:cs="宋体"/>
          <w:b/>
          <w:bCs/>
          <w:kern w:val="44"/>
          <w:sz w:val="21"/>
          <w:szCs w:val="21"/>
          <w:lang w:val="en-US" w:eastAsia="zh-CN" w:bidi="ar-SA"/>
        </w:rPr>
      </w:pPr>
      <w:bookmarkStart w:id="127" w:name="_Toc2196768"/>
      <w:bookmarkEnd w:id="127"/>
      <w:bookmarkStart w:id="128" w:name="_Toc2196769"/>
      <w:bookmarkStart w:id="129" w:name="_Toc536513601"/>
      <w:bookmarkStart w:id="130" w:name="_Toc14433"/>
      <w:r>
        <w:rPr>
          <w:rFonts w:hint="eastAsia" w:ascii="宋体" w:hAnsi="宋体" w:eastAsia="宋体" w:cs="宋体"/>
          <w:b/>
          <w:bCs/>
          <w:kern w:val="44"/>
          <w:sz w:val="21"/>
          <w:szCs w:val="21"/>
          <w:lang w:val="en-US" w:eastAsia="zh-CN" w:bidi="ar-SA"/>
        </w:rPr>
        <w:t>工程验收与交付</w:t>
      </w:r>
      <w:bookmarkEnd w:id="128"/>
      <w:bookmarkEnd w:id="129"/>
      <w:bookmarkEnd w:id="130"/>
    </w:p>
    <w:p>
      <w:pPr>
        <w:widowControl w:val="0"/>
        <w:numPr>
          <w:ilvl w:val="0"/>
          <w:numId w:val="20"/>
        </w:numPr>
        <w:shd w:val="clear"/>
        <w:spacing w:line="360" w:lineRule="auto"/>
        <w:ind w:left="840" w:hanging="420" w:firstLineChars="0"/>
        <w:jc w:val="both"/>
        <w:outlineLvl w:val="1"/>
        <w:rPr>
          <w:rFonts w:hint="eastAsia" w:ascii="宋体" w:hAnsi="宋体" w:eastAsia="宋体" w:cs="宋体"/>
          <w:b/>
          <w:bCs/>
          <w:kern w:val="2"/>
          <w:sz w:val="21"/>
          <w:szCs w:val="21"/>
          <w:shd w:val="clear" w:color="050000" w:fill="auto"/>
          <w:lang w:val="en-US" w:eastAsia="zh-CN" w:bidi="ar-SA"/>
        </w:rPr>
      </w:pPr>
      <w:r>
        <w:rPr>
          <w:rFonts w:hint="eastAsia" w:ascii="宋体" w:hAnsi="宋体" w:eastAsia="宋体" w:cs="宋体"/>
          <w:b/>
          <w:bCs/>
          <w:kern w:val="2"/>
          <w:sz w:val="21"/>
          <w:szCs w:val="21"/>
          <w:shd w:val="clear" w:color="050000" w:fill="auto"/>
          <w:lang w:val="en-US" w:eastAsia="zh-CN" w:bidi="ar-SA"/>
        </w:rPr>
        <w:t xml:space="preserve"> </w:t>
      </w:r>
      <w:bookmarkStart w:id="131" w:name="_Toc2196770"/>
      <w:bookmarkStart w:id="132" w:name="_Toc4858"/>
      <w:bookmarkStart w:id="133" w:name="_Toc536513602"/>
      <w:r>
        <w:rPr>
          <w:rFonts w:hint="eastAsia" w:ascii="宋体" w:hAnsi="宋体" w:eastAsia="宋体" w:cs="宋体"/>
          <w:b/>
          <w:bCs/>
          <w:kern w:val="2"/>
          <w:sz w:val="21"/>
          <w:szCs w:val="21"/>
          <w:shd w:val="clear" w:color="050000" w:fill="auto"/>
          <w:lang w:val="en-US" w:eastAsia="zh-CN" w:bidi="ar-SA"/>
        </w:rPr>
        <w:t>验收标准</w:t>
      </w:r>
      <w:bookmarkEnd w:id="131"/>
      <w:bookmarkEnd w:id="132"/>
      <w:bookmarkEnd w:id="133"/>
    </w:p>
    <w:p>
      <w:pPr>
        <w:widowControl w:val="0"/>
        <w:numPr>
          <w:ilvl w:val="255"/>
          <w:numId w:val="0"/>
        </w:numPr>
        <w:shd w:val="clear"/>
        <w:spacing w:line="360" w:lineRule="auto"/>
        <w:ind w:firstLine="420" w:firstLineChars="200"/>
        <w:jc w:val="both"/>
        <w:outlineLvl w:val="9"/>
        <w:rPr>
          <w:rFonts w:hint="eastAsia" w:ascii="宋体" w:hAnsi="宋体" w:eastAsia="宋体" w:cs="宋体"/>
          <w:kern w:val="2"/>
          <w:sz w:val="21"/>
          <w:szCs w:val="21"/>
          <w:shd w:val="clear" w:color="050000" w:fill="auto"/>
          <w:lang w:val="en-US" w:eastAsia="zh-CN" w:bidi="ar-SA"/>
        </w:rPr>
      </w:pPr>
      <w:bookmarkStart w:id="134" w:name="_Toc2196771"/>
      <w:bookmarkStart w:id="135" w:name="_Toc4084"/>
      <w:bookmarkStart w:id="136" w:name="_Toc8050713"/>
      <w:bookmarkStart w:id="137" w:name="_Toc10916"/>
      <w:bookmarkStart w:id="138" w:name="_Toc30978"/>
      <w:r>
        <w:rPr>
          <w:rFonts w:hint="eastAsia" w:ascii="宋体" w:hAnsi="宋体" w:eastAsia="宋体" w:cs="宋体"/>
          <w:kern w:val="2"/>
          <w:sz w:val="21"/>
          <w:szCs w:val="21"/>
          <w:shd w:val="clear" w:color="050000" w:fill="auto"/>
          <w:lang w:val="en-US" w:eastAsia="zh-CN" w:bidi="ar-SA"/>
        </w:rPr>
        <w:t>在满足技术要求的基础上，按照本需求书第三节工程技术要求对该项目进行验收，其它未尽事宜以国家或行业现行标准为准。</w:t>
      </w:r>
      <w:bookmarkEnd w:id="134"/>
      <w:bookmarkEnd w:id="135"/>
      <w:bookmarkEnd w:id="136"/>
      <w:bookmarkEnd w:id="137"/>
      <w:bookmarkEnd w:id="138"/>
    </w:p>
    <w:p>
      <w:pPr>
        <w:widowControl w:val="0"/>
        <w:numPr>
          <w:ilvl w:val="0"/>
          <w:numId w:val="20"/>
        </w:numPr>
        <w:shd w:val="clear"/>
        <w:spacing w:line="360" w:lineRule="auto"/>
        <w:ind w:left="840" w:hanging="420" w:firstLineChars="0"/>
        <w:jc w:val="both"/>
        <w:outlineLvl w:val="1"/>
        <w:rPr>
          <w:rFonts w:hint="eastAsia" w:ascii="宋体" w:hAnsi="宋体" w:eastAsia="宋体" w:cs="宋体"/>
          <w:b/>
          <w:bCs/>
          <w:kern w:val="2"/>
          <w:sz w:val="21"/>
          <w:szCs w:val="21"/>
          <w:shd w:val="clear" w:color="050000" w:fill="auto"/>
          <w:lang w:val="en-US" w:eastAsia="zh-CN" w:bidi="ar-SA"/>
        </w:rPr>
      </w:pPr>
      <w:bookmarkStart w:id="139" w:name="_Toc2196780"/>
      <w:bookmarkEnd w:id="139"/>
      <w:bookmarkStart w:id="140" w:name="_Toc2196781"/>
      <w:bookmarkEnd w:id="140"/>
      <w:bookmarkStart w:id="141" w:name="_Toc2196778"/>
      <w:bookmarkEnd w:id="141"/>
      <w:bookmarkStart w:id="142" w:name="_Toc2196777"/>
      <w:bookmarkEnd w:id="142"/>
      <w:bookmarkStart w:id="143" w:name="_Toc2196779"/>
      <w:bookmarkEnd w:id="143"/>
      <w:bookmarkStart w:id="144" w:name="_Toc2196774"/>
      <w:bookmarkEnd w:id="144"/>
      <w:bookmarkStart w:id="145" w:name="_Toc2196773"/>
      <w:bookmarkEnd w:id="145"/>
      <w:bookmarkStart w:id="146" w:name="_Toc2196775"/>
      <w:bookmarkEnd w:id="146"/>
      <w:bookmarkStart w:id="147" w:name="_Toc2196772"/>
      <w:bookmarkEnd w:id="147"/>
      <w:bookmarkStart w:id="148" w:name="_Toc2196776"/>
      <w:bookmarkEnd w:id="148"/>
      <w:bookmarkStart w:id="149" w:name="_Toc2196782"/>
      <w:bookmarkStart w:id="150" w:name="_Toc19926"/>
      <w:bookmarkStart w:id="151" w:name="_Toc536513603"/>
      <w:r>
        <w:rPr>
          <w:rFonts w:hint="eastAsia" w:ascii="宋体" w:hAnsi="宋体" w:eastAsia="宋体" w:cs="宋体"/>
          <w:b/>
          <w:bCs/>
          <w:kern w:val="2"/>
          <w:sz w:val="21"/>
          <w:szCs w:val="21"/>
          <w:shd w:val="clear" w:color="050000" w:fill="auto"/>
          <w:lang w:val="en-US" w:eastAsia="zh-CN" w:bidi="ar-SA"/>
        </w:rPr>
        <w:t>验收程序</w:t>
      </w:r>
      <w:bookmarkEnd w:id="149"/>
      <w:bookmarkEnd w:id="150"/>
      <w:bookmarkEnd w:id="151"/>
    </w:p>
    <w:p>
      <w:pPr>
        <w:widowControl w:val="0"/>
        <w:numPr>
          <w:ilvl w:val="255"/>
          <w:numId w:val="0"/>
        </w:numPr>
        <w:shd w:val="clear"/>
        <w:spacing w:line="360" w:lineRule="auto"/>
        <w:ind w:left="6" w:firstLine="420" w:firstLineChars="200"/>
        <w:jc w:val="both"/>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kern w:val="2"/>
          <w:sz w:val="21"/>
          <w:szCs w:val="21"/>
          <w:shd w:val="clear" w:color="050000" w:fill="auto"/>
          <w:lang w:val="en-US" w:eastAsia="zh-CN" w:bidi="ar-SA"/>
        </w:rPr>
        <w:t>工程施工完成之后，由谈判单位自行组织对工程进行全面自检，自检完成之后，向采购方提出验收申请，由采购方组织按照相关技术要求及合同所规定的技术标准对工程进行竣工验收。</w:t>
      </w:r>
    </w:p>
    <w:p>
      <w:pPr>
        <w:widowControl w:val="0"/>
        <w:numPr>
          <w:ilvl w:val="0"/>
          <w:numId w:val="20"/>
        </w:numPr>
        <w:shd w:val="clear"/>
        <w:spacing w:line="360" w:lineRule="auto"/>
        <w:ind w:left="840" w:hanging="420" w:firstLineChars="0"/>
        <w:jc w:val="both"/>
        <w:outlineLvl w:val="1"/>
        <w:rPr>
          <w:rFonts w:hint="eastAsia" w:ascii="宋体" w:hAnsi="宋体" w:eastAsia="宋体" w:cs="宋体"/>
          <w:b/>
          <w:bCs/>
          <w:kern w:val="2"/>
          <w:sz w:val="21"/>
          <w:szCs w:val="21"/>
          <w:shd w:val="clear" w:color="050000" w:fill="auto"/>
          <w:lang w:val="en-US" w:eastAsia="zh-CN" w:bidi="ar-SA"/>
        </w:rPr>
      </w:pPr>
      <w:bookmarkStart w:id="152" w:name="_Toc2196783"/>
      <w:bookmarkStart w:id="153" w:name="_Toc30528"/>
      <w:r>
        <w:rPr>
          <w:rFonts w:hint="eastAsia" w:ascii="宋体" w:hAnsi="宋体" w:eastAsia="宋体" w:cs="宋体"/>
          <w:b/>
          <w:bCs/>
          <w:kern w:val="2"/>
          <w:sz w:val="21"/>
          <w:szCs w:val="21"/>
          <w:shd w:val="clear" w:color="050000" w:fill="auto"/>
          <w:lang w:val="en-US" w:eastAsia="zh-CN" w:bidi="ar-SA"/>
        </w:rPr>
        <w:t>培训</w:t>
      </w:r>
      <w:bookmarkEnd w:id="152"/>
      <w:bookmarkEnd w:id="153"/>
    </w:p>
    <w:p>
      <w:pPr>
        <w:shd w:val="clear"/>
        <w:spacing w:line="360" w:lineRule="auto"/>
        <w:ind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工程交付前，由</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组织对</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人员进行设备功能、结构、工作原理、操作、维护等方面的专业知识培训，确保</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人员具备使用及维护的能力。</w:t>
      </w:r>
    </w:p>
    <w:p>
      <w:pPr>
        <w:shd w:val="clear"/>
        <w:spacing w:line="360" w:lineRule="auto"/>
        <w:ind w:firstLine="420" w:firstLineChars="200"/>
        <w:rPr>
          <w:rFonts w:hint="eastAsia" w:ascii="宋体" w:hAnsi="宋体" w:eastAsia="宋体" w:cs="宋体"/>
          <w:sz w:val="21"/>
          <w:szCs w:val="21"/>
          <w:shd w:val="clear" w:color="050000" w:fill="auto"/>
        </w:rPr>
      </w:pPr>
    </w:p>
    <w:p>
      <w:pPr>
        <w:keepNext/>
        <w:keepLines/>
        <w:widowControl w:val="0"/>
        <w:numPr>
          <w:ilvl w:val="0"/>
          <w:numId w:val="6"/>
        </w:numPr>
        <w:shd w:val="clear"/>
        <w:spacing w:line="180" w:lineRule="auto"/>
        <w:ind w:left="420" w:hanging="420"/>
        <w:jc w:val="both"/>
        <w:outlineLvl w:val="0"/>
        <w:rPr>
          <w:rFonts w:hint="eastAsia" w:ascii="宋体" w:hAnsi="宋体" w:eastAsia="宋体" w:cs="宋体"/>
          <w:b/>
          <w:bCs/>
          <w:kern w:val="44"/>
          <w:sz w:val="21"/>
          <w:szCs w:val="21"/>
          <w:lang w:val="en-US" w:eastAsia="zh-CN" w:bidi="ar-SA"/>
        </w:rPr>
      </w:pPr>
      <w:r>
        <w:rPr>
          <w:rFonts w:hint="eastAsia" w:ascii="宋体" w:hAnsi="宋体" w:eastAsia="宋体" w:cs="宋体"/>
          <w:b/>
          <w:bCs/>
          <w:kern w:val="44"/>
          <w:sz w:val="21"/>
          <w:szCs w:val="21"/>
          <w:lang w:val="en-US" w:eastAsia="zh-CN" w:bidi="ar-SA"/>
        </w:rPr>
        <w:t xml:space="preserve"> </w:t>
      </w:r>
      <w:bookmarkStart w:id="154" w:name="_Toc2196784"/>
      <w:bookmarkStart w:id="155" w:name="_Toc32563"/>
      <w:bookmarkStart w:id="156" w:name="_Toc536513604"/>
      <w:r>
        <w:rPr>
          <w:rFonts w:hint="eastAsia" w:ascii="宋体" w:hAnsi="宋体" w:eastAsia="宋体" w:cs="宋体"/>
          <w:b/>
          <w:bCs/>
          <w:kern w:val="44"/>
          <w:sz w:val="21"/>
          <w:szCs w:val="21"/>
          <w:lang w:val="en-US" w:eastAsia="zh-CN" w:bidi="ar-SA"/>
        </w:rPr>
        <w:t>质保期服务</w:t>
      </w:r>
      <w:bookmarkEnd w:id="154"/>
      <w:bookmarkEnd w:id="155"/>
      <w:bookmarkEnd w:id="156"/>
    </w:p>
    <w:p>
      <w:pPr>
        <w:shd w:val="clear"/>
        <w:spacing w:line="360" w:lineRule="auto"/>
        <w:jc w:val="left"/>
        <w:outlineLvl w:val="1"/>
        <w:rPr>
          <w:rFonts w:hint="eastAsia" w:ascii="宋体" w:hAnsi="宋体" w:eastAsia="宋体" w:cs="宋体"/>
          <w:b/>
          <w:bCs/>
          <w:sz w:val="21"/>
          <w:szCs w:val="21"/>
          <w:shd w:val="clear" w:color="050000" w:fill="auto"/>
        </w:rPr>
      </w:pPr>
      <w:bookmarkStart w:id="157" w:name="_Toc2196785"/>
      <w:bookmarkStart w:id="158" w:name="_Toc25648"/>
      <w:bookmarkStart w:id="159" w:name="_Toc536513605"/>
      <w:r>
        <w:rPr>
          <w:rFonts w:hint="eastAsia" w:ascii="宋体" w:hAnsi="宋体" w:eastAsia="宋体" w:cs="宋体"/>
          <w:b/>
          <w:bCs/>
          <w:sz w:val="21"/>
          <w:szCs w:val="21"/>
          <w:shd w:val="clear" w:color="050000" w:fill="auto"/>
        </w:rPr>
        <w:t>7.1 质保期</w:t>
      </w:r>
      <w:bookmarkEnd w:id="157"/>
      <w:bookmarkEnd w:id="158"/>
      <w:bookmarkEnd w:id="159"/>
    </w:p>
    <w:p>
      <w:pPr>
        <w:shd w:val="clear"/>
        <w:spacing w:line="360" w:lineRule="auto"/>
        <w:ind w:firstLine="48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项目通过竣工验收并交付使用，视作进入质保期，质保期为</w:t>
      </w:r>
      <w:r>
        <w:rPr>
          <w:rFonts w:hint="eastAsia" w:ascii="宋体" w:hAnsi="宋体" w:eastAsia="宋体" w:cs="宋体"/>
          <w:sz w:val="21"/>
          <w:szCs w:val="21"/>
          <w:u w:val="single"/>
          <w:shd w:val="clear" w:color="050000" w:fill="auto"/>
          <w:lang w:val="en-US" w:eastAsia="zh-CN"/>
        </w:rPr>
        <w:t>24</w:t>
      </w:r>
      <w:r>
        <w:rPr>
          <w:rFonts w:hint="eastAsia" w:ascii="宋体" w:hAnsi="宋体" w:eastAsia="宋体" w:cs="宋体"/>
          <w:sz w:val="21"/>
          <w:szCs w:val="21"/>
          <w:u w:val="single"/>
          <w:shd w:val="clear" w:color="050000" w:fill="auto"/>
        </w:rPr>
        <w:t>个月</w:t>
      </w:r>
      <w:r>
        <w:rPr>
          <w:rFonts w:hint="eastAsia" w:ascii="宋体" w:hAnsi="宋体" w:eastAsia="宋体" w:cs="宋体"/>
          <w:sz w:val="21"/>
          <w:szCs w:val="21"/>
          <w:shd w:val="clear" w:color="050000" w:fill="auto"/>
        </w:rPr>
        <w:t>。如质保期内出现重大质量缺陷，质保期从该质量缺陷修复后起重新计算。重大质量缺陷的认定依照国家、省、市相关规定执行。</w:t>
      </w:r>
    </w:p>
    <w:p>
      <w:pPr>
        <w:shd w:val="clear"/>
        <w:spacing w:line="360" w:lineRule="auto"/>
        <w:jc w:val="left"/>
        <w:outlineLvl w:val="1"/>
        <w:rPr>
          <w:rFonts w:hint="eastAsia" w:ascii="宋体" w:hAnsi="宋体" w:eastAsia="宋体" w:cs="宋体"/>
          <w:b/>
          <w:bCs/>
          <w:sz w:val="21"/>
          <w:szCs w:val="21"/>
          <w:shd w:val="clear" w:color="050000" w:fill="auto"/>
        </w:rPr>
      </w:pPr>
      <w:bookmarkStart w:id="160" w:name="_Toc536513606"/>
      <w:bookmarkStart w:id="161" w:name="_Toc2196786"/>
      <w:bookmarkStart w:id="162" w:name="_Toc25195"/>
      <w:r>
        <w:rPr>
          <w:rFonts w:hint="eastAsia" w:ascii="宋体" w:hAnsi="宋体" w:eastAsia="宋体" w:cs="宋体"/>
          <w:b/>
          <w:bCs/>
          <w:sz w:val="21"/>
          <w:szCs w:val="21"/>
          <w:shd w:val="clear" w:color="050000" w:fill="auto"/>
        </w:rPr>
        <w:t>7.2 质保期的要求</w:t>
      </w:r>
      <w:bookmarkEnd w:id="160"/>
      <w:bookmarkEnd w:id="161"/>
      <w:bookmarkEnd w:id="162"/>
    </w:p>
    <w:p>
      <w:pPr>
        <w:shd w:val="clear"/>
        <w:spacing w:line="360" w:lineRule="auto"/>
        <w:jc w:val="left"/>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7.2.1质保期内，对由于安装不良、材料缺陷等引起的缺陷</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应负责修补。</w:t>
      </w:r>
    </w:p>
    <w:p>
      <w:pPr>
        <w:shd w:val="clear"/>
        <w:spacing w:line="360" w:lineRule="auto"/>
        <w:jc w:val="left"/>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7.2.2质保期内</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在任何时间内发现本采购项目有缺陷，可要求</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立即修复，</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必须在收到</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的通知后</w:t>
      </w:r>
      <w:r>
        <w:rPr>
          <w:rFonts w:hint="eastAsia" w:ascii="宋体" w:hAnsi="宋体" w:eastAsia="宋体" w:cs="宋体"/>
          <w:sz w:val="21"/>
          <w:szCs w:val="21"/>
          <w:u w:val="single"/>
          <w:shd w:val="clear" w:color="050000" w:fill="auto"/>
        </w:rPr>
        <w:t>12小时</w:t>
      </w:r>
      <w:r>
        <w:rPr>
          <w:rFonts w:hint="eastAsia" w:ascii="宋体" w:hAnsi="宋体" w:eastAsia="宋体" w:cs="宋体"/>
          <w:sz w:val="21"/>
          <w:szCs w:val="21"/>
          <w:shd w:val="clear" w:color="050000" w:fill="auto"/>
        </w:rPr>
        <w:t>内派人员到现场免费修复，否则</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可自行组织修复，由此产生的一切费用由</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承担。</w:t>
      </w:r>
    </w:p>
    <w:p>
      <w:pPr>
        <w:shd w:val="clear"/>
        <w:spacing w:line="360" w:lineRule="auto"/>
        <w:jc w:val="left"/>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7.2.3在质保期内，当发生故障时，</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应负责抢修，其费用已包括在投标总价内。</w:t>
      </w:r>
    </w:p>
    <w:p>
      <w:pPr>
        <w:shd w:val="clear"/>
        <w:spacing w:line="360" w:lineRule="auto"/>
        <w:jc w:val="left"/>
        <w:outlineLvl w:val="1"/>
        <w:rPr>
          <w:rFonts w:hint="eastAsia" w:ascii="宋体" w:hAnsi="宋体" w:eastAsia="宋体" w:cs="宋体"/>
          <w:b/>
          <w:bCs/>
          <w:sz w:val="21"/>
          <w:szCs w:val="21"/>
          <w:shd w:val="clear" w:color="050000" w:fill="auto"/>
        </w:rPr>
      </w:pPr>
      <w:bookmarkStart w:id="163" w:name="_Toc2196787"/>
      <w:bookmarkStart w:id="164" w:name="_Toc13591"/>
      <w:r>
        <w:rPr>
          <w:rFonts w:hint="eastAsia" w:ascii="宋体" w:hAnsi="宋体" w:eastAsia="宋体" w:cs="宋体"/>
          <w:b/>
          <w:bCs/>
          <w:sz w:val="21"/>
          <w:szCs w:val="21"/>
          <w:shd w:val="clear" w:color="050000" w:fill="auto"/>
        </w:rPr>
        <w:t>7.3 质保期之后的要求</w:t>
      </w:r>
      <w:bookmarkEnd w:id="163"/>
      <w:bookmarkEnd w:id="164"/>
    </w:p>
    <w:p>
      <w:pPr>
        <w:shd w:val="clear"/>
        <w:spacing w:line="360" w:lineRule="auto"/>
        <w:ind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质保期过后，当发生重大或疑难故障，</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无法现场处理或修复时，</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应积极配合</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进行处理，并提供有必要的帮助，且不增加相应费用。</w:t>
      </w:r>
    </w:p>
    <w:p>
      <w:pPr>
        <w:pStyle w:val="2"/>
        <w:rPr>
          <w:rFonts w:hint="eastAsia"/>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lang w:eastAsia="zh-CN"/>
        </w:rPr>
        <w:sectPr>
          <w:headerReference r:id="rId6" w:type="default"/>
          <w:footerReference r:id="rId7" w:type="default"/>
          <w:pgSz w:w="11906" w:h="16838"/>
          <w:pgMar w:top="1440" w:right="1797" w:bottom="1440" w:left="1797" w:header="851" w:footer="851" w:gutter="0"/>
          <w:pgNumType w:fmt="decimal"/>
          <w:cols w:space="720" w:num="1"/>
          <w:docGrid w:linePitch="312" w:charSpace="0"/>
        </w:sectPr>
      </w:pPr>
    </w:p>
    <w:p>
      <w:pPr>
        <w:pStyle w:val="3"/>
        <w:keepNext w:val="0"/>
        <w:rPr>
          <w:rFonts w:hint="eastAsia" w:ascii="宋体" w:hAnsi="宋体" w:eastAsia="宋体" w:cs="宋体"/>
          <w:bCs w:val="0"/>
          <w:color w:val="auto"/>
          <w:sz w:val="32"/>
          <w:szCs w:val="32"/>
        </w:rPr>
      </w:pPr>
      <w:bookmarkStart w:id="165" w:name="_Toc16008"/>
      <w:r>
        <w:rPr>
          <w:rFonts w:hint="eastAsia" w:ascii="宋体" w:hAnsi="宋体" w:eastAsia="宋体" w:cs="宋体"/>
          <w:bCs w:val="0"/>
          <w:color w:val="auto"/>
          <w:sz w:val="32"/>
          <w:szCs w:val="32"/>
        </w:rPr>
        <w:t xml:space="preserve">第五章 </w:t>
      </w:r>
      <w:r>
        <w:rPr>
          <w:rFonts w:hint="eastAsia" w:ascii="宋体" w:hAnsi="宋体" w:eastAsia="宋体" w:cs="宋体"/>
          <w:bCs w:val="0"/>
          <w:color w:val="auto"/>
          <w:sz w:val="32"/>
          <w:szCs w:val="32"/>
          <w:lang w:val="en-US" w:eastAsia="zh-CN"/>
        </w:rPr>
        <w:t xml:space="preserve"> </w:t>
      </w:r>
      <w:r>
        <w:rPr>
          <w:rFonts w:hint="eastAsia" w:ascii="宋体" w:hAnsi="宋体" w:cs="宋体"/>
          <w:b/>
          <w:bCs/>
          <w:sz w:val="32"/>
          <w:szCs w:val="32"/>
        </w:rPr>
        <w:t>控制价</w:t>
      </w:r>
      <w:bookmarkEnd w:id="165"/>
    </w:p>
    <w:p>
      <w:pPr>
        <w:rPr>
          <w:rFonts w:hint="eastAsia" w:ascii="宋体" w:hAnsi="宋体" w:eastAsia="宋体" w:cs="宋体"/>
          <w:bCs w:val="0"/>
          <w:color w:val="auto"/>
          <w:sz w:val="32"/>
          <w:szCs w:val="32"/>
        </w:rPr>
      </w:pPr>
      <w:bookmarkStart w:id="166" w:name="_Toc14891078"/>
      <w:bookmarkStart w:id="167" w:name="_Toc17441"/>
      <w:bookmarkStart w:id="168" w:name="_Toc13521"/>
      <w:bookmarkStart w:id="169" w:name="_Toc22262"/>
    </w:p>
    <w:tbl>
      <w:tblPr>
        <w:tblStyle w:val="46"/>
        <w:tblW w:w="11375" w:type="dxa"/>
        <w:tblInd w:w="-545" w:type="dxa"/>
        <w:shd w:val="clear" w:color="auto" w:fill="auto"/>
        <w:tblLayout w:type="fixed"/>
        <w:tblCellMar>
          <w:top w:w="0" w:type="dxa"/>
          <w:left w:w="0" w:type="dxa"/>
          <w:bottom w:w="0" w:type="dxa"/>
          <w:right w:w="0" w:type="dxa"/>
        </w:tblCellMar>
      </w:tblPr>
      <w:tblGrid>
        <w:gridCol w:w="1635"/>
        <w:gridCol w:w="2250"/>
        <w:gridCol w:w="470"/>
        <w:gridCol w:w="1590"/>
        <w:gridCol w:w="2800"/>
        <w:gridCol w:w="2576"/>
        <w:gridCol w:w="54"/>
      </w:tblGrid>
      <w:tr>
        <w:tblPrEx>
          <w:shd w:val="clear" w:color="auto" w:fill="auto"/>
          <w:tblCellMar>
            <w:top w:w="0" w:type="dxa"/>
            <w:left w:w="0" w:type="dxa"/>
            <w:bottom w:w="0" w:type="dxa"/>
            <w:right w:w="0" w:type="dxa"/>
          </w:tblCellMar>
        </w:tblPrEx>
        <w:trPr>
          <w:gridAfter w:val="1"/>
          <w:wAfter w:w="54" w:type="dxa"/>
          <w:trHeight w:val="1515" w:hRule="atLeast"/>
        </w:trPr>
        <w:tc>
          <w:tcPr>
            <w:tcW w:w="1635"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7110" w:type="dxa"/>
            <w:gridSpan w:val="4"/>
            <w:tcBorders>
              <w:top w:val="nil"/>
              <w:left w:val="nil"/>
              <w:bottom w:val="single" w:color="000000" w:sz="4" w:space="0"/>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长沙轨道交通运营有限公司黄兴车辆段羽毛球、乒乓球场地改迁项目</w:t>
            </w:r>
          </w:p>
        </w:tc>
        <w:tc>
          <w:tcPr>
            <w:tcW w:w="257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48"/>
                <w:szCs w:val="48"/>
                <w:u w:val="none"/>
              </w:rPr>
            </w:pPr>
          </w:p>
        </w:tc>
      </w:tr>
      <w:tr>
        <w:tblPrEx>
          <w:tblCellMar>
            <w:top w:w="0" w:type="dxa"/>
            <w:left w:w="0" w:type="dxa"/>
            <w:bottom w:w="0" w:type="dxa"/>
            <w:right w:w="0" w:type="dxa"/>
          </w:tblCellMar>
        </w:tblPrEx>
        <w:trPr>
          <w:gridAfter w:val="1"/>
          <w:wAfter w:w="54" w:type="dxa"/>
          <w:trHeight w:val="1410" w:hRule="atLeast"/>
        </w:trPr>
        <w:tc>
          <w:tcPr>
            <w:tcW w:w="8745"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工</w:t>
            </w:r>
            <w:r>
              <w:rPr>
                <w:rFonts w:hint="eastAsia" w:ascii="宋体" w:hAnsi="宋体" w:cs="宋体"/>
                <w:b/>
                <w:i w:val="0"/>
                <w:color w:val="000000"/>
                <w:kern w:val="0"/>
                <w:sz w:val="48"/>
                <w:szCs w:val="48"/>
                <w:u w:val="none"/>
                <w:lang w:val="en-US" w:eastAsia="zh-CN" w:bidi="ar"/>
              </w:rPr>
              <w:t xml:space="preserve"> </w:t>
            </w:r>
            <w:r>
              <w:rPr>
                <w:rFonts w:hint="eastAsia" w:ascii="宋体" w:hAnsi="宋体" w:eastAsia="宋体" w:cs="宋体"/>
                <w:b/>
                <w:i w:val="0"/>
                <w:color w:val="000000"/>
                <w:kern w:val="0"/>
                <w:sz w:val="48"/>
                <w:szCs w:val="48"/>
                <w:u w:val="none"/>
                <w:lang w:val="en-US" w:eastAsia="zh-CN" w:bidi="ar"/>
              </w:rPr>
              <w:t>程 招 标 控 制 价</w:t>
            </w:r>
          </w:p>
        </w:tc>
        <w:tc>
          <w:tcPr>
            <w:tcW w:w="2576"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After w:val="1"/>
          <w:wAfter w:w="54" w:type="dxa"/>
          <w:trHeight w:val="915" w:hRule="atLeast"/>
        </w:trPr>
        <w:tc>
          <w:tcPr>
            <w:tcW w:w="3885"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招标控制价（小写）：</w:t>
            </w:r>
          </w:p>
        </w:tc>
        <w:tc>
          <w:tcPr>
            <w:tcW w:w="4860" w:type="dxa"/>
            <w:gridSpan w:val="3"/>
            <w:tcBorders>
              <w:top w:val="nil"/>
              <w:left w:val="nil"/>
              <w:bottom w:val="single" w:color="000000" w:sz="4" w:space="0"/>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464997.86</w:t>
            </w:r>
          </w:p>
        </w:tc>
        <w:tc>
          <w:tcPr>
            <w:tcW w:w="2576"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After w:val="1"/>
          <w:wAfter w:w="54" w:type="dxa"/>
          <w:trHeight w:val="990" w:hRule="atLeast"/>
        </w:trPr>
        <w:tc>
          <w:tcPr>
            <w:tcW w:w="3885"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w:t>
            </w:r>
          </w:p>
        </w:tc>
        <w:tc>
          <w:tcPr>
            <w:tcW w:w="4860" w:type="dxa"/>
            <w:gridSpan w:val="3"/>
            <w:tcBorders>
              <w:top w:val="nil"/>
              <w:left w:val="nil"/>
              <w:bottom w:val="single" w:color="000000" w:sz="4"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肆拾陆万肆仟玖佰玖拾柒元捌角陆分</w:t>
            </w:r>
          </w:p>
        </w:tc>
        <w:tc>
          <w:tcPr>
            <w:tcW w:w="2576"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80" w:hRule="atLeast"/>
        </w:trPr>
        <w:tc>
          <w:tcPr>
            <w:tcW w:w="163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招  标  人：</w:t>
            </w:r>
          </w:p>
        </w:tc>
        <w:tc>
          <w:tcPr>
            <w:tcW w:w="2250" w:type="dxa"/>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47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59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造价咨询人：</w:t>
            </w:r>
          </w:p>
        </w:tc>
        <w:tc>
          <w:tcPr>
            <w:tcW w:w="2800" w:type="dxa"/>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2630" w:type="dxa"/>
            <w:gridSpan w:val="2"/>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0" w:hRule="atLeast"/>
        </w:trPr>
        <w:tc>
          <w:tcPr>
            <w:tcW w:w="1635"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25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(单位盖章)</w:t>
            </w:r>
          </w:p>
        </w:tc>
        <w:tc>
          <w:tcPr>
            <w:tcW w:w="47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59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80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(单位资质专用章)</w:t>
            </w:r>
          </w:p>
        </w:tc>
        <w:tc>
          <w:tcPr>
            <w:tcW w:w="2630" w:type="dxa"/>
            <w:gridSpan w:val="2"/>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470" w:hRule="atLeast"/>
        </w:trPr>
        <w:tc>
          <w:tcPr>
            <w:tcW w:w="1635"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法定代表人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或其授权人：</w:t>
            </w:r>
          </w:p>
        </w:tc>
        <w:tc>
          <w:tcPr>
            <w:tcW w:w="2250" w:type="dxa"/>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47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590"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法定代表人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或其授权人 ：</w:t>
            </w:r>
          </w:p>
        </w:tc>
        <w:tc>
          <w:tcPr>
            <w:tcW w:w="2800" w:type="dxa"/>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2630" w:type="dxa"/>
            <w:gridSpan w:val="2"/>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0" w:hRule="atLeast"/>
        </w:trPr>
        <w:tc>
          <w:tcPr>
            <w:tcW w:w="1635"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25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(签字或盖章)</w:t>
            </w:r>
          </w:p>
        </w:tc>
        <w:tc>
          <w:tcPr>
            <w:tcW w:w="47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59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80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(签字或盖章)</w:t>
            </w:r>
          </w:p>
        </w:tc>
        <w:tc>
          <w:tcPr>
            <w:tcW w:w="2630" w:type="dxa"/>
            <w:gridSpan w:val="2"/>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00" w:hRule="atLeast"/>
        </w:trPr>
        <w:tc>
          <w:tcPr>
            <w:tcW w:w="163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编  制  人：</w:t>
            </w:r>
          </w:p>
        </w:tc>
        <w:tc>
          <w:tcPr>
            <w:tcW w:w="2250" w:type="dxa"/>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47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59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  核  人 ：</w:t>
            </w:r>
          </w:p>
        </w:tc>
        <w:tc>
          <w:tcPr>
            <w:tcW w:w="2800" w:type="dxa"/>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2630" w:type="dxa"/>
            <w:gridSpan w:val="2"/>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0" w:hRule="atLeast"/>
        </w:trPr>
        <w:tc>
          <w:tcPr>
            <w:tcW w:w="1635"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25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(造价人员签字盖专用章)</w:t>
            </w:r>
          </w:p>
        </w:tc>
        <w:tc>
          <w:tcPr>
            <w:tcW w:w="47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59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80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(造价工程师签字盖专用章)</w:t>
            </w:r>
          </w:p>
        </w:tc>
        <w:tc>
          <w:tcPr>
            <w:tcW w:w="2630" w:type="dxa"/>
            <w:gridSpan w:val="2"/>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30" w:hRule="atLeast"/>
        </w:trPr>
        <w:tc>
          <w:tcPr>
            <w:tcW w:w="163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编 制 时 间：</w:t>
            </w:r>
          </w:p>
        </w:tc>
        <w:tc>
          <w:tcPr>
            <w:tcW w:w="2250" w:type="dxa"/>
            <w:tcBorders>
              <w:top w:val="nil"/>
              <w:left w:val="nil"/>
              <w:bottom w:val="nil"/>
              <w:right w:val="nil"/>
            </w:tcBorders>
            <w:shd w:val="clear" w:color="auto" w:fill="auto"/>
            <w:noWrap/>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47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59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 核 时 间：</w:t>
            </w:r>
          </w:p>
        </w:tc>
        <w:tc>
          <w:tcPr>
            <w:tcW w:w="280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     月    日</w:t>
            </w:r>
          </w:p>
        </w:tc>
        <w:tc>
          <w:tcPr>
            <w:tcW w:w="2630" w:type="dxa"/>
            <w:gridSpan w:val="2"/>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bl>
    <w:p>
      <w:pPr>
        <w:pStyle w:val="2"/>
        <w:rPr>
          <w:rFonts w:hint="eastAsia"/>
        </w:rPr>
        <w:sectPr>
          <w:footerReference r:id="rId8" w:type="default"/>
          <w:pgSz w:w="11906" w:h="16838"/>
          <w:pgMar w:top="1440" w:right="1797" w:bottom="1440" w:left="1797" w:header="851" w:footer="851" w:gutter="0"/>
          <w:pgNumType w:fmt="decimal"/>
          <w:cols w:space="720" w:num="1"/>
          <w:docGrid w:linePitch="312" w:charSpace="0"/>
        </w:sectPr>
      </w:pPr>
    </w:p>
    <w:tbl>
      <w:tblPr>
        <w:tblStyle w:val="46"/>
        <w:tblW w:w="13800" w:type="dxa"/>
        <w:tblInd w:w="0" w:type="dxa"/>
        <w:shd w:val="clear" w:color="auto" w:fill="auto"/>
        <w:tblLayout w:type="autofit"/>
        <w:tblCellMar>
          <w:top w:w="0" w:type="dxa"/>
          <w:left w:w="0" w:type="dxa"/>
          <w:bottom w:w="0" w:type="dxa"/>
          <w:right w:w="0" w:type="dxa"/>
        </w:tblCellMar>
      </w:tblPr>
      <w:tblGrid>
        <w:gridCol w:w="840"/>
        <w:gridCol w:w="1910"/>
        <w:gridCol w:w="1011"/>
        <w:gridCol w:w="1012"/>
        <w:gridCol w:w="1003"/>
        <w:gridCol w:w="1008"/>
        <w:gridCol w:w="1003"/>
        <w:gridCol w:w="1003"/>
        <w:gridCol w:w="1008"/>
        <w:gridCol w:w="1008"/>
        <w:gridCol w:w="1008"/>
        <w:gridCol w:w="1003"/>
        <w:gridCol w:w="983"/>
      </w:tblGrid>
      <w:tr>
        <w:tblPrEx>
          <w:shd w:val="clear" w:color="auto" w:fill="auto"/>
          <w:tblCellMar>
            <w:top w:w="0" w:type="dxa"/>
            <w:left w:w="0" w:type="dxa"/>
            <w:bottom w:w="0" w:type="dxa"/>
            <w:right w:w="0" w:type="dxa"/>
          </w:tblCellMar>
        </w:tblPrEx>
        <w:trPr>
          <w:trHeight w:val="710" w:hRule="atLeast"/>
        </w:trPr>
        <w:tc>
          <w:tcPr>
            <w:tcW w:w="1380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bookmarkStart w:id="170" w:name="_Toc26126"/>
            <w:r>
              <w:rPr>
                <w:rFonts w:hint="eastAsia" w:ascii="宋体" w:hAnsi="宋体" w:eastAsia="宋体" w:cs="宋体"/>
                <w:b/>
                <w:i w:val="0"/>
                <w:color w:val="000000"/>
                <w:kern w:val="0"/>
                <w:sz w:val="40"/>
                <w:szCs w:val="40"/>
                <w:u w:val="none"/>
                <w:lang w:val="en-US" w:eastAsia="zh-CN" w:bidi="ar"/>
              </w:rPr>
              <w:t>D.1 建设项目(单项工程)工程造价汇总表</w:t>
            </w:r>
          </w:p>
        </w:tc>
      </w:tr>
      <w:tr>
        <w:tblPrEx>
          <w:tblCellMar>
            <w:top w:w="0" w:type="dxa"/>
            <w:left w:w="0" w:type="dxa"/>
            <w:bottom w:w="0" w:type="dxa"/>
            <w:right w:w="0" w:type="dxa"/>
          </w:tblCellMar>
        </w:tblPrEx>
        <w:trPr>
          <w:trHeight w:val="340" w:hRule="atLeast"/>
        </w:trPr>
        <w:tc>
          <w:tcPr>
            <w:tcW w:w="1380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340" w:hRule="atLeast"/>
        </w:trPr>
        <w:tc>
          <w:tcPr>
            <w:tcW w:w="10806" w:type="dxa"/>
            <w:gridSpan w:val="10"/>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工程名称:长沙轨道交通运营有限公司黄兴车辆段羽毛球、乒乓球场地改迁项目</w:t>
            </w:r>
          </w:p>
        </w:tc>
        <w:tc>
          <w:tcPr>
            <w:tcW w:w="1008"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标段：</w:t>
            </w:r>
          </w:p>
        </w:tc>
        <w:tc>
          <w:tcPr>
            <w:tcW w:w="1986"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第1页 共2页</w:t>
            </w:r>
          </w:p>
        </w:tc>
      </w:tr>
      <w:tr>
        <w:tblPrEx>
          <w:tblCellMar>
            <w:top w:w="0" w:type="dxa"/>
            <w:left w:w="0" w:type="dxa"/>
            <w:bottom w:w="0" w:type="dxa"/>
            <w:right w:w="0" w:type="dxa"/>
          </w:tblCellMar>
        </w:tblPrEx>
        <w:trPr>
          <w:trHeight w:val="34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9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单项工程名称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(单位工程名称)</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建安工程造价(元)</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直接费用(元)</w:t>
            </w:r>
          </w:p>
        </w:tc>
        <w:tc>
          <w:tcPr>
            <w:tcW w:w="603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费用和利润(元)</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w:t>
            </w:r>
          </w:p>
        </w:tc>
      </w:tr>
      <w:tr>
        <w:tblPrEx>
          <w:tblCellMar>
            <w:top w:w="0" w:type="dxa"/>
            <w:left w:w="0" w:type="dxa"/>
            <w:bottom w:w="0" w:type="dxa"/>
            <w:right w:w="0" w:type="dxa"/>
          </w:tblCellMar>
        </w:tblPrEx>
        <w:trPr>
          <w:trHeight w:val="3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管理费</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利润</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总价措施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项目费</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其中：安全文明施工费</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规费</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其中：社会保险费</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长沙市轨道交通4号线黄榔停车场平面库内文体活动场地改造工程项目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464997.86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386144.81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9215.42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10053.90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5419.20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4859.26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19258.13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10013.40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33449.31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长沙市轨道交通4号线黄榔停车场平面库内文体活动场地改造工程项目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464997.86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386144.81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9215.42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10053.90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5419.20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4859.26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19258.13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10013.40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33449.31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147314.55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118615.38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3647.77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3982.05</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2156.32</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7111.24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3373.31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11310.51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139796.41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112576.79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3459.35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3776.66</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2056.57</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6770.75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3187.80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10691.97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1.1.1.1.1</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112431.62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92197.65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2116.97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2312.62</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1307.61</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5070.84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2712.87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9033.90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1.1.1.1.2</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20153.31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13167.66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1464.04</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748.96</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1699.91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1.1.1.1.3</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包干价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7211.48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7211.48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7518.14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205.39</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99.75</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球场灯具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52628.80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43274.39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1092.02</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548.25</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2193.67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4329.91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52628.80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43274.39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1092.02</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548.25</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2193.67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4329.91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加厚遮光卷帘（超宽、超高）.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更衣室改造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174563.96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142541.88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3876.87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4228.46</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2277.32</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7781.09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3968.25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13278.74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bl>
    <w:p>
      <w:pPr>
        <w:rPr>
          <w:rFonts w:hint="eastAsia" w:ascii="宋体" w:hAnsi="宋体" w:eastAsia="宋体" w:cs="宋体"/>
          <w:bCs w:val="0"/>
          <w:color w:val="auto"/>
          <w:sz w:val="32"/>
          <w:szCs w:val="32"/>
        </w:rPr>
      </w:pPr>
      <w:r>
        <w:rPr>
          <w:rFonts w:hint="eastAsia" w:ascii="宋体" w:hAnsi="宋体" w:eastAsia="宋体" w:cs="宋体"/>
          <w:bCs w:val="0"/>
          <w:color w:val="auto"/>
          <w:sz w:val="32"/>
          <w:szCs w:val="32"/>
        </w:rPr>
        <w:br w:type="page"/>
      </w:r>
    </w:p>
    <w:tbl>
      <w:tblPr>
        <w:tblStyle w:val="46"/>
        <w:tblW w:w="13800" w:type="dxa"/>
        <w:jc w:val="center"/>
        <w:shd w:val="clear" w:color="auto" w:fill="auto"/>
        <w:tblLayout w:type="autofit"/>
        <w:tblCellMar>
          <w:top w:w="0" w:type="dxa"/>
          <w:left w:w="0" w:type="dxa"/>
          <w:bottom w:w="0" w:type="dxa"/>
          <w:right w:w="0" w:type="dxa"/>
        </w:tblCellMar>
      </w:tblPr>
      <w:tblGrid>
        <w:gridCol w:w="840"/>
        <w:gridCol w:w="1904"/>
        <w:gridCol w:w="1012"/>
        <w:gridCol w:w="1012"/>
        <w:gridCol w:w="1004"/>
        <w:gridCol w:w="1008"/>
        <w:gridCol w:w="1004"/>
        <w:gridCol w:w="1004"/>
        <w:gridCol w:w="1008"/>
        <w:gridCol w:w="1008"/>
        <w:gridCol w:w="1008"/>
        <w:gridCol w:w="1004"/>
        <w:gridCol w:w="984"/>
      </w:tblGrid>
      <w:tr>
        <w:tblPrEx>
          <w:shd w:val="clear" w:color="auto" w:fill="auto"/>
          <w:tblCellMar>
            <w:top w:w="0" w:type="dxa"/>
            <w:left w:w="0" w:type="dxa"/>
            <w:bottom w:w="0" w:type="dxa"/>
            <w:right w:w="0" w:type="dxa"/>
          </w:tblCellMar>
        </w:tblPrEx>
        <w:trPr>
          <w:trHeight w:val="802" w:hRule="atLeast"/>
          <w:jc w:val="center"/>
        </w:trPr>
        <w:tc>
          <w:tcPr>
            <w:tcW w:w="1380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40"/>
                <w:szCs w:val="40"/>
                <w:u w:val="none"/>
                <w:lang w:val="en-US" w:eastAsia="zh-CN" w:bidi="ar"/>
              </w:rPr>
              <w:t>D.1 建设项目(单项工程)工程造价汇总表</w:t>
            </w:r>
          </w:p>
        </w:tc>
      </w:tr>
      <w:tr>
        <w:tblPrEx>
          <w:tblCellMar>
            <w:top w:w="0" w:type="dxa"/>
            <w:left w:w="0" w:type="dxa"/>
            <w:bottom w:w="0" w:type="dxa"/>
            <w:right w:w="0" w:type="dxa"/>
          </w:tblCellMar>
        </w:tblPrEx>
        <w:trPr>
          <w:trHeight w:val="386" w:hRule="atLeast"/>
          <w:jc w:val="center"/>
        </w:trPr>
        <w:tc>
          <w:tcPr>
            <w:tcW w:w="1380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386" w:hRule="atLeast"/>
          <w:jc w:val="center"/>
        </w:trPr>
        <w:tc>
          <w:tcPr>
            <w:tcW w:w="10804" w:type="dxa"/>
            <w:gridSpan w:val="10"/>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工程名称:长沙轨道交通运营有限公司黄兴车辆段羽毛球、乒乓球场地改迁项目</w:t>
            </w:r>
          </w:p>
        </w:tc>
        <w:tc>
          <w:tcPr>
            <w:tcW w:w="1008"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标段：</w:t>
            </w:r>
          </w:p>
        </w:tc>
        <w:tc>
          <w:tcPr>
            <w:tcW w:w="1988"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第2页 共2页</w:t>
            </w:r>
          </w:p>
        </w:tc>
      </w:tr>
      <w:tr>
        <w:tblPrEx>
          <w:tblCellMar>
            <w:top w:w="0" w:type="dxa"/>
            <w:left w:w="0" w:type="dxa"/>
            <w:bottom w:w="0" w:type="dxa"/>
            <w:right w:w="0" w:type="dxa"/>
          </w:tblCellMar>
        </w:tblPrEx>
        <w:trPr>
          <w:trHeight w:val="386"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单项工程名称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(单位工程名称)</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建安工程造价(元)</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直接费用(元)</w:t>
            </w:r>
          </w:p>
        </w:tc>
        <w:tc>
          <w:tcPr>
            <w:tcW w:w="603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费用和利润(元)</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w:t>
            </w:r>
          </w:p>
        </w:tc>
      </w:tr>
      <w:tr>
        <w:tblPrEx>
          <w:tblCellMar>
            <w:top w:w="0" w:type="dxa"/>
            <w:left w:w="0" w:type="dxa"/>
            <w:bottom w:w="0" w:type="dxa"/>
            <w:right w:w="0" w:type="dxa"/>
          </w:tblCellMar>
        </w:tblPrEx>
        <w:trPr>
          <w:trHeight w:val="386"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管理费</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利润</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总价措施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项目费</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其中：安全文明施工费</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规费</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其中：社会保险费</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82707.94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66731.85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2199.04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3933.08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1.1.4.1.1</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22542.51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18117.74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1854.63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1.1.4.1.2</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墙地面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49247.85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37696.53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2848.95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4051.75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1.1.4.1.3</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包干价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10917.58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10917.58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30355.29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24033.68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1.1.4.2.1</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1.1.4.2.2</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28703.43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22585.10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1.1.4.2.3</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包干价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61500.73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51776.35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4967.26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44775.79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38457.51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3683.82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9263.94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7635.43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35511.85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30822.08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13686.76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11227.65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369.79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589.69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846.33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合           计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464997.86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386144.81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9215.42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10053.90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5419.20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4859.26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19258.13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10013.40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33449.31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1457.15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r>
    </w:tbl>
    <w:p>
      <w:pPr>
        <w:pStyle w:val="2"/>
        <w:rPr>
          <w:rFonts w:hint="eastAsia"/>
        </w:rPr>
        <w:sectPr>
          <w:headerReference r:id="rId9" w:type="default"/>
          <w:footerReference r:id="rId10" w:type="default"/>
          <w:endnotePr>
            <w:numFmt w:val="decimal"/>
          </w:endnotePr>
          <w:pgSz w:w="16838" w:h="11906" w:orient="landscape"/>
          <w:pgMar w:top="1440" w:right="1440" w:bottom="1440" w:left="1440" w:header="851" w:footer="851" w:gutter="0"/>
          <w:pgNumType w:fmt="decimal"/>
          <w:cols w:space="720" w:num="1"/>
          <w:docGrid w:type="lines" w:linePitch="312" w:charSpace="0"/>
        </w:sectPr>
      </w:pPr>
    </w:p>
    <w:tbl>
      <w:tblPr>
        <w:tblStyle w:val="46"/>
        <w:tblW w:w="9750" w:type="dxa"/>
        <w:tblInd w:w="0" w:type="dxa"/>
        <w:shd w:val="clear" w:color="auto" w:fill="auto"/>
        <w:tblLayout w:type="autofit"/>
        <w:tblCellMar>
          <w:top w:w="0" w:type="dxa"/>
          <w:left w:w="0" w:type="dxa"/>
          <w:bottom w:w="0" w:type="dxa"/>
          <w:right w:w="0" w:type="dxa"/>
        </w:tblCellMar>
      </w:tblPr>
      <w:tblGrid>
        <w:gridCol w:w="1305"/>
        <w:gridCol w:w="2220"/>
        <w:gridCol w:w="3000"/>
        <w:gridCol w:w="840"/>
        <w:gridCol w:w="1470"/>
        <w:gridCol w:w="915"/>
      </w:tblGrid>
      <w:tr>
        <w:tblPrEx>
          <w:shd w:val="clear" w:color="auto" w:fill="auto"/>
          <w:tblCellMar>
            <w:top w:w="0" w:type="dxa"/>
            <w:left w:w="0" w:type="dxa"/>
            <w:bottom w:w="0" w:type="dxa"/>
            <w:right w:w="0" w:type="dxa"/>
          </w:tblCellMar>
        </w:tblPrEx>
        <w:trPr>
          <w:trHeight w:val="615" w:hRule="atLeast"/>
        </w:trPr>
        <w:tc>
          <w:tcPr>
            <w:tcW w:w="7365" w:type="dxa"/>
            <w:gridSpan w:val="4"/>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D.3 单位工程费用计算表</w:t>
            </w:r>
          </w:p>
        </w:tc>
        <w:tc>
          <w:tcPr>
            <w:tcW w:w="2385" w:type="dxa"/>
            <w:gridSpan w:val="2"/>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5" w:hRule="atLeast"/>
        </w:trPr>
        <w:tc>
          <w:tcPr>
            <w:tcW w:w="7365" w:type="dxa"/>
            <w:gridSpan w:val="4"/>
            <w:vMerge w:val="continue"/>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40"/>
                <w:szCs w:val="40"/>
                <w:u w:val="none"/>
              </w:rPr>
            </w:pPr>
          </w:p>
        </w:tc>
        <w:tc>
          <w:tcPr>
            <w:tcW w:w="2385" w:type="dxa"/>
            <w:gridSpan w:val="2"/>
            <w:vMerge w:val="continue"/>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5"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540" w:hRule="atLeast"/>
        </w:trPr>
        <w:tc>
          <w:tcPr>
            <w:tcW w:w="6525" w:type="dxa"/>
            <w:gridSpan w:val="3"/>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84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标段：</w:t>
            </w:r>
          </w:p>
        </w:tc>
        <w:tc>
          <w:tcPr>
            <w:tcW w:w="2385"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第1页 共1页</w:t>
            </w:r>
          </w:p>
        </w:tc>
      </w:tr>
      <w:tr>
        <w:tblPrEx>
          <w:tblCellMar>
            <w:top w:w="0" w:type="dxa"/>
            <w:left w:w="0" w:type="dxa"/>
            <w:bottom w:w="0" w:type="dxa"/>
            <w:right w:w="0" w:type="dxa"/>
          </w:tblCellMar>
        </w:tblPrEx>
        <w:trPr>
          <w:trHeight w:val="315"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汇 总 内 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计费基础</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费率(%)</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直接费用</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1.1+1.2+1.3+1.4</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386144.81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76095.21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取费人工费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取费人工费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35048.69</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248795.47</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机械费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机械费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4224.52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取费机械费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取费机械费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3459.22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57029.61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各项费用和利润</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2.1+2.2+2.3+2.4</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43946.59</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9215.42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利润</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10053.90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总价措施项目费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总价措施项目费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5419.20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安全文明施工措施费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4859.26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2.4.1+2.4.2+2.4.3+2.4.4+2.4.5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19258.13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工程排污费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1+2.1+2.2+2.3</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1416.46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职工教育和工会经费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2620.32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4507.27</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安全生产责任险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1+2.1+2.2+2.3</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700.68</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1+2.1+2.2+2.3</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10013.40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430091.40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建安费用*税率</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33449.31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（3+4）*税率</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1457.15</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其他项目费合计</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优惠</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建安费用+销项税额+附加税额</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建安工程造价</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3+4+5+6+7</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464997.86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1365" w:hRule="atLeast"/>
        </w:trPr>
        <w:tc>
          <w:tcPr>
            <w:tcW w:w="9750" w:type="dxa"/>
            <w:gridSpan w:val="6"/>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注：1.采用一般计税法时，材料、机械台班单价均执行除税单价。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2.建安费用=直接费用+费用和利润。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3.附录F其他项目计价表列项计算汇总本项 (详F.1)。其中，材料（工程设备暂估价进入直接费用与综合单价，此处不重复汇总。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社会保险费包括养老保险费、失业保险费、医疗保险费、生育保险费和工伤保险费。</w:t>
            </w:r>
          </w:p>
        </w:tc>
      </w:tr>
    </w:tbl>
    <w:p>
      <w:pPr>
        <w:rPr>
          <w:rFonts w:hint="eastAsia"/>
        </w:rPr>
        <w:sectPr>
          <w:footerReference r:id="rId11" w:type="default"/>
          <w:endnotePr>
            <w:numFmt w:val="decimal"/>
          </w:endnotePr>
          <w:pgSz w:w="11906" w:h="16838"/>
          <w:pgMar w:top="1440" w:right="1440" w:bottom="1440" w:left="1440" w:header="851" w:footer="851" w:gutter="0"/>
          <w:pgNumType w:fmt="decimal"/>
          <w:cols w:space="720" w:num="1"/>
          <w:docGrid w:type="lines" w:linePitch="312" w:charSpace="0"/>
        </w:sectPr>
      </w:pPr>
    </w:p>
    <w:p>
      <w:pPr>
        <w:pStyle w:val="2"/>
        <w:keepNext w:val="0"/>
        <w:keepLines w:val="0"/>
        <w:pageBreakBefore w:val="0"/>
        <w:kinsoku/>
        <w:wordWrap/>
        <w:overflowPunct/>
        <w:topLinePunct w:val="0"/>
        <w:autoSpaceDE/>
        <w:autoSpaceDN/>
        <w:bidi w:val="0"/>
        <w:adjustRightInd/>
        <w:snapToGrid/>
        <w:spacing w:line="240" w:lineRule="exact"/>
        <w:rPr>
          <w:rFonts w:hint="eastAsia"/>
        </w:rPr>
      </w:pP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695"/>
        <w:gridCol w:w="3360"/>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8655"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 xml:space="preserve">E.1 </w:t>
            </w:r>
            <w:r>
              <w:rPr>
                <w:rStyle w:val="364"/>
                <w:lang w:val="en-US" w:eastAsia="zh-CN" w:bidi="ar"/>
              </w:rPr>
              <w:t>单位工程工程量清单与造价表</w:t>
            </w:r>
          </w:p>
        </w:tc>
        <w:tc>
          <w:tcPr>
            <w:tcW w:w="5160"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长沙市轨道交通运营有限公司黄兴车辆段羽毛球、乒乓球场地迁改项目</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464941.39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430045.35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33434.71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1461.33</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长沙市轨道交通运营有限公司黄兴车辆段羽毛球、乒乓球场地迁改项目</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464941.39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430045.35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33434.71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1461.33</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球场改造.</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147286.98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135489.40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11305.41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492.18</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装饰工程</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139775.33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128619.85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10691.04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464.45</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地面</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112414.05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102988.13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9033.90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392.03</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010101001001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运动场地打磨、修补</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1.规格：35.5*24.7m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2.专用缝隙填补，打磨机打磨平整（坡度控制在3‰内）</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8084.56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7619.83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17.54</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011101005001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运动场地自流平</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1.规格：35.5*24.7m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2.厚度：厚3mm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3.界面剂底涂+专用自流平水泥平整</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41422.39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37862.38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3407.44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148.19</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011103001001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乒乓球区PVC运动地胶(红色）</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1.材质、品牌：海锐，宝石纹（投标文件和供货时都需提供相关检测报告），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2.厚度：4.5mm，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3.规格：7.9m*35.5m，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4.PVC防滑、耐磨，宝石纹，底胶+V型开槽+热焊+铲平。</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39131.19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35771.40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3219.57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140.51</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695"/>
        <w:gridCol w:w="3360"/>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第2页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011103001001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羽毛球场缓冲区PVC运动地胶（绿色）</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1.材质、品牌：海锐，宝石纹（投标文件和供货时都需提供相关检测报告），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2.厚度：4.5mm，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3.规格：7.9m*35.5m，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4.PVC防滑、耐磨，宝石纹，底胶+V型开槽+热焊+铲平。</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23775.91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21734.52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85.37</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20149.80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18420.24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72.42</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011103001002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原羽毛球运动地胶迁移</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1.拆除原羽毛球运动地胶，移装至新场地指定位置重新铺贴。含清理、搬运（含叉车等，运距约1.5km）、地胶修补（底胶+V型开槽+热焊+铲平）等。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2.单片7.1m*15m，共4片。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20149.80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18420.24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72.42</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1.1.1.1.3</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包干价</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7211.48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7211.48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011505006004</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移动可调式气排球架</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1.参考尺寸：长700*宽520*高1560mm可移动式，可升降。</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011505006005</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气排球场地划线</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1.每片场地规格：12*6m，单个场地划线长度54m（12*2+6*5），界线宽为5厘米，采用耐磨高亮度油漆。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011505006006</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乒乓球挡板（含安装）</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1.型号：L1200型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2.材质：特制牛津材料 颜色：蓝色或绿色（现场确定）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重量：约2.5（kg）</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6869.55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27.73</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695"/>
        <w:gridCol w:w="3360"/>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第3页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030404033002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风扇</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商用级风扇：Φ650mm，电压220V,功率280W，转速1400rpm；安装高度离地约2m，单个风扇设独立开关控制，具体安装位置现场确定。（含控制开关、辅材等）</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3197.61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12.55</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030404035004</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球场五孔插座</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球场五孔插座220V,10A,含铺材</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0.94</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030411004005</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球场风扇电源线</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BV2.5mm2，含铺材</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030411004006</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球场插座线</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BV4mm2，含铺材</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5.22</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030411001003</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球场灯具KBG线管</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球场灯具KBG线管，含铺材</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球场灯具</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52601.14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48090.86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4319.71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190.57</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52601.14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48090.86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4319.71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190.57</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030412005001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羽毛球专业灯具</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能士光宝专业羽毛球侧灯板（投标文件和供货时都需提供相关检测报告）32套：每套6组18wLED照明灯具，光通量不低于2000lm,平均照度在500lx以上，需符合业余比赛或专业训练国家标准值。包含灯板、单、双头连接头、卡扣件、钢索绳、拉玛、接线柱、钢丝卡、管卡、紧固件等辅材。</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25978.56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23748.16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93.18</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030412005002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乒乓球专业灯具</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能士光宝乒乓球LED防眩眼灯（带磨砂罩）12套（投标文件和供货时都需提供相关检测报告）：光通量不低于1200lm，平均照度在330lx以上，需符合国家标准值。包含镀锌链、磨砂罩、接线柱、钢丝卡、管卡、紧固件等辅材。</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934.42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11213.04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10250.28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40.22</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695"/>
        <w:gridCol w:w="3360"/>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第4页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030404017001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球场灯具配电箱</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成套配电箱：含2P36A 1个、1P16A 7个及其他辅材等，参考规格尺寸：215*200*85mm（根据现场情况确定）。</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030411004001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球场灯具电线</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羽毛球、乒乓球场电线：BV2.5mm² 包辅材。（单个球场一组，单组三根电线）</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21.60</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030411001001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球场灯具线KBG20线管</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灯具电线线采用KBG20线管,包含法兰钩、三通、四通、直接、弯头等辅材</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8509.60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7779.20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30.36</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加厚遮光卷帘（超宽、超高）.</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011501001001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球场加厚遮光卷帘绒布</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3.6m*2.5m22个,含损耗、加厚、淡蓝色、遮光、隔热、防紫外线,阳光油面料</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011501001001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球场加厚遮光卷帘绒布</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2.4m*2.5m12个</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含损耗、加厚、淡蓝色、遮光、隔热、防紫外线，阳光油面料</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011502001002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进口加长加粗绳子</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高窗户数量18个，每个窗户需分成两个窗帘、增加两根拉绳，共需增加36根加粗拉绳，每根加粗绳子为13m。</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011501004001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加粗杆子</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加粗杆子总长为108m(即3.6*22+2.4*12=108m)，并含其他配件</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011501004001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承重制头</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卷帘承重制头（定制高强度，加固制头）：共34个窗户，68个窗帘，每个窗帘一个。</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更衣室改造</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174559.55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160700.15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13278.03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581.36</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695"/>
        <w:gridCol w:w="3360"/>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第5页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装饰工程</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82703.19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76540.31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257.80</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22542.38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20606.88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80.84</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011210003001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淋浴室和卫生间隔断</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1.4m*0.9m*1.8m淋浴防水隔断，含门锁、支架等五金配件及基层处理等。（隔断尺寸可根据现场情况适当调整，隔断区域与地面高差350mm，可设置一个台阶，具体现场确定）</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15922.06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14554.96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57.12</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011210006001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屏风</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1.屏风规格1.2*2.2m；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2.材质：印花钢化玻璃12mm，玫瑰金不锈钢包边，含支架等五金配件。</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7.46</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011505011001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普通水银镜子</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1.2m*2m，5mm厚</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3.22</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031004007001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成品防雾镜</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1.规格：2*1.5m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2.镜面玻璃品种、规格: 5mm厚银镜;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3.框材质、断面尺寸: 1mm厚香槟不锈钢收边;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4.基层材料种类: 18mm阻燃板;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5.暗藏LED灯带。</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1049.94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4.12</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010801002001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成品门</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1.门代号及洞口尺寸: 850*2100mm;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2.含五金件及锁具;</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4.87</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011210002002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卫生纸盒  不锈钢</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0.42</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010101001006</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洗手台</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1.箱体材质、规格: 进口浅咖啡网大理石板、600*2000*20mm;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2.基层材料种类: L5镀锌角钢支架（膨胀螺栓固定）</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695"/>
        <w:gridCol w:w="3360"/>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第6页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墙地面</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49243.23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45015.85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4050.42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176.96</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010101001009</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水泥砂浆楼地面+卫生间回填</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1.20厚1:3水泥砂浆找平层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2.回填高度：350mm；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3.回填陶瓷颗粒（含基层处理等）；</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166.59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2938.65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10.55</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011210002007</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地面防滑砖铺设</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1.结合层厚度、砂浆配合比: 40mm厚1:3水泥砂浆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2.规格、品牌：300*300mm防滑砖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3.铺贴区域含原地面及隔断抬高面，高度350mm</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8267.88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7557.80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29.66</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011210003007</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墙砖铺设</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1.面层材料品种、规格、颜色:300*600墙砖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2.部位：淋浴室内所有墙面及门、窗户内沿，铺贴高度4.7m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3.2mm瓷砖胶粘连。</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38036.70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34771.83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3129.39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136.44</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1.1.4.1.3</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包干价</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10917.58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10917.58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011501001003</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条形码型智能物品柜（24柜)</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1.规格1700*460*1800mm, 柜体料厚≥0.9mm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2.配置微电脑系统，集成智能功能,“一机一柜”：一个主柜一个附柜</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011505010001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防水卷帘</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1.更衣室窗户尺寸：2.35*2.38，数量2个，</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2.防水、防紫外线，做防水卷帘</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011503001001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更衣长凳</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1.规格：L1500mm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实木更衣长凳</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30354.31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27842.30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106.31</w:t>
            </w:r>
          </w:p>
        </w:tc>
      </w:tr>
    </w:tbl>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695"/>
        <w:gridCol w:w="3360"/>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shd w:val="clear" w:color="auto" w:fill="auto"/>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第7页 共15页</w:t>
            </w:r>
          </w:p>
        </w:tc>
      </w:tr>
      <w:tr>
        <w:tblPrEx>
          <w:shd w:val="clear" w:color="auto" w:fill="auto"/>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shd w:val="clear" w:color="auto" w:fill="auto"/>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shd w:val="clear" w:color="auto" w:fill="auto"/>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shd w:val="clear" w:color="auto" w:fill="auto"/>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1.1.4.2.1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529.37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w:t>
            </w:r>
          </w:p>
        </w:tc>
      </w:tr>
      <w:tr>
        <w:tblPrEx>
          <w:shd w:val="clear" w:color="auto" w:fill="auto"/>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011201001001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原墙漆铲除、清理</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1.含原有内墙面（约115.67m2）及门框、窗户内沿（内沿宽度按100mm计取，约2.23m2）。</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529.37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w:t>
            </w:r>
          </w:p>
        </w:tc>
      </w:tr>
      <w:tr>
        <w:tblPrEx>
          <w:shd w:val="clear" w:color="auto" w:fill="auto"/>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1.1.4.2.2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28702.94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26236.91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103.95</w:t>
            </w:r>
          </w:p>
        </w:tc>
      </w:tr>
      <w:tr>
        <w:tblPrEx>
          <w:shd w:val="clear" w:color="auto" w:fill="auto"/>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011101001002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楼(地)面和墙面防水</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1.防水膜品种: 聚氨酯；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2.涂膜厚度、遍数: 2mm聚氨酯涂膜防水2遍；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3.反边高度:全墙高4.7m；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4.防水区域包括淋浴室所有墙面（含门、窗户内沿，约239.36m2）和地面（含隔断抬高面，约56.49m2）</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14555.82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13304.37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52.07</w:t>
            </w:r>
          </w:p>
        </w:tc>
      </w:tr>
      <w:tr>
        <w:tblPrEx>
          <w:shd w:val="clear" w:color="auto" w:fill="auto"/>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010401013002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砖砌隔墙、抹灰</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 宽200mm*高4700mm*长12900mm(含两边门洞：850*2100)，砖砌墙体（包括对预留门洞的处理）、双面抹灰；与构造柱接口采用马牙槎（马牙间隔300mm，退进不少于60mm）。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 铺设拉筋：Φ8mm，贯通构造柱，铺设间距300mm，植入墙面不少于60mm（门洞处布设至门框），不少于8层，单层两根。（拉筋用量理论测算：拉筋总长度约为：12.9*8*2=206.4m，Φ8钢筋理论重量为0.395Kg/m，则拉筋重量约为：206.4*0.395=81.53kg，包干计取。）</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13308.74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12166.14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47.74</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695"/>
        <w:gridCol w:w="3360"/>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第8页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010302005002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构造柱灌注(含钢筋加工、装模、后期养护等）</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 200mm*200mm构造柱，C20，新砌墙面与构造柱采用马牙槎：间隔300mm，退进不少于60mm。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 构造柱立筋4根、Φ14mm；箍筋Φ10mm、间距150mm（约30个）；植筋深度不低于60mm、含打胶等。（ 钢筋理论用量测算：立筋总长度=立筋长度（4700+120）*数量4=19280mm，Φ14钢筋理论重量为1.21Kg/m，则立筋重量约为：19.28*1.21=23.33kg；箍筋长度约为：单个箍筋长度（190*4+200）*箍筋数量30=28800mm，Φ10钢筋理论重量为0.617Kg/m，箍筋的重量约为：28.8*0.617=17.77kg。包干计取。）</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1.1.4.2.3</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包干价</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010101003002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顶面封堵</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高度为4.70m至4.75m处（50mm）,长度：21.4m,孔洞估计50mm*50mm,估计面积为10.7m2,原子灰封堵,此项封堵采用包干计取方式。</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61502.05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56317.54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4967.26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217.25</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031004010002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不锈钢淋浴器</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不锈钢，莲蓬头及给排水附件</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10696.50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9778.10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38.37</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030404017002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电控制箱</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配电箱：63A漏电断路器，40A漏电保护器，32A漏电保护器（空气能），16A漏电保护器（卫生间），16A漏电保护器（球场插座、风扇）各一个，定制规格：400*400*85mm左右，含辅材。</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w:t>
            </w:r>
          </w:p>
        </w:tc>
      </w:tr>
    </w:tbl>
    <w:p>
      <w:pPr>
        <w:keepNext w:val="0"/>
        <w:keepLines w:val="0"/>
        <w:pageBreakBefore w:val="0"/>
        <w:widowControl/>
        <w:suppressLineNumbers w:val="0"/>
        <w:tabs>
          <w:tab w:val="left" w:pos="210"/>
        </w:tabs>
        <w:kinsoku/>
        <w:wordWrap/>
        <w:overflowPunct/>
        <w:topLinePunct w:val="0"/>
        <w:autoSpaceDE/>
        <w:autoSpaceDN/>
        <w:bidi w:val="0"/>
        <w:adjustRightInd/>
        <w:snapToGrid/>
        <w:spacing w:line="360" w:lineRule="auto"/>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695"/>
        <w:gridCol w:w="3360"/>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489"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0"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第9页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FD0205018002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空气能一体化机</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美的（投标文件和供货时都需提供相关检测报告），3匹3吨空气能一体机（含空气能主机、保温水箱、水泵、相应的管道和阀门、控制系统、配电系统、电辅热装置及其他配套设施等），技术要求不低于美的、格力或海尔同类型产品的技术标准。基本要求及参考标准如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1.电压/频率（V/HZ）：220V/50HZ或者380V/50HZ；容积：300L及以上；出水温度：不低于50°C；运行噪声低于60dB。</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2.配套控制系统（含控制箱）：操作界面查询方便、快捷。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3.保温水箱：3t水箱：采用304不锈钢板材制作，钢板厚≥1.0mm；外壁不锈钢板厚≥0.8mm；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4.含配套的循环水泵、增压泵；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5.含配套管路、阀门、压力开关、保温材料等；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6.含配套基础、托架、防水挡板等。</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31669.32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31669.32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28950.20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113.60</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030411004003</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空气能热水器主线</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空气能主线：BV6mm2电源线，含辅材</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030411004004</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淋浴室电源线</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BV2.5mm2,包含灯具线、插座线，含辅材,  1.墙体和地面电线暗敷,2.墙体和地面开槽、开孔及修复。</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030411001002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KBG管20线管</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含铁盒，锁帽等辅材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1.铁盒安装;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2.灯线线管明装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3.完成线管敷设的所有工作内容及材料费用</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2.42</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695"/>
        <w:gridCol w:w="3360"/>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第10页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031001006004</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UPVC100管</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含存水弯，弯头，三T等铺材      1.排水管道安装;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2.管件、支吊架制作安装;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3.防水套管制作安装;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4.开槽、开孔及恢复;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5.完成排水管道的所有工作内容及材料费用;</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031001006005</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UPVC75管</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含存水弯，弯头，三T等铺材        1.排水管道安装;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2.管件、支吊架制作安装;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3.防水套管制作安装;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4.开槽、开孔及恢复;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5.完成排水管道的所有工作内容及材料费用;</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4.34</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031001006006</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热水管PPR25</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含弯头、直接、三T、定位架、内丝弯、堵头等辅材                           1.给水管道暗装敷设;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2.管件、支吊架制作安装;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3.管道冲洗、消毒及压力试验;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4.防水套管制作安装;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5.开槽、开孔及恢复;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6.完成给水管道的所有工作内容及材料费用;</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4.08</w:t>
            </w:r>
          </w:p>
        </w:tc>
      </w:tr>
    </w:tbl>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577"/>
        <w:gridCol w:w="3478"/>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0"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第11页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5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90"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031001006007</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热水管PPR32</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含弯头、直接、三T、定位架、内丝弯、堵头等辅材                           1.给水管道暗装敷设;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2.管件、支吊架制作安装;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3.管道冲洗、消毒及压力试验;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4.防水套管制作安装;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5.开槽、开孔及恢复;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6.完成给水管道的所有工作内容及材料费用;</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4.14</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020110002002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冷水管PPR25</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含弯头、直接、三T、定位架、内丝弯、堵头等辅材                         1.给水管道暗装敷设;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2.管件、支吊架制作安装;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3.管道冲洗、消毒及压力试验;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4.防水套管制作安装;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5.开槽、开孔及恢复;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6.完成给水管道的所有工作内容及材料费用;</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6.80</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040101002003</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排水管沟开挖与回填（包干）</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含挖沟、回填、草皮恢复及其他零星工程；挖沟：深度400mm,宽300mm；包干计取（长度约8m）。</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040101002004</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墙体开孔</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冷热水管开孔：直径约32mm,数量2个；排水管墙体开孔：直径约100mm,数量1个；原水沟开挖：面积约1.5m2,修复面积约1.5m2,采用包干计取方式。</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FD0205014002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不锈钢地漏</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不锈钢地漏，DN50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2.63</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030404035002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防水地插</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防水五孔插座，包含底盒。1.型号：250V 10A；2.安装方式：暗装</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577"/>
        <w:gridCol w:w="3478"/>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第12页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5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030404035003</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插座</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五孔插座，包含底盒。1.型号：250V 10A；</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2.安装方式：暗装</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0.21</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040801029002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开关</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双联单控开关，包含底盒。1.型号：250V 10A；2.安装方式：暗装</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011501002002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换气扇</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300*300含换气扇、墙面/窗户开孔、加长管道、电源线路等</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3.42</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031004006002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蹲便器</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材质：瓷质，参考尺寸：520x420，含水箱、零配件等。</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556.73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7.99</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030412004002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防爆灯</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1.名称：防爆灯；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2.规格：18W；</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1458.60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5.72</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031004003002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洗手盆</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洗手盆材质：陶瓷，参考尺寸：520*400*233mm(带水龙头、下水管、下水等)</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629.70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1726.89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6.78</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031004008002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拖把池</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成品拖把池，规格：长宽400mm-500mm高500mm-600mm(带水龙头、下水管、下水等)</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会议室</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44779.18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40933.60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3685.26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160.32</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装饰工程</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9263.79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8468.21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33.23</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011103001003</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PVC运动地胶(红色）</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1.材质、品牌：海锐，宝石纹（投标文件和供货时都需提供相关检测报告），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2.厚度：4.5mm，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3.规格：6.2m*8m，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4.PVC防滑、耐磨，宝石纹，底胶+V型开槽+热焊+铲平。</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6920.69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6326.48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24.85</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577"/>
        <w:gridCol w:w="3478"/>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第13页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5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011101005002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自流平</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1.规格：35.5*24.7m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2.厚度：厚3mm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3.界面剂底涂+专用自流平水泥平整</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8.38</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35515.39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32465.39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127.09</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030506004002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全频喇叭（环绕球场周边安装）</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广州迪士普（投标文件和供货时都需提供相关检测报告），性能不低于DSPPA DSP308型号   1、通过防水认证等认证，适宜室内外使用；2、采用铝质面网，不生锈；3、 选用优质高灵敏度、高动态范围扬声器，二分频结构。</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3146.93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18881.58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17260.38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67.73</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030506001004</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前置放大器</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广州迪士普（投标文件和供货时都需提供相关检测报告），性能不低于DSPPA MP9811型号   1 、多种、多个输入/输出口：5个话筒口；3个辅助口；2个优先口；4个输出口。2、各通道独立音量控制。3、高音和低音音调控制。4、 自动默音（有强插功能）。</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4832.64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4832.64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4417.71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17.34</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030506001005</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纯后级功放</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广州迪士普（投标文件和供货时都需提供相关检测报告），性能不低于DSPPA MP2500P型号   1、100V、70V定压输出和P1输出（平衡、不接地）。2、5 单位LED 显示器，作状态显示 3、 6.35mm插口和 XLR 插口可方便地实现环接。4、输出短路保护并示警。5、 一系列大功率纯后级可供选择。</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4832.64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4832.64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4417.71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17.34</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577"/>
        <w:gridCol w:w="3478"/>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第14页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5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030506001006</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真分集无线话筒（标配两个话筒全场无缝对接麦克风）</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性能不低于MAXSON LF3000   真分集无线系统采用全新的无线数字导频技术,具有卓越的音质和超强的控制功能.这是一款专业演出级无线话筒，系统采用同频段设计，两个发射机可互换使用，可供超过100套系统同场使用。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·全新的无线数字导频技术。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·自动跟踪调谐技术，保证系统在任何频率工作时保持最佳的选择性。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·LCD显示，可同时显示发射器的电池电量，所有工作状态一目了然。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·数字音量控制系统，轻触式按钮控制，易于设定和操作。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·红外线数据同步装置，具自动搜索空闲频道功能。</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11.77</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030502005002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线材</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国标2*1.0   300支音响线，含线管 接头 线卡 胶布等辅材</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4.40</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040801005002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机柜</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图腾1000*600 豪华型玻璃门机柜</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8.90</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13686.54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12803.34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36.90</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577"/>
        <w:gridCol w:w="3478"/>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第15页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5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021001001001</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其他措施项、零星工程（包干计取）</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1.施工场地线盘清理：FS/FY-WDEA-YJY63型150mm2电缆（500m/盘）和300mm2电缆（1000m/盘）各两盘，运距1000m以内。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2.脚手架：整个改造区域内均涉及需搭建移动脚手架的高空作业，面积约为942m2；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成品保护：面积约为942m2；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垃圾清运：约20个立方左右（包括铲除、开挖、施工损耗、施工完毕后垃圾等）；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 二次搬运、卫生等及其他零星工程；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 以上内容包干计取一项。</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13686.54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13686.54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12803.34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36.90</w:t>
            </w:r>
          </w:p>
        </w:tc>
      </w:tr>
      <w:tr>
        <w:tblPrEx>
          <w:tblCellMar>
            <w:top w:w="0" w:type="dxa"/>
            <w:left w:w="0" w:type="dxa"/>
            <w:bottom w:w="0" w:type="dxa"/>
            <w:right w:w="0" w:type="dxa"/>
          </w:tblCellMar>
        </w:tblPrEx>
        <w:trPr>
          <w:trHeight w:val="283"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Microsoft Sans Serif" w:hAnsi="Microsoft Sans Serif" w:eastAsia="Microsoft Sans Serif" w:cs="Microsoft Sans Serif"/>
                <w:i w:val="0"/>
                <w:color w:val="000000"/>
                <w:sz w:val="18"/>
                <w:szCs w:val="18"/>
                <w:u w:val="none"/>
              </w:rPr>
            </w:pPr>
            <w:r>
              <w:rPr>
                <w:rFonts w:hint="default" w:ascii="Microsoft Sans Serif" w:hAnsi="Microsoft Sans Serif" w:eastAsia="Microsoft Sans Serif" w:cs="Microsoft Sans Serif"/>
                <w:i w:val="0"/>
                <w:color w:val="000000"/>
                <w:kern w:val="0"/>
                <w:sz w:val="18"/>
                <w:szCs w:val="18"/>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464941.39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430045.35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33434.71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1461.33</w:t>
            </w:r>
          </w:p>
        </w:tc>
      </w:tr>
    </w:tbl>
    <w:p>
      <w:pPr>
        <w:pStyle w:val="2"/>
        <w:rPr>
          <w:rFonts w:hint="eastAsia"/>
        </w:rPr>
        <w:sectPr>
          <w:endnotePr>
            <w:numFmt w:val="decimal"/>
          </w:endnotePr>
          <w:pgSz w:w="16838" w:h="11906" w:orient="landscape"/>
          <w:pgMar w:top="1440" w:right="1440" w:bottom="1440" w:left="1440" w:header="851" w:footer="851" w:gutter="0"/>
          <w:pgNumType w:fmt="decimal"/>
          <w:cols w:space="720" w:num="1"/>
          <w:docGrid w:type="lines" w:linePitch="312" w:charSpace="0"/>
        </w:sectPr>
      </w:pPr>
    </w:p>
    <w:p>
      <w:pPr>
        <w:pStyle w:val="3"/>
        <w:keepNext w:val="0"/>
        <w:rPr>
          <w:rFonts w:hint="eastAsia" w:ascii="宋体" w:hAnsi="宋体" w:eastAsia="宋体" w:cs="宋体"/>
          <w:bCs w:val="0"/>
          <w:color w:val="auto"/>
          <w:sz w:val="32"/>
          <w:szCs w:val="32"/>
        </w:rPr>
      </w:pPr>
      <w:r>
        <w:rPr>
          <w:rFonts w:hint="eastAsia" w:ascii="宋体" w:hAnsi="宋体" w:eastAsia="宋体" w:cs="宋体"/>
          <w:bCs w:val="0"/>
          <w:color w:val="auto"/>
          <w:sz w:val="32"/>
          <w:szCs w:val="32"/>
        </w:rPr>
        <w:t>第</w:t>
      </w:r>
      <w:r>
        <w:rPr>
          <w:rFonts w:hint="eastAsia" w:ascii="宋体" w:hAnsi="宋体" w:cs="宋体"/>
          <w:bCs w:val="0"/>
          <w:color w:val="auto"/>
          <w:sz w:val="32"/>
          <w:szCs w:val="32"/>
          <w:lang w:eastAsia="zh-CN"/>
        </w:rPr>
        <w:t>六</w:t>
      </w:r>
      <w:r>
        <w:rPr>
          <w:rFonts w:hint="eastAsia" w:ascii="宋体" w:hAnsi="宋体" w:eastAsia="宋体" w:cs="宋体"/>
          <w:bCs w:val="0"/>
          <w:color w:val="auto"/>
          <w:sz w:val="32"/>
          <w:szCs w:val="32"/>
        </w:rPr>
        <w:t xml:space="preserve">章 </w:t>
      </w:r>
      <w:r>
        <w:rPr>
          <w:rFonts w:hint="eastAsia" w:ascii="宋体" w:hAnsi="宋体" w:cs="宋体"/>
          <w:bCs w:val="0"/>
          <w:color w:val="auto"/>
          <w:sz w:val="32"/>
          <w:szCs w:val="32"/>
          <w:lang w:val="en-US" w:eastAsia="zh-CN"/>
        </w:rPr>
        <w:t xml:space="preserve"> </w:t>
      </w:r>
      <w:r>
        <w:rPr>
          <w:rFonts w:hint="eastAsia" w:ascii="宋体" w:hAnsi="宋体" w:eastAsia="宋体" w:cs="宋体"/>
          <w:bCs w:val="0"/>
          <w:color w:val="auto"/>
          <w:sz w:val="32"/>
          <w:szCs w:val="32"/>
        </w:rPr>
        <w:t>合同格式条款</w:t>
      </w:r>
      <w:bookmarkEnd w:id="166"/>
      <w:bookmarkEnd w:id="167"/>
      <w:bookmarkEnd w:id="168"/>
      <w:bookmarkEnd w:id="169"/>
      <w:bookmarkEnd w:id="170"/>
    </w:p>
    <w:p>
      <w:pPr>
        <w:rPr>
          <w:rFonts w:hint="eastAsia" w:ascii="宋体" w:hAnsi="宋体" w:eastAsia="宋体" w:cs="宋体"/>
          <w:bCs w:val="0"/>
          <w:color w:val="auto"/>
          <w:sz w:val="32"/>
          <w:szCs w:val="32"/>
        </w:rPr>
      </w:pPr>
    </w:p>
    <w:p>
      <w:pPr>
        <w:adjustRightInd w:val="0"/>
        <w:snapToGrid w:val="0"/>
        <w:spacing w:line="360" w:lineRule="auto"/>
        <w:ind w:firstLine="2880" w:firstLineChars="1200"/>
        <w:jc w:val="right"/>
        <w:outlineLvl w:val="9"/>
        <w:rPr>
          <w:rFonts w:hint="eastAsia" w:ascii="仿宋" w:hAnsi="仿宋" w:eastAsia="仿宋" w:cs="仿宋"/>
          <w:sz w:val="22"/>
          <w:szCs w:val="18"/>
        </w:rPr>
      </w:pPr>
      <w:r>
        <w:rPr>
          <w:rFonts w:hint="eastAsia" w:ascii="仿宋" w:hAnsi="仿宋" w:eastAsia="仿宋" w:cs="仿宋"/>
          <w:sz w:val="24"/>
        </w:rPr>
        <w:t>合同编号:长轨运</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工合[20</w:t>
      </w:r>
      <w:r>
        <w:rPr>
          <w:rFonts w:hint="eastAsia" w:ascii="仿宋" w:hAnsi="仿宋" w:eastAsia="仿宋" w:cs="仿宋"/>
          <w:sz w:val="24"/>
          <w:lang w:val="en-US" w:eastAsia="zh-CN"/>
        </w:rPr>
        <w:t xml:space="preserve">  </w:t>
      </w:r>
      <w:r>
        <w:rPr>
          <w:rFonts w:hint="eastAsia" w:ascii="仿宋" w:hAnsi="仿宋" w:eastAsia="仿宋" w:cs="仿宋"/>
          <w:sz w:val="24"/>
        </w:rPr>
        <w:t>]</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号</w:t>
      </w:r>
    </w:p>
    <w:p>
      <w:pPr>
        <w:adjustRightInd w:val="0"/>
        <w:snapToGrid w:val="0"/>
        <w:spacing w:line="360" w:lineRule="auto"/>
        <w:outlineLvl w:val="9"/>
        <w:rPr>
          <w:rFonts w:hint="eastAsia" w:ascii="仿宋" w:hAnsi="仿宋" w:eastAsia="仿宋" w:cs="仿宋"/>
          <w:b/>
          <w:sz w:val="18"/>
          <w:szCs w:val="18"/>
        </w:rPr>
      </w:pPr>
    </w:p>
    <w:p>
      <w:pPr>
        <w:adjustRightInd w:val="0"/>
        <w:snapToGrid w:val="0"/>
        <w:spacing w:line="360" w:lineRule="auto"/>
        <w:outlineLvl w:val="9"/>
        <w:rPr>
          <w:rFonts w:hint="eastAsia" w:ascii="仿宋" w:hAnsi="仿宋" w:eastAsia="仿宋" w:cs="仿宋"/>
          <w:b/>
          <w:sz w:val="18"/>
          <w:szCs w:val="18"/>
        </w:rPr>
      </w:pPr>
    </w:p>
    <w:p>
      <w:pPr>
        <w:adjustRightInd w:val="0"/>
        <w:snapToGrid w:val="0"/>
        <w:spacing w:line="360" w:lineRule="auto"/>
        <w:outlineLvl w:val="9"/>
        <w:rPr>
          <w:rFonts w:hint="eastAsia" w:ascii="仿宋" w:hAnsi="仿宋" w:eastAsia="仿宋" w:cs="仿宋"/>
          <w:b/>
          <w:sz w:val="18"/>
          <w:szCs w:val="18"/>
        </w:rPr>
      </w:pPr>
    </w:p>
    <w:p>
      <w:pPr>
        <w:adjustRightInd w:val="0"/>
        <w:snapToGrid w:val="0"/>
        <w:spacing w:line="360" w:lineRule="auto"/>
        <w:outlineLvl w:val="9"/>
        <w:rPr>
          <w:rFonts w:hint="eastAsia" w:ascii="仿宋" w:hAnsi="仿宋" w:eastAsia="仿宋" w:cs="仿宋"/>
          <w:b/>
          <w:sz w:val="18"/>
          <w:szCs w:val="18"/>
        </w:rPr>
      </w:pPr>
    </w:p>
    <w:p>
      <w:pPr>
        <w:adjustRightInd w:val="0"/>
        <w:snapToGrid w:val="0"/>
        <w:spacing w:line="360" w:lineRule="auto"/>
        <w:outlineLvl w:val="9"/>
        <w:rPr>
          <w:rFonts w:hint="eastAsia" w:ascii="仿宋" w:hAnsi="仿宋" w:eastAsia="仿宋" w:cs="仿宋"/>
          <w:b/>
          <w:sz w:val="18"/>
          <w:szCs w:val="18"/>
        </w:rPr>
      </w:pPr>
    </w:p>
    <w:p>
      <w:pPr>
        <w:adjustRightInd w:val="0"/>
        <w:snapToGrid w:val="0"/>
        <w:spacing w:line="360" w:lineRule="auto"/>
        <w:jc w:val="center"/>
        <w:outlineLvl w:val="9"/>
        <w:rPr>
          <w:rFonts w:hint="eastAsia" w:ascii="仿宋" w:hAnsi="仿宋" w:eastAsia="仿宋" w:cs="仿宋"/>
          <w:b/>
          <w:sz w:val="48"/>
          <w:szCs w:val="48"/>
        </w:rPr>
      </w:pPr>
      <w:r>
        <w:rPr>
          <w:rFonts w:hint="eastAsia" w:ascii="仿宋" w:hAnsi="仿宋" w:eastAsia="仿宋" w:cs="仿宋"/>
          <w:b/>
          <w:spacing w:val="20"/>
          <w:sz w:val="52"/>
          <w:szCs w:val="52"/>
        </w:rPr>
        <w:t>工程项目合同</w:t>
      </w:r>
    </w:p>
    <w:p>
      <w:pPr>
        <w:adjustRightInd w:val="0"/>
        <w:snapToGrid w:val="0"/>
        <w:spacing w:line="360" w:lineRule="auto"/>
        <w:ind w:left="0" w:leftChars="0" w:firstLine="421" w:firstLineChars="233"/>
        <w:outlineLvl w:val="9"/>
        <w:rPr>
          <w:rFonts w:hint="eastAsia" w:ascii="仿宋" w:hAnsi="仿宋" w:eastAsia="仿宋" w:cs="仿宋"/>
          <w:b/>
          <w:sz w:val="18"/>
          <w:szCs w:val="18"/>
        </w:rPr>
      </w:pPr>
    </w:p>
    <w:p>
      <w:pPr>
        <w:adjustRightInd w:val="0"/>
        <w:snapToGrid w:val="0"/>
        <w:spacing w:line="360" w:lineRule="auto"/>
        <w:ind w:left="0" w:leftChars="0" w:firstLine="421" w:firstLineChars="233"/>
        <w:outlineLvl w:val="9"/>
        <w:rPr>
          <w:rFonts w:hint="eastAsia" w:ascii="仿宋" w:hAnsi="仿宋" w:eastAsia="仿宋" w:cs="仿宋"/>
          <w:b/>
          <w:sz w:val="18"/>
          <w:szCs w:val="18"/>
        </w:rPr>
      </w:pPr>
    </w:p>
    <w:p>
      <w:pPr>
        <w:adjustRightInd w:val="0"/>
        <w:snapToGrid w:val="0"/>
        <w:spacing w:line="360" w:lineRule="auto"/>
        <w:ind w:left="0" w:leftChars="0" w:firstLine="421" w:firstLineChars="233"/>
        <w:outlineLvl w:val="9"/>
        <w:rPr>
          <w:rFonts w:hint="eastAsia" w:ascii="仿宋" w:hAnsi="仿宋" w:eastAsia="仿宋" w:cs="仿宋"/>
          <w:b/>
          <w:sz w:val="18"/>
          <w:szCs w:val="18"/>
        </w:rPr>
      </w:pPr>
    </w:p>
    <w:p>
      <w:pPr>
        <w:adjustRightInd w:val="0"/>
        <w:snapToGrid w:val="0"/>
        <w:spacing w:line="360" w:lineRule="auto"/>
        <w:ind w:left="0" w:leftChars="0" w:firstLine="421" w:firstLineChars="233"/>
        <w:outlineLvl w:val="9"/>
        <w:rPr>
          <w:rFonts w:hint="eastAsia" w:ascii="仿宋" w:hAnsi="仿宋" w:eastAsia="仿宋" w:cs="仿宋"/>
          <w:b/>
          <w:sz w:val="18"/>
          <w:szCs w:val="18"/>
        </w:rPr>
      </w:pPr>
    </w:p>
    <w:p>
      <w:pPr>
        <w:spacing w:line="360" w:lineRule="auto"/>
        <w:ind w:left="0" w:leftChars="0" w:firstLine="655" w:firstLineChars="233"/>
        <w:jc w:val="both"/>
        <w:outlineLvl w:val="9"/>
        <w:rPr>
          <w:rFonts w:hint="eastAsia" w:ascii="仿宋" w:hAnsi="仿宋" w:eastAsia="仿宋" w:cs="仿宋"/>
          <w:b/>
          <w:sz w:val="28"/>
          <w:szCs w:val="28"/>
        </w:rPr>
      </w:pPr>
      <w:r>
        <w:rPr>
          <w:rFonts w:hint="eastAsia" w:ascii="仿宋" w:hAnsi="仿宋" w:eastAsia="仿宋" w:cs="仿宋"/>
          <w:b/>
          <w:sz w:val="28"/>
          <w:szCs w:val="28"/>
        </w:rPr>
        <w:t>项目名称：</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p>
    <w:p>
      <w:pPr>
        <w:adjustRightInd w:val="0"/>
        <w:snapToGrid w:val="0"/>
        <w:spacing w:line="360" w:lineRule="auto"/>
        <w:ind w:left="0" w:leftChars="0" w:firstLine="655" w:firstLineChars="233"/>
        <w:jc w:val="left"/>
        <w:outlineLvl w:val="9"/>
        <w:rPr>
          <w:rFonts w:hint="eastAsia" w:ascii="仿宋" w:hAnsi="仿宋" w:eastAsia="仿宋" w:cs="仿宋"/>
          <w:b/>
          <w:sz w:val="28"/>
          <w:szCs w:val="28"/>
        </w:rPr>
      </w:pPr>
    </w:p>
    <w:p>
      <w:pPr>
        <w:adjustRightInd w:val="0"/>
        <w:snapToGrid w:val="0"/>
        <w:spacing w:line="360" w:lineRule="auto"/>
        <w:ind w:left="0" w:leftChars="0" w:firstLine="655" w:firstLineChars="233"/>
        <w:jc w:val="left"/>
        <w:outlineLvl w:val="9"/>
        <w:rPr>
          <w:rFonts w:hint="eastAsia" w:ascii="仿宋" w:hAnsi="仿宋" w:eastAsia="仿宋" w:cs="仿宋"/>
          <w:b/>
          <w:sz w:val="28"/>
          <w:szCs w:val="28"/>
        </w:rPr>
      </w:pPr>
    </w:p>
    <w:p>
      <w:pPr>
        <w:adjustRightInd w:val="0"/>
        <w:snapToGrid w:val="0"/>
        <w:spacing w:line="360" w:lineRule="auto"/>
        <w:ind w:left="0" w:leftChars="0" w:firstLine="655" w:firstLineChars="233"/>
        <w:jc w:val="left"/>
        <w:outlineLvl w:val="9"/>
        <w:rPr>
          <w:rFonts w:hint="eastAsia" w:ascii="仿宋" w:hAnsi="仿宋" w:eastAsia="仿宋" w:cs="仿宋"/>
          <w:b/>
          <w:sz w:val="28"/>
          <w:szCs w:val="28"/>
        </w:rPr>
      </w:pPr>
    </w:p>
    <w:p>
      <w:pPr>
        <w:adjustRightInd w:val="0"/>
        <w:snapToGrid w:val="0"/>
        <w:spacing w:line="360" w:lineRule="auto"/>
        <w:ind w:left="0" w:leftChars="0" w:firstLine="655" w:firstLineChars="233"/>
        <w:jc w:val="left"/>
        <w:outlineLvl w:val="9"/>
        <w:rPr>
          <w:rFonts w:hint="eastAsia" w:ascii="仿宋" w:hAnsi="仿宋" w:eastAsia="仿宋" w:cs="仿宋"/>
          <w:b/>
          <w:sz w:val="28"/>
          <w:szCs w:val="28"/>
        </w:rPr>
      </w:pPr>
      <w:r>
        <w:rPr>
          <w:rFonts w:hint="eastAsia" w:ascii="仿宋" w:hAnsi="仿宋" w:eastAsia="仿宋" w:cs="仿宋"/>
          <w:b/>
          <w:sz w:val="28"/>
          <w:szCs w:val="28"/>
        </w:rPr>
        <w:t>工程地点：</w:t>
      </w:r>
      <w:r>
        <w:rPr>
          <w:rFonts w:hint="eastAsia" w:ascii="仿宋" w:hAnsi="仿宋" w:eastAsia="仿宋" w:cs="仿宋"/>
          <w:b/>
          <w:sz w:val="28"/>
          <w:szCs w:val="28"/>
          <w:u w:val="dotted"/>
        </w:rPr>
        <w:t>湖南省长沙市</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outlineLvl w:val="9"/>
        <w:rPr>
          <w:rFonts w:hint="eastAsia" w:ascii="仿宋" w:hAnsi="仿宋" w:eastAsia="仿宋" w:cs="仿宋"/>
          <w:b/>
          <w:sz w:val="28"/>
          <w:szCs w:val="28"/>
        </w:rPr>
      </w:pPr>
    </w:p>
    <w:p>
      <w:pPr>
        <w:adjustRightInd w:val="0"/>
        <w:snapToGrid w:val="0"/>
        <w:spacing w:line="360" w:lineRule="auto"/>
        <w:ind w:left="0" w:leftChars="0" w:firstLine="655" w:firstLineChars="233"/>
        <w:jc w:val="left"/>
        <w:outlineLvl w:val="9"/>
        <w:rPr>
          <w:rFonts w:hint="eastAsia" w:ascii="仿宋" w:hAnsi="仿宋" w:eastAsia="仿宋" w:cs="仿宋"/>
          <w:b/>
          <w:sz w:val="28"/>
          <w:szCs w:val="28"/>
        </w:rPr>
      </w:pPr>
    </w:p>
    <w:p>
      <w:pPr>
        <w:adjustRightInd w:val="0"/>
        <w:snapToGrid w:val="0"/>
        <w:spacing w:line="360" w:lineRule="auto"/>
        <w:ind w:left="0" w:leftChars="0" w:firstLine="655" w:firstLineChars="233"/>
        <w:jc w:val="left"/>
        <w:outlineLvl w:val="9"/>
        <w:rPr>
          <w:rFonts w:hint="eastAsia" w:ascii="仿宋" w:hAnsi="仿宋" w:eastAsia="仿宋" w:cs="仿宋"/>
          <w:b/>
          <w:sz w:val="28"/>
          <w:szCs w:val="28"/>
        </w:rPr>
      </w:pPr>
    </w:p>
    <w:p>
      <w:pPr>
        <w:adjustRightInd w:val="0"/>
        <w:snapToGrid w:val="0"/>
        <w:spacing w:line="360" w:lineRule="auto"/>
        <w:ind w:left="0" w:leftChars="0" w:firstLine="655" w:firstLineChars="233"/>
        <w:jc w:val="left"/>
        <w:outlineLvl w:val="9"/>
        <w:rPr>
          <w:rFonts w:hint="eastAsia" w:ascii="仿宋" w:hAnsi="仿宋" w:eastAsia="仿宋" w:cs="仿宋"/>
          <w:b/>
          <w:sz w:val="28"/>
          <w:szCs w:val="28"/>
        </w:rPr>
      </w:pPr>
      <w:r>
        <w:rPr>
          <w:rFonts w:hint="eastAsia" w:ascii="仿宋" w:hAnsi="仿宋" w:eastAsia="仿宋" w:cs="仿宋"/>
          <w:b/>
          <w:sz w:val="28"/>
          <w:szCs w:val="28"/>
        </w:rPr>
        <w:t>甲方：</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outlineLvl w:val="9"/>
        <w:rPr>
          <w:rFonts w:hint="eastAsia" w:ascii="仿宋" w:hAnsi="仿宋" w:eastAsia="仿宋" w:cs="仿宋"/>
          <w:b/>
          <w:sz w:val="28"/>
          <w:szCs w:val="28"/>
        </w:rPr>
      </w:pP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outlineLvl w:val="9"/>
        <w:rPr>
          <w:rFonts w:hint="eastAsia" w:ascii="仿宋" w:hAnsi="仿宋" w:eastAsia="仿宋" w:cs="仿宋"/>
          <w:b/>
          <w:sz w:val="28"/>
          <w:szCs w:val="28"/>
        </w:rPr>
      </w:pPr>
      <w:r>
        <w:rPr>
          <w:rFonts w:hint="eastAsia" w:ascii="仿宋" w:hAnsi="仿宋" w:eastAsia="仿宋" w:cs="仿宋"/>
          <w:b/>
          <w:sz w:val="28"/>
          <w:szCs w:val="28"/>
        </w:rPr>
        <w:t>乙方：</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ind w:left="0" w:leftChars="0" w:firstLine="421" w:firstLineChars="233"/>
        <w:outlineLvl w:val="9"/>
        <w:rPr>
          <w:rFonts w:hint="eastAsia" w:ascii="仿宋" w:hAnsi="仿宋" w:eastAsia="仿宋" w:cs="仿宋"/>
          <w:b/>
          <w:sz w:val="18"/>
          <w:szCs w:val="18"/>
        </w:rPr>
      </w:pPr>
    </w:p>
    <w:p>
      <w:pPr>
        <w:adjustRightInd w:val="0"/>
        <w:snapToGrid w:val="0"/>
        <w:spacing w:line="360" w:lineRule="auto"/>
        <w:jc w:val="both"/>
        <w:outlineLvl w:val="9"/>
        <w:rPr>
          <w:rFonts w:hint="eastAsia" w:ascii="仿宋" w:hAnsi="仿宋" w:eastAsia="仿宋" w:cs="仿宋"/>
          <w:b/>
          <w:sz w:val="24"/>
        </w:rPr>
      </w:pPr>
    </w:p>
    <w:p>
      <w:pPr>
        <w:adjustRightInd w:val="0"/>
        <w:snapToGrid w:val="0"/>
        <w:spacing w:line="360" w:lineRule="auto"/>
        <w:outlineLvl w:val="9"/>
        <w:rPr>
          <w:rFonts w:hint="eastAsia" w:ascii="仿宋" w:hAnsi="仿宋" w:eastAsia="仿宋" w:cs="仿宋"/>
          <w:b/>
          <w:sz w:val="24"/>
          <w:szCs w:val="24"/>
        </w:rPr>
        <w:sectPr>
          <w:footerReference r:id="rId12" w:type="default"/>
          <w:endnotePr>
            <w:numFmt w:val="decimal"/>
          </w:endnotePr>
          <w:pgSz w:w="11906" w:h="16838"/>
          <w:pgMar w:top="1440" w:right="1440" w:bottom="1440" w:left="1440" w:header="851" w:footer="851" w:gutter="0"/>
          <w:pgNumType w:fmt="decimal"/>
          <w:cols w:space="720" w:num="1"/>
          <w:docGrid w:type="lines" w:linePitch="312" w:charSpace="0"/>
        </w:sectPr>
      </w:pPr>
    </w:p>
    <w:p>
      <w:pPr>
        <w:pageBreakBefore w:val="0"/>
        <w:numPr>
          <w:ilvl w:val="0"/>
          <w:numId w:val="0"/>
        </w:numPr>
        <w:tabs>
          <w:tab w:val="left" w:pos="2799"/>
        </w:tabs>
        <w:kinsoku/>
        <w:overflowPunct/>
        <w:bidi w:val="0"/>
        <w:spacing w:line="400" w:lineRule="exact"/>
        <w:ind w:leftChars="0" w:right="0" w:rightChars="0"/>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第一部分 合同协议书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sz w:val="24"/>
          <w:szCs w:val="24"/>
          <w:u w:val="dotted"/>
        </w:rPr>
      </w:pPr>
      <w:r>
        <w:rPr>
          <w:rFonts w:hint="eastAsia" w:ascii="宋体" w:hAnsi="宋体" w:eastAsia="宋体" w:cs="宋体"/>
          <w:b/>
          <w:sz w:val="24"/>
          <w:szCs w:val="24"/>
        </w:rPr>
        <w:t>发包人（全称）:</w:t>
      </w:r>
      <w:r>
        <w:rPr>
          <w:rFonts w:hint="eastAsia" w:ascii="宋体" w:hAnsi="宋体" w:eastAsia="宋体" w:cs="宋体"/>
          <w:bCs/>
          <w:snapToGrid w:val="0"/>
          <w:kern w:val="0"/>
          <w:sz w:val="24"/>
          <w:szCs w:val="24"/>
          <w:u w:val="single"/>
        </w:rPr>
        <w:t xml:space="preserve"> </w:t>
      </w:r>
      <w:r>
        <w:rPr>
          <w:rFonts w:hint="eastAsia" w:ascii="宋体" w:hAnsi="宋体" w:eastAsia="宋体" w:cs="宋体"/>
          <w:bCs/>
          <w:snapToGrid w:val="0"/>
          <w:kern w:val="0"/>
          <w:sz w:val="24"/>
          <w:szCs w:val="24"/>
          <w:u w:val="single"/>
          <w:lang w:val="en-US" w:eastAsia="zh-CN"/>
        </w:rPr>
        <w:t xml:space="preserve">                    </w:t>
      </w:r>
      <w:r>
        <w:rPr>
          <w:rFonts w:hint="eastAsia" w:ascii="宋体" w:hAnsi="宋体" w:eastAsia="宋体" w:cs="宋体"/>
          <w:bCs/>
          <w:snapToGrid w:val="0"/>
          <w:kern w:val="0"/>
          <w:sz w:val="24"/>
          <w:szCs w:val="24"/>
          <w:u w:val="single"/>
        </w:rPr>
        <w:t xml:space="preserve">  </w:t>
      </w:r>
      <w:r>
        <w:rPr>
          <w:rFonts w:hint="eastAsia" w:ascii="宋体" w:hAnsi="宋体" w:eastAsia="宋体" w:cs="宋体"/>
          <w:bCs/>
          <w:snapToGrid w:val="0"/>
          <w:kern w:val="0"/>
          <w:sz w:val="24"/>
          <w:szCs w:val="24"/>
          <w:u w:val="none"/>
          <w:lang w:eastAsia="zh-CN"/>
        </w:rPr>
        <w:t>（以下简称甲方）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sz w:val="24"/>
          <w:szCs w:val="24"/>
          <w:u w:val="dotted"/>
        </w:rPr>
      </w:pPr>
      <w:r>
        <w:rPr>
          <w:rFonts w:hint="eastAsia" w:ascii="宋体" w:hAnsi="宋体" w:eastAsia="宋体" w:cs="宋体"/>
          <w:b/>
          <w:sz w:val="24"/>
          <w:szCs w:val="24"/>
        </w:rPr>
        <w:t>承包人（全称）</w:t>
      </w:r>
      <w:r>
        <w:rPr>
          <w:rFonts w:hint="eastAsia" w:ascii="宋体" w:hAnsi="宋体" w:eastAsia="宋体" w:cs="宋体"/>
          <w:bCs/>
          <w:snapToGrid w:val="0"/>
          <w:kern w:val="0"/>
          <w:sz w:val="24"/>
          <w:szCs w:val="24"/>
        </w:rPr>
        <w:t>:</w:t>
      </w:r>
      <w:r>
        <w:rPr>
          <w:rFonts w:hint="eastAsia" w:ascii="宋体" w:hAnsi="宋体" w:eastAsia="宋体" w:cs="宋体"/>
          <w:bCs/>
          <w:snapToGrid w:val="0"/>
          <w:kern w:val="0"/>
          <w:sz w:val="24"/>
          <w:szCs w:val="24"/>
          <w:u w:val="single"/>
        </w:rPr>
        <w:t xml:space="preserve"> </w:t>
      </w:r>
      <w:r>
        <w:rPr>
          <w:rFonts w:hint="eastAsia" w:ascii="宋体" w:hAnsi="宋体" w:eastAsia="宋体" w:cs="宋体"/>
          <w:bCs/>
          <w:snapToGrid w:val="0"/>
          <w:kern w:val="0"/>
          <w:sz w:val="24"/>
          <w:szCs w:val="24"/>
          <w:u w:val="single"/>
          <w:lang w:val="en-US" w:eastAsia="zh-CN"/>
        </w:rPr>
        <w:t xml:space="preserve">                     </w:t>
      </w:r>
      <w:r>
        <w:rPr>
          <w:rFonts w:hint="eastAsia" w:ascii="宋体" w:hAnsi="宋体" w:eastAsia="宋体" w:cs="宋体"/>
          <w:bCs/>
          <w:snapToGrid w:val="0"/>
          <w:kern w:val="0"/>
          <w:sz w:val="24"/>
          <w:szCs w:val="24"/>
          <w:u w:val="single"/>
        </w:rPr>
        <w:t xml:space="preserve"> </w:t>
      </w:r>
      <w:r>
        <w:rPr>
          <w:rFonts w:hint="eastAsia" w:ascii="宋体" w:hAnsi="宋体" w:eastAsia="宋体" w:cs="宋体"/>
          <w:bCs/>
          <w:snapToGrid w:val="0"/>
          <w:kern w:val="0"/>
          <w:sz w:val="24"/>
          <w:szCs w:val="24"/>
          <w:u w:val="none"/>
          <w:lang w:eastAsia="zh-CN"/>
        </w:rPr>
        <w:t>（以下简称乙方）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kern w:val="0"/>
          <w:sz w:val="24"/>
          <w:szCs w:val="24"/>
          <w:lang w:val="zh-CN"/>
        </w:rPr>
      </w:pPr>
      <w:r>
        <w:rPr>
          <w:rFonts w:hint="eastAsia" w:ascii="宋体" w:hAnsi="宋体" w:eastAsia="宋体" w:cs="宋体"/>
          <w:sz w:val="24"/>
          <w:szCs w:val="24"/>
        </w:rPr>
        <w:t>依据《中华人民共和国合同法》、《中华人民共和国建筑法》及其他有关法律、行政法规，遵循平等、自愿、公平和诚实信用原则，双方就</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工程施工及有关事项协商一致，于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日在</w:t>
      </w:r>
      <w:r>
        <w:rPr>
          <w:rFonts w:hint="eastAsia" w:ascii="宋体" w:hAnsi="宋体" w:eastAsia="宋体" w:cs="宋体"/>
          <w:sz w:val="24"/>
          <w:szCs w:val="24"/>
          <w:u w:val="single"/>
        </w:rPr>
        <w:t>湖南省长沙市</w:t>
      </w:r>
      <w:r>
        <w:rPr>
          <w:rFonts w:hint="eastAsia" w:ascii="宋体" w:hAnsi="宋体" w:eastAsia="宋体" w:cs="宋体"/>
          <w:sz w:val="24"/>
          <w:szCs w:val="24"/>
          <w:u w:val="single"/>
          <w:lang w:eastAsia="zh-CN"/>
        </w:rPr>
        <w:t>雨花区</w:t>
      </w:r>
      <w:r>
        <w:rPr>
          <w:rFonts w:hint="eastAsia" w:ascii="宋体" w:hAnsi="宋体" w:eastAsia="宋体" w:cs="宋体"/>
          <w:sz w:val="24"/>
          <w:szCs w:val="24"/>
        </w:rPr>
        <w:t>共同签订如下协议：</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1、工程概况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1.1工程名称：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1.2工程地点：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1.3工程内容：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r>
        <w:rPr>
          <w:rFonts w:hint="eastAsia" w:ascii="宋体" w:hAnsi="宋体" w:eastAsia="宋体" w:cs="宋体"/>
          <w:sz w:val="24"/>
          <w:szCs w:val="24"/>
        </w:rPr>
        <w:t>具体工程内容以施工图纸和工程量清单为准。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1.4工程承包范围：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bookmarkStart w:id="171" w:name="_Toc414154001"/>
      <w:r>
        <w:rPr>
          <w:rFonts w:hint="eastAsia" w:ascii="宋体" w:hAnsi="宋体" w:eastAsia="宋体" w:cs="宋体"/>
          <w:sz w:val="24"/>
          <w:szCs w:val="24"/>
        </w:rPr>
        <w:t>。</w:t>
      </w:r>
    </w:p>
    <w:bookmarkEnd w:id="171"/>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rPr>
      </w:pPr>
      <w:bookmarkStart w:id="172" w:name="_Toc414154003"/>
      <w:r>
        <w:rPr>
          <w:rFonts w:hint="eastAsia" w:ascii="宋体" w:hAnsi="宋体" w:eastAsia="宋体" w:cs="宋体"/>
          <w:b/>
          <w:bCs/>
          <w:sz w:val="24"/>
          <w:szCs w:val="24"/>
        </w:rPr>
        <w:t>2、合同工期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工期总日历天数：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天。发包人保留工期调整的权利，工期调整后承包人不得以任何理由增加费用。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3、签约合同价与合同形式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3.1签约合同价为：人民币（大写）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3.2合同</w:t>
      </w:r>
      <w:r>
        <w:rPr>
          <w:rFonts w:hint="eastAsia" w:ascii="宋体" w:hAnsi="宋体" w:eastAsia="宋体" w:cs="宋体"/>
          <w:sz w:val="24"/>
          <w:szCs w:val="24"/>
          <w:lang w:eastAsia="zh-CN"/>
        </w:rPr>
        <w:t>价格方式</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宋体" w:hAnsi="宋体" w:eastAsia="宋体" w:cs="宋体"/>
          <w:sz w:val="24"/>
          <w:u w:val="none"/>
          <w:lang w:eastAsia="zh-CN"/>
        </w:rPr>
      </w:pPr>
      <w:r>
        <w:rPr>
          <w:rFonts w:hint="eastAsia" w:ascii="宋体" w:hAnsi="宋体" w:eastAsia="宋体" w:cs="宋体"/>
          <w:sz w:val="24"/>
          <w:szCs w:val="24"/>
          <w:u w:val="none"/>
        </w:rPr>
        <w:sym w:font="Wingdings 2" w:char="0052"/>
      </w:r>
      <w:r>
        <w:rPr>
          <w:rFonts w:hint="eastAsia" w:ascii="宋体" w:hAnsi="宋体" w:eastAsia="宋体" w:cs="宋体"/>
          <w:sz w:val="24"/>
          <w:u w:val="none"/>
          <w:lang w:eastAsia="zh-CN"/>
        </w:rPr>
        <w:t>单价</w:t>
      </w:r>
      <w:r>
        <w:rPr>
          <w:rFonts w:hint="eastAsia" w:ascii="宋体" w:hAnsi="宋体" w:eastAsia="宋体" w:cs="宋体"/>
          <w:sz w:val="24"/>
          <w:u w:val="none"/>
        </w:rPr>
        <w:t>合同</w:t>
      </w:r>
      <w:r>
        <w:rPr>
          <w:rFonts w:hint="eastAsia" w:ascii="宋体" w:hAnsi="宋体" w:eastAsia="宋体" w:cs="宋体"/>
          <w:sz w:val="24"/>
          <w:u w:val="none"/>
          <w:lang w:eastAsia="zh-CN"/>
        </w:rPr>
        <w:t>，合同单</w:t>
      </w:r>
      <w:r>
        <w:rPr>
          <w:rFonts w:hint="eastAsia" w:ascii="宋体" w:hAnsi="宋体" w:eastAsia="宋体" w:cs="宋体"/>
          <w:sz w:val="24"/>
          <w:u w:val="none"/>
        </w:rPr>
        <w:t>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w:t>
      </w:r>
      <w:r>
        <w:rPr>
          <w:rFonts w:hint="eastAsia" w:ascii="宋体" w:hAnsi="宋体" w:eastAsia="宋体" w:cs="宋体"/>
          <w:sz w:val="24"/>
          <w:u w:val="none"/>
          <w:lang w:eastAsia="zh-CN"/>
        </w:rPr>
        <w:t>最终结算价格不得超过签约合同价。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u w:val="none"/>
        </w:rPr>
        <w:sym w:font="Wingdings 2" w:char="00A3"/>
      </w:r>
      <w:r>
        <w:rPr>
          <w:rFonts w:hint="eastAsia" w:ascii="宋体" w:hAnsi="宋体" w:eastAsia="宋体" w:cs="宋体"/>
          <w:sz w:val="24"/>
          <w:szCs w:val="24"/>
          <w:u w:val="none"/>
          <w:lang w:eastAsia="zh-CN"/>
        </w:rPr>
        <w:t>总</w:t>
      </w:r>
      <w:r>
        <w:rPr>
          <w:rFonts w:hint="eastAsia" w:ascii="宋体" w:hAnsi="宋体" w:eastAsia="宋体" w:cs="宋体"/>
          <w:sz w:val="24"/>
          <w:u w:val="none"/>
          <w:lang w:eastAsia="zh-CN"/>
        </w:rPr>
        <w:t>价</w:t>
      </w:r>
      <w:r>
        <w:rPr>
          <w:rFonts w:hint="eastAsia" w:ascii="宋体" w:hAnsi="宋体" w:eastAsia="宋体" w:cs="宋体"/>
          <w:sz w:val="24"/>
          <w:u w:val="none"/>
        </w:rPr>
        <w:t>合同</w:t>
      </w:r>
      <w:r>
        <w:rPr>
          <w:rFonts w:hint="eastAsia" w:ascii="宋体" w:hAnsi="宋体" w:eastAsia="宋体" w:cs="宋体"/>
          <w:sz w:val="24"/>
          <w:u w:val="none"/>
          <w:lang w:eastAsia="zh-CN"/>
        </w:rPr>
        <w:t>，合同</w:t>
      </w:r>
      <w:r>
        <w:rPr>
          <w:rFonts w:hint="eastAsia" w:ascii="宋体" w:hAnsi="宋体" w:eastAsia="宋体" w:cs="宋体"/>
          <w:sz w:val="24"/>
          <w:u w:val="none"/>
        </w:rPr>
        <w:t>总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w:t>
      </w:r>
      <w:r>
        <w:rPr>
          <w:rFonts w:hint="eastAsia" w:ascii="宋体" w:hAnsi="宋体" w:eastAsia="宋体" w:cs="宋体"/>
          <w:sz w:val="24"/>
          <w:u w:val="none"/>
          <w:lang w:eastAsia="zh-CN"/>
        </w:rPr>
        <w:t>最终结算价格不得超过签约合同价</w:t>
      </w:r>
      <w:r>
        <w:rPr>
          <w:rFonts w:hint="eastAsia" w:ascii="宋体" w:hAnsi="宋体" w:eastAsia="宋体" w:cs="宋体"/>
          <w:sz w:val="24"/>
          <w:szCs w:val="24"/>
          <w:u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4、合同文件</w:t>
      </w:r>
      <w:r>
        <w:rPr>
          <w:rFonts w:hint="eastAsia" w:ascii="宋体" w:hAnsi="宋体" w:eastAsia="宋体" w:cs="宋体"/>
          <w:b/>
          <w:bCs/>
          <w:sz w:val="24"/>
          <w:szCs w:val="24"/>
          <w:lang w:eastAsia="zh-CN"/>
        </w:rPr>
        <w:t>构</w:t>
      </w:r>
      <w:r>
        <w:rPr>
          <w:rFonts w:hint="eastAsia" w:ascii="宋体" w:hAnsi="宋体" w:eastAsia="宋体" w:cs="宋体"/>
          <w:b/>
          <w:bCs/>
          <w:sz w:val="24"/>
          <w:szCs w:val="24"/>
        </w:rPr>
        <w:t>成</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宋体" w:hAnsi="宋体" w:eastAsia="宋体" w:cs="宋体"/>
          <w:sz w:val="24"/>
          <w:szCs w:val="24"/>
        </w:rPr>
      </w:pPr>
      <w:r>
        <w:rPr>
          <w:rFonts w:hint="eastAsia" w:ascii="宋体" w:hAnsi="宋体" w:eastAsia="宋体" w:cs="宋体"/>
          <w:sz w:val="24"/>
          <w:szCs w:val="24"/>
        </w:rPr>
        <w:t>（1）本合同书；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宋体" w:hAnsi="宋体" w:eastAsia="宋体" w:cs="宋体"/>
          <w:sz w:val="24"/>
          <w:szCs w:val="24"/>
        </w:rPr>
      </w:pPr>
      <w:r>
        <w:rPr>
          <w:rFonts w:hint="eastAsia" w:ascii="宋体" w:hAnsi="宋体" w:eastAsia="宋体" w:cs="宋体"/>
          <w:sz w:val="24"/>
          <w:szCs w:val="24"/>
        </w:rPr>
        <w:t>（2）技术标准和要求；</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宋体" w:hAnsi="宋体" w:eastAsia="宋体" w:cs="宋体"/>
          <w:sz w:val="24"/>
          <w:szCs w:val="24"/>
        </w:rPr>
      </w:pPr>
      <w:r>
        <w:rPr>
          <w:rFonts w:hint="eastAsia" w:ascii="宋体" w:hAnsi="宋体" w:eastAsia="宋体" w:cs="宋体"/>
          <w:sz w:val="24"/>
          <w:szCs w:val="24"/>
        </w:rPr>
        <w:t>（3）图纸；</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宋体" w:hAnsi="宋体" w:eastAsia="宋体" w:cs="宋体"/>
          <w:sz w:val="24"/>
          <w:szCs w:val="24"/>
        </w:rPr>
      </w:pPr>
      <w:r>
        <w:rPr>
          <w:rFonts w:hint="eastAsia" w:ascii="宋体" w:hAnsi="宋体" w:eastAsia="宋体" w:cs="宋体"/>
          <w:sz w:val="24"/>
          <w:szCs w:val="24"/>
        </w:rPr>
        <w:t>（4）已标价工程量清单</w:t>
      </w:r>
      <w:r>
        <w:rPr>
          <w:rFonts w:hint="eastAsia" w:ascii="宋体" w:hAnsi="宋体" w:eastAsia="宋体" w:cs="宋体"/>
          <w:sz w:val="24"/>
          <w:szCs w:val="24"/>
          <w:lang w:eastAsia="zh-CN"/>
        </w:rPr>
        <w:t>（</w:t>
      </w:r>
      <w:r>
        <w:rPr>
          <w:rFonts w:hint="eastAsia" w:ascii="宋体" w:hAnsi="宋体" w:eastAsia="宋体" w:cs="宋体"/>
          <w:sz w:val="24"/>
          <w:u w:val="single"/>
        </w:rPr>
        <w:t>工程数量与价格表</w:t>
      </w:r>
      <w:r>
        <w:rPr>
          <w:rFonts w:hint="eastAsia" w:ascii="宋体" w:hAnsi="宋体" w:eastAsia="宋体" w:cs="宋体"/>
          <w:sz w:val="24"/>
          <w:szCs w:val="24"/>
          <w:lang w:eastAsia="zh-CN"/>
        </w:rPr>
        <w:t>）</w:t>
      </w:r>
      <w:r>
        <w:rPr>
          <w:rFonts w:hint="eastAsia" w:ascii="宋体" w:hAnsi="宋体" w:eastAsia="宋体" w:cs="宋体"/>
          <w:sz w:val="24"/>
          <w:szCs w:val="24"/>
        </w:rPr>
        <w:t>或预算书；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eastAsia="宋体" w:cs="宋体"/>
          <w:sz w:val="24"/>
          <w:szCs w:val="24"/>
          <w:lang w:eastAsia="zh-CN"/>
        </w:rPr>
        <w:t>竞谈判文件及其</w:t>
      </w:r>
      <w:r>
        <w:rPr>
          <w:rFonts w:hint="eastAsia" w:ascii="宋体" w:hAnsi="宋体" w:eastAsia="宋体" w:cs="宋体"/>
          <w:b w:val="0"/>
          <w:bCs/>
          <w:sz w:val="24"/>
          <w:lang w:eastAsia="zh-CN" w:bidi="ar"/>
        </w:rPr>
        <w:t>澄清与答疑文件及其它补充资料（如有）</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）竞谈响应文件</w:t>
      </w:r>
      <w:r>
        <w:rPr>
          <w:rFonts w:hint="eastAsia" w:ascii="宋体" w:hAnsi="宋体" w:eastAsia="宋体" w:cs="宋体"/>
          <w:b w:val="0"/>
          <w:bCs/>
          <w:sz w:val="24"/>
          <w:lang w:eastAsia="zh-CN" w:bidi="ar"/>
        </w:rPr>
        <w:t>及其它补充资料（如有）</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）其他合同文件。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在合同订立及履行过程中形成的与合同有关的文件均构成合同文件组成部分。上述各项合同文件包括合同当事人就该项合同文件所作出的补充和修改，属于同一类内容的文件，应以最新签署的为准。</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宋体" w:hAnsi="宋体" w:eastAsia="宋体" w:cs="宋体"/>
          <w:b w:val="0"/>
          <w:bCs w:val="0"/>
          <w:sz w:val="24"/>
          <w:szCs w:val="24"/>
        </w:rPr>
      </w:pPr>
      <w:bookmarkStart w:id="173" w:name="_Toc414154011"/>
      <w:r>
        <w:rPr>
          <w:rFonts w:hint="eastAsia" w:ascii="宋体" w:hAnsi="宋体" w:eastAsia="宋体" w:cs="宋体"/>
          <w:bCs w:val="0"/>
          <w:kern w:val="2"/>
          <w:sz w:val="24"/>
          <w:szCs w:val="24"/>
          <w:lang w:eastAsia="zh-CN"/>
        </w:rPr>
        <w:t>5</w:t>
      </w:r>
      <w:r>
        <w:rPr>
          <w:rFonts w:hint="eastAsia" w:ascii="宋体" w:hAnsi="宋体" w:eastAsia="宋体" w:cs="宋体"/>
          <w:bCs w:val="0"/>
          <w:kern w:val="2"/>
          <w:sz w:val="24"/>
          <w:szCs w:val="24"/>
        </w:rPr>
        <w:t>、缺陷责任期和</w:t>
      </w:r>
      <w:r>
        <w:rPr>
          <w:rFonts w:hint="eastAsia" w:ascii="宋体" w:hAnsi="宋体" w:eastAsia="宋体" w:cs="宋体"/>
          <w:bCs w:val="0"/>
          <w:kern w:val="2"/>
          <w:sz w:val="24"/>
          <w:szCs w:val="24"/>
          <w:lang w:eastAsia="zh-CN"/>
        </w:rPr>
        <w:t>工程</w:t>
      </w:r>
      <w:r>
        <w:rPr>
          <w:rFonts w:hint="eastAsia" w:ascii="宋体" w:hAnsi="宋体" w:eastAsia="宋体" w:cs="宋体"/>
          <w:bCs w:val="0"/>
          <w:kern w:val="2"/>
          <w:sz w:val="24"/>
          <w:szCs w:val="24"/>
        </w:rPr>
        <w:t>保修</w:t>
      </w:r>
      <w:r>
        <w:rPr>
          <w:rFonts w:hint="eastAsia" w:ascii="宋体" w:hAnsi="宋体" w:eastAsia="宋体" w:cs="宋体"/>
          <w:bCs w:val="0"/>
          <w:kern w:val="2"/>
          <w:sz w:val="24"/>
          <w:szCs w:val="24"/>
          <w:lang w:eastAsia="zh-CN"/>
        </w:rPr>
        <w:t>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kern w:val="2"/>
          <w:sz w:val="24"/>
          <w:szCs w:val="24"/>
          <w:lang w:eastAsia="zh-CN"/>
        </w:rPr>
        <w:t>5.1</w:t>
      </w:r>
      <w:r>
        <w:rPr>
          <w:rFonts w:hint="eastAsia" w:ascii="宋体" w:hAnsi="宋体" w:eastAsia="宋体" w:cs="宋体"/>
          <w:b w:val="0"/>
          <w:bCs w:val="0"/>
          <w:sz w:val="24"/>
          <w:szCs w:val="24"/>
        </w:rPr>
        <w:t>缺陷责任期</w:t>
      </w:r>
      <w:r>
        <w:rPr>
          <w:rFonts w:hint="eastAsia" w:ascii="宋体" w:hAnsi="宋体" w:eastAsia="宋体" w:cs="宋体"/>
          <w:b w:val="0"/>
          <w:bCs w:val="0"/>
          <w:sz w:val="24"/>
          <w:szCs w:val="24"/>
          <w:lang w:eastAsia="zh-CN"/>
        </w:rPr>
        <w:t>为</w:t>
      </w:r>
      <w:r>
        <w:rPr>
          <w:rFonts w:hint="eastAsia" w:ascii="宋体" w:hAnsi="宋体" w:eastAsia="宋体" w:cs="宋体"/>
          <w:b w:val="0"/>
          <w:bCs w:val="0"/>
          <w:sz w:val="24"/>
          <w:szCs w:val="24"/>
          <w:u w:val="single"/>
          <w:lang w:eastAsia="zh-CN"/>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lang w:eastAsia="zh-CN"/>
        </w:rPr>
        <w:t xml:space="preserve">   </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5.2</w:t>
      </w:r>
      <w:r>
        <w:rPr>
          <w:rFonts w:hint="eastAsia" w:ascii="宋体" w:hAnsi="宋体" w:eastAsia="宋体" w:cs="宋体"/>
          <w:b w:val="0"/>
          <w:bCs w:val="0"/>
          <w:sz w:val="24"/>
          <w:szCs w:val="24"/>
        </w:rPr>
        <w:t>工程保修期为</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5.3在工程移交发包人后，因承包人原因产生的质量缺陷，承包人应承担质量缺陷责任和保修义务。缺陷责任期届满，承包人仍应按合同约定的工程各部位保修年限承担保修义务。</w:t>
      </w:r>
    </w:p>
    <w:bookmarkEnd w:id="173"/>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sz w:val="24"/>
          <w:szCs w:val="24"/>
        </w:rPr>
      </w:pPr>
      <w:r>
        <w:rPr>
          <w:rFonts w:hint="eastAsia" w:ascii="宋体" w:hAnsi="宋体" w:eastAsia="宋体" w:cs="宋体"/>
          <w:b/>
          <w:sz w:val="24"/>
          <w:szCs w:val="24"/>
        </w:rPr>
        <w:t>6、工程质量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6.1 本工程质量标准必须符合现行国家有关工程施工质量验收规范和标准的要求。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6.2承包人应向发包人提交工程质量保证体系及措施文件，建立完善的质量检查制度，并提交相应的工程质量文件。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6.3因承包人原因造成工程质量未达到合同约定标准的，发包人有权要求承包人返工直至工程质量达到合同约定的标准为止，并由承包人承担由此增加的费用和（或）延误的工期。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sz w:val="24"/>
          <w:szCs w:val="24"/>
        </w:rPr>
      </w:pPr>
      <w:r>
        <w:rPr>
          <w:rFonts w:hint="eastAsia" w:ascii="宋体" w:hAnsi="宋体" w:eastAsia="宋体" w:cs="宋体"/>
          <w:b/>
          <w:sz w:val="24"/>
          <w:szCs w:val="24"/>
        </w:rPr>
        <w:t>7、材料和工程设备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7.1承包人负责采购的材料、工程设备须符合设计和有关标准要求，承包人应提供产品合格证明及出厂证明，对材料、工程设备质量负责，并负责妥善保管。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7.2法律规定材料和工程设备使用前必须进行检验或试验的，属于承包人自检性质的，承包人应单独进行检验和试验；属于发包人的抽检性质的，应按配合受委托的检测机构进行检验或试验。检验和试验不合格的不得使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8、验收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8.1 </w:t>
      </w:r>
      <w:r>
        <w:rPr>
          <w:rFonts w:hint="eastAsia" w:ascii="宋体" w:hAnsi="宋体" w:eastAsia="宋体" w:cs="宋体"/>
          <w:sz w:val="24"/>
          <w:szCs w:val="24"/>
        </w:rPr>
        <w:t>乙方应确保所完成施工的质量，应符合本合同约定的质量标准。乙方施工完毕，应7天内向甲方提交完工报告，通知甲方验收。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8.2 </w:t>
      </w:r>
      <w:r>
        <w:rPr>
          <w:rFonts w:hint="eastAsia" w:ascii="宋体" w:hAnsi="宋体" w:eastAsia="宋体" w:cs="宋体"/>
          <w:sz w:val="24"/>
          <w:szCs w:val="24"/>
        </w:rPr>
        <w:t>乙方在工程完毕交付验收前提供相关技术资料（包括但不限于系统原理图、安装图纸、产品使用说明书、维护保养手册、竣工图）</w:t>
      </w:r>
      <w:r>
        <w:rPr>
          <w:rFonts w:hint="eastAsia" w:ascii="宋体" w:hAnsi="宋体" w:eastAsia="宋体" w:cs="宋体"/>
          <w:sz w:val="24"/>
          <w:szCs w:val="24"/>
          <w:lang w:val="en-US" w:eastAsia="zh-CN"/>
        </w:rPr>
        <w:t>4</w:t>
      </w:r>
      <w:r>
        <w:rPr>
          <w:rFonts w:hint="eastAsia" w:ascii="宋体" w:hAnsi="宋体" w:eastAsia="宋体" w:cs="宋体"/>
          <w:sz w:val="24"/>
          <w:szCs w:val="24"/>
        </w:rPr>
        <w:t>份，以上技术资料同时提交电子版。竣工资料乙方应根据甲方相关规章制度准备齐全。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8.3 </w:t>
      </w:r>
      <w:r>
        <w:rPr>
          <w:rFonts w:hint="eastAsia" w:ascii="宋体" w:hAnsi="宋体" w:eastAsia="宋体" w:cs="宋体"/>
          <w:sz w:val="24"/>
          <w:szCs w:val="24"/>
        </w:rPr>
        <w:t>乙方应配合甲方对其工作进行竣工验收，双方现场签认工程量；乙方在完成工程竣工后7天内未组织甲方验收的，甲方视为乙方已完工程未合格。因乙方原因导致工程验收不合格的，乙方应缴纳按合同总价款5%/次所计的违约金，造成工期延误的，还应按本合同约定承担相应的违约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sz w:val="24"/>
          <w:szCs w:val="24"/>
        </w:rPr>
        <w:t>9、</w:t>
      </w:r>
      <w:bookmarkStart w:id="174" w:name="_Toc414154013"/>
      <w:r>
        <w:rPr>
          <w:rFonts w:hint="eastAsia" w:ascii="宋体" w:hAnsi="宋体" w:eastAsia="宋体" w:cs="宋体"/>
          <w:b/>
          <w:sz w:val="24"/>
          <w:szCs w:val="24"/>
        </w:rPr>
        <w:t>安全生产与文明施工</w:t>
      </w:r>
      <w:bookmarkEnd w:id="174"/>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9.1承包人应按法律规定和合同约定，制定安全生产文明施工管理制度，采取有效的环境保护措施，做好开工前的安全技术交底，办理工伤保险，确保工程及人员、材料、设备和设施的安全。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9.2承包人应按有关规定，采取严格的安全防护措施搞好安全施工，并承担安全事故的全部责任及由此而发生的一切费用。发生重大伤、亡事故，承包人应按有关规定立即上报有关部门并书面通知发包人，同时按政府有关要求处理，发生的费用由承包人全部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9.3在施工期间，承包人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事件及时制止，并报告发包人或当地公安部门。</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宋体" w:hAnsi="宋体" w:eastAsia="宋体" w:cs="宋体"/>
          <w:bCs w:val="0"/>
          <w:kern w:val="2"/>
          <w:sz w:val="24"/>
          <w:szCs w:val="24"/>
        </w:rPr>
      </w:pPr>
      <w:bookmarkStart w:id="175" w:name="_Toc414154014"/>
      <w:r>
        <w:rPr>
          <w:rFonts w:hint="eastAsia" w:ascii="宋体" w:hAnsi="宋体" w:eastAsia="宋体" w:cs="宋体"/>
          <w:bCs w:val="0"/>
          <w:kern w:val="2"/>
          <w:sz w:val="24"/>
          <w:szCs w:val="24"/>
          <w:lang w:eastAsia="zh-CN"/>
        </w:rPr>
        <w:t>10</w:t>
      </w:r>
      <w:r>
        <w:rPr>
          <w:rFonts w:hint="eastAsia" w:ascii="宋体" w:hAnsi="宋体" w:eastAsia="宋体" w:cs="宋体"/>
          <w:bCs w:val="0"/>
          <w:kern w:val="2"/>
          <w:sz w:val="24"/>
          <w:szCs w:val="24"/>
        </w:rPr>
        <w:t>、</w:t>
      </w:r>
      <w:bookmarkEnd w:id="175"/>
      <w:r>
        <w:rPr>
          <w:rFonts w:hint="eastAsia" w:ascii="宋体" w:hAnsi="宋体" w:eastAsia="宋体" w:cs="宋体"/>
          <w:bCs w:val="0"/>
          <w:kern w:val="2"/>
          <w:sz w:val="24"/>
          <w:szCs w:val="24"/>
        </w:rPr>
        <w:t>变更估价</w:t>
      </w:r>
      <w:r>
        <w:rPr>
          <w:rFonts w:hint="eastAsia" w:ascii="宋体" w:hAnsi="宋体" w:eastAsia="宋体" w:cs="宋体"/>
          <w:bCs w:val="0"/>
          <w:kern w:val="2"/>
          <w:sz w:val="24"/>
          <w:szCs w:val="24"/>
          <w:lang w:eastAsia="zh-CN"/>
        </w:rPr>
        <w:t>与</w:t>
      </w:r>
      <w:r>
        <w:rPr>
          <w:rFonts w:hint="eastAsia" w:ascii="宋体" w:hAnsi="宋体" w:eastAsia="宋体" w:cs="宋体"/>
          <w:bCs w:val="0"/>
          <w:kern w:val="2"/>
          <w:sz w:val="24"/>
          <w:szCs w:val="24"/>
        </w:rPr>
        <w:t>材料调差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u w:val="none"/>
        </w:rPr>
      </w:pPr>
      <w:r>
        <w:rPr>
          <w:rFonts w:hint="eastAsia" w:ascii="宋体" w:hAnsi="宋体" w:eastAsia="宋体" w:cs="宋体"/>
          <w:sz w:val="24"/>
          <w:szCs w:val="24"/>
        </w:rPr>
        <w:t>10.1</w:t>
      </w:r>
      <w:r>
        <w:rPr>
          <w:rFonts w:hint="eastAsia" w:ascii="宋体" w:hAnsi="宋体" w:eastAsia="宋体" w:cs="宋体"/>
          <w:sz w:val="24"/>
          <w:szCs w:val="24"/>
          <w:u w:val="none"/>
        </w:rPr>
        <w:t xml:space="preserve">变更估价：合同中有相同单价的，采用合同单价；合同中有类似单价的，则参照类似合同单价；合同中无相同或类似单价的，则在变更计价时执行 </w:t>
      </w:r>
      <w:r>
        <w:rPr>
          <w:rFonts w:hint="eastAsia" w:ascii="宋体" w:hAnsi="宋体" w:eastAsia="宋体" w:cs="宋体"/>
          <w:sz w:val="24"/>
          <w:szCs w:val="24"/>
          <w:u w:val="none"/>
          <w:lang w:eastAsia="zh-CN"/>
        </w:rPr>
        <w:t>招标控制价采用的</w:t>
      </w:r>
      <w:r>
        <w:rPr>
          <w:rFonts w:hint="eastAsia" w:ascii="宋体" w:hAnsi="宋体" w:eastAsia="宋体" w:cs="宋体"/>
          <w:sz w:val="24"/>
          <w:szCs w:val="24"/>
          <w:u w:val="none"/>
        </w:rPr>
        <w:t xml:space="preserve">消耗量标准，缺项部分借用其他定额，取费相应执行 </w:t>
      </w:r>
      <w:r>
        <w:rPr>
          <w:rFonts w:hint="eastAsia" w:ascii="宋体" w:hAnsi="宋体" w:eastAsia="宋体" w:cs="宋体"/>
          <w:sz w:val="24"/>
          <w:szCs w:val="24"/>
          <w:u w:val="none"/>
          <w:lang w:eastAsia="zh-CN"/>
        </w:rPr>
        <w:t>招标控制价采用</w:t>
      </w:r>
      <w:r>
        <w:rPr>
          <w:rFonts w:hint="eastAsia" w:ascii="宋体" w:hAnsi="宋体" w:eastAsia="宋体" w:cs="宋体"/>
          <w:sz w:val="24"/>
          <w:szCs w:val="24"/>
          <w:u w:val="none"/>
        </w:rPr>
        <w:t xml:space="preserve">的有关规定，并执行合同优惠率 </w:t>
      </w:r>
      <w:r>
        <w:rPr>
          <w:rFonts w:hint="eastAsia" w:ascii="宋体" w:hAnsi="宋体" w:eastAsia="宋体" w:cs="宋体"/>
          <w:sz w:val="24"/>
          <w:szCs w:val="24"/>
          <w:u w:val="none"/>
          <w:lang w:val="en-US" w:eastAsia="zh-CN"/>
        </w:rPr>
        <w:t>(招标控制价-中标总价）/招标控制价×</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eastAsia="zh-CN"/>
        </w:rPr>
        <w:t>百分之百</w:t>
      </w:r>
      <w:r>
        <w:rPr>
          <w:rFonts w:hint="eastAsia" w:ascii="宋体" w:hAnsi="宋体" w:eastAsia="宋体" w:cs="宋体"/>
          <w:sz w:val="24"/>
          <w:szCs w:val="24"/>
          <w:u w:val="none"/>
        </w:rPr>
        <w:t xml:space="preserve">，人工工日单价按 </w:t>
      </w:r>
      <w:r>
        <w:rPr>
          <w:rFonts w:hint="eastAsia" w:ascii="宋体" w:hAnsi="宋体" w:eastAsia="宋体" w:cs="宋体"/>
          <w:sz w:val="24"/>
          <w:szCs w:val="24"/>
          <w:u w:val="none"/>
          <w:lang w:eastAsia="zh-CN"/>
        </w:rPr>
        <w:t>招标控制价审定时</w:t>
      </w:r>
      <w:r>
        <w:rPr>
          <w:rFonts w:hint="eastAsia" w:ascii="宋体" w:hAnsi="宋体" w:eastAsia="宋体" w:cs="宋体"/>
          <w:sz w:val="24"/>
          <w:szCs w:val="24"/>
          <w:u w:val="none"/>
        </w:rPr>
        <w:t>的综合人工工资单价计取。</w:t>
      </w:r>
    </w:p>
    <w:p>
      <w:pPr>
        <w:keepNext w:val="0"/>
        <w:keepLines w:val="0"/>
        <w:pageBreakBefore w:val="0"/>
        <w:widowControl w:val="0"/>
        <w:numPr>
          <w:ins w:id="0" w:author="Administrator" w:date=""/>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10.2材料调差：已标价工程量清单或预算书中载明的材料、工程设备单价，在合同履行期间无论涨、跌，均不做任何调整。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11、价款支付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4"/>
        </w:rPr>
      </w:pPr>
      <w:bookmarkStart w:id="176" w:name="_Toc479247487"/>
      <w:r>
        <w:rPr>
          <w:rFonts w:hint="eastAsia" w:ascii="宋体" w:hAnsi="宋体" w:eastAsia="宋体" w:cs="宋体"/>
          <w:kern w:val="28"/>
          <w:sz w:val="24"/>
          <w:lang w:val="en-US" w:eastAsia="zh-CN"/>
        </w:rPr>
        <w:t>11.1</w:t>
      </w:r>
      <w:r>
        <w:rPr>
          <w:rFonts w:hint="eastAsia" w:ascii="宋体" w:hAnsi="宋体" w:eastAsia="宋体" w:cs="宋体"/>
          <w:kern w:val="28"/>
          <w:sz w:val="24"/>
        </w:rPr>
        <w:t>本</w:t>
      </w:r>
      <w:r>
        <w:rPr>
          <w:rFonts w:hint="eastAsia" w:ascii="宋体" w:hAnsi="宋体" w:eastAsia="宋体" w:cs="宋体"/>
          <w:kern w:val="28"/>
          <w:sz w:val="24"/>
          <w:lang w:eastAsia="zh-CN"/>
        </w:rPr>
        <w:t>工程</w:t>
      </w:r>
      <w:r>
        <w:rPr>
          <w:rFonts w:hint="eastAsia" w:ascii="宋体" w:hAnsi="宋体" w:eastAsia="宋体" w:cs="宋体"/>
          <w:kern w:val="28"/>
          <w:sz w:val="24"/>
        </w:rPr>
        <w:t>无预付款</w:t>
      </w:r>
      <w:bookmarkEnd w:id="176"/>
      <w:bookmarkStart w:id="177" w:name="_Toc479247488"/>
      <w:r>
        <w:rPr>
          <w:rFonts w:hint="eastAsia" w:ascii="宋体" w:hAnsi="宋体" w:eastAsia="宋体" w:cs="宋体"/>
          <w:kern w:val="28"/>
          <w:sz w:val="24"/>
          <w:lang w:eastAsia="zh-CN"/>
        </w:rPr>
        <w:t>，在</w:t>
      </w:r>
      <w:r>
        <w:rPr>
          <w:rFonts w:hint="eastAsia" w:ascii="宋体" w:hAnsi="宋体" w:eastAsia="宋体" w:cs="宋体"/>
          <w:kern w:val="28"/>
          <w:sz w:val="24"/>
        </w:rPr>
        <w:t>工程竣工验收合格移交竣工资料后，支付至</w:t>
      </w:r>
      <w:r>
        <w:rPr>
          <w:rFonts w:hint="eastAsia" w:ascii="宋体" w:hAnsi="宋体" w:eastAsia="宋体" w:cs="宋体"/>
          <w:kern w:val="28"/>
          <w:sz w:val="24"/>
          <w:lang w:eastAsia="zh-CN"/>
        </w:rPr>
        <w:t>实际竣工计量金额</w:t>
      </w:r>
      <w:r>
        <w:rPr>
          <w:rFonts w:hint="eastAsia" w:ascii="宋体" w:hAnsi="宋体" w:eastAsia="宋体" w:cs="宋体"/>
          <w:kern w:val="28"/>
          <w:sz w:val="24"/>
        </w:rPr>
        <w:t>的70%</w:t>
      </w:r>
      <w:r>
        <w:rPr>
          <w:rFonts w:hint="eastAsia" w:ascii="宋体" w:hAnsi="宋体" w:eastAsia="宋体" w:cs="宋体"/>
          <w:kern w:val="28"/>
          <w:sz w:val="24"/>
          <w:lang w:eastAsia="zh-CN"/>
        </w:rPr>
        <w:t>，但支付金额不得超过合同价的</w:t>
      </w:r>
      <w:r>
        <w:rPr>
          <w:rFonts w:hint="eastAsia" w:ascii="宋体" w:hAnsi="宋体" w:eastAsia="宋体" w:cs="宋体"/>
          <w:kern w:val="28"/>
          <w:sz w:val="24"/>
          <w:lang w:val="en-US" w:eastAsia="zh-CN"/>
        </w:rPr>
        <w:t>70%</w:t>
      </w:r>
      <w:r>
        <w:rPr>
          <w:rFonts w:hint="eastAsia" w:ascii="宋体" w:hAnsi="宋体" w:eastAsia="宋体" w:cs="宋体"/>
          <w:kern w:val="28"/>
          <w:sz w:val="24"/>
        </w:rPr>
        <w:t>；</w:t>
      </w:r>
      <w:bookmarkEnd w:id="177"/>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4"/>
        </w:rPr>
      </w:pPr>
      <w:bookmarkStart w:id="178" w:name="_Toc479247489"/>
      <w:r>
        <w:rPr>
          <w:rFonts w:hint="eastAsia" w:ascii="宋体" w:hAnsi="宋体" w:eastAsia="宋体" w:cs="宋体"/>
          <w:kern w:val="28"/>
          <w:sz w:val="24"/>
          <w:lang w:val="en-US" w:eastAsia="zh-CN"/>
        </w:rPr>
        <w:t>11.2</w:t>
      </w:r>
      <w:r>
        <w:rPr>
          <w:rFonts w:hint="eastAsia" w:ascii="宋体" w:hAnsi="宋体" w:eastAsia="宋体" w:cs="宋体"/>
          <w:kern w:val="28"/>
          <w:sz w:val="24"/>
          <w:lang w:eastAsia="zh-CN"/>
        </w:rPr>
        <w:t>工程竣工结算</w:t>
      </w:r>
      <w:r>
        <w:rPr>
          <w:rFonts w:hint="eastAsia" w:ascii="宋体" w:hAnsi="宋体" w:eastAsia="宋体" w:cs="宋体"/>
          <w:kern w:val="28"/>
          <w:sz w:val="24"/>
          <w:lang w:val="en-US" w:eastAsia="zh-CN"/>
        </w:rPr>
        <w:t>经甲方审定后，支付至结算价格</w:t>
      </w:r>
      <w:r>
        <w:rPr>
          <w:rFonts w:hint="eastAsia" w:ascii="宋体" w:hAnsi="宋体" w:eastAsia="宋体" w:cs="宋体"/>
          <w:kern w:val="28"/>
          <w:sz w:val="24"/>
        </w:rPr>
        <w:t>的9</w:t>
      </w:r>
      <w:r>
        <w:rPr>
          <w:rFonts w:hint="eastAsia" w:ascii="宋体" w:hAnsi="宋体" w:eastAsia="宋体" w:cs="宋体"/>
          <w:kern w:val="28"/>
          <w:sz w:val="24"/>
          <w:lang w:val="en-US" w:eastAsia="zh-CN"/>
        </w:rPr>
        <w:t>7</w:t>
      </w:r>
      <w:r>
        <w:rPr>
          <w:rFonts w:hint="eastAsia" w:ascii="宋体" w:hAnsi="宋体" w:eastAsia="宋体" w:cs="宋体"/>
          <w:kern w:val="28"/>
          <w:sz w:val="24"/>
        </w:rPr>
        <w:t>%（开具本合同总价款100%、合法有效的增值税专用发票原件）</w:t>
      </w:r>
      <w:r>
        <w:rPr>
          <w:rFonts w:hint="eastAsia" w:ascii="宋体" w:hAnsi="宋体" w:eastAsia="宋体" w:cs="宋体"/>
          <w:kern w:val="28"/>
          <w:sz w:val="24"/>
          <w:lang w:eastAsia="zh-CN"/>
        </w:rPr>
        <w:t>，</w:t>
      </w:r>
      <w:r>
        <w:rPr>
          <w:rFonts w:hint="eastAsia" w:ascii="宋体" w:hAnsi="宋体" w:eastAsia="宋体" w:cs="宋体"/>
          <w:kern w:val="28"/>
          <w:sz w:val="24"/>
        </w:rPr>
        <w:t>剩下的</w:t>
      </w:r>
      <w:r>
        <w:rPr>
          <w:rFonts w:hint="eastAsia" w:ascii="宋体" w:hAnsi="宋体" w:eastAsia="宋体" w:cs="宋体"/>
          <w:kern w:val="28"/>
          <w:sz w:val="24"/>
          <w:lang w:val="en-US" w:eastAsia="zh-CN"/>
        </w:rPr>
        <w:t>3</w:t>
      </w:r>
      <w:r>
        <w:rPr>
          <w:rFonts w:hint="eastAsia" w:ascii="宋体" w:hAnsi="宋体" w:eastAsia="宋体" w:cs="宋体"/>
          <w:kern w:val="28"/>
          <w:sz w:val="24"/>
        </w:rPr>
        <w:t>%作为工程质量保证金，在已办理结算的前提下，保修期满后如无任何质量问题一次性无息付清；</w:t>
      </w:r>
      <w:bookmarkEnd w:id="178"/>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4"/>
        </w:rPr>
      </w:pPr>
      <w:bookmarkStart w:id="179" w:name="_Toc479247490"/>
      <w:r>
        <w:rPr>
          <w:rFonts w:hint="eastAsia" w:ascii="宋体" w:hAnsi="宋体" w:eastAsia="宋体" w:cs="宋体"/>
          <w:kern w:val="28"/>
          <w:sz w:val="24"/>
          <w:lang w:val="en-US" w:eastAsia="zh-CN"/>
        </w:rPr>
        <w:t>11.3本合同以人民币结算，并采用银行转账方式支付</w:t>
      </w:r>
      <w:r>
        <w:rPr>
          <w:rFonts w:hint="eastAsia" w:ascii="宋体" w:hAnsi="宋体" w:eastAsia="宋体" w:cs="宋体"/>
          <w:kern w:val="28"/>
          <w:sz w:val="24"/>
        </w:rPr>
        <w:t>。</w:t>
      </w:r>
      <w:bookmarkEnd w:id="179"/>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4"/>
        </w:rPr>
      </w:pPr>
      <w:bookmarkStart w:id="180" w:name="_Toc479247491"/>
      <w:r>
        <w:rPr>
          <w:rFonts w:hint="eastAsia" w:ascii="宋体" w:hAnsi="宋体" w:eastAsia="宋体" w:cs="宋体"/>
          <w:kern w:val="28"/>
          <w:sz w:val="24"/>
          <w:lang w:val="en-US" w:eastAsia="zh-CN"/>
        </w:rPr>
        <w:t>11.4</w:t>
      </w:r>
      <w:r>
        <w:rPr>
          <w:rFonts w:hint="eastAsia" w:ascii="宋体" w:hAnsi="宋体" w:eastAsia="宋体" w:cs="宋体"/>
          <w:kern w:val="28"/>
          <w:sz w:val="24"/>
        </w:rPr>
        <w:t>所有支付均在收到乙方提供的以下资料后支付：</w:t>
      </w:r>
      <w:bookmarkEnd w:id="180"/>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4"/>
        </w:rPr>
      </w:pPr>
      <w:bookmarkStart w:id="181" w:name="_Toc479247492"/>
      <w:r>
        <w:rPr>
          <w:rFonts w:hint="eastAsia" w:ascii="宋体" w:hAnsi="宋体" w:eastAsia="宋体" w:cs="宋体"/>
          <w:kern w:val="28"/>
          <w:sz w:val="24"/>
          <w:lang w:eastAsia="zh-CN"/>
        </w:rPr>
        <w:t>（</w:t>
      </w:r>
      <w:r>
        <w:rPr>
          <w:rFonts w:hint="eastAsia" w:ascii="宋体" w:hAnsi="宋体" w:eastAsia="宋体" w:cs="宋体"/>
          <w:kern w:val="28"/>
          <w:sz w:val="24"/>
          <w:lang w:val="en-US" w:eastAsia="zh-CN"/>
        </w:rPr>
        <w:t>1</w:t>
      </w:r>
      <w:r>
        <w:rPr>
          <w:rFonts w:hint="eastAsia" w:ascii="宋体" w:hAnsi="宋体" w:eastAsia="宋体" w:cs="宋体"/>
          <w:kern w:val="28"/>
          <w:sz w:val="24"/>
          <w:lang w:eastAsia="zh-CN"/>
        </w:rPr>
        <w:t>）</w:t>
      </w:r>
      <w:r>
        <w:rPr>
          <w:rFonts w:hint="eastAsia" w:ascii="宋体" w:hAnsi="宋体" w:eastAsia="宋体" w:cs="宋体"/>
          <w:kern w:val="28"/>
          <w:sz w:val="24"/>
        </w:rPr>
        <w:t>经甲方审批同意的支付申请和相关资料；</w:t>
      </w:r>
      <w:bookmarkEnd w:id="181"/>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4"/>
        </w:rPr>
      </w:pPr>
      <w:bookmarkStart w:id="182" w:name="_Toc479247493"/>
      <w:r>
        <w:rPr>
          <w:rFonts w:hint="eastAsia" w:ascii="宋体" w:hAnsi="宋体" w:eastAsia="宋体" w:cs="宋体"/>
          <w:kern w:val="28"/>
          <w:sz w:val="24"/>
          <w:lang w:eastAsia="zh-CN"/>
        </w:rPr>
        <w:t>（</w:t>
      </w:r>
      <w:r>
        <w:rPr>
          <w:rFonts w:hint="eastAsia" w:ascii="宋体" w:hAnsi="宋体" w:eastAsia="宋体" w:cs="宋体"/>
          <w:kern w:val="28"/>
          <w:sz w:val="24"/>
          <w:lang w:val="en-US" w:eastAsia="zh-CN"/>
        </w:rPr>
        <w:t>2</w:t>
      </w:r>
      <w:r>
        <w:rPr>
          <w:rFonts w:hint="eastAsia" w:ascii="宋体" w:hAnsi="宋体" w:eastAsia="宋体" w:cs="宋体"/>
          <w:kern w:val="28"/>
          <w:sz w:val="24"/>
          <w:lang w:eastAsia="zh-CN"/>
        </w:rPr>
        <w:t>）</w:t>
      </w:r>
      <w:r>
        <w:rPr>
          <w:rFonts w:hint="eastAsia" w:ascii="宋体" w:hAnsi="宋体" w:eastAsia="宋体" w:cs="宋体"/>
          <w:kern w:val="28"/>
          <w:sz w:val="24"/>
        </w:rPr>
        <w:t>相应的税务发票原件；</w:t>
      </w:r>
      <w:bookmarkEnd w:id="182"/>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4"/>
        </w:rPr>
      </w:pPr>
      <w:bookmarkStart w:id="183" w:name="_Toc479247494"/>
      <w:r>
        <w:rPr>
          <w:rFonts w:hint="eastAsia" w:ascii="宋体" w:hAnsi="宋体" w:eastAsia="宋体" w:cs="宋体"/>
          <w:kern w:val="28"/>
          <w:sz w:val="24"/>
          <w:lang w:eastAsia="zh-CN"/>
        </w:rPr>
        <w:t>（</w:t>
      </w:r>
      <w:r>
        <w:rPr>
          <w:rFonts w:hint="eastAsia" w:ascii="宋体" w:hAnsi="宋体" w:eastAsia="宋体" w:cs="宋体"/>
          <w:kern w:val="28"/>
          <w:sz w:val="24"/>
          <w:lang w:val="en-US" w:eastAsia="zh-CN"/>
        </w:rPr>
        <w:t>3</w:t>
      </w:r>
      <w:r>
        <w:rPr>
          <w:rFonts w:hint="eastAsia" w:ascii="宋体" w:hAnsi="宋体" w:eastAsia="宋体" w:cs="宋体"/>
          <w:kern w:val="28"/>
          <w:sz w:val="24"/>
          <w:lang w:eastAsia="zh-CN"/>
        </w:rPr>
        <w:t>）</w:t>
      </w:r>
      <w:r>
        <w:rPr>
          <w:rFonts w:hint="eastAsia" w:ascii="宋体" w:hAnsi="宋体" w:eastAsia="宋体" w:cs="宋体"/>
          <w:kern w:val="28"/>
          <w:sz w:val="24"/>
        </w:rPr>
        <w:t>本合同约定的其他结算资料。</w:t>
      </w:r>
      <w:bookmarkEnd w:id="183"/>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4"/>
        </w:rPr>
      </w:pPr>
      <w:r>
        <w:rPr>
          <w:rFonts w:hint="eastAsia" w:ascii="宋体" w:hAnsi="宋体" w:eastAsia="宋体" w:cs="宋体"/>
          <w:kern w:val="28"/>
          <w:sz w:val="24"/>
        </w:rPr>
        <w:t>乙方未按约定提供上述材料的，甲方有权不予支付本合同约定价款，且不构成违约。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宋体" w:hAnsi="宋体" w:eastAsia="宋体" w:cs="宋体"/>
          <w:sz w:val="24"/>
          <w:szCs w:val="24"/>
        </w:rPr>
      </w:pPr>
      <w:bookmarkStart w:id="184" w:name="_Toc414154016"/>
      <w:r>
        <w:rPr>
          <w:rFonts w:hint="eastAsia" w:ascii="宋体" w:hAnsi="宋体" w:eastAsia="宋体" w:cs="宋体"/>
          <w:bCs w:val="0"/>
          <w:kern w:val="2"/>
          <w:sz w:val="24"/>
          <w:szCs w:val="24"/>
          <w:lang w:eastAsia="zh-CN"/>
        </w:rPr>
        <w:t>12</w:t>
      </w:r>
      <w:r>
        <w:rPr>
          <w:rFonts w:hint="eastAsia" w:ascii="宋体" w:hAnsi="宋体" w:eastAsia="宋体" w:cs="宋体"/>
          <w:bCs w:val="0"/>
          <w:kern w:val="2"/>
          <w:sz w:val="24"/>
          <w:szCs w:val="24"/>
        </w:rPr>
        <w:t>、违约</w:t>
      </w:r>
      <w:bookmarkEnd w:id="184"/>
      <w:r>
        <w:rPr>
          <w:rFonts w:hint="eastAsia" w:ascii="宋体" w:hAnsi="宋体" w:eastAsia="宋体" w:cs="宋体"/>
          <w:bCs w:val="0"/>
          <w:kern w:val="2"/>
          <w:sz w:val="24"/>
          <w:szCs w:val="24"/>
        </w:rPr>
        <w:t>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4"/>
          <w:highlight w:val="none"/>
        </w:rPr>
      </w:pPr>
      <w:r>
        <w:rPr>
          <w:rFonts w:hint="eastAsia" w:ascii="宋体" w:hAnsi="宋体" w:eastAsia="宋体" w:cs="宋体"/>
          <w:sz w:val="24"/>
          <w:szCs w:val="24"/>
        </w:rPr>
        <w:t>12.1</w:t>
      </w:r>
      <w:r>
        <w:rPr>
          <w:rFonts w:hint="eastAsia" w:ascii="宋体" w:hAnsi="宋体" w:eastAsia="宋体" w:cs="宋体"/>
          <w:color w:val="auto"/>
          <w:sz w:val="24"/>
          <w:highlight w:val="none"/>
        </w:rPr>
        <w:t>承包人</w:t>
      </w:r>
      <w:r>
        <w:rPr>
          <w:rFonts w:hint="eastAsia" w:ascii="宋体" w:hAnsi="宋体" w:eastAsia="宋体" w:cs="宋体"/>
          <w:strike w:val="0"/>
          <w:dstrike w:val="0"/>
          <w:color w:val="auto"/>
          <w:sz w:val="24"/>
          <w:highlight w:val="none"/>
        </w:rPr>
        <w:t>因自身</w:t>
      </w:r>
      <w:r>
        <w:rPr>
          <w:rFonts w:hint="eastAsia" w:ascii="宋体" w:hAnsi="宋体" w:eastAsia="宋体" w:cs="宋体"/>
          <w:kern w:val="28"/>
          <w:sz w:val="24"/>
          <w:lang w:val="en-US" w:eastAsia="zh-CN"/>
        </w:rPr>
        <w:t>原因</w:t>
      </w:r>
      <w:r>
        <w:rPr>
          <w:rFonts w:hint="eastAsia" w:ascii="宋体" w:hAnsi="宋体" w:eastAsia="宋体" w:cs="宋体"/>
          <w:color w:val="auto"/>
          <w:sz w:val="24"/>
          <w:highlight w:val="none"/>
        </w:rPr>
        <w:t>未能按合同要求完成工程施工的，每延误一天应向发包人交纳500元的违约金。</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12.2</w:t>
      </w:r>
      <w:r>
        <w:rPr>
          <w:rFonts w:hint="eastAsia" w:ascii="宋体" w:hAnsi="宋体" w:eastAsia="宋体" w:cs="宋体"/>
          <w:color w:val="auto"/>
          <w:sz w:val="24"/>
          <w:highlight w:val="none"/>
        </w:rPr>
        <w:t>承包人违反合同约定采购和使用不合格的材料和工程设备，每查实一次应按2000元/次向发包人交纳违约金，并负责更换合格的材料和工程设备直至发包人满意为止，由此产生的相关费用由承包人承担。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12.3</w:t>
      </w:r>
      <w:r>
        <w:rPr>
          <w:rFonts w:hint="eastAsia" w:ascii="宋体" w:hAnsi="宋体" w:eastAsia="宋体" w:cs="宋体"/>
          <w:color w:val="auto"/>
          <w:sz w:val="24"/>
          <w:highlight w:val="none"/>
        </w:rPr>
        <w:t>在施工过程中，</w:t>
      </w:r>
      <w:r>
        <w:rPr>
          <w:rFonts w:hint="eastAsia" w:ascii="宋体" w:hAnsi="宋体" w:eastAsia="宋体" w:cs="宋体"/>
          <w:kern w:val="28"/>
          <w:sz w:val="24"/>
          <w:lang w:val="en-US" w:eastAsia="zh-CN"/>
        </w:rPr>
        <w:t>承包人</w:t>
      </w:r>
      <w:r>
        <w:rPr>
          <w:rFonts w:hint="eastAsia" w:ascii="宋体" w:hAnsi="宋体" w:eastAsia="宋体" w:cs="宋体"/>
          <w:color w:val="auto"/>
          <w:sz w:val="24"/>
          <w:highlight w:val="none"/>
        </w:rPr>
        <w:t>存在质量安全隐患及不文明行为情况，且未根据相关部门要求及时整改的，承包人应向发包人交纳2000元/次·处的违约金，并通报批评。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12.4</w:t>
      </w:r>
      <w:r>
        <w:rPr>
          <w:rFonts w:hint="eastAsia" w:ascii="宋体" w:hAnsi="宋体" w:eastAsia="宋体" w:cs="宋体"/>
          <w:color w:val="auto"/>
          <w:sz w:val="24"/>
          <w:highlight w:val="none"/>
        </w:rPr>
        <w:t>在施工过程中，发生一般等级及以上质量安全责任事故的，按照国家相关规定调查处理，由承包人承担相应的责任和损失，承包人应向发包人交纳1万元的违约金。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13、发包人的权利义务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4"/>
          <w:szCs w:val="24"/>
        </w:rPr>
      </w:pPr>
      <w:r>
        <w:rPr>
          <w:rFonts w:hint="eastAsia" w:ascii="宋体" w:hAnsi="宋体" w:eastAsia="宋体" w:cs="宋体"/>
          <w:sz w:val="24"/>
          <w:szCs w:val="24"/>
        </w:rPr>
        <w:t>13.1发包人应遵守法律，并办理法律规定由发包人办理的许可、批准或备案，并协助承包人办理法律规定的应由承包人办理的有关施工证件和批件。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2</w:t>
      </w:r>
      <w:r>
        <w:rPr>
          <w:rFonts w:hint="eastAsia" w:ascii="宋体" w:hAnsi="宋体" w:eastAsia="宋体" w:cs="宋体"/>
          <w:sz w:val="24"/>
          <w:szCs w:val="24"/>
        </w:rPr>
        <w:t>发包人应书面通知承包人其派驻施工现场的发包人代表的姓名、职务、联系方式及授权范围等事项。发包人代表在发包人的授权范围内，负责处理合同履行过程中与发包人有关的具体事宜。</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3</w:t>
      </w:r>
      <w:r>
        <w:rPr>
          <w:rFonts w:hint="eastAsia" w:ascii="宋体" w:hAnsi="宋体" w:eastAsia="宋体" w:cs="宋体"/>
          <w:sz w:val="24"/>
          <w:szCs w:val="24"/>
        </w:rPr>
        <w:t>发包人应最迟于开工日期 7 天前向承包人移交施工现场。发包人应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4</w:t>
      </w:r>
      <w:r>
        <w:rPr>
          <w:rFonts w:hint="eastAsia" w:ascii="宋体" w:hAnsi="宋体" w:eastAsia="宋体" w:cs="宋体"/>
          <w:sz w:val="24"/>
          <w:szCs w:val="24"/>
        </w:rPr>
        <w:t>发包人应按合同约定向承包人及时支付合同价款，并组织竣工验收。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5</w:t>
      </w:r>
      <w:r>
        <w:rPr>
          <w:rFonts w:hint="eastAsia" w:ascii="宋体" w:hAnsi="宋体" w:eastAsia="宋体" w:cs="宋体"/>
          <w:sz w:val="24"/>
          <w:szCs w:val="24"/>
        </w:rPr>
        <w:t>发包人为保证工程质量、安全、进度和为规范市场行为、资金支付等下发的工程管理规定作为本合同的组成部分，承包人承诺在合同履约期间严格遵守；否则，发包人有权采取经济措施、勒令撤换人员、调整工程内容等以确保相关要求的落实。因承包人不遵照发包人下发的工程管理规定给发包人造成的损失，由承包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6</w:t>
      </w:r>
      <w:r>
        <w:rPr>
          <w:rFonts w:hint="eastAsia" w:ascii="宋体" w:hAnsi="宋体" w:eastAsia="宋体" w:cs="宋体"/>
          <w:sz w:val="24"/>
          <w:szCs w:val="24"/>
        </w:rPr>
        <w:t>合同履约过程中，承包人出现以下违约行为的，发包人有权单方解除合同：</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4"/>
          <w:szCs w:val="24"/>
        </w:rPr>
      </w:pPr>
      <w:r>
        <w:rPr>
          <w:rFonts w:hint="eastAsia" w:ascii="宋体" w:hAnsi="宋体" w:eastAsia="宋体" w:cs="宋体"/>
          <w:sz w:val="24"/>
          <w:szCs w:val="24"/>
        </w:rPr>
        <w:t>（1）承包人进行转包或违法分包的。</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4"/>
          <w:szCs w:val="24"/>
        </w:rPr>
      </w:pPr>
      <w:r>
        <w:rPr>
          <w:rFonts w:hint="eastAsia" w:ascii="宋体" w:hAnsi="宋体" w:eastAsia="宋体" w:cs="宋体"/>
          <w:sz w:val="24"/>
          <w:szCs w:val="24"/>
        </w:rPr>
        <w:t>（2）承包人的违约行为产生的违约金累计达到签约合同价的10%的。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14、承包人的权利义务</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sz w:val="24"/>
          <w:szCs w:val="24"/>
        </w:rPr>
      </w:pPr>
      <w:r>
        <w:rPr>
          <w:rFonts w:hint="eastAsia" w:ascii="宋体" w:hAnsi="宋体" w:eastAsia="宋体" w:cs="宋体"/>
          <w:sz w:val="24"/>
          <w:szCs w:val="24"/>
        </w:rPr>
        <w:t>14.1承包人应按照法律规定及合同约定组织完成工程施工，确保工程质量和安全，不进行转包及违法分包。</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sz w:val="24"/>
          <w:szCs w:val="24"/>
        </w:rPr>
      </w:pPr>
      <w:r>
        <w:rPr>
          <w:rFonts w:hint="eastAsia" w:ascii="宋体" w:hAnsi="宋体" w:eastAsia="宋体" w:cs="宋体"/>
          <w:sz w:val="24"/>
          <w:szCs w:val="24"/>
        </w:rPr>
        <w:t>14.2承包人应办理法律规定由承包人办理的许可和批准，并将办理结果书面报送发包人留存。</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sz w:val="24"/>
          <w:szCs w:val="24"/>
        </w:rPr>
      </w:pPr>
      <w:r>
        <w:rPr>
          <w:rFonts w:hint="eastAsia" w:ascii="宋体" w:hAnsi="宋体" w:eastAsia="宋体" w:cs="宋体"/>
          <w:sz w:val="24"/>
          <w:szCs w:val="24"/>
        </w:rPr>
        <w:t>14.3承包人应按合同约定的工作内容和施工进度要求，编制施工组织设计和施工措施计划，并对所有施工作业和施工方法的完备性和安全可靠性负责。</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sz w:val="24"/>
          <w:szCs w:val="24"/>
        </w:rPr>
      </w:pPr>
      <w:r>
        <w:rPr>
          <w:rFonts w:hint="eastAsia" w:ascii="宋体" w:hAnsi="宋体" w:eastAsia="宋体" w:cs="宋体"/>
          <w:sz w:val="24"/>
          <w:szCs w:val="24"/>
        </w:rPr>
        <w:t>14.4承包人应将发包人按合同约定支付的各项价款专用于合同工程，且应及时支付其雇用人员工资，确保民工工资及时足额发放，并及时向分包人支付合同价款。</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sz w:val="24"/>
          <w:szCs w:val="24"/>
        </w:rPr>
      </w:pPr>
      <w:r>
        <w:rPr>
          <w:rFonts w:hint="eastAsia" w:ascii="宋体" w:hAnsi="宋体" w:eastAsia="宋体" w:cs="宋体"/>
          <w:sz w:val="24"/>
          <w:szCs w:val="24"/>
        </w:rPr>
        <w:t>14.5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sz w:val="24"/>
          <w:szCs w:val="24"/>
        </w:rPr>
      </w:pPr>
      <w:r>
        <w:rPr>
          <w:rFonts w:hint="eastAsia" w:ascii="宋体" w:hAnsi="宋体" w:eastAsia="宋体" w:cs="宋体"/>
          <w:sz w:val="24"/>
          <w:szCs w:val="24"/>
        </w:rPr>
        <w:t>14.6承包人应按照法律规定和合同约定编制竣工资料，完成竣工资料立卷及归档，并向发包人提交用于存档的不少于</w:t>
      </w:r>
      <w:r>
        <w:rPr>
          <w:rFonts w:hint="eastAsia" w:ascii="宋体" w:hAnsi="宋体" w:eastAsia="宋体" w:cs="宋体"/>
          <w:sz w:val="24"/>
          <w:szCs w:val="24"/>
          <w:lang w:val="en-US" w:eastAsia="zh-CN"/>
        </w:rPr>
        <w:t>4</w:t>
      </w:r>
      <w:r>
        <w:rPr>
          <w:rFonts w:hint="eastAsia" w:ascii="宋体" w:hAnsi="宋体" w:eastAsia="宋体" w:cs="宋体"/>
          <w:sz w:val="24"/>
          <w:szCs w:val="24"/>
        </w:rPr>
        <w:t>套竣工资料，相关费用已含在签约合同价中。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sz w:val="24"/>
          <w:szCs w:val="24"/>
        </w:rPr>
      </w:pPr>
      <w:r>
        <w:rPr>
          <w:rFonts w:hint="eastAsia" w:ascii="宋体" w:hAnsi="宋体" w:eastAsia="宋体" w:cs="宋体"/>
          <w:sz w:val="24"/>
          <w:szCs w:val="24"/>
        </w:rPr>
        <w:t>14.7承包人应自行解决施工所需的水、电、通讯、场内道路以及施工、办公、生活所需的临时房屋、办公设备、施工设备等设施、设备，相关费用已含在签约合同价中。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sz w:val="24"/>
          <w:szCs w:val="24"/>
        </w:rPr>
      </w:pPr>
      <w:r>
        <w:rPr>
          <w:rFonts w:hint="eastAsia" w:ascii="宋体" w:hAnsi="宋体" w:eastAsia="宋体" w:cs="宋体"/>
          <w:sz w:val="24"/>
          <w:szCs w:val="24"/>
        </w:rPr>
        <w:t>14.8承包人应当预计到施工期间对外界可能产生的必需的不可能避免的干扰，应当积极主动与外界进行协调。承包人有责任维护发包人在市民中的企业形象，若因工程原因发生骚乱等对发包人有影响的重大事件，承包人要负全责，造成发包人被第三方索赔，发包人保留向承包人索赔的权利。</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sz w:val="24"/>
          <w:szCs w:val="24"/>
        </w:rPr>
      </w:pPr>
      <w:r>
        <w:rPr>
          <w:rFonts w:hint="eastAsia" w:ascii="宋体" w:hAnsi="宋体" w:eastAsia="宋体" w:cs="宋体"/>
          <w:sz w:val="24"/>
          <w:szCs w:val="24"/>
        </w:rPr>
        <w:t>14.9承包人指派</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为本工程的项目负责人，具体处理本工程施工过程中的各项事务。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4"/>
          <w:szCs w:val="24"/>
        </w:rPr>
      </w:pPr>
      <w:r>
        <w:rPr>
          <w:rFonts w:hint="eastAsia" w:ascii="宋体" w:hAnsi="宋体" w:eastAsia="宋体" w:cs="宋体"/>
          <w:sz w:val="24"/>
          <w:szCs w:val="24"/>
        </w:rPr>
        <w:t>14.10因政策变化、不可抗力及合同当事人之外的原因导致合同暂停，承包人应妥善做好已完工程、已购材料和工程设备的保护。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sz w:val="24"/>
          <w:szCs w:val="24"/>
        </w:rPr>
      </w:pPr>
      <w:r>
        <w:rPr>
          <w:rFonts w:hint="eastAsia" w:ascii="宋体" w:hAnsi="宋体" w:eastAsia="宋体" w:cs="宋体"/>
          <w:b/>
          <w:sz w:val="24"/>
          <w:szCs w:val="24"/>
        </w:rPr>
        <w:t>15、补充条款</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i/>
          <w:sz w:val="24"/>
          <w:szCs w:val="24"/>
        </w:rPr>
      </w:pPr>
      <w:r>
        <w:rPr>
          <w:rFonts w:hint="eastAsia" w:ascii="宋体" w:hAnsi="宋体" w:eastAsia="宋体" w:cs="宋体"/>
          <w:b/>
          <w:sz w:val="24"/>
          <w:szCs w:val="24"/>
          <w:u w:val="single"/>
        </w:rPr>
        <w:t xml:space="preserve">    </w:t>
      </w:r>
      <w:r>
        <w:rPr>
          <w:rFonts w:hint="eastAsia" w:ascii="宋体" w:hAnsi="宋体" w:eastAsia="宋体" w:cs="宋体"/>
          <w:b w:val="0"/>
          <w:bCs/>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b/>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sz w:val="24"/>
          <w:szCs w:val="24"/>
        </w:rPr>
      </w:pPr>
      <w:r>
        <w:rPr>
          <w:rFonts w:hint="eastAsia" w:ascii="宋体" w:hAnsi="宋体" w:eastAsia="宋体" w:cs="宋体"/>
          <w:b/>
          <w:sz w:val="24"/>
          <w:szCs w:val="24"/>
        </w:rPr>
        <w:t>16、其他</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sz w:val="24"/>
          <w:szCs w:val="24"/>
        </w:rPr>
      </w:pPr>
      <w:r>
        <w:rPr>
          <w:rFonts w:hint="eastAsia" w:ascii="宋体" w:hAnsi="宋体" w:eastAsia="宋体" w:cs="宋体"/>
          <w:sz w:val="24"/>
          <w:szCs w:val="24"/>
        </w:rPr>
        <w:t>16.1合同当事人应在颁发工程接收证书后 7 天内完成工程的移交。工程移交前，承包人应负责工程照管、成品保护、保管等，并承担与之有关的各项费用。</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sz w:val="24"/>
          <w:szCs w:val="24"/>
        </w:rPr>
      </w:pPr>
      <w:r>
        <w:rPr>
          <w:rFonts w:hint="eastAsia" w:ascii="宋体" w:hAnsi="宋体" w:eastAsia="宋体" w:cs="宋体"/>
          <w:sz w:val="24"/>
          <w:szCs w:val="24"/>
        </w:rPr>
        <w:t>16.2因合同及合同有关事项产生的争议，合同当事人可以向有</w:t>
      </w:r>
      <w:r>
        <w:rPr>
          <w:rFonts w:hint="eastAsia" w:ascii="宋体" w:hAnsi="宋体" w:eastAsia="宋体" w:cs="宋体"/>
          <w:sz w:val="24"/>
          <w:szCs w:val="24"/>
          <w:u w:val="single"/>
        </w:rPr>
        <w:t>本合同签订地的人民法院</w:t>
      </w:r>
      <w:r>
        <w:rPr>
          <w:rFonts w:hint="eastAsia" w:ascii="宋体" w:hAnsi="宋体" w:eastAsia="宋体" w:cs="宋体"/>
          <w:sz w:val="24"/>
          <w:szCs w:val="24"/>
        </w:rPr>
        <w:t>起诉。</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宋体" w:hAnsi="宋体" w:eastAsia="宋体" w:cs="宋体"/>
          <w:sz w:val="24"/>
          <w:szCs w:val="24"/>
        </w:rPr>
      </w:pPr>
      <w:r>
        <w:rPr>
          <w:rFonts w:hint="eastAsia" w:ascii="宋体" w:hAnsi="宋体" w:eastAsia="宋体" w:cs="宋体"/>
          <w:sz w:val="24"/>
          <w:szCs w:val="24"/>
        </w:rPr>
        <w:t>16.3合同未尽事宜，合同当事人另行签订补充协议，补充协议是合同的组成部分。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4"/>
          <w:szCs w:val="24"/>
        </w:rPr>
      </w:pPr>
      <w:r>
        <w:rPr>
          <w:rFonts w:hint="eastAsia" w:ascii="宋体" w:hAnsi="宋体" w:eastAsia="宋体" w:cs="宋体"/>
          <w:sz w:val="24"/>
          <w:szCs w:val="24"/>
        </w:rPr>
        <w:t>16.4本合同自</w:t>
      </w:r>
      <w:r>
        <w:rPr>
          <w:rFonts w:hint="eastAsia" w:ascii="宋体" w:hAnsi="宋体" w:eastAsia="宋体" w:cs="宋体"/>
          <w:sz w:val="24"/>
          <w:szCs w:val="24"/>
          <w:u w:val="none"/>
        </w:rPr>
        <w:t xml:space="preserve"> 双方法定代表人或授权</w:t>
      </w:r>
      <w:r>
        <w:rPr>
          <w:rFonts w:hint="eastAsia" w:ascii="宋体" w:hAnsi="宋体" w:eastAsia="宋体" w:cs="宋体"/>
          <w:sz w:val="24"/>
          <w:szCs w:val="24"/>
          <w:u w:val="none"/>
          <w:lang w:eastAsia="zh-CN"/>
        </w:rPr>
        <w:t>代表</w:t>
      </w:r>
      <w:r>
        <w:rPr>
          <w:rFonts w:hint="eastAsia" w:ascii="宋体" w:hAnsi="宋体" w:eastAsia="宋体" w:cs="宋体"/>
          <w:sz w:val="24"/>
          <w:szCs w:val="24"/>
          <w:u w:val="none"/>
        </w:rPr>
        <w:t>签字，加盖</w:t>
      </w:r>
      <w:r>
        <w:rPr>
          <w:rFonts w:hint="eastAsia" w:ascii="宋体" w:hAnsi="宋体" w:eastAsia="宋体" w:cs="宋体"/>
          <w:sz w:val="24"/>
          <w:szCs w:val="24"/>
          <w:u w:val="none"/>
          <w:lang w:eastAsia="zh-CN"/>
        </w:rPr>
        <w:t>公章或</w:t>
      </w:r>
      <w:r>
        <w:rPr>
          <w:rFonts w:hint="eastAsia" w:ascii="宋体" w:hAnsi="宋体" w:eastAsia="宋体" w:cs="宋体"/>
          <w:sz w:val="24"/>
          <w:szCs w:val="24"/>
          <w:u w:val="none"/>
        </w:rPr>
        <w:t xml:space="preserve">合同专用章后 </w:t>
      </w:r>
      <w:r>
        <w:rPr>
          <w:rFonts w:hint="eastAsia" w:ascii="宋体" w:hAnsi="宋体" w:eastAsia="宋体" w:cs="宋体"/>
          <w:sz w:val="24"/>
          <w:szCs w:val="24"/>
        </w:rPr>
        <w:t>生效。</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宋体" w:hAnsi="宋体" w:eastAsia="宋体" w:cs="宋体"/>
          <w:sz w:val="24"/>
          <w:szCs w:val="24"/>
          <w:u w:val="none"/>
        </w:rPr>
      </w:pPr>
      <w:r>
        <w:rPr>
          <w:rFonts w:hint="eastAsia" w:ascii="宋体" w:hAnsi="宋体" w:eastAsia="宋体" w:cs="宋体"/>
          <w:sz w:val="24"/>
          <w:szCs w:val="24"/>
        </w:rPr>
        <w:t>16.5</w:t>
      </w:r>
      <w:r>
        <w:rPr>
          <w:rFonts w:hint="eastAsia" w:ascii="宋体" w:hAnsi="宋体" w:eastAsia="宋体" w:cs="宋体"/>
          <w:sz w:val="24"/>
          <w:szCs w:val="24"/>
          <w:u w:val="none"/>
        </w:rPr>
        <w:t>本合同一式</w:t>
      </w:r>
      <w:r>
        <w:rPr>
          <w:rFonts w:hint="eastAsia" w:ascii="宋体" w:hAnsi="宋体" w:eastAsia="宋体" w:cs="宋体"/>
          <w:sz w:val="24"/>
          <w:szCs w:val="24"/>
          <w:u w:val="none"/>
          <w:lang w:eastAsia="zh-CN"/>
        </w:rPr>
        <w:t>八</w:t>
      </w:r>
      <w:r>
        <w:rPr>
          <w:rFonts w:hint="eastAsia" w:ascii="宋体" w:hAnsi="宋体" w:eastAsia="宋体" w:cs="宋体"/>
          <w:sz w:val="24"/>
          <w:szCs w:val="24"/>
          <w:u w:val="none"/>
        </w:rPr>
        <w:t>份（二正</w:t>
      </w:r>
      <w:r>
        <w:rPr>
          <w:rFonts w:hint="eastAsia" w:ascii="宋体" w:hAnsi="宋体" w:eastAsia="宋体" w:cs="宋体"/>
          <w:sz w:val="24"/>
          <w:szCs w:val="24"/>
          <w:u w:val="none"/>
          <w:lang w:eastAsia="zh-CN"/>
        </w:rPr>
        <w:t>六</w:t>
      </w:r>
      <w:r>
        <w:rPr>
          <w:rFonts w:hint="eastAsia" w:ascii="宋体" w:hAnsi="宋体" w:eastAsia="宋体" w:cs="宋体"/>
          <w:sz w:val="24"/>
          <w:szCs w:val="24"/>
          <w:u w:val="none"/>
        </w:rPr>
        <w:t>副），发包人执</w:t>
      </w:r>
      <w:r>
        <w:rPr>
          <w:rFonts w:hint="eastAsia" w:ascii="宋体" w:hAnsi="宋体" w:eastAsia="宋体" w:cs="宋体"/>
          <w:sz w:val="24"/>
          <w:szCs w:val="24"/>
          <w:u w:val="none"/>
          <w:lang w:eastAsia="zh-CN"/>
        </w:rPr>
        <w:t>六</w:t>
      </w:r>
      <w:r>
        <w:rPr>
          <w:rFonts w:hint="eastAsia" w:ascii="宋体" w:hAnsi="宋体" w:eastAsia="宋体" w:cs="宋体"/>
          <w:sz w:val="24"/>
          <w:szCs w:val="24"/>
          <w:u w:val="none"/>
        </w:rPr>
        <w:t>份（一正</w:t>
      </w:r>
      <w:r>
        <w:rPr>
          <w:rFonts w:hint="eastAsia" w:ascii="宋体" w:hAnsi="宋体" w:eastAsia="宋体" w:cs="宋体"/>
          <w:sz w:val="24"/>
          <w:szCs w:val="24"/>
          <w:u w:val="none"/>
          <w:lang w:eastAsia="zh-CN"/>
        </w:rPr>
        <w:t>五</w:t>
      </w:r>
      <w:r>
        <w:rPr>
          <w:rFonts w:hint="eastAsia" w:ascii="宋体" w:hAnsi="宋体" w:eastAsia="宋体" w:cs="宋体"/>
          <w:sz w:val="24"/>
          <w:szCs w:val="24"/>
          <w:u w:val="none"/>
        </w:rPr>
        <w:t>副），承包人执</w:t>
      </w:r>
      <w:r>
        <w:rPr>
          <w:rFonts w:hint="eastAsia" w:ascii="宋体" w:hAnsi="宋体" w:eastAsia="宋体" w:cs="宋体"/>
          <w:sz w:val="24"/>
          <w:szCs w:val="24"/>
          <w:u w:val="none"/>
          <w:lang w:eastAsia="zh-CN"/>
        </w:rPr>
        <w:t>二</w:t>
      </w:r>
      <w:r>
        <w:rPr>
          <w:rFonts w:hint="eastAsia" w:ascii="宋体" w:hAnsi="宋体" w:eastAsia="宋体" w:cs="宋体"/>
          <w:sz w:val="24"/>
          <w:szCs w:val="24"/>
          <w:u w:val="none"/>
        </w:rPr>
        <w:t>份（一正</w:t>
      </w:r>
      <w:r>
        <w:rPr>
          <w:rFonts w:hint="eastAsia" w:ascii="宋体" w:hAnsi="宋体" w:eastAsia="宋体" w:cs="宋体"/>
          <w:sz w:val="24"/>
          <w:szCs w:val="24"/>
          <w:u w:val="none"/>
          <w:lang w:eastAsia="zh-CN"/>
        </w:rPr>
        <w:t>一</w:t>
      </w:r>
      <w:r>
        <w:rPr>
          <w:rFonts w:hint="eastAsia" w:ascii="宋体" w:hAnsi="宋体" w:eastAsia="宋体" w:cs="宋体"/>
          <w:sz w:val="24"/>
          <w:szCs w:val="24"/>
          <w:u w:val="none"/>
        </w:rPr>
        <w:t>副）。合同正本和副本均具有同等法律效力，当合同副本与正本存有差异时，以合同正本为准。</w:t>
      </w:r>
    </w:p>
    <w:p>
      <w:pPr>
        <w:adjustRightInd w:val="0"/>
        <w:snapToGrid w:val="0"/>
        <w:spacing w:line="360" w:lineRule="auto"/>
        <w:ind w:firstLine="630"/>
        <w:outlineLvl w:val="9"/>
        <w:rPr>
          <w:rFonts w:hint="eastAsia" w:ascii="宋体" w:hAnsi="宋体" w:eastAsia="宋体" w:cs="宋体"/>
          <w:sz w:val="24"/>
          <w:szCs w:val="24"/>
        </w:rPr>
      </w:pPr>
      <w:r>
        <w:rPr>
          <w:rFonts w:hint="eastAsia" w:ascii="宋体" w:hAnsi="宋体" w:eastAsia="宋体" w:cs="宋体"/>
          <w:sz w:val="24"/>
          <w:szCs w:val="24"/>
        </w:rPr>
        <w:t>（以下无正文条款）</w:t>
      </w:r>
    </w:p>
    <w:p>
      <w:pPr>
        <w:adjustRightInd w:val="0"/>
        <w:snapToGrid w:val="0"/>
        <w:spacing w:line="360" w:lineRule="auto"/>
        <w:ind w:firstLine="630"/>
        <w:outlineLvl w:val="9"/>
        <w:rPr>
          <w:rFonts w:hint="eastAsia" w:ascii="宋体" w:hAnsi="宋体" w:eastAsia="宋体" w:cs="宋体"/>
          <w:sz w:val="24"/>
          <w:szCs w:val="24"/>
        </w:rPr>
      </w:pPr>
    </w:p>
    <w:bookmarkEnd w:id="172"/>
    <w:tbl>
      <w:tblPr>
        <w:tblStyle w:val="46"/>
        <w:tblW w:w="0" w:type="auto"/>
        <w:jc w:val="center"/>
        <w:tblLayout w:type="fixed"/>
        <w:tblCellMar>
          <w:top w:w="0" w:type="dxa"/>
          <w:left w:w="108" w:type="dxa"/>
          <w:bottom w:w="0" w:type="dxa"/>
          <w:right w:w="108" w:type="dxa"/>
        </w:tblCellMar>
      </w:tblPr>
      <w:tblGrid>
        <w:gridCol w:w="4406"/>
        <w:gridCol w:w="4194"/>
      </w:tblGrid>
      <w:tr>
        <w:tblPrEx>
          <w:tblCellMar>
            <w:top w:w="0" w:type="dxa"/>
            <w:left w:w="108" w:type="dxa"/>
            <w:bottom w:w="0" w:type="dxa"/>
            <w:right w:w="108" w:type="dxa"/>
          </w:tblCellMar>
        </w:tblPrEx>
        <w:trPr>
          <w:trHeight w:val="661" w:hRule="atLeast"/>
          <w:jc w:val="center"/>
        </w:trPr>
        <w:tc>
          <w:tcPr>
            <w:tcW w:w="4406" w:type="dxa"/>
            <w:tcBorders>
              <w:top w:val="nil"/>
              <w:left w:val="nil"/>
              <w:bottom w:val="nil"/>
              <w:right w:val="nil"/>
            </w:tcBorders>
            <w:noWrap w:val="0"/>
            <w:vAlign w:val="top"/>
          </w:tcPr>
          <w:p>
            <w:pPr>
              <w:pStyle w:val="25"/>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甲方：(盖章)</w:t>
            </w:r>
          </w:p>
          <w:p>
            <w:pPr>
              <w:pStyle w:val="25"/>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 xml:space="preserve"> </w:t>
            </w:r>
          </w:p>
        </w:tc>
        <w:tc>
          <w:tcPr>
            <w:tcW w:w="4194" w:type="dxa"/>
            <w:tcBorders>
              <w:top w:val="nil"/>
              <w:left w:val="nil"/>
              <w:bottom w:val="nil"/>
              <w:right w:val="nil"/>
            </w:tcBorders>
            <w:noWrap w:val="0"/>
            <w:vAlign w:val="top"/>
          </w:tcPr>
          <w:p>
            <w:pPr>
              <w:pStyle w:val="25"/>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乙方：（盖章）</w:t>
            </w:r>
          </w:p>
          <w:p>
            <w:pPr>
              <w:pStyle w:val="25"/>
              <w:snapToGrid w:val="0"/>
              <w:spacing w:line="360" w:lineRule="auto"/>
              <w:outlineLvl w:val="9"/>
              <w:rPr>
                <w:rFonts w:hint="eastAsia" w:ascii="宋体" w:hAnsi="宋体" w:eastAsia="宋体" w:cs="宋体"/>
                <w:sz w:val="24"/>
                <w:szCs w:val="24"/>
              </w:rPr>
            </w:pPr>
          </w:p>
        </w:tc>
      </w:tr>
      <w:tr>
        <w:tblPrEx>
          <w:tblCellMar>
            <w:top w:w="0" w:type="dxa"/>
            <w:left w:w="108" w:type="dxa"/>
            <w:bottom w:w="0" w:type="dxa"/>
            <w:right w:w="108" w:type="dxa"/>
          </w:tblCellMar>
        </w:tblPrEx>
        <w:trPr>
          <w:trHeight w:val="769"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宋体" w:hAnsi="宋体" w:eastAsia="宋体" w:cs="宋体"/>
                <w:sz w:val="24"/>
                <w:szCs w:val="24"/>
              </w:rPr>
            </w:pPr>
            <w:r>
              <w:rPr>
                <w:rFonts w:hint="eastAsia" w:ascii="宋体" w:hAnsi="宋体" w:eastAsia="宋体" w:cs="宋体"/>
                <w:sz w:val="24"/>
                <w:szCs w:val="24"/>
              </w:rPr>
              <w:t>法定代表人或其授权代表：</w:t>
            </w:r>
          </w:p>
        </w:tc>
        <w:tc>
          <w:tcPr>
            <w:tcW w:w="4194" w:type="dxa"/>
            <w:tcBorders>
              <w:top w:val="nil"/>
              <w:left w:val="nil"/>
              <w:bottom w:val="nil"/>
              <w:right w:val="nil"/>
            </w:tcBorders>
            <w:noWrap w:val="0"/>
            <w:vAlign w:val="top"/>
          </w:tcPr>
          <w:p>
            <w:pPr>
              <w:pStyle w:val="25"/>
              <w:snapToGrid w:val="0"/>
              <w:spacing w:line="360" w:lineRule="auto"/>
              <w:ind w:left="34" w:leftChars="16"/>
              <w:outlineLvl w:val="9"/>
              <w:rPr>
                <w:rFonts w:hint="eastAsia" w:ascii="宋体" w:hAnsi="宋体" w:eastAsia="宋体" w:cs="宋体"/>
                <w:sz w:val="24"/>
                <w:szCs w:val="24"/>
              </w:rPr>
            </w:pPr>
            <w:r>
              <w:rPr>
                <w:rFonts w:hint="eastAsia" w:ascii="宋体" w:hAnsi="宋体" w:eastAsia="宋体" w:cs="宋体"/>
                <w:sz w:val="24"/>
                <w:szCs w:val="24"/>
              </w:rPr>
              <w:t>法定代表人或其授权代表：</w:t>
            </w:r>
          </w:p>
        </w:tc>
      </w:tr>
      <w:tr>
        <w:tblPrEx>
          <w:tblCellMar>
            <w:top w:w="0" w:type="dxa"/>
            <w:left w:w="108" w:type="dxa"/>
            <w:bottom w:w="0" w:type="dxa"/>
            <w:right w:w="108" w:type="dxa"/>
          </w:tblCellMar>
        </w:tblPrEx>
        <w:trPr>
          <w:trHeight w:val="462" w:hRule="atLeast"/>
          <w:jc w:val="center"/>
        </w:trPr>
        <w:tc>
          <w:tcPr>
            <w:tcW w:w="4406" w:type="dxa"/>
            <w:tcBorders>
              <w:top w:val="nil"/>
              <w:left w:val="nil"/>
              <w:bottom w:val="nil"/>
              <w:right w:val="nil"/>
            </w:tcBorders>
            <w:noWrap w:val="0"/>
            <w:vAlign w:val="top"/>
          </w:tcPr>
          <w:p>
            <w:pPr>
              <w:pStyle w:val="25"/>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址：  </w:t>
            </w:r>
          </w:p>
        </w:tc>
        <w:tc>
          <w:tcPr>
            <w:tcW w:w="4194" w:type="dxa"/>
            <w:tcBorders>
              <w:top w:val="nil"/>
              <w:left w:val="nil"/>
              <w:bottom w:val="nil"/>
              <w:right w:val="nil"/>
            </w:tcBorders>
            <w:noWrap w:val="0"/>
            <w:vAlign w:val="top"/>
          </w:tcPr>
          <w:p>
            <w:pPr>
              <w:pStyle w:val="25"/>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址：  </w:t>
            </w:r>
          </w:p>
        </w:tc>
      </w:tr>
      <w:tr>
        <w:tblPrEx>
          <w:tblCellMar>
            <w:top w:w="0" w:type="dxa"/>
            <w:left w:w="108" w:type="dxa"/>
            <w:bottom w:w="0" w:type="dxa"/>
            <w:right w:w="108" w:type="dxa"/>
          </w:tblCellMar>
        </w:tblPrEx>
        <w:trPr>
          <w:trHeight w:val="489" w:hRule="atLeast"/>
          <w:jc w:val="center"/>
        </w:trPr>
        <w:tc>
          <w:tcPr>
            <w:tcW w:w="4406" w:type="dxa"/>
            <w:tcBorders>
              <w:top w:val="nil"/>
              <w:left w:val="nil"/>
              <w:bottom w:val="nil"/>
              <w:right w:val="nil"/>
            </w:tcBorders>
            <w:noWrap w:val="0"/>
            <w:vAlign w:val="top"/>
          </w:tcPr>
          <w:p>
            <w:pPr>
              <w:pStyle w:val="25"/>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编： </w:t>
            </w:r>
          </w:p>
        </w:tc>
        <w:tc>
          <w:tcPr>
            <w:tcW w:w="4194" w:type="dxa"/>
            <w:tcBorders>
              <w:top w:val="nil"/>
              <w:left w:val="nil"/>
              <w:bottom w:val="nil"/>
              <w:right w:val="nil"/>
            </w:tcBorders>
            <w:noWrap w:val="0"/>
            <w:vAlign w:val="top"/>
          </w:tcPr>
          <w:p>
            <w:pPr>
              <w:pStyle w:val="25"/>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rPr>
              <w:t>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编： </w:t>
            </w:r>
          </w:p>
        </w:tc>
      </w:tr>
      <w:tr>
        <w:tblPrEx>
          <w:tblCellMar>
            <w:top w:w="0" w:type="dxa"/>
            <w:left w:w="108" w:type="dxa"/>
            <w:bottom w:w="0" w:type="dxa"/>
            <w:right w:w="108" w:type="dxa"/>
          </w:tblCellMar>
        </w:tblPrEx>
        <w:trPr>
          <w:trHeight w:val="90"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话： </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话： </w:t>
            </w:r>
          </w:p>
        </w:tc>
      </w:tr>
      <w:tr>
        <w:tblPrEx>
          <w:tblCellMar>
            <w:top w:w="0" w:type="dxa"/>
            <w:left w:w="108" w:type="dxa"/>
            <w:bottom w:w="0" w:type="dxa"/>
            <w:right w:w="108" w:type="dxa"/>
          </w:tblCellMar>
        </w:tblPrEx>
        <w:trPr>
          <w:trHeight w:val="561"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宋体" w:hAnsi="宋体" w:eastAsia="宋体" w:cs="宋体"/>
                <w:sz w:val="24"/>
                <w:szCs w:val="24"/>
              </w:rPr>
            </w:pPr>
            <w:r>
              <w:rPr>
                <w:rFonts w:hint="eastAsia" w:ascii="宋体" w:hAnsi="宋体" w:eastAsia="宋体" w:cs="宋体"/>
                <w:sz w:val="24"/>
                <w:szCs w:val="24"/>
              </w:rPr>
              <w:t>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真： </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宋体" w:hAnsi="宋体" w:eastAsia="宋体" w:cs="宋体"/>
                <w:sz w:val="24"/>
                <w:szCs w:val="24"/>
              </w:rPr>
            </w:pPr>
            <w:r>
              <w:rPr>
                <w:rFonts w:hint="eastAsia" w:ascii="宋体" w:hAnsi="宋体" w:eastAsia="宋体" w:cs="宋体"/>
                <w:sz w:val="24"/>
                <w:szCs w:val="24"/>
              </w:rPr>
              <w:t>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真： </w:t>
            </w:r>
          </w:p>
        </w:tc>
      </w:tr>
      <w:tr>
        <w:tblPrEx>
          <w:tblCellMar>
            <w:top w:w="0" w:type="dxa"/>
            <w:left w:w="108" w:type="dxa"/>
            <w:bottom w:w="0" w:type="dxa"/>
            <w:right w:w="108" w:type="dxa"/>
          </w:tblCellMar>
        </w:tblPrEx>
        <w:trPr>
          <w:trHeight w:val="39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宋体" w:hAnsi="宋体" w:eastAsia="宋体" w:cs="宋体"/>
                <w:sz w:val="24"/>
                <w:szCs w:val="24"/>
              </w:rPr>
            </w:pPr>
            <w:r>
              <w:rPr>
                <w:rFonts w:hint="eastAsia" w:ascii="宋体" w:hAnsi="宋体" w:eastAsia="宋体" w:cs="宋体"/>
                <w:sz w:val="24"/>
                <w:szCs w:val="24"/>
              </w:rPr>
              <w:t>开户银行：</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宋体" w:hAnsi="宋体" w:eastAsia="宋体" w:cs="宋体"/>
                <w:sz w:val="24"/>
                <w:szCs w:val="24"/>
              </w:rPr>
            </w:pPr>
            <w:r>
              <w:rPr>
                <w:rFonts w:hint="eastAsia" w:ascii="宋体" w:hAnsi="宋体" w:eastAsia="宋体" w:cs="宋体"/>
                <w:sz w:val="24"/>
                <w:szCs w:val="24"/>
              </w:rPr>
              <w:t>开户银行：</w:t>
            </w:r>
          </w:p>
        </w:tc>
      </w:tr>
      <w:tr>
        <w:tblPrEx>
          <w:tblCellMar>
            <w:top w:w="0" w:type="dxa"/>
            <w:left w:w="108" w:type="dxa"/>
            <w:bottom w:w="0" w:type="dxa"/>
            <w:right w:w="108" w:type="dxa"/>
          </w:tblCellMar>
        </w:tblPrEx>
        <w:trPr>
          <w:trHeight w:val="506"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宋体" w:hAnsi="宋体" w:eastAsia="宋体" w:cs="宋体"/>
                <w:sz w:val="24"/>
                <w:szCs w:val="24"/>
              </w:rPr>
            </w:pPr>
            <w:r>
              <w:rPr>
                <w:rFonts w:hint="eastAsia" w:ascii="宋体" w:hAnsi="宋体" w:eastAsia="宋体" w:cs="宋体"/>
                <w:sz w:val="24"/>
                <w:szCs w:val="24"/>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号：</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宋体" w:hAnsi="宋体" w:eastAsia="宋体" w:cs="宋体"/>
                <w:sz w:val="24"/>
                <w:szCs w:val="24"/>
              </w:rPr>
            </w:pPr>
            <w:r>
              <w:rPr>
                <w:rFonts w:hint="eastAsia" w:ascii="宋体" w:hAnsi="宋体" w:eastAsia="宋体" w:cs="宋体"/>
                <w:sz w:val="24"/>
                <w:szCs w:val="24"/>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号：</w:t>
            </w:r>
          </w:p>
        </w:tc>
      </w:tr>
      <w:tr>
        <w:tblPrEx>
          <w:tblCellMar>
            <w:top w:w="0" w:type="dxa"/>
            <w:left w:w="108" w:type="dxa"/>
            <w:bottom w:w="0" w:type="dxa"/>
            <w:right w:w="108" w:type="dxa"/>
          </w:tblCellMar>
        </w:tblPrEx>
        <w:trPr>
          <w:trHeight w:val="24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号：</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宋体" w:hAnsi="宋体" w:eastAsia="宋体" w:cs="宋体"/>
                <w:sz w:val="24"/>
                <w:szCs w:val="24"/>
              </w:rPr>
            </w:pPr>
            <w:r>
              <w:rPr>
                <w:rFonts w:hint="eastAsia" w:ascii="宋体" w:hAnsi="宋体" w:eastAsia="宋体" w:cs="宋体"/>
                <w:sz w:val="24"/>
                <w:szCs w:val="24"/>
                <w:lang w:eastAsia="zh-CN"/>
              </w:rPr>
              <w:t>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号：</w:t>
            </w:r>
          </w:p>
        </w:tc>
      </w:tr>
    </w:tbl>
    <w:p>
      <w:pPr>
        <w:adjustRightInd w:val="0"/>
        <w:snapToGrid w:val="0"/>
        <w:spacing w:line="800" w:lineRule="exact"/>
        <w:outlineLvl w:val="9"/>
        <w:rPr>
          <w:rFonts w:hint="eastAsia" w:ascii="宋体" w:hAnsi="宋体" w:eastAsia="宋体" w:cs="宋体"/>
          <w:sz w:val="32"/>
          <w:szCs w:val="32"/>
        </w:rPr>
        <w:sectPr>
          <w:headerReference r:id="rId13" w:type="default"/>
          <w:footerReference r:id="rId14" w:type="default"/>
          <w:pgSz w:w="11906" w:h="16838"/>
          <w:pgMar w:top="1418" w:right="1418" w:bottom="1418" w:left="1588" w:header="851" w:footer="992" w:gutter="0"/>
          <w:pgNumType w:fmt="decimal"/>
          <w:cols w:space="720" w:num="1"/>
          <w:docGrid w:type="lines" w:linePitch="312" w:charSpace="0"/>
        </w:sectPr>
      </w:pPr>
      <w:r>
        <w:rPr>
          <w:rFonts w:hint="eastAsia" w:ascii="宋体" w:hAnsi="宋体" w:eastAsia="宋体" w:cs="宋体"/>
          <w:sz w:val="32"/>
          <w:szCs w:val="32"/>
        </w:rPr>
        <w:t xml:space="preserve"> </w:t>
      </w:r>
    </w:p>
    <w:p>
      <w:pPr>
        <w:pageBreakBefore w:val="0"/>
        <w:numPr>
          <w:ilvl w:val="0"/>
          <w:numId w:val="21"/>
        </w:numPr>
        <w:tabs>
          <w:tab w:val="left" w:pos="2799"/>
        </w:tabs>
        <w:kinsoku/>
        <w:overflowPunct/>
        <w:bidi w:val="0"/>
        <w:spacing w:line="400" w:lineRule="exact"/>
        <w:ind w:leftChars="0" w:right="0" w:rightChars="0"/>
        <w:jc w:val="center"/>
        <w:outlineLvl w:val="1"/>
        <w:rPr>
          <w:rFonts w:hint="eastAsia" w:ascii="宋体" w:hAnsi="宋体" w:eastAsia="宋体" w:cs="宋体"/>
          <w:b/>
          <w:bCs/>
          <w:sz w:val="32"/>
          <w:szCs w:val="32"/>
          <w:lang w:val="en-US" w:eastAsia="zh-CN"/>
        </w:rPr>
      </w:pPr>
      <w:bookmarkStart w:id="185" w:name="_Toc10030"/>
      <w:r>
        <w:rPr>
          <w:rFonts w:hint="eastAsia" w:ascii="宋体" w:hAnsi="宋体" w:eastAsia="宋体" w:cs="宋体"/>
          <w:b/>
          <w:bCs/>
          <w:sz w:val="32"/>
          <w:szCs w:val="32"/>
          <w:lang w:val="en-US" w:eastAsia="zh-CN"/>
        </w:rPr>
        <w:t xml:space="preserve"> 中选通知书</w:t>
      </w:r>
    </w:p>
    <w:p>
      <w:pPr>
        <w:pStyle w:val="2"/>
        <w:ind w:left="0" w:leftChars="0" w:firstLine="0" w:firstLineChars="0"/>
        <w:rPr>
          <w:rFonts w:hint="eastAsia" w:ascii="宋体" w:hAnsi="宋体" w:eastAsia="宋体" w:cs="宋体"/>
          <w:lang w:val="en-US" w:eastAsia="zh-CN"/>
        </w:rPr>
      </w:pPr>
    </w:p>
    <w:p>
      <w:pPr>
        <w:rPr>
          <w:rFonts w:hint="eastAsia" w:ascii="宋体" w:hAnsi="宋体" w:eastAsia="宋体" w:cs="宋体"/>
          <w:lang w:val="en-US" w:eastAsia="zh-CN"/>
        </w:rPr>
      </w:pPr>
    </w:p>
    <w:p>
      <w:pPr>
        <w:pageBreakBefore w:val="0"/>
        <w:numPr>
          <w:ilvl w:val="0"/>
          <w:numId w:val="0"/>
        </w:numPr>
        <w:tabs>
          <w:tab w:val="left" w:pos="2799"/>
        </w:tabs>
        <w:kinsoku/>
        <w:overflowPunct/>
        <w:bidi w:val="0"/>
        <w:spacing w:line="400" w:lineRule="exact"/>
        <w:ind w:right="0" w:rightChars="0"/>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r>
        <w:rPr>
          <w:rFonts w:hint="eastAsia" w:ascii="宋体" w:hAnsi="宋体" w:eastAsia="宋体" w:cs="宋体"/>
          <w:b/>
          <w:bCs/>
          <w:sz w:val="32"/>
          <w:szCs w:val="32"/>
          <w:lang w:val="en-US" w:eastAsia="zh-CN"/>
        </w:rPr>
        <w:t>第三部分  合同附件</w:t>
      </w:r>
    </w:p>
    <w:bookmarkEnd w:id="185"/>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b w:val="0"/>
          <w:bCs/>
          <w:sz w:val="24"/>
        </w:rPr>
      </w:pPr>
      <w:r>
        <w:rPr>
          <w:rFonts w:hint="eastAsia" w:ascii="宋体" w:hAnsi="宋体" w:eastAsia="宋体" w:cs="宋体"/>
          <w:b w:val="0"/>
          <w:bCs/>
          <w:sz w:val="24"/>
          <w:lang w:eastAsia="zh-CN"/>
        </w:rPr>
        <w:t>附件</w:t>
      </w:r>
      <w:r>
        <w:rPr>
          <w:rFonts w:hint="eastAsia" w:ascii="宋体" w:hAnsi="宋体" w:eastAsia="宋体" w:cs="宋体"/>
          <w:b w:val="0"/>
          <w:bCs/>
          <w:sz w:val="24"/>
          <w:lang w:val="en-US" w:eastAsia="zh-CN"/>
        </w:rPr>
        <w:t>1：</w:t>
      </w:r>
      <w:r>
        <w:rPr>
          <w:rFonts w:hint="eastAsia" w:ascii="宋体" w:hAnsi="宋体" w:eastAsia="宋体" w:cs="宋体"/>
          <w:b w:val="0"/>
          <w:bCs/>
          <w:sz w:val="24"/>
        </w:rPr>
        <w:t>廉政</w:t>
      </w:r>
      <w:r>
        <w:rPr>
          <w:rFonts w:hint="eastAsia" w:ascii="宋体" w:hAnsi="宋体" w:eastAsia="宋体" w:cs="宋体"/>
          <w:b w:val="0"/>
          <w:bCs/>
          <w:sz w:val="24"/>
          <w:lang w:eastAsia="zh-CN"/>
        </w:rPr>
        <w:t>合同</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宋体" w:hAnsi="宋体" w:eastAsia="宋体" w:cs="宋体"/>
          <w:sz w:val="24"/>
        </w:rPr>
      </w:pPr>
      <w:r>
        <w:rPr>
          <w:rFonts w:hint="eastAsia" w:ascii="宋体" w:hAnsi="宋体" w:eastAsia="宋体" w:cs="宋体"/>
          <w:sz w:val="24"/>
        </w:rPr>
        <w:t>根据国家法律、法规以及有关工程建设、廉政建设的规定，为做好工程建设中的党风廉政建设，保证工程建设高效优质，保证建设资金的安全和有效使用以及投资效益，</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建设工程的项目法人</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sz w:val="24"/>
        </w:rPr>
        <w:t>(以下称“甲方”)与</w:t>
      </w:r>
      <w:r>
        <w:rPr>
          <w:rFonts w:hint="eastAsia" w:ascii="宋体" w:hAnsi="宋体" w:eastAsia="宋体" w:cs="宋体"/>
          <w:sz w:val="24"/>
          <w:u w:val="single"/>
        </w:rPr>
        <w:t xml:space="preserve">           </w:t>
      </w:r>
      <w:r>
        <w:rPr>
          <w:rFonts w:hint="eastAsia" w:ascii="宋体" w:hAnsi="宋体" w:eastAsia="宋体" w:cs="宋体"/>
          <w:sz w:val="24"/>
        </w:rPr>
        <w:t>(以下称“乙方”)，特订立如下合同。</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宋体" w:hAnsi="宋体" w:eastAsia="宋体" w:cs="宋体"/>
          <w:b/>
          <w:sz w:val="24"/>
        </w:rPr>
      </w:pPr>
      <w:bookmarkStart w:id="186" w:name="_Toc59900969"/>
      <w:bookmarkStart w:id="187" w:name="_Toc59896701"/>
      <w:r>
        <w:rPr>
          <w:rFonts w:hint="eastAsia" w:ascii="宋体" w:hAnsi="宋体" w:eastAsia="宋体" w:cs="宋体"/>
          <w:b/>
          <w:sz w:val="24"/>
        </w:rPr>
        <w:t>第一条 合同双方的权利和义务</w:t>
      </w:r>
      <w:bookmarkEnd w:id="186"/>
      <w:bookmarkEnd w:id="187"/>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outlineLvl w:val="9"/>
        <w:rPr>
          <w:rFonts w:hint="eastAsia" w:ascii="宋体" w:hAnsi="宋体" w:eastAsia="宋体" w:cs="宋体"/>
          <w:sz w:val="24"/>
        </w:rPr>
      </w:pPr>
      <w:r>
        <w:rPr>
          <w:rFonts w:hint="eastAsia" w:ascii="宋体" w:hAnsi="宋体" w:eastAsia="宋体" w:cs="宋体"/>
          <w:sz w:val="24"/>
        </w:rPr>
        <w:t>（一）严格遵守党和国家有关法律法规及湖南省、长沙市的相关规定。</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outlineLvl w:val="9"/>
        <w:rPr>
          <w:rFonts w:hint="eastAsia" w:ascii="宋体" w:hAnsi="宋体" w:eastAsia="宋体" w:cs="宋体"/>
          <w:sz w:val="24"/>
        </w:rPr>
      </w:pPr>
      <w:r>
        <w:rPr>
          <w:rFonts w:hint="eastAsia" w:ascii="宋体" w:hAnsi="宋体" w:eastAsia="宋体" w:cs="宋体"/>
          <w:sz w:val="24"/>
        </w:rPr>
        <w:t>（二）严格执行</w:t>
      </w:r>
      <w:r>
        <w:rPr>
          <w:rFonts w:hint="eastAsia" w:ascii="宋体" w:hAnsi="宋体" w:eastAsia="宋体" w:cs="宋体"/>
          <w:sz w:val="24"/>
          <w:u w:val="single"/>
        </w:rPr>
        <w:t xml:space="preserve">                   </w:t>
      </w:r>
      <w:r>
        <w:rPr>
          <w:rFonts w:hint="eastAsia" w:ascii="宋体" w:hAnsi="宋体" w:eastAsia="宋体" w:cs="宋体"/>
          <w:sz w:val="24"/>
        </w:rPr>
        <w:t>合同文件（以下简称“主合同”），自觉按合同办事。</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outlineLvl w:val="9"/>
        <w:rPr>
          <w:rFonts w:hint="eastAsia" w:ascii="宋体" w:hAnsi="宋体" w:eastAsia="宋体" w:cs="宋体"/>
          <w:sz w:val="24"/>
        </w:rPr>
      </w:pPr>
      <w:r>
        <w:rPr>
          <w:rFonts w:hint="eastAsia" w:ascii="宋体" w:hAnsi="宋体" w:eastAsia="宋体" w:cs="宋体"/>
          <w:sz w:val="24"/>
        </w:rPr>
        <w:t>（三）双方的业务活动坚持公开、公正、诚信、透明的原则（除法律认定的商业秘密和合同文件另有规定之外），不得损害国家和集体利益，违反工程建设规章制度。</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outlineLvl w:val="9"/>
        <w:rPr>
          <w:rFonts w:hint="eastAsia" w:ascii="宋体" w:hAnsi="宋体" w:eastAsia="宋体" w:cs="宋体"/>
          <w:sz w:val="24"/>
        </w:rPr>
      </w:pPr>
      <w:r>
        <w:rPr>
          <w:rFonts w:hint="eastAsia" w:ascii="宋体" w:hAnsi="宋体" w:eastAsia="宋体" w:cs="宋体"/>
          <w:sz w:val="24"/>
        </w:rPr>
        <w:t>（四）建立健全廉政制度，开展廉政教育，设立廉政告示牌，公布举报电话，监督并认真查处违法违纪行为。</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outlineLvl w:val="9"/>
        <w:rPr>
          <w:rFonts w:hint="eastAsia" w:ascii="宋体" w:hAnsi="宋体" w:eastAsia="宋体" w:cs="宋体"/>
          <w:sz w:val="24"/>
        </w:rPr>
      </w:pPr>
      <w:r>
        <w:rPr>
          <w:rFonts w:hint="eastAsia" w:ascii="宋体" w:hAnsi="宋体" w:eastAsia="宋体" w:cs="宋体"/>
          <w:sz w:val="24"/>
        </w:rPr>
        <w:t>（五）发现对方在业务活动中有违反廉政规定的行为，有及时提醒对方纠正的权利和义务。</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outlineLvl w:val="9"/>
        <w:rPr>
          <w:rFonts w:hint="eastAsia" w:ascii="宋体" w:hAnsi="宋体" w:eastAsia="宋体" w:cs="宋体"/>
          <w:sz w:val="24"/>
        </w:rPr>
      </w:pPr>
      <w:r>
        <w:rPr>
          <w:rFonts w:hint="eastAsia" w:ascii="宋体" w:hAnsi="宋体" w:eastAsia="宋体" w:cs="宋体"/>
          <w:sz w:val="24"/>
        </w:rPr>
        <w:t>（六）发现对方严重违反本合同义务条款的行为，有向其上级有关部门举报、建议给予处理并要求告知处理结果的权利。</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宋体" w:hAnsi="宋体" w:eastAsia="宋体" w:cs="宋体"/>
          <w:b/>
          <w:sz w:val="24"/>
        </w:rPr>
      </w:pPr>
      <w:bookmarkStart w:id="188" w:name="_Toc59896702"/>
      <w:bookmarkStart w:id="189" w:name="_Toc59900970"/>
      <w:r>
        <w:rPr>
          <w:rFonts w:hint="eastAsia" w:ascii="宋体" w:hAnsi="宋体" w:eastAsia="宋体" w:cs="宋体"/>
          <w:b/>
          <w:sz w:val="24"/>
        </w:rPr>
        <w:t>第二条 甲方的义务</w:t>
      </w:r>
      <w:bookmarkEnd w:id="188"/>
      <w:bookmarkEnd w:id="189"/>
    </w:p>
    <w:p>
      <w:pPr>
        <w:keepNext w:val="0"/>
        <w:keepLines w:val="0"/>
        <w:pageBreakBefore w:val="0"/>
        <w:widowControl w:val="0"/>
        <w:tabs>
          <w:tab w:val="left" w:pos="0"/>
          <w:tab w:val="left" w:pos="2115"/>
        </w:tabs>
        <w:kinsoku/>
        <w:wordWrap/>
        <w:overflowPunct/>
        <w:topLinePunct w:val="0"/>
        <w:autoSpaceDE/>
        <w:autoSpaceDN/>
        <w:bidi w:val="0"/>
        <w:adjustRightInd w:val="0"/>
        <w:snapToGrid w:val="0"/>
        <w:spacing w:line="360" w:lineRule="auto"/>
        <w:ind w:firstLine="510"/>
        <w:textAlignment w:val="auto"/>
        <w:outlineLvl w:val="9"/>
        <w:rPr>
          <w:rFonts w:hint="eastAsia" w:ascii="宋体" w:hAnsi="宋体" w:eastAsia="宋体" w:cs="宋体"/>
          <w:sz w:val="24"/>
        </w:rPr>
      </w:pPr>
      <w:r>
        <w:rPr>
          <w:rFonts w:hint="eastAsia" w:ascii="宋体" w:hAnsi="宋体" w:eastAsia="宋体" w:cs="宋体"/>
          <w:sz w:val="24"/>
        </w:rPr>
        <w:t>（一）甲方及其工作人员不得索要或接受乙方的礼金、有价证券和贵重物品，不得在乙方报销任何应由甲方或个人支付的费用等。</w:t>
      </w:r>
    </w:p>
    <w:p>
      <w:pPr>
        <w:keepNext w:val="0"/>
        <w:keepLines w:val="0"/>
        <w:pageBreakBefore w:val="0"/>
        <w:widowControl w:val="0"/>
        <w:tabs>
          <w:tab w:val="left" w:pos="0"/>
          <w:tab w:val="left" w:pos="2115"/>
        </w:tabs>
        <w:kinsoku/>
        <w:wordWrap/>
        <w:overflowPunct/>
        <w:topLinePunct w:val="0"/>
        <w:autoSpaceDE/>
        <w:autoSpaceDN/>
        <w:bidi w:val="0"/>
        <w:adjustRightInd w:val="0"/>
        <w:snapToGrid w:val="0"/>
        <w:spacing w:line="360" w:lineRule="auto"/>
        <w:ind w:firstLine="510"/>
        <w:textAlignment w:val="auto"/>
        <w:outlineLvl w:val="9"/>
        <w:rPr>
          <w:rFonts w:hint="eastAsia" w:ascii="宋体" w:hAnsi="宋体" w:eastAsia="宋体" w:cs="宋体"/>
          <w:sz w:val="24"/>
        </w:rPr>
      </w:pPr>
      <w:r>
        <w:rPr>
          <w:rFonts w:hint="eastAsia" w:ascii="宋体" w:hAnsi="宋体" w:eastAsia="宋体" w:cs="宋体"/>
          <w:sz w:val="24"/>
        </w:rPr>
        <w:t>（二）甲方工作人员不得参加乙方安排的超标准宴请和娱乐活动；不得接受乙方提供的通讯工具、交通工具和高档办公用品等。</w:t>
      </w:r>
    </w:p>
    <w:p>
      <w:pPr>
        <w:keepNext w:val="0"/>
        <w:keepLines w:val="0"/>
        <w:pageBreakBefore w:val="0"/>
        <w:widowControl w:val="0"/>
        <w:tabs>
          <w:tab w:val="left" w:pos="0"/>
          <w:tab w:val="left" w:pos="2115"/>
        </w:tabs>
        <w:kinsoku/>
        <w:wordWrap/>
        <w:overflowPunct/>
        <w:topLinePunct w:val="0"/>
        <w:autoSpaceDE/>
        <w:autoSpaceDN/>
        <w:bidi w:val="0"/>
        <w:adjustRightInd w:val="0"/>
        <w:snapToGrid w:val="0"/>
        <w:spacing w:line="360" w:lineRule="auto"/>
        <w:ind w:firstLine="510"/>
        <w:textAlignment w:val="auto"/>
        <w:outlineLvl w:val="9"/>
        <w:rPr>
          <w:rFonts w:hint="eastAsia" w:ascii="宋体" w:hAnsi="宋体" w:eastAsia="宋体" w:cs="宋体"/>
          <w:sz w:val="24"/>
        </w:rPr>
      </w:pPr>
      <w:r>
        <w:rPr>
          <w:rFonts w:hint="eastAsia" w:ascii="宋体" w:hAnsi="宋体" w:eastAsia="宋体" w:cs="宋体"/>
          <w:sz w:val="24"/>
        </w:rPr>
        <w:t>（三）甲方及其工作人员不得要求或者接受乙方为其住房装修、婚丧嫁娶活动、配偶子女的工作安排以及出国出境、旅游等提供方便等。</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宋体" w:hAnsi="宋体" w:eastAsia="宋体" w:cs="宋体"/>
          <w:b/>
          <w:sz w:val="24"/>
        </w:rPr>
      </w:pPr>
      <w:bookmarkStart w:id="190" w:name="_Toc59896703"/>
      <w:bookmarkStart w:id="191" w:name="_Toc59900971"/>
      <w:r>
        <w:rPr>
          <w:rFonts w:hint="eastAsia" w:ascii="宋体" w:hAnsi="宋体" w:eastAsia="宋体" w:cs="宋体"/>
          <w:b/>
          <w:sz w:val="24"/>
        </w:rPr>
        <w:t>第三条 乙方的义务</w:t>
      </w:r>
      <w:bookmarkEnd w:id="190"/>
      <w:bookmarkEnd w:id="191"/>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宋体" w:hAnsi="宋体" w:eastAsia="宋体" w:cs="宋体"/>
          <w:sz w:val="24"/>
        </w:rPr>
      </w:pPr>
      <w:r>
        <w:rPr>
          <w:rFonts w:hint="eastAsia" w:ascii="宋体" w:hAnsi="宋体" w:eastAsia="宋体" w:cs="宋体"/>
          <w:sz w:val="24"/>
        </w:rPr>
        <w:t>（一）乙方不得以任何理由向甲方及其工作人员行贿或馈赠礼金、有价证券、贵重礼品。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宋体" w:hAnsi="宋体" w:eastAsia="宋体" w:cs="宋体"/>
          <w:sz w:val="24"/>
        </w:rPr>
      </w:pPr>
      <w:r>
        <w:rPr>
          <w:rFonts w:hint="eastAsia" w:ascii="宋体" w:hAnsi="宋体" w:eastAsia="宋体" w:cs="宋体"/>
          <w:sz w:val="24"/>
        </w:rPr>
        <w:t>（二）乙方不得以任何名义为甲方及其工作人员报销应由甲方单位或个人支付的任何费用。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宋体" w:hAnsi="宋体" w:eastAsia="宋体" w:cs="宋体"/>
          <w:sz w:val="24"/>
        </w:rPr>
      </w:pPr>
      <w:r>
        <w:rPr>
          <w:rFonts w:hint="eastAsia" w:ascii="宋体" w:hAnsi="宋体" w:eastAsia="宋体" w:cs="宋体"/>
          <w:sz w:val="24"/>
        </w:rPr>
        <w:t>（三）乙方不得以任何理由安排甲方工作人员参加超标准宴请及娱乐活动。</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宋体" w:hAnsi="宋体" w:eastAsia="宋体" w:cs="宋体"/>
          <w:sz w:val="24"/>
        </w:rPr>
      </w:pPr>
      <w:r>
        <w:rPr>
          <w:rFonts w:hint="eastAsia" w:ascii="宋体" w:hAnsi="宋体" w:eastAsia="宋体" w:cs="宋体"/>
          <w:sz w:val="24"/>
        </w:rPr>
        <w:t>（四）乙方不得为甲方单位和个人购置或提供通讯工具、交通工具和高档办公用品等。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宋体" w:hAnsi="宋体" w:eastAsia="宋体" w:cs="宋体"/>
          <w:b/>
          <w:sz w:val="24"/>
        </w:rPr>
      </w:pPr>
      <w:r>
        <w:rPr>
          <w:rFonts w:hint="eastAsia" w:ascii="宋体" w:hAnsi="宋体" w:eastAsia="宋体" w:cs="宋体"/>
          <w:b/>
          <w:sz w:val="24"/>
        </w:rPr>
        <w:t>第四条 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宋体" w:hAnsi="宋体" w:eastAsia="宋体" w:cs="宋体"/>
          <w:sz w:val="24"/>
        </w:rPr>
      </w:pPr>
      <w:r>
        <w:rPr>
          <w:rFonts w:hint="eastAsia" w:ascii="宋体" w:hAnsi="宋体" w:eastAsia="宋体" w:cs="宋体"/>
          <w:sz w:val="24"/>
        </w:rPr>
        <w:t>（一）甲方及其工作人员违反本合同第一、二条，按管理权限，依据有关规定给予党纪、政纪或组织处理，调离其工作岗位；涉嫌犯罪的，移交司法机关追究刑事责任；给乙方单位造成经济损失的，应予以赔偿。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宋体" w:hAnsi="宋体" w:eastAsia="宋体" w:cs="宋体"/>
          <w:sz w:val="24"/>
        </w:rPr>
      </w:pPr>
      <w:r>
        <w:rPr>
          <w:rFonts w:hint="eastAsia" w:ascii="宋体" w:hAnsi="宋体" w:eastAsia="宋体" w:cs="宋体"/>
          <w:sz w:val="24"/>
        </w:rPr>
        <w:t>（二）乙方及其工作人员违反本合同第一、三条，按管理权限，依据有关规定，给予党纪、政纪或组织处理；给甲方单位造成经济损失的，应予以赔偿；情节严重的，甲方可以单方终止与乙方的合同，并给予乙方三年内不得参加甲方组织建设工程项目招标活动的处罚。</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宋体" w:hAnsi="宋体" w:eastAsia="宋体" w:cs="宋体"/>
          <w:sz w:val="24"/>
        </w:rPr>
      </w:pPr>
      <w:r>
        <w:rPr>
          <w:rFonts w:hint="eastAsia" w:ascii="宋体" w:hAnsi="宋体" w:eastAsia="宋体" w:cs="宋体"/>
          <w:b/>
          <w:sz w:val="24"/>
        </w:rPr>
        <w:t>第五条</w:t>
      </w:r>
      <w:r>
        <w:rPr>
          <w:rFonts w:hint="eastAsia" w:ascii="宋体" w:hAnsi="宋体" w:eastAsia="宋体" w:cs="宋体"/>
          <w:sz w:val="24"/>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宋体" w:hAnsi="宋体" w:eastAsia="宋体" w:cs="宋体"/>
          <w:sz w:val="24"/>
        </w:rPr>
      </w:pPr>
      <w:r>
        <w:rPr>
          <w:rFonts w:hint="eastAsia" w:ascii="宋体" w:hAnsi="宋体" w:eastAsia="宋体" w:cs="宋体"/>
          <w:b/>
          <w:sz w:val="24"/>
        </w:rPr>
        <w:t>第六条</w:t>
      </w:r>
      <w:r>
        <w:rPr>
          <w:rFonts w:hint="eastAsia" w:ascii="宋体" w:hAnsi="宋体" w:eastAsia="宋体" w:cs="宋体"/>
          <w:sz w:val="24"/>
        </w:rPr>
        <w:t xml:space="preserve"> 本合同有效期为合同双方签署之日起至该工程项目竣工验收合格之日止。</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宋体" w:hAnsi="宋体" w:eastAsia="宋体" w:cs="宋体"/>
          <w:sz w:val="24"/>
        </w:rPr>
      </w:pPr>
      <w:r>
        <w:rPr>
          <w:rFonts w:hint="eastAsia" w:ascii="宋体" w:hAnsi="宋体" w:eastAsia="宋体" w:cs="宋体"/>
          <w:b/>
          <w:sz w:val="24"/>
        </w:rPr>
        <w:t>第七条</w:t>
      </w:r>
      <w:r>
        <w:rPr>
          <w:rFonts w:hint="eastAsia" w:ascii="宋体" w:hAnsi="宋体" w:eastAsia="宋体" w:cs="宋体"/>
          <w:sz w:val="24"/>
        </w:rPr>
        <w:t xml:space="preserve"> 本合同作为主合同的附件，与主合同具有同等的法律效力，经合同双方法定代表人或授权代理人签字盖章立即生效。</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sz w:val="24"/>
        </w:rPr>
      </w:pPr>
      <w:r>
        <w:rPr>
          <w:rFonts w:hint="eastAsia" w:ascii="宋体" w:hAnsi="宋体" w:eastAsia="宋体" w:cs="宋体"/>
          <w:b/>
          <w:bCs/>
          <w:sz w:val="24"/>
        </w:rPr>
        <w:t>第八条</w:t>
      </w:r>
      <w:r>
        <w:rPr>
          <w:rFonts w:hint="eastAsia" w:ascii="宋体" w:hAnsi="宋体" w:eastAsia="宋体" w:cs="宋体"/>
          <w:sz w:val="24"/>
        </w:rPr>
        <w:t xml:space="preserve"> 发现有违反相关要求的，可通过以下途径举报：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（1）监督举报电话（限短信方式）：15367896</w:t>
      </w:r>
      <w:r>
        <w:rPr>
          <w:rFonts w:hint="eastAsia" w:ascii="宋体" w:hAnsi="宋体" w:eastAsia="宋体" w:cs="宋体"/>
          <w:sz w:val="24"/>
          <w:lang w:val="en-US" w:eastAsia="zh-CN"/>
        </w:rPr>
        <w:t>029</w:t>
      </w:r>
      <w:r>
        <w:rPr>
          <w:rFonts w:hint="eastAsia" w:ascii="宋体" w:hAnsi="宋体" w:eastAsia="宋体" w:cs="宋体"/>
          <w:sz w:val="24"/>
        </w:rPr>
        <w:t>，</w:t>
      </w:r>
      <w:r>
        <w:rPr>
          <w:rFonts w:hint="eastAsia" w:ascii="宋体" w:hAnsi="宋体" w:eastAsia="宋体" w:cs="宋体"/>
          <w:sz w:val="24"/>
          <w:lang w:val="en-US" w:eastAsia="zh-CN"/>
        </w:rPr>
        <w:t>15367896120</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（2）举报邮箱：yygsjbyx2015@163.com。</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bCs/>
          <w:sz w:val="24"/>
          <w:u w:val="single"/>
        </w:rPr>
      </w:pPr>
      <w:r>
        <w:rPr>
          <w:rFonts w:hint="eastAsia" w:ascii="宋体" w:hAnsi="宋体" w:eastAsia="宋体" w:cs="宋体"/>
          <w:bCs/>
          <w:sz w:val="24"/>
          <w:lang w:eastAsia="zh-CN"/>
        </w:rPr>
        <w:t>甲方</w:t>
      </w:r>
      <w:r>
        <w:rPr>
          <w:rFonts w:hint="eastAsia" w:ascii="宋体" w:hAnsi="宋体" w:eastAsia="宋体" w:cs="宋体"/>
          <w:bCs/>
          <w:sz w:val="24"/>
        </w:rPr>
        <w:t>单位：</w:t>
      </w:r>
      <w:r>
        <w:rPr>
          <w:rFonts w:hint="eastAsia" w:ascii="宋体" w:hAnsi="宋体" w:eastAsia="宋体" w:cs="宋体"/>
          <w:bCs/>
          <w:sz w:val="24"/>
          <w:u w:val="single"/>
        </w:rPr>
        <w:t xml:space="preserve">  （盖章）   </w:t>
      </w:r>
      <w:r>
        <w:rPr>
          <w:rFonts w:hint="eastAsia" w:ascii="宋体" w:hAnsi="宋体" w:eastAsia="宋体" w:cs="宋体"/>
          <w:bCs/>
          <w:sz w:val="24"/>
        </w:rPr>
        <w:t xml:space="preserve">        </w:t>
      </w:r>
      <w:r>
        <w:rPr>
          <w:rFonts w:hint="eastAsia" w:ascii="宋体" w:hAnsi="宋体" w:eastAsia="宋体" w:cs="宋体"/>
          <w:bCs/>
          <w:spacing w:val="31"/>
          <w:sz w:val="24"/>
        </w:rPr>
        <w:t xml:space="preserve"> </w:t>
      </w:r>
      <w:r>
        <w:rPr>
          <w:rFonts w:hint="eastAsia" w:ascii="宋体" w:hAnsi="宋体" w:eastAsia="宋体" w:cs="宋体"/>
          <w:bCs/>
          <w:sz w:val="24"/>
        </w:rPr>
        <w:t xml:space="preserve"> </w:t>
      </w:r>
      <w:r>
        <w:rPr>
          <w:rFonts w:hint="eastAsia" w:ascii="宋体" w:hAnsi="宋体" w:eastAsia="宋体" w:cs="宋体"/>
          <w:bCs/>
          <w:sz w:val="24"/>
          <w:lang w:eastAsia="zh-CN"/>
        </w:rPr>
        <w:t>乙方</w:t>
      </w:r>
      <w:r>
        <w:rPr>
          <w:rFonts w:hint="eastAsia" w:ascii="宋体" w:hAnsi="宋体" w:eastAsia="宋体" w:cs="宋体"/>
          <w:bCs/>
          <w:sz w:val="24"/>
        </w:rPr>
        <w:t>单位：</w:t>
      </w:r>
      <w:r>
        <w:rPr>
          <w:rFonts w:hint="eastAsia" w:ascii="宋体" w:hAnsi="宋体" w:eastAsia="宋体" w:cs="宋体"/>
          <w:bCs/>
          <w:sz w:val="24"/>
          <w:u w:val="single"/>
        </w:rPr>
        <w:t xml:space="preserve"> （盖章）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bCs/>
          <w:sz w:val="24"/>
          <w:u w:val="single"/>
        </w:rPr>
      </w:pPr>
      <w:r>
        <w:rPr>
          <w:rFonts w:hint="eastAsia" w:ascii="宋体" w:hAnsi="宋体" w:eastAsia="宋体" w:cs="宋体"/>
          <w:bCs/>
          <w:sz w:val="24"/>
        </w:rPr>
        <w:t>法定代表人或授权代表（签字）：    法定代表人或授权代表（签字）：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bCs/>
          <w:sz w:val="24"/>
        </w:rPr>
      </w:pPr>
      <w:r>
        <w:rPr>
          <w:rFonts w:hint="eastAsia" w:ascii="宋体" w:hAnsi="宋体" w:eastAsia="宋体" w:cs="宋体"/>
          <w:bCs/>
          <w:sz w:val="24"/>
          <w:u w:val="single"/>
        </w:rPr>
        <w:t xml:space="preserve">                         </w:t>
      </w:r>
      <w:r>
        <w:rPr>
          <w:rFonts w:hint="eastAsia" w:ascii="宋体" w:hAnsi="宋体" w:eastAsia="宋体" w:cs="宋体"/>
          <w:bCs/>
          <w:sz w:val="24"/>
        </w:rPr>
        <w:t xml:space="preserve">         </w:t>
      </w:r>
      <w:r>
        <w:rPr>
          <w:rFonts w:hint="eastAsia" w:ascii="宋体" w:hAnsi="宋体" w:eastAsia="宋体" w:cs="宋体"/>
          <w:bCs/>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bCs/>
          <w:sz w:val="24"/>
          <w:u w:val="single"/>
        </w:rPr>
      </w:pPr>
      <w:r>
        <w:rPr>
          <w:rFonts w:hint="eastAsia" w:ascii="宋体" w:hAnsi="宋体" w:eastAsia="宋体" w:cs="宋体"/>
          <w:bCs/>
          <w:sz w:val="24"/>
        </w:rPr>
        <w:t>电  话：</w:t>
      </w:r>
      <w:r>
        <w:rPr>
          <w:rFonts w:hint="eastAsia" w:ascii="宋体" w:hAnsi="宋体" w:eastAsia="宋体" w:cs="宋体"/>
          <w:bCs/>
          <w:sz w:val="24"/>
          <w:u w:val="single"/>
        </w:rPr>
        <w:t xml:space="preserve">                 </w:t>
      </w:r>
      <w:r>
        <w:rPr>
          <w:rFonts w:hint="eastAsia" w:ascii="宋体" w:hAnsi="宋体" w:eastAsia="宋体" w:cs="宋体"/>
          <w:bCs/>
          <w:sz w:val="24"/>
        </w:rPr>
        <w:t xml:space="preserve">  </w:t>
      </w:r>
      <w:r>
        <w:rPr>
          <w:rFonts w:hint="eastAsia" w:ascii="宋体" w:hAnsi="宋体" w:eastAsia="宋体" w:cs="宋体"/>
          <w:bCs/>
          <w:w w:val="110"/>
          <w:sz w:val="24"/>
        </w:rPr>
        <w:t xml:space="preserve">    </w:t>
      </w:r>
      <w:r>
        <w:rPr>
          <w:rFonts w:hint="eastAsia" w:ascii="宋体" w:hAnsi="宋体" w:eastAsia="宋体" w:cs="宋体"/>
          <w:bCs/>
          <w:sz w:val="24"/>
        </w:rPr>
        <w:t xml:space="preserve">  电  话：</w:t>
      </w:r>
      <w:r>
        <w:rPr>
          <w:rFonts w:hint="eastAsia" w:ascii="宋体" w:hAnsi="宋体" w:eastAsia="宋体" w:cs="宋体"/>
          <w:bCs/>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sz w:val="24"/>
          <w:u w:val="single"/>
        </w:rPr>
      </w:pPr>
      <w:r>
        <w:rPr>
          <w:rFonts w:hint="eastAsia" w:ascii="宋体" w:hAnsi="宋体" w:eastAsia="宋体" w:cs="宋体"/>
          <w:bCs/>
          <w:sz w:val="24"/>
        </w:rPr>
        <w:t xml:space="preserve">    </w:t>
      </w:r>
      <w:bookmarkStart w:id="192" w:name="_Toc479247504"/>
      <w:bookmarkStart w:id="193" w:name="_Toc480198331"/>
      <w:bookmarkStart w:id="194" w:name="_Toc934"/>
      <w:bookmarkStart w:id="195" w:name="_Toc480198174"/>
      <w:bookmarkStart w:id="196" w:name="_Toc480198262"/>
      <w:r>
        <w:rPr>
          <w:rFonts w:hint="eastAsia" w:ascii="宋体" w:hAnsi="宋体" w:eastAsia="宋体" w:cs="宋体"/>
          <w:bCs/>
          <w:sz w:val="24"/>
        </w:rPr>
        <w:t>甲方监督单位：</w:t>
      </w:r>
      <w:r>
        <w:rPr>
          <w:rFonts w:hint="eastAsia" w:ascii="宋体" w:hAnsi="宋体" w:eastAsia="宋体" w:cs="宋体"/>
          <w:bCs/>
          <w:sz w:val="24"/>
          <w:u w:val="single"/>
        </w:rPr>
        <w:t xml:space="preserve">（盖章） </w:t>
      </w:r>
      <w:r>
        <w:rPr>
          <w:rFonts w:hint="eastAsia" w:ascii="宋体" w:hAnsi="宋体" w:eastAsia="宋体" w:cs="宋体"/>
          <w:bCs/>
          <w:sz w:val="24"/>
        </w:rPr>
        <w:t xml:space="preserve">    </w:t>
      </w:r>
      <w:r>
        <w:rPr>
          <w:rFonts w:hint="eastAsia" w:ascii="宋体" w:hAnsi="宋体" w:eastAsia="宋体" w:cs="宋体"/>
          <w:bCs/>
          <w:w w:val="110"/>
          <w:sz w:val="24"/>
        </w:rPr>
        <w:t xml:space="preserve">    </w:t>
      </w:r>
      <w:r>
        <w:rPr>
          <w:rFonts w:hint="eastAsia" w:ascii="宋体" w:hAnsi="宋体" w:eastAsia="宋体" w:cs="宋体"/>
          <w:bCs/>
          <w:sz w:val="24"/>
        </w:rPr>
        <w:t xml:space="preserve">   乙方监督单位：</w:t>
      </w:r>
      <w:r>
        <w:rPr>
          <w:rFonts w:hint="eastAsia" w:ascii="宋体" w:hAnsi="宋体" w:eastAsia="宋体" w:cs="宋体"/>
          <w:bCs/>
          <w:sz w:val="24"/>
          <w:u w:val="single"/>
        </w:rPr>
        <w:t>（盖章）</w:t>
      </w:r>
      <w:bookmarkEnd w:id="192"/>
      <w:bookmarkEnd w:id="193"/>
      <w:bookmarkEnd w:id="194"/>
      <w:bookmarkEnd w:id="195"/>
      <w:bookmarkEnd w:id="196"/>
      <w:r>
        <w:rPr>
          <w:rFonts w:hint="eastAsia" w:ascii="宋体" w:hAnsi="宋体" w:eastAsia="宋体" w:cs="宋体"/>
          <w:bCs/>
          <w:sz w:val="24"/>
          <w:u w:val="single"/>
        </w:rPr>
        <w:t xml:space="preserve"> </w:t>
      </w:r>
    </w:p>
    <w:p>
      <w:pPr>
        <w:pageBreakBefore w:val="0"/>
        <w:tabs>
          <w:tab w:val="left" w:pos="2799"/>
        </w:tabs>
        <w:kinsoku/>
        <w:overflowPunct/>
        <w:bidi w:val="0"/>
        <w:spacing w:line="400" w:lineRule="exact"/>
        <w:ind w:left="0" w:leftChars="0" w:right="0" w:rightChars="0" w:firstLine="0" w:firstLineChars="0"/>
        <w:jc w:val="left"/>
        <w:outlineLvl w:val="9"/>
        <w:rPr>
          <w:rFonts w:hint="eastAsia" w:ascii="宋体" w:hAnsi="宋体" w:eastAsia="宋体" w:cs="宋体"/>
        </w:rPr>
      </w:pPr>
    </w:p>
    <w:p>
      <w:pPr>
        <w:adjustRightInd w:val="0"/>
        <w:snapToGrid w:val="0"/>
        <w:spacing w:line="400" w:lineRule="exact"/>
        <w:jc w:val="left"/>
        <w:outlineLvl w:val="9"/>
        <w:rPr>
          <w:rFonts w:hint="eastAsia" w:ascii="宋体" w:hAnsi="宋体" w:eastAsia="宋体" w:cs="宋体"/>
        </w:rPr>
      </w:pPr>
      <w:r>
        <w:rPr>
          <w:rFonts w:hint="eastAsia" w:ascii="宋体" w:hAnsi="宋体" w:eastAsia="宋体" w:cs="宋体"/>
        </w:rPr>
        <w:br w:type="page"/>
      </w:r>
    </w:p>
    <w:p>
      <w:pPr>
        <w:adjustRightInd w:val="0"/>
        <w:snapToGrid w:val="0"/>
        <w:spacing w:line="400" w:lineRule="exact"/>
        <w:jc w:val="left"/>
        <w:outlineLvl w:val="9"/>
        <w:rPr>
          <w:rFonts w:hint="eastAsia" w:ascii="宋体" w:hAnsi="宋体" w:eastAsia="宋体" w:cs="宋体"/>
          <w:bCs/>
          <w:sz w:val="24"/>
          <w:szCs w:val="24"/>
          <w:u w:val="single"/>
        </w:rPr>
      </w:pPr>
      <w:r>
        <w:rPr>
          <w:rFonts w:hint="eastAsia" w:ascii="宋体" w:hAnsi="宋体" w:eastAsia="宋体" w:cs="宋体"/>
          <w:sz w:val="24"/>
          <w:szCs w:val="24"/>
        </w:rPr>
        <w:t>附件</w:t>
      </w:r>
      <w:r>
        <w:rPr>
          <w:rFonts w:hint="eastAsia" w:ascii="宋体" w:hAnsi="宋体" w:eastAsia="宋体" w:cs="宋体"/>
          <w:sz w:val="24"/>
          <w:szCs w:val="24"/>
          <w:lang w:val="en-US" w:eastAsia="zh-CN"/>
        </w:rPr>
        <w:t>2</w:t>
      </w:r>
      <w:r>
        <w:rPr>
          <w:rFonts w:hint="eastAsia" w:ascii="宋体" w:hAnsi="宋体" w:eastAsia="宋体" w:cs="宋体"/>
          <w:sz w:val="24"/>
          <w:szCs w:val="24"/>
        </w:rPr>
        <w:t>：</w:t>
      </w:r>
      <w:bookmarkStart w:id="197" w:name="_Toc2376"/>
      <w:r>
        <w:rPr>
          <w:rFonts w:hint="eastAsia" w:ascii="宋体" w:hAnsi="宋体" w:eastAsia="宋体" w:cs="宋体"/>
          <w:sz w:val="24"/>
          <w:szCs w:val="24"/>
        </w:rPr>
        <w:t>工程数量与价格表</w:t>
      </w:r>
      <w:bookmarkEnd w:id="197"/>
    </w:p>
    <w:p>
      <w:pPr>
        <w:adjustRightInd w:val="0"/>
        <w:snapToGrid w:val="0"/>
        <w:spacing w:line="400" w:lineRule="exact"/>
        <w:jc w:val="left"/>
        <w:outlineLvl w:val="9"/>
        <w:rPr>
          <w:rFonts w:hint="eastAsia" w:ascii="宋体" w:hAnsi="宋体" w:eastAsia="宋体" w:cs="宋体"/>
          <w:sz w:val="24"/>
          <w:szCs w:val="24"/>
          <w:lang w:val="en-US" w:eastAsia="zh-CN"/>
        </w:rPr>
      </w:pPr>
      <w:bookmarkStart w:id="198" w:name="_Toc7255"/>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3：用户需求书/技术规格书（如果有）</w:t>
      </w:r>
    </w:p>
    <w:p>
      <w:pPr>
        <w:adjustRightInd w:val="0"/>
        <w:snapToGrid w:val="0"/>
        <w:spacing w:line="400" w:lineRule="exact"/>
        <w:jc w:val="center"/>
        <w:outlineLvl w:val="1"/>
        <w:rPr>
          <w:rFonts w:hint="eastAsia" w:ascii="宋体" w:hAnsi="宋体" w:eastAsia="宋体" w:cs="宋体"/>
          <w:b/>
          <w:bCs w:val="0"/>
          <w:sz w:val="32"/>
          <w:szCs w:val="32"/>
        </w:rPr>
      </w:pPr>
      <w:r>
        <w:rPr>
          <w:rFonts w:hint="eastAsia" w:ascii="宋体" w:hAnsi="宋体" w:eastAsia="宋体" w:cs="宋体"/>
          <w:bCs/>
          <w:sz w:val="24"/>
        </w:rPr>
        <w:br w:type="page"/>
      </w:r>
      <w:r>
        <w:rPr>
          <w:rFonts w:hint="eastAsia" w:ascii="宋体" w:hAnsi="宋体" w:eastAsia="宋体" w:cs="宋体"/>
          <w:b/>
          <w:bCs w:val="0"/>
          <w:sz w:val="32"/>
          <w:szCs w:val="32"/>
          <w:lang w:eastAsia="zh-CN"/>
        </w:rPr>
        <w:t>第四部分</w:t>
      </w:r>
      <w:r>
        <w:rPr>
          <w:rFonts w:hint="eastAsia" w:ascii="宋体" w:hAnsi="宋体" w:eastAsia="宋体" w:cs="宋体"/>
          <w:b/>
          <w:bCs w:val="0"/>
          <w:sz w:val="32"/>
          <w:szCs w:val="32"/>
          <w:lang w:val="en-US" w:eastAsia="zh-CN"/>
        </w:rPr>
        <w:t xml:space="preserve"> </w:t>
      </w:r>
      <w:r>
        <w:rPr>
          <w:rFonts w:hint="eastAsia" w:ascii="宋体" w:hAnsi="宋体" w:eastAsia="宋体" w:cs="宋体"/>
          <w:b/>
          <w:bCs w:val="0"/>
          <w:sz w:val="32"/>
          <w:szCs w:val="32"/>
        </w:rPr>
        <w:t>合同附录</w:t>
      </w:r>
      <w:bookmarkEnd w:id="198"/>
      <w:bookmarkStart w:id="199" w:name="_Toc460309156"/>
      <w:bookmarkStart w:id="200" w:name="_Toc437444976"/>
      <w:bookmarkStart w:id="201" w:name="_Toc451247264"/>
      <w:bookmarkStart w:id="202" w:name="_Toc411417807"/>
    </w:p>
    <w:p>
      <w:pPr>
        <w:adjustRightInd w:val="0"/>
        <w:snapToGrid w:val="0"/>
        <w:spacing w:line="400" w:lineRule="exact"/>
        <w:jc w:val="left"/>
        <w:outlineLvl w:val="9"/>
        <w:rPr>
          <w:rFonts w:hint="eastAsia" w:ascii="宋体" w:hAnsi="宋体" w:eastAsia="宋体" w:cs="宋体"/>
          <w:bCs/>
          <w:sz w:val="24"/>
          <w:szCs w:val="24"/>
        </w:rPr>
      </w:pPr>
      <w:bookmarkStart w:id="203" w:name="_Toc8935"/>
      <w:r>
        <w:rPr>
          <w:rFonts w:hint="eastAsia" w:ascii="宋体" w:hAnsi="宋体" w:eastAsia="宋体" w:cs="宋体"/>
          <w:bCs/>
          <w:sz w:val="24"/>
          <w:szCs w:val="24"/>
        </w:rPr>
        <w:t>附录1：</w:t>
      </w:r>
      <w:bookmarkEnd w:id="199"/>
      <w:bookmarkEnd w:id="200"/>
      <w:bookmarkEnd w:id="201"/>
      <w:bookmarkEnd w:id="202"/>
      <w:r>
        <w:rPr>
          <w:rFonts w:hint="eastAsia" w:ascii="宋体" w:hAnsi="宋体" w:eastAsia="宋体" w:cs="宋体"/>
          <w:bCs/>
          <w:sz w:val="24"/>
          <w:szCs w:val="24"/>
        </w:rPr>
        <w:t>授权委托书(格式)</w:t>
      </w:r>
      <w:bookmarkEnd w:id="203"/>
    </w:p>
    <w:p>
      <w:pPr>
        <w:spacing w:line="400" w:lineRule="exact"/>
        <w:ind w:firstLine="482" w:firstLineChars="200"/>
        <w:jc w:val="center"/>
        <w:outlineLvl w:val="9"/>
        <w:rPr>
          <w:rFonts w:hint="eastAsia" w:ascii="宋体" w:hAnsi="宋体" w:eastAsia="宋体" w:cs="宋体"/>
          <w:b/>
          <w:sz w:val="24"/>
          <w:szCs w:val="24"/>
        </w:rPr>
      </w:pPr>
      <w:r>
        <w:rPr>
          <w:rFonts w:hint="eastAsia" w:ascii="宋体" w:hAnsi="宋体" w:eastAsia="宋体" w:cs="宋体"/>
          <w:b/>
          <w:sz w:val="24"/>
          <w:szCs w:val="24"/>
        </w:rPr>
        <w:t>授权委托书</w:t>
      </w:r>
    </w:p>
    <w:p>
      <w:pPr>
        <w:spacing w:line="400" w:lineRule="exact"/>
        <w:ind w:firstLine="482" w:firstLineChars="200"/>
        <w:outlineLvl w:val="9"/>
        <w:rPr>
          <w:rFonts w:hint="eastAsia" w:ascii="宋体" w:hAnsi="宋体" w:eastAsia="宋体" w:cs="宋体"/>
          <w:b/>
          <w:sz w:val="24"/>
          <w:szCs w:val="24"/>
        </w:rPr>
      </w:pPr>
    </w:p>
    <w:p>
      <w:pPr>
        <w:snapToGrid w:val="0"/>
        <w:spacing w:line="400" w:lineRule="exact"/>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 xml:space="preserve">        </w:t>
      </w:r>
      <w:r>
        <w:rPr>
          <w:rFonts w:hint="eastAsia" w:ascii="宋体" w:hAnsi="宋体" w:eastAsia="宋体" w:cs="宋体"/>
          <w:sz w:val="24"/>
          <w:szCs w:val="24"/>
        </w:rPr>
        <w:t>（国家名称）的</w:t>
      </w:r>
      <w:r>
        <w:rPr>
          <w:rFonts w:hint="eastAsia" w:ascii="宋体" w:hAnsi="宋体" w:eastAsia="宋体" w:cs="宋体"/>
          <w:sz w:val="24"/>
          <w:szCs w:val="24"/>
          <w:u w:val="single"/>
        </w:rPr>
        <w:t xml:space="preserve">              </w:t>
      </w:r>
      <w:r>
        <w:rPr>
          <w:rFonts w:hint="eastAsia" w:ascii="宋体" w:hAnsi="宋体" w:eastAsia="宋体" w:cs="宋体"/>
          <w:sz w:val="24"/>
          <w:szCs w:val="24"/>
        </w:rPr>
        <w:t>（乙方全称）在下面签字的</w:t>
      </w:r>
      <w:r>
        <w:rPr>
          <w:rFonts w:hint="eastAsia" w:ascii="宋体" w:hAnsi="宋体" w:eastAsia="宋体" w:cs="宋体"/>
          <w:sz w:val="24"/>
          <w:szCs w:val="24"/>
          <w:u w:val="single"/>
        </w:rPr>
        <w:t xml:space="preserve">          </w:t>
      </w:r>
      <w:r>
        <w:rPr>
          <w:rFonts w:hint="eastAsia" w:ascii="宋体" w:hAnsi="宋体" w:eastAsia="宋体" w:cs="宋体"/>
          <w:sz w:val="24"/>
          <w:szCs w:val="24"/>
        </w:rPr>
        <w:t>（法定代表人姓名、职务）代表本公司授权在下面签字的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（被授权人的姓名、职务）为本公司的合法代表，就合同编号为</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项目的签约、执行和质量保证期服务、售后服务期服务等，并以本公司名义处理一切与之有关的事务。</w:t>
      </w:r>
    </w:p>
    <w:p>
      <w:pPr>
        <w:snapToGrid w:val="0"/>
        <w:spacing w:line="4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日签字生效，特此声明。</w:t>
      </w:r>
    </w:p>
    <w:p>
      <w:pPr>
        <w:snapToGrid w:val="0"/>
        <w:spacing w:line="400" w:lineRule="exact"/>
        <w:ind w:firstLine="480" w:firstLineChars="200"/>
        <w:outlineLvl w:val="9"/>
        <w:rPr>
          <w:rFonts w:hint="eastAsia" w:ascii="宋体" w:hAnsi="宋体" w:eastAsia="宋体" w:cs="宋体"/>
          <w:sz w:val="24"/>
          <w:szCs w:val="24"/>
        </w:rPr>
      </w:pPr>
    </w:p>
    <w:p>
      <w:pPr>
        <w:snapToGrid w:val="0"/>
        <w:spacing w:line="400" w:lineRule="exact"/>
        <w:ind w:firstLine="480" w:firstLineChars="200"/>
        <w:outlineLvl w:val="9"/>
        <w:rPr>
          <w:rFonts w:hint="eastAsia" w:ascii="宋体" w:hAnsi="宋体" w:eastAsia="宋体" w:cs="宋体"/>
          <w:sz w:val="24"/>
          <w:szCs w:val="24"/>
          <w:u w:val="single"/>
        </w:rPr>
      </w:pPr>
      <w:r>
        <w:rPr>
          <w:rFonts w:hint="eastAsia" w:ascii="宋体" w:hAnsi="宋体" w:eastAsia="宋体" w:cs="宋体"/>
          <w:sz w:val="24"/>
          <w:szCs w:val="24"/>
        </w:rPr>
        <w:t>法定代表人签字：</w:t>
      </w:r>
      <w:r>
        <w:rPr>
          <w:rFonts w:hint="eastAsia" w:ascii="宋体" w:hAnsi="宋体" w:eastAsia="宋体" w:cs="宋体"/>
          <w:sz w:val="24"/>
          <w:szCs w:val="24"/>
          <w:u w:val="single"/>
        </w:rPr>
        <w:t xml:space="preserve">                            </w:t>
      </w:r>
    </w:p>
    <w:p>
      <w:pPr>
        <w:snapToGrid w:val="0"/>
        <w:spacing w:line="400" w:lineRule="exact"/>
        <w:ind w:firstLine="480" w:firstLineChars="200"/>
        <w:outlineLvl w:val="9"/>
        <w:rPr>
          <w:rFonts w:hint="eastAsia" w:ascii="宋体" w:hAnsi="宋体" w:eastAsia="宋体" w:cs="宋体"/>
          <w:sz w:val="24"/>
          <w:szCs w:val="24"/>
          <w:u w:val="single"/>
        </w:rPr>
      </w:pPr>
      <w:r>
        <w:rPr>
          <w:rFonts w:hint="eastAsia" w:ascii="宋体" w:hAnsi="宋体" w:eastAsia="宋体" w:cs="宋体"/>
          <w:sz w:val="24"/>
          <w:szCs w:val="24"/>
        </w:rPr>
        <w:t>授权代表（被授权人，即授权代理人）签字：</w:t>
      </w:r>
      <w:r>
        <w:rPr>
          <w:rFonts w:hint="eastAsia" w:ascii="宋体" w:hAnsi="宋体" w:eastAsia="宋体" w:cs="宋体"/>
          <w:sz w:val="24"/>
          <w:szCs w:val="24"/>
          <w:u w:val="single"/>
        </w:rPr>
        <w:t xml:space="preserve">                    </w:t>
      </w:r>
    </w:p>
    <w:p>
      <w:pPr>
        <w:snapToGrid w:val="0"/>
        <w:spacing w:line="400" w:lineRule="exact"/>
        <w:ind w:firstLine="480" w:firstLineChars="200"/>
        <w:outlineLvl w:val="9"/>
        <w:rPr>
          <w:rFonts w:hint="eastAsia" w:ascii="宋体" w:hAnsi="宋体" w:eastAsia="宋体" w:cs="宋体"/>
          <w:sz w:val="24"/>
          <w:szCs w:val="24"/>
          <w:u w:val="single"/>
        </w:rPr>
      </w:pPr>
      <w:r>
        <w:rPr>
          <w:rFonts w:hint="eastAsia" w:ascii="宋体" w:hAnsi="宋体" w:eastAsia="宋体" w:cs="宋体"/>
          <w:sz w:val="24"/>
          <w:szCs w:val="24"/>
        </w:rPr>
        <w:t>乙方全称（公章）：</w:t>
      </w:r>
      <w:r>
        <w:rPr>
          <w:rFonts w:hint="eastAsia" w:ascii="宋体" w:hAnsi="宋体" w:eastAsia="宋体" w:cs="宋体"/>
          <w:sz w:val="24"/>
          <w:szCs w:val="24"/>
          <w:u w:val="single"/>
        </w:rPr>
        <w:t xml:space="preserve">                            </w:t>
      </w:r>
    </w:p>
    <w:p>
      <w:pPr>
        <w:snapToGrid w:val="0"/>
        <w:spacing w:line="400" w:lineRule="exact"/>
        <w:ind w:firstLine="480" w:firstLineChars="200"/>
        <w:outlineLvl w:val="9"/>
        <w:rPr>
          <w:rFonts w:hint="eastAsia" w:ascii="宋体" w:hAnsi="宋体" w:eastAsia="宋体" w:cs="宋体"/>
          <w:sz w:val="24"/>
          <w:szCs w:val="24"/>
          <w:u w:val="single"/>
        </w:rPr>
      </w:pPr>
      <w:r>
        <w:rPr>
          <w:rFonts w:hint="eastAsia" w:ascii="宋体" w:hAnsi="宋体" w:eastAsia="宋体" w:cs="宋体"/>
          <w:sz w:val="24"/>
          <w:szCs w:val="24"/>
        </w:rPr>
        <w:t>乙方地址：</w:t>
      </w:r>
      <w:r>
        <w:rPr>
          <w:rFonts w:hint="eastAsia" w:ascii="宋体" w:hAnsi="宋体" w:eastAsia="宋体" w:cs="宋体"/>
          <w:sz w:val="24"/>
          <w:szCs w:val="24"/>
          <w:u w:val="single"/>
        </w:rPr>
        <w:t xml:space="preserve">                            </w:t>
      </w:r>
    </w:p>
    <w:p>
      <w:pPr>
        <w:snapToGrid w:val="0"/>
        <w:spacing w:line="400" w:lineRule="exact"/>
        <w:ind w:firstLine="480" w:firstLineChars="200"/>
        <w:outlineLvl w:val="9"/>
        <w:rPr>
          <w:rFonts w:hint="eastAsia"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snapToGrid w:val="0"/>
        <w:spacing w:line="4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p>
    <w:p>
      <w:pPr>
        <w:spacing w:line="400" w:lineRule="exact"/>
        <w:ind w:firstLine="480" w:firstLineChars="200"/>
        <w:outlineLvl w:val="9"/>
        <w:rPr>
          <w:rFonts w:hint="eastAsia" w:ascii="宋体" w:hAnsi="宋体" w:eastAsia="宋体" w:cs="宋体"/>
          <w:sz w:val="24"/>
          <w:szCs w:val="24"/>
          <w:u w:val="single"/>
        </w:rPr>
      </w:pPr>
    </w:p>
    <w:p>
      <w:pPr>
        <w:snapToGrid w:val="0"/>
        <w:spacing w:line="400" w:lineRule="exact"/>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附：</w:t>
      </w:r>
      <w:r>
        <w:rPr>
          <w:rFonts w:hint="eastAsia" w:ascii="宋体" w:hAnsi="宋体" w:eastAsia="宋体" w:cs="宋体"/>
          <w:sz w:val="24"/>
          <w:szCs w:val="24"/>
        </w:rPr>
        <w:t>授权人的法定代表人证明材料复印件（加盖单位公章）、授权人和被授权人的身份证彩色影印件（加盖单位公章）</w:t>
      </w:r>
    </w:p>
    <w:p>
      <w:pPr>
        <w:keepNext w:val="0"/>
        <w:keepLines w:val="0"/>
        <w:snapToGrid w:val="0"/>
        <w:spacing w:line="400" w:lineRule="exact"/>
        <w:outlineLvl w:val="9"/>
        <w:rPr>
          <w:rFonts w:hint="eastAsia" w:ascii="宋体" w:hAnsi="宋体" w:eastAsia="宋体" w:cs="宋体"/>
          <w:b w:val="0"/>
          <w:bCs/>
          <w:sz w:val="24"/>
          <w:szCs w:val="24"/>
        </w:rPr>
      </w:pPr>
      <w:bookmarkStart w:id="204" w:name="_Toc319826226"/>
      <w:bookmarkStart w:id="205" w:name="_Toc451247265"/>
      <w:bookmarkStart w:id="206" w:name="_Toc460309157"/>
      <w:bookmarkStart w:id="207" w:name="_Toc437444977"/>
    </w:p>
    <w:p>
      <w:pPr>
        <w:keepNext w:val="0"/>
        <w:keepLines w:val="0"/>
        <w:snapToGrid w:val="0"/>
        <w:spacing w:line="400" w:lineRule="exact"/>
        <w:outlineLvl w:val="9"/>
        <w:rPr>
          <w:rFonts w:hint="eastAsia" w:ascii="宋体" w:hAnsi="宋体" w:eastAsia="宋体" w:cs="宋体"/>
          <w:b w:val="0"/>
          <w:bCs/>
          <w:sz w:val="24"/>
          <w:szCs w:val="24"/>
        </w:rPr>
      </w:pPr>
    </w:p>
    <w:p>
      <w:pPr>
        <w:keepNext w:val="0"/>
        <w:keepLines w:val="0"/>
        <w:snapToGrid w:val="0"/>
        <w:spacing w:line="400" w:lineRule="exact"/>
        <w:outlineLvl w:val="9"/>
        <w:rPr>
          <w:rFonts w:hint="eastAsia" w:ascii="宋体" w:hAnsi="宋体" w:eastAsia="宋体" w:cs="宋体"/>
          <w:b w:val="0"/>
          <w:bCs/>
          <w:sz w:val="24"/>
          <w:szCs w:val="24"/>
        </w:rPr>
      </w:pPr>
    </w:p>
    <w:p>
      <w:pPr>
        <w:keepNext w:val="0"/>
        <w:keepLines w:val="0"/>
        <w:snapToGrid w:val="0"/>
        <w:spacing w:line="400" w:lineRule="exact"/>
        <w:outlineLvl w:val="9"/>
        <w:rPr>
          <w:rFonts w:hint="eastAsia" w:ascii="宋体" w:hAnsi="宋体" w:eastAsia="宋体" w:cs="宋体"/>
          <w:b w:val="0"/>
          <w:bCs/>
          <w:sz w:val="24"/>
          <w:szCs w:val="24"/>
        </w:rPr>
      </w:pPr>
    </w:p>
    <w:p>
      <w:pPr>
        <w:keepNext w:val="0"/>
        <w:keepLines w:val="0"/>
        <w:snapToGrid w:val="0"/>
        <w:spacing w:line="400" w:lineRule="exact"/>
        <w:outlineLvl w:val="9"/>
        <w:rPr>
          <w:rFonts w:hint="eastAsia" w:ascii="宋体" w:hAnsi="宋体" w:eastAsia="宋体" w:cs="宋体"/>
          <w:b w:val="0"/>
          <w:bCs/>
          <w:sz w:val="24"/>
          <w:szCs w:val="24"/>
        </w:rPr>
      </w:pPr>
    </w:p>
    <w:p>
      <w:pPr>
        <w:keepNext w:val="0"/>
        <w:keepLines w:val="0"/>
        <w:snapToGrid w:val="0"/>
        <w:spacing w:line="400" w:lineRule="exact"/>
        <w:outlineLvl w:val="9"/>
        <w:rPr>
          <w:rFonts w:hint="eastAsia" w:ascii="宋体" w:hAnsi="宋体" w:eastAsia="宋体" w:cs="宋体"/>
          <w:b w:val="0"/>
          <w:bCs/>
          <w:sz w:val="24"/>
          <w:szCs w:val="24"/>
        </w:rPr>
      </w:pPr>
    </w:p>
    <w:p>
      <w:pPr>
        <w:keepNext w:val="0"/>
        <w:keepLines w:val="0"/>
        <w:snapToGrid w:val="0"/>
        <w:spacing w:line="400" w:lineRule="exact"/>
        <w:outlineLvl w:val="9"/>
        <w:rPr>
          <w:rFonts w:hint="eastAsia" w:ascii="宋体" w:hAnsi="宋体" w:eastAsia="宋体" w:cs="宋体"/>
          <w:b w:val="0"/>
          <w:bCs/>
          <w:sz w:val="24"/>
          <w:szCs w:val="24"/>
        </w:rPr>
      </w:pPr>
    </w:p>
    <w:bookmarkEnd w:id="204"/>
    <w:bookmarkEnd w:id="205"/>
    <w:bookmarkEnd w:id="206"/>
    <w:bookmarkEnd w:id="207"/>
    <w:p>
      <w:pPr>
        <w:adjustRightInd w:val="0"/>
        <w:snapToGrid w:val="0"/>
        <w:spacing w:line="360" w:lineRule="auto"/>
        <w:outlineLvl w:val="9"/>
        <w:rPr>
          <w:rFonts w:hint="eastAsia" w:ascii="宋体" w:hAnsi="宋体" w:eastAsia="宋体" w:cs="宋体"/>
          <w:b/>
          <w:sz w:val="24"/>
          <w:szCs w:val="24"/>
        </w:rPr>
      </w:pPr>
      <w:r>
        <w:rPr>
          <w:rFonts w:hint="eastAsia" w:ascii="宋体" w:hAnsi="宋体" w:eastAsia="宋体" w:cs="宋体"/>
          <w:sz w:val="24"/>
          <w:szCs w:val="24"/>
        </w:rPr>
        <w:br w:type="page"/>
      </w:r>
      <w:bookmarkStart w:id="208" w:name="_Toc2496"/>
      <w:bookmarkStart w:id="209" w:name="_Toc7428"/>
      <w:bookmarkStart w:id="210" w:name="_Toc454978190"/>
      <w:bookmarkStart w:id="211" w:name="_Toc2612"/>
      <w:bookmarkStart w:id="212" w:name="_Toc447089455"/>
      <w:r>
        <w:rPr>
          <w:rFonts w:hint="eastAsia" w:ascii="宋体" w:hAnsi="宋体" w:eastAsia="宋体" w:cs="宋体"/>
          <w:b w:val="0"/>
          <w:bCs/>
          <w:sz w:val="24"/>
          <w:szCs w:val="24"/>
        </w:rPr>
        <w:t>附录</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 xml:space="preserve"> 银行履约保函（格式）</w:t>
      </w:r>
      <w:bookmarkEnd w:id="208"/>
      <w:bookmarkEnd w:id="209"/>
      <w:bookmarkEnd w:id="210"/>
      <w:bookmarkEnd w:id="211"/>
      <w:bookmarkEnd w:id="212"/>
    </w:p>
    <w:p>
      <w:pPr>
        <w:snapToGrid w:val="0"/>
        <w:spacing w:line="360" w:lineRule="auto"/>
        <w:jc w:val="center"/>
        <w:outlineLvl w:val="9"/>
        <w:rPr>
          <w:rFonts w:hint="eastAsia" w:ascii="宋体" w:hAnsi="宋体" w:eastAsia="宋体" w:cs="宋体"/>
          <w:b/>
          <w:sz w:val="28"/>
          <w:szCs w:val="28"/>
        </w:rPr>
      </w:pPr>
      <w:r>
        <w:rPr>
          <w:rFonts w:hint="eastAsia" w:ascii="宋体" w:hAnsi="宋体" w:eastAsia="宋体" w:cs="宋体"/>
          <w:b/>
          <w:sz w:val="28"/>
          <w:szCs w:val="28"/>
        </w:rPr>
        <w:t>银行履约保函</w:t>
      </w:r>
    </w:p>
    <w:p>
      <w:pPr>
        <w:snapToGrid w:val="0"/>
        <w:spacing w:line="360" w:lineRule="auto"/>
        <w:ind w:right="480"/>
        <w:jc w:val="left"/>
        <w:outlineLvl w:val="9"/>
        <w:rPr>
          <w:rFonts w:hint="eastAsia" w:ascii="宋体" w:hAnsi="宋体" w:eastAsia="宋体" w:cs="宋体"/>
          <w:sz w:val="24"/>
          <w:szCs w:val="24"/>
          <w:u w:val="single"/>
        </w:rPr>
      </w:pPr>
      <w:r>
        <w:rPr>
          <w:rFonts w:hint="eastAsia" w:ascii="宋体" w:hAnsi="宋体" w:eastAsia="宋体" w:cs="宋体"/>
          <w:sz w:val="24"/>
          <w:szCs w:val="24"/>
        </w:rPr>
        <w:t xml:space="preserve">                                              保函编号：</w:t>
      </w:r>
      <w:r>
        <w:rPr>
          <w:rFonts w:hint="eastAsia" w:ascii="宋体" w:hAnsi="宋体" w:eastAsia="宋体" w:cs="宋体"/>
          <w:sz w:val="24"/>
          <w:szCs w:val="24"/>
          <w:u w:val="single"/>
        </w:rPr>
        <w:t xml:space="preserve">             </w:t>
      </w:r>
    </w:p>
    <w:p>
      <w:pPr>
        <w:snapToGrid w:val="0"/>
        <w:spacing w:line="360" w:lineRule="auto"/>
        <w:ind w:right="480"/>
        <w:outlineLvl w:val="9"/>
        <w:rPr>
          <w:rFonts w:hint="eastAsia" w:ascii="宋体" w:hAnsi="宋体" w:eastAsia="宋体" w:cs="宋体"/>
          <w:sz w:val="24"/>
          <w:szCs w:val="24"/>
        </w:rPr>
      </w:pPr>
    </w:p>
    <w:p>
      <w:pPr>
        <w:adjustRightInd w:val="0"/>
        <w:snapToGrid w:val="0"/>
        <w:spacing w:line="360" w:lineRule="auto"/>
        <w:outlineLvl w:val="9"/>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（甲方名称）：</w:t>
      </w:r>
    </w:p>
    <w:p>
      <w:pPr>
        <w:adjustRightInd w:val="0"/>
        <w:snapToGrid w:val="0"/>
        <w:spacing w:line="360" w:lineRule="auto"/>
        <w:ind w:left="15" w:leftChars="7"/>
        <w:outlineLvl w:val="9"/>
        <w:rPr>
          <w:rFonts w:hint="eastAsia" w:ascii="宋体" w:hAnsi="宋体" w:eastAsia="宋体" w:cs="宋体"/>
          <w:sz w:val="24"/>
          <w:szCs w:val="24"/>
        </w:rPr>
      </w:pPr>
      <w:r>
        <w:rPr>
          <w:rFonts w:hint="eastAsia" w:ascii="宋体" w:hAnsi="宋体" w:eastAsia="宋体" w:cs="宋体"/>
          <w:sz w:val="24"/>
          <w:szCs w:val="24"/>
        </w:rPr>
        <w:t xml:space="preserve">    鉴于</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（甲方名称，以下简称“你方”）与 </w:t>
      </w:r>
      <w:r>
        <w:rPr>
          <w:rFonts w:hint="eastAsia" w:ascii="宋体" w:hAnsi="宋体" w:eastAsia="宋体" w:cs="宋体"/>
          <w:sz w:val="24"/>
          <w:szCs w:val="24"/>
          <w:u w:val="single"/>
        </w:rPr>
        <w:t xml:space="preserve">         </w:t>
      </w:r>
      <w:r>
        <w:rPr>
          <w:rFonts w:hint="eastAsia" w:ascii="宋体" w:hAnsi="宋体" w:eastAsia="宋体" w:cs="宋体"/>
          <w:sz w:val="24"/>
          <w:szCs w:val="24"/>
        </w:rPr>
        <w:t>（乙方名称，以下简称“乙方”）于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日协商一致共同签订合同编号为</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合同》（以下简称“合同”）。 我方愿意无条件地、不可撤销地就乙方履行与你方签订的合同，向你方提供连带责任担保。</w:t>
      </w:r>
    </w:p>
    <w:p>
      <w:pPr>
        <w:adjustRightInd w:val="0"/>
        <w:snapToGrid w:val="0"/>
        <w:spacing w:line="360" w:lineRule="auto"/>
        <w:ind w:left="15" w:leftChars="7"/>
        <w:outlineLvl w:val="9"/>
        <w:rPr>
          <w:rFonts w:hint="eastAsia" w:ascii="宋体" w:hAnsi="宋体" w:eastAsia="宋体" w:cs="宋体"/>
          <w:sz w:val="24"/>
          <w:szCs w:val="24"/>
        </w:rPr>
      </w:pPr>
      <w:r>
        <w:rPr>
          <w:rFonts w:hint="eastAsia" w:ascii="宋体" w:hAnsi="宋体" w:eastAsia="宋体" w:cs="宋体"/>
          <w:sz w:val="24"/>
          <w:szCs w:val="24"/>
        </w:rPr>
        <w:t xml:space="preserve">    1.担保金额为人民币（大写）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元（小写：¥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djustRightInd w:val="0"/>
        <w:snapToGrid w:val="0"/>
        <w:spacing w:line="360" w:lineRule="auto"/>
        <w:ind w:left="15" w:leftChars="7"/>
        <w:outlineLvl w:val="9"/>
        <w:rPr>
          <w:rFonts w:hint="eastAsia" w:ascii="宋体" w:hAnsi="宋体" w:eastAsia="宋体" w:cs="宋体"/>
          <w:sz w:val="24"/>
          <w:szCs w:val="24"/>
        </w:rPr>
      </w:pPr>
      <w:r>
        <w:rPr>
          <w:rFonts w:hint="eastAsia" w:ascii="宋体" w:hAnsi="宋体" w:eastAsia="宋体" w:cs="宋体"/>
          <w:sz w:val="24"/>
          <w:szCs w:val="24"/>
        </w:rPr>
        <w:t xml:space="preserve">    2. 担保有效期自本保函生效之日起至合同约定</w:t>
      </w:r>
      <w:r>
        <w:rPr>
          <w:rFonts w:hint="eastAsia" w:ascii="宋体" w:hAnsi="宋体" w:eastAsia="宋体" w:cs="宋体"/>
          <w:sz w:val="24"/>
          <w:szCs w:val="24"/>
          <w:lang w:eastAsia="zh-CN"/>
        </w:rPr>
        <w:t>工期期满止</w:t>
      </w:r>
      <w:r>
        <w:rPr>
          <w:rFonts w:hint="eastAsia" w:ascii="宋体" w:hAnsi="宋体" w:eastAsia="宋体" w:cs="宋体"/>
          <w:sz w:val="24"/>
          <w:szCs w:val="24"/>
        </w:rPr>
        <w:t>。</w:t>
      </w:r>
    </w:p>
    <w:p>
      <w:pPr>
        <w:adjustRightInd w:val="0"/>
        <w:snapToGrid w:val="0"/>
        <w:spacing w:line="360" w:lineRule="auto"/>
        <w:ind w:left="15" w:leftChars="7"/>
        <w:outlineLvl w:val="9"/>
        <w:rPr>
          <w:rFonts w:hint="eastAsia" w:ascii="宋体" w:hAnsi="宋体" w:eastAsia="宋体" w:cs="宋体"/>
          <w:sz w:val="24"/>
          <w:szCs w:val="24"/>
        </w:rPr>
      </w:pPr>
      <w:r>
        <w:rPr>
          <w:rFonts w:hint="eastAsia" w:ascii="宋体" w:hAnsi="宋体" w:eastAsia="宋体" w:cs="宋体"/>
          <w:sz w:val="24"/>
          <w:szCs w:val="24"/>
        </w:rPr>
        <w:t xml:space="preserve">    3.在本担保有效期内，因乙方违反合同约定的义务给你方造成经济损失时，我方在收到你方以书面形式提出的在担保金额内的赔偿要求后，在7个工作日内无条件支付。</w:t>
      </w:r>
    </w:p>
    <w:p>
      <w:pPr>
        <w:adjustRightInd w:val="0"/>
        <w:snapToGrid w:val="0"/>
        <w:spacing w:line="360" w:lineRule="auto"/>
        <w:ind w:left="15" w:leftChars="7"/>
        <w:outlineLvl w:val="9"/>
        <w:rPr>
          <w:rFonts w:hint="eastAsia" w:ascii="宋体" w:hAnsi="宋体" w:eastAsia="宋体" w:cs="宋体"/>
          <w:sz w:val="24"/>
          <w:szCs w:val="24"/>
        </w:rPr>
      </w:pPr>
      <w:r>
        <w:rPr>
          <w:rFonts w:hint="eastAsia" w:ascii="宋体" w:hAnsi="宋体" w:eastAsia="宋体" w:cs="宋体"/>
          <w:sz w:val="24"/>
          <w:szCs w:val="24"/>
        </w:rPr>
        <w:t xml:space="preserve">    4.你方和乙方按合同约定变更合同时，我方承担本担保规定的义务不变。</w:t>
      </w:r>
    </w:p>
    <w:p>
      <w:pPr>
        <w:adjustRightInd w:val="0"/>
        <w:snapToGrid w:val="0"/>
        <w:spacing w:line="360" w:lineRule="auto"/>
        <w:ind w:left="15" w:leftChars="7"/>
        <w:outlineLvl w:val="9"/>
        <w:rPr>
          <w:rFonts w:hint="eastAsia" w:ascii="宋体" w:hAnsi="宋体" w:eastAsia="宋体" w:cs="宋体"/>
          <w:sz w:val="24"/>
          <w:szCs w:val="24"/>
        </w:rPr>
      </w:pPr>
      <w:r>
        <w:rPr>
          <w:rFonts w:hint="eastAsia" w:ascii="宋体" w:hAnsi="宋体" w:eastAsia="宋体" w:cs="宋体"/>
          <w:sz w:val="24"/>
          <w:szCs w:val="24"/>
        </w:rPr>
        <w:t xml:space="preserve">    5.因本保函发生的纠纷，可由双方协商解决，协商不成的，任何一方均可提请在甲方所在地仲裁委员会仲裁。</w:t>
      </w:r>
    </w:p>
    <w:p>
      <w:pPr>
        <w:adjustRightInd w:val="0"/>
        <w:snapToGrid w:val="0"/>
        <w:spacing w:line="360" w:lineRule="auto"/>
        <w:ind w:left="15" w:leftChars="7"/>
        <w:outlineLvl w:val="9"/>
        <w:rPr>
          <w:rFonts w:hint="eastAsia" w:ascii="宋体" w:hAnsi="宋体" w:eastAsia="宋体" w:cs="宋体"/>
          <w:sz w:val="24"/>
          <w:szCs w:val="24"/>
        </w:rPr>
      </w:pPr>
      <w:r>
        <w:rPr>
          <w:rFonts w:hint="eastAsia" w:ascii="宋体" w:hAnsi="宋体" w:eastAsia="宋体" w:cs="宋体"/>
          <w:sz w:val="24"/>
          <w:szCs w:val="24"/>
        </w:rPr>
        <w:t xml:space="preserve">    6.本保函自我方法定代表人或授权代理人签字并加盖公章之日起生效。</w:t>
      </w:r>
    </w:p>
    <w:p>
      <w:pPr>
        <w:adjustRightInd w:val="0"/>
        <w:snapToGrid w:val="0"/>
        <w:spacing w:line="360" w:lineRule="auto"/>
        <w:ind w:left="15" w:leftChars="7" w:firstLine="403" w:firstLineChars="168"/>
        <w:outlineLvl w:val="9"/>
        <w:rPr>
          <w:rFonts w:hint="eastAsia" w:ascii="宋体" w:hAnsi="宋体" w:eastAsia="宋体" w:cs="宋体"/>
          <w:sz w:val="24"/>
          <w:szCs w:val="24"/>
        </w:rPr>
      </w:pPr>
    </w:p>
    <w:p>
      <w:pPr>
        <w:adjustRightInd w:val="0"/>
        <w:snapToGrid w:val="0"/>
        <w:spacing w:line="360" w:lineRule="auto"/>
        <w:ind w:left="15" w:leftChars="7" w:firstLine="403" w:firstLineChars="168"/>
        <w:outlineLvl w:val="9"/>
        <w:rPr>
          <w:rFonts w:hint="eastAsia" w:ascii="宋体" w:hAnsi="宋体" w:eastAsia="宋体" w:cs="宋体"/>
          <w:sz w:val="24"/>
          <w:szCs w:val="24"/>
          <w:u w:val="single"/>
        </w:rPr>
      </w:pPr>
      <w:r>
        <w:rPr>
          <w:rFonts w:hint="eastAsia" w:ascii="宋体" w:hAnsi="宋体" w:eastAsia="宋体" w:cs="宋体"/>
          <w:sz w:val="24"/>
          <w:szCs w:val="24"/>
        </w:rPr>
        <w:t>担保人：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adjustRightInd w:val="0"/>
        <w:snapToGrid w:val="0"/>
        <w:spacing w:line="360" w:lineRule="auto"/>
        <w:ind w:left="15" w:leftChars="7" w:firstLine="403" w:firstLineChars="168"/>
        <w:outlineLvl w:val="9"/>
        <w:rPr>
          <w:rFonts w:hint="eastAsia" w:ascii="宋体" w:hAnsi="宋体" w:eastAsia="宋体" w:cs="宋体"/>
          <w:sz w:val="24"/>
          <w:szCs w:val="24"/>
        </w:rPr>
      </w:pPr>
      <w:r>
        <w:rPr>
          <w:rFonts w:hint="eastAsia" w:ascii="宋体" w:hAnsi="宋体" w:eastAsia="宋体" w:cs="宋体"/>
          <w:sz w:val="24"/>
          <w:szCs w:val="24"/>
        </w:rPr>
        <w:t>法定代表人或授权代理人：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adjustRightInd w:val="0"/>
        <w:snapToGrid w:val="0"/>
        <w:spacing w:line="360" w:lineRule="auto"/>
        <w:ind w:left="15" w:leftChars="7" w:firstLine="403" w:firstLineChars="168"/>
        <w:outlineLvl w:val="9"/>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pPr>
        <w:adjustRightInd w:val="0"/>
        <w:snapToGrid w:val="0"/>
        <w:spacing w:line="360" w:lineRule="auto"/>
        <w:ind w:left="15" w:leftChars="7" w:firstLine="403" w:firstLineChars="168"/>
        <w:outlineLvl w:val="9"/>
        <w:rPr>
          <w:rFonts w:hint="eastAsia" w:ascii="宋体" w:hAnsi="宋体" w:eastAsia="宋体" w:cs="宋体"/>
          <w:sz w:val="24"/>
          <w:szCs w:val="24"/>
          <w:u w:val="single"/>
        </w:rPr>
      </w:pPr>
      <w:r>
        <w:rPr>
          <w:rFonts w:hint="eastAsia" w:ascii="宋体" w:hAnsi="宋体" w:eastAsia="宋体" w:cs="宋体"/>
          <w:sz w:val="24"/>
          <w:szCs w:val="24"/>
        </w:rPr>
        <w:t xml:space="preserve">邮政编码： </w:t>
      </w:r>
      <w:r>
        <w:rPr>
          <w:rFonts w:hint="eastAsia" w:ascii="宋体" w:hAnsi="宋体" w:eastAsia="宋体" w:cs="宋体"/>
          <w:sz w:val="24"/>
          <w:szCs w:val="24"/>
          <w:u w:val="single"/>
        </w:rPr>
        <w:t xml:space="preserve">          </w:t>
      </w:r>
    </w:p>
    <w:p>
      <w:pPr>
        <w:adjustRightInd w:val="0"/>
        <w:snapToGrid w:val="0"/>
        <w:spacing w:line="360" w:lineRule="auto"/>
        <w:ind w:left="15" w:leftChars="7" w:firstLine="403" w:firstLineChars="168"/>
        <w:outlineLvl w:val="9"/>
        <w:rPr>
          <w:rFonts w:hint="eastAsia" w:ascii="宋体" w:hAnsi="宋体" w:eastAsia="宋体" w:cs="宋体"/>
          <w:sz w:val="24"/>
          <w:szCs w:val="24"/>
          <w:u w:val="single"/>
        </w:rPr>
      </w:pPr>
      <w:r>
        <w:rPr>
          <w:rFonts w:hint="eastAsia" w:ascii="宋体" w:hAnsi="宋体" w:eastAsia="宋体" w:cs="宋体"/>
          <w:sz w:val="24"/>
          <w:szCs w:val="24"/>
        </w:rPr>
        <w:t xml:space="preserve">电话： </w:t>
      </w:r>
      <w:r>
        <w:rPr>
          <w:rFonts w:hint="eastAsia" w:ascii="宋体" w:hAnsi="宋体" w:eastAsia="宋体" w:cs="宋体"/>
          <w:sz w:val="24"/>
          <w:szCs w:val="24"/>
          <w:u w:val="single"/>
        </w:rPr>
        <w:t xml:space="preserve">          </w:t>
      </w:r>
    </w:p>
    <w:p>
      <w:pPr>
        <w:adjustRightInd w:val="0"/>
        <w:snapToGrid w:val="0"/>
        <w:spacing w:line="360" w:lineRule="auto"/>
        <w:ind w:left="15" w:leftChars="7" w:firstLine="403" w:firstLineChars="168"/>
        <w:outlineLvl w:val="9"/>
        <w:rPr>
          <w:rFonts w:hint="eastAsia" w:ascii="宋体" w:hAnsi="宋体" w:eastAsia="宋体" w:cs="宋体"/>
          <w:sz w:val="24"/>
          <w:szCs w:val="24"/>
          <w:u w:val="single"/>
        </w:rPr>
      </w:pPr>
      <w:r>
        <w:rPr>
          <w:rFonts w:hint="eastAsia" w:ascii="宋体" w:hAnsi="宋体" w:eastAsia="宋体" w:cs="宋体"/>
          <w:sz w:val="24"/>
          <w:szCs w:val="24"/>
        </w:rPr>
        <w:t>传真：</w:t>
      </w:r>
      <w:r>
        <w:rPr>
          <w:rFonts w:hint="eastAsia" w:ascii="宋体" w:hAnsi="宋体" w:eastAsia="宋体" w:cs="宋体"/>
          <w:sz w:val="24"/>
          <w:szCs w:val="24"/>
          <w:u w:val="single"/>
        </w:rPr>
        <w:t xml:space="preserve">           </w:t>
      </w:r>
    </w:p>
    <w:p>
      <w:pPr>
        <w:adjustRightInd w:val="0"/>
        <w:snapToGrid w:val="0"/>
        <w:spacing w:line="360" w:lineRule="auto"/>
        <w:ind w:left="15" w:leftChars="7" w:firstLine="403" w:firstLineChars="168"/>
        <w:outlineLvl w:val="9"/>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adjustRightInd w:val="0"/>
        <w:snapToGrid w:val="0"/>
        <w:spacing w:line="800" w:lineRule="exact"/>
        <w:outlineLvl w:val="9"/>
        <w:rPr>
          <w:rFonts w:hint="eastAsia" w:ascii="宋体" w:hAnsi="宋体" w:eastAsia="宋体" w:cs="宋体"/>
          <w:sz w:val="24"/>
        </w:rPr>
      </w:pPr>
    </w:p>
    <w:p>
      <w:pPr>
        <w:rPr>
          <w:rFonts w:hint="eastAsia" w:ascii="宋体" w:hAnsi="宋体" w:eastAsia="宋体" w:cs="宋体"/>
          <w:bCs w:val="0"/>
          <w:color w:val="auto"/>
          <w:sz w:val="32"/>
          <w:szCs w:val="32"/>
        </w:rPr>
      </w:pPr>
      <w:r>
        <w:rPr>
          <w:rFonts w:hint="eastAsia" w:ascii="宋体" w:hAnsi="宋体" w:eastAsia="宋体" w:cs="宋体"/>
          <w:bCs w:val="0"/>
          <w:color w:val="auto"/>
          <w:sz w:val="32"/>
          <w:szCs w:val="32"/>
        </w:rPr>
        <w:br w:type="page"/>
      </w:r>
    </w:p>
    <w:p>
      <w:pPr>
        <w:rPr>
          <w:rFonts w:hint="eastAsia"/>
        </w:rPr>
      </w:pPr>
    </w:p>
    <w:p>
      <w:pPr>
        <w:snapToGrid w:val="0"/>
        <w:spacing w:line="360" w:lineRule="auto"/>
        <w:jc w:val="center"/>
        <w:rPr>
          <w:rFonts w:ascii="黑体" w:eastAsia="黑体"/>
          <w:b/>
          <w:sz w:val="32"/>
          <w:szCs w:val="32"/>
        </w:rPr>
      </w:pPr>
    </w:p>
    <w:p>
      <w:pPr>
        <w:snapToGrid w:val="0"/>
        <w:spacing w:line="360" w:lineRule="auto"/>
        <w:jc w:val="center"/>
        <w:outlineLvl w:val="0"/>
        <w:rPr>
          <w:rFonts w:hint="eastAsia" w:ascii="宋体" w:hAnsi="宋体" w:eastAsia="宋体" w:cs="宋体"/>
          <w:bCs/>
          <w:sz w:val="32"/>
          <w:szCs w:val="32"/>
        </w:rPr>
      </w:pPr>
      <w:bookmarkStart w:id="213" w:name="_Toc12762"/>
      <w:bookmarkStart w:id="214" w:name="_Toc20891"/>
      <w:bookmarkStart w:id="215" w:name="_Toc5097"/>
      <w:bookmarkStart w:id="216" w:name="_Toc29654"/>
      <w:r>
        <w:rPr>
          <w:rFonts w:hint="eastAsia" w:ascii="宋体" w:hAnsi="宋体" w:eastAsia="宋体" w:cs="宋体"/>
        </w:rPr>
        <w:pict>
          <v:shape id="_x0000_s1026" o:spid="_x0000_s1026" o:spt="202" type="#_x0000_t202" style="position:absolute;left:0pt;margin-left:336.75pt;margin-top:30.3pt;height:33pt;width:87.75pt;z-index:251669504;mso-width-relative:page;mso-height-relative:page;" coordsize="21600,21600" o:gfxdata="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aK00NYAAAAHAQAADwAAAAAAAAABACAAAAAiAAAAZHJzL2Rvd25yZXYueG1sUEsBAhQA&#10;FAAAAAgAh07iQFNcX8AtAgAASAQAAA4AAAAAAAAAAQAgAAAAJQEAAGRycy9lMm9Eb2MueG1sUEsF&#10;BgAAAAAGAAYAWQEAAMQFAAAAAA==&#10;">
            <v:path/>
            <v:fill focussize="0,0"/>
            <v:stroke weight="1.25pt" joinstyle="miter"/>
            <v:imagedata o:title=""/>
            <o:lock v:ext="edit"/>
            <v:textbox>
              <w:txbxContent>
                <w:p>
                  <w:pPr>
                    <w:spacing w:line="440" w:lineRule="exact"/>
                    <w:jc w:val="center"/>
                    <w:rPr>
                      <w:b/>
                      <w:sz w:val="30"/>
                      <w:szCs w:val="30"/>
                    </w:rPr>
                  </w:pPr>
                  <w:r>
                    <w:rPr>
                      <w:rFonts w:hint="eastAsia"/>
                      <w:b/>
                      <w:sz w:val="30"/>
                      <w:szCs w:val="30"/>
                    </w:rPr>
                    <w:t>正本/副本</w:t>
                  </w:r>
                </w:p>
              </w:txbxContent>
            </v:textbox>
          </v:shape>
        </w:pict>
      </w:r>
      <w:r>
        <w:rPr>
          <w:rFonts w:hint="eastAsia" w:ascii="宋体" w:hAnsi="宋体" w:eastAsia="宋体" w:cs="宋体"/>
          <w:b/>
          <w:sz w:val="32"/>
          <w:szCs w:val="32"/>
        </w:rPr>
        <w:t>第</w:t>
      </w:r>
      <w:r>
        <w:rPr>
          <w:rFonts w:hint="eastAsia" w:ascii="宋体" w:hAnsi="宋体" w:cs="宋体"/>
          <w:b/>
          <w:sz w:val="32"/>
          <w:szCs w:val="32"/>
          <w:lang w:eastAsia="zh-CN"/>
        </w:rPr>
        <w:t>七</w:t>
      </w:r>
      <w:r>
        <w:rPr>
          <w:rFonts w:hint="eastAsia" w:ascii="宋体" w:hAnsi="宋体" w:eastAsia="宋体" w:cs="宋体"/>
          <w:b/>
          <w:sz w:val="32"/>
          <w:szCs w:val="32"/>
        </w:rPr>
        <w:t>章</w:t>
      </w:r>
      <w:bookmarkStart w:id="217" w:name="_Toc14891079"/>
      <w:r>
        <w:rPr>
          <w:rFonts w:hint="eastAsia" w:ascii="宋体" w:hAnsi="宋体" w:eastAsia="宋体" w:cs="宋体"/>
          <w:b/>
          <w:sz w:val="32"/>
          <w:szCs w:val="32"/>
        </w:rPr>
        <w:t xml:space="preserve">  </w:t>
      </w:r>
      <w:r>
        <w:rPr>
          <w:rFonts w:hint="eastAsia" w:ascii="宋体" w:hAnsi="宋体" w:eastAsia="宋体" w:cs="宋体"/>
          <w:b/>
          <w:bCs/>
          <w:sz w:val="32"/>
          <w:szCs w:val="32"/>
        </w:rPr>
        <w:t>响应文件组成</w:t>
      </w:r>
      <w:bookmarkEnd w:id="213"/>
      <w:bookmarkEnd w:id="214"/>
      <w:bookmarkEnd w:id="215"/>
      <w:bookmarkEnd w:id="216"/>
      <w:bookmarkEnd w:id="217"/>
    </w:p>
    <w:p>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b/>
          <w:bCs/>
          <w:sz w:val="52"/>
          <w:szCs w:val="52"/>
        </w:rPr>
      </w:pPr>
    </w:p>
    <w:p>
      <w:pPr>
        <w:pStyle w:val="2"/>
        <w:keepNext w:val="0"/>
        <w:keepLines w:val="0"/>
        <w:pageBreakBefore w:val="0"/>
        <w:widowControl w:val="0"/>
        <w:kinsoku/>
        <w:wordWrap/>
        <w:overflowPunct/>
        <w:topLinePunct w:val="0"/>
        <w:autoSpaceDE/>
        <w:autoSpaceDN/>
        <w:bidi w:val="0"/>
        <w:spacing w:line="360" w:lineRule="auto"/>
        <w:textAlignment w:val="auto"/>
        <w:rPr>
          <w:rFonts w:hint="eastAsia"/>
        </w:rPr>
      </w:pPr>
    </w:p>
    <w:p>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b/>
          <w:bCs/>
          <w:sz w:val="52"/>
          <w:szCs w:val="52"/>
        </w:rPr>
      </w:pPr>
      <w:r>
        <w:rPr>
          <w:rFonts w:hint="eastAsia" w:ascii="宋体" w:hAnsi="宋体"/>
          <w:b/>
          <w:bCs/>
          <w:sz w:val="52"/>
          <w:szCs w:val="52"/>
        </w:rPr>
        <w:t>自主竞争性谈判</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bCs/>
          <w:sz w:val="52"/>
          <w:szCs w:val="52"/>
        </w:rPr>
      </w:pPr>
      <w:r>
        <w:rPr>
          <w:rFonts w:hint="eastAsia" w:ascii="宋体" w:hAnsi="宋体"/>
          <w:b/>
          <w:bCs/>
          <w:sz w:val="52"/>
          <w:szCs w:val="52"/>
        </w:rPr>
        <w:t>响应文件</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sz w:val="28"/>
          <w:szCs w:val="28"/>
        </w:rPr>
      </w:pPr>
    </w:p>
    <w:p>
      <w:pPr>
        <w:pStyle w:val="25"/>
        <w:rPr>
          <w:rFonts w:hAnsi="宋体"/>
          <w:b/>
          <w:sz w:val="32"/>
          <w:szCs w:val="32"/>
        </w:rPr>
      </w:pPr>
    </w:p>
    <w:p>
      <w:pPr>
        <w:pStyle w:val="25"/>
        <w:adjustRightInd w:val="0"/>
        <w:snapToGrid w:val="0"/>
        <w:spacing w:line="360" w:lineRule="auto"/>
        <w:rPr>
          <w:rFonts w:hint="eastAsia"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rPr>
          <w:rFonts w:hint="eastAsia"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rPr>
          <w:rFonts w:hint="eastAsia"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jc w:val="center"/>
      </w:pPr>
      <w:r>
        <w:rPr>
          <w:rFonts w:hint="eastAsia" w:hAnsi="宋体"/>
          <w:b/>
          <w:bCs/>
          <w:sz w:val="32"/>
          <w:szCs w:val="32"/>
        </w:rPr>
        <w:t>日</w:t>
      </w:r>
      <w:r>
        <w:rPr>
          <w:rFonts w:hint="eastAsia" w:hAnsi="宋体"/>
          <w:b/>
          <w:bCs/>
          <w:sz w:val="32"/>
          <w:szCs w:val="32"/>
          <w:lang w:val="en-US" w:eastAsia="zh-CN"/>
        </w:rPr>
        <w:t xml:space="preserve">  </w:t>
      </w:r>
      <w:r>
        <w:rPr>
          <w:rFonts w:hint="eastAsia" w:hAnsi="宋体"/>
          <w:b/>
          <w:bCs/>
          <w:sz w:val="32"/>
          <w:szCs w:val="32"/>
        </w:rPr>
        <w:t>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spacing w:line="360" w:lineRule="exact"/>
        <w:rPr>
          <w:rFonts w:ascii="宋体" w:hAnsi="宋体"/>
          <w:b/>
        </w:rPr>
      </w:pPr>
    </w:p>
    <w:p>
      <w:pPr>
        <w:adjustRightInd w:val="0"/>
        <w:snapToGrid w:val="0"/>
        <w:spacing w:line="360" w:lineRule="auto"/>
        <w:jc w:val="center"/>
        <w:outlineLvl w:val="0"/>
        <w:rPr>
          <w:rFonts w:ascii="黑体" w:eastAsia="黑体"/>
          <w:b/>
          <w:sz w:val="32"/>
          <w:szCs w:val="32"/>
        </w:rPr>
        <w:sectPr>
          <w:pgSz w:w="11906" w:h="16838"/>
          <w:pgMar w:top="1440" w:right="1797" w:bottom="1440" w:left="1797" w:header="851" w:footer="851" w:gutter="0"/>
          <w:pgNumType w:fmt="decimal"/>
          <w:cols w:space="720" w:num="1"/>
          <w:docGrid w:linePitch="312" w:charSpace="0"/>
        </w:sectPr>
      </w:pPr>
    </w:p>
    <w:p>
      <w:pPr>
        <w:widowControl/>
        <w:spacing w:line="360" w:lineRule="auto"/>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outlineLvl w:val="9"/>
        <w:rPr>
          <w:rFonts w:ascii="宋体" w:hAnsi="宋体"/>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一、谈判承诺书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二、法定代表人身份证明书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三、授权委托书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四、谈判单位资格条件证明文件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五、</w:t>
      </w:r>
      <w:r>
        <w:rPr>
          <w:rFonts w:hint="eastAsia" w:ascii="宋体" w:hAnsi="宋体"/>
          <w:szCs w:val="21"/>
        </w:rPr>
        <w:t>不拖欠农民工工资承诺书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六、报价一览表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七、</w:t>
      </w:r>
      <w:r>
        <w:rPr>
          <w:rFonts w:hint="eastAsia" w:ascii="宋体" w:hAnsi="宋体"/>
          <w:szCs w:val="21"/>
        </w:rPr>
        <w:t>报价汇总表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八、投标报价表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cs="宋体"/>
          <w:sz w:val="21"/>
          <w:szCs w:val="21"/>
          <w:lang w:eastAsia="zh-CN"/>
        </w:rPr>
        <w:t>九、</w:t>
      </w:r>
      <w:r>
        <w:rPr>
          <w:rFonts w:hint="eastAsia" w:ascii="宋体" w:hAnsi="宋体" w:eastAsia="宋体" w:cs="宋体"/>
          <w:sz w:val="21"/>
          <w:szCs w:val="21"/>
        </w:rPr>
        <w:t>其他资料（如有）</w:t>
      </w:r>
    </w:p>
    <w:p>
      <w:pPr>
        <w:ind w:firstLine="480" w:firstLineChars="200"/>
        <w:jc w:val="center"/>
        <w:outlineLvl w:val="1"/>
        <w:rPr>
          <w:rFonts w:ascii="黑体" w:hAnsi="黑体" w:eastAsia="黑体"/>
          <w:b/>
          <w:sz w:val="32"/>
          <w:szCs w:val="32"/>
        </w:rPr>
      </w:pPr>
      <w:r>
        <w:rPr>
          <w:rFonts w:hint="eastAsia" w:ascii="宋体" w:hAnsi="宋体"/>
          <w:sz w:val="24"/>
        </w:rPr>
        <w:br w:type="page"/>
      </w:r>
      <w:bookmarkStart w:id="218" w:name="_Toc32569"/>
      <w:bookmarkStart w:id="219" w:name="_Toc32600"/>
      <w:bookmarkStart w:id="220" w:name="_Toc2508"/>
      <w:bookmarkStart w:id="221" w:name="_Toc14530"/>
      <w:r>
        <w:rPr>
          <w:rFonts w:hint="eastAsia" w:ascii="宋体" w:hAnsi="宋体" w:eastAsia="宋体" w:cs="宋体"/>
          <w:b/>
          <w:sz w:val="32"/>
          <w:szCs w:val="32"/>
        </w:rPr>
        <w:t>一、谈判承诺书</w:t>
      </w:r>
      <w:bookmarkEnd w:id="218"/>
      <w:bookmarkEnd w:id="219"/>
      <w:bookmarkEnd w:id="220"/>
      <w:bookmarkEnd w:id="221"/>
    </w:p>
    <w:p>
      <w:pPr>
        <w:adjustRightInd w:val="0"/>
        <w:snapToGrid w:val="0"/>
        <w:spacing w:line="360" w:lineRule="auto"/>
        <w:outlineLvl w:val="9"/>
        <w:rPr>
          <w:rFonts w:ascii="仿宋_GB2312" w:hAnsi="宋体" w:eastAsia="仿宋_GB2312"/>
          <w:sz w:val="21"/>
          <w:szCs w:val="21"/>
        </w:rPr>
      </w:pPr>
    </w:p>
    <w:p>
      <w:pPr>
        <w:adjustRightInd w:val="0"/>
        <w:snapToGrid w:val="0"/>
        <w:spacing w:line="360" w:lineRule="auto"/>
        <w:outlineLvl w:val="9"/>
        <w:rPr>
          <w:rFonts w:ascii="宋体" w:hAnsi="宋体"/>
          <w:sz w:val="21"/>
          <w:szCs w:val="21"/>
        </w:rPr>
      </w:pPr>
      <w:r>
        <w:rPr>
          <w:rFonts w:hint="eastAsia" w:ascii="宋体" w:hAnsi="宋体"/>
          <w:sz w:val="21"/>
          <w:szCs w:val="21"/>
        </w:rPr>
        <w:t>致(采购单位)：</w:t>
      </w:r>
    </w:p>
    <w:p>
      <w:pPr>
        <w:adjustRightInd w:val="0"/>
        <w:snapToGrid w:val="0"/>
        <w:spacing w:line="360" w:lineRule="auto"/>
        <w:ind w:firstLine="420" w:firstLineChars="200"/>
        <w:outlineLvl w:val="9"/>
        <w:rPr>
          <w:rFonts w:ascii="宋体" w:hAnsi="宋体"/>
          <w:sz w:val="21"/>
          <w:szCs w:val="21"/>
        </w:rPr>
      </w:pPr>
      <w:r>
        <w:rPr>
          <w:rFonts w:hint="eastAsia" w:ascii="宋体" w:hAnsi="宋体"/>
          <w:sz w:val="21"/>
          <w:szCs w:val="21"/>
        </w:rPr>
        <w:t>我方已仔细研究了</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rPr>
        <w:t>项目名称)的竞争性谈判文件（谈判项目编号：</w:t>
      </w:r>
      <w:r>
        <w:rPr>
          <w:rFonts w:hint="eastAsia" w:ascii="宋体" w:hAnsi="宋体"/>
          <w:sz w:val="21"/>
          <w:szCs w:val="21"/>
          <w:lang w:val="en-US" w:eastAsia="zh-CN"/>
        </w:rPr>
        <w:t xml:space="preserve">         </w:t>
      </w:r>
      <w:r>
        <w:rPr>
          <w:rFonts w:hint="eastAsia" w:ascii="宋体" w:hAnsi="宋体"/>
          <w:sz w:val="21"/>
          <w:szCs w:val="21"/>
        </w:rPr>
        <w:t>）的全部内容，</w:t>
      </w:r>
      <w:r>
        <w:rPr>
          <w:rFonts w:hint="eastAsia" w:hAnsi="宋体"/>
          <w:sz w:val="21"/>
          <w:szCs w:val="21"/>
        </w:rPr>
        <w:t>知悉参加竞争性谈判的风险，我方承诺接受谈判文件的全部条款且无任何异议。</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一、</w:t>
      </w:r>
      <w:r>
        <w:rPr>
          <w:rFonts w:hint="eastAsia"/>
          <w:sz w:val="21"/>
          <w:szCs w:val="21"/>
        </w:rPr>
        <w:t>参与本项目竞争性谈判活动系本公司自愿行为。</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二、我方同意在谈判文件中规定的提交响应文件截止时间起</w:t>
      </w:r>
      <w:r>
        <w:rPr>
          <w:rFonts w:hint="eastAsia" w:hAnsi="宋体"/>
          <w:sz w:val="21"/>
          <w:szCs w:val="21"/>
          <w:u w:val="single"/>
        </w:rPr>
        <w:t>180</w:t>
      </w:r>
      <w:r>
        <w:rPr>
          <w:rFonts w:hint="eastAsia" w:hAnsi="宋体"/>
          <w:sz w:val="21"/>
          <w:szCs w:val="21"/>
        </w:rPr>
        <w:t>日</w:t>
      </w:r>
      <w:r>
        <w:rPr>
          <w:rFonts w:hint="eastAsia" w:hAnsi="宋体"/>
          <w:sz w:val="21"/>
          <w:szCs w:val="21"/>
          <w:lang w:eastAsia="zh-CN"/>
        </w:rPr>
        <w:t>历天</w:t>
      </w:r>
      <w:r>
        <w:rPr>
          <w:rFonts w:hint="eastAsia" w:hAnsi="宋体"/>
          <w:sz w:val="21"/>
          <w:szCs w:val="21"/>
        </w:rPr>
        <w:t>内(响应文件有效期)遵守本响应文件中的承诺且在此期限期满之前均具有法律约束力。</w:t>
      </w:r>
    </w:p>
    <w:p>
      <w:pPr>
        <w:pStyle w:val="25"/>
        <w:adjustRightInd w:val="0"/>
        <w:snapToGrid w:val="0"/>
        <w:spacing w:line="360" w:lineRule="auto"/>
        <w:ind w:firstLine="420" w:firstLineChars="200"/>
        <w:outlineLvl w:val="9"/>
        <w:rPr>
          <w:rFonts w:hAnsi="宋体"/>
          <w:bCs/>
          <w:sz w:val="21"/>
          <w:szCs w:val="21"/>
        </w:rPr>
      </w:pPr>
      <w:r>
        <w:rPr>
          <w:rFonts w:hint="eastAsia" w:hAnsi="宋体"/>
          <w:sz w:val="21"/>
          <w:szCs w:val="21"/>
        </w:rPr>
        <w:t>三、我方提交的响应文件均为正本份和副本份，电子文件（包括响应文件全部内容）份，并保证响应文件提供的数据和材料是真实、准确的，且无低于成本的恶意报价行为。否则，愿承担由此引起的一切</w:t>
      </w:r>
      <w:r>
        <w:rPr>
          <w:rFonts w:hint="eastAsia" w:hAnsi="宋体"/>
          <w:bCs/>
          <w:sz w:val="21"/>
          <w:szCs w:val="21"/>
        </w:rPr>
        <w:t>法律责任。</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四、</w:t>
      </w:r>
      <w:r>
        <w:rPr>
          <w:rFonts w:hint="eastAsia"/>
          <w:sz w:val="21"/>
          <w:szCs w:val="21"/>
        </w:rPr>
        <w:t>遵守贵司各项管理制度和谈判现场纪律，服从现场工作人员管理，自觉维护贵司谈判活动秩序。</w:t>
      </w:r>
    </w:p>
    <w:p>
      <w:pPr>
        <w:pStyle w:val="25"/>
        <w:adjustRightInd w:val="0"/>
        <w:snapToGrid w:val="0"/>
        <w:spacing w:line="360" w:lineRule="auto"/>
        <w:ind w:firstLine="420" w:firstLineChars="200"/>
        <w:outlineLvl w:val="9"/>
        <w:rPr>
          <w:sz w:val="21"/>
          <w:szCs w:val="21"/>
        </w:rPr>
      </w:pPr>
      <w:r>
        <w:rPr>
          <w:rFonts w:hint="eastAsia" w:hAnsi="宋体"/>
          <w:sz w:val="21"/>
          <w:szCs w:val="21"/>
        </w:rPr>
        <w:t>五、</w:t>
      </w:r>
      <w:r>
        <w:rPr>
          <w:rFonts w:hint="eastAsia"/>
          <w:sz w:val="21"/>
          <w:szCs w:val="21"/>
        </w:rPr>
        <w:t>保证没有组织、参与围标、串标行为。</w:t>
      </w:r>
    </w:p>
    <w:p>
      <w:pPr>
        <w:pStyle w:val="25"/>
        <w:adjustRightInd w:val="0"/>
        <w:snapToGrid w:val="0"/>
        <w:spacing w:line="360" w:lineRule="auto"/>
        <w:ind w:firstLine="420" w:firstLineChars="200"/>
        <w:outlineLvl w:val="9"/>
        <w:rPr>
          <w:sz w:val="21"/>
          <w:szCs w:val="21"/>
        </w:rPr>
      </w:pPr>
      <w:r>
        <w:rPr>
          <w:rFonts w:hint="eastAsia"/>
          <w:sz w:val="21"/>
          <w:szCs w:val="21"/>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outlineLvl w:val="9"/>
        <w:rPr>
          <w:rFonts w:hAnsi="宋体"/>
          <w:sz w:val="21"/>
          <w:szCs w:val="21"/>
        </w:rPr>
      </w:pPr>
      <w:r>
        <w:rPr>
          <w:rFonts w:hint="eastAsia"/>
          <w:sz w:val="21"/>
          <w:szCs w:val="21"/>
        </w:rPr>
        <w:t>七、</w:t>
      </w:r>
      <w:r>
        <w:rPr>
          <w:rFonts w:hint="eastAsia" w:hAnsi="宋体"/>
          <w:sz w:val="21"/>
          <w:szCs w:val="21"/>
        </w:rPr>
        <w:t>我方承诺，若贵方需要，我方愿意提供任何与本次谈判有关的数据、情况和技术资料。</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outlineLvl w:val="9"/>
        <w:rPr>
          <w:sz w:val="21"/>
          <w:szCs w:val="21"/>
        </w:rPr>
      </w:pPr>
      <w:r>
        <w:rPr>
          <w:rFonts w:hint="eastAsia" w:hAnsi="宋体"/>
          <w:sz w:val="21"/>
          <w:szCs w:val="21"/>
        </w:rPr>
        <w:t>十、我方承诺完全响应本文件第四章“用户需求书”及第</w:t>
      </w:r>
      <w:r>
        <w:rPr>
          <w:rFonts w:hint="eastAsia" w:hAnsi="宋体"/>
          <w:sz w:val="21"/>
          <w:szCs w:val="21"/>
          <w:lang w:eastAsia="zh-CN"/>
        </w:rPr>
        <w:t>六</w:t>
      </w:r>
      <w:r>
        <w:rPr>
          <w:rFonts w:hint="eastAsia" w:hAnsi="宋体"/>
          <w:sz w:val="21"/>
          <w:szCs w:val="21"/>
        </w:rPr>
        <w:t>章“合同格式条款”内的全部内容。</w:t>
      </w:r>
    </w:p>
    <w:p>
      <w:pPr>
        <w:ind w:firstLine="420" w:firstLineChars="200"/>
        <w:outlineLvl w:val="9"/>
        <w:rPr>
          <w:rFonts w:hAnsi="宋体"/>
          <w:sz w:val="21"/>
          <w:szCs w:val="21"/>
        </w:rPr>
      </w:pPr>
      <w:r>
        <w:rPr>
          <w:rFonts w:hint="eastAsia"/>
          <w:sz w:val="21"/>
          <w:szCs w:val="21"/>
        </w:rPr>
        <w:t>十一、如有违反本承诺书内容的行为，愿意承担由此产生的法律责任及后果。</w:t>
      </w:r>
    </w:p>
    <w:p>
      <w:pPr>
        <w:adjustRightInd w:val="0"/>
        <w:snapToGrid w:val="0"/>
        <w:spacing w:line="360" w:lineRule="auto"/>
        <w:ind w:right="24"/>
        <w:outlineLvl w:val="9"/>
        <w:rPr>
          <w:rFonts w:ascii="宋体" w:hAnsi="宋体"/>
          <w:bCs/>
          <w:sz w:val="21"/>
          <w:szCs w:val="21"/>
        </w:rPr>
      </w:pPr>
    </w:p>
    <w:p>
      <w:pPr>
        <w:pStyle w:val="25"/>
        <w:adjustRightInd w:val="0"/>
        <w:snapToGrid w:val="0"/>
        <w:spacing w:line="360" w:lineRule="auto"/>
        <w:outlineLvl w:val="9"/>
        <w:rPr>
          <w:rFonts w:hAnsi="宋体"/>
          <w:sz w:val="21"/>
          <w:szCs w:val="21"/>
        </w:rPr>
      </w:pPr>
    </w:p>
    <w:p>
      <w:pPr>
        <w:pStyle w:val="25"/>
        <w:adjustRightInd w:val="0"/>
        <w:snapToGrid w:val="0"/>
        <w:spacing w:line="360" w:lineRule="auto"/>
        <w:outlineLvl w:val="9"/>
        <w:rPr>
          <w:rFonts w:hAnsi="宋体"/>
          <w:sz w:val="21"/>
          <w:szCs w:val="21"/>
        </w:rPr>
      </w:pPr>
    </w:p>
    <w:p>
      <w:pPr>
        <w:spacing w:line="360" w:lineRule="auto"/>
        <w:outlineLvl w:val="9"/>
        <w:rPr>
          <w:sz w:val="21"/>
          <w:szCs w:val="21"/>
          <w:u w:val="single"/>
        </w:rPr>
      </w:pPr>
      <w:r>
        <w:rPr>
          <w:rFonts w:hint="eastAsia"/>
          <w:sz w:val="21"/>
          <w:szCs w:val="21"/>
        </w:rPr>
        <w:t>谈判单位名称：</w:t>
      </w:r>
      <w:r>
        <w:rPr>
          <w:rFonts w:hint="eastAsia"/>
          <w:sz w:val="21"/>
          <w:szCs w:val="21"/>
          <w:u w:val="single"/>
        </w:rPr>
        <w:t xml:space="preserve">    （盖单位章）    </w:t>
      </w:r>
    </w:p>
    <w:p>
      <w:pPr>
        <w:spacing w:line="360" w:lineRule="auto"/>
        <w:outlineLvl w:val="9"/>
        <w:rPr>
          <w:rFonts w:ascii="宋体" w:hAnsi="宋体"/>
          <w:sz w:val="21"/>
          <w:szCs w:val="21"/>
        </w:rPr>
      </w:pPr>
      <w:r>
        <w:rPr>
          <w:rFonts w:hint="eastAsia" w:ascii="宋体" w:hAnsi="宋体"/>
          <w:sz w:val="21"/>
          <w:szCs w:val="21"/>
        </w:rPr>
        <w:t>法定</w:t>
      </w:r>
      <w:r>
        <w:rPr>
          <w:rFonts w:hint="eastAsia"/>
          <w:sz w:val="21"/>
          <w:szCs w:val="21"/>
        </w:rPr>
        <w:t>代表</w:t>
      </w:r>
      <w:r>
        <w:rPr>
          <w:rFonts w:hint="eastAsia" w:ascii="宋体" w:hAnsi="宋体"/>
          <w:sz w:val="21"/>
          <w:szCs w:val="21"/>
        </w:rPr>
        <w:t>人(签字或盖章)：</w:t>
      </w:r>
      <w:r>
        <w:rPr>
          <w:rFonts w:hint="eastAsia" w:ascii="宋体" w:hAnsi="宋体"/>
          <w:sz w:val="21"/>
          <w:szCs w:val="21"/>
          <w:u w:val="single"/>
        </w:rPr>
        <w:t xml:space="preserve">               </w:t>
      </w:r>
    </w:p>
    <w:p>
      <w:pPr>
        <w:spacing w:line="360" w:lineRule="auto"/>
        <w:outlineLvl w:val="9"/>
        <w:rPr>
          <w:rFonts w:ascii="宋体"/>
          <w:sz w:val="21"/>
          <w:szCs w:val="21"/>
        </w:rPr>
      </w:pPr>
      <w:r>
        <w:rPr>
          <w:rFonts w:hint="eastAsia"/>
          <w:sz w:val="21"/>
          <w:szCs w:val="21"/>
        </w:rPr>
        <w:t>日期</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adjustRightInd w:val="0"/>
        <w:snapToGrid w:val="0"/>
        <w:spacing w:line="360" w:lineRule="auto"/>
        <w:ind w:right="24"/>
        <w:outlineLvl w:val="9"/>
        <w:rPr>
          <w:rFonts w:ascii="黑体" w:hAnsi="华文中宋" w:eastAsia="黑体"/>
          <w:bCs/>
          <w:sz w:val="21"/>
          <w:szCs w:val="21"/>
        </w:rPr>
      </w:pPr>
    </w:p>
    <w:p>
      <w:pPr>
        <w:adjustRightInd w:val="0"/>
        <w:snapToGrid w:val="0"/>
        <w:spacing w:line="360" w:lineRule="auto"/>
        <w:ind w:right="24"/>
        <w:outlineLvl w:val="9"/>
        <w:rPr>
          <w:rFonts w:ascii="黑体" w:hAnsi="华文中宋" w:eastAsia="黑体"/>
          <w:bCs/>
          <w:sz w:val="28"/>
          <w:szCs w:val="28"/>
        </w:rPr>
      </w:pPr>
    </w:p>
    <w:p>
      <w:pPr>
        <w:adjustRightInd w:val="0"/>
        <w:snapToGrid w:val="0"/>
        <w:spacing w:line="360" w:lineRule="auto"/>
        <w:ind w:right="24"/>
        <w:jc w:val="center"/>
        <w:outlineLvl w:val="1"/>
        <w:rPr>
          <w:rFonts w:hint="eastAsia" w:ascii="宋体" w:hAnsi="宋体" w:eastAsia="宋体" w:cs="宋体"/>
          <w:b/>
          <w:sz w:val="32"/>
          <w:szCs w:val="32"/>
        </w:rPr>
      </w:pPr>
      <w:bookmarkStart w:id="222" w:name="_Toc31277"/>
      <w:bookmarkStart w:id="223" w:name="_Toc1313"/>
      <w:bookmarkStart w:id="224" w:name="_Toc2211"/>
      <w:bookmarkStart w:id="225" w:name="_Toc3026"/>
      <w:r>
        <w:rPr>
          <w:rFonts w:hint="eastAsia" w:ascii="宋体" w:hAnsi="宋体" w:eastAsia="宋体" w:cs="宋体"/>
          <w:b/>
          <w:sz w:val="32"/>
          <w:szCs w:val="32"/>
        </w:rPr>
        <w:t>二、法定代表人身份证明书</w:t>
      </w:r>
      <w:bookmarkEnd w:id="222"/>
      <w:bookmarkEnd w:id="223"/>
      <w:bookmarkEnd w:id="224"/>
      <w:bookmarkEnd w:id="225"/>
    </w:p>
    <w:p>
      <w:pPr>
        <w:snapToGrid w:val="0"/>
        <w:spacing w:line="480" w:lineRule="auto"/>
        <w:outlineLvl w:val="9"/>
        <w:rPr>
          <w:rFonts w:ascii="宋体" w:hAnsi="宋体"/>
          <w:szCs w:val="21"/>
        </w:rPr>
      </w:pP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outlineLvl w:val="9"/>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Lines="50" w:line="360" w:lineRule="auto"/>
        <w:jc w:val="left"/>
        <w:outlineLvl w:val="9"/>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szCs w:val="21"/>
        </w:rPr>
        <w:t>谈判单位</w:t>
      </w:r>
      <w:r>
        <w:rPr>
          <w:rFonts w:hint="eastAsia" w:ascii="宋体" w:hAnsi="宋体" w:cs="宋体"/>
          <w:kern w:val="0"/>
          <w:szCs w:val="21"/>
        </w:rPr>
        <w:t>名称）的法定代表人。</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outlineLvl w:val="9"/>
        <w:rPr>
          <w:rFonts w:ascii="宋体" w:hAnsi="宋体"/>
          <w:szCs w:val="21"/>
        </w:rPr>
      </w:pPr>
      <w:r>
        <w:rPr>
          <w:rFonts w:ascii="宋体" w:hAnsi="宋体"/>
          <w:szCs w:val="21"/>
        </w:rPr>
        <w:pict>
          <v:rect id="_x0000_s1031" o:spid="_x0000_s1031" o:spt="1" style="position:absolute;left:0pt;margin-left:222.1pt;margin-top:11.5pt;height:96.15pt;width:185.5pt;z-index:-25164390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w:r>
      <w:r>
        <w:rPr>
          <w:rFonts w:ascii="宋体" w:hAnsi="宋体"/>
          <w:szCs w:val="21"/>
        </w:rPr>
        <w:pict>
          <v:rect id="_x0000_s1030" o:spid="_x0000_s1030" o:spt="1" style="position:absolute;left:0pt;margin-left:-8.8pt;margin-top:11.5pt;height:96.15pt;width:185.5pt;z-index:-251644928;mso-width-relative:page;mso-height-relative:page;"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N022QAAAAoBAAAPAAAAAAAAAAEAIAAAACIAAABkcnMvZG93bnJldi54bWxQSwECFAAUAAAACACH&#10;TuJAx7XeGyMCAAA4BAAADgAAAAAAAAABACAAAAAoAQAAZHJzL2Uyb0RvYy54bWxQSwUGAAAAAAYA&#10;BgBZAQAAvQ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w:r>
    </w:p>
    <w:p>
      <w:pPr>
        <w:snapToGrid w:val="0"/>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r>
        <w:rPr>
          <w:rFonts w:hint="eastAsia" w:ascii="宋体" w:hAnsi="宋体"/>
          <w:b/>
          <w:szCs w:val="21"/>
        </w:rPr>
        <w:t>备注：上述证件复印件可另附页，另附页时，证件复印件均须加盖单位公章。</w:t>
      </w:r>
    </w:p>
    <w:p>
      <w:pPr>
        <w:snapToGrid w:val="0"/>
        <w:outlineLvl w:val="9"/>
        <w:rPr>
          <w:rFonts w:ascii="宋体" w:hAnsi="宋体"/>
          <w:szCs w:val="21"/>
        </w:rPr>
      </w:pPr>
    </w:p>
    <w:p>
      <w:pPr>
        <w:snapToGrid w:val="0"/>
        <w:outlineLvl w:val="9"/>
        <w:rPr>
          <w:rFonts w:ascii="宋体" w:hAnsi="宋体"/>
          <w:szCs w:val="21"/>
        </w:rPr>
      </w:pPr>
    </w:p>
    <w:p>
      <w:pPr>
        <w:snapToGrid w:val="0"/>
        <w:outlineLvl w:val="9"/>
        <w:rPr>
          <w:rFonts w:ascii="宋体" w:hAnsi="宋体"/>
          <w:szCs w:val="21"/>
        </w:rPr>
      </w:pPr>
    </w:p>
    <w:p>
      <w:pPr>
        <w:snapToGrid w:val="0"/>
        <w:outlineLvl w:val="9"/>
        <w:rPr>
          <w:rFonts w:ascii="宋体" w:hAnsi="宋体"/>
          <w:szCs w:val="21"/>
        </w:rPr>
      </w:pPr>
    </w:p>
    <w:p>
      <w:pPr>
        <w:snapToGrid w:val="0"/>
        <w:outlineLvl w:val="9"/>
        <w:rPr>
          <w:rFonts w:ascii="宋体" w:hAnsi="宋体"/>
          <w:szCs w:val="21"/>
        </w:rPr>
      </w:pPr>
    </w:p>
    <w:p>
      <w:pPr>
        <w:adjustRightInd w:val="0"/>
        <w:snapToGrid w:val="0"/>
        <w:spacing w:line="360" w:lineRule="auto"/>
        <w:outlineLvl w:val="9"/>
        <w:rPr>
          <w:rFonts w:ascii="宋体" w:hAnsi="宋体"/>
          <w:szCs w:val="21"/>
        </w:rPr>
      </w:pPr>
    </w:p>
    <w:p>
      <w:pPr>
        <w:adjustRightInd w:val="0"/>
        <w:snapToGrid w:val="0"/>
        <w:spacing w:line="360" w:lineRule="auto"/>
        <w:ind w:right="420"/>
        <w:outlineLvl w:val="9"/>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outlineLvl w:val="9"/>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华文中宋" w:eastAsia="黑体"/>
          <w:bCs/>
          <w:sz w:val="24"/>
        </w:rPr>
      </w:pPr>
    </w:p>
    <w:p>
      <w:pPr>
        <w:adjustRightInd w:val="0"/>
        <w:snapToGrid w:val="0"/>
        <w:spacing w:line="360" w:lineRule="auto"/>
        <w:ind w:right="24"/>
        <w:jc w:val="center"/>
        <w:outlineLvl w:val="1"/>
        <w:rPr>
          <w:rFonts w:ascii="黑体" w:hAnsi="华文中宋" w:eastAsia="黑体"/>
          <w:bCs/>
          <w:sz w:val="24"/>
        </w:rPr>
      </w:pPr>
    </w:p>
    <w:p>
      <w:pPr>
        <w:pStyle w:val="2"/>
        <w:rPr>
          <w:rFonts w:ascii="黑体" w:hAnsi="华文中宋" w:eastAsia="黑体"/>
          <w:bCs/>
          <w:sz w:val="24"/>
        </w:rPr>
      </w:pPr>
    </w:p>
    <w:p/>
    <w:p>
      <w:pPr>
        <w:adjustRightInd w:val="0"/>
        <w:snapToGrid w:val="0"/>
        <w:spacing w:line="360" w:lineRule="auto"/>
        <w:ind w:right="24"/>
        <w:jc w:val="center"/>
        <w:outlineLvl w:val="1"/>
        <w:rPr>
          <w:rFonts w:ascii="黑体" w:hAnsi="华文中宋" w:eastAsia="黑体"/>
          <w:bCs/>
          <w:sz w:val="24"/>
        </w:rPr>
      </w:pPr>
    </w:p>
    <w:p>
      <w:pPr>
        <w:spacing w:line="360" w:lineRule="auto"/>
        <w:ind w:firstLine="422" w:firstLineChars="200"/>
        <w:rPr>
          <w:rFonts w:hAnsi="宋体" w:cs="Arial"/>
          <w:b/>
          <w:color w:val="auto"/>
          <w:kern w:val="0"/>
          <w:szCs w:val="21"/>
          <w:highlight w:val="none"/>
        </w:rPr>
      </w:pPr>
      <w:r>
        <w:rPr>
          <w:rFonts w:hint="eastAsia" w:hAnsi="宋体" w:cs="宋体"/>
          <w:b/>
          <w:color w:val="auto"/>
          <w:szCs w:val="21"/>
          <w:highlight w:val="none"/>
        </w:rPr>
        <w:t>注：法定代表人参加谈判会议的，“法定代表人身份证明书”须由法定代表人另外携带一份原件，在开标时提交验证。</w:t>
      </w:r>
    </w:p>
    <w:p>
      <w:pPr>
        <w:adjustRightInd w:val="0"/>
        <w:snapToGrid w:val="0"/>
        <w:spacing w:line="360" w:lineRule="auto"/>
        <w:ind w:right="24"/>
        <w:jc w:val="center"/>
        <w:outlineLvl w:val="1"/>
        <w:rPr>
          <w:rFonts w:ascii="黑体" w:hAnsi="华文中宋" w:eastAsia="黑体"/>
          <w:bCs/>
          <w:sz w:val="24"/>
        </w:rPr>
      </w:pPr>
    </w:p>
    <w:p>
      <w:pPr>
        <w:adjustRightInd w:val="0"/>
        <w:snapToGrid w:val="0"/>
        <w:spacing w:line="360" w:lineRule="auto"/>
        <w:ind w:right="24"/>
        <w:jc w:val="center"/>
        <w:outlineLvl w:val="1"/>
        <w:rPr>
          <w:rFonts w:ascii="黑体" w:hAnsi="宋体" w:eastAsia="黑体"/>
          <w:b/>
          <w:sz w:val="32"/>
          <w:szCs w:val="32"/>
        </w:rPr>
      </w:pPr>
      <w:r>
        <w:rPr>
          <w:rFonts w:ascii="黑体" w:hAnsi="华文中宋" w:eastAsia="黑体"/>
          <w:bCs/>
          <w:sz w:val="24"/>
        </w:rPr>
        <w:br w:type="page"/>
      </w:r>
      <w:bookmarkStart w:id="226" w:name="_Toc21066"/>
      <w:bookmarkStart w:id="227" w:name="_Toc3592"/>
      <w:bookmarkStart w:id="228" w:name="_Toc14170"/>
      <w:bookmarkStart w:id="229" w:name="_Toc761"/>
      <w:r>
        <w:rPr>
          <w:rFonts w:hint="eastAsia" w:ascii="宋体" w:hAnsi="宋体" w:eastAsia="宋体" w:cs="宋体"/>
          <w:b/>
          <w:sz w:val="32"/>
          <w:szCs w:val="32"/>
        </w:rPr>
        <w:t>三、授权委托书</w:t>
      </w:r>
      <w:bookmarkEnd w:id="226"/>
      <w:bookmarkEnd w:id="227"/>
      <w:bookmarkEnd w:id="228"/>
      <w:bookmarkEnd w:id="229"/>
    </w:p>
    <w:p>
      <w:pPr>
        <w:adjustRightInd w:val="0"/>
        <w:snapToGrid w:val="0"/>
        <w:spacing w:line="360" w:lineRule="auto"/>
        <w:jc w:val="center"/>
        <w:outlineLvl w:val="9"/>
        <w:rPr>
          <w:rFonts w:ascii="黑体" w:hAnsi="华文中宋" w:eastAsia="黑体"/>
          <w:b/>
          <w:sz w:val="28"/>
          <w:szCs w:val="28"/>
        </w:rPr>
      </w:pPr>
    </w:p>
    <w:p>
      <w:pPr>
        <w:keepNext w:val="0"/>
        <w:keepLines w:val="0"/>
        <w:pageBreakBefore w:val="0"/>
        <w:widowControl w:val="0"/>
        <w:kinsoku/>
        <w:wordWrap/>
        <w:overflowPunct/>
        <w:topLinePunct w:val="0"/>
        <w:autoSpaceDE w:val="0"/>
        <w:autoSpaceDN w:val="0"/>
        <w:bidi w:val="0"/>
        <w:adjustRightInd w:val="0"/>
        <w:snapToGrid w:val="0"/>
        <w:spacing w:beforeLines="50" w:line="360" w:lineRule="auto"/>
        <w:ind w:firstLine="420" w:firstLineChars="200"/>
        <w:jc w:val="both"/>
        <w:textAlignment w:val="auto"/>
        <w:outlineLvl w:val="9"/>
        <w:rPr>
          <w:rFonts w:ascii="宋体" w:hAnsi="宋体" w:cs="宋体"/>
          <w:kern w:val="0"/>
          <w:sz w:val="21"/>
          <w:szCs w:val="21"/>
        </w:rPr>
      </w:pPr>
      <w:r>
        <w:rPr>
          <w:rFonts w:hint="eastAsia" w:ascii="宋体" w:hAnsi="宋体" w:cs="宋体"/>
          <w:kern w:val="0"/>
          <w:sz w:val="21"/>
          <w:szCs w:val="21"/>
        </w:rPr>
        <w:t>本人</w:t>
      </w:r>
      <w:r>
        <w:rPr>
          <w:rFonts w:hint="eastAsia" w:ascii="宋体" w:hAnsi="宋体" w:cs="宋体"/>
          <w:kern w:val="0"/>
          <w:sz w:val="21"/>
          <w:szCs w:val="21"/>
          <w:u w:val="single"/>
        </w:rPr>
        <w:t>（姓名、职务）</w:t>
      </w:r>
      <w:r>
        <w:rPr>
          <w:rFonts w:hint="eastAsia" w:ascii="宋体" w:hAnsi="宋体" w:cs="宋体"/>
          <w:kern w:val="0"/>
          <w:sz w:val="21"/>
          <w:szCs w:val="21"/>
        </w:rPr>
        <w:t>系</w:t>
      </w:r>
      <w:r>
        <w:rPr>
          <w:rFonts w:hint="eastAsia" w:ascii="宋体" w:hAnsi="宋体" w:cs="宋体"/>
          <w:kern w:val="0"/>
          <w:sz w:val="21"/>
          <w:szCs w:val="21"/>
          <w:u w:val="single"/>
        </w:rPr>
        <w:t>（</w:t>
      </w:r>
      <w:r>
        <w:rPr>
          <w:rFonts w:hint="eastAsia" w:ascii="宋体" w:hAnsi="宋体"/>
          <w:sz w:val="21"/>
          <w:szCs w:val="21"/>
          <w:u w:val="single"/>
        </w:rPr>
        <w:t>谈判单位</w:t>
      </w:r>
      <w:r>
        <w:rPr>
          <w:rFonts w:hint="eastAsia" w:ascii="宋体" w:hAnsi="宋体" w:cs="宋体"/>
          <w:kern w:val="0"/>
          <w:sz w:val="21"/>
          <w:szCs w:val="21"/>
          <w:u w:val="single"/>
        </w:rPr>
        <w:t>名称）</w:t>
      </w:r>
      <w:r>
        <w:rPr>
          <w:rFonts w:hint="eastAsia" w:ascii="宋体" w:hAnsi="宋体" w:cs="宋体"/>
          <w:kern w:val="0"/>
          <w:sz w:val="21"/>
          <w:szCs w:val="21"/>
        </w:rPr>
        <w:t>的法定代表人，现授权</w:t>
      </w:r>
      <w:r>
        <w:rPr>
          <w:rFonts w:hint="eastAsia" w:ascii="宋体" w:hAnsi="宋体" w:cs="宋体"/>
          <w:kern w:val="0"/>
          <w:sz w:val="21"/>
          <w:szCs w:val="21"/>
          <w:u w:val="single"/>
        </w:rPr>
        <w:t>（姓名、职务）</w:t>
      </w:r>
      <w:r>
        <w:rPr>
          <w:rFonts w:hint="eastAsia" w:ascii="宋体" w:hAnsi="宋体" w:cs="宋体"/>
          <w:kern w:val="0"/>
          <w:sz w:val="21"/>
          <w:szCs w:val="21"/>
        </w:rPr>
        <w:t>为我方代理人。代理人根据授权，以我方名义签署、澄清、补正、修改、撤回、提交</w:t>
      </w:r>
      <w:r>
        <w:rPr>
          <w:rFonts w:hint="eastAsia" w:ascii="宋体" w:hAnsi="宋体" w:cs="宋体"/>
          <w:kern w:val="0"/>
          <w:sz w:val="21"/>
          <w:szCs w:val="21"/>
          <w:u w:val="single"/>
        </w:rPr>
        <w:t>（项目名称、</w:t>
      </w:r>
      <w:r>
        <w:rPr>
          <w:rFonts w:hint="eastAsia" w:ascii="宋体" w:hAnsi="宋体"/>
          <w:sz w:val="21"/>
          <w:szCs w:val="21"/>
          <w:u w:val="single"/>
        </w:rPr>
        <w:t>项目</w:t>
      </w:r>
      <w:r>
        <w:rPr>
          <w:rFonts w:hint="eastAsia" w:ascii="宋体" w:hAnsi="宋体" w:cs="宋体"/>
          <w:kern w:val="0"/>
          <w:sz w:val="21"/>
          <w:szCs w:val="21"/>
          <w:u w:val="single"/>
        </w:rPr>
        <w:t>编号）</w:t>
      </w:r>
      <w:r>
        <w:rPr>
          <w:rFonts w:hint="eastAsia" w:ascii="宋体" w:hAnsi="宋体" w:cs="宋体"/>
          <w:kern w:val="0"/>
          <w:sz w:val="21"/>
          <w:szCs w:val="21"/>
        </w:rPr>
        <w:t>响应文件及与本谈判项目的有关事宜，其法律后果由我方承担。</w:t>
      </w:r>
    </w:p>
    <w:p>
      <w:pPr>
        <w:spacing w:line="360" w:lineRule="auto"/>
        <w:ind w:firstLine="435"/>
        <w:outlineLvl w:val="9"/>
        <w:rPr>
          <w:rFonts w:ascii="宋体" w:hAnsi="宋体" w:cs="宋体"/>
          <w:kern w:val="0"/>
          <w:szCs w:val="21"/>
        </w:rPr>
      </w:pPr>
    </w:p>
    <w:p>
      <w:pPr>
        <w:spacing w:line="360" w:lineRule="auto"/>
        <w:ind w:firstLine="435"/>
        <w:outlineLvl w:val="9"/>
        <w:rPr>
          <w:rFonts w:ascii="宋体" w:hAnsi="宋体" w:cs="宋体"/>
          <w:kern w:val="0"/>
          <w:szCs w:val="21"/>
        </w:rPr>
      </w:pPr>
    </w:p>
    <w:p>
      <w:pPr>
        <w:spacing w:line="360" w:lineRule="auto"/>
        <w:ind w:firstLine="435"/>
        <w:outlineLvl w:val="9"/>
        <w:rPr>
          <w:rFonts w:ascii="宋体" w:hAnsi="宋体" w:cs="宋体"/>
          <w:kern w:val="0"/>
          <w:szCs w:val="21"/>
        </w:rPr>
      </w:pPr>
    </w:p>
    <w:p>
      <w:pPr>
        <w:spacing w:line="360" w:lineRule="auto"/>
        <w:ind w:firstLine="435"/>
        <w:outlineLvl w:val="9"/>
        <w:rPr>
          <w:rFonts w:ascii="宋体" w:hAnsi="宋体" w:cs="宋体"/>
          <w:kern w:val="0"/>
          <w:szCs w:val="21"/>
        </w:rPr>
      </w:pPr>
      <w:r>
        <w:rPr>
          <w:rFonts w:hint="eastAsia" w:ascii="宋体" w:hAnsi="宋体" w:cs="宋体"/>
          <w:kern w:val="0"/>
          <w:szCs w:val="21"/>
        </w:rPr>
        <w:t>代理人无转委托权。</w:t>
      </w:r>
    </w:p>
    <w:p>
      <w:pPr>
        <w:spacing w:line="360" w:lineRule="auto"/>
        <w:ind w:firstLine="435"/>
        <w:outlineLvl w:val="9"/>
        <w:rPr>
          <w:rFonts w:ascii="宋体" w:hAnsi="宋体"/>
          <w:szCs w:val="21"/>
        </w:rPr>
      </w:pPr>
      <w:r>
        <w:rPr>
          <w:rFonts w:hint="eastAsia" w:ascii="宋体" w:hAnsi="宋体"/>
          <w:szCs w:val="21"/>
        </w:rPr>
        <w:t>本授权书于年月日签字生效，特此声明。</w:t>
      </w:r>
    </w:p>
    <w:p>
      <w:pPr>
        <w:adjustRightInd w:val="0"/>
        <w:snapToGrid w:val="0"/>
        <w:spacing w:beforeLines="50" w:line="360" w:lineRule="auto"/>
        <w:ind w:firstLine="420" w:firstLineChars="200"/>
        <w:outlineLvl w:val="9"/>
        <w:rPr>
          <w:rFonts w:ascii="宋体" w:hAnsi="宋体"/>
          <w:szCs w:val="21"/>
        </w:rPr>
      </w:pPr>
      <w:r>
        <w:rPr>
          <w:rFonts w:ascii="宋体" w:hAnsi="宋体"/>
          <w:szCs w:val="21"/>
        </w:rPr>
        <w:pict>
          <v:rect id="_x0000_s1029" o:spid="_x0000_s1029" o:spt="1" style="position:absolute;left:0pt;margin-left:-9pt;margin-top:1.45pt;height:102.35pt;width:111.1pt;z-index:-251640832;mso-width-relative:page;mso-height-relative:page;"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lgr4DY&#10;AAAACQEAAA8AAAAAAAAAAQAgAAAAIgAAAGRycy9kb3ducmV2LnhtbFBLAQIUABQAAAAIAIdO4kD5&#10;6DIs5wEAANwDAAAOAAAAAAAAAAEAIAAAACcBAABkcnMvZTJvRG9jLnhtbFBLBQYAAAAABgAGAFkB&#10;AACABQ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w:r>
      <w:r>
        <w:rPr>
          <w:rFonts w:ascii="宋体" w:hAnsi="宋体"/>
          <w:szCs w:val="21"/>
        </w:rPr>
        <w:pict>
          <v:rect id="_x0000_s1028" o:spid="_x0000_s1028" o:spt="1" style="position:absolute;left:0pt;margin-left:272.1pt;margin-top:0.3pt;height:100.1pt;width:122.5pt;z-index:-251638784;mso-width-relative:page;mso-height-relative:page;"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8tU7fW&#10;AAAACAEAAA8AAAAAAAAAAQAgAAAAIgAAAGRycy9kb3ducmV2LnhtbFBLAQIUABQAAAAIAIdO4kCj&#10;vPDx6QEAANwDAAAOAAAAAAAAAAEAIAAAACUBAABkcnMvZTJvRG9jLnhtbFBLBQYAAAAABgAGAFkB&#10;AACABQ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营业执照副本复印件（法定代表人身份证明书中已有此附件）</w:t>
                  </w:r>
                </w:p>
                <w:p>
                  <w:pPr>
                    <w:rPr>
                      <w:highlight w:val="yellow"/>
                    </w:rPr>
                  </w:pPr>
                </w:p>
              </w:txbxContent>
            </v:textbox>
          </v:rect>
        </w:pict>
      </w:r>
      <w:r>
        <w:rPr>
          <w:rFonts w:ascii="宋体" w:hAnsi="宋体"/>
          <w:szCs w:val="21"/>
        </w:rPr>
        <w:pict>
          <v:rect id="_x0000_s1027" o:spid="_x0000_s1027" o:spt="1" style="position:absolute;left:0pt;flip:x;margin-left:133.45pt;margin-top:1.35pt;height:100.65pt;width:112.85pt;z-index:-251639808;mso-width-relative:page;mso-height-relative:page;"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4Us4r1gAAAAkBAAAPAAAAAAAAAAEAIAAAACIAAABkcnMvZG93bnJldi54bWxQSwECFAAUAAAA&#10;CACHTuJA7pF0x/ABAADmAwAADgAAAAAAAAABACAAAAAlAQAAZHJzL2Uyb0RvYy54bWxQSwUGAAAA&#10;AAYABgBZAQAAhw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w: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outlineLvl w:val="9"/>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outlineLvl w:val="9"/>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spacing w:line="360" w:lineRule="auto"/>
        <w:outlineLvl w:val="9"/>
        <w:rPr>
          <w:rFonts w:hint="eastAsia" w:ascii="宋体" w:hAnsi="宋体"/>
          <w:szCs w:val="21"/>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2"/>
        <w:rPr>
          <w:rFonts w:hint="eastAsia" w:ascii="宋体" w:hAnsi="宋体"/>
          <w:szCs w:val="21"/>
        </w:rPr>
      </w:pPr>
    </w:p>
    <w:p>
      <w:pPr>
        <w:rPr>
          <w:rFonts w:hint="eastAsia" w:ascii="宋体" w:hAnsi="宋体"/>
          <w:szCs w:val="21"/>
        </w:rPr>
      </w:pPr>
    </w:p>
    <w:p>
      <w:pPr>
        <w:pStyle w:val="2"/>
        <w:rPr>
          <w:rFonts w:hint="eastAsia" w:ascii="宋体" w:hAnsi="宋体"/>
          <w:szCs w:val="21"/>
        </w:rPr>
      </w:pPr>
    </w:p>
    <w:p>
      <w:pPr>
        <w:rPr>
          <w:rFonts w:hint="eastAsia" w:ascii="宋体" w:hAnsi="宋体"/>
          <w:szCs w:val="21"/>
        </w:rPr>
      </w:pPr>
    </w:p>
    <w:p>
      <w:pPr>
        <w:pStyle w:val="2"/>
        <w:rPr>
          <w:rFonts w:hint="eastAsia" w:ascii="宋体" w:hAnsi="宋体"/>
          <w:szCs w:val="21"/>
        </w:rPr>
      </w:pPr>
    </w:p>
    <w:p>
      <w:pPr>
        <w:rPr>
          <w:rFonts w:hint="eastAsia" w:ascii="宋体" w:hAnsi="宋体"/>
          <w:szCs w:val="21"/>
        </w:rPr>
      </w:pPr>
    </w:p>
    <w:p>
      <w:pPr>
        <w:pStyle w:val="2"/>
        <w:rPr>
          <w:rFonts w:hint="eastAsia" w:ascii="宋体" w:hAnsi="宋体"/>
          <w:szCs w:val="21"/>
        </w:rPr>
      </w:pPr>
    </w:p>
    <w:p>
      <w:pPr>
        <w:rPr>
          <w:rFonts w:hint="eastAsia" w:ascii="宋体" w:hAnsi="宋体"/>
          <w:szCs w:val="21"/>
        </w:rPr>
      </w:pPr>
    </w:p>
    <w:p>
      <w:pPr>
        <w:spacing w:line="360" w:lineRule="auto"/>
        <w:ind w:firstLine="422" w:firstLineChars="200"/>
        <w:rPr>
          <w:rFonts w:hAnsi="宋体" w:cs="Arial"/>
          <w:b/>
          <w:color w:val="auto"/>
          <w:kern w:val="0"/>
          <w:szCs w:val="21"/>
          <w:highlight w:val="none"/>
        </w:rPr>
      </w:pPr>
      <w:r>
        <w:rPr>
          <w:rFonts w:hint="eastAsia" w:hAnsi="宋体" w:cs="宋体"/>
          <w:b/>
          <w:color w:val="auto"/>
          <w:szCs w:val="21"/>
          <w:highlight w:val="none"/>
        </w:rPr>
        <w:t>注：法定代表人授权的委托代理人参加谈判会议的，“法定代表人身份证明书”和“授权委托书”须由委托代理人另外携带一份原件，在开标时提交验证。</w:t>
      </w:r>
      <w:bookmarkStart w:id="253" w:name="_GoBack"/>
      <w:bookmarkEnd w:id="253"/>
      <w:bookmarkStart w:id="230" w:name="_bookmark150"/>
      <w:bookmarkEnd w:id="230"/>
    </w:p>
    <w:p>
      <w:pPr>
        <w:pStyle w:val="2"/>
        <w:rPr>
          <w:rFonts w:hint="eastAsia" w:ascii="宋体" w:hAnsi="宋体"/>
          <w:szCs w:val="21"/>
        </w:rPr>
      </w:pPr>
    </w:p>
    <w:p>
      <w:pPr>
        <w:rPr>
          <w:rFonts w:hint="eastAsia" w:ascii="宋体" w:hAnsi="宋体"/>
          <w:szCs w:val="21"/>
        </w:rPr>
      </w:pPr>
    </w:p>
    <w:p>
      <w:pPr>
        <w:pStyle w:val="2"/>
        <w:rPr>
          <w:rFonts w:hint="eastAsia" w:ascii="宋体" w:hAnsi="宋体"/>
          <w:szCs w:val="21"/>
        </w:rPr>
      </w:pPr>
    </w:p>
    <w:p>
      <w:pPr>
        <w:sectPr>
          <w:pgSz w:w="11906" w:h="16838"/>
          <w:pgMar w:top="1440" w:right="1797" w:bottom="1440" w:left="1797" w:header="851" w:footer="851" w:gutter="0"/>
          <w:pgNumType w:fmt="decimal"/>
          <w:cols w:space="720" w:num="1"/>
          <w:docGrid w:linePitch="312" w:charSpace="0"/>
        </w:sectPr>
      </w:pPr>
    </w:p>
    <w:p>
      <w:pPr>
        <w:adjustRightInd w:val="0"/>
        <w:snapToGrid w:val="0"/>
        <w:spacing w:line="360" w:lineRule="auto"/>
        <w:ind w:right="24"/>
        <w:jc w:val="center"/>
        <w:outlineLvl w:val="1"/>
        <w:rPr>
          <w:rFonts w:hint="eastAsia" w:ascii="宋体" w:hAnsi="宋体" w:eastAsia="宋体" w:cs="宋体"/>
          <w:b/>
          <w:sz w:val="32"/>
          <w:szCs w:val="32"/>
        </w:rPr>
      </w:pPr>
      <w:bookmarkStart w:id="231" w:name="_Toc30284"/>
      <w:bookmarkStart w:id="232" w:name="_Toc18944"/>
      <w:bookmarkStart w:id="233" w:name="_Toc2295"/>
      <w:bookmarkStart w:id="234" w:name="_Toc11357"/>
      <w:r>
        <w:rPr>
          <w:rFonts w:hint="eastAsia" w:ascii="宋体" w:hAnsi="宋体" w:eastAsia="宋体" w:cs="宋体"/>
          <w:b/>
          <w:sz w:val="32"/>
          <w:szCs w:val="32"/>
        </w:rPr>
        <w:t>四、谈判单位资格证明文件</w:t>
      </w:r>
      <w:bookmarkEnd w:id="231"/>
      <w:bookmarkEnd w:id="232"/>
      <w:bookmarkEnd w:id="233"/>
      <w:bookmarkEnd w:id="234"/>
    </w:p>
    <w:p>
      <w:pPr>
        <w:adjustRightInd w:val="0"/>
        <w:snapToGrid w:val="0"/>
        <w:spacing w:line="360" w:lineRule="auto"/>
        <w:outlineLvl w:val="9"/>
        <w:rPr>
          <w:rFonts w:ascii="仿宋" w:hAnsi="仿宋" w:eastAsia="仿宋"/>
          <w:bCs/>
          <w:szCs w:val="21"/>
        </w:rPr>
      </w:pPr>
    </w:p>
    <w:p>
      <w:pPr>
        <w:adjustRightInd w:val="0"/>
        <w:snapToGrid w:val="0"/>
        <w:spacing w:line="360" w:lineRule="auto"/>
        <w:ind w:firstLine="420" w:firstLineChars="200"/>
        <w:outlineLvl w:val="9"/>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w:t>
      </w:r>
      <w:r>
        <w:rPr>
          <w:rFonts w:hint="eastAsia" w:ascii="宋体" w:hAnsi="宋体" w:cs="宋体"/>
          <w:i w:val="0"/>
          <w:iCs w:val="0"/>
          <w:color w:val="000000"/>
          <w:sz w:val="21"/>
          <w:szCs w:val="21"/>
          <w:highlight w:val="none"/>
          <w:u w:val="none"/>
          <w:lang w:val="en-US" w:eastAsia="zh-CN"/>
        </w:rPr>
        <w:t>、须提供营业执照副本原件及复印件。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2</w:t>
      </w:r>
      <w:r>
        <w:rPr>
          <w:rFonts w:hint="eastAsia" w:ascii="宋体" w:hAnsi="宋体" w:cs="宋体"/>
          <w:i w:val="0"/>
          <w:iCs w:val="0"/>
          <w:color w:val="000000"/>
          <w:sz w:val="21"/>
          <w:szCs w:val="21"/>
          <w:highlight w:val="none"/>
          <w:u w:val="none"/>
          <w:lang w:val="en-US" w:eastAsia="zh-CN"/>
        </w:rPr>
        <w:t>、</w:t>
      </w:r>
      <w:r>
        <w:rPr>
          <w:rFonts w:hint="eastAsia" w:ascii="宋体" w:hAnsi="宋体" w:eastAsia="宋体" w:cs="宋体"/>
          <w:i w:val="0"/>
          <w:iCs w:val="0"/>
          <w:color w:val="000000"/>
          <w:sz w:val="21"/>
          <w:szCs w:val="21"/>
          <w:highlight w:val="none"/>
          <w:u w:val="none"/>
          <w:lang w:val="en-US" w:eastAsia="zh-CN"/>
        </w:rPr>
        <w:t>须具有建筑工程施工总承包三级（含）以上或建筑装修装饰工程专业承包二级（含）以上或建筑机电安装工程专业承包三级（含）以上资质</w:t>
      </w:r>
      <w:r>
        <w:rPr>
          <w:rFonts w:hint="eastAsia" w:ascii="宋体" w:hAnsi="宋体" w:cs="宋体"/>
          <w:i w:val="0"/>
          <w:iCs w:val="0"/>
          <w:color w:val="000000"/>
          <w:sz w:val="21"/>
          <w:szCs w:val="21"/>
          <w:highlight w:val="none"/>
          <w:u w:val="none"/>
          <w:lang w:val="en-US" w:eastAsia="zh-CN"/>
        </w:rPr>
        <w:t>，须提供证书原件及复印件。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3、</w:t>
      </w:r>
      <w:r>
        <w:rPr>
          <w:rFonts w:hint="eastAsia" w:ascii="宋体" w:hAnsi="宋体" w:eastAsia="宋体" w:cs="宋体"/>
          <w:i w:val="0"/>
          <w:iCs w:val="0"/>
          <w:color w:val="000000"/>
          <w:sz w:val="21"/>
          <w:szCs w:val="21"/>
          <w:highlight w:val="none"/>
          <w:u w:val="none"/>
          <w:lang w:val="en-US" w:eastAsia="zh-CN"/>
        </w:rPr>
        <w:t>须</w:t>
      </w:r>
      <w:r>
        <w:rPr>
          <w:rFonts w:hint="eastAsia" w:ascii="宋体" w:hAnsi="宋体" w:cs="宋体"/>
          <w:i w:val="0"/>
          <w:iCs w:val="0"/>
          <w:color w:val="000000"/>
          <w:sz w:val="21"/>
          <w:szCs w:val="21"/>
          <w:highlight w:val="none"/>
          <w:u w:val="none"/>
          <w:lang w:val="en-US" w:eastAsia="zh-CN"/>
        </w:rPr>
        <w:t>提供</w:t>
      </w:r>
      <w:r>
        <w:rPr>
          <w:rFonts w:hint="eastAsia" w:ascii="宋体" w:hAnsi="宋体" w:eastAsia="宋体" w:cs="宋体"/>
          <w:i w:val="0"/>
          <w:iCs w:val="0"/>
          <w:color w:val="000000"/>
          <w:sz w:val="21"/>
          <w:szCs w:val="21"/>
          <w:highlight w:val="none"/>
          <w:u w:val="none"/>
          <w:lang w:val="en-US" w:eastAsia="zh-CN"/>
        </w:rPr>
        <w:t>有效的施工企业《安全生产许可证》</w:t>
      </w:r>
      <w:r>
        <w:rPr>
          <w:rFonts w:hint="eastAsia" w:ascii="宋体" w:hAnsi="宋体" w:cs="宋体"/>
          <w:i w:val="0"/>
          <w:iCs w:val="0"/>
          <w:color w:val="000000"/>
          <w:sz w:val="21"/>
          <w:szCs w:val="21"/>
          <w:highlight w:val="none"/>
          <w:u w:val="none"/>
          <w:lang w:val="en-US" w:eastAsia="zh-CN"/>
        </w:rPr>
        <w:t>原件及复印件</w:t>
      </w:r>
      <w:r>
        <w:rPr>
          <w:rFonts w:hint="eastAsia" w:ascii="宋体" w:hAnsi="宋体" w:eastAsia="宋体" w:cs="宋体"/>
          <w:i w:val="0"/>
          <w:iCs w:val="0"/>
          <w:color w:val="000000"/>
          <w:sz w:val="21"/>
          <w:szCs w:val="21"/>
          <w:highlight w:val="none"/>
          <w:u w:val="none"/>
          <w:lang w:val="en-US" w:eastAsia="zh-CN"/>
        </w:rPr>
        <w:t>。</w:t>
      </w:r>
    </w:p>
    <w:p>
      <w:pPr>
        <w:adjustRightInd w:val="0"/>
        <w:snapToGrid w:val="0"/>
        <w:spacing w:line="360" w:lineRule="auto"/>
        <w:ind w:firstLine="420" w:firstLineChars="200"/>
        <w:jc w:val="left"/>
        <w:rPr>
          <w:rFonts w:hint="eastAsia" w:ascii="宋体" w:hAnsi="宋体"/>
          <w:bCs/>
          <w:color w:val="auto"/>
          <w:szCs w:val="21"/>
        </w:rPr>
      </w:pPr>
      <w:r>
        <w:rPr>
          <w:rFonts w:hint="eastAsia" w:ascii="宋体" w:hAnsi="宋体"/>
          <w:bCs/>
          <w:color w:val="auto"/>
          <w:szCs w:val="21"/>
        </w:rPr>
        <w:t>4、委托代理人、项目负责人、安全员须提供由劳动保障部门出具的谈判响应文件递交截止时间前半年内连续三个月的本单位社保证明原件及复印件。</w:t>
      </w:r>
    </w:p>
    <w:p>
      <w:pPr>
        <w:adjustRightInd w:val="0"/>
        <w:snapToGrid w:val="0"/>
        <w:spacing w:line="360" w:lineRule="auto"/>
        <w:ind w:firstLine="420" w:firstLineChars="200"/>
        <w:jc w:val="left"/>
        <w:rPr>
          <w:rFonts w:hint="eastAsia" w:ascii="宋体" w:hAnsi="宋体"/>
          <w:bCs/>
          <w:color w:val="auto"/>
          <w:szCs w:val="21"/>
        </w:rPr>
      </w:pPr>
      <w:r>
        <w:rPr>
          <w:rFonts w:hint="eastAsia" w:ascii="宋体" w:hAnsi="宋体"/>
          <w:bCs/>
          <w:color w:val="auto"/>
          <w:szCs w:val="21"/>
        </w:rPr>
        <w:t>5、</w:t>
      </w:r>
      <w:r>
        <w:rPr>
          <w:rFonts w:hint="eastAsia" w:ascii="宋体" w:hAnsi="宋体" w:cs="宋体"/>
          <w:color w:val="auto"/>
          <w:szCs w:val="21"/>
        </w:rPr>
        <w:t>拟任项目负责人应附注册建造师证、B类安全生产考核合格证</w:t>
      </w:r>
      <w:r>
        <w:rPr>
          <w:rFonts w:hint="eastAsia" w:ascii="宋体" w:hAnsi="宋体"/>
          <w:bCs/>
          <w:color w:val="auto"/>
          <w:szCs w:val="21"/>
        </w:rPr>
        <w:t>原件及复印件。</w:t>
      </w:r>
    </w:p>
    <w:p>
      <w:pPr>
        <w:adjustRightInd w:val="0"/>
        <w:snapToGrid w:val="0"/>
        <w:spacing w:line="360" w:lineRule="auto"/>
        <w:ind w:firstLine="420" w:firstLineChars="200"/>
        <w:jc w:val="left"/>
        <w:rPr>
          <w:rFonts w:hint="eastAsia" w:ascii="宋体" w:hAnsi="宋体"/>
          <w:bCs/>
          <w:color w:val="auto"/>
          <w:szCs w:val="21"/>
        </w:rPr>
      </w:pPr>
      <w:r>
        <w:rPr>
          <w:rFonts w:hint="eastAsia" w:ascii="宋体" w:hAnsi="宋体"/>
          <w:bCs/>
          <w:color w:val="auto"/>
          <w:szCs w:val="21"/>
        </w:rPr>
        <w:t>6、</w:t>
      </w:r>
      <w:r>
        <w:rPr>
          <w:rFonts w:hint="eastAsia" w:ascii="宋体" w:hAnsi="宋体" w:cs="宋体"/>
          <w:color w:val="auto"/>
          <w:szCs w:val="21"/>
        </w:rPr>
        <w:t>安全员应附C类安全生产考核合格证</w:t>
      </w:r>
      <w:r>
        <w:rPr>
          <w:rFonts w:hint="eastAsia" w:ascii="宋体" w:hAnsi="宋体"/>
          <w:bCs/>
          <w:color w:val="auto"/>
          <w:szCs w:val="21"/>
        </w:rPr>
        <w:t>原件及复印件。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7、</w:t>
      </w:r>
      <w:r>
        <w:rPr>
          <w:rFonts w:hint="eastAsia" w:ascii="宋体" w:hAnsi="宋体" w:eastAsia="宋体" w:cs="宋体"/>
          <w:i w:val="0"/>
          <w:iCs w:val="0"/>
          <w:color w:val="000000"/>
          <w:sz w:val="21"/>
          <w:szCs w:val="21"/>
          <w:highlight w:val="none"/>
          <w:u w:val="none"/>
          <w:lang w:val="en-US" w:eastAsia="zh-CN"/>
        </w:rPr>
        <w:t>湖南省外企业须按照湘建建【2015】190号文件要求办理省外入湘企业基本情况登记（以“湖南省住房和城乡建设网”查询为准）或具有入湘施工登记证（处于有效期内）。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kern w:val="0"/>
          <w:szCs w:val="21"/>
        </w:rPr>
      </w:pPr>
      <w:r>
        <w:rPr>
          <w:rFonts w:hint="eastAsia" w:ascii="宋体" w:hAnsi="宋体" w:cs="宋体"/>
          <w:iCs/>
          <w:lang w:val="en-US" w:eastAsia="zh-CN"/>
        </w:rPr>
        <w:t>8</w:t>
      </w:r>
      <w:r>
        <w:rPr>
          <w:rFonts w:hint="eastAsia" w:ascii="宋体" w:hAnsi="宋体" w:cs="宋体"/>
          <w:iCs/>
          <w:lang w:eastAsia="zh-CN"/>
        </w:rPr>
        <w:t>、</w:t>
      </w:r>
      <w:r>
        <w:rPr>
          <w:rFonts w:hint="eastAsia" w:ascii="宋体" w:hAnsi="宋体" w:cs="宋体"/>
          <w:kern w:val="0"/>
          <w:szCs w:val="21"/>
        </w:rPr>
        <w:t>谈判单位认为与本项目资格条件有关的其它证明文件（如有，格式自拟）。</w:t>
      </w:r>
    </w:p>
    <w:p>
      <w:pPr>
        <w:adjustRightInd w:val="0"/>
        <w:snapToGrid w:val="0"/>
        <w:spacing w:line="360" w:lineRule="auto"/>
        <w:ind w:firstLine="422" w:firstLineChars="200"/>
        <w:outlineLvl w:val="9"/>
        <w:rPr>
          <w:rFonts w:ascii="宋体" w:hAnsi="宋体"/>
          <w:b/>
          <w:bCs/>
          <w:szCs w:val="21"/>
        </w:rPr>
      </w:pPr>
    </w:p>
    <w:p>
      <w:pPr>
        <w:adjustRightInd w:val="0"/>
        <w:snapToGrid w:val="0"/>
        <w:spacing w:line="360" w:lineRule="auto"/>
        <w:ind w:firstLine="422" w:firstLineChars="200"/>
        <w:outlineLvl w:val="9"/>
        <w:rPr>
          <w:rFonts w:ascii="宋体" w:hAnsi="宋体"/>
          <w:b/>
          <w:bCs/>
          <w:szCs w:val="21"/>
        </w:rPr>
      </w:pPr>
      <w:r>
        <w:rPr>
          <w:rFonts w:hint="eastAsia" w:ascii="宋体" w:hAnsi="宋体"/>
          <w:b/>
          <w:bCs/>
          <w:szCs w:val="21"/>
        </w:rPr>
        <w:t>备注：</w:t>
      </w:r>
    </w:p>
    <w:p>
      <w:pPr>
        <w:adjustRightInd w:val="0"/>
        <w:snapToGrid w:val="0"/>
        <w:spacing w:line="360" w:lineRule="auto"/>
        <w:ind w:firstLine="422" w:firstLineChars="200"/>
        <w:outlineLvl w:val="9"/>
        <w:rPr>
          <w:rFonts w:ascii="宋体" w:hAnsi="宋体"/>
          <w:b/>
          <w:bCs/>
          <w:szCs w:val="21"/>
        </w:rPr>
      </w:pPr>
      <w:r>
        <w:rPr>
          <w:rFonts w:hint="eastAsia" w:ascii="宋体" w:hAnsi="宋体"/>
          <w:b/>
          <w:bCs/>
          <w:szCs w:val="21"/>
        </w:rPr>
        <w:t>1、上述证明文件复印件均须加盖谈判单位公章。</w:t>
      </w:r>
    </w:p>
    <w:p>
      <w:pPr>
        <w:adjustRightInd w:val="0"/>
        <w:snapToGrid w:val="0"/>
        <w:spacing w:line="360" w:lineRule="auto"/>
        <w:ind w:firstLine="422" w:firstLineChars="200"/>
        <w:outlineLvl w:val="9"/>
        <w:rPr>
          <w:rFonts w:hint="eastAsia" w:ascii="宋体" w:hAnsi="宋体"/>
          <w:b/>
          <w:bCs/>
          <w:szCs w:val="21"/>
        </w:rPr>
      </w:pPr>
      <w:r>
        <w:rPr>
          <w:rFonts w:hint="eastAsia" w:ascii="宋体" w:hAnsi="宋体"/>
          <w:b/>
          <w:bCs/>
          <w:szCs w:val="21"/>
        </w:rPr>
        <w:t>2、上述证明文件原件须用文件袋单独包装，在响应文件递交的同时一并提交。</w:t>
      </w:r>
    </w:p>
    <w:p>
      <w:pPr>
        <w:pStyle w:val="2"/>
        <w:outlineLvl w:val="9"/>
        <w:rPr>
          <w:rFonts w:hint="eastAsia"/>
        </w:rPr>
      </w:pPr>
    </w:p>
    <w:p>
      <w:pPr>
        <w:pStyle w:val="2"/>
        <w:outlineLvl w:val="9"/>
        <w:sectPr>
          <w:pgSz w:w="11906" w:h="16838"/>
          <w:pgMar w:top="1440" w:right="1797" w:bottom="1440" w:left="1797" w:header="851" w:footer="851" w:gutter="0"/>
          <w:pgNumType w:fmt="decimal"/>
          <w:cols w:space="720" w:num="1"/>
        </w:sectPr>
      </w:pPr>
    </w:p>
    <w:p>
      <w:pPr>
        <w:adjustRightInd w:val="0"/>
        <w:snapToGrid w:val="0"/>
        <w:spacing w:line="360" w:lineRule="auto"/>
        <w:ind w:right="24"/>
        <w:jc w:val="center"/>
        <w:outlineLvl w:val="1"/>
        <w:rPr>
          <w:rFonts w:hint="eastAsia" w:ascii="宋体" w:hAnsi="宋体" w:eastAsia="宋体" w:cs="宋体"/>
          <w:b/>
          <w:sz w:val="32"/>
          <w:szCs w:val="32"/>
          <w:lang w:eastAsia="zh-CN"/>
        </w:rPr>
      </w:pPr>
      <w:bookmarkStart w:id="235" w:name="_Toc30403"/>
      <w:bookmarkStart w:id="236" w:name="_Toc7528"/>
      <w:bookmarkStart w:id="237" w:name="_Toc9230"/>
      <w:bookmarkStart w:id="238" w:name="_Toc6552"/>
      <w:r>
        <w:rPr>
          <w:rFonts w:hint="eastAsia" w:ascii="宋体" w:hAnsi="宋体" w:eastAsia="宋体" w:cs="宋体"/>
          <w:b/>
          <w:sz w:val="32"/>
          <w:szCs w:val="32"/>
        </w:rPr>
        <w:t>五、</w:t>
      </w:r>
      <w:bookmarkEnd w:id="235"/>
      <w:bookmarkEnd w:id="236"/>
      <w:bookmarkEnd w:id="237"/>
      <w:r>
        <w:rPr>
          <w:rFonts w:hint="eastAsia" w:ascii="宋体" w:hAnsi="宋体" w:eastAsia="宋体" w:cs="宋体"/>
          <w:b/>
          <w:sz w:val="32"/>
          <w:szCs w:val="32"/>
        </w:rPr>
        <w:t>不拖欠农民工工资承诺书</w:t>
      </w:r>
      <w:bookmarkEnd w:id="238"/>
    </w:p>
    <w:p>
      <w:pPr>
        <w:adjustRightInd w:val="0"/>
        <w:snapToGrid w:val="0"/>
        <w:ind w:left="-88" w:leftChars="-42" w:firstLine="211" w:firstLineChars="100"/>
        <w:jc w:val="center"/>
        <w:outlineLvl w:val="9"/>
        <w:rPr>
          <w:rFonts w:ascii="黑体" w:hAnsi="宋体" w:eastAsia="黑体"/>
          <w:b/>
          <w:bCs/>
          <w:sz w:val="21"/>
          <w:szCs w:val="21"/>
        </w:rPr>
      </w:pPr>
    </w:p>
    <w:p>
      <w:pPr>
        <w:ind w:firstLine="105" w:firstLineChars="50"/>
        <w:rPr>
          <w:rFonts w:hint="eastAsia" w:ascii="宋体" w:hAnsi="宋体"/>
          <w:u w:val="single"/>
        </w:rPr>
      </w:pPr>
      <w:r>
        <w:rPr>
          <w:rFonts w:hint="eastAsia" w:ascii="宋体" w:hAnsi="宋体"/>
        </w:rPr>
        <w:t>致：</w:t>
      </w:r>
      <w:r>
        <w:rPr>
          <w:rFonts w:hint="eastAsia" w:ascii="宋体" w:hAnsi="宋体"/>
          <w:u w:val="single"/>
        </w:rPr>
        <w:t xml:space="preserve">         （采购单位）        </w:t>
      </w:r>
    </w:p>
    <w:p>
      <w:pPr>
        <w:rPr>
          <w:rFonts w:ascii="宋体" w:hAnsi="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根据贵方的</w:t>
      </w:r>
      <w:r>
        <w:rPr>
          <w:rFonts w:hint="eastAsia" w:ascii="宋体" w:hAnsi="宋体"/>
          <w:u w:val="single"/>
        </w:rPr>
        <w:t xml:space="preserve">                      </w:t>
      </w:r>
      <w:r>
        <w:rPr>
          <w:rFonts w:hint="eastAsia" w:ascii="宋体" w:hAnsi="宋体"/>
        </w:rPr>
        <w:t>项目谈判文件，一旦我方中选，我方保证按长建发【2004】54号（关于印发《防止发生拖欠工程款行为联动实施办法》）文件精神执行，及时足额支付民工工资。</w:t>
      </w:r>
    </w:p>
    <w:p>
      <w:pPr>
        <w:spacing w:line="360" w:lineRule="auto"/>
        <w:rPr>
          <w:rFonts w:ascii="宋体" w:hAnsi="宋体"/>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u w:val="single"/>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邮编：</w:t>
      </w:r>
      <w:r>
        <w:rPr>
          <w:rFonts w:hint="eastAsia" w:ascii="宋体" w:hAnsi="宋体"/>
          <w:szCs w:val="21"/>
          <w:u w:val="single"/>
        </w:rPr>
        <w:t xml:space="preserve">                          </w:t>
      </w: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outlineLvl w:val="9"/>
        <w:rPr>
          <w:rFonts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pStyle w:val="27"/>
        <w:adjustRightInd w:val="0"/>
        <w:snapToGrid w:val="0"/>
        <w:spacing w:line="360" w:lineRule="auto"/>
        <w:outlineLvl w:val="9"/>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9"/>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exact"/>
        <w:outlineLvl w:val="9"/>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28"/>
          <w:szCs w:val="28"/>
        </w:rPr>
      </w:pPr>
      <w:r>
        <w:rPr>
          <w:rFonts w:ascii="宋体" w:hAnsi="宋体"/>
          <w:sz w:val="24"/>
        </w:rPr>
        <w:br w:type="page"/>
      </w:r>
      <w:bookmarkStart w:id="239" w:name="_Toc25553"/>
      <w:bookmarkStart w:id="240" w:name="_Toc2843"/>
      <w:bookmarkStart w:id="241" w:name="_Toc15835"/>
      <w:bookmarkStart w:id="242" w:name="_Toc5387"/>
      <w:r>
        <w:rPr>
          <w:rFonts w:hint="eastAsia" w:ascii="宋体" w:hAnsi="宋体" w:eastAsia="宋体" w:cs="宋体"/>
          <w:b/>
          <w:sz w:val="32"/>
          <w:szCs w:val="32"/>
        </w:rPr>
        <w:t>六、报价一览表</w:t>
      </w:r>
      <w:bookmarkEnd w:id="239"/>
      <w:bookmarkEnd w:id="240"/>
      <w:bookmarkEnd w:id="241"/>
      <w:bookmarkEnd w:id="242"/>
    </w:p>
    <w:p>
      <w:pPr>
        <w:adjustRightInd w:val="0"/>
        <w:snapToGrid w:val="0"/>
        <w:jc w:val="right"/>
        <w:rPr>
          <w:rFonts w:ascii="黑体" w:hAnsi="宋体" w:eastAsia="黑体"/>
          <w:sz w:val="24"/>
        </w:rPr>
      </w:pPr>
    </w:p>
    <w:tbl>
      <w:tblPr>
        <w:tblStyle w:val="46"/>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96"/>
        <w:gridCol w:w="2855"/>
        <w:gridCol w:w="2170"/>
        <w:gridCol w:w="13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项目名称</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项目编号</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工期承诺</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保修承诺</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质量等级</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拟任项目负责人</w:t>
            </w:r>
          </w:p>
        </w:tc>
        <w:tc>
          <w:tcPr>
            <w:tcW w:w="1675"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c>
          <w:tcPr>
            <w:tcW w:w="1273"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注册专业及等级</w:t>
            </w:r>
          </w:p>
        </w:tc>
        <w:tc>
          <w:tcPr>
            <w:tcW w:w="819"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1230" w:type="pct"/>
            <w:noWrap w:val="0"/>
            <w:vAlign w:val="center"/>
          </w:tcPr>
          <w:p>
            <w:pPr>
              <w:tabs>
                <w:tab w:val="left" w:pos="403"/>
                <w:tab w:val="center" w:pos="3781"/>
              </w:tabs>
              <w:spacing w:line="420" w:lineRule="exact"/>
              <w:ind w:right="-5206" w:rightChars="-2479" w:firstLine="316" w:firstLineChars="150"/>
              <w:rPr>
                <w:rFonts w:hint="eastAsia" w:ascii="宋体" w:hAnsi="宋体" w:cs="宋体"/>
                <w:b/>
                <w:szCs w:val="21"/>
              </w:rPr>
            </w:pPr>
            <w:r>
              <w:rPr>
                <w:rFonts w:hint="eastAsia" w:ascii="宋体" w:hAnsi="宋体" w:cs="宋体"/>
                <w:b/>
                <w:szCs w:val="21"/>
              </w:rPr>
              <w:t>总报价</w:t>
            </w:r>
          </w:p>
        </w:tc>
        <w:tc>
          <w:tcPr>
            <w:tcW w:w="1675" w:type="pct"/>
            <w:noWrap w:val="0"/>
            <w:vAlign w:val="center"/>
          </w:tcPr>
          <w:p>
            <w:pPr>
              <w:rPr>
                <w:rFonts w:hint="eastAsia" w:ascii="宋体" w:hAnsi="宋体" w:cs="宋体"/>
                <w:szCs w:val="21"/>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元</w:t>
            </w:r>
          </w:p>
        </w:tc>
        <w:tc>
          <w:tcPr>
            <w:tcW w:w="2093" w:type="pct"/>
            <w:gridSpan w:val="2"/>
            <w:noWrap w:val="0"/>
            <w:vAlign w:val="center"/>
          </w:tcPr>
          <w:p>
            <w:pPr>
              <w:tabs>
                <w:tab w:val="left" w:pos="403"/>
                <w:tab w:val="center" w:pos="3781"/>
              </w:tabs>
              <w:spacing w:line="420" w:lineRule="exact"/>
              <w:ind w:right="-5206" w:rightChars="-2479" w:firstLine="525" w:firstLineChars="250"/>
              <w:rPr>
                <w:rFonts w:hint="eastAsia"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备  注</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bl>
    <w:p>
      <w:pPr>
        <w:adjustRightInd w:val="0"/>
        <w:snapToGrid w:val="0"/>
        <w:spacing w:line="360" w:lineRule="auto"/>
        <w:rPr>
          <w:rFonts w:hint="eastAsia" w:ascii="宋体" w:hAnsi="宋体"/>
          <w:b/>
          <w:szCs w:val="21"/>
        </w:rPr>
      </w:pPr>
      <w:r>
        <w:rPr>
          <w:rFonts w:hint="eastAsia" w:ascii="宋体" w:hAnsi="宋体"/>
          <w:b/>
          <w:szCs w:val="21"/>
        </w:rPr>
        <w:t>注：1.所有报价保留小数点后两位，小数点后第三位“四舍五入”。</w:t>
      </w:r>
    </w:p>
    <w:p>
      <w:pPr>
        <w:adjustRightInd w:val="0"/>
        <w:snapToGrid w:val="0"/>
        <w:spacing w:line="360" w:lineRule="auto"/>
        <w:ind w:firstLine="422" w:firstLineChars="200"/>
        <w:rPr>
          <w:rFonts w:hint="eastAsia" w:ascii="宋体" w:hAnsi="宋体"/>
          <w:b/>
          <w:szCs w:val="21"/>
        </w:rPr>
      </w:pPr>
      <w:r>
        <w:rPr>
          <w:rFonts w:hint="eastAsia" w:ascii="宋体" w:hAnsi="宋体"/>
          <w:b/>
          <w:szCs w:val="21"/>
          <w:lang w:val="en-US" w:eastAsia="zh-CN"/>
        </w:rPr>
        <w:t>2.</w:t>
      </w:r>
      <w:r>
        <w:rPr>
          <w:rFonts w:hint="eastAsia" w:ascii="宋体" w:hAnsi="宋体"/>
          <w:b/>
          <w:szCs w:val="21"/>
        </w:rPr>
        <w:t>本表内“谈判总报价”是包含了所有隐含的管理费、税金和利润等其他费用的报价。</w:t>
      </w:r>
    </w:p>
    <w:p>
      <w:pPr>
        <w:pStyle w:val="2"/>
        <w:numPr>
          <w:ilvl w:val="0"/>
          <w:numId w:val="0"/>
        </w:numPr>
        <w:ind w:firstLine="422" w:firstLineChars="200"/>
      </w:pPr>
      <w:r>
        <w:rPr>
          <w:rFonts w:hint="eastAsia" w:ascii="宋体" w:hAnsi="宋体" w:eastAsia="宋体" w:cs="Times New Roman"/>
          <w:b/>
          <w:kern w:val="2"/>
          <w:sz w:val="21"/>
          <w:szCs w:val="21"/>
          <w:lang w:val="en-US" w:eastAsia="zh-CN" w:bidi="ar-SA"/>
        </w:rPr>
        <w:t>3.本项目设置谈判控制价，谈判单位所报总价不能超过谈判控制价，不超过谈判控制价的报价为有效报价。</w:t>
      </w: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p>
    <w:p>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宋体" w:hAnsi="宋体"/>
          <w:bCs/>
          <w:sz w:val="21"/>
          <w:szCs w:val="21"/>
        </w:rPr>
      </w:pPr>
      <w:bookmarkStart w:id="243" w:name="_Toc5231"/>
      <w:r>
        <w:rPr>
          <w:rFonts w:hint="eastAsia" w:ascii="宋体" w:hAnsi="宋体"/>
          <w:sz w:val="21"/>
          <w:szCs w:val="21"/>
        </w:rPr>
        <w:t>谈判单位名称：</w:t>
      </w:r>
      <w:r>
        <w:rPr>
          <w:rFonts w:hint="eastAsia" w:ascii="宋体" w:hAnsi="宋体"/>
          <w:sz w:val="21"/>
          <w:szCs w:val="21"/>
          <w:u w:val="single"/>
        </w:rPr>
        <w:t xml:space="preserve">    （盖单位章）</w:t>
      </w:r>
      <w:bookmarkEnd w:id="243"/>
      <w:r>
        <w:rPr>
          <w:rFonts w:hint="eastAsia" w:ascii="宋体" w:hAnsi="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宋体" w:hAnsi="宋体"/>
          <w:szCs w:val="21"/>
        </w:rPr>
      </w:pPr>
      <w:bookmarkStart w:id="244" w:name="_Toc28605"/>
      <w:r>
        <w:rPr>
          <w:rFonts w:hint="eastAsia" w:ascii="宋体" w:hAnsi="宋体"/>
          <w:szCs w:val="21"/>
        </w:rPr>
        <w:t>法定代表人或其委托代理人(签字或盖章)：</w:t>
      </w:r>
      <w:bookmarkEnd w:id="244"/>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spacing w:line="360" w:lineRule="auto"/>
        <w:textAlignment w:val="auto"/>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jc w:val="center"/>
        <w:rPr>
          <w:rFonts w:ascii="黑体" w:eastAsia="黑体"/>
          <w:b/>
          <w:bCs/>
          <w:sz w:val="32"/>
          <w:szCs w:val="32"/>
        </w:rPr>
      </w:pPr>
    </w:p>
    <w:p>
      <w:pPr>
        <w:adjustRightInd w:val="0"/>
        <w:snapToGrid w:val="0"/>
        <w:jc w:val="center"/>
        <w:rPr>
          <w:rFonts w:ascii="黑体" w:eastAsia="黑体"/>
          <w:b/>
          <w:bCs/>
          <w:sz w:val="32"/>
          <w:szCs w:val="32"/>
        </w:rPr>
      </w:pPr>
    </w:p>
    <w:p>
      <w:pPr>
        <w:adjustRightInd w:val="0"/>
        <w:snapToGrid w:val="0"/>
        <w:jc w:val="center"/>
        <w:rPr>
          <w:rFonts w:ascii="黑体" w:eastAsia="黑体"/>
          <w:b/>
          <w:bCs/>
          <w:color w:val="FF0000"/>
          <w:sz w:val="32"/>
          <w:szCs w:val="32"/>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eastAsia="宋体" w:cs="宋体"/>
          <w:b/>
          <w:sz w:val="32"/>
          <w:szCs w:val="32"/>
        </w:rPr>
      </w:pPr>
      <w:bookmarkStart w:id="245" w:name="_Toc28059"/>
      <w:bookmarkStart w:id="246" w:name="_Toc26804"/>
      <w:bookmarkStart w:id="247" w:name="_Toc5453"/>
      <w:r>
        <w:rPr>
          <w:rFonts w:hint="eastAsia" w:ascii="宋体" w:hAnsi="宋体" w:eastAsia="宋体" w:cs="宋体"/>
          <w:b/>
          <w:sz w:val="32"/>
          <w:szCs w:val="32"/>
        </w:rPr>
        <w:t>七、</w:t>
      </w:r>
      <w:bookmarkEnd w:id="245"/>
      <w:bookmarkEnd w:id="246"/>
      <w:r>
        <w:rPr>
          <w:rFonts w:hint="eastAsia" w:ascii="宋体" w:hAnsi="宋体" w:cs="宋体"/>
          <w:b/>
          <w:sz w:val="32"/>
          <w:szCs w:val="32"/>
        </w:rPr>
        <w:t>报价汇总表</w:t>
      </w:r>
      <w:bookmarkEnd w:id="247"/>
    </w:p>
    <w:p>
      <w:pPr>
        <w:spacing w:line="360" w:lineRule="exact"/>
        <w:rPr>
          <w:rFonts w:ascii="楷体_GB2312" w:eastAsia="楷体_GB2312"/>
          <w:b/>
        </w:rPr>
      </w:pPr>
    </w:p>
    <w:p>
      <w:pPr>
        <w:spacing w:line="360" w:lineRule="exact"/>
        <w:jc w:val="left"/>
        <w:rPr>
          <w:rFonts w:hint="eastAsia" w:ascii="宋体" w:hAnsi="宋体" w:eastAsia="宋体"/>
          <w:lang w:eastAsia="zh-CN"/>
        </w:rPr>
      </w:pPr>
      <w:r>
        <w:rPr>
          <w:rFonts w:hint="eastAsia" w:ascii="宋体" w:hAnsi="宋体"/>
          <w:b w:val="0"/>
          <w:bCs/>
        </w:rPr>
        <w:t>项目</w:t>
      </w:r>
      <w:r>
        <w:rPr>
          <w:rFonts w:hint="eastAsia" w:ascii="宋体" w:hAnsi="宋体"/>
        </w:rPr>
        <w:t xml:space="preserve">名称：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金额单位：元</w:t>
      </w:r>
    </w:p>
    <w:tbl>
      <w:tblPr>
        <w:tblStyle w:val="46"/>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 w:type="dxa"/>
          <w:bottom w:w="0" w:type="dxa"/>
          <w:right w:w="10" w:type="dxa"/>
        </w:tblCellMar>
      </w:tblPr>
      <w:tblGrid>
        <w:gridCol w:w="650"/>
        <w:gridCol w:w="3173"/>
        <w:gridCol w:w="45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10" w:hRule="atLeast"/>
          <w:jc w:val="center"/>
        </w:trPr>
        <w:tc>
          <w:tcPr>
            <w:tcW w:w="390" w:type="pct"/>
            <w:noWrap w:val="0"/>
            <w:vAlign w:val="center"/>
          </w:tcPr>
          <w:p>
            <w:pPr>
              <w:tabs>
                <w:tab w:val="left" w:pos="403"/>
                <w:tab w:val="center" w:pos="3781"/>
              </w:tabs>
              <w:spacing w:line="420" w:lineRule="exact"/>
              <w:ind w:right="-5206" w:rightChars="-2479" w:firstLine="105" w:firstLineChars="50"/>
              <w:rPr>
                <w:rFonts w:hint="eastAsia" w:ascii="宋体" w:hAnsi="宋体" w:cs="宋体"/>
                <w:b/>
                <w:szCs w:val="21"/>
              </w:rPr>
            </w:pPr>
            <w:r>
              <w:rPr>
                <w:rFonts w:hint="eastAsia" w:ascii="宋体" w:hAnsi="宋体" w:cs="宋体"/>
                <w:b/>
                <w:szCs w:val="21"/>
              </w:rPr>
              <w:t>序 号</w:t>
            </w:r>
          </w:p>
        </w:tc>
        <w:tc>
          <w:tcPr>
            <w:tcW w:w="1902" w:type="pct"/>
            <w:noWrap w:val="0"/>
            <w:vAlign w:val="center"/>
          </w:tcPr>
          <w:p>
            <w:pPr>
              <w:tabs>
                <w:tab w:val="left" w:pos="403"/>
                <w:tab w:val="center" w:pos="3781"/>
              </w:tabs>
              <w:spacing w:line="420" w:lineRule="exact"/>
              <w:ind w:right="-5206" w:rightChars="-2479" w:firstLine="1054" w:firstLineChars="500"/>
              <w:rPr>
                <w:rFonts w:hint="eastAsia" w:ascii="宋体" w:hAnsi="宋体" w:cs="宋体"/>
                <w:b/>
                <w:bCs/>
                <w:szCs w:val="21"/>
              </w:rPr>
            </w:pPr>
            <w:r>
              <w:rPr>
                <w:rFonts w:hint="eastAsia" w:ascii="宋体" w:hAnsi="宋体" w:cs="宋体"/>
                <w:b/>
                <w:bCs/>
                <w:szCs w:val="21"/>
              </w:rPr>
              <w:t>费用名称</w:t>
            </w:r>
          </w:p>
        </w:tc>
        <w:tc>
          <w:tcPr>
            <w:tcW w:w="2707" w:type="pct"/>
            <w:noWrap w:val="0"/>
            <w:vAlign w:val="center"/>
          </w:tcPr>
          <w:p>
            <w:pPr>
              <w:keepNext w:val="0"/>
              <w:keepLines w:val="0"/>
              <w:pageBreakBefore w:val="0"/>
              <w:widowControl w:val="0"/>
              <w:tabs>
                <w:tab w:val="left" w:pos="403"/>
                <w:tab w:val="center" w:pos="3781"/>
              </w:tabs>
              <w:kinsoku/>
              <w:wordWrap/>
              <w:overflowPunct/>
              <w:topLinePunct w:val="0"/>
              <w:autoSpaceDE/>
              <w:autoSpaceDN/>
              <w:bidi w:val="0"/>
              <w:adjustRightInd/>
              <w:snapToGrid/>
              <w:spacing w:line="420" w:lineRule="exact"/>
              <w:ind w:right="0" w:rightChars="0" w:firstLine="316" w:firstLineChars="150"/>
              <w:jc w:val="center"/>
              <w:textAlignment w:val="auto"/>
              <w:rPr>
                <w:rFonts w:hint="eastAsia" w:ascii="宋体" w:hAnsi="宋体" w:cs="宋体"/>
                <w:b/>
                <w:bCs/>
                <w:szCs w:val="21"/>
              </w:rPr>
            </w:pPr>
            <w:r>
              <w:rPr>
                <w:rFonts w:hint="eastAsia" w:ascii="宋体" w:hAnsi="宋体" w:cs="宋体"/>
                <w:b/>
                <w:bCs/>
                <w:szCs w:val="21"/>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1</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直接费</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2</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各项费用和利润</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7" w:hRule="atLeast"/>
          <w:jc w:val="center"/>
        </w:trPr>
        <w:tc>
          <w:tcPr>
            <w:tcW w:w="390" w:type="pct"/>
            <w:noWrap w:val="0"/>
            <w:vAlign w:val="center"/>
          </w:tcPr>
          <w:p>
            <w:pPr>
              <w:tabs>
                <w:tab w:val="left" w:pos="403"/>
                <w:tab w:val="center" w:pos="3781"/>
              </w:tabs>
              <w:spacing w:line="420" w:lineRule="exact"/>
              <w:ind w:right="-5206" w:rightChars="-2479" w:firstLine="210" w:firstLineChars="100"/>
              <w:rPr>
                <w:rFonts w:hint="eastAsia" w:ascii="宋体" w:hAnsi="宋体" w:cs="宋体"/>
                <w:szCs w:val="21"/>
              </w:rPr>
            </w:pPr>
            <w:r>
              <w:rPr>
                <w:rFonts w:hint="eastAsia" w:ascii="宋体" w:hAnsi="宋体" w:cs="宋体"/>
                <w:szCs w:val="21"/>
              </w:rPr>
              <w:t>2.1</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其中：安全防护文明施工措施费</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3</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建安造价</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4</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销项税额</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5</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附加税额</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6</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其他项目费</w:t>
            </w:r>
          </w:p>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（含暂列金额和暂估价</w:t>
            </w:r>
            <w:r>
              <w:rPr>
                <w:rFonts w:hint="eastAsia" w:ascii="宋体" w:hAnsi="宋体" w:cs="宋体"/>
                <w:szCs w:val="21"/>
                <w:lang w:eastAsia="zh-CN"/>
              </w:rPr>
              <w:t>）</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2292" w:type="pct"/>
            <w:gridSpan w:val="2"/>
            <w:vMerge w:val="restart"/>
            <w:noWrap w:val="0"/>
            <w:vAlign w:val="center"/>
          </w:tcPr>
          <w:p>
            <w:pPr>
              <w:tabs>
                <w:tab w:val="left" w:pos="403"/>
                <w:tab w:val="center" w:pos="3781"/>
              </w:tabs>
              <w:spacing w:line="420" w:lineRule="exact"/>
              <w:ind w:right="-5206" w:rightChars="-2479" w:firstLine="735" w:firstLineChars="350"/>
              <w:rPr>
                <w:rFonts w:hint="eastAsia" w:ascii="宋体" w:hAnsi="宋体" w:cs="宋体"/>
                <w:szCs w:val="21"/>
              </w:rPr>
            </w:pPr>
            <w:r>
              <w:rPr>
                <w:rFonts w:hint="eastAsia" w:ascii="宋体" w:hAnsi="宋体" w:cs="宋体"/>
                <w:szCs w:val="21"/>
              </w:rPr>
              <w:t>总  报  价</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2292" w:type="pct"/>
            <w:gridSpan w:val="2"/>
            <w:vMerge w:val="continue"/>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bl>
    <w:p>
      <w:pPr>
        <w:adjustRightInd w:val="0"/>
        <w:snapToGrid w:val="0"/>
        <w:spacing w:line="360" w:lineRule="auto"/>
        <w:ind w:left="-88" w:leftChars="-42"/>
        <w:rPr>
          <w:rFonts w:hint="eastAsia" w:ascii="宋体" w:hAnsi="宋体"/>
          <w:b/>
          <w:szCs w:val="21"/>
        </w:rPr>
      </w:pPr>
      <w:r>
        <w:rPr>
          <w:rFonts w:hint="eastAsia" w:ascii="宋体" w:hAnsi="宋体"/>
          <w:b/>
          <w:szCs w:val="21"/>
        </w:rPr>
        <w:t>注：本表后附注册造价工程师注册证书影印件。如谈判单位委托工程造价咨询机构编制报价文件的，还应附委托合同。</w:t>
      </w:r>
    </w:p>
    <w:p>
      <w:pPr>
        <w:adjustRightInd w:val="0"/>
        <w:snapToGrid w:val="0"/>
        <w:spacing w:line="360" w:lineRule="auto"/>
        <w:ind w:left="-88" w:leftChars="-42"/>
        <w:rPr>
          <w:rFonts w:ascii="宋体" w:hAnsi="宋体"/>
          <w:b/>
          <w:szCs w:val="21"/>
        </w:rPr>
      </w:pPr>
    </w:p>
    <w:p>
      <w:pPr>
        <w:pStyle w:val="27"/>
        <w:adjustRightInd w:val="0"/>
        <w:snapToGrid w:val="0"/>
        <w:spacing w:line="360" w:lineRule="auto"/>
        <w:outlineLvl w:val="9"/>
        <w:rPr>
          <w:rFonts w:ascii="宋体" w:hAnsi="宋体"/>
          <w:sz w:val="21"/>
          <w:szCs w:val="21"/>
        </w:rPr>
      </w:pPr>
    </w:p>
    <w:p>
      <w:pPr>
        <w:pStyle w:val="27"/>
        <w:adjustRightInd w:val="0"/>
        <w:snapToGrid w:val="0"/>
        <w:spacing w:line="360" w:lineRule="auto"/>
        <w:outlineLvl w:val="9"/>
        <w:rPr>
          <w:rFonts w:ascii="宋体" w:hAnsi="宋体"/>
          <w:sz w:val="21"/>
          <w:szCs w:val="21"/>
        </w:rPr>
      </w:pPr>
    </w:p>
    <w:p>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szCs w:val="21"/>
          <w:u w:val="single"/>
        </w:rPr>
      </w:pPr>
      <w:r>
        <w:rPr>
          <w:rFonts w:hint="eastAsia" w:ascii="宋体" w:hAnsi="宋体"/>
          <w:szCs w:val="21"/>
        </w:rPr>
        <w:t>法定代表人或其委托代理人(签字或盖章)：</w:t>
      </w:r>
      <w:r>
        <w:rPr>
          <w:rFonts w:hint="eastAsia" w:ascii="宋体" w:hAnsi="宋体"/>
          <w:szCs w:val="21"/>
          <w:u w:val="single"/>
        </w:rPr>
        <w:t xml:space="preserve">               </w:t>
      </w:r>
    </w:p>
    <w:p>
      <w:pPr>
        <w:adjustRightInd w:val="0"/>
        <w:snapToGrid w:val="0"/>
        <w:spacing w:line="360" w:lineRule="auto"/>
        <w:rPr>
          <w:rFonts w:hint="eastAsia" w:ascii="宋体" w:hAnsi="宋体" w:cs="宋体"/>
          <w:szCs w:val="21"/>
        </w:rPr>
      </w:pPr>
      <w:r>
        <w:rPr>
          <w:rFonts w:hint="eastAsia" w:ascii="宋体" w:hAnsi="宋体" w:cs="宋体"/>
          <w:szCs w:val="21"/>
        </w:rPr>
        <w:t>注册造价工程师：(签字并加盖注册造价师执业专用章。如谈判单位委托他人编制报价文件的，由被委托人的注册造价工程师签字并加盖注册造价师执业专用章。)</w:t>
      </w:r>
    </w:p>
    <w:p>
      <w:pPr>
        <w:keepNext w:val="0"/>
        <w:keepLines w:val="0"/>
        <w:pageBreakBefore w:val="0"/>
        <w:widowControl w:val="0"/>
        <w:kinsoku/>
        <w:wordWrap/>
        <w:overflowPunct/>
        <w:topLinePunct w:val="0"/>
        <w:autoSpaceDE/>
        <w:autoSpaceDN/>
        <w:bidi w:val="0"/>
        <w:spacing w:line="360" w:lineRule="auto"/>
        <w:textAlignment w:val="auto"/>
        <w:outlineLvl w:val="9"/>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left="-88" w:leftChars="-42" w:firstLine="211" w:firstLineChars="100"/>
        <w:rPr>
          <w:rFonts w:ascii="宋体" w:hAnsi="宋体"/>
          <w:b/>
          <w:szCs w:val="21"/>
        </w:rPr>
      </w:pPr>
    </w:p>
    <w:p>
      <w:pPr>
        <w:adjustRightInd w:val="0"/>
        <w:snapToGrid w:val="0"/>
        <w:jc w:val="center"/>
        <w:rPr>
          <w:rFonts w:ascii="黑体" w:hAnsi="宋体" w:eastAsia="黑体"/>
          <w:b/>
          <w:sz w:val="32"/>
          <w:szCs w:val="32"/>
        </w:rPr>
        <w:sectPr>
          <w:pgSz w:w="11906" w:h="16838"/>
          <w:pgMar w:top="1440" w:right="1797" w:bottom="1440" w:left="1797"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eastAsia="宋体" w:cs="宋体"/>
          <w:b/>
          <w:sz w:val="32"/>
          <w:szCs w:val="32"/>
        </w:rPr>
      </w:pPr>
      <w:bookmarkStart w:id="248" w:name="_Toc27585"/>
      <w:bookmarkStart w:id="249" w:name="_Toc9077"/>
      <w:bookmarkStart w:id="250" w:name="_Toc22739"/>
      <w:bookmarkStart w:id="251" w:name="_Toc18361"/>
      <w:r>
        <w:rPr>
          <w:rFonts w:hint="eastAsia" w:ascii="宋体" w:hAnsi="宋体" w:cs="宋体"/>
          <w:b/>
          <w:sz w:val="32"/>
          <w:szCs w:val="32"/>
          <w:lang w:eastAsia="zh-CN"/>
        </w:rPr>
        <w:t>八</w:t>
      </w:r>
      <w:r>
        <w:rPr>
          <w:rFonts w:hint="eastAsia" w:ascii="宋体" w:hAnsi="宋体" w:eastAsia="宋体" w:cs="宋体"/>
          <w:b/>
          <w:sz w:val="32"/>
          <w:szCs w:val="32"/>
        </w:rPr>
        <w:t>、</w:t>
      </w:r>
      <w:bookmarkEnd w:id="248"/>
      <w:bookmarkEnd w:id="249"/>
      <w:bookmarkEnd w:id="250"/>
      <w:r>
        <w:rPr>
          <w:rFonts w:hint="eastAsia" w:ascii="宋体" w:hAnsi="宋体"/>
          <w:b/>
          <w:sz w:val="32"/>
          <w:szCs w:val="32"/>
        </w:rPr>
        <w:t>投标报价表</w:t>
      </w:r>
      <w:bookmarkEnd w:id="251"/>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采用PKPM计价软件、2016年湖南营改增湘建价【2016】160号文规定的投标报价格式。具体投标报价表格：</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1、A.3 投标总价封面</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2、B.3 投标总价扉页</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3、D.1 建设项目（单项工程）工程造价汇总表</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4、D.3 单位工程费用计算表</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5、E.1投标报价表（清单+措施+其他）</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6、E.1投标报价表（清单+措施+其他,带子目）</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7、E.7总价措施项目清单计费表</w:t>
      </w:r>
      <w:r>
        <w:rPr>
          <w:rFonts w:hint="eastAsia" w:ascii="宋体" w:hAnsi="宋体"/>
          <w:szCs w:val="21"/>
        </w:rPr>
        <w:tab/>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8、人材机（工程设备）用量汇总与单价表</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9、不可竞争费(2016,160文)</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10、规费、税金项目计价表(2016,160文)</w:t>
      </w:r>
    </w:p>
    <w:p>
      <w:pPr>
        <w:rPr>
          <w:rFonts w:hint="eastAsia" w:ascii="宋体" w:hAnsi="宋体"/>
          <w:szCs w:val="21"/>
        </w:rPr>
      </w:pPr>
      <w:r>
        <w:rPr>
          <w:rFonts w:hint="eastAsia" w:ascii="宋体" w:hAnsi="宋体"/>
          <w:szCs w:val="21"/>
        </w:rPr>
        <w:br w:type="page"/>
      </w:r>
    </w:p>
    <w:p>
      <w:pPr>
        <w:adjustRightInd w:val="0"/>
        <w:snapToGrid w:val="0"/>
        <w:spacing w:line="360" w:lineRule="auto"/>
        <w:ind w:right="24"/>
        <w:jc w:val="center"/>
        <w:outlineLvl w:val="1"/>
        <w:rPr>
          <w:rFonts w:hint="eastAsia" w:ascii="宋体" w:hAnsi="宋体" w:eastAsia="宋体" w:cs="宋体"/>
          <w:b/>
          <w:sz w:val="32"/>
          <w:szCs w:val="32"/>
        </w:rPr>
      </w:pPr>
      <w:bookmarkStart w:id="252" w:name="_Toc13786"/>
      <w:r>
        <w:rPr>
          <w:rFonts w:hint="eastAsia" w:ascii="宋体" w:hAnsi="宋体" w:cs="宋体"/>
          <w:b/>
          <w:sz w:val="32"/>
          <w:szCs w:val="32"/>
          <w:lang w:eastAsia="zh-CN"/>
        </w:rPr>
        <w:t>九</w:t>
      </w:r>
      <w:r>
        <w:rPr>
          <w:rFonts w:hint="eastAsia" w:ascii="宋体" w:hAnsi="宋体" w:eastAsia="宋体" w:cs="宋体"/>
          <w:b/>
          <w:sz w:val="32"/>
          <w:szCs w:val="32"/>
        </w:rPr>
        <w:t>、其他资料（如有）</w:t>
      </w:r>
      <w:bookmarkEnd w:id="252"/>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ascii="宋体" w:hAnsi="宋体"/>
          <w:szCs w:val="21"/>
        </w:rPr>
      </w:pPr>
      <w:r>
        <w:rPr>
          <w:rFonts w:hint="eastAsia" w:ascii="宋体" w:hAnsi="宋体"/>
          <w:szCs w:val="21"/>
        </w:rPr>
        <w:t>谈判单位认为需要提供的其他报价资料，格式自拟。</w:t>
      </w:r>
    </w:p>
    <w:p>
      <w:pPr>
        <w:pStyle w:val="2"/>
      </w:pPr>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altName w:val="宋体"/>
    <w:panose1 w:val="00000000000000000000"/>
    <w:charset w:val="86"/>
    <w:family w:val="swiss"/>
    <w:pitch w:val="default"/>
    <w:sig w:usb0="00000000" w:usb1="00000000"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Microsoft Sans Serif">
    <w:panose1 w:val="020B0604020202020204"/>
    <w:charset w:val="00"/>
    <w:family w:val="auto"/>
    <w:pitch w:val="default"/>
    <w:sig w:usb0="E1002AFF" w:usb1="C0000002" w:usb2="00000008"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61" o:spid="_x0000_s2061" o:spt="202" type="#_x0000_t202" style="position:absolute;left:0pt;margin-top:0pt;height:144pt;width:144pt;mso-position-horizontal:center;mso-position-horizontal-relative:margin;mso-wrap-style:none;z-index:251883520;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51" o:spid="_x0000_s2051" o:spt="202" type="#_x0000_t202" style="position:absolute;left:0pt;margin-top:0pt;height:144pt;width:144pt;mso-position-horizontal:center;mso-position-horizontal-relative:margin;mso-wrap-style:none;z-index:251689984;mso-width-relative:page;mso-height-relative:page;" filled="f" stroked="f" coordsize="21600,21600">
          <v:path/>
          <v:fill on="f" focussize="0,0"/>
          <v:stroke on="f"/>
          <v:imagedata o:title=""/>
          <o:lock v:ext="edit" aspectratio="f"/>
          <v:textbox inset="0mm,0mm,0mm,0mm" style="mso-fit-shape-to-text:t;">
            <w:txbxContent>
              <w:sdt>
                <w:sdtPr>
                  <w:id w:val="1659268109"/>
                </w:sdtPr>
                <w:sdtContent>
                  <w:p>
                    <w:pPr>
                      <w:pStyle w:val="30"/>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2"/>
                </w:pPr>
              </w:p>
            </w:txbxContent>
          </v:textbox>
        </v:shape>
      </w:pict>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52" o:spid="_x0000_s2052" o:spt="202" type="#_x0000_t202" style="position:absolute;left:0pt;margin-top:0pt;height:144pt;width:144pt;mso-position-horizontal:center;mso-position-horizontal-relative:margin;mso-wrap-style:none;z-index:251691008;mso-width-relative:page;mso-height-relative:page;" filled="f" stroked="f" coordsize="21600,21600">
          <v:path/>
          <v:fill on="f" focussize="0,0"/>
          <v:stroke on="f"/>
          <v:imagedata o:title=""/>
          <o:lock v:ext="edit" aspectratio="f"/>
          <v:textbox inset="0mm,0mm,0mm,0mm" style="mso-fit-shape-to-text:t;">
            <w:txbxContent>
              <w:sdt>
                <w:sdtPr>
                  <w:id w:val="11816411"/>
                </w:sdtPr>
                <w:sdtContent>
                  <w:p>
                    <w:pPr>
                      <w:pStyle w:val="30"/>
                      <w:jc w:val="center"/>
                    </w:pPr>
                    <w:r>
                      <w:fldChar w:fldCharType="begin"/>
                    </w:r>
                    <w:r>
                      <w:instrText xml:space="preserve">PAGE   \* MERGEFORMAT</w:instrText>
                    </w:r>
                    <w:r>
                      <w:fldChar w:fldCharType="separate"/>
                    </w:r>
                    <w:r>
                      <w:rPr>
                        <w:lang w:val="zh-CN"/>
                      </w:rPr>
                      <w:t>14</w:t>
                    </w:r>
                    <w:r>
                      <w:rPr>
                        <w:lang w:val="zh-CN"/>
                      </w:rPr>
                      <w:fldChar w:fldCharType="end"/>
                    </w:r>
                  </w:p>
                </w:sdtContent>
              </w:sdt>
              <w:p>
                <w:pPr>
                  <w:pStyle w:val="2"/>
                </w:pPr>
              </w:p>
            </w:txbxContent>
          </v:textbox>
        </v:shape>
      </w:pic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53" o:spid="_x0000_s2053" o:spt="202" type="#_x0000_t202" style="position:absolute;left:0pt;margin-top:0pt;height:144pt;width:144pt;mso-position-horizontal:center;mso-position-horizontal-relative:margin;mso-wrap-style:none;z-index:251692032;mso-width-relative:page;mso-height-relative:page;" filled="f" stroked="f" coordsize="21600,21600">
          <v:path/>
          <v:fill on="f" focussize="0,0"/>
          <v:stroke on="f"/>
          <v:imagedata o:title=""/>
          <o:lock v:ext="edit" aspectratio="f"/>
          <v:textbox inset="0mm,0mm,0mm,0mm" style="mso-fit-shape-to-text:t;">
            <w:txbxContent>
              <w:sdt>
                <w:sdtPr>
                  <w:id w:val="1654331982"/>
                </w:sdtPr>
                <w:sdtContent>
                  <w:p>
                    <w:pPr>
                      <w:pStyle w:val="30"/>
                      <w:jc w:val="center"/>
                    </w:pPr>
                    <w:r>
                      <w:fldChar w:fldCharType="begin"/>
                    </w:r>
                    <w:r>
                      <w:instrText xml:space="preserve">PAGE   \* MERGEFORMAT</w:instrText>
                    </w:r>
                    <w:r>
                      <w:fldChar w:fldCharType="separate"/>
                    </w:r>
                    <w:r>
                      <w:rPr>
                        <w:lang w:val="zh-CN"/>
                      </w:rPr>
                      <w:t>19</w:t>
                    </w:r>
                    <w:r>
                      <w:rPr>
                        <w:lang w:val="zh-CN"/>
                      </w:rPr>
                      <w:fldChar w:fldCharType="end"/>
                    </w:r>
                  </w:p>
                </w:sdtContent>
              </w:sdt>
              <w:p>
                <w:pPr>
                  <w:pStyle w:val="2"/>
                </w:pPr>
              </w:p>
            </w:txbxContent>
          </v:textbox>
        </v:shape>
      </w:pict>
    </w: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49" o:spid="_x0000_s2049"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3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62" o:spid="_x0000_s2062" o:spt="202" type="#_x0000_t202" style="position:absolute;left:0pt;margin-top:0pt;height:144pt;width:144pt;mso-position-horizontal:center;mso-position-horizontal-relative:margin;mso-wrap-style:none;z-index:251884544;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63" o:spid="_x0000_s2063" o:spt="202" type="#_x0000_t202" style="position:absolute;left:0pt;margin-top:0pt;height:144pt;width:144pt;mso-position-horizontal:center;mso-position-horizontal-relative:margin;mso-wrap-style:none;z-index:251885568;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59" o:spid="_x0000_s2059" o:spt="202" type="#_x0000_t202" style="position:absolute;left:0pt;margin-top:0pt;height:144pt;width:144pt;mso-position-horizontal:center;mso-position-horizontal-relative:margin;mso-wrap-style:none;z-index:251882496;mso-width-relative:page;mso-height-relative:page;" filled="f" stroked="f" coordsize="21600,21600">
          <v:path/>
          <v:fill on="f" focussize="0,0"/>
          <v:stroke on="f" weight="1.25pt"/>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64" o:spid="_x0000_s2064" o:spt="202" type="#_x0000_t202" style="position:absolute;left:0pt;margin-top:0pt;height:144pt;width:144pt;mso-position-horizontal:center;mso-position-horizontal-relative:margin;mso-wrap-style:none;z-index:251886592;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52</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0A27B8"/>
    <w:multiLevelType w:val="singleLevel"/>
    <w:tmpl w:val="940A27B8"/>
    <w:lvl w:ilvl="0" w:tentative="0">
      <w:start w:val="1"/>
      <w:numFmt w:val="decimal"/>
      <w:lvlText w:val="%1)"/>
      <w:lvlJc w:val="left"/>
      <w:pPr>
        <w:ind w:left="425" w:hanging="425"/>
      </w:pPr>
      <w:rPr>
        <w:rFonts w:hint="default"/>
      </w:rPr>
    </w:lvl>
  </w:abstractNum>
  <w:abstractNum w:abstractNumId="1">
    <w:nsid w:val="A5C60FC3"/>
    <w:multiLevelType w:val="singleLevel"/>
    <w:tmpl w:val="A5C60FC3"/>
    <w:lvl w:ilvl="0" w:tentative="0">
      <w:start w:val="1"/>
      <w:numFmt w:val="decimal"/>
      <w:lvlText w:val="%1)"/>
      <w:lvlJc w:val="left"/>
      <w:pPr>
        <w:ind w:left="425" w:hanging="425"/>
      </w:pPr>
      <w:rPr>
        <w:rFonts w:hint="default"/>
      </w:rPr>
    </w:lvl>
  </w:abstractNum>
  <w:abstractNum w:abstractNumId="2">
    <w:nsid w:val="C6E98189"/>
    <w:multiLevelType w:val="singleLevel"/>
    <w:tmpl w:val="C6E98189"/>
    <w:lvl w:ilvl="0" w:tentative="0">
      <w:start w:val="1"/>
      <w:numFmt w:val="decimal"/>
      <w:lvlText w:val="%1)"/>
      <w:lvlJc w:val="left"/>
      <w:pPr>
        <w:ind w:left="425" w:hanging="425"/>
      </w:pPr>
      <w:rPr>
        <w:rFonts w:hint="default"/>
      </w:rPr>
    </w:lvl>
  </w:abstractNum>
  <w:abstractNum w:abstractNumId="3">
    <w:nsid w:val="FCFA8AE4"/>
    <w:multiLevelType w:val="singleLevel"/>
    <w:tmpl w:val="FCFA8AE4"/>
    <w:lvl w:ilvl="0" w:tentative="0">
      <w:start w:val="1"/>
      <w:numFmt w:val="decimal"/>
      <w:lvlText w:val="%1)"/>
      <w:lvlJc w:val="left"/>
      <w:pPr>
        <w:ind w:left="425" w:hanging="425"/>
      </w:pPr>
      <w:rPr>
        <w:rFonts w:hint="default"/>
      </w:rPr>
    </w:lvl>
  </w:abstractNum>
  <w:abstractNum w:abstractNumId="4">
    <w:nsid w:val="FE293A88"/>
    <w:multiLevelType w:val="singleLevel"/>
    <w:tmpl w:val="FE293A88"/>
    <w:lvl w:ilvl="0" w:tentative="0">
      <w:start w:val="3"/>
      <w:numFmt w:val="chineseCounting"/>
      <w:pStyle w:val="358"/>
      <w:suff w:val="nothing"/>
      <w:lvlText w:val="%1、"/>
      <w:lvlJc w:val="left"/>
      <w:rPr>
        <w:rFonts w:hint="eastAsia"/>
      </w:rPr>
    </w:lvl>
  </w:abstractNum>
  <w:abstractNum w:abstractNumId="5">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6">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15B21495"/>
    <w:multiLevelType w:val="multilevel"/>
    <w:tmpl w:val="15B2149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1334C9A"/>
    <w:multiLevelType w:val="multilevel"/>
    <w:tmpl w:val="21334C9A"/>
    <w:lvl w:ilvl="0" w:tentative="0">
      <w:start w:val="1"/>
      <w:numFmt w:val="decimal"/>
      <w:lvlText w:val="5.%1"/>
      <w:lvlJc w:val="left"/>
      <w:pPr>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54756B2"/>
    <w:multiLevelType w:val="multilevel"/>
    <w:tmpl w:val="254756B2"/>
    <w:lvl w:ilvl="0" w:tentative="0">
      <w:start w:val="1"/>
      <w:numFmt w:val="decimal"/>
      <w:lvlText w:val="1.%1"/>
      <w:lvlJc w:val="left"/>
      <w:pPr>
        <w:ind w:left="420" w:hanging="420"/>
      </w:pPr>
      <w:rPr>
        <w:rFonts w:hint="default"/>
      </w:rPr>
    </w:lvl>
    <w:lvl w:ilvl="1" w:tentative="0">
      <w:start w:val="1"/>
      <w:numFmt w:val="decimal"/>
      <w:lvlText w:val="1.%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D7E6A07"/>
    <w:multiLevelType w:val="multilevel"/>
    <w:tmpl w:val="2D7E6A07"/>
    <w:lvl w:ilvl="0" w:tentative="0">
      <w:start w:val="1"/>
      <w:numFmt w:val="decimal"/>
      <w:lvlText w:val="3.%1"/>
      <w:lvlJc w:val="left"/>
      <w:pPr>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81833B3"/>
    <w:multiLevelType w:val="singleLevel"/>
    <w:tmpl w:val="381833B3"/>
    <w:lvl w:ilvl="0" w:tentative="0">
      <w:start w:val="1"/>
      <w:numFmt w:val="bullet"/>
      <w:lvlText w:val=""/>
      <w:lvlJc w:val="left"/>
      <w:pPr>
        <w:ind w:left="420" w:hanging="420"/>
      </w:pPr>
      <w:rPr>
        <w:rFonts w:hint="default" w:ascii="Wingdings" w:hAnsi="Wingdings"/>
      </w:rPr>
    </w:lvl>
  </w:abstractNum>
  <w:abstractNum w:abstractNumId="13">
    <w:nsid w:val="45BE584A"/>
    <w:multiLevelType w:val="multilevel"/>
    <w:tmpl w:val="45BE584A"/>
    <w:lvl w:ilvl="0" w:tentative="0">
      <w:start w:val="1"/>
      <w:numFmt w:val="decimal"/>
      <w:lvlText w:val="2.%1"/>
      <w:lvlJc w:val="left"/>
      <w:pPr>
        <w:ind w:left="840" w:hanging="420"/>
      </w:pPr>
      <w:rPr>
        <w:rFonts w:hint="default"/>
      </w:rPr>
    </w:lvl>
    <w:lvl w:ilvl="1" w:tentative="0">
      <w:start w:val="1"/>
      <w:numFmt w:val="decimal"/>
      <w:lvlText w:val="2.%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9050B89"/>
    <w:multiLevelType w:val="multilevel"/>
    <w:tmpl w:val="49050B89"/>
    <w:lvl w:ilvl="0" w:tentative="0">
      <w:start w:val="1"/>
      <w:numFmt w:val="decimal"/>
      <w:lvlText w:val="%1."/>
      <w:lvlJc w:val="left"/>
      <w:pPr>
        <w:ind w:left="420" w:hanging="420"/>
      </w:p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abstractNum w:abstractNumId="15">
    <w:nsid w:val="5D01298D"/>
    <w:multiLevelType w:val="multilevel"/>
    <w:tmpl w:val="5D01298D"/>
    <w:lvl w:ilvl="0" w:tentative="0">
      <w:start w:val="1"/>
      <w:numFmt w:val="decimal"/>
      <w:lvlText w:val="5.3.%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snapToGrid/>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abstractNum w:abstractNumId="17">
    <w:nsid w:val="66301D7C"/>
    <w:multiLevelType w:val="multilevel"/>
    <w:tmpl w:val="66301D7C"/>
    <w:lvl w:ilvl="0" w:tentative="0">
      <w:start w:val="1"/>
      <w:numFmt w:val="decimal"/>
      <w:lvlText w:val="2.3.%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699363C"/>
    <w:multiLevelType w:val="multilevel"/>
    <w:tmpl w:val="6699363C"/>
    <w:lvl w:ilvl="0" w:tentative="0">
      <w:start w:val="1"/>
      <w:numFmt w:val="decimal"/>
      <w:lvlText w:val="6.%1"/>
      <w:lvlJc w:val="left"/>
      <w:pPr>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727DD77"/>
    <w:multiLevelType w:val="singleLevel"/>
    <w:tmpl w:val="6727DD77"/>
    <w:lvl w:ilvl="0" w:tentative="0">
      <w:start w:val="2"/>
      <w:numFmt w:val="chineseCounting"/>
      <w:suff w:val="space"/>
      <w:lvlText w:val="第%1部分"/>
      <w:lvlJc w:val="left"/>
      <w:rPr>
        <w:rFonts w:hint="eastAsia"/>
      </w:rPr>
    </w:lvl>
  </w:abstractNum>
  <w:abstractNum w:abstractNumId="20">
    <w:nsid w:val="739732B9"/>
    <w:multiLevelType w:val="singleLevel"/>
    <w:tmpl w:val="739732B9"/>
    <w:lvl w:ilvl="0" w:tentative="0">
      <w:start w:val="1"/>
      <w:numFmt w:val="decimal"/>
      <w:lvlText w:val="%1)"/>
      <w:lvlJc w:val="left"/>
      <w:pPr>
        <w:ind w:left="425" w:hanging="425"/>
      </w:pPr>
      <w:rPr>
        <w:rFonts w:hint="default"/>
      </w:rPr>
    </w:lvl>
  </w:abstractNum>
  <w:num w:numId="1">
    <w:abstractNumId w:val="5"/>
  </w:num>
  <w:num w:numId="2">
    <w:abstractNumId w:val="6"/>
  </w:num>
  <w:num w:numId="3">
    <w:abstractNumId w:val="4"/>
  </w:num>
  <w:num w:numId="4">
    <w:abstractNumId w:val="8"/>
  </w:num>
  <w:num w:numId="5">
    <w:abstractNumId w:val="16"/>
  </w:num>
  <w:num w:numId="6">
    <w:abstractNumId w:val="14"/>
  </w:num>
  <w:num w:numId="7">
    <w:abstractNumId w:val="10"/>
  </w:num>
  <w:num w:numId="8">
    <w:abstractNumId w:val="0"/>
  </w:num>
  <w:num w:numId="9">
    <w:abstractNumId w:val="13"/>
  </w:num>
  <w:num w:numId="10">
    <w:abstractNumId w:val="17"/>
  </w:num>
  <w:num w:numId="11">
    <w:abstractNumId w:val="11"/>
  </w:num>
  <w:num w:numId="12">
    <w:abstractNumId w:val="3"/>
  </w:num>
  <w:num w:numId="13">
    <w:abstractNumId w:val="1"/>
  </w:num>
  <w:num w:numId="14">
    <w:abstractNumId w:val="20"/>
  </w:num>
  <w:num w:numId="15">
    <w:abstractNumId w:val="2"/>
  </w:num>
  <w:num w:numId="16">
    <w:abstractNumId w:val="12"/>
  </w:num>
  <w:num w:numId="17">
    <w:abstractNumId w:val="9"/>
  </w:num>
  <w:num w:numId="18">
    <w:abstractNumId w:val="15"/>
  </w:num>
  <w:num w:numId="19">
    <w:abstractNumId w:val="7"/>
  </w:num>
  <w:num w:numId="20">
    <w:abstractNumId w:val="18"/>
  </w:num>
  <w:num w:numId="21">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0784A"/>
    <w:rsid w:val="00005EC9"/>
    <w:rsid w:val="00006D21"/>
    <w:rsid w:val="00016902"/>
    <w:rsid w:val="000274C6"/>
    <w:rsid w:val="00052640"/>
    <w:rsid w:val="00063D15"/>
    <w:rsid w:val="00074928"/>
    <w:rsid w:val="00091C9D"/>
    <w:rsid w:val="000C106E"/>
    <w:rsid w:val="000E7968"/>
    <w:rsid w:val="00115FE6"/>
    <w:rsid w:val="00116BAE"/>
    <w:rsid w:val="001453A1"/>
    <w:rsid w:val="00162D59"/>
    <w:rsid w:val="00186162"/>
    <w:rsid w:val="001C23BF"/>
    <w:rsid w:val="001D6D72"/>
    <w:rsid w:val="002069C8"/>
    <w:rsid w:val="002139EB"/>
    <w:rsid w:val="0022188F"/>
    <w:rsid w:val="00222DFA"/>
    <w:rsid w:val="00230A1A"/>
    <w:rsid w:val="002314A3"/>
    <w:rsid w:val="002504FF"/>
    <w:rsid w:val="002523FD"/>
    <w:rsid w:val="0025312F"/>
    <w:rsid w:val="00255546"/>
    <w:rsid w:val="00286014"/>
    <w:rsid w:val="002B1D56"/>
    <w:rsid w:val="002F262C"/>
    <w:rsid w:val="003102A2"/>
    <w:rsid w:val="00331810"/>
    <w:rsid w:val="00380064"/>
    <w:rsid w:val="00381105"/>
    <w:rsid w:val="00381BB4"/>
    <w:rsid w:val="003958B2"/>
    <w:rsid w:val="0039632C"/>
    <w:rsid w:val="003B1109"/>
    <w:rsid w:val="003D080C"/>
    <w:rsid w:val="003D6204"/>
    <w:rsid w:val="003F46A7"/>
    <w:rsid w:val="004014FD"/>
    <w:rsid w:val="00423B85"/>
    <w:rsid w:val="004263EB"/>
    <w:rsid w:val="00453EE9"/>
    <w:rsid w:val="00473865"/>
    <w:rsid w:val="0048093D"/>
    <w:rsid w:val="004929D5"/>
    <w:rsid w:val="00495DBC"/>
    <w:rsid w:val="00495F57"/>
    <w:rsid w:val="004978CA"/>
    <w:rsid w:val="004B3D80"/>
    <w:rsid w:val="004B41B1"/>
    <w:rsid w:val="00504DED"/>
    <w:rsid w:val="00526589"/>
    <w:rsid w:val="00545140"/>
    <w:rsid w:val="0055214F"/>
    <w:rsid w:val="005556A5"/>
    <w:rsid w:val="0056117D"/>
    <w:rsid w:val="0056143E"/>
    <w:rsid w:val="0058754B"/>
    <w:rsid w:val="005C688B"/>
    <w:rsid w:val="005E6BBB"/>
    <w:rsid w:val="00641E72"/>
    <w:rsid w:val="0068504A"/>
    <w:rsid w:val="0068515F"/>
    <w:rsid w:val="00687C87"/>
    <w:rsid w:val="006B6300"/>
    <w:rsid w:val="006D0A13"/>
    <w:rsid w:val="006E025D"/>
    <w:rsid w:val="006F5FAC"/>
    <w:rsid w:val="0070784A"/>
    <w:rsid w:val="00730CC6"/>
    <w:rsid w:val="00740D0D"/>
    <w:rsid w:val="00793ABB"/>
    <w:rsid w:val="0079784E"/>
    <w:rsid w:val="007D0446"/>
    <w:rsid w:val="007F3811"/>
    <w:rsid w:val="00802770"/>
    <w:rsid w:val="0081382B"/>
    <w:rsid w:val="00842E06"/>
    <w:rsid w:val="008511F3"/>
    <w:rsid w:val="008B6242"/>
    <w:rsid w:val="008C7C9F"/>
    <w:rsid w:val="00915948"/>
    <w:rsid w:val="00923E97"/>
    <w:rsid w:val="009A5642"/>
    <w:rsid w:val="009B5270"/>
    <w:rsid w:val="009C10AF"/>
    <w:rsid w:val="009D41D7"/>
    <w:rsid w:val="009D7D4A"/>
    <w:rsid w:val="009E03FD"/>
    <w:rsid w:val="009E2384"/>
    <w:rsid w:val="00A34DC1"/>
    <w:rsid w:val="00A41E73"/>
    <w:rsid w:val="00A618F2"/>
    <w:rsid w:val="00A61CCE"/>
    <w:rsid w:val="00A92B7C"/>
    <w:rsid w:val="00AA1709"/>
    <w:rsid w:val="00AB013C"/>
    <w:rsid w:val="00AD758B"/>
    <w:rsid w:val="00AF11ED"/>
    <w:rsid w:val="00B01BA0"/>
    <w:rsid w:val="00B74689"/>
    <w:rsid w:val="00B82298"/>
    <w:rsid w:val="00B832A9"/>
    <w:rsid w:val="00B92FA2"/>
    <w:rsid w:val="00BE15B5"/>
    <w:rsid w:val="00C0069B"/>
    <w:rsid w:val="00C20479"/>
    <w:rsid w:val="00C21D69"/>
    <w:rsid w:val="00C532E5"/>
    <w:rsid w:val="00C57914"/>
    <w:rsid w:val="00C6008B"/>
    <w:rsid w:val="00C758E3"/>
    <w:rsid w:val="00CB534B"/>
    <w:rsid w:val="00CE51F2"/>
    <w:rsid w:val="00CE631C"/>
    <w:rsid w:val="00CE703D"/>
    <w:rsid w:val="00CF0192"/>
    <w:rsid w:val="00CF040C"/>
    <w:rsid w:val="00D164FE"/>
    <w:rsid w:val="00D31733"/>
    <w:rsid w:val="00D43330"/>
    <w:rsid w:val="00D45708"/>
    <w:rsid w:val="00D6362F"/>
    <w:rsid w:val="00D84A7F"/>
    <w:rsid w:val="00DA51BD"/>
    <w:rsid w:val="00DF363F"/>
    <w:rsid w:val="00E32EEF"/>
    <w:rsid w:val="00E74692"/>
    <w:rsid w:val="00E77817"/>
    <w:rsid w:val="00E944EE"/>
    <w:rsid w:val="00EF6911"/>
    <w:rsid w:val="00F37996"/>
    <w:rsid w:val="00F410E0"/>
    <w:rsid w:val="00F579E9"/>
    <w:rsid w:val="00FA6734"/>
    <w:rsid w:val="00FE3699"/>
    <w:rsid w:val="01403F6F"/>
    <w:rsid w:val="014D6F55"/>
    <w:rsid w:val="01553A81"/>
    <w:rsid w:val="01932790"/>
    <w:rsid w:val="01CF51F6"/>
    <w:rsid w:val="01E055E1"/>
    <w:rsid w:val="01EA6EEC"/>
    <w:rsid w:val="01F95304"/>
    <w:rsid w:val="021B19D1"/>
    <w:rsid w:val="02263AD9"/>
    <w:rsid w:val="024C0DC0"/>
    <w:rsid w:val="02615857"/>
    <w:rsid w:val="02787973"/>
    <w:rsid w:val="02787D91"/>
    <w:rsid w:val="02823A35"/>
    <w:rsid w:val="029A1968"/>
    <w:rsid w:val="02AB7973"/>
    <w:rsid w:val="02BF5617"/>
    <w:rsid w:val="02FB4FEB"/>
    <w:rsid w:val="030A4D81"/>
    <w:rsid w:val="03727DAF"/>
    <w:rsid w:val="03D41287"/>
    <w:rsid w:val="03F31A5E"/>
    <w:rsid w:val="03FC0CEA"/>
    <w:rsid w:val="04240981"/>
    <w:rsid w:val="042B3AFB"/>
    <w:rsid w:val="0445397B"/>
    <w:rsid w:val="0471407F"/>
    <w:rsid w:val="04E70891"/>
    <w:rsid w:val="04EE0D07"/>
    <w:rsid w:val="054E6891"/>
    <w:rsid w:val="05990F81"/>
    <w:rsid w:val="05EB6762"/>
    <w:rsid w:val="05F777CC"/>
    <w:rsid w:val="061842D1"/>
    <w:rsid w:val="067428EB"/>
    <w:rsid w:val="06C11238"/>
    <w:rsid w:val="06D605B3"/>
    <w:rsid w:val="070C68F7"/>
    <w:rsid w:val="072B22BC"/>
    <w:rsid w:val="074C43F1"/>
    <w:rsid w:val="07650D5D"/>
    <w:rsid w:val="07A76048"/>
    <w:rsid w:val="07B16F85"/>
    <w:rsid w:val="082211DD"/>
    <w:rsid w:val="08232382"/>
    <w:rsid w:val="082F5114"/>
    <w:rsid w:val="083D23B2"/>
    <w:rsid w:val="086136BB"/>
    <w:rsid w:val="08786792"/>
    <w:rsid w:val="08807627"/>
    <w:rsid w:val="089F6734"/>
    <w:rsid w:val="093252EE"/>
    <w:rsid w:val="09422E59"/>
    <w:rsid w:val="094A4EE7"/>
    <w:rsid w:val="095417B5"/>
    <w:rsid w:val="0959407C"/>
    <w:rsid w:val="097D1C20"/>
    <w:rsid w:val="098A3350"/>
    <w:rsid w:val="09A23D38"/>
    <w:rsid w:val="09AB154E"/>
    <w:rsid w:val="0A0B173F"/>
    <w:rsid w:val="0A2948BE"/>
    <w:rsid w:val="0A451CA7"/>
    <w:rsid w:val="0AE24958"/>
    <w:rsid w:val="0B0459F0"/>
    <w:rsid w:val="0B4432D5"/>
    <w:rsid w:val="0B590F4A"/>
    <w:rsid w:val="0B8511E8"/>
    <w:rsid w:val="0BAA700E"/>
    <w:rsid w:val="0BEB10E2"/>
    <w:rsid w:val="0C156CFF"/>
    <w:rsid w:val="0C1A66D1"/>
    <w:rsid w:val="0C361670"/>
    <w:rsid w:val="0C411CD0"/>
    <w:rsid w:val="0C5B1FA9"/>
    <w:rsid w:val="0C8E4136"/>
    <w:rsid w:val="0CA062F8"/>
    <w:rsid w:val="0CED2457"/>
    <w:rsid w:val="0D2C1377"/>
    <w:rsid w:val="0D5C5AB2"/>
    <w:rsid w:val="0D614F04"/>
    <w:rsid w:val="0D6A4C3D"/>
    <w:rsid w:val="0DCC335E"/>
    <w:rsid w:val="0DF87606"/>
    <w:rsid w:val="0E04554D"/>
    <w:rsid w:val="0E0C0187"/>
    <w:rsid w:val="0E413AE2"/>
    <w:rsid w:val="0E94477A"/>
    <w:rsid w:val="0EBC2000"/>
    <w:rsid w:val="0F0A4981"/>
    <w:rsid w:val="0F143C2E"/>
    <w:rsid w:val="0F340DCE"/>
    <w:rsid w:val="0F3918CC"/>
    <w:rsid w:val="0F397095"/>
    <w:rsid w:val="0FD663C6"/>
    <w:rsid w:val="10190CBD"/>
    <w:rsid w:val="102D14D1"/>
    <w:rsid w:val="104E0318"/>
    <w:rsid w:val="10A750E5"/>
    <w:rsid w:val="11342822"/>
    <w:rsid w:val="115D2B41"/>
    <w:rsid w:val="118640B3"/>
    <w:rsid w:val="12321665"/>
    <w:rsid w:val="126C7EC0"/>
    <w:rsid w:val="1277417D"/>
    <w:rsid w:val="12A242AB"/>
    <w:rsid w:val="12BE7F96"/>
    <w:rsid w:val="12DA4361"/>
    <w:rsid w:val="12E70400"/>
    <w:rsid w:val="12F745E0"/>
    <w:rsid w:val="12F96D8F"/>
    <w:rsid w:val="1342515B"/>
    <w:rsid w:val="1356443E"/>
    <w:rsid w:val="1360694E"/>
    <w:rsid w:val="136253A7"/>
    <w:rsid w:val="136544CD"/>
    <w:rsid w:val="13A934D3"/>
    <w:rsid w:val="13C0328F"/>
    <w:rsid w:val="13C5215F"/>
    <w:rsid w:val="13C719E1"/>
    <w:rsid w:val="13DC2553"/>
    <w:rsid w:val="142D4C56"/>
    <w:rsid w:val="1444419D"/>
    <w:rsid w:val="145C45D5"/>
    <w:rsid w:val="149B2B25"/>
    <w:rsid w:val="14A8367D"/>
    <w:rsid w:val="14B6139F"/>
    <w:rsid w:val="15340E77"/>
    <w:rsid w:val="157939BE"/>
    <w:rsid w:val="15832312"/>
    <w:rsid w:val="15C01930"/>
    <w:rsid w:val="161C194F"/>
    <w:rsid w:val="162E1686"/>
    <w:rsid w:val="16387566"/>
    <w:rsid w:val="165E1B64"/>
    <w:rsid w:val="167D6633"/>
    <w:rsid w:val="16C7330C"/>
    <w:rsid w:val="16CE41FA"/>
    <w:rsid w:val="16E77616"/>
    <w:rsid w:val="16F862E2"/>
    <w:rsid w:val="17253717"/>
    <w:rsid w:val="173A56D7"/>
    <w:rsid w:val="176159C8"/>
    <w:rsid w:val="17740B65"/>
    <w:rsid w:val="17974A77"/>
    <w:rsid w:val="17C50F2C"/>
    <w:rsid w:val="18613676"/>
    <w:rsid w:val="1871686D"/>
    <w:rsid w:val="18735165"/>
    <w:rsid w:val="188542AB"/>
    <w:rsid w:val="1888103C"/>
    <w:rsid w:val="18940F06"/>
    <w:rsid w:val="189E1726"/>
    <w:rsid w:val="18AE213F"/>
    <w:rsid w:val="18EF3A7F"/>
    <w:rsid w:val="191C7D65"/>
    <w:rsid w:val="19266EAE"/>
    <w:rsid w:val="193E61A9"/>
    <w:rsid w:val="19B175FE"/>
    <w:rsid w:val="19BA2DA6"/>
    <w:rsid w:val="19E17184"/>
    <w:rsid w:val="19FB2C3C"/>
    <w:rsid w:val="1A1B5EE6"/>
    <w:rsid w:val="1A351A94"/>
    <w:rsid w:val="1A3B188F"/>
    <w:rsid w:val="1A4F4961"/>
    <w:rsid w:val="1A527E86"/>
    <w:rsid w:val="1A6B0EEF"/>
    <w:rsid w:val="1A864FC7"/>
    <w:rsid w:val="1A967D50"/>
    <w:rsid w:val="1A970FB3"/>
    <w:rsid w:val="1AAB45F6"/>
    <w:rsid w:val="1AF205C1"/>
    <w:rsid w:val="1B106349"/>
    <w:rsid w:val="1B133EBD"/>
    <w:rsid w:val="1B791B76"/>
    <w:rsid w:val="1BBD3D34"/>
    <w:rsid w:val="1BBE13E9"/>
    <w:rsid w:val="1BC54211"/>
    <w:rsid w:val="1BCC07FF"/>
    <w:rsid w:val="1BD21A8E"/>
    <w:rsid w:val="1BED31A7"/>
    <w:rsid w:val="1BF6640F"/>
    <w:rsid w:val="1C2D03AA"/>
    <w:rsid w:val="1C2F51F0"/>
    <w:rsid w:val="1C4B2F98"/>
    <w:rsid w:val="1CD83B22"/>
    <w:rsid w:val="1CE400B3"/>
    <w:rsid w:val="1D2119DA"/>
    <w:rsid w:val="1D481945"/>
    <w:rsid w:val="1D961B49"/>
    <w:rsid w:val="1D9F6122"/>
    <w:rsid w:val="1E055B38"/>
    <w:rsid w:val="1E2B1E83"/>
    <w:rsid w:val="1E453774"/>
    <w:rsid w:val="1E5E5C12"/>
    <w:rsid w:val="1E6749FD"/>
    <w:rsid w:val="1E7277E4"/>
    <w:rsid w:val="1EB05FC3"/>
    <w:rsid w:val="1EB57C64"/>
    <w:rsid w:val="1EE456C8"/>
    <w:rsid w:val="1EEF0AE0"/>
    <w:rsid w:val="1EFA23B0"/>
    <w:rsid w:val="1F2809C8"/>
    <w:rsid w:val="1F2F00D5"/>
    <w:rsid w:val="1F375C0D"/>
    <w:rsid w:val="1F3D0CE1"/>
    <w:rsid w:val="1F541C2F"/>
    <w:rsid w:val="1FA7260B"/>
    <w:rsid w:val="1FEE3736"/>
    <w:rsid w:val="1FF45180"/>
    <w:rsid w:val="2034266D"/>
    <w:rsid w:val="20441BF7"/>
    <w:rsid w:val="20567811"/>
    <w:rsid w:val="207B20B8"/>
    <w:rsid w:val="20C87EE6"/>
    <w:rsid w:val="20D4307C"/>
    <w:rsid w:val="20DF6696"/>
    <w:rsid w:val="21156537"/>
    <w:rsid w:val="218469C1"/>
    <w:rsid w:val="21FB5F50"/>
    <w:rsid w:val="21FB6487"/>
    <w:rsid w:val="2246473F"/>
    <w:rsid w:val="22611A5A"/>
    <w:rsid w:val="22620C72"/>
    <w:rsid w:val="22622A21"/>
    <w:rsid w:val="22AE5F02"/>
    <w:rsid w:val="22E54FD6"/>
    <w:rsid w:val="23E2019C"/>
    <w:rsid w:val="24552B00"/>
    <w:rsid w:val="24582CE4"/>
    <w:rsid w:val="246C3202"/>
    <w:rsid w:val="25006968"/>
    <w:rsid w:val="250462EA"/>
    <w:rsid w:val="252D7657"/>
    <w:rsid w:val="25355DF2"/>
    <w:rsid w:val="25390605"/>
    <w:rsid w:val="253A3746"/>
    <w:rsid w:val="256C29A0"/>
    <w:rsid w:val="25752417"/>
    <w:rsid w:val="25933BDB"/>
    <w:rsid w:val="25B66BA8"/>
    <w:rsid w:val="25E70ABF"/>
    <w:rsid w:val="2661226B"/>
    <w:rsid w:val="26636987"/>
    <w:rsid w:val="26CF4594"/>
    <w:rsid w:val="271E4DAB"/>
    <w:rsid w:val="272A5BFE"/>
    <w:rsid w:val="27320D1C"/>
    <w:rsid w:val="274759C4"/>
    <w:rsid w:val="274B7559"/>
    <w:rsid w:val="28166B73"/>
    <w:rsid w:val="282442D9"/>
    <w:rsid w:val="284367B5"/>
    <w:rsid w:val="284C2446"/>
    <w:rsid w:val="285718A5"/>
    <w:rsid w:val="28F865CB"/>
    <w:rsid w:val="29053276"/>
    <w:rsid w:val="29212087"/>
    <w:rsid w:val="29250E1B"/>
    <w:rsid w:val="293E4CC1"/>
    <w:rsid w:val="29443F92"/>
    <w:rsid w:val="295A53EB"/>
    <w:rsid w:val="29803AA3"/>
    <w:rsid w:val="29884B07"/>
    <w:rsid w:val="298957C4"/>
    <w:rsid w:val="29DF4E52"/>
    <w:rsid w:val="2A1D6A45"/>
    <w:rsid w:val="2A6F6EBA"/>
    <w:rsid w:val="2A830C79"/>
    <w:rsid w:val="2AD11736"/>
    <w:rsid w:val="2B1029CF"/>
    <w:rsid w:val="2B3D0710"/>
    <w:rsid w:val="2B424E87"/>
    <w:rsid w:val="2B5F0E77"/>
    <w:rsid w:val="2B7F64C1"/>
    <w:rsid w:val="2BA3212D"/>
    <w:rsid w:val="2BE7007A"/>
    <w:rsid w:val="2BEF05F1"/>
    <w:rsid w:val="2BFE408A"/>
    <w:rsid w:val="2C1D78F3"/>
    <w:rsid w:val="2C234403"/>
    <w:rsid w:val="2C393680"/>
    <w:rsid w:val="2CDF0482"/>
    <w:rsid w:val="2D22640D"/>
    <w:rsid w:val="2D464D5F"/>
    <w:rsid w:val="2D4E5097"/>
    <w:rsid w:val="2D592D22"/>
    <w:rsid w:val="2DEB1F6F"/>
    <w:rsid w:val="2DFB00B5"/>
    <w:rsid w:val="2E414663"/>
    <w:rsid w:val="2E697CA3"/>
    <w:rsid w:val="2E6D23B0"/>
    <w:rsid w:val="2E6D4E98"/>
    <w:rsid w:val="2E7931EC"/>
    <w:rsid w:val="2E944745"/>
    <w:rsid w:val="2E9705D3"/>
    <w:rsid w:val="2E9C3022"/>
    <w:rsid w:val="2EBE0475"/>
    <w:rsid w:val="2EC1790D"/>
    <w:rsid w:val="2EE23871"/>
    <w:rsid w:val="2F1D1D68"/>
    <w:rsid w:val="2F1F4CCA"/>
    <w:rsid w:val="2F2A65B2"/>
    <w:rsid w:val="2F6C2DFA"/>
    <w:rsid w:val="300C3711"/>
    <w:rsid w:val="3022617D"/>
    <w:rsid w:val="30464B56"/>
    <w:rsid w:val="306B39B6"/>
    <w:rsid w:val="307C2C0D"/>
    <w:rsid w:val="30967620"/>
    <w:rsid w:val="309F2085"/>
    <w:rsid w:val="30BD1FE5"/>
    <w:rsid w:val="30E74D92"/>
    <w:rsid w:val="30F36C74"/>
    <w:rsid w:val="30F9318B"/>
    <w:rsid w:val="31272F44"/>
    <w:rsid w:val="31936105"/>
    <w:rsid w:val="31B658D4"/>
    <w:rsid w:val="32316E69"/>
    <w:rsid w:val="325B404D"/>
    <w:rsid w:val="32887E5F"/>
    <w:rsid w:val="32922EE0"/>
    <w:rsid w:val="329E5AD1"/>
    <w:rsid w:val="32CC51E5"/>
    <w:rsid w:val="32E6051A"/>
    <w:rsid w:val="32F33B15"/>
    <w:rsid w:val="3342483F"/>
    <w:rsid w:val="33A718ED"/>
    <w:rsid w:val="33AA3E3F"/>
    <w:rsid w:val="34086FF6"/>
    <w:rsid w:val="34AC6BE3"/>
    <w:rsid w:val="34EB329F"/>
    <w:rsid w:val="34FE1F7D"/>
    <w:rsid w:val="35270865"/>
    <w:rsid w:val="35C42A65"/>
    <w:rsid w:val="3609516B"/>
    <w:rsid w:val="36116C06"/>
    <w:rsid w:val="361B7BDC"/>
    <w:rsid w:val="364221AD"/>
    <w:rsid w:val="36627D01"/>
    <w:rsid w:val="369B1BA6"/>
    <w:rsid w:val="36AC6FD2"/>
    <w:rsid w:val="36AE45FE"/>
    <w:rsid w:val="36D4159F"/>
    <w:rsid w:val="36DB78F6"/>
    <w:rsid w:val="36E67798"/>
    <w:rsid w:val="36FF0DB1"/>
    <w:rsid w:val="37067020"/>
    <w:rsid w:val="372649E2"/>
    <w:rsid w:val="372C59AA"/>
    <w:rsid w:val="373000B7"/>
    <w:rsid w:val="3789705A"/>
    <w:rsid w:val="37963F54"/>
    <w:rsid w:val="379A6B89"/>
    <w:rsid w:val="379B6A7D"/>
    <w:rsid w:val="37BF2E3D"/>
    <w:rsid w:val="37D107AA"/>
    <w:rsid w:val="37F43335"/>
    <w:rsid w:val="38926D93"/>
    <w:rsid w:val="38B04B0E"/>
    <w:rsid w:val="38FD54AF"/>
    <w:rsid w:val="390741E5"/>
    <w:rsid w:val="391F264A"/>
    <w:rsid w:val="39243472"/>
    <w:rsid w:val="392B2144"/>
    <w:rsid w:val="394205BC"/>
    <w:rsid w:val="39494385"/>
    <w:rsid w:val="394E6CCA"/>
    <w:rsid w:val="3997588E"/>
    <w:rsid w:val="39B46D56"/>
    <w:rsid w:val="39C828E7"/>
    <w:rsid w:val="39DD557C"/>
    <w:rsid w:val="39FC4298"/>
    <w:rsid w:val="3A0740EE"/>
    <w:rsid w:val="3A4536A9"/>
    <w:rsid w:val="3A552184"/>
    <w:rsid w:val="3A800711"/>
    <w:rsid w:val="3A810CA0"/>
    <w:rsid w:val="3A96496C"/>
    <w:rsid w:val="3A9F3479"/>
    <w:rsid w:val="3ABC7EEE"/>
    <w:rsid w:val="3AE331DB"/>
    <w:rsid w:val="3AED2009"/>
    <w:rsid w:val="3B1939D0"/>
    <w:rsid w:val="3B474570"/>
    <w:rsid w:val="3B581890"/>
    <w:rsid w:val="3BAB26D3"/>
    <w:rsid w:val="3BD009CC"/>
    <w:rsid w:val="3BF45BDB"/>
    <w:rsid w:val="3C2B1FE6"/>
    <w:rsid w:val="3C2F7C35"/>
    <w:rsid w:val="3C8779B9"/>
    <w:rsid w:val="3C8B2C2B"/>
    <w:rsid w:val="3C940215"/>
    <w:rsid w:val="3C9F058C"/>
    <w:rsid w:val="3CC97C4F"/>
    <w:rsid w:val="3CCA29EB"/>
    <w:rsid w:val="3CCC5DBF"/>
    <w:rsid w:val="3CF75C7B"/>
    <w:rsid w:val="3D497E6A"/>
    <w:rsid w:val="3D634958"/>
    <w:rsid w:val="3D6C6B53"/>
    <w:rsid w:val="3D8C6BB2"/>
    <w:rsid w:val="3D987150"/>
    <w:rsid w:val="3D9E333B"/>
    <w:rsid w:val="3DBC00BF"/>
    <w:rsid w:val="3DCB1A6B"/>
    <w:rsid w:val="3DED30AA"/>
    <w:rsid w:val="3E2D5980"/>
    <w:rsid w:val="3E3102BB"/>
    <w:rsid w:val="3E604692"/>
    <w:rsid w:val="3E614AA5"/>
    <w:rsid w:val="3EB02545"/>
    <w:rsid w:val="3EB21D54"/>
    <w:rsid w:val="3F18661A"/>
    <w:rsid w:val="3F7512EA"/>
    <w:rsid w:val="3F9730B9"/>
    <w:rsid w:val="3FC55901"/>
    <w:rsid w:val="3FC9458D"/>
    <w:rsid w:val="3FD033AD"/>
    <w:rsid w:val="3FE71A20"/>
    <w:rsid w:val="401F021A"/>
    <w:rsid w:val="404148A6"/>
    <w:rsid w:val="40572AB6"/>
    <w:rsid w:val="405D3459"/>
    <w:rsid w:val="4068264C"/>
    <w:rsid w:val="407728FD"/>
    <w:rsid w:val="40CA0DB3"/>
    <w:rsid w:val="410603FC"/>
    <w:rsid w:val="410D06B8"/>
    <w:rsid w:val="418842A8"/>
    <w:rsid w:val="41A274B6"/>
    <w:rsid w:val="41C034AF"/>
    <w:rsid w:val="41C70A28"/>
    <w:rsid w:val="42311D52"/>
    <w:rsid w:val="424A712C"/>
    <w:rsid w:val="4263268C"/>
    <w:rsid w:val="429F7E60"/>
    <w:rsid w:val="42CB2D35"/>
    <w:rsid w:val="42F759C4"/>
    <w:rsid w:val="43023463"/>
    <w:rsid w:val="430420F8"/>
    <w:rsid w:val="434660D0"/>
    <w:rsid w:val="43554BAC"/>
    <w:rsid w:val="435D3A52"/>
    <w:rsid w:val="436D6609"/>
    <w:rsid w:val="4392054D"/>
    <w:rsid w:val="439E1B7D"/>
    <w:rsid w:val="43A027A3"/>
    <w:rsid w:val="43A05E1A"/>
    <w:rsid w:val="43AA1E91"/>
    <w:rsid w:val="43AF27CC"/>
    <w:rsid w:val="43BA343C"/>
    <w:rsid w:val="43F8127E"/>
    <w:rsid w:val="44107E1A"/>
    <w:rsid w:val="4428525F"/>
    <w:rsid w:val="444A0170"/>
    <w:rsid w:val="4458707E"/>
    <w:rsid w:val="44667276"/>
    <w:rsid w:val="44A37922"/>
    <w:rsid w:val="44B63420"/>
    <w:rsid w:val="44B71DE6"/>
    <w:rsid w:val="44BE70AA"/>
    <w:rsid w:val="44DB6B8D"/>
    <w:rsid w:val="45160574"/>
    <w:rsid w:val="45D9171A"/>
    <w:rsid w:val="45F8252B"/>
    <w:rsid w:val="46153B79"/>
    <w:rsid w:val="4655670F"/>
    <w:rsid w:val="465E48A1"/>
    <w:rsid w:val="46CD6A3D"/>
    <w:rsid w:val="46D23AA8"/>
    <w:rsid w:val="46D446A7"/>
    <w:rsid w:val="46DD6BE8"/>
    <w:rsid w:val="47165D61"/>
    <w:rsid w:val="475D1752"/>
    <w:rsid w:val="47767BD4"/>
    <w:rsid w:val="477D0471"/>
    <w:rsid w:val="478F59C9"/>
    <w:rsid w:val="47EA68ED"/>
    <w:rsid w:val="47FB44E3"/>
    <w:rsid w:val="488A747A"/>
    <w:rsid w:val="488C68A7"/>
    <w:rsid w:val="489640A7"/>
    <w:rsid w:val="489E300A"/>
    <w:rsid w:val="48A8092A"/>
    <w:rsid w:val="4955748F"/>
    <w:rsid w:val="49694B92"/>
    <w:rsid w:val="49737357"/>
    <w:rsid w:val="49E51E3A"/>
    <w:rsid w:val="4A0366CF"/>
    <w:rsid w:val="4A256483"/>
    <w:rsid w:val="4A38641F"/>
    <w:rsid w:val="4A800E57"/>
    <w:rsid w:val="4A8D4A10"/>
    <w:rsid w:val="4A9F5D83"/>
    <w:rsid w:val="4AB52052"/>
    <w:rsid w:val="4AF859CC"/>
    <w:rsid w:val="4B657DEC"/>
    <w:rsid w:val="4B8152D3"/>
    <w:rsid w:val="4B835116"/>
    <w:rsid w:val="4B965649"/>
    <w:rsid w:val="4B9A084B"/>
    <w:rsid w:val="4BBA0F4B"/>
    <w:rsid w:val="4BC03621"/>
    <w:rsid w:val="4BC22F72"/>
    <w:rsid w:val="4BEC1DA9"/>
    <w:rsid w:val="4C0A4905"/>
    <w:rsid w:val="4C113092"/>
    <w:rsid w:val="4C454D9D"/>
    <w:rsid w:val="4C6D4FD8"/>
    <w:rsid w:val="4C956109"/>
    <w:rsid w:val="4CBC2827"/>
    <w:rsid w:val="4CDD2221"/>
    <w:rsid w:val="4CEC7C13"/>
    <w:rsid w:val="4D1737DC"/>
    <w:rsid w:val="4D2E5116"/>
    <w:rsid w:val="4D4946C3"/>
    <w:rsid w:val="4D6215E1"/>
    <w:rsid w:val="4D667D39"/>
    <w:rsid w:val="4D6A6CFA"/>
    <w:rsid w:val="4D8C427F"/>
    <w:rsid w:val="4DB579D1"/>
    <w:rsid w:val="4DBD70EB"/>
    <w:rsid w:val="4E44138D"/>
    <w:rsid w:val="4E6E459C"/>
    <w:rsid w:val="4E98618A"/>
    <w:rsid w:val="4E9D352C"/>
    <w:rsid w:val="4EB95E17"/>
    <w:rsid w:val="4ED45410"/>
    <w:rsid w:val="4F6B02B8"/>
    <w:rsid w:val="4F72409C"/>
    <w:rsid w:val="4FA43165"/>
    <w:rsid w:val="4FB6214D"/>
    <w:rsid w:val="4FFA2095"/>
    <w:rsid w:val="50645753"/>
    <w:rsid w:val="50A93BA8"/>
    <w:rsid w:val="50E40335"/>
    <w:rsid w:val="50E5097F"/>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44111E8"/>
    <w:rsid w:val="5444354A"/>
    <w:rsid w:val="547A6B2A"/>
    <w:rsid w:val="549277AF"/>
    <w:rsid w:val="550431D5"/>
    <w:rsid w:val="551D6AF9"/>
    <w:rsid w:val="55A60ADC"/>
    <w:rsid w:val="55B32567"/>
    <w:rsid w:val="55D857C5"/>
    <w:rsid w:val="56253A26"/>
    <w:rsid w:val="5638334C"/>
    <w:rsid w:val="56780FF9"/>
    <w:rsid w:val="56870578"/>
    <w:rsid w:val="569241C0"/>
    <w:rsid w:val="56944288"/>
    <w:rsid w:val="56A33B67"/>
    <w:rsid w:val="56A40E03"/>
    <w:rsid w:val="56E20A0E"/>
    <w:rsid w:val="57053D37"/>
    <w:rsid w:val="5712602C"/>
    <w:rsid w:val="5737516A"/>
    <w:rsid w:val="57431AE0"/>
    <w:rsid w:val="57730A91"/>
    <w:rsid w:val="5780384C"/>
    <w:rsid w:val="57A27BD5"/>
    <w:rsid w:val="57A91214"/>
    <w:rsid w:val="57C762A2"/>
    <w:rsid w:val="57E71A09"/>
    <w:rsid w:val="5812512F"/>
    <w:rsid w:val="587179A2"/>
    <w:rsid w:val="587747DC"/>
    <w:rsid w:val="588C140C"/>
    <w:rsid w:val="58B21650"/>
    <w:rsid w:val="58C00F3E"/>
    <w:rsid w:val="59103E6F"/>
    <w:rsid w:val="59373C72"/>
    <w:rsid w:val="5945207E"/>
    <w:rsid w:val="595B4F2E"/>
    <w:rsid w:val="596D221D"/>
    <w:rsid w:val="59A237B5"/>
    <w:rsid w:val="59A77712"/>
    <w:rsid w:val="59CB276C"/>
    <w:rsid w:val="5A72604D"/>
    <w:rsid w:val="5A7F77CE"/>
    <w:rsid w:val="5AA20C09"/>
    <w:rsid w:val="5ABC5F71"/>
    <w:rsid w:val="5AD20F31"/>
    <w:rsid w:val="5AF81EC0"/>
    <w:rsid w:val="5B0E4DAE"/>
    <w:rsid w:val="5B0E6862"/>
    <w:rsid w:val="5B4D14FF"/>
    <w:rsid w:val="5B58464F"/>
    <w:rsid w:val="5B8509D1"/>
    <w:rsid w:val="5B90297B"/>
    <w:rsid w:val="5C11606C"/>
    <w:rsid w:val="5C11763B"/>
    <w:rsid w:val="5C4E0A2D"/>
    <w:rsid w:val="5C524815"/>
    <w:rsid w:val="5C64452B"/>
    <w:rsid w:val="5C7719CE"/>
    <w:rsid w:val="5C8E79BD"/>
    <w:rsid w:val="5CA6604A"/>
    <w:rsid w:val="5D2719C9"/>
    <w:rsid w:val="5D285026"/>
    <w:rsid w:val="5D5C0E3F"/>
    <w:rsid w:val="5D5E619D"/>
    <w:rsid w:val="5D697358"/>
    <w:rsid w:val="5D747A99"/>
    <w:rsid w:val="5D9249ED"/>
    <w:rsid w:val="5DA1646B"/>
    <w:rsid w:val="5DD7329D"/>
    <w:rsid w:val="5DDC5DDB"/>
    <w:rsid w:val="5DF04FFA"/>
    <w:rsid w:val="5E063C72"/>
    <w:rsid w:val="5E19167C"/>
    <w:rsid w:val="5E3C01D4"/>
    <w:rsid w:val="5E6F443D"/>
    <w:rsid w:val="5E70354F"/>
    <w:rsid w:val="5E8C7523"/>
    <w:rsid w:val="5E94632E"/>
    <w:rsid w:val="5E9C2B92"/>
    <w:rsid w:val="5EB82786"/>
    <w:rsid w:val="5EB94C72"/>
    <w:rsid w:val="5F111534"/>
    <w:rsid w:val="5F2541B1"/>
    <w:rsid w:val="5F804106"/>
    <w:rsid w:val="5F8E0C9A"/>
    <w:rsid w:val="5FBC6FFC"/>
    <w:rsid w:val="5FD2151E"/>
    <w:rsid w:val="5FD91B32"/>
    <w:rsid w:val="5FDE3D1C"/>
    <w:rsid w:val="5FEB36B0"/>
    <w:rsid w:val="60070235"/>
    <w:rsid w:val="60247960"/>
    <w:rsid w:val="60337FBD"/>
    <w:rsid w:val="60557909"/>
    <w:rsid w:val="608B596D"/>
    <w:rsid w:val="60B20DDE"/>
    <w:rsid w:val="60CF6017"/>
    <w:rsid w:val="60EC58A1"/>
    <w:rsid w:val="60F765D6"/>
    <w:rsid w:val="619B0A4D"/>
    <w:rsid w:val="61BC5698"/>
    <w:rsid w:val="61C05E29"/>
    <w:rsid w:val="61E220CA"/>
    <w:rsid w:val="621F3A28"/>
    <w:rsid w:val="622919DE"/>
    <w:rsid w:val="623817CD"/>
    <w:rsid w:val="623C244B"/>
    <w:rsid w:val="625671C6"/>
    <w:rsid w:val="626D5F1F"/>
    <w:rsid w:val="628D5A05"/>
    <w:rsid w:val="629635F2"/>
    <w:rsid w:val="62B26831"/>
    <w:rsid w:val="62DB156F"/>
    <w:rsid w:val="62E35C5C"/>
    <w:rsid w:val="6308602C"/>
    <w:rsid w:val="63655BF1"/>
    <w:rsid w:val="6381414F"/>
    <w:rsid w:val="63901C9C"/>
    <w:rsid w:val="63A6496D"/>
    <w:rsid w:val="63A83FEC"/>
    <w:rsid w:val="63D92053"/>
    <w:rsid w:val="63E37B79"/>
    <w:rsid w:val="63FC1B88"/>
    <w:rsid w:val="64035403"/>
    <w:rsid w:val="644D4301"/>
    <w:rsid w:val="6477289B"/>
    <w:rsid w:val="648578B4"/>
    <w:rsid w:val="649176C0"/>
    <w:rsid w:val="64987293"/>
    <w:rsid w:val="649E57C1"/>
    <w:rsid w:val="64A11F98"/>
    <w:rsid w:val="64B9138C"/>
    <w:rsid w:val="64D442AC"/>
    <w:rsid w:val="64E504A3"/>
    <w:rsid w:val="650401CF"/>
    <w:rsid w:val="65205814"/>
    <w:rsid w:val="653D52DC"/>
    <w:rsid w:val="655373D5"/>
    <w:rsid w:val="659D4F4E"/>
    <w:rsid w:val="65A300A1"/>
    <w:rsid w:val="65DB5C3D"/>
    <w:rsid w:val="65DC330D"/>
    <w:rsid w:val="666631F7"/>
    <w:rsid w:val="66780DEE"/>
    <w:rsid w:val="668E1E21"/>
    <w:rsid w:val="66926F8C"/>
    <w:rsid w:val="66966882"/>
    <w:rsid w:val="66AB117E"/>
    <w:rsid w:val="66D269D6"/>
    <w:rsid w:val="66F269C9"/>
    <w:rsid w:val="67285BDC"/>
    <w:rsid w:val="67C1521F"/>
    <w:rsid w:val="67FB2FC2"/>
    <w:rsid w:val="6838125F"/>
    <w:rsid w:val="684E7153"/>
    <w:rsid w:val="68942469"/>
    <w:rsid w:val="689A4745"/>
    <w:rsid w:val="68A270B1"/>
    <w:rsid w:val="69522C18"/>
    <w:rsid w:val="69560D87"/>
    <w:rsid w:val="69624B7D"/>
    <w:rsid w:val="69A85914"/>
    <w:rsid w:val="69B54893"/>
    <w:rsid w:val="69F0666F"/>
    <w:rsid w:val="69FA018D"/>
    <w:rsid w:val="6A25465E"/>
    <w:rsid w:val="6A572716"/>
    <w:rsid w:val="6A87076D"/>
    <w:rsid w:val="6A9454E3"/>
    <w:rsid w:val="6ACF2D0F"/>
    <w:rsid w:val="6AFC0247"/>
    <w:rsid w:val="6AFC23BD"/>
    <w:rsid w:val="6B287CCA"/>
    <w:rsid w:val="6B37191E"/>
    <w:rsid w:val="6BA33D44"/>
    <w:rsid w:val="6C4068D5"/>
    <w:rsid w:val="6C8568B5"/>
    <w:rsid w:val="6C966E13"/>
    <w:rsid w:val="6CB00C5D"/>
    <w:rsid w:val="6CF84967"/>
    <w:rsid w:val="6D0441AB"/>
    <w:rsid w:val="6D4150D0"/>
    <w:rsid w:val="6D481945"/>
    <w:rsid w:val="6D6650F6"/>
    <w:rsid w:val="6D6D32A5"/>
    <w:rsid w:val="6D7B403E"/>
    <w:rsid w:val="6D9317CF"/>
    <w:rsid w:val="6D96704E"/>
    <w:rsid w:val="6DEC7B87"/>
    <w:rsid w:val="6EF06A3A"/>
    <w:rsid w:val="6F231086"/>
    <w:rsid w:val="6F2C1077"/>
    <w:rsid w:val="6F4412DE"/>
    <w:rsid w:val="6FB01FF6"/>
    <w:rsid w:val="6FE27E45"/>
    <w:rsid w:val="702D3037"/>
    <w:rsid w:val="70553BEC"/>
    <w:rsid w:val="70854008"/>
    <w:rsid w:val="70EE0B58"/>
    <w:rsid w:val="71662747"/>
    <w:rsid w:val="71F327E9"/>
    <w:rsid w:val="72525910"/>
    <w:rsid w:val="7272141E"/>
    <w:rsid w:val="729A51BF"/>
    <w:rsid w:val="72B463D3"/>
    <w:rsid w:val="72C31F67"/>
    <w:rsid w:val="730F2443"/>
    <w:rsid w:val="73436C42"/>
    <w:rsid w:val="738A19B2"/>
    <w:rsid w:val="74460C31"/>
    <w:rsid w:val="745948C9"/>
    <w:rsid w:val="747814E9"/>
    <w:rsid w:val="74782083"/>
    <w:rsid w:val="7499444F"/>
    <w:rsid w:val="74F00783"/>
    <w:rsid w:val="74F21A8E"/>
    <w:rsid w:val="75092D2E"/>
    <w:rsid w:val="751F35C6"/>
    <w:rsid w:val="752673FA"/>
    <w:rsid w:val="75445278"/>
    <w:rsid w:val="755743E2"/>
    <w:rsid w:val="755A18B2"/>
    <w:rsid w:val="756D2420"/>
    <w:rsid w:val="75AD468E"/>
    <w:rsid w:val="75C114FE"/>
    <w:rsid w:val="75D33B60"/>
    <w:rsid w:val="75EB0030"/>
    <w:rsid w:val="767A1884"/>
    <w:rsid w:val="7681376B"/>
    <w:rsid w:val="76A86A13"/>
    <w:rsid w:val="771405C6"/>
    <w:rsid w:val="77186802"/>
    <w:rsid w:val="77244002"/>
    <w:rsid w:val="773D560B"/>
    <w:rsid w:val="7759121E"/>
    <w:rsid w:val="778C19C1"/>
    <w:rsid w:val="77DE7388"/>
    <w:rsid w:val="78123276"/>
    <w:rsid w:val="781B6350"/>
    <w:rsid w:val="783F252C"/>
    <w:rsid w:val="78661D77"/>
    <w:rsid w:val="787542C9"/>
    <w:rsid w:val="787C4A52"/>
    <w:rsid w:val="787C6D8C"/>
    <w:rsid w:val="787D1A38"/>
    <w:rsid w:val="78833D88"/>
    <w:rsid w:val="78C70562"/>
    <w:rsid w:val="78F24020"/>
    <w:rsid w:val="792279DB"/>
    <w:rsid w:val="797C1AA1"/>
    <w:rsid w:val="7A934CC7"/>
    <w:rsid w:val="7AB93CAD"/>
    <w:rsid w:val="7ADD5745"/>
    <w:rsid w:val="7AFB7263"/>
    <w:rsid w:val="7B062FF2"/>
    <w:rsid w:val="7B1E69AF"/>
    <w:rsid w:val="7B4771D3"/>
    <w:rsid w:val="7B4969DA"/>
    <w:rsid w:val="7B4B57FE"/>
    <w:rsid w:val="7B8A7BFE"/>
    <w:rsid w:val="7BBA7BC4"/>
    <w:rsid w:val="7BF444AB"/>
    <w:rsid w:val="7BFE0356"/>
    <w:rsid w:val="7C050FEE"/>
    <w:rsid w:val="7C1F696C"/>
    <w:rsid w:val="7C241FA4"/>
    <w:rsid w:val="7C2F7F24"/>
    <w:rsid w:val="7C4F6127"/>
    <w:rsid w:val="7C557027"/>
    <w:rsid w:val="7C774202"/>
    <w:rsid w:val="7CF32D47"/>
    <w:rsid w:val="7CF47DC4"/>
    <w:rsid w:val="7D162C60"/>
    <w:rsid w:val="7D2D7E4F"/>
    <w:rsid w:val="7D3D1C6F"/>
    <w:rsid w:val="7D703C18"/>
    <w:rsid w:val="7D70416C"/>
    <w:rsid w:val="7D7D2444"/>
    <w:rsid w:val="7DB53173"/>
    <w:rsid w:val="7DBD0485"/>
    <w:rsid w:val="7DC17AA5"/>
    <w:rsid w:val="7DF00948"/>
    <w:rsid w:val="7E3760A4"/>
    <w:rsid w:val="7E3F400C"/>
    <w:rsid w:val="7E3F5C67"/>
    <w:rsid w:val="7E485A8B"/>
    <w:rsid w:val="7E5044AF"/>
    <w:rsid w:val="7E710432"/>
    <w:rsid w:val="7E784FFE"/>
    <w:rsid w:val="7E835EDA"/>
    <w:rsid w:val="7F0D36A8"/>
    <w:rsid w:val="7F0D6F9B"/>
    <w:rsid w:val="7F267E5E"/>
    <w:rsid w:val="7F511034"/>
    <w:rsid w:val="7FB12B06"/>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jc w:val="center"/>
      <w:outlineLvl w:val="0"/>
    </w:pPr>
    <w:rPr>
      <w:b/>
      <w:bCs/>
      <w:kern w:val="0"/>
      <w:sz w:val="24"/>
      <w:szCs w:val="20"/>
    </w:rPr>
  </w:style>
  <w:style w:type="paragraph" w:styleId="4">
    <w:name w:val="heading 2"/>
    <w:basedOn w:val="1"/>
    <w:next w:val="1"/>
    <w:link w:val="64"/>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3"/>
    <w:qFormat/>
    <w:uiPriority w:val="99"/>
    <w:pPr>
      <w:widowControl/>
      <w:ind w:firstLine="420"/>
      <w:jc w:val="left"/>
    </w:pPr>
    <w:rPr>
      <w:kern w:val="0"/>
      <w:sz w:val="20"/>
      <w:szCs w:val="20"/>
    </w:rPr>
  </w:style>
  <w:style w:type="paragraph" w:styleId="14">
    <w:name w:val="Document Map"/>
    <w:basedOn w:val="1"/>
    <w:link w:val="127"/>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09"/>
    <w:unhideWhenUsed/>
    <w:qFormat/>
    <w:uiPriority w:val="99"/>
    <w:pPr>
      <w:jc w:val="left"/>
    </w:pPr>
  </w:style>
  <w:style w:type="paragraph" w:styleId="17">
    <w:name w:val="Salutation"/>
    <w:basedOn w:val="1"/>
    <w:next w:val="1"/>
    <w:link w:val="114"/>
    <w:qFormat/>
    <w:uiPriority w:val="0"/>
    <w:rPr>
      <w:rFonts w:ascii="仿宋_GB2312" w:eastAsia="仿宋_GB2312"/>
      <w:sz w:val="24"/>
    </w:rPr>
  </w:style>
  <w:style w:type="paragraph" w:styleId="18">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7"/>
    <w:qFormat/>
    <w:uiPriority w:val="99"/>
    <w:pPr>
      <w:spacing w:after="120"/>
    </w:pPr>
  </w:style>
  <w:style w:type="paragraph" w:styleId="20">
    <w:name w:val="Body Text Indent"/>
    <w:basedOn w:val="1"/>
    <w:link w:val="97"/>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6"/>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39"/>
    <w:qFormat/>
    <w:uiPriority w:val="0"/>
    <w:rPr>
      <w:rFonts w:ascii="Calibri" w:hAnsi="Calibri" w:cs="黑体"/>
      <w:sz w:val="24"/>
      <w:szCs w:val="22"/>
    </w:rPr>
  </w:style>
  <w:style w:type="paragraph" w:styleId="28">
    <w:name w:val="Body Text Indent 2"/>
    <w:basedOn w:val="1"/>
    <w:link w:val="101"/>
    <w:qFormat/>
    <w:uiPriority w:val="0"/>
    <w:pPr>
      <w:spacing w:after="120" w:line="480" w:lineRule="auto"/>
      <w:ind w:left="420" w:leftChars="200"/>
    </w:pPr>
  </w:style>
  <w:style w:type="paragraph" w:styleId="29">
    <w:name w:val="Balloon Text"/>
    <w:basedOn w:val="1"/>
    <w:link w:val="96"/>
    <w:qFormat/>
    <w:uiPriority w:val="0"/>
    <w:rPr>
      <w:rFonts w:ascii="Calibri" w:hAnsi="Calibri" w:cs="黑体"/>
      <w:sz w:val="18"/>
      <w:szCs w:val="18"/>
    </w:rPr>
  </w:style>
  <w:style w:type="paragraph" w:styleId="30">
    <w:name w:val="footer"/>
    <w:basedOn w:val="1"/>
    <w:link w:val="62"/>
    <w:unhideWhenUsed/>
    <w:qFormat/>
    <w:uiPriority w:val="0"/>
    <w:pPr>
      <w:tabs>
        <w:tab w:val="center" w:pos="4153"/>
        <w:tab w:val="right" w:pos="8306"/>
      </w:tabs>
      <w:snapToGrid w:val="0"/>
      <w:jc w:val="left"/>
    </w:pPr>
    <w:rPr>
      <w:sz w:val="18"/>
      <w:szCs w:val="18"/>
    </w:rPr>
  </w:style>
  <w:style w:type="paragraph" w:styleId="31">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5"/>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4"/>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2"/>
    <w:qFormat/>
    <w:uiPriority w:val="0"/>
    <w:pPr>
      <w:spacing w:after="120" w:line="480" w:lineRule="auto"/>
    </w:pPr>
  </w:style>
  <w:style w:type="paragraph" w:styleId="4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0"/>
    <w:qFormat/>
    <w:uiPriority w:val="0"/>
    <w:pPr>
      <w:spacing w:before="240" w:after="60"/>
      <w:jc w:val="center"/>
      <w:outlineLvl w:val="0"/>
    </w:pPr>
    <w:rPr>
      <w:rFonts w:ascii="Cambria" w:hAnsi="Cambria"/>
      <w:b/>
      <w:sz w:val="32"/>
    </w:rPr>
  </w:style>
  <w:style w:type="paragraph" w:styleId="44">
    <w:name w:val="annotation subject"/>
    <w:basedOn w:val="16"/>
    <w:next w:val="16"/>
    <w:link w:val="86"/>
    <w:qFormat/>
    <w:uiPriority w:val="0"/>
    <w:rPr>
      <w:rFonts w:ascii="Calibri" w:hAnsi="Calibri" w:cs="黑体"/>
      <w:b/>
      <w:bCs/>
    </w:rPr>
  </w:style>
  <w:style w:type="paragraph" w:styleId="45">
    <w:name w:val="Body Text First Indent"/>
    <w:basedOn w:val="19"/>
    <w:link w:val="175"/>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Char"/>
    <w:basedOn w:val="48"/>
    <w:link w:val="31"/>
    <w:qFormat/>
    <w:uiPriority w:val="0"/>
    <w:rPr>
      <w:sz w:val="18"/>
      <w:szCs w:val="18"/>
    </w:rPr>
  </w:style>
  <w:style w:type="character" w:customStyle="1" w:styleId="62">
    <w:name w:val="页脚 Char"/>
    <w:basedOn w:val="48"/>
    <w:link w:val="30"/>
    <w:qFormat/>
    <w:uiPriority w:val="0"/>
    <w:rPr>
      <w:sz w:val="18"/>
      <w:szCs w:val="18"/>
    </w:rPr>
  </w:style>
  <w:style w:type="character" w:customStyle="1" w:styleId="63">
    <w:name w:val="标题 1 Char1"/>
    <w:basedOn w:val="48"/>
    <w:link w:val="3"/>
    <w:qFormat/>
    <w:uiPriority w:val="0"/>
    <w:rPr>
      <w:rFonts w:ascii="Times New Roman" w:hAnsi="Times New Roman" w:eastAsia="宋体" w:cs="Times New Roman"/>
      <w:b/>
      <w:bCs/>
      <w:kern w:val="0"/>
      <w:sz w:val="24"/>
      <w:szCs w:val="20"/>
    </w:rPr>
  </w:style>
  <w:style w:type="character" w:customStyle="1" w:styleId="64">
    <w:name w:val="标题 2 Char1"/>
    <w:basedOn w:val="48"/>
    <w:link w:val="4"/>
    <w:qFormat/>
    <w:uiPriority w:val="0"/>
    <w:rPr>
      <w:rFonts w:ascii="Arial" w:hAnsi="Arial" w:eastAsia="宋体" w:cs="Times New Roman"/>
      <w:b/>
      <w:bCs/>
      <w:kern w:val="0"/>
      <w:sz w:val="24"/>
      <w:szCs w:val="32"/>
    </w:rPr>
  </w:style>
  <w:style w:type="character" w:customStyle="1" w:styleId="65">
    <w:name w:val="标题 3 Char1"/>
    <w:basedOn w:val="48"/>
    <w:link w:val="5"/>
    <w:qFormat/>
    <w:uiPriority w:val="0"/>
    <w:rPr>
      <w:rFonts w:ascii="Times New Roman" w:hAnsi="Times New Roman" w:eastAsia="宋体" w:cs="Times New Roman"/>
      <w:b/>
      <w:bCs/>
      <w:kern w:val="0"/>
      <w:sz w:val="32"/>
      <w:szCs w:val="32"/>
    </w:rPr>
  </w:style>
  <w:style w:type="character" w:customStyle="1" w:styleId="66">
    <w:name w:val="标题 4 Char1"/>
    <w:basedOn w:val="48"/>
    <w:link w:val="6"/>
    <w:qFormat/>
    <w:uiPriority w:val="0"/>
    <w:rPr>
      <w:rFonts w:ascii="Arial" w:hAnsi="Arial" w:eastAsia="黑体" w:cs="Times New Roman"/>
      <w:b/>
      <w:bCs/>
      <w:kern w:val="0"/>
      <w:sz w:val="28"/>
      <w:szCs w:val="28"/>
    </w:rPr>
  </w:style>
  <w:style w:type="character" w:customStyle="1" w:styleId="67">
    <w:name w:val="标题 5 Char1"/>
    <w:basedOn w:val="48"/>
    <w:link w:val="7"/>
    <w:qFormat/>
    <w:uiPriority w:val="0"/>
    <w:rPr>
      <w:rFonts w:ascii="Times New Roman" w:hAnsi="Times New Roman" w:eastAsia="宋体" w:cs="Times New Roman"/>
      <w:b/>
      <w:bCs/>
      <w:kern w:val="0"/>
      <w:sz w:val="28"/>
      <w:szCs w:val="28"/>
    </w:rPr>
  </w:style>
  <w:style w:type="character" w:customStyle="1" w:styleId="68">
    <w:name w:val="标题 6 Char1"/>
    <w:basedOn w:val="48"/>
    <w:link w:val="8"/>
    <w:qFormat/>
    <w:uiPriority w:val="0"/>
    <w:rPr>
      <w:rFonts w:ascii="Arial" w:hAnsi="Arial" w:eastAsia="黑体" w:cs="Times New Roman"/>
      <w:b/>
      <w:bCs/>
      <w:kern w:val="0"/>
      <w:sz w:val="24"/>
      <w:szCs w:val="24"/>
    </w:rPr>
  </w:style>
  <w:style w:type="character" w:customStyle="1" w:styleId="69">
    <w:name w:val="标题 7 Char1"/>
    <w:basedOn w:val="48"/>
    <w:link w:val="9"/>
    <w:qFormat/>
    <w:uiPriority w:val="0"/>
    <w:rPr>
      <w:rFonts w:ascii="Times New Roman" w:hAnsi="Times New Roman" w:eastAsia="宋体" w:cs="Times New Roman"/>
      <w:b/>
      <w:bCs/>
      <w:kern w:val="0"/>
      <w:sz w:val="24"/>
      <w:szCs w:val="24"/>
    </w:rPr>
  </w:style>
  <w:style w:type="character" w:customStyle="1" w:styleId="70">
    <w:name w:val="标题 8 Char1"/>
    <w:basedOn w:val="48"/>
    <w:link w:val="10"/>
    <w:qFormat/>
    <w:uiPriority w:val="0"/>
    <w:rPr>
      <w:rFonts w:ascii="Arial" w:hAnsi="Arial" w:eastAsia="黑体" w:cs="Times New Roman"/>
      <w:kern w:val="0"/>
      <w:sz w:val="24"/>
      <w:szCs w:val="24"/>
    </w:rPr>
  </w:style>
  <w:style w:type="character" w:customStyle="1" w:styleId="71">
    <w:name w:val="标题 9 Char1"/>
    <w:basedOn w:val="48"/>
    <w:link w:val="11"/>
    <w:qFormat/>
    <w:uiPriority w:val="0"/>
    <w:rPr>
      <w:rFonts w:ascii="Arial" w:hAnsi="Arial" w:eastAsia="黑体" w:cs="Times New Roman"/>
      <w:kern w:val="0"/>
      <w:sz w:val="20"/>
      <w:szCs w:val="21"/>
    </w:rPr>
  </w:style>
  <w:style w:type="character" w:customStyle="1" w:styleId="72">
    <w:name w:val="正文文本 2 Char"/>
    <w:basedOn w:val="48"/>
    <w:link w:val="39"/>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Char1"/>
    <w:link w:val="44"/>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Char1"/>
    <w:link w:val="29"/>
    <w:qFormat/>
    <w:locked/>
    <w:uiPriority w:val="0"/>
    <w:rPr>
      <w:rFonts w:ascii="Calibri" w:hAnsi="Calibri" w:eastAsia="宋体" w:cs="黑体"/>
      <w:sz w:val="18"/>
      <w:szCs w:val="18"/>
    </w:rPr>
  </w:style>
  <w:style w:type="character" w:customStyle="1" w:styleId="97">
    <w:name w:val="正文文本缩进 Char"/>
    <w:basedOn w:val="48"/>
    <w:link w:val="20"/>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Char2"/>
    <w:basedOn w:val="48"/>
    <w:link w:val="43"/>
    <w:qFormat/>
    <w:uiPriority w:val="0"/>
    <w:rPr>
      <w:rFonts w:ascii="Cambria" w:hAnsi="Cambria" w:eastAsia="宋体" w:cs="Times New Roman"/>
      <w:b/>
      <w:sz w:val="32"/>
      <w:szCs w:val="24"/>
    </w:rPr>
  </w:style>
  <w:style w:type="character" w:customStyle="1" w:styleId="101">
    <w:name w:val="正文文本缩进 2 Char"/>
    <w:basedOn w:val="48"/>
    <w:link w:val="28"/>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Char2"/>
    <w:basedOn w:val="48"/>
    <w:link w:val="25"/>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Char"/>
    <w:basedOn w:val="48"/>
    <w:link w:val="16"/>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Char"/>
    <w:basedOn w:val="48"/>
    <w:link w:val="40"/>
    <w:qFormat/>
    <w:uiPriority w:val="0"/>
    <w:rPr>
      <w:rFonts w:ascii="Arial" w:hAnsi="Arial" w:eastAsia="宋体" w:cs="Arial"/>
      <w:kern w:val="0"/>
      <w:sz w:val="24"/>
      <w:szCs w:val="24"/>
    </w:rPr>
  </w:style>
  <w:style w:type="character" w:customStyle="1" w:styleId="114">
    <w:name w:val="称呼 Char"/>
    <w:basedOn w:val="48"/>
    <w:link w:val="17"/>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Char"/>
    <w:basedOn w:val="48"/>
    <w:link w:val="19"/>
    <w:qFormat/>
    <w:uiPriority w:val="99"/>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0"/>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Char1"/>
    <w:link w:val="36"/>
    <w:qFormat/>
    <w:uiPriority w:val="0"/>
    <w:rPr>
      <w:rFonts w:ascii="Calibri" w:hAnsi="Calibri" w:eastAsia="宋体" w:cs="黑体"/>
      <w:sz w:val="16"/>
      <w:szCs w:val="16"/>
    </w:rPr>
  </w:style>
  <w:style w:type="character" w:customStyle="1" w:styleId="125">
    <w:name w:val="副标题 Char"/>
    <w:basedOn w:val="48"/>
    <w:link w:val="34"/>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Char"/>
    <w:basedOn w:val="48"/>
    <w:link w:val="14"/>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Char1"/>
    <w:link w:val="27"/>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Char"/>
    <w:basedOn w:val="48"/>
    <w:link w:val="18"/>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首行缩进 Char"/>
    <w:basedOn w:val="172"/>
    <w:link w:val="45"/>
    <w:qFormat/>
    <w:uiPriority w:val="0"/>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19"/>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99"/>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4"/>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3"/>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3"/>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3"/>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Char"/>
    <w:link w:val="13"/>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Char"/>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4"/>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3"/>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6"/>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4"/>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4"/>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4">
    <w:name w:val="font51"/>
    <w:basedOn w:val="48"/>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61" textRotate="1"/>
    <customShpInfo spid="_x0000_s2051" textRotate="1"/>
    <customShpInfo spid="_x0000_s2052" textRotate="1"/>
    <customShpInfo spid="_x0000_s2053" textRotate="1"/>
    <customShpInfo spid="_x0000_s2049" textRotate="1"/>
    <customShpInfo spid="_x0000_s2062" textRotate="1"/>
    <customShpInfo spid="_x0000_s2063" textRotate="1"/>
    <customShpInfo spid="_x0000_s2059" textRotate="1"/>
    <customShpInfo spid="_x0000_s2064" textRotate="1"/>
    <customShpInfo spid="_x0000_s1026"/>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826FB6-06FC-427B-9A58-F9CDCD57E2E4}">
  <ds:schemaRefs/>
</ds:datastoreItem>
</file>

<file path=docProps/app.xml><?xml version="1.0" encoding="utf-8"?>
<Properties xmlns="http://schemas.openxmlformats.org/officeDocument/2006/extended-properties" xmlns:vt="http://schemas.openxmlformats.org/officeDocument/2006/docPropsVTypes">
  <Template>Normal</Template>
  <Pages>37</Pages>
  <Words>2982</Words>
  <Characters>17000</Characters>
  <Lines>141</Lines>
  <Paragraphs>39</Paragraphs>
  <TotalTime>0</TotalTime>
  <ScaleCrop>false</ScaleCrop>
  <LinksUpToDate>false</LinksUpToDate>
  <CharactersWithSpaces>19943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2019-09-03T02:10:00Z</dcterms:created>
  <dc:creator>李 毅</dc:creator>
  <cp:lastModifiedBy>Administrator</cp:lastModifiedBy>
  <cp:lastPrinted>2019-07-25T06:26:00Z</cp:lastPrinted>
  <dcterms:modified xsi:type="dcterms:W3CDTF">2020-01-08T01:49:35Z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