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jc w:val="center"/>
        <w:rPr>
          <w:rFonts w:hint="eastAsia" w:ascii="宋体" w:hAnsi="宋体" w:eastAsia="宋体" w:cs="宋体"/>
          <w:b/>
          <w:color w:val="auto"/>
          <w:sz w:val="52"/>
          <w:szCs w:val="52"/>
          <w:highlight w:val="none"/>
        </w:rPr>
      </w:pPr>
    </w:p>
    <w:p>
      <w:pPr>
        <w:pStyle w:val="26"/>
        <w:jc w:val="center"/>
        <w:rPr>
          <w:rFonts w:hint="eastAsia" w:ascii="宋体" w:hAnsi="宋体" w:eastAsia="宋体" w:cs="宋体"/>
          <w:b/>
          <w:bCs/>
          <w:color w:val="auto"/>
          <w:sz w:val="52"/>
          <w:szCs w:val="52"/>
          <w:highlight w:val="none"/>
        </w:rPr>
      </w:pPr>
      <w:r>
        <w:rPr>
          <w:rFonts w:hint="eastAsia" w:ascii="宋体" w:hAnsi="宋体" w:eastAsia="宋体" w:cs="宋体"/>
          <w:b/>
          <w:color w:val="auto"/>
          <w:sz w:val="52"/>
          <w:szCs w:val="52"/>
          <w:highlight w:val="none"/>
        </w:rPr>
        <w:t>长沙市轨道交通运营有限公司</w:t>
      </w:r>
    </w:p>
    <w:p>
      <w:pPr>
        <w:pStyle w:val="26"/>
        <w:adjustRightInd w:val="0"/>
        <w:snapToGrid w:val="0"/>
        <w:spacing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自主竞争性谈判文件</w:t>
      </w: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line="360" w:lineRule="auto"/>
        <w:rPr>
          <w:rFonts w:hint="eastAsia" w:ascii="宋体" w:hAnsi="宋体" w:eastAsia="宋体" w:cs="宋体"/>
          <w:color w:val="auto"/>
          <w:sz w:val="32"/>
          <w:szCs w:val="32"/>
          <w:highlight w:val="none"/>
        </w:rPr>
      </w:pPr>
    </w:p>
    <w:p>
      <w:pPr>
        <w:spacing w:line="360" w:lineRule="auto"/>
        <w:ind w:left="2240" w:hanging="2249" w:hangingChars="700"/>
        <w:jc w:val="left"/>
        <w:rPr>
          <w:rFonts w:hint="eastAsia" w:ascii="宋体" w:hAnsi="宋体" w:eastAsia="宋体" w:cs="宋体"/>
          <w:b/>
          <w:bCs w:val="0"/>
          <w:color w:val="auto"/>
          <w:sz w:val="32"/>
          <w:szCs w:val="21"/>
          <w:highlight w:val="none"/>
          <w:u w:val="none"/>
          <w:lang w:eastAsia="zh-CN"/>
        </w:rPr>
      </w:pPr>
      <w:r>
        <w:rPr>
          <w:rFonts w:hint="eastAsia" w:ascii="宋体" w:hAnsi="宋体" w:eastAsia="宋体" w:cs="宋体"/>
          <w:b/>
          <w:bCs w:val="0"/>
          <w:color w:val="auto"/>
          <w:sz w:val="32"/>
          <w:szCs w:val="21"/>
          <w:highlight w:val="none"/>
        </w:rPr>
        <w:t>谈判项目名称：</w:t>
      </w:r>
      <w:r>
        <w:rPr>
          <w:rFonts w:hint="eastAsia" w:ascii="宋体" w:hAnsi="宋体" w:eastAsia="宋体" w:cs="宋体"/>
          <w:b/>
          <w:bCs w:val="0"/>
          <w:color w:val="auto"/>
          <w:sz w:val="32"/>
          <w:szCs w:val="21"/>
          <w:highlight w:val="none"/>
          <w:u w:val="single"/>
          <w:lang w:eastAsia="zh-CN"/>
        </w:rPr>
        <w:t>长沙市轨道交通2号线运营期OCC裙楼4楼调度部生活间、黄兴车辆段谈话室、监控旁听室、档案室加装防火门、荣誉室改造工程项目</w:t>
      </w:r>
    </w:p>
    <w:p>
      <w:pPr>
        <w:spacing w:line="360" w:lineRule="auto"/>
        <w:ind w:left="2240" w:hanging="2249" w:hangingChars="700"/>
        <w:jc w:val="left"/>
        <w:rPr>
          <w:rFonts w:hint="eastAsia" w:ascii="宋体" w:hAnsi="宋体" w:eastAsia="宋体" w:cs="宋体"/>
          <w:b/>
          <w:bCs w:val="0"/>
          <w:color w:val="auto"/>
          <w:sz w:val="32"/>
          <w:szCs w:val="21"/>
          <w:highlight w:val="none"/>
          <w:u w:val="none"/>
        </w:rPr>
      </w:pPr>
    </w:p>
    <w:p>
      <w:pPr>
        <w:pStyle w:val="26"/>
        <w:adjustRightInd w:val="0"/>
        <w:snapToGrid w:val="0"/>
        <w:spacing w:line="360" w:lineRule="auto"/>
        <w:rPr>
          <w:rFonts w:hint="eastAsia" w:ascii="宋体" w:hAnsi="宋体" w:eastAsia="宋体" w:cs="宋体"/>
          <w:b/>
          <w:bCs w:val="0"/>
          <w:strike w:val="0"/>
          <w:dstrike w:val="0"/>
          <w:color w:val="auto"/>
          <w:sz w:val="32"/>
          <w:highlight w:val="none"/>
          <w:u w:val="none"/>
        </w:rPr>
      </w:pPr>
      <w:r>
        <w:rPr>
          <w:rFonts w:hint="eastAsia" w:ascii="宋体" w:hAnsi="宋体" w:eastAsia="宋体" w:cs="宋体"/>
          <w:b/>
          <w:bCs w:val="0"/>
          <w:color w:val="auto"/>
          <w:sz w:val="32"/>
          <w:highlight w:val="none"/>
        </w:rPr>
        <w:t>采购单位名称：</w:t>
      </w:r>
      <w:r>
        <w:rPr>
          <w:rFonts w:hint="eastAsia" w:ascii="宋体" w:hAnsi="宋体" w:eastAsia="宋体" w:cs="宋体"/>
          <w:b/>
          <w:bCs w:val="0"/>
          <w:strike w:val="0"/>
          <w:dstrike w:val="0"/>
          <w:color w:val="auto"/>
          <w:sz w:val="32"/>
          <w:highlight w:val="none"/>
          <w:u w:val="single"/>
          <w:lang w:eastAsia="zh-CN"/>
        </w:rPr>
        <w:t>长沙市轨道交通运营有限公司</w:t>
      </w:r>
    </w:p>
    <w:p>
      <w:pPr>
        <w:pStyle w:val="26"/>
        <w:adjustRightInd w:val="0"/>
        <w:snapToGrid w:val="0"/>
        <w:spacing w:line="360" w:lineRule="auto"/>
        <w:rPr>
          <w:rFonts w:hint="eastAsia" w:ascii="宋体" w:hAnsi="宋体" w:eastAsia="宋体" w:cs="宋体"/>
          <w:b/>
          <w:bCs w:val="0"/>
          <w:strike w:val="0"/>
          <w:dstrike w:val="0"/>
          <w:color w:val="auto"/>
          <w:sz w:val="32"/>
          <w:highlight w:val="none"/>
          <w:u w:val="none"/>
        </w:rPr>
      </w:pPr>
    </w:p>
    <w:p>
      <w:pPr>
        <w:pStyle w:val="26"/>
        <w:adjustRightInd w:val="0"/>
        <w:snapToGrid w:val="0"/>
        <w:spacing w:line="360" w:lineRule="auto"/>
        <w:rPr>
          <w:rFonts w:hint="eastAsia" w:ascii="宋体" w:hAnsi="宋体" w:eastAsia="宋体" w:cs="宋体"/>
          <w:b/>
          <w:bCs w:val="0"/>
          <w:color w:val="auto"/>
          <w:sz w:val="32"/>
          <w:highlight w:val="none"/>
          <w:u w:val="single"/>
          <w:lang w:val="en-US" w:eastAsia="zh-CN"/>
        </w:rPr>
      </w:pPr>
      <w:r>
        <w:rPr>
          <w:rFonts w:hint="eastAsia" w:ascii="宋体" w:hAnsi="宋体" w:eastAsia="宋体" w:cs="宋体"/>
          <w:b/>
          <w:bCs w:val="0"/>
          <w:color w:val="auto"/>
          <w:sz w:val="32"/>
          <w:highlight w:val="none"/>
        </w:rPr>
        <w:t>谈判项目编号：</w:t>
      </w:r>
      <w:r>
        <w:rPr>
          <w:rFonts w:hint="eastAsia" w:ascii="宋体" w:hAnsi="宋体" w:eastAsia="宋体" w:cs="宋体"/>
          <w:b/>
          <w:bCs w:val="0"/>
          <w:color w:val="auto"/>
          <w:sz w:val="32"/>
          <w:highlight w:val="none"/>
          <w:u w:val="single"/>
          <w:lang w:eastAsia="zh-CN"/>
        </w:rPr>
        <w:t>长轨运工采【2019】003号</w:t>
      </w: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beforeLines="50" w:line="360" w:lineRule="auto"/>
        <w:rPr>
          <w:rFonts w:hint="eastAsia" w:ascii="宋体" w:hAnsi="宋体" w:eastAsia="宋体" w:cs="宋体"/>
          <w:b/>
          <w:color w:val="auto"/>
          <w:sz w:val="32"/>
          <w:szCs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color w:val="auto"/>
          <w:sz w:val="32"/>
          <w:highlight w:val="none"/>
        </w:rPr>
      </w:pPr>
    </w:p>
    <w:p>
      <w:pPr>
        <w:pStyle w:val="26"/>
        <w:adjustRightInd w:val="0"/>
        <w:snapToGrid w:val="0"/>
        <w:spacing w:line="360" w:lineRule="auto"/>
        <w:rPr>
          <w:rFonts w:hint="eastAsia" w:ascii="宋体" w:hAnsi="宋体" w:eastAsia="宋体" w:cs="宋体"/>
          <w:b w:val="0"/>
          <w:bCs/>
          <w:color w:val="auto"/>
          <w:sz w:val="32"/>
          <w:highlight w:val="none"/>
        </w:rPr>
      </w:pPr>
    </w:p>
    <w:p>
      <w:pPr>
        <w:pStyle w:val="26"/>
        <w:adjustRightInd w:val="0"/>
        <w:snapToGrid w:val="0"/>
        <w:spacing w:line="360" w:lineRule="auto"/>
        <w:jc w:val="center"/>
        <w:rPr>
          <w:rFonts w:hint="eastAsia" w:ascii="宋体" w:hAnsi="宋体" w:eastAsia="宋体" w:cs="宋体"/>
          <w:b w:val="0"/>
          <w:bCs/>
          <w:color w:val="auto"/>
          <w:sz w:val="32"/>
          <w:highlight w:val="none"/>
          <w:u w:val="none"/>
        </w:rPr>
      </w:pPr>
      <w:r>
        <w:rPr>
          <w:rFonts w:hint="eastAsia" w:ascii="宋体" w:hAnsi="宋体" w:eastAsia="宋体" w:cs="宋体"/>
          <w:b/>
          <w:bCs w:val="0"/>
          <w:color w:val="auto"/>
          <w:sz w:val="32"/>
          <w:highlight w:val="none"/>
          <w:u w:val="none"/>
        </w:rPr>
        <w:t>二〇</w:t>
      </w:r>
      <w:r>
        <w:rPr>
          <w:rFonts w:hint="eastAsia" w:ascii="宋体" w:hAnsi="宋体" w:eastAsia="宋体" w:cs="宋体"/>
          <w:b/>
          <w:bCs w:val="0"/>
          <w:color w:val="auto"/>
          <w:sz w:val="32"/>
          <w:highlight w:val="none"/>
          <w:u w:val="none"/>
          <w:lang w:eastAsia="zh-CN"/>
        </w:rPr>
        <w:t>二〇</w:t>
      </w:r>
      <w:r>
        <w:rPr>
          <w:rFonts w:hint="eastAsia" w:ascii="宋体" w:hAnsi="宋体" w:eastAsia="宋体" w:cs="宋体"/>
          <w:b/>
          <w:bCs w:val="0"/>
          <w:color w:val="auto"/>
          <w:sz w:val="32"/>
          <w:highlight w:val="none"/>
          <w:u w:val="none"/>
        </w:rPr>
        <w:t>年</w:t>
      </w:r>
      <w:r>
        <w:rPr>
          <w:rFonts w:hint="eastAsia" w:ascii="宋体" w:hAnsi="宋体" w:eastAsia="宋体" w:cs="宋体"/>
          <w:b/>
          <w:bCs w:val="0"/>
          <w:color w:val="auto"/>
          <w:sz w:val="32"/>
          <w:highlight w:val="none"/>
          <w:u w:val="none"/>
          <w:lang w:val="en-US" w:eastAsia="zh-CN"/>
        </w:rPr>
        <w:t>一</w:t>
      </w:r>
      <w:r>
        <w:rPr>
          <w:rFonts w:hint="eastAsia" w:ascii="宋体" w:hAnsi="宋体" w:eastAsia="宋体" w:cs="宋体"/>
          <w:b/>
          <w:bCs w:val="0"/>
          <w:color w:val="auto"/>
          <w:sz w:val="32"/>
          <w:highlight w:val="none"/>
          <w:u w:val="none"/>
        </w:rPr>
        <w:t>月</w:t>
      </w:r>
    </w:p>
    <w:p>
      <w:pPr>
        <w:pStyle w:val="26"/>
        <w:adjustRightInd w:val="0"/>
        <w:snapToGrid w:val="0"/>
        <w:spacing w:line="360" w:lineRule="auto"/>
        <w:jc w:val="center"/>
        <w:rPr>
          <w:rFonts w:hint="eastAsia" w:ascii="宋体" w:hAnsi="宋体" w:eastAsia="宋体" w:cs="宋体"/>
          <w:b/>
          <w:color w:val="auto"/>
          <w:sz w:val="32"/>
          <w:highlight w:val="none"/>
        </w:rPr>
      </w:pPr>
    </w:p>
    <w:p>
      <w:pPr>
        <w:pStyle w:val="26"/>
        <w:adjustRightInd w:val="0"/>
        <w:snapToGrid w:val="0"/>
        <w:spacing w:line="360" w:lineRule="auto"/>
        <w:jc w:val="center"/>
        <w:rPr>
          <w:rFonts w:hint="eastAsia" w:ascii="宋体" w:hAnsi="宋体" w:eastAsia="宋体" w:cs="宋体"/>
          <w:b/>
          <w:color w:val="auto"/>
          <w:sz w:val="32"/>
          <w:highlight w:val="none"/>
        </w:rPr>
        <w:sectPr>
          <w:pgSz w:w="11906" w:h="16838"/>
          <w:pgMar w:top="1191" w:right="1417" w:bottom="1191" w:left="1191" w:header="851" w:footer="851" w:gutter="0"/>
          <w:pgNumType w:fmt="decimal" w:start="0"/>
          <w:cols w:space="720" w:num="1"/>
          <w:docGrid w:linePitch="312" w:charSpace="0"/>
        </w:sectPr>
      </w:pPr>
    </w:p>
    <w:p>
      <w:pPr>
        <w:jc w:val="center"/>
        <w:rPr>
          <w:rFonts w:hint="eastAsia" w:ascii="宋体" w:hAnsi="宋体" w:eastAsia="宋体" w:cs="宋体"/>
          <w:b/>
          <w:bCs/>
          <w:color w:val="auto"/>
          <w:sz w:val="32"/>
          <w:szCs w:val="32"/>
          <w:highlight w:val="none"/>
          <w:lang w:eastAsia="zh-CN"/>
        </w:rPr>
      </w:pPr>
      <w:bookmarkStart w:id="0" w:name="_Toc14891064"/>
      <w:r>
        <w:rPr>
          <w:rFonts w:hint="eastAsia" w:ascii="宋体" w:hAnsi="宋体" w:eastAsia="宋体" w:cs="宋体"/>
          <w:b/>
          <w:bCs/>
          <w:color w:val="auto"/>
          <w:sz w:val="32"/>
          <w:szCs w:val="32"/>
          <w:highlight w:val="none"/>
          <w:lang w:eastAsia="zh-CN"/>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录</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lang w:eastAsia="zh-CN"/>
        </w:rPr>
      </w:pP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"1-2" \h \u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_Toc13254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第一章  谈判邀请公告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_Toc13254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_Toc26282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 xml:space="preserve">第二章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val="0"/>
          <w:color w:val="auto"/>
          <w:szCs w:val="32"/>
          <w:highlight w:val="none"/>
        </w:rPr>
        <w:t>谈判须知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_Toc26282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_Toc17682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谈判须知前附表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_Toc17682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_Toc11980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谈判须知正文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_Toc25658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一、说明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_Toc25658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_Toc10190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二、谈判文件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_Toc10190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_Toc15974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三、响应文件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_Toc15974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_Toc28626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四、响应文件的递交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_Toc28626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_Toc28776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五、响应文件的评审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_Toc28776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_Toc4811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六、响应文件的澄清、说明及补正</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_Toc4811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_Toc22305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七、中选结果与授予合同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_Toc22305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_Toc32718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八、其他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_Toc32718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_Toc31786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第三章  评审办法及标准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_Toc31786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_Toc23967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第四章  用户需求书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_Toc23967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_Toc16008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 xml:space="preserve">第五章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color w:val="auto"/>
          <w:szCs w:val="32"/>
          <w:highlight w:val="none"/>
          <w:lang w:eastAsia="zh-CN"/>
        </w:rPr>
        <w:t>最高限价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_Toc16008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3"/>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_Toc26126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第</w:t>
      </w:r>
      <w:r>
        <w:rPr>
          <w:rFonts w:hint="eastAsia" w:ascii="宋体" w:hAnsi="宋体" w:eastAsia="宋体" w:cs="宋体"/>
          <w:bCs w:val="0"/>
          <w:color w:val="auto"/>
          <w:szCs w:val="32"/>
          <w:highlight w:val="none"/>
          <w:lang w:eastAsia="zh-CN"/>
        </w:rPr>
        <w:t>六</w:t>
      </w:r>
      <w:r>
        <w:rPr>
          <w:rFonts w:hint="eastAsia" w:ascii="宋体" w:hAnsi="宋体" w:eastAsia="宋体" w:cs="宋体"/>
          <w:bCs w:val="0"/>
          <w:color w:val="auto"/>
          <w:szCs w:val="32"/>
          <w:highlight w:val="none"/>
        </w:rPr>
        <w:t xml:space="preserve">章 </w:t>
      </w:r>
      <w:r>
        <w:rPr>
          <w:rFonts w:hint="eastAsia" w:ascii="宋体" w:hAnsi="宋体" w:eastAsia="宋体" w:cs="宋体"/>
          <w:bCs w:val="0"/>
          <w:color w:val="auto"/>
          <w:szCs w:val="32"/>
          <w:highlight w:val="none"/>
          <w:lang w:val="en-US" w:eastAsia="zh-CN"/>
        </w:rPr>
        <w:t xml:space="preserve"> </w:t>
      </w:r>
      <w:r>
        <w:rPr>
          <w:rFonts w:hint="eastAsia" w:ascii="宋体" w:hAnsi="宋体" w:eastAsia="宋体" w:cs="宋体"/>
          <w:bCs w:val="0"/>
          <w:color w:val="auto"/>
          <w:szCs w:val="32"/>
          <w:highlight w:val="none"/>
        </w:rPr>
        <w:t>合同格式条款</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4</w:t>
      </w:r>
    </w:p>
    <w:p>
      <w:pPr>
        <w:pStyle w:val="33"/>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_Toc12762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w:t>
      </w:r>
      <w:r>
        <w:rPr>
          <w:rFonts w:hint="eastAsia" w:ascii="宋体" w:hAnsi="宋体" w:eastAsia="宋体" w:cs="宋体"/>
          <w:color w:val="auto"/>
          <w:szCs w:val="32"/>
          <w:highlight w:val="none"/>
          <w:lang w:eastAsia="zh-CN"/>
        </w:rPr>
        <w:t>七</w:t>
      </w:r>
      <w:r>
        <w:rPr>
          <w:rFonts w:hint="eastAsia" w:ascii="宋体" w:hAnsi="宋体" w:eastAsia="宋体" w:cs="宋体"/>
          <w:color w:val="auto"/>
          <w:szCs w:val="32"/>
          <w:highlight w:val="none"/>
        </w:rPr>
        <w:t xml:space="preserve">章  </w:t>
      </w:r>
      <w:r>
        <w:rPr>
          <w:rFonts w:hint="eastAsia" w:ascii="宋体" w:hAnsi="宋体" w:eastAsia="宋体" w:cs="宋体"/>
          <w:bCs/>
          <w:color w:val="auto"/>
          <w:szCs w:val="32"/>
          <w:highlight w:val="none"/>
        </w:rPr>
        <w:t>响应文件组成</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cs="宋体"/>
          <w:color w:val="auto"/>
          <w:highlight w:val="none"/>
          <w:lang w:val="en-US" w:eastAsia="zh-CN"/>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一、谈判承诺书</w:t>
      </w:r>
      <w:r>
        <w:rPr>
          <w:rFonts w:hint="eastAsia" w:ascii="宋体" w:hAnsi="宋体" w:eastAsia="宋体" w:cs="宋体"/>
          <w:color w:val="auto"/>
          <w:highlight w:val="none"/>
        </w:rPr>
        <w:tab/>
      </w:r>
      <w:r>
        <w:rPr>
          <w:rFonts w:hint="eastAsia" w:ascii="宋体" w:hAnsi="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9</w:t>
      </w:r>
    </w:p>
    <w:p>
      <w:pPr>
        <w:pStyle w:val="38"/>
        <w:tabs>
          <w:tab w:val="right" w:leader="dot" w:pos="8312"/>
        </w:tabs>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_Toc2211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二、法定代表人身份证明书</w:t>
      </w:r>
      <w:r>
        <w:rPr>
          <w:rFonts w:hint="eastAsia" w:ascii="宋体" w:hAnsi="宋体" w:eastAsia="宋体" w:cs="宋体"/>
          <w:color w:val="auto"/>
          <w:highlight w:val="none"/>
        </w:rPr>
        <w:tab/>
      </w:r>
      <w:r>
        <w:rPr>
          <w:rFonts w:hint="eastAsia" w:ascii="宋体" w:hAnsi="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0</w:t>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_Toc3592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三、授权委托书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_Toc3592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_Toc30284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四、谈判单位资格证明文件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_Toc30284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_Toc6552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五、不拖欠农民工工资承诺书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_Toc6552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六、报价一览表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_Toc5453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七、报价汇总表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_Toc18361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lang w:eastAsia="zh-CN"/>
        </w:rPr>
        <w:t>八</w:t>
      </w:r>
      <w:r>
        <w:rPr>
          <w:rFonts w:hint="eastAsia" w:ascii="宋体" w:hAnsi="宋体" w:eastAsia="宋体" w:cs="宋体"/>
          <w:color w:val="auto"/>
          <w:szCs w:val="32"/>
          <w:highlight w:val="none"/>
        </w:rPr>
        <w:t>、投标报价表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_Toc18361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38"/>
        <w:tabs>
          <w:tab w:val="right" w:leader="dot" w:pos="8312"/>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_Toc13786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lang w:eastAsia="zh-CN"/>
        </w:rPr>
        <w:t>九</w:t>
      </w:r>
      <w:r>
        <w:rPr>
          <w:rFonts w:hint="eastAsia" w:ascii="宋体" w:hAnsi="宋体" w:eastAsia="宋体" w:cs="宋体"/>
          <w:color w:val="auto"/>
          <w:szCs w:val="32"/>
          <w:highlight w:val="none"/>
        </w:rPr>
        <w:t>、其他资料（如有）</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_Toc13786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cs="宋体"/>
          <w:color w:val="auto"/>
          <w:highlight w:val="none"/>
          <w:lang w:val="en-US" w:eastAsia="zh-CN"/>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pPr>
        <w:pStyle w:val="4"/>
        <w:keepNext w:val="0"/>
        <w:jc w:val="center"/>
        <w:rPr>
          <w:rFonts w:hint="eastAsia" w:ascii="宋体" w:hAnsi="宋体" w:eastAsia="宋体" w:cs="宋体"/>
          <w:color w:val="auto"/>
          <w:sz w:val="32"/>
          <w:szCs w:val="32"/>
          <w:highlight w:val="none"/>
        </w:rPr>
        <w:sectPr>
          <w:footerReference r:id="rId3" w:type="default"/>
          <w:pgSz w:w="11906" w:h="16838"/>
          <w:pgMar w:top="1191" w:right="1417" w:bottom="1191" w:left="1191" w:header="851" w:footer="851" w:gutter="0"/>
          <w:pgNumType w:fmt="decimal" w:start="1"/>
          <w:cols w:space="720" w:num="1"/>
          <w:docGrid w:linePitch="312" w:charSpace="0"/>
        </w:sectPr>
      </w:pPr>
      <w:bookmarkStart w:id="1" w:name="_Toc29614"/>
      <w:bookmarkStart w:id="2" w:name="_Toc5016"/>
    </w:p>
    <w:p>
      <w:pPr>
        <w:pStyle w:val="4"/>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sz w:val="32"/>
          <w:szCs w:val="32"/>
          <w:highlight w:val="none"/>
        </w:rPr>
      </w:pPr>
      <w:bookmarkStart w:id="3" w:name="_Toc13376"/>
      <w:bookmarkStart w:id="4" w:name="_Toc13254"/>
      <w:r>
        <w:rPr>
          <w:rFonts w:hint="eastAsia" w:ascii="宋体" w:hAnsi="宋体" w:eastAsia="宋体" w:cs="宋体"/>
          <w:color w:val="auto"/>
          <w:sz w:val="32"/>
          <w:szCs w:val="32"/>
          <w:highlight w:val="none"/>
        </w:rPr>
        <w:t>第一章  谈判邀请公告</w:t>
      </w:r>
      <w:bookmarkEnd w:id="0"/>
      <w:bookmarkEnd w:id="1"/>
      <w:bookmarkEnd w:id="2"/>
      <w:bookmarkEnd w:id="3"/>
      <w:bookmarkEnd w:id="4"/>
    </w:p>
    <w:p>
      <w:pPr>
        <w:pStyle w:val="2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iCs/>
          <w:color w:val="auto"/>
          <w:highlight w:val="none"/>
          <w:u w:val="single"/>
        </w:rPr>
      </w:pPr>
    </w:p>
    <w:p>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宋体" w:hAnsi="宋体" w:eastAsia="宋体" w:cs="宋体"/>
          <w:iCs/>
          <w:color w:val="auto"/>
          <w:sz w:val="21"/>
          <w:szCs w:val="21"/>
          <w:highlight w:val="none"/>
          <w:u w:val="single"/>
        </w:rPr>
      </w:pPr>
      <w:r>
        <w:rPr>
          <w:rFonts w:hint="eastAsia" w:ascii="宋体" w:hAnsi="宋体" w:eastAsia="宋体" w:cs="宋体"/>
          <w:iCs/>
          <w:color w:val="auto"/>
          <w:sz w:val="21"/>
          <w:szCs w:val="21"/>
          <w:highlight w:val="none"/>
          <w:u w:val="single"/>
          <w:lang w:eastAsia="zh-CN"/>
        </w:rPr>
        <w:t>湖南万达项目管理有限公司</w:t>
      </w:r>
      <w:r>
        <w:rPr>
          <w:rFonts w:hint="eastAsia" w:ascii="宋体" w:hAnsi="宋体" w:eastAsia="宋体" w:cs="宋体"/>
          <w:color w:val="auto"/>
          <w:sz w:val="21"/>
          <w:szCs w:val="21"/>
          <w:highlight w:val="none"/>
        </w:rPr>
        <w:t>受</w:t>
      </w:r>
      <w:r>
        <w:rPr>
          <w:rFonts w:hint="eastAsia" w:ascii="宋体" w:hAnsi="宋体" w:eastAsia="宋体" w:cs="宋体"/>
          <w:iCs/>
          <w:color w:val="auto"/>
          <w:sz w:val="21"/>
          <w:szCs w:val="21"/>
          <w:highlight w:val="none"/>
          <w:u w:val="single"/>
          <w:lang w:eastAsia="zh-CN"/>
        </w:rPr>
        <w:t>长沙市轨道交通运营有限公司</w:t>
      </w:r>
      <w:r>
        <w:rPr>
          <w:rFonts w:hint="eastAsia" w:ascii="宋体" w:hAnsi="宋体" w:eastAsia="宋体" w:cs="宋体"/>
          <w:color w:val="auto"/>
          <w:sz w:val="21"/>
          <w:szCs w:val="21"/>
          <w:highlight w:val="none"/>
        </w:rPr>
        <w:t>的委托，</w:t>
      </w:r>
      <w:r>
        <w:rPr>
          <w:rFonts w:hint="eastAsia" w:ascii="宋体" w:hAnsi="宋体" w:eastAsia="宋体" w:cs="宋体"/>
          <w:iCs/>
          <w:color w:val="auto"/>
          <w:sz w:val="21"/>
          <w:szCs w:val="21"/>
          <w:highlight w:val="none"/>
        </w:rPr>
        <w:t>对</w:t>
      </w:r>
      <w:r>
        <w:rPr>
          <w:rFonts w:hint="eastAsia" w:ascii="宋体" w:hAnsi="宋体" w:eastAsia="宋体" w:cs="宋体"/>
          <w:iCs/>
          <w:color w:val="auto"/>
          <w:sz w:val="21"/>
          <w:szCs w:val="21"/>
          <w:highlight w:val="none"/>
          <w:u w:val="single"/>
          <w:lang w:eastAsia="zh-CN"/>
        </w:rPr>
        <w:t>长沙市轨道交通2号线运营期OCC裙楼4楼调度部生活间、黄兴车辆段谈话室、监控旁听室、档案室加装防火门、荣誉室改造工程项目</w:t>
      </w:r>
      <w:r>
        <w:rPr>
          <w:rFonts w:hint="eastAsia" w:ascii="宋体" w:hAnsi="宋体" w:eastAsia="宋体" w:cs="宋体"/>
          <w:iCs/>
          <w:color w:val="auto"/>
          <w:sz w:val="21"/>
          <w:szCs w:val="21"/>
          <w:highlight w:val="none"/>
        </w:rPr>
        <w:t>进行自主竞争性谈判采购，现发布公告，邀请符合条件的单位参与谈判采购活动。</w:t>
      </w:r>
    </w:p>
    <w:p>
      <w:pPr>
        <w:pStyle w:val="26"/>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outlineLvl w:val="9"/>
        <w:rPr>
          <w:rFonts w:hint="eastAsia" w:ascii="宋体" w:hAnsi="宋体" w:eastAsia="宋体" w:cs="宋体"/>
          <w:b/>
          <w:iCs/>
          <w:color w:val="auto"/>
          <w:sz w:val="21"/>
          <w:szCs w:val="21"/>
          <w:highlight w:val="none"/>
        </w:rPr>
      </w:pPr>
      <w:r>
        <w:rPr>
          <w:rFonts w:hint="eastAsia" w:ascii="宋体" w:hAnsi="宋体" w:eastAsia="宋体" w:cs="宋体"/>
          <w:b/>
          <w:iCs/>
          <w:color w:val="auto"/>
          <w:sz w:val="21"/>
          <w:szCs w:val="21"/>
          <w:highlight w:val="none"/>
        </w:rPr>
        <w:t>一、项目概况</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iCs/>
          <w:color w:val="auto"/>
          <w:sz w:val="21"/>
          <w:szCs w:val="21"/>
          <w:highlight w:val="none"/>
        </w:rPr>
      </w:pPr>
      <w:r>
        <w:rPr>
          <w:rFonts w:hint="eastAsia" w:ascii="宋体" w:hAnsi="宋体" w:eastAsia="宋体" w:cs="宋体"/>
          <w:iCs/>
          <w:color w:val="auto"/>
          <w:sz w:val="21"/>
          <w:szCs w:val="21"/>
          <w:highlight w:val="none"/>
        </w:rPr>
        <w:t>1.项目名称</w:t>
      </w:r>
      <w:r>
        <w:rPr>
          <w:rFonts w:hint="eastAsia" w:ascii="宋体" w:hAnsi="宋体" w:eastAsia="宋体" w:cs="宋体"/>
          <w:iCs/>
          <w:color w:val="auto"/>
          <w:sz w:val="21"/>
          <w:szCs w:val="21"/>
          <w:highlight w:val="none"/>
          <w:lang w:val="en-US" w:eastAsia="zh-CN"/>
        </w:rPr>
        <w:t>:</w:t>
      </w:r>
      <w:r>
        <w:rPr>
          <w:rFonts w:hint="eastAsia" w:ascii="宋体" w:hAnsi="宋体" w:eastAsia="宋体" w:cs="宋体"/>
          <w:iCs/>
          <w:color w:val="auto"/>
          <w:sz w:val="21"/>
          <w:szCs w:val="21"/>
          <w:highlight w:val="none"/>
          <w:u w:val="none"/>
          <w:lang w:eastAsia="zh-CN"/>
        </w:rPr>
        <w:t>长沙市轨道交通2号线运营期OCC裙楼4楼调度部生活间、黄兴车辆段谈话室、监控旁听室、档案室加装防火门、荣誉室改造工程项目</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2.项目</w:t>
      </w:r>
      <w:r>
        <w:rPr>
          <w:rFonts w:hint="eastAsia" w:ascii="宋体" w:hAnsi="宋体" w:eastAsia="宋体" w:cs="宋体"/>
          <w:iCs/>
          <w:color w:val="auto"/>
          <w:sz w:val="21"/>
          <w:szCs w:val="21"/>
          <w:highlight w:val="none"/>
          <w:lang w:eastAsia="zh-CN"/>
        </w:rPr>
        <w:t>最高限价</w:t>
      </w:r>
      <w:r>
        <w:rPr>
          <w:rFonts w:hint="eastAsia" w:ascii="宋体" w:hAnsi="宋体" w:eastAsia="宋体" w:cs="宋体"/>
          <w:iCs/>
          <w:color w:val="auto"/>
          <w:sz w:val="21"/>
          <w:szCs w:val="21"/>
          <w:highlight w:val="none"/>
          <w:lang w:val="en-US" w:eastAsia="zh-CN"/>
        </w:rPr>
        <w:t>:209444.50元</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sz w:val="21"/>
          <w:szCs w:val="21"/>
          <w:highlight w:val="none"/>
        </w:rPr>
        <w:t>3.谈判</w:t>
      </w:r>
      <w:r>
        <w:rPr>
          <w:rFonts w:hint="eastAsia" w:ascii="宋体" w:hAnsi="宋体" w:eastAsia="宋体" w:cs="宋体"/>
          <w:iCs/>
          <w:color w:val="auto"/>
          <w:kern w:val="2"/>
          <w:sz w:val="21"/>
          <w:szCs w:val="21"/>
          <w:highlight w:val="none"/>
          <w:lang w:val="en-US" w:eastAsia="zh-CN" w:bidi="ar-SA"/>
        </w:rPr>
        <w:t>内容：本项目主要为长沙市轨道交通2号线运营期OCC裙楼4楼调度部生活间改造及长沙市轨道交通运营有限公司黄兴车辆段谈话室、监控旁听室、档案室加装防火门、荣誉室改造工程项目施工及管理。（具体详见用户需求书）</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kern w:val="2"/>
          <w:sz w:val="21"/>
          <w:szCs w:val="21"/>
          <w:highlight w:val="none"/>
          <w:lang w:val="en-US" w:eastAsia="zh-CN" w:bidi="ar-SA"/>
        </w:rPr>
        <w:t>4.标段划分:共划分1个标段。</w:t>
      </w:r>
    </w:p>
    <w:p>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jc w:val="both"/>
        <w:textAlignment w:val="auto"/>
        <w:rPr>
          <w:rFonts w:hint="eastAsia" w:ascii="宋体" w:hAnsi="宋体" w:eastAsia="宋体" w:cs="宋体"/>
          <w:iCs/>
          <w:color w:val="auto"/>
          <w:kern w:val="2"/>
          <w:sz w:val="21"/>
          <w:szCs w:val="21"/>
          <w:highlight w:val="none"/>
          <w:lang w:val="en-US" w:eastAsia="zh-CN" w:bidi="ar-SA"/>
        </w:rPr>
      </w:pPr>
      <w:r>
        <w:rPr>
          <w:rFonts w:hint="eastAsia" w:ascii="宋体" w:hAnsi="宋体" w:eastAsia="宋体" w:cs="宋体"/>
          <w:iCs/>
          <w:color w:val="auto"/>
          <w:kern w:val="2"/>
          <w:sz w:val="21"/>
          <w:szCs w:val="21"/>
          <w:highlight w:val="none"/>
          <w:lang w:val="en-US" w:eastAsia="zh-CN" w:bidi="ar-SA"/>
        </w:rPr>
        <w:t>5.服务期限：本项目工期为承包单位接到采购单位发出的开工通知起算共60天完成项目所有施工及调试，具备验收条件。（具体详见用户需求书）</w:t>
      </w:r>
    </w:p>
    <w:p>
      <w:pPr>
        <w:pStyle w:val="26"/>
        <w:keepNext w:val="0"/>
        <w:keepLines w:val="0"/>
        <w:pageBreakBefore w:val="0"/>
        <w:kinsoku/>
        <w:wordWrap/>
        <w:overflowPunct/>
        <w:topLinePunct w:val="0"/>
        <w:autoSpaceDE/>
        <w:autoSpaceDN/>
        <w:bidi w:val="0"/>
        <w:adjustRightInd w:val="0"/>
        <w:snapToGrid w:val="0"/>
        <w:spacing w:line="360" w:lineRule="auto"/>
        <w:ind w:left="0" w:leftChars="0" w:firstLine="422" w:firstLineChars="200"/>
        <w:textAlignment w:val="auto"/>
        <w:outlineLvl w:val="9"/>
        <w:rPr>
          <w:rFonts w:hint="eastAsia" w:ascii="宋体" w:hAnsi="宋体" w:eastAsia="宋体" w:cs="宋体"/>
          <w:b/>
          <w:iCs/>
          <w:color w:val="auto"/>
          <w:sz w:val="21"/>
          <w:szCs w:val="21"/>
          <w:highlight w:val="none"/>
        </w:rPr>
      </w:pPr>
      <w:r>
        <w:rPr>
          <w:rFonts w:hint="eastAsia" w:ascii="宋体" w:hAnsi="宋体" w:eastAsia="宋体" w:cs="宋体"/>
          <w:b/>
          <w:iCs/>
          <w:color w:val="auto"/>
          <w:sz w:val="21"/>
          <w:szCs w:val="21"/>
          <w:highlight w:val="none"/>
        </w:rPr>
        <w:t>二、资格要求</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iCs/>
          <w:color w:val="auto"/>
          <w:sz w:val="21"/>
          <w:szCs w:val="21"/>
          <w:highlight w:val="none"/>
        </w:rPr>
        <w:t>谈判单位须为具有独立法人资格、自主经营、独立核算的公司。</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2.谈判单位须具有建筑工程施工总承包三级（含）以上或建筑装修装饰工程专业承包二级（含）以上资质，须具有有效的施工企业《安全生产许可证》</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本项目现场施工部关键岗位人员最低配备按《湖南省建设工程施工项目部和现场监理部关键岗位人员配备管理办法》湘建建〔2015〕57号文执行</w:t>
      </w:r>
      <w:r>
        <w:rPr>
          <w:rFonts w:hint="eastAsia" w:ascii="宋体" w:hAnsi="宋体" w:eastAsia="宋体" w:cs="宋体"/>
          <w:color w:val="auto"/>
          <w:highlight w:val="none"/>
          <w:lang w:eastAsia="zh-CN"/>
        </w:rPr>
        <w:t>（详见附表）。</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湖南省外企业须按照湘建建【2015】190号文件要求办理省外入湘企业基本情况登记（以“湖南省住房和城乡建设网”查询为准）或具有入湘施工登记证（处于有效期内）。</w:t>
      </w:r>
    </w:p>
    <w:p>
      <w:pPr>
        <w:keepNext w:val="0"/>
        <w:keepLines w:val="0"/>
        <w:pageBreakBefore w:val="0"/>
        <w:widowControl/>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w:t>
      </w:r>
      <w:r>
        <w:rPr>
          <w:rFonts w:hint="eastAsia" w:ascii="宋体" w:hAnsi="宋体" w:eastAsia="宋体" w:cs="宋体"/>
          <w:color w:val="auto"/>
          <w:highlight w:val="none"/>
          <w:lang w:eastAsia="zh-CN"/>
        </w:rPr>
        <w:t>项目</w:t>
      </w:r>
      <w:r>
        <w:rPr>
          <w:rFonts w:hint="eastAsia" w:ascii="宋体" w:hAnsi="宋体" w:eastAsia="宋体" w:cs="宋体"/>
          <w:color w:val="auto"/>
          <w:highlight w:val="none"/>
        </w:rPr>
        <w:t>不接受联合体</w:t>
      </w:r>
      <w:r>
        <w:rPr>
          <w:rFonts w:hint="eastAsia" w:ascii="宋体" w:hAnsi="宋体" w:eastAsia="宋体" w:cs="宋体"/>
          <w:color w:val="auto"/>
          <w:highlight w:val="none"/>
          <w:lang w:eastAsia="zh-CN"/>
        </w:rPr>
        <w:t>形式参与</w:t>
      </w:r>
      <w:r>
        <w:rPr>
          <w:rFonts w:hint="eastAsia" w:ascii="宋体" w:hAnsi="宋体" w:eastAsia="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.被长沙市轨道交通集团函告禁止在一定期限内参与轨道公司项目投标</w:t>
      </w:r>
      <w:r>
        <w:rPr>
          <w:rFonts w:hint="eastAsia" w:ascii="宋体" w:hAnsi="宋体" w:eastAsia="宋体" w:cs="宋体"/>
          <w:color w:val="auto"/>
          <w:sz w:val="21"/>
          <w:szCs w:val="21"/>
          <w:highlight w:val="none"/>
          <w:lang w:eastAsia="zh-CN"/>
        </w:rPr>
        <w:t>或谈判</w:t>
      </w:r>
      <w:r>
        <w:rPr>
          <w:rFonts w:hint="eastAsia" w:ascii="宋体" w:hAnsi="宋体" w:eastAsia="宋体" w:cs="宋体"/>
          <w:color w:val="auto"/>
          <w:sz w:val="21"/>
          <w:szCs w:val="21"/>
          <w:highlight w:val="none"/>
        </w:rPr>
        <w:t>的单位按函告内容执行。</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bCs/>
          <w:iCs/>
          <w:color w:val="auto"/>
          <w:sz w:val="21"/>
          <w:szCs w:val="21"/>
          <w:highlight w:val="none"/>
        </w:rPr>
      </w:pPr>
      <w:r>
        <w:rPr>
          <w:rFonts w:hint="eastAsia" w:ascii="宋体" w:hAnsi="宋体" w:eastAsia="宋体" w:cs="宋体"/>
          <w:b/>
          <w:bCs/>
          <w:color w:val="auto"/>
          <w:sz w:val="21"/>
          <w:szCs w:val="21"/>
          <w:highlight w:val="none"/>
        </w:rPr>
        <w:t>三、</w:t>
      </w:r>
      <w:r>
        <w:rPr>
          <w:rFonts w:hint="eastAsia" w:ascii="宋体" w:hAnsi="宋体" w:eastAsia="宋体" w:cs="宋体"/>
          <w:b/>
          <w:bCs/>
          <w:iCs/>
          <w:color w:val="auto"/>
          <w:sz w:val="21"/>
          <w:szCs w:val="21"/>
          <w:highlight w:val="none"/>
        </w:rPr>
        <w:t>评审办法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Cs/>
          <w:color w:val="auto"/>
          <w:sz w:val="21"/>
          <w:szCs w:val="21"/>
          <w:highlight w:val="none"/>
        </w:rPr>
        <w:t>本项目评审办法采用</w:t>
      </w:r>
      <w:r>
        <w:rPr>
          <w:rFonts w:hint="eastAsia" w:ascii="宋体" w:hAnsi="宋体" w:eastAsia="宋体" w:cs="宋体"/>
          <w:bCs/>
          <w:color w:val="auto"/>
          <w:sz w:val="21"/>
          <w:szCs w:val="21"/>
          <w:highlight w:val="none"/>
          <w:u w:val="none"/>
        </w:rPr>
        <w:t>经符合性审查合格后的</w:t>
      </w:r>
      <w:r>
        <w:rPr>
          <w:rFonts w:hint="eastAsia" w:ascii="宋体" w:hAnsi="宋体" w:eastAsia="宋体" w:cs="宋体"/>
          <w:bCs/>
          <w:color w:val="auto"/>
          <w:sz w:val="21"/>
          <w:szCs w:val="21"/>
          <w:highlight w:val="none"/>
          <w:u w:val="none"/>
          <w:lang w:eastAsia="zh-CN"/>
        </w:rPr>
        <w:t>最低价法。</w:t>
      </w:r>
    </w:p>
    <w:p>
      <w:pPr>
        <w:keepNext w:val="0"/>
        <w:keepLines w:val="0"/>
        <w:pageBreakBefore w:val="0"/>
        <w:widowControl w:val="0"/>
        <w:tabs>
          <w:tab w:val="left" w:pos="1629"/>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四、自主竞争性谈判文件的获取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凡有意参加谈判的单位，请于</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13</w:t>
      </w:r>
      <w:r>
        <w:rPr>
          <w:rFonts w:hint="eastAsia" w:ascii="宋体" w:hAnsi="宋体" w:eastAsia="宋体" w:cs="宋体"/>
          <w:color w:val="auto"/>
          <w:sz w:val="21"/>
          <w:szCs w:val="21"/>
          <w:highlight w:val="none"/>
        </w:rPr>
        <w:t>日至</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17</w:t>
      </w:r>
      <w:r>
        <w:rPr>
          <w:rFonts w:hint="eastAsia" w:ascii="宋体" w:hAnsi="宋体" w:eastAsia="宋体" w:cs="宋体"/>
          <w:color w:val="auto"/>
          <w:sz w:val="21"/>
          <w:szCs w:val="21"/>
          <w:highlight w:val="none"/>
        </w:rPr>
        <w:t>日登录长沙市轨道交通集团有限公司官方网站</w:t>
      </w:r>
      <w:r>
        <w:rPr>
          <w:rFonts w:hint="eastAsia" w:ascii="宋体" w:hAnsi="宋体" w:eastAsia="宋体" w:cs="宋体"/>
          <w:color w:val="auto"/>
          <w:kern w:val="0"/>
          <w:sz w:val="21"/>
          <w:szCs w:val="21"/>
          <w:highlight w:val="none"/>
        </w:rPr>
        <w:t>（http://www.hncsmtr.com/）</w:t>
      </w:r>
      <w:r>
        <w:rPr>
          <w:rFonts w:hint="eastAsia" w:ascii="宋体" w:hAnsi="宋体" w:eastAsia="宋体" w:cs="宋体"/>
          <w:color w:val="auto"/>
          <w:sz w:val="21"/>
          <w:szCs w:val="21"/>
          <w:highlight w:val="none"/>
        </w:rPr>
        <w:t>获取自主竞争性谈判文件。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iCs/>
          <w:color w:val="auto"/>
          <w:sz w:val="21"/>
          <w:szCs w:val="21"/>
          <w:highlight w:val="none"/>
        </w:rPr>
        <w:t>谈判文件的</w:t>
      </w:r>
      <w:r>
        <w:rPr>
          <w:rFonts w:hint="eastAsia" w:ascii="宋体" w:hAnsi="宋体" w:eastAsia="宋体" w:cs="宋体"/>
          <w:b/>
          <w:bCs/>
          <w:color w:val="auto"/>
          <w:sz w:val="21"/>
          <w:szCs w:val="21"/>
          <w:highlight w:val="none"/>
        </w:rPr>
        <w:t>澄清与答疑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iCs/>
          <w:color w:val="auto"/>
          <w:sz w:val="21"/>
          <w:szCs w:val="21"/>
          <w:highlight w:val="none"/>
        </w:rPr>
        <w:t>本项目不组织答疑会和现场踏勘。</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2.谈判单位若对谈判文件有任何疑问，</w:t>
      </w:r>
      <w:r>
        <w:rPr>
          <w:rFonts w:hint="eastAsia" w:ascii="宋体" w:hAnsi="宋体" w:eastAsia="宋体" w:cs="宋体"/>
          <w:color w:val="auto"/>
          <w:sz w:val="21"/>
          <w:szCs w:val="21"/>
          <w:highlight w:val="none"/>
        </w:rPr>
        <w:t>应于</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19</w:t>
      </w:r>
      <w:r>
        <w:rPr>
          <w:rFonts w:hint="eastAsia" w:ascii="宋体" w:hAnsi="宋体" w:eastAsia="宋体" w:cs="宋体"/>
          <w:color w:val="auto"/>
          <w:sz w:val="21"/>
          <w:szCs w:val="21"/>
          <w:highlight w:val="none"/>
        </w:rPr>
        <w:t>日</w:t>
      </w:r>
      <w:r>
        <w:rPr>
          <w:rFonts w:hint="eastAsia" w:ascii="宋体" w:hAnsi="宋体" w:eastAsia="宋体" w:cs="宋体"/>
          <w:iCs/>
          <w:color w:val="auto"/>
          <w:sz w:val="21"/>
          <w:szCs w:val="21"/>
          <w:highlight w:val="none"/>
        </w:rPr>
        <w:t>17：00时（含）前（节假日除外）以书面形式（经法定代表人签字或盖章，并加盖单位公章）递交至采购代理机构。</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3.在谈判截止时间前，采购单位或采购代理机构可主动地或在解答谈判单位提出的问题时对谈判文件进行澄清或修改。</w:t>
      </w:r>
    </w:p>
    <w:p>
      <w:pPr>
        <w:spacing w:line="360" w:lineRule="auto"/>
        <w:ind w:firstLine="420" w:firstLineChars="200"/>
        <w:jc w:val="left"/>
        <w:rPr>
          <w:rFonts w:hint="eastAsia" w:ascii="宋体" w:hAnsi="宋体" w:eastAsia="宋体" w:cs="宋体"/>
          <w:iCs/>
          <w:color w:val="auto"/>
          <w:szCs w:val="21"/>
          <w:highlight w:val="none"/>
        </w:rPr>
      </w:pPr>
      <w:r>
        <w:rPr>
          <w:rFonts w:hint="eastAsia" w:ascii="宋体" w:hAnsi="宋体" w:eastAsia="宋体" w:cs="宋体"/>
          <w:iCs/>
          <w:color w:val="auto"/>
          <w:szCs w:val="21"/>
          <w:highlight w:val="none"/>
        </w:rPr>
        <w:t>4.澄清或者修改的内容可能影响响应文件编制的，采购单位或采购代理机构应当在提交响应文件截止之日3个工作日前，在长沙市轨道交通集团有限公司官</w:t>
      </w:r>
      <w:r>
        <w:rPr>
          <w:rFonts w:hint="eastAsia" w:ascii="宋体" w:hAnsi="宋体" w:eastAsia="宋体" w:cs="宋体"/>
          <w:iCs/>
          <w:color w:val="auto"/>
          <w:szCs w:val="21"/>
          <w:highlight w:val="none"/>
          <w:lang w:eastAsia="zh-CN"/>
        </w:rPr>
        <w:t>方</w:t>
      </w:r>
      <w:r>
        <w:rPr>
          <w:rFonts w:hint="eastAsia" w:ascii="宋体" w:hAnsi="宋体" w:eastAsia="宋体" w:cs="宋体"/>
          <w:iCs/>
          <w:color w:val="auto"/>
          <w:szCs w:val="21"/>
          <w:highlight w:val="none"/>
        </w:rPr>
        <w:t>网</w:t>
      </w:r>
      <w:r>
        <w:rPr>
          <w:rFonts w:hint="eastAsia" w:ascii="宋体" w:hAnsi="宋体" w:eastAsia="宋体" w:cs="宋体"/>
          <w:iCs/>
          <w:color w:val="auto"/>
          <w:szCs w:val="21"/>
          <w:highlight w:val="none"/>
          <w:lang w:eastAsia="zh-CN"/>
        </w:rPr>
        <w:t>站</w:t>
      </w:r>
      <w:r>
        <w:rPr>
          <w:rFonts w:hint="eastAsia" w:ascii="宋体" w:hAnsi="宋体" w:eastAsia="宋体" w:cs="宋体"/>
          <w:iCs/>
          <w:color w:val="auto"/>
          <w:szCs w:val="21"/>
          <w:highlight w:val="none"/>
        </w:rPr>
        <w:t>（http://www.hncsmtr.com/）发布澄清或答疑文件及顺延谈判时间，敬请获得谈判文件的所有谈判单位关注，恕不另行通知，如有遗漏采购单位或代理机构不负任何责任。</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bCs/>
          <w:iCs/>
          <w:color w:val="auto"/>
          <w:sz w:val="21"/>
          <w:szCs w:val="21"/>
          <w:highlight w:val="none"/>
        </w:rPr>
      </w:pPr>
      <w:r>
        <w:rPr>
          <w:rFonts w:hint="eastAsia" w:ascii="宋体" w:hAnsi="宋体" w:eastAsia="宋体" w:cs="宋体"/>
          <w:b/>
          <w:bCs/>
          <w:color w:val="auto"/>
          <w:kern w:val="0"/>
          <w:sz w:val="21"/>
          <w:szCs w:val="21"/>
          <w:highlight w:val="none"/>
        </w:rPr>
        <w:t>六、</w:t>
      </w:r>
      <w:r>
        <w:rPr>
          <w:rFonts w:hint="eastAsia" w:ascii="宋体" w:hAnsi="宋体" w:eastAsia="宋体" w:cs="宋体"/>
          <w:b/>
          <w:bCs/>
          <w:iCs/>
          <w:color w:val="auto"/>
          <w:sz w:val="21"/>
          <w:szCs w:val="21"/>
          <w:highlight w:val="none"/>
        </w:rPr>
        <w:t>响应文件的递交</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1.响应文件递交的截止时间及谈判时间为</w:t>
      </w: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分，地点为长沙市劳动东路二段48号长沙市轨道交通运营有限公司综合楼910室。</w:t>
      </w:r>
    </w:p>
    <w:p>
      <w:pPr>
        <w:keepNext w:val="0"/>
        <w:keepLines w:val="0"/>
        <w:pageBreakBefore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2.逾期送达的或者未送达指定地点的或者未密封的响应文件，采购单位或采购代理机构将予以</w:t>
      </w:r>
      <w:r>
        <w:rPr>
          <w:rFonts w:hint="eastAsia" w:ascii="宋体" w:hAnsi="宋体" w:eastAsia="宋体" w:cs="宋体"/>
          <w:b/>
          <w:bCs/>
          <w:color w:val="auto"/>
          <w:sz w:val="21"/>
          <w:szCs w:val="21"/>
          <w:highlight w:val="none"/>
        </w:rPr>
        <w:t>拒收</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spacing w:line="360" w:lineRule="auto"/>
        <w:ind w:left="0" w:leftChars="0" w:firstLine="422" w:firstLineChars="200"/>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iCs/>
          <w:color w:val="auto"/>
          <w:sz w:val="21"/>
          <w:szCs w:val="21"/>
          <w:highlight w:val="none"/>
        </w:rPr>
        <w:t>七、采购单位及其委托的采购代理机构的名称、地址和联系方法</w:t>
      </w:r>
    </w:p>
    <w:p>
      <w:pPr>
        <w:keepNext w:val="0"/>
        <w:keepLines w:val="0"/>
        <w:pageBreakBefore w:val="0"/>
        <w:kinsoku/>
        <w:wordWrap/>
        <w:overflowPunct/>
        <w:topLinePunct w:val="0"/>
        <w:autoSpaceDE/>
        <w:autoSpaceDN/>
        <w:bidi w:val="0"/>
        <w:adjustRightInd w:val="0"/>
        <w:snapToGrid w:val="0"/>
        <w:spacing w:line="360" w:lineRule="auto"/>
        <w:ind w:left="0" w:leftChars="0" w:firstLine="413" w:firstLineChars="196"/>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采购单位：</w:t>
      </w:r>
      <w:r>
        <w:rPr>
          <w:rFonts w:hint="eastAsia" w:ascii="宋体" w:hAnsi="宋体" w:eastAsia="宋体" w:cs="宋体"/>
          <w:iCs/>
          <w:color w:val="auto"/>
          <w:sz w:val="21"/>
          <w:szCs w:val="21"/>
          <w:highlight w:val="none"/>
          <w:u w:val="none"/>
          <w:lang w:eastAsia="zh-CN"/>
        </w:rPr>
        <w:t>长沙市轨道交通运营有限公司</w:t>
      </w:r>
    </w:p>
    <w:p>
      <w:pPr>
        <w:keepNext w:val="0"/>
        <w:keepLines w:val="0"/>
        <w:pageBreakBefore w:val="0"/>
        <w:kinsoku/>
        <w:wordWrap/>
        <w:overflowPunct/>
        <w:topLinePunct w:val="0"/>
        <w:autoSpaceDE/>
        <w:autoSpaceDN/>
        <w:bidi w:val="0"/>
        <w:adjustRightInd w:val="0"/>
        <w:snapToGrid w:val="0"/>
        <w:spacing w:line="360" w:lineRule="auto"/>
        <w:ind w:left="0" w:leftChars="0" w:firstLine="411" w:firstLineChars="196"/>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bCs/>
          <w:color w:val="auto"/>
          <w:sz w:val="21"/>
          <w:szCs w:val="21"/>
          <w:highlight w:val="none"/>
          <w:lang w:eastAsia="zh-CN"/>
        </w:rPr>
        <w:t>长沙市劳动东路二段48号长沙市轨道交通运营有限公司综合楼910室</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联系人：</w:t>
      </w:r>
      <w:r>
        <w:rPr>
          <w:rFonts w:hint="eastAsia" w:ascii="宋体" w:hAnsi="宋体" w:eastAsia="宋体" w:cs="宋体"/>
          <w:bCs/>
          <w:color w:val="auto"/>
          <w:sz w:val="21"/>
          <w:szCs w:val="21"/>
          <w:highlight w:val="none"/>
          <w:lang w:eastAsia="zh-CN"/>
        </w:rPr>
        <w:t>沈工</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电  话：</w:t>
      </w:r>
      <w:r>
        <w:rPr>
          <w:rFonts w:hint="eastAsia" w:ascii="宋体" w:hAnsi="宋体" w:eastAsia="宋体" w:cs="宋体"/>
          <w:color w:val="auto"/>
          <w:szCs w:val="21"/>
          <w:highlight w:val="none"/>
          <w:lang w:eastAsia="zh-CN"/>
        </w:rPr>
        <w:t>0731-868523</w:t>
      </w:r>
      <w:r>
        <w:rPr>
          <w:rFonts w:hint="eastAsia" w:ascii="宋体" w:hAnsi="宋体" w:cs="宋体"/>
          <w:color w:val="auto"/>
          <w:szCs w:val="21"/>
          <w:highlight w:val="none"/>
          <w:lang w:val="en-US" w:eastAsia="zh-CN"/>
        </w:rPr>
        <w:t>47</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监督举报电话：</w:t>
      </w:r>
      <w:r>
        <w:rPr>
          <w:rFonts w:hint="eastAsia" w:ascii="宋体" w:hAnsi="宋体" w:eastAsia="宋体" w:cs="宋体"/>
          <w:color w:val="auto"/>
          <w:szCs w:val="21"/>
          <w:highlight w:val="none"/>
          <w:lang w:eastAsia="zh-CN"/>
        </w:rPr>
        <w:t>0731-86852248</w:t>
      </w:r>
    </w:p>
    <w:p>
      <w:pPr>
        <w:keepNext w:val="0"/>
        <w:keepLines w:val="0"/>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联系人：文工</w:t>
      </w:r>
    </w:p>
    <w:p>
      <w:pPr>
        <w:adjustRightInd w:val="0"/>
        <w:snapToGrid w:val="0"/>
        <w:spacing w:line="360" w:lineRule="auto"/>
        <w:ind w:firstLine="413" w:firstLineChars="196"/>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rPr>
        <w:t>采购代理机构：</w:t>
      </w:r>
      <w:r>
        <w:rPr>
          <w:rFonts w:hint="eastAsia" w:ascii="宋体" w:hAnsi="宋体" w:eastAsia="宋体" w:cs="宋体"/>
          <w:bCs/>
          <w:color w:val="auto"/>
          <w:szCs w:val="21"/>
          <w:highlight w:val="none"/>
          <w:lang w:eastAsia="zh-CN"/>
        </w:rPr>
        <w:t>湖南万达项目管理有限公司</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iCs/>
          <w:color w:val="auto"/>
          <w:highlight w:val="none"/>
        </w:rPr>
        <w:t>长沙市雨花区劳动东路旭辉国际广场C2栋170</w:t>
      </w:r>
      <w:r>
        <w:rPr>
          <w:rFonts w:hint="eastAsia" w:ascii="宋体" w:hAnsi="宋体" w:eastAsia="宋体" w:cs="宋体"/>
          <w:iCs/>
          <w:color w:val="auto"/>
          <w:highlight w:val="none"/>
          <w:lang w:val="en-US" w:eastAsia="zh-CN"/>
        </w:rPr>
        <w:t>7</w:t>
      </w:r>
      <w:r>
        <w:rPr>
          <w:rFonts w:hint="eastAsia" w:ascii="宋体" w:hAnsi="宋体" w:eastAsia="宋体" w:cs="宋体"/>
          <w:iCs/>
          <w:color w:val="auto"/>
          <w:highlight w:val="none"/>
        </w:rPr>
        <w:t>-171</w:t>
      </w:r>
      <w:r>
        <w:rPr>
          <w:rFonts w:hint="eastAsia" w:ascii="宋体" w:hAnsi="宋体" w:eastAsia="宋体" w:cs="宋体"/>
          <w:iCs/>
          <w:color w:val="auto"/>
          <w:highlight w:val="none"/>
          <w:lang w:val="en-US" w:eastAsia="zh-CN"/>
        </w:rPr>
        <w:t>5</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lang w:eastAsia="zh-CN"/>
        </w:rPr>
        <w:t>曹</w:t>
      </w:r>
      <w:r>
        <w:rPr>
          <w:rFonts w:hint="eastAsia" w:ascii="宋体" w:hAnsi="宋体" w:eastAsia="宋体" w:cs="宋体"/>
          <w:color w:val="auto"/>
          <w:szCs w:val="21"/>
          <w:highlight w:val="none"/>
        </w:rPr>
        <w:t>女士</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话：18973130688</w:t>
      </w:r>
    </w:p>
    <w:p>
      <w:pPr>
        <w:keepNext w:val="0"/>
        <w:keepLines w:val="0"/>
        <w:pageBreakBefore w:val="0"/>
        <w:kinsoku/>
        <w:wordWrap/>
        <w:overflowPunct/>
        <w:topLinePunct w:val="0"/>
        <w:autoSpaceDE/>
        <w:autoSpaceDN/>
        <w:bidi w:val="0"/>
        <w:adjustRightInd w:val="0"/>
        <w:snapToGrid w:val="0"/>
        <w:spacing w:line="360" w:lineRule="auto"/>
        <w:ind w:left="0" w:leftChars="0" w:firstLine="4401" w:firstLineChars="2096"/>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rPr>
        <w:t>日</w:t>
      </w: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4"/>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t>附表：</w:t>
      </w:r>
    </w:p>
    <w:p>
      <w:pPr>
        <w:pStyle w:val="42"/>
        <w:spacing w:line="450" w:lineRule="atLeast"/>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关键岗位人员最低配备要求表</w:t>
      </w:r>
    </w:p>
    <w:tbl>
      <w:tblPr>
        <w:tblStyle w:val="46"/>
        <w:tblW w:w="936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014"/>
        <w:gridCol w:w="6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9" w:hRule="atLeast"/>
          <w:jc w:val="center"/>
        </w:trPr>
        <w:tc>
          <w:tcPr>
            <w:tcW w:w="3014"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关键岗位人员最低配备要求</w:t>
            </w:r>
          </w:p>
        </w:tc>
        <w:tc>
          <w:tcPr>
            <w:tcW w:w="6346"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7" w:hRule="atLeast"/>
          <w:jc w:val="center"/>
        </w:trPr>
        <w:tc>
          <w:tcPr>
            <w:tcW w:w="3014"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现场施工部关键岗位人员按湘建建【2015】57号文最低配备如下：</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项目负责人1人、施工员1人、安全员1人</w:t>
            </w:r>
          </w:p>
        </w:tc>
        <w:tc>
          <w:tcPr>
            <w:tcW w:w="6346" w:type="dxa"/>
            <w:noWrap w:val="0"/>
            <w:vAlign w:val="center"/>
          </w:tcPr>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拟任项目负责人应附注册建造师证、B类安全生产考核合格证；</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安全员应附C类安全生产考核合格证；</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项目负责人、安全员提供由劳动保障部门出具的谈判响应文件递交截止时间前半年内连续三个月的社保证明；</w:t>
            </w:r>
          </w:p>
          <w:p>
            <w:pPr>
              <w:pStyle w:val="4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岗位资格证书注明了单位名称的，应与本人执业单位一致。</w:t>
            </w:r>
          </w:p>
        </w:tc>
      </w:tr>
    </w:tbl>
    <w:p>
      <w:pPr>
        <w:widowControl/>
        <w:spacing w:line="357" w:lineRule="atLeas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注：在项目实施过程中，现场监理部关键岗位人员配备应按《湖南省建设工程施工项目部和现场监理部关键岗位人员配备管理办法》（湘建建【2015】57号文）的规定执行。</w:t>
      </w:r>
    </w:p>
    <w:p>
      <w:pPr>
        <w:pStyle w:val="4"/>
        <w:keepNext w:val="0"/>
        <w:spacing w:after="240"/>
        <w:rPr>
          <w:rFonts w:hint="eastAsia" w:ascii="宋体" w:hAnsi="宋体" w:eastAsia="宋体" w:cs="宋体"/>
          <w:bCs w:val="0"/>
          <w:color w:val="auto"/>
          <w:sz w:val="32"/>
          <w:szCs w:val="32"/>
          <w:highlight w:val="none"/>
        </w:rPr>
      </w:pPr>
      <w:r>
        <w:rPr>
          <w:rFonts w:hint="eastAsia" w:ascii="宋体" w:hAnsi="宋体" w:eastAsia="宋体" w:cs="宋体"/>
          <w:b w:val="0"/>
          <w:bCs w:val="0"/>
          <w:color w:val="auto"/>
          <w:sz w:val="32"/>
          <w:szCs w:val="32"/>
          <w:highlight w:val="none"/>
        </w:rPr>
        <w:br w:type="page"/>
      </w:r>
      <w:bookmarkStart w:id="5" w:name="_Toc6753"/>
      <w:bookmarkStart w:id="6" w:name="_Toc26282"/>
      <w:bookmarkStart w:id="7" w:name="_Toc8914"/>
      <w:bookmarkStart w:id="8" w:name="_Toc5145"/>
      <w:bookmarkStart w:id="9" w:name="_Toc14891065"/>
      <w:r>
        <w:rPr>
          <w:rFonts w:hint="eastAsia" w:ascii="宋体" w:hAnsi="宋体" w:eastAsia="宋体" w:cs="宋体"/>
          <w:bCs w:val="0"/>
          <w:color w:val="auto"/>
          <w:sz w:val="32"/>
          <w:szCs w:val="32"/>
          <w:highlight w:val="none"/>
        </w:rPr>
        <w:t xml:space="preserve">第二章 </w:t>
      </w: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32"/>
          <w:szCs w:val="32"/>
          <w:highlight w:val="none"/>
        </w:rPr>
        <w:t>谈判须知</w:t>
      </w:r>
      <w:bookmarkEnd w:id="5"/>
      <w:bookmarkEnd w:id="6"/>
      <w:bookmarkEnd w:id="7"/>
      <w:bookmarkEnd w:id="8"/>
      <w:bookmarkEnd w:id="9"/>
    </w:p>
    <w:p>
      <w:pPr>
        <w:pStyle w:val="5"/>
        <w:keepNext w:val="0"/>
        <w:keepLines w:val="0"/>
        <w:jc w:val="center"/>
        <w:rPr>
          <w:rFonts w:hint="eastAsia" w:ascii="宋体" w:hAnsi="宋体" w:eastAsia="宋体" w:cs="宋体"/>
          <w:color w:val="auto"/>
          <w:sz w:val="21"/>
          <w:szCs w:val="21"/>
          <w:highlight w:val="none"/>
        </w:rPr>
      </w:pPr>
      <w:bookmarkStart w:id="10" w:name="_Toc9591"/>
      <w:bookmarkStart w:id="11" w:name="_Toc6617"/>
      <w:bookmarkStart w:id="12" w:name="_Toc17682"/>
      <w:bookmarkStart w:id="13" w:name="_Toc14891066"/>
      <w:bookmarkStart w:id="14" w:name="_Toc5430"/>
      <w:r>
        <w:rPr>
          <w:rFonts w:hint="eastAsia" w:ascii="宋体" w:hAnsi="宋体" w:eastAsia="宋体" w:cs="宋体"/>
          <w:color w:val="auto"/>
          <w:sz w:val="32"/>
          <w:szCs w:val="32"/>
          <w:highlight w:val="none"/>
        </w:rPr>
        <w:t>谈判须知前附表</w:t>
      </w:r>
      <w:bookmarkEnd w:id="10"/>
      <w:bookmarkEnd w:id="11"/>
      <w:bookmarkEnd w:id="12"/>
      <w:bookmarkEnd w:id="13"/>
      <w:bookmarkEnd w:id="14"/>
    </w:p>
    <w:tbl>
      <w:tblPr>
        <w:tblStyle w:val="46"/>
        <w:tblW w:w="96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77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9" w:hRule="atLeast"/>
          <w:tblHeader/>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  称</w:t>
            </w:r>
          </w:p>
        </w:tc>
        <w:tc>
          <w:tcPr>
            <w:tcW w:w="7788"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2"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采购项目</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iCs/>
                <w:color w:val="auto"/>
                <w:sz w:val="21"/>
                <w:szCs w:val="21"/>
                <w:highlight w:val="none"/>
                <w:u w:val="none"/>
                <w:lang w:eastAsia="zh-CN"/>
              </w:rPr>
              <w:t>长沙市轨道交通2号线运营期OCC裙楼4楼调度部生活间、黄兴车辆段谈话室、监控旁听室、档案室加装防火门、荣誉室改造工程项目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采购单位</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iCs/>
                <w:color w:val="auto"/>
                <w:sz w:val="21"/>
                <w:szCs w:val="21"/>
                <w:highlight w:val="none"/>
                <w:u w:val="none"/>
                <w:lang w:eastAsia="zh-CN"/>
              </w:rPr>
              <w:t>长沙市轨道交通运营有限公司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采购代理机构</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color w:val="auto"/>
                <w:sz w:val="21"/>
                <w:szCs w:val="21"/>
                <w:highlight w:val="none"/>
                <w:lang w:eastAsia="zh-CN"/>
              </w:rPr>
              <w:t>湖南万达项目管理有限公司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最高限价</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209444.50元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评审办法</w:t>
            </w:r>
          </w:p>
        </w:tc>
        <w:tc>
          <w:tcPr>
            <w:tcW w:w="7788" w:type="dxa"/>
            <w:vAlign w:val="center"/>
          </w:tcPr>
          <w:p>
            <w:pPr>
              <w:adjustRightInd w:val="0"/>
              <w:snapToGrid w:val="0"/>
              <w:spacing w:line="360" w:lineRule="auto"/>
              <w:jc w:val="left"/>
              <w:rPr>
                <w:rFonts w:hint="eastAsia" w:ascii="宋体" w:hAnsi="宋体" w:eastAsia="宋体" w:cs="宋体"/>
                <w:iCs/>
                <w:color w:val="auto"/>
                <w:sz w:val="21"/>
                <w:szCs w:val="21"/>
                <w:highlight w:val="none"/>
                <w:lang w:eastAsia="zh-CN"/>
              </w:rPr>
            </w:pPr>
            <w:r>
              <w:rPr>
                <w:rFonts w:hint="eastAsia" w:ascii="宋体" w:hAnsi="宋体" w:eastAsia="宋体" w:cs="宋体"/>
                <w:iCs/>
                <w:color w:val="auto"/>
                <w:sz w:val="21"/>
                <w:szCs w:val="21"/>
                <w:highlight w:val="none"/>
              </w:rPr>
              <w:t>本项目评审办法采用</w:t>
            </w:r>
            <w:r>
              <w:rPr>
                <w:rFonts w:hint="eastAsia" w:ascii="宋体" w:hAnsi="宋体" w:eastAsia="宋体" w:cs="宋体"/>
                <w:iCs/>
                <w:color w:val="auto"/>
                <w:sz w:val="21"/>
                <w:szCs w:val="21"/>
                <w:highlight w:val="none"/>
                <w:u w:val="none"/>
              </w:rPr>
              <w:t>经符合性审查</w:t>
            </w:r>
            <w:r>
              <w:rPr>
                <w:rFonts w:hint="eastAsia" w:ascii="宋体" w:hAnsi="宋体" w:eastAsia="宋体" w:cs="宋体"/>
                <w:iCs/>
                <w:color w:val="auto"/>
                <w:sz w:val="21"/>
                <w:szCs w:val="21"/>
                <w:highlight w:val="none"/>
                <w:u w:val="none"/>
                <w:lang w:eastAsia="zh-CN"/>
              </w:rPr>
              <w:t>合格</w:t>
            </w:r>
            <w:r>
              <w:rPr>
                <w:rFonts w:hint="eastAsia" w:ascii="宋体" w:hAnsi="宋体" w:eastAsia="宋体" w:cs="宋体"/>
                <w:iCs/>
                <w:color w:val="auto"/>
                <w:sz w:val="21"/>
                <w:szCs w:val="21"/>
                <w:highlight w:val="none"/>
                <w:u w:val="none"/>
              </w:rPr>
              <w:t>后的</w:t>
            </w:r>
            <w:r>
              <w:rPr>
                <w:rFonts w:hint="eastAsia" w:ascii="宋体" w:hAnsi="宋体" w:eastAsia="宋体" w:cs="宋体"/>
                <w:iCs/>
                <w:color w:val="auto"/>
                <w:sz w:val="21"/>
                <w:szCs w:val="21"/>
                <w:highlight w:val="none"/>
                <w:u w:val="none"/>
                <w:lang w:val="en-US" w:eastAsia="zh-CN"/>
              </w:rPr>
              <w:t>最低价法</w:t>
            </w:r>
            <w:r>
              <w:rPr>
                <w:rFonts w:hint="eastAsia" w:ascii="宋体" w:hAnsi="宋体" w:eastAsia="宋体" w:cs="宋体"/>
                <w:iCs/>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6"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资格要求</w:t>
            </w:r>
          </w:p>
        </w:tc>
        <w:tc>
          <w:tcPr>
            <w:tcW w:w="7788" w:type="dxa"/>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1.谈判单位须为具有独立法人资格、自主经营、独立核算的公司。</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2.谈判单位须具有建筑工程施工总承包三级（含）以上或建筑装修装饰工程专业承包二级（含）以上资质，须具有有效的施工企业《安全生产许可证》。</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3.本项目现场施工部关键岗位人员最低配备按《湖南省建设工程施工项目部和现场监理部关键岗位人员配备管理办法》湘建建〔2015〕57号文执行（详见附表）。</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4.湖南省外企业须按照湘建建【2015】190号文件要求办理省外入湘企业基本情况登记（以“湖南省住房和城乡建设网”查询为准）或具有入湘施工登记证（处于有效期内）。</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5.本项目不接受联合体形式参与。</w:t>
            </w:r>
          </w:p>
          <w:p>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6.被长沙市轨道交通集团函告禁止在一定期限内参与轨道公司项目投标或谈判的单位按函告内容执行。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谈判答疑文件递交截止时间</w:t>
            </w:r>
          </w:p>
        </w:tc>
        <w:tc>
          <w:tcPr>
            <w:tcW w:w="7788" w:type="dxa"/>
            <w:vAlign w:val="center"/>
          </w:tcPr>
          <w:p>
            <w:pPr>
              <w:pStyle w:val="26"/>
              <w:adjustRightInd w:val="0"/>
              <w:snapToGrid w:val="0"/>
              <w:spacing w:line="360" w:lineRule="auto"/>
              <w:rPr>
                <w:rFonts w:hint="eastAsia" w:ascii="宋体" w:hAnsi="宋体" w:eastAsia="宋体" w:cs="宋体"/>
                <w:color w:val="auto"/>
                <w:sz w:val="21"/>
                <w:szCs w:val="21"/>
                <w:highlight w:val="none"/>
              </w:rPr>
            </w:pPr>
            <w:r>
              <w:rPr>
                <w:rFonts w:hint="eastAsia"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月</w:t>
            </w:r>
            <w:r>
              <w:rPr>
                <w:rFonts w:hint="eastAsia" w:hAnsi="宋体" w:cs="宋体"/>
                <w:color w:val="auto"/>
                <w:sz w:val="21"/>
                <w:szCs w:val="21"/>
                <w:highlight w:val="none"/>
                <w:u w:val="single"/>
                <w:lang w:val="en-US" w:eastAsia="zh-CN"/>
              </w:rPr>
              <w:t>19</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u w:val="single"/>
                <w:lang w:val="en-US" w:eastAsia="zh-CN"/>
              </w:rPr>
              <w:t>17</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4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谈判答疑文件递交方式及地点</w:t>
            </w:r>
          </w:p>
        </w:tc>
        <w:tc>
          <w:tcPr>
            <w:tcW w:w="7788" w:type="dxa"/>
            <w:vAlign w:val="center"/>
          </w:tcPr>
          <w:p>
            <w:pPr>
              <w:pStyle w:val="26"/>
              <w:adjustRightInd w:val="0"/>
              <w:snapToGrid w:val="0"/>
              <w:spacing w:line="360" w:lineRule="auto"/>
              <w:rPr>
                <w:rFonts w:hint="eastAsia" w:ascii="宋体" w:hAnsi="宋体" w:eastAsia="宋体" w:cs="宋体"/>
                <w:iCs/>
                <w:color w:val="auto"/>
                <w:sz w:val="21"/>
                <w:szCs w:val="21"/>
                <w:highlight w:val="none"/>
              </w:rPr>
            </w:pPr>
            <w:r>
              <w:rPr>
                <w:rFonts w:hint="eastAsia" w:ascii="宋体" w:hAnsi="宋体" w:eastAsia="宋体" w:cs="宋体"/>
                <w:color w:val="auto"/>
                <w:szCs w:val="22"/>
                <w:highlight w:val="none"/>
              </w:rPr>
              <w:t>谈判答疑文件应以书面形式递交至</w:t>
            </w:r>
            <w:r>
              <w:rPr>
                <w:rFonts w:hint="eastAsia" w:ascii="宋体" w:hAnsi="宋体" w:eastAsia="宋体" w:cs="宋体"/>
                <w:bCs/>
                <w:color w:val="auto"/>
                <w:highlight w:val="none"/>
                <w:lang w:eastAsia="zh-CN"/>
              </w:rPr>
              <w:t>湖南万达项目管理有限公司</w:t>
            </w:r>
            <w:r>
              <w:rPr>
                <w:rFonts w:hint="eastAsia" w:ascii="宋体" w:hAnsi="宋体" w:eastAsia="宋体" w:cs="宋体"/>
                <w:bCs/>
                <w:color w:val="auto"/>
                <w:highlight w:val="none"/>
              </w:rPr>
              <w:t>（</w:t>
            </w:r>
            <w:r>
              <w:rPr>
                <w:rFonts w:hint="eastAsia" w:ascii="宋体" w:hAnsi="宋体" w:eastAsia="宋体" w:cs="宋体"/>
                <w:bCs/>
                <w:color w:val="auto"/>
                <w:highlight w:val="none"/>
                <w:u w:val="single"/>
              </w:rPr>
              <w:t>长沙市雨花区劳动东路旭辉国际广场C2栋1707-1715</w:t>
            </w:r>
            <w:r>
              <w:rPr>
                <w:rFonts w:hint="eastAsia" w:ascii="宋体" w:hAnsi="宋体" w:eastAsia="宋体" w:cs="宋体"/>
                <w:bCs/>
                <w:color w:val="auto"/>
                <w:highlight w:val="none"/>
              </w:rPr>
              <w:t>）</w:t>
            </w:r>
            <w:r>
              <w:rPr>
                <w:rFonts w:hint="eastAsia" w:ascii="宋体" w:hAnsi="宋体" w:eastAsia="宋体" w:cs="宋体"/>
                <w:color w:val="auto"/>
                <w:szCs w:val="22"/>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1"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响应文件的递交截止及谈判时间</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u w:val="single"/>
                <w:lang w:val="en-US" w:eastAsia="zh-CN"/>
              </w:rPr>
              <w:t>2020</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14</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响应文件的递交及谈判地点</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长沙市劳动东路二段48号长沙市轨道交通运营有限公司综合楼910室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谈判现场验证须提交的资料</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iCs/>
                <w:color w:val="auto"/>
                <w:sz w:val="21"/>
                <w:szCs w:val="21"/>
                <w:highlight w:val="none"/>
              </w:rPr>
              <w:t>1.谈判单位代表是谈判单位法定代表人参加的，法定代表人须提供法定代表人身份证明书原件</w:t>
            </w:r>
            <w:r>
              <w:rPr>
                <w:rFonts w:hint="eastAsia" w:ascii="宋体" w:hAnsi="宋体" w:eastAsia="宋体" w:cs="宋体"/>
                <w:b/>
                <w:bCs/>
                <w:iCs/>
                <w:color w:val="auto"/>
                <w:sz w:val="21"/>
                <w:szCs w:val="21"/>
                <w:highlight w:val="none"/>
              </w:rPr>
              <w:t>（格式详见本文件第</w:t>
            </w:r>
            <w:r>
              <w:rPr>
                <w:rFonts w:hint="eastAsia" w:ascii="宋体" w:hAnsi="宋体" w:eastAsia="宋体" w:cs="宋体"/>
                <w:b/>
                <w:bCs/>
                <w:iCs/>
                <w:color w:val="auto"/>
                <w:sz w:val="21"/>
                <w:szCs w:val="21"/>
                <w:highlight w:val="none"/>
                <w:lang w:eastAsia="zh-CN"/>
              </w:rPr>
              <w:t>七</w:t>
            </w:r>
            <w:r>
              <w:rPr>
                <w:rFonts w:hint="eastAsia" w:ascii="宋体" w:hAnsi="宋体" w:eastAsia="宋体" w:cs="宋体"/>
                <w:b/>
                <w:bCs/>
                <w:iCs/>
                <w:color w:val="auto"/>
                <w:sz w:val="21"/>
                <w:szCs w:val="21"/>
                <w:highlight w:val="none"/>
              </w:rPr>
              <w:t>章）</w:t>
            </w:r>
            <w:r>
              <w:rPr>
                <w:rFonts w:hint="eastAsia" w:ascii="宋体" w:hAnsi="宋体" w:eastAsia="宋体" w:cs="宋体"/>
                <w:color w:val="auto"/>
                <w:sz w:val="21"/>
                <w:szCs w:val="21"/>
                <w:highlight w:val="none"/>
              </w:rPr>
              <w:t>及本人身份证原件。</w:t>
            </w:r>
          </w:p>
          <w:p>
            <w:pPr>
              <w:adjustRightInd w:val="0"/>
              <w:snapToGrid w:val="0"/>
              <w:spacing w:line="360" w:lineRule="auto"/>
              <w:jc w:val="left"/>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rPr>
              <w:t>2.谈判单位代表是由谈判单位法定代表人授权的委托代理人参加的，其授权委托代理人须提供授权委托书原件</w:t>
            </w:r>
            <w:r>
              <w:rPr>
                <w:rFonts w:hint="eastAsia" w:ascii="宋体" w:hAnsi="宋体" w:eastAsia="宋体" w:cs="宋体"/>
                <w:b/>
                <w:color w:val="auto"/>
                <w:sz w:val="21"/>
                <w:szCs w:val="21"/>
                <w:highlight w:val="none"/>
              </w:rPr>
              <w:t>（格式详见本文件</w:t>
            </w:r>
            <w:r>
              <w:rPr>
                <w:rFonts w:hint="eastAsia" w:ascii="宋体" w:hAnsi="宋体" w:eastAsia="宋体" w:cs="宋体"/>
                <w:b/>
                <w:bCs/>
                <w:iCs/>
                <w:color w:val="auto"/>
                <w:sz w:val="21"/>
                <w:szCs w:val="21"/>
                <w:highlight w:val="none"/>
              </w:rPr>
              <w:t>第</w:t>
            </w:r>
            <w:r>
              <w:rPr>
                <w:rFonts w:hint="eastAsia" w:ascii="宋体" w:hAnsi="宋体" w:eastAsia="宋体" w:cs="宋体"/>
                <w:b/>
                <w:bCs/>
                <w:iCs/>
                <w:color w:val="auto"/>
                <w:sz w:val="21"/>
                <w:szCs w:val="21"/>
                <w:highlight w:val="none"/>
                <w:lang w:eastAsia="zh-CN"/>
              </w:rPr>
              <w:t>七</w:t>
            </w:r>
            <w:r>
              <w:rPr>
                <w:rFonts w:hint="eastAsia" w:ascii="宋体" w:hAnsi="宋体" w:eastAsia="宋体" w:cs="宋体"/>
                <w:b/>
                <w:bCs/>
                <w:iCs/>
                <w:color w:val="auto"/>
                <w:sz w:val="21"/>
                <w:szCs w:val="21"/>
                <w:highlight w:val="none"/>
              </w:rPr>
              <w:t>章</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及本人身份证原件。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7"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响应文件有效期</w:t>
            </w:r>
          </w:p>
        </w:tc>
        <w:tc>
          <w:tcPr>
            <w:tcW w:w="7788" w:type="dxa"/>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180日历天</w:t>
            </w:r>
            <w:r>
              <w:rPr>
                <w:rFonts w:hint="eastAsia" w:ascii="宋体" w:hAnsi="宋体" w:eastAsia="宋体" w:cs="宋体"/>
                <w:color w:val="auto"/>
                <w:sz w:val="21"/>
                <w:szCs w:val="21"/>
                <w:highlight w:val="none"/>
              </w:rPr>
              <w:t>，从谈判截止之日起算。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响应文件份数</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响应文件纸质文件一式三份（其中正本一份，副本二份），电子文件（U盘或光盘）一份。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6"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价格承包内容</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本项目为</w:t>
            </w:r>
            <w:r>
              <w:rPr>
                <w:rFonts w:hint="eastAsia" w:ascii="宋体" w:hAnsi="宋体" w:eastAsia="宋体" w:cs="宋体"/>
                <w:color w:val="auto"/>
                <w:highlight w:val="none"/>
                <w:lang w:val="en-US" w:eastAsia="zh-CN"/>
              </w:rPr>
              <w:t>单价合同，</w:t>
            </w:r>
            <w:r>
              <w:rPr>
                <w:rFonts w:hint="eastAsia" w:ascii="宋体" w:hAnsi="宋体" w:eastAsia="宋体" w:cs="宋体"/>
                <w:color w:val="auto"/>
                <w:highlight w:val="none"/>
                <w:lang w:eastAsia="zh-CN"/>
              </w:rPr>
              <w:t>合同单</w:t>
            </w:r>
            <w:r>
              <w:rPr>
                <w:rFonts w:hint="eastAsia" w:ascii="宋体" w:hAnsi="宋体" w:eastAsia="宋体" w:cs="宋体"/>
                <w:color w:val="auto"/>
                <w:highlight w:val="none"/>
              </w:rPr>
              <w:t>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highlight w:val="none"/>
                <w:lang w:eastAsia="zh-CN"/>
              </w:rPr>
              <w:t>最终结算价格不得超过签约合同价。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3"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项目支付方式</w:t>
            </w:r>
          </w:p>
        </w:tc>
        <w:tc>
          <w:tcPr>
            <w:tcW w:w="778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本工程无预付款，在工程竣工验收合格移交竣工资料后，支付至实际竣工计量金额的70%，但支付金额不得超过合同价的</w:t>
            </w:r>
            <w:r>
              <w:rPr>
                <w:rFonts w:hint="eastAsia" w:ascii="宋体" w:hAnsi="宋体" w:eastAsia="宋体" w:cs="宋体"/>
                <w:color w:val="auto"/>
                <w:highlight w:val="none"/>
                <w:lang w:val="en-US" w:eastAsia="zh-CN"/>
              </w:rPr>
              <w:t>70%</w:t>
            </w:r>
            <w:r>
              <w:rPr>
                <w:rFonts w:hint="eastAsia" w:ascii="宋体" w:hAnsi="宋体" w:eastAsia="宋体" w:cs="宋体"/>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工程竣工结算</w:t>
            </w:r>
            <w:r>
              <w:rPr>
                <w:rFonts w:hint="eastAsia" w:ascii="宋体" w:hAnsi="宋体" w:eastAsia="宋体" w:cs="宋体"/>
                <w:color w:val="auto"/>
                <w:highlight w:val="none"/>
                <w:lang w:val="en-US" w:eastAsia="zh-CN"/>
              </w:rPr>
              <w:t>经甲方审定后，支付至结算价格</w:t>
            </w:r>
            <w:r>
              <w:rPr>
                <w:rFonts w:hint="eastAsia" w:ascii="宋体" w:hAnsi="宋体" w:eastAsia="宋体" w:cs="宋体"/>
                <w:color w:val="auto"/>
                <w:highlight w:val="none"/>
                <w:lang w:eastAsia="zh-CN"/>
              </w:rPr>
              <w:t>的9</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%（开具本合同总价款100%、合法有效的增值税专用发票原件），剩下的</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%作为工程质量保证金，在已办理结算的前提下，保修期满后如无任何质量问题一次性无息付清；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3.本合同以人民币结算，并采用银行转账方式支付；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所有支付均在收到乙方提供的以下资料后支付：</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）经甲方审批同意的支付申请和相关资料；</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）相应的税务发票原件；</w:t>
            </w:r>
          </w:p>
          <w:p>
            <w:pPr>
              <w:pStyle w:val="2"/>
              <w:adjustRightInd w:val="0"/>
              <w:snapToGrid w:val="0"/>
              <w:spacing w:after="0"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）本合同约定的其他结算资料。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信息发布</w:t>
            </w:r>
          </w:p>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指定媒体</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长沙市轨道交通集团有限公司</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"http://www.hncsmtr.com/" </w:instrText>
            </w:r>
            <w:r>
              <w:rPr>
                <w:rFonts w:hint="eastAsia" w:ascii="宋体" w:hAnsi="宋体" w:eastAsia="宋体" w:cs="宋体"/>
                <w:color w:val="auto"/>
                <w:sz w:val="21"/>
                <w:szCs w:val="21"/>
                <w:highlight w:val="none"/>
              </w:rPr>
              <w:fldChar w:fldCharType="separate"/>
            </w:r>
            <w:r>
              <w:rPr>
                <w:rStyle w:val="55"/>
                <w:rFonts w:hint="eastAsia" w:ascii="宋体" w:hAnsi="宋体" w:eastAsia="宋体" w:cs="宋体"/>
                <w:color w:val="auto"/>
                <w:sz w:val="21"/>
                <w:szCs w:val="21"/>
                <w:highlight w:val="none"/>
              </w:rPr>
              <w:t>http://www.hncsmtr.com/</w:t>
            </w:r>
            <w:r>
              <w:rPr>
                <w:rStyle w:val="55"/>
                <w:rFonts w:hint="eastAsia" w:ascii="宋体" w:hAnsi="宋体" w:eastAsia="宋体" w:cs="宋体"/>
                <w:color w:val="auto"/>
                <w:sz w:val="21"/>
                <w:szCs w:val="21"/>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采购代理服务费</w:t>
            </w:r>
          </w:p>
        </w:tc>
        <w:tc>
          <w:tcPr>
            <w:tcW w:w="7788" w:type="dxa"/>
            <w:vAlign w:val="center"/>
          </w:tcPr>
          <w:p>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代理服务费以中选价为基数，按《招标代理服务收费汇率表》(附件)计算，服务费超过2万元的，按2万元计取，服务费低于5000元的，按5000元计取。由中选单位全额支付，中选单位应在本项目完成中选通知书备案、资料归档等手续，且接到采购人的通知后，向采购代理机构缴纳采购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 w:hRule="atLeast"/>
          <w:jc w:val="center"/>
        </w:trPr>
        <w:tc>
          <w:tcPr>
            <w:tcW w:w="1864" w:type="dxa"/>
            <w:vAlign w:val="center"/>
          </w:tcPr>
          <w:p>
            <w:pPr>
              <w:adjustRightInd w:val="0"/>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其他规定</w:t>
            </w:r>
          </w:p>
        </w:tc>
        <w:tc>
          <w:tcPr>
            <w:tcW w:w="7788" w:type="dxa"/>
            <w:vAlign w:val="center"/>
          </w:tcPr>
          <w:p>
            <w:pPr>
              <w:adjustRightInd w:val="0"/>
              <w:snapToGrid w:val="0"/>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违约条款：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承包人因自身</w:t>
            </w:r>
            <w:r>
              <w:rPr>
                <w:rFonts w:hint="eastAsia" w:ascii="宋体" w:hAnsi="宋体" w:eastAsia="宋体" w:cs="宋体"/>
                <w:color w:val="auto"/>
                <w:highlight w:val="none"/>
                <w:lang w:val="en-US" w:eastAsia="zh-CN"/>
              </w:rPr>
              <w:t>原因</w:t>
            </w:r>
            <w:r>
              <w:rPr>
                <w:rFonts w:hint="eastAsia" w:ascii="宋体" w:hAnsi="宋体" w:eastAsia="宋体" w:cs="宋体"/>
                <w:color w:val="auto"/>
                <w:highlight w:val="none"/>
              </w:rPr>
              <w:t>未能按合同要求完成工程施工的，每延误一天应向发包人交纳500元的违约金。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承包人违反合同约定采购和使用不合格的材料和工程设备，每查实一次应按2000元/次向发包人交纳违约金，并负责更换合格的材料和工程设备直至发包人满意为止，由此产生的相关费用由承包人承担。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在施工过程中，</w:t>
            </w:r>
            <w:r>
              <w:rPr>
                <w:rFonts w:hint="eastAsia" w:ascii="宋体" w:hAnsi="宋体" w:eastAsia="宋体" w:cs="宋体"/>
                <w:color w:val="auto"/>
                <w:highlight w:val="none"/>
                <w:lang w:val="en-US" w:eastAsia="zh-CN"/>
              </w:rPr>
              <w:t>承包人</w:t>
            </w:r>
            <w:r>
              <w:rPr>
                <w:rFonts w:hint="eastAsia" w:ascii="宋体" w:hAnsi="宋体" w:eastAsia="宋体" w:cs="宋体"/>
                <w:color w:val="auto"/>
                <w:highlight w:val="none"/>
              </w:rPr>
              <w:t>存在质量安全隐患及不文明行为情况，且未根据相关部门要求及时整改的，承包人应向发包人交纳2000元/次·处的违约金，并通报批评。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在施工过程中，发生一般等级及以上质量安全责任事故的，按照国家相关规定调查处理，由承包人承担相应的责任和损失，承包人应向发包人交纳1万元的违约金。</w:t>
            </w:r>
          </w:p>
        </w:tc>
      </w:tr>
    </w:tbl>
    <w:p>
      <w:pPr>
        <w:keepNext w:val="0"/>
        <w:keepLines w:val="0"/>
        <w:jc w:val="center"/>
        <w:outlineLvl w:val="9"/>
        <w:rPr>
          <w:rFonts w:hint="eastAsia" w:ascii="宋体" w:hAnsi="宋体" w:eastAsia="宋体" w:cs="宋体"/>
          <w:color w:val="auto"/>
          <w:sz w:val="30"/>
          <w:szCs w:val="30"/>
          <w:highlight w:val="none"/>
        </w:rPr>
      </w:pPr>
      <w:bookmarkStart w:id="15" w:name="_Toc14891067"/>
    </w:p>
    <w:p>
      <w:pPr>
        <w:widowControl/>
        <w:jc w:val="left"/>
        <w:rPr>
          <w:rFonts w:hint="eastAsia" w:ascii="宋体" w:hAnsi="宋体" w:eastAsia="宋体" w:cs="宋体"/>
          <w:color w:val="auto"/>
          <w:highlight w:val="none"/>
        </w:rPr>
        <w:sectPr>
          <w:footerReference r:id="rId4" w:type="default"/>
          <w:pgSz w:w="11906" w:h="16838"/>
          <w:pgMar w:top="1191" w:right="1417" w:bottom="1191" w:left="1191" w:header="851" w:footer="851" w:gutter="0"/>
          <w:pgNumType w:fmt="decimal" w:start="1"/>
          <w:cols w:space="720" w:num="1"/>
          <w:docGrid w:linePitch="312" w:charSpace="0"/>
        </w:sectPr>
      </w:pPr>
    </w:p>
    <w:p>
      <w:pPr>
        <w:pStyle w:val="14"/>
        <w:rPr>
          <w:rFonts w:hint="eastAsia" w:ascii="宋体" w:hAnsi="宋体" w:eastAsia="宋体" w:cs="宋体"/>
          <w:color w:val="auto"/>
          <w:highlight w:val="none"/>
        </w:rPr>
      </w:pPr>
    </w:p>
    <w:p>
      <w:pPr>
        <w:pStyle w:val="5"/>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b/>
          <w:bCs/>
          <w:color w:val="auto"/>
          <w:sz w:val="32"/>
          <w:szCs w:val="32"/>
          <w:highlight w:val="none"/>
        </w:rPr>
      </w:pPr>
      <w:bookmarkStart w:id="16" w:name="_Toc26157"/>
      <w:bookmarkStart w:id="17" w:name="_Toc30640"/>
      <w:bookmarkStart w:id="18" w:name="_Toc11980"/>
      <w:bookmarkStart w:id="19" w:name="_Toc16939"/>
      <w:r>
        <w:rPr>
          <w:rFonts w:hint="eastAsia" w:ascii="宋体" w:hAnsi="宋体" w:eastAsia="宋体" w:cs="宋体"/>
          <w:b/>
          <w:bCs/>
          <w:color w:val="auto"/>
          <w:sz w:val="32"/>
          <w:szCs w:val="32"/>
          <w:highlight w:val="none"/>
        </w:rPr>
        <w:t>谈判须知正文</w:t>
      </w:r>
      <w:bookmarkEnd w:id="15"/>
      <w:bookmarkEnd w:id="16"/>
      <w:bookmarkEnd w:id="17"/>
      <w:bookmarkEnd w:id="18"/>
      <w:bookmarkEnd w:id="19"/>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0" w:name="_Toc14891068"/>
      <w:bookmarkStart w:id="21" w:name="_Toc25658"/>
      <w:r>
        <w:rPr>
          <w:rFonts w:hint="eastAsia" w:ascii="宋体" w:hAnsi="宋体" w:eastAsia="宋体" w:cs="宋体"/>
          <w:color w:val="auto"/>
          <w:sz w:val="21"/>
          <w:szCs w:val="21"/>
          <w:highlight w:val="none"/>
        </w:rPr>
        <w:t>一、说明</w:t>
      </w:r>
      <w:bookmarkEnd w:id="20"/>
      <w:bookmarkEnd w:id="21"/>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color w:val="auto"/>
          <w:sz w:val="21"/>
          <w:szCs w:val="21"/>
          <w:highlight w:val="none"/>
        </w:rPr>
        <w:t>本《自主竞争性谈判文件》（以下简称“谈判文件”）仅适用于谈判须知前附表(以下简称前附表)中所叙述的采购项目。</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2.本谈判文件的解释权属于长沙市轨道交通运营有限公司。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3.定义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3.1“采购单位”是指依法进行采购的法人组织。本项目的采购单位名称见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3.2“谈判单位”是指响应本谈判文件要求、参加谈判的法人组织。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3.3“采购代理机构”是指接受采购人委托，代理采购项目的机构。本采购项目的采购代理机构名称见</w:t>
      </w:r>
      <w:r>
        <w:rPr>
          <w:rFonts w:hint="eastAsia" w:ascii="宋体" w:hAnsi="宋体" w:eastAsia="宋体" w:cs="宋体"/>
          <w:b/>
          <w:bCs/>
          <w:color w:val="auto"/>
          <w:sz w:val="21"/>
          <w:szCs w:val="21"/>
          <w:highlight w:val="none"/>
        </w:rPr>
        <w:t>前附表</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3.4“谈判</w:t>
      </w:r>
      <w:r>
        <w:rPr>
          <w:rFonts w:hint="eastAsia" w:ascii="宋体" w:hAnsi="宋体" w:eastAsia="宋体" w:cs="宋体"/>
          <w:b/>
          <w:bCs/>
          <w:color w:val="auto"/>
          <w:sz w:val="21"/>
          <w:szCs w:val="21"/>
          <w:highlight w:val="none"/>
        </w:rPr>
        <w:t>评审</w:t>
      </w:r>
      <w:r>
        <w:rPr>
          <w:rFonts w:hint="eastAsia" w:ascii="宋体" w:hAnsi="宋体" w:eastAsia="宋体" w:cs="宋体"/>
          <w:color w:val="auto"/>
          <w:sz w:val="21"/>
          <w:szCs w:val="21"/>
          <w:highlight w:val="none"/>
        </w:rPr>
        <w:t>小组”是指采购单位按其规定组建，依法依规履行其职责和义务的机构。</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4.谈判单位资格要求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4.1参与谈判的单位应当符合</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中规定的资格要求；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4.2参与谈判的单位存在下列情形之一的，其</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将被</w:t>
      </w:r>
      <w:r>
        <w:rPr>
          <w:rFonts w:hint="eastAsia" w:ascii="宋体" w:hAnsi="宋体" w:eastAsia="宋体" w:cs="宋体"/>
          <w:b/>
          <w:bCs/>
          <w:color w:val="auto"/>
          <w:sz w:val="21"/>
          <w:szCs w:val="21"/>
          <w:highlight w:val="none"/>
        </w:rPr>
        <w:t>否决</w:t>
      </w:r>
      <w:r>
        <w:rPr>
          <w:rFonts w:hint="eastAsia" w:ascii="宋体" w:hAnsi="宋体" w:eastAsia="宋体" w:cs="宋体"/>
          <w:color w:val="auto"/>
          <w:sz w:val="21"/>
          <w:szCs w:val="21"/>
          <w:highlight w:val="none"/>
        </w:rPr>
        <w:t>：</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（1）与采购单位（或本项目采购代理机构）存在利害关系且可能影响采购公正性；</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（2）谈判单位法定代表人或负责人与其他谈判单位法定代表人或负责人为同一人；</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（3）与本采购项目的其他谈判单位存在控股、管理关系；</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（4）被责令停产停业、暂扣或者吊销许可证、暂扣或者吊销执照；</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（5）进入破产、清算、注销程序，或存在其他可能丧失履约能力的情形；</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（6）在国家企业信用信息公示系统中显示已被列入严重违法失信企业名单；</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strike/>
          <w:color w:val="auto"/>
          <w:sz w:val="21"/>
          <w:szCs w:val="21"/>
          <w:highlight w:val="none"/>
        </w:rPr>
      </w:pPr>
      <w:r>
        <w:rPr>
          <w:rFonts w:hint="eastAsia" w:ascii="宋体" w:hAnsi="宋体" w:eastAsia="宋体" w:cs="宋体"/>
          <w:color w:val="auto"/>
          <w:sz w:val="21"/>
          <w:szCs w:val="21"/>
          <w:highlight w:val="none"/>
        </w:rPr>
        <w:t>（7）在“信用中国”网站（www.creditchina.gov.cn）或“信用湖南”网站（www.credithunan.gov.cn）中显示已被列入失信被执行人名单。</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5.参与谈判的费用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5.1无论谈判的结果如何，谈判单位应自行承担所有与本次竞争性谈判活动有关的全部费用。</w:t>
      </w:r>
    </w:p>
    <w:p>
      <w:pPr>
        <w:keepNext w:val="0"/>
        <w:keepLines w:val="0"/>
        <w:pageBreakBefore w:val="0"/>
        <w:widowControl w:val="0"/>
        <w:tabs>
          <w:tab w:val="left" w:pos="420"/>
          <w:tab w:val="left" w:pos="7560"/>
          <w:tab w:val="left" w:pos="7740"/>
          <w:tab w:val="left" w:pos="7920"/>
        </w:tabs>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5.2采购代理服务费由中选单位全额承担。本项目采购代理服务费以中选价为基数，按谈判须知</w:t>
      </w:r>
      <w:r>
        <w:rPr>
          <w:rFonts w:hint="eastAsia" w:ascii="宋体" w:hAnsi="宋体" w:eastAsia="宋体" w:cs="宋体"/>
          <w:b/>
          <w:bCs/>
          <w:color w:val="auto"/>
          <w:sz w:val="21"/>
          <w:szCs w:val="21"/>
          <w:highlight w:val="none"/>
        </w:rPr>
        <w:t>《采购代理服务费收费标准》（详见本须知附件）</w:t>
      </w:r>
      <w:r>
        <w:rPr>
          <w:rFonts w:hint="eastAsia" w:ascii="宋体" w:hAnsi="宋体" w:eastAsia="宋体" w:cs="宋体"/>
          <w:color w:val="auto"/>
          <w:sz w:val="21"/>
          <w:szCs w:val="21"/>
          <w:highlight w:val="none"/>
        </w:rPr>
        <w:t>向中选单位收取。</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6．</w:t>
      </w:r>
      <w:r>
        <w:rPr>
          <w:rFonts w:hint="eastAsia" w:ascii="宋体" w:hAnsi="宋体" w:eastAsia="宋体" w:cs="宋体"/>
          <w:b/>
          <w:bCs/>
          <w:color w:val="auto"/>
          <w:sz w:val="21"/>
          <w:szCs w:val="21"/>
          <w:highlight w:val="none"/>
        </w:rPr>
        <w:t>谈判单位代表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6.1谈判单位代表为谈判单位法定代表人的：应提供法定代表人身份证明书</w:t>
      </w:r>
      <w:r>
        <w:rPr>
          <w:rFonts w:hint="eastAsia" w:ascii="宋体" w:hAnsi="宋体" w:eastAsia="宋体" w:cs="宋体"/>
          <w:b/>
          <w:bCs/>
          <w:color w:val="auto"/>
          <w:sz w:val="21"/>
          <w:szCs w:val="21"/>
          <w:highlight w:val="none"/>
        </w:rPr>
        <w:t>（见</w:t>
      </w:r>
      <w:r>
        <w:rPr>
          <w:rFonts w:hint="eastAsia" w:ascii="宋体" w:hAnsi="宋体" w:eastAsia="宋体" w:cs="宋体"/>
          <w:b/>
          <w:bCs/>
          <w:iCs/>
          <w:strike w:val="0"/>
          <w:dstrike w:val="0"/>
          <w:color w:val="auto"/>
          <w:sz w:val="21"/>
          <w:szCs w:val="21"/>
          <w:highlight w:val="none"/>
        </w:rPr>
        <w:t>第</w:t>
      </w:r>
      <w:r>
        <w:rPr>
          <w:rFonts w:hint="eastAsia" w:ascii="宋体" w:hAnsi="宋体" w:eastAsia="宋体" w:cs="宋体"/>
          <w:b/>
          <w:bCs/>
          <w:iCs/>
          <w:strike w:val="0"/>
          <w:dstrike w:val="0"/>
          <w:color w:val="auto"/>
          <w:sz w:val="21"/>
          <w:szCs w:val="21"/>
          <w:highlight w:val="none"/>
          <w:lang w:eastAsia="zh-CN"/>
        </w:rPr>
        <w:t>七</w:t>
      </w:r>
      <w:r>
        <w:rPr>
          <w:rFonts w:hint="eastAsia" w:ascii="宋体" w:hAnsi="宋体" w:eastAsia="宋体" w:cs="宋体"/>
          <w:b/>
          <w:bCs/>
          <w:iCs/>
          <w:strike w:val="0"/>
          <w:dstrike w:val="0"/>
          <w:color w:val="auto"/>
          <w:sz w:val="21"/>
          <w:szCs w:val="21"/>
          <w:highlight w:val="none"/>
        </w:rPr>
        <w:t>章</w:t>
      </w:r>
      <w:r>
        <w:rPr>
          <w:rFonts w:hint="eastAsia" w:ascii="宋体" w:hAnsi="宋体" w:eastAsia="宋体" w:cs="宋体"/>
          <w:b/>
          <w:bCs/>
          <w:strike w:val="0"/>
          <w:color w:val="auto"/>
          <w:sz w:val="21"/>
          <w:szCs w:val="21"/>
          <w:highlight w:val="none"/>
        </w:rPr>
        <w:t>响应文件格式</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原件及本人身份证原件。</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strike/>
          <w:color w:val="auto"/>
          <w:sz w:val="21"/>
          <w:szCs w:val="21"/>
          <w:highlight w:val="none"/>
        </w:rPr>
      </w:pPr>
      <w:r>
        <w:rPr>
          <w:rFonts w:hint="eastAsia" w:ascii="宋体" w:hAnsi="宋体" w:eastAsia="宋体" w:cs="宋体"/>
          <w:color w:val="auto"/>
          <w:sz w:val="21"/>
          <w:szCs w:val="21"/>
          <w:highlight w:val="none"/>
        </w:rPr>
        <w:t>6.2谈判单位代表不是谈判单位法定代表人的：应提供授权委托书</w:t>
      </w:r>
      <w:r>
        <w:rPr>
          <w:rFonts w:hint="eastAsia" w:ascii="宋体" w:hAnsi="宋体" w:eastAsia="宋体" w:cs="宋体"/>
          <w:b/>
          <w:bCs/>
          <w:color w:val="auto"/>
          <w:sz w:val="21"/>
          <w:szCs w:val="21"/>
          <w:highlight w:val="none"/>
        </w:rPr>
        <w:t>（见</w:t>
      </w:r>
      <w:r>
        <w:rPr>
          <w:rFonts w:hint="eastAsia" w:ascii="宋体" w:hAnsi="宋体" w:eastAsia="宋体" w:cs="宋体"/>
          <w:b/>
          <w:bCs/>
          <w:iCs/>
          <w:strike w:val="0"/>
          <w:dstrike w:val="0"/>
          <w:color w:val="auto"/>
          <w:sz w:val="21"/>
          <w:szCs w:val="21"/>
          <w:highlight w:val="none"/>
        </w:rPr>
        <w:t>第</w:t>
      </w:r>
      <w:r>
        <w:rPr>
          <w:rFonts w:hint="eastAsia" w:ascii="宋体" w:hAnsi="宋体" w:eastAsia="宋体" w:cs="宋体"/>
          <w:b/>
          <w:bCs/>
          <w:iCs/>
          <w:strike w:val="0"/>
          <w:dstrike w:val="0"/>
          <w:color w:val="auto"/>
          <w:sz w:val="21"/>
          <w:szCs w:val="21"/>
          <w:highlight w:val="none"/>
          <w:lang w:eastAsia="zh-CN"/>
        </w:rPr>
        <w:t>七</w:t>
      </w:r>
      <w:r>
        <w:rPr>
          <w:rFonts w:hint="eastAsia" w:ascii="宋体" w:hAnsi="宋体" w:eastAsia="宋体" w:cs="宋体"/>
          <w:b/>
          <w:bCs/>
          <w:iCs/>
          <w:strike w:val="0"/>
          <w:dstrike w:val="0"/>
          <w:color w:val="auto"/>
          <w:sz w:val="21"/>
          <w:szCs w:val="21"/>
          <w:highlight w:val="none"/>
        </w:rPr>
        <w:t>章</w:t>
      </w:r>
      <w:r>
        <w:rPr>
          <w:rFonts w:hint="eastAsia" w:ascii="宋体" w:hAnsi="宋体" w:eastAsia="宋体" w:cs="宋体"/>
          <w:b/>
          <w:bCs/>
          <w:color w:val="auto"/>
          <w:sz w:val="21"/>
          <w:szCs w:val="21"/>
          <w:highlight w:val="none"/>
        </w:rPr>
        <w:t>响应文件格式）</w:t>
      </w:r>
      <w:r>
        <w:rPr>
          <w:rFonts w:hint="eastAsia" w:ascii="宋体" w:hAnsi="宋体" w:eastAsia="宋体" w:cs="宋体"/>
          <w:color w:val="auto"/>
          <w:sz w:val="21"/>
          <w:szCs w:val="21"/>
          <w:highlight w:val="none"/>
        </w:rPr>
        <w:t>原件及本人身份证原件。</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2" w:name="_Toc10190"/>
      <w:bookmarkStart w:id="23" w:name="_Toc14891069"/>
      <w:r>
        <w:rPr>
          <w:rFonts w:hint="eastAsia" w:ascii="宋体" w:hAnsi="宋体" w:eastAsia="宋体" w:cs="宋体"/>
          <w:color w:val="auto"/>
          <w:sz w:val="21"/>
          <w:szCs w:val="21"/>
          <w:highlight w:val="none"/>
        </w:rPr>
        <w:t>二、谈判文件</w:t>
      </w:r>
      <w:bookmarkEnd w:id="22"/>
      <w:bookmarkEnd w:id="23"/>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7．谈判文件的组成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7.1谈判文件由下列文件组成：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第一章 谈判邀请公告</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 谈判须知</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 评审办法及标准</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第四章 用户需求书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第五章 </w:t>
      </w:r>
      <w:r>
        <w:rPr>
          <w:rFonts w:hint="eastAsia" w:ascii="宋体" w:hAnsi="宋体" w:eastAsia="宋体" w:cs="宋体"/>
          <w:color w:val="auto"/>
          <w:sz w:val="21"/>
          <w:szCs w:val="21"/>
          <w:highlight w:val="none"/>
          <w:lang w:eastAsia="zh-CN"/>
        </w:rPr>
        <w:t>最高限价</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第六章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合同格式条款</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eastAsia="zh-CN"/>
        </w:rPr>
        <w:t>七</w:t>
      </w:r>
      <w:r>
        <w:rPr>
          <w:rFonts w:hint="eastAsia" w:ascii="宋体" w:hAnsi="宋体" w:eastAsia="宋体" w:cs="宋体"/>
          <w:color w:val="auto"/>
          <w:sz w:val="21"/>
          <w:szCs w:val="21"/>
          <w:highlight w:val="none"/>
        </w:rPr>
        <w:t>章 响应文件组成</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r>
        <w:rPr>
          <w:rFonts w:hint="eastAsia" w:ascii="宋体" w:hAnsi="宋体" w:eastAsia="宋体" w:cs="宋体"/>
          <w:color w:val="auto"/>
          <w:kern w:val="0"/>
          <w:sz w:val="21"/>
          <w:szCs w:val="21"/>
          <w:highlight w:val="none"/>
        </w:rPr>
        <w:t>响应文件递交截止时间前对谈判文件澄清或者修改内容，均为谈判文件的组成部分。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7.3谈判单位应仔细阅读</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文件的全部内容，按照</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文件要求编制响应文件。任何对</w:t>
      </w:r>
      <w:r>
        <w:rPr>
          <w:rFonts w:hint="eastAsia" w:ascii="宋体" w:hAnsi="宋体" w:eastAsia="宋体" w:cs="宋体"/>
          <w:bCs/>
          <w:color w:val="auto"/>
          <w:sz w:val="21"/>
          <w:szCs w:val="21"/>
          <w:highlight w:val="none"/>
        </w:rPr>
        <w:t>谈判</w:t>
      </w:r>
      <w:r>
        <w:rPr>
          <w:rFonts w:hint="eastAsia" w:ascii="宋体" w:hAnsi="宋体" w:eastAsia="宋体" w:cs="宋体"/>
          <w:color w:val="auto"/>
          <w:sz w:val="21"/>
          <w:szCs w:val="21"/>
          <w:highlight w:val="none"/>
        </w:rPr>
        <w:t>文件的忽略或误解不能作为响应文件存在缺陷或瑕疵的理由，其风险由谈判单位承担。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bCs/>
          <w:color w:val="auto"/>
          <w:sz w:val="21"/>
          <w:szCs w:val="21"/>
          <w:highlight w:val="none"/>
        </w:rPr>
        <w:t>8.</w:t>
      </w:r>
      <w:r>
        <w:rPr>
          <w:rFonts w:hint="eastAsia" w:ascii="宋体" w:hAnsi="宋体" w:eastAsia="宋体" w:cs="宋体"/>
          <w:b/>
          <w:color w:val="auto"/>
          <w:kern w:val="0"/>
          <w:sz w:val="21"/>
          <w:szCs w:val="21"/>
          <w:highlight w:val="none"/>
        </w:rPr>
        <w:t>谈判文件的澄清及答疑</w:t>
      </w:r>
    </w:p>
    <w:p>
      <w:pPr>
        <w:keepNext w:val="0"/>
        <w:keepLines w:val="0"/>
        <w:pageBreakBefore w:val="0"/>
        <w:widowControl w:val="0"/>
        <w:kinsoku/>
        <w:wordWrap/>
        <w:overflowPunct/>
        <w:topLinePunct w:val="0"/>
        <w:autoSpaceDE/>
        <w:autoSpaceDN/>
        <w:bidi w:val="0"/>
        <w:spacing w:line="360" w:lineRule="auto"/>
        <w:ind w:right="0" w:rightChars="0" w:firstLine="420" w:firstLineChars="200"/>
        <w:jc w:val="both"/>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8.1.谈判单位应仔细阅读和检查谈判文件的全部内容，如有疑问，</w:t>
      </w:r>
      <w:r>
        <w:rPr>
          <w:rFonts w:hint="eastAsia" w:ascii="宋体" w:hAnsi="宋体" w:eastAsia="宋体" w:cs="宋体"/>
          <w:color w:val="auto"/>
          <w:sz w:val="21"/>
          <w:szCs w:val="21"/>
          <w:highlight w:val="none"/>
        </w:rPr>
        <w:t>应按</w:t>
      </w:r>
      <w:r>
        <w:rPr>
          <w:rFonts w:hint="eastAsia" w:ascii="宋体" w:hAnsi="宋体" w:eastAsia="宋体" w:cs="宋体"/>
          <w:b/>
          <w:bCs/>
          <w:color w:val="auto"/>
          <w:sz w:val="21"/>
          <w:szCs w:val="21"/>
          <w:highlight w:val="none"/>
        </w:rPr>
        <w:t>前附表</w:t>
      </w:r>
      <w:r>
        <w:rPr>
          <w:rFonts w:hint="eastAsia" w:ascii="宋体" w:hAnsi="宋体" w:eastAsia="宋体" w:cs="宋体"/>
          <w:color w:val="auto"/>
          <w:sz w:val="21"/>
          <w:szCs w:val="21"/>
          <w:highlight w:val="none"/>
        </w:rPr>
        <w:t>规定的时间、方式及地点</w:t>
      </w:r>
      <w:r>
        <w:rPr>
          <w:rFonts w:hint="eastAsia" w:ascii="宋体" w:hAnsi="宋体" w:eastAsia="宋体" w:cs="宋体"/>
          <w:iCs/>
          <w:color w:val="auto"/>
          <w:sz w:val="21"/>
          <w:szCs w:val="21"/>
          <w:highlight w:val="none"/>
        </w:rPr>
        <w:t>向采购代理机构提出，</w:t>
      </w:r>
      <w:r>
        <w:rPr>
          <w:rFonts w:hint="eastAsia" w:ascii="宋体" w:hAnsi="宋体" w:eastAsia="宋体" w:cs="宋体"/>
          <w:color w:val="auto"/>
          <w:sz w:val="21"/>
          <w:szCs w:val="21"/>
          <w:highlight w:val="none"/>
        </w:rPr>
        <w:t>否则，由此引起的损失由谈判单位自己承担。</w:t>
      </w:r>
    </w:p>
    <w:p>
      <w:pPr>
        <w:keepNext w:val="0"/>
        <w:keepLines w:val="0"/>
        <w:pageBreakBefore w:val="0"/>
        <w:widowControl w:val="0"/>
        <w:kinsoku/>
        <w:wordWrap/>
        <w:overflowPunct/>
        <w:topLinePunct w:val="0"/>
        <w:autoSpaceDE/>
        <w:autoSpaceDN/>
        <w:bidi w:val="0"/>
        <w:spacing w:line="360" w:lineRule="auto"/>
        <w:ind w:right="0" w:rightChars="0" w:firstLine="420" w:firstLineChars="200"/>
        <w:jc w:val="both"/>
        <w:textAlignment w:val="auto"/>
        <w:rPr>
          <w:rFonts w:hint="eastAsia" w:ascii="宋体" w:hAnsi="宋体" w:eastAsia="宋体" w:cs="宋体"/>
          <w:iCs/>
          <w:color w:val="auto"/>
          <w:sz w:val="21"/>
          <w:szCs w:val="21"/>
          <w:highlight w:val="none"/>
        </w:rPr>
      </w:pPr>
      <w:r>
        <w:rPr>
          <w:rFonts w:hint="eastAsia" w:ascii="宋体" w:hAnsi="宋体" w:eastAsia="宋体" w:cs="宋体"/>
          <w:iCs/>
          <w:color w:val="auto"/>
          <w:sz w:val="21"/>
          <w:szCs w:val="21"/>
          <w:highlight w:val="none"/>
        </w:rPr>
        <w:t>8.2.在谈判截止时间前，采购单位或采购代理机构可主动地或在解答谈判单位提出的问题时对谈判文件进行澄清或修改。</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8.3</w:t>
      </w:r>
      <w:r>
        <w:rPr>
          <w:rFonts w:hint="eastAsia" w:ascii="宋体" w:hAnsi="宋体" w:eastAsia="宋体" w:cs="宋体"/>
          <w:color w:val="auto"/>
          <w:kern w:val="0"/>
          <w:sz w:val="21"/>
          <w:szCs w:val="21"/>
          <w:highlight w:val="none"/>
        </w:rPr>
        <w:t>澄清或者修改的内容可能影响响应文件编制的，采购单位或采购代理机构应当在提交响应文件截止之日3个工作日前，在长沙市轨道交通集团有限公司官网（http://www.hncsmtr.com/）发布澄清或答疑文件及顺延谈判时间，敬请获得谈判文件的所有谈判单位关注，恕不另行通知，如有遗漏采购单位或代理机构不负任何责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9.</w:t>
      </w:r>
      <w:r>
        <w:rPr>
          <w:rFonts w:hint="eastAsia" w:ascii="宋体" w:hAnsi="宋体" w:eastAsia="宋体" w:cs="宋体"/>
          <w:b/>
          <w:color w:val="auto"/>
          <w:kern w:val="0"/>
          <w:sz w:val="21"/>
          <w:szCs w:val="21"/>
          <w:highlight w:val="none"/>
        </w:rPr>
        <w:t>响应文件递交截止时间、谈判会议时间及地点</w:t>
      </w:r>
    </w:p>
    <w:p>
      <w:pPr>
        <w:pStyle w:val="26"/>
        <w:keepNext w:val="0"/>
        <w:keepLines w:val="0"/>
        <w:pageBreakBefore w:val="0"/>
        <w:widowControl w:val="0"/>
        <w:kinsoku/>
        <w:wordWrap/>
        <w:overflowPunct/>
        <w:topLinePunct w:val="0"/>
        <w:autoSpaceDE/>
        <w:autoSpaceDN/>
        <w:bidi w:val="0"/>
        <w:adjustRightInd w:val="0"/>
        <w:snapToGrid w:val="0"/>
        <w:spacing w:line="360" w:lineRule="auto"/>
        <w:ind w:right="0" w:righ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w:t>
      </w:r>
      <w:r>
        <w:rPr>
          <w:rFonts w:hint="eastAsia" w:ascii="宋体" w:hAnsi="宋体" w:eastAsia="宋体" w:cs="宋体"/>
          <w:color w:val="auto"/>
          <w:kern w:val="0"/>
          <w:sz w:val="21"/>
          <w:szCs w:val="21"/>
          <w:highlight w:val="none"/>
        </w:rPr>
        <w:t>谈判单位递交响应文件截止时间、谈判会议</w:t>
      </w:r>
      <w:r>
        <w:rPr>
          <w:rFonts w:hint="eastAsia" w:ascii="宋体" w:hAnsi="宋体" w:eastAsia="宋体" w:cs="宋体"/>
          <w:color w:val="auto"/>
          <w:sz w:val="21"/>
          <w:szCs w:val="21"/>
          <w:highlight w:val="none"/>
        </w:rPr>
        <w:t>时间及地点见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4" w:name="_Toc14891070"/>
      <w:bookmarkStart w:id="25" w:name="_Toc15974"/>
      <w:r>
        <w:rPr>
          <w:rFonts w:hint="eastAsia" w:ascii="宋体" w:hAnsi="宋体" w:eastAsia="宋体" w:cs="宋体"/>
          <w:color w:val="auto"/>
          <w:sz w:val="21"/>
          <w:szCs w:val="21"/>
          <w:highlight w:val="none"/>
        </w:rPr>
        <w:t>三、响应文件</w:t>
      </w:r>
      <w:bookmarkEnd w:id="24"/>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10.一般要求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10.1谈判单位应仔细阅读谈判文件的所有内容，按谈判文件的要求编制响应文件，并保证所提供的全部资料的真实性。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10.2</w:t>
      </w:r>
      <w:r>
        <w:rPr>
          <w:rFonts w:hint="eastAsia" w:ascii="宋体" w:hAnsi="宋体" w:eastAsia="宋体" w:cs="宋体"/>
          <w:color w:val="auto"/>
          <w:sz w:val="21"/>
          <w:szCs w:val="21"/>
          <w:highlight w:val="none"/>
        </w:rPr>
        <w:t>谈判单位提交的响应文件、谈判单位与采购单位及采购代理机构的所有来往函电均使用中文。</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10.3</w:t>
      </w:r>
      <w:r>
        <w:rPr>
          <w:rFonts w:hint="eastAsia" w:ascii="宋体" w:hAnsi="宋体" w:eastAsia="宋体" w:cs="宋体"/>
          <w:color w:val="auto"/>
          <w:sz w:val="21"/>
          <w:szCs w:val="21"/>
          <w:highlight w:val="none"/>
        </w:rPr>
        <w:t>计量单位应使用我国法定计量单位，未列明时应默认为我国法定计量单位。</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10.4响应文件应采用书面形式，电报、传真、电子邮件形式的响应文件概不接受。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10.5谈判单位提交的响应文件应按谈判文件中提供的响应文件格式编制。</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color w:val="auto"/>
          <w:sz w:val="21"/>
          <w:szCs w:val="21"/>
          <w:highlight w:val="none"/>
        </w:rPr>
        <w:t>响应文件</w:t>
      </w:r>
      <w:r>
        <w:rPr>
          <w:rFonts w:hint="eastAsia" w:ascii="宋体" w:hAnsi="宋体" w:eastAsia="宋体" w:cs="宋体"/>
          <w:b/>
          <w:bCs/>
          <w:color w:val="auto"/>
          <w:sz w:val="21"/>
          <w:szCs w:val="21"/>
          <w:highlight w:val="none"/>
        </w:rPr>
        <w:t>的组成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11.1响应文件应包括下列内容：</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（1）谈判承诺书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（2）法定代表人身份证明书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（3）授权委托书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（4）谈判单位资格条件证明文件</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（5）不拖欠农民工工资承诺书</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（6）报价一览表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（7）报价汇总表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投标报价表</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）其他资料（如有）</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11.2在谈判过程中，谈判单位根据</w:t>
      </w:r>
      <w:r>
        <w:rPr>
          <w:rFonts w:hint="eastAsia" w:ascii="宋体" w:hAnsi="宋体" w:eastAsia="宋体" w:cs="宋体"/>
          <w:color w:val="auto"/>
          <w:kern w:val="0"/>
          <w:sz w:val="21"/>
          <w:szCs w:val="21"/>
          <w:highlight w:val="none"/>
        </w:rPr>
        <w:t>谈判评审小组</w:t>
      </w:r>
      <w:r>
        <w:rPr>
          <w:rFonts w:hint="eastAsia" w:ascii="宋体" w:hAnsi="宋体" w:eastAsia="宋体" w:cs="宋体"/>
          <w:bCs/>
          <w:color w:val="auto"/>
          <w:sz w:val="21"/>
          <w:szCs w:val="21"/>
          <w:highlight w:val="none"/>
        </w:rPr>
        <w:t>要求</w:t>
      </w:r>
      <w:r>
        <w:rPr>
          <w:rFonts w:hint="eastAsia" w:ascii="宋体" w:hAnsi="宋体" w:eastAsia="宋体" w:cs="宋体"/>
          <w:color w:val="auto"/>
          <w:kern w:val="0"/>
          <w:sz w:val="21"/>
          <w:szCs w:val="21"/>
          <w:highlight w:val="none"/>
        </w:rPr>
        <w:t>提交的</w:t>
      </w:r>
      <w:r>
        <w:rPr>
          <w:rFonts w:hint="eastAsia" w:ascii="宋体" w:hAnsi="宋体" w:eastAsia="宋体" w:cs="宋体"/>
          <w:color w:val="auto"/>
          <w:sz w:val="21"/>
          <w:szCs w:val="21"/>
          <w:highlight w:val="none"/>
        </w:rPr>
        <w:t>书面承诺或其他文件是响应文件的有效组成部分。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11.3谈判单位无论成交与否，其递交的响应文件均不予退还。</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12.报价要求</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1 </w:t>
      </w:r>
      <w:r>
        <w:rPr>
          <w:rFonts w:hint="eastAsia" w:ascii="宋体" w:hAnsi="宋体" w:eastAsia="宋体" w:cs="宋体"/>
          <w:color w:val="auto"/>
          <w:szCs w:val="21"/>
          <w:highlight w:val="none"/>
        </w:rPr>
        <w:t>谈判单位的报价，应是完成谈判文件及合同条款上所列的全部谈判内容及工期，不得以任何理由予以重复，作为谈判单位计算单价或总价的依据。</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2 </w:t>
      </w:r>
      <w:r>
        <w:rPr>
          <w:rFonts w:hint="eastAsia" w:ascii="宋体" w:hAnsi="宋体" w:eastAsia="宋体" w:cs="宋体"/>
          <w:color w:val="auto"/>
          <w:szCs w:val="21"/>
          <w:highlight w:val="none"/>
        </w:rPr>
        <w:t>报价方式：除非采购单位对谈判文件予以修改，谈判单位应按采购单位提供的工程量清单中列出的工程项目和工程量填报单价和合价。每一项目只允许有一个报价。任何有选择的报价将不予接受。</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3 </w:t>
      </w:r>
      <w:r>
        <w:rPr>
          <w:rFonts w:hint="eastAsia" w:ascii="宋体" w:hAnsi="宋体" w:eastAsia="宋体" w:cs="宋体"/>
          <w:color w:val="auto"/>
          <w:szCs w:val="21"/>
          <w:highlight w:val="none"/>
        </w:rPr>
        <w:t>谈判单位应填写工程量清单中所述的所有项目的综合单价和合价，谈判单位没有填入综合单价或合价的项目，采购单位将不予支付，并认为此项目费用已包含在工程量清单的其它综合单价或合价之中。</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4 </w:t>
      </w:r>
      <w:r>
        <w:rPr>
          <w:rFonts w:hint="eastAsia" w:ascii="宋体" w:hAnsi="宋体" w:eastAsia="宋体" w:cs="宋体"/>
          <w:color w:val="auto"/>
          <w:szCs w:val="21"/>
          <w:highlight w:val="none"/>
        </w:rPr>
        <w:t>计价方式：谈判单位应遵守湘建价﹝2014﹞113号</w:t>
      </w:r>
      <w:r>
        <w:rPr>
          <w:rFonts w:hint="eastAsia" w:ascii="宋体" w:hAnsi="宋体" w:eastAsia="宋体" w:cs="宋体"/>
          <w:color w:val="auto"/>
          <w:szCs w:val="21"/>
          <w:highlight w:val="none"/>
          <w:lang w:eastAsia="zh-CN"/>
        </w:rPr>
        <w:t>、湘建价</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2016</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72号、湘建价〔2016〕160号</w:t>
      </w:r>
      <w:r>
        <w:rPr>
          <w:rFonts w:hint="eastAsia" w:ascii="宋体" w:hAnsi="宋体" w:eastAsia="宋体" w:cs="宋体"/>
          <w:color w:val="auto"/>
          <w:szCs w:val="21"/>
          <w:highlight w:val="none"/>
        </w:rPr>
        <w:t>文件的有关规定，定额执行2014年湖南省消耗量标准，取费相应执行湘建价﹝2014﹞113号、湘建价建函﹝2014﹞38号、湘建价﹝2016﹞134号文等有关规定，在保证质量、工期的前提下，根据工程实际情况报出自己的报价，但报价不能低于其企业成本价。</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5 </w:t>
      </w:r>
      <w:r>
        <w:rPr>
          <w:rFonts w:hint="eastAsia" w:ascii="宋体" w:hAnsi="宋体" w:eastAsia="宋体" w:cs="宋体"/>
          <w:color w:val="auto"/>
          <w:szCs w:val="21"/>
          <w:highlight w:val="none"/>
        </w:rPr>
        <w:t>人工工资单价按湘建价湘建价﹝2019﹞130号文执行。人工工资单价在施工期间若发生政策性调整，按相应文件的人工工资单价（综合工资单价）进行调差，人工调差执行投标报价优惠率并计税金。</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6 </w:t>
      </w:r>
      <w:r>
        <w:rPr>
          <w:rFonts w:hint="eastAsia" w:ascii="宋体" w:hAnsi="宋体" w:eastAsia="宋体" w:cs="宋体"/>
          <w:color w:val="auto"/>
          <w:szCs w:val="21"/>
          <w:highlight w:val="none"/>
        </w:rPr>
        <w:t>工程安全文明施工措施费用按湘建价﹝2014﹞113号</w:t>
      </w:r>
      <w:r>
        <w:rPr>
          <w:rFonts w:hint="eastAsia" w:ascii="宋体" w:hAnsi="宋体" w:eastAsia="宋体" w:cs="宋体"/>
          <w:color w:val="auto"/>
          <w:szCs w:val="21"/>
          <w:highlight w:val="none"/>
          <w:lang w:eastAsia="zh-CN"/>
        </w:rPr>
        <w:t>、湘建建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2017</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145号</w:t>
      </w:r>
      <w:r>
        <w:rPr>
          <w:rFonts w:hint="eastAsia" w:ascii="宋体" w:hAnsi="宋体" w:eastAsia="宋体" w:cs="宋体"/>
          <w:color w:val="auto"/>
          <w:szCs w:val="21"/>
          <w:highlight w:val="none"/>
        </w:rPr>
        <w:t>、长住建发﹝2018﹞104号等文件的要求，谈判单位应在投标文件对安全文明费单独列项，单独报价，不得低于文件规定的费率标准。</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7 </w:t>
      </w:r>
      <w:r>
        <w:rPr>
          <w:rFonts w:hint="eastAsia" w:ascii="宋体" w:hAnsi="宋体" w:eastAsia="宋体" w:cs="宋体"/>
          <w:color w:val="auto"/>
          <w:szCs w:val="21"/>
          <w:highlight w:val="none"/>
        </w:rPr>
        <w:t>规费、税金必须严格按标准执行，不得折扣、优惠；</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8 </w:t>
      </w:r>
      <w:r>
        <w:rPr>
          <w:rFonts w:hint="eastAsia" w:ascii="宋体" w:hAnsi="宋体" w:eastAsia="宋体" w:cs="宋体"/>
          <w:color w:val="auto"/>
          <w:szCs w:val="21"/>
          <w:highlight w:val="none"/>
        </w:rPr>
        <w:t>材料价格调整问题:见合同条款。</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 xml:space="preserve">9 </w:t>
      </w:r>
      <w:r>
        <w:rPr>
          <w:rFonts w:hint="eastAsia" w:ascii="宋体" w:hAnsi="宋体" w:eastAsia="宋体" w:cs="宋体"/>
          <w:color w:val="auto"/>
          <w:szCs w:val="21"/>
          <w:highlight w:val="none"/>
        </w:rPr>
        <w:t>工程量的变更调整：见合同条款。</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0 </w:t>
      </w:r>
      <w:r>
        <w:rPr>
          <w:rFonts w:hint="eastAsia" w:ascii="宋体" w:hAnsi="宋体" w:eastAsia="宋体" w:cs="宋体"/>
          <w:color w:val="auto"/>
          <w:szCs w:val="21"/>
          <w:highlight w:val="none"/>
        </w:rPr>
        <w:t>本项目设置</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，谈判单位所报总价不能超过</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，不超过</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szCs w:val="21"/>
          <w:highlight w:val="none"/>
        </w:rPr>
        <w:t>的报价为有效报价。本项目</w:t>
      </w:r>
      <w:r>
        <w:rPr>
          <w:rFonts w:hint="eastAsia" w:ascii="宋体" w:hAnsi="宋体" w:eastAsia="宋体" w:cs="宋体"/>
          <w:color w:val="auto"/>
          <w:szCs w:val="21"/>
          <w:highlight w:val="none"/>
          <w:lang w:eastAsia="zh-CN"/>
        </w:rPr>
        <w:t>最高限价</w:t>
      </w:r>
      <w:r>
        <w:rPr>
          <w:rFonts w:hint="eastAsia" w:ascii="宋体" w:hAnsi="宋体" w:eastAsia="宋体" w:cs="宋体"/>
          <w:color w:val="auto"/>
          <w:highlight w:val="none"/>
        </w:rPr>
        <w:t>见</w:t>
      </w:r>
      <w:r>
        <w:rPr>
          <w:rFonts w:hint="eastAsia" w:ascii="宋体" w:hAnsi="宋体" w:eastAsia="宋体" w:cs="宋体"/>
          <w:b/>
          <w:color w:val="auto"/>
          <w:highlight w:val="none"/>
        </w:rPr>
        <w:t>前附表</w:t>
      </w:r>
      <w:r>
        <w:rPr>
          <w:rFonts w:hint="eastAsia" w:ascii="宋体" w:hAnsi="宋体" w:eastAsia="宋体" w:cs="宋体"/>
          <w:color w:val="auto"/>
          <w:highlight w:val="none"/>
        </w:rPr>
        <w:t>。</w:t>
      </w:r>
    </w:p>
    <w:p>
      <w:pPr>
        <w:adjustRightInd w:val="0"/>
        <w:snapToGrid w:val="0"/>
        <w:spacing w:line="360" w:lineRule="auto"/>
        <w:ind w:firstLine="411" w:firstLineChars="196"/>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1 </w:t>
      </w:r>
      <w:r>
        <w:rPr>
          <w:rFonts w:hint="eastAsia" w:ascii="宋体" w:hAnsi="宋体" w:eastAsia="宋体" w:cs="宋体"/>
          <w:color w:val="auto"/>
          <w:szCs w:val="21"/>
          <w:highlight w:val="none"/>
        </w:rPr>
        <w:t>不可计量措施项目，合同履行期间包干使用，谈判单位对不可计量措施项目可逐项自主报价，但各“项”报价总和不能超过采购单位公示的相对应的总价。谈判单位认为不发生费用的措施项目清单报价必须填“0”，且谈判单位不得对公示的措施项目清单进行任何修改。</w:t>
      </w:r>
    </w:p>
    <w:p>
      <w:pPr>
        <w:adjustRightInd w:val="0"/>
        <w:snapToGrid w:val="0"/>
        <w:spacing w:line="360" w:lineRule="auto"/>
        <w:ind w:firstLine="411" w:firstLineChars="196"/>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2 </w:t>
      </w:r>
      <w:r>
        <w:rPr>
          <w:rFonts w:hint="eastAsia" w:ascii="宋体" w:hAnsi="宋体" w:eastAsia="宋体" w:cs="宋体"/>
          <w:color w:val="auto"/>
          <w:szCs w:val="21"/>
          <w:highlight w:val="none"/>
        </w:rPr>
        <w:t>谈判单位投标前请进行必要的现场踏勘，了解项目实际情况，产生的费用自行承担。</w:t>
      </w:r>
    </w:p>
    <w:p>
      <w:pPr>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12</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 xml:space="preserve">3 </w:t>
      </w:r>
      <w:r>
        <w:rPr>
          <w:rFonts w:hint="eastAsia" w:ascii="宋体" w:hAnsi="宋体" w:eastAsia="宋体" w:cs="宋体"/>
          <w:color w:val="auto"/>
          <w:szCs w:val="21"/>
          <w:highlight w:val="none"/>
        </w:rPr>
        <w:t>谈判单位应按谈判文件规定的要求、责任范围和合同条件，以</w:t>
      </w:r>
      <w:r>
        <w:rPr>
          <w:rFonts w:hint="eastAsia" w:ascii="宋体" w:hAnsi="宋体" w:eastAsia="宋体" w:cs="宋体"/>
          <w:bCs/>
          <w:color w:val="auto"/>
          <w:szCs w:val="21"/>
          <w:highlight w:val="none"/>
        </w:rPr>
        <w:t>人民币</w:t>
      </w:r>
      <w:r>
        <w:rPr>
          <w:rFonts w:hint="eastAsia" w:ascii="宋体" w:hAnsi="宋体" w:eastAsia="宋体" w:cs="宋体"/>
          <w:color w:val="auto"/>
          <w:szCs w:val="21"/>
          <w:highlight w:val="none"/>
        </w:rPr>
        <w:t>报价，以元为单位，保留小数点后两位。</w:t>
      </w:r>
    </w:p>
    <w:p>
      <w:pPr>
        <w:pStyle w:val="26"/>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12</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 xml:space="preserve">4 </w:t>
      </w:r>
      <w:r>
        <w:rPr>
          <w:rFonts w:hint="eastAsia" w:ascii="宋体" w:hAnsi="宋体" w:eastAsia="宋体" w:cs="宋体"/>
          <w:color w:val="auto"/>
          <w:sz w:val="21"/>
          <w:szCs w:val="21"/>
          <w:highlight w:val="none"/>
        </w:rPr>
        <w:t>除合同另有约定外，谈判报价作为中选价及合同价在合同履行期间是固定不变的，不受政策、法规变化以及汇率浮动、物价指数浮动等因素的影响。中选人不得以任何理由予以变更。以可变动价格提交的报价将被认为是非实质响应而被拒绝。</w:t>
      </w:r>
    </w:p>
    <w:p>
      <w:pPr>
        <w:pStyle w:val="26"/>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12</w:t>
      </w: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 xml:space="preserve">5 </w:t>
      </w:r>
      <w:r>
        <w:rPr>
          <w:rFonts w:hint="eastAsia" w:ascii="宋体" w:hAnsi="宋体" w:eastAsia="宋体" w:cs="宋体"/>
          <w:color w:val="auto"/>
          <w:highlight w:val="none"/>
        </w:rPr>
        <w:t>谈判单位递交两份或多份内容不同的报价文件，或在一份报价文件中对同一项目报有两个或多个报价，且未声明哪一个有效的，将被认为是非实质响应而被拒绝。</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lang w:eastAsia="zh-CN"/>
        </w:rPr>
        <w:t>12</w:t>
      </w: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lang w:val="en-US" w:eastAsia="zh-CN"/>
        </w:rPr>
        <w:t xml:space="preserve">6 </w:t>
      </w:r>
      <w:r>
        <w:rPr>
          <w:rFonts w:hint="eastAsia" w:ascii="宋体" w:hAnsi="宋体" w:eastAsia="宋体" w:cs="宋体"/>
          <w:bCs/>
          <w:color w:val="auto"/>
          <w:szCs w:val="21"/>
          <w:highlight w:val="none"/>
        </w:rPr>
        <w:t>最低报价不能作为中选的保证。</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SA"/>
        </w:rPr>
        <w:t>12.17 本项目为单价合同</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合同单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最终结算价格不得超过签约合同价。</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13.响应文件有效期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13.1响应文件有效期见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，在此期间响应文件对谈判单位具有法律约束力，从</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规定的</w:t>
      </w:r>
      <w:r>
        <w:rPr>
          <w:rFonts w:hint="eastAsia" w:ascii="宋体" w:hAnsi="宋体" w:eastAsia="宋体" w:cs="宋体"/>
          <w:color w:val="auto"/>
          <w:kern w:val="0"/>
          <w:sz w:val="21"/>
          <w:szCs w:val="21"/>
          <w:highlight w:val="none"/>
        </w:rPr>
        <w:t>响应文件递交截止时间</w:t>
      </w:r>
      <w:r>
        <w:rPr>
          <w:rFonts w:hint="eastAsia" w:ascii="宋体" w:hAnsi="宋体" w:eastAsia="宋体" w:cs="宋体"/>
          <w:color w:val="auto"/>
          <w:sz w:val="21"/>
          <w:szCs w:val="21"/>
          <w:highlight w:val="none"/>
        </w:rPr>
        <w:t>之日起计算。响应文件有效期不足的将被视为无效响应。</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14.响应文件的编制</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14.1响应文件应按</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“响应文件格式”进行编写，如有必要，可以增加附页，作为响应文件的组成部分。</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14.2响应文件应用不褪色的材料书写或打印（建议双面打印），并按</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的要求进行签字和（或）盖章。对响应文件的澄清、说明和补正应由谈判单位的法定代表人或其授权的代理人签字或盖单位公章。由谈判单位的法定代表人签字（或盖章）的，应附法定代表人身份证明书，由代理人签字的，应附授权委托书。法定代表人身份证明书或授权委托书应符合</w:t>
      </w:r>
      <w:r>
        <w:rPr>
          <w:rFonts w:hint="eastAsia" w:ascii="宋体" w:hAnsi="宋体" w:eastAsia="宋体" w:cs="宋体"/>
          <w:b/>
          <w:bCs/>
          <w:strike w:val="0"/>
          <w:dstrike w:val="0"/>
          <w:color w:val="auto"/>
          <w:sz w:val="21"/>
          <w:szCs w:val="21"/>
          <w:highlight w:val="none"/>
        </w:rPr>
        <w:t>第</w:t>
      </w:r>
      <w:r>
        <w:rPr>
          <w:rFonts w:hint="eastAsia" w:ascii="宋体" w:hAnsi="宋体" w:eastAsia="宋体" w:cs="宋体"/>
          <w:b/>
          <w:bCs/>
          <w:strike w:val="0"/>
          <w:dstrike w:val="0"/>
          <w:color w:val="auto"/>
          <w:sz w:val="21"/>
          <w:szCs w:val="21"/>
          <w:highlight w:val="none"/>
          <w:lang w:eastAsia="zh-CN"/>
        </w:rPr>
        <w:t>七</w:t>
      </w:r>
      <w:r>
        <w:rPr>
          <w:rFonts w:hint="eastAsia" w:ascii="宋体" w:hAnsi="宋体" w:eastAsia="宋体" w:cs="宋体"/>
          <w:b/>
          <w:bCs/>
          <w:strike w:val="0"/>
          <w:dstrike w:val="0"/>
          <w:color w:val="auto"/>
          <w:sz w:val="21"/>
          <w:szCs w:val="21"/>
          <w:highlight w:val="none"/>
        </w:rPr>
        <w:t>章</w:t>
      </w:r>
      <w:r>
        <w:rPr>
          <w:rFonts w:hint="eastAsia" w:ascii="宋体" w:hAnsi="宋体" w:eastAsia="宋体" w:cs="宋体"/>
          <w:color w:val="auto"/>
          <w:sz w:val="21"/>
          <w:szCs w:val="21"/>
          <w:highlight w:val="none"/>
        </w:rPr>
        <w:t>“响应文件格式”的要求。</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14.3响应文件应尽量避免涂改、行间插字或删除。如果出现上述情况，改动之处应由谈判单位的法定代表人或其授权的代理人签字或盖单位公章。</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14.4响应文件为一式三份，其中正本一份，副本两份，均须胶装成册；电子文件一份（U盘或光盘，应包含响应文件的所有内容，并标注谈判单位名称）。响应文件正本和副本的封面上应清楚地标记</w:t>
      </w:r>
      <w:r>
        <w:rPr>
          <w:rFonts w:hint="eastAsia" w:ascii="宋体" w:hAnsi="宋体" w:eastAsia="宋体" w:cs="宋体"/>
          <w:b/>
          <w:bCs/>
          <w:color w:val="auto"/>
          <w:sz w:val="21"/>
          <w:szCs w:val="21"/>
          <w:highlight w:val="none"/>
        </w:rPr>
        <w:t>“正本”</w:t>
      </w:r>
      <w:r>
        <w:rPr>
          <w:rFonts w:hint="eastAsia" w:ascii="宋体" w:hAnsi="宋体" w:eastAsia="宋体" w:cs="宋体"/>
          <w:color w:val="auto"/>
          <w:sz w:val="21"/>
          <w:szCs w:val="21"/>
          <w:highlight w:val="none"/>
        </w:rPr>
        <w:t>或</w:t>
      </w:r>
      <w:r>
        <w:rPr>
          <w:rFonts w:hint="eastAsia" w:ascii="宋体" w:hAnsi="宋体" w:eastAsia="宋体" w:cs="宋体"/>
          <w:b/>
          <w:bCs/>
          <w:color w:val="auto"/>
          <w:sz w:val="21"/>
          <w:szCs w:val="21"/>
          <w:highlight w:val="none"/>
        </w:rPr>
        <w:t>“副本”</w:t>
      </w:r>
      <w:r>
        <w:rPr>
          <w:rFonts w:hint="eastAsia" w:ascii="宋体" w:hAnsi="宋体" w:eastAsia="宋体" w:cs="宋体"/>
          <w:color w:val="auto"/>
          <w:sz w:val="21"/>
          <w:szCs w:val="21"/>
          <w:highlight w:val="none"/>
        </w:rPr>
        <w:t>的字样，若响应文件副本为正本的复印件，还需在谈判文件要求盖章处加盖单位公章。当正本和副本有差异时，以正本为准。</w:t>
      </w:r>
    </w:p>
    <w:p>
      <w:pPr>
        <w:pStyle w:val="5"/>
        <w:keepNext w:val="0"/>
        <w:keepLines w:val="0"/>
        <w:pageBreakBefore w:val="0"/>
        <w:widowControl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6" w:name="_Toc28626"/>
      <w:bookmarkStart w:id="27" w:name="_Toc14891071"/>
      <w:r>
        <w:rPr>
          <w:rFonts w:hint="eastAsia" w:ascii="宋体" w:hAnsi="宋体" w:eastAsia="宋体" w:cs="宋体"/>
          <w:color w:val="auto"/>
          <w:sz w:val="21"/>
          <w:szCs w:val="21"/>
          <w:highlight w:val="none"/>
        </w:rPr>
        <w:t>四、响应文件的递交</w:t>
      </w:r>
      <w:bookmarkEnd w:id="26"/>
      <w:bookmarkEnd w:id="27"/>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15.</w:t>
      </w:r>
      <w:r>
        <w:rPr>
          <w:rFonts w:hint="eastAsia" w:ascii="宋体" w:hAnsi="宋体" w:eastAsia="宋体" w:cs="宋体"/>
          <w:b/>
          <w:color w:val="auto"/>
          <w:sz w:val="21"/>
          <w:szCs w:val="21"/>
          <w:highlight w:val="none"/>
        </w:rPr>
        <w:t>响应文件</w:t>
      </w:r>
      <w:r>
        <w:rPr>
          <w:rFonts w:hint="eastAsia" w:ascii="宋体" w:hAnsi="宋体" w:eastAsia="宋体" w:cs="宋体"/>
          <w:b/>
          <w:bCs/>
          <w:color w:val="auto"/>
          <w:sz w:val="21"/>
          <w:szCs w:val="21"/>
          <w:highlight w:val="none"/>
        </w:rPr>
        <w:t>的密封</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15.1谈判单位须将响应文件一正两副与电子文件一起密封包装。</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16.响应文件的标记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16.1</w:t>
      </w:r>
      <w:r>
        <w:rPr>
          <w:rFonts w:hint="eastAsia" w:ascii="宋体" w:hAnsi="宋体" w:eastAsia="宋体" w:cs="宋体"/>
          <w:bCs/>
          <w:color w:val="auto"/>
          <w:sz w:val="21"/>
          <w:szCs w:val="21"/>
          <w:highlight w:val="none"/>
        </w:rPr>
        <w:t>响应文件的密封封套上须写明如下内容</w:t>
      </w:r>
      <w:r>
        <w:rPr>
          <w:rFonts w:hint="eastAsia" w:ascii="宋体" w:hAnsi="宋体" w:eastAsia="宋体" w:cs="宋体"/>
          <w:b w:val="0"/>
          <w:bCs w:val="0"/>
          <w:color w:val="auto"/>
          <w:sz w:val="21"/>
          <w:szCs w:val="21"/>
          <w:highlight w:val="none"/>
        </w:rPr>
        <w:t>。</w:t>
      </w:r>
    </w:p>
    <w:tbl>
      <w:tblPr>
        <w:tblStyle w:val="46"/>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7938" w:type="dxa"/>
          </w:tcPr>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采购单位：</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val="en-US" w:eastAsia="zh-CN"/>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谈判单位：</w:t>
            </w:r>
            <w:r>
              <w:rPr>
                <w:rFonts w:hint="eastAsia" w:ascii="宋体" w:hAnsi="宋体" w:eastAsia="宋体" w:cs="宋体"/>
                <w:color w:val="auto"/>
                <w:sz w:val="21"/>
                <w:szCs w:val="21"/>
                <w:highlight w:val="none"/>
                <w:u w:val="single"/>
              </w:rPr>
              <w:t>（填写单位名称并加盖单位公章）</w:t>
            </w:r>
          </w:p>
          <w:p>
            <w:pPr>
              <w:spacing w:line="36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日</w:t>
            </w:r>
          </w:p>
        </w:tc>
      </w:tr>
    </w:tbl>
    <w:p>
      <w:pPr>
        <w:adjustRightInd w:val="0"/>
        <w:snapToGrid w:val="0"/>
        <w:spacing w:line="360" w:lineRule="auto"/>
        <w:ind w:firstLine="413" w:firstLineChars="196"/>
        <w:rPr>
          <w:rFonts w:hint="eastAsia" w:ascii="宋体" w:hAnsi="宋体" w:eastAsia="宋体" w:cs="宋体"/>
          <w:b/>
          <w:bCs/>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17.响应文件的递交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17.1谈判单位应按要求在</w:t>
      </w:r>
      <w:r>
        <w:rPr>
          <w:rFonts w:hint="eastAsia" w:ascii="宋体" w:hAnsi="宋体" w:eastAsia="宋体" w:cs="宋体"/>
          <w:color w:val="auto"/>
          <w:kern w:val="0"/>
          <w:sz w:val="21"/>
          <w:szCs w:val="21"/>
          <w:highlight w:val="none"/>
        </w:rPr>
        <w:t>响应文件递交截止时间</w:t>
      </w:r>
      <w:r>
        <w:rPr>
          <w:rFonts w:hint="eastAsia" w:ascii="宋体" w:hAnsi="宋体" w:eastAsia="宋体" w:cs="宋体"/>
          <w:color w:val="auto"/>
          <w:sz w:val="21"/>
          <w:szCs w:val="21"/>
          <w:highlight w:val="none"/>
        </w:rPr>
        <w:t>前，将响应文件送达指定地点，响应文件递交截止时间、地点及要求见</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1"/>
          <w:szCs w:val="21"/>
          <w:highlight w:val="none"/>
        </w:rPr>
        <w:t>在截止时间后送达的响应文件，采购单位应当拒收。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17.2采购单位在</w:t>
      </w:r>
      <w:r>
        <w:rPr>
          <w:rFonts w:hint="eastAsia" w:ascii="宋体" w:hAnsi="宋体" w:eastAsia="宋体" w:cs="宋体"/>
          <w:b/>
          <w:bCs/>
          <w:color w:val="auto"/>
          <w:sz w:val="21"/>
          <w:szCs w:val="21"/>
          <w:highlight w:val="none"/>
        </w:rPr>
        <w:t>前附表</w:t>
      </w:r>
      <w:r>
        <w:rPr>
          <w:rFonts w:hint="eastAsia" w:ascii="宋体" w:hAnsi="宋体" w:eastAsia="宋体" w:cs="宋体"/>
          <w:bCs/>
          <w:color w:val="auto"/>
          <w:sz w:val="21"/>
          <w:szCs w:val="21"/>
          <w:highlight w:val="none"/>
        </w:rPr>
        <w:t>规定的谈判时间和地点，组织谈判单位签到并接收谈判文件。</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28" w:name="_Toc14891072"/>
      <w:bookmarkStart w:id="29" w:name="_Toc28776"/>
      <w:r>
        <w:rPr>
          <w:rFonts w:hint="eastAsia" w:ascii="宋体" w:hAnsi="宋体" w:eastAsia="宋体" w:cs="宋体"/>
          <w:color w:val="auto"/>
          <w:sz w:val="21"/>
          <w:szCs w:val="21"/>
          <w:highlight w:val="none"/>
        </w:rPr>
        <w:t>五、响应文件的评审</w:t>
      </w:r>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18.</w:t>
      </w:r>
      <w:r>
        <w:rPr>
          <w:rFonts w:hint="eastAsia" w:ascii="宋体" w:hAnsi="宋体" w:eastAsia="宋体" w:cs="宋体"/>
          <w:bCs/>
          <w:color w:val="auto"/>
          <w:sz w:val="21"/>
          <w:szCs w:val="21"/>
          <w:highlight w:val="none"/>
        </w:rPr>
        <w:t>评审由谈判评审小组负责，谈判评审小组应按照本谈判文件第三章“评审办法及标准”的内容和程序对响应文件进行评审。</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30" w:name="_Toc14891073"/>
      <w:bookmarkStart w:id="31" w:name="_Toc4811"/>
      <w:r>
        <w:rPr>
          <w:rFonts w:hint="eastAsia" w:ascii="宋体" w:hAnsi="宋体" w:eastAsia="宋体" w:cs="宋体"/>
          <w:color w:val="auto"/>
          <w:sz w:val="21"/>
          <w:szCs w:val="21"/>
          <w:highlight w:val="none"/>
        </w:rPr>
        <w:t>六、响应文件的澄清、说明及补正</w:t>
      </w:r>
      <w:bookmarkEnd w:id="30"/>
      <w:bookmarkEnd w:id="31"/>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19.澄清</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19.1谈判评审小组可就响应文件中含糊之处要求谈判单位进行解释或澄清要求，谈判单位必须按照要求派法定代表人或授权委托人进行答疑和澄清。</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20.说明及补正</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20.1必要时谈判评审小组可要求谈判单位就澄清的问题作书面回答或承诺，该书面回答或承诺应有谈判单位法定代表人或委托代理人的签字或盖章，并将作为响应文件的一部分。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20.2谈判单位对响应文件的澄清不得改变谈判报价及实质内容。</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20.3与谈判文件有重大偏离的响应文件将被拒绝。重大偏离指谈判总报价、谈判有限期、服务期明显不能满足谈判文件的要求。这些偏离不允许在响应文件递交截止时间之后修正。</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rPr>
      </w:pPr>
      <w:bookmarkStart w:id="32" w:name="_Toc14891074"/>
      <w:bookmarkStart w:id="33" w:name="_Toc22305"/>
      <w:r>
        <w:rPr>
          <w:rFonts w:hint="eastAsia" w:ascii="宋体" w:hAnsi="宋体" w:eastAsia="宋体" w:cs="宋体"/>
          <w:color w:val="auto"/>
          <w:sz w:val="21"/>
          <w:szCs w:val="21"/>
          <w:highlight w:val="none"/>
        </w:rPr>
        <w:t>七、中选结果与授予合同</w:t>
      </w:r>
      <w:bookmarkEnd w:id="32"/>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21.中选信息的公布</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21.1中选单位确定后，采购单位应将结果信息在</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指定的媒体上公布，</w:t>
      </w:r>
      <w:r>
        <w:rPr>
          <w:rFonts w:hint="eastAsia" w:ascii="宋体" w:hAnsi="宋体" w:eastAsia="宋体" w:cs="宋体"/>
          <w:b/>
          <w:bCs/>
          <w:color w:val="auto"/>
          <w:sz w:val="21"/>
          <w:szCs w:val="21"/>
          <w:highlight w:val="none"/>
        </w:rPr>
        <w:t>公示期限为3个工作日</w:t>
      </w:r>
      <w:r>
        <w:rPr>
          <w:rFonts w:hint="eastAsia" w:ascii="宋体" w:hAnsi="宋体" w:eastAsia="宋体" w:cs="宋体"/>
          <w:color w:val="auto"/>
          <w:sz w:val="21"/>
          <w:szCs w:val="21"/>
          <w:highlight w:val="none"/>
        </w:rPr>
        <w:t>。</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22.评审结果异议</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22.1谈判单位对评审结果有异议的，应当在结果公示期间提出。</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23.中选通知</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23.1中选单位确定后，采购单位将以书面形式向中选单位发出中选通知书。中选通知书对采购单位和中选单位具有同等法律效力。</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24.签订合同</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24.1谈判文件、中选单位的响应文件及其补充的文件等均为签订合同的依据。</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24.2中选单位应当在中选通知书发出后及时与采购单位签订合同。</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24.3中选单位应当按照合同约定履行义务。</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25.纪律和监督</w:t>
      </w:r>
    </w:p>
    <w:p>
      <w:pPr>
        <w:keepNext w:val="0"/>
        <w:keepLines w:val="0"/>
        <w:pageBreakBefore w:val="0"/>
        <w:widowControl w:val="0"/>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25.1对采购单位的纪律要求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采购单位不得泄露谈判活动中应当保密的情况和资料，不得与谈判单位串通损害国家利益、社会公共利益或者他人合法权益。</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25.2对谈判单位的纪律要求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单位不得相互串通或者与采购单位及采购代理机构串通，不得向采购单位、采购代理机构或者谈判评审小组成员行贿谋取中选，不得以他人名义参与谈判或者以其他方式弄虚作假骗取中选；谈判单位不得以任何方式干扰、影响评审工作。</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25.3对</w:t>
      </w:r>
      <w:r>
        <w:rPr>
          <w:rFonts w:hint="eastAsia" w:ascii="宋体" w:hAnsi="宋体" w:eastAsia="宋体" w:cs="宋体"/>
          <w:b/>
          <w:color w:val="auto"/>
          <w:sz w:val="21"/>
          <w:szCs w:val="21"/>
          <w:highlight w:val="none"/>
        </w:rPr>
        <w:t>谈判评审小组</w:t>
      </w:r>
      <w:r>
        <w:rPr>
          <w:rFonts w:hint="eastAsia" w:ascii="宋体" w:hAnsi="宋体" w:eastAsia="宋体" w:cs="宋体"/>
          <w:b/>
          <w:bCs/>
          <w:color w:val="auto"/>
          <w:sz w:val="21"/>
          <w:szCs w:val="21"/>
          <w:highlight w:val="none"/>
        </w:rPr>
        <w:t>成员的纪律要求</w:t>
      </w:r>
    </w:p>
    <w:p>
      <w:pPr>
        <w:pStyle w:val="356"/>
        <w:keepNext w:val="0"/>
        <w:keepLines w:val="0"/>
        <w:pageBreakBefore w:val="0"/>
        <w:widowControl w:val="0"/>
        <w:kinsoku/>
        <w:wordWrap/>
        <w:overflowPunct/>
        <w:topLinePunct w:val="0"/>
        <w:autoSpaceDE/>
        <w:autoSpaceDN/>
        <w:bidi w:val="0"/>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小组成员不得收受他人的财物或者其他好处，不得向他人透露对谈判文件的评审和比较以及评审有关的其他情况。在评审活动中，谈判评审小组成员应当客观、公正地履行职责，遵守职业道德，不得擅离职守，影响评审程序正常进行，不得使用第</w:t>
      </w:r>
      <w:bookmarkStart w:id="34" w:name="page32"/>
      <w:bookmarkEnd w:id="34"/>
      <w:r>
        <w:rPr>
          <w:rFonts w:hint="eastAsia" w:ascii="宋体" w:hAnsi="宋体" w:eastAsia="宋体" w:cs="宋体"/>
          <w:color w:val="auto"/>
          <w:sz w:val="21"/>
          <w:szCs w:val="21"/>
          <w:highlight w:val="none"/>
        </w:rPr>
        <w:t>三章“评审办法”没有规定的评审因素和标准进行评审。</w:t>
      </w:r>
    </w:p>
    <w:p>
      <w:pPr>
        <w:keepNext w:val="0"/>
        <w:keepLines w:val="0"/>
        <w:pageBreakBefore w:val="0"/>
        <w:widowControl w:val="0"/>
        <w:tabs>
          <w:tab w:val="left" w:pos="4040"/>
          <w:tab w:val="left" w:pos="4420"/>
          <w:tab w:val="left" w:pos="4520"/>
          <w:tab w:val="left" w:pos="4620"/>
          <w:tab w:val="left" w:pos="4980"/>
          <w:tab w:val="left" w:pos="5180"/>
          <w:tab w:val="left" w:pos="5780"/>
          <w:tab w:val="left" w:pos="6280"/>
          <w:tab w:val="left" w:pos="7420"/>
          <w:tab w:val="left" w:pos="8800"/>
        </w:tabs>
        <w:kinsoku/>
        <w:wordWrap/>
        <w:overflowPunct/>
        <w:topLinePunct w:val="0"/>
        <w:autoSpaceDE/>
        <w:autoSpaceDN/>
        <w:bidi w:val="0"/>
        <w:spacing w:line="360" w:lineRule="auto"/>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25.4对与评审活动有关的工作人员的纪律要求</w:t>
      </w:r>
    </w:p>
    <w:p>
      <w:pPr>
        <w:pStyle w:val="26"/>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评审活动有关的工作人员不得收受他人的财物或者其他好处，不得向他人透露对响应文件的评审和比较以及评审有关的其他情况。在评审活动中，与评审活动有关的工作人员不得擅离职守，影响评审程序正常进行。</w:t>
      </w:r>
    </w:p>
    <w:p>
      <w:pPr>
        <w:pStyle w:val="5"/>
        <w:keepNext w:val="0"/>
        <w:keepLines w:val="0"/>
        <w:pageBreakBefore w:val="0"/>
        <w:kinsoku/>
        <w:wordWrap/>
        <w:overflowPunct/>
        <w:topLinePunct w:val="0"/>
        <w:autoSpaceDE/>
        <w:autoSpaceDN/>
        <w:bidi w:val="0"/>
        <w:spacing w:before="0" w:after="0" w:line="360" w:lineRule="auto"/>
        <w:jc w:val="both"/>
        <w:textAlignment w:val="auto"/>
        <w:outlineLvl w:val="1"/>
        <w:rPr>
          <w:rFonts w:hint="eastAsia" w:ascii="宋体" w:hAnsi="宋体" w:eastAsia="宋体" w:cs="宋体"/>
          <w:color w:val="auto"/>
          <w:sz w:val="21"/>
          <w:szCs w:val="21"/>
          <w:highlight w:val="none"/>
          <w:lang w:val="en-US" w:eastAsia="zh-CN"/>
        </w:rPr>
      </w:pPr>
      <w:bookmarkStart w:id="35" w:name="_Toc14891075"/>
      <w:bookmarkStart w:id="36" w:name="_Toc32718"/>
      <w:r>
        <w:rPr>
          <w:rFonts w:hint="eastAsia" w:ascii="宋体" w:hAnsi="宋体" w:eastAsia="宋体" w:cs="宋体"/>
          <w:color w:val="auto"/>
          <w:sz w:val="21"/>
          <w:szCs w:val="21"/>
          <w:highlight w:val="none"/>
        </w:rPr>
        <w:t>八、其他</w:t>
      </w:r>
      <w:bookmarkEnd w:id="35"/>
      <w:bookmarkEnd w:id="36"/>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采购单位有权在谈判有效期内的任何时候，对谈判单位提交的文件、资料等情况进行审查复核，若发现谈判单位在谈判过程中有弄虚作假、围标串标的行为，或有不按谈判文件的要求如实提供有关情况、文件、证明等资料的行为，或有所提供的有关情况、文件、证明等资料与事实不符的行为，或在采购过程中存在其他违法违规行为的，按照不合格处理；被列为中选候选人的，取消中选候选人资格；已中选的，取消中选资格。同时，视其情节轻重处禁止参与长沙市轨道交通集团有限公司及下属子公司项目招标采购活动（最多三年），并依据国家有关规定进行处理。</w:t>
      </w:r>
    </w:p>
    <w:p>
      <w:pPr>
        <w:adjustRightInd w:val="0"/>
        <w:snapToGrid w:val="0"/>
        <w:spacing w:line="360" w:lineRule="auto"/>
        <w:ind w:left="964" w:hanging="964" w:hangingChars="300"/>
        <w:jc w:val="center"/>
        <w:rPr>
          <w:rFonts w:hint="eastAsia" w:ascii="宋体" w:hAnsi="宋体" w:eastAsia="宋体" w:cs="宋体"/>
          <w:b/>
          <w:color w:val="auto"/>
          <w:sz w:val="32"/>
          <w:szCs w:val="32"/>
          <w:highlight w:val="none"/>
        </w:rPr>
        <w:sectPr>
          <w:pgSz w:w="11906" w:h="16838"/>
          <w:pgMar w:top="1191" w:right="1417" w:bottom="1191" w:left="1191" w:header="851" w:footer="851"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附件：采购代理服务费收费标准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采购代理服务收费参照汇率表</w:t>
      </w:r>
    </w:p>
    <w:tbl>
      <w:tblPr>
        <w:tblStyle w:val="47"/>
        <w:tblpPr w:leftFromText="180" w:rightFromText="180" w:vertAnchor="text" w:horzAnchor="page" w:tblpX="1674" w:tblpY="236"/>
        <w:tblOverlap w:val="never"/>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1957"/>
        <w:gridCol w:w="2325"/>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228" w:type="dxa"/>
            <w:tcBorders>
              <w:top w:val="single" w:color="auto" w:sz="12" w:space="0"/>
              <w:left w:val="single" w:color="auto" w:sz="12" w:space="0"/>
              <w:tl2br w:val="single" w:color="auto" w:sz="4" w:space="0"/>
            </w:tcBorders>
            <w:vAlign w:val="center"/>
          </w:tcPr>
          <w:p>
            <w:pPr>
              <w:adjustRightInd w:val="0"/>
              <w:snapToGrid w:val="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汇率</w:t>
            </w:r>
          </w:p>
          <w:p>
            <w:pPr>
              <w:adjustRightInd w:val="0"/>
              <w:snapToGrid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中选金额</w:t>
            </w:r>
          </w:p>
        </w:tc>
        <w:tc>
          <w:tcPr>
            <w:tcW w:w="1957" w:type="dxa"/>
            <w:tcBorders>
              <w:top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货物采购</w:t>
            </w:r>
          </w:p>
        </w:tc>
        <w:tc>
          <w:tcPr>
            <w:tcW w:w="2325" w:type="dxa"/>
            <w:tcBorders>
              <w:top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服务采购</w:t>
            </w:r>
          </w:p>
        </w:tc>
        <w:tc>
          <w:tcPr>
            <w:tcW w:w="2100" w:type="dxa"/>
            <w:tcBorders>
              <w:top w:val="single" w:color="auto" w:sz="12" w:space="0"/>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228" w:type="dxa"/>
            <w:tcBorders>
              <w:lef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100万元以下</w:t>
            </w:r>
          </w:p>
        </w:tc>
        <w:tc>
          <w:tcPr>
            <w:tcW w:w="195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325"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100" w:type="dxa"/>
            <w:tcBorders>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228" w:type="dxa"/>
            <w:tcBorders>
              <w:lef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100～400万元</w:t>
            </w:r>
          </w:p>
        </w:tc>
        <w:tc>
          <w:tcPr>
            <w:tcW w:w="1957"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325" w:type="dxa"/>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100" w:type="dxa"/>
            <w:tcBorders>
              <w:right w:val="single" w:color="auto" w:sz="12"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28" w:type="dxa"/>
            <w:tcBorders>
              <w:left w:val="single" w:color="auto" w:sz="12" w:space="0"/>
              <w:bottom w:val="single" w:color="auto" w:sz="12" w:space="0"/>
              <w:right w:val="single" w:color="auto" w:sz="4" w:space="0"/>
            </w:tcBorders>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6382" w:type="dxa"/>
            <w:gridSpan w:val="3"/>
            <w:tcBorders>
              <w:left w:val="single" w:color="auto" w:sz="4" w:space="0"/>
              <w:bottom w:val="single" w:color="auto" w:sz="12" w:space="0"/>
              <w:right w:val="single" w:color="auto" w:sz="12" w:space="0"/>
            </w:tcBorders>
            <w:vAlign w:val="center"/>
          </w:tcPr>
          <w:p>
            <w:pPr>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采购代理服务费的收费标准为：以中选价为基数，按《采购代理服务收费参照汇率表》进行计算后，向中选单位收取。服务费超过2万元的，按2万元计取，服务费低于5000元的，按5000元计取。</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注：采购代理服务收费按差额定率累进法计算。例如：某工程采购代理业务中选金额为300万元，计算采购代理服务收费额如下：</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100万元×1.0%＝1万元</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（300-100）万元×0.7%＝1.4万元</w:t>
      </w:r>
    </w:p>
    <w:p>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合计收费＝1+1.4＝2.4（万元）</w:t>
      </w:r>
    </w:p>
    <w:p>
      <w:pPr>
        <w:adjustRightInd w:val="0"/>
        <w:snapToGrid w:val="0"/>
        <w:spacing w:line="360" w:lineRule="auto"/>
        <w:ind w:firstLine="420" w:firstLineChars="200"/>
        <w:jc w:val="left"/>
        <w:rPr>
          <w:rFonts w:hint="eastAsia" w:ascii="宋体" w:hAnsi="宋体" w:eastAsia="宋体" w:cs="宋体"/>
          <w:b/>
          <w:color w:val="auto"/>
          <w:sz w:val="21"/>
          <w:szCs w:val="21"/>
          <w:highlight w:val="none"/>
        </w:rPr>
        <w:sectPr>
          <w:footerReference r:id="rId5" w:type="default"/>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sz w:val="21"/>
          <w:szCs w:val="21"/>
          <w:highlight w:val="none"/>
        </w:rPr>
        <w:t>本项目采购代理服务费为2万元</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val="0"/>
          <w:color w:val="auto"/>
          <w:sz w:val="32"/>
          <w:szCs w:val="32"/>
          <w:highlight w:val="none"/>
        </w:rPr>
      </w:pPr>
      <w:bookmarkStart w:id="37" w:name="_Toc5567"/>
      <w:bookmarkStart w:id="38" w:name="_Toc4275"/>
      <w:bookmarkStart w:id="39" w:name="_Toc31786"/>
      <w:bookmarkStart w:id="40" w:name="_Toc28427"/>
      <w:r>
        <w:rPr>
          <w:rFonts w:hint="eastAsia" w:ascii="宋体" w:hAnsi="宋体" w:eastAsia="宋体" w:cs="宋体"/>
          <w:bCs w:val="0"/>
          <w:color w:val="auto"/>
          <w:sz w:val="32"/>
          <w:szCs w:val="32"/>
          <w:highlight w:val="none"/>
        </w:rPr>
        <w:t>第三章  评审办法及标准</w:t>
      </w:r>
      <w:bookmarkEnd w:id="37"/>
      <w:bookmarkEnd w:id="38"/>
      <w:bookmarkEnd w:id="39"/>
      <w:bookmarkEnd w:id="40"/>
    </w:p>
    <w:p>
      <w:pPr>
        <w:adjustRightInd w:val="0"/>
        <w:snapToGrid w:val="0"/>
        <w:spacing w:line="360" w:lineRule="auto"/>
        <w:ind w:left="723" w:hanging="632" w:hangingChars="300"/>
        <w:rPr>
          <w:rFonts w:hint="eastAsia" w:ascii="宋体" w:hAnsi="宋体" w:eastAsia="宋体" w:cs="宋体"/>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一、评审办法</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1.本项目采用经符合性审查合格后的</w:t>
      </w:r>
      <w:r>
        <w:rPr>
          <w:rFonts w:hint="eastAsia" w:ascii="宋体" w:hAnsi="宋体" w:eastAsia="宋体" w:cs="宋体"/>
          <w:b/>
          <w:bCs/>
          <w:color w:val="auto"/>
          <w:sz w:val="21"/>
          <w:szCs w:val="21"/>
          <w:highlight w:val="none"/>
          <w:u w:val="single"/>
        </w:rPr>
        <w:t>最低价法</w:t>
      </w:r>
      <w:r>
        <w:rPr>
          <w:rFonts w:hint="eastAsia" w:ascii="宋体" w:hAnsi="宋体" w:eastAsia="宋体" w:cs="宋体"/>
          <w:b w:val="0"/>
          <w:bCs w:val="0"/>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二、谈判程序</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2.采购单位在前附表内规定的谈判时间及地点组织谈判活动。谈判活动由采购单位、谈判单位代表参与。</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3．谈判程序分为：</w:t>
      </w:r>
      <w:r>
        <w:rPr>
          <w:rFonts w:hint="eastAsia" w:ascii="宋体" w:hAnsi="宋体" w:eastAsia="宋体" w:cs="宋体"/>
          <w:b/>
          <w:color w:val="auto"/>
          <w:sz w:val="21"/>
          <w:szCs w:val="21"/>
          <w:highlight w:val="none"/>
        </w:rPr>
        <w:t>谈判验证阶段及谈判评审阶段。</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三、谈判验证阶段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谈判验证阶段分为身份验证和唱价。</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4.身份验证阶段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4.1采购单位按本文件前附表内规定的响应文件的谈判现场验证要求，对参与谈判的单位代表身份进行验证。</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4.2参与谈判的代表身份经验证不合格的，视为无效响应，</w:t>
      </w:r>
      <w:r>
        <w:rPr>
          <w:rFonts w:hint="eastAsia" w:ascii="宋体" w:hAnsi="宋体" w:eastAsia="宋体" w:cs="宋体"/>
          <w:color w:val="auto"/>
          <w:sz w:val="21"/>
          <w:szCs w:val="21"/>
          <w:highlight w:val="none"/>
        </w:rPr>
        <w:t>不得进入下一阶段。</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5.唱价阶段</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5.1身份验证结束后，由采购单位当众拆封经身份验证合格的谈判单位的谈判响应文件，宣读响应文件中《报价一览表》内容，并记录在案。</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5.2谈判单位法定代表人或授权委托人、现场监委、记录人等有关人员在唱价记录表上签字确认，谈判单位对本阶段有异议的应当场提出，采购人当场作出答复，并记录在案，未提出的，视为无异议。</w:t>
      </w:r>
    </w:p>
    <w:p>
      <w:pPr>
        <w:keepNext w:val="0"/>
        <w:keepLines w:val="0"/>
        <w:pageBreakBefore w:val="0"/>
        <w:kinsoku/>
        <w:wordWrap/>
        <w:overflowPunct/>
        <w:topLinePunct w:val="0"/>
        <w:autoSpaceDE/>
        <w:autoSpaceDN/>
        <w:bidi w:val="0"/>
        <w:adjustRightInd w:val="0"/>
        <w:snapToGrid w:val="0"/>
        <w:spacing w:line="360" w:lineRule="auto"/>
        <w:ind w:left="0" w:hanging="632" w:hangingChars="3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四、谈判</w:t>
      </w:r>
      <w:r>
        <w:rPr>
          <w:rFonts w:hint="eastAsia" w:ascii="宋体" w:hAnsi="宋体" w:eastAsia="宋体" w:cs="宋体"/>
          <w:b/>
          <w:color w:val="auto"/>
          <w:sz w:val="21"/>
          <w:szCs w:val="21"/>
          <w:highlight w:val="none"/>
          <w:lang w:eastAsia="zh-CN"/>
        </w:rPr>
        <w:t>评审</w:t>
      </w:r>
      <w:r>
        <w:rPr>
          <w:rFonts w:hint="eastAsia" w:ascii="宋体" w:hAnsi="宋体" w:eastAsia="宋体" w:cs="宋体"/>
          <w:b/>
          <w:color w:val="auto"/>
          <w:sz w:val="21"/>
          <w:szCs w:val="21"/>
          <w:highlight w:val="none"/>
        </w:rPr>
        <w:t>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谈判评审阶段分为符合性审查、详细评审及推荐中选单位。</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6.符合性审查阶段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符合性审查分为对谈判单位资格的符合性审查及报价的符合性审查。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6.1资格的符合性审查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w:t>
      </w:r>
      <w:r>
        <w:rPr>
          <w:rFonts w:hint="eastAsia" w:ascii="宋体" w:hAnsi="宋体" w:eastAsia="宋体" w:cs="宋体"/>
          <w:bCs/>
          <w:color w:val="auto"/>
          <w:sz w:val="21"/>
          <w:szCs w:val="21"/>
          <w:highlight w:val="none"/>
        </w:rPr>
        <w:t>小组</w:t>
      </w:r>
      <w:r>
        <w:rPr>
          <w:rFonts w:hint="eastAsia" w:ascii="宋体" w:hAnsi="宋体" w:eastAsia="宋体" w:cs="宋体"/>
          <w:color w:val="auto"/>
          <w:sz w:val="21"/>
          <w:szCs w:val="21"/>
          <w:highlight w:val="none"/>
        </w:rPr>
        <w:t>根据本谈判文件</w:t>
      </w:r>
      <w:r>
        <w:rPr>
          <w:rFonts w:hint="eastAsia" w:ascii="宋体" w:hAnsi="宋体" w:eastAsia="宋体" w:cs="宋体"/>
          <w:b/>
          <w:color w:val="auto"/>
          <w:sz w:val="21"/>
          <w:szCs w:val="21"/>
          <w:highlight w:val="none"/>
        </w:rPr>
        <w:t>前附表</w:t>
      </w:r>
      <w:r>
        <w:rPr>
          <w:rFonts w:hint="eastAsia" w:ascii="宋体" w:hAnsi="宋体" w:eastAsia="宋体" w:cs="宋体"/>
          <w:color w:val="auto"/>
          <w:sz w:val="21"/>
          <w:szCs w:val="21"/>
          <w:highlight w:val="none"/>
        </w:rPr>
        <w:t>内规定的谈判单位资格要求，对谈判单位进行符合性审查，资格审查以谈判单位递交的原件资料为准。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6.2报价的符合性审查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谈判评审小组根据谈判文件的规定，对报价文件的有效性、完整性等进行符合性审查。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6.3有下列情形之一的，为符合性审查不合格，视为无效响应，不进入下一阶段：</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（1）未按照谈判文件规定要求签署盖章的；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（2）响应</w:t>
      </w:r>
      <w:r>
        <w:rPr>
          <w:rFonts w:hint="eastAsia" w:ascii="宋体" w:hAnsi="宋体" w:eastAsia="宋体" w:cs="宋体"/>
          <w:color w:val="auto"/>
          <w:kern w:val="0"/>
          <w:sz w:val="21"/>
          <w:szCs w:val="21"/>
          <w:highlight w:val="none"/>
        </w:rPr>
        <w:t>文件有效期不满足谈判文件规定的；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（3）不满足资格条件要求的；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（4）不满足用户需求书要求书的；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（5）超过</w:t>
      </w:r>
      <w:r>
        <w:rPr>
          <w:rFonts w:hint="eastAsia" w:ascii="宋体" w:hAnsi="宋体" w:eastAsia="宋体" w:cs="宋体"/>
          <w:color w:val="auto"/>
          <w:sz w:val="21"/>
          <w:szCs w:val="21"/>
          <w:highlight w:val="none"/>
          <w:lang w:eastAsia="zh-CN"/>
        </w:rPr>
        <w:t>最高限价</w:t>
      </w:r>
      <w:r>
        <w:rPr>
          <w:rFonts w:hint="eastAsia" w:ascii="宋体" w:hAnsi="宋体" w:eastAsia="宋体" w:cs="宋体"/>
          <w:color w:val="auto"/>
          <w:sz w:val="21"/>
          <w:szCs w:val="21"/>
          <w:highlight w:val="none"/>
        </w:rPr>
        <w:t>的；</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rPr>
        <w:t>（6）递交两份或多份内容不同的报价文件，或在一份报价文件中对同一项目报有两个或多个报价，且未声明哪一个有效的</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7.</w:t>
      </w:r>
      <w:r>
        <w:rPr>
          <w:rFonts w:hint="eastAsia" w:ascii="宋体" w:hAnsi="宋体" w:eastAsia="宋体" w:cs="宋体"/>
          <w:b/>
          <w:bCs/>
          <w:color w:val="auto"/>
          <w:sz w:val="21"/>
          <w:szCs w:val="21"/>
          <w:highlight w:val="none"/>
        </w:rPr>
        <w:t>详细评审阶段</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7.1谈判评审小组应按以下要求对经符合性审查合格的谈判单位进行详细评审：</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以经谈判评审小组一致认定满足《竞争性谈判文件》要求且谈判总报价最低的报价为基准价，其得分为满分。</w:t>
      </w:r>
    </w:p>
    <w:p>
      <w:pPr>
        <w:keepNext w:val="0"/>
        <w:keepLines w:val="0"/>
        <w:pageBreakBefore w:val="0"/>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kern w:val="0"/>
          <w:sz w:val="21"/>
          <w:szCs w:val="21"/>
          <w:highlight w:val="none"/>
        </w:rPr>
        <w:t>其他有效单位的得分统一按下列公式计算（保留2位小数，第3位四舍五入）：谈判单位得分=(基准价／谈判总报价)×100</w:t>
      </w:r>
    </w:p>
    <w:p>
      <w:pPr>
        <w:keepNext w:val="0"/>
        <w:keepLines w:val="0"/>
        <w:pageBreakBefore w:val="0"/>
        <w:kinsoku/>
        <w:wordWrap/>
        <w:overflowPunct/>
        <w:topLinePunct w:val="0"/>
        <w:autoSpaceDE/>
        <w:autoSpaceDN/>
        <w:bidi w:val="0"/>
        <w:adjustRightInd w:val="0"/>
        <w:snapToGrid w:val="0"/>
        <w:spacing w:line="360" w:lineRule="auto"/>
        <w:ind w:left="0" w:firstLine="413" w:firstLineChars="196"/>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8.推荐中选单位</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8.1</w:t>
      </w:r>
      <w:r>
        <w:rPr>
          <w:rFonts w:hint="eastAsia" w:ascii="宋体" w:hAnsi="宋体" w:eastAsia="宋体" w:cs="宋体"/>
          <w:color w:val="auto"/>
          <w:kern w:val="0"/>
          <w:sz w:val="21"/>
          <w:szCs w:val="21"/>
          <w:highlight w:val="none"/>
        </w:rPr>
        <w:t>谈判评审小组应当在全部评审结束后，按照得分由高到低顺序推荐1名中选单位，并填写评审报告。</w:t>
      </w:r>
    </w:p>
    <w:p>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8.2全部评审结束后，若出现报价得分相同的情形，则采用现场抽签方式确定中选单位。</w:t>
      </w:r>
    </w:p>
    <w:p>
      <w:pPr>
        <w:rPr>
          <w:rFonts w:hint="eastAsia" w:ascii="宋体" w:hAnsi="宋体" w:eastAsia="宋体" w:cs="宋体"/>
          <w:bCs/>
          <w:color w:val="auto"/>
          <w:szCs w:val="21"/>
          <w:highlight w:val="none"/>
        </w:rPr>
        <w:sectPr>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kern w:val="0"/>
          <w:sz w:val="21"/>
          <w:szCs w:val="21"/>
          <w:highlight w:val="none"/>
        </w:rPr>
        <w:br w:type="page"/>
      </w:r>
    </w:p>
    <w:p>
      <w:pPr>
        <w:pStyle w:val="4"/>
        <w:keepNext w:val="0"/>
        <w:rPr>
          <w:rFonts w:hint="eastAsia" w:ascii="宋体" w:hAnsi="宋体" w:eastAsia="宋体" w:cs="宋体"/>
          <w:bCs w:val="0"/>
          <w:color w:val="auto"/>
          <w:sz w:val="32"/>
          <w:szCs w:val="32"/>
          <w:highlight w:val="none"/>
        </w:rPr>
      </w:pPr>
      <w:bookmarkStart w:id="41" w:name="_Toc17997"/>
      <w:bookmarkStart w:id="42" w:name="_Toc23442"/>
      <w:bookmarkStart w:id="43" w:name="_Toc17562"/>
      <w:bookmarkStart w:id="44" w:name="_Toc23967"/>
      <w:bookmarkStart w:id="45" w:name="_Toc14891077"/>
      <w:r>
        <w:rPr>
          <w:rFonts w:hint="eastAsia" w:ascii="宋体" w:hAnsi="宋体" w:eastAsia="宋体" w:cs="宋体"/>
          <w:bCs w:val="0"/>
          <w:color w:val="auto"/>
          <w:sz w:val="32"/>
          <w:szCs w:val="32"/>
          <w:highlight w:val="none"/>
        </w:rPr>
        <w:t>第四章  用户需求书</w:t>
      </w:r>
      <w:bookmarkEnd w:id="41"/>
      <w:bookmarkEnd w:id="42"/>
      <w:bookmarkEnd w:id="43"/>
      <w:bookmarkEnd w:id="44"/>
      <w:bookmarkEnd w:id="45"/>
    </w:p>
    <w:p>
      <w:pPr>
        <w:rPr>
          <w:rFonts w:hint="eastAsia" w:ascii="宋体" w:hAnsi="宋体" w:eastAsia="宋体" w:cs="宋体"/>
          <w:color w:val="auto"/>
          <w:highlight w:val="none"/>
          <w:lang w:eastAsia="zh-CN"/>
        </w:rPr>
      </w:pPr>
    </w:p>
    <w:p>
      <w:pPr>
        <w:pStyle w:val="4"/>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bookmarkStart w:id="46" w:name="_Toc662"/>
      <w:bookmarkStart w:id="47" w:name="_Toc22814_WPSOffice_Level1"/>
      <w:r>
        <w:rPr>
          <w:rFonts w:hint="eastAsia" w:ascii="宋体" w:hAnsi="宋体" w:eastAsia="宋体" w:cs="宋体"/>
          <w:color w:val="auto"/>
          <w:highlight w:val="none"/>
        </w:rPr>
        <w:t>1. 总体</w:t>
      </w:r>
      <w:bookmarkEnd w:id="46"/>
      <w:bookmarkEnd w:id="47"/>
    </w:p>
    <w:p>
      <w:pPr>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 w:val="21"/>
          <w:szCs w:val="21"/>
          <w:highlight w:val="none"/>
        </w:rPr>
      </w:pPr>
      <w:bookmarkStart w:id="48" w:name="_Toc31872"/>
      <w:bookmarkStart w:id="49" w:name="_Toc22814_WPSOffice_Level2"/>
      <w:r>
        <w:rPr>
          <w:rFonts w:hint="eastAsia" w:ascii="宋体" w:hAnsi="宋体" w:eastAsia="宋体" w:cs="宋体"/>
          <w:b/>
          <w:bCs/>
          <w:color w:val="auto"/>
          <w:sz w:val="21"/>
          <w:szCs w:val="21"/>
          <w:highlight w:val="none"/>
        </w:rPr>
        <w:t>1.1 项目说明</w:t>
      </w:r>
      <w:bookmarkEnd w:id="48"/>
      <w:bookmarkEnd w:id="49"/>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sz w:val="21"/>
          <w:szCs w:val="21"/>
          <w:highlight w:val="none"/>
          <w:shd w:val="clear" w:color="050000" w:fill="auto"/>
        </w:rPr>
        <w:t xml:space="preserve">1.1.1 </w:t>
      </w:r>
      <w:r>
        <w:rPr>
          <w:rFonts w:hint="eastAsia" w:ascii="宋体" w:hAnsi="宋体" w:eastAsia="宋体" w:cs="宋体"/>
          <w:color w:val="auto"/>
          <w:kern w:val="0"/>
          <w:sz w:val="21"/>
          <w:szCs w:val="21"/>
          <w:highlight w:val="none"/>
          <w:lang w:val="en-US" w:eastAsia="zh-CN" w:bidi="ar"/>
        </w:rPr>
        <w:t>本用户需求书适用于长沙市轨道交通2号线运营期OCC裙楼4楼调度部生活间、黄兴车辆段谈话室、监控旁听室、档案室加装防火门、荣誉室改造工程项目施工及管理。</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1.1.2本用户需求书并未充分引述有关标准和规范的条文，提出的是最低限度的技术要求，承包单位应提供符合本需求书和工业制造标准的优质产品。</w:t>
      </w:r>
      <w:r>
        <w:rPr>
          <w:rFonts w:hint="eastAsia" w:ascii="宋体" w:hAnsi="宋体" w:eastAsia="宋体" w:cs="宋体"/>
          <w:color w:val="auto"/>
          <w:kern w:val="0"/>
          <w:sz w:val="21"/>
          <w:szCs w:val="21"/>
          <w:highlight w:val="none"/>
          <w:lang w:val="en-US" w:eastAsia="zh-CN" w:bidi="ar"/>
        </w:rPr>
        <w:br w:type="textWrapping"/>
      </w:r>
      <w:r>
        <w:rPr>
          <w:rFonts w:hint="eastAsia" w:ascii="宋体" w:hAnsi="宋体" w:eastAsia="宋体" w:cs="宋体"/>
          <w:color w:val="auto"/>
          <w:kern w:val="0"/>
          <w:sz w:val="21"/>
          <w:szCs w:val="21"/>
          <w:highlight w:val="none"/>
          <w:lang w:val="en-US" w:eastAsia="zh-CN" w:bidi="ar"/>
        </w:rPr>
        <w:t>1.1.3如果承包单位以书面形式对本需求书的条文提出完全响应，并提出具体技术方案，则意味着承包单位承诺所提供的设备及材料完全符合本需求书的要求。</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Cs w:val="24"/>
          <w:highlight w:val="none"/>
          <w:shd w:val="clear" w:color="050000" w:fill="auto"/>
        </w:rPr>
      </w:pPr>
      <w:bookmarkStart w:id="50" w:name="_Toc26704"/>
      <w:bookmarkStart w:id="51" w:name="_Toc25402_WPSOffice_Level2"/>
      <w:r>
        <w:rPr>
          <w:rFonts w:hint="eastAsia" w:ascii="宋体" w:hAnsi="宋体" w:eastAsia="宋体" w:cs="宋体"/>
          <w:b/>
          <w:bCs/>
          <w:color w:val="auto"/>
          <w:szCs w:val="24"/>
          <w:highlight w:val="none"/>
          <w:shd w:val="clear" w:color="050000" w:fill="auto"/>
        </w:rPr>
        <w:t>1.2 工程概况</w:t>
      </w:r>
      <w:bookmarkEnd w:id="50"/>
      <w:bookmarkEnd w:id="51"/>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第一部分：对运营公司11楼接待室进行改造，陈列运营公司发展历程以来重大影响力的事迹，展现企业精神、传播企业文化。</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w:t>
      </w:r>
      <w:bookmarkStart w:id="52" w:name="OLE_LINK2"/>
      <w:r>
        <w:rPr>
          <w:rFonts w:hint="eastAsia" w:ascii="宋体" w:hAnsi="宋体" w:eastAsia="宋体" w:cs="宋体"/>
          <w:color w:val="auto"/>
          <w:kern w:val="0"/>
          <w:sz w:val="21"/>
          <w:szCs w:val="21"/>
          <w:highlight w:val="none"/>
          <w:lang w:val="en-US" w:eastAsia="zh-CN" w:bidi="ar"/>
        </w:rPr>
        <w:t>调度部生活间是为保证调度员安全、有序的工作而提供的就餐地点。为满足调度员就餐问题，对OCC大厅生活间进行改造。</w:t>
      </w:r>
      <w:bookmarkEnd w:id="52"/>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拟对黄兴车辆段综合楼一楼原司机值班室（0108）、七楼监审部案卷室（701）、七楼监审部档案室（711）进行改造，在原司机值班室（0108）内新建隔墙，将原司机值班室（0108）隔断成谈话室和监控旁听室两间房间，并对谈话室和监控旁听室墙面、桌椅开展舒适软质材料包装、新增部分插座及应急照明灯、防护栏杆等配套设备设施改造及新增一套实现全程同步录音录像且具备投屏功能的视频监控系统，以增强谈话的严肃性，提高纪律审查的质量与效率，规范案件查办行为，保障纪律审查过程安全，信息保密。此外，为确保审计资料安全性，将黄兴车辆段综合楼一楼原司机值班室（0108）门、七楼监审部案卷室（701）门、七楼监审部档案室（711）门改造成指纹密码钢制甲级防盗门。</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3" w:name="_Toc5158"/>
      <w:bookmarkStart w:id="54" w:name="_Toc5602_WPSOffice_Level2"/>
      <w:r>
        <w:rPr>
          <w:rFonts w:hint="eastAsia" w:ascii="宋体" w:hAnsi="宋体" w:eastAsia="宋体" w:cs="宋体"/>
          <w:b/>
          <w:bCs/>
          <w:color w:val="auto"/>
          <w:sz w:val="21"/>
          <w:szCs w:val="21"/>
          <w:highlight w:val="none"/>
          <w:shd w:val="clear" w:color="050000" w:fill="auto"/>
        </w:rPr>
        <w:t>1.3 工程施工地点及范围</w:t>
      </w:r>
      <w:bookmarkEnd w:id="53"/>
      <w:bookmarkEnd w:id="54"/>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第一部分：黄兴车辆段运营公司综合楼11楼接待室</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第二部分：2号线OCC裙楼4楼调度部生活间</w:t>
      </w:r>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第三部分：黄兴车辆段综合楼一楼原司机值班室（0108）、七楼监审部案卷室（701）、七楼监审部档案室（711）</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5" w:name="_Toc3843"/>
      <w:bookmarkStart w:id="56" w:name="_Toc17444_WPSOffice_Level2"/>
      <w:r>
        <w:rPr>
          <w:rFonts w:hint="eastAsia" w:ascii="宋体" w:hAnsi="宋体" w:eastAsia="宋体" w:cs="宋体"/>
          <w:b/>
          <w:bCs/>
          <w:color w:val="auto"/>
          <w:sz w:val="21"/>
          <w:szCs w:val="21"/>
          <w:highlight w:val="none"/>
          <w:shd w:val="clear" w:color="050000" w:fill="auto"/>
        </w:rPr>
        <w:t>1.4 环境及条件</w:t>
      </w:r>
      <w:bookmarkEnd w:id="55"/>
      <w:bookmarkEnd w:id="56"/>
    </w:p>
    <w:p>
      <w:pPr>
        <w:pageBreakBefore w:val="0"/>
        <w:kinsoku/>
        <w:overflowPunct/>
        <w:topLinePunct w:val="0"/>
        <w:autoSpaceDE/>
        <w:autoSpaceDN/>
        <w:bidi w:val="0"/>
        <w:adjustRightInd/>
        <w:snapToGrid/>
        <w:spacing w:line="360" w:lineRule="auto"/>
        <w:ind w:firstLine="420" w:firstLineChars="200"/>
        <w:contextualSpacing/>
        <w:jc w:val="left"/>
        <w:rPr>
          <w:rFonts w:hint="eastAsia" w:ascii="宋体" w:hAnsi="宋体" w:eastAsia="宋体" w:cs="宋体"/>
          <w:color w:val="auto"/>
          <w:kern w:val="0"/>
          <w:sz w:val="21"/>
          <w:szCs w:val="21"/>
          <w:highlight w:val="none"/>
          <w:lang w:val="en-US" w:eastAsia="zh-CN" w:bidi="ar"/>
        </w:rPr>
      </w:pPr>
      <w:bookmarkStart w:id="57" w:name="_Toc25402_WPSOffice_Level1"/>
      <w:r>
        <w:rPr>
          <w:rFonts w:hint="eastAsia" w:ascii="宋体" w:hAnsi="宋体" w:eastAsia="宋体" w:cs="宋体"/>
          <w:color w:val="auto"/>
          <w:kern w:val="0"/>
          <w:sz w:val="21"/>
          <w:szCs w:val="21"/>
          <w:highlight w:val="none"/>
          <w:lang w:val="en-US" w:eastAsia="zh-CN" w:bidi="ar"/>
        </w:rPr>
        <w:t>该项目具体施工限制条件包括但不限于以下几点：</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施工地点主要在长沙轨道交通运营有限公司黄兴车辆段综合楼、2号线OCC裙楼4楼调度部生活间进行，施工计划及时间需严格依照长沙轨道交通运营有限公司施工相关要求执行。施工期间不得影响到职工工作和休息时间，如需夜间加班则提前通知，经过同意方可加班施工。</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2）所有施工人员必须进行相关的安全教育，方可进行作业。</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3）其他有关事项流程必须按照运营公司标准、制度、规定执行。</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4）凡2m以上的高空作业，必须做好安全防范，高空作业时不得抛掷传递工具、零部件和材料等。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5）施工作业过程中严格执行请销点流程，在进行动火作业时严格按照《运营公司动火作业管理办法》执行。</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6）施工区域保障原有设备设施的成品保护。</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7）施工所产生的垃圾应及时进行清理外运，做好工完料清，保障运营质量。</w:t>
      </w:r>
    </w:p>
    <w:p>
      <w:pPr>
        <w:pageBreakBefore w:val="0"/>
        <w:numPr>
          <w:ilvl w:val="0"/>
          <w:numId w:val="0"/>
        </w:numPr>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8）所有施工方案及技术要求如与现场情况相冲突，应以现场情况为准，由承包单位和采购单位共同确定技术方案，所确定技术方案不能违反国家及行业技术标准和规范。</w:t>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4"/>
          <w:szCs w:val="24"/>
          <w:highlight w:val="none"/>
        </w:rPr>
      </w:pPr>
      <w:bookmarkStart w:id="58" w:name="_Toc32445"/>
      <w:r>
        <w:rPr>
          <w:rFonts w:hint="eastAsia" w:ascii="宋体" w:hAnsi="宋体" w:eastAsia="宋体" w:cs="宋体"/>
          <w:color w:val="auto"/>
          <w:sz w:val="24"/>
          <w:szCs w:val="24"/>
          <w:highlight w:val="none"/>
        </w:rPr>
        <w:t>2. 工程内容</w:t>
      </w:r>
      <w:bookmarkEnd w:id="57"/>
      <w:bookmarkEnd w:id="58"/>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59" w:name="_Toc31519_WPSOffice_Level2"/>
      <w:bookmarkStart w:id="60" w:name="_Toc15440"/>
      <w:r>
        <w:rPr>
          <w:rFonts w:hint="eastAsia" w:ascii="宋体" w:hAnsi="宋体" w:eastAsia="宋体" w:cs="宋体"/>
          <w:b/>
          <w:bCs/>
          <w:color w:val="auto"/>
          <w:sz w:val="21"/>
          <w:szCs w:val="21"/>
          <w:highlight w:val="none"/>
          <w:shd w:val="clear" w:color="050000" w:fill="auto"/>
        </w:rPr>
        <w:t>2.1 主要工程内容</w:t>
      </w:r>
      <w:bookmarkEnd w:id="59"/>
      <w:bookmarkEnd w:id="60"/>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第一部分：（详见工程量清单）</w:t>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1）电源线敷设：西面墙及南面墙需电源线走线及安装开关，满足轨道灯、射灯、灯带电源的安装。南面墙上方安装5盏轨道灯，西面墙上方安装轨道灯4盏、柜内安装射灯19个、柜内暗藏灯带6米。</w:t>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2）南面墙荣誉柜：长5.9米、高2.7米，12mm板开条做结构，12mm板木质面板，亮光烤漆饰面，亚克力裁型做造型。(详见下图：效果图1)。</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效果图1：</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4"/>
          <w:szCs w:val="22"/>
          <w:highlight w:val="none"/>
          <w:shd w:val="clear" w:color="050000" w:fill="auto"/>
        </w:rPr>
      </w:pPr>
      <w:r>
        <w:rPr>
          <w:rFonts w:hint="eastAsia" w:ascii="宋体" w:hAnsi="宋体" w:eastAsia="宋体" w:cs="宋体"/>
          <w:color w:val="auto"/>
          <w:sz w:val="24"/>
          <w:szCs w:val="22"/>
          <w:highlight w:val="none"/>
          <w:shd w:val="clear" w:color="050000" w:fill="auto"/>
        </w:rPr>
        <w:drawing>
          <wp:inline distT="0" distB="0" distL="114300" distR="114300">
            <wp:extent cx="4939665" cy="2496185"/>
            <wp:effectExtent l="0" t="0" r="1333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4939665" cy="2496185"/>
                    </a:xfrm>
                    <a:prstGeom prst="rect">
                      <a:avLst/>
                    </a:prstGeom>
                    <a:noFill/>
                    <a:ln w="1">
                      <a:noFill/>
                    </a:ln>
                  </pic:spPr>
                </pic:pic>
              </a:graphicData>
            </a:graphic>
          </wp:inline>
        </w:drawing>
      </w:r>
    </w:p>
    <w:p>
      <w:pPr>
        <w:pStyle w:val="335"/>
        <w:pageBreakBefore w:val="0"/>
        <w:kinsoku/>
        <w:overflowPunct/>
        <w:topLinePunct w:val="0"/>
        <w:autoSpaceDE/>
        <w:autoSpaceDN/>
        <w:bidi w:val="0"/>
        <w:adjustRightInd/>
        <w:snapToGrid/>
        <w:spacing w:line="360" w:lineRule="auto"/>
        <w:ind w:left="0" w:leftChars="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3）西面墙木结荣誉柜：长4.2米，高2.7米，12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板木质面板，亮光烤漆饰面；15</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板开条做柜子立柱，12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color w:val="auto"/>
          <w:kern w:val="0"/>
          <w:sz w:val="21"/>
          <w:szCs w:val="21"/>
          <w:highlight w:val="none"/>
          <w:lang w:val="en-US" w:eastAsia="zh-CN" w:bidi="ar"/>
        </w:rPr>
        <w:t>板做层板，烤漆饰面。大柜层内藏灯带，右边柜格开孔，安装射灯，有机玻璃做单开柜门（每个柜子都需要防尘）。(详见下图：效果图2)。</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效果图2：</w:t>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sz w:val="24"/>
          <w:szCs w:val="22"/>
          <w:highlight w:val="none"/>
          <w:shd w:val="clear" w:color="050000" w:fill="auto"/>
        </w:rPr>
      </w:pPr>
      <w:r>
        <w:rPr>
          <w:rFonts w:hint="eastAsia" w:ascii="宋体" w:hAnsi="宋体" w:eastAsia="宋体" w:cs="宋体"/>
          <w:color w:val="auto"/>
          <w:sz w:val="24"/>
          <w:szCs w:val="22"/>
          <w:highlight w:val="none"/>
          <w:shd w:val="clear" w:color="050000" w:fill="auto"/>
        </w:rPr>
        <w:drawing>
          <wp:inline distT="0" distB="0" distL="114300" distR="114300">
            <wp:extent cx="4940935" cy="2909570"/>
            <wp:effectExtent l="0" t="0" r="1206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8"/>
                    <a:stretch>
                      <a:fillRect/>
                    </a:stretch>
                  </pic:blipFill>
                  <pic:spPr>
                    <a:xfrm>
                      <a:off x="0" y="0"/>
                      <a:ext cx="4940935" cy="2909570"/>
                    </a:xfrm>
                    <a:prstGeom prst="rect">
                      <a:avLst/>
                    </a:prstGeom>
                    <a:noFill/>
                    <a:ln w="1">
                      <a:noFill/>
                    </a:ln>
                  </pic:spPr>
                </pic:pic>
              </a:graphicData>
            </a:graphic>
          </wp:inline>
        </w:drawing>
      </w:r>
    </w:p>
    <w:p>
      <w:pPr>
        <w:pStyle w:val="335"/>
        <w:pageBreakBefore w:val="0"/>
        <w:kinsoku/>
        <w:overflowPunct/>
        <w:topLinePunct w:val="0"/>
        <w:autoSpaceDE/>
        <w:autoSpaceDN/>
        <w:bidi w:val="0"/>
        <w:adjustRightInd/>
        <w:snapToGrid/>
        <w:spacing w:line="360" w:lineRule="auto"/>
        <w:ind w:firstLine="48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第二部分：（详见工程量清单）</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bookmarkStart w:id="61" w:name="_Toc5602_WPSOffice_Level1"/>
      <w:r>
        <w:rPr>
          <w:rFonts w:hint="eastAsia" w:ascii="宋体" w:hAnsi="宋体" w:eastAsia="宋体" w:cs="宋体"/>
          <w:color w:val="auto"/>
          <w:kern w:val="0"/>
          <w:sz w:val="21"/>
          <w:szCs w:val="21"/>
          <w:highlight w:val="none"/>
          <w:lang w:val="en-US" w:eastAsia="zh-CN" w:bidi="ar"/>
        </w:rPr>
        <w:t xml:space="preserve">1）将生活间与综合布线间的部分隔墙敲除，与现有生活间共用窗户进行通风，同时重新对墙面进行粉刷。 </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2）综合布线间内有电缆井，需在电缆井上加装检修盖板，同时对电缆井上方线缆增设线槽。 </w:t>
      </w:r>
    </w:p>
    <w:p>
      <w:pPr>
        <w:pageBreakBefore w:val="0"/>
        <w:kinsoku/>
        <w:overflowPunct/>
        <w:topLinePunct w:val="0"/>
        <w:autoSpaceDE/>
        <w:autoSpaceDN/>
        <w:bidi w:val="0"/>
        <w:adjustRightInd/>
        <w:snapToGrid/>
        <w:spacing w:line="360" w:lineRule="auto"/>
        <w:ind w:right="399" w:rightChars="19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3）将综合布线间原有防静电地板更换为陶瓷防静电地板。</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第三部分：主要工程内容包括黄兴车辆段一楼原司机值班室（0108）内新增隔墙及隔墙木门、墙面及办公桌椅软包工程、新增部分插座及应急照明灯、防护栏杆、新增一套视频监控系统等。此处对黄兴车辆段一楼原司机值班室（0108）门、七楼监审部案卷室（701）门、七楼监审部档案室（711）门改造成指纹密码钢制甲级防盗门。</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1）新增隔墙：砖混结构砌筑及双面抹灰、插座预留安装、单向透视玻璃窗安装、门扇安装等(详见附图：平面示意图及剖面图）。</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2）墙面及办公桌椅软包工程：谈话室和监控旁听室墙面及办公桌椅进行软包处理等。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3）插座及应急照明灯：谈话室和监控旁听室内总计新增插座10个及应急照明灯2台配套相应线缆管道敷设安装等。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4）防护栏杆：黄兴车辆段一楼原司机值班室北面窗户内侧处安装不锈钢防护栏等。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5）视频监控系统：摄像机安装、线路敷设、存储、终端设备安装、调试。</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6）办公室门改造：将黄兴车辆段综合楼一楼原司机值班室（0108室）（1扇）、七楼监审部案卷室（701）、七楼监审部档案室（711）办公室木门改造成指纹密码钢制甲级防盗门。</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附图：</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highlight w:val="none"/>
        </w:rPr>
        <w:drawing>
          <wp:inline distT="0" distB="0" distL="114300" distR="114300">
            <wp:extent cx="5812155" cy="6849110"/>
            <wp:effectExtent l="0" t="0" r="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a:srcRect l="2791" t="755" r="-2003" b="418"/>
                    <a:stretch>
                      <a:fillRect/>
                    </a:stretch>
                  </pic:blipFill>
                  <pic:spPr>
                    <a:xfrm>
                      <a:off x="0" y="0"/>
                      <a:ext cx="5812155" cy="684911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349875" cy="489521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349875" cy="4895215"/>
                    </a:xfrm>
                    <a:prstGeom prst="rect">
                      <a:avLst/>
                    </a:prstGeom>
                    <a:noFill/>
                    <a:ln>
                      <a:noFill/>
                    </a:ln>
                  </pic:spPr>
                </pic:pic>
              </a:graphicData>
            </a:graphic>
          </wp:inline>
        </w:drawing>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rPr>
      </w:pPr>
      <w:bookmarkStart w:id="62" w:name="_Toc5187"/>
      <w:r>
        <w:rPr>
          <w:rFonts w:hint="eastAsia" w:ascii="宋体" w:hAnsi="宋体" w:eastAsia="宋体" w:cs="宋体"/>
          <w:color w:val="auto"/>
          <w:highlight w:val="none"/>
        </w:rPr>
        <w:t>3. 工程技术要求</w:t>
      </w:r>
      <w:bookmarkEnd w:id="61"/>
      <w:bookmarkEnd w:id="62"/>
    </w:p>
    <w:p>
      <w:pPr>
        <w:pageBreakBefore w:val="0"/>
        <w:kinsoku/>
        <w:overflowPunct/>
        <w:topLinePunct w:val="0"/>
        <w:autoSpaceDE/>
        <w:autoSpaceDN/>
        <w:bidi w:val="0"/>
        <w:adjustRightInd/>
        <w:snapToGrid/>
        <w:spacing w:line="360" w:lineRule="auto"/>
        <w:ind w:right="399" w:rightChars="190"/>
        <w:jc w:val="left"/>
        <w:outlineLvl w:val="1"/>
        <w:rPr>
          <w:rFonts w:hint="eastAsia" w:ascii="宋体" w:hAnsi="宋体" w:eastAsia="宋体" w:cs="宋体"/>
          <w:color w:val="auto"/>
          <w:kern w:val="0"/>
          <w:sz w:val="21"/>
          <w:szCs w:val="21"/>
          <w:highlight w:val="none"/>
          <w:lang w:val="en-US" w:eastAsia="zh-CN" w:bidi="ar"/>
        </w:rPr>
      </w:pPr>
      <w:bookmarkStart w:id="63" w:name="_Toc30099"/>
      <w:r>
        <w:rPr>
          <w:rFonts w:hint="eastAsia" w:ascii="宋体" w:hAnsi="宋体" w:eastAsia="宋体" w:cs="宋体"/>
          <w:b/>
          <w:bCs/>
          <w:color w:val="auto"/>
          <w:sz w:val="21"/>
          <w:szCs w:val="21"/>
          <w:highlight w:val="none"/>
          <w:shd w:val="clear" w:color="050000" w:fill="auto"/>
        </w:rPr>
        <w:t>3.1</w:t>
      </w:r>
      <w:r>
        <w:rPr>
          <w:rFonts w:hint="eastAsia" w:ascii="宋体" w:hAnsi="宋体" w:eastAsia="宋体" w:cs="宋体"/>
          <w:color w:val="auto"/>
          <w:kern w:val="0"/>
          <w:sz w:val="21"/>
          <w:szCs w:val="21"/>
          <w:highlight w:val="none"/>
          <w:lang w:val="en-US" w:eastAsia="zh-CN" w:bidi="ar"/>
        </w:rPr>
        <w:t>第一部分：</w:t>
      </w:r>
      <w:bookmarkEnd w:id="63"/>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1）、所用材料必须为合格产品，同时满足相应的行业执行标准，如环境检测值、防水等级、吸声等级，且具有相应的出厂合格证、检测报告，并报告采购单位认可后方可使用。</w:t>
      </w:r>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2）、施工时不能影响原有的结构工程，妥善保护好区域内的设备、材料等。</w:t>
      </w:r>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3）、本需求书所使用的标准如与承包单位所执行的标准不一致时，承包单位可以采用相应的国际标准替代，但承包单位应确认替代标准高于需求书所列标准，并在文件中加以说明。</w:t>
      </w:r>
    </w:p>
    <w:p>
      <w:pPr>
        <w:pageBreakBefore w:val="0"/>
        <w:kinsoku/>
        <w:overflowPunct/>
        <w:topLinePunct w:val="0"/>
        <w:autoSpaceDE/>
        <w:autoSpaceDN/>
        <w:bidi w:val="0"/>
        <w:adjustRightInd/>
        <w:snapToGrid/>
        <w:spacing w:line="360" w:lineRule="auto"/>
        <w:ind w:right="399" w:rightChars="190"/>
        <w:jc w:val="left"/>
        <w:outlineLvl w:val="1"/>
        <w:rPr>
          <w:rFonts w:hint="eastAsia" w:ascii="宋体" w:hAnsi="宋体" w:eastAsia="宋体" w:cs="宋体"/>
          <w:color w:val="auto"/>
          <w:kern w:val="0"/>
          <w:sz w:val="21"/>
          <w:szCs w:val="21"/>
          <w:highlight w:val="none"/>
          <w:lang w:val="en-US" w:eastAsia="zh-CN" w:bidi="ar"/>
        </w:rPr>
      </w:pPr>
      <w:bookmarkStart w:id="64" w:name="_Toc1178"/>
      <w:r>
        <w:rPr>
          <w:rFonts w:hint="eastAsia" w:ascii="宋体" w:hAnsi="宋体" w:eastAsia="宋体" w:cs="宋体"/>
          <w:b/>
          <w:bCs/>
          <w:color w:val="auto"/>
          <w:sz w:val="21"/>
          <w:szCs w:val="21"/>
          <w:highlight w:val="none"/>
          <w:shd w:val="clear" w:color="050000" w:fill="auto"/>
        </w:rPr>
        <w:t>3.</w:t>
      </w:r>
      <w:r>
        <w:rPr>
          <w:rFonts w:hint="eastAsia" w:ascii="宋体" w:hAnsi="宋体" w:eastAsia="宋体" w:cs="宋体"/>
          <w:b/>
          <w:bCs/>
          <w:color w:val="auto"/>
          <w:sz w:val="21"/>
          <w:szCs w:val="21"/>
          <w:highlight w:val="none"/>
          <w:shd w:val="clear" w:color="050000" w:fill="auto"/>
          <w:lang w:val="en-US" w:eastAsia="zh-CN"/>
        </w:rPr>
        <w:t>2</w:t>
      </w:r>
      <w:r>
        <w:rPr>
          <w:rFonts w:hint="eastAsia" w:ascii="宋体" w:hAnsi="宋体" w:eastAsia="宋体" w:cs="宋体"/>
          <w:color w:val="auto"/>
          <w:kern w:val="0"/>
          <w:sz w:val="21"/>
          <w:szCs w:val="21"/>
          <w:highlight w:val="none"/>
          <w:lang w:val="en-US" w:eastAsia="zh-CN" w:bidi="ar"/>
        </w:rPr>
        <w:t>第二部分：</w:t>
      </w:r>
      <w:bookmarkEnd w:id="64"/>
    </w:p>
    <w:p>
      <w:pPr>
        <w:pageBreakBefore w:val="0"/>
        <w:kinsoku/>
        <w:overflowPunct/>
        <w:topLinePunct w:val="0"/>
        <w:autoSpaceDE/>
        <w:autoSpaceDN/>
        <w:bidi w:val="0"/>
        <w:adjustRightInd/>
        <w:snapToGrid/>
        <w:spacing w:line="360" w:lineRule="auto"/>
        <w:ind w:firstLine="315" w:firstLineChars="15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本工程属改造工程，所有施工方案及技术要求如与现场情况相冲突，应以现场情况为准，由承包单位和采购单位共同确定技术方案，所确定方案不能违反国家及行业技术标准和规范。</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color w:val="auto"/>
          <w:kern w:val="0"/>
          <w:sz w:val="21"/>
          <w:szCs w:val="21"/>
          <w:highlight w:val="none"/>
          <w:lang w:val="en-US" w:eastAsia="zh-CN" w:bidi="ar"/>
        </w:rPr>
      </w:pPr>
      <w:bookmarkStart w:id="65" w:name="_Toc13141"/>
      <w:r>
        <w:rPr>
          <w:rFonts w:hint="eastAsia" w:ascii="宋体" w:hAnsi="宋体" w:eastAsia="宋体" w:cs="宋体"/>
          <w:b/>
          <w:bCs/>
          <w:color w:val="auto"/>
          <w:sz w:val="21"/>
          <w:szCs w:val="21"/>
          <w:highlight w:val="none"/>
          <w:shd w:val="clear" w:color="050000" w:fill="auto"/>
        </w:rPr>
        <w:t>3.</w:t>
      </w:r>
      <w:r>
        <w:rPr>
          <w:rFonts w:hint="eastAsia" w:ascii="宋体" w:hAnsi="宋体" w:eastAsia="宋体" w:cs="宋体"/>
          <w:b/>
          <w:bCs/>
          <w:color w:val="auto"/>
          <w:sz w:val="21"/>
          <w:szCs w:val="21"/>
          <w:highlight w:val="none"/>
          <w:shd w:val="clear" w:color="050000" w:fill="auto"/>
          <w:lang w:val="en-US" w:eastAsia="zh-CN"/>
        </w:rPr>
        <w:t>3</w:t>
      </w:r>
      <w:r>
        <w:rPr>
          <w:rFonts w:hint="eastAsia" w:ascii="宋体" w:hAnsi="宋体" w:eastAsia="宋体" w:cs="宋体"/>
          <w:color w:val="auto"/>
          <w:kern w:val="0"/>
          <w:sz w:val="21"/>
          <w:szCs w:val="21"/>
          <w:highlight w:val="none"/>
          <w:lang w:val="en-US" w:eastAsia="zh-CN" w:bidi="ar"/>
        </w:rPr>
        <w:t>第三部分：</w:t>
      </w:r>
      <w:bookmarkEnd w:id="65"/>
      <w:bookmarkStart w:id="66" w:name="_Toc3414"/>
      <w:bookmarkStart w:id="67" w:name="_Toc2196751"/>
      <w:bookmarkStart w:id="68" w:name="_Toc536513590"/>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3.3.1施工工艺及标准</w:t>
      </w:r>
      <w:bookmarkEnd w:id="66"/>
      <w:bookmarkEnd w:id="67"/>
      <w:bookmarkEnd w:id="68"/>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1</w:t>
      </w:r>
      <w:r>
        <w:rPr>
          <w:rFonts w:hint="eastAsia" w:ascii="宋体" w:hAnsi="宋体" w:eastAsia="宋体" w:cs="宋体"/>
          <w:color w:val="auto"/>
          <w:kern w:val="0"/>
          <w:sz w:val="21"/>
          <w:szCs w:val="21"/>
          <w:highlight w:val="none"/>
          <w:lang w:val="en-US" w:eastAsia="zh-CN" w:bidi="ar"/>
        </w:rPr>
        <w:t>隔墙改造工程:</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隔墙采用砖混结构（砖砌+构造柱形式），砖砌墙长3800mm(含门宽+单向透视玻璃窗）,高3260mm,墙厚200mm，双面抹灰，砖砌体中铺设Φ8mm@500mm拉筋，每层2根，不少于4层，拉筋嵌入构造柱长度不小于50d。构造柱、横梁及过梁均采用C20砼，尺寸均为200mm*200mm。新砌墙面与构造柱采用马牙槎：马牙间隔300mm，退进60mm。构造柱、横梁、过梁钢筋均采用4根Φ14mm；箍筋Φ10mm、间距150mm；植筋深度不低于60mm（含打胶等）。</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bookmarkStart w:id="69" w:name="_Toc8050699"/>
      <w:r>
        <w:rPr>
          <w:rFonts w:hint="eastAsia" w:ascii="宋体" w:hAnsi="宋体" w:eastAsia="宋体" w:cs="宋体"/>
          <w:color w:val="auto"/>
          <w:kern w:val="0"/>
          <w:sz w:val="21"/>
          <w:szCs w:val="21"/>
          <w:highlight w:val="none"/>
          <w:lang w:val="en-US" w:eastAsia="zh-CN" w:bidi="ar"/>
        </w:rPr>
        <w:t>单向透视玻璃窗和隔断木门采购安装</w:t>
      </w:r>
      <w:bookmarkEnd w:id="69"/>
      <w:r>
        <w:rPr>
          <w:rFonts w:hint="eastAsia" w:ascii="宋体" w:hAnsi="宋体" w:eastAsia="宋体" w:cs="宋体"/>
          <w:color w:val="auto"/>
          <w:kern w:val="0"/>
          <w:sz w:val="21"/>
          <w:szCs w:val="21"/>
          <w:highlight w:val="none"/>
          <w:lang w:val="en-US" w:eastAsia="zh-CN" w:bidi="ar"/>
        </w:rPr>
        <w:t>：单向透视玻璃窗采用定制银白色隔音中空单面透视镜长2000mm,高1400mm,厚度6+6mm双层防爆单向透视玻璃（高透光率）+配套金属窗框架，隔断墙处新增一扇隔断木门（含锁）。</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施工工艺：基层清理→放线→脚手架搭设（作业平台）→砌墙（含构造柱）→电路敷设→墙面盒安装（预留门窗洞口）→继续砌墙（含构造柱）→墙体基层处理→墙面装饰层→安装门窗→脚手架拆除（作业平台）→垃圾清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2</w:t>
      </w:r>
      <w:r>
        <w:rPr>
          <w:rFonts w:hint="eastAsia" w:ascii="宋体" w:hAnsi="宋体" w:eastAsia="宋体" w:cs="宋体"/>
          <w:color w:val="auto"/>
          <w:kern w:val="0"/>
          <w:sz w:val="21"/>
          <w:szCs w:val="21"/>
          <w:highlight w:val="none"/>
          <w:lang w:val="en-US" w:eastAsia="zh-CN" w:bidi="ar"/>
        </w:rPr>
        <w:t>监听室天花与窗户交接处空隙采用双面600mm*1200mm*6mm硅酸钙板，中间填充岩棉，对天花与窗户交接处空隙进行封闭隔音处理。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3</w:t>
      </w:r>
      <w:r>
        <w:rPr>
          <w:rFonts w:hint="eastAsia" w:ascii="宋体" w:hAnsi="宋体" w:eastAsia="宋体" w:cs="宋体"/>
          <w:color w:val="auto"/>
          <w:kern w:val="0"/>
          <w:sz w:val="21"/>
          <w:szCs w:val="21"/>
          <w:highlight w:val="none"/>
          <w:lang w:val="en-US" w:eastAsia="zh-CN" w:bidi="ar"/>
        </w:rPr>
        <w:t>墙面及办公用具软包工程：谈话室和监控旁听室采用优质高密度的防火A级绵为芯材，吸音布或者优质皮革为外层材料进行软包装隔音处理，并对办公桌椅等一并包裹及地毯铺设。</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Cs w:val="24"/>
          <w:highlight w:val="none"/>
          <w:shd w:val="clear" w:color="050000" w:fill="auto"/>
          <w:lang w:val="en-US" w:eastAsia="zh-CN"/>
        </w:rPr>
      </w:pPr>
      <w:r>
        <w:rPr>
          <w:rFonts w:hint="eastAsia" w:ascii="宋体" w:hAnsi="宋体" w:eastAsia="宋体" w:cs="宋体"/>
          <w:color w:val="auto"/>
          <w:kern w:val="0"/>
          <w:sz w:val="24"/>
          <w:highlight w:val="none"/>
        </w:rPr>
        <w:fldChar w:fldCharType="begin"/>
      </w:r>
      <w:r>
        <w:rPr>
          <w:rFonts w:hint="eastAsia" w:ascii="宋体" w:hAnsi="宋体" w:eastAsia="宋体" w:cs="宋体"/>
          <w:color w:val="auto"/>
          <w:kern w:val="0"/>
          <w:sz w:val="24"/>
          <w:highlight w:val="none"/>
        </w:rPr>
        <w:instrText xml:space="preserve"> INCLUDEPICTURE "C:\\Users\\Administrator\\AppData\\Roaming\\Tencent\\Users\\3201488680\\QQ\\WinTemp\\RichOle\\MRPC``9K{3742OB@`TCX@TY.png" \* MERGEFORMATINET </w:instrText>
      </w:r>
      <w:r>
        <w:rPr>
          <w:rFonts w:hint="eastAsia" w:ascii="宋体" w:hAnsi="宋体" w:eastAsia="宋体" w:cs="宋体"/>
          <w:color w:val="auto"/>
          <w:kern w:val="0"/>
          <w:sz w:val="24"/>
          <w:highlight w:val="none"/>
        </w:rPr>
        <w:fldChar w:fldCharType="separate"/>
      </w:r>
      <w:r>
        <w:rPr>
          <w:rFonts w:hint="eastAsia" w:ascii="宋体" w:hAnsi="宋体" w:eastAsia="宋体" w:cs="宋体"/>
          <w:color w:val="auto"/>
          <w:kern w:val="0"/>
          <w:sz w:val="24"/>
          <w:highlight w:val="none"/>
        </w:rPr>
        <w:drawing>
          <wp:inline distT="0" distB="0" distL="114300" distR="114300">
            <wp:extent cx="2527300" cy="1812290"/>
            <wp:effectExtent l="0" t="0" r="6350" b="16510"/>
            <wp:docPr id="20" name="图片 5" descr="MRPC``9K{3742OB@`TC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MRPC``9K{3742OB@`TCX@TY"/>
                    <pic:cNvPicPr>
                      <a:picLocks noChangeAspect="1"/>
                    </pic:cNvPicPr>
                  </pic:nvPicPr>
                  <pic:blipFill>
                    <a:blip r:embed="rId21"/>
                    <a:stretch>
                      <a:fillRect/>
                    </a:stretch>
                  </pic:blipFill>
                  <pic:spPr>
                    <a:xfrm>
                      <a:off x="0" y="0"/>
                      <a:ext cx="2527300" cy="1812290"/>
                    </a:xfrm>
                    <a:prstGeom prst="rect">
                      <a:avLst/>
                    </a:prstGeom>
                    <a:noFill/>
                    <a:ln>
                      <a:noFill/>
                    </a:ln>
                  </pic:spPr>
                </pic:pic>
              </a:graphicData>
            </a:graphic>
          </wp:inline>
        </w:drawing>
      </w:r>
      <w:r>
        <w:rPr>
          <w:rFonts w:hint="eastAsia" w:ascii="宋体" w:hAnsi="宋体" w:eastAsia="宋体" w:cs="宋体"/>
          <w:color w:val="auto"/>
          <w:kern w:val="0"/>
          <w:sz w:val="24"/>
          <w:highlight w:val="none"/>
        </w:rPr>
        <w:fldChar w:fldCharType="end"/>
      </w:r>
      <w:r>
        <w:rPr>
          <w:rFonts w:hint="eastAsia" w:ascii="宋体" w:hAnsi="宋体" w:eastAsia="宋体" w:cs="宋体"/>
          <w:color w:val="auto"/>
          <w:kern w:val="0"/>
          <w:sz w:val="24"/>
          <w:highlight w:val="none"/>
        </w:rPr>
        <w:fldChar w:fldCharType="begin"/>
      </w:r>
      <w:r>
        <w:rPr>
          <w:rFonts w:hint="eastAsia" w:ascii="宋体" w:hAnsi="宋体" w:eastAsia="宋体" w:cs="宋体"/>
          <w:color w:val="auto"/>
          <w:kern w:val="0"/>
          <w:sz w:val="24"/>
          <w:highlight w:val="none"/>
        </w:rPr>
        <w:instrText xml:space="preserve"> INCLUDEPICTURE "C:\\Users\\Administrator\\AppData\\Roaming\\Tencent\\Users\\3201488680\\QQ\\WinTemp\\RichOle\\4$KWXU72XL2W_XQFWPRL`BK.png" \* MERGEFORMATINET </w:instrText>
      </w:r>
      <w:r>
        <w:rPr>
          <w:rFonts w:hint="eastAsia" w:ascii="宋体" w:hAnsi="宋体" w:eastAsia="宋体" w:cs="宋体"/>
          <w:color w:val="auto"/>
          <w:kern w:val="0"/>
          <w:sz w:val="24"/>
          <w:highlight w:val="none"/>
        </w:rPr>
        <w:fldChar w:fldCharType="separate"/>
      </w:r>
      <w:r>
        <w:rPr>
          <w:rFonts w:hint="eastAsia" w:ascii="宋体" w:hAnsi="宋体" w:eastAsia="宋体" w:cs="宋体"/>
          <w:color w:val="auto"/>
          <w:kern w:val="0"/>
          <w:sz w:val="24"/>
          <w:highlight w:val="none"/>
        </w:rPr>
        <w:drawing>
          <wp:inline distT="0" distB="0" distL="114300" distR="114300">
            <wp:extent cx="2313940" cy="1824990"/>
            <wp:effectExtent l="0" t="0" r="10160" b="3810"/>
            <wp:docPr id="21" name="图片 6" descr="4$KWXU72XL2W_XQFWPR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4$KWXU72XL2W_XQFWPRL`BK"/>
                    <pic:cNvPicPr>
                      <a:picLocks noChangeAspect="1"/>
                    </pic:cNvPicPr>
                  </pic:nvPicPr>
                  <pic:blipFill>
                    <a:blip r:embed="rId22"/>
                    <a:stretch>
                      <a:fillRect/>
                    </a:stretch>
                  </pic:blipFill>
                  <pic:spPr>
                    <a:xfrm>
                      <a:off x="0" y="0"/>
                      <a:ext cx="2313940" cy="1824990"/>
                    </a:xfrm>
                    <a:prstGeom prst="rect">
                      <a:avLst/>
                    </a:prstGeom>
                    <a:noFill/>
                    <a:ln>
                      <a:noFill/>
                    </a:ln>
                  </pic:spPr>
                </pic:pic>
              </a:graphicData>
            </a:graphic>
          </wp:inline>
        </w:drawing>
      </w:r>
      <w:r>
        <w:rPr>
          <w:rFonts w:hint="eastAsia" w:ascii="宋体" w:hAnsi="宋体" w:eastAsia="宋体" w:cs="宋体"/>
          <w:color w:val="auto"/>
          <w:kern w:val="0"/>
          <w:sz w:val="24"/>
          <w:highlight w:val="none"/>
        </w:rPr>
        <w:fldChar w:fldCharType="end"/>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w:t>
      </w:r>
      <w:r>
        <w:rPr>
          <w:rFonts w:hint="eastAsia" w:ascii="宋体" w:hAnsi="宋体" w:eastAsia="宋体" w:cs="宋体"/>
          <w:color w:val="auto"/>
          <w:kern w:val="2"/>
          <w:sz w:val="21"/>
          <w:szCs w:val="21"/>
          <w:highlight w:val="none"/>
          <w:shd w:val="clear" w:color="050000" w:fill="auto"/>
          <w:lang w:val="en-US" w:eastAsia="zh-CN" w:bidi="ar-SA"/>
        </w:rPr>
        <w:t>4</w:t>
      </w:r>
      <w:r>
        <w:rPr>
          <w:rFonts w:hint="eastAsia" w:ascii="宋体" w:hAnsi="宋体" w:eastAsia="宋体" w:cs="宋体"/>
          <w:color w:val="auto"/>
          <w:kern w:val="0"/>
          <w:sz w:val="21"/>
          <w:szCs w:val="21"/>
          <w:highlight w:val="none"/>
          <w:lang w:val="en-US" w:eastAsia="zh-CN" w:bidi="ar"/>
        </w:rPr>
        <w:t>新增设备设施改造工程</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3.3.1.4.1新增一套视频监控系统：</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要求谈话室、监听室实现全程同步录音录像及投屏功能。视频监控系统录音录像设备技术要求如下：采用IP方式，拾音器不少于2路，摄像机采用高清模式，分辨率不低于1080P，保证房间内无死角；存贮方式采用IP磁盘录像机或更高模式，配备4块4T硬盘，存贮时间不少于120小时；要求录音录像文件进行备份，文件名样式为年、月、日、时、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3.3.1.4.2谈话室和监听室总计新增10个五孔插座（含线缆敷设）及监控旁听室北面两个窗户内部安装金属防护栏杆。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1）插座</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a）插座的安装高度位置应便于操作。</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b）安装在同一建筑物、构筑物内的插座，宜采用同一类产品。</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2）防护栏杆</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监控旁听室北面两个窗户内侧拟定制安装圆形不锈钢防护栏，两个窗户防护栏尺寸分别为长1280mm*宽2000mm和长1230mm*宽2000mm，不锈钢防护栏主要受力杆件壁厚不应小于1.5mm，一般杆件壁厚不小于1.2mm，不锈钢横竖杆件直径不小于25mm，立杆间距不大于11mm且符合《住宅设计规范》要求。</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3.3.1.4.3办公门改造</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黄兴车辆段综合楼一楼原司机值班室（0108、1扇）、监审部案卷室（701、1扇）、监审部档案室（711、2扇）门拟更换为指纹密码钢制甲级防盗门，防盗门（含指纹密码锁、门框）必须安全可靠，并在一楼原司机值班室（0108）隔断墙处新增一扇木门（含机械锁）。</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0" w:name="_Toc12426_WPSOffice_Level2"/>
      <w:bookmarkStart w:id="71" w:name="_Toc30116"/>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shd w:val="clear" w:color="050000" w:fill="auto"/>
        </w:rPr>
        <w:t>执行参考标准</w:t>
      </w:r>
      <w:bookmarkEnd w:id="70"/>
      <w:bookmarkEnd w:id="71"/>
    </w:p>
    <w:p>
      <w:pPr>
        <w:pageBreakBefore w:val="0"/>
        <w:kinsoku/>
        <w:overflowPunct/>
        <w:topLinePunct w:val="0"/>
        <w:autoSpaceDE/>
        <w:autoSpaceDN/>
        <w:bidi w:val="0"/>
        <w:adjustRightInd/>
        <w:snapToGrid/>
        <w:spacing w:line="360" w:lineRule="auto"/>
        <w:ind w:right="399" w:rightChars="19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施工及竣工验收中应遵守国家的现行相关规程规范，主要有：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《建筑工程施工质量验收统一标准》(GB50300-2013)；</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《建筑装饰装修工程质量验收规范》（GB50327—2018）；</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《建筑内部装修防火施工及验收规范》（GB50354-2005）；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《砌体工程施工质量验收规范》（GB50203-2015）；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《电气装置安装工程施工及验收规范》（GB50254～50259-2016）；</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《施工现场临时用电安全技术规范》（JGJ46-2005）；</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《建筑安装分项工程施工工艺规程》（第二分册）（GBJ01-26-96）；</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《防静电地面施工及验收规范》（SJT31469-2002）。</w:t>
      </w:r>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上述标准和规范如有不涉及之处或未能达到国际和国家最新标准时，承包单位提供的产品需符合最新版本的国际、国家标准和规范，并提供所采用的国际、国家标准和规范以及所采用版本的有关技术资料。</w:t>
      </w:r>
    </w:p>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lang w:val="zh-CN"/>
        </w:rPr>
      </w:pPr>
      <w:bookmarkStart w:id="72" w:name="_Toc23908"/>
      <w:r>
        <w:rPr>
          <w:rFonts w:hint="eastAsia" w:ascii="宋体" w:hAnsi="宋体" w:eastAsia="宋体" w:cs="宋体"/>
          <w:color w:val="auto"/>
          <w:highlight w:val="none"/>
        </w:rPr>
        <w:t xml:space="preserve">4. </w:t>
      </w:r>
      <w:r>
        <w:rPr>
          <w:rFonts w:hint="eastAsia" w:ascii="宋体" w:hAnsi="宋体" w:eastAsia="宋体" w:cs="宋体"/>
          <w:color w:val="auto"/>
          <w:highlight w:val="none"/>
          <w:lang w:val="zh-CN"/>
        </w:rPr>
        <w:t>工程量清单</w:t>
      </w:r>
      <w:bookmarkEnd w:id="72"/>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3" w:name="_Toc2955"/>
      <w:r>
        <w:rPr>
          <w:rFonts w:hint="eastAsia" w:ascii="宋体" w:hAnsi="宋体" w:eastAsia="宋体" w:cs="宋体"/>
          <w:b/>
          <w:bCs/>
          <w:color w:val="auto"/>
          <w:sz w:val="21"/>
          <w:szCs w:val="21"/>
          <w:highlight w:val="none"/>
          <w:shd w:val="clear" w:color="050000" w:fill="auto"/>
        </w:rPr>
        <w:t>第一部分：</w:t>
      </w:r>
      <w:bookmarkEnd w:id="73"/>
    </w:p>
    <w:tbl>
      <w:tblPr>
        <w:tblStyle w:val="46"/>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930"/>
        <w:gridCol w:w="1405"/>
        <w:gridCol w:w="845"/>
        <w:gridCol w:w="818"/>
        <w:gridCol w:w="2553"/>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工程内容</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单位</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数量</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标准</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930" w:type="dxa"/>
            <w:vMerge w:val="restart"/>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南面荣誉墙</w:t>
            </w: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轨道灯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含轨道、辅件及安装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南面墙荣誉柜：</w:t>
            </w:r>
            <w:r>
              <w:rPr>
                <w:rFonts w:hint="eastAsia" w:ascii="宋体" w:hAnsi="宋体" w:eastAsia="宋体" w:cs="宋体"/>
                <w:bCs/>
                <w:color w:val="auto"/>
                <w:sz w:val="21"/>
                <w:szCs w:val="21"/>
                <w:highlight w:val="none"/>
              </w:rPr>
              <w:t>木结构底板，亚克力裁型做造型，木质层板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m²</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15.93</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宽5</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m*高2.7m，12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板木质面板</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亮光烤漆饰面</w:t>
            </w:r>
            <w:r>
              <w:rPr>
                <w:rFonts w:hint="eastAsia" w:ascii="宋体" w:hAnsi="宋体" w:eastAsia="宋体" w:cs="宋体"/>
                <w:bCs/>
                <w:color w:val="auto"/>
                <w:sz w:val="21"/>
                <w:szCs w:val="21"/>
                <w:highlight w:val="none"/>
                <w:lang w:eastAsia="zh-CN"/>
              </w:rPr>
              <w:t>，亚克力裁型做造型。</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、含设计造型（参照效果图，具体现场确定）</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详见效果图</w:t>
            </w:r>
            <w:r>
              <w:rPr>
                <w:rFonts w:hint="eastAsia" w:ascii="宋体" w:hAnsi="宋体" w:eastAsia="宋体" w:cs="宋体"/>
                <w:bCs/>
                <w:color w:val="auto"/>
                <w:sz w:val="21"/>
                <w:szCs w:val="21"/>
                <w:highlight w:val="none"/>
                <w:lang w:val="en-US" w:eastAsia="zh-CN"/>
              </w:rPr>
              <w:t>1</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（含制作及安装）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930" w:type="dxa"/>
            <w:vMerge w:val="restart"/>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西面荣誉墙</w:t>
            </w: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西面墙荣誉柜：</w:t>
            </w:r>
            <w:r>
              <w:rPr>
                <w:rFonts w:hint="eastAsia" w:ascii="宋体" w:hAnsi="宋体" w:eastAsia="宋体" w:cs="宋体"/>
                <w:bCs/>
                <w:color w:val="auto"/>
                <w:sz w:val="21"/>
                <w:szCs w:val="21"/>
                <w:highlight w:val="none"/>
              </w:rPr>
              <w:t>木结构荣誉柜</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11.34</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板开条做结构，12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板木质面板，亮光烤漆饰面，宽4.2m*高2.7m；15</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板开条做柜子立柱，12</w:t>
            </w:r>
            <w:r>
              <w:rPr>
                <w:rFonts w:hint="eastAsia" w:ascii="宋体" w:hAnsi="宋体" w:eastAsia="宋体" w:cs="宋体"/>
                <w:bCs/>
                <w:color w:val="auto"/>
                <w:sz w:val="21"/>
                <w:szCs w:val="21"/>
                <w:highlight w:val="none"/>
                <w:lang w:val="en-US" w:eastAsia="zh-CN"/>
              </w:rPr>
              <w:t>mm</w:t>
            </w:r>
            <w:r>
              <w:rPr>
                <w:rFonts w:hint="eastAsia" w:ascii="宋体" w:hAnsi="宋体" w:eastAsia="宋体" w:cs="宋体"/>
                <w:bCs/>
                <w:color w:val="auto"/>
                <w:sz w:val="21"/>
                <w:szCs w:val="21"/>
                <w:highlight w:val="none"/>
              </w:rPr>
              <w:t>板做层板，烤漆饰面。大柜层内藏灯带，右边柜格开孔，安装</w:t>
            </w:r>
            <w:r>
              <w:rPr>
                <w:rFonts w:hint="eastAsia" w:ascii="宋体" w:hAnsi="宋体" w:eastAsia="宋体" w:cs="宋体"/>
                <w:bCs/>
                <w:color w:val="auto"/>
                <w:sz w:val="21"/>
                <w:szCs w:val="21"/>
                <w:highlight w:val="none"/>
                <w:lang w:eastAsia="zh-CN"/>
              </w:rPr>
              <w:t>射</w:t>
            </w:r>
            <w:r>
              <w:rPr>
                <w:rFonts w:hint="eastAsia" w:ascii="宋体" w:hAnsi="宋体" w:eastAsia="宋体" w:cs="宋体"/>
                <w:bCs/>
                <w:color w:val="auto"/>
                <w:sz w:val="21"/>
                <w:szCs w:val="21"/>
                <w:highlight w:val="none"/>
              </w:rPr>
              <w:t>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有机玻璃做单开柜门（每个柜子都需要防尘）</w:t>
            </w:r>
            <w:r>
              <w:rPr>
                <w:rFonts w:hint="eastAsia" w:ascii="宋体" w:hAnsi="宋体" w:eastAsia="宋体" w:cs="宋体"/>
                <w:bCs/>
                <w:color w:val="auto"/>
                <w:sz w:val="21"/>
                <w:szCs w:val="21"/>
                <w:highlight w:val="none"/>
                <w:lang w:eastAsia="zh-CN"/>
              </w:rPr>
              <w:t>。</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eastAsia="zh-CN"/>
              </w:rPr>
              <w:t>、含设计造型（参照效果图，具体现场确定）</w:t>
            </w:r>
          </w:p>
        </w:tc>
        <w:tc>
          <w:tcPr>
            <w:tcW w:w="2031" w:type="dxa"/>
            <w:noWrap w:val="0"/>
            <w:vAlign w:val="center"/>
          </w:tcPr>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详见效果图</w:t>
            </w:r>
            <w:r>
              <w:rPr>
                <w:rFonts w:hint="eastAsia" w:ascii="宋体" w:hAnsi="宋体" w:eastAsia="宋体" w:cs="宋体"/>
                <w:bCs/>
                <w:color w:val="auto"/>
                <w:sz w:val="21"/>
                <w:szCs w:val="21"/>
                <w:highlight w:val="none"/>
                <w:lang w:val="en-US" w:eastAsia="zh-CN"/>
              </w:rPr>
              <w:t>2</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（含制作及安装，</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有机玻璃柜门</w:t>
            </w:r>
            <w:r>
              <w:rPr>
                <w:rFonts w:hint="eastAsia" w:ascii="宋体" w:hAnsi="宋体" w:eastAsia="宋体" w:cs="宋体"/>
                <w:bCs/>
                <w:color w:val="auto"/>
                <w:sz w:val="21"/>
                <w:szCs w:val="21"/>
                <w:highlight w:val="none"/>
                <w:lang w:eastAsia="zh-CN"/>
              </w:rPr>
              <w:t>面</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积与该荣誉柜面</w:t>
            </w:r>
          </w:p>
          <w:p>
            <w:pPr>
              <w:pageBreakBefore w:val="0"/>
              <w:kinsoku/>
              <w:overflowPunct/>
              <w:topLinePunct w:val="0"/>
              <w:autoSpaceDE/>
              <w:autoSpaceDN/>
              <w:bidi w:val="0"/>
              <w:adjustRightInd/>
              <w:snapToGrid/>
              <w:spacing w:line="360" w:lineRule="auto"/>
              <w:ind w:left="480" w:hanging="420" w:hangingChars="200"/>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积一致（含损耗）</w:t>
            </w:r>
            <w:r>
              <w:rPr>
                <w:rFonts w:hint="eastAsia" w:ascii="宋体" w:hAnsi="宋体" w:eastAsia="宋体" w:cs="宋体"/>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轨道灯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30W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含轨道、辅件及安装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射灯</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930" w:type="dxa"/>
            <w:vMerge w:val="continue"/>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p>
        </w:tc>
        <w:tc>
          <w:tcPr>
            <w:tcW w:w="140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LED灯带</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LED灯带（橙色）</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照明开关</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套</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扳式暗开关(单控)双联</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电源线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单芯铜芯2.5mm²（零线、火线、地线各100m）</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电源线</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单芯铜芯4mm²（零线、火线、地线各100m）</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电线保护管</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m</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DN20</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lang w:eastAsia="zh-CN"/>
              </w:rPr>
              <w:t>PV</w:t>
            </w:r>
            <w:r>
              <w:rPr>
                <w:rFonts w:hint="eastAsia" w:ascii="宋体" w:hAnsi="宋体" w:eastAsia="宋体" w:cs="宋体"/>
                <w:bCs/>
                <w:color w:val="auto"/>
                <w:sz w:val="21"/>
                <w:szCs w:val="21"/>
                <w:highlight w:val="none"/>
                <w:lang w:val="en-US" w:eastAsia="zh-CN"/>
              </w:rPr>
              <w:t>C</w:t>
            </w:r>
            <w:r>
              <w:rPr>
                <w:rFonts w:hint="eastAsia" w:ascii="宋体" w:hAnsi="宋体" w:eastAsia="宋体" w:cs="宋体"/>
                <w:bCs/>
                <w:color w:val="auto"/>
                <w:sz w:val="21"/>
                <w:szCs w:val="21"/>
                <w:highlight w:val="none"/>
                <w:lang w:eastAsia="zh-CN"/>
              </w:rPr>
              <w:t>电线管</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335" w:type="dxa"/>
            <w:gridSpan w:val="2"/>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零星项目</w:t>
            </w:r>
          </w:p>
        </w:tc>
        <w:tc>
          <w:tcPr>
            <w:tcW w:w="845"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项</w:t>
            </w:r>
          </w:p>
        </w:tc>
        <w:tc>
          <w:tcPr>
            <w:tcW w:w="818"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1</w:t>
            </w:r>
          </w:p>
        </w:tc>
        <w:tc>
          <w:tcPr>
            <w:tcW w:w="2553"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成品保护（面积约为120m²）、垃圾清运（约7m³）、二次搬运、卫生等其他零星工程</w:t>
            </w:r>
          </w:p>
        </w:tc>
        <w:tc>
          <w:tcPr>
            <w:tcW w:w="2031"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零星项目包干计取</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4"/>
          <w:highlight w:val="none"/>
          <w:shd w:val="clear" w:color="050000" w:fill="auto"/>
          <w:vertAlign w:val="baseline"/>
          <w:lang w:val="en-US" w:eastAsia="zh-CN"/>
        </w:rPr>
      </w:pPr>
      <w:bookmarkStart w:id="74" w:name="_Toc29698"/>
      <w:r>
        <w:rPr>
          <w:rFonts w:hint="eastAsia" w:ascii="宋体" w:hAnsi="宋体" w:eastAsia="宋体" w:cs="宋体"/>
          <w:b/>
          <w:bCs/>
          <w:color w:val="auto"/>
          <w:szCs w:val="24"/>
          <w:highlight w:val="none"/>
          <w:shd w:val="clear" w:color="050000" w:fill="auto"/>
          <w:lang w:val="en-US" w:eastAsia="zh-CN"/>
        </w:rPr>
        <w:t>第二部分：</w:t>
      </w:r>
    </w:p>
    <w:tbl>
      <w:tblPr>
        <w:tblStyle w:val="47"/>
        <w:tblW w:w="9309"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30"/>
        <w:gridCol w:w="2900"/>
        <w:gridCol w:w="1190"/>
        <w:gridCol w:w="1130"/>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top w:val="single" w:color="auto" w:sz="4" w:space="0"/>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序号</w:t>
            </w:r>
          </w:p>
        </w:tc>
        <w:tc>
          <w:tcPr>
            <w:tcW w:w="13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项目名称</w:t>
            </w:r>
          </w:p>
        </w:tc>
        <w:tc>
          <w:tcPr>
            <w:tcW w:w="29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项目特征描述</w:t>
            </w:r>
          </w:p>
        </w:tc>
        <w:tc>
          <w:tcPr>
            <w:tcW w:w="119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计量单位</w:t>
            </w:r>
          </w:p>
        </w:tc>
        <w:tc>
          <w:tcPr>
            <w:tcW w:w="11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工程量</w:t>
            </w:r>
          </w:p>
        </w:tc>
        <w:tc>
          <w:tcPr>
            <w:tcW w:w="1959" w:type="dxa"/>
            <w:tcBorders>
              <w:top w:val="single" w:color="auto" w:sz="4" w:space="0"/>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砖砌体拆除</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拆除生活间与综合布线间的部分墙体</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m³</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1.24</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拆除轻质砖砌体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门洞包边</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对拆除墙体处门框进行包边</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1.66</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9mm胶合板包边（含门洞修补、安装）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地砖及铺设</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墙体拆除处地脚进行瓷砖包边、敷设</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0.53</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300*600mm瓷质地砖，根据现场尺寸进行切割及敷设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墙面粉刷</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墙面全部重新粉刷</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包含：墙漆（腻子二遍，乳胶漆三遍）及人工费用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电缆井处处理</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1、电缆井处制作、安装铁质检修盖板（根据现场情况进行切割）；费用包含：盖板、支架及人工</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2、为电缆井上方电缆线线槽增设盖板；费用包含：线槽盖板及人工</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项</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1、电缆井铁质检修盖板1㎡；</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2、10cm✘5cm线槽加装5m盖板。（含安装）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插座</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五孔插座</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个</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4</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包含辅材及安装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电源线</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单芯铜芯2.5m²电源线</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90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单芯铜芯2.5mm²电源线（零线、火线、地线各30m），含安装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电线保护管</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DN20</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lang w:eastAsia="zh-CN"/>
              </w:rPr>
              <w:t>PV</w:t>
            </w:r>
            <w:r>
              <w:rPr>
                <w:rFonts w:hint="eastAsia" w:ascii="宋体" w:hAnsi="宋体" w:eastAsia="宋体" w:cs="宋体"/>
                <w:bCs/>
                <w:color w:val="auto"/>
                <w:sz w:val="21"/>
                <w:szCs w:val="21"/>
                <w:highlight w:val="none"/>
                <w:lang w:val="en-US" w:eastAsia="zh-CN"/>
              </w:rPr>
              <w:t>C</w:t>
            </w:r>
            <w:r>
              <w:rPr>
                <w:rFonts w:hint="eastAsia" w:ascii="宋体" w:hAnsi="宋体" w:eastAsia="宋体" w:cs="宋体"/>
                <w:bCs/>
                <w:color w:val="auto"/>
                <w:sz w:val="21"/>
                <w:szCs w:val="21"/>
                <w:highlight w:val="none"/>
                <w:lang w:eastAsia="zh-CN"/>
              </w:rPr>
              <w:t>电线管</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30</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线管铺设为明铺</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含辅材、安装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lef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防静电陶瓷地板</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1.拆除现有防静电地板（含支架、地板等）</w:t>
            </w:r>
          </w:p>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2.铺设新的陶瓷防静电地板（含地板、加强型支架等）。</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17</w:t>
            </w:r>
          </w:p>
        </w:tc>
        <w:tc>
          <w:tcPr>
            <w:tcW w:w="1959" w:type="dxa"/>
            <w:tcBorders>
              <w:right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拆除现有防静电地板（含支架、地板等）以及铺设新的陶瓷防静电地板（含地板、加强型支架等），含安装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13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天花盖板</w:t>
            </w:r>
          </w:p>
        </w:tc>
        <w:tc>
          <w:tcPr>
            <w:tcW w:w="290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对缺少的天花盖板进行补充</w:t>
            </w:r>
          </w:p>
        </w:tc>
        <w:tc>
          <w:tcPr>
            <w:tcW w:w="119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m²</w:t>
            </w:r>
          </w:p>
        </w:tc>
        <w:tc>
          <w:tcPr>
            <w:tcW w:w="1130" w:type="dxa"/>
            <w:tcBorders>
              <w:top w:val="single" w:color="auto" w:sz="4" w:space="0"/>
            </w:tcBorders>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1959" w:type="dxa"/>
            <w:tcBorders>
              <w:top w:val="single" w:color="auto" w:sz="4" w:space="0"/>
            </w:tcBorders>
            <w:noWrap w:val="0"/>
            <w:vAlign w:val="center"/>
          </w:tcPr>
          <w:p>
            <w:pPr>
              <w:keepNext w:val="0"/>
              <w:keepLines w:val="0"/>
              <w:pageBreakBefore w:val="0"/>
              <w:widowControl/>
              <w:suppressLineNumbers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600mm*600mm矿棉吸音天花及安装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p>
        </w:tc>
        <w:tc>
          <w:tcPr>
            <w:tcW w:w="13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零星项目</w:t>
            </w:r>
          </w:p>
        </w:tc>
        <w:tc>
          <w:tcPr>
            <w:tcW w:w="2900"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成品保护（面积约为100m²）、垃圾清运（约5m³）、脚手架（约90m²）、二次搬运、卫生等其他零星工程</w:t>
            </w:r>
          </w:p>
        </w:tc>
        <w:tc>
          <w:tcPr>
            <w:tcW w:w="119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项</w:t>
            </w:r>
          </w:p>
        </w:tc>
        <w:tc>
          <w:tcPr>
            <w:tcW w:w="1130" w:type="dxa"/>
            <w:noWrap w:val="0"/>
            <w:vAlign w:val="center"/>
          </w:tcPr>
          <w:p>
            <w:pPr>
              <w:pageBreakBefore w:val="0"/>
              <w:kinsoku/>
              <w:overflowPunct/>
              <w:topLinePunct w:val="0"/>
              <w:autoSpaceDE/>
              <w:autoSpaceDN/>
              <w:bidi w:val="0"/>
              <w:adjustRightInd/>
              <w:snapToGrid/>
              <w:spacing w:line="360" w:lineRule="auto"/>
              <w:contextualSpacing/>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w:t>
            </w:r>
          </w:p>
        </w:tc>
        <w:tc>
          <w:tcPr>
            <w:tcW w:w="1959" w:type="dxa"/>
            <w:noWrap w:val="0"/>
            <w:vAlign w:val="center"/>
          </w:tcPr>
          <w:p>
            <w:pPr>
              <w:pageBreakBefore w:val="0"/>
              <w:kinsoku/>
              <w:overflowPunct/>
              <w:topLinePunct w:val="0"/>
              <w:autoSpaceDE/>
              <w:autoSpaceDN/>
              <w:bidi w:val="0"/>
              <w:adjustRightInd/>
              <w:snapToGrid/>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零星项目包干计取</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4"/>
          <w:highlight w:val="none"/>
          <w:shd w:val="clear" w:color="050000" w:fill="auto"/>
          <w:lang w:val="en-US" w:eastAsia="zh-CN"/>
        </w:rPr>
      </w:pPr>
      <w:r>
        <w:rPr>
          <w:rFonts w:hint="eastAsia" w:ascii="宋体" w:hAnsi="宋体" w:eastAsia="宋体" w:cs="宋体"/>
          <w:b/>
          <w:bCs/>
          <w:color w:val="auto"/>
          <w:szCs w:val="24"/>
          <w:highlight w:val="none"/>
          <w:shd w:val="clear" w:color="050000" w:fill="auto"/>
          <w:lang w:val="en-US" w:eastAsia="zh-CN"/>
        </w:rPr>
        <w:t>第三部分：</w:t>
      </w:r>
      <w:bookmarkEnd w:id="74"/>
    </w:p>
    <w:tbl>
      <w:tblPr>
        <w:tblStyle w:val="4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119"/>
        <w:gridCol w:w="640"/>
        <w:gridCol w:w="860"/>
        <w:gridCol w:w="4827"/>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工程内容</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482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标准（或要求）</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一、隔墙改造工程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77"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1</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0"/>
                <w:sz w:val="21"/>
                <w:szCs w:val="21"/>
                <w:highlight w:val="none"/>
                <w:lang w:eastAsia="zh-CN"/>
              </w:rPr>
              <w:t>砖砌</w:t>
            </w:r>
            <w:r>
              <w:rPr>
                <w:rFonts w:hint="eastAsia" w:ascii="宋体" w:hAnsi="宋体" w:eastAsia="宋体" w:cs="宋体"/>
                <w:color w:val="auto"/>
                <w:kern w:val="0"/>
                <w:sz w:val="21"/>
                <w:szCs w:val="21"/>
                <w:highlight w:val="none"/>
              </w:rPr>
              <w:t>隔</w:t>
            </w:r>
            <w:r>
              <w:rPr>
                <w:rFonts w:hint="eastAsia" w:ascii="宋体" w:hAnsi="宋体" w:eastAsia="宋体" w:cs="宋体"/>
                <w:color w:val="auto"/>
                <w:kern w:val="0"/>
                <w:sz w:val="21"/>
                <w:szCs w:val="21"/>
                <w:highlight w:val="none"/>
                <w:lang w:eastAsia="zh-CN"/>
              </w:rPr>
              <w:t>墙</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m³</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1.11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 宽200mm*高3260mm*长3800mm砖砌墙体，双面抹灰（约14.98㎡）(含门洞、横梁、窗户边)；</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 铺设拉筋：Φ8mm，单层两根,铺设间距500mm,不少于4层,钢筋嵌入构造柱不少于400mm（门洞处布设至门框）,植筋深度不少于60mm。</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拉筋总长度约为：（2.4+0.4）*2*2+（3.8+0.12）*2*2=26.88m，Φ8钢筋理论重量为0.395kg/m ，则拉筋重量约为：26.88*0.395=10.62kg。</w:t>
            </w:r>
          </w:p>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4.与构造柱接口采用马牙槎：马牙间隔300mm，退进60mm。</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构造柱、横梁（含窄、扩大段）</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m³</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0.39</w:t>
            </w: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C20混凝土灌注构造柱(含钢筋加工、后期养护等）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 200mm*200mm构造柱，新砌墙面与构造柱采用马牙槎：马牙间隔300mm，退进60mm。</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 构造柱立筋4根、Φ14mm；箍筋Φ10mm、间距150mm；植筋深度不低于60mm（含打胶等）。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立筋总长度=立筋长度（2100+400+60）*单根构造柱立筋数量4*构造柱数量2=20480mm，Φ14钢筋理论重量为1.21Kg/m，则立筋重量约为：20.48*1.21=24.78kg；箍筋总长度约为：单个箍筋长度（190*4+280）*箍筋数量14*构造柱数量2=29120mm，Φ10钢筋理论重量为0.617Kg/m，箍筋的重量约为：29.12*0.617=17.97kg。</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4.横梁纵向筋4根、Φ14mm；箍筋Φ10mm、间距150mm；植筋深度不低于60mm（含打胶等）。</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纵向筋总长度=纵筋长度（2000+50*14*4+1400）*纵筋数量4=24800mm，Φ14钢筋理论重量为1.21Kg/m，则纵筋重量约为：24.8*1.21=30.00kg,箍筋总长度约为：（190*4+280）*13+（390*4+280）*10=31920mm，Φ10钢筋理论重量为0.617Kg/m，箍筋的重量约为：31.92*0.617=19.69 kg。</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隔音中空单面透视镜</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隔音中空单面透视镜</w:t>
            </w:r>
            <w:r>
              <w:rPr>
                <w:rFonts w:hint="eastAsia" w:ascii="宋体" w:hAnsi="宋体" w:eastAsia="宋体" w:cs="宋体"/>
                <w:color w:val="auto"/>
                <w:kern w:val="0"/>
                <w:sz w:val="21"/>
                <w:szCs w:val="21"/>
                <w:highlight w:val="none"/>
                <w:lang w:val="en-US" w:eastAsia="zh-CN"/>
              </w:rPr>
              <w:t>,尺寸规格：L 2000mm/H 1400mm厚度：6mm+12A+6mm配套金属窗框架</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rPr>
            </w:pPr>
            <w:r>
              <w:rPr>
                <w:rFonts w:hint="eastAsia" w:ascii="宋体" w:hAnsi="宋体" w:eastAsia="宋体" w:cs="宋体"/>
                <w:color w:val="auto"/>
                <w:sz w:val="21"/>
                <w:szCs w:val="21"/>
                <w:highlight w:val="none"/>
                <w:shd w:val="clear" w:color="050000" w:fill="auto"/>
                <w:lang w:val="en-US" w:eastAsia="zh-CN"/>
              </w:rPr>
              <w:t>适用于对隔音性要求较高的特殊场所，如：高等级会议室，辨认室、审讯室等场所.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硅酸钙隔音板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采用600mm*1200mm*6mm硅酸钙板，中间填充岩棉</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二、墙面及办公用具软包工程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墙面软包隔音处理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94.54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rPr>
              <w:t>1200*600*50mm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color w:val="auto"/>
                <w:kern w:val="0"/>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6</w:t>
            </w:r>
          </w:p>
        </w:tc>
        <w:tc>
          <w:tcPr>
            <w:tcW w:w="1119"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谈话桌软包处理</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color w:val="auto"/>
                <w:kern w:val="0"/>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会议椅软包处理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4.5</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采用优质高密度的防火A级为芯材，吸音布或者优质皮革为外层材料，整体软硬度均匀，吸音防撞效果明显，耐用性强，整体阻燃效果达到国家阻燃标准B1级</w:t>
            </w:r>
            <w:r>
              <w:rPr>
                <w:rFonts w:hint="eastAsia" w:ascii="宋体" w:hAnsi="宋体" w:eastAsia="宋体" w:cs="宋体"/>
                <w:bCs/>
                <w:color w:val="auto"/>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地毯</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4827" w:type="dxa"/>
            <w:noWrap w:val="0"/>
            <w:vAlign w:val="center"/>
          </w:tcPr>
          <w:p>
            <w:pPr>
              <w:pStyle w:val="42"/>
              <w:pageBreakBefore w:val="0"/>
              <w:kinsoku/>
              <w:overflowPunct/>
              <w:topLinePunct w:val="0"/>
              <w:autoSpaceDE/>
              <w:autoSpaceDN/>
              <w:bidi w:val="0"/>
              <w:adjustRightInd/>
              <w:snapToGrid/>
              <w:spacing w:before="0" w:beforeAutospacing="0" w:after="0" w:afterAutospacing="0"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rPr>
              <w:t>黑胶底背阻燃地毯，B1级防火性能，经国家检测授予的防火证书，铺面平整美观大方颜色靓丽，不散边、不起球、不掉毛、不掉色，脚感柔软舒适，在寒冷或炎热的天气中不变形不干裂，耐潮湿耐腐蚀，防滑、保温、防尘效果明显</w:t>
            </w:r>
            <w:r>
              <w:rPr>
                <w:rFonts w:hint="eastAsia" w:ascii="宋体" w:hAnsi="宋体" w:eastAsia="宋体" w:cs="宋体"/>
                <w:color w:val="auto"/>
                <w:sz w:val="21"/>
                <w:szCs w:val="21"/>
                <w:highlight w:val="none"/>
                <w:lang w:eastAsia="zh-CN"/>
              </w:rPr>
              <w:t>，色调现场确认。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三、</w:t>
            </w:r>
            <w:r>
              <w:rPr>
                <w:rFonts w:hint="eastAsia" w:ascii="宋体" w:hAnsi="宋体" w:eastAsia="宋体" w:cs="宋体"/>
                <w:bCs/>
                <w:color w:val="auto"/>
                <w:sz w:val="21"/>
                <w:szCs w:val="21"/>
                <w:highlight w:val="none"/>
                <w:lang w:val="en-US" w:eastAsia="zh-CN"/>
              </w:rPr>
              <w:t>新增设备设施改造工程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铜芯电源线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低烟无卤阻燃</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rPr>
              <w:t>：3×2.5㎜²</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波纹金属软管</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DN32线管</w:t>
            </w:r>
            <w:r>
              <w:rPr>
                <w:rFonts w:hint="eastAsia" w:ascii="宋体" w:hAnsi="宋体" w:eastAsia="宋体" w:cs="宋体"/>
                <w:color w:val="auto"/>
                <w:kern w:val="0"/>
                <w:sz w:val="21"/>
                <w:szCs w:val="21"/>
                <w:highlight w:val="none"/>
                <w:lang w:eastAsia="zh-CN"/>
              </w:rPr>
              <w:t>（含</w:t>
            </w:r>
            <w:r>
              <w:rPr>
                <w:rFonts w:hint="eastAsia" w:ascii="宋体" w:hAnsi="宋体" w:eastAsia="宋体" w:cs="宋体"/>
                <w:color w:val="auto"/>
                <w:kern w:val="0"/>
                <w:sz w:val="21"/>
                <w:szCs w:val="21"/>
                <w:highlight w:val="none"/>
              </w:rPr>
              <w:t>快速直通接头、固定支架等辅材若干</w:t>
            </w:r>
            <w:r>
              <w:rPr>
                <w:rFonts w:hint="eastAsia" w:ascii="宋体" w:hAnsi="宋体" w:eastAsia="宋体" w:cs="宋体"/>
                <w:color w:val="auto"/>
                <w:kern w:val="0"/>
                <w:sz w:val="21"/>
                <w:szCs w:val="21"/>
                <w:highlight w:val="none"/>
                <w:lang w:eastAsia="zh-CN"/>
              </w:rPr>
              <w:t>）</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PVC阻燃电线管</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DN20，壁厚1.3mm线管</w:t>
            </w:r>
            <w:r>
              <w:rPr>
                <w:rFonts w:hint="eastAsia" w:ascii="宋体" w:hAnsi="宋体" w:eastAsia="宋体" w:cs="宋体"/>
                <w:color w:val="auto"/>
                <w:kern w:val="0"/>
                <w:sz w:val="21"/>
                <w:szCs w:val="21"/>
                <w:highlight w:val="none"/>
                <w:lang w:eastAsia="zh-CN"/>
              </w:rPr>
              <w:t>（含</w:t>
            </w:r>
            <w:r>
              <w:rPr>
                <w:rFonts w:hint="eastAsia" w:ascii="宋体" w:hAnsi="宋体" w:eastAsia="宋体" w:cs="宋体"/>
                <w:color w:val="auto"/>
                <w:kern w:val="0"/>
                <w:sz w:val="21"/>
                <w:szCs w:val="21"/>
                <w:highlight w:val="none"/>
              </w:rPr>
              <w:t>配弯头、直通、三通、管卡等配件若干</w:t>
            </w:r>
            <w:r>
              <w:rPr>
                <w:rFonts w:hint="eastAsia" w:ascii="宋体" w:hAnsi="宋体" w:eastAsia="宋体" w:cs="宋体"/>
                <w:color w:val="auto"/>
                <w:kern w:val="0"/>
                <w:sz w:val="21"/>
                <w:szCs w:val="21"/>
                <w:highlight w:val="none"/>
                <w:lang w:eastAsia="zh-CN"/>
              </w:rPr>
              <w:t>）</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五孔插座</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五孔插座，型号：</w:t>
            </w:r>
            <w:r>
              <w:rPr>
                <w:rFonts w:hint="eastAsia" w:ascii="宋体" w:hAnsi="宋体" w:eastAsia="宋体" w:cs="宋体"/>
                <w:color w:val="auto"/>
                <w:kern w:val="0"/>
                <w:sz w:val="21"/>
                <w:szCs w:val="21"/>
                <w:highlight w:val="none"/>
                <w:lang w:val="en-US" w:eastAsia="zh-CN"/>
              </w:rPr>
              <w:t>10A</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指纹密码钢制防盗</w:t>
            </w:r>
            <w:r>
              <w:rPr>
                <w:rFonts w:hint="eastAsia" w:ascii="宋体" w:hAnsi="宋体" w:eastAsia="宋体" w:cs="宋体"/>
                <w:bCs/>
                <w:color w:val="auto"/>
                <w:sz w:val="21"/>
                <w:szCs w:val="21"/>
                <w:highlight w:val="none"/>
              </w:rPr>
              <w:t>门</w:t>
            </w:r>
            <w:r>
              <w:rPr>
                <w:rFonts w:hint="eastAsia" w:ascii="宋体" w:hAnsi="宋体" w:eastAsia="宋体" w:cs="宋体"/>
                <w:bCs/>
                <w:color w:val="auto"/>
                <w:sz w:val="21"/>
                <w:szCs w:val="21"/>
                <w:highlight w:val="none"/>
                <w:lang w:eastAsia="zh-CN"/>
              </w:rPr>
              <w:t>（含门锁）</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定制门尺寸约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r>
              <w:rPr>
                <w:rFonts w:hint="eastAsia" w:ascii="宋体" w:hAnsi="宋体" w:eastAsia="宋体" w:cs="宋体"/>
                <w:color w:val="auto"/>
                <w:kern w:val="0"/>
                <w:sz w:val="21"/>
                <w:szCs w:val="21"/>
                <w:highlight w:val="none"/>
                <w:lang w:eastAsia="zh-CN"/>
              </w:rPr>
              <w:t>甲级钢制防盗门（含指纹密码锁、门框），色调现场确认。</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门拆除</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拆除扇</w:t>
            </w:r>
            <w:r>
              <w:rPr>
                <w:rFonts w:hint="eastAsia" w:ascii="宋体" w:hAnsi="宋体" w:eastAsia="宋体" w:cs="宋体"/>
                <w:color w:val="auto"/>
                <w:kern w:val="0"/>
                <w:sz w:val="21"/>
                <w:szCs w:val="21"/>
                <w:highlight w:val="none"/>
                <w:lang w:eastAsia="zh-CN"/>
              </w:rPr>
              <w:t>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r>
              <w:rPr>
                <w:rFonts w:hint="eastAsia" w:ascii="宋体" w:hAnsi="宋体" w:eastAsia="宋体" w:cs="宋体"/>
                <w:color w:val="auto"/>
                <w:kern w:val="0"/>
                <w:sz w:val="21"/>
                <w:szCs w:val="21"/>
                <w:highlight w:val="none"/>
                <w:lang w:val="en-US" w:eastAsia="zh-CN"/>
              </w:rPr>
              <w:t>门（含门框）</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仅拆除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隔断门</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樘</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普通木质房门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含门</w:t>
            </w:r>
            <w:r>
              <w:rPr>
                <w:rFonts w:hint="eastAsia" w:ascii="宋体" w:hAnsi="宋体" w:eastAsia="宋体" w:cs="宋体"/>
                <w:color w:val="auto"/>
                <w:kern w:val="0"/>
                <w:sz w:val="21"/>
                <w:szCs w:val="21"/>
                <w:highlight w:val="none"/>
                <w:lang w:eastAsia="zh-CN"/>
              </w:rPr>
              <w:t>框、门锁），尺寸约</w:t>
            </w:r>
            <w:r>
              <w:rPr>
                <w:rFonts w:hint="eastAsia" w:ascii="宋体" w:hAnsi="宋体" w:eastAsia="宋体" w:cs="宋体"/>
                <w:color w:val="auto"/>
                <w:kern w:val="0"/>
                <w:sz w:val="21"/>
                <w:szCs w:val="21"/>
                <w:highlight w:val="none"/>
              </w:rPr>
              <w:t>900*2000</w:t>
            </w:r>
            <w:r>
              <w:rPr>
                <w:rFonts w:hint="eastAsia" w:ascii="宋体" w:hAnsi="宋体" w:eastAsia="宋体" w:cs="宋体"/>
                <w:color w:val="auto"/>
                <w:kern w:val="0"/>
                <w:sz w:val="21"/>
                <w:szCs w:val="21"/>
                <w:highlight w:val="none"/>
                <w:lang w:val="en-US" w:eastAsia="zh-CN"/>
              </w:rPr>
              <w:t>*50</w:t>
            </w:r>
            <w:r>
              <w:rPr>
                <w:rFonts w:hint="eastAsia" w:ascii="宋体" w:hAnsi="宋体" w:eastAsia="宋体" w:cs="宋体"/>
                <w:color w:val="auto"/>
                <w:kern w:val="0"/>
                <w:sz w:val="21"/>
                <w:szCs w:val="21"/>
                <w:highlight w:val="none"/>
              </w:rPr>
              <w:t>mm</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eastAsia="zh-CN"/>
              </w:rPr>
              <w:t>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安全</w:t>
            </w:r>
            <w:r>
              <w:rPr>
                <w:rFonts w:hint="eastAsia" w:ascii="宋体" w:hAnsi="宋体" w:eastAsia="宋体" w:cs="宋体"/>
                <w:bCs/>
                <w:color w:val="auto"/>
                <w:sz w:val="21"/>
                <w:szCs w:val="21"/>
                <w:highlight w:val="none"/>
              </w:rPr>
              <w:t>防护</w:t>
            </w:r>
            <w:r>
              <w:rPr>
                <w:rFonts w:hint="eastAsia" w:ascii="宋体" w:hAnsi="宋体" w:eastAsia="宋体" w:cs="宋体"/>
                <w:bCs/>
                <w:color w:val="auto"/>
                <w:sz w:val="21"/>
                <w:szCs w:val="21"/>
                <w:highlight w:val="none"/>
                <w:lang w:eastAsia="zh-CN"/>
              </w:rPr>
              <w:t>栏杆</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p>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2.51</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shd w:val="clear" w:color="050000" w:fill="auto"/>
                <w:lang w:val="en-US" w:eastAsia="zh-CN"/>
              </w:rPr>
              <w:t>定制防护栏尺寸分别为长1280mm*宽2000mm和长1230mm*宽2000mm，不锈钢防护栏主要受力杆件壁厚不应小于1.5mm，一般杆件壁厚不小于1.2mm，不锈钢横竖杆件不小于25mm，立杆间距不大于110mm且符合《住宅设计规范》要求。</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网线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超五类屏蔽网线，带铜丝网</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铜芯</w:t>
            </w:r>
            <w:r>
              <w:rPr>
                <w:rFonts w:hint="eastAsia" w:ascii="宋体" w:hAnsi="宋体" w:eastAsia="宋体" w:cs="宋体"/>
                <w:bCs/>
                <w:color w:val="auto"/>
                <w:sz w:val="21"/>
                <w:szCs w:val="21"/>
                <w:highlight w:val="none"/>
                <w:lang w:eastAsia="zh-CN"/>
              </w:rPr>
              <w:t>电源</w:t>
            </w:r>
            <w:r>
              <w:rPr>
                <w:rFonts w:hint="eastAsia" w:ascii="宋体" w:hAnsi="宋体" w:eastAsia="宋体" w:cs="宋体"/>
                <w:bCs/>
                <w:color w:val="auto"/>
                <w:sz w:val="21"/>
                <w:szCs w:val="21"/>
                <w:highlight w:val="none"/>
              </w:rPr>
              <w:t>线</w:t>
            </w:r>
          </w:p>
        </w:tc>
        <w:tc>
          <w:tcPr>
            <w:tcW w:w="64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m</w:t>
            </w:r>
          </w:p>
        </w:tc>
        <w:tc>
          <w:tcPr>
            <w:tcW w:w="860"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tc>
        <w:tc>
          <w:tcPr>
            <w:tcW w:w="482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低烟无卤阻燃</w:t>
            </w:r>
            <w:r>
              <w:rPr>
                <w:rFonts w:hint="eastAsia" w:ascii="宋体" w:hAnsi="宋体" w:eastAsia="宋体" w:cs="宋体"/>
                <w:color w:val="auto"/>
                <w:sz w:val="21"/>
                <w:szCs w:val="21"/>
                <w:highlight w:val="none"/>
                <w:lang w:eastAsia="zh-CN"/>
              </w:rPr>
              <w:t>，规格</w:t>
            </w:r>
            <w:r>
              <w:rPr>
                <w:rFonts w:hint="eastAsia" w:ascii="宋体" w:hAnsi="宋体" w:eastAsia="宋体" w:cs="宋体"/>
                <w:color w:val="auto"/>
                <w:sz w:val="21"/>
                <w:szCs w:val="21"/>
                <w:highlight w:val="none"/>
              </w:rPr>
              <w:t>2*1.5</w:t>
            </w:r>
            <w:r>
              <w:rPr>
                <w:rFonts w:hint="eastAsia" w:ascii="宋体" w:hAnsi="宋体" w:eastAsia="宋体" w:cs="宋体"/>
                <w:color w:val="auto"/>
                <w:sz w:val="21"/>
                <w:szCs w:val="21"/>
                <w:highlight w:val="none"/>
                <w:lang w:val="en-US" w:eastAsia="zh-CN"/>
              </w:rPr>
              <w:t>mm²</w:t>
            </w:r>
            <w:r>
              <w:rPr>
                <w:rFonts w:hint="eastAsia" w:ascii="宋体" w:hAnsi="宋体" w:eastAsia="宋体" w:cs="宋体"/>
                <w:color w:val="auto"/>
                <w:sz w:val="21"/>
                <w:szCs w:val="21"/>
                <w:highlight w:val="none"/>
              </w:rPr>
              <w:t>,带铜丝网屏蔽。</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数字硬盘录像机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16盘位数字硬盘录像机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支持RAID0、1、5、10，支持全局热备盘，最大支持热插拔4T硬盘16个，支持H.265、H264混合接入，支持H.264、H.265解码，支持智能检索，智能回放，分时段回放，超高速回放，双系统备份</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海康威视DS-8616N-I16</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存储硬盘</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存储硬盘4TB专业监控硬盘(应采用 SCSI、SATA II 硬盘，可热插拔，硬盘转速不小于 7200rpm；)</w:t>
            </w:r>
            <w:r>
              <w:rPr>
                <w:rFonts w:hint="eastAsia" w:ascii="宋体" w:hAnsi="宋体" w:eastAsia="宋体" w:cs="宋体"/>
                <w:color w:val="auto"/>
                <w:kern w:val="0"/>
                <w:sz w:val="21"/>
                <w:szCs w:val="21"/>
                <w:highlight w:val="none"/>
                <w:lang w:eastAsia="zh-CN"/>
              </w:rPr>
              <w:t>，配合数字硬盘录像机</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21</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数字彩色高清摄像机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高清(400万像素)日夜型半球网络摄像机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 DS-2CD2345FD-IS</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22</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拾音器</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频响：300~6KHz；</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工作电压：6~12VDC；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环境音探测灵敏度：-49dB；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信噪比：＞60dB(10 米 40 dB 音源) 1KHz at 1 Pa； 特性：全向，120m2；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动态范围：70dB (1KHz at Max dB SPL)； </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最大承受音压：120dB SPL (1KHz，THD 1%)</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海康威视全向拾音器DS-2FP2020</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23</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监控终端</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商用台式电脑 22"液晶显示器Intel I7－8700 /8GB内存/1TB硬盘,预装正版Windows7 Pro操作系统</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联想M420</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24</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交换机</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口10/100/1000Mbps自适应以太网交换机</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性能不低于：</w:t>
            </w:r>
            <w:r>
              <w:rPr>
                <w:rFonts w:hint="eastAsia" w:ascii="宋体" w:hAnsi="宋体" w:eastAsia="宋体" w:cs="宋体"/>
                <w:color w:val="auto"/>
                <w:kern w:val="0"/>
                <w:sz w:val="21"/>
                <w:szCs w:val="21"/>
                <w:highlight w:val="none"/>
              </w:rPr>
              <w:t>华三 S1224交换机</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25</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机柜</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12U网络机柜</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26</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显示屏</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规格：</w:t>
            </w:r>
            <w:r>
              <w:rPr>
                <w:rFonts w:hint="eastAsia" w:ascii="宋体" w:hAnsi="宋体" w:eastAsia="宋体" w:cs="宋体"/>
                <w:color w:val="auto"/>
                <w:kern w:val="0"/>
                <w:sz w:val="21"/>
                <w:szCs w:val="21"/>
                <w:highlight w:val="none"/>
                <w:lang w:val="en-US" w:eastAsia="zh-CN"/>
              </w:rPr>
              <w:t>55寸</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性能不低于;Skyworth/创维 5T 55同类型产品</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要求配套监控系统能实现投屏功能（含数据连接线等）</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27</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壁装支架</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个</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定制与显示屏配套</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28</w:t>
            </w:r>
          </w:p>
        </w:tc>
        <w:tc>
          <w:tcPr>
            <w:tcW w:w="1119" w:type="dxa"/>
            <w:shd w:val="clear" w:color="000000" w:fill="auto"/>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消防应急照明灯</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主电功耗：3W;防护等级：IP30；额定电压：AC220v 50Hz;应急时间：≥90分钟；应急输出光通量≥501m</w:t>
            </w:r>
          </w:p>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性能不低于：旺斯达</w:t>
            </w:r>
            <w:r>
              <w:rPr>
                <w:rFonts w:hint="eastAsia" w:ascii="宋体" w:hAnsi="宋体" w:eastAsia="宋体" w:cs="宋体"/>
                <w:color w:val="auto"/>
                <w:kern w:val="0"/>
                <w:sz w:val="21"/>
                <w:szCs w:val="21"/>
                <w:highlight w:val="none"/>
              </w:rPr>
              <w:t>WK-ZFZD-E3WC</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80" w:type="dxa"/>
            <w:gridSpan w:val="6"/>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29</w:t>
            </w:r>
          </w:p>
        </w:tc>
        <w:tc>
          <w:tcPr>
            <w:tcW w:w="1119" w:type="dxa"/>
            <w:shd w:val="clear" w:color="000000"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系统调试</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项</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包含：系统软件、系统调试等</w:t>
            </w:r>
          </w:p>
        </w:tc>
        <w:tc>
          <w:tcPr>
            <w:tcW w:w="1157" w:type="dxa"/>
            <w:noWrap w:val="0"/>
            <w:vAlign w:val="center"/>
          </w:tcPr>
          <w:p>
            <w:pPr>
              <w:pageBreakBefore w:val="0"/>
              <w:kinsoku/>
              <w:overflowPunct/>
              <w:topLinePunct w:val="0"/>
              <w:autoSpaceDE/>
              <w:autoSpaceDN/>
              <w:bidi w:val="0"/>
              <w:adjustRightInd/>
              <w:snapToGrid/>
              <w:spacing w:line="360" w:lineRule="auto"/>
              <w:jc w:val="center"/>
              <w:rPr>
                <w:rFonts w:hint="eastAsia" w:ascii="宋体" w:hAnsi="宋体" w:eastAsia="宋体" w:cs="宋体"/>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677" w:type="dxa"/>
            <w:shd w:val="clear" w:color="auto"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1119" w:type="dxa"/>
            <w:shd w:val="clear" w:color="000000" w:fill="auto"/>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零星包干</w:t>
            </w:r>
          </w:p>
        </w:tc>
        <w:tc>
          <w:tcPr>
            <w:tcW w:w="64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项</w:t>
            </w:r>
          </w:p>
        </w:tc>
        <w:tc>
          <w:tcPr>
            <w:tcW w:w="860" w:type="dxa"/>
            <w:noWrap w:val="0"/>
            <w:vAlign w:val="center"/>
          </w:tcPr>
          <w:p>
            <w:pPr>
              <w:pageBreakBefore w:val="0"/>
              <w:widowControl/>
              <w:kinsoku/>
              <w:overflowPunct/>
              <w:topLinePunct w:val="0"/>
              <w:autoSpaceDE/>
              <w:autoSpaceDN/>
              <w:bidi w:val="0"/>
              <w:adjustRightInd/>
              <w:snapToGrid/>
              <w:spacing w:line="360" w:lineRule="auto"/>
              <w:jc w:val="center"/>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4827" w:type="dxa"/>
            <w:noWrap w:val="0"/>
            <w:vAlign w:val="center"/>
          </w:tcPr>
          <w:p>
            <w:pPr>
              <w:pageBreakBefore w:val="0"/>
              <w:widowControl/>
              <w:kinsoku/>
              <w:overflowPunct/>
              <w:topLinePunct w:val="0"/>
              <w:autoSpaceDE/>
              <w:autoSpaceDN/>
              <w:bidi w:val="0"/>
              <w:adjustRightInd/>
              <w:snapToGrid/>
              <w:spacing w:line="360" w:lineRule="auto"/>
              <w:jc w:val="left"/>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shd w:val="clear" w:color="050000" w:fill="auto"/>
                <w:lang w:eastAsia="zh-CN"/>
              </w:rPr>
              <w:t>包含：地砖切除及恢复（约</w:t>
            </w:r>
            <w:r>
              <w:rPr>
                <w:rFonts w:hint="eastAsia" w:ascii="宋体" w:hAnsi="宋体" w:eastAsia="宋体" w:cs="宋体"/>
                <w:color w:val="auto"/>
                <w:sz w:val="21"/>
                <w:szCs w:val="21"/>
                <w:highlight w:val="none"/>
                <w:shd w:val="clear" w:color="050000" w:fill="auto"/>
                <w:lang w:val="en-US" w:eastAsia="zh-CN"/>
              </w:rPr>
              <w:t>0.8*0.8*2=1.28㎡</w:t>
            </w:r>
            <w:r>
              <w:rPr>
                <w:rFonts w:hint="eastAsia" w:ascii="宋体" w:hAnsi="宋体" w:eastAsia="宋体" w:cs="宋体"/>
                <w:color w:val="auto"/>
                <w:sz w:val="21"/>
                <w:szCs w:val="21"/>
                <w:highlight w:val="none"/>
                <w:shd w:val="clear" w:color="050000" w:fill="auto"/>
                <w:lang w:eastAsia="zh-CN"/>
              </w:rPr>
              <w:t>）、天花拆装（约</w:t>
            </w:r>
            <w:r>
              <w:rPr>
                <w:rFonts w:hint="eastAsia" w:ascii="宋体" w:hAnsi="宋体" w:eastAsia="宋体" w:cs="宋体"/>
                <w:color w:val="auto"/>
                <w:sz w:val="21"/>
                <w:szCs w:val="21"/>
                <w:highlight w:val="none"/>
                <w:shd w:val="clear" w:color="050000" w:fill="auto"/>
                <w:lang w:val="en-US" w:eastAsia="zh-CN"/>
              </w:rPr>
              <w:t>22.2*0.6=13.2㎡</w:t>
            </w:r>
            <w:r>
              <w:rPr>
                <w:rFonts w:hint="eastAsia" w:ascii="宋体" w:hAnsi="宋体" w:eastAsia="宋体" w:cs="宋体"/>
                <w:color w:val="auto"/>
                <w:sz w:val="21"/>
                <w:szCs w:val="21"/>
                <w:highlight w:val="none"/>
                <w:shd w:val="clear" w:color="050000" w:fill="auto"/>
                <w:lang w:eastAsia="zh-CN"/>
              </w:rPr>
              <w:t>）、措施项（搭拆作业平台）（约</w:t>
            </w:r>
            <w:r>
              <w:rPr>
                <w:rFonts w:hint="eastAsia" w:ascii="宋体" w:hAnsi="宋体" w:eastAsia="宋体" w:cs="宋体"/>
                <w:color w:val="auto"/>
                <w:sz w:val="21"/>
                <w:szCs w:val="21"/>
                <w:highlight w:val="none"/>
                <w:shd w:val="clear" w:color="050000" w:fill="auto"/>
                <w:lang w:val="en-US" w:eastAsia="zh-CN"/>
              </w:rPr>
              <w:t>7.3*3.8=27.74㎡</w:t>
            </w:r>
            <w:r>
              <w:rPr>
                <w:rFonts w:hint="eastAsia" w:ascii="宋体" w:hAnsi="宋体" w:eastAsia="宋体" w:cs="宋体"/>
                <w:color w:val="auto"/>
                <w:sz w:val="21"/>
                <w:szCs w:val="21"/>
                <w:highlight w:val="none"/>
                <w:shd w:val="clear" w:color="050000" w:fill="auto"/>
                <w:lang w:eastAsia="zh-CN"/>
              </w:rPr>
              <w:t>）、地面成品保护（约</w:t>
            </w:r>
            <w:r>
              <w:rPr>
                <w:rFonts w:hint="eastAsia" w:ascii="宋体" w:hAnsi="宋体" w:eastAsia="宋体" w:cs="宋体"/>
                <w:color w:val="auto"/>
                <w:sz w:val="21"/>
                <w:szCs w:val="21"/>
                <w:highlight w:val="none"/>
                <w:shd w:val="clear" w:color="050000" w:fill="auto"/>
                <w:lang w:val="en-US" w:eastAsia="zh-CN"/>
              </w:rPr>
              <w:t>7.3*3.8=27.74㎡</w:t>
            </w:r>
            <w:r>
              <w:rPr>
                <w:rFonts w:hint="eastAsia" w:ascii="宋体" w:hAnsi="宋体" w:eastAsia="宋体" w:cs="宋体"/>
                <w:color w:val="auto"/>
                <w:sz w:val="21"/>
                <w:szCs w:val="21"/>
                <w:highlight w:val="none"/>
                <w:shd w:val="clear" w:color="050000" w:fill="auto"/>
                <w:lang w:eastAsia="zh-CN"/>
              </w:rPr>
              <w:t>）、门窗洞边修补（约</w:t>
            </w:r>
            <w:r>
              <w:rPr>
                <w:rFonts w:hint="eastAsia" w:ascii="宋体" w:hAnsi="宋体" w:eastAsia="宋体" w:cs="宋体"/>
                <w:color w:val="auto"/>
                <w:sz w:val="21"/>
                <w:szCs w:val="21"/>
                <w:highlight w:val="none"/>
                <w:shd w:val="clear" w:color="050000" w:fill="auto"/>
                <w:lang w:val="en-US" w:eastAsia="zh-CN"/>
              </w:rPr>
              <w:t>5㎡</w:t>
            </w:r>
            <w:r>
              <w:rPr>
                <w:rFonts w:hint="eastAsia" w:ascii="宋体" w:hAnsi="宋体" w:eastAsia="宋体" w:cs="宋体"/>
                <w:color w:val="auto"/>
                <w:sz w:val="21"/>
                <w:szCs w:val="21"/>
                <w:highlight w:val="none"/>
                <w:shd w:val="clear" w:color="050000" w:fill="auto"/>
                <w:lang w:eastAsia="zh-CN"/>
              </w:rPr>
              <w:t>）、垃圾清运（</w:t>
            </w:r>
            <w:r>
              <w:rPr>
                <w:rFonts w:hint="eastAsia" w:ascii="宋体" w:hAnsi="宋体" w:eastAsia="宋体" w:cs="宋体"/>
                <w:color w:val="auto"/>
                <w:sz w:val="21"/>
                <w:szCs w:val="21"/>
                <w:highlight w:val="none"/>
                <w:shd w:val="clear" w:color="050000" w:fill="auto"/>
                <w:lang w:val="en-US" w:eastAsia="zh-CN"/>
              </w:rPr>
              <w:t>0.5m³</w:t>
            </w:r>
            <w:r>
              <w:rPr>
                <w:rFonts w:hint="eastAsia" w:ascii="宋体" w:hAnsi="宋体" w:eastAsia="宋体" w:cs="宋体"/>
                <w:color w:val="auto"/>
                <w:sz w:val="21"/>
                <w:szCs w:val="21"/>
                <w:highlight w:val="none"/>
                <w:shd w:val="clear" w:color="050000" w:fill="auto"/>
                <w:lang w:eastAsia="zh-CN"/>
              </w:rPr>
              <w:t>）等零星工程</w:t>
            </w:r>
          </w:p>
        </w:tc>
        <w:tc>
          <w:tcPr>
            <w:tcW w:w="1157" w:type="dxa"/>
            <w:noWrap w:val="0"/>
            <w:vAlign w:val="center"/>
          </w:tcPr>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lang w:val="en-US" w:eastAsia="zh-CN"/>
              </w:rPr>
            </w:pPr>
          </w:p>
          <w:p>
            <w:pPr>
              <w:pageBreakBefore w:val="0"/>
              <w:kinsoku/>
              <w:overflowPunct/>
              <w:topLinePunct w:val="0"/>
              <w:autoSpaceDE/>
              <w:autoSpaceDN/>
              <w:bidi w:val="0"/>
              <w:adjustRightInd/>
              <w:snapToGrid/>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零星项目采取包干计取</w:t>
            </w:r>
          </w:p>
        </w:tc>
      </w:tr>
    </w:tbl>
    <w:p>
      <w:pPr>
        <w:pStyle w:val="4"/>
        <w:pageBreakBefore w:val="0"/>
        <w:kinsoku/>
        <w:overflowPunct/>
        <w:topLinePunct w:val="0"/>
        <w:autoSpaceDE/>
        <w:autoSpaceDN/>
        <w:bidi w:val="0"/>
        <w:adjustRightInd/>
        <w:snapToGrid/>
        <w:spacing w:line="360" w:lineRule="auto"/>
        <w:jc w:val="left"/>
        <w:rPr>
          <w:rFonts w:hint="eastAsia" w:ascii="宋体" w:hAnsi="宋体" w:eastAsia="宋体" w:cs="宋体"/>
          <w:color w:val="auto"/>
          <w:highlight w:val="none"/>
        </w:rPr>
      </w:pPr>
      <w:bookmarkStart w:id="75" w:name="_Toc14169"/>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施工管理</w:t>
      </w:r>
      <w:bookmarkEnd w:id="75"/>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rPr>
      </w:pPr>
      <w:bookmarkStart w:id="76" w:name="_Toc5306"/>
      <w:r>
        <w:rPr>
          <w:rFonts w:hint="eastAsia" w:ascii="宋体" w:hAnsi="宋体" w:eastAsia="宋体" w:cs="宋体"/>
          <w:b/>
          <w:bCs/>
          <w:color w:val="auto"/>
          <w:sz w:val="21"/>
          <w:szCs w:val="21"/>
          <w:highlight w:val="none"/>
        </w:rPr>
        <w:t>5.1 一般要求</w:t>
      </w:r>
      <w:bookmarkEnd w:id="76"/>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5.1.1本工程是改造工程，为不影响地铁正常运营，承包单位需根据现场实际情况，编制项目施工方案，并根据施工方案组织工程施工。</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5.1.2 施工过程中，承包单位须服从现场管理单位的管理，并严格遵守运营公司相关施工管理制度要求。</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5.1.3施工过程中，如果需要停运相关设备，需要跟设备管理部门进行沟通，获得允许之后才能停运相关设备，且设备操作由运营人员来完成。</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5.1.4施工方案及技术要求如与现场情况相冲突，应以现场情况为准，由采购单位和承包单位共同确定技术方案，所确定技术方案不能违反国家及行业技术标准和规范。</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7" w:name="_Toc6426"/>
      <w:r>
        <w:rPr>
          <w:rFonts w:hint="eastAsia" w:ascii="宋体" w:hAnsi="宋体" w:eastAsia="宋体" w:cs="宋体"/>
          <w:b/>
          <w:bCs/>
          <w:color w:val="auto"/>
          <w:sz w:val="21"/>
          <w:szCs w:val="21"/>
          <w:highlight w:val="none"/>
          <w:shd w:val="clear" w:color="050000" w:fill="auto"/>
        </w:rPr>
        <w:t>5.2 安全文明生产</w:t>
      </w:r>
      <w:bookmarkEnd w:id="77"/>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5.2.1在工程最终验收之前的整个施工期内，承包单位必须制定并采取一切必要的措施，保证工程现场施工安全，维护工地正常生产、生活秩序。承包单位必须遵守国家颁布的有关安全规程，当发生重大安全事故时，承包单位必须按国家的有关法规及时通知采购单位和有关上级主管部门，并按《工程建设重大事故报告和调查程序规定》执行。承包单位应对因违反安全规程造成的责任事故承担责任，而不应为此增加采购单位支付费用或延迟施工进度。</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5.2.2承包单位各项临时设施，堆放大宗货物、成品、半成品和机具设备，不得侵占紧急疏散通道及安全防护等设施。</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5.2.3施工现场的用电线路、用电设施的安装和使用必须符合相关安装规范和安全操作规程并按照施工组织设计进行架设，严禁任意拉线接电。</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5.2.4施工机械进场必须经过安全检查，经检查合格的方能使用。施工机械操作人员必须建立机组责任制，并依照有关规定持证上岗，禁止无证人员操作。</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5.2.5凡属承包单位雇用的现场工作人员，承包单位必须根据作业种类和特点并按照国家的劳动保护法发给相应的劳保用品。</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5.2.6承包单位应当做好施工现场安全保卫工作，采取必要的防盗措施，在现场周边设立维护设施。非施工人员不得擅自进入施工现场。</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5.2.7承包单位应当严格依照《中华人民共和国消防条例》的规定，在施工现场建立并执行防火管理制度，设置符合消防要求的消防设施，使用易燃易爆器材时，承包单位应当采取特殊的消防安全措施。</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5.2.8施工现场发生的工程建设重大事故的处理，依照《工程建设重大事故报告和调查程序规定》执行。</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5.2.9为加强地铁工程现场文明施工管理，提高文明施工水平，创建文明工地；维护市容整洁和城市安全，使文明施工规范化、标准化、制度化：承包单位应当认真贯彻文明施工的要求，推行现代管理方法，科学组织施工，做好项目现场文明施工的各项管理工作并承担责任。</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r>
        <w:rPr>
          <w:rFonts w:hint="eastAsia" w:ascii="宋体" w:hAnsi="宋体" w:eastAsia="宋体" w:cs="宋体"/>
          <w:b/>
          <w:bCs/>
          <w:color w:val="auto"/>
          <w:sz w:val="21"/>
          <w:szCs w:val="21"/>
          <w:highlight w:val="none"/>
          <w:shd w:val="clear" w:color="050000" w:fill="auto"/>
        </w:rPr>
        <w:t>5.3 项目组织机构及人员要求</w:t>
      </w:r>
    </w:p>
    <w:p>
      <w:pPr>
        <w:pStyle w:val="335"/>
        <w:pageBreakBefore w:val="0"/>
        <w:numPr>
          <w:ilvl w:val="0"/>
          <w:numId w:val="0"/>
        </w:numPr>
        <w:kinsoku/>
        <w:overflowPunct/>
        <w:topLinePunct w:val="0"/>
        <w:autoSpaceDE/>
        <w:autoSpaceDN/>
        <w:bidi w:val="0"/>
        <w:adjustRightInd/>
        <w:snapToGrid/>
        <w:spacing w:line="360" w:lineRule="auto"/>
        <w:ind w:leftChars="0"/>
        <w:rPr>
          <w:rFonts w:hint="eastAsia" w:ascii="宋体" w:hAnsi="宋体" w:eastAsia="宋体" w:cs="宋体"/>
          <w:b/>
          <w:bCs/>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5.3.1项目组织机构</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根据本项目的具体情况，需在长沙成立相应的项目组织机构，配备固定的人员、全程制定项目计划，并服从采购单位的管理，使整个整改项目得以顺利实施。承包单位至少需在响应文件中明确项目负责人、施工员、安全员。</w:t>
      </w:r>
    </w:p>
    <w:p>
      <w:pPr>
        <w:pStyle w:val="335"/>
        <w:pageBreakBefore w:val="0"/>
        <w:numPr>
          <w:ilvl w:val="0"/>
          <w:numId w:val="0"/>
        </w:numPr>
        <w:kinsoku/>
        <w:overflowPunct/>
        <w:topLinePunct w:val="0"/>
        <w:autoSpaceDE/>
        <w:autoSpaceDN/>
        <w:bidi w:val="0"/>
        <w:adjustRightInd/>
        <w:snapToGrid/>
        <w:spacing w:line="360" w:lineRule="auto"/>
        <w:ind w:left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5.3.2项目基本要求</w:t>
      </w:r>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为本项目提供完整的施工安装的劳动力、设备、工具和器材。除特别声明，承包单位的费用应包含：为完成本用户需求文件要求的在实施过程中所有可能发生的费用，项目实施过程中所需的一切人工、物耗、临设、工具、设备、用水、用电、保安、保险、货物运杂费和所有可能发生的相关费用均由承包单位承担，所有费用计入谈判总价。</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承包单位应对本项目的施工及安装的质量和施工工期负责，对其施工及安装人员引起的工期延误负完全责任。 </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承包单位必须完成各阶段的工作（包括安装、调试、测试、验收和质保服务），应承诺能够确保提供的设备、材料满足本项目及用户需求书的所有要求。</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承包单位应在本项目的土建条件和工程环境下提供本项目所有设备的施工及安装工作。未经允许，不得破坏本项目现场任何相关条件。</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承包单位在本项目所有的施工安装作业必须接受质量监督和检查。</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承包单位应执行采购单位制定的有关施工管理制度。</w:t>
      </w:r>
    </w:p>
    <w:p>
      <w:pPr>
        <w:pStyle w:val="335"/>
        <w:pageBreakBefore w:val="0"/>
        <w:numPr>
          <w:ilvl w:val="0"/>
          <w:numId w:val="6"/>
        </w:numPr>
        <w:kinsoku/>
        <w:overflowPunct/>
        <w:topLinePunct w:val="0"/>
        <w:autoSpaceDE/>
        <w:autoSpaceDN/>
        <w:bidi w:val="0"/>
        <w:adjustRightInd/>
        <w:snapToGrid/>
        <w:spacing w:line="360" w:lineRule="auto"/>
        <w:ind w:left="0" w:firstLine="0" w:firstLineChars="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承包单位应承诺为了满足用户需求书要求，所涉及的硬件、软件的变动，服务的增加，不增加任何费用。</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8" w:name="_Toc24430"/>
      <w:r>
        <w:rPr>
          <w:rFonts w:hint="eastAsia" w:ascii="宋体" w:hAnsi="宋体" w:eastAsia="宋体" w:cs="宋体"/>
          <w:b/>
          <w:bCs/>
          <w:color w:val="auto"/>
          <w:sz w:val="21"/>
          <w:szCs w:val="21"/>
          <w:highlight w:val="none"/>
          <w:shd w:val="clear" w:color="050000" w:fill="auto"/>
        </w:rPr>
        <w:t>5.</w:t>
      </w:r>
      <w:r>
        <w:rPr>
          <w:rFonts w:hint="eastAsia" w:ascii="宋体" w:hAnsi="宋体" w:eastAsia="宋体" w:cs="宋体"/>
          <w:b/>
          <w:bCs/>
          <w:color w:val="auto"/>
          <w:sz w:val="21"/>
          <w:szCs w:val="21"/>
          <w:highlight w:val="none"/>
          <w:shd w:val="clear" w:color="050000" w:fill="auto"/>
          <w:lang w:val="en-US" w:eastAsia="zh-CN"/>
        </w:rPr>
        <w:t>4</w:t>
      </w:r>
      <w:r>
        <w:rPr>
          <w:rFonts w:hint="eastAsia" w:ascii="宋体" w:hAnsi="宋体" w:eastAsia="宋体" w:cs="宋体"/>
          <w:b/>
          <w:bCs/>
          <w:color w:val="auto"/>
          <w:sz w:val="21"/>
          <w:szCs w:val="21"/>
          <w:highlight w:val="none"/>
          <w:shd w:val="clear" w:color="050000" w:fill="auto"/>
        </w:rPr>
        <w:t xml:space="preserve"> 施工准备</w:t>
      </w:r>
      <w:bookmarkEnd w:id="78"/>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承包单位在正式开工之前，应做好以下施工技术准备工作：</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5.4.1熟悉施工现场、文件及技术交底会议纪要。</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5.4.2组建施工管理机构和相应的专业施工队伍，并进行进场前的教育。</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5.4.3编制设备和材料供应计划并做好供应安排。</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5.4.4组织施工及工程机械设备和货物进场。</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5.4.5承包单位在进场之前，所有投入施工的车辆、机具、设备、仪器仪表必须到位，和承包文件中所提供的数量、规格、性能一致。所有投入施工的特种车辆、机具、设备、仪器仪表必须质量合格，已通过相关权威部门的检验、审查。</w:t>
      </w:r>
    </w:p>
    <w:p>
      <w:pPr>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79" w:name="_Toc4356"/>
      <w:r>
        <w:rPr>
          <w:rFonts w:hint="eastAsia" w:ascii="宋体" w:hAnsi="宋体" w:eastAsia="宋体" w:cs="宋体"/>
          <w:b/>
          <w:bCs/>
          <w:color w:val="auto"/>
          <w:sz w:val="21"/>
          <w:szCs w:val="21"/>
          <w:highlight w:val="none"/>
          <w:shd w:val="clear" w:color="050000" w:fill="auto"/>
        </w:rPr>
        <w:t>5.</w:t>
      </w:r>
      <w:r>
        <w:rPr>
          <w:rFonts w:hint="eastAsia" w:ascii="宋体" w:hAnsi="宋体" w:eastAsia="宋体" w:cs="宋体"/>
          <w:b/>
          <w:bCs/>
          <w:color w:val="auto"/>
          <w:sz w:val="21"/>
          <w:szCs w:val="21"/>
          <w:highlight w:val="none"/>
          <w:shd w:val="clear" w:color="050000" w:fill="auto"/>
          <w:lang w:val="en-US" w:eastAsia="zh-CN"/>
        </w:rPr>
        <w:t>5</w:t>
      </w:r>
      <w:r>
        <w:rPr>
          <w:rFonts w:hint="eastAsia" w:ascii="宋体" w:hAnsi="宋体" w:eastAsia="宋体" w:cs="宋体"/>
          <w:b/>
          <w:bCs/>
          <w:color w:val="auto"/>
          <w:sz w:val="21"/>
          <w:szCs w:val="21"/>
          <w:highlight w:val="none"/>
          <w:shd w:val="clear" w:color="050000" w:fill="auto"/>
        </w:rPr>
        <w:t xml:space="preserve"> 工期及进度管理</w:t>
      </w:r>
      <w:bookmarkEnd w:id="79"/>
    </w:p>
    <w:p>
      <w:pPr>
        <w:pageBreakBefore w:val="0"/>
        <w:kinsoku/>
        <w:overflowPunct/>
        <w:topLinePunct w:val="0"/>
        <w:autoSpaceDE/>
        <w:autoSpaceDN/>
        <w:bidi w:val="0"/>
        <w:adjustRightInd/>
        <w:snapToGrid/>
        <w:spacing w:line="360" w:lineRule="auto"/>
        <w:rPr>
          <w:rFonts w:hint="eastAsia" w:ascii="宋体" w:hAnsi="宋体" w:eastAsia="宋体" w:cs="宋体"/>
          <w:color w:val="auto"/>
          <w:sz w:val="21"/>
          <w:szCs w:val="21"/>
          <w:highlight w:val="none"/>
          <w:shd w:val="clear" w:color="050000" w:fill="auto"/>
        </w:rPr>
      </w:pPr>
      <w:r>
        <w:rPr>
          <w:rFonts w:hint="eastAsia" w:ascii="宋体" w:hAnsi="宋体" w:eastAsia="宋体" w:cs="宋体"/>
          <w:color w:val="auto"/>
          <w:kern w:val="0"/>
          <w:sz w:val="21"/>
          <w:szCs w:val="21"/>
          <w:highlight w:val="none"/>
          <w:lang w:val="en-US" w:eastAsia="zh-CN" w:bidi="ar"/>
        </w:rPr>
        <w:t>5.5.1</w:t>
      </w:r>
      <w:r>
        <w:rPr>
          <w:rFonts w:hint="eastAsia" w:ascii="宋体" w:hAnsi="宋体" w:eastAsia="宋体" w:cs="宋体"/>
          <w:color w:val="auto"/>
          <w:sz w:val="21"/>
          <w:szCs w:val="21"/>
          <w:highlight w:val="none"/>
          <w:shd w:val="clear" w:color="050000" w:fill="auto"/>
        </w:rPr>
        <w:t xml:space="preserve"> </w:t>
      </w:r>
      <w:r>
        <w:rPr>
          <w:rFonts w:hint="eastAsia" w:ascii="宋体" w:hAnsi="宋体" w:eastAsia="宋体" w:cs="宋体"/>
          <w:color w:val="auto"/>
          <w:kern w:val="0"/>
          <w:sz w:val="21"/>
          <w:szCs w:val="21"/>
          <w:highlight w:val="none"/>
          <w:lang w:val="en-US" w:eastAsia="zh-CN" w:bidi="ar"/>
        </w:rPr>
        <w:t>工期</w:t>
      </w:r>
    </w:p>
    <w:p>
      <w:pPr>
        <w:pageBreakBefore w:val="0"/>
        <w:kinsoku/>
        <w:overflowPunct/>
        <w:topLinePunct w:val="0"/>
        <w:autoSpaceDE/>
        <w:autoSpaceDN/>
        <w:bidi w:val="0"/>
        <w:adjustRightInd/>
        <w:snapToGrid/>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本项目工期为承包单位接到采购单位发出的开工通知起算共60天完成项目所有施工及调试，具备验收条件。</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w:t>
      </w:r>
      <w:r>
        <w:rPr>
          <w:rFonts w:hint="eastAsia" w:ascii="宋体" w:hAnsi="宋体" w:eastAsia="宋体" w:cs="宋体"/>
          <w:color w:val="auto"/>
          <w:sz w:val="21"/>
          <w:szCs w:val="21"/>
          <w:highlight w:val="none"/>
          <w:shd w:val="clear" w:color="050000" w:fill="auto"/>
        </w:rPr>
        <w:t xml:space="preserve"> </w:t>
      </w:r>
      <w:r>
        <w:rPr>
          <w:rFonts w:hint="eastAsia" w:ascii="宋体" w:hAnsi="宋体" w:eastAsia="宋体" w:cs="宋体"/>
          <w:color w:val="auto"/>
          <w:kern w:val="0"/>
          <w:sz w:val="21"/>
          <w:szCs w:val="21"/>
          <w:highlight w:val="none"/>
          <w:lang w:val="en-US" w:eastAsia="zh-CN" w:bidi="ar"/>
        </w:rPr>
        <w:t>工程进度</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5.5.2.1承包单位在收到开工通知后，应在合理的时间内尽早开工，不延迟施工进度。</w:t>
      </w:r>
    </w:p>
    <w:p>
      <w:pPr>
        <w:pageBreakBefore w:val="0"/>
        <w:kinsoku/>
        <w:overflowPunct/>
        <w:topLinePunct w:val="0"/>
        <w:autoSpaceDE/>
        <w:autoSpaceDN/>
        <w:bidi w:val="0"/>
        <w:adjustRightInd/>
        <w:snapToGrid/>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5.5.2.2为达到工期目标，承包单位必须采取一切措施保证如期完成，不得延误。如采购单位认为整个工程或部分工程的进度太慢，不能满足确保关键工期的要求，采购单位可指示承包单位加快进度或修改原施工计划。承包单位不得因此而向采购单位提出任何的补偿。</w:t>
      </w:r>
    </w:p>
    <w:p>
      <w:pPr>
        <w:keepNext/>
        <w:keepLines/>
        <w:pageBreakBefore w:val="0"/>
        <w:kinsoku/>
        <w:overflowPunct/>
        <w:topLinePunct w:val="0"/>
        <w:autoSpaceDE/>
        <w:autoSpaceDN/>
        <w:bidi w:val="0"/>
        <w:adjustRightInd/>
        <w:snapToGrid/>
        <w:spacing w:line="360" w:lineRule="auto"/>
        <w:jc w:val="left"/>
        <w:outlineLvl w:val="0"/>
        <w:rPr>
          <w:rFonts w:hint="eastAsia" w:ascii="宋体" w:hAnsi="宋体" w:eastAsia="宋体" w:cs="宋体"/>
          <w:color w:val="auto"/>
          <w:sz w:val="24"/>
          <w:szCs w:val="24"/>
          <w:highlight w:val="none"/>
          <w:shd w:val="clear" w:color="050000" w:fill="auto"/>
        </w:rPr>
      </w:pPr>
      <w:bookmarkStart w:id="80" w:name="_Toc10213"/>
      <w:r>
        <w:rPr>
          <w:rFonts w:hint="eastAsia" w:ascii="宋体" w:hAnsi="宋体" w:eastAsia="宋体" w:cs="宋体"/>
          <w:b/>
          <w:color w:val="auto"/>
          <w:sz w:val="24"/>
          <w:szCs w:val="24"/>
          <w:highlight w:val="none"/>
          <w:shd w:val="clear" w:color="060000" w:fill="auto"/>
        </w:rPr>
        <w:t>6. 工程验收与交付</w:t>
      </w:r>
      <w:bookmarkEnd w:id="80"/>
    </w:p>
    <w:p>
      <w:pPr>
        <w:keepNext/>
        <w:keepLines/>
        <w:pageBreakBefore w:val="0"/>
        <w:kinsoku/>
        <w:overflowPunct/>
        <w:topLinePunct w:val="0"/>
        <w:autoSpaceDE/>
        <w:autoSpaceDN/>
        <w:bidi w:val="0"/>
        <w:adjustRightInd/>
        <w:snapToGrid/>
        <w:spacing w:line="360" w:lineRule="auto"/>
        <w:outlineLvl w:val="1"/>
        <w:rPr>
          <w:rFonts w:hint="eastAsia" w:ascii="宋体" w:hAnsi="宋体" w:eastAsia="宋体" w:cs="宋体"/>
          <w:b/>
          <w:bCs/>
          <w:color w:val="auto"/>
          <w:sz w:val="21"/>
          <w:szCs w:val="21"/>
          <w:highlight w:val="none"/>
          <w:shd w:val="clear" w:color="050000" w:fill="auto"/>
        </w:rPr>
      </w:pPr>
      <w:bookmarkStart w:id="81" w:name="_Toc25413"/>
      <w:r>
        <w:rPr>
          <w:rFonts w:hint="eastAsia" w:ascii="宋体" w:hAnsi="宋体" w:eastAsia="宋体" w:cs="宋体"/>
          <w:b/>
          <w:bCs/>
          <w:color w:val="auto"/>
          <w:sz w:val="21"/>
          <w:szCs w:val="21"/>
          <w:highlight w:val="none"/>
          <w:shd w:val="clear" w:color="050000" w:fill="auto"/>
        </w:rPr>
        <w:t>6.1 验收标准</w:t>
      </w:r>
      <w:bookmarkEnd w:id="81"/>
    </w:p>
    <w:p>
      <w:pPr>
        <w:pStyle w:val="33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kern w:val="0"/>
          <w:sz w:val="21"/>
          <w:szCs w:val="21"/>
          <w:highlight w:val="none"/>
          <w:lang w:val="en-US" w:eastAsia="zh-CN" w:bidi="ar"/>
        </w:rPr>
      </w:pPr>
      <w:bookmarkStart w:id="82" w:name="_Toc10916"/>
      <w:bookmarkStart w:id="83" w:name="_Toc2196771"/>
      <w:bookmarkStart w:id="84" w:name="_Toc4084"/>
      <w:bookmarkStart w:id="85" w:name="_Toc8050713"/>
      <w:bookmarkStart w:id="86" w:name="_Toc30978"/>
      <w:r>
        <w:rPr>
          <w:rFonts w:hint="eastAsia" w:ascii="宋体" w:hAnsi="宋体" w:eastAsia="宋体" w:cs="宋体"/>
          <w:color w:val="auto"/>
          <w:kern w:val="0"/>
          <w:sz w:val="21"/>
          <w:szCs w:val="21"/>
          <w:highlight w:val="none"/>
          <w:lang w:val="en-US" w:eastAsia="zh-CN" w:bidi="ar"/>
        </w:rPr>
        <w:t>在满足技术要求的基础上，按照本需求书第三节工程技术要求对该项目进行验收，其它未尽事宜以国家或行业现行标准为准。</w:t>
      </w:r>
      <w:bookmarkEnd w:id="82"/>
      <w:bookmarkEnd w:id="83"/>
      <w:bookmarkEnd w:id="84"/>
      <w:bookmarkEnd w:id="85"/>
      <w:bookmarkEnd w:id="86"/>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87" w:name="_Toc26696"/>
      <w:r>
        <w:rPr>
          <w:rFonts w:hint="eastAsia" w:ascii="宋体" w:hAnsi="宋体" w:eastAsia="宋体" w:cs="宋体"/>
          <w:b/>
          <w:bCs/>
          <w:color w:val="auto"/>
          <w:sz w:val="21"/>
          <w:szCs w:val="21"/>
          <w:highlight w:val="none"/>
          <w:shd w:val="clear" w:color="050000" w:fill="auto"/>
        </w:rPr>
        <w:t>6.2 验收程序</w:t>
      </w:r>
      <w:bookmarkEnd w:id="87"/>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工程施工完成之后，由承包单位自行组织对工程进行全面自检，自检完成之后，向采购单位提出验收申请，由采购单位组织按照相关技术要求及本合同所规定的技术标准对工程进行竣工验收。</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88" w:name="_Toc15394"/>
      <w:bookmarkStart w:id="89" w:name="_Toc2196783"/>
      <w:bookmarkStart w:id="90" w:name="_Toc20036"/>
      <w:r>
        <w:rPr>
          <w:rFonts w:hint="eastAsia" w:ascii="宋体" w:hAnsi="宋体" w:eastAsia="宋体" w:cs="宋体"/>
          <w:b/>
          <w:bCs/>
          <w:color w:val="auto"/>
          <w:sz w:val="21"/>
          <w:szCs w:val="21"/>
          <w:highlight w:val="none"/>
          <w:shd w:val="clear" w:color="050000" w:fill="auto"/>
          <w:lang w:val="en-US" w:eastAsia="zh-CN"/>
        </w:rPr>
        <w:t>6.3</w:t>
      </w:r>
      <w:r>
        <w:rPr>
          <w:rFonts w:hint="eastAsia" w:ascii="宋体" w:hAnsi="宋体" w:eastAsia="宋体" w:cs="宋体"/>
          <w:b/>
          <w:bCs/>
          <w:color w:val="auto"/>
          <w:sz w:val="21"/>
          <w:szCs w:val="21"/>
          <w:highlight w:val="none"/>
          <w:shd w:val="clear" w:color="050000" w:fill="auto"/>
        </w:rPr>
        <w:t>培训</w:t>
      </w:r>
      <w:bookmarkEnd w:id="88"/>
      <w:bookmarkEnd w:id="89"/>
      <w:bookmarkEnd w:id="90"/>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工程交付前，由承包单位组织对采购单位相关人员进行设备功能、结构、工作原理、操作、维护等方面的专业知识培训，确保采购单位相关人员具备使用及维护的能力。</w:t>
      </w:r>
    </w:p>
    <w:p>
      <w:pPr>
        <w:keepNext/>
        <w:keepLines/>
        <w:pageBreakBefore w:val="0"/>
        <w:kinsoku/>
        <w:overflowPunct/>
        <w:topLinePunct w:val="0"/>
        <w:autoSpaceDE/>
        <w:autoSpaceDN/>
        <w:bidi w:val="0"/>
        <w:adjustRightInd/>
        <w:snapToGrid/>
        <w:spacing w:line="360" w:lineRule="auto"/>
        <w:jc w:val="left"/>
        <w:outlineLvl w:val="0"/>
        <w:rPr>
          <w:rFonts w:hint="eastAsia" w:ascii="宋体" w:hAnsi="宋体" w:eastAsia="宋体" w:cs="宋体"/>
          <w:color w:val="auto"/>
          <w:sz w:val="24"/>
          <w:szCs w:val="24"/>
          <w:highlight w:val="none"/>
          <w:shd w:val="clear" w:color="050000" w:fill="auto"/>
        </w:rPr>
      </w:pPr>
      <w:bookmarkStart w:id="91" w:name="_Toc11763"/>
      <w:r>
        <w:rPr>
          <w:rFonts w:hint="eastAsia" w:ascii="宋体" w:hAnsi="宋体" w:eastAsia="宋体" w:cs="宋体"/>
          <w:b/>
          <w:color w:val="auto"/>
          <w:sz w:val="24"/>
          <w:szCs w:val="24"/>
          <w:highlight w:val="none"/>
          <w:shd w:val="clear" w:color="060000" w:fill="auto"/>
        </w:rPr>
        <w:t>7. 质保期服务</w:t>
      </w:r>
      <w:bookmarkEnd w:id="91"/>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2" w:name="_Toc18416"/>
      <w:r>
        <w:rPr>
          <w:rFonts w:hint="eastAsia" w:ascii="宋体" w:hAnsi="宋体" w:eastAsia="宋体" w:cs="宋体"/>
          <w:b/>
          <w:bCs/>
          <w:color w:val="auto"/>
          <w:sz w:val="21"/>
          <w:szCs w:val="21"/>
          <w:highlight w:val="none"/>
          <w:shd w:val="clear" w:color="050000" w:fill="auto"/>
        </w:rPr>
        <w:t>7.1 质保期</w:t>
      </w:r>
      <w:bookmarkEnd w:id="92"/>
    </w:p>
    <w:p>
      <w:pPr>
        <w:pageBreakBefore w:val="0"/>
        <w:kinsoku/>
        <w:overflowPunct/>
        <w:topLinePunct w:val="0"/>
        <w:autoSpaceDE/>
        <w:autoSpaceDN/>
        <w:bidi w:val="0"/>
        <w:adjustRightInd/>
        <w:snapToGrid/>
        <w:spacing w:line="360" w:lineRule="auto"/>
        <w:ind w:firstLine="420" w:firstLineChars="2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项目通过竣工验收并交付使用，视作进入质保期，质保期为</w:t>
      </w:r>
      <w:r>
        <w:rPr>
          <w:rFonts w:hint="eastAsia" w:ascii="宋体" w:hAnsi="宋体" w:eastAsia="宋体" w:cs="宋体"/>
          <w:color w:val="auto"/>
          <w:kern w:val="0"/>
          <w:sz w:val="21"/>
          <w:szCs w:val="21"/>
          <w:highlight w:val="none"/>
          <w:u w:val="single"/>
          <w:lang w:val="en-US" w:eastAsia="zh-CN" w:bidi="ar"/>
        </w:rPr>
        <w:t>24个月</w:t>
      </w:r>
      <w:r>
        <w:rPr>
          <w:rFonts w:hint="eastAsia" w:ascii="宋体" w:hAnsi="宋体" w:eastAsia="宋体" w:cs="宋体"/>
          <w:color w:val="auto"/>
          <w:kern w:val="0"/>
          <w:sz w:val="21"/>
          <w:szCs w:val="21"/>
          <w:highlight w:val="none"/>
          <w:lang w:val="en-US" w:eastAsia="zh-CN" w:bidi="ar"/>
        </w:rPr>
        <w:t>。如质保期内出现重大质量缺陷，质保期从该质量缺陷修复后起重新计算。重大质量缺陷的认定依照国家、省、市相关规定执行。</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3" w:name="_Toc17681"/>
      <w:r>
        <w:rPr>
          <w:rFonts w:hint="eastAsia" w:ascii="宋体" w:hAnsi="宋体" w:eastAsia="宋体" w:cs="宋体"/>
          <w:b/>
          <w:bCs/>
          <w:color w:val="auto"/>
          <w:sz w:val="21"/>
          <w:szCs w:val="21"/>
          <w:highlight w:val="none"/>
          <w:shd w:val="clear" w:color="050000" w:fill="auto"/>
        </w:rPr>
        <w:t>7.2 质保期的要求</w:t>
      </w:r>
      <w:bookmarkEnd w:id="93"/>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7.2.1质保期内，对由于安装不良、材料缺陷等引起的缺陷承包单位应负责修补。</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7.2.2质保期内采购单位在任何时间内发现本采购项目有缺陷，可要求承包单位立即修复，承包单位必须在收到采购单位的通知后</w:t>
      </w:r>
      <w:r>
        <w:rPr>
          <w:rFonts w:hint="eastAsia" w:ascii="宋体" w:hAnsi="宋体" w:eastAsia="宋体" w:cs="宋体"/>
          <w:color w:val="auto"/>
          <w:kern w:val="0"/>
          <w:sz w:val="21"/>
          <w:szCs w:val="21"/>
          <w:highlight w:val="none"/>
          <w:u w:val="single"/>
          <w:lang w:val="en-US" w:eastAsia="zh-CN" w:bidi="ar"/>
        </w:rPr>
        <w:t>12小时</w:t>
      </w:r>
      <w:r>
        <w:rPr>
          <w:rFonts w:hint="eastAsia" w:ascii="宋体" w:hAnsi="宋体" w:eastAsia="宋体" w:cs="宋体"/>
          <w:color w:val="auto"/>
          <w:kern w:val="0"/>
          <w:sz w:val="21"/>
          <w:szCs w:val="21"/>
          <w:highlight w:val="none"/>
          <w:lang w:val="en-US" w:eastAsia="zh-CN" w:bidi="ar"/>
        </w:rPr>
        <w:t>内派人员到现场免费修复，否则采购单位可自行组织修复，由此产生的一切费用由承包单位承担。</w:t>
      </w:r>
    </w:p>
    <w:p>
      <w:pPr>
        <w:pageBreakBefore w:val="0"/>
        <w:kinsoku/>
        <w:overflowPunct/>
        <w:topLinePunct w:val="0"/>
        <w:autoSpaceDE/>
        <w:autoSpaceDN/>
        <w:bidi w:val="0"/>
        <w:adjustRightInd/>
        <w:snapToGrid/>
        <w:spacing w:line="360" w:lineRule="auto"/>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7.2.3在质保期内，当发生故障时，承包单位应负责抢修，其费用已包括在合同总价内。</w:t>
      </w:r>
    </w:p>
    <w:p>
      <w:pPr>
        <w:pageBreakBefore w:val="0"/>
        <w:kinsoku/>
        <w:overflowPunct/>
        <w:topLinePunct w:val="0"/>
        <w:autoSpaceDE/>
        <w:autoSpaceDN/>
        <w:bidi w:val="0"/>
        <w:adjustRightInd/>
        <w:snapToGrid/>
        <w:spacing w:line="360" w:lineRule="auto"/>
        <w:jc w:val="left"/>
        <w:outlineLvl w:val="1"/>
        <w:rPr>
          <w:rFonts w:hint="eastAsia" w:ascii="宋体" w:hAnsi="宋体" w:eastAsia="宋体" w:cs="宋体"/>
          <w:b/>
          <w:bCs/>
          <w:color w:val="auto"/>
          <w:sz w:val="21"/>
          <w:szCs w:val="21"/>
          <w:highlight w:val="none"/>
          <w:shd w:val="clear" w:color="050000" w:fill="auto"/>
        </w:rPr>
      </w:pPr>
      <w:bookmarkStart w:id="94" w:name="_Toc2196787"/>
      <w:bookmarkStart w:id="95" w:name="_Toc12617"/>
      <w:bookmarkStart w:id="96" w:name="_Toc18901"/>
      <w:r>
        <w:rPr>
          <w:rFonts w:hint="eastAsia" w:ascii="宋体" w:hAnsi="宋体" w:eastAsia="宋体" w:cs="宋体"/>
          <w:b/>
          <w:bCs/>
          <w:color w:val="auto"/>
          <w:sz w:val="21"/>
          <w:szCs w:val="21"/>
          <w:highlight w:val="none"/>
          <w:shd w:val="clear" w:color="050000" w:fill="auto"/>
        </w:rPr>
        <w:t>7.3 质保期之后的要求</w:t>
      </w:r>
      <w:bookmarkEnd w:id="94"/>
      <w:bookmarkEnd w:id="95"/>
      <w:bookmarkEnd w:id="96"/>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 w:val="21"/>
          <w:szCs w:val="21"/>
          <w:highlight w:val="none"/>
          <w:lang w:val="en-US" w:eastAsia="zh-CN" w:bidi="ar"/>
        </w:rPr>
        <w:t>质保期过后，当发生重大或疑难故障，采购单位无法现场处理或修复时，承包单位应积极配合采购单位进行处理，并提供有必要的帮助，且不增加相应费用。</w:t>
      </w:r>
    </w:p>
    <w:p>
      <w:pPr>
        <w:pStyle w:val="14"/>
        <w:rPr>
          <w:rFonts w:hint="eastAsia" w:ascii="宋体" w:hAnsi="宋体" w:eastAsia="宋体" w:cs="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eastAsia="zh-CN"/>
        </w:rPr>
        <w:sectPr>
          <w:headerReference r:id="rId6" w:type="default"/>
          <w:footerReference r:id="rId7" w:type="default"/>
          <w:pgSz w:w="11906" w:h="16838"/>
          <w:pgMar w:top="1191" w:right="1417" w:bottom="1191" w:left="1191" w:header="851" w:footer="851" w:gutter="0"/>
          <w:pgNumType w:fmt="decimal"/>
          <w:cols w:space="720" w:num="1"/>
          <w:docGrid w:linePitch="312" w:charSpace="0"/>
        </w:sectPr>
      </w:pPr>
    </w:p>
    <w:p>
      <w:pPr>
        <w:pStyle w:val="4"/>
        <w:keepNext w:val="0"/>
        <w:rPr>
          <w:rFonts w:hint="eastAsia" w:ascii="宋体" w:hAnsi="宋体" w:eastAsia="宋体" w:cs="宋体"/>
          <w:bCs w:val="0"/>
          <w:color w:val="auto"/>
          <w:sz w:val="32"/>
          <w:szCs w:val="32"/>
          <w:highlight w:val="none"/>
          <w:lang w:eastAsia="zh-CN"/>
        </w:rPr>
      </w:pPr>
      <w:bookmarkStart w:id="97" w:name="_Toc16008"/>
      <w:r>
        <w:rPr>
          <w:rFonts w:hint="eastAsia" w:ascii="宋体" w:hAnsi="宋体" w:eastAsia="宋体" w:cs="宋体"/>
          <w:bCs w:val="0"/>
          <w:color w:val="auto"/>
          <w:sz w:val="32"/>
          <w:szCs w:val="32"/>
          <w:highlight w:val="none"/>
        </w:rPr>
        <w:t xml:space="preserve">第五章 </w:t>
      </w:r>
      <w:r>
        <w:rPr>
          <w:rFonts w:hint="eastAsia" w:ascii="宋体" w:hAnsi="宋体" w:eastAsia="宋体" w:cs="宋体"/>
          <w:bCs w:val="0"/>
          <w:color w:val="auto"/>
          <w:sz w:val="32"/>
          <w:szCs w:val="32"/>
          <w:highlight w:val="none"/>
          <w:lang w:val="en-US" w:eastAsia="zh-CN"/>
        </w:rPr>
        <w:t xml:space="preserve"> </w:t>
      </w:r>
      <w:bookmarkEnd w:id="97"/>
      <w:r>
        <w:rPr>
          <w:rFonts w:hint="eastAsia" w:ascii="宋体" w:hAnsi="宋体" w:eastAsia="宋体" w:cs="宋体"/>
          <w:b/>
          <w:bCs/>
          <w:color w:val="auto"/>
          <w:sz w:val="32"/>
          <w:szCs w:val="32"/>
          <w:highlight w:val="none"/>
          <w:lang w:eastAsia="zh-CN"/>
        </w:rPr>
        <w:t>最高限价</w:t>
      </w:r>
    </w:p>
    <w:p>
      <w:pPr>
        <w:rPr>
          <w:rFonts w:hint="eastAsia" w:ascii="宋体" w:hAnsi="宋体" w:eastAsia="宋体" w:cs="宋体"/>
          <w:bCs w:val="0"/>
          <w:color w:val="auto"/>
          <w:sz w:val="32"/>
          <w:szCs w:val="32"/>
          <w:highlight w:val="none"/>
        </w:rPr>
      </w:pPr>
      <w:bookmarkStart w:id="98" w:name="_Toc22262"/>
      <w:bookmarkStart w:id="99" w:name="_Toc14891078"/>
      <w:bookmarkStart w:id="100" w:name="_Toc13521"/>
      <w:bookmarkStart w:id="101" w:name="_Toc17441"/>
    </w:p>
    <w:tbl>
      <w:tblPr>
        <w:tblStyle w:val="46"/>
        <w:tblW w:w="9400" w:type="dxa"/>
        <w:jc w:val="center"/>
        <w:shd w:val="clear" w:color="auto" w:fill="auto"/>
        <w:tblLayout w:type="fixed"/>
        <w:tblCellMar>
          <w:top w:w="0" w:type="dxa"/>
          <w:left w:w="0" w:type="dxa"/>
          <w:bottom w:w="0" w:type="dxa"/>
          <w:right w:w="0" w:type="dxa"/>
        </w:tblCellMar>
      </w:tblPr>
      <w:tblGrid>
        <w:gridCol w:w="1641"/>
        <w:gridCol w:w="2205"/>
        <w:gridCol w:w="270"/>
        <w:gridCol w:w="1605"/>
        <w:gridCol w:w="2685"/>
        <w:gridCol w:w="994"/>
      </w:tblGrid>
      <w:tr>
        <w:tblPrEx>
          <w:shd w:val="clear" w:color="auto" w:fill="auto"/>
          <w:tblCellMar>
            <w:top w:w="0" w:type="dxa"/>
            <w:left w:w="0" w:type="dxa"/>
            <w:bottom w:w="0" w:type="dxa"/>
            <w:right w:w="0" w:type="dxa"/>
          </w:tblCellMar>
        </w:tblPrEx>
        <w:trPr>
          <w:trHeight w:val="1878" w:hRule="atLeast"/>
          <w:jc w:val="center"/>
        </w:trPr>
        <w:tc>
          <w:tcPr>
            <w:tcW w:w="8406" w:type="dxa"/>
            <w:gridSpan w:val="5"/>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center"/>
              <w:textAlignment w:val="bottom"/>
              <w:rPr>
                <w:rFonts w:hint="eastAsia" w:ascii="宋体" w:hAnsi="宋体" w:eastAsia="宋体" w:cs="宋体"/>
                <w:i w:val="0"/>
                <w:color w:val="auto"/>
                <w:sz w:val="36"/>
                <w:szCs w:val="36"/>
                <w:highlight w:val="none"/>
                <w:u w:val="none"/>
              </w:rPr>
            </w:pPr>
            <w:bookmarkStart w:id="102" w:name="_Toc26126"/>
            <w:r>
              <w:rPr>
                <w:rFonts w:hint="eastAsia" w:ascii="宋体" w:hAnsi="宋体" w:eastAsia="宋体" w:cs="宋体"/>
                <w:i w:val="0"/>
                <w:color w:val="auto"/>
                <w:kern w:val="0"/>
                <w:sz w:val="36"/>
                <w:szCs w:val="36"/>
                <w:highlight w:val="none"/>
                <w:u w:val="none"/>
                <w:lang w:val="en-US" w:eastAsia="zh-CN" w:bidi="ar"/>
              </w:rPr>
              <w:t>长沙市轨道交通2号线运营期OCC裙楼4楼调度部生活间、黄兴车辆段谈话室、监控旁听室、档案室加装防火门、荣誉室改造工程项目</w:t>
            </w:r>
          </w:p>
        </w:tc>
        <w:tc>
          <w:tcPr>
            <w:tcW w:w="994"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b/>
                <w:i w:val="0"/>
                <w:color w:val="auto"/>
                <w:sz w:val="48"/>
                <w:szCs w:val="48"/>
                <w:highlight w:val="none"/>
                <w:u w:val="none"/>
              </w:rPr>
            </w:pPr>
          </w:p>
        </w:tc>
      </w:tr>
      <w:tr>
        <w:tblPrEx>
          <w:tblCellMar>
            <w:top w:w="0" w:type="dxa"/>
            <w:left w:w="0" w:type="dxa"/>
            <w:bottom w:w="0" w:type="dxa"/>
            <w:right w:w="0" w:type="dxa"/>
          </w:tblCellMar>
        </w:tblPrEx>
        <w:trPr>
          <w:trHeight w:val="928" w:hRule="atLeast"/>
          <w:jc w:val="center"/>
        </w:trPr>
        <w:tc>
          <w:tcPr>
            <w:tcW w:w="8406" w:type="dxa"/>
            <w:gridSpan w:val="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8"/>
                <w:szCs w:val="48"/>
                <w:highlight w:val="none"/>
                <w:u w:val="none"/>
              </w:rPr>
            </w:pPr>
            <w:r>
              <w:rPr>
                <w:rFonts w:hint="eastAsia" w:ascii="宋体" w:hAnsi="宋体" w:eastAsia="宋体" w:cs="宋体"/>
                <w:b/>
                <w:i w:val="0"/>
                <w:color w:val="auto"/>
                <w:kern w:val="0"/>
                <w:sz w:val="48"/>
                <w:szCs w:val="48"/>
                <w:highlight w:val="none"/>
                <w:u w:val="none"/>
                <w:lang w:val="en-US" w:eastAsia="zh-CN" w:bidi="ar"/>
              </w:rPr>
              <w:t>工</w:t>
            </w:r>
            <w:r>
              <w:rPr>
                <w:rFonts w:hint="eastAsia" w:ascii="宋体" w:hAnsi="宋体" w:cs="宋体"/>
                <w:b/>
                <w:i w:val="0"/>
                <w:color w:val="auto"/>
                <w:kern w:val="0"/>
                <w:sz w:val="48"/>
                <w:szCs w:val="48"/>
                <w:highlight w:val="none"/>
                <w:u w:val="none"/>
                <w:lang w:val="en-US" w:eastAsia="zh-CN" w:bidi="ar"/>
              </w:rPr>
              <w:t xml:space="preserve"> </w:t>
            </w:r>
            <w:bookmarkStart w:id="184" w:name="_GoBack"/>
            <w:bookmarkEnd w:id="184"/>
            <w:r>
              <w:rPr>
                <w:rFonts w:hint="eastAsia" w:ascii="宋体" w:hAnsi="宋体" w:eastAsia="宋体" w:cs="宋体"/>
                <w:b/>
                <w:i w:val="0"/>
                <w:color w:val="auto"/>
                <w:kern w:val="0"/>
                <w:sz w:val="48"/>
                <w:szCs w:val="48"/>
                <w:highlight w:val="none"/>
                <w:u w:val="none"/>
                <w:lang w:val="en-US" w:eastAsia="zh-CN" w:bidi="ar"/>
              </w:rPr>
              <w:t>程 招 标 控 制 价</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22" w:hRule="atLeast"/>
          <w:jc w:val="center"/>
        </w:trPr>
        <w:tc>
          <w:tcPr>
            <w:tcW w:w="3846"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招标控制价（小写）：</w:t>
            </w:r>
          </w:p>
        </w:tc>
        <w:tc>
          <w:tcPr>
            <w:tcW w:w="4560" w:type="dxa"/>
            <w:gridSpan w:val="3"/>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209444.50</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11" w:hRule="atLeast"/>
          <w:jc w:val="center"/>
        </w:trPr>
        <w:tc>
          <w:tcPr>
            <w:tcW w:w="3846" w:type="dxa"/>
            <w:gridSpan w:val="2"/>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（大写）：</w:t>
            </w:r>
          </w:p>
        </w:tc>
        <w:tc>
          <w:tcPr>
            <w:tcW w:w="4560" w:type="dxa"/>
            <w:gridSpan w:val="3"/>
            <w:tcBorders>
              <w:top w:val="nil"/>
              <w:left w:val="nil"/>
              <w:bottom w:val="single" w:color="000000" w:sz="4" w:space="0"/>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贰拾万玖仟肆佰肆拾肆元伍角</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86"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招  标  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造价咨询人：</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530"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(单位盖章)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(单位资质专用章)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947" w:hRule="atLeast"/>
          <w:jc w:val="center"/>
        </w:trPr>
        <w:tc>
          <w:tcPr>
            <w:tcW w:w="1641"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法定代表人</w:t>
            </w:r>
            <w:r>
              <w:rPr>
                <w:rFonts w:hint="eastAsia" w:ascii="宋体" w:hAnsi="宋体" w:eastAsia="宋体" w:cs="宋体"/>
                <w:i w:val="0"/>
                <w:color w:val="auto"/>
                <w:kern w:val="0"/>
                <w:sz w:val="24"/>
                <w:szCs w:val="24"/>
                <w:highlight w:val="none"/>
                <w:u w:val="none"/>
                <w:lang w:val="en-US" w:eastAsia="zh-CN" w:bidi="ar"/>
              </w:rPr>
              <w:br w:type="textWrapping"/>
            </w:r>
            <w:r>
              <w:rPr>
                <w:rFonts w:hint="eastAsia" w:ascii="宋体" w:hAnsi="宋体" w:eastAsia="宋体" w:cs="宋体"/>
                <w:i w:val="0"/>
                <w:color w:val="auto"/>
                <w:kern w:val="0"/>
                <w:sz w:val="24"/>
                <w:szCs w:val="24"/>
                <w:highlight w:val="none"/>
                <w:u w:val="none"/>
                <w:lang w:val="en-US" w:eastAsia="zh-CN" w:bidi="ar"/>
              </w:rPr>
              <w:t xml:space="preserve"> 或其授权人：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法定代表人</w:t>
            </w:r>
            <w:r>
              <w:rPr>
                <w:rFonts w:hint="eastAsia" w:ascii="宋体" w:hAnsi="宋体" w:eastAsia="宋体" w:cs="宋体"/>
                <w:i w:val="0"/>
                <w:color w:val="auto"/>
                <w:kern w:val="0"/>
                <w:sz w:val="24"/>
                <w:szCs w:val="24"/>
                <w:highlight w:val="none"/>
                <w:u w:val="none"/>
                <w:lang w:val="en-US" w:eastAsia="zh-CN" w:bidi="ar"/>
              </w:rPr>
              <w:br w:type="textWrapping"/>
            </w:r>
            <w:r>
              <w:rPr>
                <w:rFonts w:hint="eastAsia" w:ascii="宋体" w:hAnsi="宋体" w:eastAsia="宋体" w:cs="宋体"/>
                <w:i w:val="0"/>
                <w:color w:val="auto"/>
                <w:kern w:val="0"/>
                <w:sz w:val="24"/>
                <w:szCs w:val="24"/>
                <w:highlight w:val="none"/>
                <w:u w:val="none"/>
                <w:lang w:val="en-US" w:eastAsia="zh-CN" w:bidi="ar"/>
              </w:rPr>
              <w:t>或其授权人 ：</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530"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(签字或盖章)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(签字或盖章)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36"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编  制  人：</w:t>
            </w:r>
          </w:p>
        </w:tc>
        <w:tc>
          <w:tcPr>
            <w:tcW w:w="220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复  核  人 ：</w:t>
            </w:r>
          </w:p>
        </w:tc>
        <w:tc>
          <w:tcPr>
            <w:tcW w:w="2685" w:type="dxa"/>
            <w:tcBorders>
              <w:top w:val="nil"/>
              <w:left w:val="nil"/>
              <w:bottom w:val="single" w:color="000000" w:sz="4" w:space="0"/>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auto"/>
                <w:sz w:val="24"/>
                <w:szCs w:val="24"/>
                <w:highlight w:val="none"/>
                <w:u w:val="none"/>
              </w:rPr>
            </w:pP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58" w:hRule="atLeast"/>
          <w:jc w:val="center"/>
        </w:trPr>
        <w:tc>
          <w:tcPr>
            <w:tcW w:w="1641"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2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(造价人员签字盖专用章)</w:t>
            </w: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(造价工程师签字盖专用章)</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678" w:hRule="atLeast"/>
          <w:jc w:val="center"/>
        </w:trPr>
        <w:tc>
          <w:tcPr>
            <w:tcW w:w="1641"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编 制 时 间：</w:t>
            </w:r>
          </w:p>
        </w:tc>
        <w:tc>
          <w:tcPr>
            <w:tcW w:w="2205" w:type="dxa"/>
            <w:tcBorders>
              <w:top w:val="nil"/>
              <w:left w:val="nil"/>
              <w:bottom w:val="nil"/>
              <w:right w:val="nil"/>
            </w:tcBorders>
            <w:shd w:val="clear" w:color="auto" w:fill="auto"/>
            <w:noWrap/>
            <w:tcMar>
              <w:top w:w="15" w:type="dxa"/>
              <w:left w:w="15" w:type="dxa"/>
              <w:right w:w="15" w:type="dxa"/>
            </w:tcMar>
            <w:vAlign w:val="bottom"/>
          </w:tcPr>
          <w:p>
            <w:pPr>
              <w:jc w:val="left"/>
              <w:rPr>
                <w:rFonts w:hint="eastAsia" w:ascii="宋体" w:hAnsi="宋体" w:eastAsia="宋体" w:cs="宋体"/>
                <w:i w:val="0"/>
                <w:color w:val="auto"/>
                <w:sz w:val="24"/>
                <w:szCs w:val="24"/>
                <w:highlight w:val="none"/>
                <w:u w:val="none"/>
              </w:rPr>
            </w:pPr>
          </w:p>
        </w:tc>
        <w:tc>
          <w:tcPr>
            <w:tcW w:w="270"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160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复 核 时 间：</w:t>
            </w:r>
          </w:p>
        </w:tc>
        <w:tc>
          <w:tcPr>
            <w:tcW w:w="268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 xml:space="preserve">       年     月    日</w:t>
            </w:r>
          </w:p>
        </w:tc>
        <w:tc>
          <w:tcPr>
            <w:tcW w:w="994" w:type="dxa"/>
            <w:tcBorders>
              <w:top w:val="nil"/>
              <w:left w:val="nil"/>
              <w:bottom w:val="nil"/>
              <w:right w:val="nil"/>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bl>
    <w:p>
      <w:pPr>
        <w:pStyle w:val="1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sectPr>
          <w:headerReference r:id="rId8" w:type="default"/>
          <w:footerReference r:id="rId9" w:type="default"/>
          <w:endnotePr>
            <w:numFmt w:val="decimal"/>
          </w:endnotePr>
          <w:pgSz w:w="11906" w:h="16838"/>
          <w:pgMar w:top="1417" w:right="1191" w:bottom="1191" w:left="1191" w:header="851" w:footer="851" w:gutter="0"/>
          <w:pgNumType w:fmt="decimal"/>
          <w:cols w:space="720" w:num="1"/>
          <w:docGrid w:type="lines" w:linePitch="312" w:charSpace="0"/>
        </w:sectPr>
      </w:pPr>
    </w:p>
    <w:tbl>
      <w:tblPr>
        <w:tblStyle w:val="46"/>
        <w:tblW w:w="14180" w:type="dxa"/>
        <w:tblInd w:w="0" w:type="dxa"/>
        <w:shd w:val="clear" w:color="auto" w:fill="auto"/>
        <w:tblLayout w:type="fixed"/>
        <w:tblCellMar>
          <w:top w:w="0" w:type="dxa"/>
          <w:left w:w="0" w:type="dxa"/>
          <w:bottom w:w="0" w:type="dxa"/>
          <w:right w:w="0" w:type="dxa"/>
        </w:tblCellMar>
      </w:tblPr>
      <w:tblGrid>
        <w:gridCol w:w="617"/>
        <w:gridCol w:w="2033"/>
        <w:gridCol w:w="1048"/>
        <w:gridCol w:w="1048"/>
        <w:gridCol w:w="1048"/>
        <w:gridCol w:w="1048"/>
        <w:gridCol w:w="1048"/>
        <w:gridCol w:w="1049"/>
        <w:gridCol w:w="1048"/>
        <w:gridCol w:w="1049"/>
        <w:gridCol w:w="1048"/>
        <w:gridCol w:w="1048"/>
        <w:gridCol w:w="1048"/>
      </w:tblGrid>
      <w:tr>
        <w:tblPrEx>
          <w:shd w:val="clear" w:color="auto" w:fill="auto"/>
          <w:tblCellMar>
            <w:top w:w="0" w:type="dxa"/>
            <w:left w:w="0" w:type="dxa"/>
            <w:bottom w:w="0" w:type="dxa"/>
            <w:right w:w="0" w:type="dxa"/>
          </w:tblCellMar>
        </w:tblPrEx>
        <w:trPr>
          <w:trHeight w:val="819" w:hRule="atLeast"/>
        </w:trPr>
        <w:tc>
          <w:tcPr>
            <w:tcW w:w="14180" w:type="dxa"/>
            <w:gridSpan w:val="1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D.1 建设项目(单项工程)工程造价汇总表</w:t>
            </w:r>
          </w:p>
        </w:tc>
      </w:tr>
      <w:tr>
        <w:tblPrEx>
          <w:tblCellMar>
            <w:top w:w="0" w:type="dxa"/>
            <w:left w:w="0" w:type="dxa"/>
            <w:bottom w:w="0" w:type="dxa"/>
            <w:right w:w="0" w:type="dxa"/>
          </w:tblCellMar>
        </w:tblPrEx>
        <w:trPr>
          <w:trHeight w:val="261" w:hRule="atLeast"/>
        </w:trPr>
        <w:tc>
          <w:tcPr>
            <w:tcW w:w="14180" w:type="dxa"/>
            <w:gridSpan w:val="1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261" w:hRule="atLeast"/>
        </w:trPr>
        <w:tc>
          <w:tcPr>
            <w:tcW w:w="14180" w:type="dxa"/>
            <w:gridSpan w:val="1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标段：     </w:t>
            </w:r>
            <w:r>
              <w:rPr>
                <w:rFonts w:hint="eastAsia" w:ascii="宋体" w:hAnsi="宋体" w:eastAsia="宋体" w:cs="宋体"/>
                <w:i w:val="0"/>
                <w:color w:val="auto"/>
                <w:kern w:val="0"/>
                <w:sz w:val="20"/>
                <w:szCs w:val="20"/>
                <w:highlight w:val="none"/>
                <w:u w:val="none"/>
                <w:lang w:val="en-US" w:eastAsia="zh-CN" w:bidi="ar"/>
              </w:rPr>
              <w:t>第1页 共1页</w:t>
            </w:r>
          </w:p>
        </w:tc>
      </w:tr>
      <w:tr>
        <w:tblPrEx>
          <w:tblCellMar>
            <w:top w:w="0" w:type="dxa"/>
            <w:left w:w="0" w:type="dxa"/>
            <w:bottom w:w="0" w:type="dxa"/>
            <w:right w:w="0" w:type="dxa"/>
          </w:tblCellMar>
        </w:tblPrEx>
        <w:trPr>
          <w:trHeight w:val="265" w:hRule="atLeast"/>
        </w:trPr>
        <w:tc>
          <w:tcPr>
            <w:tcW w:w="6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203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单项工程名称</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 xml:space="preserve">(单位工程名称) </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建安工程造价(元)</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直接费用(元)</w:t>
            </w:r>
          </w:p>
        </w:tc>
        <w:tc>
          <w:tcPr>
            <w:tcW w:w="629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费用和利润(元)</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附加税费</w:t>
            </w: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w:t>
            </w:r>
          </w:p>
        </w:tc>
      </w:tr>
      <w:tr>
        <w:tblPrEx>
          <w:tblCellMar>
            <w:top w:w="0" w:type="dxa"/>
            <w:left w:w="0" w:type="dxa"/>
            <w:bottom w:w="0" w:type="dxa"/>
            <w:right w:w="0" w:type="dxa"/>
          </w:tblCellMar>
        </w:tblPrEx>
        <w:trPr>
          <w:trHeight w:val="575" w:hRule="atLeast"/>
        </w:trPr>
        <w:tc>
          <w:tcPr>
            <w:tcW w:w="6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3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管理费</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利润</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项目费</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其中：安全文明施工费</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规费</w:t>
            </w:r>
          </w:p>
        </w:tc>
        <w:tc>
          <w:tcPr>
            <w:tcW w:w="10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其中：社会保险费</w:t>
            </w: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199"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209444.50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168741.83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3480.00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3791.76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6406.09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9041.98</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5180.72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17231.54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751.30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18889.32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12747.42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571.24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622.41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2318.51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322.71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1007.91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461.77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1554.07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67.76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53894.56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44127.04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375.38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409.01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2468.91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212.07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1886.85</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1345.60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4434.05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193.32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28"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谈话室、监控旁听室工程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136660.62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111867.37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2533.38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2760.34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1618.67</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1431.20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6147.22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3373.35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11243.42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490.22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隔墙改造工程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10860.12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9038.29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159.73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174.04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105.24</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90.24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450.37</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269.16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893.49</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38.96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9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墙面及办公用具软包工程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34971.93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25637.76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1479.70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1612.26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881.91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835.94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2357.62</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840.97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2877.23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125.45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新增设备设施改造工程</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86377.86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73841.47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720.70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785.27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527.71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407.15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3086.34</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2154.85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7106.53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309.84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w:t>
            </w: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4450.71</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3349.85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173.25</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188.77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103.81</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97.87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252.89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108.37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366.17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15.97</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2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10" w:hRule="atLeast"/>
        </w:trPr>
        <w:tc>
          <w:tcPr>
            <w:tcW w:w="26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合           计  </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209444.50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168741.83</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3480.00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3791.76</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6406.09</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1965.98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9041.98</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5180.72</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17231.54</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751.30</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b/>
                <w:i w:val="0"/>
                <w:color w:val="auto"/>
                <w:sz w:val="18"/>
                <w:szCs w:val="18"/>
                <w:highlight w:val="none"/>
                <w:u w:val="none"/>
              </w:rPr>
            </w:pP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9540" w:type="dxa"/>
        <w:tblInd w:w="0" w:type="dxa"/>
        <w:shd w:val="clear" w:color="auto" w:fill="auto"/>
        <w:tblLayout w:type="fixed"/>
        <w:tblCellMar>
          <w:top w:w="0" w:type="dxa"/>
          <w:left w:w="0" w:type="dxa"/>
          <w:bottom w:w="0" w:type="dxa"/>
          <w:right w:w="0" w:type="dxa"/>
        </w:tblCellMar>
      </w:tblPr>
      <w:tblGrid>
        <w:gridCol w:w="1277"/>
        <w:gridCol w:w="2172"/>
        <w:gridCol w:w="2935"/>
        <w:gridCol w:w="823"/>
        <w:gridCol w:w="1439"/>
        <w:gridCol w:w="894"/>
      </w:tblGrid>
      <w:tr>
        <w:tblPrEx>
          <w:shd w:val="clear" w:color="auto" w:fill="auto"/>
          <w:tblCellMar>
            <w:top w:w="0" w:type="dxa"/>
            <w:left w:w="0" w:type="dxa"/>
            <w:bottom w:w="0" w:type="dxa"/>
            <w:right w:w="0" w:type="dxa"/>
          </w:tblCellMar>
        </w:tblPrEx>
        <w:trPr>
          <w:trHeight w:val="724" w:hRule="atLeast"/>
        </w:trPr>
        <w:tc>
          <w:tcPr>
            <w:tcW w:w="954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D.3 单位工程费用计算表</w:t>
            </w:r>
          </w:p>
        </w:tc>
      </w:tr>
      <w:tr>
        <w:tblPrEx>
          <w:tblCellMar>
            <w:top w:w="0" w:type="dxa"/>
            <w:left w:w="0" w:type="dxa"/>
            <w:bottom w:w="0" w:type="dxa"/>
            <w:right w:w="0" w:type="dxa"/>
          </w:tblCellMar>
        </w:tblPrEx>
        <w:trPr>
          <w:trHeight w:val="347" w:hRule="atLeast"/>
        </w:trPr>
        <w:tc>
          <w:tcPr>
            <w:tcW w:w="9540" w:type="dxa"/>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665" w:hRule="atLeast"/>
        </w:trPr>
        <w:tc>
          <w:tcPr>
            <w:tcW w:w="6384" w:type="dxa"/>
            <w:gridSpan w:val="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工程名称:长沙市轨道交通2号线运营期OCC裙楼4楼调度部生活间、黄兴车辆段谈话室、监控旁听室、档案室加装防火门、荣誉室改造工程项目</w:t>
            </w:r>
          </w:p>
        </w:tc>
        <w:tc>
          <w:tcPr>
            <w:tcW w:w="823"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标段：</w:t>
            </w:r>
          </w:p>
        </w:tc>
        <w:tc>
          <w:tcPr>
            <w:tcW w:w="2333" w:type="dxa"/>
            <w:gridSpan w:val="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第1页 共1页</w:t>
            </w:r>
          </w:p>
        </w:tc>
      </w:tr>
      <w:tr>
        <w:tblPrEx>
          <w:tblCellMar>
            <w:top w:w="0" w:type="dxa"/>
            <w:left w:w="0" w:type="dxa"/>
            <w:bottom w:w="0" w:type="dxa"/>
            <w:right w:w="0" w:type="dxa"/>
          </w:tblCellMar>
        </w:tblPrEx>
        <w:trPr>
          <w:trHeight w:val="38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汇 总 内 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计费基础</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费率(%)</w:t>
            </w:r>
          </w:p>
        </w:tc>
        <w:tc>
          <w:tcPr>
            <w:tcW w:w="14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直接费用</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1.1+1.2+1.3+1.4</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168741.83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人工费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人工费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26279.58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取费人工费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取费人工费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13651.36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材料费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材料费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98638.42</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机械费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机械费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1060.43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取费机械费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取费机械费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1265.10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其它费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其它费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42763.40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各项费用和利润</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2.1+2.2+2.3+2.4</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22719.83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管理费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23.33</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3480.00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利润</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25.42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3791.76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总价措施项目费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总价措施项目费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6406.09</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安全文明施工措施费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13.18</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2.4.1+2.4.2+2.4.3+2.4.4+2.4.5</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9041.98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2.4.1</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工程排污费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729.68</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2.4.2</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职工教育和工会经费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1017.61</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住房公积金</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1749.14</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安全生产责任险</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364.83</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2.4.5</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社会保险费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1+2.1+2.2+2.3</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2.84</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5180.72</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191461.66</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建安费用*税率</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17231.54</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附加税费</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（3+4）*税率</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0.36</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751.30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其他项目费合计</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∑其他项目费</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优惠</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建安费用+销项税额+附加税额</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w:t>
            </w: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67"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21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建安工程造价</w:t>
            </w:r>
          </w:p>
        </w:tc>
        <w:tc>
          <w:tcPr>
            <w:tcW w:w="2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3+4+5+6+7</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4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209444.50</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1338" w:hRule="atLeast"/>
        </w:trPr>
        <w:tc>
          <w:tcPr>
            <w:tcW w:w="9540" w:type="dxa"/>
            <w:gridSpan w:val="6"/>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注：1.采用一般计税法时，材料、机械台班单价均执行除税单价。</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2.建安费用=直接费用+费用和利润。</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3.附录F其他项目计价表列项计算汇总本项 (详F.1)。其中，材料（工程设备暂估价进入直接费用与综合单价，此处不重复汇总。</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 社会保险费包括养老保险费、失业保险费、医疗保险费、生育保险费和工伤保险费。</w:t>
            </w:r>
          </w:p>
        </w:tc>
      </w:tr>
    </w:tbl>
    <w:p>
      <w:pPr>
        <w:pStyle w:val="2"/>
        <w:ind w:left="0" w:leftChars="0" w:firstLine="0" w:firstLineChars="0"/>
        <w:rPr>
          <w:rFonts w:hint="eastAsia" w:ascii="宋体" w:hAnsi="宋体" w:eastAsia="宋体" w:cs="宋体"/>
          <w:color w:val="auto"/>
          <w:highlight w:val="none"/>
        </w:rPr>
        <w:sectPr>
          <w:endnotePr>
            <w:numFmt w:val="decimal"/>
          </w:endnotePr>
          <w:pgSz w:w="11906" w:h="16838"/>
          <w:pgMar w:top="1417" w:right="1191" w:bottom="1191" w:left="1191" w:header="851" w:footer="851" w:gutter="0"/>
          <w:pgNumType w:fmt="decimal"/>
          <w:cols w:space="720" w:num="1"/>
          <w:docGrid w:type="lines" w:linePitch="312" w:charSpace="0"/>
        </w:sectPr>
      </w:pPr>
    </w:p>
    <w:tbl>
      <w:tblPr>
        <w:tblStyle w:val="46"/>
        <w:tblW w:w="14220" w:type="dxa"/>
        <w:tblInd w:w="0" w:type="dxa"/>
        <w:shd w:val="clear" w:color="auto" w:fill="auto"/>
        <w:tblLayout w:type="fixed"/>
        <w:tblCellMar>
          <w:top w:w="0" w:type="dxa"/>
          <w:left w:w="0" w:type="dxa"/>
          <w:bottom w:w="0" w:type="dxa"/>
          <w:right w:w="0" w:type="dxa"/>
        </w:tblCellMar>
      </w:tblPr>
      <w:tblGrid>
        <w:gridCol w:w="387"/>
        <w:gridCol w:w="1219"/>
        <w:gridCol w:w="2874"/>
        <w:gridCol w:w="3454"/>
        <w:gridCol w:w="724"/>
        <w:gridCol w:w="754"/>
        <w:gridCol w:w="860"/>
        <w:gridCol w:w="995"/>
        <w:gridCol w:w="1071"/>
        <w:gridCol w:w="981"/>
        <w:gridCol w:w="901"/>
      </w:tblGrid>
      <w:tr>
        <w:tblPrEx>
          <w:shd w:val="clear" w:color="auto" w:fill="auto"/>
          <w:tblCellMar>
            <w:top w:w="0" w:type="dxa"/>
            <w:left w:w="0" w:type="dxa"/>
            <w:bottom w:w="0" w:type="dxa"/>
            <w:right w:w="0" w:type="dxa"/>
          </w:tblCellMar>
        </w:tblPrEx>
        <w:trPr>
          <w:trHeight w:val="92" w:hRule="atLeast"/>
        </w:trPr>
        <w:tc>
          <w:tcPr>
            <w:tcW w:w="1422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90" w:hRule="atLeast"/>
        </w:trPr>
        <w:tc>
          <w:tcPr>
            <w:tcW w:w="1422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90" w:hRule="atLeast"/>
        </w:trPr>
        <w:tc>
          <w:tcPr>
            <w:tcW w:w="1422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第1页 共8页</w:t>
            </w:r>
          </w:p>
        </w:tc>
      </w:tr>
      <w:tr>
        <w:tblPrEx>
          <w:tblCellMar>
            <w:top w:w="0" w:type="dxa"/>
            <w:left w:w="0" w:type="dxa"/>
            <w:bottom w:w="0" w:type="dxa"/>
            <w:right w:w="0" w:type="dxa"/>
          </w:tblCellMar>
        </w:tblPrEx>
        <w:trPr>
          <w:trHeight w:val="90" w:hRule="atLeast"/>
        </w:trPr>
        <w:tc>
          <w:tcPr>
            <w:tcW w:w="3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87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4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80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90"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8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9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95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90" w:hRule="atLeast"/>
        </w:trPr>
        <w:tc>
          <w:tcPr>
            <w:tcW w:w="3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87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82"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209433.24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191453.16</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17230.39</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749.72</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18886.10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17265.14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1553.47</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67.48</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011601001001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砖砌体拆除：拆除生活间与综合布线间的部分墙体</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97.47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120.86</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110.48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9.94</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0.43</w:t>
            </w:r>
          </w:p>
        </w:tc>
      </w:tr>
      <w:tr>
        <w:tblPrEx>
          <w:tblCellMar>
            <w:top w:w="0" w:type="dxa"/>
            <w:left w:w="0" w:type="dxa"/>
            <w:bottom w:w="0" w:type="dxa"/>
            <w:right w:w="0" w:type="dxa"/>
          </w:tblCellMar>
        </w:tblPrEx>
        <w:trPr>
          <w:trHeight w:val="138"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011102001001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地砖及铺设：300*600的瓷砖，铺设拆除墙体下方瓷砖，拆除墙体处地脚进行瓷砖包边。</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0.53</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105.84</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56.10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51.28</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0.20</w:t>
            </w:r>
          </w:p>
        </w:tc>
      </w:tr>
      <w:tr>
        <w:tblPrEx>
          <w:tblCellMar>
            <w:top w:w="0" w:type="dxa"/>
            <w:left w:w="0" w:type="dxa"/>
            <w:bottom w:w="0" w:type="dxa"/>
            <w:right w:w="0" w:type="dxa"/>
          </w:tblCellMar>
        </w:tblPrEx>
        <w:trPr>
          <w:trHeight w:val="93"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010801005001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门洞包边（9mm胶合板包边含门洞修补、安装）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1.66</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125.37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208.11</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190.25</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0.75</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011201002001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墙面粉刷（腻子二遍，乳胶漆三遍）</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30.67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2760.30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2523.60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226.80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9.90</w:t>
            </w:r>
          </w:p>
        </w:tc>
      </w:tr>
      <w:tr>
        <w:tblPrEx>
          <w:tblCellMar>
            <w:top w:w="0" w:type="dxa"/>
            <w:left w:w="0" w:type="dxa"/>
            <w:bottom w:w="0" w:type="dxa"/>
            <w:right w:w="0" w:type="dxa"/>
          </w:tblCellMar>
        </w:tblPrEx>
        <w:trPr>
          <w:trHeight w:val="271"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030307002001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电缆井处处理：</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1、电缆井处制作、安装铁质检修盖板（根据现场情况进行切割）；费用包含：盖板、支架及人工</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2、为电缆井上方10cm✘5cm电缆线线槽增设盖板；费用包含：线槽盖板及人工</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574.17</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574.17</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524.87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47.24</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2.06</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030411001001</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插座（五孔插座含辅材及安装）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23.36</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93.44</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85.44</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7.68</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0.32</w:t>
            </w:r>
          </w:p>
        </w:tc>
      </w:tr>
      <w:tr>
        <w:tblPrEx>
          <w:tblCellMar>
            <w:top w:w="0" w:type="dxa"/>
            <w:left w:w="0" w:type="dxa"/>
            <w:bottom w:w="0" w:type="dxa"/>
            <w:right w:w="0" w:type="dxa"/>
          </w:tblCellMar>
        </w:tblPrEx>
        <w:trPr>
          <w:trHeight w:val="90" w:hRule="atLeast"/>
        </w:trPr>
        <w:tc>
          <w:tcPr>
            <w:tcW w:w="3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w:t>
            </w: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031101010003</w:t>
            </w:r>
          </w:p>
        </w:tc>
        <w:tc>
          <w:tcPr>
            <w:tcW w:w="2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电源线（含安装）</w:t>
            </w:r>
          </w:p>
        </w:tc>
        <w:tc>
          <w:tcPr>
            <w:tcW w:w="34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1.规格:单芯铜芯2.5mm²（零线、火线、地线各30m）</w:t>
            </w:r>
          </w:p>
        </w:tc>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9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252.00</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230.40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20.70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0.90</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60" w:type="dxa"/>
        <w:tblInd w:w="0" w:type="dxa"/>
        <w:shd w:val="clear" w:color="auto" w:fill="auto"/>
        <w:tblLayout w:type="fixed"/>
        <w:tblCellMar>
          <w:top w:w="0" w:type="dxa"/>
          <w:left w:w="0" w:type="dxa"/>
          <w:bottom w:w="0" w:type="dxa"/>
          <w:right w:w="0" w:type="dxa"/>
        </w:tblCellMar>
      </w:tblPr>
      <w:tblGrid>
        <w:gridCol w:w="389"/>
        <w:gridCol w:w="1239"/>
        <w:gridCol w:w="2006"/>
        <w:gridCol w:w="5099"/>
        <w:gridCol w:w="453"/>
        <w:gridCol w:w="693"/>
        <w:gridCol w:w="754"/>
        <w:gridCol w:w="845"/>
        <w:gridCol w:w="981"/>
        <w:gridCol w:w="889"/>
        <w:gridCol w:w="912"/>
      </w:tblGrid>
      <w:tr>
        <w:tblPrEx>
          <w:shd w:val="clear" w:color="auto" w:fill="auto"/>
          <w:tblCellMar>
            <w:top w:w="0" w:type="dxa"/>
            <w:left w:w="0" w:type="dxa"/>
            <w:bottom w:w="0" w:type="dxa"/>
            <w:right w:w="0" w:type="dxa"/>
          </w:tblCellMar>
        </w:tblPrEx>
        <w:trPr>
          <w:trHeight w:val="125"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90"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90" w:hRule="atLeast"/>
        </w:trPr>
        <w:tc>
          <w:tcPr>
            <w:tcW w:w="1426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第2页 共8页</w:t>
            </w:r>
          </w:p>
        </w:tc>
      </w:tr>
      <w:tr>
        <w:tblPrEx>
          <w:tblCellMar>
            <w:top w:w="0" w:type="dxa"/>
            <w:left w:w="0" w:type="dxa"/>
            <w:bottom w:w="0" w:type="dxa"/>
            <w:right w:w="0" w:type="dxa"/>
          </w:tblCellMar>
        </w:tblPrEx>
        <w:trPr>
          <w:trHeight w:val="90" w:hRule="atLeast"/>
        </w:trPr>
        <w:tc>
          <w:tcPr>
            <w:tcW w:w="3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00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0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38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90"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0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8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78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90"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00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0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63"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030408003002</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电线保护管（线管铺设为明铺含辅件、安装）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1.名称:DN20 PVC电线管</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12.39</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371.70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339.90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30.60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w:t>
            </w:r>
          </w:p>
        </w:tc>
      </w:tr>
      <w:tr>
        <w:tblPrEx>
          <w:tblCellMar>
            <w:top w:w="0" w:type="dxa"/>
            <w:left w:w="0" w:type="dxa"/>
            <w:bottom w:w="0" w:type="dxa"/>
            <w:right w:w="0" w:type="dxa"/>
          </w:tblCellMar>
        </w:tblPrEx>
        <w:trPr>
          <w:trHeight w:val="18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011302001001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天花盖板：600*600mm矿棉吸音天花（包含安装）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132.40</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1324.00</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1210.40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108.90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4.70</w:t>
            </w:r>
          </w:p>
        </w:tc>
      </w:tr>
      <w:tr>
        <w:tblPrEx>
          <w:tblCellMar>
            <w:top w:w="0" w:type="dxa"/>
            <w:left w:w="0" w:type="dxa"/>
            <w:bottom w:w="0" w:type="dxa"/>
            <w:right w:w="0" w:type="dxa"/>
          </w:tblCellMar>
        </w:tblPrEx>
        <w:trPr>
          <w:trHeight w:val="248"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011104004001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防静电陶瓷地板（含安装）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1、拆除现有防静电地板（含支架、地板等）；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2、铺设新的陶瓷防静电地板（含地板、加强型支架等）；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3、规格：600mm*600mm*40mm</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600.43</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10207.31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9330.96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839.80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36.55</w:t>
            </w:r>
          </w:p>
        </w:tc>
      </w:tr>
      <w:tr>
        <w:tblPrEx>
          <w:tblCellMar>
            <w:top w:w="0" w:type="dxa"/>
            <w:left w:w="0" w:type="dxa"/>
            <w:bottom w:w="0" w:type="dxa"/>
            <w:right w:w="0" w:type="dxa"/>
          </w:tblCellMar>
        </w:tblPrEx>
        <w:trPr>
          <w:trHeight w:val="369"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011707007001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1、现有生活间及综合布线间既有设施成品保护：面积约为100m²；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2、垃圾清运：约5立方左右；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4、脚手架：约90m²；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5、以上内容包干计取。</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2918.11</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2918.11</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2667.56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240.08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10.47</w:t>
            </w:r>
          </w:p>
        </w:tc>
      </w:tr>
      <w:tr>
        <w:tblPrEx>
          <w:tblCellMar>
            <w:top w:w="0" w:type="dxa"/>
            <w:left w:w="0" w:type="dxa"/>
            <w:bottom w:w="0" w:type="dxa"/>
            <w:right w:w="0" w:type="dxa"/>
          </w:tblCellMar>
        </w:tblPrEx>
        <w:trPr>
          <w:trHeight w:val="12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53887.92</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49261.96</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4433.72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192.24</w:t>
            </w:r>
          </w:p>
        </w:tc>
      </w:tr>
      <w:tr>
        <w:tblPrEx>
          <w:tblCellMar>
            <w:top w:w="0" w:type="dxa"/>
            <w:left w:w="0" w:type="dxa"/>
            <w:bottom w:w="0" w:type="dxa"/>
            <w:right w:w="0" w:type="dxa"/>
          </w:tblCellMar>
        </w:tblPrEx>
        <w:trPr>
          <w:trHeight w:val="247"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011507001001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南面墙荣誉柜（制作及安装）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1、宽5.9m*高2.7m，12mm板开条做结构，12mm板木质面板，亮光烤漆饰面，亚克力裁型做造型。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2、含设计造型（参照效果图，具体现场确定）</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1482.44</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23615.27</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21587.70</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1942.82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84.75</w:t>
            </w:r>
          </w:p>
        </w:tc>
      </w:tr>
      <w:tr>
        <w:tblPrEx>
          <w:tblCellMar>
            <w:top w:w="0" w:type="dxa"/>
            <w:left w:w="0" w:type="dxa"/>
            <w:bottom w:w="0" w:type="dxa"/>
            <w:right w:w="0" w:type="dxa"/>
          </w:tblCellMar>
        </w:tblPrEx>
        <w:trPr>
          <w:trHeight w:val="380"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12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031101013001</w:t>
            </w:r>
          </w:p>
        </w:tc>
        <w:tc>
          <w:tcPr>
            <w:tcW w:w="20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西面墙荣誉柜（制作及安装）</w:t>
            </w:r>
          </w:p>
        </w:tc>
        <w:tc>
          <w:tcPr>
            <w:tcW w:w="5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1、12mm板开条做结构，12mm板木质面板，亮光烤漆饰面，宽4.2m*高2.7m；15mm板开条做柜子立柱，12mm板做层板，烤漆饰面。大柜层内藏灯带，右边柜格开孔，安装射灯，有机玻璃做单开柜门（每个柜子都需要防尘）。</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2、含设计造型（参照效果图，具体现场确定）</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11.34</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1976.59</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22414.53</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20490.02</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1844.11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80.40</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40" w:type="dxa"/>
        <w:tblInd w:w="0" w:type="dxa"/>
        <w:shd w:val="clear" w:color="auto" w:fill="auto"/>
        <w:tblLayout w:type="fixed"/>
        <w:tblCellMar>
          <w:top w:w="0" w:type="dxa"/>
          <w:left w:w="0" w:type="dxa"/>
          <w:bottom w:w="0" w:type="dxa"/>
          <w:right w:w="0" w:type="dxa"/>
        </w:tblCellMar>
      </w:tblPr>
      <w:tblGrid>
        <w:gridCol w:w="388"/>
        <w:gridCol w:w="1220"/>
        <w:gridCol w:w="1961"/>
        <w:gridCol w:w="3915"/>
        <w:gridCol w:w="795"/>
        <w:gridCol w:w="750"/>
        <w:gridCol w:w="1095"/>
        <w:gridCol w:w="1140"/>
        <w:gridCol w:w="1005"/>
        <w:gridCol w:w="1035"/>
        <w:gridCol w:w="936"/>
      </w:tblGrid>
      <w:tr>
        <w:tblPrEx>
          <w:shd w:val="clear" w:color="auto" w:fill="auto"/>
          <w:tblCellMar>
            <w:top w:w="0" w:type="dxa"/>
            <w:left w:w="0" w:type="dxa"/>
            <w:bottom w:w="0" w:type="dxa"/>
            <w:right w:w="0" w:type="dxa"/>
          </w:tblCellMar>
        </w:tblPrEx>
        <w:trPr>
          <w:trHeight w:val="658" w:hRule="atLeast"/>
        </w:trPr>
        <w:tc>
          <w:tcPr>
            <w:tcW w:w="1424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336" w:hRule="atLeast"/>
        </w:trPr>
        <w:tc>
          <w:tcPr>
            <w:tcW w:w="1424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336" w:hRule="atLeast"/>
        </w:trPr>
        <w:tc>
          <w:tcPr>
            <w:tcW w:w="1424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第3页 共8页</w:t>
            </w:r>
          </w:p>
        </w:tc>
      </w:tr>
      <w:tr>
        <w:tblPrEx>
          <w:tblCellMar>
            <w:top w:w="0" w:type="dxa"/>
            <w:left w:w="0" w:type="dxa"/>
            <w:bottom w:w="0" w:type="dxa"/>
            <w:right w:w="0" w:type="dxa"/>
          </w:tblCellMar>
        </w:tblPrEx>
        <w:trPr>
          <w:trHeight w:val="357" w:hRule="atLeast"/>
        </w:trPr>
        <w:tc>
          <w:tcPr>
            <w:tcW w:w="38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96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52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347" w:hRule="atLeast"/>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97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347" w:hRule="atLeast"/>
        </w:trPr>
        <w:tc>
          <w:tcPr>
            <w:tcW w:w="38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030408003001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电线保护管（含安装）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1.材质:PVC电线管</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2.规格:DN20</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19.24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577.20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527.70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47.40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2.10</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电源线（单芯零线、火线、地线各100m含安装）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1.规格:铜芯2.5mm²</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840.00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69.00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031101010002</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电源线（单芯零线、火线、地线各100m含安装）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1.规格:铜芯4mm²</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1125.00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1029.00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93.00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w:t>
            </w:r>
          </w:p>
        </w:tc>
      </w:tr>
      <w:tr>
        <w:tblPrEx>
          <w:tblCellMar>
            <w:top w:w="0" w:type="dxa"/>
            <w:left w:w="0" w:type="dxa"/>
            <w:bottom w:w="0" w:type="dxa"/>
            <w:right w:w="0" w:type="dxa"/>
          </w:tblCellMar>
        </w:tblPrEx>
        <w:trPr>
          <w:trHeight w:val="989"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030412004001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轨道灯</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1、南面墙及西面墙30w轨道灯9盏（含轨道、辅件）</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2、含轨道、辅件及安装</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136.46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1228.14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1122.66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101.07</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030412004002</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射灯（6w射灯含安装）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34.65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658.35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601.92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54.15</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2.28</w:t>
            </w:r>
          </w:p>
        </w:tc>
      </w:tr>
      <w:tr>
        <w:tblPrEx>
          <w:tblCellMar>
            <w:top w:w="0" w:type="dxa"/>
            <w:left w:w="0" w:type="dxa"/>
            <w:bottom w:w="0" w:type="dxa"/>
            <w:right w:w="0" w:type="dxa"/>
          </w:tblCellMar>
        </w:tblPrEx>
        <w:trPr>
          <w:trHeight w:val="668"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011304001001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LED灯带（含安装）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1.安装固定方式:暗藏式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2.灯带型式:LED灯带</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19.64</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117.84</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107.70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0.42</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030404034001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照明开关（含安装）</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24.80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74.40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68.01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6.12</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0.27</w:t>
            </w:r>
          </w:p>
        </w:tc>
      </w:tr>
      <w:tr>
        <w:tblPrEx>
          <w:tblCellMar>
            <w:top w:w="0" w:type="dxa"/>
            <w:left w:w="0" w:type="dxa"/>
            <w:bottom w:w="0" w:type="dxa"/>
            <w:right w:w="0" w:type="dxa"/>
          </w:tblCellMar>
        </w:tblPrEx>
        <w:trPr>
          <w:trHeight w:val="1311"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w:t>
            </w: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011707001001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1、成品保护：面积约为120m²；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2、垃圾清运：约7立方左右；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4、以上内容包干计取。</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3237.19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3237.19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2959.25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266.33</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11.61</w:t>
            </w:r>
          </w:p>
        </w:tc>
      </w:tr>
      <w:tr>
        <w:tblPrEx>
          <w:tblCellMar>
            <w:top w:w="0" w:type="dxa"/>
            <w:left w:w="0" w:type="dxa"/>
            <w:bottom w:w="0" w:type="dxa"/>
            <w:right w:w="0" w:type="dxa"/>
          </w:tblCellMar>
        </w:tblPrEx>
        <w:trPr>
          <w:trHeight w:val="34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谈话室、监控旁听室工程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136659.22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124926.06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11243.20</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490.00</w:t>
            </w:r>
          </w:p>
        </w:tc>
      </w:tr>
      <w:tr>
        <w:tblPrEx>
          <w:tblCellMar>
            <w:top w:w="0" w:type="dxa"/>
            <w:left w:w="0" w:type="dxa"/>
            <w:bottom w:w="0" w:type="dxa"/>
            <w:right w:w="0" w:type="dxa"/>
          </w:tblCellMar>
        </w:tblPrEx>
        <w:trPr>
          <w:trHeight w:val="357" w:hRule="atLeast"/>
        </w:trPr>
        <w:tc>
          <w:tcPr>
            <w:tcW w:w="3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隔墙改造工程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10860.15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9927.71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893.48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38.98</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14260" w:type="dxa"/>
        <w:tblInd w:w="0" w:type="dxa"/>
        <w:shd w:val="clear" w:color="auto" w:fill="auto"/>
        <w:tblLayout w:type="fixed"/>
        <w:tblCellMar>
          <w:top w:w="0" w:type="dxa"/>
          <w:left w:w="0" w:type="dxa"/>
          <w:bottom w:w="0" w:type="dxa"/>
          <w:right w:w="0" w:type="dxa"/>
        </w:tblCellMar>
      </w:tblPr>
      <w:tblGrid>
        <w:gridCol w:w="389"/>
        <w:gridCol w:w="1222"/>
        <w:gridCol w:w="1749"/>
        <w:gridCol w:w="3485"/>
        <w:gridCol w:w="819"/>
        <w:gridCol w:w="915"/>
        <w:gridCol w:w="1110"/>
        <w:gridCol w:w="1005"/>
        <w:gridCol w:w="1275"/>
        <w:gridCol w:w="1155"/>
        <w:gridCol w:w="1136"/>
      </w:tblGrid>
      <w:tr>
        <w:tblPrEx>
          <w:shd w:val="clear" w:color="auto" w:fill="auto"/>
          <w:tblCellMar>
            <w:top w:w="0" w:type="dxa"/>
            <w:left w:w="0" w:type="dxa"/>
            <w:bottom w:w="0" w:type="dxa"/>
            <w:right w:w="0" w:type="dxa"/>
          </w:tblCellMar>
        </w:tblPrEx>
        <w:trPr>
          <w:trHeight w:val="613"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shd w:val="clear" w:color="auto" w:fill="auto"/>
          <w:tblCellMar>
            <w:top w:w="0" w:type="dxa"/>
            <w:left w:w="0" w:type="dxa"/>
            <w:bottom w:w="0" w:type="dxa"/>
            <w:right w:w="0" w:type="dxa"/>
          </w:tblCellMar>
        </w:tblPrEx>
        <w:trPr>
          <w:trHeight w:val="314" w:hRule="atLeast"/>
        </w:trPr>
        <w:tc>
          <w:tcPr>
            <w:tcW w:w="14260" w:type="dxa"/>
            <w:gridSpan w:val="11"/>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shd w:val="clear" w:color="auto" w:fill="auto"/>
          <w:tblCellMar>
            <w:top w:w="0" w:type="dxa"/>
            <w:left w:w="0" w:type="dxa"/>
            <w:bottom w:w="0" w:type="dxa"/>
            <w:right w:w="0" w:type="dxa"/>
          </w:tblCellMar>
        </w:tblPrEx>
        <w:trPr>
          <w:trHeight w:val="331" w:hRule="atLeast"/>
        </w:trPr>
        <w:tc>
          <w:tcPr>
            <w:tcW w:w="14260" w:type="dxa"/>
            <w:gridSpan w:val="11"/>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第4页 共8页</w:t>
            </w:r>
          </w:p>
        </w:tc>
      </w:tr>
      <w:tr>
        <w:tblPrEx>
          <w:shd w:val="clear" w:color="auto" w:fill="auto"/>
          <w:tblCellMar>
            <w:top w:w="0" w:type="dxa"/>
            <w:left w:w="0" w:type="dxa"/>
            <w:bottom w:w="0" w:type="dxa"/>
            <w:right w:w="0" w:type="dxa"/>
          </w:tblCellMar>
        </w:tblPrEx>
        <w:trPr>
          <w:trHeight w:val="333" w:hRule="atLeast"/>
        </w:trPr>
        <w:tc>
          <w:tcPr>
            <w:tcW w:w="3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7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34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568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shd w:val="clear" w:color="auto" w:fill="auto"/>
          <w:tblCellMar>
            <w:top w:w="0" w:type="dxa"/>
            <w:left w:w="0" w:type="dxa"/>
            <w:bottom w:w="0" w:type="dxa"/>
            <w:right w:w="0" w:type="dxa"/>
          </w:tblCellMar>
        </w:tblPrEx>
        <w:trPr>
          <w:trHeight w:val="324"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356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shd w:val="clear" w:color="auto" w:fill="auto"/>
          <w:tblCellMar>
            <w:top w:w="0" w:type="dxa"/>
            <w:left w:w="0" w:type="dxa"/>
            <w:bottom w:w="0" w:type="dxa"/>
            <w:right w:w="0" w:type="dxa"/>
          </w:tblCellMar>
        </w:tblPrEx>
        <w:trPr>
          <w:trHeight w:val="324" w:hRule="atLeast"/>
        </w:trPr>
        <w:tc>
          <w:tcPr>
            <w:tcW w:w="3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34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shd w:val="clear" w:color="auto" w:fill="auto"/>
          <w:tblCellMar>
            <w:top w:w="0" w:type="dxa"/>
            <w:left w:w="0" w:type="dxa"/>
            <w:bottom w:w="0" w:type="dxa"/>
            <w:right w:w="0" w:type="dxa"/>
          </w:tblCellMar>
        </w:tblPrEx>
        <w:trPr>
          <w:trHeight w:val="3324" w:hRule="atLeast"/>
        </w:trPr>
        <w:tc>
          <w:tcPr>
            <w:tcW w:w="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w:t>
            </w:r>
          </w:p>
        </w:tc>
        <w:tc>
          <w:tcPr>
            <w:tcW w:w="12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011210001002</w:t>
            </w:r>
          </w:p>
        </w:tc>
        <w:tc>
          <w:tcPr>
            <w:tcW w:w="17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砖砌隔墙</w:t>
            </w:r>
          </w:p>
        </w:tc>
        <w:tc>
          <w:tcPr>
            <w:tcW w:w="3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 宽200mm*高3260mm*长3800mm砖砌墙体，双面抹灰(含门洞、横梁、窗户边)；</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 铺设拉筋：Φ8mm，单层两根,铺设间距500mm,不少于4层,钢筋嵌入构造柱不少于400mm（门洞处布设至门框）,植筋深度不少于60mm。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 拉筋总长度约为：（2.4+0.4）*2*2+（3.8+0.12）*2*2=26.88m，Φ8钢筋理论重量为0.395kg/m ，则拉筋重量约为：26.88*0.395=10.62kg。</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4.与构造柱接口采用马牙槎：马牙间隔300mm，退进60mm。</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1208.66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1341.61</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1226.42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110.38</w:t>
            </w:r>
          </w:p>
        </w:tc>
        <w:tc>
          <w:tcPr>
            <w:tcW w:w="11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w:t>
            </w:r>
          </w:p>
        </w:tc>
      </w:tr>
    </w:tbl>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p>
      <w:pPr>
        <w:pStyle w:val="2"/>
        <w:ind w:left="0" w:leftChars="0" w:firstLine="0" w:firstLineChars="0"/>
        <w:rPr>
          <w:rFonts w:hint="eastAsia" w:ascii="宋体" w:hAnsi="宋体" w:eastAsia="宋体" w:cs="宋体"/>
          <w:color w:val="auto"/>
          <w:highlight w:val="none"/>
        </w:rPr>
      </w:pPr>
    </w:p>
    <w:tbl>
      <w:tblPr>
        <w:tblStyle w:val="46"/>
        <w:tblW w:w="14540" w:type="dxa"/>
        <w:tblInd w:w="0" w:type="dxa"/>
        <w:shd w:val="clear" w:color="auto" w:fill="auto"/>
        <w:tblLayout w:type="fixed"/>
        <w:tblCellMar>
          <w:top w:w="0" w:type="dxa"/>
          <w:left w:w="0" w:type="dxa"/>
          <w:bottom w:w="0" w:type="dxa"/>
          <w:right w:w="0" w:type="dxa"/>
        </w:tblCellMar>
      </w:tblPr>
      <w:tblGrid>
        <w:gridCol w:w="394"/>
        <w:gridCol w:w="34"/>
        <w:gridCol w:w="1159"/>
        <w:gridCol w:w="31"/>
        <w:gridCol w:w="13"/>
        <w:gridCol w:w="1593"/>
        <w:gridCol w:w="120"/>
        <w:gridCol w:w="183"/>
        <w:gridCol w:w="260"/>
        <w:gridCol w:w="5284"/>
        <w:gridCol w:w="153"/>
        <w:gridCol w:w="75"/>
        <w:gridCol w:w="399"/>
        <w:gridCol w:w="82"/>
        <w:gridCol w:w="44"/>
        <w:gridCol w:w="27"/>
        <w:gridCol w:w="442"/>
        <w:gridCol w:w="128"/>
        <w:gridCol w:w="25"/>
        <w:gridCol w:w="68"/>
        <w:gridCol w:w="750"/>
        <w:gridCol w:w="602"/>
        <w:gridCol w:w="77"/>
        <w:gridCol w:w="15"/>
        <w:gridCol w:w="748"/>
        <w:gridCol w:w="168"/>
        <w:gridCol w:w="1"/>
        <w:gridCol w:w="15"/>
        <w:gridCol w:w="702"/>
        <w:gridCol w:w="92"/>
        <w:gridCol w:w="77"/>
        <w:gridCol w:w="15"/>
        <w:gridCol w:w="663"/>
        <w:gridCol w:w="56"/>
        <w:gridCol w:w="29"/>
        <w:gridCol w:w="16"/>
      </w:tblGrid>
      <w:tr>
        <w:tblPrEx>
          <w:shd w:val="clear" w:color="auto" w:fill="auto"/>
          <w:tblCellMar>
            <w:top w:w="0" w:type="dxa"/>
            <w:left w:w="0" w:type="dxa"/>
            <w:bottom w:w="0" w:type="dxa"/>
            <w:right w:w="0" w:type="dxa"/>
          </w:tblCellMar>
        </w:tblPrEx>
        <w:trPr>
          <w:gridAfter w:val="3"/>
          <w:wAfter w:w="101" w:type="dxa"/>
          <w:trHeight w:val="308" w:hRule="atLeast"/>
        </w:trPr>
        <w:tc>
          <w:tcPr>
            <w:tcW w:w="14439" w:type="dxa"/>
            <w:gridSpan w:val="3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3"/>
          <w:wAfter w:w="101" w:type="dxa"/>
          <w:trHeight w:val="158" w:hRule="atLeast"/>
        </w:trPr>
        <w:tc>
          <w:tcPr>
            <w:tcW w:w="14439" w:type="dxa"/>
            <w:gridSpan w:val="33"/>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3"/>
          <w:wAfter w:w="101" w:type="dxa"/>
          <w:trHeight w:val="158" w:hRule="atLeast"/>
        </w:trPr>
        <w:tc>
          <w:tcPr>
            <w:tcW w:w="14439" w:type="dxa"/>
            <w:gridSpan w:val="33"/>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第5页 共8页</w:t>
            </w:r>
          </w:p>
        </w:tc>
      </w:tr>
      <w:tr>
        <w:tblPrEx>
          <w:tblCellMar>
            <w:top w:w="0" w:type="dxa"/>
            <w:left w:w="0" w:type="dxa"/>
            <w:bottom w:w="0" w:type="dxa"/>
            <w:right w:w="0" w:type="dxa"/>
          </w:tblCellMar>
        </w:tblPrEx>
        <w:trPr>
          <w:gridAfter w:val="3"/>
          <w:wAfter w:w="101" w:type="dxa"/>
          <w:trHeight w:val="167" w:hRule="atLeast"/>
        </w:trPr>
        <w:tc>
          <w:tcPr>
            <w:tcW w:w="3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3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2156"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4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627"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59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3993" w:type="dxa"/>
            <w:gridSpan w:val="1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3"/>
          <w:wAfter w:w="101" w:type="dxa"/>
          <w:trHeight w:val="163" w:hRule="atLeast"/>
        </w:trPr>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15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4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0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73"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3"/>
          <w:wAfter w:w="101" w:type="dxa"/>
          <w:trHeight w:val="163" w:hRule="atLeast"/>
        </w:trPr>
        <w:tc>
          <w:tcPr>
            <w:tcW w:w="3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3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2156"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4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1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0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3"/>
          <w:wAfter w:w="101" w:type="dxa"/>
          <w:trHeight w:val="241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w:t>
            </w:r>
          </w:p>
        </w:tc>
        <w:tc>
          <w:tcPr>
            <w:tcW w:w="123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010502002001</w:t>
            </w:r>
          </w:p>
        </w:tc>
        <w:tc>
          <w:tcPr>
            <w:tcW w:w="215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构造柱、横梁（含窄、扩大段）C20混凝土灌注构造柱(含钢筋加工、后期养护等）</w:t>
            </w:r>
          </w:p>
        </w:tc>
        <w:tc>
          <w:tcPr>
            <w:tcW w:w="54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 200mm*200mm*2500mm构造柱，新砌墙面与构造柱采用马牙槎：马牙间隔300mm，退进60mm。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 构造柱立筋4根、Φ14mm；箍筋Φ10mm、间距150mm；植筋深度不低于60mm（含打胶等）。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 立筋总长度=立筋长度（2100+400+60）*单根构造柱立筋数量4*构造柱数量2=20480mm，Φ14钢筋理论重量为1.21Kg/m，则立筋重量约为：20.48*1.21=24.78kg；箍筋总长度约为：单个箍筋长度（190*4+280）*箍筋数量14*构造柱数量2=29120mm，Φ10钢筋理论重量为0.617Kg/m，箍筋的重量约为：29.12*0.617=17.97kg。</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4.横梁纵向筋4根、Φ14mm；箍筋Φ10mm、间距150mm；植筋深度不低于60mm（含打胶等）。</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纵向筋总长度=纵筋长度（2000+50*14*4+1400）*纵筋数量4=24800mm，Φ14钢筋理论重量为1.21Kg/m，则纵筋重量约为：24.8*1.21=30.00kg,箍筋总长度约为：（190*4+280）*13+（390*4+280）*10=31920mm，Φ10钢筋理论重量为0.617Kg/m，箍筋的重量约为：31.92*0.617=19.69 kg。</w:t>
            </w:r>
          </w:p>
        </w:tc>
        <w:tc>
          <w:tcPr>
            <w:tcW w:w="62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m3</w:t>
            </w:r>
          </w:p>
        </w:tc>
        <w:tc>
          <w:tcPr>
            <w:tcW w:w="5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0.39</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3418.37</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1333.16</w:t>
            </w:r>
          </w:p>
        </w:tc>
        <w:tc>
          <w:tcPr>
            <w:tcW w:w="84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1218.70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109.68</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4.78</w:t>
            </w:r>
          </w:p>
        </w:tc>
      </w:tr>
      <w:tr>
        <w:tblPrEx>
          <w:tblCellMar>
            <w:top w:w="0" w:type="dxa"/>
            <w:left w:w="0" w:type="dxa"/>
            <w:bottom w:w="0" w:type="dxa"/>
            <w:right w:w="0" w:type="dxa"/>
          </w:tblCellMar>
        </w:tblPrEx>
        <w:trPr>
          <w:gridAfter w:val="3"/>
          <w:wAfter w:w="101" w:type="dxa"/>
          <w:trHeight w:val="913"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w:t>
            </w:r>
          </w:p>
        </w:tc>
        <w:tc>
          <w:tcPr>
            <w:tcW w:w="123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FC0407002001</w:t>
            </w:r>
          </w:p>
        </w:tc>
        <w:tc>
          <w:tcPr>
            <w:tcW w:w="215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单向透视玻璃窗 单向透视玻璃窗采用定制银白色长2000mm,高1400mm,厚度6+6mm双层防爆单向透视玻璃（高透光率）+配套金属窗框架</w:t>
            </w:r>
          </w:p>
        </w:tc>
        <w:tc>
          <w:tcPr>
            <w:tcW w:w="54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62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5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81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2779.47</w:t>
            </w:r>
          </w:p>
        </w:tc>
        <w:tc>
          <w:tcPr>
            <w:tcW w:w="6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7782.52</w:t>
            </w:r>
          </w:p>
        </w:tc>
        <w:tc>
          <w:tcPr>
            <w:tcW w:w="84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7114.32</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640.28</w:t>
            </w:r>
          </w:p>
        </w:tc>
        <w:tc>
          <w:tcPr>
            <w:tcW w:w="8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27.92</w:t>
            </w:r>
          </w:p>
        </w:tc>
      </w:tr>
      <w:tr>
        <w:tblPrEx>
          <w:tblCellMar>
            <w:top w:w="0" w:type="dxa"/>
            <w:left w:w="0" w:type="dxa"/>
            <w:bottom w:w="0" w:type="dxa"/>
            <w:right w:w="0" w:type="dxa"/>
          </w:tblCellMar>
        </w:tblPrEx>
        <w:trPr>
          <w:gridAfter w:val="2"/>
          <w:wAfter w:w="45" w:type="dxa"/>
          <w:trHeight w:val="313" w:hRule="atLeast"/>
        </w:trPr>
        <w:tc>
          <w:tcPr>
            <w:tcW w:w="14495" w:type="dxa"/>
            <w:gridSpan w:val="3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2"/>
          <w:wAfter w:w="45" w:type="dxa"/>
          <w:trHeight w:val="158" w:hRule="atLeast"/>
        </w:trPr>
        <w:tc>
          <w:tcPr>
            <w:tcW w:w="14495" w:type="dxa"/>
            <w:gridSpan w:val="34"/>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2"/>
          <w:wAfter w:w="45" w:type="dxa"/>
          <w:trHeight w:val="158" w:hRule="atLeast"/>
        </w:trPr>
        <w:tc>
          <w:tcPr>
            <w:tcW w:w="14495" w:type="dxa"/>
            <w:gridSpan w:val="34"/>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第6页 共8页</w:t>
            </w:r>
          </w:p>
        </w:tc>
      </w:tr>
      <w:tr>
        <w:tblPrEx>
          <w:tblCellMar>
            <w:top w:w="0" w:type="dxa"/>
            <w:left w:w="0" w:type="dxa"/>
            <w:bottom w:w="0" w:type="dxa"/>
            <w:right w:w="0" w:type="dxa"/>
          </w:tblCellMar>
        </w:tblPrEx>
        <w:trPr>
          <w:gridAfter w:val="2"/>
          <w:wAfter w:w="45" w:type="dxa"/>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9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77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4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41"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074" w:type="dxa"/>
            <w:gridSpan w:val="1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2"/>
          <w:wAfter w:w="45"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7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9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37"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2"/>
          <w:wAfter w:w="45" w:type="dxa"/>
          <w:trHeight w:val="289"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9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7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4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84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011210001003</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硅酸钙隔音板</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采用600mm*1200mm*6mm硅酸钙板，中间填充岩棉</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3.04</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132.52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402.86</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368.27</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33.14</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1.46</w:t>
            </w:r>
          </w:p>
        </w:tc>
      </w:tr>
      <w:tr>
        <w:tblPrEx>
          <w:tblCellMar>
            <w:top w:w="0" w:type="dxa"/>
            <w:left w:w="0" w:type="dxa"/>
            <w:bottom w:w="0" w:type="dxa"/>
            <w:right w:w="0" w:type="dxa"/>
          </w:tblCellMar>
        </w:tblPrEx>
        <w:trPr>
          <w:gridAfter w:val="2"/>
          <w:wAfter w:w="45"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墙面及办公用具软包工程</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34972.39</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31969.11</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2877.46</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125.84</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墙面软包隔音处理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94.54</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27059.24</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24735.45</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2226.42</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97.38</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011207001004</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谈话桌软包处理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1717.32</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1569.84</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141.30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6.18</w:t>
            </w:r>
          </w:p>
        </w:tc>
      </w:tr>
      <w:tr>
        <w:tblPrEx>
          <w:tblCellMar>
            <w:top w:w="0" w:type="dxa"/>
            <w:left w:w="0" w:type="dxa"/>
            <w:bottom w:w="0" w:type="dxa"/>
            <w:right w:w="0" w:type="dxa"/>
          </w:tblCellMar>
        </w:tblPrEx>
        <w:trPr>
          <w:gridAfter w:val="2"/>
          <w:wAfter w:w="45" w:type="dxa"/>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011207001005</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谈话桌软包处理</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采用优质高密度的防火A级为芯材，吸音布或者优质皮革为外层材料，整体软硬度均匀，吸音防撞效果明显，耐用性强，整体阻燃效果达到国家阻燃标准B1级。</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286.22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1287.99</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1177.38</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105.98</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4.64</w:t>
            </w:r>
          </w:p>
        </w:tc>
      </w:tr>
      <w:tr>
        <w:tblPrEx>
          <w:tblCellMar>
            <w:top w:w="0" w:type="dxa"/>
            <w:left w:w="0" w:type="dxa"/>
            <w:bottom w:w="0" w:type="dxa"/>
            <w:right w:w="0" w:type="dxa"/>
          </w:tblCellMar>
        </w:tblPrEx>
        <w:trPr>
          <w:gridAfter w:val="2"/>
          <w:wAfter w:w="45" w:type="dxa"/>
          <w:trHeight w:val="6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011104001001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地毯楼地面</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黑胶底背阻燃地毯，B1级防火性能，经国家检测授予的防火证书，铺面平整美观大方颜色靓丽，不散边、不起球、不掉毛、不掉色，脚感柔软舒适，在寒冷或炎热的天气中不变形不干裂，耐潮湿耐腐蚀，防滑、保温、防尘效果明显。</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m2</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175.28</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4907.84</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4486.44</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403.76</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17.64</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1.3.3</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新增设备设施改造工程</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86375.99</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78960.68</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7106.09</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309.22</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030403001001</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铜芯电源线</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低烟无卤阻燃，规格：3×2.5㎜²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364.00</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333.00</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30.00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030411001004</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波纹金属软管</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DN32 线管（含快速直通接头、固定支架等辅材若干）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59.96</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3597.60</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3288.60</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295.80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13.20</w:t>
            </w:r>
          </w:p>
        </w:tc>
      </w:tr>
      <w:tr>
        <w:tblPrEx>
          <w:tblCellMar>
            <w:top w:w="0" w:type="dxa"/>
            <w:left w:w="0" w:type="dxa"/>
            <w:bottom w:w="0" w:type="dxa"/>
            <w:right w:w="0" w:type="dxa"/>
          </w:tblCellMar>
        </w:tblPrEx>
        <w:trPr>
          <w:gridAfter w:val="2"/>
          <w:wAfter w:w="45"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32</w:t>
            </w:r>
          </w:p>
        </w:tc>
        <w:tc>
          <w:tcPr>
            <w:tcW w:w="11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030411001005</w:t>
            </w:r>
          </w:p>
        </w:tc>
        <w:tc>
          <w:tcPr>
            <w:tcW w:w="190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PVC阻燃电线管</w:t>
            </w:r>
          </w:p>
        </w:tc>
        <w:tc>
          <w:tcPr>
            <w:tcW w:w="577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DN20，壁厚1.3mm线管（含配弯头、直通、三通、管卡等配件若干）</w:t>
            </w:r>
          </w:p>
        </w:tc>
        <w:tc>
          <w:tcPr>
            <w:tcW w:w="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64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90</w:t>
            </w:r>
          </w:p>
        </w:tc>
        <w:tc>
          <w:tcPr>
            <w:tcW w:w="84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21.52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1936.80</w:t>
            </w:r>
          </w:p>
        </w:tc>
        <w:tc>
          <w:tcPr>
            <w:tcW w:w="91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1770.30</w:t>
            </w:r>
          </w:p>
        </w:tc>
        <w:tc>
          <w:tcPr>
            <w:tcW w:w="81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159.30</w:t>
            </w:r>
          </w:p>
        </w:tc>
        <w:tc>
          <w:tcPr>
            <w:tcW w:w="81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7.20</w:t>
            </w:r>
          </w:p>
        </w:tc>
      </w:tr>
      <w:tr>
        <w:tblPrEx>
          <w:tblCellMar>
            <w:top w:w="0" w:type="dxa"/>
            <w:left w:w="0" w:type="dxa"/>
            <w:bottom w:w="0" w:type="dxa"/>
            <w:right w:w="0" w:type="dxa"/>
          </w:tblCellMar>
        </w:tblPrEx>
        <w:trPr>
          <w:gridAfter w:val="1"/>
          <w:wAfter w:w="16" w:type="dxa"/>
          <w:trHeight w:val="313" w:hRule="atLeast"/>
        </w:trPr>
        <w:tc>
          <w:tcPr>
            <w:tcW w:w="14524" w:type="dxa"/>
            <w:gridSpan w:val="3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gridAfter w:val="1"/>
          <w:wAfter w:w="16" w:type="dxa"/>
          <w:trHeight w:val="158" w:hRule="atLeast"/>
        </w:trPr>
        <w:tc>
          <w:tcPr>
            <w:tcW w:w="14524" w:type="dxa"/>
            <w:gridSpan w:val="35"/>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gridAfter w:val="1"/>
          <w:wAfter w:w="16" w:type="dxa"/>
          <w:trHeight w:val="158" w:hRule="atLeast"/>
        </w:trPr>
        <w:tc>
          <w:tcPr>
            <w:tcW w:w="14524" w:type="dxa"/>
            <w:gridSpan w:val="35"/>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第7页 共8页</w:t>
            </w:r>
          </w:p>
        </w:tc>
      </w:tr>
      <w:tr>
        <w:tblPrEx>
          <w:tblCellMar>
            <w:top w:w="0" w:type="dxa"/>
            <w:left w:w="0" w:type="dxa"/>
            <w:bottom w:w="0" w:type="dxa"/>
            <w:right w:w="0" w:type="dxa"/>
          </w:tblCellMar>
        </w:tblPrEx>
        <w:trPr>
          <w:gridAfter w:val="1"/>
          <w:wAfter w:w="16" w:type="dxa"/>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75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57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6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595"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231" w:type="dxa"/>
            <w:gridSpan w:val="1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gridAfter w:val="1"/>
          <w:wAfter w:w="16"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5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71"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7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81"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gridAfter w:val="1"/>
          <w:wAfter w:w="16" w:type="dxa"/>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75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7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95"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71"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7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030404035001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五孔插座</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型号：10A</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个</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48.28</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482.80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441.40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39.70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1.70</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指纹密码钢制防盗门</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定制门尺寸约900*2000*50mm，甲级钢制防盗门（含指纹密码锁、门框），色调现场确认</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10285.85</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41143.40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37610.84</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3384.96</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147.60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35</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010802004005</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木门拆除</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拆除6扇尺寸约900*2000*50mm，2扇双扇尺寸约1500*2100*50mm木门</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42.75</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171.00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156.32</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14.08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0.60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010802004006</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隔断门安装</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普通木质房门，含门套，尺寸约900*2000*50mm</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樘</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171.62</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171.62</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156.88</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14.12</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0.62</w:t>
            </w:r>
          </w:p>
        </w:tc>
      </w:tr>
      <w:tr>
        <w:tblPrEx>
          <w:tblCellMar>
            <w:top w:w="0" w:type="dxa"/>
            <w:left w:w="0" w:type="dxa"/>
            <w:bottom w:w="0" w:type="dxa"/>
            <w:right w:w="0" w:type="dxa"/>
          </w:tblCellMar>
        </w:tblPrEx>
        <w:trPr>
          <w:gridAfter w:val="1"/>
          <w:wAfter w:w="16" w:type="dxa"/>
          <w:trHeight w:val="6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010802004007</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安全防护栏杆</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定制防护栏尺寸分别为长1280mm*宽2000mm和长1230mm*宽2000mm，不锈钢防护栏主要受力杆件壁厚不应小于1.5mm，一般杆件壁厚不小于1.2mm，不锈钢横竖杆件不小于25mm，立杆间距不大于110mm且符合《住宅设计规范》要求</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2.51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265.73</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666.98</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609.73</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54.87</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2.38</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030403001002</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网线</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超五类屏蔽网线，带铜丝网</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4.10</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410.00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375.00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34.00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1"/>
          <w:wAfter w:w="16" w:type="dxa"/>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39</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030403001005</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铜芯电源线</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低烟无卤阻燃，规格2*1.5mm²,带铜丝网屏蔽。</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m</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3.81</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381.00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349.00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31.00</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1.00</w:t>
            </w:r>
          </w:p>
        </w:tc>
      </w:tr>
      <w:tr>
        <w:tblPrEx>
          <w:tblCellMar>
            <w:top w:w="0" w:type="dxa"/>
            <w:left w:w="0" w:type="dxa"/>
            <w:bottom w:w="0" w:type="dxa"/>
            <w:right w:w="0" w:type="dxa"/>
          </w:tblCellMar>
        </w:tblPrEx>
        <w:trPr>
          <w:gridAfter w:val="1"/>
          <w:wAfter w:w="16" w:type="dxa"/>
          <w:trHeight w:val="7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030101001001</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数字硬盘录像机</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16盘位数字硬盘录像机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支持RAID0、1、5、10，支持全局热备盘，最大支持热插拔4T硬盘16个，支持H.265、H264混合接入，支持H.264、H.265解码，支持智能检索，智能回放，分时段回放，超高速回放，双系统备份</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性能不低于：海康威视DS-8616N-I16</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2971.58</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2971.58</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2716.44</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244.48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10.66</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030101001009</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存储硬盘</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4TB专业监控硬盘(应采用 SCSI、SATA II 硬盘，可热插拔，硬盘转速不小于 7200rpm；)</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1473.38</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5893.52</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5387.48</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484.88</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21.16</w:t>
            </w:r>
          </w:p>
        </w:tc>
      </w:tr>
      <w:tr>
        <w:tblPrEx>
          <w:tblCellMar>
            <w:top w:w="0" w:type="dxa"/>
            <w:left w:w="0" w:type="dxa"/>
            <w:bottom w:w="0" w:type="dxa"/>
            <w:right w:w="0" w:type="dxa"/>
          </w:tblCellMar>
        </w:tblPrEx>
        <w:trPr>
          <w:gridAfter w:val="1"/>
          <w:wAfter w:w="16" w:type="dxa"/>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42</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030101001010</w:t>
            </w:r>
          </w:p>
        </w:tc>
        <w:tc>
          <w:tcPr>
            <w:tcW w:w="1757"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数字彩色高清摄像机</w:t>
            </w:r>
          </w:p>
        </w:tc>
        <w:tc>
          <w:tcPr>
            <w:tcW w:w="57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高清(400万像素)日夜型半球网络摄像机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 DS-2CD2345FD-IS</w:t>
            </w:r>
          </w:p>
        </w:tc>
        <w:tc>
          <w:tcPr>
            <w:tcW w:w="6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5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97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3437.12</w:t>
            </w:r>
          </w:p>
        </w:tc>
        <w:tc>
          <w:tcPr>
            <w:tcW w:w="67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6874.24</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6284.02</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565.56</w:t>
            </w:r>
          </w:p>
        </w:tc>
        <w:tc>
          <w:tcPr>
            <w:tcW w:w="76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24.66</w:t>
            </w:r>
          </w:p>
        </w:tc>
      </w:tr>
      <w:tr>
        <w:tblPrEx>
          <w:tblCellMar>
            <w:top w:w="0" w:type="dxa"/>
            <w:left w:w="0" w:type="dxa"/>
            <w:bottom w:w="0" w:type="dxa"/>
            <w:right w:w="0" w:type="dxa"/>
          </w:tblCellMar>
        </w:tblPrEx>
        <w:trPr>
          <w:trHeight w:val="313" w:hRule="atLeast"/>
        </w:trPr>
        <w:tc>
          <w:tcPr>
            <w:tcW w:w="14540" w:type="dxa"/>
            <w:gridSpan w:val="3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i w:val="0"/>
                <w:color w:val="auto"/>
                <w:kern w:val="0"/>
                <w:sz w:val="40"/>
                <w:szCs w:val="40"/>
                <w:highlight w:val="none"/>
                <w:u w:val="none"/>
                <w:lang w:val="en-US" w:eastAsia="zh-CN" w:bidi="ar"/>
              </w:rPr>
            </w:pPr>
          </w:p>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b/>
                <w:i w:val="0"/>
                <w:color w:val="auto"/>
                <w:kern w:val="0"/>
                <w:sz w:val="40"/>
                <w:szCs w:val="40"/>
                <w:highlight w:val="none"/>
                <w:u w:val="none"/>
                <w:lang w:val="en-US" w:eastAsia="zh-CN" w:bidi="ar"/>
              </w:rPr>
              <w:t>E.1 单位工程工程量清单与造价表</w:t>
            </w:r>
          </w:p>
        </w:tc>
      </w:tr>
      <w:tr>
        <w:tblPrEx>
          <w:tblCellMar>
            <w:top w:w="0" w:type="dxa"/>
            <w:left w:w="0" w:type="dxa"/>
            <w:bottom w:w="0" w:type="dxa"/>
            <w:right w:w="0" w:type="dxa"/>
          </w:tblCellMar>
        </w:tblPrEx>
        <w:trPr>
          <w:trHeight w:val="158" w:hRule="atLeast"/>
        </w:trPr>
        <w:tc>
          <w:tcPr>
            <w:tcW w:w="14540" w:type="dxa"/>
            <w:gridSpan w:val="3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(一般计税法)</w:t>
            </w:r>
          </w:p>
        </w:tc>
      </w:tr>
      <w:tr>
        <w:tblPrEx>
          <w:tblCellMar>
            <w:top w:w="0" w:type="dxa"/>
            <w:left w:w="0" w:type="dxa"/>
            <w:bottom w:w="0" w:type="dxa"/>
            <w:right w:w="0" w:type="dxa"/>
          </w:tblCellMar>
        </w:tblPrEx>
        <w:trPr>
          <w:trHeight w:val="158" w:hRule="atLeast"/>
        </w:trPr>
        <w:tc>
          <w:tcPr>
            <w:tcW w:w="14540" w:type="dxa"/>
            <w:gridSpan w:val="36"/>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工程名称:长沙市轨道交通2号线运营期OCC裙楼4楼调度部生活间、黄兴车辆段谈话室、监控旁听室、档案室加装防火门、荣誉室改造工程项目         </w:t>
            </w:r>
            <w:r>
              <w:rPr>
                <w:rFonts w:hint="eastAsia" w:ascii="宋体" w:hAnsi="宋体" w:eastAsia="宋体" w:cs="宋体"/>
                <w:i w:val="0"/>
                <w:color w:val="auto"/>
                <w:kern w:val="0"/>
                <w:sz w:val="20"/>
                <w:szCs w:val="20"/>
                <w:highlight w:val="none"/>
                <w:u w:val="none"/>
                <w:lang w:val="en-US" w:eastAsia="zh-CN" w:bidi="ar"/>
              </w:rPr>
              <w:t xml:space="preserve">标段：     </w:t>
            </w:r>
            <w:r>
              <w:rPr>
                <w:rFonts w:hint="eastAsia" w:ascii="宋体" w:hAnsi="宋体" w:eastAsia="宋体" w:cs="宋体"/>
                <w:i w:val="0"/>
                <w:color w:val="auto"/>
                <w:kern w:val="0"/>
                <w:sz w:val="18"/>
                <w:szCs w:val="18"/>
                <w:highlight w:val="none"/>
                <w:u w:val="none"/>
                <w:lang w:val="en-US" w:eastAsia="zh-CN" w:bidi="ar"/>
              </w:rPr>
              <w:t>第8页 共8页</w:t>
            </w:r>
          </w:p>
        </w:tc>
      </w:tr>
      <w:tr>
        <w:tblPrEx>
          <w:tblCellMar>
            <w:top w:w="0" w:type="dxa"/>
            <w:left w:w="0" w:type="dxa"/>
            <w:bottom w:w="0" w:type="dxa"/>
            <w:right w:w="0" w:type="dxa"/>
          </w:tblCellMar>
        </w:tblPrEx>
        <w:trPr>
          <w:trHeight w:val="167" w:hRule="atLeast"/>
        </w:trPr>
        <w:tc>
          <w:tcPr>
            <w:tcW w:w="4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15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163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项目名称</w:t>
            </w:r>
          </w:p>
        </w:tc>
        <w:tc>
          <w:tcPr>
            <w:tcW w:w="607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项目特征描述</w:t>
            </w:r>
          </w:p>
        </w:tc>
        <w:tc>
          <w:tcPr>
            <w:tcW w:w="52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计量</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单位</w:t>
            </w:r>
          </w:p>
        </w:tc>
        <w:tc>
          <w:tcPr>
            <w:tcW w:w="69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工程量</w:t>
            </w:r>
          </w:p>
        </w:tc>
        <w:tc>
          <w:tcPr>
            <w:tcW w:w="4026" w:type="dxa"/>
            <w:gridSpan w:val="1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r>
      <w:tr>
        <w:tblPrEx>
          <w:tblCellMar>
            <w:top w:w="0" w:type="dxa"/>
            <w:left w:w="0" w:type="dxa"/>
            <w:bottom w:w="0" w:type="dxa"/>
            <w:right w:w="0" w:type="dxa"/>
          </w:tblCellMar>
        </w:tblPrEx>
        <w:trPr>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0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综合</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单价</w:t>
            </w:r>
          </w:p>
        </w:tc>
        <w:tc>
          <w:tcPr>
            <w:tcW w:w="69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合价</w:t>
            </w:r>
          </w:p>
        </w:tc>
        <w:tc>
          <w:tcPr>
            <w:tcW w:w="2582" w:type="dxa"/>
            <w:gridSpan w:val="1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其中</w:t>
            </w:r>
          </w:p>
        </w:tc>
      </w:tr>
      <w:tr>
        <w:tblPrEx>
          <w:tblCellMar>
            <w:top w:w="0" w:type="dxa"/>
            <w:left w:w="0" w:type="dxa"/>
            <w:bottom w:w="0" w:type="dxa"/>
            <w:right w:w="0" w:type="dxa"/>
          </w:tblCellMar>
        </w:tblPrEx>
        <w:trPr>
          <w:trHeight w:val="163" w:hRule="atLeast"/>
        </w:trPr>
        <w:tc>
          <w:tcPr>
            <w:tcW w:w="4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63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07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52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建安费用</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销项税额</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附加税额</w:t>
            </w:r>
          </w:p>
        </w:tc>
      </w:tr>
      <w:tr>
        <w:tblPrEx>
          <w:tblCellMar>
            <w:top w:w="0" w:type="dxa"/>
            <w:left w:w="0" w:type="dxa"/>
            <w:bottom w:w="0" w:type="dxa"/>
            <w:right w:w="0" w:type="dxa"/>
          </w:tblCellMar>
        </w:tblPrEx>
        <w:trPr>
          <w:trHeight w:val="1064"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030101001011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拾音器</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频响：300~6KHz；</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工作电压：6~12VDC；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环境音探测灵敏度：-49dB；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信噪比：＞60dB(10 米 40 dB 音源) 1KHz at 1 Pa； 特性：全向，120m2；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动态范围：70dB (1KHz at Max dB SPL)； 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最大承受音压：120dB SPL (1KHz，THD 1%)</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性能不低于：海康威视全向拾音器DS-2FP2020</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1360.03</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2720.06</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2486.52</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223.78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9.76</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030101001002</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监控终端</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商用台式电脑 22"液晶显示器Intel I7－8700 /8GB内存/1TB硬盘,预装正版Windows7 Pro操作系统</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性能不低于：联想M420</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8355.99</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8355.99</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7638.55</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687.47</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29.97</w:t>
            </w:r>
          </w:p>
        </w:tc>
      </w:tr>
      <w:tr>
        <w:tblPrEx>
          <w:tblCellMar>
            <w:top w:w="0" w:type="dxa"/>
            <w:left w:w="0" w:type="dxa"/>
            <w:bottom w:w="0" w:type="dxa"/>
            <w:right w:w="0" w:type="dxa"/>
          </w:tblCellMar>
        </w:tblPrEx>
        <w:trPr>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45</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030101001003</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交换机</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8口10/100/1000Mbps自适应以太网交换机</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性能不低于：华三 S1224交换机</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2318.32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2318.32</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2119.27</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190.73</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8.32</w:t>
            </w:r>
          </w:p>
        </w:tc>
      </w:tr>
      <w:tr>
        <w:tblPrEx>
          <w:tblCellMar>
            <w:top w:w="0" w:type="dxa"/>
            <w:left w:w="0" w:type="dxa"/>
            <w:bottom w:w="0" w:type="dxa"/>
            <w:right w:w="0" w:type="dxa"/>
          </w:tblCellMar>
        </w:tblPrEx>
        <w:trPr>
          <w:trHeight w:val="31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46</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030101001004</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机柜</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12U网络机柜</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2205.90</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2205.90</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2016.50</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181.49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7.91</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47</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030101001005</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显示屏(含配套壁装支架)</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规格：55寸</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性能不低于;Skyworth/创维 5T 55同类型产品</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要求配套监控系统能实现投屏功能（含数据连接线等）</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台</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5270.14</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5270.14</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4817.65</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433.59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18.90</w:t>
            </w:r>
          </w:p>
        </w:tc>
      </w:tr>
      <w:tr>
        <w:tblPrEx>
          <w:tblCellMar>
            <w:top w:w="0" w:type="dxa"/>
            <w:left w:w="0" w:type="dxa"/>
            <w:bottom w:w="0" w:type="dxa"/>
            <w:right w:w="0" w:type="dxa"/>
          </w:tblCellMar>
        </w:tblPrEx>
        <w:trPr>
          <w:trHeight w:val="4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48</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030412001001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消防应急照明灯</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主电功耗：3W;防护等级：IP30；额定电压：AC220v 50Hz;应急时间：≥90分钟；应急输出光通量≥501m</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性能不低于：旺斯达WK-ZFZD-E3WC</w:t>
            </w: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套</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220.52</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441.04</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403.18</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36.28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1.58</w:t>
            </w:r>
          </w:p>
        </w:tc>
      </w:tr>
      <w:tr>
        <w:tblPrEx>
          <w:tblCellMar>
            <w:top w:w="0" w:type="dxa"/>
            <w:left w:w="0" w:type="dxa"/>
            <w:bottom w:w="0" w:type="dxa"/>
            <w:right w:w="0" w:type="dxa"/>
          </w:tblCellMar>
        </w:tblPrEx>
        <w:trPr>
          <w:trHeight w:val="163"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1.3.4</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其他</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4450.69</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4068.56</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366.17</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15.96</w:t>
            </w:r>
          </w:p>
        </w:tc>
      </w:tr>
      <w:tr>
        <w:tblPrEx>
          <w:tblCellMar>
            <w:top w:w="0" w:type="dxa"/>
            <w:left w:w="0" w:type="dxa"/>
            <w:bottom w:w="0" w:type="dxa"/>
            <w:right w:w="0" w:type="dxa"/>
          </w:tblCellMar>
        </w:tblPrEx>
        <w:trPr>
          <w:trHeight w:val="299"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49</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030414002001</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系统调试(含软件)</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系统</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2183.96</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2183.96</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1996.45</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179.68</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7.83</w:t>
            </w:r>
          </w:p>
        </w:tc>
      </w:tr>
      <w:tr>
        <w:tblPrEx>
          <w:tblCellMar>
            <w:top w:w="0" w:type="dxa"/>
            <w:left w:w="0" w:type="dxa"/>
            <w:bottom w:w="0" w:type="dxa"/>
            <w:right w:w="0" w:type="dxa"/>
          </w:tblCellMar>
        </w:tblPrEx>
        <w:trPr>
          <w:trHeight w:val="167" w:hRule="atLeast"/>
        </w:trPr>
        <w:tc>
          <w:tcPr>
            <w:tcW w:w="42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50</w:t>
            </w:r>
          </w:p>
        </w:tc>
        <w:tc>
          <w:tcPr>
            <w:tcW w:w="11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030403001003</w:t>
            </w:r>
          </w:p>
        </w:tc>
        <w:tc>
          <w:tcPr>
            <w:tcW w:w="163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零星包干</w:t>
            </w:r>
          </w:p>
        </w:tc>
        <w:tc>
          <w:tcPr>
            <w:tcW w:w="60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c>
          <w:tcPr>
            <w:tcW w:w="52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w:t>
            </w:r>
          </w:p>
        </w:tc>
        <w:tc>
          <w:tcPr>
            <w:tcW w:w="69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2266.73</w:t>
            </w:r>
          </w:p>
        </w:tc>
        <w:tc>
          <w:tcPr>
            <w:tcW w:w="69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2266.73</w:t>
            </w:r>
          </w:p>
        </w:tc>
        <w:tc>
          <w:tcPr>
            <w:tcW w:w="93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2072.11</w:t>
            </w:r>
          </w:p>
        </w:tc>
        <w:tc>
          <w:tcPr>
            <w:tcW w:w="88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186.49</w:t>
            </w:r>
          </w:p>
        </w:tc>
        <w:tc>
          <w:tcPr>
            <w:tcW w:w="7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8.13</w:t>
            </w:r>
          </w:p>
        </w:tc>
      </w:tr>
    </w:tbl>
    <w:p>
      <w:pPr>
        <w:pStyle w:val="2"/>
        <w:ind w:left="0" w:leftChars="0" w:firstLine="0" w:firstLineChars="0"/>
        <w:rPr>
          <w:rFonts w:hint="eastAsia" w:ascii="宋体" w:hAnsi="宋体" w:eastAsia="宋体" w:cs="宋体"/>
          <w:color w:val="auto"/>
          <w:highlight w:val="none"/>
        </w:rPr>
        <w:sectPr>
          <w:endnotePr>
            <w:numFmt w:val="decimal"/>
          </w:endnotePr>
          <w:pgSz w:w="16838" w:h="11906" w:orient="landscape"/>
          <w:pgMar w:top="1191" w:right="1417" w:bottom="1191" w:left="1191" w:header="851" w:footer="851" w:gutter="0"/>
          <w:pgNumType w:fmt="decimal"/>
          <w:cols w:space="720" w:num="1"/>
          <w:docGrid w:type="lines" w:linePitch="312" w:charSpace="0"/>
        </w:sectPr>
      </w:pPr>
    </w:p>
    <w:tbl>
      <w:tblPr>
        <w:tblStyle w:val="46"/>
        <w:tblW w:w="9420" w:type="dxa"/>
        <w:tblInd w:w="0" w:type="dxa"/>
        <w:shd w:val="clear" w:color="auto" w:fill="auto"/>
        <w:tblLayout w:type="fixed"/>
        <w:tblCellMar>
          <w:top w:w="0" w:type="dxa"/>
          <w:left w:w="0" w:type="dxa"/>
          <w:bottom w:w="0" w:type="dxa"/>
          <w:right w:w="0" w:type="dxa"/>
        </w:tblCellMar>
      </w:tblPr>
      <w:tblGrid>
        <w:gridCol w:w="664"/>
        <w:gridCol w:w="1249"/>
        <w:gridCol w:w="3644"/>
        <w:gridCol w:w="1047"/>
        <w:gridCol w:w="1099"/>
        <w:gridCol w:w="1035"/>
        <w:gridCol w:w="682"/>
      </w:tblGrid>
      <w:tr>
        <w:tblPrEx>
          <w:shd w:val="clear" w:color="auto" w:fill="auto"/>
          <w:tblCellMar>
            <w:top w:w="0" w:type="dxa"/>
            <w:left w:w="0" w:type="dxa"/>
            <w:bottom w:w="0" w:type="dxa"/>
            <w:right w:w="0" w:type="dxa"/>
          </w:tblCellMar>
        </w:tblPrEx>
        <w:trPr>
          <w:trHeight w:val="1258" w:hRule="atLeast"/>
        </w:trPr>
        <w:tc>
          <w:tcPr>
            <w:tcW w:w="9420" w:type="dxa"/>
            <w:gridSpan w:val="7"/>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44"/>
                <w:szCs w:val="44"/>
                <w:highlight w:val="none"/>
                <w:u w:val="none"/>
              </w:rPr>
            </w:pPr>
            <w:r>
              <w:rPr>
                <w:rFonts w:hint="eastAsia" w:ascii="宋体" w:hAnsi="宋体" w:eastAsia="宋体" w:cs="宋体"/>
                <w:b/>
                <w:i w:val="0"/>
                <w:color w:val="auto"/>
                <w:kern w:val="0"/>
                <w:sz w:val="44"/>
                <w:szCs w:val="44"/>
                <w:highlight w:val="none"/>
                <w:u w:val="none"/>
                <w:lang w:val="en-US" w:eastAsia="zh-CN" w:bidi="ar"/>
              </w:rPr>
              <w:t>E.7  总价措施项目清单计费表</w:t>
            </w:r>
          </w:p>
        </w:tc>
      </w:tr>
      <w:tr>
        <w:tblPrEx>
          <w:tblCellMar>
            <w:top w:w="0" w:type="dxa"/>
            <w:left w:w="0" w:type="dxa"/>
            <w:bottom w:w="0" w:type="dxa"/>
            <w:right w:w="0" w:type="dxa"/>
          </w:tblCellMar>
        </w:tblPrEx>
        <w:trPr>
          <w:trHeight w:val="684" w:hRule="atLeast"/>
        </w:trPr>
        <w:tc>
          <w:tcPr>
            <w:tcW w:w="6604" w:type="dxa"/>
            <w:gridSpan w:val="4"/>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工程名称：长沙市轨道交通2号线运营期OCC裙楼4楼调度部生活间、黄兴车辆段谈话室、监控旁听室、档案室加装防火门、荣誉室改造工程项目</w:t>
            </w:r>
          </w:p>
        </w:tc>
        <w:tc>
          <w:tcPr>
            <w:tcW w:w="1099" w:type="dxa"/>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ind w:firstLine="400" w:firstLineChars="20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标段：</w:t>
            </w:r>
          </w:p>
        </w:tc>
        <w:tc>
          <w:tcPr>
            <w:tcW w:w="1717" w:type="dxa"/>
            <w:gridSpan w:val="2"/>
            <w:tcBorders>
              <w:top w:val="nil"/>
              <w:left w:val="nil"/>
              <w:bottom w:val="single" w:color="000000" w:sz="8" w:space="0"/>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第1页 共1页</w:t>
            </w:r>
          </w:p>
        </w:tc>
      </w:tr>
      <w:tr>
        <w:tblPrEx>
          <w:tblCellMar>
            <w:top w:w="0" w:type="dxa"/>
            <w:left w:w="0" w:type="dxa"/>
            <w:bottom w:w="0" w:type="dxa"/>
            <w:right w:w="0" w:type="dxa"/>
          </w:tblCellMar>
        </w:tblPrEx>
        <w:trPr>
          <w:trHeight w:val="981"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序号</w:t>
            </w:r>
          </w:p>
        </w:tc>
        <w:tc>
          <w:tcPr>
            <w:tcW w:w="12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项目编码</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项 目 名 称</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计 算 基 础</w:t>
            </w:r>
          </w:p>
        </w:tc>
        <w:tc>
          <w:tcPr>
            <w:tcW w:w="10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费 率 (%)</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金额(元)</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备注</w:t>
            </w:r>
          </w:p>
        </w:tc>
      </w:tr>
      <w:tr>
        <w:tblPrEx>
          <w:tblCellMar>
            <w:top w:w="0" w:type="dxa"/>
            <w:left w:w="0" w:type="dxa"/>
            <w:bottom w:w="0" w:type="dxa"/>
            <w:right w:w="0" w:type="dxa"/>
          </w:tblCellMar>
        </w:tblPrEx>
        <w:trPr>
          <w:trHeight w:val="491"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安全文明施工措施费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1.1.1+1.3.1</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13.18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1965.98</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476"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冬雨季施工增加费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1+2.1+2.2</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0.16</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281.64</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399"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3</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c>
          <w:tcPr>
            <w:tcW w:w="36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提前竣工（赶工)费</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1.1+1.3</w:t>
            </w: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i w:val="0"/>
                <w:color w:val="auto"/>
                <w:sz w:val="18"/>
                <w:szCs w:val="18"/>
                <w:highlight w:val="none"/>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12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长沙市轨道交通2号线运营期OCC裙楼4楼调度部生活间、黄兴车辆段谈话室、监控旁听室、档案室加装防火门、荣誉室改造工程项目</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4158.47</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0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2号线运营期OCC裙楼4楼调度部生活间改造</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1973.49</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2325"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011707007001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1、现有生活间及综合布线间既有设施成品保护：面积约为100m²；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2、垃圾清运：约5立方左右；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4、脚手架：约90m²；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5、以上内容包干计取。</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1973.49</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700"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1.2</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长沙市轨道交通运营有限公司荣誉室改造</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2184.98</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18"/>
                <w:szCs w:val="18"/>
                <w:highlight w:val="none"/>
                <w:u w:val="none"/>
              </w:rPr>
            </w:pPr>
          </w:p>
        </w:tc>
      </w:tr>
      <w:tr>
        <w:tblPrEx>
          <w:tblCellMar>
            <w:top w:w="0" w:type="dxa"/>
            <w:left w:w="0" w:type="dxa"/>
            <w:bottom w:w="0" w:type="dxa"/>
            <w:right w:w="0" w:type="dxa"/>
          </w:tblCellMar>
        </w:tblPrEx>
        <w:trPr>
          <w:trHeight w:val="1675"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011707001001</w:t>
            </w:r>
          </w:p>
        </w:tc>
        <w:tc>
          <w:tcPr>
            <w:tcW w:w="3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零星项目（包干计取）</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1、成品保护：面积约为120m²；</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2、垃圾清运：约7立方左右；</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3、二次搬运、卫生等及其他零星工程；</w:t>
            </w:r>
            <w:r>
              <w:rPr>
                <w:rFonts w:hint="eastAsia" w:ascii="宋体" w:hAnsi="宋体" w:eastAsia="宋体" w:cs="宋体"/>
                <w:i w:val="0"/>
                <w:color w:val="auto"/>
                <w:kern w:val="0"/>
                <w:sz w:val="18"/>
                <w:szCs w:val="18"/>
                <w:highlight w:val="none"/>
                <w:u w:val="none"/>
                <w:lang w:val="en-US" w:eastAsia="zh-CN" w:bidi="ar"/>
              </w:rPr>
              <w:br w:type="textWrapping"/>
            </w:r>
            <w:r>
              <w:rPr>
                <w:rFonts w:hint="eastAsia" w:ascii="宋体" w:hAnsi="宋体" w:eastAsia="宋体" w:cs="宋体"/>
                <w:i w:val="0"/>
                <w:color w:val="auto"/>
                <w:kern w:val="0"/>
                <w:sz w:val="18"/>
                <w:szCs w:val="18"/>
                <w:highlight w:val="none"/>
                <w:u w:val="none"/>
                <w:lang w:val="en-US" w:eastAsia="zh-CN" w:bidi="ar"/>
              </w:rPr>
              <w:t>4、以上内容包干计取。</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18"/>
                <w:szCs w:val="18"/>
                <w:highlight w:val="none"/>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2184.98</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426" w:hRule="atLeast"/>
        </w:trPr>
        <w:tc>
          <w:tcPr>
            <w:tcW w:w="664"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c>
          <w:tcPr>
            <w:tcW w:w="4893" w:type="dxa"/>
            <w:gridSpan w:val="2"/>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编制人（造价人员）：</w:t>
            </w:r>
          </w:p>
        </w:tc>
        <w:tc>
          <w:tcPr>
            <w:tcW w:w="1047"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c>
          <w:tcPr>
            <w:tcW w:w="2134" w:type="dxa"/>
            <w:gridSpan w:val="2"/>
            <w:tcBorders>
              <w:top w:val="single" w:color="000000" w:sz="8" w:space="0"/>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复核人(造价工程师)：</w:t>
            </w:r>
          </w:p>
        </w:tc>
        <w:tc>
          <w:tcPr>
            <w:tcW w:w="682" w:type="dxa"/>
            <w:tcBorders>
              <w:top w:val="single" w:color="000000" w:sz="8" w:space="0"/>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 xml:space="preserve"> </w:t>
            </w:r>
          </w:p>
        </w:tc>
      </w:tr>
      <w:tr>
        <w:tblPrEx>
          <w:tblCellMar>
            <w:top w:w="0" w:type="dxa"/>
            <w:left w:w="0" w:type="dxa"/>
            <w:bottom w:w="0" w:type="dxa"/>
            <w:right w:w="0" w:type="dxa"/>
          </w:tblCellMar>
        </w:tblPrEx>
        <w:trPr>
          <w:trHeight w:val="680" w:hRule="atLeast"/>
        </w:trPr>
        <w:tc>
          <w:tcPr>
            <w:tcW w:w="9420"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注：施工方案计算的措施费，若无“计算基础”和“费率”的数值，也可只填“金额”数值，但应在备注栏说明施工方案出处或计算方法。</w:t>
            </w:r>
          </w:p>
        </w:tc>
      </w:tr>
    </w:tbl>
    <w:p>
      <w:pPr>
        <w:pStyle w:val="4"/>
        <w:keepNext w:val="0"/>
        <w:rPr>
          <w:rFonts w:hint="eastAsia" w:ascii="宋体" w:hAnsi="宋体" w:eastAsia="宋体" w:cs="宋体"/>
          <w:bCs w:val="0"/>
          <w:color w:val="auto"/>
          <w:sz w:val="32"/>
          <w:szCs w:val="32"/>
          <w:highlight w:val="none"/>
        </w:rPr>
        <w:sectPr>
          <w:headerReference r:id="rId10" w:type="default"/>
          <w:footerReference r:id="rId11" w:type="default"/>
          <w:endnotePr>
            <w:numFmt w:val="decimal"/>
          </w:endnotePr>
          <w:pgSz w:w="11906" w:h="16838"/>
          <w:pgMar w:top="1191" w:right="1417" w:bottom="1191" w:left="1191" w:header="851" w:footer="851" w:gutter="0"/>
          <w:pgNumType w:fmt="decimal"/>
          <w:cols w:space="720" w:num="1"/>
          <w:docGrid w:type="lines" w:linePitch="312" w:charSpace="0"/>
        </w:sectPr>
      </w:pPr>
    </w:p>
    <w:p>
      <w:pPr>
        <w:pStyle w:val="4"/>
        <w:keepNext w:val="0"/>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rPr>
        <w:t>第</w:t>
      </w:r>
      <w:r>
        <w:rPr>
          <w:rFonts w:hint="eastAsia" w:ascii="宋体" w:hAnsi="宋体" w:eastAsia="宋体" w:cs="宋体"/>
          <w:bCs w:val="0"/>
          <w:color w:val="auto"/>
          <w:sz w:val="32"/>
          <w:szCs w:val="32"/>
          <w:highlight w:val="none"/>
          <w:lang w:eastAsia="zh-CN"/>
        </w:rPr>
        <w:t>六</w:t>
      </w:r>
      <w:r>
        <w:rPr>
          <w:rFonts w:hint="eastAsia" w:ascii="宋体" w:hAnsi="宋体" w:eastAsia="宋体" w:cs="宋体"/>
          <w:bCs w:val="0"/>
          <w:color w:val="auto"/>
          <w:sz w:val="32"/>
          <w:szCs w:val="32"/>
          <w:highlight w:val="none"/>
        </w:rPr>
        <w:t xml:space="preserve">章 </w:t>
      </w: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32"/>
          <w:szCs w:val="32"/>
          <w:highlight w:val="none"/>
        </w:rPr>
        <w:t>合同格式条款</w:t>
      </w:r>
      <w:bookmarkEnd w:id="98"/>
      <w:bookmarkEnd w:id="99"/>
      <w:bookmarkEnd w:id="100"/>
      <w:bookmarkEnd w:id="101"/>
      <w:bookmarkEnd w:id="102"/>
    </w:p>
    <w:p>
      <w:pPr>
        <w:rPr>
          <w:rFonts w:hint="eastAsia" w:ascii="宋体" w:hAnsi="宋体" w:eastAsia="宋体" w:cs="宋体"/>
          <w:bCs w:val="0"/>
          <w:color w:val="auto"/>
          <w:sz w:val="32"/>
          <w:szCs w:val="32"/>
          <w:highlight w:val="none"/>
        </w:rPr>
      </w:pPr>
    </w:p>
    <w:p>
      <w:pPr>
        <w:adjustRightInd w:val="0"/>
        <w:snapToGrid w:val="0"/>
        <w:spacing w:line="360" w:lineRule="auto"/>
        <w:ind w:firstLine="2520" w:firstLineChars="12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合同编号:长轨运</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工合[20</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号</w:t>
      </w: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rPr>
          <w:rFonts w:hint="eastAsia" w:ascii="宋体" w:hAnsi="宋体" w:eastAsia="宋体" w:cs="宋体"/>
          <w:b/>
          <w:color w:val="auto"/>
          <w:sz w:val="18"/>
          <w:szCs w:val="18"/>
          <w:highlight w:val="none"/>
        </w:rPr>
      </w:pPr>
    </w:p>
    <w:p>
      <w:pPr>
        <w:adjustRightInd w:val="0"/>
        <w:snapToGrid w:val="0"/>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pacing w:val="20"/>
          <w:sz w:val="52"/>
          <w:szCs w:val="52"/>
          <w:highlight w:val="none"/>
        </w:rPr>
        <w:t>工程项目合同</w:t>
      </w:r>
      <w:r>
        <w:rPr>
          <w:rFonts w:hint="eastAsia" w:ascii="宋体" w:hAnsi="宋体" w:eastAsia="宋体" w:cs="宋体"/>
          <w:b/>
          <w:color w:val="auto"/>
          <w:spacing w:val="20"/>
          <w:sz w:val="48"/>
          <w:szCs w:val="48"/>
          <w:highlight w:val="none"/>
        </w:rPr>
        <w:t xml:space="preserve"> </w:t>
      </w: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adjustRightInd w:val="0"/>
        <w:snapToGrid w:val="0"/>
        <w:spacing w:line="360" w:lineRule="auto"/>
        <w:ind w:left="0" w:leftChars="0" w:firstLine="421" w:firstLineChars="233"/>
        <w:rPr>
          <w:rFonts w:hint="eastAsia" w:ascii="宋体" w:hAnsi="宋体" w:eastAsia="宋体" w:cs="宋体"/>
          <w:b/>
          <w:color w:val="auto"/>
          <w:sz w:val="18"/>
          <w:szCs w:val="18"/>
          <w:highlight w:val="none"/>
        </w:rPr>
      </w:pPr>
    </w:p>
    <w:p>
      <w:pPr>
        <w:spacing w:line="360" w:lineRule="auto"/>
        <w:ind w:left="0" w:leftChars="0" w:firstLine="1212" w:firstLineChars="431"/>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工程地点：</w:t>
      </w:r>
      <w:r>
        <w:rPr>
          <w:rFonts w:hint="eastAsia" w:ascii="宋体" w:hAnsi="宋体" w:eastAsia="宋体" w:cs="宋体"/>
          <w:b/>
          <w:color w:val="auto"/>
          <w:sz w:val="28"/>
          <w:szCs w:val="28"/>
          <w:highlight w:val="none"/>
          <w:u w:val="dotted"/>
        </w:rPr>
        <w:t>湖南省长沙市</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甲方：</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655" w:firstLineChars="233"/>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pPr>
        <w:adjustRightInd w:val="0"/>
        <w:snapToGrid w:val="0"/>
        <w:spacing w:line="360" w:lineRule="auto"/>
        <w:ind w:left="0" w:leftChars="0" w:firstLine="1212" w:firstLineChars="43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乙方：</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u w:val="dotted"/>
          <w:lang w:val="en-US" w:eastAsia="zh-CN"/>
        </w:rPr>
        <w:t xml:space="preserve"> </w:t>
      </w:r>
      <w:r>
        <w:rPr>
          <w:rFonts w:hint="eastAsia" w:ascii="宋体" w:hAnsi="宋体" w:eastAsia="宋体" w:cs="宋体"/>
          <w:b/>
          <w:color w:val="auto"/>
          <w:sz w:val="28"/>
          <w:szCs w:val="28"/>
          <w:highlight w:val="none"/>
          <w:u w:val="dotted"/>
        </w:rPr>
        <w:t xml:space="preserve">   </w:t>
      </w:r>
      <w:r>
        <w:rPr>
          <w:rFonts w:hint="eastAsia" w:ascii="宋体" w:hAnsi="宋体" w:eastAsia="宋体" w:cs="宋体"/>
          <w:b/>
          <w:color w:val="auto"/>
          <w:sz w:val="28"/>
          <w:szCs w:val="28"/>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sectPr>
          <w:endnotePr>
            <w:numFmt w:val="decimal"/>
          </w:endnotePr>
          <w:pgSz w:w="11906" w:h="16838"/>
          <w:pgMar w:top="1191" w:right="1417" w:bottom="1191" w:left="1191" w:header="851" w:footer="851" w:gutter="0"/>
          <w:pgNumType w:fmt="decimal"/>
          <w:cols w:space="720" w:num="1"/>
          <w:docGrid w:type="lines" w:linePitch="312" w:charSpace="0"/>
        </w:sectPr>
      </w:pPr>
    </w:p>
    <w:p>
      <w:pPr>
        <w:pageBreakBefore w:val="0"/>
        <w:numPr>
          <w:ilvl w:val="0"/>
          <w:numId w:val="0"/>
        </w:numPr>
        <w:tabs>
          <w:tab w:val="left" w:pos="2799"/>
        </w:tabs>
        <w:kinsoku/>
        <w:overflowPunct/>
        <w:bidi w:val="0"/>
        <w:spacing w:line="400" w:lineRule="exact"/>
        <w:ind w:leftChars="0" w:right="0" w:rightChars="0"/>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第一部分 合同协议书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u w:val="dotted"/>
        </w:rPr>
      </w:pPr>
      <w:r>
        <w:rPr>
          <w:rFonts w:hint="eastAsia" w:ascii="宋体" w:hAnsi="宋体" w:eastAsia="宋体" w:cs="宋体"/>
          <w:b/>
          <w:color w:val="auto"/>
          <w:sz w:val="21"/>
          <w:szCs w:val="21"/>
          <w:highlight w:val="none"/>
        </w:rPr>
        <w:t>发包人（全称）:</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none"/>
          <w:lang w:eastAsia="zh-CN"/>
        </w:rPr>
        <w:t>（以下简称甲方）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u w:val="dotted"/>
        </w:rPr>
      </w:pPr>
      <w:r>
        <w:rPr>
          <w:rFonts w:hint="eastAsia" w:ascii="宋体" w:hAnsi="宋体" w:eastAsia="宋体" w:cs="宋体"/>
          <w:b/>
          <w:color w:val="auto"/>
          <w:sz w:val="21"/>
          <w:szCs w:val="21"/>
          <w:highlight w:val="none"/>
        </w:rPr>
        <w:t>承包人（全称）</w:t>
      </w:r>
      <w:r>
        <w:rPr>
          <w:rFonts w:hint="eastAsia" w:ascii="宋体" w:hAnsi="宋体" w:eastAsia="宋体" w:cs="宋体"/>
          <w:bCs/>
          <w:snapToGrid w:val="0"/>
          <w:color w:val="auto"/>
          <w:kern w:val="0"/>
          <w:sz w:val="21"/>
          <w:szCs w:val="21"/>
          <w:highlight w:val="none"/>
        </w:rPr>
        <w:t>:</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single"/>
          <w:lang w:val="en-US" w:eastAsia="zh-CN"/>
        </w:rPr>
        <w:t xml:space="preserve">                     </w:t>
      </w:r>
      <w:r>
        <w:rPr>
          <w:rFonts w:hint="eastAsia" w:ascii="宋体" w:hAnsi="宋体" w:eastAsia="宋体" w:cs="宋体"/>
          <w:bCs/>
          <w:snapToGrid w:val="0"/>
          <w:color w:val="auto"/>
          <w:kern w:val="0"/>
          <w:sz w:val="21"/>
          <w:szCs w:val="21"/>
          <w:highlight w:val="none"/>
          <w:u w:val="single"/>
        </w:rPr>
        <w:t xml:space="preserve"> </w:t>
      </w:r>
      <w:r>
        <w:rPr>
          <w:rFonts w:hint="eastAsia" w:ascii="宋体" w:hAnsi="宋体" w:eastAsia="宋体" w:cs="宋体"/>
          <w:bCs/>
          <w:snapToGrid w:val="0"/>
          <w:color w:val="auto"/>
          <w:kern w:val="0"/>
          <w:sz w:val="21"/>
          <w:szCs w:val="21"/>
          <w:highlight w:val="none"/>
          <w:u w:val="none"/>
          <w:lang w:eastAsia="zh-CN"/>
        </w:rPr>
        <w:t>（以下简称乙方）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依据《中华人民共和国合同法》、《中华人民共和国建筑法》及其他有关法律、行政法规，遵循平等、自愿、公平和诚实信用原则，双方就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工程施工及有关事项协商一致，于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日在</w:t>
      </w:r>
      <w:r>
        <w:rPr>
          <w:rFonts w:hint="eastAsia" w:ascii="宋体" w:hAnsi="宋体" w:eastAsia="宋体" w:cs="宋体"/>
          <w:color w:val="auto"/>
          <w:sz w:val="21"/>
          <w:szCs w:val="21"/>
          <w:highlight w:val="none"/>
          <w:u w:val="single"/>
        </w:rPr>
        <w:t>湖南省长沙市</w:t>
      </w:r>
      <w:r>
        <w:rPr>
          <w:rFonts w:hint="eastAsia" w:ascii="宋体" w:hAnsi="宋体" w:eastAsia="宋体" w:cs="宋体"/>
          <w:color w:val="auto"/>
          <w:sz w:val="21"/>
          <w:szCs w:val="21"/>
          <w:highlight w:val="none"/>
          <w:u w:val="single"/>
          <w:lang w:eastAsia="zh-CN"/>
        </w:rPr>
        <w:t>雨花区</w:t>
      </w:r>
      <w:r>
        <w:rPr>
          <w:rFonts w:hint="eastAsia" w:ascii="宋体" w:hAnsi="宋体" w:eastAsia="宋体" w:cs="宋体"/>
          <w:color w:val="auto"/>
          <w:sz w:val="21"/>
          <w:szCs w:val="21"/>
          <w:highlight w:val="none"/>
        </w:rPr>
        <w:t>共同签订如下协议：</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1.2工程地点：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1.3工程内容：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具体工程内容以施工图纸和工程量清单为准。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1.4工程承包范围：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bookmarkStart w:id="103" w:name="_Toc414154001"/>
      <w:r>
        <w:rPr>
          <w:rFonts w:hint="eastAsia" w:ascii="宋体" w:hAnsi="宋体" w:eastAsia="宋体" w:cs="宋体"/>
          <w:color w:val="auto"/>
          <w:sz w:val="21"/>
          <w:szCs w:val="21"/>
          <w:highlight w:val="none"/>
        </w:rPr>
        <w:t>。</w:t>
      </w:r>
    </w:p>
    <w:bookmarkEnd w:id="103"/>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bookmarkStart w:id="104" w:name="_Toc414154003"/>
      <w:r>
        <w:rPr>
          <w:rFonts w:hint="eastAsia" w:ascii="宋体" w:hAnsi="宋体" w:eastAsia="宋体" w:cs="宋体"/>
          <w:b/>
          <w:bCs/>
          <w:color w:val="auto"/>
          <w:sz w:val="21"/>
          <w:szCs w:val="21"/>
          <w:highlight w:val="none"/>
        </w:rPr>
        <w:t>2、合同工期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天。发包人保留工期调整的权利，工期调整后承包人不得以任何理由增加费用。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3、签约合同价与合同形式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3.2合同</w:t>
      </w:r>
      <w:r>
        <w:rPr>
          <w:rFonts w:hint="eastAsia" w:ascii="宋体" w:hAnsi="宋体" w:eastAsia="宋体" w:cs="宋体"/>
          <w:color w:val="auto"/>
          <w:sz w:val="21"/>
          <w:szCs w:val="21"/>
          <w:highlight w:val="none"/>
          <w:lang w:eastAsia="zh-CN"/>
        </w:rPr>
        <w:t>价格方式</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单价</w:t>
      </w:r>
      <w:r>
        <w:rPr>
          <w:rFonts w:hint="eastAsia" w:ascii="宋体" w:hAnsi="宋体" w:eastAsia="宋体" w:cs="宋体"/>
          <w:color w:val="auto"/>
          <w:sz w:val="21"/>
          <w:szCs w:val="21"/>
          <w:highlight w:val="none"/>
          <w:u w:val="none"/>
        </w:rPr>
        <w:t>合同</w:t>
      </w:r>
      <w:r>
        <w:rPr>
          <w:rFonts w:hint="eastAsia" w:ascii="宋体" w:hAnsi="宋体" w:eastAsia="宋体" w:cs="宋体"/>
          <w:color w:val="auto"/>
          <w:sz w:val="21"/>
          <w:szCs w:val="21"/>
          <w:highlight w:val="none"/>
          <w:u w:val="none"/>
          <w:lang w:eastAsia="zh-CN"/>
        </w:rPr>
        <w:t>，合同单</w:t>
      </w:r>
      <w:r>
        <w:rPr>
          <w:rFonts w:hint="eastAsia" w:ascii="宋体" w:hAnsi="宋体" w:eastAsia="宋体" w:cs="宋体"/>
          <w:color w:val="auto"/>
          <w:sz w:val="21"/>
          <w:szCs w:val="21"/>
          <w:highlight w:val="none"/>
          <w:u w:val="none"/>
        </w:rPr>
        <w:t>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sz w:val="21"/>
          <w:szCs w:val="21"/>
          <w:highlight w:val="none"/>
          <w:u w:val="none"/>
          <w:lang w:eastAsia="zh-CN"/>
        </w:rPr>
        <w:t>最终结算价格不得超过签约合同价。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总价</w:t>
      </w:r>
      <w:r>
        <w:rPr>
          <w:rFonts w:hint="eastAsia" w:ascii="宋体" w:hAnsi="宋体" w:eastAsia="宋体" w:cs="宋体"/>
          <w:color w:val="auto"/>
          <w:sz w:val="21"/>
          <w:szCs w:val="21"/>
          <w:highlight w:val="none"/>
          <w:u w:val="none"/>
        </w:rPr>
        <w:t>合同</w:t>
      </w:r>
      <w:r>
        <w:rPr>
          <w:rFonts w:hint="eastAsia" w:ascii="宋体" w:hAnsi="宋体" w:eastAsia="宋体" w:cs="宋体"/>
          <w:color w:val="auto"/>
          <w:sz w:val="21"/>
          <w:szCs w:val="21"/>
          <w:highlight w:val="none"/>
          <w:u w:val="none"/>
          <w:lang w:eastAsia="zh-CN"/>
        </w:rPr>
        <w:t>，合同</w:t>
      </w:r>
      <w:r>
        <w:rPr>
          <w:rFonts w:hint="eastAsia" w:ascii="宋体" w:hAnsi="宋体" w:eastAsia="宋体" w:cs="宋体"/>
          <w:color w:val="auto"/>
          <w:sz w:val="21"/>
          <w:szCs w:val="21"/>
          <w:highlight w:val="none"/>
          <w:u w:val="none"/>
        </w:rPr>
        <w:t>总价均包括但不限于工程材料费、人工费、运输费、各类规费、保险费及税金、施工过程设备及材料损坏损失、施工事故损失、施工垃圾清理、与本施工有关的运输过程中涉及所有人身、设备安全等与工程有关的一切费用。乙方根据工程数量与价格表资料以及相应的经乙方和甲方共同签字确认原始测量验收资料和工程数量计算资料作为结算依据。</w:t>
      </w:r>
      <w:r>
        <w:rPr>
          <w:rFonts w:hint="eastAsia" w:ascii="宋体" w:hAnsi="宋体" w:eastAsia="宋体" w:cs="宋体"/>
          <w:color w:val="auto"/>
          <w:sz w:val="21"/>
          <w:szCs w:val="21"/>
          <w:highlight w:val="none"/>
          <w:u w:val="none"/>
          <w:lang w:eastAsia="zh-CN"/>
        </w:rPr>
        <w:t>最终结算价格不得超过签约合同价</w:t>
      </w:r>
      <w:r>
        <w:rPr>
          <w:rFonts w:hint="eastAsia" w:ascii="宋体" w:hAnsi="宋体" w:eastAsia="宋体" w:cs="宋体"/>
          <w:color w:val="auto"/>
          <w:sz w:val="21"/>
          <w:szCs w:val="21"/>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4、合同文件</w:t>
      </w:r>
      <w:r>
        <w:rPr>
          <w:rFonts w:hint="eastAsia" w:ascii="宋体" w:hAnsi="宋体" w:eastAsia="宋体" w:cs="宋体"/>
          <w:b/>
          <w:bCs/>
          <w:color w:val="auto"/>
          <w:sz w:val="21"/>
          <w:szCs w:val="21"/>
          <w:highlight w:val="none"/>
          <w:lang w:eastAsia="zh-CN"/>
        </w:rPr>
        <w:t>构</w:t>
      </w:r>
      <w:r>
        <w:rPr>
          <w:rFonts w:hint="eastAsia" w:ascii="宋体" w:hAnsi="宋体" w:eastAsia="宋体" w:cs="宋体"/>
          <w:b/>
          <w:bCs/>
          <w:color w:val="auto"/>
          <w:sz w:val="21"/>
          <w:szCs w:val="21"/>
          <w:highlight w:val="none"/>
        </w:rPr>
        <w:t>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（2）技术标准和要求；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（3）图纸；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（4）已标价工程量清单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rPr>
        <w:t>工程数量与价格表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或预算书；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竞谈判文件及其</w:t>
      </w:r>
      <w:r>
        <w:rPr>
          <w:rFonts w:hint="eastAsia" w:ascii="宋体" w:hAnsi="宋体" w:eastAsia="宋体" w:cs="宋体"/>
          <w:b w:val="0"/>
          <w:bCs/>
          <w:color w:val="auto"/>
          <w:sz w:val="21"/>
          <w:szCs w:val="21"/>
          <w:highlight w:val="none"/>
          <w:lang w:eastAsia="zh-CN" w:bidi="ar"/>
        </w:rPr>
        <w:t>澄清与答疑文件及其它补充资料（如有）</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）竞谈响应文件</w:t>
      </w:r>
      <w:r>
        <w:rPr>
          <w:rFonts w:hint="eastAsia" w:ascii="宋体" w:hAnsi="宋体" w:eastAsia="宋体" w:cs="宋体"/>
          <w:b w:val="0"/>
          <w:bCs/>
          <w:color w:val="auto"/>
          <w:sz w:val="21"/>
          <w:szCs w:val="21"/>
          <w:highlight w:val="none"/>
          <w:lang w:eastAsia="zh-CN" w:bidi="ar"/>
        </w:rPr>
        <w:t>及其它补充资料（如有）</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）其他合同文件。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在合同订立及履行过程中形成的与合同有关的文件均构成合同文件组成部分。上述各项合同文件包括合同当事人就该项合同文件所作出的补充和修改，属于同一类内容的文件，应以最新签署的为准。</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val="0"/>
          <w:bCs w:val="0"/>
          <w:color w:val="auto"/>
          <w:sz w:val="21"/>
          <w:szCs w:val="21"/>
          <w:highlight w:val="none"/>
        </w:rPr>
      </w:pPr>
      <w:bookmarkStart w:id="105" w:name="_Toc414154011"/>
      <w:r>
        <w:rPr>
          <w:rFonts w:hint="eastAsia" w:ascii="宋体" w:hAnsi="宋体" w:eastAsia="宋体" w:cs="宋体"/>
          <w:b/>
          <w:bCs/>
          <w:color w:val="auto"/>
          <w:kern w:val="2"/>
          <w:sz w:val="21"/>
          <w:szCs w:val="21"/>
          <w:highlight w:val="none"/>
          <w:lang w:eastAsia="zh-CN"/>
        </w:rPr>
        <w:t>5</w:t>
      </w:r>
      <w:r>
        <w:rPr>
          <w:rFonts w:hint="eastAsia" w:ascii="宋体" w:hAnsi="宋体" w:eastAsia="宋体" w:cs="宋体"/>
          <w:b/>
          <w:bCs/>
          <w:color w:val="auto"/>
          <w:kern w:val="2"/>
          <w:sz w:val="21"/>
          <w:szCs w:val="21"/>
          <w:highlight w:val="none"/>
        </w:rPr>
        <w:t>、缺陷责任期和</w:t>
      </w:r>
      <w:r>
        <w:rPr>
          <w:rFonts w:hint="eastAsia" w:ascii="宋体" w:hAnsi="宋体" w:eastAsia="宋体" w:cs="宋体"/>
          <w:b/>
          <w:bCs/>
          <w:color w:val="auto"/>
          <w:kern w:val="2"/>
          <w:sz w:val="21"/>
          <w:szCs w:val="21"/>
          <w:highlight w:val="none"/>
          <w:lang w:eastAsia="zh-CN"/>
        </w:rPr>
        <w:t>工程</w:t>
      </w:r>
      <w:r>
        <w:rPr>
          <w:rFonts w:hint="eastAsia" w:ascii="宋体" w:hAnsi="宋体" w:eastAsia="宋体" w:cs="宋体"/>
          <w:b/>
          <w:bCs/>
          <w:color w:val="auto"/>
          <w:kern w:val="2"/>
          <w:sz w:val="21"/>
          <w:szCs w:val="21"/>
          <w:highlight w:val="none"/>
        </w:rPr>
        <w:t>保修</w:t>
      </w:r>
      <w:r>
        <w:rPr>
          <w:rFonts w:hint="eastAsia" w:ascii="宋体" w:hAnsi="宋体" w:eastAsia="宋体" w:cs="宋体"/>
          <w:b/>
          <w:bCs/>
          <w:color w:val="auto"/>
          <w:kern w:val="2"/>
          <w:sz w:val="21"/>
          <w:szCs w:val="21"/>
          <w:highlight w:val="none"/>
          <w:lang w:eastAsia="zh-CN"/>
        </w:rPr>
        <w:t>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kern w:val="2"/>
          <w:sz w:val="21"/>
          <w:szCs w:val="21"/>
          <w:highlight w:val="none"/>
          <w:lang w:eastAsia="zh-CN"/>
        </w:rPr>
        <w:t>5.1</w:t>
      </w:r>
      <w:r>
        <w:rPr>
          <w:rFonts w:hint="eastAsia" w:ascii="宋体" w:hAnsi="宋体" w:eastAsia="宋体" w:cs="宋体"/>
          <w:b w:val="0"/>
          <w:bCs w:val="0"/>
          <w:color w:val="auto"/>
          <w:sz w:val="21"/>
          <w:szCs w:val="21"/>
          <w:highlight w:val="none"/>
        </w:rPr>
        <w:t>缺陷责任期</w:t>
      </w:r>
      <w:r>
        <w:rPr>
          <w:rFonts w:hint="eastAsia" w:ascii="宋体" w:hAnsi="宋体" w:eastAsia="宋体" w:cs="宋体"/>
          <w:b w:val="0"/>
          <w:bCs w:val="0"/>
          <w:color w:val="auto"/>
          <w:sz w:val="21"/>
          <w:szCs w:val="21"/>
          <w:highlight w:val="none"/>
          <w:lang w:eastAsia="zh-CN"/>
        </w:rPr>
        <w:t>为</w:t>
      </w:r>
      <w:r>
        <w:rPr>
          <w:rFonts w:hint="eastAsia" w:ascii="宋体" w:hAnsi="宋体" w:eastAsia="宋体" w:cs="宋体"/>
          <w:b w:val="0"/>
          <w:bCs w:val="0"/>
          <w:color w:val="auto"/>
          <w:sz w:val="21"/>
          <w:szCs w:val="21"/>
          <w:highlight w:val="none"/>
          <w:u w:val="single"/>
          <w:lang w:eastAsia="zh-CN"/>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lang w:eastAsia="zh-CN"/>
        </w:rPr>
        <w:t xml:space="preserve">   </w:t>
      </w:r>
      <w:r>
        <w:rPr>
          <w:rFonts w:hint="eastAsia" w:ascii="宋体" w:hAnsi="宋体" w:eastAsia="宋体" w:cs="宋体"/>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5.2</w:t>
      </w:r>
      <w:r>
        <w:rPr>
          <w:rFonts w:hint="eastAsia" w:ascii="宋体" w:hAnsi="宋体" w:eastAsia="宋体" w:cs="宋体"/>
          <w:b w:val="0"/>
          <w:bCs w:val="0"/>
          <w:color w:val="auto"/>
          <w:sz w:val="21"/>
          <w:szCs w:val="21"/>
          <w:highlight w:val="none"/>
        </w:rPr>
        <w:t>工程保修期为</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5.3在工程移交发包人后，因承包人原因产生的质量缺陷，承包人应承担质量缺陷责任和保修义务。缺陷责任期届满，承包人仍应按合同约定的工程各部位保修年限承担保修义务。</w:t>
      </w:r>
    </w:p>
    <w:bookmarkEnd w:id="105"/>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6、工程质量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 本工程质量标准必须符合现行国家有关工程施工质量验收规范和标准的要求。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6.2承包人应向发包人提交工程质量保证体系及措施文件，建立完善的质量检查制度，并提交相应的工程质量文件。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6.3因承包人原因造成工程质量未达到合同约定标准的，发包人有权要求承包人返工直至工程质量达到合同约定的标准为止，并由承包人承担由此增加的费用和（或）延误的工期。</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7、材料和工程设备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7.1承包人负责采购的材料、工程设备须符合设计和有关标准要求，承包人应提供产品合格证明及出厂证明，对材料、工程设备质量负责，并负责妥善保管。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法律规定材料和工程设备使用前必须进行检验或试验的，属于承包人自检性质的，承包人应单独进行检验和试验；属于发包人的抽检性质的，应按配合受委托的检测机构进行检验或试验。检验和试验不合格的不得使用。</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8、验收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8.1 </w:t>
      </w:r>
      <w:r>
        <w:rPr>
          <w:rFonts w:hint="eastAsia" w:ascii="宋体" w:hAnsi="宋体" w:eastAsia="宋体" w:cs="宋体"/>
          <w:color w:val="auto"/>
          <w:sz w:val="21"/>
          <w:szCs w:val="21"/>
          <w:highlight w:val="none"/>
        </w:rPr>
        <w:t>乙方应确保所完成施工的质量，应符合本合同约定的质量标准。乙方施工完毕，应7天内向甲方提交完工报告，通知甲方验收。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8.2 </w:t>
      </w:r>
      <w:r>
        <w:rPr>
          <w:rFonts w:hint="eastAsia" w:ascii="宋体" w:hAnsi="宋体" w:eastAsia="宋体" w:cs="宋体"/>
          <w:color w:val="auto"/>
          <w:sz w:val="21"/>
          <w:szCs w:val="21"/>
          <w:highlight w:val="none"/>
        </w:rPr>
        <w:t>乙方在工程完毕交付验收前提供相关技术资料（包括但不限于系统原理图、安装图纸、产品使用说明书、维护保养手册、竣工图）</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份，以上技术资料同时提交电子版。竣工资料乙方应根据甲方相关规章制度准备齐全。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8.3 </w:t>
      </w:r>
      <w:r>
        <w:rPr>
          <w:rFonts w:hint="eastAsia" w:ascii="宋体" w:hAnsi="宋体" w:eastAsia="宋体" w:cs="宋体"/>
          <w:color w:val="auto"/>
          <w:sz w:val="21"/>
          <w:szCs w:val="21"/>
          <w:highlight w:val="none"/>
        </w:rPr>
        <w:t>乙方应配合甲方对其工作进行竣工验收，双方现场签认工程量；乙方在完成工程竣工后7天内未组织甲方验收的，甲方视为乙方已完工程未合格。因乙方原因导致工程验收不合格的，乙方应缴纳按合同总价款5%/次所计的违约金，造成工期延误的，还应按本合同约定承担相应的违约责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9、</w:t>
      </w:r>
      <w:bookmarkStart w:id="106" w:name="_Toc414154013"/>
      <w:r>
        <w:rPr>
          <w:rFonts w:hint="eastAsia" w:ascii="宋体" w:hAnsi="宋体" w:eastAsia="宋体" w:cs="宋体"/>
          <w:b/>
          <w:color w:val="auto"/>
          <w:sz w:val="21"/>
          <w:szCs w:val="21"/>
          <w:highlight w:val="none"/>
        </w:rPr>
        <w:t>安全生产与文明施工</w:t>
      </w:r>
      <w:bookmarkEnd w:id="106"/>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9.1承包人应按法律规定和合同约定，制定安全生产文明施工管理制度，采取有效的环境保护措施，做好开工前的安全技术交底，办理工伤保险，确保工程及人员、材料、设备和设施的安全。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承包人应按有关规定，采取严格的安全防护措施搞好安全施工，并承担安全事故的全部责任及由此而发生的一切费用。发生重大伤、亡事故，承包人应按有关规定立即上报有关部门并书面通知发包人，同时按政府有关要求处理，发生的费用由承包人全部承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9.3在施工期间，承包人应加强治安、保卫工作，项目负责人必须亲自负责治安保卫工作，项目部设立一名专职保卫人员，组建一支素质好、责任心强的内部保卫队伍，负责内部保卫、治安工作、严格做好防火、防盗、防突发性事件、防自然灾害性事故的“四防”工作，加强暂住人口的管理，加强民工队伍的管理，协调好内部纠纷，防止赌博、斗殴，建立民工档案，协助疏导交通，对本施工期间内的案件、重大事故、事件及时制止，并报告发包人或当地公安部门。</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bCs/>
          <w:color w:val="auto"/>
          <w:kern w:val="2"/>
          <w:sz w:val="21"/>
          <w:szCs w:val="21"/>
          <w:highlight w:val="none"/>
        </w:rPr>
      </w:pPr>
      <w:bookmarkStart w:id="107" w:name="_Toc414154014"/>
      <w:r>
        <w:rPr>
          <w:rFonts w:hint="eastAsia" w:ascii="宋体" w:hAnsi="宋体" w:eastAsia="宋体" w:cs="宋体"/>
          <w:b/>
          <w:bCs/>
          <w:color w:val="auto"/>
          <w:kern w:val="2"/>
          <w:sz w:val="21"/>
          <w:szCs w:val="21"/>
          <w:highlight w:val="none"/>
          <w:lang w:eastAsia="zh-CN"/>
        </w:rPr>
        <w:t>10</w:t>
      </w:r>
      <w:r>
        <w:rPr>
          <w:rFonts w:hint="eastAsia" w:ascii="宋体" w:hAnsi="宋体" w:eastAsia="宋体" w:cs="宋体"/>
          <w:b/>
          <w:bCs/>
          <w:color w:val="auto"/>
          <w:kern w:val="2"/>
          <w:sz w:val="21"/>
          <w:szCs w:val="21"/>
          <w:highlight w:val="none"/>
        </w:rPr>
        <w:t>、</w:t>
      </w:r>
      <w:bookmarkEnd w:id="107"/>
      <w:r>
        <w:rPr>
          <w:rFonts w:hint="eastAsia" w:ascii="宋体" w:hAnsi="宋体" w:eastAsia="宋体" w:cs="宋体"/>
          <w:b/>
          <w:bCs/>
          <w:color w:val="auto"/>
          <w:kern w:val="2"/>
          <w:sz w:val="21"/>
          <w:szCs w:val="21"/>
          <w:highlight w:val="none"/>
        </w:rPr>
        <w:t>变更估价</w:t>
      </w:r>
      <w:r>
        <w:rPr>
          <w:rFonts w:hint="eastAsia" w:ascii="宋体" w:hAnsi="宋体" w:eastAsia="宋体" w:cs="宋体"/>
          <w:b/>
          <w:bCs/>
          <w:color w:val="auto"/>
          <w:kern w:val="2"/>
          <w:sz w:val="21"/>
          <w:szCs w:val="21"/>
          <w:highlight w:val="none"/>
          <w:lang w:eastAsia="zh-CN"/>
        </w:rPr>
        <w:t>与</w:t>
      </w:r>
      <w:r>
        <w:rPr>
          <w:rFonts w:hint="eastAsia" w:ascii="宋体" w:hAnsi="宋体" w:eastAsia="宋体" w:cs="宋体"/>
          <w:b/>
          <w:bCs/>
          <w:color w:val="auto"/>
          <w:kern w:val="2"/>
          <w:sz w:val="21"/>
          <w:szCs w:val="21"/>
          <w:highlight w:val="none"/>
        </w:rPr>
        <w:t>材料调差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u w:val="none"/>
        </w:rPr>
        <w:t>变更估价：合同中有相同单价的，采用合同单价；合同中有类似单价的，则参照类似合同单价；合同中无相同或类似单价的，则在变更计价时执行</w:t>
      </w:r>
      <w:r>
        <w:rPr>
          <w:rFonts w:hint="eastAsia" w:ascii="宋体" w:hAnsi="宋体" w:eastAsia="宋体" w:cs="宋体"/>
          <w:color w:val="auto"/>
          <w:sz w:val="21"/>
          <w:szCs w:val="21"/>
          <w:highlight w:val="none"/>
          <w:u w:val="none"/>
          <w:lang w:eastAsia="zh-CN"/>
        </w:rPr>
        <w:t>最高限价采用的</w:t>
      </w:r>
      <w:r>
        <w:rPr>
          <w:rFonts w:hint="eastAsia" w:ascii="宋体" w:hAnsi="宋体" w:eastAsia="宋体" w:cs="宋体"/>
          <w:color w:val="auto"/>
          <w:sz w:val="21"/>
          <w:szCs w:val="21"/>
          <w:highlight w:val="none"/>
          <w:u w:val="none"/>
        </w:rPr>
        <w:t>消耗量标准，缺项部分借用其他定额，取费相应执行</w:t>
      </w:r>
      <w:r>
        <w:rPr>
          <w:rFonts w:hint="eastAsia" w:ascii="宋体" w:hAnsi="宋体" w:eastAsia="宋体" w:cs="宋体"/>
          <w:color w:val="auto"/>
          <w:sz w:val="21"/>
          <w:szCs w:val="21"/>
          <w:highlight w:val="none"/>
          <w:u w:val="none"/>
          <w:lang w:eastAsia="zh-CN"/>
        </w:rPr>
        <w:t>最高限价采用</w:t>
      </w:r>
      <w:r>
        <w:rPr>
          <w:rFonts w:hint="eastAsia" w:ascii="宋体" w:hAnsi="宋体" w:eastAsia="宋体" w:cs="宋体"/>
          <w:color w:val="auto"/>
          <w:sz w:val="21"/>
          <w:szCs w:val="21"/>
          <w:highlight w:val="none"/>
          <w:u w:val="none"/>
        </w:rPr>
        <w:t>的有关规定，并执行合同优惠率</w:t>
      </w:r>
      <w:r>
        <w:rPr>
          <w:rFonts w:hint="eastAsia" w:ascii="宋体" w:hAnsi="宋体" w:eastAsia="宋体" w:cs="宋体"/>
          <w:color w:val="auto"/>
          <w:sz w:val="21"/>
          <w:szCs w:val="21"/>
          <w:highlight w:val="none"/>
          <w:u w:val="none"/>
          <w:lang w:val="en-US" w:eastAsia="zh-CN"/>
        </w:rPr>
        <w:t>(最高限价-中标总价）/最高限价×</w:t>
      </w:r>
      <w:r>
        <w:rPr>
          <w:rFonts w:hint="eastAsia" w:ascii="宋体" w:hAnsi="宋体" w:eastAsia="宋体" w:cs="宋体"/>
          <w:color w:val="auto"/>
          <w:sz w:val="21"/>
          <w:szCs w:val="21"/>
          <w:highlight w:val="none"/>
          <w:u w:val="none"/>
          <w:lang w:eastAsia="zh-CN"/>
        </w:rPr>
        <w:t>百分之百</w:t>
      </w:r>
      <w:r>
        <w:rPr>
          <w:rFonts w:hint="eastAsia" w:ascii="宋体" w:hAnsi="宋体" w:eastAsia="宋体" w:cs="宋体"/>
          <w:color w:val="auto"/>
          <w:sz w:val="21"/>
          <w:szCs w:val="21"/>
          <w:highlight w:val="none"/>
          <w:u w:val="none"/>
        </w:rPr>
        <w:t>，人工工日单价按</w:t>
      </w:r>
      <w:r>
        <w:rPr>
          <w:rFonts w:hint="eastAsia" w:ascii="宋体" w:hAnsi="宋体" w:eastAsia="宋体" w:cs="宋体"/>
          <w:color w:val="auto"/>
          <w:sz w:val="21"/>
          <w:szCs w:val="21"/>
          <w:highlight w:val="none"/>
          <w:u w:val="none"/>
          <w:lang w:eastAsia="zh-CN"/>
        </w:rPr>
        <w:t>最高限价审定时</w:t>
      </w:r>
      <w:r>
        <w:rPr>
          <w:rFonts w:hint="eastAsia" w:ascii="宋体" w:hAnsi="宋体" w:eastAsia="宋体" w:cs="宋体"/>
          <w:color w:val="auto"/>
          <w:sz w:val="21"/>
          <w:szCs w:val="21"/>
          <w:highlight w:val="none"/>
          <w:u w:val="none"/>
        </w:rPr>
        <w:t>的综合人工工资单价计取。</w:t>
      </w:r>
    </w:p>
    <w:p>
      <w:pPr>
        <w:keepNext w:val="0"/>
        <w:keepLines w:val="0"/>
        <w:pageBreakBefore w:val="0"/>
        <w:widowControl w:val="0"/>
        <w:numPr>
          <w:ins w:id="0" w:author="Administrator" w:date=""/>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10.2材料调差：已标价工程量清单或预算书中载明的材料、工程设备单价，在合同履行期间无论涨、跌，均不做任何调整。</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11、价款支付</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08" w:name="_Toc479247487"/>
      <w:r>
        <w:rPr>
          <w:rFonts w:hint="eastAsia" w:ascii="宋体" w:hAnsi="宋体" w:eastAsia="宋体" w:cs="宋体"/>
          <w:color w:val="auto"/>
          <w:kern w:val="28"/>
          <w:sz w:val="21"/>
          <w:szCs w:val="21"/>
          <w:highlight w:val="none"/>
          <w:lang w:val="en-US" w:eastAsia="zh-CN"/>
        </w:rPr>
        <w:t>11.1</w:t>
      </w:r>
      <w:r>
        <w:rPr>
          <w:rFonts w:hint="eastAsia" w:ascii="宋体" w:hAnsi="宋体" w:eastAsia="宋体" w:cs="宋体"/>
          <w:color w:val="auto"/>
          <w:kern w:val="28"/>
          <w:sz w:val="21"/>
          <w:szCs w:val="21"/>
          <w:highlight w:val="none"/>
        </w:rPr>
        <w:t>本</w:t>
      </w:r>
      <w:r>
        <w:rPr>
          <w:rFonts w:hint="eastAsia" w:ascii="宋体" w:hAnsi="宋体" w:eastAsia="宋体" w:cs="宋体"/>
          <w:color w:val="auto"/>
          <w:kern w:val="28"/>
          <w:sz w:val="21"/>
          <w:szCs w:val="21"/>
          <w:highlight w:val="none"/>
          <w:lang w:eastAsia="zh-CN"/>
        </w:rPr>
        <w:t>工程</w:t>
      </w:r>
      <w:r>
        <w:rPr>
          <w:rFonts w:hint="eastAsia" w:ascii="宋体" w:hAnsi="宋体" w:eastAsia="宋体" w:cs="宋体"/>
          <w:color w:val="auto"/>
          <w:kern w:val="28"/>
          <w:sz w:val="21"/>
          <w:szCs w:val="21"/>
          <w:highlight w:val="none"/>
        </w:rPr>
        <w:t>无预付款</w:t>
      </w:r>
      <w:bookmarkEnd w:id="108"/>
      <w:bookmarkStart w:id="109" w:name="_Toc479247488"/>
      <w:r>
        <w:rPr>
          <w:rFonts w:hint="eastAsia" w:ascii="宋体" w:hAnsi="宋体" w:eastAsia="宋体" w:cs="宋体"/>
          <w:color w:val="auto"/>
          <w:kern w:val="28"/>
          <w:sz w:val="21"/>
          <w:szCs w:val="21"/>
          <w:highlight w:val="none"/>
          <w:lang w:eastAsia="zh-CN"/>
        </w:rPr>
        <w:t>，在</w:t>
      </w:r>
      <w:r>
        <w:rPr>
          <w:rFonts w:hint="eastAsia" w:ascii="宋体" w:hAnsi="宋体" w:eastAsia="宋体" w:cs="宋体"/>
          <w:color w:val="auto"/>
          <w:kern w:val="28"/>
          <w:sz w:val="21"/>
          <w:szCs w:val="21"/>
          <w:highlight w:val="none"/>
        </w:rPr>
        <w:t>工程竣工验收合格移交竣工资料后，支付至</w:t>
      </w:r>
      <w:r>
        <w:rPr>
          <w:rFonts w:hint="eastAsia" w:ascii="宋体" w:hAnsi="宋体" w:eastAsia="宋体" w:cs="宋体"/>
          <w:color w:val="auto"/>
          <w:kern w:val="28"/>
          <w:sz w:val="21"/>
          <w:szCs w:val="21"/>
          <w:highlight w:val="none"/>
          <w:lang w:eastAsia="zh-CN"/>
        </w:rPr>
        <w:t>实际竣工计量金额</w:t>
      </w:r>
      <w:r>
        <w:rPr>
          <w:rFonts w:hint="eastAsia" w:ascii="宋体" w:hAnsi="宋体" w:eastAsia="宋体" w:cs="宋体"/>
          <w:color w:val="auto"/>
          <w:kern w:val="28"/>
          <w:sz w:val="21"/>
          <w:szCs w:val="21"/>
          <w:highlight w:val="none"/>
        </w:rPr>
        <w:t>的70%</w:t>
      </w:r>
      <w:r>
        <w:rPr>
          <w:rFonts w:hint="eastAsia" w:ascii="宋体" w:hAnsi="宋体" w:eastAsia="宋体" w:cs="宋体"/>
          <w:color w:val="auto"/>
          <w:kern w:val="28"/>
          <w:sz w:val="21"/>
          <w:szCs w:val="21"/>
          <w:highlight w:val="none"/>
          <w:lang w:eastAsia="zh-CN"/>
        </w:rPr>
        <w:t>，但支付金额不得超过合同价的</w:t>
      </w:r>
      <w:r>
        <w:rPr>
          <w:rFonts w:hint="eastAsia" w:ascii="宋体" w:hAnsi="宋体" w:eastAsia="宋体" w:cs="宋体"/>
          <w:color w:val="auto"/>
          <w:kern w:val="28"/>
          <w:sz w:val="21"/>
          <w:szCs w:val="21"/>
          <w:highlight w:val="none"/>
          <w:lang w:val="en-US" w:eastAsia="zh-CN"/>
        </w:rPr>
        <w:t>70%</w:t>
      </w:r>
      <w:r>
        <w:rPr>
          <w:rFonts w:hint="eastAsia" w:ascii="宋体" w:hAnsi="宋体" w:eastAsia="宋体" w:cs="宋体"/>
          <w:color w:val="auto"/>
          <w:kern w:val="28"/>
          <w:sz w:val="21"/>
          <w:szCs w:val="21"/>
          <w:highlight w:val="none"/>
        </w:rPr>
        <w:t>；</w:t>
      </w:r>
      <w:bookmarkEnd w:id="109"/>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0" w:name="_Toc479247489"/>
      <w:r>
        <w:rPr>
          <w:rFonts w:hint="eastAsia" w:ascii="宋体" w:hAnsi="宋体" w:eastAsia="宋体" w:cs="宋体"/>
          <w:color w:val="auto"/>
          <w:kern w:val="28"/>
          <w:sz w:val="21"/>
          <w:szCs w:val="21"/>
          <w:highlight w:val="none"/>
          <w:lang w:val="en-US" w:eastAsia="zh-CN"/>
        </w:rPr>
        <w:t>11.2</w:t>
      </w:r>
      <w:r>
        <w:rPr>
          <w:rFonts w:hint="eastAsia" w:ascii="宋体" w:hAnsi="宋体" w:eastAsia="宋体" w:cs="宋体"/>
          <w:color w:val="auto"/>
          <w:kern w:val="28"/>
          <w:sz w:val="21"/>
          <w:szCs w:val="21"/>
          <w:highlight w:val="none"/>
          <w:lang w:eastAsia="zh-CN"/>
        </w:rPr>
        <w:t>工程竣工结算</w:t>
      </w:r>
      <w:r>
        <w:rPr>
          <w:rFonts w:hint="eastAsia" w:ascii="宋体" w:hAnsi="宋体" w:eastAsia="宋体" w:cs="宋体"/>
          <w:color w:val="auto"/>
          <w:kern w:val="28"/>
          <w:sz w:val="21"/>
          <w:szCs w:val="21"/>
          <w:highlight w:val="none"/>
          <w:lang w:val="en-US" w:eastAsia="zh-CN"/>
        </w:rPr>
        <w:t>经甲方审定后，支付至结算价格</w:t>
      </w:r>
      <w:r>
        <w:rPr>
          <w:rFonts w:hint="eastAsia" w:ascii="宋体" w:hAnsi="宋体" w:eastAsia="宋体" w:cs="宋体"/>
          <w:color w:val="auto"/>
          <w:kern w:val="28"/>
          <w:sz w:val="21"/>
          <w:szCs w:val="21"/>
          <w:highlight w:val="none"/>
        </w:rPr>
        <w:t>的9</w:t>
      </w:r>
      <w:r>
        <w:rPr>
          <w:rFonts w:hint="eastAsia" w:ascii="宋体" w:hAnsi="宋体" w:eastAsia="宋体" w:cs="宋体"/>
          <w:color w:val="auto"/>
          <w:kern w:val="28"/>
          <w:sz w:val="21"/>
          <w:szCs w:val="21"/>
          <w:highlight w:val="none"/>
          <w:lang w:val="en-US" w:eastAsia="zh-CN"/>
        </w:rPr>
        <w:t>7</w:t>
      </w:r>
      <w:r>
        <w:rPr>
          <w:rFonts w:hint="eastAsia" w:ascii="宋体" w:hAnsi="宋体" w:eastAsia="宋体" w:cs="宋体"/>
          <w:color w:val="auto"/>
          <w:kern w:val="28"/>
          <w:sz w:val="21"/>
          <w:szCs w:val="21"/>
          <w:highlight w:val="none"/>
        </w:rPr>
        <w:t>%（开具本合同总价款100%、合法有效的增值税专用发票原件）</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剩下的</w:t>
      </w:r>
      <w:r>
        <w:rPr>
          <w:rFonts w:hint="eastAsia" w:ascii="宋体" w:hAnsi="宋体" w:eastAsia="宋体" w:cs="宋体"/>
          <w:color w:val="auto"/>
          <w:kern w:val="28"/>
          <w:sz w:val="21"/>
          <w:szCs w:val="21"/>
          <w:highlight w:val="none"/>
          <w:lang w:val="en-US" w:eastAsia="zh-CN"/>
        </w:rPr>
        <w:t>3</w:t>
      </w:r>
      <w:r>
        <w:rPr>
          <w:rFonts w:hint="eastAsia" w:ascii="宋体" w:hAnsi="宋体" w:eastAsia="宋体" w:cs="宋体"/>
          <w:color w:val="auto"/>
          <w:kern w:val="28"/>
          <w:sz w:val="21"/>
          <w:szCs w:val="21"/>
          <w:highlight w:val="none"/>
        </w:rPr>
        <w:t>%作为工程质量保证金，在已办理结算的前提下，保修期满后如无任何质量问题一次性无息付清；</w:t>
      </w:r>
      <w:bookmarkEnd w:id="110"/>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1" w:name="_Toc479247490"/>
      <w:r>
        <w:rPr>
          <w:rFonts w:hint="eastAsia" w:ascii="宋体" w:hAnsi="宋体" w:eastAsia="宋体" w:cs="宋体"/>
          <w:color w:val="auto"/>
          <w:kern w:val="28"/>
          <w:sz w:val="21"/>
          <w:szCs w:val="21"/>
          <w:highlight w:val="none"/>
          <w:lang w:val="en-US" w:eastAsia="zh-CN"/>
        </w:rPr>
        <w:t>11.3本合同以人民币结算，并采用银行转账方式支付</w:t>
      </w:r>
      <w:r>
        <w:rPr>
          <w:rFonts w:hint="eastAsia" w:ascii="宋体" w:hAnsi="宋体" w:eastAsia="宋体" w:cs="宋体"/>
          <w:color w:val="auto"/>
          <w:kern w:val="28"/>
          <w:sz w:val="21"/>
          <w:szCs w:val="21"/>
          <w:highlight w:val="none"/>
        </w:rPr>
        <w:t>。</w:t>
      </w:r>
      <w:bookmarkEnd w:id="111"/>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2" w:name="_Toc479247491"/>
      <w:r>
        <w:rPr>
          <w:rFonts w:hint="eastAsia" w:ascii="宋体" w:hAnsi="宋体" w:eastAsia="宋体" w:cs="宋体"/>
          <w:color w:val="auto"/>
          <w:kern w:val="28"/>
          <w:sz w:val="21"/>
          <w:szCs w:val="21"/>
          <w:highlight w:val="none"/>
          <w:lang w:val="en-US" w:eastAsia="zh-CN"/>
        </w:rPr>
        <w:t>11.4</w:t>
      </w:r>
      <w:r>
        <w:rPr>
          <w:rFonts w:hint="eastAsia" w:ascii="宋体" w:hAnsi="宋体" w:eastAsia="宋体" w:cs="宋体"/>
          <w:color w:val="auto"/>
          <w:kern w:val="28"/>
          <w:sz w:val="21"/>
          <w:szCs w:val="21"/>
          <w:highlight w:val="none"/>
        </w:rPr>
        <w:t>所有支付均在收到乙方提供的以下资料后支付：</w:t>
      </w:r>
      <w:bookmarkEnd w:id="112"/>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3" w:name="_Toc479247492"/>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1</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经甲方审批同意的支付申请和相关资料；</w:t>
      </w:r>
      <w:bookmarkEnd w:id="113"/>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4" w:name="_Toc479247493"/>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2</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相应的税务发票原件；</w:t>
      </w:r>
      <w:bookmarkEnd w:id="114"/>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bookmarkStart w:id="115" w:name="_Toc479247494"/>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lang w:val="en-US" w:eastAsia="zh-CN"/>
        </w:rPr>
        <w:t>3</w:t>
      </w:r>
      <w:r>
        <w:rPr>
          <w:rFonts w:hint="eastAsia" w:ascii="宋体" w:hAnsi="宋体" w:eastAsia="宋体" w:cs="宋体"/>
          <w:color w:val="auto"/>
          <w:kern w:val="28"/>
          <w:sz w:val="21"/>
          <w:szCs w:val="21"/>
          <w:highlight w:val="none"/>
          <w:lang w:eastAsia="zh-CN"/>
        </w:rPr>
        <w:t>）</w:t>
      </w:r>
      <w:r>
        <w:rPr>
          <w:rFonts w:hint="eastAsia" w:ascii="宋体" w:hAnsi="宋体" w:eastAsia="宋体" w:cs="宋体"/>
          <w:color w:val="auto"/>
          <w:kern w:val="28"/>
          <w:sz w:val="21"/>
          <w:szCs w:val="21"/>
          <w:highlight w:val="none"/>
        </w:rPr>
        <w:t>本合同约定的其他结算资料。</w:t>
      </w:r>
      <w:bookmarkEnd w:id="115"/>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乙方未按约定提供上述材料的，甲方有权不予支付本合同约定价款，且不构成违约。</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由于乙方提供的发票不符合税务部门的要求，从而给甲方造成的经济损失，由乙方承担全部赔偿责任。乙方开具的发票在送达甲方后如发生丢失、灭失、或被盗等，乙方有义务配合甲方按规定、要求在税法规定期限内办理有关的进项税额的认证抵扣手续。</w:t>
      </w:r>
    </w:p>
    <w:p>
      <w:pPr>
        <w:pStyle w:val="35"/>
        <w:keepNext w:val="0"/>
        <w:keepLines w:val="0"/>
        <w:pageBreakBefore w:val="0"/>
        <w:widowControl w:val="0"/>
        <w:kinsoku/>
        <w:wordWrap/>
        <w:overflowPunct/>
        <w:topLinePunct w:val="0"/>
        <w:autoSpaceDE/>
        <w:autoSpaceDN/>
        <w:bidi w:val="0"/>
        <w:adjustRightInd w:val="0"/>
        <w:snapToGrid w:val="0"/>
        <w:spacing w:before="0" w:after="0" w:line="360" w:lineRule="auto"/>
        <w:jc w:val="both"/>
        <w:textAlignment w:val="auto"/>
        <w:rPr>
          <w:rFonts w:hint="eastAsia" w:ascii="宋体" w:hAnsi="宋体" w:eastAsia="宋体" w:cs="宋体"/>
          <w:b/>
          <w:bCs/>
          <w:color w:val="auto"/>
          <w:sz w:val="21"/>
          <w:szCs w:val="21"/>
          <w:highlight w:val="none"/>
        </w:rPr>
      </w:pPr>
      <w:bookmarkStart w:id="116" w:name="_Toc414154016"/>
      <w:r>
        <w:rPr>
          <w:rFonts w:hint="eastAsia" w:ascii="宋体" w:hAnsi="宋体" w:eastAsia="宋体" w:cs="宋体"/>
          <w:b/>
          <w:bCs/>
          <w:color w:val="auto"/>
          <w:kern w:val="2"/>
          <w:sz w:val="21"/>
          <w:szCs w:val="21"/>
          <w:highlight w:val="none"/>
          <w:lang w:eastAsia="zh-CN"/>
        </w:rPr>
        <w:t>12</w:t>
      </w:r>
      <w:r>
        <w:rPr>
          <w:rFonts w:hint="eastAsia" w:ascii="宋体" w:hAnsi="宋体" w:eastAsia="宋体" w:cs="宋体"/>
          <w:b/>
          <w:bCs/>
          <w:color w:val="auto"/>
          <w:kern w:val="2"/>
          <w:sz w:val="21"/>
          <w:szCs w:val="21"/>
          <w:highlight w:val="none"/>
        </w:rPr>
        <w:t>、违约</w:t>
      </w:r>
      <w:bookmarkEnd w:id="116"/>
      <w:r>
        <w:rPr>
          <w:rFonts w:hint="eastAsia" w:ascii="宋体" w:hAnsi="宋体" w:eastAsia="宋体" w:cs="宋体"/>
          <w:b/>
          <w:bCs/>
          <w:color w:val="auto"/>
          <w:kern w:val="2"/>
          <w:sz w:val="21"/>
          <w:szCs w:val="21"/>
          <w:highlight w:val="none"/>
        </w:rPr>
        <w:t>责任</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12.1承包人</w:t>
      </w:r>
      <w:r>
        <w:rPr>
          <w:rFonts w:hint="eastAsia" w:ascii="宋体" w:hAnsi="宋体" w:eastAsia="宋体" w:cs="宋体"/>
          <w:strike w:val="0"/>
          <w:dstrike w:val="0"/>
          <w:color w:val="auto"/>
          <w:sz w:val="21"/>
          <w:szCs w:val="21"/>
          <w:highlight w:val="none"/>
        </w:rPr>
        <w:t>因自身</w:t>
      </w:r>
      <w:r>
        <w:rPr>
          <w:rFonts w:hint="eastAsia" w:ascii="宋体" w:hAnsi="宋体" w:eastAsia="宋体" w:cs="宋体"/>
          <w:color w:val="auto"/>
          <w:kern w:val="28"/>
          <w:sz w:val="21"/>
          <w:szCs w:val="21"/>
          <w:highlight w:val="none"/>
          <w:lang w:val="en-US" w:eastAsia="zh-CN"/>
        </w:rPr>
        <w:t>原因</w:t>
      </w:r>
      <w:r>
        <w:rPr>
          <w:rFonts w:hint="eastAsia" w:ascii="宋体" w:hAnsi="宋体" w:eastAsia="宋体" w:cs="宋体"/>
          <w:color w:val="auto"/>
          <w:sz w:val="21"/>
          <w:szCs w:val="21"/>
          <w:highlight w:val="none"/>
        </w:rPr>
        <w:t>未能按合同要求完成工程施工的，每延误一天应向发包人交纳500元的违约金。</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12.2</w:t>
      </w:r>
      <w:r>
        <w:rPr>
          <w:rFonts w:hint="eastAsia" w:ascii="宋体" w:hAnsi="宋体" w:eastAsia="宋体" w:cs="宋体"/>
          <w:color w:val="auto"/>
          <w:sz w:val="21"/>
          <w:szCs w:val="21"/>
          <w:highlight w:val="none"/>
        </w:rPr>
        <w:t>承包人违反合同约定采购和使用不合格的材料和工程设备，每查实一次应按2000元/次向发包人交纳违约金，并负责更换合格的材料和工程设备直至发包人满意为止，由此产生的相关费用由承包人承担。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12.3</w:t>
      </w:r>
      <w:r>
        <w:rPr>
          <w:rFonts w:hint="eastAsia" w:ascii="宋体" w:hAnsi="宋体" w:eastAsia="宋体" w:cs="宋体"/>
          <w:color w:val="auto"/>
          <w:sz w:val="21"/>
          <w:szCs w:val="21"/>
          <w:highlight w:val="none"/>
        </w:rPr>
        <w:t>在施工过程中，</w:t>
      </w:r>
      <w:r>
        <w:rPr>
          <w:rFonts w:hint="eastAsia" w:ascii="宋体" w:hAnsi="宋体" w:eastAsia="宋体" w:cs="宋体"/>
          <w:color w:val="auto"/>
          <w:kern w:val="28"/>
          <w:sz w:val="21"/>
          <w:szCs w:val="21"/>
          <w:highlight w:val="none"/>
          <w:lang w:val="en-US" w:eastAsia="zh-CN"/>
        </w:rPr>
        <w:t>承包人</w:t>
      </w:r>
      <w:r>
        <w:rPr>
          <w:rFonts w:hint="eastAsia" w:ascii="宋体" w:hAnsi="宋体" w:eastAsia="宋体" w:cs="宋体"/>
          <w:color w:val="auto"/>
          <w:sz w:val="21"/>
          <w:szCs w:val="21"/>
          <w:highlight w:val="none"/>
        </w:rPr>
        <w:t>存在质量安全隐患及不文明行为情况，且未根据相关部门要求及时整改的，承包人应向发包人交纳2000元/次·处的违约金，并通报批评。</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12.4</w:t>
      </w:r>
      <w:r>
        <w:rPr>
          <w:rFonts w:hint="eastAsia" w:ascii="宋体" w:hAnsi="宋体" w:eastAsia="宋体" w:cs="宋体"/>
          <w:color w:val="auto"/>
          <w:sz w:val="21"/>
          <w:szCs w:val="21"/>
          <w:highlight w:val="none"/>
        </w:rPr>
        <w:t>在施工过程中，发生一般等级及以上质量安全责任事故的，按照国家相关规定调查处理，由承包人承担相应的责任和损失，承包人应向发包人交纳1万元的违约金。</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13、发包人的权利义务</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13.1发包人应遵守法律，并办理法律规定由发包人办理的许可、批准或备案，并协助承包人办理法律规定的应由承包人办理的有关施工证件和批件。</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发包人应书面通知承包人其派驻施工现场的发包人代表的姓名、职务、联系方式及授权范围等事项。发包人代表在发包人的授权范围内，负责处理合同履行过程中与发包人有关的具体事宜。</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发包人应最迟于开工日期 7 天前向承包人移交施工现场。发包人应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发包人应按合同约定向承包人及时支付合同价款，并组织竣工验收。</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发包人为保证工程质量、安全、进度和为规范市场行为、资金支付等下发的工程管理规定作为本合同的组成部分，承包人承诺在合同履约期间严格遵守；否则，发包人有权采取经济措施、勒令撤换人员、调整工程内容等以确保相关要求的落实。因承包人不遵照发包人下发的工程管理规定给发包人造成的损失，由承包人承担。</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合同履约过程中，承包人出现以下违约行为的，发包人有权单方解除合同：</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（1）承包人进行转包或违法分包的。</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（2）承包人的违约行为产生的违约金累计达到签约合同价的10%的。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14、承包人的权利义务</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14.1承包人应按照法律规定及合同约定组织完成工程施工，确保工程质量和安全，不进行转包及违法分包。</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14.2承包人应办理法律规定由承包人办理的许可和批准，并将办理结果书面报送发包人留存。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14.3承包人应按合同约定的工作内容和施工进度要求，编制施工组织设计和施工措施计划，并对所有施工作业和施工方法的完备性和安全可靠性负责。</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14.4承包人应将发包人按合同约定支付的各项价款专用于合同工程，且应及时支付其雇用人员工资，确保民工工资及时足额发放，并及时向分包人支付合同价款。</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14.5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14.6承包人应按照法律规定和合同约定编制竣工资料，完成竣工资料立卷及归档，并向发包人提交用于存档的不少于</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套竣工资料，相关费用已含在签约合同价中。</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14.7承包人应自行解决施工所需的水、电、通讯、场内道路以及施工、办公、生活所需的临时房屋、办公设备、施工设备等设施、设备，相关费用已含在签约合同价中。</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14.8承包人应当预计到施工期间对外界可能产生的必需的不可能避免的干扰，应当积极主动与外界进行协调。承包人有责任维护发包人在市民中的企业形象，若因工程原因发生骚乱等对发包人有影响的重大事件，承包人要负全责，造成发包人被第三方索赔，发包人保留向承包人索赔的权利。</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14.9承包人指派</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为本工程的项目负责人，具体处理本工程施工过程中的各项事务。</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14.10因政策变化、不可抗力及合同当事人之外的原因导致合同暂停，承包人应妥善做好已完工程、已购材料和工程设备的保护。</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15、补充条款</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i/>
          <w:color w:val="auto"/>
          <w:sz w:val="21"/>
          <w:szCs w:val="21"/>
          <w:highlight w:val="none"/>
        </w:rPr>
      </w:pPr>
      <w:r>
        <w:rPr>
          <w:rFonts w:hint="eastAsia" w:ascii="宋体" w:hAnsi="宋体" w:eastAsia="宋体" w:cs="宋体"/>
          <w:b/>
          <w:color w:val="auto"/>
          <w:sz w:val="21"/>
          <w:szCs w:val="21"/>
          <w:highlight w:val="none"/>
          <w:u w:val="single"/>
        </w:rPr>
        <w:t xml:space="preserve">    </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16、其他</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16.1合同当事人应在颁发工程接收证书后 7 天内完成工程的移交。工程移交前，承包人应负责工程照管、成品保护、保管等，并承担与之有关的各项费用。</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16.2因合同及合同有关事项产生的争议，合同当事人可以向有</w:t>
      </w:r>
      <w:r>
        <w:rPr>
          <w:rFonts w:hint="eastAsia" w:ascii="宋体" w:hAnsi="宋体" w:eastAsia="宋体" w:cs="宋体"/>
          <w:color w:val="auto"/>
          <w:sz w:val="21"/>
          <w:szCs w:val="21"/>
          <w:highlight w:val="none"/>
          <w:u w:val="single"/>
        </w:rPr>
        <w:t>本合同签订地的人民法院</w:t>
      </w:r>
      <w:r>
        <w:rPr>
          <w:rFonts w:hint="eastAsia" w:ascii="宋体" w:hAnsi="宋体" w:eastAsia="宋体" w:cs="宋体"/>
          <w:color w:val="auto"/>
          <w:sz w:val="21"/>
          <w:szCs w:val="21"/>
          <w:highlight w:val="none"/>
        </w:rPr>
        <w:t>起诉。</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16.3合同未尽事宜，合同当事人另行签订补充协议，补充协议是合同的组成部分。</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16.4本合同自</w:t>
      </w:r>
      <w:r>
        <w:rPr>
          <w:rFonts w:hint="eastAsia" w:ascii="宋体" w:hAnsi="宋体" w:eastAsia="宋体" w:cs="宋体"/>
          <w:color w:val="auto"/>
          <w:sz w:val="21"/>
          <w:szCs w:val="21"/>
          <w:highlight w:val="none"/>
          <w:u w:val="none"/>
        </w:rPr>
        <w:t xml:space="preserve"> 双方法定代表人或授权</w:t>
      </w:r>
      <w:r>
        <w:rPr>
          <w:rFonts w:hint="eastAsia" w:ascii="宋体" w:hAnsi="宋体" w:eastAsia="宋体" w:cs="宋体"/>
          <w:color w:val="auto"/>
          <w:sz w:val="21"/>
          <w:szCs w:val="21"/>
          <w:highlight w:val="none"/>
          <w:u w:val="none"/>
          <w:lang w:eastAsia="zh-CN"/>
        </w:rPr>
        <w:t>代表</w:t>
      </w:r>
      <w:r>
        <w:rPr>
          <w:rFonts w:hint="eastAsia" w:ascii="宋体" w:hAnsi="宋体" w:eastAsia="宋体" w:cs="宋体"/>
          <w:color w:val="auto"/>
          <w:sz w:val="21"/>
          <w:szCs w:val="21"/>
          <w:highlight w:val="none"/>
          <w:u w:val="none"/>
        </w:rPr>
        <w:t>签字，加盖</w:t>
      </w:r>
      <w:r>
        <w:rPr>
          <w:rFonts w:hint="eastAsia" w:ascii="宋体" w:hAnsi="宋体" w:eastAsia="宋体" w:cs="宋体"/>
          <w:color w:val="auto"/>
          <w:sz w:val="21"/>
          <w:szCs w:val="21"/>
          <w:highlight w:val="none"/>
          <w:u w:val="none"/>
          <w:lang w:eastAsia="zh-CN"/>
        </w:rPr>
        <w:t>公章或</w:t>
      </w:r>
      <w:r>
        <w:rPr>
          <w:rFonts w:hint="eastAsia" w:ascii="宋体" w:hAnsi="宋体" w:eastAsia="宋体" w:cs="宋体"/>
          <w:color w:val="auto"/>
          <w:sz w:val="21"/>
          <w:szCs w:val="21"/>
          <w:highlight w:val="none"/>
          <w:u w:val="none"/>
        </w:rPr>
        <w:t xml:space="preserve">合同专用章后 </w:t>
      </w:r>
      <w:r>
        <w:rPr>
          <w:rFonts w:hint="eastAsia" w:ascii="宋体" w:hAnsi="宋体" w:eastAsia="宋体" w:cs="宋体"/>
          <w:color w:val="auto"/>
          <w:sz w:val="21"/>
          <w:szCs w:val="21"/>
          <w:highlight w:val="none"/>
        </w:rPr>
        <w:t>生效。</w:t>
      </w:r>
    </w:p>
    <w:p>
      <w:pPr>
        <w:keepNext w:val="0"/>
        <w:keepLines w:val="0"/>
        <w:pageBreakBefore w:val="0"/>
        <w:widowControl w:val="0"/>
        <w:kinsoku/>
        <w:wordWrap/>
        <w:overflowPunct/>
        <w:topLinePunct w:val="0"/>
        <w:autoSpaceDE/>
        <w:autoSpaceDN/>
        <w:bidi w:val="0"/>
        <w:adjustRightInd w:val="0"/>
        <w:snapToGrid w:val="0"/>
        <w:spacing w:line="360" w:lineRule="auto"/>
        <w:ind w:firstLine="645"/>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rPr>
        <w:t>16.5</w:t>
      </w:r>
      <w:r>
        <w:rPr>
          <w:rFonts w:hint="eastAsia" w:ascii="宋体" w:hAnsi="宋体" w:eastAsia="宋体" w:cs="宋体"/>
          <w:color w:val="auto"/>
          <w:sz w:val="21"/>
          <w:szCs w:val="21"/>
          <w:highlight w:val="none"/>
          <w:u w:val="none"/>
        </w:rPr>
        <w:t>本合同一式</w:t>
      </w:r>
      <w:r>
        <w:rPr>
          <w:rFonts w:hint="eastAsia" w:ascii="宋体" w:hAnsi="宋体" w:eastAsia="宋体" w:cs="宋体"/>
          <w:color w:val="auto"/>
          <w:sz w:val="21"/>
          <w:szCs w:val="21"/>
          <w:highlight w:val="none"/>
          <w:u w:val="none"/>
          <w:lang w:eastAsia="zh-CN"/>
        </w:rPr>
        <w:t>八</w:t>
      </w:r>
      <w:r>
        <w:rPr>
          <w:rFonts w:hint="eastAsia" w:ascii="宋体" w:hAnsi="宋体" w:eastAsia="宋体" w:cs="宋体"/>
          <w:color w:val="auto"/>
          <w:sz w:val="21"/>
          <w:szCs w:val="21"/>
          <w:highlight w:val="none"/>
          <w:u w:val="none"/>
        </w:rPr>
        <w:t>份（二正</w:t>
      </w:r>
      <w:r>
        <w:rPr>
          <w:rFonts w:hint="eastAsia" w:ascii="宋体" w:hAnsi="宋体" w:eastAsia="宋体" w:cs="宋体"/>
          <w:color w:val="auto"/>
          <w:sz w:val="21"/>
          <w:szCs w:val="21"/>
          <w:highlight w:val="none"/>
          <w:u w:val="none"/>
          <w:lang w:eastAsia="zh-CN"/>
        </w:rPr>
        <w:t>六</w:t>
      </w:r>
      <w:r>
        <w:rPr>
          <w:rFonts w:hint="eastAsia" w:ascii="宋体" w:hAnsi="宋体" w:eastAsia="宋体" w:cs="宋体"/>
          <w:color w:val="auto"/>
          <w:sz w:val="21"/>
          <w:szCs w:val="21"/>
          <w:highlight w:val="none"/>
          <w:u w:val="none"/>
        </w:rPr>
        <w:t>副），发包人执</w:t>
      </w:r>
      <w:r>
        <w:rPr>
          <w:rFonts w:hint="eastAsia" w:ascii="宋体" w:hAnsi="宋体" w:eastAsia="宋体" w:cs="宋体"/>
          <w:color w:val="auto"/>
          <w:sz w:val="21"/>
          <w:szCs w:val="21"/>
          <w:highlight w:val="none"/>
          <w:u w:val="none"/>
          <w:lang w:eastAsia="zh-CN"/>
        </w:rPr>
        <w:t>六</w:t>
      </w:r>
      <w:r>
        <w:rPr>
          <w:rFonts w:hint="eastAsia" w:ascii="宋体" w:hAnsi="宋体" w:eastAsia="宋体" w:cs="宋体"/>
          <w:color w:val="auto"/>
          <w:sz w:val="21"/>
          <w:szCs w:val="21"/>
          <w:highlight w:val="none"/>
          <w:u w:val="none"/>
        </w:rPr>
        <w:t>份（一正</w:t>
      </w:r>
      <w:r>
        <w:rPr>
          <w:rFonts w:hint="eastAsia" w:ascii="宋体" w:hAnsi="宋体" w:eastAsia="宋体" w:cs="宋体"/>
          <w:color w:val="auto"/>
          <w:sz w:val="21"/>
          <w:szCs w:val="21"/>
          <w:highlight w:val="none"/>
          <w:u w:val="none"/>
          <w:lang w:eastAsia="zh-CN"/>
        </w:rPr>
        <w:t>五</w:t>
      </w:r>
      <w:r>
        <w:rPr>
          <w:rFonts w:hint="eastAsia" w:ascii="宋体" w:hAnsi="宋体" w:eastAsia="宋体" w:cs="宋体"/>
          <w:color w:val="auto"/>
          <w:sz w:val="21"/>
          <w:szCs w:val="21"/>
          <w:highlight w:val="none"/>
          <w:u w:val="none"/>
        </w:rPr>
        <w:t>副），承包人执</w:t>
      </w:r>
      <w:r>
        <w:rPr>
          <w:rFonts w:hint="eastAsia" w:ascii="宋体" w:hAnsi="宋体" w:eastAsia="宋体" w:cs="宋体"/>
          <w:color w:val="auto"/>
          <w:sz w:val="21"/>
          <w:szCs w:val="21"/>
          <w:highlight w:val="none"/>
          <w:u w:val="none"/>
          <w:lang w:eastAsia="zh-CN"/>
        </w:rPr>
        <w:t>二</w:t>
      </w:r>
      <w:r>
        <w:rPr>
          <w:rFonts w:hint="eastAsia" w:ascii="宋体" w:hAnsi="宋体" w:eastAsia="宋体" w:cs="宋体"/>
          <w:color w:val="auto"/>
          <w:sz w:val="21"/>
          <w:szCs w:val="21"/>
          <w:highlight w:val="none"/>
          <w:u w:val="none"/>
        </w:rPr>
        <w:t>份（一正</w:t>
      </w:r>
      <w:r>
        <w:rPr>
          <w:rFonts w:hint="eastAsia" w:ascii="宋体" w:hAnsi="宋体" w:eastAsia="宋体" w:cs="宋体"/>
          <w:color w:val="auto"/>
          <w:sz w:val="21"/>
          <w:szCs w:val="21"/>
          <w:highlight w:val="none"/>
          <w:u w:val="none"/>
          <w:lang w:eastAsia="zh-CN"/>
        </w:rPr>
        <w:t>一</w:t>
      </w:r>
      <w:r>
        <w:rPr>
          <w:rFonts w:hint="eastAsia" w:ascii="宋体" w:hAnsi="宋体" w:eastAsia="宋体" w:cs="宋体"/>
          <w:color w:val="auto"/>
          <w:sz w:val="21"/>
          <w:szCs w:val="21"/>
          <w:highlight w:val="none"/>
          <w:u w:val="none"/>
        </w:rPr>
        <w:t>副）。合同正本和副本均具有同等法律效力，当合同副本与正本存有差异时，以合同正本为准。</w:t>
      </w: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color w:val="auto"/>
          <w:highlight w:val="none"/>
        </w:rPr>
      </w:pPr>
    </w:p>
    <w:p>
      <w:pPr>
        <w:pStyle w:val="14"/>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（以下无正文条款）</w:t>
      </w:r>
    </w:p>
    <w:p>
      <w:pPr>
        <w:keepNext w:val="0"/>
        <w:keepLines w:val="0"/>
        <w:pageBreakBefore w:val="0"/>
        <w:widowControl w:val="0"/>
        <w:kinsoku/>
        <w:wordWrap/>
        <w:overflowPunct/>
        <w:topLinePunct w:val="0"/>
        <w:autoSpaceDE/>
        <w:autoSpaceDN/>
        <w:bidi w:val="0"/>
        <w:adjustRightInd w:val="0"/>
        <w:snapToGrid w:val="0"/>
        <w:spacing w:line="360" w:lineRule="auto"/>
        <w:ind w:firstLine="630"/>
        <w:textAlignment w:val="auto"/>
        <w:rPr>
          <w:rFonts w:hint="eastAsia" w:ascii="宋体" w:hAnsi="宋体" w:eastAsia="宋体" w:cs="宋体"/>
          <w:color w:val="auto"/>
          <w:sz w:val="21"/>
          <w:szCs w:val="21"/>
          <w:highlight w:val="none"/>
        </w:rPr>
      </w:pPr>
    </w:p>
    <w:bookmarkEnd w:id="104"/>
    <w:tbl>
      <w:tblPr>
        <w:tblStyle w:val="46"/>
        <w:tblW w:w="8600" w:type="dxa"/>
        <w:jc w:val="center"/>
        <w:tblLayout w:type="fixed"/>
        <w:tblCellMar>
          <w:top w:w="0" w:type="dxa"/>
          <w:left w:w="108" w:type="dxa"/>
          <w:bottom w:w="0" w:type="dxa"/>
          <w:right w:w="108" w:type="dxa"/>
        </w:tblCellMar>
      </w:tblPr>
      <w:tblGrid>
        <w:gridCol w:w="4406"/>
        <w:gridCol w:w="4194"/>
      </w:tblGrid>
      <w:tr>
        <w:tblPrEx>
          <w:tblCellMar>
            <w:top w:w="0" w:type="dxa"/>
            <w:left w:w="108" w:type="dxa"/>
            <w:bottom w:w="0" w:type="dxa"/>
            <w:right w:w="108" w:type="dxa"/>
          </w:tblCellMar>
        </w:tblPrEx>
        <w:trPr>
          <w:trHeight w:val="661"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甲方：(盖章)</w:t>
            </w:r>
          </w:p>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乙方：（盖章）</w:t>
            </w:r>
          </w:p>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769"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34" w:leftChars="16"/>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法定代表人或其授权代表：</w:t>
            </w:r>
          </w:p>
        </w:tc>
      </w:tr>
      <w:tr>
        <w:tblPrEx>
          <w:tblCellMar>
            <w:top w:w="0" w:type="dxa"/>
            <w:left w:w="108" w:type="dxa"/>
            <w:bottom w:w="0" w:type="dxa"/>
            <w:right w:w="108" w:type="dxa"/>
          </w:tblCellMar>
        </w:tblPrEx>
        <w:trPr>
          <w:trHeight w:val="462"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址：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址：  </w:t>
            </w:r>
          </w:p>
        </w:tc>
      </w:tr>
      <w:tr>
        <w:tblPrEx>
          <w:tblCellMar>
            <w:top w:w="0" w:type="dxa"/>
            <w:left w:w="108" w:type="dxa"/>
            <w:bottom w:w="0" w:type="dxa"/>
            <w:right w:w="108" w:type="dxa"/>
          </w:tblCellMar>
        </w:tblPrEx>
        <w:trPr>
          <w:trHeight w:val="489"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编：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编： </w:t>
            </w:r>
          </w:p>
        </w:tc>
      </w:tr>
      <w:tr>
        <w:tblPrEx>
          <w:tblCellMar>
            <w:top w:w="0" w:type="dxa"/>
            <w:left w:w="108" w:type="dxa"/>
            <w:bottom w:w="0" w:type="dxa"/>
            <w:right w:w="108" w:type="dxa"/>
          </w:tblCellMar>
        </w:tblPrEx>
        <w:trPr>
          <w:trHeight w:val="90"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话：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话： </w:t>
            </w:r>
          </w:p>
        </w:tc>
      </w:tr>
      <w:tr>
        <w:tblPrEx>
          <w:tblCellMar>
            <w:top w:w="0" w:type="dxa"/>
            <w:left w:w="108" w:type="dxa"/>
            <w:bottom w:w="0" w:type="dxa"/>
            <w:right w:w="108" w:type="dxa"/>
          </w:tblCellMar>
        </w:tblPrEx>
        <w:trPr>
          <w:trHeight w:val="561"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真： </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真： </w:t>
            </w:r>
          </w:p>
        </w:tc>
      </w:tr>
      <w:tr>
        <w:tblPrEx>
          <w:tblCellMar>
            <w:top w:w="0" w:type="dxa"/>
            <w:left w:w="108" w:type="dxa"/>
            <w:bottom w:w="0" w:type="dxa"/>
            <w:right w:w="108" w:type="dxa"/>
          </w:tblCellMar>
        </w:tblPrEx>
        <w:trPr>
          <w:trHeight w:val="397"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r>
      <w:tr>
        <w:tblPrEx>
          <w:tblCellMar>
            <w:top w:w="0" w:type="dxa"/>
            <w:left w:w="108" w:type="dxa"/>
            <w:bottom w:w="0" w:type="dxa"/>
            <w:right w:w="108" w:type="dxa"/>
          </w:tblCellMar>
        </w:tblPrEx>
        <w:trPr>
          <w:trHeight w:val="506"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号：</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号：</w:t>
            </w:r>
          </w:p>
        </w:tc>
      </w:tr>
      <w:tr>
        <w:tblPrEx>
          <w:tblCellMar>
            <w:top w:w="0" w:type="dxa"/>
            <w:left w:w="108" w:type="dxa"/>
            <w:bottom w:w="0" w:type="dxa"/>
            <w:right w:w="108" w:type="dxa"/>
          </w:tblCellMar>
        </w:tblPrEx>
        <w:trPr>
          <w:trHeight w:val="247" w:hRule="atLeast"/>
          <w:jc w:val="center"/>
        </w:trPr>
        <w:tc>
          <w:tcPr>
            <w:tcW w:w="4406"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号：</w:t>
            </w:r>
          </w:p>
        </w:tc>
        <w:tc>
          <w:tcPr>
            <w:tcW w:w="4194" w:type="dxa"/>
            <w:tcBorders>
              <w:top w:val="nil"/>
              <w:left w:val="nil"/>
              <w:bottom w:val="nil"/>
              <w:right w:val="nil"/>
            </w:tcBorders>
            <w:noWrap w:val="0"/>
            <w:vAlign w:val="center"/>
          </w:tcPr>
          <w:p>
            <w:pPr>
              <w:pStyle w:val="26"/>
              <w:keepNext w:val="0"/>
              <w:keepLines w:val="0"/>
              <w:pageBreakBefore w:val="0"/>
              <w:widowControl w:val="0"/>
              <w:kinsoku/>
              <w:wordWrap/>
              <w:overflowPunct/>
              <w:topLinePunct w:val="0"/>
              <w:autoSpaceDE/>
              <w:autoSpaceDN/>
              <w:bidi w:val="0"/>
              <w:snapToGrid w:val="0"/>
              <w:spacing w:line="360" w:lineRule="auto"/>
              <w:ind w:left="19" w:leftChars="9"/>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税</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号：</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32"/>
          <w:szCs w:val="32"/>
          <w:highlight w:val="none"/>
        </w:rPr>
        <w:sectPr>
          <w:headerReference r:id="rId12" w:type="default"/>
          <w:footerReference r:id="rId13" w:type="default"/>
          <w:pgSz w:w="11906" w:h="16838"/>
          <w:pgMar w:top="1191" w:right="1417" w:bottom="1191" w:left="1191" w:header="851" w:footer="992" w:gutter="0"/>
          <w:pgNumType w:fmt="decimal"/>
          <w:cols w:space="720" w:num="1"/>
          <w:docGrid w:type="lines" w:linePitch="312" w:charSpace="0"/>
        </w:sectPr>
      </w:pPr>
      <w:r>
        <w:rPr>
          <w:rFonts w:hint="eastAsia" w:ascii="宋体" w:hAnsi="宋体" w:eastAsia="宋体" w:cs="宋体"/>
          <w:color w:val="auto"/>
          <w:sz w:val="32"/>
          <w:szCs w:val="32"/>
          <w:highlight w:val="none"/>
        </w:rPr>
        <w:t xml:space="preserve"> </w:t>
      </w:r>
    </w:p>
    <w:p>
      <w:pPr>
        <w:keepNext w:val="0"/>
        <w:keepLines w:val="0"/>
        <w:pageBreakBefore w:val="0"/>
        <w:widowControl w:val="0"/>
        <w:numPr>
          <w:ilvl w:val="0"/>
          <w:numId w:val="0"/>
        </w:numPr>
        <w:tabs>
          <w:tab w:val="left" w:pos="2799"/>
        </w:tabs>
        <w:kinsoku/>
        <w:wordWrap/>
        <w:overflowPunct/>
        <w:topLinePunct w:val="0"/>
        <w:autoSpaceDE/>
        <w:autoSpaceDN/>
        <w:bidi w:val="0"/>
        <w:spacing w:line="360" w:lineRule="auto"/>
        <w:ind w:leftChars="0" w:right="0" w:rightChars="0"/>
        <w:jc w:val="center"/>
        <w:textAlignment w:val="auto"/>
        <w:rPr>
          <w:rFonts w:hint="eastAsia" w:ascii="宋体" w:hAnsi="宋体" w:eastAsia="宋体" w:cs="宋体"/>
          <w:b/>
          <w:bCs/>
          <w:color w:val="auto"/>
          <w:sz w:val="32"/>
          <w:szCs w:val="32"/>
          <w:highlight w:val="none"/>
          <w:lang w:val="en-US" w:eastAsia="zh-CN"/>
        </w:rPr>
      </w:pPr>
      <w:bookmarkStart w:id="117" w:name="_Toc10030"/>
      <w:r>
        <w:rPr>
          <w:rFonts w:hint="eastAsia" w:ascii="宋体" w:hAnsi="宋体" w:eastAsia="宋体" w:cs="宋体"/>
          <w:b/>
          <w:bCs/>
          <w:color w:val="auto"/>
          <w:sz w:val="32"/>
          <w:szCs w:val="32"/>
          <w:highlight w:val="none"/>
          <w:lang w:val="en-US" w:eastAsia="zh-CN"/>
        </w:rPr>
        <w:t>第二部分 中选通知书</w:t>
      </w:r>
      <w:r>
        <w:rPr>
          <w:rFonts w:hint="eastAsia" w:ascii="宋体" w:hAnsi="宋体" w:eastAsia="宋体" w:cs="宋体"/>
          <w:color w:val="auto"/>
          <w:sz w:val="32"/>
          <w:szCs w:val="32"/>
          <w:highlight w:val="none"/>
        </w:rPr>
        <w:br w:type="page"/>
      </w:r>
      <w:r>
        <w:rPr>
          <w:rFonts w:hint="eastAsia" w:ascii="宋体" w:hAnsi="宋体" w:eastAsia="宋体" w:cs="宋体"/>
          <w:b/>
          <w:bCs/>
          <w:color w:val="auto"/>
          <w:sz w:val="32"/>
          <w:szCs w:val="32"/>
          <w:highlight w:val="none"/>
          <w:lang w:val="en-US" w:eastAsia="zh-CN"/>
        </w:rPr>
        <w:t>第三部分 合同附件</w:t>
      </w:r>
    </w:p>
    <w:bookmarkEnd w:id="117"/>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附件</w:t>
      </w: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廉政</w:t>
      </w:r>
      <w:r>
        <w:rPr>
          <w:rFonts w:hint="eastAsia" w:ascii="宋体" w:hAnsi="宋体" w:eastAsia="宋体" w:cs="宋体"/>
          <w:b w:val="0"/>
          <w:bCs/>
          <w:color w:val="auto"/>
          <w:sz w:val="21"/>
          <w:szCs w:val="21"/>
          <w:highlight w:val="none"/>
          <w:lang w:eastAsia="zh-CN"/>
        </w:rPr>
        <w:t>合同</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根据国家法律、法规以及有关工程建设、廉政建设的规定，为做好工程建设中的党风廉政建设，保证工程建设高效优质，保证建设资金的安全和有效使用以及投资效益，</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建设工程的项目法人</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rPr>
        <w:t>(以下称“甲方”)与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(以下称“乙方”)，特订立如下合同。</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18" w:name="_Toc59900969"/>
      <w:bookmarkStart w:id="119" w:name="_Toc59896701"/>
      <w:r>
        <w:rPr>
          <w:rFonts w:hint="eastAsia" w:ascii="宋体" w:hAnsi="宋体" w:eastAsia="宋体" w:cs="宋体"/>
          <w:b/>
          <w:color w:val="auto"/>
          <w:sz w:val="21"/>
          <w:szCs w:val="21"/>
          <w:highlight w:val="none"/>
        </w:rPr>
        <w:t>第一条 合同双方的权利和义务</w:t>
      </w:r>
      <w:bookmarkEnd w:id="118"/>
      <w:bookmarkEnd w:id="119"/>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（一）严格遵守党和国家有关法律法规及湖南省、长沙市的相关规定。</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合同文件（以下简称“主合同”），自觉按合同办事。</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（三）双方的业务活动坚持公开、公正、诚信、透明的原则（除法律认定的商业秘密和合同文件另有规定之外），不得损害国家和集体利益，违反工程建设规章制度。</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（四）建立健全廉政制度，开展廉政教育，设立廉政告示牌，公布举报电话，监督并认真查处违法违纪行为。</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（五）发现对方在业务活动中有违反廉政规定的行为，有及时提醒对方纠正的权利和义务。</w:t>
      </w:r>
    </w:p>
    <w:p>
      <w:pPr>
        <w:keepNext w:val="0"/>
        <w:keepLines w:val="0"/>
        <w:pageBreakBefore w:val="0"/>
        <w:widowControl w:val="0"/>
        <w:tabs>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（六）发现对方严重违反本合同义务条款的行为，有向其上级有关部门举报、建议给予处理并要求告知处理结果的权利。</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20" w:name="_Toc59896702"/>
      <w:bookmarkStart w:id="121" w:name="_Toc59900970"/>
      <w:r>
        <w:rPr>
          <w:rFonts w:hint="eastAsia" w:ascii="宋体" w:hAnsi="宋体" w:eastAsia="宋体" w:cs="宋体"/>
          <w:b/>
          <w:color w:val="auto"/>
          <w:sz w:val="21"/>
          <w:szCs w:val="21"/>
          <w:highlight w:val="none"/>
        </w:rPr>
        <w:t>第二条 甲方的义务</w:t>
      </w:r>
      <w:bookmarkEnd w:id="120"/>
      <w:bookmarkEnd w:id="121"/>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（一）甲方及其工作人员不得索要或接受乙方的礼金、有价证券和贵重物品，不得在乙方报销任何应由甲方或个人支付的费用等。</w:t>
      </w:r>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（二）甲方工作人员不得参加乙方安排的超标准宴请和娱乐活动；不得接受乙方提供的通讯工具、交通工具和高档办公用品等。</w:t>
      </w:r>
    </w:p>
    <w:p>
      <w:pPr>
        <w:keepNext w:val="0"/>
        <w:keepLines w:val="0"/>
        <w:pageBreakBefore w:val="0"/>
        <w:widowControl w:val="0"/>
        <w:tabs>
          <w:tab w:val="left" w:pos="0"/>
          <w:tab w:val="left" w:pos="2115"/>
        </w:tabs>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（三）甲方及其工作人员不得要求或者接受乙方为其住房装修、婚丧嫁娶活动、配偶子女的工作安排以及出国出境、旅游等提供方便等。</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bookmarkStart w:id="122" w:name="_Toc59896703"/>
      <w:bookmarkStart w:id="123" w:name="_Toc59900971"/>
      <w:r>
        <w:rPr>
          <w:rFonts w:hint="eastAsia" w:ascii="宋体" w:hAnsi="宋体" w:eastAsia="宋体" w:cs="宋体"/>
          <w:b/>
          <w:color w:val="auto"/>
          <w:sz w:val="21"/>
          <w:szCs w:val="21"/>
          <w:highlight w:val="none"/>
        </w:rPr>
        <w:t>第三条 乙方的义务</w:t>
      </w:r>
      <w:bookmarkEnd w:id="122"/>
      <w:bookmarkEnd w:id="123"/>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（一）乙方不得以任何理由向甲方及其工作人员行贿或馈赠礼金、有价证券、贵重礼品。</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（二）乙方不得以任何名义为甲方及其工作人员报销应由甲方单位或个人支付的任何费用。</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（三）乙方不得以任何理由安排甲方工作人员参加超标准宴请及娱乐活动。</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（四）乙方不得为甲方单位和个人购置或提供通讯工具、交通工具和高档办公用品等。</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第四条 违约责任</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（一）甲方及其工作人员违反本合同第一、二条，按管理权限，依据有关规定给予党纪、政纪或组织处理，调离其工作岗位；涉嫌犯罪的，移交司法机关追究刑事责任；给乙方单位造成经济损失的，应予以赔偿。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违反本合同第一、三条，按管理权限，依据有关规定，给予党纪、政纪或组织处理；给甲方单位造成经济损失的，应予以赔偿；情节严重的，甲方可以单方终止与乙方的合同，并给予乙方三年内不得参加甲方组织建设工程项目招标活动的处罚。</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第五条</w:t>
      </w:r>
      <w:r>
        <w:rPr>
          <w:rFonts w:hint="eastAsia" w:ascii="宋体" w:hAnsi="宋体" w:eastAsia="宋体" w:cs="宋体"/>
          <w:color w:val="auto"/>
          <w:sz w:val="21"/>
          <w:szCs w:val="21"/>
          <w:highlight w:val="none"/>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第六条</w:t>
      </w:r>
      <w:r>
        <w:rPr>
          <w:rFonts w:hint="eastAsia" w:ascii="宋体" w:hAnsi="宋体" w:eastAsia="宋体" w:cs="宋体"/>
          <w:color w:val="auto"/>
          <w:sz w:val="21"/>
          <w:szCs w:val="21"/>
          <w:highlight w:val="none"/>
        </w:rPr>
        <w:t xml:space="preserve"> 本合同有效期为合同双方签署之日起至该工程项目竣工验收合格之日止。</w:t>
      </w:r>
    </w:p>
    <w:p>
      <w:pPr>
        <w:keepNext w:val="0"/>
        <w:keepLines w:val="0"/>
        <w:pageBreakBefore w:val="0"/>
        <w:widowControl w:val="0"/>
        <w:kinsoku/>
        <w:wordWrap/>
        <w:overflowPunct/>
        <w:topLinePunct w:val="0"/>
        <w:autoSpaceDE/>
        <w:autoSpaceDN/>
        <w:bidi w:val="0"/>
        <w:adjustRightInd w:val="0"/>
        <w:snapToGrid w:val="0"/>
        <w:spacing w:line="360" w:lineRule="auto"/>
        <w:ind w:firstLine="51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第七条</w:t>
      </w:r>
      <w:r>
        <w:rPr>
          <w:rFonts w:hint="eastAsia" w:ascii="宋体" w:hAnsi="宋体" w:eastAsia="宋体" w:cs="宋体"/>
          <w:color w:val="auto"/>
          <w:sz w:val="21"/>
          <w:szCs w:val="21"/>
          <w:highlight w:val="none"/>
        </w:rPr>
        <w:t xml:space="preserve"> 本合同作为主合同的附件，与主合同具有同等的法律效力，经合同双方法定代表人或授权代理人签字盖章立即生效。</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第八条</w:t>
      </w:r>
      <w:r>
        <w:rPr>
          <w:rFonts w:hint="eastAsia" w:ascii="宋体" w:hAnsi="宋体" w:eastAsia="宋体" w:cs="宋体"/>
          <w:color w:val="auto"/>
          <w:sz w:val="21"/>
          <w:szCs w:val="21"/>
          <w:highlight w:val="none"/>
        </w:rPr>
        <w:t xml:space="preserve"> 发现有违反相关要求的，可通过以下途径举报：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（1）监督举报电话（限短信方式）：15367896</w:t>
      </w:r>
      <w:r>
        <w:rPr>
          <w:rFonts w:hint="eastAsia" w:ascii="宋体" w:hAnsi="宋体" w:eastAsia="宋体" w:cs="宋体"/>
          <w:color w:val="auto"/>
          <w:sz w:val="21"/>
          <w:szCs w:val="21"/>
          <w:highlight w:val="none"/>
          <w:lang w:val="en-US" w:eastAsia="zh-CN"/>
        </w:rPr>
        <w:t>029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15367896120</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（2）举报邮箱：yygsjbyx2015@163.com。</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lang w:eastAsia="zh-CN"/>
        </w:rPr>
        <w:t>甲方</w:t>
      </w:r>
      <w:r>
        <w:rPr>
          <w:rFonts w:hint="eastAsia" w:ascii="宋体" w:hAnsi="宋体" w:eastAsia="宋体" w:cs="宋体"/>
          <w:bCs/>
          <w:color w:val="auto"/>
          <w:sz w:val="21"/>
          <w:szCs w:val="21"/>
          <w:highlight w:val="none"/>
        </w:rPr>
        <w:t>单位：</w:t>
      </w:r>
      <w:r>
        <w:rPr>
          <w:rFonts w:hint="eastAsia" w:ascii="宋体" w:hAnsi="宋体" w:eastAsia="宋体" w:cs="宋体"/>
          <w:bCs/>
          <w:color w:val="auto"/>
          <w:sz w:val="21"/>
          <w:szCs w:val="21"/>
          <w:highlight w:val="none"/>
          <w:u w:val="single"/>
        </w:rPr>
        <w:t xml:space="preserve">  （盖章）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pacing w:val="31"/>
          <w:sz w:val="21"/>
          <w:szCs w:val="21"/>
          <w:highlight w:val="non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eastAsia="zh-CN"/>
        </w:rPr>
        <w:t>乙方</w:t>
      </w:r>
      <w:r>
        <w:rPr>
          <w:rFonts w:hint="eastAsia" w:ascii="宋体" w:hAnsi="宋体" w:eastAsia="宋体" w:cs="宋体"/>
          <w:bCs/>
          <w:color w:val="auto"/>
          <w:sz w:val="21"/>
          <w:szCs w:val="21"/>
          <w:highlight w:val="none"/>
        </w:rPr>
        <w:t>单位：</w:t>
      </w:r>
      <w:r>
        <w:rPr>
          <w:rFonts w:hint="eastAsia" w:ascii="宋体" w:hAnsi="宋体" w:eastAsia="宋体" w:cs="宋体"/>
          <w:bCs/>
          <w:color w:val="auto"/>
          <w:sz w:val="21"/>
          <w:szCs w:val="21"/>
          <w:highlight w:val="none"/>
          <w:u w:val="single"/>
        </w:rPr>
        <w:t xml:space="preserve"> （盖章）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法定代表人或授权代表（签字）：    法定代表人或授权代表（签字）：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电  话：</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w w:val="110"/>
          <w:sz w:val="21"/>
          <w:szCs w:val="21"/>
          <w:highlight w:val="none"/>
        </w:rPr>
        <w:t xml:space="preserve">    </w:t>
      </w:r>
      <w:r>
        <w:rPr>
          <w:rFonts w:hint="eastAsia" w:ascii="宋体" w:hAnsi="宋体" w:eastAsia="宋体" w:cs="宋体"/>
          <w:bCs/>
          <w:color w:val="auto"/>
          <w:sz w:val="21"/>
          <w:szCs w:val="21"/>
          <w:highlight w:val="none"/>
        </w:rPr>
        <w:t xml:space="preserve">  电  话：</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 xml:space="preserve">    </w:t>
      </w:r>
      <w:bookmarkStart w:id="124" w:name="_Toc479247504"/>
      <w:bookmarkStart w:id="125" w:name="_Toc934"/>
      <w:bookmarkStart w:id="126" w:name="_Toc480198331"/>
      <w:bookmarkStart w:id="127" w:name="_Toc480198174"/>
      <w:bookmarkStart w:id="128" w:name="_Toc480198262"/>
      <w:r>
        <w:rPr>
          <w:rFonts w:hint="eastAsia" w:ascii="宋体" w:hAnsi="宋体" w:eastAsia="宋体" w:cs="宋体"/>
          <w:bCs/>
          <w:color w:val="auto"/>
          <w:sz w:val="21"/>
          <w:szCs w:val="21"/>
          <w:highlight w:val="none"/>
        </w:rPr>
        <w:t>甲方监督单位：</w:t>
      </w:r>
      <w:r>
        <w:rPr>
          <w:rFonts w:hint="eastAsia" w:ascii="宋体" w:hAnsi="宋体" w:eastAsia="宋体" w:cs="宋体"/>
          <w:bCs/>
          <w:color w:val="auto"/>
          <w:sz w:val="21"/>
          <w:szCs w:val="21"/>
          <w:highlight w:val="none"/>
          <w:u w:val="single"/>
        </w:rPr>
        <w:t>（盖章）</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w w:val="110"/>
          <w:sz w:val="21"/>
          <w:szCs w:val="21"/>
          <w:highlight w:val="none"/>
        </w:rPr>
        <w:t xml:space="preserve">    </w:t>
      </w:r>
      <w:r>
        <w:rPr>
          <w:rFonts w:hint="eastAsia" w:ascii="宋体" w:hAnsi="宋体" w:eastAsia="宋体" w:cs="宋体"/>
          <w:bCs/>
          <w:color w:val="auto"/>
          <w:sz w:val="21"/>
          <w:szCs w:val="21"/>
          <w:highlight w:val="none"/>
        </w:rPr>
        <w:t>乙方监督单位：</w:t>
      </w:r>
      <w:r>
        <w:rPr>
          <w:rFonts w:hint="eastAsia" w:ascii="宋体" w:hAnsi="宋体" w:eastAsia="宋体" w:cs="宋体"/>
          <w:bCs/>
          <w:color w:val="auto"/>
          <w:sz w:val="21"/>
          <w:szCs w:val="21"/>
          <w:highlight w:val="none"/>
          <w:u w:val="single"/>
        </w:rPr>
        <w:t>（盖章）</w:t>
      </w:r>
      <w:bookmarkEnd w:id="124"/>
      <w:bookmarkEnd w:id="125"/>
      <w:bookmarkEnd w:id="126"/>
      <w:bookmarkEnd w:id="127"/>
      <w:bookmarkEnd w:id="128"/>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pPr>
        <w:keepNext w:val="0"/>
        <w:keepLines w:val="0"/>
        <w:pageBreakBefore w:val="0"/>
        <w:widowControl w:val="0"/>
        <w:tabs>
          <w:tab w:val="left" w:pos="2799"/>
        </w:tabs>
        <w:kinsoku/>
        <w:wordWrap/>
        <w:overflowPunct/>
        <w:topLinePunct w:val="0"/>
        <w:autoSpaceDE/>
        <w:autoSpaceDN/>
        <w:bidi w:val="0"/>
        <w:spacing w:line="360" w:lineRule="auto"/>
        <w:ind w:left="0" w:leftChars="0" w:right="0" w:rightChars="0" w:firstLine="0" w:firstLineChars="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bookmarkStart w:id="129" w:name="_Toc2376"/>
      <w:r>
        <w:rPr>
          <w:rFonts w:hint="eastAsia" w:ascii="宋体" w:hAnsi="宋体" w:eastAsia="宋体" w:cs="宋体"/>
          <w:color w:val="auto"/>
          <w:sz w:val="21"/>
          <w:szCs w:val="21"/>
          <w:highlight w:val="none"/>
        </w:rPr>
        <w:t>工程数量与价格表</w:t>
      </w:r>
      <w:bookmarkEnd w:id="129"/>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color w:val="auto"/>
          <w:sz w:val="24"/>
          <w:szCs w:val="24"/>
          <w:highlight w:val="none"/>
          <w:lang w:val="en-US" w:eastAsia="zh-CN"/>
        </w:rPr>
      </w:pPr>
      <w:bookmarkStart w:id="130" w:name="_Toc7255"/>
      <w:r>
        <w:rPr>
          <w:rFonts w:hint="eastAsia" w:ascii="宋体" w:hAnsi="宋体" w:eastAsia="宋体" w:cs="宋体"/>
          <w:color w:val="auto"/>
          <w:sz w:val="21"/>
          <w:szCs w:val="21"/>
          <w:highlight w:val="none"/>
          <w:lang w:eastAsia="zh-CN"/>
        </w:rPr>
        <w:t>附件</w:t>
      </w:r>
      <w:r>
        <w:rPr>
          <w:rFonts w:hint="eastAsia" w:ascii="宋体" w:hAnsi="宋体" w:eastAsia="宋体" w:cs="宋体"/>
          <w:color w:val="auto"/>
          <w:sz w:val="21"/>
          <w:szCs w:val="21"/>
          <w:highlight w:val="none"/>
          <w:lang w:val="en-US" w:eastAsia="zh-CN"/>
        </w:rPr>
        <w:t>3：用户需求书/技术规格书（如果有）</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宋体" w:hAnsi="宋体" w:eastAsia="宋体" w:cs="宋体"/>
          <w:b/>
          <w:bCs w:val="0"/>
          <w:color w:val="auto"/>
          <w:sz w:val="32"/>
          <w:szCs w:val="32"/>
          <w:highlight w:val="none"/>
        </w:rPr>
      </w:pPr>
      <w:r>
        <w:rPr>
          <w:rFonts w:hint="eastAsia" w:ascii="宋体" w:hAnsi="宋体" w:eastAsia="宋体" w:cs="宋体"/>
          <w:bCs/>
          <w:color w:val="auto"/>
          <w:sz w:val="24"/>
          <w:highlight w:val="none"/>
        </w:rPr>
        <w:br w:type="page"/>
      </w:r>
      <w:r>
        <w:rPr>
          <w:rFonts w:hint="eastAsia" w:ascii="宋体" w:hAnsi="宋体" w:eastAsia="宋体" w:cs="宋体"/>
          <w:b/>
          <w:bCs w:val="0"/>
          <w:color w:val="auto"/>
          <w:sz w:val="32"/>
          <w:szCs w:val="32"/>
          <w:highlight w:val="none"/>
          <w:lang w:eastAsia="zh-CN"/>
        </w:rPr>
        <w:t>第四部分</w:t>
      </w:r>
      <w:r>
        <w:rPr>
          <w:rFonts w:hint="eastAsia" w:ascii="宋体" w:hAnsi="宋体" w:eastAsia="宋体" w:cs="宋体"/>
          <w:b/>
          <w:bCs w:val="0"/>
          <w:color w:val="auto"/>
          <w:sz w:val="32"/>
          <w:szCs w:val="32"/>
          <w:highlight w:val="none"/>
          <w:lang w:val="en-US" w:eastAsia="zh-CN"/>
        </w:rPr>
        <w:t xml:space="preserve"> </w:t>
      </w:r>
      <w:r>
        <w:rPr>
          <w:rFonts w:hint="eastAsia" w:ascii="宋体" w:hAnsi="宋体" w:eastAsia="宋体" w:cs="宋体"/>
          <w:b/>
          <w:bCs w:val="0"/>
          <w:color w:val="auto"/>
          <w:sz w:val="32"/>
          <w:szCs w:val="32"/>
          <w:highlight w:val="none"/>
        </w:rPr>
        <w:t>合同附录</w:t>
      </w:r>
      <w:bookmarkEnd w:id="130"/>
      <w:bookmarkStart w:id="131" w:name="_Toc437444976"/>
      <w:bookmarkStart w:id="132" w:name="_Toc451247264"/>
      <w:bookmarkStart w:id="133" w:name="_Toc411417807"/>
      <w:bookmarkStart w:id="134" w:name="_Toc460309156"/>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宋体" w:hAnsi="宋体" w:eastAsia="宋体" w:cs="宋体"/>
          <w:bCs/>
          <w:color w:val="auto"/>
          <w:sz w:val="21"/>
          <w:szCs w:val="21"/>
          <w:highlight w:val="none"/>
        </w:rPr>
      </w:pPr>
      <w:bookmarkStart w:id="135" w:name="_Toc8935"/>
      <w:r>
        <w:rPr>
          <w:rFonts w:hint="eastAsia" w:ascii="宋体" w:hAnsi="宋体" w:eastAsia="宋体" w:cs="宋体"/>
          <w:bCs/>
          <w:color w:val="auto"/>
          <w:sz w:val="21"/>
          <w:szCs w:val="21"/>
          <w:highlight w:val="none"/>
        </w:rPr>
        <w:t>附录1：</w:t>
      </w:r>
      <w:bookmarkEnd w:id="131"/>
      <w:bookmarkEnd w:id="132"/>
      <w:bookmarkEnd w:id="133"/>
      <w:bookmarkEnd w:id="134"/>
      <w:r>
        <w:rPr>
          <w:rFonts w:hint="eastAsia" w:ascii="宋体" w:hAnsi="宋体" w:eastAsia="宋体" w:cs="宋体"/>
          <w:bCs/>
          <w:color w:val="auto"/>
          <w:sz w:val="21"/>
          <w:szCs w:val="21"/>
          <w:highlight w:val="none"/>
        </w:rPr>
        <w:t>授权委托书(格式)</w:t>
      </w:r>
      <w:bookmarkEnd w:id="135"/>
    </w:p>
    <w:p>
      <w:pPr>
        <w:keepNext w:val="0"/>
        <w:keepLines w:val="0"/>
        <w:pageBreakBefore w:val="0"/>
        <w:widowControl w:val="0"/>
        <w:kinsoku/>
        <w:wordWrap/>
        <w:overflowPunct/>
        <w:topLinePunct w:val="0"/>
        <w:autoSpaceDE/>
        <w:autoSpaceDN/>
        <w:bidi w:val="0"/>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本授权书声明：注册于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（国家名称）的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（乙方全称）在下面签字的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（法定代表人姓名、职务）代表本公司授权在下面签字的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（被授权人的姓名、职务）为本公司的合法代表，就合同编号为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项目的签约、执行和质量保证期服务、售后服务期服务等，并以本公司名义处理一切与之有关的事务。</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日签字生效，特此声明。</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法定代表人签字：</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授权代表（被授权人，即授权代理人）签字：</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乙方全称（公章）：</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乙方地址：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u w:val="single"/>
        </w:rPr>
      </w:pP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w:t>
      </w:r>
      <w:r>
        <w:rPr>
          <w:rFonts w:hint="eastAsia" w:ascii="宋体" w:hAnsi="宋体" w:eastAsia="宋体" w:cs="宋体"/>
          <w:color w:val="auto"/>
          <w:sz w:val="21"/>
          <w:szCs w:val="21"/>
          <w:highlight w:val="none"/>
        </w:rPr>
        <w:t>授权人的法定代表人证明材料复印件（加盖单位公章）、授权人和被授权人的身份证彩色影印件（加盖单位公章）</w:t>
      </w: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bookmarkStart w:id="136" w:name="_Toc460309157"/>
      <w:bookmarkStart w:id="137" w:name="_Toc451247265"/>
      <w:bookmarkStart w:id="138" w:name="_Toc437444977"/>
      <w:bookmarkStart w:id="139" w:name="_Toc319826226"/>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p>
      <w:pPr>
        <w:pStyle w:val="5"/>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szCs w:val="24"/>
          <w:highlight w:val="none"/>
        </w:rPr>
      </w:pPr>
    </w:p>
    <w:bookmarkEnd w:id="136"/>
    <w:bookmarkEnd w:id="137"/>
    <w:bookmarkEnd w:id="138"/>
    <w:bookmarkEnd w:id="139"/>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宋体" w:hAnsi="宋体" w:eastAsia="宋体" w:cs="宋体"/>
          <w:b/>
          <w:color w:val="auto"/>
          <w:sz w:val="21"/>
          <w:szCs w:val="21"/>
          <w:highlight w:val="none"/>
        </w:rPr>
      </w:pPr>
      <w:r>
        <w:rPr>
          <w:rFonts w:hint="eastAsia" w:ascii="宋体" w:hAnsi="宋体" w:eastAsia="宋体" w:cs="宋体"/>
          <w:color w:val="auto"/>
          <w:sz w:val="24"/>
          <w:szCs w:val="24"/>
          <w:highlight w:val="none"/>
        </w:rPr>
        <w:br w:type="page"/>
      </w:r>
      <w:bookmarkStart w:id="140" w:name="_Toc454978190"/>
      <w:bookmarkStart w:id="141" w:name="_Toc447089455"/>
      <w:bookmarkStart w:id="142" w:name="_Toc7428"/>
      <w:bookmarkStart w:id="143" w:name="_Toc2496"/>
      <w:bookmarkStart w:id="144" w:name="_Toc2612"/>
      <w:r>
        <w:rPr>
          <w:rFonts w:hint="eastAsia" w:ascii="宋体" w:hAnsi="宋体" w:eastAsia="宋体" w:cs="宋体"/>
          <w:b w:val="0"/>
          <w:bCs/>
          <w:color w:val="auto"/>
          <w:sz w:val="21"/>
          <w:szCs w:val="21"/>
          <w:highlight w:val="none"/>
        </w:rPr>
        <w:t>附录</w:t>
      </w: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 xml:space="preserve"> 银行履约保函（格式）</w:t>
      </w:r>
      <w:bookmarkEnd w:id="140"/>
      <w:bookmarkEnd w:id="141"/>
      <w:bookmarkEnd w:id="142"/>
      <w:bookmarkEnd w:id="143"/>
      <w:bookmarkEnd w:id="144"/>
    </w:p>
    <w:p>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银行履约保函</w:t>
      </w:r>
    </w:p>
    <w:p>
      <w:pPr>
        <w:keepNext w:val="0"/>
        <w:keepLines w:val="0"/>
        <w:pageBreakBefore w:val="0"/>
        <w:widowControl w:val="0"/>
        <w:kinsoku/>
        <w:wordWrap/>
        <w:overflowPunct/>
        <w:topLinePunct w:val="0"/>
        <w:autoSpaceDE/>
        <w:autoSpaceDN/>
        <w:bidi w:val="0"/>
        <w:snapToGrid w:val="0"/>
        <w:spacing w:line="360" w:lineRule="auto"/>
        <w:ind w:right="48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1"/>
          <w:szCs w:val="21"/>
          <w:highlight w:val="none"/>
        </w:rPr>
        <w:t xml:space="preserve">  保函编号：</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snapToGrid w:val="0"/>
        <w:spacing w:line="360" w:lineRule="auto"/>
        <w:ind w:right="480"/>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（甲方名称）：</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（甲方名称，以下简称“你方”）与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（乙方名称，以下简称“乙方”）于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日协商一致共同签订合同编号为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合同》（以下简称“合同”）。 我方愿意无条件地、不可撤销地就乙方履行与你方签订的合同，向你方提供连带责任担保。</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1.担保金额为人民币（大写）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 担保有效期自本保函生效之日起至合同约定</w:t>
      </w:r>
      <w:r>
        <w:rPr>
          <w:rFonts w:hint="eastAsia" w:ascii="宋体" w:hAnsi="宋体" w:eastAsia="宋体" w:cs="宋体"/>
          <w:color w:val="auto"/>
          <w:sz w:val="21"/>
          <w:szCs w:val="21"/>
          <w:highlight w:val="none"/>
          <w:lang w:eastAsia="zh-CN"/>
        </w:rPr>
        <w:t>工期期满止</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3.在本担保有效期内，因乙方违反合同约定的义务给你方造成经济损失时，我方在收到你方以书面形式提出的在担保金额内的赔偿要求后，在7个工作日内无条件支付。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4.你方和乙方按合同约定变更合同时，我方承担本担保规定的义务不变。</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5.因本保函发生的纠纷，可由双方协商解决，协商不成的，任何一方均可提请在甲方所在地仲裁委员会仲裁。</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6.本保函自我方法定代表人或授权代理人签字并加盖公章之日起生效。</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邮政编码：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电话：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15" w:leftChars="7" w:firstLine="352" w:firstLineChars="168"/>
        <w:textAlignment w:val="auto"/>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line="800" w:lineRule="exact"/>
        <w:outlineLvl w:val="9"/>
        <w:rPr>
          <w:rFonts w:hint="eastAsia" w:ascii="宋体" w:hAnsi="宋体" w:eastAsia="宋体" w:cs="宋体"/>
          <w:color w:val="auto"/>
          <w:sz w:val="24"/>
          <w:highlight w:val="none"/>
        </w:rPr>
      </w:pPr>
    </w:p>
    <w:p>
      <w:pPr>
        <w:rPr>
          <w:rFonts w:hint="eastAsia" w:ascii="宋体" w:hAnsi="宋体" w:eastAsia="宋体" w:cs="宋体"/>
          <w:bCs w:val="0"/>
          <w:color w:val="auto"/>
          <w:sz w:val="32"/>
          <w:szCs w:val="32"/>
          <w:highlight w:val="none"/>
        </w:rPr>
      </w:pPr>
      <w:r>
        <w:rPr>
          <w:rFonts w:hint="eastAsia" w:ascii="宋体" w:hAnsi="宋体" w:eastAsia="宋体" w:cs="宋体"/>
          <w:bCs w:val="0"/>
          <w:color w:val="auto"/>
          <w:sz w:val="32"/>
          <w:szCs w:val="32"/>
          <w:highlight w:val="none"/>
        </w:rPr>
        <w:br w:type="page"/>
      </w:r>
    </w:p>
    <w:p>
      <w:pPr>
        <w:snapToGrid w:val="0"/>
        <w:spacing w:line="360" w:lineRule="auto"/>
        <w:jc w:val="center"/>
        <w:outlineLvl w:val="0"/>
        <w:rPr>
          <w:rFonts w:hint="eastAsia" w:ascii="宋体" w:hAnsi="宋体" w:eastAsia="宋体" w:cs="宋体"/>
          <w:bCs/>
          <w:color w:val="auto"/>
          <w:sz w:val="32"/>
          <w:szCs w:val="32"/>
          <w:highlight w:val="none"/>
        </w:rPr>
      </w:pPr>
      <w:bookmarkStart w:id="145" w:name="_Toc20891"/>
      <w:bookmarkStart w:id="146" w:name="_Toc5097"/>
      <w:bookmarkStart w:id="147" w:name="_Toc12762"/>
      <w:bookmarkStart w:id="148" w:name="_Toc29654"/>
      <w:r>
        <w:rPr>
          <w:rFonts w:hint="eastAsia" w:ascii="宋体" w:hAnsi="宋体" w:eastAsia="宋体" w:cs="宋体"/>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4276725</wp:posOffset>
                </wp:positionH>
                <wp:positionV relativeFrom="paragraph">
                  <wp:posOffset>384810</wp:posOffset>
                </wp:positionV>
                <wp:extent cx="1114425" cy="419100"/>
                <wp:effectExtent l="7620" t="8255" r="20955" b="107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14425" cy="419100"/>
                        </a:xfrm>
                        <a:prstGeom prst="rect">
                          <a:avLst/>
                        </a:prstGeom>
                        <a:solidFill>
                          <a:srgbClr val="FFFFFF"/>
                        </a:solidFill>
                        <a:ln w="15875">
                          <a:solidFill>
                            <a:srgbClr val="000000"/>
                          </a:solidFill>
                          <a:miter lim="800000"/>
                        </a:ln>
                        <a:effectLst/>
                      </wps:spPr>
                      <wps:txbx>
                        <w:txbxContent>
                          <w:p>
                            <w:pPr>
                              <w:spacing w:line="440" w:lineRule="exact"/>
                              <w:jc w:val="center"/>
                              <w:rPr>
                                <w:b/>
                                <w:sz w:val="30"/>
                                <w:szCs w:val="30"/>
                              </w:rPr>
                            </w:pPr>
                            <w:r>
                              <w:rPr>
                                <w:rFonts w:hint="eastAsia"/>
                                <w:b/>
                                <w:sz w:val="30"/>
                                <w:szCs w:val="30"/>
                              </w:rPr>
                              <w:t>正本/副本</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6.75pt;margin-top:30.3pt;height:33pt;width:87.75pt;z-index:251669504;mso-width-relative:page;mso-height-relative:page;" fillcolor="#FFFFFF" filled="t" stroked="t" coordsize="21600,21600" o:gfxdata="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oFOl42AAAAAoBAAAPAAAAAAAAAAEAIAAAACIAAABkcnMvZG93bnJldi54bWxQSwEC&#10;FAAUAAAACACHTuJAU1xfwC0CAABIBAAADgAAAAAAAAABACAAAAAnAQAAZHJzL2Uyb0RvYy54bWxQ&#10;SwUGAAAAAAYABgBZAQAAxgUAAAAA&#10;">
                <v:fill on="t" focussize="0,0"/>
                <v:stroke weight="1.25pt" color="#000000" miterlimit="8" joinstyle="miter"/>
                <v:imagedata o:title=""/>
                <o:lock v:ext="edit" aspectratio="f"/>
                <v:textbox>
                  <w:txbxContent>
                    <w:p>
                      <w:pPr>
                        <w:spacing w:line="440" w:lineRule="exact"/>
                        <w:jc w:val="center"/>
                        <w:rPr>
                          <w:b/>
                          <w:sz w:val="30"/>
                          <w:szCs w:val="30"/>
                        </w:rPr>
                      </w:pPr>
                      <w:r>
                        <w:rPr>
                          <w:rFonts w:hint="eastAsia"/>
                          <w:b/>
                          <w:sz w:val="30"/>
                          <w:szCs w:val="30"/>
                        </w:rPr>
                        <w:t>正本/副本</w:t>
                      </w:r>
                    </w:p>
                  </w:txbxContent>
                </v:textbox>
              </v:shape>
            </w:pict>
          </mc:Fallback>
        </mc:AlternateContent>
      </w:r>
      <w:r>
        <w:rPr>
          <w:rFonts w:hint="eastAsia" w:ascii="宋体" w:hAnsi="宋体" w:eastAsia="宋体" w:cs="宋体"/>
          <w:b/>
          <w:color w:val="auto"/>
          <w:sz w:val="32"/>
          <w:szCs w:val="32"/>
          <w:highlight w:val="none"/>
        </w:rPr>
        <w:t>第</w:t>
      </w:r>
      <w:r>
        <w:rPr>
          <w:rFonts w:hint="eastAsia" w:ascii="宋体" w:hAnsi="宋体" w:eastAsia="宋体" w:cs="宋体"/>
          <w:b/>
          <w:color w:val="auto"/>
          <w:sz w:val="32"/>
          <w:szCs w:val="32"/>
          <w:highlight w:val="none"/>
          <w:lang w:eastAsia="zh-CN"/>
        </w:rPr>
        <w:t>七</w:t>
      </w:r>
      <w:r>
        <w:rPr>
          <w:rFonts w:hint="eastAsia" w:ascii="宋体" w:hAnsi="宋体" w:eastAsia="宋体" w:cs="宋体"/>
          <w:b/>
          <w:color w:val="auto"/>
          <w:sz w:val="32"/>
          <w:szCs w:val="32"/>
          <w:highlight w:val="none"/>
        </w:rPr>
        <w:t>章</w:t>
      </w:r>
      <w:bookmarkStart w:id="149" w:name="_Toc14891079"/>
      <w:r>
        <w:rPr>
          <w:rFonts w:hint="eastAsia" w:ascii="宋体" w:hAnsi="宋体" w:eastAsia="宋体" w:cs="宋体"/>
          <w:b/>
          <w:color w:val="auto"/>
          <w:sz w:val="32"/>
          <w:szCs w:val="32"/>
          <w:highlight w:val="none"/>
        </w:rPr>
        <w:t xml:space="preserve">  </w:t>
      </w:r>
      <w:r>
        <w:rPr>
          <w:rFonts w:hint="eastAsia" w:ascii="宋体" w:hAnsi="宋体" w:eastAsia="宋体" w:cs="宋体"/>
          <w:b/>
          <w:bCs/>
          <w:color w:val="auto"/>
          <w:sz w:val="32"/>
          <w:szCs w:val="32"/>
          <w:highlight w:val="none"/>
        </w:rPr>
        <w:t>响应文件组成</w:t>
      </w:r>
      <w:bookmarkEnd w:id="145"/>
      <w:bookmarkEnd w:id="146"/>
      <w:bookmarkEnd w:id="147"/>
      <w:bookmarkEnd w:id="148"/>
      <w:bookmarkEnd w:id="149"/>
    </w:p>
    <w:p>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b/>
          <w:bCs/>
          <w:color w:val="auto"/>
          <w:sz w:val="52"/>
          <w:szCs w:val="52"/>
          <w:highlight w:val="none"/>
        </w:rPr>
      </w:pPr>
    </w:p>
    <w:p>
      <w:pPr>
        <w:pStyle w:val="14"/>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自主竞争性谈判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响应文件</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8"/>
          <w:szCs w:val="28"/>
          <w:highlight w:val="none"/>
        </w:rPr>
      </w:pPr>
    </w:p>
    <w:p>
      <w:pPr>
        <w:pStyle w:val="26"/>
        <w:rPr>
          <w:rFonts w:hint="eastAsia" w:ascii="宋体" w:hAnsi="宋体" w:eastAsia="宋体" w:cs="宋体"/>
          <w:b/>
          <w:color w:val="auto"/>
          <w:sz w:val="32"/>
          <w:szCs w:val="32"/>
          <w:highlight w:val="non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谈判项目名称：</w:t>
      </w:r>
      <w:r>
        <w:rPr>
          <w:rFonts w:hint="eastAsia" w:ascii="宋体" w:hAnsi="宋体" w:eastAsia="宋体" w:cs="宋体"/>
          <w:b/>
          <w:bCs/>
          <w:color w:val="auto"/>
          <w:sz w:val="32"/>
          <w:szCs w:val="32"/>
          <w:highlight w:val="none"/>
          <w:u w:val="single"/>
        </w:rPr>
        <w:t xml:space="preserve">                      </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谈判单位名称：</w:t>
      </w:r>
      <w:r>
        <w:rPr>
          <w:rFonts w:hint="eastAsia" w:ascii="宋体" w:hAnsi="宋体" w:eastAsia="宋体" w:cs="宋体"/>
          <w:b/>
          <w:bCs/>
          <w:color w:val="auto"/>
          <w:sz w:val="32"/>
          <w:szCs w:val="32"/>
          <w:highlight w:val="none"/>
          <w:u w:val="single"/>
        </w:rPr>
        <w:t xml:space="preserve">      （加盖单位公章）</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firstLine="1285" w:firstLineChars="400"/>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谈判项目编号：</w:t>
      </w:r>
      <w:r>
        <w:rPr>
          <w:rFonts w:hint="eastAsia" w:ascii="宋体" w:hAnsi="宋体" w:eastAsia="宋体" w:cs="宋体"/>
          <w:b/>
          <w:bCs/>
          <w:color w:val="auto"/>
          <w:sz w:val="32"/>
          <w:szCs w:val="32"/>
          <w:highlight w:val="none"/>
          <w:u w:val="single"/>
        </w:rPr>
        <w:t xml:space="preserve">                      </w:t>
      </w: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rPr>
          <w:rFonts w:hint="eastAsia" w:ascii="宋体" w:hAnsi="宋体" w:eastAsia="宋体" w:cs="宋体"/>
          <w:b/>
          <w:bCs/>
          <w:color w:val="auto"/>
          <w:sz w:val="32"/>
          <w:szCs w:val="32"/>
          <w:highlight w:val="none"/>
          <w:u w:val="single"/>
        </w:rPr>
      </w:pPr>
    </w:p>
    <w:p>
      <w:pPr>
        <w:pStyle w:val="26"/>
        <w:adjustRightInd w:val="0"/>
        <w:snapToGrid w:val="0"/>
        <w:spacing w:line="360" w:lineRule="auto"/>
        <w:ind w:left="846" w:leftChars="403" w:firstLine="157" w:firstLineChars="49"/>
        <w:rPr>
          <w:rFonts w:hint="eastAsia" w:ascii="宋体" w:hAnsi="宋体" w:eastAsia="宋体" w:cs="宋体"/>
          <w:b/>
          <w:bCs/>
          <w:color w:val="auto"/>
          <w:sz w:val="32"/>
          <w:szCs w:val="32"/>
          <w:highlight w:val="none"/>
          <w:u w:val="single"/>
        </w:rPr>
      </w:pPr>
    </w:p>
    <w:p>
      <w:pPr>
        <w:pStyle w:val="26"/>
        <w:adjustRightInd w:val="0"/>
        <w:snapToGrid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日</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期：</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年</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月</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rPr>
        <w:t>日</w:t>
      </w:r>
    </w:p>
    <w:p>
      <w:pPr>
        <w:spacing w:line="360" w:lineRule="exact"/>
        <w:rPr>
          <w:rFonts w:hint="eastAsia" w:ascii="宋体" w:hAnsi="宋体" w:eastAsia="宋体" w:cs="宋体"/>
          <w:b/>
          <w:color w:val="auto"/>
          <w:highlight w:val="none"/>
        </w:rPr>
      </w:pPr>
    </w:p>
    <w:p>
      <w:pPr>
        <w:adjustRightInd w:val="0"/>
        <w:snapToGrid w:val="0"/>
        <w:spacing w:line="360" w:lineRule="auto"/>
        <w:jc w:val="center"/>
        <w:outlineLvl w:val="0"/>
        <w:rPr>
          <w:rFonts w:hint="eastAsia" w:ascii="宋体" w:hAnsi="宋体" w:eastAsia="宋体" w:cs="宋体"/>
          <w:b/>
          <w:color w:val="auto"/>
          <w:sz w:val="32"/>
          <w:szCs w:val="32"/>
          <w:highlight w:val="none"/>
        </w:rPr>
        <w:sectPr>
          <w:headerReference r:id="rId14" w:type="default"/>
          <w:footerReference r:id="rId15" w:type="default"/>
          <w:pgSz w:w="11906" w:h="16838"/>
          <w:pgMar w:top="1440" w:right="1440" w:bottom="1440" w:left="1440" w:header="851" w:footer="851" w:gutter="0"/>
          <w:pgNumType w:fmt="decimal"/>
          <w:cols w:space="720" w:num="1"/>
          <w:docGrid w:linePitch="312" w:charSpace="0"/>
        </w:sectPr>
      </w:pPr>
    </w:p>
    <w:p>
      <w:pPr>
        <w:widowControl/>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目   录</w:t>
      </w:r>
    </w:p>
    <w:p>
      <w:pPr>
        <w:adjustRightInd w:val="0"/>
        <w:snapToGrid w:val="0"/>
        <w:spacing w:line="360" w:lineRule="auto"/>
        <w:ind w:firstLine="480" w:firstLineChars="200"/>
        <w:outlineLvl w:val="9"/>
        <w:rPr>
          <w:rFonts w:hint="eastAsia" w:ascii="宋体" w:hAnsi="宋体" w:eastAsia="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一、谈判承诺书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二、法定代表人身份证明书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三、授权委托书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四、谈判单位资格条件证明文件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五、</w:t>
      </w:r>
      <w:r>
        <w:rPr>
          <w:rFonts w:hint="eastAsia" w:ascii="宋体" w:hAnsi="宋体" w:eastAsia="宋体" w:cs="宋体"/>
          <w:color w:val="auto"/>
          <w:szCs w:val="21"/>
          <w:highlight w:val="none"/>
        </w:rPr>
        <w:t>不拖欠农民工工资承诺书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六、报价一览表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w:t>
      </w:r>
      <w:r>
        <w:rPr>
          <w:rFonts w:hint="eastAsia" w:ascii="宋体" w:hAnsi="宋体" w:eastAsia="宋体" w:cs="宋体"/>
          <w:color w:val="auto"/>
          <w:szCs w:val="21"/>
          <w:highlight w:val="none"/>
        </w:rPr>
        <w:t>报价汇总表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八、投标报价表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九、</w:t>
      </w:r>
      <w:r>
        <w:rPr>
          <w:rFonts w:hint="eastAsia" w:ascii="宋体" w:hAnsi="宋体" w:eastAsia="宋体" w:cs="宋体"/>
          <w:color w:val="auto"/>
          <w:sz w:val="21"/>
          <w:szCs w:val="21"/>
          <w:highlight w:val="none"/>
        </w:rPr>
        <w:t>其他资料（如有）</w:t>
      </w:r>
    </w:p>
    <w:p>
      <w:pPr>
        <w:ind w:firstLine="480" w:firstLineChars="200"/>
        <w:jc w:val="center"/>
        <w:outlineLvl w:val="1"/>
        <w:rPr>
          <w:rFonts w:hint="eastAsia" w:ascii="宋体" w:hAnsi="宋体" w:eastAsia="宋体" w:cs="宋体"/>
          <w:b/>
          <w:color w:val="auto"/>
          <w:sz w:val="32"/>
          <w:szCs w:val="32"/>
          <w:highlight w:val="none"/>
        </w:rPr>
      </w:pPr>
      <w:r>
        <w:rPr>
          <w:rFonts w:hint="eastAsia" w:ascii="宋体" w:hAnsi="宋体" w:eastAsia="宋体" w:cs="宋体"/>
          <w:color w:val="auto"/>
          <w:sz w:val="24"/>
          <w:highlight w:val="none"/>
        </w:rPr>
        <w:br w:type="page"/>
      </w:r>
      <w:bookmarkStart w:id="150" w:name="_Toc2508"/>
      <w:bookmarkStart w:id="151" w:name="_Toc32569"/>
      <w:bookmarkStart w:id="152" w:name="_Toc14530"/>
      <w:bookmarkStart w:id="153" w:name="_Toc32600"/>
      <w:r>
        <w:rPr>
          <w:rFonts w:hint="eastAsia" w:ascii="宋体" w:hAnsi="宋体" w:eastAsia="宋体" w:cs="宋体"/>
          <w:b/>
          <w:color w:val="auto"/>
          <w:sz w:val="32"/>
          <w:szCs w:val="32"/>
          <w:highlight w:val="none"/>
        </w:rPr>
        <w:t>一、谈判承诺书</w:t>
      </w:r>
      <w:bookmarkEnd w:id="150"/>
      <w:bookmarkEnd w:id="151"/>
      <w:bookmarkEnd w:id="152"/>
      <w:bookmarkEnd w:id="153"/>
    </w:p>
    <w:p>
      <w:pPr>
        <w:adjustRightInd w:val="0"/>
        <w:snapToGrid w:val="0"/>
        <w:spacing w:line="360" w:lineRule="auto"/>
        <w:outlineLvl w:val="9"/>
        <w:rPr>
          <w:rFonts w:hint="eastAsia" w:ascii="宋体" w:hAnsi="宋体" w:eastAsia="宋体" w:cs="宋体"/>
          <w:color w:val="auto"/>
          <w:sz w:val="21"/>
          <w:szCs w:val="21"/>
          <w:highlight w:val="none"/>
        </w:rPr>
      </w:pPr>
    </w:p>
    <w:p>
      <w:pPr>
        <w:adjustRightInd w:val="0"/>
        <w:snapToGrid w:val="0"/>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(采购单位)：</w:t>
      </w:r>
    </w:p>
    <w:p>
      <w:pPr>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项目名称)的竞争性谈判文件（谈判项目编号：</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）的全部内容，知悉参加竞争性谈判的风险，我方承诺接受谈判文件的全部条款且无任何异议。</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一、参与本项目竞争性谈判活动系本公司自愿行为。</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二、我方同意在谈判文件中规定的提交响应文件截止时间起</w:t>
      </w:r>
      <w:r>
        <w:rPr>
          <w:rFonts w:hint="eastAsia" w:ascii="宋体" w:hAnsi="宋体" w:eastAsia="宋体" w:cs="宋体"/>
          <w:color w:val="auto"/>
          <w:sz w:val="21"/>
          <w:szCs w:val="21"/>
          <w:highlight w:val="none"/>
          <w:u w:val="single"/>
        </w:rPr>
        <w:t>180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历天</w:t>
      </w:r>
      <w:r>
        <w:rPr>
          <w:rFonts w:hint="eastAsia" w:ascii="宋体" w:hAnsi="宋体" w:eastAsia="宋体" w:cs="宋体"/>
          <w:color w:val="auto"/>
          <w:sz w:val="21"/>
          <w:szCs w:val="21"/>
          <w:highlight w:val="none"/>
        </w:rPr>
        <w:t>内(响应文件有效期)遵守本响应文件中的承诺且在此期限期满之前均具有法律约束力。</w:t>
      </w:r>
    </w:p>
    <w:p>
      <w:pPr>
        <w:pStyle w:val="26"/>
        <w:adjustRightInd w:val="0"/>
        <w:snapToGrid w:val="0"/>
        <w:spacing w:line="360" w:lineRule="auto"/>
        <w:ind w:firstLine="420" w:firstLineChars="200"/>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三、我方提交的响应文件均为正本份和副本份，电子文件（包括响应文件全部内容）份，并保证响应文件提供的数据和材料是真实、准确的，且无低于成本的恶意报价行为。否则，愿承担由此引起的一切</w:t>
      </w:r>
      <w:r>
        <w:rPr>
          <w:rFonts w:hint="eastAsia" w:ascii="宋体" w:hAnsi="宋体" w:eastAsia="宋体" w:cs="宋体"/>
          <w:bCs/>
          <w:color w:val="auto"/>
          <w:sz w:val="21"/>
          <w:szCs w:val="21"/>
          <w:highlight w:val="none"/>
        </w:rPr>
        <w:t>法律责任。</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四、遵守贵司各项管理制度和谈判现场纪律，服从现场工作人员管理，自觉维护贵司谈判活动秩序。</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五、保证没有组织、参与围标、串标行为。</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六、不与采购单位或者谈判评审小组成员私下联络和串通以牟取中选；不以他人名义参与谈判或者以其他方式弄虚作假骗取中选；不在谈判结束后进行虚假、恶意质疑和投诉。</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七、我方承诺，若贵方需要，我方愿意提供任何与本次谈判有关的数据、情况和技术资料。</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八、我方承诺遵守相关法律法规及贵司的有关规定，保证在获得成交资格后，按照谈判文件确定的事项签订合同，履行双方所签订的合同，并承担合同规定的责任和义务。</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九、我方承诺在参与本次竞争性谈判过程中，若出现本文件第26条规定之情形，我方无条件接受条款规定作出的处罚。</w:t>
      </w:r>
    </w:p>
    <w:p>
      <w:pPr>
        <w:pStyle w:val="26"/>
        <w:adjustRightInd w:val="0"/>
        <w:snapToGrid w:val="0"/>
        <w:spacing w:line="360" w:lineRule="auto"/>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十、我方承诺完全响应本文件第四章“用户需求书”及第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章“合同格式条款”内的全部内容。</w:t>
      </w:r>
    </w:p>
    <w:p>
      <w:pPr>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十一、如有违反本承诺书内容的行为，愿意承担由此产生的法律责任及后果。</w:t>
      </w:r>
    </w:p>
    <w:p>
      <w:pPr>
        <w:adjustRightInd w:val="0"/>
        <w:snapToGrid w:val="0"/>
        <w:spacing w:line="360" w:lineRule="auto"/>
        <w:ind w:right="24"/>
        <w:outlineLvl w:val="9"/>
        <w:rPr>
          <w:rFonts w:hint="eastAsia" w:ascii="宋体" w:hAnsi="宋体" w:eastAsia="宋体" w:cs="宋体"/>
          <w:bCs/>
          <w:color w:val="auto"/>
          <w:sz w:val="21"/>
          <w:szCs w:val="21"/>
          <w:highlight w:val="none"/>
        </w:rPr>
      </w:pPr>
    </w:p>
    <w:p>
      <w:pPr>
        <w:pStyle w:val="26"/>
        <w:adjustRightInd w:val="0"/>
        <w:snapToGrid w:val="0"/>
        <w:spacing w:line="360" w:lineRule="auto"/>
        <w:outlineLvl w:val="9"/>
        <w:rPr>
          <w:rFonts w:hint="eastAsia" w:ascii="宋体" w:hAnsi="宋体" w:eastAsia="宋体" w:cs="宋体"/>
          <w:color w:val="auto"/>
          <w:sz w:val="21"/>
          <w:szCs w:val="21"/>
          <w:highlight w:val="none"/>
        </w:rPr>
      </w:pPr>
    </w:p>
    <w:p>
      <w:pPr>
        <w:pStyle w:val="26"/>
        <w:adjustRightInd w:val="0"/>
        <w:snapToGrid w:val="0"/>
        <w:spacing w:line="360" w:lineRule="auto"/>
        <w:outlineLvl w:val="9"/>
        <w:rPr>
          <w:rFonts w:hint="eastAsia" w:ascii="宋体" w:hAnsi="宋体" w:eastAsia="宋体" w:cs="宋体"/>
          <w:color w:val="auto"/>
          <w:sz w:val="21"/>
          <w:szCs w:val="21"/>
          <w:highlight w:val="none"/>
        </w:rPr>
      </w:pPr>
    </w:p>
    <w:p>
      <w:pPr>
        <w:spacing w:line="360" w:lineRule="auto"/>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r>
        <w:rPr>
          <w:rFonts w:hint="eastAsia" w:ascii="宋体" w:hAnsi="宋体" w:eastAsia="宋体" w:cs="宋体"/>
          <w:color w:val="auto"/>
          <w:sz w:val="21"/>
          <w:szCs w:val="21"/>
          <w:highlight w:val="none"/>
          <w:u w:val="single"/>
        </w:rPr>
        <w:t xml:space="preserve">               </w:t>
      </w:r>
    </w:p>
    <w:p>
      <w:pPr>
        <w:spacing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adjustRightInd w:val="0"/>
        <w:snapToGrid w:val="0"/>
        <w:spacing w:line="360" w:lineRule="auto"/>
        <w:ind w:right="24"/>
        <w:outlineLvl w:val="9"/>
        <w:rPr>
          <w:rFonts w:hint="eastAsia" w:ascii="宋体" w:hAnsi="宋体" w:eastAsia="宋体" w:cs="宋体"/>
          <w:bCs/>
          <w:color w:val="auto"/>
          <w:sz w:val="21"/>
          <w:szCs w:val="21"/>
          <w:highlight w:val="none"/>
        </w:rPr>
      </w:pPr>
    </w:p>
    <w:p>
      <w:pPr>
        <w:adjustRightInd w:val="0"/>
        <w:snapToGrid w:val="0"/>
        <w:spacing w:line="360" w:lineRule="auto"/>
        <w:ind w:right="24"/>
        <w:outlineLvl w:val="9"/>
        <w:rPr>
          <w:rFonts w:hint="eastAsia" w:ascii="宋体" w:hAnsi="宋体" w:eastAsia="宋体" w:cs="宋体"/>
          <w:bCs/>
          <w:color w:val="auto"/>
          <w:sz w:val="28"/>
          <w:szCs w:val="28"/>
          <w:highlight w:val="none"/>
        </w:rPr>
      </w:pPr>
    </w:p>
    <w:p>
      <w:pPr>
        <w:pStyle w:val="14"/>
        <w:rPr>
          <w:rFonts w:hint="eastAsia" w:ascii="宋体" w:hAnsi="宋体" w:eastAsia="宋体" w:cs="宋体"/>
          <w:bCs/>
          <w:color w:val="auto"/>
          <w:sz w:val="28"/>
          <w:szCs w:val="28"/>
          <w:highlight w:val="none"/>
        </w:rPr>
      </w:pPr>
    </w:p>
    <w:p>
      <w:pPr>
        <w:rPr>
          <w:rFonts w:hint="eastAsia" w:ascii="宋体" w:hAnsi="宋体" w:eastAsia="宋体" w:cs="宋体"/>
          <w:bCs/>
          <w:color w:val="auto"/>
          <w:sz w:val="28"/>
          <w:szCs w:val="28"/>
          <w:highlight w:val="none"/>
        </w:rPr>
      </w:pPr>
    </w:p>
    <w:p>
      <w:pPr>
        <w:pStyle w:val="14"/>
        <w:rPr>
          <w:rFonts w:hint="eastAsia" w:ascii="宋体" w:hAnsi="宋体" w:eastAsia="宋体" w:cs="宋体"/>
          <w:color w:val="auto"/>
          <w:highlight w:val="none"/>
        </w:r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54" w:name="_Toc3026"/>
      <w:bookmarkStart w:id="155" w:name="_Toc2211"/>
      <w:bookmarkStart w:id="156" w:name="_Toc31277"/>
      <w:bookmarkStart w:id="157" w:name="_Toc1313"/>
      <w:r>
        <w:rPr>
          <w:rFonts w:hint="eastAsia" w:ascii="宋体" w:hAnsi="宋体" w:eastAsia="宋体" w:cs="宋体"/>
          <w:b/>
          <w:color w:val="auto"/>
          <w:sz w:val="32"/>
          <w:szCs w:val="32"/>
          <w:highlight w:val="none"/>
        </w:rPr>
        <w:t>二、法定代表人身份证明书</w:t>
      </w:r>
      <w:bookmarkEnd w:id="154"/>
      <w:bookmarkEnd w:id="155"/>
      <w:bookmarkEnd w:id="156"/>
      <w:bookmarkEnd w:id="157"/>
    </w:p>
    <w:p>
      <w:pPr>
        <w:snapToGrid w:val="0"/>
        <w:spacing w:line="480" w:lineRule="auto"/>
        <w:outlineLvl w:val="9"/>
        <w:rPr>
          <w:rFonts w:hint="eastAsia" w:ascii="宋体" w:hAnsi="宋体" w:eastAsia="宋体" w:cs="宋体"/>
          <w:color w:val="auto"/>
          <w:szCs w:val="21"/>
          <w:highlight w:val="none"/>
        </w:rPr>
      </w:pP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谈判单位</w:t>
      </w:r>
      <w:r>
        <w:rPr>
          <w:rFonts w:hint="eastAsia" w:ascii="宋体" w:hAnsi="宋体" w:eastAsia="宋体" w:cs="宋体"/>
          <w:color w:val="auto"/>
          <w:kern w:val="0"/>
          <w:szCs w:val="21"/>
          <w:highlight w:val="none"/>
        </w:rPr>
        <w:t>名称：</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b/>
          <w:bCs/>
          <w:color w:val="auto"/>
          <w:kern w:val="0"/>
          <w:szCs w:val="21"/>
          <w:highlight w:val="none"/>
          <w:u w:val="single"/>
        </w:rPr>
      </w:pPr>
      <w:r>
        <w:rPr>
          <w:rFonts w:hint="eastAsia" w:ascii="宋体" w:hAnsi="宋体" w:eastAsia="宋体" w:cs="宋体"/>
          <w:color w:val="auto"/>
          <w:kern w:val="0"/>
          <w:szCs w:val="21"/>
          <w:highlight w:val="none"/>
        </w:rPr>
        <w:t>注册号：</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spacing w:line="360" w:lineRule="auto"/>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成立日期：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经营期限：</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经营范围：</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姓名：</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性别：</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年龄：</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系</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谈判单位</w:t>
      </w:r>
      <w:r>
        <w:rPr>
          <w:rFonts w:hint="eastAsia" w:ascii="宋体" w:hAnsi="宋体" w:eastAsia="宋体" w:cs="宋体"/>
          <w:color w:val="auto"/>
          <w:kern w:val="0"/>
          <w:szCs w:val="21"/>
          <w:highlight w:val="none"/>
        </w:rPr>
        <w:t>名称）的法定代表人。</w:t>
      </w:r>
    </w:p>
    <w:p>
      <w:pPr>
        <w:autoSpaceDE w:val="0"/>
        <w:autoSpaceDN w:val="0"/>
        <w:adjustRightInd w:val="0"/>
        <w:snapToGrid w:val="0"/>
        <w:spacing w:beforeLines="50" w:line="360" w:lineRule="auto"/>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特此证明。</w:t>
      </w: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72576" behindDoc="1" locked="0" layoutInCell="1" allowOverlap="1">
                <wp:simplePos x="0" y="0"/>
                <wp:positionH relativeFrom="column">
                  <wp:posOffset>2820670</wp:posOffset>
                </wp:positionH>
                <wp:positionV relativeFrom="paragraph">
                  <wp:posOffset>146050</wp:posOffset>
                </wp:positionV>
                <wp:extent cx="2355850" cy="1221105"/>
                <wp:effectExtent l="4445" t="4445" r="20955" b="1270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355850" cy="1221105"/>
                        </a:xfrm>
                        <a:prstGeom prst="rect">
                          <a:avLst/>
                        </a:prstGeom>
                        <a:solidFill>
                          <a:srgbClr val="FFFFFF"/>
                        </a:solidFill>
                        <a:ln w="9525" cmpd="sng">
                          <a:solidFill>
                            <a:srgbClr val="000000"/>
                          </a:solidFill>
                          <a:miter lim="800000"/>
                        </a:ln>
                        <a:effectLst/>
                      </wps:spPr>
                      <wps:txbx>
                        <w:txbxContent>
                          <w:p/>
                          <w:p>
                            <w:pPr>
                              <w:ind w:firstLine="211" w:firstLineChars="100"/>
                              <w:rPr>
                                <w:b/>
                              </w:rPr>
                            </w:pPr>
                            <w:r>
                              <w:rPr>
                                <w:rFonts w:hint="eastAsia"/>
                                <w:b/>
                              </w:rPr>
                              <w:t>附：</w:t>
                            </w:r>
                          </w:p>
                          <w:p>
                            <w:pPr>
                              <w:ind w:firstLine="211" w:firstLineChars="100"/>
                              <w:rPr>
                                <w:b/>
                              </w:rPr>
                            </w:pPr>
                            <w:r>
                              <w:rPr>
                                <w:rFonts w:hint="eastAsia"/>
                                <w:b/>
                              </w:rPr>
                              <w:t>营业执照副本复印件</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2.1pt;margin-top:11.5pt;height:96.15pt;width:185.5pt;z-index:-251643904;mso-width-relative:page;mso-height-relative:page;" fillcolor="#FFFFFF" filled="t" stroked="t" coordsize="21600,21600" o:gfxdata="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v1ol1wAAAAoBAAAPAAAAAAAAAAEAIAAAACIAAABkcnMvZG93bnJldi54bWxQSwECFAAUAAAA&#10;CACHTuJArPsoeygCAABGBAAADgAAAAAAAAABACAAAAAmAQAAZHJzL2Uyb0RvYy54bWxQSwUGAAAA&#10;AAYABgBZAQAAwAUAAAAA&#10;">
                <v:fill on="t" focussize="0,0"/>
                <v:stroke color="#000000" miterlimit="8"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营业执照副本复印件</w:t>
                      </w:r>
                    </w:p>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1552" behindDoc="1" locked="0" layoutInCell="1" allowOverlap="1">
                <wp:simplePos x="0" y="0"/>
                <wp:positionH relativeFrom="column">
                  <wp:posOffset>-111760</wp:posOffset>
                </wp:positionH>
                <wp:positionV relativeFrom="paragraph">
                  <wp:posOffset>146050</wp:posOffset>
                </wp:positionV>
                <wp:extent cx="2355850" cy="1221105"/>
                <wp:effectExtent l="4445" t="4445" r="20955" b="1270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355850" cy="1221105"/>
                        </a:xfrm>
                        <a:prstGeom prst="rect">
                          <a:avLst/>
                        </a:prstGeom>
                        <a:solidFill>
                          <a:srgbClr val="FFFFFF"/>
                        </a:solidFill>
                        <a:ln w="9525" cmpd="sng">
                          <a:solidFill>
                            <a:srgbClr val="000000"/>
                          </a:solidFill>
                          <a:miter lim="800000"/>
                        </a:ln>
                        <a:effectLst/>
                      </wps:spPr>
                      <wps:txbx>
                        <w:txbxContent>
                          <w:p/>
                          <w:p>
                            <w:pPr>
                              <w:ind w:firstLine="211" w:firstLineChars="100"/>
                              <w:rPr>
                                <w:b/>
                              </w:rPr>
                            </w:pPr>
                            <w:r>
                              <w:rPr>
                                <w:rFonts w:hint="eastAsia"/>
                                <w:b/>
                              </w:rPr>
                              <w:t>附：</w:t>
                            </w:r>
                          </w:p>
                          <w:p>
                            <w:pPr>
                              <w:ind w:firstLine="211" w:firstLineChars="100"/>
                              <w:rPr>
                                <w:b/>
                              </w:rPr>
                            </w:pPr>
                            <w:r>
                              <w:rPr>
                                <w:rFonts w:hint="eastAsia"/>
                                <w:b/>
                              </w:rPr>
                              <w:t>法定代表人身份证（双面）复印件</w:t>
                            </w:r>
                          </w:p>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8pt;margin-top:11.5pt;height:96.15pt;width:185.5pt;z-index:-251644928;mso-width-relative:page;mso-height-relative:page;" fillcolor="#FFFFFF" filled="t" stroked="t" coordsize="21600,21600" o:gfxdata="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fjdNtkAAAAKAQAADwAAAAAAAAABACAAAAAiAAAAZHJzL2Rvd25yZXYueG1sUEsBAhQAFAAA&#10;AAgAh07iQAmXNsgnAgAARgQAAA4AAAAAAAAAAQAgAAAAKAEAAGRycy9lMm9Eb2MueG1sUEsFBgAA&#10;AAAGAAYAWQEAAMEFAAAAAA==&#10;">
                <v:fill on="t" focussize="0,0"/>
                <v:stroke color="#000000" miterlimit="8"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法定代表人身份证（双面）复印件</w:t>
                      </w:r>
                    </w:p>
                    <w:p/>
                  </w:txbxContent>
                </v:textbox>
              </v:rect>
            </w:pict>
          </mc:Fallback>
        </mc:AlternateContent>
      </w:r>
    </w:p>
    <w:p>
      <w:pPr>
        <w:snapToGrid w:val="0"/>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备注：上述证件复印件可另附页，另附页时，证件复印件均须加盖单位公章。</w:t>
      </w: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snapToGrid w:val="0"/>
        <w:outlineLvl w:val="9"/>
        <w:rPr>
          <w:rFonts w:hint="eastAsia" w:ascii="宋体" w:hAnsi="宋体" w:eastAsia="宋体" w:cs="宋体"/>
          <w:color w:val="auto"/>
          <w:szCs w:val="21"/>
          <w:highlight w:val="none"/>
        </w:rPr>
      </w:pPr>
    </w:p>
    <w:p>
      <w:pPr>
        <w:adjustRightInd w:val="0"/>
        <w:snapToGrid w:val="0"/>
        <w:spacing w:line="360" w:lineRule="auto"/>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谈判单位名称（盖单位章）：</w:t>
      </w:r>
      <w:r>
        <w:rPr>
          <w:rFonts w:hint="eastAsia" w:ascii="宋体" w:hAnsi="宋体" w:eastAsia="宋体" w:cs="宋体"/>
          <w:color w:val="auto"/>
          <w:highlight w:val="none"/>
          <w:u w:val="single"/>
        </w:rPr>
        <w:t xml:space="preserve">    （盖单位章）    </w:t>
      </w:r>
    </w:p>
    <w:p>
      <w:pPr>
        <w:spacing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r>
        <w:rPr>
          <w:rFonts w:hint="eastAsia" w:ascii="宋体" w:hAnsi="宋体" w:eastAsia="宋体" w:cs="宋体"/>
          <w:bCs/>
          <w:color w:val="auto"/>
          <w:sz w:val="24"/>
          <w:highlight w:val="none"/>
        </w:rPr>
        <w:br w:type="page"/>
      </w:r>
      <w:bookmarkStart w:id="158" w:name="_Toc14170"/>
      <w:bookmarkStart w:id="159" w:name="_Toc3592"/>
      <w:bookmarkStart w:id="160" w:name="_Toc21066"/>
      <w:bookmarkStart w:id="161" w:name="_Toc761"/>
      <w:r>
        <w:rPr>
          <w:rFonts w:hint="eastAsia" w:ascii="宋体" w:hAnsi="宋体" w:eastAsia="宋体" w:cs="宋体"/>
          <w:b/>
          <w:color w:val="auto"/>
          <w:sz w:val="32"/>
          <w:szCs w:val="32"/>
          <w:highlight w:val="none"/>
        </w:rPr>
        <w:t>三、授权委托书</w:t>
      </w:r>
      <w:bookmarkEnd w:id="158"/>
      <w:bookmarkEnd w:id="159"/>
      <w:bookmarkEnd w:id="160"/>
      <w:bookmarkEnd w:id="161"/>
    </w:p>
    <w:p>
      <w:pPr>
        <w:adjustRightInd w:val="0"/>
        <w:snapToGrid w:val="0"/>
        <w:spacing w:line="360" w:lineRule="auto"/>
        <w:jc w:val="center"/>
        <w:outlineLvl w:val="9"/>
        <w:rPr>
          <w:rFonts w:hint="eastAsia" w:ascii="宋体" w:hAnsi="宋体" w:eastAsia="宋体" w:cs="宋体"/>
          <w:b/>
          <w:color w:val="auto"/>
          <w:sz w:val="28"/>
          <w:szCs w:val="28"/>
          <w:highlight w:val="none"/>
        </w:rPr>
      </w:pPr>
    </w:p>
    <w:p>
      <w:pPr>
        <w:keepNext w:val="0"/>
        <w:keepLines w:val="0"/>
        <w:pageBreakBefore w:val="0"/>
        <w:widowControl w:val="0"/>
        <w:kinsoku/>
        <w:wordWrap/>
        <w:overflowPunct/>
        <w:topLinePunct w:val="0"/>
        <w:autoSpaceDE w:val="0"/>
        <w:autoSpaceDN w:val="0"/>
        <w:bidi w:val="0"/>
        <w:adjustRightInd w:val="0"/>
        <w:snapToGrid w:val="0"/>
        <w:spacing w:beforeLines="50" w:line="360" w:lineRule="auto"/>
        <w:ind w:firstLine="420" w:firstLineChars="200"/>
        <w:jc w:val="both"/>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本人</w:t>
      </w:r>
      <w:r>
        <w:rPr>
          <w:rFonts w:hint="eastAsia" w:ascii="宋体" w:hAnsi="宋体" w:eastAsia="宋体" w:cs="宋体"/>
          <w:color w:val="auto"/>
          <w:kern w:val="0"/>
          <w:sz w:val="21"/>
          <w:szCs w:val="21"/>
          <w:highlight w:val="none"/>
          <w:u w:val="single"/>
        </w:rPr>
        <w:t>（姓名、职务）</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谈判单位</w:t>
      </w:r>
      <w:r>
        <w:rPr>
          <w:rFonts w:hint="eastAsia" w:ascii="宋体" w:hAnsi="宋体" w:eastAsia="宋体" w:cs="宋体"/>
          <w:color w:val="auto"/>
          <w:kern w:val="0"/>
          <w:sz w:val="21"/>
          <w:szCs w:val="21"/>
          <w:highlight w:val="none"/>
          <w:u w:val="single"/>
        </w:rPr>
        <w:t>名称）</w:t>
      </w:r>
      <w:r>
        <w:rPr>
          <w:rFonts w:hint="eastAsia" w:ascii="宋体" w:hAnsi="宋体" w:eastAsia="宋体" w:cs="宋体"/>
          <w:color w:val="auto"/>
          <w:kern w:val="0"/>
          <w:sz w:val="21"/>
          <w:szCs w:val="21"/>
          <w:highlight w:val="none"/>
        </w:rPr>
        <w:t>的法定代表人，现授权</w:t>
      </w:r>
      <w:r>
        <w:rPr>
          <w:rFonts w:hint="eastAsia" w:ascii="宋体" w:hAnsi="宋体" w:eastAsia="宋体" w:cs="宋体"/>
          <w:color w:val="auto"/>
          <w:kern w:val="0"/>
          <w:sz w:val="21"/>
          <w:szCs w:val="21"/>
          <w:highlight w:val="none"/>
          <w:u w:val="single"/>
        </w:rPr>
        <w:t>（姓名、职务）</w:t>
      </w:r>
      <w:r>
        <w:rPr>
          <w:rFonts w:hint="eastAsia" w:ascii="宋体" w:hAnsi="宋体" w:eastAsia="宋体" w:cs="宋体"/>
          <w:color w:val="auto"/>
          <w:kern w:val="0"/>
          <w:sz w:val="21"/>
          <w:szCs w:val="21"/>
          <w:highlight w:val="none"/>
        </w:rPr>
        <w:t>为我方代理人。代理人根据授权，以我方名义签署、澄清、补正、修改、撤回、提交</w:t>
      </w:r>
      <w:r>
        <w:rPr>
          <w:rFonts w:hint="eastAsia" w:ascii="宋体" w:hAnsi="宋体" w:eastAsia="宋体" w:cs="宋体"/>
          <w:color w:val="auto"/>
          <w:kern w:val="0"/>
          <w:sz w:val="21"/>
          <w:szCs w:val="21"/>
          <w:highlight w:val="none"/>
          <w:u w:val="single"/>
        </w:rPr>
        <w:t>（项目名称、</w:t>
      </w:r>
      <w:r>
        <w:rPr>
          <w:rFonts w:hint="eastAsia" w:ascii="宋体" w:hAnsi="宋体" w:eastAsia="宋体" w:cs="宋体"/>
          <w:color w:val="auto"/>
          <w:sz w:val="21"/>
          <w:szCs w:val="21"/>
          <w:highlight w:val="none"/>
          <w:u w:val="single"/>
        </w:rPr>
        <w:t>项目</w:t>
      </w:r>
      <w:r>
        <w:rPr>
          <w:rFonts w:hint="eastAsia" w:ascii="宋体" w:hAnsi="宋体" w:eastAsia="宋体" w:cs="宋体"/>
          <w:color w:val="auto"/>
          <w:kern w:val="0"/>
          <w:sz w:val="21"/>
          <w:szCs w:val="21"/>
          <w:highlight w:val="none"/>
          <w:u w:val="single"/>
        </w:rPr>
        <w:t>编号）</w:t>
      </w:r>
      <w:r>
        <w:rPr>
          <w:rFonts w:hint="eastAsia" w:ascii="宋体" w:hAnsi="宋体" w:eastAsia="宋体" w:cs="宋体"/>
          <w:color w:val="auto"/>
          <w:kern w:val="0"/>
          <w:sz w:val="21"/>
          <w:szCs w:val="21"/>
          <w:highlight w:val="none"/>
        </w:rPr>
        <w:t>响应文件及与本谈判项目的有关事宜，其法律后果由我方承担。</w:t>
      </w: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p>
    <w:p>
      <w:pPr>
        <w:spacing w:line="360" w:lineRule="auto"/>
        <w:ind w:firstLine="435"/>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代理人无转委托权。</w:t>
      </w:r>
    </w:p>
    <w:p>
      <w:pPr>
        <w:spacing w:line="360" w:lineRule="auto"/>
        <w:ind w:firstLine="435"/>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本授权书于年月日签字生效，特此声明。</w:t>
      </w:r>
    </w:p>
    <w:p>
      <w:pPr>
        <w:adjustRightInd w:val="0"/>
        <w:snapToGrid w:val="0"/>
        <w:spacing w:beforeLines="50" w:line="360" w:lineRule="auto"/>
        <w:ind w:firstLine="420" w:firstLineChars="20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mc:AlternateContent>
          <mc:Choice Requires="wps">
            <w:drawing>
              <wp:anchor distT="0" distB="0" distL="114300" distR="114300" simplePos="0" relativeHeight="251675648" behindDoc="1" locked="0" layoutInCell="1" allowOverlap="1">
                <wp:simplePos x="0" y="0"/>
                <wp:positionH relativeFrom="column">
                  <wp:posOffset>-114300</wp:posOffset>
                </wp:positionH>
                <wp:positionV relativeFrom="paragraph">
                  <wp:posOffset>18415</wp:posOffset>
                </wp:positionV>
                <wp:extent cx="1410970" cy="1299845"/>
                <wp:effectExtent l="4445" t="4445" r="13335" b="10160"/>
                <wp:wrapNone/>
                <wp:docPr id="6" name="矩形 6"/>
                <wp:cNvGraphicFramePr/>
                <a:graphic xmlns:a="http://schemas.openxmlformats.org/drawingml/2006/main">
                  <a:graphicData uri="http://schemas.microsoft.com/office/word/2010/wordprocessingShape">
                    <wps:wsp>
                      <wps:cNvSpPr/>
                      <wps:spPr>
                        <a:xfrm>
                          <a:off x="0" y="0"/>
                          <a:ext cx="1410970" cy="1299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rPr>
                                <w:b/>
                              </w:rPr>
                            </w:pPr>
                            <w:r>
                              <w:rPr>
                                <w:rFonts w:hint="eastAsia"/>
                                <w:b/>
                              </w:rPr>
                              <w:t>委托代理人身份证（双面）复印件</w:t>
                            </w:r>
                          </w:p>
                          <w:p/>
                        </w:txbxContent>
                      </wps:txbx>
                      <wps:bodyPr upright="1"/>
                    </wps:wsp>
                  </a:graphicData>
                </a:graphic>
              </wp:anchor>
            </w:drawing>
          </mc:Choice>
          <mc:Fallback>
            <w:pict>
              <v:rect id="_x0000_s1026" o:spid="_x0000_s1026" o:spt="1" style="position:absolute;left:0pt;margin-left:-9pt;margin-top:1.45pt;height:102.35pt;width:111.1pt;z-index:-251640832;mso-width-relative:page;mso-height-relative:page;" fillcolor="#FFFFFF" filled="t" stroked="t" coordsize="21600,21600" o:gfxdata="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lgr4DYAAAACQEAAA8AAAAAAAAAAQAgAAAAIgAAAGRycy9kb3ducmV2LnhtbFBLAQIUABQAAAAI&#10;AIdO4kA79wx97QEAAOoDAAAOAAAAAAAAAAEAIAAAACcBAABkcnMvZTJvRG9jLnhtbFBLBQYAAAAA&#10;BgAGAFkBAACGBQAAAAA=&#10;">
                <v:fill on="t" focussize="0,0"/>
                <v:stroke color="#000000" joinstyle="miter"/>
                <v:imagedata o:title=""/>
                <o:lock v:ext="edit" aspectratio="f"/>
                <v:textbox>
                  <w:txbxContent>
                    <w:p/>
                    <w:p>
                      <w:pPr>
                        <w:ind w:firstLine="211" w:firstLineChars="100"/>
                        <w:rPr>
                          <w:b/>
                        </w:rPr>
                      </w:pPr>
                      <w:r>
                        <w:rPr>
                          <w:rFonts w:hint="eastAsia"/>
                          <w:b/>
                        </w:rPr>
                        <w:t>附：</w:t>
                      </w:r>
                    </w:p>
                    <w:p>
                      <w:pPr>
                        <w:rPr>
                          <w:b/>
                        </w:rPr>
                      </w:pPr>
                      <w:r>
                        <w:rPr>
                          <w:rFonts w:hint="eastAsia"/>
                          <w:b/>
                        </w:rPr>
                        <w:t>委托代理人身份证（双面）复印件</w:t>
                      </w:r>
                    </w:p>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7696" behindDoc="1" locked="0" layoutInCell="1" allowOverlap="1">
                <wp:simplePos x="0" y="0"/>
                <wp:positionH relativeFrom="column">
                  <wp:posOffset>3455670</wp:posOffset>
                </wp:positionH>
                <wp:positionV relativeFrom="paragraph">
                  <wp:posOffset>3810</wp:posOffset>
                </wp:positionV>
                <wp:extent cx="1555750" cy="1271270"/>
                <wp:effectExtent l="4445" t="5080" r="20955" b="19050"/>
                <wp:wrapNone/>
                <wp:docPr id="7" name="矩形 7"/>
                <wp:cNvGraphicFramePr/>
                <a:graphic xmlns:a="http://schemas.openxmlformats.org/drawingml/2006/main">
                  <a:graphicData uri="http://schemas.microsoft.com/office/word/2010/wordprocessingShape">
                    <wps:wsp>
                      <wps:cNvSpPr/>
                      <wps:spPr>
                        <a:xfrm>
                          <a:off x="0" y="0"/>
                          <a:ext cx="1555750" cy="1271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ind w:firstLine="211" w:firstLineChars="100"/>
                              <w:rPr>
                                <w:b/>
                              </w:rPr>
                            </w:pPr>
                            <w:r>
                              <w:rPr>
                                <w:rFonts w:hint="eastAsia"/>
                                <w:b/>
                              </w:rPr>
                              <w:t>营业执照副本复印件（法定代表人身份证明书中已有此附件）</w:t>
                            </w:r>
                          </w:p>
                          <w:p>
                            <w:pPr>
                              <w:rPr>
                                <w:highlight w:val="yellow"/>
                              </w:rPr>
                            </w:pPr>
                          </w:p>
                        </w:txbxContent>
                      </wps:txbx>
                      <wps:bodyPr upright="1"/>
                    </wps:wsp>
                  </a:graphicData>
                </a:graphic>
              </wp:anchor>
            </w:drawing>
          </mc:Choice>
          <mc:Fallback>
            <w:pict>
              <v:rect id="_x0000_s1026" o:spid="_x0000_s1026" o:spt="1" style="position:absolute;left:0pt;margin-left:272.1pt;margin-top:0.3pt;height:100.1pt;width:122.5pt;z-index:-251638784;mso-width-relative:page;mso-height-relative:page;" fillcolor="#FFFFFF" filled="t" stroked="t" coordsize="21600,21600" o:gfxdata="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LVO31gAAAAgBAAAPAAAAAAAAAAEAIAAAACIAAABkcnMvZG93bnJldi54bWxQSwECFAAUAAAACACH&#10;TuJA6VhXOe0BAADqAwAADgAAAAAAAAABACAAAAAlAQAAZHJzL2Uyb0RvYy54bWxQSwUGAAAAAAYA&#10;BgBZAQAAhAUAAAAA&#10;">
                <v:fill on="t" focussize="0,0"/>
                <v:stroke color="#000000" joinstyle="miter"/>
                <v:imagedata o:title=""/>
                <o:lock v:ext="edit" aspectratio="f"/>
                <v:textbox>
                  <w:txbxContent>
                    <w:p/>
                    <w:p>
                      <w:pPr>
                        <w:ind w:firstLine="211" w:firstLineChars="100"/>
                        <w:rPr>
                          <w:b/>
                        </w:rPr>
                      </w:pPr>
                      <w:r>
                        <w:rPr>
                          <w:rFonts w:hint="eastAsia"/>
                          <w:b/>
                        </w:rPr>
                        <w:t>附：</w:t>
                      </w:r>
                    </w:p>
                    <w:p>
                      <w:pPr>
                        <w:ind w:firstLine="211" w:firstLineChars="100"/>
                        <w:rPr>
                          <w:b/>
                        </w:rPr>
                      </w:pPr>
                      <w:r>
                        <w:rPr>
                          <w:rFonts w:hint="eastAsia"/>
                          <w:b/>
                        </w:rPr>
                        <w:t>营业执照副本复印件（法定代表人身份证明书中已有此附件）</w:t>
                      </w:r>
                    </w:p>
                    <w:p>
                      <w:pPr>
                        <w:rPr>
                          <w:highlight w:val="yellow"/>
                        </w:rPr>
                      </w:pPr>
                    </w:p>
                  </w:txbxContent>
                </v:textbox>
              </v:rect>
            </w:pict>
          </mc:Fallback>
        </mc:AlternateContent>
      </w:r>
      <w:r>
        <w:rPr>
          <w:rFonts w:hint="eastAsia" w:ascii="宋体" w:hAnsi="宋体" w:eastAsia="宋体" w:cs="宋体"/>
          <w:color w:val="auto"/>
          <w:szCs w:val="21"/>
          <w:highlight w:val="none"/>
        </w:rPr>
        <mc:AlternateContent>
          <mc:Choice Requires="wps">
            <w:drawing>
              <wp:anchor distT="0" distB="0" distL="114300" distR="114300" simplePos="0" relativeHeight="251676672" behindDoc="1" locked="0" layoutInCell="1" allowOverlap="1">
                <wp:simplePos x="0" y="0"/>
                <wp:positionH relativeFrom="column">
                  <wp:posOffset>1694815</wp:posOffset>
                </wp:positionH>
                <wp:positionV relativeFrom="paragraph">
                  <wp:posOffset>17145</wp:posOffset>
                </wp:positionV>
                <wp:extent cx="1433195" cy="1278255"/>
                <wp:effectExtent l="4445" t="5080" r="10160" b="12065"/>
                <wp:wrapNone/>
                <wp:docPr id="5" name="矩形 5"/>
                <wp:cNvGraphicFramePr/>
                <a:graphic xmlns:a="http://schemas.openxmlformats.org/drawingml/2006/main">
                  <a:graphicData uri="http://schemas.microsoft.com/office/word/2010/wordprocessingShape">
                    <wps:wsp>
                      <wps:cNvSpPr/>
                      <wps:spPr>
                        <a:xfrm flipH="1">
                          <a:off x="0" y="0"/>
                          <a:ext cx="1433195" cy="1278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
                            <w:pPr>
                              <w:ind w:firstLine="211" w:firstLineChars="100"/>
                              <w:rPr>
                                <w:b/>
                              </w:rPr>
                            </w:pPr>
                            <w:r>
                              <w:rPr>
                                <w:rFonts w:hint="eastAsia"/>
                                <w:b/>
                              </w:rPr>
                              <w:t>附：</w:t>
                            </w:r>
                          </w:p>
                          <w:p>
                            <w:pPr>
                              <w:rPr>
                                <w:b/>
                              </w:rPr>
                            </w:pPr>
                            <w:r>
                              <w:rPr>
                                <w:rFonts w:hint="eastAsia"/>
                                <w:b/>
                              </w:rPr>
                              <w:t>法定代表人身份证（双面）复印件</w:t>
                            </w:r>
                          </w:p>
                          <w:p/>
                        </w:txbxContent>
                      </wps:txbx>
                      <wps:bodyPr upright="1"/>
                    </wps:wsp>
                  </a:graphicData>
                </a:graphic>
              </wp:anchor>
            </w:drawing>
          </mc:Choice>
          <mc:Fallback>
            <w:pict>
              <v:rect id="_x0000_s1026" o:spid="_x0000_s1026" o:spt="1" style="position:absolute;left:0pt;flip:x;margin-left:133.45pt;margin-top:1.35pt;height:100.65pt;width:112.85pt;z-index:-251639808;mso-width-relative:page;mso-height-relative:page;" fillcolor="#FFFFFF" filled="t" stroked="t" coordsize="21600,21600" o:gfxdata="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Us4r1gAAAAkBAAAPAAAAAAAAAAEAIAAAACIAAABkcnMvZG93bnJldi54bWxQSwEC&#10;FAAUAAAACACHTuJACCFYmPYBAAD0AwAADgAAAAAAAAABACAAAAAlAQAAZHJzL2Uyb0RvYy54bWxQ&#10;SwUGAAAAAAYABgBZAQAAjQUAAAAA&#10;">
                <v:fill on="t" focussize="0,0"/>
                <v:stroke color="#000000" joinstyle="miter"/>
                <v:imagedata o:title=""/>
                <o:lock v:ext="edit" aspectratio="f"/>
                <v:textbox>
                  <w:txbxContent>
                    <w:p/>
                    <w:p>
                      <w:pPr>
                        <w:ind w:firstLine="211" w:firstLineChars="100"/>
                        <w:rPr>
                          <w:b/>
                        </w:rPr>
                      </w:pPr>
                      <w:r>
                        <w:rPr>
                          <w:rFonts w:hint="eastAsia"/>
                          <w:b/>
                        </w:rPr>
                        <w:t>附：</w:t>
                      </w:r>
                    </w:p>
                    <w:p>
                      <w:pPr>
                        <w:rPr>
                          <w:b/>
                        </w:rPr>
                      </w:pPr>
                      <w:r>
                        <w:rPr>
                          <w:rFonts w:hint="eastAsia"/>
                          <w:b/>
                        </w:rPr>
                        <w:t>法定代表人身份证（双面）复印件</w:t>
                      </w:r>
                    </w:p>
                    <w:p/>
                  </w:txbxContent>
                </v:textbox>
              </v:rect>
            </w:pict>
          </mc:Fallback>
        </mc:AlternateContent>
      </w: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utoSpaceDE w:val="0"/>
        <w:autoSpaceDN w:val="0"/>
        <w:adjustRightInd w:val="0"/>
        <w:snapToGrid w:val="0"/>
        <w:spacing w:line="360" w:lineRule="auto"/>
        <w:jc w:val="left"/>
        <w:outlineLvl w:val="9"/>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备注：上述证件复印件可另附页，另附页时，证件复印件均须加盖单位公章。 </w:t>
      </w: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谈判单位名称（盖单位章）：</w:t>
      </w:r>
      <w:r>
        <w:rPr>
          <w:rFonts w:hint="eastAsia" w:ascii="宋体" w:hAnsi="宋体" w:eastAsia="宋体" w:cs="宋体"/>
          <w:color w:val="auto"/>
          <w:highlight w:val="none"/>
          <w:u w:val="single"/>
        </w:rPr>
        <w:t xml:space="preserve">    （盖单位章）    </w:t>
      </w: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法定代表人（亲笔签字）：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adjustRightInd w:val="0"/>
        <w:snapToGrid w:val="0"/>
        <w:spacing w:line="360" w:lineRule="auto"/>
        <w:ind w:right="42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委托代理人（亲笔签字）：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spacing w:line="360" w:lineRule="auto"/>
        <w:outlineLvl w:val="9"/>
        <w:rPr>
          <w:rFonts w:hint="eastAsia" w:ascii="宋体" w:hAnsi="宋体" w:eastAsia="宋体" w:cs="宋体"/>
          <w:color w:val="auto"/>
          <w:szCs w:val="21"/>
          <w:highlight w:val="none"/>
        </w:rPr>
        <w:sectPr>
          <w:pgSz w:w="11906" w:h="16838"/>
          <w:pgMar w:top="1191" w:right="1417" w:bottom="1191" w:left="1191" w:header="851" w:footer="851" w:gutter="0"/>
          <w:pgNumType w:fmt="decimal"/>
          <w:cols w:space="720" w:num="1"/>
          <w:docGrid w:linePitch="312" w:charSpace="0"/>
        </w:sectPr>
      </w:pPr>
      <w:r>
        <w:rPr>
          <w:rFonts w:hint="eastAsia" w:ascii="宋体" w:hAnsi="宋体" w:eastAsia="宋体" w:cs="宋体"/>
          <w:color w:val="auto"/>
          <w:highlight w:val="none"/>
        </w:rPr>
        <w:t>日期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62" w:name="_Toc2295"/>
      <w:bookmarkStart w:id="163" w:name="_Toc30284"/>
      <w:bookmarkStart w:id="164" w:name="_Toc11357"/>
      <w:bookmarkStart w:id="165" w:name="_Toc18944"/>
      <w:r>
        <w:rPr>
          <w:rFonts w:hint="eastAsia" w:ascii="宋体" w:hAnsi="宋体" w:eastAsia="宋体" w:cs="宋体"/>
          <w:b/>
          <w:color w:val="auto"/>
          <w:sz w:val="32"/>
          <w:szCs w:val="32"/>
          <w:highlight w:val="none"/>
        </w:rPr>
        <w:t>四、谈判单位资格证明文件</w:t>
      </w:r>
      <w:bookmarkEnd w:id="162"/>
      <w:bookmarkEnd w:id="163"/>
      <w:bookmarkEnd w:id="164"/>
      <w:bookmarkEnd w:id="165"/>
    </w:p>
    <w:p>
      <w:pPr>
        <w:adjustRightInd w:val="0"/>
        <w:snapToGrid w:val="0"/>
        <w:spacing w:line="360" w:lineRule="auto"/>
        <w:outlineLvl w:val="9"/>
        <w:rPr>
          <w:rFonts w:hint="eastAsia" w:ascii="宋体" w:hAnsi="宋体" w:eastAsia="宋体" w:cs="宋体"/>
          <w:bCs/>
          <w:color w:val="auto"/>
          <w:szCs w:val="21"/>
          <w:highlight w:val="none"/>
        </w:rPr>
      </w:pPr>
    </w:p>
    <w:p>
      <w:pPr>
        <w:adjustRightInd w:val="0"/>
        <w:snapToGrid w:val="0"/>
        <w:spacing w:line="360" w:lineRule="auto"/>
        <w:ind w:firstLine="420" w:firstLineChars="200"/>
        <w:outlineLvl w:val="9"/>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根据本谈判文件</w:t>
      </w:r>
      <w:r>
        <w:rPr>
          <w:rFonts w:hint="eastAsia" w:ascii="宋体" w:hAnsi="宋体" w:eastAsia="宋体" w:cs="宋体"/>
          <w:b/>
          <w:bCs/>
          <w:color w:val="auto"/>
          <w:szCs w:val="21"/>
          <w:highlight w:val="none"/>
        </w:rPr>
        <w:t>前附表</w:t>
      </w:r>
      <w:r>
        <w:rPr>
          <w:rFonts w:hint="eastAsia" w:ascii="宋体" w:hAnsi="宋体" w:eastAsia="宋体" w:cs="宋体"/>
          <w:bCs/>
          <w:color w:val="auto"/>
          <w:szCs w:val="21"/>
          <w:highlight w:val="none"/>
        </w:rPr>
        <w:t>内的资格要求，本章节须附下列证明文件：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1、须提供营业执照副本复印件。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2、须具有建筑工程施工总承包三级（含）以上或建筑装修装饰工程专业承包二级（含）以上资质，须提供证书原件及复印件。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3、须提供有效的施工企业《安全生产许可证》原件及复印件。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4、委托代理人、项目负责人、安全员须提供由劳动保障部门出具的谈判响应文件递交截止时间前半年内连续三个月的本单位社保证明原件及复印件。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w:t>
      </w:r>
      <w:r>
        <w:rPr>
          <w:rFonts w:hint="eastAsia" w:ascii="宋体" w:hAnsi="宋体" w:eastAsia="宋体" w:cs="宋体"/>
          <w:color w:val="auto"/>
          <w:szCs w:val="21"/>
          <w:highlight w:val="none"/>
        </w:rPr>
        <w:t>拟任项目负责人应附注册建造师证、B类安全生产考核合格证</w:t>
      </w:r>
      <w:r>
        <w:rPr>
          <w:rFonts w:hint="eastAsia" w:ascii="宋体" w:hAnsi="宋体" w:eastAsia="宋体" w:cs="宋体"/>
          <w:bCs/>
          <w:color w:val="auto"/>
          <w:szCs w:val="21"/>
          <w:highlight w:val="none"/>
        </w:rPr>
        <w:t>原件及复印件。</w:t>
      </w:r>
    </w:p>
    <w:p>
      <w:pPr>
        <w:adjustRightInd w:val="0"/>
        <w:snapToGrid w:val="0"/>
        <w:spacing w:line="360" w:lineRule="auto"/>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w:t>
      </w:r>
      <w:r>
        <w:rPr>
          <w:rFonts w:hint="eastAsia" w:ascii="宋体" w:hAnsi="宋体" w:eastAsia="宋体" w:cs="宋体"/>
          <w:color w:val="auto"/>
          <w:szCs w:val="21"/>
          <w:highlight w:val="none"/>
        </w:rPr>
        <w:t>安全员应附C类安全生产考核合格证</w:t>
      </w:r>
      <w:r>
        <w:rPr>
          <w:rFonts w:hint="eastAsia" w:ascii="宋体" w:hAnsi="宋体" w:eastAsia="宋体" w:cs="宋体"/>
          <w:bCs/>
          <w:color w:val="auto"/>
          <w:szCs w:val="21"/>
          <w:highlight w:val="none"/>
        </w:rPr>
        <w:t>原件及复印件。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7、湖南省外企业须按照湘建建【2015】190号文件要求办理省外入湘企业基本情况登记（以“湖南省住房和城乡建设网”查询为准）或具有入湘施工登记证（处于有效期内）。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color w:val="auto"/>
          <w:kern w:val="0"/>
          <w:szCs w:val="21"/>
          <w:highlight w:val="none"/>
        </w:rPr>
      </w:pPr>
      <w:r>
        <w:rPr>
          <w:rFonts w:hint="eastAsia" w:ascii="宋体" w:hAnsi="宋体" w:eastAsia="宋体" w:cs="宋体"/>
          <w:iCs/>
          <w:color w:val="auto"/>
          <w:highlight w:val="none"/>
          <w:lang w:val="en-US" w:eastAsia="zh-CN"/>
        </w:rPr>
        <w:t>8</w:t>
      </w:r>
      <w:r>
        <w:rPr>
          <w:rFonts w:hint="eastAsia" w:ascii="宋体" w:hAnsi="宋体" w:eastAsia="宋体" w:cs="宋体"/>
          <w:iCs/>
          <w:color w:val="auto"/>
          <w:highlight w:val="none"/>
          <w:lang w:eastAsia="zh-CN"/>
        </w:rPr>
        <w:t>、</w:t>
      </w:r>
      <w:r>
        <w:rPr>
          <w:rFonts w:hint="eastAsia" w:ascii="宋体" w:hAnsi="宋体" w:eastAsia="宋体" w:cs="宋体"/>
          <w:color w:val="auto"/>
          <w:kern w:val="0"/>
          <w:szCs w:val="21"/>
          <w:highlight w:val="none"/>
        </w:rPr>
        <w:t>谈判单位认为与本项目资格条件有关的其它证明文件（如有，格式自拟）。</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1、上述证明文件复印件均须加盖谈判单位公章。</w:t>
      </w:r>
    </w:p>
    <w:p>
      <w:pPr>
        <w:adjustRightInd w:val="0"/>
        <w:snapToGrid w:val="0"/>
        <w:spacing w:line="360" w:lineRule="auto"/>
        <w:ind w:firstLine="422" w:firstLineChars="200"/>
        <w:outlineLvl w:val="9"/>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2、上述证明文件原件须用文件袋单独包装，在响应文件递交的同时一并提交。</w:t>
      </w:r>
    </w:p>
    <w:p>
      <w:pPr>
        <w:pStyle w:val="14"/>
        <w:outlineLvl w:val="9"/>
        <w:rPr>
          <w:rFonts w:hint="eastAsia" w:ascii="宋体" w:hAnsi="宋体" w:eastAsia="宋体" w:cs="宋体"/>
          <w:color w:val="auto"/>
          <w:highlight w:val="none"/>
        </w:rPr>
      </w:pPr>
    </w:p>
    <w:p>
      <w:pPr>
        <w:pStyle w:val="14"/>
        <w:outlineLvl w:val="9"/>
        <w:rPr>
          <w:rFonts w:hint="eastAsia" w:ascii="宋体" w:hAnsi="宋体" w:eastAsia="宋体" w:cs="宋体"/>
          <w:color w:val="auto"/>
          <w:highlight w:val="none"/>
        </w:rPr>
        <w:sectPr>
          <w:pgSz w:w="11906" w:h="16838"/>
          <w:pgMar w:top="1191" w:right="1417" w:bottom="1191" w:left="1191" w:header="851" w:footer="851" w:gutter="0"/>
          <w:pgNumType w:fmt="decimal"/>
          <w:cols w:space="720" w:num="1"/>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lang w:eastAsia="zh-CN"/>
        </w:rPr>
      </w:pPr>
      <w:bookmarkStart w:id="166" w:name="_Toc7528"/>
      <w:bookmarkStart w:id="167" w:name="_Toc9230"/>
      <w:bookmarkStart w:id="168" w:name="_Toc30403"/>
      <w:bookmarkStart w:id="169" w:name="_Toc6552"/>
      <w:r>
        <w:rPr>
          <w:rFonts w:hint="eastAsia" w:ascii="宋体" w:hAnsi="宋体" w:eastAsia="宋体" w:cs="宋体"/>
          <w:b/>
          <w:color w:val="auto"/>
          <w:sz w:val="32"/>
          <w:szCs w:val="32"/>
          <w:highlight w:val="none"/>
        </w:rPr>
        <w:t>五、</w:t>
      </w:r>
      <w:bookmarkEnd w:id="166"/>
      <w:bookmarkEnd w:id="167"/>
      <w:bookmarkEnd w:id="168"/>
      <w:r>
        <w:rPr>
          <w:rFonts w:hint="eastAsia" w:ascii="宋体" w:hAnsi="宋体" w:eastAsia="宋体" w:cs="宋体"/>
          <w:b/>
          <w:color w:val="auto"/>
          <w:sz w:val="32"/>
          <w:szCs w:val="32"/>
          <w:highlight w:val="none"/>
        </w:rPr>
        <w:t>不拖欠农民工工资承诺书</w:t>
      </w:r>
      <w:bookmarkEnd w:id="169"/>
    </w:p>
    <w:p>
      <w:pPr>
        <w:adjustRightInd w:val="0"/>
        <w:snapToGrid w:val="0"/>
        <w:ind w:left="-88" w:leftChars="-42" w:firstLine="211" w:firstLineChars="100"/>
        <w:jc w:val="center"/>
        <w:outlineLvl w:val="9"/>
        <w:rPr>
          <w:rFonts w:hint="eastAsia" w:ascii="宋体" w:hAnsi="宋体" w:eastAsia="宋体" w:cs="宋体"/>
          <w:b/>
          <w:bCs/>
          <w:color w:val="auto"/>
          <w:sz w:val="21"/>
          <w:szCs w:val="21"/>
          <w:highlight w:val="none"/>
        </w:rPr>
      </w:pPr>
    </w:p>
    <w:p>
      <w:pPr>
        <w:ind w:firstLine="105" w:firstLineChars="50"/>
        <w:rPr>
          <w:rFonts w:hint="eastAsia" w:ascii="宋体" w:hAnsi="宋体" w:eastAsia="宋体" w:cs="宋体"/>
          <w:color w:val="auto"/>
          <w:highlight w:val="none"/>
          <w:u w:val="singl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（采购单位）        </w:t>
      </w:r>
    </w:p>
    <w:p>
      <w:pPr>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根据贵方的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项目谈判文件，一旦我方中选，我方保证按长建发【2004】54号（关于印发《防止发生拖欠工程款行为联动实施办法》）文件精神执行，及时足额支付民工工资。</w:t>
      </w:r>
    </w:p>
    <w:p>
      <w:pPr>
        <w:spacing w:line="360" w:lineRule="auto"/>
        <w:rPr>
          <w:rFonts w:hint="eastAsia" w:ascii="宋体" w:hAnsi="宋体" w:eastAsia="宋体" w:cs="宋体"/>
          <w:color w:val="auto"/>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邮编：</w:t>
      </w:r>
      <w:r>
        <w:rPr>
          <w:rFonts w:hint="eastAsia" w:ascii="宋体" w:hAnsi="宋体" w:eastAsia="宋体" w:cs="宋体"/>
          <w:color w:val="auto"/>
          <w:szCs w:val="21"/>
          <w:highlight w:val="none"/>
          <w:u w:val="single"/>
        </w:rPr>
        <w:t xml:space="preserve">                          </w:t>
      </w:r>
    </w:p>
    <w:p>
      <w:pPr>
        <w:adjustRightInd w:val="0"/>
        <w:snapToGrid w:val="0"/>
        <w:rPr>
          <w:rFonts w:hint="eastAsia" w:ascii="宋体" w:hAnsi="宋体" w:eastAsia="宋体" w:cs="宋体"/>
          <w:color w:val="auto"/>
          <w:szCs w:val="21"/>
          <w:highlight w:val="none"/>
        </w:rPr>
      </w:pPr>
    </w:p>
    <w:p>
      <w:pPr>
        <w:adjustRightInd w:val="0"/>
        <w:snapToGrid w:val="0"/>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传真：</w:t>
      </w:r>
      <w:r>
        <w:rPr>
          <w:rFonts w:hint="eastAsia" w:ascii="宋体" w:hAnsi="宋体" w:eastAsia="宋体" w:cs="宋体"/>
          <w:color w:val="auto"/>
          <w:szCs w:val="21"/>
          <w:highlight w:val="none"/>
          <w:u w:val="single"/>
        </w:rPr>
        <w:t xml:space="preserve">                          </w:t>
      </w: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adjustRightInd w:val="0"/>
        <w:snapToGrid w:val="0"/>
        <w:outlineLvl w:val="9"/>
        <w:rPr>
          <w:rFonts w:hint="eastAsia" w:ascii="宋体" w:hAnsi="宋体" w:eastAsia="宋体" w:cs="宋体"/>
          <w:color w:val="auto"/>
          <w:szCs w:val="21"/>
          <w:highlight w:val="none"/>
        </w:rPr>
      </w:pPr>
    </w:p>
    <w:p>
      <w:pPr>
        <w:pStyle w:val="28"/>
        <w:adjustRightInd w:val="0"/>
        <w:snapToGrid w:val="0"/>
        <w:spacing w:line="360" w:lineRule="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p>
    <w:p>
      <w:pPr>
        <w:adjustRightInd w:val="0"/>
        <w:snapToGrid w:val="0"/>
        <w:spacing w:line="360" w:lineRule="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法定代表人或其委托代理人(签字或盖章)：</w:t>
      </w:r>
      <w:r>
        <w:rPr>
          <w:rFonts w:hint="eastAsia" w:ascii="宋体" w:hAnsi="宋体" w:eastAsia="宋体" w:cs="宋体"/>
          <w:color w:val="auto"/>
          <w:szCs w:val="21"/>
          <w:highlight w:val="none"/>
          <w:u w:val="single"/>
        </w:rPr>
        <w:t xml:space="preserve">               </w:t>
      </w:r>
    </w:p>
    <w:p>
      <w:pPr>
        <w:spacing w:line="360" w:lineRule="exac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right="24"/>
        <w:jc w:val="center"/>
        <w:outlineLvl w:val="1"/>
        <w:rPr>
          <w:rFonts w:hint="eastAsia" w:ascii="宋体" w:hAnsi="宋体" w:eastAsia="宋体" w:cs="宋体"/>
          <w:b/>
          <w:color w:val="auto"/>
          <w:sz w:val="28"/>
          <w:szCs w:val="28"/>
          <w:highlight w:val="none"/>
        </w:rPr>
      </w:pPr>
      <w:r>
        <w:rPr>
          <w:rFonts w:hint="eastAsia" w:ascii="宋体" w:hAnsi="宋体" w:eastAsia="宋体" w:cs="宋体"/>
          <w:color w:val="auto"/>
          <w:sz w:val="24"/>
          <w:highlight w:val="none"/>
        </w:rPr>
        <w:br w:type="page"/>
      </w:r>
      <w:bookmarkStart w:id="170" w:name="_Toc2843"/>
      <w:bookmarkStart w:id="171" w:name="_Toc5387"/>
      <w:bookmarkStart w:id="172" w:name="_Toc25553"/>
      <w:bookmarkStart w:id="173" w:name="_Toc15835"/>
      <w:r>
        <w:rPr>
          <w:rFonts w:hint="eastAsia" w:ascii="宋体" w:hAnsi="宋体" w:eastAsia="宋体" w:cs="宋体"/>
          <w:b/>
          <w:color w:val="auto"/>
          <w:sz w:val="32"/>
          <w:szCs w:val="32"/>
          <w:highlight w:val="none"/>
        </w:rPr>
        <w:t>六、报价一览表</w:t>
      </w:r>
      <w:bookmarkEnd w:id="170"/>
      <w:bookmarkEnd w:id="171"/>
      <w:bookmarkEnd w:id="172"/>
      <w:bookmarkEnd w:id="173"/>
    </w:p>
    <w:p>
      <w:pPr>
        <w:adjustRightInd w:val="0"/>
        <w:snapToGrid w:val="0"/>
        <w:jc w:val="right"/>
        <w:rPr>
          <w:rFonts w:hint="eastAsia" w:ascii="宋体" w:hAnsi="宋体" w:eastAsia="宋体" w:cs="宋体"/>
          <w:color w:val="auto"/>
          <w:sz w:val="24"/>
          <w:highlight w:val="none"/>
        </w:rPr>
      </w:pPr>
    </w:p>
    <w:tbl>
      <w:tblPr>
        <w:tblStyle w:val="46"/>
        <w:tblW w:w="8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6"/>
        <w:gridCol w:w="2855"/>
        <w:gridCol w:w="2170"/>
        <w:gridCol w:w="13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47"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工期承诺</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4"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保修承诺</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9"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质量等级</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拟任项目负责人</w:t>
            </w:r>
          </w:p>
        </w:tc>
        <w:tc>
          <w:tcPr>
            <w:tcW w:w="2855"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c>
          <w:tcPr>
            <w:tcW w:w="2170"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注册专业及等级</w:t>
            </w:r>
          </w:p>
        </w:tc>
        <w:tc>
          <w:tcPr>
            <w:tcW w:w="1399"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7" w:hRule="atLeast"/>
          <w:jc w:val="center"/>
        </w:trPr>
        <w:tc>
          <w:tcPr>
            <w:tcW w:w="2096" w:type="dxa"/>
            <w:noWrap w:val="0"/>
            <w:vAlign w:val="center"/>
          </w:tcPr>
          <w:p>
            <w:pPr>
              <w:tabs>
                <w:tab w:val="left" w:pos="403"/>
                <w:tab w:val="center" w:pos="3781"/>
              </w:tabs>
              <w:spacing w:line="420" w:lineRule="exact"/>
              <w:ind w:right="-5206" w:rightChars="-2479" w:firstLine="316" w:firstLineChars="1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总报价</w:t>
            </w:r>
          </w:p>
        </w:tc>
        <w:tc>
          <w:tcPr>
            <w:tcW w:w="2855" w:type="dxa"/>
            <w:noWrap w:val="0"/>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tc>
        <w:tc>
          <w:tcPr>
            <w:tcW w:w="3569" w:type="dxa"/>
            <w:gridSpan w:val="2"/>
            <w:noWrap w:val="0"/>
            <w:vAlign w:val="center"/>
          </w:tcPr>
          <w:p>
            <w:pPr>
              <w:tabs>
                <w:tab w:val="left" w:pos="403"/>
                <w:tab w:val="center" w:pos="3781"/>
              </w:tabs>
              <w:spacing w:line="420" w:lineRule="exact"/>
              <w:ind w:right="-5206" w:rightChars="-2479"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2" w:hRule="atLeast"/>
          <w:jc w:val="center"/>
        </w:trPr>
        <w:tc>
          <w:tcPr>
            <w:tcW w:w="209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  注</w:t>
            </w:r>
          </w:p>
        </w:tc>
        <w:tc>
          <w:tcPr>
            <w:tcW w:w="6424" w:type="dxa"/>
            <w:gridSpan w:val="3"/>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r>
    </w:tbl>
    <w:p>
      <w:pPr>
        <w:adjustRightInd w:val="0"/>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注：1.所有报价保留小数点后两位，小数点后第三位“四舍五入”。</w:t>
      </w:r>
    </w:p>
    <w:p>
      <w:pPr>
        <w:adjustRightInd w:val="0"/>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2.</w:t>
      </w:r>
      <w:r>
        <w:rPr>
          <w:rFonts w:hint="eastAsia" w:ascii="宋体" w:hAnsi="宋体" w:eastAsia="宋体" w:cs="宋体"/>
          <w:b/>
          <w:color w:val="auto"/>
          <w:szCs w:val="21"/>
          <w:highlight w:val="none"/>
        </w:rPr>
        <w:t>本表内“谈判总报价”是包含了所有隐含的管理费、税金和利润等其他费用的报价。</w:t>
      </w:r>
    </w:p>
    <w:p>
      <w:pPr>
        <w:pStyle w:val="14"/>
        <w:numPr>
          <w:ilvl w:val="0"/>
          <w:numId w:val="0"/>
        </w:numPr>
        <w:ind w:firstLine="422" w:firstLineChars="200"/>
        <w:rPr>
          <w:rFonts w:hint="eastAsia" w:ascii="宋体" w:hAnsi="宋体" w:eastAsia="宋体" w:cs="宋体"/>
          <w:color w:val="auto"/>
          <w:highlight w:val="none"/>
        </w:rPr>
      </w:pPr>
      <w:r>
        <w:rPr>
          <w:rFonts w:hint="eastAsia" w:ascii="宋体" w:hAnsi="宋体" w:eastAsia="宋体" w:cs="宋体"/>
          <w:b/>
          <w:color w:val="auto"/>
          <w:kern w:val="2"/>
          <w:sz w:val="21"/>
          <w:szCs w:val="21"/>
          <w:highlight w:val="none"/>
          <w:lang w:val="en-US" w:eastAsia="zh-CN" w:bidi="ar-SA"/>
        </w:rPr>
        <w:t>3.本项目设置最高限价，谈判单位所报总价不能超过最高限价，不超过最高限价的报价为有效报价。</w:t>
      </w:r>
    </w:p>
    <w:p>
      <w:pPr>
        <w:adjustRightInd w:val="0"/>
        <w:snapToGrid w:val="0"/>
        <w:spacing w:line="360" w:lineRule="auto"/>
        <w:ind w:left="-88" w:leftChars="-42"/>
        <w:rPr>
          <w:rFonts w:hint="eastAsia" w:ascii="宋体" w:hAnsi="宋体" w:eastAsia="宋体" w:cs="宋体"/>
          <w:color w:val="auto"/>
          <w:szCs w:val="21"/>
          <w:highlight w:val="none"/>
        </w:rPr>
      </w:pPr>
    </w:p>
    <w:p>
      <w:pPr>
        <w:adjustRightInd w:val="0"/>
        <w:snapToGrid w:val="0"/>
        <w:spacing w:line="360" w:lineRule="auto"/>
        <w:ind w:left="-88" w:leftChars="-42"/>
        <w:rPr>
          <w:rFonts w:hint="eastAsia" w:ascii="宋体" w:hAnsi="宋体" w:eastAsia="宋体" w:cs="宋体"/>
          <w:color w:val="auto"/>
          <w:szCs w:val="21"/>
          <w:highlight w:val="none"/>
        </w:rPr>
      </w:pPr>
    </w:p>
    <w:p>
      <w:pPr>
        <w:adjustRightInd w:val="0"/>
        <w:snapToGrid w:val="0"/>
        <w:spacing w:line="360" w:lineRule="auto"/>
        <w:ind w:left="-88" w:leftChars="-42"/>
        <w:rPr>
          <w:rFonts w:hint="eastAsia" w:ascii="宋体" w:hAnsi="宋体" w:eastAsia="宋体" w:cs="宋体"/>
          <w:color w:val="auto"/>
          <w:szCs w:val="21"/>
          <w:highlight w:val="none"/>
        </w:rPr>
      </w:pP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Cs/>
          <w:color w:val="auto"/>
          <w:sz w:val="21"/>
          <w:szCs w:val="21"/>
          <w:highlight w:val="none"/>
        </w:rPr>
      </w:pPr>
      <w:bookmarkStart w:id="174" w:name="_Toc5231"/>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w:t>
      </w:r>
      <w:bookmarkEnd w:id="174"/>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color w:val="auto"/>
          <w:szCs w:val="21"/>
          <w:highlight w:val="none"/>
        </w:rPr>
      </w:pPr>
      <w:bookmarkStart w:id="175" w:name="_Toc28605"/>
      <w:r>
        <w:rPr>
          <w:rFonts w:hint="eastAsia" w:ascii="宋体" w:hAnsi="宋体" w:eastAsia="宋体" w:cs="宋体"/>
          <w:color w:val="auto"/>
          <w:szCs w:val="21"/>
          <w:highlight w:val="none"/>
        </w:rPr>
        <w:t>法定代表人或其委托代理人(签字或盖章)：</w:t>
      </w:r>
      <w:bookmarkEnd w:id="175"/>
      <w:r>
        <w:rPr>
          <w:rFonts w:hint="eastAsia" w:ascii="宋体" w:hAnsi="宋体" w:eastAsia="宋体" w:cs="宋体"/>
          <w:color w:val="auto"/>
          <w:szCs w:val="21"/>
          <w:highlight w:val="none"/>
          <w:u w:val="single"/>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jc w:val="center"/>
        <w:rPr>
          <w:rFonts w:hint="eastAsia" w:ascii="宋体" w:hAnsi="宋体" w:eastAsia="宋体" w:cs="宋体"/>
          <w:b/>
          <w:bCs/>
          <w:color w:val="auto"/>
          <w:sz w:val="32"/>
          <w:szCs w:val="32"/>
          <w:highlight w:val="none"/>
        </w:rPr>
      </w:pPr>
    </w:p>
    <w:p>
      <w:pPr>
        <w:adjustRightInd w:val="0"/>
        <w:snapToGrid w:val="0"/>
        <w:jc w:val="center"/>
        <w:rPr>
          <w:rFonts w:hint="eastAsia" w:ascii="宋体" w:hAnsi="宋体" w:eastAsia="宋体" w:cs="宋体"/>
          <w:b/>
          <w:bCs/>
          <w:color w:val="auto"/>
          <w:sz w:val="32"/>
          <w:szCs w:val="32"/>
          <w:highlight w:val="none"/>
        </w:rPr>
      </w:pPr>
    </w:p>
    <w:p>
      <w:pPr>
        <w:adjustRightInd w:val="0"/>
        <w:snapToGrid w:val="0"/>
        <w:jc w:val="center"/>
        <w:rPr>
          <w:rFonts w:hint="eastAsia" w:ascii="宋体" w:hAnsi="宋体" w:eastAsia="宋体" w:cs="宋体"/>
          <w:b/>
          <w:bCs/>
          <w:color w:val="auto"/>
          <w:sz w:val="32"/>
          <w:szCs w:val="32"/>
          <w:highlight w:val="none"/>
        </w:rPr>
        <w:sectPr>
          <w:pgSz w:w="11906" w:h="16838"/>
          <w:pgMar w:top="1191" w:right="1417" w:bottom="1191" w:left="1191" w:header="851" w:footer="992" w:gutter="0"/>
          <w:pgNumType w:fmt="decimal"/>
          <w:cols w:space="720" w:num="1"/>
          <w:docGrid w:type="lines" w:linePitch="312" w:charSpace="0"/>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76" w:name="_Toc26804"/>
      <w:bookmarkStart w:id="177" w:name="_Toc28059"/>
      <w:bookmarkStart w:id="178" w:name="_Toc5453"/>
      <w:r>
        <w:rPr>
          <w:rFonts w:hint="eastAsia" w:ascii="宋体" w:hAnsi="宋体" w:eastAsia="宋体" w:cs="宋体"/>
          <w:b/>
          <w:color w:val="auto"/>
          <w:sz w:val="32"/>
          <w:szCs w:val="32"/>
          <w:highlight w:val="none"/>
        </w:rPr>
        <w:t>七、</w:t>
      </w:r>
      <w:bookmarkEnd w:id="176"/>
      <w:bookmarkEnd w:id="177"/>
      <w:r>
        <w:rPr>
          <w:rFonts w:hint="eastAsia" w:ascii="宋体" w:hAnsi="宋体" w:eastAsia="宋体" w:cs="宋体"/>
          <w:b/>
          <w:color w:val="auto"/>
          <w:sz w:val="32"/>
          <w:szCs w:val="32"/>
          <w:highlight w:val="none"/>
        </w:rPr>
        <w:t>报价汇总表</w:t>
      </w:r>
      <w:bookmarkEnd w:id="178"/>
    </w:p>
    <w:p>
      <w:pPr>
        <w:spacing w:line="360" w:lineRule="exact"/>
        <w:rPr>
          <w:rFonts w:hint="eastAsia" w:ascii="宋体" w:hAnsi="宋体" w:eastAsia="宋体" w:cs="宋体"/>
          <w:b/>
          <w:color w:val="auto"/>
          <w:highlight w:val="none"/>
        </w:rPr>
      </w:pPr>
    </w:p>
    <w:p>
      <w:pPr>
        <w:spacing w:line="360" w:lineRule="exact"/>
        <w:ind w:firstLine="630" w:firstLineChars="300"/>
        <w:jc w:val="left"/>
        <w:rPr>
          <w:rFonts w:hint="eastAsia" w:ascii="宋体" w:hAnsi="宋体" w:eastAsia="宋体" w:cs="宋体"/>
          <w:color w:val="auto"/>
          <w:highlight w:val="none"/>
          <w:lang w:eastAsia="zh-CN"/>
        </w:rPr>
      </w:pPr>
      <w:r>
        <w:rPr>
          <w:rFonts w:hint="eastAsia" w:ascii="宋体" w:hAnsi="宋体" w:eastAsia="宋体" w:cs="宋体"/>
          <w:b w:val="0"/>
          <w:bCs/>
          <w:color w:val="auto"/>
          <w:highlight w:val="none"/>
        </w:rPr>
        <w:t>项目</w:t>
      </w:r>
      <w:r>
        <w:rPr>
          <w:rFonts w:hint="eastAsia" w:ascii="宋体" w:hAnsi="宋体" w:eastAsia="宋体" w:cs="宋体"/>
          <w:color w:val="auto"/>
          <w:highlight w:val="none"/>
        </w:rPr>
        <w:t xml:space="preserve">名称：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金额单位：元</w:t>
      </w:r>
    </w:p>
    <w:tbl>
      <w:tblPr>
        <w:tblStyle w:val="46"/>
        <w:tblW w:w="83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50"/>
        <w:gridCol w:w="3173"/>
        <w:gridCol w:w="45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10" w:hRule="atLeast"/>
          <w:jc w:val="center"/>
        </w:trPr>
        <w:tc>
          <w:tcPr>
            <w:tcW w:w="650" w:type="dxa"/>
            <w:noWrap w:val="0"/>
            <w:vAlign w:val="center"/>
          </w:tcPr>
          <w:p>
            <w:pPr>
              <w:tabs>
                <w:tab w:val="left" w:pos="403"/>
                <w:tab w:val="center" w:pos="3781"/>
              </w:tabs>
              <w:spacing w:line="420" w:lineRule="exact"/>
              <w:ind w:right="-5206" w:rightChars="-2479" w:firstLine="105" w:firstLineChars="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 号</w:t>
            </w:r>
          </w:p>
        </w:tc>
        <w:tc>
          <w:tcPr>
            <w:tcW w:w="3173" w:type="dxa"/>
            <w:noWrap w:val="0"/>
            <w:vAlign w:val="center"/>
          </w:tcPr>
          <w:p>
            <w:pPr>
              <w:tabs>
                <w:tab w:val="left" w:pos="403"/>
                <w:tab w:val="center" w:pos="3781"/>
              </w:tabs>
              <w:spacing w:line="420" w:lineRule="exact"/>
              <w:ind w:right="-5206" w:rightChars="-2479" w:firstLine="1054" w:firstLineChars="5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费用名称</w:t>
            </w:r>
          </w:p>
        </w:tc>
        <w:tc>
          <w:tcPr>
            <w:tcW w:w="4516" w:type="dxa"/>
            <w:noWrap w:val="0"/>
            <w:vAlign w:val="center"/>
          </w:tcPr>
          <w:p>
            <w:pPr>
              <w:keepNext w:val="0"/>
              <w:keepLines w:val="0"/>
              <w:pageBreakBefore w:val="0"/>
              <w:widowControl w:val="0"/>
              <w:tabs>
                <w:tab w:val="left" w:pos="403"/>
                <w:tab w:val="center" w:pos="3781"/>
              </w:tabs>
              <w:kinsoku/>
              <w:wordWrap/>
              <w:overflowPunct/>
              <w:topLinePunct w:val="0"/>
              <w:autoSpaceDE/>
              <w:autoSpaceDN/>
              <w:bidi w:val="0"/>
              <w:adjustRightInd/>
              <w:snapToGrid/>
              <w:spacing w:line="420" w:lineRule="exact"/>
              <w:ind w:right="0" w:rightChars="0" w:firstLine="316" w:firstLineChars="150"/>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直接费</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各项费用和利润</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17" w:hRule="atLeast"/>
          <w:jc w:val="center"/>
        </w:trPr>
        <w:tc>
          <w:tcPr>
            <w:tcW w:w="650" w:type="dxa"/>
            <w:noWrap w:val="0"/>
            <w:vAlign w:val="center"/>
          </w:tcPr>
          <w:p>
            <w:pPr>
              <w:tabs>
                <w:tab w:val="left" w:pos="403"/>
                <w:tab w:val="center" w:pos="3781"/>
              </w:tabs>
              <w:spacing w:line="420" w:lineRule="exact"/>
              <w:ind w:right="-5206" w:rightChars="-2479"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其中：安全防护文明施工措施费</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建安造价</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销项税额</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附加税额</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4" w:hRule="atLeast"/>
          <w:jc w:val="center"/>
        </w:trPr>
        <w:tc>
          <w:tcPr>
            <w:tcW w:w="650"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3173" w:type="dxa"/>
            <w:noWrap w:val="0"/>
            <w:vAlign w:val="center"/>
          </w:tcPr>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其他项目费</w:t>
            </w:r>
          </w:p>
          <w:p>
            <w:pPr>
              <w:tabs>
                <w:tab w:val="left" w:pos="403"/>
                <w:tab w:val="center" w:pos="3781"/>
              </w:tabs>
              <w:spacing w:line="420" w:lineRule="exact"/>
              <w:ind w:right="-5206" w:rightChars="-2479"/>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（含暂列金额和暂估价</w:t>
            </w:r>
            <w:r>
              <w:rPr>
                <w:rFonts w:hint="eastAsia" w:ascii="宋体" w:hAnsi="宋体" w:eastAsia="宋体" w:cs="宋体"/>
                <w:color w:val="auto"/>
                <w:szCs w:val="21"/>
                <w:highlight w:val="none"/>
                <w:lang w:eastAsia="zh-CN"/>
              </w:rPr>
              <w:t>）</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03" w:hRule="atLeast"/>
          <w:jc w:val="center"/>
        </w:trPr>
        <w:tc>
          <w:tcPr>
            <w:tcW w:w="3823" w:type="dxa"/>
            <w:gridSpan w:val="2"/>
            <w:vMerge w:val="restart"/>
            <w:noWrap w:val="0"/>
            <w:vAlign w:val="center"/>
          </w:tcPr>
          <w:p>
            <w:pPr>
              <w:tabs>
                <w:tab w:val="left" w:pos="403"/>
                <w:tab w:val="center" w:pos="3781"/>
              </w:tabs>
              <w:spacing w:line="420" w:lineRule="exact"/>
              <w:ind w:right="-5206" w:rightChars="-2479" w:firstLine="735" w:firstLineChars="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  报  价</w:t>
            </w: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03" w:hRule="atLeast"/>
          <w:jc w:val="center"/>
        </w:trPr>
        <w:tc>
          <w:tcPr>
            <w:tcW w:w="3823" w:type="dxa"/>
            <w:gridSpan w:val="2"/>
            <w:vMerge w:val="continue"/>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p>
        </w:tc>
        <w:tc>
          <w:tcPr>
            <w:tcW w:w="4516" w:type="dxa"/>
            <w:noWrap w:val="0"/>
            <w:vAlign w:val="center"/>
          </w:tcPr>
          <w:p>
            <w:pPr>
              <w:tabs>
                <w:tab w:val="left" w:pos="403"/>
                <w:tab w:val="center" w:pos="3781"/>
              </w:tabs>
              <w:spacing w:line="420" w:lineRule="exact"/>
              <w:ind w:right="-5206" w:rightChars="-2479"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w:t>
            </w:r>
          </w:p>
        </w:tc>
      </w:tr>
    </w:tbl>
    <w:p>
      <w:pPr>
        <w:adjustRightInd w:val="0"/>
        <w:snapToGrid w:val="0"/>
        <w:spacing w:line="360" w:lineRule="auto"/>
        <w:ind w:left="-88" w:leftChars="-42"/>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注：本表后附注册造价工程师注册证书影印件。如谈判单位委托工程造价咨询机构编制报价文件的，还应附委托合同。</w:t>
      </w:r>
    </w:p>
    <w:p>
      <w:pPr>
        <w:adjustRightInd w:val="0"/>
        <w:snapToGrid w:val="0"/>
        <w:spacing w:line="360" w:lineRule="auto"/>
        <w:ind w:left="-88" w:leftChars="-42"/>
        <w:rPr>
          <w:rFonts w:hint="eastAsia" w:ascii="宋体" w:hAnsi="宋体" w:eastAsia="宋体" w:cs="宋体"/>
          <w:b/>
          <w:color w:val="auto"/>
          <w:szCs w:val="21"/>
          <w:highlight w:val="none"/>
        </w:rPr>
      </w:pPr>
    </w:p>
    <w:p>
      <w:pPr>
        <w:pStyle w:val="28"/>
        <w:adjustRightInd w:val="0"/>
        <w:snapToGrid w:val="0"/>
        <w:spacing w:line="360" w:lineRule="auto"/>
        <w:outlineLvl w:val="9"/>
        <w:rPr>
          <w:rFonts w:hint="eastAsia" w:ascii="宋体" w:hAnsi="宋体" w:eastAsia="宋体" w:cs="宋体"/>
          <w:color w:val="auto"/>
          <w:sz w:val="21"/>
          <w:szCs w:val="21"/>
          <w:highlight w:val="none"/>
        </w:rPr>
      </w:pPr>
    </w:p>
    <w:p>
      <w:pPr>
        <w:pStyle w:val="28"/>
        <w:adjustRightInd w:val="0"/>
        <w:snapToGrid w:val="0"/>
        <w:spacing w:line="360" w:lineRule="auto"/>
        <w:outlineLvl w:val="9"/>
        <w:rPr>
          <w:rFonts w:hint="eastAsia" w:ascii="宋体" w:hAnsi="宋体" w:eastAsia="宋体" w:cs="宋体"/>
          <w:color w:val="auto"/>
          <w:sz w:val="21"/>
          <w:szCs w:val="21"/>
          <w:highlight w:val="none"/>
        </w:rPr>
      </w:pPr>
    </w:p>
    <w:p>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谈判单位名称：</w:t>
      </w:r>
      <w:r>
        <w:rPr>
          <w:rFonts w:hint="eastAsia" w:ascii="宋体" w:hAnsi="宋体" w:eastAsia="宋体" w:cs="宋体"/>
          <w:color w:val="auto"/>
          <w:sz w:val="21"/>
          <w:szCs w:val="21"/>
          <w:highlight w:val="none"/>
          <w:u w:val="single"/>
        </w:rPr>
        <w:t xml:space="preserve">    （盖单位章）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法定代表人或其委托代理人(签字或盖章)：</w:t>
      </w:r>
      <w:r>
        <w:rPr>
          <w:rFonts w:hint="eastAsia" w:ascii="宋体" w:hAnsi="宋体" w:eastAsia="宋体" w:cs="宋体"/>
          <w:color w:val="auto"/>
          <w:szCs w:val="21"/>
          <w:highlight w:val="none"/>
          <w:u w:val="single"/>
        </w:rPr>
        <w:t xml:space="preserve">               </w:t>
      </w:r>
    </w:p>
    <w:p>
      <w:p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注册造价工程师：(签字并加盖注册造价师执业专用章。如谈判单位委托他人编制报价文件的，由被委托人的注册造价工程师签字并加盖注册造价师执业专用章。)</w:t>
      </w:r>
    </w:p>
    <w:p>
      <w:pPr>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pPr>
        <w:adjustRightInd w:val="0"/>
        <w:snapToGrid w:val="0"/>
        <w:spacing w:line="360" w:lineRule="auto"/>
        <w:ind w:left="-88" w:leftChars="-42" w:firstLine="211" w:firstLineChars="100"/>
        <w:rPr>
          <w:rFonts w:hint="eastAsia" w:ascii="宋体" w:hAnsi="宋体" w:eastAsia="宋体" w:cs="宋体"/>
          <w:b/>
          <w:color w:val="auto"/>
          <w:szCs w:val="21"/>
          <w:highlight w:val="none"/>
        </w:rPr>
      </w:pPr>
    </w:p>
    <w:p>
      <w:pPr>
        <w:adjustRightInd w:val="0"/>
        <w:snapToGrid w:val="0"/>
        <w:jc w:val="center"/>
        <w:rPr>
          <w:rFonts w:hint="eastAsia" w:ascii="宋体" w:hAnsi="宋体" w:eastAsia="宋体" w:cs="宋体"/>
          <w:b/>
          <w:color w:val="auto"/>
          <w:sz w:val="32"/>
          <w:szCs w:val="32"/>
          <w:highlight w:val="none"/>
        </w:rPr>
        <w:sectPr>
          <w:pgSz w:w="11906" w:h="16838"/>
          <w:pgMar w:top="1191" w:right="1417" w:bottom="1191" w:left="1191" w:header="851" w:footer="992" w:gutter="0"/>
          <w:pgNumType w:fmt="decimal"/>
          <w:cols w:space="720" w:num="1"/>
          <w:docGrid w:type="lines" w:linePitch="312" w:charSpace="0"/>
        </w:sectPr>
      </w:pP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79" w:name="_Toc27585"/>
      <w:bookmarkStart w:id="180" w:name="_Toc22739"/>
      <w:bookmarkStart w:id="181" w:name="_Toc9077"/>
      <w:bookmarkStart w:id="182" w:name="_Toc18361"/>
      <w:r>
        <w:rPr>
          <w:rFonts w:hint="eastAsia" w:ascii="宋体" w:hAnsi="宋体" w:eastAsia="宋体" w:cs="宋体"/>
          <w:b/>
          <w:color w:val="auto"/>
          <w:sz w:val="32"/>
          <w:szCs w:val="32"/>
          <w:highlight w:val="none"/>
          <w:lang w:eastAsia="zh-CN"/>
        </w:rPr>
        <w:t>八</w:t>
      </w:r>
      <w:r>
        <w:rPr>
          <w:rFonts w:hint="eastAsia" w:ascii="宋体" w:hAnsi="宋体" w:eastAsia="宋体" w:cs="宋体"/>
          <w:b/>
          <w:color w:val="auto"/>
          <w:sz w:val="32"/>
          <w:szCs w:val="32"/>
          <w:highlight w:val="none"/>
        </w:rPr>
        <w:t>、</w:t>
      </w:r>
      <w:bookmarkEnd w:id="179"/>
      <w:bookmarkEnd w:id="180"/>
      <w:bookmarkEnd w:id="181"/>
      <w:r>
        <w:rPr>
          <w:rFonts w:hint="eastAsia" w:ascii="宋体" w:hAnsi="宋体" w:eastAsia="宋体" w:cs="宋体"/>
          <w:b/>
          <w:color w:val="auto"/>
          <w:sz w:val="32"/>
          <w:szCs w:val="32"/>
          <w:highlight w:val="none"/>
        </w:rPr>
        <w:t>投标报价表</w:t>
      </w:r>
      <w:bookmarkEnd w:id="182"/>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采用PKPM计价软件、2016年湖南营改增湘建价【2016】160号文规定的投标报价格式。具体投标报价表格：</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1、A.3 投标总价封面</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2、B.3 投标总价扉页</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3、D.1 建设项目（单项工程）工程造价汇总表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4、D.3 单位工程费用计算表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5、E.1投标报价表（清单+措施+其他）</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6、E.1投标报价表（清单+措施+其他,带子目）</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7、E.7总价措施项目清单计费表</w:t>
      </w:r>
      <w:r>
        <w:rPr>
          <w:rFonts w:hint="eastAsia" w:ascii="宋体" w:hAnsi="宋体" w:eastAsia="宋体" w:cs="宋体"/>
          <w:color w:val="auto"/>
          <w:szCs w:val="21"/>
          <w:highlight w:val="none"/>
        </w:rPr>
        <w:tab/>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8、人材机（工程设备）用量汇总与单价表</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9、不可竞争费(2016,160文)</w:t>
      </w:r>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10、规费、税金项目计价表(2016,160文)</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adjustRightInd w:val="0"/>
        <w:snapToGrid w:val="0"/>
        <w:spacing w:line="360" w:lineRule="auto"/>
        <w:ind w:right="24"/>
        <w:jc w:val="center"/>
        <w:outlineLvl w:val="1"/>
        <w:rPr>
          <w:rFonts w:hint="eastAsia" w:ascii="宋体" w:hAnsi="宋体" w:eastAsia="宋体" w:cs="宋体"/>
          <w:b/>
          <w:color w:val="auto"/>
          <w:sz w:val="32"/>
          <w:szCs w:val="32"/>
          <w:highlight w:val="none"/>
        </w:rPr>
      </w:pPr>
      <w:bookmarkStart w:id="183" w:name="_Toc13786"/>
      <w:r>
        <w:rPr>
          <w:rFonts w:hint="eastAsia" w:ascii="宋体" w:hAnsi="宋体" w:eastAsia="宋体" w:cs="宋体"/>
          <w:b/>
          <w:color w:val="auto"/>
          <w:sz w:val="32"/>
          <w:szCs w:val="32"/>
          <w:highlight w:val="none"/>
          <w:lang w:eastAsia="zh-CN"/>
        </w:rPr>
        <w:t>九</w:t>
      </w:r>
      <w:r>
        <w:rPr>
          <w:rFonts w:hint="eastAsia" w:ascii="宋体" w:hAnsi="宋体" w:eastAsia="宋体" w:cs="宋体"/>
          <w:b/>
          <w:color w:val="auto"/>
          <w:sz w:val="32"/>
          <w:szCs w:val="32"/>
          <w:highlight w:val="none"/>
        </w:rPr>
        <w:t>、其他资料（如有）</w:t>
      </w:r>
      <w:bookmarkEnd w:id="183"/>
    </w:p>
    <w:p>
      <w:pPr>
        <w:keepNext w:val="0"/>
        <w:keepLines w:val="0"/>
        <w:pageBreakBefore w:val="0"/>
        <w:widowControl w:val="0"/>
        <w:kinsoku/>
        <w:wordWrap/>
        <w:overflowPunct/>
        <w:topLinePunct w:val="0"/>
        <w:autoSpaceDE/>
        <w:autoSpaceDN/>
        <w:bidi w:val="0"/>
        <w:adjustRightInd w:val="0"/>
        <w:snapToGrid w:val="0"/>
        <w:spacing w:beforeLines="50" w:line="360" w:lineRule="auto"/>
        <w:ind w:firstLine="420" w:firstLineChars="200"/>
        <w:jc w:val="left"/>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谈判单位认为需要提供的其他报价资料，格式自拟。</w:t>
      </w:r>
    </w:p>
    <w:p>
      <w:pPr>
        <w:pStyle w:val="14"/>
        <w:rPr>
          <w:rFonts w:hint="eastAsia" w:ascii="宋体" w:hAnsi="宋体" w:eastAsia="宋体" w:cs="宋体"/>
          <w:color w:val="auto"/>
          <w:highlight w:val="none"/>
        </w:rPr>
      </w:pPr>
    </w:p>
    <w:sectPr>
      <w:pgSz w:w="11906" w:h="16838"/>
      <w:pgMar w:top="1191" w:right="1417" w:bottom="1191" w:left="119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ail">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Calisto MT">
    <w:panose1 w:val="02040603050505030304"/>
    <w:charset w:val="00"/>
    <w:family w:val="roman"/>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FFFFFF" w:sz="6"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293A88"/>
    <w:multiLevelType w:val="singleLevel"/>
    <w:tmpl w:val="FE293A88"/>
    <w:lvl w:ilvl="0" w:tentative="0">
      <w:start w:val="3"/>
      <w:numFmt w:val="chineseCounting"/>
      <w:pStyle w:val="358"/>
      <w:suff w:val="nothing"/>
      <w:lvlText w:val="%1、"/>
      <w:lvlJc w:val="left"/>
      <w:rPr>
        <w:rFonts w:hint="eastAsia"/>
      </w:rPr>
    </w:lvl>
  </w:abstractNum>
  <w:abstractNum w:abstractNumId="1">
    <w:nsid w:val="00000006"/>
    <w:multiLevelType w:val="multilevel"/>
    <w:tmpl w:val="00000006"/>
    <w:lvl w:ilvl="0" w:tentative="0">
      <w:start w:val="1"/>
      <w:numFmt w:val="decimal"/>
      <w:pStyle w:val="246"/>
      <w:lvlText w:val="%1"/>
      <w:lvlJc w:val="left"/>
      <w:pPr>
        <w:tabs>
          <w:tab w:val="left" w:pos="2238"/>
        </w:tabs>
        <w:ind w:left="2238" w:hanging="432"/>
      </w:pPr>
      <w:rPr>
        <w:rFonts w:hint="default"/>
        <w:u w:val="none"/>
      </w:rPr>
    </w:lvl>
    <w:lvl w:ilvl="1" w:tentative="0">
      <w:start w:val="1"/>
      <w:numFmt w:val="decimal"/>
      <w:pStyle w:val="322"/>
      <w:lvlText w:val="%1.%2"/>
      <w:lvlJc w:val="left"/>
      <w:pPr>
        <w:tabs>
          <w:tab w:val="left" w:pos="2277"/>
        </w:tabs>
        <w:ind w:left="2277" w:hanging="576"/>
      </w:pPr>
      <w:rPr>
        <w:rFonts w:hint="default"/>
        <w:u w:val="none"/>
      </w:rPr>
    </w:lvl>
    <w:lvl w:ilvl="2" w:tentative="0">
      <w:start w:val="1"/>
      <w:numFmt w:val="decimal"/>
      <w:lvlText w:val="%1.%2.%3"/>
      <w:lvlJc w:val="left"/>
      <w:pPr>
        <w:tabs>
          <w:tab w:val="left" w:pos="2421"/>
        </w:tabs>
        <w:ind w:left="2421" w:hanging="720"/>
      </w:pPr>
      <w:rPr>
        <w:rFonts w:hint="default" w:ascii="Times New Roman" w:hAnsi="Times New Roman" w:eastAsia="宋体"/>
        <w:sz w:val="24"/>
        <w:u w:val="none"/>
      </w:rPr>
    </w:lvl>
    <w:lvl w:ilvl="3" w:tentative="0">
      <w:start w:val="1"/>
      <w:numFmt w:val="decimal"/>
      <w:lvlText w:val="%1.%2.%3.%4"/>
      <w:lvlJc w:val="left"/>
      <w:pPr>
        <w:tabs>
          <w:tab w:val="left" w:pos="2565"/>
        </w:tabs>
        <w:ind w:left="2565" w:hanging="864"/>
      </w:pPr>
      <w:rPr>
        <w:rFonts w:hint="default" w:ascii="Times New Roman"/>
        <w:u w:val="none"/>
      </w:rPr>
    </w:lvl>
    <w:lvl w:ilvl="4" w:tentative="0">
      <w:start w:val="1"/>
      <w:numFmt w:val="decimal"/>
      <w:lvlText w:val="%1.%2.%3.%4.%5"/>
      <w:lvlJc w:val="left"/>
      <w:pPr>
        <w:tabs>
          <w:tab w:val="left" w:pos="2709"/>
        </w:tabs>
        <w:ind w:left="2709" w:hanging="1008"/>
      </w:pPr>
      <w:rPr>
        <w:rFonts w:hint="default"/>
        <w:u w:val="none"/>
      </w:rPr>
    </w:lvl>
    <w:lvl w:ilvl="5" w:tentative="0">
      <w:start w:val="1"/>
      <w:numFmt w:val="decimal"/>
      <w:lvlText w:val="%1.%2.%3.%4.%5.%6"/>
      <w:lvlJc w:val="left"/>
      <w:pPr>
        <w:tabs>
          <w:tab w:val="left" w:pos="2853"/>
        </w:tabs>
        <w:ind w:left="2853" w:hanging="1152"/>
      </w:pPr>
      <w:rPr>
        <w:rFonts w:hint="default"/>
        <w:u w:val="none"/>
      </w:rPr>
    </w:lvl>
    <w:lvl w:ilvl="6" w:tentative="0">
      <w:start w:val="1"/>
      <w:numFmt w:val="decimal"/>
      <w:lvlText w:val="%1.%2.%3.%4.%5.%6.%7"/>
      <w:lvlJc w:val="left"/>
      <w:pPr>
        <w:tabs>
          <w:tab w:val="left" w:pos="2997"/>
        </w:tabs>
        <w:ind w:left="2997" w:hanging="1296"/>
      </w:pPr>
      <w:rPr>
        <w:rFonts w:hint="default"/>
        <w:u w:val="none"/>
      </w:rPr>
    </w:lvl>
    <w:lvl w:ilvl="7" w:tentative="0">
      <w:start w:val="1"/>
      <w:numFmt w:val="decimal"/>
      <w:lvlText w:val="%1.%2.%3.%4.%5.%6.%7.%8"/>
      <w:lvlJc w:val="left"/>
      <w:pPr>
        <w:tabs>
          <w:tab w:val="left" w:pos="3141"/>
        </w:tabs>
        <w:ind w:left="3141" w:hanging="1440"/>
      </w:pPr>
      <w:rPr>
        <w:rFonts w:hint="default"/>
        <w:u w:val="none"/>
      </w:rPr>
    </w:lvl>
    <w:lvl w:ilvl="8" w:tentative="0">
      <w:start w:val="1"/>
      <w:numFmt w:val="decimal"/>
      <w:lvlText w:val="%1.%2.%3.%4.%5.%6.%7.%8.%9"/>
      <w:lvlJc w:val="left"/>
      <w:pPr>
        <w:tabs>
          <w:tab w:val="left" w:pos="3285"/>
        </w:tabs>
        <w:ind w:left="3285" w:hanging="1584"/>
      </w:pPr>
      <w:rPr>
        <w:rFonts w:hint="default"/>
        <w:u w:val="none"/>
      </w:rPr>
    </w:lvl>
  </w:abstractNum>
  <w:abstractNum w:abstractNumId="2">
    <w:nsid w:val="0D1516BE"/>
    <w:multiLevelType w:val="multilevel"/>
    <w:tmpl w:val="0D1516BE"/>
    <w:lvl w:ilvl="0" w:tentative="0">
      <w:start w:val="1"/>
      <w:numFmt w:val="chineseCountingThousand"/>
      <w:pStyle w:val="362"/>
      <w:suff w:val="space"/>
      <w:lvlText w:val="(%1)"/>
      <w:lvlJc w:val="left"/>
      <w:pPr>
        <w:ind w:left="640" w:firstLine="0"/>
      </w:pPr>
      <w:rPr>
        <w:rFonts w:hint="eastAsia" w:ascii="楷体_GB2312" w:eastAsia="楷体_GB2312"/>
        <w:sz w:val="32"/>
        <w:szCs w:val="32"/>
      </w:rPr>
    </w:lvl>
    <w:lvl w:ilvl="1" w:tentative="0">
      <w:start w:val="1"/>
      <w:numFmt w:val="lowerLetter"/>
      <w:pStyle w:val="357"/>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5B21495"/>
    <w:multiLevelType w:val="multilevel"/>
    <w:tmpl w:val="15B2149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6516015"/>
    <w:multiLevelType w:val="multilevel"/>
    <w:tmpl w:val="16516015"/>
    <w:lvl w:ilvl="0" w:tentative="0">
      <w:start w:val="1"/>
      <w:numFmt w:val="chineseCountingThousand"/>
      <w:pStyle w:val="360"/>
      <w:suff w:val="space"/>
      <w:lvlText w:val="(%1)"/>
      <w:lvlJc w:val="left"/>
      <w:pPr>
        <w:ind w:left="0" w:firstLine="0"/>
      </w:pPr>
      <w:rPr>
        <w:rFonts w:hint="eastAsia" w:ascii="楷体_GB2312" w:eastAsia="楷体_GB2312"/>
        <w:sz w:val="32"/>
        <w:szCs w:val="32"/>
      </w:rPr>
    </w:lvl>
    <w:lvl w:ilvl="1" w:tentative="0">
      <w:start w:val="1"/>
      <w:numFmt w:val="lowerLetter"/>
      <w:pStyle w:val="359"/>
      <w:lvlText w:val="%2)"/>
      <w:lvlJc w:val="left"/>
      <w:pPr>
        <w:ind w:left="840" w:hanging="420"/>
      </w:pPr>
    </w:lvl>
    <w:lvl w:ilvl="2" w:tentative="0">
      <w:start w:val="1"/>
      <w:numFmt w:val="lowerRoman"/>
      <w:pStyle w:val="361"/>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57D3FBC"/>
    <w:multiLevelType w:val="multilevel"/>
    <w:tmpl w:val="657D3FBC"/>
    <w:lvl w:ilvl="0" w:tentative="0">
      <w:start w:val="1"/>
      <w:numFmt w:val="upperLetter"/>
      <w:suff w:val="nothing"/>
      <w:lvlText w:val="附　录　%1"/>
      <w:lvlJc w:val="left"/>
      <w:pPr>
        <w:ind w:left="4112" w:firstLine="0"/>
      </w:pPr>
      <w:rPr>
        <w:rFonts w:hint="eastAsia" w:ascii="黑体" w:hAnsi="Times New Roman" w:eastAsia="黑体"/>
        <w:b w:val="0"/>
        <w:i w:val="0"/>
        <w:spacing w:val="0"/>
        <w:w w:val="100"/>
        <w:sz w:val="21"/>
      </w:rPr>
    </w:lvl>
    <w:lvl w:ilvl="1" w:tentative="0">
      <w:start w:val="1"/>
      <w:numFmt w:val="decimal"/>
      <w:pStyle w:val="363"/>
      <w:suff w:val="nothing"/>
      <w:lvlText w:val="%1.%2　"/>
      <w:lvlJc w:val="left"/>
      <w:pPr>
        <w:snapToGrid/>
        <w:ind w:left="-141"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141" w:firstLine="0"/>
      </w:pPr>
      <w:rPr>
        <w:rFonts w:hint="eastAsia" w:ascii="黑体" w:hAnsi="Times New Roman" w:eastAsia="黑体"/>
        <w:b w:val="0"/>
        <w:i w:val="0"/>
        <w:sz w:val="21"/>
      </w:rPr>
    </w:lvl>
    <w:lvl w:ilvl="3" w:tentative="0">
      <w:start w:val="1"/>
      <w:numFmt w:val="decimal"/>
      <w:suff w:val="nothing"/>
      <w:lvlText w:val="%1.%2.%3.%4　"/>
      <w:lvlJc w:val="left"/>
      <w:pPr>
        <w:ind w:left="568" w:firstLine="0"/>
      </w:pPr>
      <w:rPr>
        <w:rFonts w:hint="eastAsia" w:ascii="黑体" w:hAnsi="Times New Roman" w:eastAsia="黑体"/>
        <w:b w:val="0"/>
        <w:i w:val="0"/>
        <w:sz w:val="21"/>
      </w:rPr>
    </w:lvl>
    <w:lvl w:ilvl="4" w:tentative="0">
      <w:start w:val="1"/>
      <w:numFmt w:val="decimal"/>
      <w:suff w:val="nothing"/>
      <w:lvlText w:val="%1.%2.%3.%4.%5　"/>
      <w:lvlJc w:val="left"/>
      <w:pPr>
        <w:ind w:left="-141" w:firstLine="0"/>
      </w:pPr>
      <w:rPr>
        <w:rFonts w:hint="eastAsia" w:ascii="黑体" w:hAnsi="Times New Roman" w:eastAsia="黑体"/>
        <w:b w:val="0"/>
        <w:i w:val="0"/>
        <w:sz w:val="21"/>
      </w:rPr>
    </w:lvl>
    <w:lvl w:ilvl="5" w:tentative="0">
      <w:start w:val="1"/>
      <w:numFmt w:val="decimal"/>
      <w:suff w:val="nothing"/>
      <w:lvlText w:val="%1.%2.%3.%4.%5.%6　"/>
      <w:lvlJc w:val="left"/>
      <w:pPr>
        <w:ind w:left="-141" w:firstLine="0"/>
      </w:pPr>
      <w:rPr>
        <w:rFonts w:hint="eastAsia" w:ascii="黑体" w:hAnsi="Times New Roman" w:eastAsia="黑体"/>
        <w:b w:val="0"/>
        <w:i w:val="0"/>
        <w:sz w:val="21"/>
      </w:rPr>
    </w:lvl>
    <w:lvl w:ilvl="6" w:tentative="0">
      <w:start w:val="1"/>
      <w:numFmt w:val="decimal"/>
      <w:suff w:val="nothing"/>
      <w:lvlText w:val="%1.%2.%3.%4.%5.%6.%7　"/>
      <w:lvlJc w:val="left"/>
      <w:pPr>
        <w:ind w:left="-141" w:firstLine="0"/>
      </w:pPr>
      <w:rPr>
        <w:rFonts w:hint="eastAsia" w:ascii="黑体" w:hAnsi="Times New Roman" w:eastAsia="黑体"/>
        <w:b w:val="0"/>
        <w:i w:val="0"/>
        <w:sz w:val="21"/>
      </w:rPr>
    </w:lvl>
    <w:lvl w:ilvl="7" w:tentative="0">
      <w:start w:val="1"/>
      <w:numFmt w:val="decimal"/>
      <w:lvlText w:val="%1.%2.%3.%4.%5.%6.%7.%8"/>
      <w:lvlJc w:val="left"/>
      <w:pPr>
        <w:tabs>
          <w:tab w:val="left" w:pos="4253"/>
        </w:tabs>
        <w:ind w:left="4253" w:hanging="1418"/>
      </w:pPr>
    </w:lvl>
    <w:lvl w:ilvl="8" w:tentative="0">
      <w:start w:val="1"/>
      <w:numFmt w:val="decimal"/>
      <w:lvlText w:val="%1.%2.%3.%4.%5.%6.%7.%8.%9"/>
      <w:lvlJc w:val="left"/>
      <w:pPr>
        <w:tabs>
          <w:tab w:val="left" w:pos="4961"/>
        </w:tabs>
        <w:ind w:left="4961" w:hanging="170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84A"/>
    <w:rsid w:val="00005EC9"/>
    <w:rsid w:val="00006D21"/>
    <w:rsid w:val="00016902"/>
    <w:rsid w:val="000274C6"/>
    <w:rsid w:val="00052640"/>
    <w:rsid w:val="00063D15"/>
    <w:rsid w:val="00074928"/>
    <w:rsid w:val="00091C9D"/>
    <w:rsid w:val="000C106E"/>
    <w:rsid w:val="000E7968"/>
    <w:rsid w:val="00115FE6"/>
    <w:rsid w:val="00116BAE"/>
    <w:rsid w:val="001453A1"/>
    <w:rsid w:val="00162D59"/>
    <w:rsid w:val="00186162"/>
    <w:rsid w:val="001C23BF"/>
    <w:rsid w:val="001D6D72"/>
    <w:rsid w:val="002069C8"/>
    <w:rsid w:val="002139EB"/>
    <w:rsid w:val="0022188F"/>
    <w:rsid w:val="00222DFA"/>
    <w:rsid w:val="00230A1A"/>
    <w:rsid w:val="002314A3"/>
    <w:rsid w:val="002504FF"/>
    <w:rsid w:val="002523FD"/>
    <w:rsid w:val="0025312F"/>
    <w:rsid w:val="00255546"/>
    <w:rsid w:val="00286014"/>
    <w:rsid w:val="002B1D56"/>
    <w:rsid w:val="002F262C"/>
    <w:rsid w:val="003102A2"/>
    <w:rsid w:val="00331810"/>
    <w:rsid w:val="00380064"/>
    <w:rsid w:val="00381105"/>
    <w:rsid w:val="00381BB4"/>
    <w:rsid w:val="003958B2"/>
    <w:rsid w:val="0039632C"/>
    <w:rsid w:val="003B1109"/>
    <w:rsid w:val="003D080C"/>
    <w:rsid w:val="003D6204"/>
    <w:rsid w:val="003F46A7"/>
    <w:rsid w:val="004014FD"/>
    <w:rsid w:val="00423B85"/>
    <w:rsid w:val="004263EB"/>
    <w:rsid w:val="00453EE9"/>
    <w:rsid w:val="00473865"/>
    <w:rsid w:val="0048093D"/>
    <w:rsid w:val="004929D5"/>
    <w:rsid w:val="00495DBC"/>
    <w:rsid w:val="00495F57"/>
    <w:rsid w:val="004978CA"/>
    <w:rsid w:val="004B3D80"/>
    <w:rsid w:val="004B41B1"/>
    <w:rsid w:val="00504DED"/>
    <w:rsid w:val="00526589"/>
    <w:rsid w:val="00545140"/>
    <w:rsid w:val="0055214F"/>
    <w:rsid w:val="005556A5"/>
    <w:rsid w:val="0056117D"/>
    <w:rsid w:val="0056143E"/>
    <w:rsid w:val="0058754B"/>
    <w:rsid w:val="005C688B"/>
    <w:rsid w:val="005E6BBB"/>
    <w:rsid w:val="00641E72"/>
    <w:rsid w:val="0068504A"/>
    <w:rsid w:val="0068515F"/>
    <w:rsid w:val="00687C87"/>
    <w:rsid w:val="006B6300"/>
    <w:rsid w:val="006D0A13"/>
    <w:rsid w:val="006E025D"/>
    <w:rsid w:val="006F5FAC"/>
    <w:rsid w:val="0070784A"/>
    <w:rsid w:val="00730CC6"/>
    <w:rsid w:val="00740D0D"/>
    <w:rsid w:val="00793ABB"/>
    <w:rsid w:val="0079784E"/>
    <w:rsid w:val="007D0446"/>
    <w:rsid w:val="007F3811"/>
    <w:rsid w:val="00802770"/>
    <w:rsid w:val="0081382B"/>
    <w:rsid w:val="00842E06"/>
    <w:rsid w:val="008511F3"/>
    <w:rsid w:val="008B6242"/>
    <w:rsid w:val="008C7C9F"/>
    <w:rsid w:val="00915948"/>
    <w:rsid w:val="00923E97"/>
    <w:rsid w:val="009A5642"/>
    <w:rsid w:val="009B5270"/>
    <w:rsid w:val="009C10AF"/>
    <w:rsid w:val="009D41D7"/>
    <w:rsid w:val="009D7D4A"/>
    <w:rsid w:val="009E03FD"/>
    <w:rsid w:val="009E2384"/>
    <w:rsid w:val="00A34DC1"/>
    <w:rsid w:val="00A41E73"/>
    <w:rsid w:val="00A618F2"/>
    <w:rsid w:val="00A61CCE"/>
    <w:rsid w:val="00A92B7C"/>
    <w:rsid w:val="00AA1709"/>
    <w:rsid w:val="00AB013C"/>
    <w:rsid w:val="00AD758B"/>
    <w:rsid w:val="00AF11ED"/>
    <w:rsid w:val="00B01BA0"/>
    <w:rsid w:val="00B74689"/>
    <w:rsid w:val="00B82298"/>
    <w:rsid w:val="00B832A9"/>
    <w:rsid w:val="00B92FA2"/>
    <w:rsid w:val="00BE15B5"/>
    <w:rsid w:val="00C0069B"/>
    <w:rsid w:val="00C20479"/>
    <w:rsid w:val="00C21D69"/>
    <w:rsid w:val="00C532E5"/>
    <w:rsid w:val="00C57914"/>
    <w:rsid w:val="00C6008B"/>
    <w:rsid w:val="00C758E3"/>
    <w:rsid w:val="00CB534B"/>
    <w:rsid w:val="00CE51F2"/>
    <w:rsid w:val="00CE631C"/>
    <w:rsid w:val="00CE703D"/>
    <w:rsid w:val="00CF0192"/>
    <w:rsid w:val="00CF040C"/>
    <w:rsid w:val="00D164FE"/>
    <w:rsid w:val="00D31733"/>
    <w:rsid w:val="00D43330"/>
    <w:rsid w:val="00D45708"/>
    <w:rsid w:val="00D6362F"/>
    <w:rsid w:val="00D84A7F"/>
    <w:rsid w:val="00DA51BD"/>
    <w:rsid w:val="00DF363F"/>
    <w:rsid w:val="00E32EEF"/>
    <w:rsid w:val="00E74692"/>
    <w:rsid w:val="00E77817"/>
    <w:rsid w:val="00E944EE"/>
    <w:rsid w:val="00EF6911"/>
    <w:rsid w:val="00F37996"/>
    <w:rsid w:val="00F410E0"/>
    <w:rsid w:val="00F579E9"/>
    <w:rsid w:val="00FA6734"/>
    <w:rsid w:val="00FE3699"/>
    <w:rsid w:val="01403F6F"/>
    <w:rsid w:val="014D6F55"/>
    <w:rsid w:val="01553A81"/>
    <w:rsid w:val="01932790"/>
    <w:rsid w:val="01CF51F6"/>
    <w:rsid w:val="01E055E1"/>
    <w:rsid w:val="01EA6EEC"/>
    <w:rsid w:val="01F95304"/>
    <w:rsid w:val="021B19D1"/>
    <w:rsid w:val="02263AD9"/>
    <w:rsid w:val="024C0DC0"/>
    <w:rsid w:val="02615857"/>
    <w:rsid w:val="02787973"/>
    <w:rsid w:val="02787D91"/>
    <w:rsid w:val="02823A35"/>
    <w:rsid w:val="029A1968"/>
    <w:rsid w:val="02AB7973"/>
    <w:rsid w:val="02BF5617"/>
    <w:rsid w:val="02FB4FEB"/>
    <w:rsid w:val="030A4D81"/>
    <w:rsid w:val="03727DAF"/>
    <w:rsid w:val="03D41287"/>
    <w:rsid w:val="03F31A5E"/>
    <w:rsid w:val="03FC0CEA"/>
    <w:rsid w:val="04240981"/>
    <w:rsid w:val="042B3AFB"/>
    <w:rsid w:val="0445397B"/>
    <w:rsid w:val="0471407F"/>
    <w:rsid w:val="04CA33E5"/>
    <w:rsid w:val="04E70891"/>
    <w:rsid w:val="04EE0D07"/>
    <w:rsid w:val="054E6891"/>
    <w:rsid w:val="05990F81"/>
    <w:rsid w:val="05EB6762"/>
    <w:rsid w:val="05F777CC"/>
    <w:rsid w:val="061842D1"/>
    <w:rsid w:val="067428EB"/>
    <w:rsid w:val="06C11238"/>
    <w:rsid w:val="06D605B3"/>
    <w:rsid w:val="070C68F7"/>
    <w:rsid w:val="072B22BC"/>
    <w:rsid w:val="074C43F1"/>
    <w:rsid w:val="07650D5D"/>
    <w:rsid w:val="07A76048"/>
    <w:rsid w:val="07B16F85"/>
    <w:rsid w:val="082211DD"/>
    <w:rsid w:val="08232382"/>
    <w:rsid w:val="082F5114"/>
    <w:rsid w:val="083D23B2"/>
    <w:rsid w:val="086136BB"/>
    <w:rsid w:val="08786792"/>
    <w:rsid w:val="08807627"/>
    <w:rsid w:val="089F6734"/>
    <w:rsid w:val="08D94C54"/>
    <w:rsid w:val="093252EE"/>
    <w:rsid w:val="09422E59"/>
    <w:rsid w:val="094A4EE7"/>
    <w:rsid w:val="095417B5"/>
    <w:rsid w:val="0959407C"/>
    <w:rsid w:val="097D1C20"/>
    <w:rsid w:val="098A3350"/>
    <w:rsid w:val="09A23D38"/>
    <w:rsid w:val="09AB154E"/>
    <w:rsid w:val="0A0B173F"/>
    <w:rsid w:val="0A2948BE"/>
    <w:rsid w:val="0A451CA7"/>
    <w:rsid w:val="0AE24958"/>
    <w:rsid w:val="0B0459F0"/>
    <w:rsid w:val="0B4432D5"/>
    <w:rsid w:val="0B590F4A"/>
    <w:rsid w:val="0B8511E8"/>
    <w:rsid w:val="0BAA700E"/>
    <w:rsid w:val="0BEB10E2"/>
    <w:rsid w:val="0C156CFF"/>
    <w:rsid w:val="0C1A66D1"/>
    <w:rsid w:val="0C361670"/>
    <w:rsid w:val="0C411CD0"/>
    <w:rsid w:val="0C5B1FA9"/>
    <w:rsid w:val="0C8E4136"/>
    <w:rsid w:val="0CA062F8"/>
    <w:rsid w:val="0CED2457"/>
    <w:rsid w:val="0D2C1377"/>
    <w:rsid w:val="0D5C5AB2"/>
    <w:rsid w:val="0D614F04"/>
    <w:rsid w:val="0D6A4C3D"/>
    <w:rsid w:val="0DCC335E"/>
    <w:rsid w:val="0DF87606"/>
    <w:rsid w:val="0E04554D"/>
    <w:rsid w:val="0E0C0187"/>
    <w:rsid w:val="0E413AE2"/>
    <w:rsid w:val="0E94477A"/>
    <w:rsid w:val="0EBC2000"/>
    <w:rsid w:val="0F143C2E"/>
    <w:rsid w:val="0F340DCE"/>
    <w:rsid w:val="0F3918CC"/>
    <w:rsid w:val="0F397095"/>
    <w:rsid w:val="0FD663C6"/>
    <w:rsid w:val="10190CBD"/>
    <w:rsid w:val="102D14D1"/>
    <w:rsid w:val="104E0318"/>
    <w:rsid w:val="10A750E5"/>
    <w:rsid w:val="11342822"/>
    <w:rsid w:val="115D2B41"/>
    <w:rsid w:val="118640B3"/>
    <w:rsid w:val="12321665"/>
    <w:rsid w:val="126C7EC0"/>
    <w:rsid w:val="1277417D"/>
    <w:rsid w:val="12A242AB"/>
    <w:rsid w:val="12BE7F96"/>
    <w:rsid w:val="12DA4361"/>
    <w:rsid w:val="12E70400"/>
    <w:rsid w:val="12F745E0"/>
    <w:rsid w:val="12F96D8F"/>
    <w:rsid w:val="1342515B"/>
    <w:rsid w:val="1356443E"/>
    <w:rsid w:val="1360694E"/>
    <w:rsid w:val="136253A7"/>
    <w:rsid w:val="136544CD"/>
    <w:rsid w:val="136B6B81"/>
    <w:rsid w:val="13A934D3"/>
    <w:rsid w:val="13B923AB"/>
    <w:rsid w:val="13C0328F"/>
    <w:rsid w:val="13C5215F"/>
    <w:rsid w:val="13C719E1"/>
    <w:rsid w:val="13DC2553"/>
    <w:rsid w:val="142D4C56"/>
    <w:rsid w:val="1444419D"/>
    <w:rsid w:val="145C45D5"/>
    <w:rsid w:val="149B2B25"/>
    <w:rsid w:val="14B6139F"/>
    <w:rsid w:val="15340E77"/>
    <w:rsid w:val="157939BE"/>
    <w:rsid w:val="15832312"/>
    <w:rsid w:val="15C01930"/>
    <w:rsid w:val="161C194F"/>
    <w:rsid w:val="162E1686"/>
    <w:rsid w:val="16387566"/>
    <w:rsid w:val="165E1B64"/>
    <w:rsid w:val="167D6633"/>
    <w:rsid w:val="16C7330C"/>
    <w:rsid w:val="16CE41FA"/>
    <w:rsid w:val="16E77616"/>
    <w:rsid w:val="16F862E2"/>
    <w:rsid w:val="17253717"/>
    <w:rsid w:val="173A56D7"/>
    <w:rsid w:val="176159C8"/>
    <w:rsid w:val="17740B65"/>
    <w:rsid w:val="17974A77"/>
    <w:rsid w:val="17C50F2C"/>
    <w:rsid w:val="17D42E02"/>
    <w:rsid w:val="18613676"/>
    <w:rsid w:val="1871686D"/>
    <w:rsid w:val="18735165"/>
    <w:rsid w:val="188542AB"/>
    <w:rsid w:val="1888103C"/>
    <w:rsid w:val="18940F06"/>
    <w:rsid w:val="189E1726"/>
    <w:rsid w:val="18AE213F"/>
    <w:rsid w:val="18EF3A7F"/>
    <w:rsid w:val="191C7D65"/>
    <w:rsid w:val="19266EAE"/>
    <w:rsid w:val="193E61A9"/>
    <w:rsid w:val="19B175FE"/>
    <w:rsid w:val="19BA2DA6"/>
    <w:rsid w:val="19E17184"/>
    <w:rsid w:val="19FB2C3C"/>
    <w:rsid w:val="1A1B5EE6"/>
    <w:rsid w:val="1A351A94"/>
    <w:rsid w:val="1A3B188F"/>
    <w:rsid w:val="1A4F4961"/>
    <w:rsid w:val="1A527E86"/>
    <w:rsid w:val="1A6B0EEF"/>
    <w:rsid w:val="1A864FC7"/>
    <w:rsid w:val="1A967D50"/>
    <w:rsid w:val="1A970FB3"/>
    <w:rsid w:val="1AAB45F6"/>
    <w:rsid w:val="1AF205C1"/>
    <w:rsid w:val="1B106349"/>
    <w:rsid w:val="1B133EBD"/>
    <w:rsid w:val="1B791B76"/>
    <w:rsid w:val="1BBD3D34"/>
    <w:rsid w:val="1BBE13E9"/>
    <w:rsid w:val="1BC54211"/>
    <w:rsid w:val="1BCC07FF"/>
    <w:rsid w:val="1BD21A8E"/>
    <w:rsid w:val="1BED31A7"/>
    <w:rsid w:val="1BF6640F"/>
    <w:rsid w:val="1C2D03AA"/>
    <w:rsid w:val="1C2F51F0"/>
    <w:rsid w:val="1C4B2F98"/>
    <w:rsid w:val="1CD83B22"/>
    <w:rsid w:val="1CE400B3"/>
    <w:rsid w:val="1D2119DA"/>
    <w:rsid w:val="1D481945"/>
    <w:rsid w:val="1D961B49"/>
    <w:rsid w:val="1D9F6122"/>
    <w:rsid w:val="1E055B38"/>
    <w:rsid w:val="1E2B1E83"/>
    <w:rsid w:val="1E453774"/>
    <w:rsid w:val="1E5E5C12"/>
    <w:rsid w:val="1E6749FD"/>
    <w:rsid w:val="1E7277E4"/>
    <w:rsid w:val="1EB05FC3"/>
    <w:rsid w:val="1EB57C64"/>
    <w:rsid w:val="1EE456C8"/>
    <w:rsid w:val="1EEF0AE0"/>
    <w:rsid w:val="1EFA23B0"/>
    <w:rsid w:val="1F2809C8"/>
    <w:rsid w:val="1F2F00D5"/>
    <w:rsid w:val="1F375C0D"/>
    <w:rsid w:val="1F3D0CE1"/>
    <w:rsid w:val="1F541C2F"/>
    <w:rsid w:val="1FA7260B"/>
    <w:rsid w:val="1FEE3736"/>
    <w:rsid w:val="1FF45180"/>
    <w:rsid w:val="2034266D"/>
    <w:rsid w:val="20441BF7"/>
    <w:rsid w:val="20567811"/>
    <w:rsid w:val="207B20B8"/>
    <w:rsid w:val="20C87EE6"/>
    <w:rsid w:val="20D4307C"/>
    <w:rsid w:val="20DF6696"/>
    <w:rsid w:val="21156537"/>
    <w:rsid w:val="215026B3"/>
    <w:rsid w:val="218469C1"/>
    <w:rsid w:val="21FB5F50"/>
    <w:rsid w:val="21FB6487"/>
    <w:rsid w:val="22611A5A"/>
    <w:rsid w:val="22620C72"/>
    <w:rsid w:val="22622A21"/>
    <w:rsid w:val="22AE5F02"/>
    <w:rsid w:val="22E54FD6"/>
    <w:rsid w:val="23E2019C"/>
    <w:rsid w:val="24552B00"/>
    <w:rsid w:val="24582CE4"/>
    <w:rsid w:val="246C3202"/>
    <w:rsid w:val="25006968"/>
    <w:rsid w:val="250462EA"/>
    <w:rsid w:val="252D7657"/>
    <w:rsid w:val="25355DF2"/>
    <w:rsid w:val="25390605"/>
    <w:rsid w:val="253A3746"/>
    <w:rsid w:val="256C29A0"/>
    <w:rsid w:val="25752417"/>
    <w:rsid w:val="25933BDB"/>
    <w:rsid w:val="25B66BA8"/>
    <w:rsid w:val="25E70ABF"/>
    <w:rsid w:val="2661226B"/>
    <w:rsid w:val="26636987"/>
    <w:rsid w:val="26CF4594"/>
    <w:rsid w:val="271E4DAB"/>
    <w:rsid w:val="272A5BFE"/>
    <w:rsid w:val="27320D1C"/>
    <w:rsid w:val="274759C4"/>
    <w:rsid w:val="274B7559"/>
    <w:rsid w:val="28166B73"/>
    <w:rsid w:val="282442D9"/>
    <w:rsid w:val="284367B5"/>
    <w:rsid w:val="284C2446"/>
    <w:rsid w:val="285718A5"/>
    <w:rsid w:val="28F865CB"/>
    <w:rsid w:val="29053276"/>
    <w:rsid w:val="29212087"/>
    <w:rsid w:val="29250E1B"/>
    <w:rsid w:val="293E4CC1"/>
    <w:rsid w:val="29443F92"/>
    <w:rsid w:val="295A53EB"/>
    <w:rsid w:val="29803AA3"/>
    <w:rsid w:val="29884B07"/>
    <w:rsid w:val="298957C4"/>
    <w:rsid w:val="29DF4E52"/>
    <w:rsid w:val="2A1D6A45"/>
    <w:rsid w:val="2A4E2CE7"/>
    <w:rsid w:val="2A6F6EBA"/>
    <w:rsid w:val="2A830C79"/>
    <w:rsid w:val="2AD11736"/>
    <w:rsid w:val="2B1029CF"/>
    <w:rsid w:val="2B3D0710"/>
    <w:rsid w:val="2B424E87"/>
    <w:rsid w:val="2B5F0E77"/>
    <w:rsid w:val="2B7F64C1"/>
    <w:rsid w:val="2BA3212D"/>
    <w:rsid w:val="2BE7007A"/>
    <w:rsid w:val="2BEF05F1"/>
    <w:rsid w:val="2BFE408A"/>
    <w:rsid w:val="2C1D78F3"/>
    <w:rsid w:val="2C234403"/>
    <w:rsid w:val="2C393680"/>
    <w:rsid w:val="2CDF0482"/>
    <w:rsid w:val="2D22640D"/>
    <w:rsid w:val="2D464D5F"/>
    <w:rsid w:val="2D4E5097"/>
    <w:rsid w:val="2D592D22"/>
    <w:rsid w:val="2DEB1F6F"/>
    <w:rsid w:val="2DFB00B5"/>
    <w:rsid w:val="2E414663"/>
    <w:rsid w:val="2E697CA3"/>
    <w:rsid w:val="2E6D23B0"/>
    <w:rsid w:val="2E6D4E98"/>
    <w:rsid w:val="2E7931EC"/>
    <w:rsid w:val="2E944745"/>
    <w:rsid w:val="2E9705D3"/>
    <w:rsid w:val="2E9C3022"/>
    <w:rsid w:val="2EBE0475"/>
    <w:rsid w:val="2EC1790D"/>
    <w:rsid w:val="2EE23871"/>
    <w:rsid w:val="2F1D1D68"/>
    <w:rsid w:val="2F1F4CCA"/>
    <w:rsid w:val="2F2A65B2"/>
    <w:rsid w:val="2F6C2DFA"/>
    <w:rsid w:val="300C3711"/>
    <w:rsid w:val="3022617D"/>
    <w:rsid w:val="30464B56"/>
    <w:rsid w:val="306B39B6"/>
    <w:rsid w:val="307C2C0D"/>
    <w:rsid w:val="30967620"/>
    <w:rsid w:val="309F2085"/>
    <w:rsid w:val="30BD1FE5"/>
    <w:rsid w:val="30E74D92"/>
    <w:rsid w:val="30F36C74"/>
    <w:rsid w:val="30F9318B"/>
    <w:rsid w:val="31272F44"/>
    <w:rsid w:val="31936105"/>
    <w:rsid w:val="31B658D4"/>
    <w:rsid w:val="31E67461"/>
    <w:rsid w:val="32316E69"/>
    <w:rsid w:val="325B404D"/>
    <w:rsid w:val="32887E5F"/>
    <w:rsid w:val="32922EE0"/>
    <w:rsid w:val="329E5AD1"/>
    <w:rsid w:val="32CC51E5"/>
    <w:rsid w:val="32E6051A"/>
    <w:rsid w:val="32F33B15"/>
    <w:rsid w:val="3342483F"/>
    <w:rsid w:val="33A718ED"/>
    <w:rsid w:val="33AA3E3F"/>
    <w:rsid w:val="34086FF6"/>
    <w:rsid w:val="34AC6BE3"/>
    <w:rsid w:val="34EB329F"/>
    <w:rsid w:val="34FE1F7D"/>
    <w:rsid w:val="35270865"/>
    <w:rsid w:val="35C42A65"/>
    <w:rsid w:val="3609516B"/>
    <w:rsid w:val="36116C06"/>
    <w:rsid w:val="361B7BDC"/>
    <w:rsid w:val="364221AD"/>
    <w:rsid w:val="36627D01"/>
    <w:rsid w:val="369B1BA6"/>
    <w:rsid w:val="36AC6FD2"/>
    <w:rsid w:val="36AE45FE"/>
    <w:rsid w:val="36D4159F"/>
    <w:rsid w:val="36DB78F6"/>
    <w:rsid w:val="36E67798"/>
    <w:rsid w:val="36FF0DB1"/>
    <w:rsid w:val="37067020"/>
    <w:rsid w:val="372649E2"/>
    <w:rsid w:val="372C59AA"/>
    <w:rsid w:val="373000B7"/>
    <w:rsid w:val="3789705A"/>
    <w:rsid w:val="37963F54"/>
    <w:rsid w:val="379A6B89"/>
    <w:rsid w:val="379B6A7D"/>
    <w:rsid w:val="37BF2E3D"/>
    <w:rsid w:val="37C67DE8"/>
    <w:rsid w:val="37D107AA"/>
    <w:rsid w:val="37F43335"/>
    <w:rsid w:val="38926D93"/>
    <w:rsid w:val="38B04B0E"/>
    <w:rsid w:val="38FD54AF"/>
    <w:rsid w:val="390741E5"/>
    <w:rsid w:val="391F264A"/>
    <w:rsid w:val="39243472"/>
    <w:rsid w:val="392B2144"/>
    <w:rsid w:val="394205BC"/>
    <w:rsid w:val="39494385"/>
    <w:rsid w:val="394E6CCA"/>
    <w:rsid w:val="3997588E"/>
    <w:rsid w:val="39B46D56"/>
    <w:rsid w:val="39C828E7"/>
    <w:rsid w:val="39DD557C"/>
    <w:rsid w:val="39FC4298"/>
    <w:rsid w:val="3A0740EE"/>
    <w:rsid w:val="3A4536A9"/>
    <w:rsid w:val="3A552184"/>
    <w:rsid w:val="3A800711"/>
    <w:rsid w:val="3A810CA0"/>
    <w:rsid w:val="3A96496C"/>
    <w:rsid w:val="3A9F3479"/>
    <w:rsid w:val="3ABC7EEE"/>
    <w:rsid w:val="3AE331DB"/>
    <w:rsid w:val="3AED2009"/>
    <w:rsid w:val="3B1939D0"/>
    <w:rsid w:val="3B474570"/>
    <w:rsid w:val="3B581890"/>
    <w:rsid w:val="3BAB26D3"/>
    <w:rsid w:val="3BD009CC"/>
    <w:rsid w:val="3BF45BDB"/>
    <w:rsid w:val="3C2B1FE6"/>
    <w:rsid w:val="3C2F7C35"/>
    <w:rsid w:val="3C8779B9"/>
    <w:rsid w:val="3C8B2C2B"/>
    <w:rsid w:val="3C940215"/>
    <w:rsid w:val="3C9F058C"/>
    <w:rsid w:val="3CC97C4F"/>
    <w:rsid w:val="3CCA29EB"/>
    <w:rsid w:val="3CCC5DBF"/>
    <w:rsid w:val="3CF75C7B"/>
    <w:rsid w:val="3D497E6A"/>
    <w:rsid w:val="3D634958"/>
    <w:rsid w:val="3D6C6B53"/>
    <w:rsid w:val="3D8C6BB2"/>
    <w:rsid w:val="3D987150"/>
    <w:rsid w:val="3D9E333B"/>
    <w:rsid w:val="3DBC00BF"/>
    <w:rsid w:val="3DCB1A6B"/>
    <w:rsid w:val="3DED30AA"/>
    <w:rsid w:val="3E2D5980"/>
    <w:rsid w:val="3E3102BB"/>
    <w:rsid w:val="3E604692"/>
    <w:rsid w:val="3E614AA5"/>
    <w:rsid w:val="3EB02545"/>
    <w:rsid w:val="3EB21D54"/>
    <w:rsid w:val="3F18661A"/>
    <w:rsid w:val="3F7512EA"/>
    <w:rsid w:val="3F9730B9"/>
    <w:rsid w:val="3FC55901"/>
    <w:rsid w:val="3FC9458D"/>
    <w:rsid w:val="3FD033AD"/>
    <w:rsid w:val="3FE71A20"/>
    <w:rsid w:val="401F021A"/>
    <w:rsid w:val="404148A6"/>
    <w:rsid w:val="40572AB6"/>
    <w:rsid w:val="405D3459"/>
    <w:rsid w:val="4068264C"/>
    <w:rsid w:val="407728FD"/>
    <w:rsid w:val="40CA0DB3"/>
    <w:rsid w:val="410603FC"/>
    <w:rsid w:val="410D06B8"/>
    <w:rsid w:val="418842A8"/>
    <w:rsid w:val="41A274B6"/>
    <w:rsid w:val="41C034AF"/>
    <w:rsid w:val="41C70A28"/>
    <w:rsid w:val="42311D52"/>
    <w:rsid w:val="424A712C"/>
    <w:rsid w:val="4263268C"/>
    <w:rsid w:val="429F7E60"/>
    <w:rsid w:val="42CB2D35"/>
    <w:rsid w:val="42F759C4"/>
    <w:rsid w:val="43023463"/>
    <w:rsid w:val="430420F8"/>
    <w:rsid w:val="434660D0"/>
    <w:rsid w:val="43554BAC"/>
    <w:rsid w:val="435D3A52"/>
    <w:rsid w:val="436D6609"/>
    <w:rsid w:val="4392054D"/>
    <w:rsid w:val="439E1B7D"/>
    <w:rsid w:val="43A027A3"/>
    <w:rsid w:val="43A05E1A"/>
    <w:rsid w:val="43AA1E91"/>
    <w:rsid w:val="43AF27CC"/>
    <w:rsid w:val="43BA343C"/>
    <w:rsid w:val="43F8127E"/>
    <w:rsid w:val="44107E1A"/>
    <w:rsid w:val="4428525F"/>
    <w:rsid w:val="444A0170"/>
    <w:rsid w:val="4458707E"/>
    <w:rsid w:val="44667276"/>
    <w:rsid w:val="44A37922"/>
    <w:rsid w:val="44B63420"/>
    <w:rsid w:val="44B71DE6"/>
    <w:rsid w:val="44BE70AA"/>
    <w:rsid w:val="44DB6B8D"/>
    <w:rsid w:val="45160574"/>
    <w:rsid w:val="45D9171A"/>
    <w:rsid w:val="45F8252B"/>
    <w:rsid w:val="46153B79"/>
    <w:rsid w:val="46362CFF"/>
    <w:rsid w:val="4655670F"/>
    <w:rsid w:val="465E48A1"/>
    <w:rsid w:val="46CD6A3D"/>
    <w:rsid w:val="46D23AA8"/>
    <w:rsid w:val="46D446A7"/>
    <w:rsid w:val="46DD6BE8"/>
    <w:rsid w:val="47165D61"/>
    <w:rsid w:val="475D1752"/>
    <w:rsid w:val="47767BD4"/>
    <w:rsid w:val="477D0471"/>
    <w:rsid w:val="478F59C9"/>
    <w:rsid w:val="47EA68ED"/>
    <w:rsid w:val="47FB44E3"/>
    <w:rsid w:val="488A747A"/>
    <w:rsid w:val="488C68A7"/>
    <w:rsid w:val="489640A7"/>
    <w:rsid w:val="489E300A"/>
    <w:rsid w:val="48A8092A"/>
    <w:rsid w:val="4955748F"/>
    <w:rsid w:val="49694B92"/>
    <w:rsid w:val="49737357"/>
    <w:rsid w:val="49E51E3A"/>
    <w:rsid w:val="4A0366CF"/>
    <w:rsid w:val="4A256483"/>
    <w:rsid w:val="4A38641F"/>
    <w:rsid w:val="4A66688A"/>
    <w:rsid w:val="4A800E57"/>
    <w:rsid w:val="4A8D4A10"/>
    <w:rsid w:val="4A9F5D83"/>
    <w:rsid w:val="4AB52052"/>
    <w:rsid w:val="4AF859CC"/>
    <w:rsid w:val="4B657DEC"/>
    <w:rsid w:val="4B8152D3"/>
    <w:rsid w:val="4B835116"/>
    <w:rsid w:val="4B965649"/>
    <w:rsid w:val="4B9A084B"/>
    <w:rsid w:val="4BBA0F4B"/>
    <w:rsid w:val="4BC03621"/>
    <w:rsid w:val="4BC22F72"/>
    <w:rsid w:val="4BEC1DA9"/>
    <w:rsid w:val="4C0A4905"/>
    <w:rsid w:val="4C113092"/>
    <w:rsid w:val="4C454D9D"/>
    <w:rsid w:val="4C6D4FD8"/>
    <w:rsid w:val="4C956109"/>
    <w:rsid w:val="4CBC2827"/>
    <w:rsid w:val="4CDD2221"/>
    <w:rsid w:val="4CEC7C13"/>
    <w:rsid w:val="4D1737DC"/>
    <w:rsid w:val="4D2E5116"/>
    <w:rsid w:val="4D4946C3"/>
    <w:rsid w:val="4D6215E1"/>
    <w:rsid w:val="4D667D39"/>
    <w:rsid w:val="4D6A6CFA"/>
    <w:rsid w:val="4D8C427F"/>
    <w:rsid w:val="4DB579D1"/>
    <w:rsid w:val="4DBD70EB"/>
    <w:rsid w:val="4E44138D"/>
    <w:rsid w:val="4E6E459C"/>
    <w:rsid w:val="4E98618A"/>
    <w:rsid w:val="4E9D352C"/>
    <w:rsid w:val="4EB95E17"/>
    <w:rsid w:val="4ED45410"/>
    <w:rsid w:val="4F6B02B8"/>
    <w:rsid w:val="4F72409C"/>
    <w:rsid w:val="4F765628"/>
    <w:rsid w:val="4FA43165"/>
    <w:rsid w:val="4FB6214D"/>
    <w:rsid w:val="4FFA2095"/>
    <w:rsid w:val="50645753"/>
    <w:rsid w:val="50A93BA8"/>
    <w:rsid w:val="50E40335"/>
    <w:rsid w:val="50E65CE2"/>
    <w:rsid w:val="511E0033"/>
    <w:rsid w:val="51202751"/>
    <w:rsid w:val="51366F1E"/>
    <w:rsid w:val="5143280B"/>
    <w:rsid w:val="51546F21"/>
    <w:rsid w:val="518A1586"/>
    <w:rsid w:val="51A86476"/>
    <w:rsid w:val="51DD620D"/>
    <w:rsid w:val="51F83F85"/>
    <w:rsid w:val="52051862"/>
    <w:rsid w:val="52245275"/>
    <w:rsid w:val="522A5D40"/>
    <w:rsid w:val="52535651"/>
    <w:rsid w:val="53163533"/>
    <w:rsid w:val="544111E8"/>
    <w:rsid w:val="5444354A"/>
    <w:rsid w:val="547A6B2A"/>
    <w:rsid w:val="549277AF"/>
    <w:rsid w:val="54B458B3"/>
    <w:rsid w:val="550431D5"/>
    <w:rsid w:val="551D6AF9"/>
    <w:rsid w:val="55313DB7"/>
    <w:rsid w:val="55A60ADC"/>
    <w:rsid w:val="55B32567"/>
    <w:rsid w:val="55D857C5"/>
    <w:rsid w:val="56253A26"/>
    <w:rsid w:val="5638334C"/>
    <w:rsid w:val="56780FF9"/>
    <w:rsid w:val="56870578"/>
    <w:rsid w:val="569241C0"/>
    <w:rsid w:val="56944288"/>
    <w:rsid w:val="56A33B67"/>
    <w:rsid w:val="56A40E03"/>
    <w:rsid w:val="56E20A0E"/>
    <w:rsid w:val="57053D37"/>
    <w:rsid w:val="5712602C"/>
    <w:rsid w:val="5737516A"/>
    <w:rsid w:val="57431AE0"/>
    <w:rsid w:val="57730A91"/>
    <w:rsid w:val="5780384C"/>
    <w:rsid w:val="57A27BD5"/>
    <w:rsid w:val="57A91214"/>
    <w:rsid w:val="57C762A2"/>
    <w:rsid w:val="57E71A09"/>
    <w:rsid w:val="5812512F"/>
    <w:rsid w:val="58451B93"/>
    <w:rsid w:val="587179A2"/>
    <w:rsid w:val="587249A9"/>
    <w:rsid w:val="587747DC"/>
    <w:rsid w:val="58876FB5"/>
    <w:rsid w:val="588C140C"/>
    <w:rsid w:val="58B21650"/>
    <w:rsid w:val="58C00F3E"/>
    <w:rsid w:val="59103E6F"/>
    <w:rsid w:val="59373C72"/>
    <w:rsid w:val="5945207E"/>
    <w:rsid w:val="595B4F2E"/>
    <w:rsid w:val="596D221D"/>
    <w:rsid w:val="59A237B5"/>
    <w:rsid w:val="59A77712"/>
    <w:rsid w:val="59CB276C"/>
    <w:rsid w:val="5A72604D"/>
    <w:rsid w:val="5A7F77CE"/>
    <w:rsid w:val="5AA20C09"/>
    <w:rsid w:val="5ABC5F71"/>
    <w:rsid w:val="5AD20F31"/>
    <w:rsid w:val="5AF81EC0"/>
    <w:rsid w:val="5B0E4DAE"/>
    <w:rsid w:val="5B0E6862"/>
    <w:rsid w:val="5B4D14FF"/>
    <w:rsid w:val="5B58464F"/>
    <w:rsid w:val="5B8509D1"/>
    <w:rsid w:val="5B90297B"/>
    <w:rsid w:val="5C11606C"/>
    <w:rsid w:val="5C11763B"/>
    <w:rsid w:val="5C4B3D62"/>
    <w:rsid w:val="5C4E0A2D"/>
    <w:rsid w:val="5C524815"/>
    <w:rsid w:val="5C64452B"/>
    <w:rsid w:val="5C7719CE"/>
    <w:rsid w:val="5C8E79BD"/>
    <w:rsid w:val="5CA6604A"/>
    <w:rsid w:val="5D2719C9"/>
    <w:rsid w:val="5D285026"/>
    <w:rsid w:val="5D5C0E3F"/>
    <w:rsid w:val="5D5E619D"/>
    <w:rsid w:val="5D697358"/>
    <w:rsid w:val="5D747A99"/>
    <w:rsid w:val="5D9249ED"/>
    <w:rsid w:val="5DA1646B"/>
    <w:rsid w:val="5DD7329D"/>
    <w:rsid w:val="5DDC5DDB"/>
    <w:rsid w:val="5DF04FFA"/>
    <w:rsid w:val="5E063C72"/>
    <w:rsid w:val="5E0C15D4"/>
    <w:rsid w:val="5E19167C"/>
    <w:rsid w:val="5E3C01D4"/>
    <w:rsid w:val="5E6F443D"/>
    <w:rsid w:val="5E70354F"/>
    <w:rsid w:val="5E8C7523"/>
    <w:rsid w:val="5E94632E"/>
    <w:rsid w:val="5E9C2B92"/>
    <w:rsid w:val="5EB82786"/>
    <w:rsid w:val="5EB94C72"/>
    <w:rsid w:val="5F111534"/>
    <w:rsid w:val="5F2541B1"/>
    <w:rsid w:val="5F804106"/>
    <w:rsid w:val="5F8E0C9A"/>
    <w:rsid w:val="5F9A4C50"/>
    <w:rsid w:val="5FBC6FFC"/>
    <w:rsid w:val="5FD2151E"/>
    <w:rsid w:val="5FD91B32"/>
    <w:rsid w:val="5FDE3D1C"/>
    <w:rsid w:val="5FEB36B0"/>
    <w:rsid w:val="5FEE5C03"/>
    <w:rsid w:val="60070235"/>
    <w:rsid w:val="60247960"/>
    <w:rsid w:val="60337FBD"/>
    <w:rsid w:val="60557909"/>
    <w:rsid w:val="608B596D"/>
    <w:rsid w:val="60B20DDE"/>
    <w:rsid w:val="60CF6017"/>
    <w:rsid w:val="60EC58A1"/>
    <w:rsid w:val="60F765D6"/>
    <w:rsid w:val="619B0A4D"/>
    <w:rsid w:val="61BC5698"/>
    <w:rsid w:val="61C05E29"/>
    <w:rsid w:val="61E220CA"/>
    <w:rsid w:val="621F3A28"/>
    <w:rsid w:val="622919DE"/>
    <w:rsid w:val="623817CD"/>
    <w:rsid w:val="623C244B"/>
    <w:rsid w:val="625671C6"/>
    <w:rsid w:val="626D5F1F"/>
    <w:rsid w:val="628D5A05"/>
    <w:rsid w:val="629635F2"/>
    <w:rsid w:val="62B26831"/>
    <w:rsid w:val="62DB156F"/>
    <w:rsid w:val="62E35C5C"/>
    <w:rsid w:val="6308602C"/>
    <w:rsid w:val="63655BF1"/>
    <w:rsid w:val="6381414F"/>
    <w:rsid w:val="63901C9C"/>
    <w:rsid w:val="63A6496D"/>
    <w:rsid w:val="63A83FEC"/>
    <w:rsid w:val="63D92053"/>
    <w:rsid w:val="63E37B79"/>
    <w:rsid w:val="63FC1B88"/>
    <w:rsid w:val="64035403"/>
    <w:rsid w:val="644D4301"/>
    <w:rsid w:val="6477289B"/>
    <w:rsid w:val="648578B4"/>
    <w:rsid w:val="649176C0"/>
    <w:rsid w:val="64987293"/>
    <w:rsid w:val="649E57C1"/>
    <w:rsid w:val="64A11F98"/>
    <w:rsid w:val="64B9138C"/>
    <w:rsid w:val="64D442AC"/>
    <w:rsid w:val="64E504A3"/>
    <w:rsid w:val="650401CF"/>
    <w:rsid w:val="65205814"/>
    <w:rsid w:val="653D52DC"/>
    <w:rsid w:val="655373D5"/>
    <w:rsid w:val="659D4F4E"/>
    <w:rsid w:val="65A300A1"/>
    <w:rsid w:val="65DB5C3D"/>
    <w:rsid w:val="65DC330D"/>
    <w:rsid w:val="65E935AE"/>
    <w:rsid w:val="666631F7"/>
    <w:rsid w:val="66780DEE"/>
    <w:rsid w:val="668E1E21"/>
    <w:rsid w:val="66926F8C"/>
    <w:rsid w:val="66966882"/>
    <w:rsid w:val="66AB117E"/>
    <w:rsid w:val="66D269D6"/>
    <w:rsid w:val="66F269C9"/>
    <w:rsid w:val="67285BDC"/>
    <w:rsid w:val="67C1521F"/>
    <w:rsid w:val="67FB2FC2"/>
    <w:rsid w:val="6838125F"/>
    <w:rsid w:val="684E7153"/>
    <w:rsid w:val="68942469"/>
    <w:rsid w:val="689A4745"/>
    <w:rsid w:val="68A270B1"/>
    <w:rsid w:val="69522C18"/>
    <w:rsid w:val="69560D87"/>
    <w:rsid w:val="69624B7D"/>
    <w:rsid w:val="69A85914"/>
    <w:rsid w:val="69B54893"/>
    <w:rsid w:val="69F0666F"/>
    <w:rsid w:val="69FA018D"/>
    <w:rsid w:val="6A25465E"/>
    <w:rsid w:val="6A3133B9"/>
    <w:rsid w:val="6A572716"/>
    <w:rsid w:val="6A87076D"/>
    <w:rsid w:val="6A9454E3"/>
    <w:rsid w:val="6ACE133C"/>
    <w:rsid w:val="6ACF2D0F"/>
    <w:rsid w:val="6AFC0247"/>
    <w:rsid w:val="6AFC23BD"/>
    <w:rsid w:val="6B287CCA"/>
    <w:rsid w:val="6B37191E"/>
    <w:rsid w:val="6BA33D44"/>
    <w:rsid w:val="6C4068D5"/>
    <w:rsid w:val="6C8568B5"/>
    <w:rsid w:val="6C966E13"/>
    <w:rsid w:val="6CB00C5D"/>
    <w:rsid w:val="6CF84967"/>
    <w:rsid w:val="6D0441AB"/>
    <w:rsid w:val="6D4150D0"/>
    <w:rsid w:val="6D481945"/>
    <w:rsid w:val="6D6650F6"/>
    <w:rsid w:val="6D6D32A5"/>
    <w:rsid w:val="6D7B403E"/>
    <w:rsid w:val="6D9317CF"/>
    <w:rsid w:val="6D96704E"/>
    <w:rsid w:val="6DEC7B87"/>
    <w:rsid w:val="6EF06A3A"/>
    <w:rsid w:val="6F231086"/>
    <w:rsid w:val="6F2C1077"/>
    <w:rsid w:val="6F4412DE"/>
    <w:rsid w:val="6F4A3EE7"/>
    <w:rsid w:val="6FB01FF6"/>
    <w:rsid w:val="6FE27E45"/>
    <w:rsid w:val="702D3037"/>
    <w:rsid w:val="70854008"/>
    <w:rsid w:val="70EE0B58"/>
    <w:rsid w:val="71662747"/>
    <w:rsid w:val="71F327E9"/>
    <w:rsid w:val="72525910"/>
    <w:rsid w:val="7272141E"/>
    <w:rsid w:val="729A51BF"/>
    <w:rsid w:val="72B463D3"/>
    <w:rsid w:val="72C31F67"/>
    <w:rsid w:val="730F2443"/>
    <w:rsid w:val="738A19B2"/>
    <w:rsid w:val="74460C31"/>
    <w:rsid w:val="745948C9"/>
    <w:rsid w:val="747814E9"/>
    <w:rsid w:val="74782083"/>
    <w:rsid w:val="74864594"/>
    <w:rsid w:val="7499444F"/>
    <w:rsid w:val="74F00783"/>
    <w:rsid w:val="74F21A8E"/>
    <w:rsid w:val="75092D2E"/>
    <w:rsid w:val="751F35C6"/>
    <w:rsid w:val="752673FA"/>
    <w:rsid w:val="75445278"/>
    <w:rsid w:val="755743E2"/>
    <w:rsid w:val="755A18B2"/>
    <w:rsid w:val="756D2420"/>
    <w:rsid w:val="75AD468E"/>
    <w:rsid w:val="75C114FE"/>
    <w:rsid w:val="75C3529A"/>
    <w:rsid w:val="75D33B60"/>
    <w:rsid w:val="75EB0030"/>
    <w:rsid w:val="767A1884"/>
    <w:rsid w:val="7681376B"/>
    <w:rsid w:val="76A86A13"/>
    <w:rsid w:val="77092393"/>
    <w:rsid w:val="771405C6"/>
    <w:rsid w:val="77186802"/>
    <w:rsid w:val="77244002"/>
    <w:rsid w:val="773D560B"/>
    <w:rsid w:val="7759121E"/>
    <w:rsid w:val="778C19C1"/>
    <w:rsid w:val="77DE7388"/>
    <w:rsid w:val="78123276"/>
    <w:rsid w:val="781B6350"/>
    <w:rsid w:val="783F252C"/>
    <w:rsid w:val="78661D77"/>
    <w:rsid w:val="787542C9"/>
    <w:rsid w:val="787C4A52"/>
    <w:rsid w:val="787C6D8C"/>
    <w:rsid w:val="787D1A38"/>
    <w:rsid w:val="78833D88"/>
    <w:rsid w:val="78C70562"/>
    <w:rsid w:val="78F24020"/>
    <w:rsid w:val="792279DB"/>
    <w:rsid w:val="797C1AA1"/>
    <w:rsid w:val="7A934CC7"/>
    <w:rsid w:val="7AB93CAD"/>
    <w:rsid w:val="7ADD5745"/>
    <w:rsid w:val="7AFB7263"/>
    <w:rsid w:val="7B062FF2"/>
    <w:rsid w:val="7B06618E"/>
    <w:rsid w:val="7B1E69AF"/>
    <w:rsid w:val="7B4771D3"/>
    <w:rsid w:val="7B4969DA"/>
    <w:rsid w:val="7B4B57FE"/>
    <w:rsid w:val="7B8A7BFE"/>
    <w:rsid w:val="7BBA7BC4"/>
    <w:rsid w:val="7BF444AB"/>
    <w:rsid w:val="7BFE0356"/>
    <w:rsid w:val="7C050FEE"/>
    <w:rsid w:val="7C1F696C"/>
    <w:rsid w:val="7C241FA4"/>
    <w:rsid w:val="7C2F7F24"/>
    <w:rsid w:val="7C4F6127"/>
    <w:rsid w:val="7C557027"/>
    <w:rsid w:val="7C774202"/>
    <w:rsid w:val="7CB763AB"/>
    <w:rsid w:val="7CF32D47"/>
    <w:rsid w:val="7CF47DC4"/>
    <w:rsid w:val="7D2D7E4F"/>
    <w:rsid w:val="7D3D1C6F"/>
    <w:rsid w:val="7D703C18"/>
    <w:rsid w:val="7D70416C"/>
    <w:rsid w:val="7D7D2444"/>
    <w:rsid w:val="7DB53173"/>
    <w:rsid w:val="7DBD0485"/>
    <w:rsid w:val="7DC17AA5"/>
    <w:rsid w:val="7DF00948"/>
    <w:rsid w:val="7DF35877"/>
    <w:rsid w:val="7E3760A4"/>
    <w:rsid w:val="7E3F400C"/>
    <w:rsid w:val="7E3F5C67"/>
    <w:rsid w:val="7E485A8B"/>
    <w:rsid w:val="7E710432"/>
    <w:rsid w:val="7E784FFE"/>
    <w:rsid w:val="7E835EDA"/>
    <w:rsid w:val="7F0D36A8"/>
    <w:rsid w:val="7F0D6F9B"/>
    <w:rsid w:val="7F267E5E"/>
    <w:rsid w:val="7F511034"/>
    <w:rsid w:val="7FB12B06"/>
    <w:rsid w:val="7FC963AF"/>
    <w:rsid w:val="7FED16D1"/>
    <w:rsid w:val="7FF30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qFormat="1"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3"/>
    <w:qFormat/>
    <w:uiPriority w:val="0"/>
    <w:pPr>
      <w:keepNext/>
      <w:jc w:val="center"/>
      <w:outlineLvl w:val="0"/>
    </w:pPr>
    <w:rPr>
      <w:b/>
      <w:bCs/>
      <w:kern w:val="0"/>
      <w:sz w:val="24"/>
      <w:szCs w:val="20"/>
    </w:rPr>
  </w:style>
  <w:style w:type="paragraph" w:styleId="5">
    <w:name w:val="heading 2"/>
    <w:basedOn w:val="1"/>
    <w:next w:val="1"/>
    <w:link w:val="64"/>
    <w:qFormat/>
    <w:uiPriority w:val="0"/>
    <w:pPr>
      <w:keepNext/>
      <w:keepLines/>
      <w:spacing w:line="360" w:lineRule="auto"/>
      <w:outlineLvl w:val="1"/>
    </w:pPr>
    <w:rPr>
      <w:rFonts w:ascii="Arial" w:hAnsi="Arial"/>
      <w:b/>
      <w:bCs/>
      <w:kern w:val="0"/>
      <w:sz w:val="24"/>
      <w:szCs w:val="32"/>
    </w:rPr>
  </w:style>
  <w:style w:type="paragraph" w:styleId="6">
    <w:name w:val="heading 3"/>
    <w:basedOn w:val="1"/>
    <w:next w:val="1"/>
    <w:link w:val="65"/>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66"/>
    <w:qFormat/>
    <w:uiPriority w:val="0"/>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link w:val="67"/>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9">
    <w:name w:val="heading 6"/>
    <w:basedOn w:val="1"/>
    <w:next w:val="1"/>
    <w:link w:val="68"/>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10">
    <w:name w:val="heading 7"/>
    <w:basedOn w:val="1"/>
    <w:next w:val="1"/>
    <w:link w:val="69"/>
    <w:qFormat/>
    <w:uiPriority w:val="0"/>
    <w:pPr>
      <w:keepNext/>
      <w:keepLines/>
      <w:adjustRightInd w:val="0"/>
      <w:spacing w:before="240" w:after="64" w:line="320" w:lineRule="atLeast"/>
      <w:jc w:val="left"/>
      <w:textAlignment w:val="baseline"/>
      <w:outlineLvl w:val="6"/>
    </w:pPr>
    <w:rPr>
      <w:b/>
      <w:bCs/>
      <w:kern w:val="0"/>
      <w:sz w:val="24"/>
    </w:rPr>
  </w:style>
  <w:style w:type="paragraph" w:styleId="11">
    <w:name w:val="heading 8"/>
    <w:basedOn w:val="1"/>
    <w:next w:val="1"/>
    <w:link w:val="70"/>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2">
    <w:name w:val="heading 9"/>
    <w:basedOn w:val="1"/>
    <w:next w:val="1"/>
    <w:link w:val="71"/>
    <w:qFormat/>
    <w:uiPriority w:val="0"/>
    <w:pPr>
      <w:keepNext/>
      <w:keepLines/>
      <w:adjustRightInd w:val="0"/>
      <w:spacing w:before="240" w:after="64" w:line="320" w:lineRule="atLeast"/>
      <w:jc w:val="left"/>
      <w:textAlignment w:val="baseline"/>
      <w:outlineLvl w:val="8"/>
    </w:pPr>
    <w:rPr>
      <w:rFonts w:ascii="Arial" w:hAnsi="Arial" w:eastAsia="黑体"/>
      <w:kern w:val="0"/>
      <w:sz w:val="2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175"/>
    <w:unhideWhenUsed/>
    <w:qFormat/>
    <w:uiPriority w:val="0"/>
    <w:pPr>
      <w:spacing w:line="500" w:lineRule="exact"/>
      <w:ind w:firstLine="420" w:firstLineChars="200"/>
    </w:pPr>
  </w:style>
  <w:style w:type="paragraph" w:styleId="3">
    <w:name w:val="Body Text"/>
    <w:basedOn w:val="1"/>
    <w:link w:val="117"/>
    <w:qFormat/>
    <w:uiPriority w:val="99"/>
    <w:pPr>
      <w:spacing w:after="120"/>
    </w:pPr>
  </w:style>
  <w:style w:type="paragraph" w:styleId="13">
    <w:name w:val="toc 7"/>
    <w:basedOn w:val="1"/>
    <w:next w:val="1"/>
    <w:qFormat/>
    <w:uiPriority w:val="0"/>
    <w:pPr>
      <w:ind w:left="2520" w:leftChars="1200"/>
    </w:pPr>
    <w:rPr>
      <w:rFonts w:ascii="Calibri" w:hAnsi="Calibri"/>
      <w:szCs w:val="22"/>
    </w:rPr>
  </w:style>
  <w:style w:type="paragraph" w:styleId="14">
    <w:name w:val="table of authorities"/>
    <w:basedOn w:val="1"/>
    <w:next w:val="1"/>
    <w:qFormat/>
    <w:uiPriority w:val="99"/>
    <w:pPr>
      <w:ind w:left="420" w:leftChars="200"/>
    </w:pPr>
  </w:style>
  <w:style w:type="paragraph" w:styleId="15">
    <w:name w:val="Normal Indent"/>
    <w:basedOn w:val="1"/>
    <w:link w:val="293"/>
    <w:qFormat/>
    <w:uiPriority w:val="99"/>
    <w:pPr>
      <w:widowControl/>
      <w:ind w:firstLine="420"/>
      <w:jc w:val="left"/>
    </w:pPr>
    <w:rPr>
      <w:kern w:val="0"/>
      <w:sz w:val="20"/>
      <w:szCs w:val="20"/>
    </w:rPr>
  </w:style>
  <w:style w:type="paragraph" w:styleId="16">
    <w:name w:val="Document Map"/>
    <w:basedOn w:val="1"/>
    <w:link w:val="127"/>
    <w:qFormat/>
    <w:uiPriority w:val="0"/>
    <w:pPr>
      <w:shd w:val="clear" w:color="auto" w:fill="000080"/>
    </w:pPr>
  </w:style>
  <w:style w:type="paragraph" w:styleId="17">
    <w:name w:val="toa heading"/>
    <w:basedOn w:val="1"/>
    <w:next w:val="1"/>
    <w:unhideWhenUsed/>
    <w:qFormat/>
    <w:uiPriority w:val="0"/>
    <w:pPr>
      <w:spacing w:before="120"/>
    </w:pPr>
    <w:rPr>
      <w:rFonts w:hint="eastAsia" w:ascii="Arial" w:hAnsi="Arial"/>
    </w:rPr>
  </w:style>
  <w:style w:type="paragraph" w:styleId="18">
    <w:name w:val="annotation text"/>
    <w:basedOn w:val="1"/>
    <w:link w:val="109"/>
    <w:unhideWhenUsed/>
    <w:qFormat/>
    <w:uiPriority w:val="99"/>
    <w:pPr>
      <w:jc w:val="left"/>
    </w:pPr>
  </w:style>
  <w:style w:type="paragraph" w:styleId="19">
    <w:name w:val="Salutation"/>
    <w:basedOn w:val="1"/>
    <w:next w:val="1"/>
    <w:link w:val="114"/>
    <w:qFormat/>
    <w:uiPriority w:val="0"/>
    <w:rPr>
      <w:rFonts w:ascii="仿宋_GB2312" w:eastAsia="仿宋_GB2312"/>
      <w:sz w:val="24"/>
    </w:rPr>
  </w:style>
  <w:style w:type="paragraph" w:styleId="20">
    <w:name w:val="Body Text 3"/>
    <w:basedOn w:val="1"/>
    <w:link w:val="148"/>
    <w:qFormat/>
    <w:uiPriority w:val="0"/>
    <w:pPr>
      <w:autoSpaceDE w:val="0"/>
      <w:autoSpaceDN w:val="0"/>
      <w:adjustRightInd w:val="0"/>
      <w:spacing w:line="410" w:lineRule="atLeast"/>
      <w:jc w:val="left"/>
    </w:pPr>
    <w:rPr>
      <w:rFonts w:ascii="宋体"/>
      <w:color w:val="000000"/>
      <w:kern w:val="0"/>
      <w:sz w:val="24"/>
      <w:szCs w:val="20"/>
    </w:rPr>
  </w:style>
  <w:style w:type="paragraph" w:styleId="21">
    <w:name w:val="Body Text Indent"/>
    <w:basedOn w:val="1"/>
    <w:link w:val="97"/>
    <w:qFormat/>
    <w:uiPriority w:val="0"/>
    <w:pPr>
      <w:spacing w:after="120"/>
      <w:ind w:left="420" w:leftChars="200"/>
    </w:pPr>
    <w:rPr>
      <w:rFonts w:ascii="Calibri" w:hAnsi="Calibri" w:cs="黑体"/>
    </w:rPr>
  </w:style>
  <w:style w:type="paragraph" w:styleId="22">
    <w:name w:val="List 2"/>
    <w:qFormat/>
    <w:uiPriority w:val="0"/>
    <w:pPr>
      <w:spacing w:line="400" w:lineRule="exact"/>
      <w:jc w:val="center"/>
    </w:pPr>
    <w:rPr>
      <w:rFonts w:ascii="Arial" w:hAnsi="Arial" w:eastAsia="宋体" w:cs="Times New Roman"/>
      <w:sz w:val="24"/>
      <w:lang w:val="en-US" w:eastAsia="zh-CN" w:bidi="ar-SA"/>
    </w:rPr>
  </w:style>
  <w:style w:type="paragraph" w:styleId="23">
    <w:name w:val="Block Text"/>
    <w:basedOn w:val="1"/>
    <w:qFormat/>
    <w:uiPriority w:val="0"/>
    <w:pPr>
      <w:ind w:left="1171" w:right="91" w:hanging="1080"/>
    </w:pPr>
    <w:rPr>
      <w:rFonts w:eastAsia="楷体_GB2312"/>
      <w:szCs w:val="20"/>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106"/>
    <w:qFormat/>
    <w:uiPriority w:val="0"/>
    <w:rPr>
      <w:rFonts w:ascii="宋体" w:hAnsi="Courier New" w:cs="Courier New"/>
      <w:szCs w:val="21"/>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139"/>
    <w:qFormat/>
    <w:uiPriority w:val="0"/>
    <w:rPr>
      <w:rFonts w:ascii="Calibri" w:hAnsi="Calibri" w:cs="黑体"/>
      <w:sz w:val="24"/>
      <w:szCs w:val="22"/>
    </w:rPr>
  </w:style>
  <w:style w:type="paragraph" w:styleId="29">
    <w:name w:val="Body Text Indent 2"/>
    <w:basedOn w:val="1"/>
    <w:link w:val="101"/>
    <w:qFormat/>
    <w:uiPriority w:val="0"/>
    <w:pPr>
      <w:spacing w:after="120" w:line="480" w:lineRule="auto"/>
      <w:ind w:left="420" w:leftChars="200"/>
    </w:pPr>
  </w:style>
  <w:style w:type="paragraph" w:styleId="30">
    <w:name w:val="Balloon Text"/>
    <w:basedOn w:val="1"/>
    <w:link w:val="96"/>
    <w:qFormat/>
    <w:uiPriority w:val="0"/>
    <w:rPr>
      <w:rFonts w:ascii="Calibri" w:hAnsi="Calibri" w:cs="黑体"/>
      <w:sz w:val="18"/>
      <w:szCs w:val="18"/>
    </w:rPr>
  </w:style>
  <w:style w:type="paragraph" w:styleId="31">
    <w:name w:val="footer"/>
    <w:basedOn w:val="1"/>
    <w:link w:val="62"/>
    <w:unhideWhenUsed/>
    <w:qFormat/>
    <w:uiPriority w:val="0"/>
    <w:pPr>
      <w:tabs>
        <w:tab w:val="center" w:pos="4153"/>
        <w:tab w:val="right" w:pos="8306"/>
      </w:tabs>
      <w:snapToGrid w:val="0"/>
      <w:jc w:val="left"/>
    </w:pPr>
    <w:rPr>
      <w:sz w:val="18"/>
      <w:szCs w:val="18"/>
    </w:rPr>
  </w:style>
  <w:style w:type="paragraph" w:styleId="32">
    <w:name w:val="header"/>
    <w:basedOn w:val="1"/>
    <w:link w:val="61"/>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7"/>
    <w:unhideWhenUsed/>
    <w:qFormat/>
    <w:uiPriority w:val="39"/>
  </w:style>
  <w:style w:type="paragraph" w:styleId="34">
    <w:name w:val="toc 4"/>
    <w:basedOn w:val="1"/>
    <w:next w:val="1"/>
    <w:qFormat/>
    <w:uiPriority w:val="0"/>
    <w:pPr>
      <w:ind w:left="1260" w:leftChars="600"/>
    </w:pPr>
  </w:style>
  <w:style w:type="paragraph" w:styleId="35">
    <w:name w:val="Subtitle"/>
    <w:basedOn w:val="1"/>
    <w:next w:val="1"/>
    <w:link w:val="125"/>
    <w:qFormat/>
    <w:uiPriority w:val="99"/>
    <w:pPr>
      <w:spacing w:before="240" w:after="60" w:line="312" w:lineRule="auto"/>
      <w:jc w:val="center"/>
      <w:outlineLvl w:val="1"/>
    </w:pPr>
    <w:rPr>
      <w:rFonts w:asciiTheme="minorHAnsi" w:hAnsiTheme="minorHAnsi" w:eastAsiaTheme="minorEastAsia" w:cstheme="minorBidi"/>
      <w:sz w:val="18"/>
      <w:szCs w:val="18"/>
    </w:rPr>
  </w:style>
  <w:style w:type="paragraph" w:styleId="36">
    <w:name w:val="toc 6"/>
    <w:basedOn w:val="1"/>
    <w:next w:val="1"/>
    <w:qFormat/>
    <w:uiPriority w:val="0"/>
    <w:pPr>
      <w:ind w:left="2100" w:leftChars="1000"/>
    </w:pPr>
    <w:rPr>
      <w:rFonts w:ascii="Calibri" w:hAnsi="Calibri"/>
      <w:szCs w:val="22"/>
    </w:rPr>
  </w:style>
  <w:style w:type="paragraph" w:styleId="37">
    <w:name w:val="Body Text Indent 3"/>
    <w:basedOn w:val="1"/>
    <w:link w:val="124"/>
    <w:qFormat/>
    <w:uiPriority w:val="0"/>
    <w:pPr>
      <w:spacing w:after="120"/>
      <w:ind w:left="420" w:leftChars="200"/>
    </w:pPr>
    <w:rPr>
      <w:rFonts w:ascii="Calibri" w:hAnsi="Calibri" w:cs="黑体"/>
      <w:sz w:val="16"/>
      <w:szCs w:val="16"/>
    </w:rPr>
  </w:style>
  <w:style w:type="paragraph" w:styleId="38">
    <w:name w:val="toc 2"/>
    <w:basedOn w:val="1"/>
    <w:next w:val="1"/>
    <w:qFormat/>
    <w:uiPriority w:val="39"/>
    <w:pPr>
      <w:ind w:left="420" w:leftChars="200"/>
    </w:pPr>
  </w:style>
  <w:style w:type="paragraph" w:styleId="39">
    <w:name w:val="toc 9"/>
    <w:basedOn w:val="1"/>
    <w:next w:val="1"/>
    <w:qFormat/>
    <w:uiPriority w:val="0"/>
    <w:pPr>
      <w:ind w:left="3360" w:leftChars="1600"/>
    </w:pPr>
    <w:rPr>
      <w:rFonts w:ascii="Calibri" w:hAnsi="Calibri"/>
      <w:szCs w:val="22"/>
    </w:rPr>
  </w:style>
  <w:style w:type="paragraph" w:styleId="40">
    <w:name w:val="Body Text 2"/>
    <w:basedOn w:val="1"/>
    <w:link w:val="72"/>
    <w:qFormat/>
    <w:uiPriority w:val="0"/>
    <w:pPr>
      <w:spacing w:after="120" w:line="480" w:lineRule="auto"/>
    </w:pPr>
  </w:style>
  <w:style w:type="paragraph" w:styleId="41">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3">
    <w:name w:val="index 1"/>
    <w:basedOn w:val="1"/>
    <w:next w:val="1"/>
    <w:qFormat/>
    <w:uiPriority w:val="0"/>
    <w:pPr>
      <w:spacing w:line="220" w:lineRule="exact"/>
      <w:jc w:val="center"/>
    </w:pPr>
    <w:rPr>
      <w:rFonts w:ascii="仿宋_GB2312" w:eastAsia="仿宋_GB2312"/>
      <w:szCs w:val="20"/>
    </w:rPr>
  </w:style>
  <w:style w:type="paragraph" w:styleId="44">
    <w:name w:val="Title"/>
    <w:basedOn w:val="1"/>
    <w:next w:val="1"/>
    <w:link w:val="100"/>
    <w:qFormat/>
    <w:uiPriority w:val="0"/>
    <w:pPr>
      <w:spacing w:before="240" w:after="60"/>
      <w:jc w:val="center"/>
      <w:outlineLvl w:val="0"/>
    </w:pPr>
    <w:rPr>
      <w:rFonts w:ascii="Cambria" w:hAnsi="Cambria"/>
      <w:b/>
      <w:sz w:val="32"/>
    </w:rPr>
  </w:style>
  <w:style w:type="paragraph" w:styleId="45">
    <w:name w:val="annotation subject"/>
    <w:basedOn w:val="18"/>
    <w:next w:val="18"/>
    <w:link w:val="86"/>
    <w:qFormat/>
    <w:uiPriority w:val="0"/>
    <w:rPr>
      <w:rFonts w:ascii="Calibri" w:hAnsi="Calibri" w:cs="黑体"/>
      <w:b/>
      <w:bCs/>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basedOn w:val="48"/>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Emphasis"/>
    <w:qFormat/>
    <w:uiPriority w:val="0"/>
    <w:rPr>
      <w:rFonts w:ascii="Times New Roman" w:hAnsi="Times New Roman" w:eastAsia="宋体"/>
    </w:rPr>
  </w:style>
  <w:style w:type="character" w:styleId="53">
    <w:name w:val="HTML Definition"/>
    <w:qFormat/>
    <w:uiPriority w:val="0"/>
    <w:rPr>
      <w:rFonts w:ascii="Times New Roman" w:hAnsi="Times New Roman" w:eastAsia="宋体"/>
    </w:rPr>
  </w:style>
  <w:style w:type="character" w:styleId="54">
    <w:name w:val="HTML Variable"/>
    <w:qFormat/>
    <w:uiPriority w:val="0"/>
    <w:rPr>
      <w:rFonts w:ascii="Times New Roman" w:hAnsi="Times New Roman" w:eastAsia="宋体"/>
    </w:rPr>
  </w:style>
  <w:style w:type="character" w:styleId="55">
    <w:name w:val="Hyperlink"/>
    <w:qFormat/>
    <w:uiPriority w:val="99"/>
    <w:rPr>
      <w:color w:val="136EC2"/>
      <w:u w:val="single"/>
    </w:rPr>
  </w:style>
  <w:style w:type="character" w:styleId="56">
    <w:name w:val="HTML Code"/>
    <w:qFormat/>
    <w:uiPriority w:val="0"/>
    <w:rPr>
      <w:rFonts w:ascii="Courier New" w:hAnsi="Courier New" w:eastAsia="Courier New" w:cs="Courier New"/>
      <w:sz w:val="20"/>
    </w:rPr>
  </w:style>
  <w:style w:type="character" w:styleId="57">
    <w:name w:val="annotation reference"/>
    <w:qFormat/>
    <w:uiPriority w:val="0"/>
    <w:rPr>
      <w:sz w:val="21"/>
      <w:szCs w:val="21"/>
    </w:rPr>
  </w:style>
  <w:style w:type="character" w:styleId="58">
    <w:name w:val="HTML Cite"/>
    <w:qFormat/>
    <w:uiPriority w:val="0"/>
    <w:rPr>
      <w:rFonts w:ascii="Times New Roman" w:hAnsi="Times New Roman" w:eastAsia="宋体"/>
    </w:rPr>
  </w:style>
  <w:style w:type="character" w:styleId="59">
    <w:name w:val="HTML Keyboard"/>
    <w:qFormat/>
    <w:uiPriority w:val="0"/>
    <w:rPr>
      <w:rFonts w:ascii="Courier New" w:hAnsi="Courier New" w:eastAsia="Courier New" w:cs="Courier New"/>
      <w:sz w:val="20"/>
    </w:rPr>
  </w:style>
  <w:style w:type="character" w:styleId="60">
    <w:name w:val="HTML Sample"/>
    <w:qFormat/>
    <w:uiPriority w:val="0"/>
    <w:rPr>
      <w:rFonts w:ascii="Courier New" w:hAnsi="Courier New" w:eastAsia="Courier New" w:cs="Courier New"/>
    </w:rPr>
  </w:style>
  <w:style w:type="character" w:customStyle="1" w:styleId="61">
    <w:name w:val="页眉 Char"/>
    <w:basedOn w:val="48"/>
    <w:link w:val="32"/>
    <w:qFormat/>
    <w:uiPriority w:val="0"/>
    <w:rPr>
      <w:sz w:val="18"/>
      <w:szCs w:val="18"/>
    </w:rPr>
  </w:style>
  <w:style w:type="character" w:customStyle="1" w:styleId="62">
    <w:name w:val="页脚 Char"/>
    <w:basedOn w:val="48"/>
    <w:link w:val="31"/>
    <w:qFormat/>
    <w:uiPriority w:val="0"/>
    <w:rPr>
      <w:sz w:val="18"/>
      <w:szCs w:val="18"/>
    </w:rPr>
  </w:style>
  <w:style w:type="character" w:customStyle="1" w:styleId="63">
    <w:name w:val="标题 1 Char1"/>
    <w:basedOn w:val="48"/>
    <w:link w:val="4"/>
    <w:qFormat/>
    <w:uiPriority w:val="0"/>
    <w:rPr>
      <w:rFonts w:ascii="Times New Roman" w:hAnsi="Times New Roman" w:eastAsia="宋体" w:cs="Times New Roman"/>
      <w:b/>
      <w:bCs/>
      <w:kern w:val="0"/>
      <w:sz w:val="24"/>
      <w:szCs w:val="20"/>
    </w:rPr>
  </w:style>
  <w:style w:type="character" w:customStyle="1" w:styleId="64">
    <w:name w:val="标题 2 Char1"/>
    <w:basedOn w:val="48"/>
    <w:link w:val="5"/>
    <w:qFormat/>
    <w:uiPriority w:val="0"/>
    <w:rPr>
      <w:rFonts w:ascii="Arial" w:hAnsi="Arial" w:eastAsia="宋体" w:cs="Times New Roman"/>
      <w:b/>
      <w:bCs/>
      <w:kern w:val="0"/>
      <w:sz w:val="24"/>
      <w:szCs w:val="32"/>
    </w:rPr>
  </w:style>
  <w:style w:type="character" w:customStyle="1" w:styleId="65">
    <w:name w:val="标题 3 Char1"/>
    <w:basedOn w:val="48"/>
    <w:link w:val="6"/>
    <w:qFormat/>
    <w:uiPriority w:val="0"/>
    <w:rPr>
      <w:rFonts w:ascii="Times New Roman" w:hAnsi="Times New Roman" w:eastAsia="宋体" w:cs="Times New Roman"/>
      <w:b/>
      <w:bCs/>
      <w:kern w:val="0"/>
      <w:sz w:val="32"/>
      <w:szCs w:val="32"/>
    </w:rPr>
  </w:style>
  <w:style w:type="character" w:customStyle="1" w:styleId="66">
    <w:name w:val="标题 4 Char1"/>
    <w:basedOn w:val="48"/>
    <w:link w:val="7"/>
    <w:qFormat/>
    <w:uiPriority w:val="0"/>
    <w:rPr>
      <w:rFonts w:ascii="Arial" w:hAnsi="Arial" w:eastAsia="黑体" w:cs="Times New Roman"/>
      <w:b/>
      <w:bCs/>
      <w:kern w:val="0"/>
      <w:sz w:val="28"/>
      <w:szCs w:val="28"/>
    </w:rPr>
  </w:style>
  <w:style w:type="character" w:customStyle="1" w:styleId="67">
    <w:name w:val="标题 5 Char1"/>
    <w:basedOn w:val="48"/>
    <w:link w:val="8"/>
    <w:qFormat/>
    <w:uiPriority w:val="0"/>
    <w:rPr>
      <w:rFonts w:ascii="Times New Roman" w:hAnsi="Times New Roman" w:eastAsia="宋体" w:cs="Times New Roman"/>
      <w:b/>
      <w:bCs/>
      <w:kern w:val="0"/>
      <w:sz w:val="28"/>
      <w:szCs w:val="28"/>
    </w:rPr>
  </w:style>
  <w:style w:type="character" w:customStyle="1" w:styleId="68">
    <w:name w:val="标题 6 Char1"/>
    <w:basedOn w:val="48"/>
    <w:link w:val="9"/>
    <w:qFormat/>
    <w:uiPriority w:val="0"/>
    <w:rPr>
      <w:rFonts w:ascii="Arial" w:hAnsi="Arial" w:eastAsia="黑体" w:cs="Times New Roman"/>
      <w:b/>
      <w:bCs/>
      <w:kern w:val="0"/>
      <w:sz w:val="24"/>
      <w:szCs w:val="24"/>
    </w:rPr>
  </w:style>
  <w:style w:type="character" w:customStyle="1" w:styleId="69">
    <w:name w:val="标题 7 Char1"/>
    <w:basedOn w:val="48"/>
    <w:link w:val="10"/>
    <w:qFormat/>
    <w:uiPriority w:val="0"/>
    <w:rPr>
      <w:rFonts w:ascii="Times New Roman" w:hAnsi="Times New Roman" w:eastAsia="宋体" w:cs="Times New Roman"/>
      <w:b/>
      <w:bCs/>
      <w:kern w:val="0"/>
      <w:sz w:val="24"/>
      <w:szCs w:val="24"/>
    </w:rPr>
  </w:style>
  <w:style w:type="character" w:customStyle="1" w:styleId="70">
    <w:name w:val="标题 8 Char1"/>
    <w:basedOn w:val="48"/>
    <w:link w:val="11"/>
    <w:qFormat/>
    <w:uiPriority w:val="0"/>
    <w:rPr>
      <w:rFonts w:ascii="Arial" w:hAnsi="Arial" w:eastAsia="黑体" w:cs="Times New Roman"/>
      <w:kern w:val="0"/>
      <w:sz w:val="24"/>
      <w:szCs w:val="24"/>
    </w:rPr>
  </w:style>
  <w:style w:type="character" w:customStyle="1" w:styleId="71">
    <w:name w:val="标题 9 Char1"/>
    <w:basedOn w:val="48"/>
    <w:link w:val="12"/>
    <w:qFormat/>
    <w:uiPriority w:val="0"/>
    <w:rPr>
      <w:rFonts w:ascii="Arial" w:hAnsi="Arial" w:eastAsia="黑体" w:cs="Times New Roman"/>
      <w:kern w:val="0"/>
      <w:sz w:val="20"/>
      <w:szCs w:val="21"/>
    </w:rPr>
  </w:style>
  <w:style w:type="character" w:customStyle="1" w:styleId="72">
    <w:name w:val="正文文本 2 Char"/>
    <w:basedOn w:val="48"/>
    <w:link w:val="40"/>
    <w:qFormat/>
    <w:uiPriority w:val="0"/>
    <w:rPr>
      <w:rFonts w:ascii="Times New Roman" w:hAnsi="Times New Roman" w:eastAsia="宋体" w:cs="Times New Roman"/>
      <w:szCs w:val="24"/>
    </w:rPr>
  </w:style>
  <w:style w:type="character" w:customStyle="1" w:styleId="73">
    <w:name w:val="Font Style104"/>
    <w:unhideWhenUsed/>
    <w:qFormat/>
    <w:uiPriority w:val="0"/>
    <w:rPr>
      <w:rFonts w:hint="eastAsia" w:ascii="宋体" w:hAnsi="宋体" w:eastAsia="宋体"/>
      <w:spacing w:val="30"/>
      <w:sz w:val="18"/>
    </w:rPr>
  </w:style>
  <w:style w:type="character" w:customStyle="1" w:styleId="74">
    <w:name w:val="Font Style128"/>
    <w:unhideWhenUsed/>
    <w:qFormat/>
    <w:uiPriority w:val="0"/>
    <w:rPr>
      <w:rFonts w:hint="eastAsia" w:ascii="Times New Roman" w:hAnsi="Times New Roman" w:eastAsia="Times New Roman"/>
      <w:sz w:val="16"/>
    </w:rPr>
  </w:style>
  <w:style w:type="character" w:customStyle="1" w:styleId="75">
    <w:name w:val="页脚 Char1"/>
    <w:qFormat/>
    <w:uiPriority w:val="0"/>
    <w:rPr>
      <w:rFonts w:eastAsia="宋体"/>
      <w:kern w:val="2"/>
      <w:sz w:val="18"/>
      <w:szCs w:val="18"/>
      <w:lang w:val="en-US" w:eastAsia="zh-CN" w:bidi="ar-SA"/>
    </w:rPr>
  </w:style>
  <w:style w:type="character" w:customStyle="1" w:styleId="76">
    <w:name w:val="标题 4 Char"/>
    <w:basedOn w:val="48"/>
    <w:qFormat/>
    <w:uiPriority w:val="0"/>
    <w:rPr>
      <w:rFonts w:ascii="Cambria" w:hAnsi="Cambria" w:eastAsia="宋体" w:cs="Times New Roman"/>
      <w:b/>
      <w:bCs/>
      <w:sz w:val="28"/>
      <w:szCs w:val="28"/>
    </w:rPr>
  </w:style>
  <w:style w:type="character" w:customStyle="1" w:styleId="77">
    <w:name w:val="日期 Char"/>
    <w:basedOn w:val="48"/>
    <w:qFormat/>
    <w:uiPriority w:val="0"/>
    <w:rPr>
      <w:rFonts w:ascii="Times New Roman" w:hAnsi="Times New Roman" w:eastAsia="宋体" w:cs="Times New Roman"/>
      <w:szCs w:val="24"/>
    </w:rPr>
  </w:style>
  <w:style w:type="character" w:customStyle="1" w:styleId="78">
    <w:name w:val="Font Style123"/>
    <w:unhideWhenUsed/>
    <w:qFormat/>
    <w:uiPriority w:val="0"/>
    <w:rPr>
      <w:rFonts w:hint="eastAsia" w:ascii="宋体" w:hAnsi="宋体" w:eastAsia="宋体"/>
      <w:b/>
      <w:sz w:val="32"/>
    </w:rPr>
  </w:style>
  <w:style w:type="character" w:customStyle="1" w:styleId="79">
    <w:name w:val="bds_nopic2"/>
    <w:qFormat/>
    <w:uiPriority w:val="0"/>
    <w:rPr>
      <w:rFonts w:ascii="Times New Roman" w:hAnsi="Times New Roman" w:eastAsia="宋体"/>
    </w:rPr>
  </w:style>
  <w:style w:type="character" w:customStyle="1" w:styleId="80">
    <w:name w:val="lemmatitleh12"/>
    <w:qFormat/>
    <w:uiPriority w:val="0"/>
    <w:rPr>
      <w:rFonts w:ascii="Times New Roman" w:hAnsi="Times New Roman" w:eastAsia="宋体"/>
    </w:rPr>
  </w:style>
  <w:style w:type="character" w:customStyle="1" w:styleId="81">
    <w:name w:val="Char Char13"/>
    <w:qFormat/>
    <w:uiPriority w:val="0"/>
    <w:rPr>
      <w:rFonts w:eastAsia="宋体"/>
      <w:b/>
      <w:bCs/>
      <w:kern w:val="2"/>
      <w:sz w:val="24"/>
      <w:lang w:val="en-US" w:eastAsia="zh-CN" w:bidi="ar-SA"/>
    </w:rPr>
  </w:style>
  <w:style w:type="character" w:customStyle="1" w:styleId="82">
    <w:name w:val="Font Style94"/>
    <w:unhideWhenUsed/>
    <w:qFormat/>
    <w:uiPriority w:val="0"/>
    <w:rPr>
      <w:rFonts w:hint="eastAsia" w:ascii="Times New Roman" w:hAnsi="Times New Roman" w:eastAsia="Times New Roman"/>
      <w:sz w:val="28"/>
    </w:rPr>
  </w:style>
  <w:style w:type="character" w:customStyle="1" w:styleId="83">
    <w:name w:val="Font Style125"/>
    <w:unhideWhenUsed/>
    <w:qFormat/>
    <w:uiPriority w:val="0"/>
    <w:rPr>
      <w:rFonts w:hint="eastAsia" w:ascii="宋体" w:hAnsi="宋体" w:eastAsia="宋体"/>
      <w:b/>
      <w:sz w:val="26"/>
    </w:rPr>
  </w:style>
  <w:style w:type="character" w:customStyle="1" w:styleId="84">
    <w:name w:val="Font Style133"/>
    <w:unhideWhenUsed/>
    <w:qFormat/>
    <w:uiPriority w:val="0"/>
    <w:rPr>
      <w:rFonts w:hint="eastAsia" w:ascii="宋体" w:hAnsi="宋体" w:eastAsia="宋体"/>
      <w:spacing w:val="30"/>
      <w:sz w:val="24"/>
    </w:rPr>
  </w:style>
  <w:style w:type="character" w:customStyle="1" w:styleId="85">
    <w:name w:val="polysemyred"/>
    <w:qFormat/>
    <w:uiPriority w:val="0"/>
    <w:rPr>
      <w:rFonts w:ascii="Times New Roman" w:hAnsi="Times New Roman" w:eastAsia="宋体"/>
      <w:color w:val="FF6666"/>
      <w:sz w:val="18"/>
      <w:szCs w:val="18"/>
    </w:rPr>
  </w:style>
  <w:style w:type="character" w:customStyle="1" w:styleId="86">
    <w:name w:val="批注主题 Char1"/>
    <w:link w:val="45"/>
    <w:qFormat/>
    <w:uiPriority w:val="0"/>
    <w:rPr>
      <w:rFonts w:ascii="Calibri" w:hAnsi="Calibri" w:eastAsia="宋体" w:cs="黑体"/>
      <w:b/>
      <w:bCs/>
      <w:szCs w:val="24"/>
    </w:rPr>
  </w:style>
  <w:style w:type="character" w:customStyle="1" w:styleId="87">
    <w:name w:val="p0 Char"/>
    <w:link w:val="88"/>
    <w:qFormat/>
    <w:uiPriority w:val="0"/>
    <w:rPr>
      <w:rFonts w:ascii="Calibri" w:hAnsi="Calibri" w:eastAsia="宋体" w:cs="黑体"/>
      <w:szCs w:val="21"/>
    </w:rPr>
  </w:style>
  <w:style w:type="paragraph" w:customStyle="1" w:styleId="88">
    <w:name w:val="p0"/>
    <w:basedOn w:val="1"/>
    <w:link w:val="87"/>
    <w:qFormat/>
    <w:uiPriority w:val="0"/>
    <w:pPr>
      <w:widowControl/>
    </w:pPr>
    <w:rPr>
      <w:rFonts w:ascii="Calibri" w:hAnsi="Calibri" w:cs="黑体"/>
      <w:szCs w:val="21"/>
    </w:rPr>
  </w:style>
  <w:style w:type="character" w:customStyle="1" w:styleId="89">
    <w:name w:val="Char Char12"/>
    <w:qFormat/>
    <w:uiPriority w:val="0"/>
    <w:rPr>
      <w:rFonts w:ascii="Arial" w:hAnsi="Arial" w:eastAsia="黑体"/>
      <w:b/>
      <w:bCs/>
      <w:kern w:val="2"/>
      <w:sz w:val="28"/>
      <w:szCs w:val="28"/>
      <w:lang w:val="en-US" w:eastAsia="zh-CN" w:bidi="ar-SA"/>
    </w:rPr>
  </w:style>
  <w:style w:type="character" w:customStyle="1" w:styleId="90">
    <w:name w:val="标题 4 Char Char"/>
    <w:qFormat/>
    <w:uiPriority w:val="0"/>
    <w:rPr>
      <w:rFonts w:ascii="Arial" w:hAnsi="Arial" w:eastAsia="宋体"/>
      <w:b/>
      <w:bCs/>
      <w:kern w:val="2"/>
      <w:sz w:val="21"/>
      <w:szCs w:val="28"/>
      <w:lang w:val="en-US" w:eastAsia="zh-CN" w:bidi="ar-SA"/>
    </w:rPr>
  </w:style>
  <w:style w:type="character" w:customStyle="1" w:styleId="91">
    <w:name w:val="font11"/>
    <w:basedOn w:val="48"/>
    <w:qFormat/>
    <w:uiPriority w:val="0"/>
    <w:rPr>
      <w:rFonts w:hint="eastAsia" w:ascii="宋体" w:hAnsi="宋体" w:eastAsia="宋体" w:cs="宋体"/>
      <w:color w:val="000000"/>
      <w:sz w:val="18"/>
      <w:szCs w:val="18"/>
      <w:u w:val="none"/>
    </w:rPr>
  </w:style>
  <w:style w:type="character" w:customStyle="1" w:styleId="92">
    <w:name w:val="font01"/>
    <w:basedOn w:val="48"/>
    <w:qFormat/>
    <w:uiPriority w:val="0"/>
    <w:rPr>
      <w:rFonts w:hint="eastAsia" w:ascii="宋体" w:hAnsi="宋体" w:eastAsia="宋体" w:cs="宋体"/>
      <w:color w:val="000000"/>
      <w:sz w:val="22"/>
      <w:szCs w:val="22"/>
      <w:u w:val="single"/>
    </w:rPr>
  </w:style>
  <w:style w:type="character" w:customStyle="1" w:styleId="93">
    <w:name w:val="sidecatalog-dot1"/>
    <w:qFormat/>
    <w:uiPriority w:val="0"/>
    <w:rPr>
      <w:rFonts w:ascii="Times New Roman" w:hAnsi="Times New Roman" w:eastAsia="宋体"/>
    </w:rPr>
  </w:style>
  <w:style w:type="character" w:customStyle="1" w:styleId="94">
    <w:name w:val="Font Style124"/>
    <w:unhideWhenUsed/>
    <w:qFormat/>
    <w:uiPriority w:val="0"/>
    <w:rPr>
      <w:rFonts w:hint="eastAsia" w:ascii="宋体" w:hAnsi="宋体" w:eastAsia="宋体"/>
      <w:spacing w:val="30"/>
      <w:sz w:val="24"/>
    </w:rPr>
  </w:style>
  <w:style w:type="character" w:customStyle="1" w:styleId="95">
    <w:name w:val="批注框文本 Char"/>
    <w:basedOn w:val="48"/>
    <w:qFormat/>
    <w:uiPriority w:val="0"/>
    <w:rPr>
      <w:rFonts w:ascii="Times New Roman" w:hAnsi="Times New Roman" w:eastAsia="宋体" w:cs="Times New Roman"/>
      <w:sz w:val="18"/>
      <w:szCs w:val="18"/>
    </w:rPr>
  </w:style>
  <w:style w:type="character" w:customStyle="1" w:styleId="96">
    <w:name w:val="批注框文本 Char1"/>
    <w:link w:val="30"/>
    <w:qFormat/>
    <w:locked/>
    <w:uiPriority w:val="0"/>
    <w:rPr>
      <w:rFonts w:ascii="Calibri" w:hAnsi="Calibri" w:eastAsia="宋体" w:cs="黑体"/>
      <w:sz w:val="18"/>
      <w:szCs w:val="18"/>
    </w:rPr>
  </w:style>
  <w:style w:type="character" w:customStyle="1" w:styleId="97">
    <w:name w:val="正文文本缩进 Char"/>
    <w:basedOn w:val="48"/>
    <w:link w:val="21"/>
    <w:qFormat/>
    <w:uiPriority w:val="0"/>
    <w:rPr>
      <w:rFonts w:ascii="Calibri" w:hAnsi="Calibri" w:eastAsia="宋体" w:cs="黑体"/>
      <w:szCs w:val="24"/>
    </w:rPr>
  </w:style>
  <w:style w:type="character" w:customStyle="1" w:styleId="98">
    <w:name w:val="bds_more9"/>
    <w:qFormat/>
    <w:uiPriority w:val="0"/>
    <w:rPr>
      <w:rFonts w:ascii="Times New Roman" w:hAnsi="Times New Roman" w:eastAsia="宋体"/>
    </w:rPr>
  </w:style>
  <w:style w:type="character" w:customStyle="1" w:styleId="99">
    <w:name w:val="Char Char17"/>
    <w:qFormat/>
    <w:uiPriority w:val="0"/>
    <w:rPr>
      <w:rFonts w:ascii="宋体" w:hAnsi="Times New Roman" w:eastAsia="宋体"/>
      <w:b/>
      <w:sz w:val="28"/>
      <w:lang w:val="en-US" w:eastAsia="zh-CN" w:bidi="ar-SA"/>
    </w:rPr>
  </w:style>
  <w:style w:type="character" w:customStyle="1" w:styleId="100">
    <w:name w:val="标题 Char2"/>
    <w:basedOn w:val="48"/>
    <w:link w:val="44"/>
    <w:qFormat/>
    <w:uiPriority w:val="0"/>
    <w:rPr>
      <w:rFonts w:ascii="Cambria" w:hAnsi="Cambria" w:eastAsia="宋体" w:cs="Times New Roman"/>
      <w:b/>
      <w:sz w:val="32"/>
      <w:szCs w:val="24"/>
    </w:rPr>
  </w:style>
  <w:style w:type="character" w:customStyle="1" w:styleId="101">
    <w:name w:val="正文文本缩进 2 Char"/>
    <w:basedOn w:val="48"/>
    <w:link w:val="29"/>
    <w:qFormat/>
    <w:uiPriority w:val="0"/>
    <w:rPr>
      <w:rFonts w:ascii="Times New Roman" w:hAnsi="Times New Roman" w:eastAsia="宋体" w:cs="Times New Roman"/>
      <w:szCs w:val="24"/>
    </w:rPr>
  </w:style>
  <w:style w:type="character" w:customStyle="1" w:styleId="102">
    <w:name w:val="Font Style105"/>
    <w:unhideWhenUsed/>
    <w:qFormat/>
    <w:uiPriority w:val="0"/>
    <w:rPr>
      <w:rFonts w:hint="eastAsia" w:ascii="Times New Roman" w:hAnsi="Times New Roman" w:eastAsia="Times New Roman"/>
      <w:w w:val="60"/>
      <w:sz w:val="26"/>
    </w:rPr>
  </w:style>
  <w:style w:type="character" w:customStyle="1" w:styleId="103">
    <w:name w:val="标题 6 Char"/>
    <w:basedOn w:val="48"/>
    <w:qFormat/>
    <w:uiPriority w:val="0"/>
    <w:rPr>
      <w:rFonts w:ascii="Cambria" w:hAnsi="Cambria" w:eastAsia="宋体" w:cs="Times New Roman"/>
      <w:b/>
      <w:bCs/>
      <w:sz w:val="24"/>
      <w:szCs w:val="24"/>
    </w:rPr>
  </w:style>
  <w:style w:type="character" w:customStyle="1" w:styleId="104">
    <w:name w:val="morelink-item"/>
    <w:qFormat/>
    <w:uiPriority w:val="0"/>
    <w:rPr>
      <w:rFonts w:ascii="Times New Roman" w:hAnsi="Times New Roman" w:eastAsia="宋体"/>
    </w:rPr>
  </w:style>
  <w:style w:type="character" w:customStyle="1" w:styleId="105">
    <w:name w:val="bds_more7"/>
    <w:qFormat/>
    <w:uiPriority w:val="0"/>
    <w:rPr>
      <w:rFonts w:ascii="Times New Roman" w:hAnsi="Times New Roman" w:eastAsia="宋体"/>
    </w:rPr>
  </w:style>
  <w:style w:type="character" w:customStyle="1" w:styleId="106">
    <w:name w:val="纯文本 Char2"/>
    <w:basedOn w:val="48"/>
    <w:link w:val="26"/>
    <w:qFormat/>
    <w:uiPriority w:val="0"/>
    <w:rPr>
      <w:rFonts w:ascii="宋体" w:hAnsi="Courier New" w:eastAsia="宋体" w:cs="Courier New"/>
      <w:szCs w:val="21"/>
    </w:rPr>
  </w:style>
  <w:style w:type="character" w:customStyle="1" w:styleId="107">
    <w:name w:val="Char Char16"/>
    <w:qFormat/>
    <w:uiPriority w:val="0"/>
    <w:rPr>
      <w:rFonts w:ascii="宋体" w:hAnsi="Times New Roman" w:eastAsia="宋体"/>
      <w:b/>
      <w:sz w:val="24"/>
      <w:lang w:val="en-US" w:eastAsia="zh-CN" w:bidi="ar-SA"/>
    </w:rPr>
  </w:style>
  <w:style w:type="character" w:customStyle="1" w:styleId="108">
    <w:name w:val="批注主题 Char"/>
    <w:basedOn w:val="109"/>
    <w:qFormat/>
    <w:uiPriority w:val="0"/>
    <w:rPr>
      <w:rFonts w:ascii="Times New Roman" w:hAnsi="Times New Roman" w:eastAsia="宋体" w:cs="Times New Roman"/>
      <w:b/>
      <w:bCs/>
      <w:szCs w:val="24"/>
    </w:rPr>
  </w:style>
  <w:style w:type="character" w:customStyle="1" w:styleId="109">
    <w:name w:val="批注文字 Char"/>
    <w:basedOn w:val="48"/>
    <w:link w:val="18"/>
    <w:qFormat/>
    <w:uiPriority w:val="99"/>
    <w:rPr>
      <w:rFonts w:ascii="Times New Roman" w:hAnsi="Times New Roman" w:eastAsia="宋体" w:cs="Times New Roman"/>
      <w:szCs w:val="24"/>
    </w:rPr>
  </w:style>
  <w:style w:type="character" w:customStyle="1" w:styleId="110">
    <w:name w:val="Font Style126"/>
    <w:unhideWhenUsed/>
    <w:qFormat/>
    <w:uiPriority w:val="0"/>
    <w:rPr>
      <w:rFonts w:hint="eastAsia" w:ascii="宋体" w:hAnsi="宋体" w:eastAsia="宋体"/>
      <w:b/>
      <w:spacing w:val="-30"/>
      <w:sz w:val="28"/>
    </w:rPr>
  </w:style>
  <w:style w:type="character" w:customStyle="1" w:styleId="111">
    <w:name w:val="标题 Char1"/>
    <w:qFormat/>
    <w:uiPriority w:val="0"/>
    <w:rPr>
      <w:rFonts w:ascii="Cambria" w:hAnsi="Cambria" w:eastAsia="宋体" w:cs="Times New Roman"/>
      <w:b/>
      <w:bCs/>
      <w:sz w:val="32"/>
      <w:szCs w:val="32"/>
    </w:rPr>
  </w:style>
  <w:style w:type="character" w:customStyle="1" w:styleId="112">
    <w:name w:val="plus"/>
    <w:qFormat/>
    <w:uiPriority w:val="0"/>
    <w:rPr>
      <w:rFonts w:ascii="Times New Roman" w:hAnsi="Times New Roman" w:eastAsia="宋体"/>
      <w:b/>
      <w:vanish/>
      <w:color w:val="1F8DEF"/>
      <w:sz w:val="24"/>
      <w:szCs w:val="24"/>
    </w:rPr>
  </w:style>
  <w:style w:type="character" w:customStyle="1" w:styleId="113">
    <w:name w:val="HTML 预设格式 Char"/>
    <w:basedOn w:val="48"/>
    <w:link w:val="41"/>
    <w:qFormat/>
    <w:uiPriority w:val="0"/>
    <w:rPr>
      <w:rFonts w:ascii="Arial" w:hAnsi="Arial" w:eastAsia="宋体" w:cs="Arial"/>
      <w:kern w:val="0"/>
      <w:sz w:val="24"/>
      <w:szCs w:val="24"/>
    </w:rPr>
  </w:style>
  <w:style w:type="character" w:customStyle="1" w:styleId="114">
    <w:name w:val="称呼 Char"/>
    <w:basedOn w:val="48"/>
    <w:link w:val="19"/>
    <w:qFormat/>
    <w:uiPriority w:val="0"/>
    <w:rPr>
      <w:rFonts w:ascii="仿宋_GB2312" w:hAnsi="Times New Roman" w:eastAsia="仿宋_GB2312" w:cs="Times New Roman"/>
      <w:sz w:val="24"/>
      <w:szCs w:val="24"/>
    </w:rPr>
  </w:style>
  <w:style w:type="character" w:customStyle="1" w:styleId="115">
    <w:name w:val="批注文字 Char Char"/>
    <w:qFormat/>
    <w:uiPriority w:val="0"/>
    <w:rPr>
      <w:kern w:val="2"/>
      <w:sz w:val="21"/>
      <w:szCs w:val="24"/>
      <w:lang w:bidi="ar-SA"/>
    </w:rPr>
  </w:style>
  <w:style w:type="character" w:customStyle="1" w:styleId="116">
    <w:name w:val="p0 Char Char"/>
    <w:qFormat/>
    <w:uiPriority w:val="0"/>
    <w:rPr>
      <w:rFonts w:eastAsia="宋体"/>
      <w:kern w:val="2"/>
      <w:sz w:val="21"/>
      <w:szCs w:val="21"/>
      <w:lang w:val="en-US" w:eastAsia="zh-CN" w:bidi="ar-SA"/>
    </w:rPr>
  </w:style>
  <w:style w:type="character" w:customStyle="1" w:styleId="117">
    <w:name w:val="正文文本 Char"/>
    <w:basedOn w:val="48"/>
    <w:link w:val="3"/>
    <w:qFormat/>
    <w:uiPriority w:val="99"/>
    <w:rPr>
      <w:rFonts w:ascii="Times New Roman" w:hAnsi="Times New Roman" w:eastAsia="宋体" w:cs="Times New Roman"/>
      <w:szCs w:val="24"/>
    </w:rPr>
  </w:style>
  <w:style w:type="character" w:customStyle="1" w:styleId="118">
    <w:name w:val="批注文字 Char1"/>
    <w:qFormat/>
    <w:uiPriority w:val="0"/>
    <w:rPr>
      <w:rFonts w:eastAsia="宋体"/>
      <w:kern w:val="2"/>
      <w:sz w:val="21"/>
      <w:szCs w:val="24"/>
      <w:lang w:val="en-US" w:eastAsia="zh-CN" w:bidi="ar-SA"/>
    </w:rPr>
  </w:style>
  <w:style w:type="character" w:customStyle="1" w:styleId="119">
    <w:name w:val="Font Style131"/>
    <w:unhideWhenUsed/>
    <w:qFormat/>
    <w:uiPriority w:val="0"/>
    <w:rPr>
      <w:rFonts w:hint="eastAsia" w:ascii="Times New Roman" w:hAnsi="Times New Roman" w:eastAsia="Times New Roman"/>
      <w:sz w:val="18"/>
    </w:rPr>
  </w:style>
  <w:style w:type="character" w:customStyle="1" w:styleId="120">
    <w:name w:val="Font Style127"/>
    <w:unhideWhenUsed/>
    <w:qFormat/>
    <w:uiPriority w:val="0"/>
    <w:rPr>
      <w:rFonts w:hint="eastAsia" w:ascii="Times New Roman" w:hAnsi="Times New Roman" w:eastAsia="Times New Roman"/>
      <w:sz w:val="20"/>
    </w:rPr>
  </w:style>
  <w:style w:type="character" w:customStyle="1" w:styleId="121">
    <w:name w:val="Font Style122"/>
    <w:unhideWhenUsed/>
    <w:qFormat/>
    <w:uiPriority w:val="0"/>
    <w:rPr>
      <w:rFonts w:hint="eastAsia" w:ascii="宋体" w:hAnsi="宋体" w:eastAsia="宋体"/>
      <w:spacing w:val="20"/>
      <w:sz w:val="24"/>
    </w:rPr>
  </w:style>
  <w:style w:type="character" w:customStyle="1" w:styleId="122">
    <w:name w:val="标题 3 Char"/>
    <w:basedOn w:val="48"/>
    <w:qFormat/>
    <w:uiPriority w:val="0"/>
    <w:rPr>
      <w:rFonts w:ascii="Times New Roman" w:hAnsi="Times New Roman" w:eastAsia="宋体" w:cs="Times New Roman"/>
      <w:b/>
      <w:bCs/>
      <w:sz w:val="32"/>
      <w:szCs w:val="32"/>
    </w:rPr>
  </w:style>
  <w:style w:type="character" w:customStyle="1" w:styleId="123">
    <w:name w:val="sidecatalog-dot"/>
    <w:qFormat/>
    <w:uiPriority w:val="0"/>
    <w:rPr>
      <w:rFonts w:ascii="Times New Roman" w:hAnsi="Times New Roman" w:eastAsia="宋体"/>
    </w:rPr>
  </w:style>
  <w:style w:type="character" w:customStyle="1" w:styleId="124">
    <w:name w:val="正文文本缩进 3 Char1"/>
    <w:link w:val="37"/>
    <w:qFormat/>
    <w:uiPriority w:val="0"/>
    <w:rPr>
      <w:rFonts w:ascii="Calibri" w:hAnsi="Calibri" w:eastAsia="宋体" w:cs="黑体"/>
      <w:sz w:val="16"/>
      <w:szCs w:val="16"/>
    </w:rPr>
  </w:style>
  <w:style w:type="character" w:customStyle="1" w:styleId="125">
    <w:name w:val="副标题 Char"/>
    <w:basedOn w:val="48"/>
    <w:link w:val="35"/>
    <w:qFormat/>
    <w:uiPriority w:val="99"/>
    <w:rPr>
      <w:sz w:val="18"/>
      <w:szCs w:val="18"/>
    </w:rPr>
  </w:style>
  <w:style w:type="character" w:customStyle="1" w:styleId="126">
    <w:name w:val="页码1"/>
    <w:qFormat/>
    <w:uiPriority w:val="0"/>
    <w:rPr>
      <w:lang w:val="zh-TW" w:eastAsia="zh-TW"/>
    </w:rPr>
  </w:style>
  <w:style w:type="character" w:customStyle="1" w:styleId="127">
    <w:name w:val="文档结构图 Char"/>
    <w:basedOn w:val="48"/>
    <w:link w:val="16"/>
    <w:qFormat/>
    <w:uiPriority w:val="0"/>
    <w:rPr>
      <w:rFonts w:ascii="Times New Roman" w:hAnsi="Times New Roman" w:eastAsia="宋体" w:cs="Times New Roman"/>
      <w:szCs w:val="24"/>
      <w:shd w:val="clear" w:color="auto" w:fill="000080"/>
    </w:rPr>
  </w:style>
  <w:style w:type="character" w:customStyle="1" w:styleId="128">
    <w:name w:val="标题 1 Char"/>
    <w:basedOn w:val="48"/>
    <w:qFormat/>
    <w:uiPriority w:val="0"/>
    <w:rPr>
      <w:rFonts w:ascii="Times New Roman" w:hAnsi="Times New Roman" w:eastAsia="宋体" w:cs="Times New Roman"/>
      <w:b/>
      <w:bCs/>
      <w:kern w:val="44"/>
      <w:sz w:val="44"/>
      <w:szCs w:val="44"/>
    </w:rPr>
  </w:style>
  <w:style w:type="character" w:customStyle="1" w:styleId="129">
    <w:name w:val="bds_nopic"/>
    <w:qFormat/>
    <w:uiPriority w:val="0"/>
    <w:rPr>
      <w:rFonts w:ascii="Times New Roman" w:hAnsi="Times New Roman" w:eastAsia="宋体"/>
    </w:rPr>
  </w:style>
  <w:style w:type="character" w:customStyle="1" w:styleId="130">
    <w:name w:val="Font Style116"/>
    <w:unhideWhenUsed/>
    <w:qFormat/>
    <w:uiPriority w:val="0"/>
    <w:rPr>
      <w:rFonts w:hint="eastAsia" w:ascii="宋体" w:hAnsi="宋体" w:eastAsia="宋体"/>
      <w:spacing w:val="-20"/>
      <w:sz w:val="24"/>
    </w:rPr>
  </w:style>
  <w:style w:type="character" w:customStyle="1" w:styleId="131">
    <w:name w:val="标题 2 Char"/>
    <w:basedOn w:val="48"/>
    <w:qFormat/>
    <w:uiPriority w:val="0"/>
    <w:rPr>
      <w:rFonts w:ascii="Cambria" w:hAnsi="Cambria" w:eastAsia="宋体" w:cs="Times New Roman"/>
      <w:b/>
      <w:bCs/>
      <w:sz w:val="32"/>
      <w:szCs w:val="32"/>
    </w:rPr>
  </w:style>
  <w:style w:type="character" w:customStyle="1" w:styleId="132">
    <w:name w:val="纯文本 Char1"/>
    <w:basedOn w:val="48"/>
    <w:qFormat/>
    <w:uiPriority w:val="0"/>
    <w:rPr>
      <w:rFonts w:ascii="宋体" w:hAnsi="Courier New" w:eastAsia="宋体" w:cs="Courier New"/>
      <w:kern w:val="2"/>
      <w:sz w:val="21"/>
      <w:szCs w:val="21"/>
    </w:rPr>
  </w:style>
  <w:style w:type="character" w:customStyle="1" w:styleId="133">
    <w:name w:val="Font Style117"/>
    <w:unhideWhenUsed/>
    <w:qFormat/>
    <w:uiPriority w:val="0"/>
    <w:rPr>
      <w:rFonts w:hint="eastAsia" w:ascii="宋体" w:hAnsi="宋体" w:eastAsia="宋体"/>
      <w:spacing w:val="20"/>
      <w:sz w:val="24"/>
    </w:rPr>
  </w:style>
  <w:style w:type="character" w:customStyle="1" w:styleId="134">
    <w:name w:val="正文文本缩进 3 Char"/>
    <w:basedOn w:val="48"/>
    <w:qFormat/>
    <w:uiPriority w:val="0"/>
    <w:rPr>
      <w:rFonts w:ascii="Times New Roman" w:hAnsi="Times New Roman" w:eastAsia="宋体" w:cs="Times New Roman"/>
      <w:sz w:val="16"/>
      <w:szCs w:val="16"/>
    </w:rPr>
  </w:style>
  <w:style w:type="character" w:customStyle="1" w:styleId="135">
    <w:name w:val="Font Style90"/>
    <w:unhideWhenUsed/>
    <w:qFormat/>
    <w:uiPriority w:val="0"/>
    <w:rPr>
      <w:rFonts w:hint="eastAsia" w:ascii="宋体" w:hAnsi="宋体" w:eastAsia="宋体"/>
      <w:b/>
      <w:spacing w:val="-20"/>
      <w:sz w:val="40"/>
    </w:rPr>
  </w:style>
  <w:style w:type="character" w:customStyle="1" w:styleId="136">
    <w:name w:val="sidecatalog-index2"/>
    <w:qFormat/>
    <w:uiPriority w:val="0"/>
    <w:rPr>
      <w:rFonts w:ascii="Arail" w:hAnsi="Arail" w:eastAsia="Arail" w:cs="Arail"/>
      <w:color w:val="999999"/>
      <w:sz w:val="21"/>
      <w:szCs w:val="21"/>
    </w:rPr>
  </w:style>
  <w:style w:type="character" w:customStyle="1" w:styleId="137">
    <w:name w:val="标题 Char"/>
    <w:basedOn w:val="48"/>
    <w:qFormat/>
    <w:uiPriority w:val="0"/>
    <w:rPr>
      <w:rFonts w:ascii="Cambria" w:hAnsi="Cambria" w:eastAsia="宋体" w:cs="Times New Roman"/>
      <w:b/>
      <w:bCs/>
      <w:sz w:val="32"/>
      <w:szCs w:val="32"/>
    </w:rPr>
  </w:style>
  <w:style w:type="character" w:customStyle="1" w:styleId="138">
    <w:name w:val="font41"/>
    <w:basedOn w:val="48"/>
    <w:qFormat/>
    <w:uiPriority w:val="0"/>
    <w:rPr>
      <w:rFonts w:hint="eastAsia" w:ascii="宋体" w:hAnsi="宋体" w:eastAsia="宋体" w:cs="宋体"/>
      <w:color w:val="000000"/>
      <w:sz w:val="22"/>
      <w:szCs w:val="22"/>
      <w:u w:val="single"/>
    </w:rPr>
  </w:style>
  <w:style w:type="character" w:customStyle="1" w:styleId="139">
    <w:name w:val="日期 Char1"/>
    <w:link w:val="28"/>
    <w:qFormat/>
    <w:uiPriority w:val="0"/>
    <w:rPr>
      <w:rFonts w:ascii="Calibri" w:hAnsi="Calibri" w:eastAsia="宋体" w:cs="黑体"/>
      <w:sz w:val="24"/>
    </w:rPr>
  </w:style>
  <w:style w:type="character" w:customStyle="1" w:styleId="140">
    <w:name w:val="Font Style86"/>
    <w:unhideWhenUsed/>
    <w:qFormat/>
    <w:uiPriority w:val="0"/>
    <w:rPr>
      <w:rFonts w:hint="eastAsia" w:ascii="黑体" w:hAnsi="黑体" w:eastAsia="黑体"/>
      <w:spacing w:val="10"/>
      <w:sz w:val="30"/>
    </w:rPr>
  </w:style>
  <w:style w:type="character" w:customStyle="1" w:styleId="141">
    <w:name w:val="Font Style121"/>
    <w:unhideWhenUsed/>
    <w:qFormat/>
    <w:uiPriority w:val="0"/>
    <w:rPr>
      <w:rFonts w:hint="eastAsia" w:ascii="宋体" w:hAnsi="宋体" w:eastAsia="宋体"/>
      <w:spacing w:val="-10"/>
      <w:sz w:val="30"/>
    </w:rPr>
  </w:style>
  <w:style w:type="character" w:customStyle="1" w:styleId="142">
    <w:name w:val="Font Style134"/>
    <w:unhideWhenUsed/>
    <w:qFormat/>
    <w:uiPriority w:val="0"/>
    <w:rPr>
      <w:rFonts w:hint="eastAsia" w:ascii="宋体" w:hAnsi="宋体" w:eastAsia="宋体"/>
      <w:spacing w:val="20"/>
      <w:sz w:val="22"/>
    </w:rPr>
  </w:style>
  <w:style w:type="character" w:customStyle="1" w:styleId="143">
    <w:name w:val="页眉 Char1"/>
    <w:qFormat/>
    <w:uiPriority w:val="0"/>
    <w:rPr>
      <w:rFonts w:eastAsia="宋体"/>
      <w:kern w:val="2"/>
      <w:sz w:val="18"/>
      <w:szCs w:val="18"/>
      <w:lang w:val="en-US" w:eastAsia="zh-CN" w:bidi="ar-SA"/>
    </w:rPr>
  </w:style>
  <w:style w:type="character" w:customStyle="1" w:styleId="144">
    <w:name w:val="sort"/>
    <w:qFormat/>
    <w:uiPriority w:val="0"/>
    <w:rPr>
      <w:rFonts w:ascii="Times New Roman" w:hAnsi="Times New Roman" w:eastAsia="宋体"/>
      <w:color w:val="FFFFFF"/>
      <w:bdr w:val="single" w:color="auto" w:sz="24" w:space="0"/>
    </w:rPr>
  </w:style>
  <w:style w:type="character" w:customStyle="1" w:styleId="145">
    <w:name w:val="Font Style115"/>
    <w:unhideWhenUsed/>
    <w:qFormat/>
    <w:uiPriority w:val="0"/>
    <w:rPr>
      <w:rFonts w:hint="eastAsia" w:ascii="Times New Roman" w:hAnsi="Times New Roman" w:eastAsia="Times New Roman"/>
      <w:sz w:val="16"/>
    </w:rPr>
  </w:style>
  <w:style w:type="character" w:customStyle="1" w:styleId="146">
    <w:name w:val="bds_more6"/>
    <w:qFormat/>
    <w:uiPriority w:val="0"/>
    <w:rPr>
      <w:rFonts w:hint="eastAsia" w:ascii="宋体" w:hAnsi="宋体" w:eastAsia="宋体" w:cs="宋体"/>
    </w:rPr>
  </w:style>
  <w:style w:type="character" w:customStyle="1" w:styleId="147">
    <w:name w:val="标题 8 Char"/>
    <w:basedOn w:val="48"/>
    <w:qFormat/>
    <w:uiPriority w:val="0"/>
    <w:rPr>
      <w:rFonts w:ascii="Cambria" w:hAnsi="Cambria" w:eastAsia="宋体" w:cs="Times New Roman"/>
      <w:sz w:val="24"/>
      <w:szCs w:val="24"/>
    </w:rPr>
  </w:style>
  <w:style w:type="character" w:customStyle="1" w:styleId="148">
    <w:name w:val="正文文本 3 Char"/>
    <w:basedOn w:val="48"/>
    <w:link w:val="20"/>
    <w:qFormat/>
    <w:uiPriority w:val="0"/>
    <w:rPr>
      <w:rFonts w:ascii="宋体" w:hAnsi="Times New Roman" w:eastAsia="宋体" w:cs="Times New Roman"/>
      <w:color w:val="000000"/>
      <w:kern w:val="0"/>
      <w:sz w:val="24"/>
      <w:szCs w:val="20"/>
    </w:rPr>
  </w:style>
  <w:style w:type="character" w:customStyle="1" w:styleId="149">
    <w:name w:val="font71"/>
    <w:basedOn w:val="48"/>
    <w:qFormat/>
    <w:uiPriority w:val="0"/>
    <w:rPr>
      <w:rFonts w:hint="eastAsia" w:ascii="宋体" w:hAnsi="宋体" w:eastAsia="宋体" w:cs="宋体"/>
      <w:b/>
      <w:color w:val="000000"/>
      <w:sz w:val="22"/>
      <w:szCs w:val="22"/>
      <w:u w:val="none"/>
    </w:rPr>
  </w:style>
  <w:style w:type="character" w:customStyle="1" w:styleId="150">
    <w:name w:val="font21"/>
    <w:basedOn w:val="48"/>
    <w:qFormat/>
    <w:uiPriority w:val="0"/>
    <w:rPr>
      <w:rFonts w:hint="eastAsia" w:ascii="宋体" w:hAnsi="宋体" w:eastAsia="宋体" w:cs="宋体"/>
      <w:color w:val="000000"/>
      <w:sz w:val="18"/>
      <w:szCs w:val="18"/>
      <w:u w:val="none"/>
    </w:rPr>
  </w:style>
  <w:style w:type="character" w:customStyle="1" w:styleId="151">
    <w:name w:val="标题 9 Char"/>
    <w:basedOn w:val="48"/>
    <w:qFormat/>
    <w:uiPriority w:val="0"/>
    <w:rPr>
      <w:rFonts w:ascii="Cambria" w:hAnsi="Cambria" w:eastAsia="宋体" w:cs="Times New Roman"/>
      <w:szCs w:val="21"/>
    </w:rPr>
  </w:style>
  <w:style w:type="character" w:customStyle="1" w:styleId="152">
    <w:name w:val="Char Char14"/>
    <w:qFormat/>
    <w:uiPriority w:val="0"/>
    <w:rPr>
      <w:rFonts w:ascii="Arial" w:hAnsi="Arial" w:eastAsia="黑体"/>
      <w:b/>
      <w:bCs/>
      <w:sz w:val="28"/>
      <w:szCs w:val="28"/>
      <w:lang w:val="en-US" w:eastAsia="zh-CN" w:bidi="ar-SA"/>
    </w:rPr>
  </w:style>
  <w:style w:type="character" w:customStyle="1" w:styleId="153">
    <w:name w:val="Font Style119"/>
    <w:unhideWhenUsed/>
    <w:qFormat/>
    <w:uiPriority w:val="0"/>
    <w:rPr>
      <w:rFonts w:hint="eastAsia" w:ascii="宋体" w:hAnsi="宋体" w:eastAsia="宋体"/>
      <w:sz w:val="24"/>
    </w:rPr>
  </w:style>
  <w:style w:type="character" w:customStyle="1" w:styleId="154">
    <w:name w:val="标题 5 Char"/>
    <w:basedOn w:val="48"/>
    <w:qFormat/>
    <w:uiPriority w:val="0"/>
    <w:rPr>
      <w:rFonts w:ascii="Times New Roman" w:hAnsi="Times New Roman" w:eastAsia="宋体" w:cs="Times New Roman"/>
      <w:b/>
      <w:bCs/>
      <w:sz w:val="28"/>
      <w:szCs w:val="28"/>
    </w:rPr>
  </w:style>
  <w:style w:type="character" w:customStyle="1" w:styleId="155">
    <w:name w:val="Char Char15"/>
    <w:qFormat/>
    <w:uiPriority w:val="0"/>
    <w:rPr>
      <w:b/>
      <w:bCs/>
      <w:sz w:val="24"/>
      <w:szCs w:val="24"/>
    </w:rPr>
  </w:style>
  <w:style w:type="character" w:customStyle="1" w:styleId="156">
    <w:name w:val="polysemyexp"/>
    <w:qFormat/>
    <w:uiPriority w:val="0"/>
    <w:rPr>
      <w:rFonts w:ascii="Times New Roman" w:hAnsi="Times New Roman" w:eastAsia="宋体"/>
      <w:color w:val="AAAAAA"/>
      <w:sz w:val="18"/>
      <w:szCs w:val="18"/>
    </w:rPr>
  </w:style>
  <w:style w:type="character" w:customStyle="1" w:styleId="157">
    <w:name w:val="bds_nopic1"/>
    <w:qFormat/>
    <w:uiPriority w:val="0"/>
    <w:rPr>
      <w:rFonts w:ascii="Times New Roman" w:hAnsi="Times New Roman" w:eastAsia="宋体"/>
    </w:rPr>
  </w:style>
  <w:style w:type="character" w:customStyle="1" w:styleId="158">
    <w:name w:val="bds_more8"/>
    <w:qFormat/>
    <w:uiPriority w:val="0"/>
    <w:rPr>
      <w:rFonts w:ascii="Times New Roman" w:hAnsi="Times New Roman" w:eastAsia="宋体"/>
    </w:rPr>
  </w:style>
  <w:style w:type="character" w:customStyle="1" w:styleId="159">
    <w:name w:val="sort1"/>
    <w:qFormat/>
    <w:uiPriority w:val="0"/>
    <w:rPr>
      <w:rFonts w:ascii="Times New Roman" w:hAnsi="Times New Roman" w:eastAsia="宋体"/>
    </w:rPr>
  </w:style>
  <w:style w:type="character" w:customStyle="1" w:styleId="160">
    <w:name w:val="bds_more10"/>
    <w:qFormat/>
    <w:uiPriority w:val="0"/>
    <w:rPr>
      <w:rFonts w:ascii="Times New Roman" w:hAnsi="Times New Roman" w:eastAsia="宋体"/>
    </w:rPr>
  </w:style>
  <w:style w:type="character" w:customStyle="1" w:styleId="161">
    <w:name w:val="sidecatalog-index1"/>
    <w:qFormat/>
    <w:uiPriority w:val="0"/>
    <w:rPr>
      <w:rFonts w:ascii="Arial" w:hAnsi="Arial" w:eastAsia="宋体" w:cs="Arial"/>
      <w:b/>
      <w:color w:val="999999"/>
      <w:sz w:val="21"/>
      <w:szCs w:val="21"/>
    </w:rPr>
  </w:style>
  <w:style w:type="character" w:customStyle="1" w:styleId="162">
    <w:name w:val="标题 7 Char"/>
    <w:basedOn w:val="48"/>
    <w:qFormat/>
    <w:uiPriority w:val="0"/>
    <w:rPr>
      <w:rFonts w:ascii="Times New Roman" w:hAnsi="Times New Roman" w:eastAsia="宋体" w:cs="Times New Roman"/>
      <w:b/>
      <w:bCs/>
      <w:sz w:val="24"/>
      <w:szCs w:val="24"/>
    </w:rPr>
  </w:style>
  <w:style w:type="character" w:customStyle="1" w:styleId="163">
    <w:name w:val="desc"/>
    <w:qFormat/>
    <w:uiPriority w:val="0"/>
    <w:rPr>
      <w:rFonts w:ascii="Times New Roman" w:hAnsi="Times New Roman" w:eastAsia="宋体"/>
      <w:color w:val="000000"/>
      <w:sz w:val="18"/>
      <w:szCs w:val="18"/>
    </w:rPr>
  </w:style>
  <w:style w:type="character" w:customStyle="1" w:styleId="164">
    <w:name w:val="正文文本缩进 2 字符1"/>
    <w:basedOn w:val="48"/>
    <w:semiHidden/>
    <w:qFormat/>
    <w:uiPriority w:val="99"/>
    <w:rPr>
      <w:rFonts w:ascii="Times New Roman" w:hAnsi="Times New Roman" w:eastAsia="宋体" w:cs="Times New Roman"/>
      <w:szCs w:val="24"/>
    </w:rPr>
  </w:style>
  <w:style w:type="character" w:customStyle="1" w:styleId="165">
    <w:name w:val="正文文本缩进 字符1"/>
    <w:basedOn w:val="48"/>
    <w:semiHidden/>
    <w:qFormat/>
    <w:uiPriority w:val="99"/>
    <w:rPr>
      <w:rFonts w:ascii="Times New Roman" w:hAnsi="Times New Roman" w:eastAsia="宋体" w:cs="Times New Roman"/>
      <w:szCs w:val="24"/>
    </w:rPr>
  </w:style>
  <w:style w:type="character" w:customStyle="1" w:styleId="166">
    <w:name w:val="正文文本 3 字符1"/>
    <w:basedOn w:val="48"/>
    <w:semiHidden/>
    <w:qFormat/>
    <w:uiPriority w:val="99"/>
    <w:rPr>
      <w:rFonts w:ascii="Times New Roman" w:hAnsi="Times New Roman" w:eastAsia="宋体" w:cs="Times New Roman"/>
      <w:sz w:val="16"/>
      <w:szCs w:val="16"/>
    </w:rPr>
  </w:style>
  <w:style w:type="character" w:customStyle="1" w:styleId="167">
    <w:name w:val="称呼 字符1"/>
    <w:basedOn w:val="48"/>
    <w:semiHidden/>
    <w:qFormat/>
    <w:uiPriority w:val="99"/>
    <w:rPr>
      <w:rFonts w:ascii="Times New Roman" w:hAnsi="Times New Roman" w:eastAsia="宋体" w:cs="Times New Roman"/>
      <w:szCs w:val="24"/>
    </w:rPr>
  </w:style>
  <w:style w:type="character" w:customStyle="1" w:styleId="168">
    <w:name w:val="批注框文本 字符1"/>
    <w:basedOn w:val="48"/>
    <w:semiHidden/>
    <w:qFormat/>
    <w:uiPriority w:val="99"/>
    <w:rPr>
      <w:rFonts w:ascii="Times New Roman" w:hAnsi="Times New Roman" w:eastAsia="宋体" w:cs="Times New Roman"/>
      <w:sz w:val="18"/>
      <w:szCs w:val="18"/>
    </w:rPr>
  </w:style>
  <w:style w:type="character" w:customStyle="1" w:styleId="169">
    <w:name w:val="正文文本缩进 3 字符1"/>
    <w:basedOn w:val="48"/>
    <w:semiHidden/>
    <w:qFormat/>
    <w:uiPriority w:val="99"/>
    <w:rPr>
      <w:rFonts w:ascii="Times New Roman" w:hAnsi="Times New Roman" w:eastAsia="宋体" w:cs="Times New Roman"/>
      <w:sz w:val="16"/>
      <w:szCs w:val="16"/>
    </w:rPr>
  </w:style>
  <w:style w:type="character" w:customStyle="1" w:styleId="170">
    <w:name w:val="文档结构图 字符1"/>
    <w:basedOn w:val="48"/>
    <w:semiHidden/>
    <w:qFormat/>
    <w:uiPriority w:val="99"/>
    <w:rPr>
      <w:rFonts w:ascii="Microsoft YaHei UI" w:hAnsi="Times New Roman" w:eastAsia="Microsoft YaHei UI" w:cs="Times New Roman"/>
      <w:sz w:val="18"/>
      <w:szCs w:val="18"/>
    </w:rPr>
  </w:style>
  <w:style w:type="character" w:customStyle="1" w:styleId="171">
    <w:name w:val="日期 字符1"/>
    <w:basedOn w:val="48"/>
    <w:semiHidden/>
    <w:qFormat/>
    <w:uiPriority w:val="99"/>
    <w:rPr>
      <w:rFonts w:ascii="Times New Roman" w:hAnsi="Times New Roman" w:eastAsia="宋体" w:cs="Times New Roman"/>
      <w:szCs w:val="24"/>
    </w:rPr>
  </w:style>
  <w:style w:type="character" w:customStyle="1" w:styleId="172">
    <w:name w:val="正文文本 字符1"/>
    <w:basedOn w:val="48"/>
    <w:semiHidden/>
    <w:qFormat/>
    <w:uiPriority w:val="99"/>
    <w:rPr>
      <w:rFonts w:ascii="Times New Roman" w:hAnsi="Times New Roman" w:eastAsia="宋体" w:cs="Times New Roman"/>
      <w:szCs w:val="24"/>
    </w:rPr>
  </w:style>
  <w:style w:type="character" w:customStyle="1" w:styleId="173">
    <w:name w:val="批注文字 字符1"/>
    <w:basedOn w:val="48"/>
    <w:semiHidden/>
    <w:qFormat/>
    <w:uiPriority w:val="99"/>
    <w:rPr>
      <w:rFonts w:ascii="Times New Roman" w:hAnsi="Times New Roman" w:eastAsia="宋体" w:cs="Times New Roman"/>
      <w:szCs w:val="24"/>
    </w:rPr>
  </w:style>
  <w:style w:type="character" w:customStyle="1" w:styleId="174">
    <w:name w:val="HTML 预设格式 字符1"/>
    <w:basedOn w:val="48"/>
    <w:semiHidden/>
    <w:qFormat/>
    <w:uiPriority w:val="99"/>
    <w:rPr>
      <w:rFonts w:ascii="Courier New" w:hAnsi="Courier New" w:eastAsia="宋体" w:cs="Courier New"/>
      <w:sz w:val="20"/>
      <w:szCs w:val="20"/>
    </w:rPr>
  </w:style>
  <w:style w:type="character" w:customStyle="1" w:styleId="175">
    <w:name w:val="正文首行缩进 Char"/>
    <w:basedOn w:val="172"/>
    <w:link w:val="2"/>
    <w:qFormat/>
    <w:uiPriority w:val="0"/>
    <w:rPr>
      <w:rFonts w:ascii="Times New Roman" w:hAnsi="Times New Roman" w:eastAsia="宋体" w:cs="Times New Roman"/>
      <w:szCs w:val="24"/>
    </w:rPr>
  </w:style>
  <w:style w:type="character" w:customStyle="1" w:styleId="176">
    <w:name w:val="正文文本 2 字符1"/>
    <w:basedOn w:val="48"/>
    <w:semiHidden/>
    <w:qFormat/>
    <w:uiPriority w:val="99"/>
    <w:rPr>
      <w:rFonts w:ascii="Times New Roman" w:hAnsi="Times New Roman" w:eastAsia="宋体" w:cs="Times New Roman"/>
      <w:szCs w:val="24"/>
    </w:rPr>
  </w:style>
  <w:style w:type="character" w:customStyle="1" w:styleId="177">
    <w:name w:val="副标题 字符1"/>
    <w:basedOn w:val="48"/>
    <w:qFormat/>
    <w:uiPriority w:val="11"/>
    <w:rPr>
      <w:b/>
      <w:bCs/>
      <w:kern w:val="28"/>
      <w:sz w:val="32"/>
      <w:szCs w:val="32"/>
    </w:rPr>
  </w:style>
  <w:style w:type="character" w:customStyle="1" w:styleId="178">
    <w:name w:val="批注主题 字符1"/>
    <w:basedOn w:val="173"/>
    <w:semiHidden/>
    <w:qFormat/>
    <w:uiPriority w:val="99"/>
    <w:rPr>
      <w:rFonts w:ascii="Times New Roman" w:hAnsi="Times New Roman" w:eastAsia="宋体" w:cs="Times New Roman"/>
      <w:b/>
      <w:bCs/>
      <w:szCs w:val="24"/>
    </w:rPr>
  </w:style>
  <w:style w:type="character" w:customStyle="1" w:styleId="179">
    <w:name w:val="标题 字符1"/>
    <w:basedOn w:val="48"/>
    <w:qFormat/>
    <w:uiPriority w:val="10"/>
    <w:rPr>
      <w:rFonts w:asciiTheme="majorHAnsi" w:hAnsiTheme="majorHAnsi" w:eastAsiaTheme="majorEastAsia" w:cstheme="majorBidi"/>
      <w:b/>
      <w:bCs/>
      <w:sz w:val="32"/>
      <w:szCs w:val="32"/>
    </w:rPr>
  </w:style>
  <w:style w:type="character" w:customStyle="1" w:styleId="180">
    <w:name w:val="纯文本 字符1"/>
    <w:basedOn w:val="48"/>
    <w:semiHidden/>
    <w:qFormat/>
    <w:uiPriority w:val="99"/>
    <w:rPr>
      <w:rFonts w:hAnsi="Courier New" w:cs="Courier New" w:asciiTheme="minorEastAsia"/>
      <w:szCs w:val="24"/>
    </w:rPr>
  </w:style>
  <w:style w:type="paragraph" w:customStyle="1" w:styleId="181">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82">
    <w:name w:val="Char Char Char"/>
    <w:basedOn w:val="1"/>
    <w:qFormat/>
    <w:uiPriority w:val="0"/>
    <w:rPr>
      <w:rFonts w:ascii="宋体" w:hAnsi="宋体"/>
      <w:b/>
      <w:sz w:val="28"/>
      <w:szCs w:val="28"/>
    </w:rPr>
  </w:style>
  <w:style w:type="paragraph" w:customStyle="1" w:styleId="183">
    <w:name w:val="Style29"/>
    <w:basedOn w:val="1"/>
    <w:unhideWhenUsed/>
    <w:qFormat/>
    <w:uiPriority w:val="0"/>
    <w:pPr>
      <w:spacing w:line="547" w:lineRule="exact"/>
      <w:ind w:firstLine="547"/>
    </w:pPr>
  </w:style>
  <w:style w:type="paragraph" w:customStyle="1" w:styleId="184">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5">
    <w:name w:val="Style13"/>
    <w:basedOn w:val="1"/>
    <w:unhideWhenUsed/>
    <w:qFormat/>
    <w:uiPriority w:val="0"/>
  </w:style>
  <w:style w:type="paragraph" w:customStyle="1" w:styleId="186">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7">
    <w:name w:val="正文缩进2"/>
    <w:basedOn w:val="1"/>
    <w:qFormat/>
    <w:uiPriority w:val="0"/>
    <w:pPr>
      <w:tabs>
        <w:tab w:val="left" w:pos="720"/>
      </w:tabs>
      <w:ind w:left="624" w:hanging="624"/>
      <w:textAlignment w:val="baseline"/>
    </w:pPr>
    <w:rPr>
      <w:rFonts w:hint="eastAsia" w:ascii="宋体"/>
    </w:rPr>
  </w:style>
  <w:style w:type="paragraph" w:customStyle="1" w:styleId="188">
    <w:name w:val="Style23"/>
    <w:basedOn w:val="1"/>
    <w:unhideWhenUsed/>
    <w:qFormat/>
    <w:uiPriority w:val="0"/>
  </w:style>
  <w:style w:type="paragraph" w:customStyle="1" w:styleId="189">
    <w:name w:val="Style81"/>
    <w:basedOn w:val="1"/>
    <w:unhideWhenUsed/>
    <w:qFormat/>
    <w:uiPriority w:val="0"/>
    <w:pPr>
      <w:spacing w:line="547" w:lineRule="exact"/>
    </w:pPr>
  </w:style>
  <w:style w:type="paragraph" w:customStyle="1" w:styleId="190">
    <w:name w:val="Style73"/>
    <w:basedOn w:val="1"/>
    <w:unhideWhenUsed/>
    <w:qFormat/>
    <w:uiPriority w:val="0"/>
    <w:pPr>
      <w:spacing w:line="538" w:lineRule="exact"/>
      <w:ind w:firstLine="533"/>
    </w:pPr>
  </w:style>
  <w:style w:type="paragraph" w:customStyle="1" w:styleId="191">
    <w:name w:val="Style47"/>
    <w:basedOn w:val="1"/>
    <w:unhideWhenUsed/>
    <w:qFormat/>
    <w:uiPriority w:val="0"/>
  </w:style>
  <w:style w:type="paragraph" w:customStyle="1" w:styleId="192">
    <w:name w:val="标题 33"/>
    <w:basedOn w:val="1"/>
    <w:next w:val="1"/>
    <w:qFormat/>
    <w:uiPriority w:val="0"/>
    <w:pPr>
      <w:framePr w:wrap="around" w:vAnchor="margin" w:hAnchor="text" w:y="1"/>
      <w:widowControl/>
      <w:spacing w:line="300" w:lineRule="auto"/>
      <w:jc w:val="left"/>
      <w:outlineLvl w:val="2"/>
    </w:pPr>
    <w:rPr>
      <w:rFonts w:ascii="宋体" w:hAnsi="宋体" w:eastAsia="Arial Unicode MS"/>
      <w:snapToGrid w:val="0"/>
      <w:kern w:val="0"/>
      <w:sz w:val="24"/>
      <w:lang w:eastAsia="en-US"/>
    </w:rPr>
  </w:style>
  <w:style w:type="paragraph" w:customStyle="1" w:styleId="193">
    <w:name w:val="Style77"/>
    <w:basedOn w:val="1"/>
    <w:unhideWhenUsed/>
    <w:qFormat/>
    <w:uiPriority w:val="0"/>
  </w:style>
  <w:style w:type="paragraph" w:customStyle="1" w:styleId="194">
    <w:name w:val="Style8"/>
    <w:basedOn w:val="1"/>
    <w:unhideWhenUsed/>
    <w:qFormat/>
    <w:uiPriority w:val="0"/>
    <w:pPr>
      <w:spacing w:line="566" w:lineRule="exact"/>
      <w:jc w:val="center"/>
    </w:pPr>
  </w:style>
  <w:style w:type="paragraph" w:customStyle="1" w:styleId="195">
    <w:name w:val="纯文本1"/>
    <w:qFormat/>
    <w:uiPriority w:val="99"/>
    <w:pPr>
      <w:framePr w:wrap="around" w:vAnchor="margin" w:hAnchor="text" w:y="1"/>
      <w:widowControl w:val="0"/>
      <w:jc w:val="both"/>
    </w:pPr>
    <w:rPr>
      <w:rFonts w:ascii="宋体" w:hAnsi="宋体" w:eastAsia="宋体" w:cs="宋体"/>
      <w:color w:val="000000"/>
      <w:kern w:val="2"/>
      <w:sz w:val="21"/>
      <w:szCs w:val="21"/>
      <w:u w:color="000000"/>
      <w:lang w:val="en-US" w:eastAsia="zh-CN" w:bidi="ar-SA"/>
    </w:rPr>
  </w:style>
  <w:style w:type="paragraph" w:customStyle="1" w:styleId="196">
    <w:name w:val="Char1 Char Char Char Char Char Char Char Char Char"/>
    <w:basedOn w:val="1"/>
    <w:qFormat/>
    <w:uiPriority w:val="0"/>
    <w:rPr>
      <w:szCs w:val="20"/>
    </w:rPr>
  </w:style>
  <w:style w:type="paragraph" w:customStyle="1" w:styleId="197">
    <w:name w:val="_Style 1"/>
    <w:basedOn w:val="1"/>
    <w:qFormat/>
    <w:uiPriority w:val="34"/>
    <w:pPr>
      <w:ind w:firstLine="420" w:firstLineChars="200"/>
    </w:pPr>
    <w:rPr>
      <w:rFonts w:ascii="Calibri" w:hAnsi="Calibri" w:cs="黑体"/>
    </w:rPr>
  </w:style>
  <w:style w:type="paragraph" w:customStyle="1" w:styleId="198">
    <w:name w:val="_Style 39"/>
    <w:basedOn w:val="199"/>
    <w:qFormat/>
    <w:uiPriority w:val="0"/>
  </w:style>
  <w:style w:type="paragraph" w:customStyle="1" w:styleId="19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Style24"/>
    <w:basedOn w:val="1"/>
    <w:unhideWhenUsed/>
    <w:qFormat/>
    <w:uiPriority w:val="0"/>
  </w:style>
  <w:style w:type="paragraph" w:customStyle="1" w:styleId="201">
    <w:name w:val="Style34"/>
    <w:basedOn w:val="1"/>
    <w:unhideWhenUsed/>
    <w:qFormat/>
    <w:uiPriority w:val="0"/>
    <w:pPr>
      <w:spacing w:line="375" w:lineRule="exact"/>
    </w:pPr>
  </w:style>
  <w:style w:type="paragraph" w:customStyle="1" w:styleId="202">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03">
    <w:name w:val="Style69"/>
    <w:basedOn w:val="1"/>
    <w:unhideWhenUsed/>
    <w:qFormat/>
    <w:uiPriority w:val="0"/>
    <w:pPr>
      <w:spacing w:line="557" w:lineRule="exact"/>
      <w:ind w:firstLine="1666"/>
    </w:pPr>
  </w:style>
  <w:style w:type="paragraph" w:customStyle="1" w:styleId="204">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205">
    <w:name w:val="表格内容"/>
    <w:basedOn w:val="3"/>
    <w:qFormat/>
    <w:uiPriority w:val="0"/>
    <w:pPr>
      <w:suppressLineNumbers/>
      <w:suppressAutoHyphens/>
      <w:jc w:val="left"/>
    </w:pPr>
    <w:rPr>
      <w:rFonts w:cs="Tahoma"/>
      <w:kern w:val="0"/>
      <w:sz w:val="24"/>
    </w:rPr>
  </w:style>
  <w:style w:type="paragraph" w:customStyle="1" w:styleId="206">
    <w:name w:val="Style54"/>
    <w:basedOn w:val="1"/>
    <w:unhideWhenUsed/>
    <w:qFormat/>
    <w:uiPriority w:val="0"/>
  </w:style>
  <w:style w:type="paragraph" w:customStyle="1" w:styleId="207">
    <w:name w:val="标题 31"/>
    <w:basedOn w:val="1"/>
    <w:next w:val="208"/>
    <w:qFormat/>
    <w:uiPriority w:val="0"/>
    <w:pPr>
      <w:spacing w:before="60" w:line="300" w:lineRule="auto"/>
      <w:outlineLvl w:val="2"/>
    </w:pPr>
    <w:rPr>
      <w:rFonts w:ascii="宋体" w:hAnsi="宋体"/>
      <w:snapToGrid w:val="0"/>
      <w:kern w:val="0"/>
      <w:sz w:val="24"/>
    </w:rPr>
  </w:style>
  <w:style w:type="paragraph" w:customStyle="1" w:styleId="208">
    <w:name w:val="正文缩进3"/>
    <w:basedOn w:val="1"/>
    <w:qFormat/>
    <w:uiPriority w:val="0"/>
    <w:pPr>
      <w:tabs>
        <w:tab w:val="left" w:pos="720"/>
      </w:tabs>
      <w:ind w:left="624" w:hanging="624"/>
      <w:textAlignment w:val="baseline"/>
    </w:pPr>
    <w:rPr>
      <w:rFonts w:hint="eastAsia" w:ascii="宋体"/>
    </w:rPr>
  </w:style>
  <w:style w:type="paragraph" w:customStyle="1" w:styleId="209">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10">
    <w:name w:val="样式 标题 2 + Times New Roman 四号 非加粗 段前: 5 磅 段后: 0 磅 行距: 固定值 20..."/>
    <w:basedOn w:val="5"/>
    <w:qFormat/>
    <w:uiPriority w:val="0"/>
    <w:pPr>
      <w:spacing w:before="100" w:line="400" w:lineRule="exact"/>
    </w:pPr>
    <w:rPr>
      <w:rFonts w:ascii="Times New Roman" w:hAnsi="Times New Roman" w:eastAsia="黑体"/>
      <w:b w:val="0"/>
      <w:bCs w:val="0"/>
      <w:sz w:val="28"/>
      <w:szCs w:val="20"/>
    </w:rPr>
  </w:style>
  <w:style w:type="paragraph" w:customStyle="1" w:styleId="211">
    <w:name w:val="Style21"/>
    <w:basedOn w:val="1"/>
    <w:unhideWhenUsed/>
    <w:qFormat/>
    <w:uiPriority w:val="0"/>
    <w:pPr>
      <w:spacing w:line="566" w:lineRule="exact"/>
      <w:ind w:firstLine="682"/>
    </w:pPr>
  </w:style>
  <w:style w:type="paragraph" w:customStyle="1" w:styleId="212">
    <w:name w:val="正文文本缩进 21"/>
    <w:basedOn w:val="1"/>
    <w:qFormat/>
    <w:uiPriority w:val="0"/>
    <w:pPr>
      <w:framePr w:wrap="around" w:vAnchor="margin" w:hAnchor="text" w:y="1"/>
      <w:widowControl/>
      <w:ind w:left="1021"/>
      <w:jc w:val="left"/>
    </w:pPr>
    <w:rPr>
      <w:rFonts w:ascii="宋体" w:eastAsia="Arial Unicode MS"/>
      <w:color w:val="000000"/>
      <w:kern w:val="0"/>
      <w:sz w:val="24"/>
      <w:lang w:eastAsia="en-US"/>
    </w:rPr>
  </w:style>
  <w:style w:type="paragraph" w:customStyle="1" w:styleId="213">
    <w:name w:val="Style12"/>
    <w:basedOn w:val="1"/>
    <w:unhideWhenUsed/>
    <w:qFormat/>
    <w:uiPriority w:val="0"/>
    <w:pPr>
      <w:spacing w:line="564" w:lineRule="exact"/>
      <w:ind w:hanging="115"/>
    </w:pPr>
  </w:style>
  <w:style w:type="paragraph" w:customStyle="1" w:styleId="214">
    <w:name w:val="Style58"/>
    <w:basedOn w:val="1"/>
    <w:unhideWhenUsed/>
    <w:qFormat/>
    <w:uiPriority w:val="0"/>
    <w:pPr>
      <w:spacing w:line="413" w:lineRule="exact"/>
    </w:pPr>
  </w:style>
  <w:style w:type="paragraph" w:customStyle="1" w:styleId="215">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6">
    <w:name w:val="默认段落字体 Para Char Char Char Char Char Char Char Char Char Char Char Char Char Char Char Char Char Char Char"/>
    <w:basedOn w:val="1"/>
    <w:qFormat/>
    <w:uiPriority w:val="0"/>
  </w:style>
  <w:style w:type="paragraph" w:customStyle="1" w:styleId="217">
    <w:name w:val="p16"/>
    <w:basedOn w:val="1"/>
    <w:qFormat/>
    <w:uiPriority w:val="0"/>
    <w:pPr>
      <w:widowControl/>
      <w:jc w:val="left"/>
    </w:pPr>
    <w:rPr>
      <w:kern w:val="0"/>
      <w:szCs w:val="21"/>
    </w:rPr>
  </w:style>
  <w:style w:type="paragraph" w:customStyle="1" w:styleId="218">
    <w:name w:val="Char Char1 Char Char Char"/>
    <w:basedOn w:val="1"/>
    <w:qFormat/>
    <w:uiPriority w:val="0"/>
    <w:rPr>
      <w:kern w:val="0"/>
      <w:sz w:val="20"/>
      <w:szCs w:val="20"/>
    </w:rPr>
  </w:style>
  <w:style w:type="paragraph" w:customStyle="1" w:styleId="219">
    <w:name w:val="Style42"/>
    <w:basedOn w:val="1"/>
    <w:unhideWhenUsed/>
    <w:qFormat/>
    <w:uiPriority w:val="0"/>
    <w:pPr>
      <w:spacing w:line="542" w:lineRule="exact"/>
      <w:ind w:firstLine="547"/>
    </w:pPr>
  </w:style>
  <w:style w:type="paragraph" w:customStyle="1" w:styleId="220">
    <w:name w:val="Style11"/>
    <w:basedOn w:val="1"/>
    <w:unhideWhenUsed/>
    <w:qFormat/>
    <w:uiPriority w:val="0"/>
    <w:pPr>
      <w:spacing w:line="559" w:lineRule="exact"/>
      <w:ind w:firstLine="590"/>
    </w:pPr>
  </w:style>
  <w:style w:type="paragraph" w:customStyle="1" w:styleId="221">
    <w:name w:val="Style27"/>
    <w:basedOn w:val="1"/>
    <w:unhideWhenUsed/>
    <w:qFormat/>
    <w:uiPriority w:val="0"/>
  </w:style>
  <w:style w:type="paragraph" w:customStyle="1" w:styleId="222">
    <w:name w:val="1"/>
    <w:basedOn w:val="1"/>
    <w:qFormat/>
    <w:uiPriority w:val="0"/>
    <w:pPr>
      <w:spacing w:afterLines="50" w:line="360" w:lineRule="auto"/>
    </w:pPr>
    <w:rPr>
      <w:rFonts w:ascii="宋体" w:hAnsi="宋体"/>
      <w:b/>
      <w:sz w:val="30"/>
      <w:szCs w:val="21"/>
    </w:rPr>
  </w:style>
  <w:style w:type="paragraph" w:customStyle="1" w:styleId="223">
    <w:name w:val="标题 311"/>
    <w:basedOn w:val="1"/>
    <w:next w:val="224"/>
    <w:qFormat/>
    <w:uiPriority w:val="0"/>
    <w:pPr>
      <w:spacing w:line="300" w:lineRule="auto"/>
      <w:outlineLvl w:val="2"/>
    </w:pPr>
    <w:rPr>
      <w:rFonts w:hint="eastAsia" w:ascii="宋体" w:hAnsi="宋体"/>
      <w:snapToGrid w:val="0"/>
      <w:kern w:val="0"/>
      <w:sz w:val="24"/>
      <w:szCs w:val="22"/>
    </w:rPr>
  </w:style>
  <w:style w:type="paragraph" w:customStyle="1" w:styleId="224">
    <w:name w:val="正文缩进1"/>
    <w:basedOn w:val="1"/>
    <w:qFormat/>
    <w:uiPriority w:val="0"/>
    <w:pPr>
      <w:tabs>
        <w:tab w:val="left" w:pos="720"/>
      </w:tabs>
      <w:ind w:left="624" w:hanging="624"/>
      <w:textAlignment w:val="baseline"/>
    </w:pPr>
    <w:rPr>
      <w:rFonts w:hint="eastAsia" w:ascii="宋体" w:hAnsi="Calibri" w:cs="黑体"/>
      <w:szCs w:val="22"/>
    </w:rPr>
  </w:style>
  <w:style w:type="paragraph" w:customStyle="1" w:styleId="225">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226">
    <w:name w:val="Style68"/>
    <w:basedOn w:val="1"/>
    <w:unhideWhenUsed/>
    <w:qFormat/>
    <w:uiPriority w:val="0"/>
    <w:pPr>
      <w:spacing w:line="547" w:lineRule="exact"/>
    </w:pPr>
  </w:style>
  <w:style w:type="paragraph" w:customStyle="1" w:styleId="227">
    <w:name w:val="Char1 Char Char Char"/>
    <w:basedOn w:val="1"/>
    <w:qFormat/>
    <w:uiPriority w:val="0"/>
    <w:pPr>
      <w:widowControl/>
      <w:spacing w:after="160" w:line="240" w:lineRule="exact"/>
      <w:jc w:val="left"/>
    </w:pPr>
    <w:rPr>
      <w:kern w:val="0"/>
      <w:sz w:val="24"/>
      <w:szCs w:val="20"/>
    </w:rPr>
  </w:style>
  <w:style w:type="paragraph" w:customStyle="1" w:styleId="228">
    <w:name w:val="Style46"/>
    <w:basedOn w:val="1"/>
    <w:unhideWhenUsed/>
    <w:qFormat/>
    <w:uiPriority w:val="0"/>
    <w:pPr>
      <w:spacing w:line="672" w:lineRule="exact"/>
    </w:pPr>
  </w:style>
  <w:style w:type="paragraph" w:customStyle="1" w:styleId="229">
    <w:name w:val="Style67"/>
    <w:basedOn w:val="1"/>
    <w:unhideWhenUsed/>
    <w:qFormat/>
    <w:uiPriority w:val="0"/>
    <w:pPr>
      <w:spacing w:line="566" w:lineRule="exact"/>
      <w:ind w:firstLine="552"/>
    </w:pPr>
  </w:style>
  <w:style w:type="paragraph" w:customStyle="1" w:styleId="230">
    <w:name w:val="Char1 Char Char Char 字元 Char Char 字元 Char 字元 Char1 Char Char Char"/>
    <w:basedOn w:val="1"/>
    <w:qFormat/>
    <w:uiPriority w:val="0"/>
    <w:rPr>
      <w:szCs w:val="20"/>
    </w:rPr>
  </w:style>
  <w:style w:type="paragraph" w:customStyle="1" w:styleId="231">
    <w:name w:val="Style50"/>
    <w:basedOn w:val="1"/>
    <w:unhideWhenUsed/>
    <w:qFormat/>
    <w:uiPriority w:val="0"/>
  </w:style>
  <w:style w:type="paragraph" w:customStyle="1" w:styleId="232">
    <w:name w:val="Style41"/>
    <w:basedOn w:val="1"/>
    <w:unhideWhenUsed/>
    <w:qFormat/>
    <w:uiPriority w:val="0"/>
    <w:pPr>
      <w:spacing w:line="542" w:lineRule="exact"/>
      <w:ind w:firstLine="125"/>
    </w:pPr>
  </w:style>
  <w:style w:type="paragraph" w:customStyle="1" w:styleId="233">
    <w:name w:val="Style62"/>
    <w:basedOn w:val="1"/>
    <w:unhideWhenUsed/>
    <w:qFormat/>
    <w:uiPriority w:val="0"/>
  </w:style>
  <w:style w:type="paragraph" w:customStyle="1" w:styleId="23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35">
    <w:name w:val="Style5"/>
    <w:basedOn w:val="1"/>
    <w:unhideWhenUsed/>
    <w:qFormat/>
    <w:uiPriority w:val="0"/>
  </w:style>
  <w:style w:type="paragraph" w:customStyle="1" w:styleId="236">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7">
    <w:name w:val="Style15"/>
    <w:basedOn w:val="1"/>
    <w:unhideWhenUsed/>
    <w:qFormat/>
    <w:uiPriority w:val="0"/>
    <w:pPr>
      <w:spacing w:line="557" w:lineRule="exact"/>
      <w:ind w:firstLine="672"/>
    </w:pPr>
  </w:style>
  <w:style w:type="paragraph" w:customStyle="1" w:styleId="238">
    <w:name w:val="正文文本 21"/>
    <w:basedOn w:val="1"/>
    <w:qFormat/>
    <w:uiPriority w:val="0"/>
    <w:pPr>
      <w:framePr w:wrap="around" w:vAnchor="margin" w:hAnchor="text" w:y="1"/>
      <w:widowControl/>
      <w:tabs>
        <w:tab w:val="left" w:pos="560"/>
        <w:tab w:val="center" w:pos="8400"/>
      </w:tabs>
      <w:jc w:val="left"/>
    </w:pPr>
    <w:rPr>
      <w:rFonts w:eastAsia="Arial Unicode MS"/>
      <w:kern w:val="0"/>
      <w:sz w:val="24"/>
      <w:lang w:eastAsia="en-US"/>
    </w:rPr>
  </w:style>
  <w:style w:type="paragraph" w:customStyle="1" w:styleId="239">
    <w:name w:val="列出段落1"/>
    <w:basedOn w:val="1"/>
    <w:qFormat/>
    <w:uiPriority w:val="99"/>
    <w:pPr>
      <w:ind w:firstLine="420" w:firstLineChars="200"/>
    </w:pPr>
    <w:rPr>
      <w:rFonts w:ascii="Calibri" w:hAnsi="Calibri" w:cs="Calibri"/>
      <w:szCs w:val="21"/>
    </w:rPr>
  </w:style>
  <w:style w:type="paragraph" w:customStyle="1" w:styleId="240">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41">
    <w:name w:val="Style44"/>
    <w:basedOn w:val="1"/>
    <w:unhideWhenUsed/>
    <w:qFormat/>
    <w:uiPriority w:val="0"/>
  </w:style>
  <w:style w:type="paragraph" w:customStyle="1" w:styleId="242">
    <w:name w:val="Char Char1 Char Char Char Char Char1 Char Char Char Char"/>
    <w:basedOn w:val="16"/>
    <w:qFormat/>
    <w:uiPriority w:val="0"/>
    <w:rPr>
      <w:rFonts w:ascii="Tahoma" w:hAnsi="Tahoma"/>
    </w:rPr>
  </w:style>
  <w:style w:type="paragraph" w:customStyle="1" w:styleId="243">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244">
    <w:name w:val="标题2"/>
    <w:basedOn w:val="44"/>
    <w:qFormat/>
    <w:uiPriority w:val="0"/>
    <w:pPr>
      <w:spacing w:after="240"/>
      <w:jc w:val="left"/>
    </w:pPr>
    <w:rPr>
      <w:sz w:val="30"/>
    </w:rPr>
  </w:style>
  <w:style w:type="paragraph" w:customStyle="1" w:styleId="245">
    <w:name w:val="Style52"/>
    <w:basedOn w:val="1"/>
    <w:unhideWhenUsed/>
    <w:qFormat/>
    <w:uiPriority w:val="0"/>
    <w:pPr>
      <w:spacing w:line="682" w:lineRule="exact"/>
      <w:ind w:firstLine="557"/>
    </w:pPr>
  </w:style>
  <w:style w:type="paragraph" w:customStyle="1" w:styleId="246">
    <w:name w:val="标题 11"/>
    <w:basedOn w:val="1"/>
    <w:next w:val="1"/>
    <w:qFormat/>
    <w:uiPriority w:val="0"/>
    <w:pPr>
      <w:numPr>
        <w:ilvl w:val="0"/>
        <w:numId w:val="1"/>
      </w:numPr>
      <w:tabs>
        <w:tab w:val="left" w:pos="470"/>
      </w:tabs>
      <w:outlineLvl w:val="0"/>
    </w:pPr>
    <w:rPr>
      <w:rFonts w:ascii="Calibri" w:hAnsi="Calibri" w:cs="黑体"/>
      <w:b/>
      <w:sz w:val="24"/>
      <w:szCs w:val="22"/>
    </w:rPr>
  </w:style>
  <w:style w:type="paragraph" w:customStyle="1" w:styleId="247">
    <w:name w:val="Style53"/>
    <w:basedOn w:val="1"/>
    <w:unhideWhenUsed/>
    <w:qFormat/>
    <w:uiPriority w:val="0"/>
    <w:pPr>
      <w:spacing w:line="533" w:lineRule="exact"/>
      <w:ind w:firstLine="581"/>
    </w:pPr>
  </w:style>
  <w:style w:type="paragraph" w:customStyle="1" w:styleId="248">
    <w:name w:val="Style56"/>
    <w:basedOn w:val="1"/>
    <w:unhideWhenUsed/>
    <w:qFormat/>
    <w:uiPriority w:val="0"/>
  </w:style>
  <w:style w:type="paragraph" w:customStyle="1" w:styleId="249">
    <w:name w:val="Style9"/>
    <w:basedOn w:val="1"/>
    <w:unhideWhenUsed/>
    <w:qFormat/>
    <w:uiPriority w:val="0"/>
  </w:style>
  <w:style w:type="paragraph" w:customStyle="1" w:styleId="250">
    <w:name w:val="列出段落2"/>
    <w:basedOn w:val="1"/>
    <w:qFormat/>
    <w:uiPriority w:val="0"/>
    <w:pPr>
      <w:ind w:firstLine="420" w:firstLineChars="200"/>
    </w:pPr>
    <w:rPr>
      <w:rFonts w:ascii="Calibri" w:hAnsi="Calibri"/>
      <w:szCs w:val="22"/>
    </w:rPr>
  </w:style>
  <w:style w:type="paragraph" w:customStyle="1" w:styleId="251">
    <w:name w:val="1 Char Char Char Char"/>
    <w:basedOn w:val="1"/>
    <w:qFormat/>
    <w:uiPriority w:val="0"/>
  </w:style>
  <w:style w:type="paragraph" w:customStyle="1" w:styleId="252">
    <w:name w:val="标题 1 +"/>
    <w:basedOn w:val="4"/>
    <w:next w:val="1"/>
    <w:qFormat/>
    <w:uiPriority w:val="0"/>
    <w:pPr>
      <w:keepLines/>
      <w:spacing w:line="600" w:lineRule="auto"/>
    </w:pPr>
    <w:rPr>
      <w:rFonts w:eastAsia="黑体"/>
      <w:sz w:val="32"/>
      <w:szCs w:val="32"/>
    </w:rPr>
  </w:style>
  <w:style w:type="paragraph" w:customStyle="1" w:styleId="253">
    <w:name w:val="Style59"/>
    <w:basedOn w:val="1"/>
    <w:unhideWhenUsed/>
    <w:qFormat/>
    <w:uiPriority w:val="0"/>
  </w:style>
  <w:style w:type="paragraph" w:customStyle="1" w:styleId="254">
    <w:name w:val="标题 41"/>
    <w:basedOn w:val="1"/>
    <w:next w:val="224"/>
    <w:qFormat/>
    <w:uiPriority w:val="0"/>
    <w:pPr>
      <w:tabs>
        <w:tab w:val="left" w:pos="1021"/>
        <w:tab w:val="left" w:pos="1175"/>
      </w:tabs>
      <w:ind w:left="2" w:firstLine="2"/>
      <w:outlineLvl w:val="3"/>
    </w:pPr>
    <w:rPr>
      <w:snapToGrid w:val="0"/>
      <w:color w:val="000000"/>
      <w:kern w:val="0"/>
      <w:sz w:val="24"/>
      <w:szCs w:val="22"/>
    </w:rPr>
  </w:style>
  <w:style w:type="paragraph" w:customStyle="1" w:styleId="255">
    <w:name w:val="Style16"/>
    <w:basedOn w:val="1"/>
    <w:unhideWhenUsed/>
    <w:qFormat/>
    <w:uiPriority w:val="0"/>
    <w:pPr>
      <w:jc w:val="right"/>
    </w:pPr>
  </w:style>
  <w:style w:type="paragraph" w:customStyle="1" w:styleId="256">
    <w:name w:val="Style4"/>
    <w:basedOn w:val="1"/>
    <w:unhideWhenUsed/>
    <w:qFormat/>
    <w:uiPriority w:val="0"/>
  </w:style>
  <w:style w:type="paragraph" w:customStyle="1" w:styleId="257">
    <w:name w:val="Style63"/>
    <w:basedOn w:val="1"/>
    <w:unhideWhenUsed/>
    <w:qFormat/>
    <w:uiPriority w:val="0"/>
    <w:pPr>
      <w:spacing w:line="564" w:lineRule="exact"/>
      <w:ind w:firstLine="682"/>
    </w:pPr>
  </w:style>
  <w:style w:type="paragraph" w:customStyle="1" w:styleId="258">
    <w:name w:val="标题3"/>
    <w:basedOn w:val="4"/>
    <w:qFormat/>
    <w:uiPriority w:val="0"/>
    <w:pPr>
      <w:spacing w:beforeLines="50" w:afterLines="50" w:line="400" w:lineRule="exact"/>
      <w:jc w:val="both"/>
    </w:pPr>
    <w:rPr>
      <w:rFonts w:ascii="宋体" w:hAnsi="宋体"/>
      <w:kern w:val="32"/>
      <w:szCs w:val="32"/>
    </w:rPr>
  </w:style>
  <w:style w:type="paragraph" w:customStyle="1" w:styleId="259">
    <w:name w:val="Style26"/>
    <w:basedOn w:val="1"/>
    <w:unhideWhenUsed/>
    <w:qFormat/>
    <w:uiPriority w:val="0"/>
  </w:style>
  <w:style w:type="paragraph" w:customStyle="1" w:styleId="260">
    <w:name w:val="Style64"/>
    <w:basedOn w:val="1"/>
    <w:unhideWhenUsed/>
    <w:qFormat/>
    <w:uiPriority w:val="0"/>
  </w:style>
  <w:style w:type="paragraph" w:customStyle="1" w:styleId="261">
    <w:name w:val="Style48"/>
    <w:basedOn w:val="1"/>
    <w:unhideWhenUsed/>
    <w:qFormat/>
    <w:uiPriority w:val="0"/>
    <w:pPr>
      <w:spacing w:line="542" w:lineRule="exact"/>
      <w:jc w:val="right"/>
    </w:pPr>
  </w:style>
  <w:style w:type="paragraph" w:customStyle="1" w:styleId="262">
    <w:name w:val="Style70"/>
    <w:basedOn w:val="1"/>
    <w:unhideWhenUsed/>
    <w:qFormat/>
    <w:uiPriority w:val="0"/>
    <w:pPr>
      <w:spacing w:line="549" w:lineRule="exact"/>
      <w:ind w:firstLine="686"/>
    </w:pPr>
  </w:style>
  <w:style w:type="paragraph" w:customStyle="1" w:styleId="263">
    <w:name w:val="Style78"/>
    <w:basedOn w:val="1"/>
    <w:unhideWhenUsed/>
    <w:qFormat/>
    <w:uiPriority w:val="0"/>
  </w:style>
  <w:style w:type="paragraph" w:customStyle="1" w:styleId="264">
    <w:name w:val="Style60"/>
    <w:basedOn w:val="1"/>
    <w:unhideWhenUsed/>
    <w:qFormat/>
    <w:uiPriority w:val="0"/>
    <w:pPr>
      <w:spacing w:line="566" w:lineRule="exact"/>
    </w:pPr>
  </w:style>
  <w:style w:type="paragraph" w:customStyle="1" w:styleId="265">
    <w:name w:val="NO3"/>
    <w:basedOn w:val="1"/>
    <w:qFormat/>
    <w:uiPriority w:val="0"/>
    <w:pPr>
      <w:tabs>
        <w:tab w:val="left" w:pos="907"/>
      </w:tabs>
      <w:spacing w:line="360" w:lineRule="auto"/>
    </w:pPr>
    <w:rPr>
      <w:rFonts w:ascii="宋体" w:hAnsi="宋体"/>
      <w:sz w:val="24"/>
    </w:rPr>
  </w:style>
  <w:style w:type="paragraph" w:customStyle="1" w:styleId="266">
    <w:name w:val="Char"/>
    <w:basedOn w:val="1"/>
    <w:qFormat/>
    <w:uiPriority w:val="0"/>
    <w:pPr>
      <w:tabs>
        <w:tab w:val="left" w:pos="360"/>
      </w:tabs>
      <w:ind w:left="360" w:hanging="360" w:hangingChars="200"/>
    </w:pPr>
    <w:rPr>
      <w:sz w:val="24"/>
    </w:rPr>
  </w:style>
  <w:style w:type="paragraph" w:customStyle="1" w:styleId="267">
    <w:name w:val="附录标识"/>
    <w:basedOn w:val="209"/>
    <w:qFormat/>
    <w:uiPriority w:val="0"/>
    <w:pPr>
      <w:tabs>
        <w:tab w:val="left" w:pos="6405"/>
        <w:tab w:val="clear" w:pos="360"/>
        <w:tab w:val="clear" w:pos="720"/>
      </w:tabs>
      <w:spacing w:after="200"/>
    </w:pPr>
    <w:rPr>
      <w:sz w:val="21"/>
    </w:rPr>
  </w:style>
  <w:style w:type="paragraph" w:customStyle="1" w:styleId="268">
    <w:name w:val="正文 A"/>
    <w:qFormat/>
    <w:uiPriority w:val="0"/>
    <w:pPr>
      <w:framePr w:wrap="around" w:vAnchor="margin" w:hAnchor="text" w:y="1"/>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269">
    <w:name w:val="Style74"/>
    <w:basedOn w:val="1"/>
    <w:unhideWhenUsed/>
    <w:qFormat/>
    <w:uiPriority w:val="0"/>
    <w:pPr>
      <w:spacing w:line="437" w:lineRule="exact"/>
    </w:pPr>
  </w:style>
  <w:style w:type="paragraph" w:customStyle="1" w:styleId="270">
    <w:name w:val="Style36"/>
    <w:basedOn w:val="1"/>
    <w:unhideWhenUsed/>
    <w:qFormat/>
    <w:uiPriority w:val="0"/>
  </w:style>
  <w:style w:type="paragraph" w:customStyle="1" w:styleId="271">
    <w:name w:val="Style61"/>
    <w:basedOn w:val="1"/>
    <w:unhideWhenUsed/>
    <w:qFormat/>
    <w:uiPriority w:val="0"/>
  </w:style>
  <w:style w:type="paragraph" w:customStyle="1" w:styleId="272">
    <w:name w:val="标题 21"/>
    <w:basedOn w:val="1"/>
    <w:next w:val="224"/>
    <w:qFormat/>
    <w:uiPriority w:val="0"/>
    <w:pPr>
      <w:spacing w:line="300" w:lineRule="auto"/>
      <w:outlineLvl w:val="1"/>
    </w:pPr>
    <w:rPr>
      <w:rFonts w:hint="eastAsia" w:ascii="宋体" w:hAnsi="宋体"/>
      <w:b/>
      <w:snapToGrid w:val="0"/>
      <w:kern w:val="0"/>
      <w:sz w:val="28"/>
      <w:szCs w:val="22"/>
    </w:rPr>
  </w:style>
  <w:style w:type="paragraph" w:customStyle="1" w:styleId="273">
    <w:name w:val="Style76"/>
    <w:basedOn w:val="1"/>
    <w:unhideWhenUsed/>
    <w:qFormat/>
    <w:uiPriority w:val="0"/>
  </w:style>
  <w:style w:type="paragraph" w:customStyle="1" w:styleId="274">
    <w:name w:val="列表段落1"/>
    <w:basedOn w:val="1"/>
    <w:qFormat/>
    <w:uiPriority w:val="0"/>
    <w:pPr>
      <w:ind w:firstLine="420" w:firstLineChars="200"/>
    </w:pPr>
  </w:style>
  <w:style w:type="paragraph" w:customStyle="1" w:styleId="275">
    <w:name w:val="修订1"/>
    <w:qFormat/>
    <w:uiPriority w:val="0"/>
    <w:rPr>
      <w:rFonts w:ascii="Times New Roman" w:hAnsi="Times New Roman" w:eastAsia="宋体" w:cs="Times New Roman"/>
      <w:kern w:val="2"/>
      <w:sz w:val="21"/>
      <w:szCs w:val="24"/>
      <w:lang w:val="en-US" w:eastAsia="zh-CN" w:bidi="ar-SA"/>
    </w:rPr>
  </w:style>
  <w:style w:type="paragraph" w:customStyle="1" w:styleId="27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77">
    <w:name w:val="_Style 7"/>
    <w:basedOn w:val="1"/>
    <w:qFormat/>
    <w:uiPriority w:val="0"/>
    <w:pPr>
      <w:ind w:firstLine="420" w:firstLineChars="200"/>
    </w:pPr>
    <w:rPr>
      <w:rFonts w:ascii="Calibri" w:hAnsi="Calibri" w:cs="黑体"/>
    </w:rPr>
  </w:style>
  <w:style w:type="paragraph" w:customStyle="1" w:styleId="278">
    <w:name w:val="Char Char1 Char Char Char Char Char Char Char"/>
    <w:basedOn w:val="1"/>
    <w:qFormat/>
    <w:uiPriority w:val="0"/>
    <w:pPr>
      <w:widowControl/>
      <w:spacing w:after="160" w:line="240" w:lineRule="exact"/>
      <w:jc w:val="left"/>
    </w:pPr>
  </w:style>
  <w:style w:type="paragraph" w:customStyle="1" w:styleId="27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81">
    <w:name w:val="Style10"/>
    <w:basedOn w:val="1"/>
    <w:unhideWhenUsed/>
    <w:qFormat/>
    <w:uiPriority w:val="0"/>
    <w:pPr>
      <w:spacing w:line="538" w:lineRule="exact"/>
    </w:pPr>
  </w:style>
  <w:style w:type="paragraph" w:customStyle="1" w:styleId="282">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83">
    <w:name w:val="Style72"/>
    <w:basedOn w:val="1"/>
    <w:unhideWhenUsed/>
    <w:qFormat/>
    <w:uiPriority w:val="0"/>
  </w:style>
  <w:style w:type="paragraph" w:customStyle="1" w:styleId="284">
    <w:name w:val="Style45"/>
    <w:basedOn w:val="1"/>
    <w:unhideWhenUsed/>
    <w:qFormat/>
    <w:uiPriority w:val="0"/>
  </w:style>
  <w:style w:type="paragraph" w:customStyle="1" w:styleId="285">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86">
    <w:name w:val="Style80"/>
    <w:basedOn w:val="1"/>
    <w:unhideWhenUsed/>
    <w:qFormat/>
    <w:uiPriority w:val="0"/>
  </w:style>
  <w:style w:type="paragraph" w:customStyle="1" w:styleId="287">
    <w:name w:val="Style71"/>
    <w:basedOn w:val="1"/>
    <w:unhideWhenUsed/>
    <w:qFormat/>
    <w:uiPriority w:val="0"/>
    <w:pPr>
      <w:spacing w:line="538" w:lineRule="exact"/>
      <w:ind w:firstLine="101"/>
    </w:pPr>
  </w:style>
  <w:style w:type="paragraph" w:customStyle="1" w:styleId="288">
    <w:name w:val="Style65"/>
    <w:basedOn w:val="1"/>
    <w:unhideWhenUsed/>
    <w:qFormat/>
    <w:uiPriority w:val="0"/>
  </w:style>
  <w:style w:type="paragraph" w:customStyle="1" w:styleId="289">
    <w:name w:val="Style28"/>
    <w:basedOn w:val="1"/>
    <w:unhideWhenUsed/>
    <w:qFormat/>
    <w:uiPriority w:val="0"/>
    <w:pPr>
      <w:spacing w:line="552" w:lineRule="exact"/>
      <w:ind w:firstLine="547"/>
    </w:pPr>
  </w:style>
  <w:style w:type="paragraph" w:customStyle="1" w:styleId="290">
    <w:name w:val="样式 标题 2 + 宋体 五号 行距: 单倍行距"/>
    <w:basedOn w:val="5"/>
    <w:qFormat/>
    <w:uiPriority w:val="0"/>
    <w:pPr>
      <w:tabs>
        <w:tab w:val="left" w:pos="2175"/>
      </w:tabs>
      <w:adjustRightInd w:val="0"/>
      <w:spacing w:before="260" w:after="260" w:line="240" w:lineRule="auto"/>
      <w:ind w:left="2175" w:hanging="1275"/>
      <w:jc w:val="left"/>
      <w:textAlignment w:val="baseline"/>
    </w:pPr>
    <w:rPr>
      <w:rFonts w:ascii="宋体" w:hAnsi="宋体"/>
      <w:sz w:val="21"/>
      <w:szCs w:val="20"/>
    </w:rPr>
  </w:style>
  <w:style w:type="paragraph" w:customStyle="1" w:styleId="291">
    <w:name w:val="标题 32"/>
    <w:basedOn w:val="1"/>
    <w:next w:val="187"/>
    <w:qFormat/>
    <w:uiPriority w:val="0"/>
    <w:pPr>
      <w:spacing w:before="60" w:line="300" w:lineRule="auto"/>
      <w:outlineLvl w:val="2"/>
    </w:pPr>
    <w:rPr>
      <w:rFonts w:hint="eastAsia" w:ascii="宋体" w:hAnsi="宋体" w:cs="黑体"/>
      <w:snapToGrid w:val="0"/>
      <w:kern w:val="0"/>
      <w:sz w:val="24"/>
      <w:szCs w:val="20"/>
    </w:rPr>
  </w:style>
  <w:style w:type="paragraph" w:customStyle="1" w:styleId="292">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正文缩进 Char"/>
    <w:link w:val="15"/>
    <w:qFormat/>
    <w:uiPriority w:val="0"/>
    <w:rPr>
      <w:rFonts w:ascii="Times New Roman" w:hAnsi="Times New Roman" w:eastAsia="宋体" w:cs="Times New Roman"/>
      <w:kern w:val="0"/>
      <w:sz w:val="20"/>
      <w:szCs w:val="20"/>
    </w:rPr>
  </w:style>
  <w:style w:type="character" w:customStyle="1" w:styleId="294">
    <w:name w:val="公文正文 Char Char"/>
    <w:link w:val="295"/>
    <w:qFormat/>
    <w:uiPriority w:val="0"/>
    <w:rPr>
      <w:rFonts w:ascii="仿宋_GB2312" w:hAnsi="Calisto MT" w:eastAsia="仿宋_GB2312"/>
      <w:color w:val="000000"/>
      <w:sz w:val="32"/>
    </w:rPr>
  </w:style>
  <w:style w:type="paragraph" w:customStyle="1" w:styleId="295">
    <w:name w:val="公文正文"/>
    <w:link w:val="294"/>
    <w:qFormat/>
    <w:uiPriority w:val="0"/>
    <w:pPr>
      <w:widowControl w:val="0"/>
      <w:spacing w:line="360" w:lineRule="auto"/>
      <w:ind w:firstLine="629"/>
      <w:jc w:val="both"/>
    </w:pPr>
    <w:rPr>
      <w:rFonts w:ascii="仿宋_GB2312" w:hAnsi="Calisto MT" w:eastAsia="仿宋_GB2312" w:cstheme="minorBidi"/>
      <w:color w:val="000000"/>
      <w:sz w:val="32"/>
      <w:lang w:val="en-US" w:eastAsia="zh-CN" w:bidi="ar-SA"/>
    </w:rPr>
  </w:style>
  <w:style w:type="character" w:customStyle="1" w:styleId="296">
    <w:name w:val="普通文字 Char Char"/>
    <w:qFormat/>
    <w:uiPriority w:val="0"/>
    <w:rPr>
      <w:rFonts w:ascii="宋体" w:hAnsi="Courier New" w:eastAsia="宋体"/>
      <w:kern w:val="2"/>
      <w:sz w:val="21"/>
      <w:lang w:val="en-US" w:eastAsia="zh-CN" w:bidi="ar-SA"/>
    </w:rPr>
  </w:style>
  <w:style w:type="character" w:customStyle="1" w:styleId="297">
    <w:name w:val="副标题 Char1"/>
    <w:qFormat/>
    <w:uiPriority w:val="0"/>
    <w:rPr>
      <w:rFonts w:ascii="Cambria" w:hAnsi="Cambria" w:cs="Times New Roman"/>
      <w:b/>
      <w:bCs/>
      <w:kern w:val="28"/>
      <w:sz w:val="32"/>
      <w:szCs w:val="32"/>
    </w:rPr>
  </w:style>
  <w:style w:type="character" w:customStyle="1" w:styleId="298">
    <w:name w:val="无间隔 Char"/>
    <w:link w:val="299"/>
    <w:qFormat/>
    <w:uiPriority w:val="1"/>
    <w:rPr>
      <w:rFonts w:ascii="Calibri" w:hAnsi="Calibri"/>
      <w:sz w:val="22"/>
      <w:szCs w:val="22"/>
    </w:rPr>
  </w:style>
  <w:style w:type="paragraph" w:styleId="299">
    <w:name w:val="No Spacing"/>
    <w:link w:val="298"/>
    <w:qFormat/>
    <w:uiPriority w:val="1"/>
    <w:rPr>
      <w:rFonts w:ascii="Calibri" w:hAnsi="Calibri" w:eastAsiaTheme="minorEastAsia" w:cstheme="minorBidi"/>
      <w:sz w:val="22"/>
      <w:szCs w:val="22"/>
      <w:lang w:val="en-US" w:eastAsia="zh-CN" w:bidi="ar-SA"/>
    </w:rPr>
  </w:style>
  <w:style w:type="character" w:customStyle="1" w:styleId="300">
    <w:name w:val="样式 样式 样式 标题 2标题 1.1第一层条第二层论文标题 1Para2Title1H2h22l2list + ch...1 ... Char Char"/>
    <w:link w:val="301"/>
    <w:qFormat/>
    <w:uiPriority w:val="0"/>
    <w:rPr>
      <w:rFonts w:ascii="Arial" w:hAnsi="Arial" w:cs="宋体"/>
      <w:b/>
      <w:color w:val="000000"/>
      <w:sz w:val="28"/>
      <w:szCs w:val="28"/>
    </w:rPr>
  </w:style>
  <w:style w:type="paragraph" w:customStyle="1" w:styleId="301">
    <w:name w:val="样式 样式 样式 标题 2标题 1.1第一层条第二层论文标题 1Para2Title1H2h22l2list + ch...1 ..."/>
    <w:basedOn w:val="302"/>
    <w:link w:val="300"/>
    <w:qFormat/>
    <w:uiPriority w:val="0"/>
    <w:pPr>
      <w:tabs>
        <w:tab w:val="left" w:pos="567"/>
        <w:tab w:val="left" w:pos="840"/>
        <w:tab w:val="left" w:pos="965"/>
      </w:tabs>
      <w:spacing w:beforeLines="0" w:afterLines="0"/>
      <w:ind w:left="965" w:right="105" w:hanging="425"/>
    </w:pPr>
    <w:rPr>
      <w:sz w:val="28"/>
      <w:szCs w:val="28"/>
    </w:rPr>
  </w:style>
  <w:style w:type="paragraph" w:customStyle="1" w:styleId="302">
    <w:name w:val="样式 样式 标题 2标题 1.1第一层条第二层论文标题 1Para2Title1H2h22l2list + ch...1 + 右...1"/>
    <w:basedOn w:val="303"/>
    <w:link w:val="315"/>
    <w:qFormat/>
    <w:uiPriority w:val="0"/>
    <w:pPr>
      <w:tabs>
        <w:tab w:val="left" w:pos="567"/>
        <w:tab w:val="left" w:pos="840"/>
      </w:tabs>
      <w:spacing w:beforeLines="50" w:afterLines="50"/>
      <w:ind w:left="576"/>
    </w:pPr>
  </w:style>
  <w:style w:type="paragraph" w:customStyle="1" w:styleId="303">
    <w:name w:val="样式 标题 2标题 1.1第一层条第二层论文标题 1Para2Title1H2h22l2list + ch...1"/>
    <w:basedOn w:val="5"/>
    <w:link w:val="316"/>
    <w:qFormat/>
    <w:uiPriority w:val="0"/>
    <w:pPr>
      <w:tabs>
        <w:tab w:val="left" w:pos="840"/>
      </w:tabs>
      <w:adjustRightInd w:val="0"/>
      <w:ind w:right="50" w:rightChars="50"/>
      <w:textAlignment w:val="baseline"/>
    </w:pPr>
    <w:rPr>
      <w:rFonts w:cs="宋体" w:eastAsiaTheme="minorEastAsia"/>
      <w:bCs w:val="0"/>
      <w:color w:val="000000"/>
      <w:szCs w:val="24"/>
    </w:rPr>
  </w:style>
  <w:style w:type="character" w:customStyle="1" w:styleId="304">
    <w:name w:val="列表框1 Char Char"/>
    <w:link w:val="305"/>
    <w:qFormat/>
    <w:uiPriority w:val="0"/>
    <w:rPr>
      <w:rFonts w:ascii="Arial" w:hAnsi="Arial" w:eastAsia="楷体_GB2312" w:cs="Arial"/>
      <w:spacing w:val="10"/>
      <w:szCs w:val="24"/>
    </w:rPr>
  </w:style>
  <w:style w:type="paragraph" w:customStyle="1" w:styleId="305">
    <w:name w:val="列表框1"/>
    <w:basedOn w:val="306"/>
    <w:next w:val="306"/>
    <w:link w:val="304"/>
    <w:qFormat/>
    <w:uiPriority w:val="0"/>
    <w:pPr>
      <w:tabs>
        <w:tab w:val="left" w:pos="360"/>
        <w:tab w:val="left" w:pos="420"/>
        <w:tab w:val="left" w:pos="795"/>
        <w:tab w:val="left" w:pos="965"/>
        <w:tab w:val="left" w:pos="1628"/>
        <w:tab w:val="left" w:pos="2086"/>
      </w:tabs>
      <w:snapToGrid w:val="0"/>
      <w:ind w:left="1637" w:leftChars="500" w:hanging="437" w:hangingChars="190"/>
    </w:pPr>
    <w:rPr>
      <w:rFonts w:cs="Arial"/>
    </w:rPr>
  </w:style>
  <w:style w:type="paragraph" w:customStyle="1" w:styleId="306">
    <w:name w:val="应答文本"/>
    <w:basedOn w:val="1"/>
    <w:link w:val="321"/>
    <w:qFormat/>
    <w:uiPriority w:val="0"/>
    <w:pPr>
      <w:adjustRightInd w:val="0"/>
      <w:spacing w:afterLines="50" w:line="320" w:lineRule="exact"/>
      <w:ind w:left="720" w:leftChars="300" w:firstLine="460" w:firstLineChars="200"/>
    </w:pPr>
    <w:rPr>
      <w:rFonts w:ascii="Arial" w:hAnsi="Arial" w:eastAsia="楷体_GB2312" w:cs="宋体"/>
      <w:spacing w:val="10"/>
      <w:kern w:val="0"/>
      <w:sz w:val="20"/>
    </w:rPr>
  </w:style>
  <w:style w:type="character" w:customStyle="1" w:styleId="307">
    <w:name w:val="普通文字 Char2"/>
    <w:qFormat/>
    <w:uiPriority w:val="0"/>
    <w:rPr>
      <w:rFonts w:ascii="宋体" w:hAnsi="Courier New" w:eastAsia="宋体"/>
      <w:kern w:val="2"/>
      <w:sz w:val="21"/>
      <w:lang w:val="en-US" w:eastAsia="zh-CN" w:bidi="ar-SA"/>
    </w:rPr>
  </w:style>
  <w:style w:type="character" w:customStyle="1" w:styleId="308">
    <w:name w:val="样式 标题 1标题 1 111121314151111211311611212213217113... Char Char"/>
    <w:link w:val="309"/>
    <w:qFormat/>
    <w:uiPriority w:val="0"/>
    <w:rPr>
      <w:rFonts w:ascii="宋体" w:hAnsi="宋体" w:eastAsia="黑体"/>
      <w:bCs/>
      <w:kern w:val="44"/>
      <w:sz w:val="48"/>
      <w:szCs w:val="32"/>
    </w:rPr>
  </w:style>
  <w:style w:type="paragraph" w:customStyle="1" w:styleId="309">
    <w:name w:val="样式 标题 1标题 1 111121314151111211311611212213217113..."/>
    <w:basedOn w:val="4"/>
    <w:link w:val="308"/>
    <w:qFormat/>
    <w:uiPriority w:val="0"/>
    <w:pPr>
      <w:keepLines/>
      <w:tabs>
        <w:tab w:val="left" w:pos="840"/>
      </w:tabs>
      <w:adjustRightInd w:val="0"/>
      <w:spacing w:before="340" w:after="330" w:line="578" w:lineRule="atLeast"/>
      <w:ind w:left="2297" w:hanging="420"/>
      <w:jc w:val="both"/>
      <w:textAlignment w:val="baseline"/>
    </w:pPr>
    <w:rPr>
      <w:rFonts w:ascii="宋体" w:hAnsi="宋体" w:eastAsia="黑体" w:cstheme="minorBidi"/>
      <w:b w:val="0"/>
      <w:kern w:val="44"/>
      <w:sz w:val="48"/>
      <w:szCs w:val="32"/>
    </w:rPr>
  </w:style>
  <w:style w:type="character" w:customStyle="1" w:styleId="310">
    <w:name w:val="even Char Char"/>
    <w:qFormat/>
    <w:uiPriority w:val="0"/>
    <w:rPr>
      <w:rFonts w:eastAsia="宋体"/>
      <w:kern w:val="2"/>
      <w:sz w:val="18"/>
      <w:szCs w:val="24"/>
      <w:lang w:val="en-US" w:eastAsia="zh-CN" w:bidi="ar-SA"/>
    </w:rPr>
  </w:style>
  <w:style w:type="character" w:customStyle="1" w:styleId="311">
    <w:name w:val="样式 标题 4Para4CDR_Lev 4Title3h44 dashddash + (符号) 宋体 加粗 Char Char"/>
    <w:link w:val="312"/>
    <w:qFormat/>
    <w:uiPriority w:val="0"/>
    <w:rPr>
      <w:rFonts w:ascii="Arial" w:hAnsi="Arial" w:eastAsia="黑体"/>
      <w:snapToGrid w:val="0"/>
      <w:sz w:val="28"/>
      <w:szCs w:val="24"/>
    </w:rPr>
  </w:style>
  <w:style w:type="paragraph" w:customStyle="1" w:styleId="312">
    <w:name w:val="样式 标题 4Para4CDR_Lev 4Title3h44 dashddash + (符号) 宋体 加粗"/>
    <w:basedOn w:val="7"/>
    <w:link w:val="311"/>
    <w:qFormat/>
    <w:uiPriority w:val="0"/>
    <w:pPr>
      <w:keepNext w:val="0"/>
      <w:keepLines w:val="0"/>
      <w:tabs>
        <w:tab w:val="left" w:pos="907"/>
      </w:tabs>
      <w:autoSpaceDE w:val="0"/>
      <w:autoSpaceDN w:val="0"/>
      <w:adjustRightInd w:val="0"/>
      <w:snapToGrid w:val="0"/>
      <w:spacing w:before="0" w:after="0" w:line="360" w:lineRule="auto"/>
      <w:ind w:left="1644" w:hanging="1644"/>
      <w:textAlignment w:val="baseline"/>
    </w:pPr>
    <w:rPr>
      <w:rFonts w:cstheme="minorBidi"/>
      <w:b w:val="0"/>
      <w:bCs w:val="0"/>
      <w:snapToGrid w:val="0"/>
      <w:szCs w:val="24"/>
    </w:rPr>
  </w:style>
  <w:style w:type="character" w:customStyle="1" w:styleId="313">
    <w:name w:val="纯文本 Char"/>
    <w:qFormat/>
    <w:uiPriority w:val="0"/>
    <w:rPr>
      <w:rFonts w:ascii="宋体" w:hAnsi="Courier New" w:cs="Courier New"/>
      <w:kern w:val="2"/>
      <w:sz w:val="21"/>
      <w:szCs w:val="21"/>
    </w:rPr>
  </w:style>
  <w:style w:type="character" w:customStyle="1" w:styleId="314">
    <w:name w:val="style131"/>
    <w:qFormat/>
    <w:uiPriority w:val="0"/>
    <w:rPr>
      <w:rFonts w:eastAsia="宋体"/>
      <w:kern w:val="2"/>
      <w:sz w:val="24"/>
      <w:szCs w:val="24"/>
      <w:lang w:val="en-US" w:eastAsia="zh-CN" w:bidi="ar-SA"/>
    </w:rPr>
  </w:style>
  <w:style w:type="character" w:customStyle="1" w:styleId="315">
    <w:name w:val="样式 样式 标题 2标题 1.1第一层条第二层论文标题 1Para2Title1H2h22l2list + ch...1 + 右...1 Char Char"/>
    <w:basedOn w:val="316"/>
    <w:link w:val="302"/>
    <w:qFormat/>
    <w:uiPriority w:val="0"/>
    <w:rPr>
      <w:rFonts w:ascii="Arial" w:hAnsi="Arial" w:cs="宋体"/>
      <w:color w:val="000000"/>
      <w:sz w:val="24"/>
      <w:szCs w:val="24"/>
    </w:rPr>
  </w:style>
  <w:style w:type="character" w:customStyle="1" w:styleId="316">
    <w:name w:val="样式 标题 2标题 1.1第一层条第二层论文标题 1Para2Title1H2h22l2list + ch...1 Char Char"/>
    <w:link w:val="303"/>
    <w:qFormat/>
    <w:uiPriority w:val="0"/>
    <w:rPr>
      <w:rFonts w:ascii="Arial" w:hAnsi="Arial" w:cs="宋体"/>
      <w:b/>
      <w:color w:val="000000"/>
      <w:sz w:val="24"/>
      <w:szCs w:val="24"/>
    </w:rPr>
  </w:style>
  <w:style w:type="character" w:customStyle="1" w:styleId="317">
    <w:name w:val="Char Char Char Char Char Char"/>
    <w:qFormat/>
    <w:uiPriority w:val="0"/>
    <w:rPr>
      <w:rFonts w:ascii="宋体" w:hAnsi="Courier New" w:eastAsia="宋体"/>
      <w:kern w:val="2"/>
      <w:sz w:val="21"/>
      <w:lang w:val="en-US" w:eastAsia="zh-CN" w:bidi="ar-SA"/>
    </w:rPr>
  </w:style>
  <w:style w:type="character" w:customStyle="1" w:styleId="318">
    <w:name w:val="页码2"/>
    <w:basedOn w:val="48"/>
    <w:qFormat/>
    <w:uiPriority w:val="0"/>
  </w:style>
  <w:style w:type="character" w:customStyle="1" w:styleId="319">
    <w:name w:val="样式 样式 样式 样式 标题 2标题 1.1第一层条第二层论文标题 1Para2Title1H2h22l2list + ch..... Char Char"/>
    <w:link w:val="320"/>
    <w:qFormat/>
    <w:uiPriority w:val="0"/>
    <w:rPr>
      <w:rFonts w:ascii="宋体" w:hAnsi="宋体" w:cs="宋体"/>
      <w:b/>
      <w:color w:val="000000"/>
      <w:szCs w:val="28"/>
    </w:rPr>
  </w:style>
  <w:style w:type="paragraph" w:customStyle="1" w:styleId="320">
    <w:name w:val="样式 样式 样式 样式 标题 2标题 1.1第一层条第二层论文标题 1Para2Title1H2h22l2list + ch....."/>
    <w:basedOn w:val="301"/>
    <w:link w:val="319"/>
    <w:qFormat/>
    <w:uiPriority w:val="0"/>
    <w:pPr>
      <w:spacing w:before="50" w:after="50"/>
      <w:ind w:left="1134" w:right="50" w:hanging="1134"/>
    </w:pPr>
    <w:rPr>
      <w:rFonts w:ascii="宋体" w:hAnsi="宋体"/>
      <w:sz w:val="20"/>
    </w:rPr>
  </w:style>
  <w:style w:type="character" w:customStyle="1" w:styleId="321">
    <w:name w:val="应答文本 Char Char"/>
    <w:link w:val="306"/>
    <w:qFormat/>
    <w:uiPriority w:val="0"/>
    <w:rPr>
      <w:rFonts w:ascii="Arial" w:hAnsi="Arial" w:eastAsia="楷体_GB2312" w:cs="宋体"/>
      <w:spacing w:val="10"/>
      <w:szCs w:val="24"/>
    </w:rPr>
  </w:style>
  <w:style w:type="paragraph" w:customStyle="1" w:styleId="322">
    <w:name w:val="章标题"/>
    <w:next w:val="323"/>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32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4">
    <w:name w:val="表格"/>
    <w:basedOn w:val="1"/>
    <w:qFormat/>
    <w:uiPriority w:val="0"/>
    <w:pPr>
      <w:jc w:val="center"/>
    </w:pPr>
    <w:rPr>
      <w:rFonts w:ascii="华文细黑" w:hAnsi="华文细黑"/>
      <w:kern w:val="0"/>
      <w:szCs w:val="20"/>
    </w:rPr>
  </w:style>
  <w:style w:type="paragraph" w:customStyle="1" w:styleId="325">
    <w:name w:val="_Style 11"/>
    <w:basedOn w:val="16"/>
    <w:qFormat/>
    <w:uiPriority w:val="0"/>
  </w:style>
  <w:style w:type="paragraph" w:customStyle="1" w:styleId="326">
    <w:name w:val="Char2"/>
    <w:basedOn w:val="1"/>
    <w:qFormat/>
    <w:uiPriority w:val="0"/>
    <w:rPr>
      <w:sz w:val="24"/>
    </w:rPr>
  </w:style>
  <w:style w:type="paragraph" w:customStyle="1" w:styleId="327">
    <w:name w:val="正文文本缩进1"/>
    <w:basedOn w:val="1"/>
    <w:qFormat/>
    <w:uiPriority w:val="0"/>
    <w:pPr>
      <w:ind w:firstLine="420" w:firstLineChars="200"/>
    </w:pPr>
  </w:style>
  <w:style w:type="paragraph" w:customStyle="1" w:styleId="328">
    <w:name w:val="正文缩进11"/>
    <w:basedOn w:val="1"/>
    <w:qFormat/>
    <w:uiPriority w:val="0"/>
    <w:pPr>
      <w:tabs>
        <w:tab w:val="left" w:pos="720"/>
      </w:tabs>
      <w:ind w:left="624" w:hanging="624"/>
      <w:textAlignment w:val="baseline"/>
    </w:pPr>
    <w:rPr>
      <w:rFonts w:hint="eastAsia" w:ascii="宋体"/>
      <w:szCs w:val="22"/>
    </w:rPr>
  </w:style>
  <w:style w:type="paragraph" w:customStyle="1" w:styleId="329">
    <w:name w:val="样式 行距: 1.5 倍行距"/>
    <w:basedOn w:val="1"/>
    <w:qFormat/>
    <w:uiPriority w:val="0"/>
    <w:pPr>
      <w:spacing w:line="360" w:lineRule="auto"/>
    </w:pPr>
    <w:rPr>
      <w:rFonts w:cs="宋体"/>
      <w:szCs w:val="20"/>
    </w:rPr>
  </w:style>
  <w:style w:type="paragraph" w:customStyle="1" w:styleId="330">
    <w:name w:val="Char Char1 Char Char Char Char Char Char Char Char Char Char"/>
    <w:basedOn w:val="1"/>
    <w:qFormat/>
    <w:uiPriority w:val="0"/>
    <w:rPr>
      <w:sz w:val="24"/>
    </w:rPr>
  </w:style>
  <w:style w:type="paragraph" w:customStyle="1" w:styleId="331">
    <w:name w:val="Char Char17 Char Char"/>
    <w:basedOn w:val="16"/>
    <w:qFormat/>
    <w:uiPriority w:val="0"/>
    <w:pPr>
      <w:widowControl/>
      <w:jc w:val="left"/>
    </w:pPr>
  </w:style>
  <w:style w:type="paragraph" w:customStyle="1" w:styleId="332">
    <w:name w:val="目录文字"/>
    <w:basedOn w:val="1"/>
    <w:qFormat/>
    <w:uiPriority w:val="0"/>
    <w:pPr>
      <w:widowControl/>
      <w:spacing w:line="480" w:lineRule="auto"/>
      <w:jc w:val="left"/>
    </w:pPr>
    <w:rPr>
      <w:rFonts w:ascii="宋体" w:hAnsi="宋体"/>
      <w:kern w:val="0"/>
      <w:sz w:val="24"/>
      <w:szCs w:val="20"/>
    </w:rPr>
  </w:style>
  <w:style w:type="paragraph" w:customStyle="1" w:styleId="333">
    <w:name w:val="TOC 标题1"/>
    <w:basedOn w:val="4"/>
    <w:next w:val="1"/>
    <w:qFormat/>
    <w:uiPriority w:val="0"/>
    <w:pPr>
      <w:keepLines/>
      <w:widowControl/>
      <w:spacing w:before="480" w:line="276" w:lineRule="auto"/>
      <w:jc w:val="left"/>
      <w:outlineLvl w:val="9"/>
    </w:pPr>
    <w:rPr>
      <w:rFonts w:ascii="Cambria" w:hAnsi="Cambria"/>
      <w:color w:val="365F91"/>
      <w:sz w:val="28"/>
      <w:szCs w:val="28"/>
    </w:rPr>
  </w:style>
  <w:style w:type="paragraph" w:customStyle="1" w:styleId="334">
    <w:name w:val="Char Char Char Char Char Char Char Char Char Char Char Char Char Char Char Char"/>
    <w:basedOn w:val="1"/>
    <w:qFormat/>
    <w:uiPriority w:val="0"/>
    <w:rPr>
      <w:szCs w:val="20"/>
    </w:rPr>
  </w:style>
  <w:style w:type="paragraph" w:styleId="335">
    <w:name w:val="List Paragraph"/>
    <w:basedOn w:val="1"/>
    <w:qFormat/>
    <w:uiPriority w:val="0"/>
    <w:pPr>
      <w:ind w:firstLine="420" w:firstLineChars="200"/>
    </w:pPr>
  </w:style>
  <w:style w:type="paragraph" w:customStyle="1" w:styleId="336">
    <w:name w:val="日期1"/>
    <w:basedOn w:val="1"/>
    <w:next w:val="1"/>
    <w:qFormat/>
    <w:uiPriority w:val="0"/>
    <w:pPr>
      <w:ind w:left="100" w:leftChars="2500"/>
    </w:pPr>
  </w:style>
  <w:style w:type="paragraph" w:customStyle="1" w:styleId="337">
    <w:name w:val="普通(网站)1"/>
    <w:basedOn w:val="1"/>
    <w:qFormat/>
    <w:uiPriority w:val="0"/>
    <w:pPr>
      <w:widowControl/>
      <w:jc w:val="left"/>
    </w:pPr>
    <w:rPr>
      <w:rFonts w:hint="eastAsia" w:ascii="宋体" w:hAnsi="宋体"/>
      <w:sz w:val="24"/>
    </w:rPr>
  </w:style>
  <w:style w:type="paragraph" w:customStyle="1" w:styleId="338">
    <w:name w:val="文档结构图1"/>
    <w:basedOn w:val="1"/>
    <w:qFormat/>
    <w:uiPriority w:val="0"/>
    <w:pPr>
      <w:shd w:val="clear" w:color="auto" w:fill="000080"/>
    </w:pPr>
  </w:style>
  <w:style w:type="paragraph" w:customStyle="1" w:styleId="339">
    <w:name w:val="_Style 3"/>
    <w:basedOn w:val="4"/>
    <w:next w:val="1"/>
    <w:qFormat/>
    <w:uiPriority w:val="39"/>
    <w:pPr>
      <w:keepLines/>
      <w:widowControl/>
      <w:spacing w:line="259" w:lineRule="auto"/>
      <w:jc w:val="left"/>
      <w:outlineLvl w:val="9"/>
    </w:pPr>
    <w:rPr>
      <w:rFonts w:ascii="Calibri Light" w:hAnsi="Calibri Light"/>
      <w:b w:val="0"/>
      <w:bCs w:val="0"/>
      <w:color w:val="2E74B5"/>
      <w:sz w:val="32"/>
      <w:szCs w:val="32"/>
    </w:rPr>
  </w:style>
  <w:style w:type="paragraph" w:customStyle="1" w:styleId="340">
    <w:name w:val="TOC 标题2"/>
    <w:basedOn w:val="4"/>
    <w:next w:val="1"/>
    <w:qFormat/>
    <w:uiPriority w:val="39"/>
    <w:pPr>
      <w:keepLines/>
      <w:widowControl/>
      <w:spacing w:before="240" w:line="259" w:lineRule="auto"/>
      <w:jc w:val="left"/>
      <w:outlineLvl w:val="9"/>
    </w:pPr>
    <w:rPr>
      <w:rFonts w:ascii="Calibri Light" w:hAnsi="Calibri Light"/>
      <w:b w:val="0"/>
      <w:bCs w:val="0"/>
      <w:color w:val="2E74B5"/>
      <w:sz w:val="32"/>
      <w:szCs w:val="32"/>
    </w:rPr>
  </w:style>
  <w:style w:type="paragraph" w:customStyle="1" w:styleId="341">
    <w:name w:val="正文文本 22"/>
    <w:basedOn w:val="1"/>
    <w:qFormat/>
    <w:uiPriority w:val="0"/>
    <w:pPr>
      <w:spacing w:after="120" w:line="480" w:lineRule="auto"/>
    </w:pPr>
  </w:style>
  <w:style w:type="paragraph" w:customStyle="1" w:styleId="342">
    <w:name w:val="Char Char Char Char"/>
    <w:basedOn w:val="1"/>
    <w:qFormat/>
    <w:uiPriority w:val="0"/>
  </w:style>
  <w:style w:type="paragraph" w:customStyle="1" w:styleId="343">
    <w:name w:val="standard"/>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344">
    <w:name w:val="右侧正文"/>
    <w:basedOn w:val="1"/>
    <w:qFormat/>
    <w:uiPriority w:val="0"/>
    <w:pPr>
      <w:spacing w:line="360" w:lineRule="auto"/>
    </w:pPr>
    <w:rPr>
      <w:rFonts w:ascii="宋体" w:hAnsi="宋体"/>
      <w:sz w:val="24"/>
      <w:szCs w:val="28"/>
    </w:rPr>
  </w:style>
  <w:style w:type="paragraph" w:customStyle="1" w:styleId="345">
    <w:name w:val="WPSOffice手动目录 1"/>
    <w:qFormat/>
    <w:uiPriority w:val="0"/>
    <w:rPr>
      <w:rFonts w:ascii="Times New Roman" w:hAnsi="Times New Roman" w:eastAsia="宋体" w:cs="Times New Roman"/>
      <w:lang w:val="en-US" w:eastAsia="zh-CN" w:bidi="ar-SA"/>
    </w:rPr>
  </w:style>
  <w:style w:type="paragraph" w:customStyle="1" w:styleId="34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47">
    <w:name w:val="页码3"/>
    <w:basedOn w:val="48"/>
    <w:qFormat/>
    <w:uiPriority w:val="0"/>
  </w:style>
  <w:style w:type="paragraph" w:customStyle="1" w:styleId="348">
    <w:name w:val="普通(网站)2"/>
    <w:basedOn w:val="1"/>
    <w:qFormat/>
    <w:uiPriority w:val="0"/>
    <w:pPr>
      <w:widowControl/>
      <w:jc w:val="left"/>
    </w:pPr>
    <w:rPr>
      <w:rFonts w:hint="eastAsia" w:ascii="宋体" w:hAnsi="宋体"/>
      <w:sz w:val="24"/>
    </w:rPr>
  </w:style>
  <w:style w:type="character" w:customStyle="1" w:styleId="349">
    <w:name w:val="页脚 字符1"/>
    <w:basedOn w:val="48"/>
    <w:semiHidden/>
    <w:qFormat/>
    <w:uiPriority w:val="99"/>
    <w:rPr>
      <w:kern w:val="2"/>
      <w:sz w:val="18"/>
      <w:szCs w:val="18"/>
    </w:rPr>
  </w:style>
  <w:style w:type="paragraph" w:customStyle="1" w:styleId="350">
    <w:name w:val="正文文本 23"/>
    <w:basedOn w:val="1"/>
    <w:qFormat/>
    <w:uiPriority w:val="0"/>
    <w:pPr>
      <w:spacing w:after="120" w:line="480" w:lineRule="auto"/>
    </w:pPr>
  </w:style>
  <w:style w:type="character" w:customStyle="1" w:styleId="351">
    <w:name w:val="页眉 字符1"/>
    <w:basedOn w:val="48"/>
    <w:semiHidden/>
    <w:qFormat/>
    <w:uiPriority w:val="99"/>
    <w:rPr>
      <w:kern w:val="2"/>
      <w:sz w:val="18"/>
      <w:szCs w:val="18"/>
    </w:rPr>
  </w:style>
  <w:style w:type="paragraph" w:customStyle="1" w:styleId="352">
    <w:name w:val="文档结构图2"/>
    <w:basedOn w:val="1"/>
    <w:qFormat/>
    <w:uiPriority w:val="0"/>
    <w:pPr>
      <w:shd w:val="clear" w:color="auto" w:fill="000080"/>
    </w:pPr>
  </w:style>
  <w:style w:type="paragraph" w:customStyle="1" w:styleId="35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54">
    <w:name w:val="正文文本缩进2"/>
    <w:basedOn w:val="1"/>
    <w:qFormat/>
    <w:uiPriority w:val="0"/>
    <w:pPr>
      <w:ind w:firstLine="420" w:firstLineChars="200"/>
    </w:pPr>
  </w:style>
  <w:style w:type="paragraph" w:customStyle="1" w:styleId="355">
    <w:name w:val="日期2"/>
    <w:basedOn w:val="1"/>
    <w:next w:val="1"/>
    <w:qFormat/>
    <w:uiPriority w:val="0"/>
    <w:pPr>
      <w:ind w:left="100" w:leftChars="2500"/>
    </w:pPr>
  </w:style>
  <w:style w:type="paragraph" w:customStyle="1" w:styleId="356">
    <w:name w:val="样式3"/>
    <w:basedOn w:val="1"/>
    <w:qFormat/>
    <w:uiPriority w:val="0"/>
    <w:pPr>
      <w:spacing w:line="360" w:lineRule="auto"/>
      <w:ind w:firstLine="480"/>
      <w:jc w:val="left"/>
    </w:pPr>
    <w:rPr>
      <w:rFonts w:ascii="宋体"/>
      <w:sz w:val="24"/>
      <w:szCs w:val="22"/>
    </w:rPr>
  </w:style>
  <w:style w:type="paragraph" w:customStyle="1" w:styleId="357">
    <w:name w:val="附录图标题"/>
    <w:basedOn w:val="1"/>
    <w:next w:val="323"/>
    <w:qFormat/>
    <w:uiPriority w:val="0"/>
    <w:pPr>
      <w:numPr>
        <w:ilvl w:val="1"/>
        <w:numId w:val="2"/>
      </w:numPr>
      <w:tabs>
        <w:tab w:val="left" w:pos="363"/>
      </w:tabs>
      <w:spacing w:beforeLines="50" w:afterLines="50"/>
      <w:ind w:left="0" w:firstLine="0"/>
      <w:jc w:val="center"/>
    </w:pPr>
    <w:rPr>
      <w:rFonts w:ascii="黑体" w:eastAsia="黑体"/>
      <w:szCs w:val="21"/>
    </w:rPr>
  </w:style>
  <w:style w:type="paragraph" w:customStyle="1" w:styleId="358">
    <w:name w:val="正文表标题"/>
    <w:next w:val="323"/>
    <w:qFormat/>
    <w:uiPriority w:val="0"/>
    <w:pPr>
      <w:numPr>
        <w:ilvl w:val="0"/>
        <w:numId w:val="3"/>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9">
    <w:name w:val="列项●（二级）"/>
    <w:qFormat/>
    <w:uiPriority w:val="0"/>
    <w:pPr>
      <w:numPr>
        <w:ilvl w:val="1"/>
        <w:numId w:val="4"/>
      </w:numPr>
      <w:tabs>
        <w:tab w:val="left" w:pos="760"/>
        <w:tab w:val="left" w:pos="840"/>
      </w:tabs>
      <w:jc w:val="both"/>
    </w:pPr>
    <w:rPr>
      <w:rFonts w:ascii="宋体" w:hAnsi="Times New Roman" w:eastAsia="宋体" w:cs="Times New Roman"/>
      <w:sz w:val="21"/>
      <w:lang w:val="en-US" w:eastAsia="zh-CN" w:bidi="ar-SA"/>
    </w:rPr>
  </w:style>
  <w:style w:type="paragraph" w:customStyle="1" w:styleId="360">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361">
    <w:name w:val="列项◆（三级）"/>
    <w:basedOn w:val="1"/>
    <w:qFormat/>
    <w:uiPriority w:val="0"/>
    <w:pPr>
      <w:numPr>
        <w:ilvl w:val="2"/>
        <w:numId w:val="4"/>
      </w:numPr>
      <w:tabs>
        <w:tab w:val="left" w:pos="1678"/>
      </w:tabs>
    </w:pPr>
    <w:rPr>
      <w:rFonts w:ascii="宋体"/>
      <w:szCs w:val="21"/>
    </w:rPr>
  </w:style>
  <w:style w:type="paragraph" w:customStyle="1" w:styleId="362">
    <w:name w:val="附录图标号"/>
    <w:basedOn w:val="1"/>
    <w:qFormat/>
    <w:uiPriority w:val="0"/>
    <w:pPr>
      <w:keepNext/>
      <w:pageBreakBefore/>
      <w:widowControl/>
      <w:numPr>
        <w:ilvl w:val="0"/>
        <w:numId w:val="2"/>
      </w:numPr>
      <w:spacing w:line="14" w:lineRule="exact"/>
      <w:ind w:left="0" w:firstLine="363"/>
      <w:jc w:val="center"/>
      <w:outlineLvl w:val="0"/>
    </w:pPr>
    <w:rPr>
      <w:color w:val="FFFFFF"/>
    </w:rPr>
  </w:style>
  <w:style w:type="paragraph" w:customStyle="1" w:styleId="363">
    <w:name w:val="附录章标题"/>
    <w:next w:val="323"/>
    <w:qFormat/>
    <w:uiPriority w:val="0"/>
    <w:pPr>
      <w:numPr>
        <w:ilvl w:val="1"/>
        <w:numId w:val="5"/>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character" w:customStyle="1" w:styleId="364">
    <w:name w:val="font51"/>
    <w:basedOn w:val="48"/>
    <w:qFormat/>
    <w:uiPriority w:val="0"/>
    <w:rPr>
      <w:rFonts w:hint="eastAsia" w:ascii="宋体" w:hAnsi="宋体" w:eastAsia="宋体" w:cs="宋体"/>
      <w:b/>
      <w:color w:val="000000"/>
      <w:sz w:val="40"/>
      <w:szCs w:val="4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826FB6-06FC-427B-9A58-F9CDCD57E2E4}">
  <ds:schemaRefs/>
</ds:datastoreItem>
</file>

<file path=docProps/app.xml><?xml version="1.0" encoding="utf-8"?>
<Properties xmlns="http://schemas.openxmlformats.org/officeDocument/2006/extended-properties" xmlns:vt="http://schemas.openxmlformats.org/officeDocument/2006/docPropsVTypes">
  <Template>Normal</Template>
  <Pages>37</Pages>
  <Words>2982</Words>
  <Characters>17000</Characters>
  <Lines>141</Lines>
  <Paragraphs>39</Paragraphs>
  <TotalTime>0</TotalTime>
  <ScaleCrop>false</ScaleCrop>
  <LinksUpToDate>false</LinksUpToDate>
  <CharactersWithSpaces>19943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2019-09-03T02:10:00Z</dcterms:created>
  <dc:creator>李 毅</dc:creator>
  <cp:lastModifiedBy>shenbenqian</cp:lastModifiedBy>
  <cp:lastPrinted>2019-07-25T06:26:00Z</cp:lastPrinted>
  <dcterms:modified xsi:type="dcterms:W3CDTF">2020-01-13T06:32:15Z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