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cs="宋体"/>
          <w:b/>
          <w:sz w:val="52"/>
          <w:szCs w:val="52"/>
        </w:rPr>
      </w:pPr>
    </w:p>
    <w:p>
      <w:pPr>
        <w:pStyle w:val="25"/>
        <w:jc w:val="center"/>
        <w:rPr>
          <w:rFonts w:hAnsi="宋体" w:cs="宋体"/>
          <w:b/>
          <w:bCs/>
          <w:sz w:val="52"/>
          <w:szCs w:val="52"/>
        </w:rPr>
      </w:pPr>
      <w:r>
        <w:rPr>
          <w:rFonts w:hint="eastAsia" w:hAnsi="宋体" w:cs="宋体"/>
          <w:b/>
          <w:sz w:val="52"/>
          <w:szCs w:val="52"/>
        </w:rPr>
        <w:t>长沙市轨道交通运营有限公司</w:t>
      </w:r>
    </w:p>
    <w:p>
      <w:pPr>
        <w:pStyle w:val="25"/>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5"/>
        <w:adjustRightInd w:val="0"/>
        <w:snapToGrid w:val="0"/>
        <w:spacing w:before="161" w:beforeLines="50" w:line="360" w:lineRule="auto"/>
        <w:rPr>
          <w:rFonts w:hAnsi="宋体" w:cs="宋体"/>
          <w:b/>
          <w:sz w:val="32"/>
          <w:szCs w:val="32"/>
        </w:rPr>
      </w:pPr>
    </w:p>
    <w:p>
      <w:pPr>
        <w:pStyle w:val="25"/>
        <w:adjustRightInd w:val="0"/>
        <w:snapToGrid w:val="0"/>
        <w:spacing w:line="360" w:lineRule="auto"/>
        <w:rPr>
          <w:rFonts w:hAnsi="宋体" w:cs="宋体"/>
          <w:sz w:val="32"/>
          <w:szCs w:val="32"/>
        </w:rPr>
      </w:pPr>
    </w:p>
    <w:p>
      <w:pPr>
        <w:spacing w:line="480" w:lineRule="auto"/>
        <w:ind w:left="2249" w:hanging="2249" w:hangingChars="700"/>
        <w:jc w:val="left"/>
        <w:rPr>
          <w:rFonts w:ascii="宋体" w:hAnsi="宋体" w:cs="宋体"/>
          <w:b/>
          <w:sz w:val="32"/>
          <w:szCs w:val="21"/>
        </w:rPr>
      </w:pPr>
      <w:r>
        <w:rPr>
          <w:rFonts w:hint="eastAsia" w:ascii="宋体" w:hAnsi="宋体" w:cs="宋体"/>
          <w:b/>
          <w:sz w:val="32"/>
          <w:szCs w:val="21"/>
        </w:rPr>
        <w:t>谈判项目名称：</w:t>
      </w:r>
      <w:r>
        <w:rPr>
          <w:rFonts w:hint="eastAsia" w:ascii="宋体" w:hAnsi="宋体" w:cs="宋体"/>
          <w:b/>
          <w:sz w:val="32"/>
          <w:szCs w:val="21"/>
          <w:u w:val="single"/>
        </w:rPr>
        <w:t>长沙市轨道交通运营期4号线2019年度模拟驾驶器采购项目</w:t>
      </w:r>
    </w:p>
    <w:p>
      <w:pPr>
        <w:pStyle w:val="45"/>
        <w:ind w:firstLine="0" w:firstLineChars="0"/>
        <w:rPr>
          <w:rFonts w:ascii="宋体" w:hAnsi="宋体" w:cs="宋体"/>
        </w:rPr>
      </w:pPr>
    </w:p>
    <w:p>
      <w:pPr>
        <w:spacing w:line="480" w:lineRule="auto"/>
        <w:jc w:val="left"/>
        <w:rPr>
          <w:rFonts w:ascii="宋体" w:hAnsi="宋体" w:cs="宋体"/>
          <w:b/>
          <w:sz w:val="32"/>
          <w:szCs w:val="21"/>
        </w:rPr>
      </w:pPr>
      <w:r>
        <w:rPr>
          <w:rFonts w:hint="eastAsia" w:ascii="宋体" w:hAnsi="宋体" w:cs="宋体"/>
          <w:b/>
          <w:sz w:val="32"/>
          <w:szCs w:val="21"/>
        </w:rPr>
        <w:t>采购单位名称：</w:t>
      </w:r>
      <w:r>
        <w:rPr>
          <w:rFonts w:hint="eastAsia" w:ascii="宋体" w:hAnsi="宋体" w:cs="宋体"/>
          <w:b/>
          <w:sz w:val="32"/>
          <w:szCs w:val="21"/>
          <w:u w:val="single"/>
        </w:rPr>
        <w:t>长沙市轨道交通四号线建设发展有限公司</w:t>
      </w:r>
    </w:p>
    <w:p>
      <w:pPr>
        <w:pStyle w:val="45"/>
        <w:ind w:firstLine="0" w:firstLineChars="0"/>
        <w:rPr>
          <w:rFonts w:ascii="宋体" w:hAnsi="宋体" w:cs="宋体"/>
        </w:rPr>
      </w:pPr>
    </w:p>
    <w:p>
      <w:pPr>
        <w:spacing w:line="480" w:lineRule="auto"/>
        <w:jc w:val="left"/>
        <w:rPr>
          <w:rFonts w:ascii="宋体" w:hAnsi="宋体" w:cs="宋体"/>
          <w:b/>
          <w:sz w:val="32"/>
          <w:szCs w:val="21"/>
        </w:rPr>
      </w:pPr>
      <w:r>
        <w:rPr>
          <w:rFonts w:hint="eastAsia" w:ascii="宋体" w:hAnsi="宋体" w:cs="宋体"/>
          <w:b/>
          <w:sz w:val="32"/>
          <w:szCs w:val="21"/>
        </w:rPr>
        <w:t>谈判项目编号：</w:t>
      </w:r>
      <w:r>
        <w:rPr>
          <w:rFonts w:hint="eastAsia" w:ascii="宋体" w:hAnsi="宋体" w:cs="宋体"/>
          <w:b/>
          <w:sz w:val="32"/>
          <w:szCs w:val="21"/>
          <w:u w:val="single"/>
        </w:rPr>
        <w:t>长轨运物采【2019】31号</w:t>
      </w: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jc w:val="center"/>
        <w:rPr>
          <w:rFonts w:hAnsi="宋体" w:cs="宋体"/>
          <w:b/>
          <w:sz w:val="32"/>
        </w:rPr>
      </w:pPr>
    </w:p>
    <w:p>
      <w:pPr>
        <w:pStyle w:val="25"/>
        <w:adjustRightInd w:val="0"/>
        <w:snapToGrid w:val="0"/>
        <w:spacing w:line="360" w:lineRule="auto"/>
        <w:jc w:val="center"/>
        <w:rPr>
          <w:rFonts w:hAnsi="宋体" w:cs="宋体"/>
          <w:b/>
          <w:sz w:val="32"/>
        </w:rPr>
      </w:pPr>
      <w:r>
        <w:rPr>
          <w:rFonts w:hint="eastAsia" w:hAnsi="宋体" w:cs="宋体"/>
          <w:b/>
          <w:sz w:val="32"/>
          <w:u w:val="single"/>
        </w:rPr>
        <w:t>二〇一九</w:t>
      </w:r>
      <w:r>
        <w:rPr>
          <w:rFonts w:hint="eastAsia" w:hAnsi="宋体" w:cs="宋体"/>
          <w:b/>
          <w:sz w:val="32"/>
        </w:rPr>
        <w:t>年</w:t>
      </w:r>
      <w:r>
        <w:rPr>
          <w:rFonts w:hint="eastAsia" w:hAnsi="宋体" w:cs="宋体"/>
          <w:b/>
          <w:sz w:val="32"/>
          <w:u w:val="single"/>
        </w:rPr>
        <w:t>九</w:t>
      </w:r>
      <w:r>
        <w:rPr>
          <w:rFonts w:hint="eastAsia" w:hAnsi="宋体" w:cs="宋体"/>
          <w:b/>
          <w:sz w:val="32"/>
        </w:rPr>
        <w:t>月</w:t>
      </w:r>
    </w:p>
    <w:p>
      <w:pPr>
        <w:pStyle w:val="25"/>
        <w:adjustRightInd w:val="0"/>
        <w:snapToGrid w:val="0"/>
        <w:spacing w:line="360" w:lineRule="auto"/>
        <w:jc w:val="center"/>
        <w:rPr>
          <w:rFonts w:hAnsi="宋体" w:cs="宋体"/>
          <w:b/>
          <w:sz w:val="32"/>
        </w:rPr>
        <w:sectPr>
          <w:pgSz w:w="12240" w:h="15840"/>
          <w:pgMar w:top="1440" w:right="1800" w:bottom="1440" w:left="1800" w:header="720" w:footer="720" w:gutter="0"/>
          <w:pgNumType w:start="1"/>
          <w:cols w:space="720" w:num="1"/>
          <w:titlePg/>
          <w:docGrid w:type="lines" w:linePitch="323" w:charSpace="0"/>
        </w:sectPr>
      </w:pPr>
    </w:p>
    <w:p>
      <w:pPr>
        <w:jc w:val="center"/>
        <w:rPr>
          <w:rFonts w:ascii="宋体" w:hAnsi="宋体" w:cs="宋体"/>
          <w:b/>
          <w:bCs/>
          <w:sz w:val="32"/>
          <w:szCs w:val="32"/>
        </w:rPr>
      </w:pPr>
      <w:r>
        <w:rPr>
          <w:rFonts w:hint="eastAsia" w:ascii="宋体" w:hAnsi="宋体" w:cs="宋体"/>
          <w:b/>
          <w:bCs/>
          <w:sz w:val="32"/>
          <w:szCs w:val="32"/>
        </w:rPr>
        <w:t>目   录</w:t>
      </w:r>
    </w:p>
    <w:p>
      <w:pPr>
        <w:pStyle w:val="32"/>
        <w:tabs>
          <w:tab w:val="right" w:leader="dot" w:pos="9306"/>
        </w:tabs>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"_Toc10771" </w:instrText>
      </w:r>
      <w:r>
        <w:fldChar w:fldCharType="separate"/>
      </w:r>
      <w:r>
        <w:rPr>
          <w:rFonts w:hint="eastAsia" w:ascii="宋体" w:hAnsi="宋体" w:cs="宋体"/>
          <w:kern w:val="0"/>
          <w:szCs w:val="32"/>
        </w:rPr>
        <w:t>第一章  谈判邀请公告</w:t>
      </w:r>
      <w:r>
        <w:rPr>
          <w:rFonts w:hint="eastAsia" w:ascii="宋体" w:hAnsi="宋体" w:cs="宋体"/>
        </w:rPr>
        <w:tab/>
      </w:r>
      <w:r>
        <w:rPr>
          <w:rFonts w:hint="eastAsia" w:ascii="宋体" w:hAnsi="宋体" w:cs="宋体"/>
        </w:rPr>
        <w:t>1</w:t>
      </w:r>
      <w:r>
        <w:rPr>
          <w:rFonts w:hint="eastAsia" w:ascii="宋体" w:hAnsi="宋体" w:cs="宋体"/>
        </w:rPr>
        <w:fldChar w:fldCharType="end"/>
      </w:r>
    </w:p>
    <w:p>
      <w:pPr>
        <w:pStyle w:val="32"/>
        <w:tabs>
          <w:tab w:val="right" w:leader="dot" w:pos="9306"/>
        </w:tabs>
        <w:spacing w:line="360" w:lineRule="auto"/>
        <w:ind w:firstLine="420" w:firstLineChars="200"/>
        <w:rPr>
          <w:rFonts w:ascii="宋体" w:hAnsi="宋体" w:cs="宋体"/>
        </w:rPr>
      </w:pPr>
      <w:r>
        <w:fldChar w:fldCharType="begin"/>
      </w:r>
      <w:r>
        <w:instrText xml:space="preserve"> HYPERLINK \l "_Toc24224"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306"/>
        </w:tabs>
        <w:spacing w:line="360" w:lineRule="auto"/>
        <w:ind w:firstLine="420" w:firstLineChars="200"/>
        <w:rPr>
          <w:rFonts w:ascii="宋体" w:hAnsi="宋体" w:cs="宋体"/>
        </w:rPr>
      </w:pPr>
      <w:r>
        <w:fldChar w:fldCharType="begin"/>
      </w:r>
      <w:r>
        <w:instrText xml:space="preserve"> HYPERLINK \l "_Toc19533" </w:instrText>
      </w:r>
      <w:r>
        <w:fldChar w:fldCharType="separate"/>
      </w:r>
      <w:r>
        <w:rPr>
          <w:rFonts w:hint="eastAsia" w:ascii="宋体" w:hAnsi="宋体" w:cs="宋体"/>
        </w:rPr>
        <w:t>谈判须知前附表</w:t>
      </w:r>
      <w:r>
        <w:rPr>
          <w:rFonts w:hint="eastAsia" w:ascii="宋体" w:hAnsi="宋体" w:cs="宋体"/>
        </w:rPr>
        <w:tab/>
      </w:r>
      <w:r>
        <w:rPr>
          <w:rFonts w:hint="eastAsia" w:ascii="宋体" w:hAnsi="宋体" w:cs="宋体"/>
        </w:rPr>
        <w:t>5</w:t>
      </w:r>
      <w:r>
        <w:rPr>
          <w:rFonts w:hint="eastAsia" w:ascii="宋体" w:hAnsi="宋体" w:cs="宋体"/>
        </w:rPr>
        <w:fldChar w:fldCharType="end"/>
      </w:r>
    </w:p>
    <w:p>
      <w:pPr>
        <w:pStyle w:val="37"/>
        <w:tabs>
          <w:tab w:val="right" w:leader="dot" w:pos="9306"/>
        </w:tabs>
        <w:spacing w:line="360" w:lineRule="auto"/>
        <w:ind w:firstLine="420" w:firstLineChars="200"/>
        <w:rPr>
          <w:rFonts w:ascii="宋体" w:hAnsi="宋体" w:cs="宋体"/>
        </w:rPr>
      </w:pPr>
      <w:r>
        <w:fldChar w:fldCharType="begin"/>
      </w:r>
      <w:r>
        <w:instrText xml:space="preserve"> HYPERLINK \l "_Toc3259" </w:instrText>
      </w:r>
      <w:r>
        <w:fldChar w:fldCharType="separate"/>
      </w:r>
      <w:r>
        <w:rPr>
          <w:rFonts w:hint="eastAsia" w:ascii="宋体" w:hAnsi="宋体" w:cs="宋体"/>
          <w:szCs w:val="30"/>
        </w:rPr>
        <w:t>谈判须知正文</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"_Toc27846" </w:instrText>
      </w:r>
      <w:r>
        <w:fldChar w:fldCharType="separate"/>
      </w:r>
      <w:r>
        <w:rPr>
          <w:rFonts w:hint="eastAsia" w:ascii="宋体" w:hAnsi="宋体" w:cs="宋体"/>
        </w:rPr>
        <w:t>一、说明</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"_Toc28566" </w:instrText>
      </w:r>
      <w:r>
        <w:fldChar w:fldCharType="separate"/>
      </w:r>
      <w:r>
        <w:rPr>
          <w:rFonts w:hint="eastAsia" w:ascii="宋体" w:hAnsi="宋体" w:cs="宋体"/>
        </w:rPr>
        <w:t>二、谈判文件</w:t>
      </w:r>
      <w:r>
        <w:rPr>
          <w:rFonts w:hint="eastAsia" w:ascii="宋体" w:hAnsi="宋体" w:cs="宋体"/>
        </w:rPr>
        <w:tab/>
      </w:r>
      <w:r>
        <w:rPr>
          <w:rFonts w:hint="eastAsia" w:ascii="宋体" w:hAnsi="宋体" w:cs="宋体"/>
        </w:rPr>
        <w:t>8</w:t>
      </w:r>
      <w:r>
        <w:rPr>
          <w:rFonts w:hint="eastAsia" w:ascii="宋体" w:hAnsi="宋体" w:cs="宋体"/>
        </w:rPr>
        <w:fldChar w:fldCharType="end"/>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"_Toc10627" </w:instrText>
      </w:r>
      <w:r>
        <w:fldChar w:fldCharType="separate"/>
      </w:r>
      <w:r>
        <w:rPr>
          <w:rFonts w:hint="eastAsia" w:ascii="宋体" w:hAnsi="宋体" w:cs="宋体"/>
        </w:rPr>
        <w:t>三、响应文件</w:t>
      </w:r>
      <w:r>
        <w:rPr>
          <w:rFonts w:hint="eastAsia" w:ascii="宋体" w:hAnsi="宋体" w:cs="宋体"/>
        </w:rPr>
        <w:tab/>
      </w:r>
      <w:r>
        <w:rPr>
          <w:rFonts w:hint="eastAsia" w:ascii="宋体" w:hAnsi="宋体" w:cs="宋体"/>
        </w:rPr>
        <w:t>8</w:t>
      </w:r>
      <w:r>
        <w:rPr>
          <w:rFonts w:hint="eastAsia" w:ascii="宋体" w:hAnsi="宋体" w:cs="宋体"/>
        </w:rPr>
        <w:fldChar w:fldCharType="end"/>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"_Toc29460" </w:instrText>
      </w:r>
      <w:r>
        <w:fldChar w:fldCharType="separate"/>
      </w:r>
      <w:r>
        <w:rPr>
          <w:rFonts w:hint="eastAsia" w:ascii="宋体" w:hAnsi="宋体" w:cs="宋体"/>
        </w:rPr>
        <w:t>四、响应文件的递交</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"_Toc13572" </w:instrText>
      </w:r>
      <w:r>
        <w:fldChar w:fldCharType="separate"/>
      </w:r>
      <w:r>
        <w:rPr>
          <w:rFonts w:hint="eastAsia" w:ascii="宋体" w:hAnsi="宋体" w:cs="宋体"/>
        </w:rPr>
        <w:t>五、响应文件的评审</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"_Toc17723" </w:instrText>
      </w:r>
      <w:r>
        <w:fldChar w:fldCharType="separate"/>
      </w:r>
      <w:r>
        <w:rPr>
          <w:rFonts w:hint="eastAsia" w:ascii="宋体" w:hAnsi="宋体" w:cs="宋体"/>
        </w:rPr>
        <w:t>六、响应文件的澄清、说明及补正</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"_Toc15543" </w:instrText>
      </w:r>
      <w:r>
        <w:fldChar w:fldCharType="separate"/>
      </w:r>
      <w:r>
        <w:rPr>
          <w:rFonts w:hint="eastAsia" w:ascii="宋体" w:hAnsi="宋体" w:cs="宋体"/>
        </w:rPr>
        <w:t>七、中选结果与授予合同</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rPr>
        <w:t>八、其他</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2</w:t>
      </w:r>
    </w:p>
    <w:p>
      <w:pPr>
        <w:pStyle w:val="32"/>
        <w:tabs>
          <w:tab w:val="right" w:leader="dot" w:pos="9306"/>
        </w:tabs>
        <w:spacing w:line="360" w:lineRule="auto"/>
        <w:ind w:firstLine="420" w:firstLineChars="200"/>
        <w:rPr>
          <w:rFonts w:ascii="宋体" w:hAnsi="宋体" w:cs="宋体"/>
        </w:rPr>
      </w:pPr>
      <w:r>
        <w:fldChar w:fldCharType="begin"/>
      </w:r>
      <w:r>
        <w:instrText xml:space="preserve"> HYPERLINK \l "_Toc6171"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4</w:t>
      </w:r>
    </w:p>
    <w:p>
      <w:pPr>
        <w:pStyle w:val="32"/>
        <w:tabs>
          <w:tab w:val="right" w:leader="dot" w:pos="9306"/>
        </w:tabs>
        <w:spacing w:line="360" w:lineRule="auto"/>
        <w:ind w:firstLine="420" w:firstLineChars="200"/>
        <w:rPr>
          <w:rFonts w:ascii="宋体" w:hAnsi="宋体" w:cs="宋体"/>
        </w:rPr>
      </w:pPr>
      <w:r>
        <w:fldChar w:fldCharType="begin"/>
      </w:r>
      <w:r>
        <w:instrText xml:space="preserve"> HYPERLINK \l "_Toc23959"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_Toc23959 </w:instrText>
      </w:r>
      <w:r>
        <w:rPr>
          <w:rFonts w:hint="eastAsia" w:ascii="宋体" w:hAnsi="宋体" w:cs="宋体"/>
        </w:rPr>
        <w:fldChar w:fldCharType="separate"/>
      </w:r>
      <w:r>
        <w:rPr>
          <w:rFonts w:ascii="宋体" w:hAnsi="宋体" w:cs="宋体"/>
        </w:rPr>
        <w:t>16</w:t>
      </w:r>
      <w:r>
        <w:rPr>
          <w:rFonts w:hint="eastAsia" w:ascii="宋体" w:hAnsi="宋体" w:cs="宋体"/>
        </w:rPr>
        <w:fldChar w:fldCharType="end"/>
      </w:r>
      <w:r>
        <w:rPr>
          <w:rFonts w:hint="eastAsia" w:ascii="宋体" w:hAnsi="宋体" w:cs="宋体"/>
        </w:rPr>
        <w:fldChar w:fldCharType="end"/>
      </w:r>
    </w:p>
    <w:p>
      <w:pPr>
        <w:pStyle w:val="32"/>
        <w:tabs>
          <w:tab w:val="right" w:leader="dot" w:pos="9306"/>
        </w:tabs>
        <w:spacing w:line="360" w:lineRule="auto"/>
        <w:ind w:firstLine="420" w:firstLineChars="200"/>
        <w:rPr>
          <w:rFonts w:ascii="宋体" w:hAnsi="宋体" w:cs="宋体"/>
        </w:rPr>
      </w:pPr>
      <w:r>
        <w:fldChar w:fldCharType="begin"/>
      </w:r>
      <w:r>
        <w:instrText xml:space="preserve"> HYPERLINK \l "_Toc9727"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bCs/>
        </w:rPr>
        <w:t>6</w:t>
      </w:r>
    </w:p>
    <w:p>
      <w:pPr>
        <w:pStyle w:val="32"/>
        <w:tabs>
          <w:tab w:val="right" w:leader="dot" w:pos="9306"/>
        </w:tabs>
        <w:spacing w:line="360" w:lineRule="auto"/>
        <w:ind w:firstLine="420" w:firstLineChars="200"/>
        <w:rPr>
          <w:rFonts w:ascii="宋体" w:hAnsi="宋体" w:cs="宋体"/>
          <w:bCs/>
        </w:rPr>
      </w:pPr>
      <w:r>
        <w:fldChar w:fldCharType="begin"/>
      </w:r>
      <w:r>
        <w:instrText xml:space="preserve"> HYPERLINK \l "_Toc7480" </w:instrText>
      </w:r>
      <w:r>
        <w:fldChar w:fldCharType="separate"/>
      </w:r>
      <w:r>
        <w:rPr>
          <w:rFonts w:hint="eastAsia" w:ascii="宋体" w:hAnsi="宋体" w:cs="宋体"/>
          <w:szCs w:val="32"/>
        </w:rPr>
        <w:t>第六章  响应文件组成</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5</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rPr>
        <w:t>一、谈判承诺书</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7</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bCs/>
          <w:lang w:val="zh-CN"/>
        </w:rPr>
        <w:t>二</w:t>
      </w:r>
      <w:r>
        <w:rPr>
          <w:rFonts w:hint="eastAsia" w:ascii="宋体" w:hAnsi="宋体" w:cs="宋体"/>
        </w:rPr>
        <w:t>、法定代表人身份证明书</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8</w:t>
      </w:r>
    </w:p>
    <w:p>
      <w:pPr>
        <w:pStyle w:val="24"/>
        <w:tabs>
          <w:tab w:val="right" w:leader="dot" w:pos="9306"/>
        </w:tabs>
        <w:spacing w:line="360" w:lineRule="auto"/>
        <w:ind w:left="0" w:leftChars="0" w:firstLine="840" w:firstLineChars="400"/>
        <w:rPr>
          <w:rFonts w:ascii="宋体" w:hAnsi="宋体" w:cs="宋体"/>
        </w:rPr>
      </w:pPr>
      <w:r>
        <w:rPr>
          <w:rFonts w:hint="eastAsia" w:ascii="宋体" w:hAnsi="宋体" w:cs="宋体"/>
          <w:bCs/>
          <w:lang w:val="zh-CN"/>
        </w:rPr>
        <w:fldChar w:fldCharType="end"/>
      </w:r>
      <w:r>
        <w:fldChar w:fldCharType="begin"/>
      </w:r>
      <w:r>
        <w:instrText xml:space="preserve"> HYPERLINK \l "_Toc8013" </w:instrText>
      </w:r>
      <w:r>
        <w:fldChar w:fldCharType="separate"/>
      </w:r>
      <w:r>
        <w:rPr>
          <w:rFonts w:hint="eastAsia" w:ascii="宋体" w:hAnsi="宋体" w:cs="宋体"/>
        </w:rPr>
        <w:t>三、授权委托书</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9</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rPr>
        <w:t>四、谈判单位资格证明文件</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0</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bCs/>
          <w:lang w:val="zh-CN"/>
        </w:rPr>
        <w:t>五</w:t>
      </w:r>
      <w:r>
        <w:rPr>
          <w:rFonts w:hint="eastAsia" w:ascii="宋体" w:hAnsi="宋体" w:cs="宋体"/>
        </w:rPr>
        <w:t>、服务方案（如有）</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1</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rPr>
        <w:t>六、报价一览表</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2</w:t>
      </w:r>
    </w:p>
    <w:p>
      <w:pPr>
        <w:pStyle w:val="24"/>
        <w:tabs>
          <w:tab w:val="right" w:leader="dot" w:pos="9306"/>
        </w:tabs>
        <w:spacing w:line="360" w:lineRule="auto"/>
        <w:ind w:left="0" w:leftChars="0" w:firstLine="840" w:firstLineChars="400"/>
        <w:rPr>
          <w:rFonts w:ascii="宋体" w:hAnsi="宋体" w:cs="宋体"/>
          <w:bCs/>
        </w:rPr>
      </w:pPr>
      <w:r>
        <w:fldChar w:fldCharType="begin"/>
      </w:r>
      <w:r>
        <w:instrText xml:space="preserve"> HYPERLINK \l "_Toc8013" </w:instrText>
      </w:r>
      <w:r>
        <w:fldChar w:fldCharType="separate"/>
      </w:r>
      <w:r>
        <w:rPr>
          <w:rFonts w:hint="eastAsia" w:ascii="宋体" w:hAnsi="宋体" w:cs="宋体"/>
        </w:rPr>
        <w:t>七、分项价格表</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3</w:t>
      </w:r>
    </w:p>
    <w:p>
      <w:pPr>
        <w:pStyle w:val="24"/>
        <w:tabs>
          <w:tab w:val="right" w:leader="dot" w:pos="9306"/>
        </w:tabs>
        <w:spacing w:line="360" w:lineRule="auto"/>
        <w:ind w:left="0" w:leftChars="0" w:firstLine="840" w:firstLineChars="400"/>
        <w:rPr>
          <w:rFonts w:ascii="宋体" w:hAnsi="宋体" w:cs="宋体"/>
          <w:bCs/>
        </w:rPr>
      </w:pPr>
      <w:r>
        <w:fldChar w:fldCharType="begin"/>
      </w:r>
      <w:r>
        <w:instrText xml:space="preserve"> HYPERLINK \l "_Toc8013" </w:instrText>
      </w:r>
      <w:r>
        <w:fldChar w:fldCharType="separate"/>
      </w:r>
      <w:r>
        <w:rPr>
          <w:rFonts w:hint="eastAsia" w:ascii="宋体" w:hAnsi="宋体" w:cs="宋体"/>
        </w:rPr>
        <w:t>八、其他资料（如有）</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7</w:t>
      </w:r>
    </w:p>
    <w:p>
      <w:pPr>
        <w:rPr>
          <w:rFonts w:ascii="宋体" w:hAnsi="宋体" w:cs="宋体"/>
          <w:b/>
          <w:sz w:val="32"/>
          <w:szCs w:val="32"/>
        </w:rPr>
        <w:sectPr>
          <w:footerReference r:id="rId4" w:type="first"/>
          <w:footerReference r:id="rId3" w:type="default"/>
          <w:pgSz w:w="12240" w:h="15840"/>
          <w:pgMar w:top="1440" w:right="1800" w:bottom="1440" w:left="1797" w:header="720" w:footer="720" w:gutter="0"/>
          <w:pgNumType w:start="1"/>
          <w:cols w:space="720" w:num="1"/>
          <w:titlePg/>
          <w:docGrid w:type="lines" w:linePitch="323" w:charSpace="0"/>
        </w:sectPr>
      </w:pPr>
    </w:p>
    <w:p>
      <w:pPr>
        <w:jc w:val="center"/>
        <w:outlineLvl w:val="0"/>
        <w:rPr>
          <w:rFonts w:ascii="宋体" w:hAnsi="宋体" w:cs="宋体"/>
          <w:b/>
          <w:kern w:val="0"/>
          <w:sz w:val="32"/>
          <w:szCs w:val="32"/>
        </w:rPr>
      </w:pPr>
      <w:bookmarkStart w:id="0" w:name="_Toc10771"/>
      <w:r>
        <w:rPr>
          <w:rFonts w:hint="eastAsia" w:ascii="宋体" w:hAnsi="宋体" w:cs="宋体"/>
          <w:b/>
          <w:kern w:val="0"/>
          <w:sz w:val="32"/>
          <w:szCs w:val="32"/>
        </w:rPr>
        <w:t>第一章  谈判邀请公告</w:t>
      </w:r>
      <w:bookmarkEnd w:id="0"/>
    </w:p>
    <w:p>
      <w:pPr>
        <w:pStyle w:val="25"/>
        <w:adjustRightInd w:val="0"/>
        <w:snapToGrid w:val="0"/>
        <w:spacing w:line="360" w:lineRule="auto"/>
        <w:rPr>
          <w:rFonts w:hAnsi="宋体" w:cs="宋体"/>
          <w:iCs/>
          <w:u w:val="single"/>
        </w:rPr>
      </w:pPr>
    </w:p>
    <w:p>
      <w:pPr>
        <w:spacing w:line="360" w:lineRule="auto"/>
        <w:ind w:firstLine="420" w:firstLineChars="200"/>
        <w:jc w:val="left"/>
        <w:rPr>
          <w:rFonts w:ascii="宋体" w:hAnsi="宋体" w:cs="宋体"/>
          <w:iCs/>
          <w:szCs w:val="21"/>
        </w:rPr>
      </w:pPr>
      <w:r>
        <w:rPr>
          <w:rFonts w:hint="eastAsia" w:ascii="宋体" w:hAnsi="宋体" w:cs="宋体"/>
          <w:iCs/>
          <w:szCs w:val="21"/>
          <w:u w:val="single"/>
        </w:rPr>
        <w:t>湖南正源项目管理咨询有限公司</w:t>
      </w:r>
      <w:r>
        <w:rPr>
          <w:rFonts w:hint="eastAsia" w:ascii="宋体" w:hAnsi="宋体" w:cs="宋体"/>
          <w:szCs w:val="21"/>
        </w:rPr>
        <w:t>受</w:t>
      </w:r>
      <w:r>
        <w:rPr>
          <w:rFonts w:hint="eastAsia" w:ascii="宋体" w:hAnsi="宋体" w:cs="宋体"/>
          <w:iCs/>
          <w:szCs w:val="21"/>
          <w:u w:val="single"/>
        </w:rPr>
        <w:t>长沙市轨道交通四号线建设发展有限公司</w:t>
      </w:r>
      <w:r>
        <w:rPr>
          <w:rFonts w:hint="eastAsia" w:ascii="宋体" w:hAnsi="宋体" w:cs="宋体"/>
          <w:szCs w:val="21"/>
        </w:rPr>
        <w:t>的委托，</w:t>
      </w:r>
      <w:r>
        <w:rPr>
          <w:rFonts w:hint="eastAsia" w:ascii="宋体" w:hAnsi="宋体" w:cs="宋体"/>
          <w:iCs/>
          <w:szCs w:val="21"/>
        </w:rPr>
        <w:t>对</w:t>
      </w:r>
      <w:r>
        <w:rPr>
          <w:rFonts w:hint="eastAsia" w:ascii="宋体" w:hAnsi="宋体" w:cs="宋体"/>
          <w:color w:val="000000"/>
        </w:rPr>
        <w:t>长沙市轨道交通运营期4号线2019年度模拟驾驶器采购项目</w:t>
      </w:r>
      <w:r>
        <w:rPr>
          <w:rFonts w:hint="eastAsia" w:ascii="宋体" w:hAnsi="宋体" w:cs="宋体"/>
          <w:iCs/>
          <w:szCs w:val="21"/>
        </w:rPr>
        <w:t>进行自主竞争性谈判采购，现发布公告，邀请符合条件的单位参与谈判采购活动。</w:t>
      </w:r>
    </w:p>
    <w:p>
      <w:pPr>
        <w:spacing w:line="360" w:lineRule="auto"/>
        <w:ind w:firstLine="422" w:firstLineChars="200"/>
        <w:jc w:val="left"/>
        <w:rPr>
          <w:rFonts w:ascii="宋体" w:hAnsi="宋体" w:cs="宋体"/>
          <w:b/>
          <w:iCs/>
        </w:rPr>
      </w:pPr>
      <w:r>
        <w:rPr>
          <w:rFonts w:hint="eastAsia" w:ascii="宋体" w:hAnsi="宋体" w:cs="宋体"/>
          <w:b/>
          <w:iCs/>
        </w:rPr>
        <w:t>一、项目概况</w:t>
      </w:r>
    </w:p>
    <w:p>
      <w:pPr>
        <w:spacing w:line="360" w:lineRule="auto"/>
        <w:ind w:firstLine="420" w:firstLineChars="200"/>
        <w:jc w:val="left"/>
        <w:rPr>
          <w:rFonts w:ascii="宋体" w:hAnsi="宋体" w:cs="宋体"/>
          <w:iCs/>
        </w:rPr>
      </w:pPr>
      <w:r>
        <w:rPr>
          <w:rFonts w:hint="eastAsia" w:ascii="宋体" w:hAnsi="宋体" w:cs="宋体"/>
          <w:iCs/>
        </w:rPr>
        <w:t>1.项目名称：</w:t>
      </w:r>
      <w:r>
        <w:rPr>
          <w:rFonts w:hint="eastAsia" w:ascii="宋体" w:hAnsi="宋体" w:cs="宋体"/>
          <w:color w:val="000000"/>
        </w:rPr>
        <w:t>长沙市轨道交通运营期4号线2019年度模拟驾驶器采购项目</w:t>
      </w:r>
    </w:p>
    <w:p>
      <w:pPr>
        <w:spacing w:line="360" w:lineRule="auto"/>
        <w:ind w:firstLine="420" w:firstLineChars="200"/>
        <w:jc w:val="left"/>
        <w:rPr>
          <w:rFonts w:ascii="宋体" w:hAnsi="宋体" w:cs="宋体"/>
          <w:iCs/>
          <w:szCs w:val="21"/>
          <w:u w:val="single"/>
        </w:rPr>
      </w:pPr>
      <w:r>
        <w:rPr>
          <w:rFonts w:hint="eastAsia" w:ascii="宋体" w:hAnsi="宋体" w:cs="宋体"/>
          <w:iCs/>
        </w:rPr>
        <w:t>2.项目控制价：900000.00元</w:t>
      </w:r>
    </w:p>
    <w:p>
      <w:pPr>
        <w:spacing w:line="360" w:lineRule="auto"/>
        <w:ind w:firstLine="420" w:firstLineChars="200"/>
        <w:jc w:val="left"/>
        <w:rPr>
          <w:rFonts w:ascii="宋体" w:hAnsi="宋体" w:cs="宋体"/>
          <w:iCs/>
          <w:u w:val="single"/>
        </w:rPr>
      </w:pPr>
      <w:r>
        <w:rPr>
          <w:rFonts w:hint="eastAsia" w:ascii="宋体" w:hAnsi="宋体" w:cs="宋体"/>
          <w:iCs/>
          <w:szCs w:val="21"/>
        </w:rPr>
        <w:t>3.</w:t>
      </w:r>
      <w:r>
        <w:rPr>
          <w:rFonts w:hint="eastAsia" w:ascii="宋体" w:hAnsi="宋体" w:cs="宋体"/>
          <w:iCs/>
        </w:rPr>
        <w:t>谈判内容：</w:t>
      </w:r>
      <w:r>
        <w:rPr>
          <w:rFonts w:hint="eastAsia" w:ascii="宋体" w:hAnsi="宋体" w:cs="宋体"/>
          <w:color w:val="000000"/>
          <w:szCs w:val="21"/>
        </w:rPr>
        <w:t>本项目主要为长沙市轨道交通4号线司机操纵台、行调控制台、前向视景显示器等22项模拟驾驶器物资进行采购，所购买的设备能用于电客车司机岗位的持证上岗、日常培训、技能鉴定及行业竞赛。（具体详见用户需求书）</w:t>
      </w:r>
    </w:p>
    <w:p>
      <w:pPr>
        <w:spacing w:line="360" w:lineRule="auto"/>
        <w:ind w:firstLine="420" w:firstLineChars="200"/>
        <w:jc w:val="left"/>
        <w:rPr>
          <w:rFonts w:ascii="宋体" w:hAnsi="宋体" w:cs="宋体"/>
          <w:iCs/>
          <w:u w:val="single"/>
        </w:rPr>
      </w:pPr>
      <w:r>
        <w:rPr>
          <w:rFonts w:hint="eastAsia" w:ascii="宋体" w:hAnsi="宋体" w:cs="宋体"/>
          <w:iCs/>
        </w:rPr>
        <w:t>4</w:t>
      </w:r>
      <w:r>
        <w:rPr>
          <w:rFonts w:hint="eastAsia" w:ascii="宋体" w:hAnsi="宋体" w:cs="宋体"/>
          <w:iCs/>
          <w:szCs w:val="21"/>
        </w:rPr>
        <w:t>.</w:t>
      </w:r>
      <w:r>
        <w:rPr>
          <w:rFonts w:hint="eastAsia" w:ascii="宋体" w:hAnsi="宋体" w:cs="宋体"/>
          <w:iCs/>
        </w:rPr>
        <w:t>标段划分：共划分1个标段。</w:t>
      </w:r>
    </w:p>
    <w:p>
      <w:pPr>
        <w:spacing w:line="360" w:lineRule="auto"/>
        <w:ind w:firstLine="420" w:firstLineChars="200"/>
        <w:jc w:val="left"/>
        <w:rPr>
          <w:rFonts w:ascii="宋体" w:hAnsi="宋体" w:cs="宋体"/>
          <w:iCs/>
        </w:rPr>
      </w:pPr>
      <w:r>
        <w:rPr>
          <w:rFonts w:hint="eastAsia" w:ascii="宋体" w:hAnsi="宋体" w:cs="宋体"/>
          <w:iCs/>
        </w:rPr>
        <w:t>5</w:t>
      </w:r>
      <w:r>
        <w:rPr>
          <w:rFonts w:hint="eastAsia" w:ascii="宋体" w:hAnsi="宋体" w:cs="宋体"/>
          <w:iCs/>
          <w:szCs w:val="21"/>
        </w:rPr>
        <w:t>.</w:t>
      </w:r>
      <w:r>
        <w:rPr>
          <w:rFonts w:hint="eastAsia" w:ascii="宋体" w:hAnsi="宋体" w:cs="宋体"/>
          <w:iCs/>
        </w:rPr>
        <w:t>供货期：</w:t>
      </w:r>
      <w:bookmarkStart w:id="1" w:name="_Toc12768"/>
      <w:bookmarkStart w:id="2" w:name="_Toc26083"/>
      <w:bookmarkStart w:id="3" w:name="_Toc26748"/>
      <w:r>
        <w:rPr>
          <w:rFonts w:hint="eastAsia" w:ascii="宋体" w:hAnsi="宋体" w:cs="宋体"/>
          <w:color w:val="000000"/>
          <w:szCs w:val="21"/>
        </w:rPr>
        <w:t>从甲方发出书面供货通知之日起30个自然日内完成供货及安装、调试工作。</w:t>
      </w:r>
      <w:bookmarkEnd w:id="1"/>
      <w:bookmarkEnd w:id="2"/>
      <w:bookmarkEnd w:id="3"/>
      <w:r>
        <w:rPr>
          <w:rFonts w:hint="eastAsia" w:ascii="宋体" w:hAnsi="宋体" w:cs="宋体"/>
          <w:color w:val="000000"/>
          <w:szCs w:val="21"/>
        </w:rPr>
        <w:t>（具体详见用户需求书）</w:t>
      </w:r>
    </w:p>
    <w:p>
      <w:pPr>
        <w:spacing w:line="360" w:lineRule="auto"/>
        <w:ind w:firstLine="420" w:firstLineChars="200"/>
        <w:jc w:val="left"/>
        <w:rPr>
          <w:rFonts w:ascii="宋体" w:hAnsi="宋体" w:cs="宋体"/>
          <w:iCs/>
          <w:strike w:val="0"/>
          <w:dstrike w:val="0"/>
        </w:rPr>
      </w:pPr>
      <w:r>
        <w:rPr>
          <w:rFonts w:hint="eastAsia" w:ascii="宋体" w:hAnsi="宋体" w:cs="宋体"/>
          <w:iCs/>
          <w:strike w:val="0"/>
          <w:dstrike w:val="0"/>
        </w:rPr>
        <w:t>6</w:t>
      </w:r>
      <w:r>
        <w:rPr>
          <w:rFonts w:hint="eastAsia" w:ascii="宋体" w:hAnsi="宋体" w:cs="宋体"/>
          <w:iCs/>
          <w:strike w:val="0"/>
          <w:dstrike w:val="0"/>
          <w:szCs w:val="21"/>
        </w:rPr>
        <w:t>.</w:t>
      </w:r>
      <w:r>
        <w:rPr>
          <w:rFonts w:hint="eastAsia" w:ascii="宋体" w:hAnsi="宋体" w:cs="宋体"/>
          <w:iCs/>
          <w:strike w:val="0"/>
          <w:dstrike w:val="0"/>
        </w:rPr>
        <w:t>采购范围：</w:t>
      </w:r>
      <w:r>
        <w:rPr>
          <w:rFonts w:hint="eastAsia" w:ascii="宋体" w:hAnsi="宋体" w:cs="宋体"/>
          <w:strike w:val="0"/>
          <w:dstrike w:val="0"/>
          <w:color w:val="000000"/>
          <w:szCs w:val="21"/>
        </w:rPr>
        <w:t>本项目主要为长沙市轨道交通4号线司机操纵台、行调控制台、前向视景显示器等22项模拟驾驶器物资进行采购，所购买的设备能用于电客车司机岗位的持证上岗、日常培训、技能鉴定及行业竞赛。（具体详见用户需求书）</w:t>
      </w:r>
    </w:p>
    <w:p>
      <w:pPr>
        <w:spacing w:line="360" w:lineRule="auto"/>
        <w:ind w:firstLine="422" w:firstLineChars="200"/>
        <w:jc w:val="left"/>
        <w:rPr>
          <w:rFonts w:ascii="宋体" w:hAnsi="宋体" w:cs="宋体"/>
          <w:bCs/>
          <w:u w:val="single"/>
        </w:rPr>
      </w:pPr>
      <w:r>
        <w:rPr>
          <w:rFonts w:hint="eastAsia" w:ascii="宋体" w:hAnsi="宋体" w:cs="宋体"/>
          <w:b/>
          <w:iCs/>
        </w:rPr>
        <w:t>二、资格要求</w:t>
      </w:r>
    </w:p>
    <w:p>
      <w:pPr>
        <w:spacing w:line="360" w:lineRule="auto"/>
        <w:ind w:firstLine="420" w:firstLineChars="200"/>
        <w:rPr>
          <w:rFonts w:ascii="宋体" w:hAnsi="宋体" w:cs="宋体"/>
          <w:iCs/>
        </w:rPr>
      </w:pPr>
      <w:r>
        <w:rPr>
          <w:rFonts w:hint="eastAsia" w:ascii="宋体" w:hAnsi="宋体" w:cs="宋体"/>
          <w:szCs w:val="21"/>
        </w:rPr>
        <w:t>1.</w:t>
      </w:r>
      <w:r>
        <w:rPr>
          <w:rFonts w:hint="eastAsia" w:ascii="宋体" w:hAnsi="宋体" w:cs="宋体"/>
          <w:color w:val="000000"/>
        </w:rPr>
        <w:t>谈判单位须为具有独立法人资格、自主经营、独立核算的</w:t>
      </w:r>
      <w:r>
        <w:rPr>
          <w:rFonts w:hint="eastAsia" w:ascii="宋体" w:hAnsi="宋体" w:cs="宋体"/>
          <w:color w:val="000000"/>
          <w:szCs w:val="21"/>
        </w:rPr>
        <w:t>公司，须提供营业执照副本原件。</w:t>
      </w:r>
    </w:p>
    <w:p>
      <w:pPr>
        <w:spacing w:line="360" w:lineRule="auto"/>
        <w:ind w:firstLine="420" w:firstLineChars="200"/>
        <w:rPr>
          <w:rFonts w:ascii="宋体" w:hAnsi="宋体" w:cs="宋体"/>
        </w:rPr>
      </w:pPr>
      <w:r>
        <w:rPr>
          <w:rFonts w:hint="eastAsia" w:ascii="宋体" w:hAnsi="宋体" w:cs="宋体"/>
          <w:szCs w:val="21"/>
        </w:rPr>
        <w:t>2.</w:t>
      </w:r>
      <w:r>
        <w:rPr>
          <w:rFonts w:hint="eastAsia" w:ascii="宋体" w:hAnsi="宋体" w:cs="宋体"/>
          <w:color w:val="000000"/>
        </w:rPr>
        <w:t>谈判单位须为经国家交通运输部认可的交通运输行业研发中心认定单位（须提供国家交通运输部公布的研发中心认定结果通知文件的复印件，并</w:t>
      </w:r>
      <w:r>
        <w:rPr>
          <w:rFonts w:hint="eastAsia" w:ascii="宋体" w:hAnsi="宋体" w:cs="宋体"/>
          <w:szCs w:val="21"/>
        </w:rPr>
        <w:t>加盖谈判单位公章</w:t>
      </w:r>
      <w:r>
        <w:rPr>
          <w:rFonts w:hint="eastAsia" w:ascii="宋体" w:hAnsi="宋体" w:cs="宋体"/>
          <w:color w:val="000000"/>
        </w:rPr>
        <w:t>）</w:t>
      </w:r>
      <w:r>
        <w:rPr>
          <w:rFonts w:hint="eastAsia" w:ascii="宋体" w:hAnsi="宋体" w:cs="宋体"/>
        </w:rPr>
        <w:t>。</w:t>
      </w:r>
    </w:p>
    <w:p>
      <w:pPr>
        <w:spacing w:line="360" w:lineRule="auto"/>
        <w:ind w:firstLine="420" w:firstLineChars="200"/>
        <w:jc w:val="left"/>
        <w:rPr>
          <w:rFonts w:ascii="宋体" w:hAnsi="宋体" w:cs="宋体"/>
        </w:rPr>
      </w:pPr>
      <w:r>
        <w:rPr>
          <w:rFonts w:hint="eastAsia" w:ascii="宋体" w:hAnsi="宋体" w:cs="宋体"/>
        </w:rPr>
        <w:t>3.谈判单位须提供所投产品（模拟驾驶器）经国家认监委认可的第三方检验机构出具的检验报告复印件，</w:t>
      </w:r>
      <w:r>
        <w:rPr>
          <w:rFonts w:hint="eastAsia" w:ascii="宋体" w:hAnsi="宋体" w:cs="宋体"/>
          <w:color w:val="000000"/>
        </w:rPr>
        <w:t>并</w:t>
      </w:r>
      <w:r>
        <w:rPr>
          <w:rFonts w:hint="eastAsia" w:ascii="宋体" w:hAnsi="宋体" w:cs="宋体"/>
          <w:szCs w:val="21"/>
        </w:rPr>
        <w:t>加盖谈判单位公章</w:t>
      </w:r>
      <w:r>
        <w:rPr>
          <w:rFonts w:hint="eastAsia" w:ascii="宋体" w:hAnsi="宋体" w:cs="宋体"/>
        </w:rPr>
        <w:t>。</w:t>
      </w:r>
    </w:p>
    <w:p>
      <w:pPr>
        <w:spacing w:line="360" w:lineRule="auto"/>
        <w:ind w:firstLine="420" w:firstLineChars="200"/>
        <w:rPr>
          <w:rFonts w:ascii="宋体" w:hAnsi="宋体" w:cs="宋体"/>
          <w:szCs w:val="21"/>
        </w:rPr>
      </w:pPr>
      <w:r>
        <w:rPr>
          <w:rFonts w:hint="eastAsia" w:ascii="宋体" w:hAnsi="宋体" w:cs="宋体"/>
          <w:szCs w:val="21"/>
        </w:rPr>
        <w:t>4.谈判单位</w:t>
      </w:r>
      <w:r>
        <w:rPr>
          <w:rFonts w:hint="eastAsia" w:ascii="宋体" w:hAnsi="宋体" w:cs="宋体"/>
        </w:rPr>
        <w:t>在本项目响应文件递交截止之日前36个月内须具有单项合同金额不少于45万元的</w:t>
      </w:r>
      <w:r>
        <w:rPr>
          <w:rFonts w:hint="eastAsia" w:ascii="宋体" w:hAnsi="宋体" w:cs="宋体"/>
          <w:color w:val="000000"/>
          <w:szCs w:val="21"/>
        </w:rPr>
        <w:t>城市轨道交通列车司机竞赛设备</w:t>
      </w:r>
      <w:r>
        <w:rPr>
          <w:rFonts w:hint="eastAsia" w:ascii="宋体" w:hAnsi="宋体" w:cs="宋体"/>
        </w:rPr>
        <w:t>相关供货业绩</w:t>
      </w:r>
      <w:r>
        <w:rPr>
          <w:rFonts w:hint="eastAsia" w:ascii="宋体" w:hAnsi="宋体" w:cs="宋体"/>
          <w:color w:val="000000"/>
        </w:rPr>
        <w:t>。</w:t>
      </w:r>
    </w:p>
    <w:p>
      <w:pPr>
        <w:spacing w:line="360" w:lineRule="auto"/>
        <w:ind w:firstLine="420" w:firstLineChars="200"/>
        <w:rPr>
          <w:rFonts w:ascii="宋体" w:hAnsi="宋体" w:cs="宋体"/>
          <w:kern w:val="0"/>
          <w:szCs w:val="21"/>
        </w:rPr>
      </w:pPr>
      <w:r>
        <w:rPr>
          <w:rFonts w:hint="eastAsia" w:ascii="宋体" w:hAnsi="宋体" w:cs="宋体"/>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szCs w:val="21"/>
        </w:rPr>
      </w:pPr>
      <w:r>
        <w:rPr>
          <w:rFonts w:hint="eastAsia" w:ascii="宋体" w:hAnsi="宋体" w:cs="宋体"/>
          <w:szCs w:val="21"/>
        </w:rPr>
        <w:t>5.本次谈判不接受联合体形式参与谈判。</w:t>
      </w:r>
    </w:p>
    <w:p>
      <w:pPr>
        <w:spacing w:line="360" w:lineRule="auto"/>
        <w:ind w:firstLine="420" w:firstLineChars="200"/>
        <w:rPr>
          <w:rFonts w:ascii="宋体" w:hAnsi="宋体" w:cs="宋体"/>
          <w:iCs/>
          <w:szCs w:val="21"/>
        </w:rPr>
      </w:pPr>
      <w:r>
        <w:rPr>
          <w:rFonts w:hint="eastAsia" w:ascii="宋体" w:hAnsi="宋体" w:cs="宋体"/>
          <w:szCs w:val="21"/>
        </w:rPr>
        <w:t>6.</w:t>
      </w:r>
      <w:r>
        <w:rPr>
          <w:rFonts w:hint="eastAsia" w:ascii="宋体" w:hAnsi="宋体" w:cs="宋体"/>
          <w:iCs/>
          <w:szCs w:val="21"/>
        </w:rPr>
        <w:t>被长沙市轨道交通集团函告禁止在一定期限内参与轨道公司项目投标或谈判的单位按函告内容执行。</w:t>
      </w:r>
    </w:p>
    <w:p>
      <w:pPr>
        <w:spacing w:line="360" w:lineRule="auto"/>
        <w:ind w:firstLine="422" w:firstLineChars="200"/>
        <w:jc w:val="left"/>
        <w:rPr>
          <w:rFonts w:ascii="宋体" w:hAnsi="宋体" w:cs="宋体"/>
          <w:b/>
          <w:iCs/>
        </w:rPr>
      </w:pPr>
      <w:r>
        <w:rPr>
          <w:rFonts w:hint="eastAsia" w:ascii="宋体" w:hAnsi="宋体" w:cs="宋体"/>
          <w:b/>
          <w:iCs/>
        </w:rPr>
        <w:t>三、评审办法</w:t>
      </w:r>
    </w:p>
    <w:p>
      <w:pPr>
        <w:spacing w:line="360" w:lineRule="auto"/>
        <w:ind w:firstLine="420" w:firstLineChars="200"/>
        <w:jc w:val="left"/>
        <w:rPr>
          <w:rFonts w:ascii="宋体" w:hAnsi="宋体" w:cs="宋体"/>
          <w:szCs w:val="21"/>
        </w:rPr>
      </w:pPr>
      <w:r>
        <w:rPr>
          <w:rFonts w:hint="eastAsia" w:ascii="宋体" w:hAnsi="宋体" w:cs="宋体"/>
          <w:iCs/>
          <w:szCs w:val="21"/>
        </w:rPr>
        <w:t>本项目评审办法采用经符合性审查合格后的最低价法。</w:t>
      </w:r>
    </w:p>
    <w:p>
      <w:pPr>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凡有意参加谈判的单位，请于2019年</w:t>
      </w:r>
      <w:r>
        <w:rPr>
          <w:rFonts w:hint="eastAsia" w:ascii="宋体" w:hAnsi="宋体" w:cs="宋体"/>
          <w:szCs w:val="21"/>
          <w:u w:val="single"/>
          <w:lang w:val="en-US" w:eastAsia="zh-CN"/>
        </w:rPr>
        <w:t>9</w:t>
      </w:r>
      <w:r>
        <w:rPr>
          <w:rFonts w:hint="eastAsia" w:ascii="宋体" w:hAnsi="宋体" w:cs="宋体"/>
          <w:szCs w:val="21"/>
        </w:rPr>
        <w:t>月</w:t>
      </w:r>
      <w:r>
        <w:rPr>
          <w:rFonts w:hint="eastAsia" w:ascii="宋体" w:hAnsi="宋体" w:cs="宋体"/>
          <w:szCs w:val="21"/>
          <w:u w:val="single"/>
          <w:lang w:val="en-US" w:eastAsia="zh-CN"/>
        </w:rPr>
        <w:t>29</w:t>
      </w:r>
      <w:r>
        <w:rPr>
          <w:rFonts w:hint="eastAsia" w:ascii="宋体" w:hAnsi="宋体" w:cs="宋体"/>
          <w:szCs w:val="21"/>
        </w:rPr>
        <w:t>日至2019年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10</w:t>
      </w:r>
      <w:r>
        <w:rPr>
          <w:rFonts w:hint="eastAsia" w:ascii="宋体" w:hAnsi="宋体" w:cs="宋体"/>
          <w:szCs w:val="21"/>
        </w:rPr>
        <w:t>日登录长沙市轨道交通集团有限公司官方网站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u w:val="single"/>
          <w:lang w:val="en-US" w:eastAsia="zh-CN"/>
        </w:rPr>
        <w:t>2019</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11</w:t>
      </w:r>
      <w:r>
        <w:rPr>
          <w:rFonts w:hint="eastAsia" w:ascii="宋体" w:hAnsi="宋体" w:cs="宋体"/>
          <w:szCs w:val="21"/>
        </w:rPr>
        <w:t>日</w:t>
      </w:r>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ascii="宋体" w:hAnsi="宋体" w:cs="宋体"/>
          <w:kern w:val="0"/>
        </w:rPr>
        <w:t>在长沙市轨道交通集团有限公司官</w:t>
      </w:r>
      <w:r>
        <w:rPr>
          <w:rFonts w:hint="eastAsia" w:ascii="宋体" w:hAnsi="宋体" w:cs="宋体"/>
          <w:kern w:val="0"/>
          <w:szCs w:val="21"/>
        </w:rPr>
        <w:t>（http://www.hncsmtr.com/）</w:t>
      </w:r>
      <w:r>
        <w:rPr>
          <w:rFonts w:hint="eastAsia" w:ascii="宋体" w:hAnsi="宋体" w:cs="宋体"/>
          <w:kern w:val="0"/>
        </w:rPr>
        <w:t>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宋体" w:hAnsi="宋体" w:cs="宋体"/>
          <w:b/>
          <w:iCs/>
        </w:rPr>
      </w:pPr>
      <w:r>
        <w:rPr>
          <w:rFonts w:hint="eastAsia" w:ascii="宋体" w:hAnsi="宋体" w:cs="宋体"/>
          <w:b/>
          <w:bCs/>
          <w:kern w:val="0"/>
          <w:szCs w:val="21"/>
        </w:rPr>
        <w:t>六</w:t>
      </w:r>
      <w:r>
        <w:rPr>
          <w:rFonts w:hint="eastAsia" w:ascii="宋体" w:hAnsi="宋体" w:cs="宋体"/>
          <w:kern w:val="0"/>
          <w:szCs w:val="21"/>
        </w:rPr>
        <w:t>、</w:t>
      </w:r>
      <w:r>
        <w:rPr>
          <w:rFonts w:hint="eastAsia" w:ascii="宋体" w:hAnsi="宋体" w:cs="宋体"/>
          <w:b/>
          <w:iCs/>
        </w:rPr>
        <w:t>响应文件的递交</w:t>
      </w:r>
    </w:p>
    <w:p>
      <w:pPr>
        <w:spacing w:line="360" w:lineRule="auto"/>
        <w:ind w:firstLine="420" w:firstLineChars="200"/>
        <w:rPr>
          <w:rFonts w:ascii="宋体" w:hAnsi="宋体" w:cs="宋体"/>
          <w:color w:val="0000FF"/>
          <w:szCs w:val="21"/>
        </w:rPr>
      </w:pPr>
      <w:r>
        <w:rPr>
          <w:rFonts w:hint="eastAsia" w:ascii="宋体" w:hAnsi="宋体" w:cs="宋体"/>
          <w:bCs/>
          <w:szCs w:val="21"/>
        </w:rPr>
        <w:t>1.响应文件递交的截止时间及谈判时间为</w:t>
      </w:r>
      <w:bookmarkStart w:id="199" w:name="_GoBack"/>
      <w:r>
        <w:rPr>
          <w:rFonts w:hint="eastAsia" w:ascii="宋体" w:hAnsi="宋体" w:cs="宋体"/>
          <w:bCs/>
          <w:szCs w:val="21"/>
          <w:highlight w:val="none"/>
        </w:rPr>
        <w:t>2019年</w:t>
      </w:r>
      <w:r>
        <w:rPr>
          <w:rFonts w:hint="eastAsia" w:ascii="宋体" w:hAnsi="宋体" w:cs="宋体"/>
          <w:bCs/>
          <w:szCs w:val="21"/>
          <w:highlight w:val="none"/>
          <w:u w:val="single"/>
          <w:lang w:val="en-US" w:eastAsia="zh-CN"/>
        </w:rPr>
        <w:t>10</w:t>
      </w:r>
      <w:r>
        <w:rPr>
          <w:rFonts w:hint="eastAsia" w:ascii="宋体" w:hAnsi="宋体" w:cs="宋体"/>
          <w:bCs/>
          <w:szCs w:val="21"/>
          <w:highlight w:val="none"/>
        </w:rPr>
        <w:t>月</w:t>
      </w:r>
      <w:r>
        <w:rPr>
          <w:rFonts w:hint="eastAsia" w:ascii="宋体" w:hAnsi="宋体" w:cs="宋体"/>
          <w:bCs/>
          <w:szCs w:val="21"/>
          <w:highlight w:val="none"/>
          <w:u w:val="single"/>
          <w:lang w:val="en-US" w:eastAsia="zh-CN"/>
        </w:rPr>
        <w:t>16</w:t>
      </w:r>
      <w:r>
        <w:rPr>
          <w:rFonts w:hint="eastAsia" w:ascii="宋体" w:hAnsi="宋体" w:cs="宋体"/>
          <w:bCs/>
          <w:szCs w:val="21"/>
          <w:highlight w:val="none"/>
        </w:rPr>
        <w:t>日</w:t>
      </w:r>
      <w:r>
        <w:rPr>
          <w:rFonts w:hint="eastAsia" w:ascii="宋体" w:hAnsi="宋体" w:cs="宋体"/>
          <w:bCs/>
          <w:szCs w:val="21"/>
          <w:highlight w:val="none"/>
          <w:u w:val="single"/>
          <w:lang w:val="en-US" w:eastAsia="zh-CN"/>
        </w:rPr>
        <w:t>14</w:t>
      </w:r>
      <w:r>
        <w:rPr>
          <w:rFonts w:hint="eastAsia" w:ascii="宋体" w:hAnsi="宋体" w:cs="宋体"/>
          <w:bCs/>
          <w:szCs w:val="21"/>
          <w:highlight w:val="none"/>
        </w:rPr>
        <w:t>时</w:t>
      </w:r>
      <w:r>
        <w:rPr>
          <w:rFonts w:hint="eastAsia" w:ascii="宋体" w:hAnsi="宋体" w:cs="宋体"/>
          <w:bCs/>
          <w:szCs w:val="21"/>
          <w:highlight w:val="none"/>
          <w:u w:val="single"/>
          <w:lang w:val="en-US" w:eastAsia="zh-CN"/>
        </w:rPr>
        <w:t>30</w:t>
      </w:r>
      <w:r>
        <w:rPr>
          <w:rFonts w:hint="eastAsia" w:ascii="宋体" w:hAnsi="宋体" w:cs="宋体"/>
          <w:bCs/>
          <w:szCs w:val="21"/>
          <w:highlight w:val="none"/>
        </w:rPr>
        <w:t>分</w:t>
      </w:r>
      <w:bookmarkEnd w:id="199"/>
      <w:r>
        <w:rPr>
          <w:rFonts w:hint="eastAsia" w:ascii="宋体" w:hAnsi="宋体" w:cs="宋体"/>
          <w:bCs/>
          <w:szCs w:val="21"/>
        </w:rPr>
        <w:t>，地点为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2.逾期送达的或者未送达指定地点的或者未密封的响应文件，采购单位或采购代理机构将予以拒收。</w:t>
      </w:r>
    </w:p>
    <w:p>
      <w:pPr>
        <w:spacing w:line="360" w:lineRule="auto"/>
        <w:ind w:firstLine="422" w:firstLineChars="200"/>
        <w:rPr>
          <w:rFonts w:ascii="宋体" w:hAnsi="宋体" w:cs="宋体"/>
          <w:b/>
          <w:sz w:val="24"/>
        </w:rPr>
      </w:pPr>
      <w:r>
        <w:rPr>
          <w:rFonts w:hint="eastAsia" w:ascii="宋体" w:hAnsi="宋体" w:cs="宋体"/>
          <w:b/>
          <w:iCs/>
          <w:szCs w:val="21"/>
        </w:rPr>
        <w:t>七、采购单位及其委托的采购代理机构的名称、地址和联系方法</w:t>
      </w:r>
    </w:p>
    <w:p>
      <w:pPr>
        <w:spacing w:line="360" w:lineRule="auto"/>
        <w:ind w:firstLine="422" w:firstLineChars="200"/>
        <w:rPr>
          <w:rFonts w:ascii="宋体" w:hAnsi="宋体" w:cs="宋体"/>
          <w:b/>
          <w:szCs w:val="21"/>
        </w:rPr>
      </w:pPr>
      <w:r>
        <w:rPr>
          <w:rFonts w:hint="eastAsia" w:ascii="宋体" w:hAnsi="宋体" w:cs="宋体"/>
          <w:b/>
          <w:bCs/>
          <w:szCs w:val="21"/>
        </w:rPr>
        <w:t>采购单位：</w:t>
      </w:r>
      <w:r>
        <w:rPr>
          <w:rFonts w:hint="eastAsia" w:ascii="宋体" w:hAnsi="宋体" w:cs="宋体"/>
          <w:szCs w:val="21"/>
        </w:rPr>
        <w:t>长沙市轨道交通四号线建设发展有限公司</w:t>
      </w:r>
    </w:p>
    <w:p>
      <w:pPr>
        <w:spacing w:line="360" w:lineRule="auto"/>
        <w:ind w:firstLine="420" w:firstLineChars="200"/>
        <w:rPr>
          <w:rFonts w:ascii="宋体" w:hAnsi="宋体" w:cs="宋体"/>
          <w:b/>
          <w:szCs w:val="21"/>
        </w:rPr>
      </w:pPr>
      <w:r>
        <w:rPr>
          <w:rFonts w:hint="eastAsia" w:ascii="宋体" w:hAnsi="宋体" w:cs="宋体"/>
          <w:szCs w:val="21"/>
        </w:rPr>
        <w:t>地  址：长沙市劳动东路二段48号长沙市轨道交通运营有限公司综合楼910室。</w:t>
      </w:r>
    </w:p>
    <w:p>
      <w:pPr>
        <w:spacing w:line="360" w:lineRule="auto"/>
        <w:ind w:firstLine="420" w:firstLineChars="200"/>
        <w:rPr>
          <w:rFonts w:ascii="宋体" w:hAnsi="宋体" w:cs="宋体"/>
          <w:b/>
          <w:szCs w:val="21"/>
        </w:rPr>
      </w:pPr>
      <w:r>
        <w:rPr>
          <w:rFonts w:hint="eastAsia" w:ascii="宋体" w:hAnsi="宋体" w:cs="宋体"/>
          <w:bCs/>
          <w:szCs w:val="21"/>
        </w:rPr>
        <w:t>联系人：</w:t>
      </w:r>
      <w:r>
        <w:rPr>
          <w:rFonts w:hint="eastAsia" w:ascii="宋体" w:hAnsi="宋体" w:cs="宋体"/>
          <w:szCs w:val="21"/>
        </w:rPr>
        <w:t>沈工</w:t>
      </w:r>
    </w:p>
    <w:p>
      <w:pPr>
        <w:spacing w:line="360" w:lineRule="auto"/>
        <w:ind w:firstLine="420" w:firstLineChars="200"/>
        <w:rPr>
          <w:rFonts w:ascii="宋体" w:hAnsi="宋体" w:cs="宋体"/>
          <w:b/>
          <w:szCs w:val="21"/>
        </w:rPr>
      </w:pPr>
      <w:r>
        <w:rPr>
          <w:rFonts w:hint="eastAsia" w:ascii="宋体" w:hAnsi="宋体" w:cs="宋体"/>
          <w:bCs/>
          <w:szCs w:val="21"/>
        </w:rPr>
        <w:t>电  话：</w:t>
      </w:r>
      <w:r>
        <w:rPr>
          <w:rFonts w:hint="eastAsia" w:ascii="宋体" w:hAnsi="宋体" w:cs="宋体"/>
          <w:szCs w:val="21"/>
        </w:rPr>
        <w:t>0731-86852347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0731-86852248</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采购代理机构：湖南正源项目管理咨询有限公司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址：长沙市雨花区韶山北路488号东一国际南栋1128室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联系人：佘东麟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电  话：0731-85328332</w:t>
      </w:r>
    </w:p>
    <w:p>
      <w:pPr>
        <w:spacing w:line="360" w:lineRule="auto"/>
        <w:ind w:firstLine="420" w:firstLineChars="200"/>
        <w:jc w:val="right"/>
        <w:rPr>
          <w:rFonts w:ascii="宋体" w:hAnsi="宋体" w:cs="宋体"/>
          <w:szCs w:val="21"/>
        </w:rPr>
      </w:pPr>
      <w:r>
        <w:rPr>
          <w:rFonts w:hint="eastAsia" w:ascii="宋体" w:hAnsi="宋体" w:cs="宋体"/>
          <w:szCs w:val="21"/>
        </w:rPr>
        <w:t>2019年</w:t>
      </w:r>
      <w:r>
        <w:rPr>
          <w:rFonts w:hint="eastAsia" w:ascii="宋体" w:hAnsi="宋体" w:cs="宋体"/>
          <w:szCs w:val="21"/>
          <w:u w:val="single"/>
          <w:lang w:val="en-US" w:eastAsia="zh-CN"/>
        </w:rPr>
        <w:t>9</w:t>
      </w:r>
      <w:r>
        <w:rPr>
          <w:rFonts w:hint="eastAsia" w:ascii="宋体" w:hAnsi="宋体" w:cs="宋体"/>
          <w:szCs w:val="21"/>
        </w:rPr>
        <w:t>月</w:t>
      </w:r>
      <w:r>
        <w:rPr>
          <w:rFonts w:hint="eastAsia" w:ascii="宋体" w:hAnsi="宋体" w:cs="宋体"/>
          <w:szCs w:val="21"/>
          <w:u w:val="single"/>
          <w:lang w:val="en-US" w:eastAsia="zh-CN"/>
        </w:rPr>
        <w:t>29</w:t>
      </w:r>
      <w:r>
        <w:rPr>
          <w:rFonts w:hint="eastAsia" w:ascii="宋体" w:hAnsi="宋体" w:cs="宋体"/>
          <w:szCs w:val="21"/>
        </w:rPr>
        <w:t>日</w:t>
      </w:r>
    </w:p>
    <w:p>
      <w:pPr>
        <w:pStyle w:val="3"/>
        <w:keepNext w:val="0"/>
        <w:spacing w:after="240"/>
        <w:rPr>
          <w:rFonts w:ascii="宋体" w:hAnsi="宋体" w:cs="宋体"/>
          <w:bCs w:val="0"/>
          <w:sz w:val="32"/>
          <w:szCs w:val="32"/>
        </w:rPr>
      </w:pPr>
      <w:r>
        <w:rPr>
          <w:rFonts w:hint="eastAsia" w:ascii="宋体" w:hAnsi="宋体" w:cs="宋体"/>
          <w:b w:val="0"/>
          <w:bCs w:val="0"/>
          <w:sz w:val="32"/>
          <w:szCs w:val="32"/>
        </w:rPr>
        <w:br w:type="page"/>
      </w:r>
      <w:bookmarkStart w:id="4" w:name="_Toc24224"/>
      <w:r>
        <w:rPr>
          <w:rFonts w:hint="eastAsia" w:ascii="宋体" w:hAnsi="宋体" w:cs="宋体"/>
          <w:bCs w:val="0"/>
          <w:sz w:val="32"/>
          <w:szCs w:val="32"/>
        </w:rPr>
        <w:t>第二章 谈判须知</w:t>
      </w:r>
      <w:bookmarkEnd w:id="4"/>
    </w:p>
    <w:p>
      <w:pPr>
        <w:pStyle w:val="4"/>
        <w:keepNext w:val="0"/>
        <w:keepLines w:val="0"/>
        <w:jc w:val="center"/>
        <w:rPr>
          <w:rFonts w:ascii="宋体" w:hAnsi="宋体" w:cs="宋体"/>
          <w:sz w:val="32"/>
        </w:rPr>
      </w:pPr>
      <w:bookmarkStart w:id="5" w:name="_Toc19533"/>
      <w:r>
        <w:rPr>
          <w:rFonts w:hint="eastAsia" w:ascii="宋体" w:hAnsi="宋体" w:cs="宋体"/>
          <w:sz w:val="32"/>
        </w:rPr>
        <w:t>谈判须知前附表</w:t>
      </w:r>
      <w:bookmarkEnd w:id="5"/>
    </w:p>
    <w:tbl>
      <w:tblPr>
        <w:tblStyle w:val="46"/>
        <w:tblW w:w="937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5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51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514" w:type="dxa"/>
            <w:vAlign w:val="center"/>
          </w:tcPr>
          <w:p>
            <w:pPr>
              <w:pStyle w:val="25"/>
              <w:adjustRightInd w:val="0"/>
              <w:snapToGrid w:val="0"/>
              <w:spacing w:line="360" w:lineRule="auto"/>
              <w:rPr>
                <w:rFonts w:hAnsi="宋体" w:cs="宋体"/>
              </w:rPr>
            </w:pPr>
            <w:r>
              <w:rPr>
                <w:rFonts w:hint="eastAsia" w:hAnsi="宋体" w:cs="宋体"/>
                <w:color w:val="000000"/>
              </w:rPr>
              <w:t>长沙市轨道交通运营期4号线2019年度模拟驾驶器采购项目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514" w:type="dxa"/>
            <w:vAlign w:val="center"/>
          </w:tcPr>
          <w:p>
            <w:pPr>
              <w:adjustRightInd w:val="0"/>
              <w:snapToGrid w:val="0"/>
              <w:spacing w:line="360" w:lineRule="auto"/>
              <w:rPr>
                <w:rFonts w:ascii="宋体" w:hAnsi="宋体" w:cs="宋体"/>
                <w:iCs/>
                <w:szCs w:val="21"/>
              </w:rPr>
            </w:pPr>
            <w:r>
              <w:rPr>
                <w:rFonts w:hint="eastAsia" w:ascii="宋体" w:hAnsi="宋体" w:cs="宋体"/>
                <w:szCs w:val="21"/>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514" w:type="dxa"/>
            <w:vAlign w:val="center"/>
          </w:tcPr>
          <w:p>
            <w:pPr>
              <w:adjustRightInd w:val="0"/>
              <w:snapToGrid w:val="0"/>
              <w:spacing w:line="360" w:lineRule="auto"/>
              <w:rPr>
                <w:rFonts w:ascii="宋体" w:hAnsi="宋体" w:cs="宋体"/>
                <w:iCs/>
                <w:szCs w:val="21"/>
              </w:rPr>
            </w:pPr>
            <w:r>
              <w:rPr>
                <w:rFonts w:hint="eastAsia" w:ascii="宋体" w:hAnsi="宋体" w:cs="宋体"/>
                <w:szCs w:val="21"/>
              </w:rPr>
              <w:t>湖南正源项目管理咨询有限公司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谈判控制价</w:t>
            </w:r>
          </w:p>
        </w:tc>
        <w:tc>
          <w:tcPr>
            <w:tcW w:w="7514" w:type="dxa"/>
            <w:vAlign w:val="center"/>
          </w:tcPr>
          <w:p>
            <w:pPr>
              <w:adjustRightInd w:val="0"/>
              <w:snapToGrid w:val="0"/>
              <w:spacing w:line="360" w:lineRule="auto"/>
              <w:jc w:val="left"/>
              <w:rPr>
                <w:rFonts w:ascii="宋体" w:hAnsi="宋体" w:cs="宋体"/>
                <w:b/>
                <w:bCs/>
                <w:iCs/>
                <w:szCs w:val="21"/>
              </w:rPr>
            </w:pPr>
            <w:r>
              <w:rPr>
                <w:rFonts w:hint="eastAsia" w:ascii="宋体" w:hAnsi="宋体" w:cs="宋体"/>
                <w:szCs w:val="21"/>
              </w:rPr>
              <w:t>900000.00元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514"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514" w:type="dxa"/>
            <w:vAlign w:val="center"/>
          </w:tcPr>
          <w:p>
            <w:pPr>
              <w:spacing w:line="360" w:lineRule="auto"/>
              <w:rPr>
                <w:rFonts w:ascii="宋体" w:hAnsi="宋体" w:cs="宋体"/>
                <w:iCs/>
              </w:rPr>
            </w:pPr>
            <w:r>
              <w:rPr>
                <w:rFonts w:hint="eastAsia" w:ascii="宋体" w:hAnsi="宋体" w:cs="宋体"/>
                <w:szCs w:val="21"/>
              </w:rPr>
              <w:t>1.</w:t>
            </w:r>
            <w:r>
              <w:rPr>
                <w:rFonts w:hint="eastAsia" w:ascii="宋体" w:hAnsi="宋体" w:cs="宋体"/>
                <w:color w:val="000000"/>
              </w:rPr>
              <w:t>谈判单位须为具有独立法人资格、自主经营、独立核算的</w:t>
            </w:r>
            <w:r>
              <w:rPr>
                <w:rFonts w:hint="eastAsia" w:ascii="宋体" w:hAnsi="宋体" w:cs="宋体"/>
                <w:color w:val="000000"/>
                <w:szCs w:val="21"/>
              </w:rPr>
              <w:t>公司，须提供营业执照副本原件。</w:t>
            </w:r>
          </w:p>
          <w:p>
            <w:pPr>
              <w:spacing w:line="360" w:lineRule="auto"/>
              <w:rPr>
                <w:rFonts w:ascii="宋体" w:hAnsi="宋体" w:cs="宋体"/>
              </w:rPr>
            </w:pPr>
            <w:r>
              <w:rPr>
                <w:rFonts w:hint="eastAsia" w:ascii="宋体" w:hAnsi="宋体" w:cs="宋体"/>
                <w:szCs w:val="21"/>
              </w:rPr>
              <w:t>2.</w:t>
            </w:r>
            <w:r>
              <w:rPr>
                <w:rFonts w:hint="eastAsia" w:ascii="宋体" w:hAnsi="宋体" w:cs="宋体"/>
                <w:color w:val="000000"/>
              </w:rPr>
              <w:t>谈判单位须为经国家交通运输部认可的交通运输行业研发中心认定单位（须提供国家交通运输部公布的研发中心认定结果通知文件的复印件，并</w:t>
            </w:r>
            <w:r>
              <w:rPr>
                <w:rFonts w:hint="eastAsia" w:ascii="宋体" w:hAnsi="宋体" w:cs="宋体"/>
                <w:szCs w:val="21"/>
              </w:rPr>
              <w:t>加盖谈判单位公章</w:t>
            </w:r>
            <w:r>
              <w:rPr>
                <w:rFonts w:hint="eastAsia" w:ascii="宋体" w:hAnsi="宋体" w:cs="宋体"/>
                <w:color w:val="000000"/>
              </w:rPr>
              <w:t>）</w:t>
            </w:r>
            <w:r>
              <w:rPr>
                <w:rFonts w:hint="eastAsia" w:ascii="宋体" w:hAnsi="宋体" w:cs="宋体"/>
              </w:rPr>
              <w:t>。</w:t>
            </w:r>
          </w:p>
          <w:p>
            <w:pPr>
              <w:spacing w:line="360" w:lineRule="auto"/>
              <w:jc w:val="left"/>
              <w:rPr>
                <w:rFonts w:ascii="宋体" w:hAnsi="宋体" w:cs="宋体"/>
              </w:rPr>
            </w:pPr>
            <w:r>
              <w:rPr>
                <w:rFonts w:hint="eastAsia" w:ascii="宋体" w:hAnsi="宋体" w:cs="宋体"/>
              </w:rPr>
              <w:t>3.谈判单位须提供所投产品（模拟驾驶器）经国家认监委认可的第三方检验机构出具的检验报告复印件，</w:t>
            </w:r>
            <w:r>
              <w:rPr>
                <w:rFonts w:hint="eastAsia" w:ascii="宋体" w:hAnsi="宋体" w:cs="宋体"/>
                <w:color w:val="000000"/>
              </w:rPr>
              <w:t>并</w:t>
            </w:r>
            <w:r>
              <w:rPr>
                <w:rFonts w:hint="eastAsia" w:ascii="宋体" w:hAnsi="宋体" w:cs="宋体"/>
                <w:szCs w:val="21"/>
              </w:rPr>
              <w:t>加盖谈判单位公章</w:t>
            </w:r>
            <w:r>
              <w:rPr>
                <w:rFonts w:hint="eastAsia" w:ascii="宋体" w:hAnsi="宋体" w:cs="宋体"/>
              </w:rPr>
              <w:t>。</w:t>
            </w:r>
          </w:p>
          <w:p>
            <w:pPr>
              <w:spacing w:line="360" w:lineRule="auto"/>
              <w:rPr>
                <w:rFonts w:ascii="宋体" w:hAnsi="宋体" w:cs="宋体"/>
                <w:szCs w:val="21"/>
              </w:rPr>
            </w:pPr>
            <w:r>
              <w:rPr>
                <w:rFonts w:hint="eastAsia" w:ascii="宋体" w:hAnsi="宋体" w:cs="宋体"/>
                <w:szCs w:val="21"/>
              </w:rPr>
              <w:t>4.谈判单位</w:t>
            </w:r>
            <w:r>
              <w:rPr>
                <w:rFonts w:hint="eastAsia" w:ascii="宋体" w:hAnsi="宋体" w:cs="宋体"/>
              </w:rPr>
              <w:t>在本项目响应文件递交截止之日前36个月内须具有单项合同金额不少于45万元的</w:t>
            </w:r>
            <w:r>
              <w:rPr>
                <w:rFonts w:hint="eastAsia" w:ascii="宋体" w:hAnsi="宋体" w:cs="宋体"/>
                <w:color w:val="000000"/>
                <w:szCs w:val="21"/>
              </w:rPr>
              <w:t>城市轨道交通列车司机竞赛设备</w:t>
            </w:r>
            <w:r>
              <w:rPr>
                <w:rFonts w:hint="eastAsia" w:ascii="宋体" w:hAnsi="宋体" w:cs="宋体"/>
              </w:rPr>
              <w:t>相关供货业绩</w:t>
            </w:r>
            <w:r>
              <w:rPr>
                <w:rFonts w:hint="eastAsia" w:ascii="宋体" w:hAnsi="宋体" w:cs="宋体"/>
                <w:color w:val="000000"/>
              </w:rPr>
              <w:t>。</w:t>
            </w:r>
          </w:p>
          <w:p>
            <w:pPr>
              <w:spacing w:line="360" w:lineRule="auto"/>
              <w:rPr>
                <w:rFonts w:ascii="宋体" w:hAnsi="宋体" w:cs="宋体"/>
                <w:kern w:val="0"/>
                <w:szCs w:val="21"/>
              </w:rPr>
            </w:pPr>
            <w:r>
              <w:rPr>
                <w:rFonts w:hint="eastAsia" w:ascii="宋体" w:hAnsi="宋体" w:cs="宋体"/>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rPr>
                <w:rFonts w:ascii="宋体" w:hAnsi="宋体" w:cs="宋体"/>
                <w:szCs w:val="21"/>
              </w:rPr>
            </w:pPr>
            <w:r>
              <w:rPr>
                <w:rFonts w:hint="eastAsia" w:ascii="宋体" w:hAnsi="宋体" w:cs="宋体"/>
                <w:szCs w:val="21"/>
              </w:rPr>
              <w:t>5.本次谈判不接受联合体形式参与谈判。</w:t>
            </w:r>
          </w:p>
          <w:p>
            <w:pPr>
              <w:spacing w:line="360" w:lineRule="auto"/>
              <w:rPr>
                <w:rFonts w:ascii="宋体" w:hAnsi="宋体" w:cs="宋体"/>
                <w:szCs w:val="21"/>
              </w:rPr>
            </w:pPr>
            <w:r>
              <w:rPr>
                <w:rFonts w:hint="eastAsia" w:ascii="宋体" w:hAnsi="宋体" w:cs="宋体"/>
                <w:szCs w:val="21"/>
              </w:rPr>
              <w:t>6.</w:t>
            </w:r>
            <w:r>
              <w:rPr>
                <w:rFonts w:hint="eastAsia" w:ascii="宋体" w:hAnsi="宋体" w:cs="宋体"/>
                <w:iCs/>
                <w:szCs w:val="21"/>
              </w:rPr>
              <w:t>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514" w:type="dxa"/>
            <w:vAlign w:val="center"/>
          </w:tcPr>
          <w:p>
            <w:pPr>
              <w:pStyle w:val="25"/>
              <w:adjustRightInd w:val="0"/>
              <w:snapToGrid w:val="0"/>
              <w:spacing w:line="360" w:lineRule="auto"/>
              <w:rPr>
                <w:rFonts w:hAnsi="宋体" w:cs="宋体"/>
              </w:rPr>
            </w:pPr>
            <w:r>
              <w:rPr>
                <w:rFonts w:hint="eastAsia" w:hAnsi="宋体" w:cs="宋体"/>
                <w:u w:val="single"/>
              </w:rPr>
              <w:t>2019</w:t>
            </w:r>
            <w:r>
              <w:rPr>
                <w:rFonts w:hint="eastAsia" w:hAnsi="宋体" w:cs="宋体"/>
              </w:rPr>
              <w:t>年</w:t>
            </w:r>
            <w:r>
              <w:rPr>
                <w:rFonts w:hint="eastAsia" w:hAnsi="宋体" w:cs="宋体"/>
                <w:u w:val="single"/>
                <w:lang w:val="en-US" w:eastAsia="zh-CN"/>
              </w:rPr>
              <w:t>10</w:t>
            </w:r>
            <w:r>
              <w:rPr>
                <w:rFonts w:hint="eastAsia" w:hAnsi="宋体" w:cs="宋体"/>
              </w:rPr>
              <w:t>月</w:t>
            </w:r>
            <w:r>
              <w:rPr>
                <w:rFonts w:hint="eastAsia" w:hAnsi="宋体" w:cs="宋体"/>
                <w:u w:val="single"/>
                <w:lang w:val="en-US" w:eastAsia="zh-CN"/>
              </w:rPr>
              <w:t>11</w:t>
            </w:r>
            <w:r>
              <w:rPr>
                <w:rFonts w:hint="eastAsia" w:hAnsi="宋体" w:cs="宋体"/>
              </w:rPr>
              <w:t>日</w:t>
            </w:r>
            <w:r>
              <w:rPr>
                <w:rFonts w:hint="eastAsia" w:hAnsi="宋体" w:cs="宋体"/>
                <w:u w:val="single"/>
                <w:lang w:val="en-US" w:eastAsia="zh-CN"/>
              </w:rPr>
              <w:t>17</w:t>
            </w:r>
            <w:r>
              <w:rPr>
                <w:rFonts w:hint="eastAsia" w:hAnsi="宋体" w:cs="宋体"/>
              </w:rPr>
              <w:t>时</w:t>
            </w:r>
            <w:r>
              <w:rPr>
                <w:rFonts w:hint="eastAsia" w:hAnsi="宋体" w:cs="宋体"/>
                <w:u w:val="single"/>
                <w:lang w:val="en-US" w:eastAsia="zh-CN"/>
              </w:rPr>
              <w:t>00</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514" w:type="dxa"/>
            <w:vAlign w:val="center"/>
          </w:tcPr>
          <w:p>
            <w:pPr>
              <w:pStyle w:val="25"/>
              <w:adjustRightInd w:val="0"/>
              <w:snapToGrid w:val="0"/>
              <w:spacing w:line="360" w:lineRule="auto"/>
              <w:rPr>
                <w:rFonts w:hAnsi="宋体" w:cs="宋体"/>
                <w:iCs/>
              </w:rPr>
            </w:pPr>
            <w:r>
              <w:rPr>
                <w:rFonts w:hint="eastAsia" w:hAnsi="宋体" w:cs="宋体"/>
              </w:rPr>
              <w:t>谈判答疑文件应以书面形式递交至长沙市雨花区韶山北路488号东一国际南栋1128室湖南正源项目管理咨询有限公司。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514"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u w:val="single"/>
              </w:rPr>
              <w:t>2019</w:t>
            </w:r>
            <w:r>
              <w:rPr>
                <w:rFonts w:hint="eastAsia" w:ascii="宋体" w:hAnsi="宋体" w:cs="宋体"/>
                <w:szCs w:val="21"/>
              </w:rPr>
              <w:t>年</w:t>
            </w:r>
            <w:r>
              <w:rPr>
                <w:rFonts w:hint="eastAsia" w:ascii="宋体" w:hAnsi="宋体" w:cs="宋体"/>
                <w:u w:val="single"/>
                <w:lang w:val="en-US" w:eastAsia="zh-CN"/>
              </w:rPr>
              <w:t>10</w:t>
            </w:r>
            <w:r>
              <w:rPr>
                <w:rFonts w:hint="eastAsia" w:ascii="宋体" w:hAnsi="宋体" w:cs="宋体"/>
              </w:rPr>
              <w:t>月</w:t>
            </w:r>
            <w:r>
              <w:rPr>
                <w:rFonts w:hint="eastAsia" w:ascii="宋体" w:hAnsi="宋体" w:cs="宋体"/>
                <w:u w:val="single"/>
                <w:lang w:val="en-US" w:eastAsia="zh-CN"/>
              </w:rPr>
              <w:t>16</w:t>
            </w:r>
            <w:r>
              <w:rPr>
                <w:rFonts w:hint="eastAsia" w:ascii="宋体" w:hAnsi="宋体" w:cs="宋体"/>
              </w:rPr>
              <w:t>日</w:t>
            </w:r>
            <w:r>
              <w:rPr>
                <w:rFonts w:hint="eastAsia" w:ascii="宋体" w:hAnsi="宋体" w:cs="宋体"/>
                <w:u w:val="single"/>
                <w:lang w:val="en-US" w:eastAsia="zh-CN"/>
              </w:rPr>
              <w:t>14</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长沙市劳动东路二段48号长沙市轨道交通运营有限公司综合楼910室。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514" w:type="dxa"/>
            <w:vAlign w:val="center"/>
          </w:tcPr>
          <w:p>
            <w:pPr>
              <w:adjustRightInd w:val="0"/>
              <w:snapToGrid w:val="0"/>
              <w:spacing w:line="360" w:lineRule="auto"/>
              <w:jc w:val="left"/>
              <w:rPr>
                <w:rFonts w:ascii="宋体" w:hAnsi="宋体" w:cs="宋体"/>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u w:val="single"/>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u w:val="single"/>
              </w:rPr>
              <w:t>（格式详见本文件</w:t>
            </w:r>
            <w:r>
              <w:rPr>
                <w:rFonts w:hint="eastAsia" w:ascii="宋体" w:hAnsi="宋体" w:cs="宋体"/>
                <w:b/>
                <w:bCs/>
                <w:iCs/>
                <w:szCs w:val="21"/>
                <w:u w:val="single"/>
              </w:rPr>
              <w:t>第六章</w:t>
            </w:r>
            <w:r>
              <w:rPr>
                <w:rFonts w:hint="eastAsia" w:ascii="宋体" w:hAnsi="宋体" w:cs="宋体"/>
                <w:b/>
                <w:szCs w:val="21"/>
                <w:u w:val="single"/>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514"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514"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本合同为总价合同，合同总价包括包括卖方为履行合同义务进行的设备制造前准备、设计联络（如有）、设备（包括备品备件、易损易耗件、专用工具)设计、制造、检验、包装、发货、运输至现场指定交货地点、装卸、安装（如有）/安装督导（如有）、检验及验收、调试、人员培训、向政府机构报检（如有）、试运行服务及质量保证服务等履行合同标的全过程产生的所有成本费用和利润以及卖方应承担的一切税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514" w:type="dxa"/>
            <w:vAlign w:val="center"/>
          </w:tcPr>
          <w:p>
            <w:pPr>
              <w:spacing w:line="360" w:lineRule="auto"/>
              <w:rPr>
                <w:rFonts w:ascii="宋体" w:hAnsi="宋体" w:cs="宋体"/>
                <w:szCs w:val="21"/>
              </w:rPr>
            </w:pPr>
            <w:r>
              <w:rPr>
                <w:rFonts w:hint="eastAsia" w:ascii="宋体" w:hAnsi="宋体" w:cs="宋体"/>
                <w:szCs w:val="21"/>
              </w:rPr>
              <w:t>1.预付款：本项目不支付预付款。</w:t>
            </w:r>
          </w:p>
          <w:p>
            <w:pPr>
              <w:pStyle w:val="45"/>
              <w:adjustRightInd w:val="0"/>
              <w:snapToGrid w:val="0"/>
              <w:spacing w:after="0" w:line="360" w:lineRule="auto"/>
              <w:ind w:firstLine="0" w:firstLineChars="0"/>
              <w:rPr>
                <w:rFonts w:ascii="宋体" w:hAnsi="宋体" w:cs="宋体"/>
                <w:szCs w:val="21"/>
              </w:rPr>
            </w:pPr>
            <w:r>
              <w:rPr>
                <w:rFonts w:hint="eastAsia" w:ascii="宋体" w:hAnsi="宋体" w:cs="宋体"/>
                <w:szCs w:val="21"/>
              </w:rPr>
              <w:t>2.履约验收完成付款：卖方按合同约定完成所有货物供货、安装（如有）/安装督导（如有）及相关服务，项目整体验收合格且按买方相关规定办理履约验收，履约验收完成后，在收到卖方支付申请并证实完整后28个工作日内，支付至合同价格的95%。</w:t>
            </w:r>
          </w:p>
          <w:p>
            <w:pPr>
              <w:pStyle w:val="45"/>
              <w:adjustRightInd w:val="0"/>
              <w:snapToGrid w:val="0"/>
              <w:spacing w:after="0" w:line="360" w:lineRule="auto"/>
              <w:ind w:firstLine="0" w:firstLineChars="0"/>
              <w:rPr>
                <w:rFonts w:ascii="宋体" w:hAnsi="宋体" w:cs="宋体"/>
                <w:szCs w:val="21"/>
              </w:rPr>
            </w:pPr>
            <w:r>
              <w:rPr>
                <w:rFonts w:hint="eastAsia" w:ascii="宋体" w:hAnsi="宋体" w:cs="宋体"/>
                <w:szCs w:val="21"/>
              </w:rPr>
              <w:t>3.质保期满付款：质保期满且最终验收合格，收到卖方支付请求并经买方审核无误后28个工作日内，支付合同价格的剩余款项。</w:t>
            </w:r>
          </w:p>
          <w:p>
            <w:pPr>
              <w:pStyle w:val="45"/>
              <w:adjustRightInd w:val="0"/>
              <w:snapToGrid w:val="0"/>
              <w:spacing w:after="0" w:line="360" w:lineRule="auto"/>
              <w:ind w:firstLine="0" w:firstLineChars="0"/>
              <w:rPr>
                <w:rFonts w:ascii="宋体" w:hAnsi="宋体" w:cs="宋体"/>
                <w:szCs w:val="21"/>
              </w:rPr>
            </w:pPr>
            <w:r>
              <w:rPr>
                <w:rFonts w:hint="eastAsia" w:ascii="宋体" w:hAnsi="宋体" w:cs="宋体"/>
                <w:szCs w:val="21"/>
              </w:rPr>
              <w:t>4.卖方应理解本合同的资金来源为政府资金，款项的拨付须经有关部门批准，若买方在规定的支付期限内未支付合同价款，卖方不得以款项延迟支付而停止、拒绝履行本合同或要求买方支付任何利息。</w:t>
            </w:r>
          </w:p>
          <w:p>
            <w:pPr>
              <w:pStyle w:val="45"/>
              <w:adjustRightInd w:val="0"/>
              <w:snapToGrid w:val="0"/>
              <w:spacing w:after="0" w:line="360" w:lineRule="auto"/>
              <w:ind w:firstLine="0" w:firstLineChars="0"/>
              <w:rPr>
                <w:rFonts w:ascii="宋体" w:hAnsi="宋体" w:cs="宋体"/>
                <w:szCs w:val="21"/>
              </w:rPr>
            </w:pPr>
            <w:r>
              <w:rPr>
                <w:rFonts w:hint="eastAsia" w:ascii="宋体" w:hAnsi="宋体" w:cs="宋体"/>
                <w:szCs w:val="21"/>
              </w:rPr>
              <w:t>5.卖方提供的相关单据，其中增值税专用发票应符合税法相关规定，金额为合同总价款，包括收取的奖励费、包装物租金等价外费用，安装调试费、运输费不得另行开具服务类专用发票。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（如有）</w:t>
            </w:r>
          </w:p>
        </w:tc>
      </w:tr>
    </w:tbl>
    <w:p>
      <w:pPr>
        <w:pStyle w:val="4"/>
        <w:keepNext w:val="0"/>
        <w:keepLines w:val="0"/>
        <w:jc w:val="center"/>
        <w:rPr>
          <w:rFonts w:ascii="宋体" w:hAnsi="宋体" w:cs="宋体"/>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jc w:val="center"/>
        <w:rPr>
          <w:rFonts w:ascii="宋体" w:hAnsi="宋体" w:cs="宋体"/>
          <w:sz w:val="32"/>
        </w:rPr>
      </w:pPr>
      <w:bookmarkStart w:id="6" w:name="_Toc3259"/>
      <w:r>
        <w:rPr>
          <w:rFonts w:hint="eastAsia" w:ascii="宋体" w:hAnsi="宋体" w:cs="宋体"/>
          <w:sz w:val="32"/>
        </w:rPr>
        <w:t>谈判须知正文</w:t>
      </w:r>
      <w:bookmarkEnd w:id="6"/>
    </w:p>
    <w:p>
      <w:pPr>
        <w:pStyle w:val="5"/>
        <w:keepNext w:val="0"/>
        <w:keepLines w:val="0"/>
        <w:spacing w:before="0" w:after="0" w:line="360" w:lineRule="auto"/>
        <w:rPr>
          <w:rFonts w:ascii="宋体" w:hAnsi="宋体" w:cs="宋体"/>
          <w:sz w:val="21"/>
          <w:szCs w:val="21"/>
        </w:rPr>
      </w:pPr>
      <w:bookmarkStart w:id="7" w:name="_Toc27846"/>
      <w:r>
        <w:rPr>
          <w:rFonts w:hint="eastAsia" w:ascii="宋体" w:hAnsi="宋体" w:cs="宋体"/>
          <w:sz w:val="21"/>
          <w:szCs w:val="21"/>
        </w:rPr>
        <w:t>一、说明</w:t>
      </w:r>
      <w:bookmarkEnd w:id="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215"/>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215"/>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215"/>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215"/>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215"/>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215"/>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 xml:space="preserve">5.参与谈判的费用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sz w:val="24"/>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5"/>
        <w:keepNext w:val="0"/>
        <w:keepLines w:val="0"/>
        <w:spacing w:before="0" w:after="0" w:line="360" w:lineRule="auto"/>
        <w:rPr>
          <w:rFonts w:ascii="宋体" w:hAnsi="宋体" w:cs="宋体"/>
          <w:sz w:val="21"/>
          <w:szCs w:val="21"/>
        </w:rPr>
      </w:pPr>
      <w:bookmarkStart w:id="8" w:name="_Toc28566"/>
      <w:r>
        <w:rPr>
          <w:rFonts w:hint="eastAsia" w:ascii="宋体" w:hAnsi="宋体" w:cs="宋体"/>
          <w:sz w:val="21"/>
          <w:szCs w:val="21"/>
        </w:rPr>
        <w:t>二、谈判文件</w:t>
      </w:r>
      <w:bookmarkEnd w:id="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合同格式条款</w:t>
      </w:r>
    </w:p>
    <w:p>
      <w:pPr>
        <w:pStyle w:val="25"/>
        <w:adjustRightInd w:val="0"/>
        <w:snapToGrid w:val="0"/>
        <w:spacing w:line="360" w:lineRule="auto"/>
        <w:ind w:firstLine="420" w:firstLineChars="200"/>
        <w:rPr>
          <w:rFonts w:hAnsi="宋体" w:cs="宋体"/>
        </w:rPr>
      </w:pPr>
      <w:r>
        <w:rPr>
          <w:rFonts w:hint="eastAsia" w:hAnsi="宋体" w:cs="宋体"/>
        </w:rPr>
        <w:t>第六章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rPr>
        <w:t>7.3</w:t>
      </w:r>
      <w:r>
        <w:rPr>
          <w:rFonts w:hint="eastAsia" w:ascii="宋体" w:hAnsi="宋体" w:cs="宋体"/>
          <w:szCs w:val="21"/>
        </w:rPr>
        <w:t>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13" w:firstLineChars="196"/>
        <w:rPr>
          <w:rFonts w:ascii="宋体" w:hAnsi="宋体" w:cs="宋体"/>
          <w:b/>
          <w:kern w:val="0"/>
        </w:rPr>
      </w:pPr>
      <w:r>
        <w:rPr>
          <w:rFonts w:hint="eastAsia" w:ascii="宋体" w:hAnsi="宋体" w:cs="宋体"/>
          <w:b/>
          <w:bCs/>
          <w:szCs w:val="21"/>
        </w:rPr>
        <w:t>8.</w:t>
      </w:r>
      <w:r>
        <w:rPr>
          <w:rFonts w:hint="eastAsia" w:ascii="宋体" w:hAnsi="宋体" w:cs="宋体"/>
          <w:b/>
          <w:kern w:val="0"/>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ascii="宋体" w:hAnsi="宋体" w:cs="宋体"/>
          <w:kern w:val="0"/>
        </w:rPr>
        <w:t>在长沙市轨道交通集团有限公司官网</w:t>
      </w:r>
      <w:r>
        <w:rPr>
          <w:rFonts w:hint="eastAsia" w:ascii="宋体" w:hAnsi="宋体" w:cs="宋体"/>
          <w:kern w:val="0"/>
          <w:szCs w:val="21"/>
        </w:rPr>
        <w:t>（http://www.hncsmtr.com/）</w:t>
      </w:r>
      <w:r>
        <w:rPr>
          <w:rFonts w:hint="eastAsia" w:ascii="宋体"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rPr>
      </w:pPr>
      <w:r>
        <w:rPr>
          <w:rFonts w:hint="eastAsia" w:ascii="宋体" w:hAnsi="宋体" w:cs="宋体"/>
          <w:b/>
          <w:bCs/>
          <w:szCs w:val="21"/>
        </w:rPr>
        <w:t>9.</w:t>
      </w:r>
      <w:r>
        <w:rPr>
          <w:rFonts w:hint="eastAsia" w:ascii="宋体" w:hAnsi="宋体" w:cs="宋体"/>
          <w:b/>
          <w:kern w:val="0"/>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5"/>
        <w:keepNext w:val="0"/>
        <w:keepLines w:val="0"/>
        <w:spacing w:before="0" w:after="0" w:line="360" w:lineRule="auto"/>
        <w:rPr>
          <w:rFonts w:ascii="宋体" w:hAnsi="宋体" w:cs="宋体"/>
          <w:sz w:val="21"/>
          <w:szCs w:val="21"/>
        </w:rPr>
      </w:pPr>
      <w:bookmarkStart w:id="9" w:name="_Toc10627"/>
      <w:r>
        <w:rPr>
          <w:rFonts w:hint="eastAsia" w:ascii="宋体" w:hAnsi="宋体" w:cs="宋体"/>
          <w:sz w:val="21"/>
          <w:szCs w:val="21"/>
        </w:rPr>
        <w:t>三、响应文件</w:t>
      </w:r>
      <w:bookmarkEnd w:id="9"/>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（5）服务方案（如有）</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（7）分项报价表</w:t>
      </w:r>
    </w:p>
    <w:p>
      <w:pPr>
        <w:pStyle w:val="25"/>
        <w:adjustRightInd w:val="0"/>
        <w:snapToGrid w:val="0"/>
        <w:spacing w:line="360" w:lineRule="auto"/>
        <w:ind w:firstLine="420" w:firstLineChars="200"/>
        <w:rPr>
          <w:rFonts w:hAnsi="宋体" w:cs="宋体"/>
        </w:rPr>
      </w:pPr>
      <w:r>
        <w:rPr>
          <w:rFonts w:hint="eastAsia" w:hAnsi="宋体" w:cs="宋体"/>
        </w:rPr>
        <w:t>（8）其他资料（如有）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rPr>
      </w:pPr>
      <w:r>
        <w:rPr>
          <w:rFonts w:hint="eastAsia" w:ascii="宋体" w:hAnsi="宋体" w:cs="宋体"/>
        </w:rPr>
        <w:t>11.3</w:t>
      </w:r>
      <w:r>
        <w:rPr>
          <w:rFonts w:hint="eastAsia" w:ascii="宋体" w:hAnsi="宋体" w:cs="宋体"/>
          <w:szCs w:val="21"/>
        </w:rPr>
        <w:t>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rPr>
      </w:pPr>
      <w:r>
        <w:rPr>
          <w:rFonts w:hint="eastAsia" w:ascii="宋体" w:hAnsi="宋体" w:cs="宋体"/>
        </w:rPr>
        <w:t>12.1谈判单位应按</w:t>
      </w:r>
      <w:r>
        <w:rPr>
          <w:rFonts w:hint="eastAsia" w:ascii="宋体" w:hAnsi="宋体" w:cs="宋体"/>
          <w:szCs w:val="21"/>
        </w:rPr>
        <w:t>第六章</w:t>
      </w:r>
      <w:r>
        <w:rPr>
          <w:rFonts w:hint="eastAsia" w:ascii="宋体" w:hAnsi="宋体" w:cs="宋体"/>
        </w:rPr>
        <w:t>“响应文件格式”的要求在报价文件中进行报价。</w:t>
      </w:r>
      <w:r>
        <w:rPr>
          <w:rFonts w:hint="eastAsia" w:ascii="宋体" w:hAnsi="宋体" w:cs="宋体"/>
          <w:szCs w:val="21"/>
        </w:rPr>
        <w:t>谈判单位所报的总价及综合单价均不得超过谈判控制价</w:t>
      </w:r>
      <w:r>
        <w:rPr>
          <w:rFonts w:hint="eastAsia" w:ascii="宋体" w:hAnsi="宋体" w:cs="宋体"/>
        </w:rPr>
        <w:t>，</w:t>
      </w:r>
      <w:r>
        <w:rPr>
          <w:rFonts w:hint="eastAsia" w:ascii="宋体" w:hAnsi="宋体" w:cs="宋体"/>
          <w:szCs w:val="21"/>
        </w:rPr>
        <w:t>不超过谈判控制价的报价方为有效报价，</w:t>
      </w:r>
      <w:r>
        <w:rPr>
          <w:rFonts w:hint="eastAsia" w:ascii="宋体" w:hAnsi="宋体" w:cs="宋体"/>
        </w:rPr>
        <w:t>谈判时需明确税费，税率必须符合国家政策法规规定，合同支付时服务单位需开具经</w:t>
      </w:r>
      <w:r>
        <w:rPr>
          <w:rFonts w:hint="eastAsia" w:ascii="宋体" w:hAnsi="宋体" w:cs="宋体"/>
          <w:b/>
        </w:rPr>
        <w:t>采购单位</w:t>
      </w:r>
      <w:r>
        <w:rPr>
          <w:rFonts w:hint="eastAsia" w:ascii="宋体" w:hAnsi="宋体" w:cs="宋体"/>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12.4本项目谈判控制价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宋体" w:hAnsi="宋体" w:cs="宋体"/>
        </w:rPr>
        <w:t>以可变动价格提交的报价将被认为是非实质响应而被拒绝。</w:t>
      </w:r>
    </w:p>
    <w:p>
      <w:pPr>
        <w:pStyle w:val="25"/>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12.7最低报价不能作为中选的保证。</w:t>
      </w:r>
    </w:p>
    <w:p>
      <w:pPr>
        <w:adjustRightInd w:val="0"/>
        <w:snapToGrid w:val="0"/>
        <w:spacing w:line="360" w:lineRule="auto"/>
        <w:ind w:firstLine="420" w:firstLineChars="200"/>
        <w:rPr>
          <w:rFonts w:ascii="宋体" w:hAnsi="宋体" w:cs="宋体"/>
        </w:rPr>
      </w:pPr>
      <w:r>
        <w:rPr>
          <w:rFonts w:hint="eastAsia" w:ascii="宋体" w:hAnsi="宋体" w:cs="宋体"/>
          <w:szCs w:val="21"/>
        </w:rPr>
        <w:t>12.8本项目采用总价方式</w:t>
      </w:r>
      <w:r>
        <w:rPr>
          <w:rFonts w:hint="eastAsia" w:ascii="宋体" w:hAnsi="宋体" w:cs="宋体"/>
          <w:kern w:val="0"/>
          <w:szCs w:val="21"/>
        </w:rPr>
        <w:t>，</w:t>
      </w:r>
      <w:r>
        <w:rPr>
          <w:rFonts w:hint="eastAsia" w:ascii="宋体" w:hAnsi="宋体" w:cs="宋体"/>
          <w:szCs w:val="21"/>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w:t>
      </w:r>
      <w:r>
        <w:rPr>
          <w:rFonts w:hint="eastAsia" w:ascii="宋体" w:hAnsi="宋体" w:cs="宋体"/>
          <w:b/>
          <w:bCs/>
        </w:rPr>
        <w:t>响应文件</w:t>
      </w:r>
      <w:r>
        <w:rPr>
          <w:rFonts w:hint="eastAsia" w:ascii="宋体" w:hAnsi="宋体" w:cs="宋体"/>
          <w:b/>
          <w:bCs/>
          <w:szCs w:val="21"/>
        </w:rPr>
        <w:t>有效期</w:t>
      </w:r>
    </w:p>
    <w:p>
      <w:pPr>
        <w:adjustRightInd w:val="0"/>
        <w:snapToGrid w:val="0"/>
        <w:spacing w:line="360" w:lineRule="auto"/>
        <w:ind w:firstLine="420" w:firstLineChars="200"/>
        <w:jc w:val="left"/>
        <w:rPr>
          <w:rFonts w:ascii="宋体" w:hAnsi="宋体" w:cs="宋体"/>
        </w:rPr>
      </w:pPr>
      <w:r>
        <w:rPr>
          <w:rFonts w:hint="eastAsia" w:ascii="宋体" w:hAnsi="宋体" w:cs="宋体"/>
        </w:rPr>
        <w:t>13.1响应文件</w:t>
      </w:r>
      <w:r>
        <w:rPr>
          <w:rFonts w:hint="eastAsia" w:ascii="宋体" w:hAnsi="宋体" w:cs="宋体"/>
          <w:szCs w:val="21"/>
        </w:rPr>
        <w:t>有效期见</w:t>
      </w:r>
      <w:r>
        <w:rPr>
          <w:rFonts w:hint="eastAsia" w:ascii="宋体" w:hAnsi="宋体" w:cs="宋体"/>
          <w:b/>
        </w:rPr>
        <w:t>前附表</w:t>
      </w:r>
      <w:r>
        <w:rPr>
          <w:rFonts w:hint="eastAsia" w:ascii="宋体" w:hAnsi="宋体" w:cs="宋体"/>
          <w:szCs w:val="21"/>
        </w:rPr>
        <w:t>，在此期间</w:t>
      </w:r>
      <w:r>
        <w:rPr>
          <w:rFonts w:hint="eastAsia" w:ascii="宋体" w:hAnsi="宋体" w:cs="宋体"/>
        </w:rPr>
        <w:t>响应</w:t>
      </w:r>
      <w:r>
        <w:rPr>
          <w:rFonts w:hint="eastAsia" w:ascii="宋体" w:hAnsi="宋体" w:cs="宋体"/>
          <w:szCs w:val="21"/>
        </w:rPr>
        <w:t>文件对谈判单位具有法律约束力，</w:t>
      </w:r>
      <w:r>
        <w:rPr>
          <w:rFonts w:hint="eastAsia" w:ascii="宋体" w:hAnsi="宋体" w:cs="宋体"/>
        </w:rPr>
        <w:t>从</w:t>
      </w:r>
      <w:r>
        <w:rPr>
          <w:rFonts w:hint="eastAsia" w:ascii="宋体" w:hAnsi="宋体" w:cs="宋体"/>
          <w:b/>
        </w:rPr>
        <w:t>前附表</w:t>
      </w:r>
      <w:r>
        <w:rPr>
          <w:rFonts w:hint="eastAsia" w:ascii="宋体" w:hAnsi="宋体" w:cs="宋体"/>
        </w:rPr>
        <w:t>规定的</w:t>
      </w:r>
      <w:r>
        <w:rPr>
          <w:rFonts w:hint="eastAsia" w:ascii="宋体" w:hAnsi="宋体" w:cs="宋体"/>
          <w:kern w:val="0"/>
          <w:szCs w:val="21"/>
        </w:rPr>
        <w:t>响应文件递交截止时间</w:t>
      </w:r>
      <w:r>
        <w:rPr>
          <w:rFonts w:hint="eastAsia" w:ascii="宋体" w:hAnsi="宋体" w:cs="宋体"/>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215"/>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正本”或“副本”的字样，若响应文件副本为正本的复印件，还需在谈判文件要求盖章处加盖单位公章。当正本和副本有差异时，以正本为准。</w:t>
      </w:r>
    </w:p>
    <w:p>
      <w:pPr>
        <w:pStyle w:val="5"/>
        <w:keepNext w:val="0"/>
        <w:keepLines w:val="0"/>
        <w:spacing w:before="0" w:after="0" w:line="360" w:lineRule="auto"/>
        <w:rPr>
          <w:rFonts w:ascii="宋体" w:hAnsi="宋体" w:cs="宋体"/>
          <w:sz w:val="21"/>
          <w:szCs w:val="21"/>
        </w:rPr>
      </w:pPr>
      <w:bookmarkStart w:id="10" w:name="_Toc29460"/>
      <w:r>
        <w:rPr>
          <w:rFonts w:hint="eastAsia" w:ascii="宋体" w:hAnsi="宋体" w:cs="宋体"/>
          <w:sz w:val="21"/>
          <w:szCs w:val="21"/>
        </w:rPr>
        <w:t>四、响应文件的递交</w:t>
      </w:r>
      <w:bookmarkEnd w:id="1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jc w:val="left"/>
        <w:rPr>
          <w:rFonts w:ascii="宋体" w:hAnsi="宋体" w:cs="宋体"/>
          <w:b/>
          <w:bCs/>
          <w:szCs w:val="21"/>
        </w:rPr>
      </w:pPr>
      <w:r>
        <w:rPr>
          <w:rFonts w:hint="eastAsia" w:ascii="宋体" w:hAnsi="宋体" w:cs="宋体"/>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jc w:val="left"/>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p>
    <w:tbl>
      <w:tblPr>
        <w:tblStyle w:val="46"/>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7938" w:type="dxa"/>
          </w:tcPr>
          <w:p>
            <w:pPr>
              <w:spacing w:line="360" w:lineRule="auto"/>
              <w:rPr>
                <w:rFonts w:ascii="宋体" w:hAnsi="宋体" w:cs="宋体"/>
                <w:szCs w:val="21"/>
                <w:u w:val="single"/>
              </w:rPr>
            </w:pPr>
            <w:r>
              <w:rPr>
                <w:rFonts w:hint="eastAsia" w:ascii="宋体" w:hAnsi="宋体" w:cs="宋体"/>
                <w:szCs w:val="21"/>
              </w:rPr>
              <w:t>采购单位：</w:t>
            </w:r>
          </w:p>
          <w:p>
            <w:pPr>
              <w:spacing w:line="360" w:lineRule="auto"/>
              <w:rPr>
                <w:rFonts w:ascii="宋体" w:hAnsi="宋体" w:cs="宋体"/>
                <w:szCs w:val="21"/>
                <w:u w:val="single"/>
              </w:rPr>
            </w:pPr>
            <w:r>
              <w:rPr>
                <w:rFonts w:hint="eastAsia" w:ascii="宋体" w:hAnsi="宋体" w:cs="宋体"/>
                <w:szCs w:val="21"/>
              </w:rPr>
              <w:t>项目名称：</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11" w:firstLineChars="196"/>
        <w:rPr>
          <w:rFonts w:ascii="宋体" w:hAnsi="宋体" w:cs="宋体"/>
          <w:kern w:val="0"/>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rPr>
        <w:t>在截止时间后送达的响应文件，采购单位应当拒收。</w:t>
      </w:r>
    </w:p>
    <w:p>
      <w:pPr>
        <w:adjustRightInd w:val="0"/>
        <w:snapToGrid w:val="0"/>
        <w:spacing w:line="360" w:lineRule="auto"/>
        <w:ind w:firstLine="411" w:firstLineChars="196"/>
        <w:rPr>
          <w:rFonts w:ascii="宋体" w:hAnsi="宋体" w:cs="宋体"/>
          <w:b/>
          <w:sz w:val="24"/>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5"/>
        <w:keepNext w:val="0"/>
        <w:keepLines w:val="0"/>
        <w:spacing w:before="0" w:after="0" w:line="360" w:lineRule="auto"/>
        <w:rPr>
          <w:rFonts w:ascii="宋体" w:hAnsi="宋体" w:cs="宋体"/>
          <w:sz w:val="21"/>
          <w:szCs w:val="21"/>
        </w:rPr>
      </w:pPr>
      <w:bookmarkStart w:id="11" w:name="_Toc13572"/>
      <w:r>
        <w:rPr>
          <w:rFonts w:hint="eastAsia" w:ascii="宋体" w:hAnsi="宋体" w:cs="宋体"/>
          <w:sz w:val="21"/>
          <w:szCs w:val="21"/>
        </w:rPr>
        <w:t>五、响应文件的评审</w:t>
      </w:r>
      <w:bookmarkEnd w:id="11"/>
    </w:p>
    <w:p>
      <w:pPr>
        <w:adjustRightInd w:val="0"/>
        <w:snapToGrid w:val="0"/>
        <w:spacing w:line="360" w:lineRule="auto"/>
        <w:ind w:firstLine="411" w:firstLineChars="196"/>
        <w:rPr>
          <w:rFonts w:ascii="宋体" w:hAnsi="宋体" w:cs="宋体"/>
          <w:b/>
          <w:sz w:val="24"/>
        </w:rPr>
      </w:pPr>
      <w:r>
        <w:rPr>
          <w:rFonts w:hint="eastAsia" w:ascii="宋体" w:hAnsi="宋体" w:cs="宋体"/>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sz w:val="21"/>
          <w:szCs w:val="21"/>
        </w:rPr>
      </w:pPr>
      <w:bookmarkStart w:id="12" w:name="_Toc17723"/>
      <w:r>
        <w:rPr>
          <w:rFonts w:hint="eastAsia" w:ascii="宋体" w:hAnsi="宋体" w:cs="宋体"/>
          <w:sz w:val="21"/>
          <w:szCs w:val="21"/>
        </w:rPr>
        <w:t>六、响应文件的澄清、说明及补正</w:t>
      </w:r>
      <w:bookmarkEnd w:id="12"/>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jc w:val="left"/>
        <w:rPr>
          <w:rFonts w:ascii="宋体" w:hAnsi="宋体" w:cs="宋体"/>
          <w:b/>
          <w:sz w:val="24"/>
        </w:rPr>
      </w:pPr>
      <w:r>
        <w:rPr>
          <w:rFonts w:hint="eastAsia" w:ascii="宋体" w:hAnsi="宋体" w:cs="宋体"/>
          <w:kern w:val="0"/>
          <w:szCs w:val="21"/>
        </w:rPr>
        <w:t>20.3与谈判文件有重大偏离的响应文件将被拒绝。重大偏离指谈判总报价、谈判有限期、服务期明显不能满足谈判文件的要求。这些偏离不允许在响应文件递交截止时间之后修正。</w:t>
      </w:r>
    </w:p>
    <w:p>
      <w:pPr>
        <w:pStyle w:val="5"/>
        <w:keepNext w:val="0"/>
        <w:keepLines w:val="0"/>
        <w:spacing w:before="0" w:after="0" w:line="360" w:lineRule="auto"/>
        <w:rPr>
          <w:rFonts w:ascii="宋体" w:hAnsi="宋体" w:cs="宋体"/>
          <w:sz w:val="21"/>
          <w:szCs w:val="21"/>
        </w:rPr>
      </w:pPr>
      <w:bookmarkStart w:id="13" w:name="_Toc15543"/>
      <w:r>
        <w:rPr>
          <w:rFonts w:hint="eastAsia" w:ascii="宋体" w:hAnsi="宋体" w:cs="宋体"/>
          <w:sz w:val="21"/>
          <w:szCs w:val="21"/>
        </w:rPr>
        <w:t>七、中选结果与授予合同</w:t>
      </w:r>
      <w:bookmarkEnd w:id="13"/>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left="420" w:leftChars="200"/>
        <w:rPr>
          <w:rFonts w:hAnsi="宋体" w:cs="宋体"/>
          <w:b/>
          <w:bCs/>
        </w:rPr>
      </w:pPr>
      <w:r>
        <w:rPr>
          <w:rFonts w:hint="eastAsia" w:hAnsi="宋体" w:cs="宋体"/>
          <w:b/>
          <w:bCs/>
        </w:rPr>
        <w:t>22.评审结果异议</w:t>
      </w:r>
      <w:r>
        <w:rPr>
          <w:rFonts w:hint="eastAsia" w:hAnsi="宋体" w:cs="宋体"/>
          <w:kern w:val="0"/>
          <w:sz w:val="24"/>
          <w:szCs w:val="24"/>
        </w:rPr>
        <w:br w:type="textWrapping"/>
      </w:r>
      <w:r>
        <w:rPr>
          <w:rFonts w:hint="eastAsia" w:hAnsi="宋体" w:cs="宋体"/>
        </w:rPr>
        <w:t>22.1谈判单位对评审结果有异议的，应当在结果公示期间提出。</w:t>
      </w:r>
      <w:r>
        <w:rPr>
          <w:rFonts w:hint="eastAsia" w:hAnsi="宋体" w:cs="宋体"/>
        </w:rPr>
        <w:br w:type="textWrapping"/>
      </w:r>
      <w:r>
        <w:rPr>
          <w:rFonts w:hint="eastAsia" w:hAnsi="宋体" w:cs="宋体"/>
          <w:b/>
          <w:bCs/>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215"/>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215"/>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215"/>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14" w:name="page32"/>
      <w:bookmarkEnd w:id="14"/>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sz w:val="21"/>
          <w:szCs w:val="21"/>
        </w:rPr>
      </w:pPr>
      <w:bookmarkStart w:id="15" w:name="_Toc8013"/>
      <w:r>
        <w:rPr>
          <w:rFonts w:hint="eastAsia" w:ascii="宋体" w:hAnsi="宋体" w:cs="宋体"/>
          <w:sz w:val="21"/>
          <w:szCs w:val="21"/>
        </w:rPr>
        <w:t>八、其他</w:t>
      </w:r>
      <w:bookmarkEnd w:id="15"/>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firstLine="420" w:firstLineChars="200"/>
        <w:rPr>
          <w:rFonts w:ascii="宋体" w:hAnsi="宋体" w:cs="宋体"/>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p>
    <w:p>
      <w:pPr>
        <w:adjustRightInd w:val="0"/>
        <w:snapToGrid w:val="0"/>
        <w:spacing w:line="360" w:lineRule="auto"/>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jc w:val="left"/>
        <w:rPr>
          <w:rFonts w:ascii="宋体" w:hAnsi="宋体" w:cs="宋体"/>
          <w:b/>
          <w:sz w:val="30"/>
          <w:szCs w:val="30"/>
        </w:rPr>
      </w:pP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6"/>
        <w:tblW w:w="9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shd w:val="clear" w:color="auto" w:fill="auto"/>
            <w:vAlign w:val="center"/>
          </w:tcPr>
          <w:p>
            <w:pPr>
              <w:adjustRightInd w:val="0"/>
              <w:snapToGrid w:val="0"/>
              <w:jc w:val="right"/>
              <w:rPr>
                <w:rFonts w:ascii="宋体" w:hAnsi="宋体" w:cs="宋体"/>
                <w:bCs/>
                <w:szCs w:val="21"/>
              </w:rPr>
            </w:pPr>
            <w:r>
              <w:rPr>
                <w:rFonts w:hint="eastAsia" w:ascii="宋体" w:hAnsi="宋体" w:cs="宋体"/>
                <w:bCs/>
                <w:szCs w:val="21"/>
              </w:rPr>
              <w:t>汇率</w:t>
            </w:r>
          </w:p>
          <w:p>
            <w:pPr>
              <w:adjustRightInd w:val="0"/>
              <w:snapToGrid w:val="0"/>
              <w:rPr>
                <w:rFonts w:ascii="宋体" w:hAnsi="宋体" w:cs="宋体"/>
                <w:bCs/>
                <w:szCs w:val="21"/>
              </w:rPr>
            </w:pPr>
            <w:r>
              <w:rPr>
                <w:rFonts w:hint="eastAsia" w:ascii="宋体" w:hAnsi="宋体" w:cs="宋体"/>
                <w:bCs/>
                <w:szCs w:val="21"/>
              </w:rPr>
              <w:t>中选金额</w:t>
            </w:r>
          </w:p>
        </w:tc>
        <w:tc>
          <w:tcPr>
            <w:tcW w:w="2451" w:type="dxa"/>
            <w:tcBorders>
              <w:top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货物采购</w:t>
            </w:r>
          </w:p>
        </w:tc>
        <w:tc>
          <w:tcPr>
            <w:tcW w:w="2325" w:type="dxa"/>
            <w:tcBorders>
              <w:top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服务采购</w:t>
            </w:r>
          </w:p>
        </w:tc>
        <w:tc>
          <w:tcPr>
            <w:tcW w:w="2367" w:type="dxa"/>
            <w:tcBorders>
              <w:top w:val="single" w:color="auto" w:sz="12" w:space="0"/>
              <w:righ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100万元以下</w:t>
            </w:r>
          </w:p>
        </w:tc>
        <w:tc>
          <w:tcPr>
            <w:tcW w:w="2451" w:type="dxa"/>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1.5%</w:t>
            </w:r>
          </w:p>
        </w:tc>
        <w:tc>
          <w:tcPr>
            <w:tcW w:w="2325" w:type="dxa"/>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1.5%</w:t>
            </w:r>
          </w:p>
        </w:tc>
        <w:tc>
          <w:tcPr>
            <w:tcW w:w="2367" w:type="dxa"/>
            <w:tcBorders>
              <w:righ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100～400万元</w:t>
            </w:r>
          </w:p>
        </w:tc>
        <w:tc>
          <w:tcPr>
            <w:tcW w:w="2451" w:type="dxa"/>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1.1%</w:t>
            </w:r>
          </w:p>
        </w:tc>
        <w:tc>
          <w:tcPr>
            <w:tcW w:w="2325" w:type="dxa"/>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0.8%</w:t>
            </w:r>
          </w:p>
        </w:tc>
        <w:tc>
          <w:tcPr>
            <w:tcW w:w="2367" w:type="dxa"/>
            <w:tcBorders>
              <w:righ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备注</w:t>
            </w:r>
          </w:p>
        </w:tc>
        <w:tc>
          <w:tcPr>
            <w:tcW w:w="7143" w:type="dxa"/>
            <w:gridSpan w:val="3"/>
            <w:tcBorders>
              <w:left w:val="single" w:color="auto" w:sz="4" w:space="0"/>
              <w:bottom w:val="single" w:color="auto" w:sz="12" w:space="0"/>
              <w:right w:val="single" w:color="auto" w:sz="12" w:space="0"/>
            </w:tcBorders>
            <w:shd w:val="clear" w:color="auto" w:fill="auto"/>
            <w:vAlign w:val="center"/>
          </w:tcPr>
          <w:p>
            <w:pPr>
              <w:adjustRightInd w:val="0"/>
              <w:snapToGrid w:val="0"/>
              <w:spacing w:line="360" w:lineRule="auto"/>
              <w:jc w:val="left"/>
              <w:rPr>
                <w:rFonts w:ascii="宋体" w:hAnsi="宋体" w:cs="宋体"/>
                <w:bCs/>
                <w:szCs w:val="21"/>
              </w:rPr>
            </w:pPr>
            <w:r>
              <w:rPr>
                <w:rFonts w:hint="eastAsia" w:ascii="宋体" w:hAnsi="宋体" w:cs="宋体"/>
                <w:bCs/>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jc w:val="left"/>
        <w:rPr>
          <w:rFonts w:ascii="宋体" w:hAnsi="宋体" w:cs="宋体"/>
          <w:bCs/>
          <w:szCs w:val="21"/>
        </w:rPr>
      </w:pPr>
      <w:r>
        <w:rPr>
          <w:rFonts w:hint="eastAsia" w:ascii="宋体" w:hAnsi="宋体" w:cs="宋体"/>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100万元×1.0%＝1万元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（300-100）万元×0.7%＝1.4万元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合计收费＝1+1.4＝2.4（万元）</w:t>
      </w:r>
    </w:p>
    <w:p>
      <w:pPr>
        <w:pStyle w:val="3"/>
        <w:keepNext w:val="0"/>
        <w:rPr>
          <w:rFonts w:ascii="宋体" w:hAnsi="宋体" w:cs="宋体"/>
          <w:bCs w:val="0"/>
          <w:sz w:val="32"/>
          <w:szCs w:val="32"/>
        </w:rPr>
      </w:pPr>
      <w:bookmarkStart w:id="16" w:name="_Toc6171"/>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r>
        <w:rPr>
          <w:rFonts w:hint="eastAsia" w:ascii="宋体" w:hAnsi="宋体" w:cs="宋体"/>
          <w:bCs w:val="0"/>
          <w:sz w:val="32"/>
          <w:szCs w:val="32"/>
        </w:rPr>
        <w:t>第三章  评审办法及标准</w:t>
      </w:r>
      <w:bookmarkEnd w:id="16"/>
    </w:p>
    <w:p>
      <w:pPr>
        <w:adjustRightInd w:val="0"/>
        <w:snapToGrid w:val="0"/>
        <w:spacing w:line="360" w:lineRule="auto"/>
        <w:ind w:left="723" w:hanging="723" w:hangingChars="300"/>
        <w:rPr>
          <w:rFonts w:ascii="宋体" w:hAnsi="宋体" w:cs="宋体"/>
          <w:b/>
          <w:sz w:val="24"/>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11" w:firstLineChars="196"/>
        <w:rPr>
          <w:rFonts w:ascii="宋体" w:hAnsi="宋体" w:cs="宋体"/>
          <w:b/>
          <w:sz w:val="24"/>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b/>
          <w:bCs/>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11" w:firstLineChars="196"/>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adjustRightInd w:val="0"/>
        <w:snapToGrid w:val="0"/>
        <w:spacing w:line="360" w:lineRule="auto"/>
        <w:ind w:firstLine="411" w:firstLineChars="196"/>
        <w:rPr>
          <w:rFonts w:ascii="宋体" w:hAnsi="宋体" w:cs="宋体"/>
          <w:b/>
          <w:sz w:val="24"/>
        </w:rPr>
      </w:pPr>
      <w:r>
        <w:rPr>
          <w:rFonts w:hint="eastAsia" w:ascii="宋体" w:hAnsi="宋体" w:cs="宋体"/>
          <w:bCs/>
          <w:szCs w:val="21"/>
        </w:rPr>
        <w:t>3．谈判程序分为：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4.身份验证阶段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四、谈判审查阶段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rPr>
        <w:t>前附表</w:t>
      </w:r>
      <w:r>
        <w:rPr>
          <w:rFonts w:hint="eastAsia" w:ascii="宋体" w:hAnsi="宋体" w:cs="宋体"/>
        </w:rPr>
        <w:t>内</w:t>
      </w:r>
      <w:r>
        <w:rPr>
          <w:rFonts w:hint="eastAsia" w:ascii="宋体" w:hAnsi="宋体" w:cs="宋体"/>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（1）未按照谈判文件规定要求签署盖章的；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（3）不满足资格条件要求的；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（4）不满足用户需求书要求的；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（5）超过谈判控制价的；</w:t>
      </w:r>
    </w:p>
    <w:p>
      <w:pPr>
        <w:adjustRightInd w:val="0"/>
        <w:snapToGrid w:val="0"/>
        <w:spacing w:line="360" w:lineRule="auto"/>
        <w:ind w:firstLine="420" w:firstLineChars="200"/>
        <w:rPr>
          <w:rFonts w:ascii="宋体" w:hAnsi="宋体" w:cs="宋体"/>
          <w:b/>
          <w:sz w:val="24"/>
        </w:rPr>
      </w:pPr>
      <w:r>
        <w:rPr>
          <w:rFonts w:hint="eastAsia" w:ascii="宋体" w:hAnsi="宋体" w:cs="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7.</w:t>
      </w:r>
      <w:r>
        <w:rPr>
          <w:rFonts w:hint="eastAsia" w:ascii="宋体" w:hAnsi="宋体" w:cs="宋体"/>
          <w:b/>
          <w:bCs/>
          <w:szCs w:val="21"/>
        </w:rPr>
        <w:t>详细评审阶段</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8.推荐中选单位</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bCs/>
          <w:szCs w:val="21"/>
        </w:rPr>
        <w:t>8.1</w:t>
      </w:r>
      <w:r>
        <w:rPr>
          <w:rFonts w:hint="eastAsia" w:ascii="宋体" w:hAnsi="宋体" w:cs="宋体"/>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rFonts w:ascii="宋体" w:hAnsi="宋体" w:cs="宋体"/>
          <w:szCs w:val="21"/>
        </w:rPr>
      </w:pPr>
      <w:r>
        <w:rPr>
          <w:rFonts w:hint="eastAsia" w:ascii="宋体" w:hAnsi="宋体" w:cs="宋体"/>
          <w:kern w:val="0"/>
          <w:szCs w:val="21"/>
        </w:rPr>
        <w:t>8.2全部评审结束后，若出现报价得分相同的情形，则采用现场抽签方式确定中选单位。</w:t>
      </w:r>
    </w:p>
    <w:p>
      <w:pPr>
        <w:adjustRightInd w:val="0"/>
        <w:snapToGrid w:val="0"/>
        <w:spacing w:line="360" w:lineRule="auto"/>
        <w:rPr>
          <w:rFonts w:ascii="宋体" w:hAnsi="宋体" w:cs="宋体"/>
          <w:szCs w:val="21"/>
        </w:rPr>
      </w:pPr>
    </w:p>
    <w:p>
      <w:pPr>
        <w:adjustRightInd w:val="0"/>
        <w:snapToGrid w:val="0"/>
        <w:spacing w:before="161" w:beforeLines="50" w:line="360" w:lineRule="auto"/>
        <w:rPr>
          <w:rFonts w:ascii="宋体" w:hAnsi="宋体" w:cs="宋体"/>
          <w:b/>
          <w:sz w:val="32"/>
          <w:szCs w:val="32"/>
        </w:rPr>
        <w:sectPr>
          <w:footerReference r:id="rId10" w:type="first"/>
          <w:footerReference r:id="rId9" w:type="default"/>
          <w:pgSz w:w="12240" w:h="15840"/>
          <w:pgMar w:top="1440" w:right="1800" w:bottom="1440" w:left="1800" w:header="720" w:footer="720" w:gutter="0"/>
          <w:cols w:space="720" w:num="1"/>
          <w:titlePg/>
          <w:docGrid w:type="lines" w:linePitch="323" w:charSpace="0"/>
        </w:sectPr>
      </w:pPr>
    </w:p>
    <w:p>
      <w:pPr>
        <w:pStyle w:val="3"/>
        <w:keepNext w:val="0"/>
        <w:numPr>
          <w:ilvl w:val="0"/>
          <w:numId w:val="2"/>
        </w:numPr>
        <w:ind w:right="-141" w:rightChars="-67"/>
        <w:rPr>
          <w:rFonts w:ascii="宋体" w:hAnsi="宋体" w:cs="宋体"/>
          <w:bCs w:val="0"/>
          <w:sz w:val="32"/>
          <w:szCs w:val="32"/>
        </w:rPr>
      </w:pPr>
      <w:r>
        <w:rPr>
          <w:rFonts w:hint="eastAsia" w:ascii="宋体" w:hAnsi="宋体" w:cs="宋体"/>
          <w:bCs w:val="0"/>
          <w:sz w:val="32"/>
          <w:szCs w:val="32"/>
        </w:rPr>
        <w:t xml:space="preserve"> </w:t>
      </w:r>
      <w:bookmarkStart w:id="17" w:name="_Toc23959"/>
      <w:r>
        <w:rPr>
          <w:rFonts w:hint="eastAsia" w:ascii="宋体" w:hAnsi="宋体" w:cs="宋体"/>
          <w:bCs w:val="0"/>
          <w:sz w:val="32"/>
          <w:szCs w:val="32"/>
        </w:rPr>
        <w:t>用户需求书</w:t>
      </w:r>
      <w:bookmarkEnd w:id="17"/>
    </w:p>
    <w:p>
      <w:pPr>
        <w:pStyle w:val="172"/>
        <w:spacing w:before="0" w:line="360" w:lineRule="auto"/>
        <w:jc w:val="left"/>
        <w:rPr>
          <w:rFonts w:hint="default" w:cs="宋体"/>
          <w:b/>
          <w:snapToGrid/>
          <w:color w:val="000000"/>
          <w:kern w:val="2"/>
          <w:sz w:val="21"/>
          <w:szCs w:val="21"/>
        </w:rPr>
      </w:pPr>
      <w:bookmarkStart w:id="18" w:name="_Toc26614_WPSOffice_Level1"/>
      <w:bookmarkStart w:id="19" w:name="_Toc15240"/>
      <w:r>
        <w:rPr>
          <w:rFonts w:cs="宋体"/>
          <w:b/>
          <w:snapToGrid/>
          <w:color w:val="000000"/>
          <w:kern w:val="2"/>
          <w:sz w:val="21"/>
          <w:szCs w:val="21"/>
        </w:rPr>
        <w:t>1需求清单</w:t>
      </w:r>
      <w:bookmarkEnd w:id="18"/>
      <w:bookmarkEnd w:id="19"/>
    </w:p>
    <w:p>
      <w:pPr>
        <w:jc w:val="center"/>
        <w:rPr>
          <w:rFonts w:ascii="宋体" w:hAnsi="宋体" w:cs="宋体"/>
          <w:b/>
          <w:bCs/>
          <w:color w:val="000000"/>
          <w:szCs w:val="21"/>
        </w:rPr>
      </w:pPr>
      <w:r>
        <w:rPr>
          <w:rFonts w:hint="eastAsia" w:ascii="宋体" w:hAnsi="宋体" w:cs="宋体"/>
          <w:b/>
          <w:bCs/>
          <w:color w:val="000000"/>
          <w:szCs w:val="21"/>
        </w:rPr>
        <w:t>4号线模拟驾驶器采购清单</w:t>
      </w:r>
    </w:p>
    <w:tbl>
      <w:tblPr>
        <w:tblStyle w:val="46"/>
        <w:tblW w:w="14740" w:type="dxa"/>
        <w:jc w:val="center"/>
        <w:tblInd w:w="0" w:type="dxa"/>
        <w:tblLayout w:type="fixed"/>
        <w:tblCellMar>
          <w:top w:w="15" w:type="dxa"/>
          <w:left w:w="108" w:type="dxa"/>
          <w:bottom w:w="15" w:type="dxa"/>
          <w:right w:w="108" w:type="dxa"/>
        </w:tblCellMar>
      </w:tblPr>
      <w:tblGrid>
        <w:gridCol w:w="811"/>
        <w:gridCol w:w="1275"/>
        <w:gridCol w:w="920"/>
        <w:gridCol w:w="737"/>
        <w:gridCol w:w="794"/>
        <w:gridCol w:w="5953"/>
        <w:gridCol w:w="630"/>
        <w:gridCol w:w="690"/>
        <w:gridCol w:w="2930"/>
      </w:tblGrid>
      <w:tr>
        <w:tblPrEx>
          <w:tblLayout w:type="fixed"/>
          <w:tblCellMar>
            <w:top w:w="15" w:type="dxa"/>
            <w:left w:w="108" w:type="dxa"/>
            <w:bottom w:w="15" w:type="dxa"/>
            <w:right w:w="108" w:type="dxa"/>
          </w:tblCellMar>
        </w:tblPrEx>
        <w:trPr>
          <w:trHeight w:val="91" w:hRule="atLeast"/>
          <w:tblHeader/>
          <w:jc w:val="center"/>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物资名称</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规格</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参考品牌</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型号/</w:t>
            </w:r>
          </w:p>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货号</w:t>
            </w:r>
          </w:p>
        </w:tc>
        <w:tc>
          <w:tcPr>
            <w:tcW w:w="5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详细参数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需求数量</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备注</w:t>
            </w: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司机操纵台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2500mm×665mm×1050mm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1.钢结构。</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2.主要操作设备包括司机控制器、开关门按钮及指示灯、列车模式开关、紧急按钮、停放制动按钮、通讯设备、升降弓按钮、HMI设备、ATC设备和双针风表等，与实际列车上的对应设备具有相同的功能和控制逻辑。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837"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行调控制台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包括控制台台体、控制台终端、触摸屏、控制台座椅（不锈钢仿皮质座椅）、电话、无线网卡、显示器等。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712"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车站值班员控制台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包括控制台台体、控制台终端、触摸屏、控制台座椅（不锈钢仿皮质座椅）、无线网卡、显示器等。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前向视景显示器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≧60英寸</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大屏显示器，不少于60英寸。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前向视景显示终端</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终端采用定制工控机。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主要用于前向视景加载，给前向视景显示器提供信号源。</w:t>
            </w: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高速数据采集控制系统</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1.内置微机测控及通讯系统,可实现数据采集及输出以及通讯功能。</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2.PLC采集与控制，标准型 CPU 模块，继电器输出，220V AC供电，有输入输出。</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3.扩展模块EM：数字量输入模块。</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4.信号板SB：通信信号板。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1312"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安全门就地控制盒</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1.司机操纵台左右两侧各一套。</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2.盘面包括指示灯（包括PSL允许、ASD开、互锁解除、门全关且锁紧等显示）、钥匙开关（包括PSL允许、互锁解除；按钮：开门、关门、灯测试等功能）。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52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司机座椅</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专业司机座椅，可调高度、靠背位置，面料材质真皮、皮革、绒布，填充物高回弹冷发泡海棉。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440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电气屏柜模拟台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620mm×450mm×1170mm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1.采用一体式控制台，钢结构，内置定制工控机及21.5英寸显示系统。</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2.分视图显示区及鼠标键盘操作区两部分组成，安装有三维数字化虚拟列车软件。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1.通过三维交互方式完成实物司机驾驶台以外的所有操作，通过实物操纵台上的操作能够在虚拟三维环境内产生相应的逻辑反应。</w:t>
            </w:r>
          </w:p>
          <w:p>
            <w:pPr>
              <w:widowControl/>
              <w:spacing w:line="400" w:lineRule="exact"/>
              <w:rPr>
                <w:rFonts w:ascii="宋体" w:hAnsi="宋体" w:cs="宋体"/>
                <w:color w:val="000000"/>
                <w:kern w:val="0"/>
                <w:szCs w:val="21"/>
              </w:rPr>
            </w:pPr>
            <w:r>
              <w:rPr>
                <w:rFonts w:hint="eastAsia" w:ascii="宋体" w:hAnsi="宋体" w:cs="宋体"/>
                <w:color w:val="000000"/>
                <w:kern w:val="0"/>
                <w:szCs w:val="21"/>
              </w:rPr>
              <w:t>2.通过电气屏柜模拟台的操作也能够在实物操纵台上产生相应的逻辑反应。系统通过虚实结合的方式，完整实现城轨列车的所有作业任务考核及演练。</w:t>
            </w: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控制台座椅</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不锈钢仿皮质座椅弓形椅，具有抗氧化性高、提高耐磨性、抗腐蚀性、美观坚固，人工工程学靠背，完美腰部撑托，腰椎舒缓解释放压力。</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侧窗显示器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32英寸</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显示器能满足系统性能要求，能清晰展示列车侧面情况。</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459"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侧窗显示终端</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终端采用定制工控机，主要用于侧窗视景加载，给左右侧窗视景提供信号源。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保证系统稳定高效运行。</w:t>
            </w:r>
          </w:p>
        </w:tc>
      </w:tr>
      <w:tr>
        <w:tblPrEx>
          <w:tblLayout w:type="fixed"/>
          <w:tblCellMar>
            <w:top w:w="15" w:type="dxa"/>
            <w:left w:w="108" w:type="dxa"/>
            <w:bottom w:w="15" w:type="dxa"/>
            <w:right w:w="108" w:type="dxa"/>
          </w:tblCellMar>
        </w:tblPrEx>
        <w:trPr>
          <w:trHeight w:val="686"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电话机</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黑色，手柄按键一体化设计，使用更方便，各项指标均符合国家认证标准，使用更放心。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26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网络交换机</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8口</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千兆以太网交换机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899"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无线路由器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企业VPN路由器，WAN口数量2个；LAN口数量3个，支持Qos限速功能，支持无线桥接，天线可拆卸，11N无线技术，无线传输速率高达300Mbps。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1562"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USB无线网卡</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网络标准：IEEE802.11ac，IEEE802.11n，IEEE802.11g，IEEE802.11b，IEEE802.11a ；传输速率：433Mbps；发射功率：20dBm（最大值）；频率范围：双频（2.4G、5G）；总线接口：USB；内置天线。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656"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音响设备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小音箱，2.0声道，信噪比60dB，功率5W，供电方式DC 5V，尺寸70×72×72mm。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消防设备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手提式干粉灭火器，2公斤。</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模拟驾驶器控制软件</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提供驾驶平台及标准化作业环境。模拟驾驶操作系统的软件包含“分布式仿真服务器”、“LocoModule”、“动力学仿真”“HMI显示系统”、“CGI”、“声音系统”、“数据采集及输出系统”“仿真数据库”等。各子系统之间通过高性能的千兆以太网连接，从而保证系统间能流畅地协同工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487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考核题库</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主要可用于列车运行前的整备检查，包括走行部检查、司机室检查、客室检查、动车试验等，同时满足司机在列车运行时出现故障，可以通过此系统进行故障处理和解决。该系统满足在全三维数字化全真虚拟列车内进行故障的处理演练，并能满足列车在线路场景中进行突发非正常状况的处理演练。学员在试题的训练过程中，每套试题都预先设置有故障，列车运行到相应地点，故障即会被触发，视景系统能即时做出响应，学员可通过故障处理机对故障进行处理。具体内容包含：标准化作业：驾驶技能、出乘前检查、出入库作业、区间运行、上下客监护、不同模式驾驶、折返及交接班作业；故障处理：制动系统故障、牵引系统故障、辅助系统故障、车门故障；应急处置：区间火灾、区间无电、异物侵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656"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操作记录及考评软件</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szCs w:val="21"/>
              </w:rPr>
            </w:pPr>
            <w:r>
              <w:rPr>
                <w:rFonts w:hint="eastAsia" w:ascii="宋体" w:hAnsi="宋体" w:cs="宋体"/>
                <w:szCs w:val="21"/>
              </w:rPr>
              <w:t>自动检测考试过程及结果，并自动评分。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1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考核控制终端管理系统</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szCs w:val="21"/>
              </w:rPr>
            </w:pPr>
            <w:r>
              <w:rPr>
                <w:rFonts w:hint="eastAsia" w:ascii="宋体" w:hAnsi="宋体" w:cs="宋体"/>
                <w:szCs w:val="21"/>
              </w:rPr>
              <w:t>承担着列车模拟器的全方位监管、控制和系统维护任务。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bl>
    <w:p>
      <w:pPr>
        <w:pStyle w:val="2"/>
        <w:sectPr>
          <w:pgSz w:w="15840" w:h="12240" w:orient="landscape"/>
          <w:pgMar w:top="1440" w:right="1800" w:bottom="1440" w:left="1800" w:header="720" w:footer="720" w:gutter="0"/>
          <w:cols w:space="720" w:num="1"/>
          <w:titlePg/>
          <w:docGrid w:type="lines" w:linePitch="323" w:charSpace="0"/>
        </w:sectPr>
      </w:pPr>
    </w:p>
    <w:p>
      <w:pPr>
        <w:spacing w:line="360" w:lineRule="auto"/>
        <w:rPr>
          <w:rFonts w:ascii="宋体" w:hAnsi="宋体" w:cs="宋体"/>
          <w:color w:val="000000"/>
          <w:szCs w:val="21"/>
        </w:rPr>
      </w:pPr>
      <w:bookmarkStart w:id="20" w:name="_Toc470878252"/>
      <w:bookmarkStart w:id="21" w:name="_Toc9727"/>
      <w:r>
        <w:rPr>
          <w:rFonts w:hint="eastAsia" w:ascii="宋体" w:hAnsi="宋体" w:cs="宋体"/>
          <w:color w:val="000000"/>
          <w:szCs w:val="21"/>
        </w:rPr>
        <w:t>注：1、如部分产品停产升级或技术规格优于上述型号，请出示相关证明材料。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2、“*”为原厂原配物资（如有）。</w:t>
      </w:r>
    </w:p>
    <w:p>
      <w:pPr>
        <w:pStyle w:val="127"/>
        <w:numPr>
          <w:ilvl w:val="0"/>
          <w:numId w:val="0"/>
        </w:numPr>
        <w:spacing w:line="360" w:lineRule="auto"/>
        <w:jc w:val="left"/>
        <w:rPr>
          <w:rFonts w:ascii="宋体" w:hAnsi="宋体" w:cs="宋体"/>
          <w:color w:val="000000"/>
          <w:sz w:val="21"/>
          <w:szCs w:val="21"/>
        </w:rPr>
      </w:pPr>
      <w:bookmarkStart w:id="22" w:name="_Toc17466_WPSOffice_Level1"/>
      <w:bookmarkStart w:id="23" w:name="_Toc474766746"/>
      <w:bookmarkStart w:id="24" w:name="_Toc32598"/>
      <w:bookmarkStart w:id="25" w:name="_Toc27691"/>
      <w:r>
        <w:rPr>
          <w:rFonts w:hint="eastAsia" w:ascii="宋体" w:hAnsi="宋体" w:cs="宋体"/>
          <w:color w:val="000000"/>
          <w:sz w:val="21"/>
          <w:szCs w:val="21"/>
        </w:rPr>
        <w:t>2交货时间和地点</w:t>
      </w:r>
      <w:bookmarkEnd w:id="22"/>
      <w:bookmarkEnd w:id="23"/>
      <w:bookmarkEnd w:id="24"/>
      <w:bookmarkEnd w:id="25"/>
    </w:p>
    <w:p>
      <w:pPr>
        <w:spacing w:line="360" w:lineRule="auto"/>
        <w:jc w:val="left"/>
        <w:outlineLvl w:val="1"/>
        <w:rPr>
          <w:rFonts w:ascii="宋体" w:hAnsi="宋体" w:cs="宋体"/>
          <w:b/>
          <w:color w:val="000000"/>
          <w:szCs w:val="21"/>
        </w:rPr>
      </w:pPr>
      <w:bookmarkStart w:id="26" w:name="_Toc21817"/>
      <w:bookmarkStart w:id="27" w:name="_Toc6641"/>
      <w:bookmarkStart w:id="28" w:name="_Toc13253"/>
      <w:bookmarkStart w:id="29" w:name="_Toc19441_WPSOffice_Level1"/>
      <w:bookmarkStart w:id="30" w:name="_Toc14257_WPSOffice_Level1"/>
      <w:bookmarkStart w:id="31" w:name="_Toc23131_WPSOffice_Level1"/>
      <w:r>
        <w:rPr>
          <w:rFonts w:hint="eastAsia" w:ascii="宋体" w:hAnsi="宋体" w:cs="宋体"/>
          <w:b/>
          <w:color w:val="000000"/>
          <w:szCs w:val="21"/>
        </w:rPr>
        <w:t>2.1交货时间</w:t>
      </w:r>
      <w:bookmarkEnd w:id="26"/>
      <w:bookmarkEnd w:id="27"/>
      <w:bookmarkEnd w:id="28"/>
      <w:bookmarkEnd w:id="29"/>
      <w:bookmarkEnd w:id="30"/>
      <w:bookmarkEnd w:id="31"/>
    </w:p>
    <w:p>
      <w:pPr>
        <w:spacing w:line="360" w:lineRule="auto"/>
        <w:ind w:firstLine="420" w:firstLineChars="200"/>
        <w:jc w:val="left"/>
        <w:outlineLvl w:val="1"/>
        <w:rPr>
          <w:rFonts w:ascii="宋体" w:hAnsi="宋体" w:cs="宋体"/>
          <w:szCs w:val="21"/>
        </w:rPr>
      </w:pPr>
      <w:r>
        <w:rPr>
          <w:rFonts w:hint="eastAsia" w:ascii="宋体" w:hAnsi="宋体" w:cs="宋体"/>
          <w:szCs w:val="21"/>
        </w:rPr>
        <w:t>从甲方发出书面供货通知之日起</w:t>
      </w:r>
      <w:r>
        <w:rPr>
          <w:rFonts w:hint="eastAsia" w:ascii="宋体" w:hAnsi="宋体" w:cs="宋体"/>
          <w:szCs w:val="21"/>
          <w:u w:val="single"/>
        </w:rPr>
        <w:t>30</w:t>
      </w:r>
      <w:r>
        <w:rPr>
          <w:rFonts w:hint="eastAsia" w:ascii="宋体" w:hAnsi="宋体" w:cs="宋体"/>
          <w:szCs w:val="21"/>
        </w:rPr>
        <w:t>个自然日内完成供货及安装、调试工作。</w:t>
      </w:r>
    </w:p>
    <w:p>
      <w:pPr>
        <w:spacing w:line="360" w:lineRule="auto"/>
        <w:jc w:val="left"/>
        <w:outlineLvl w:val="1"/>
        <w:rPr>
          <w:rFonts w:ascii="宋体" w:hAnsi="宋体" w:cs="宋体"/>
          <w:b/>
          <w:color w:val="000000"/>
          <w:szCs w:val="21"/>
        </w:rPr>
      </w:pPr>
      <w:bookmarkStart w:id="32" w:name="_Toc29829_WPSOffice_Level1"/>
      <w:bookmarkStart w:id="33" w:name="_Toc21665_WPSOffice_Level1"/>
      <w:bookmarkStart w:id="34" w:name="_Toc31339"/>
      <w:bookmarkStart w:id="35" w:name="_Toc20185_WPSOffice_Level1"/>
      <w:bookmarkStart w:id="36" w:name="_Toc18561"/>
      <w:bookmarkStart w:id="37" w:name="_Toc11373"/>
      <w:r>
        <w:rPr>
          <w:rFonts w:hint="eastAsia" w:ascii="宋体" w:hAnsi="宋体" w:cs="宋体"/>
          <w:b/>
          <w:color w:val="000000"/>
          <w:szCs w:val="21"/>
        </w:rPr>
        <w:t>2.2交货地点</w:t>
      </w:r>
      <w:bookmarkEnd w:id="32"/>
      <w:bookmarkEnd w:id="33"/>
      <w:bookmarkEnd w:id="34"/>
      <w:bookmarkEnd w:id="35"/>
      <w:bookmarkEnd w:id="36"/>
      <w:bookmarkEnd w:id="37"/>
    </w:p>
    <w:p>
      <w:pPr>
        <w:pStyle w:val="105"/>
        <w:spacing w:line="360" w:lineRule="auto"/>
        <w:ind w:left="0" w:firstLine="420" w:firstLineChars="200"/>
        <w:jc w:val="left"/>
        <w:rPr>
          <w:rFonts w:hint="default" w:hAnsi="宋体" w:cs="宋体"/>
          <w:color w:val="000000"/>
          <w:szCs w:val="21"/>
        </w:rPr>
      </w:pPr>
      <w:r>
        <w:rPr>
          <w:rFonts w:hAnsi="宋体" w:cs="宋体"/>
          <w:color w:val="000000"/>
          <w:szCs w:val="21"/>
        </w:rPr>
        <w:t>黄兴车辆段一楼模拟驾驶室。</w:t>
      </w:r>
    </w:p>
    <w:p>
      <w:pPr>
        <w:pStyle w:val="127"/>
        <w:numPr>
          <w:ilvl w:val="0"/>
          <w:numId w:val="0"/>
        </w:numPr>
        <w:spacing w:line="360" w:lineRule="auto"/>
        <w:jc w:val="left"/>
        <w:rPr>
          <w:rFonts w:ascii="宋体" w:hAnsi="宋体" w:cs="宋体"/>
          <w:color w:val="000000"/>
          <w:sz w:val="21"/>
          <w:szCs w:val="21"/>
        </w:rPr>
      </w:pPr>
      <w:bookmarkStart w:id="38" w:name="_Toc22775"/>
      <w:bookmarkStart w:id="39" w:name="_Toc27683_WPSOffice_Level1"/>
      <w:bookmarkStart w:id="40" w:name="_Toc6939"/>
      <w:bookmarkStart w:id="41" w:name="_Toc474766747"/>
      <w:r>
        <w:rPr>
          <w:rFonts w:hint="eastAsia" w:ascii="宋体" w:hAnsi="宋体" w:cs="宋体"/>
          <w:color w:val="000000"/>
          <w:sz w:val="21"/>
          <w:szCs w:val="21"/>
        </w:rPr>
        <w:t>3技术要求</w:t>
      </w:r>
      <w:bookmarkEnd w:id="38"/>
      <w:bookmarkEnd w:id="39"/>
      <w:bookmarkEnd w:id="40"/>
      <w:bookmarkEnd w:id="41"/>
    </w:p>
    <w:p>
      <w:pPr>
        <w:spacing w:line="360" w:lineRule="auto"/>
        <w:jc w:val="left"/>
        <w:outlineLvl w:val="1"/>
        <w:rPr>
          <w:rFonts w:ascii="宋体" w:hAnsi="宋体" w:cs="宋体"/>
          <w:b/>
          <w:color w:val="000000"/>
          <w:szCs w:val="21"/>
        </w:rPr>
      </w:pPr>
      <w:bookmarkStart w:id="42" w:name="_Toc22973"/>
      <w:bookmarkStart w:id="43" w:name="_Toc13804_WPSOffice_Level1"/>
      <w:bookmarkStart w:id="44" w:name="_Toc1455_WPSOffice_Level1"/>
      <w:bookmarkStart w:id="45" w:name="_Toc25298_WPSOffice_Level1"/>
      <w:bookmarkStart w:id="46" w:name="_Toc9585"/>
      <w:bookmarkStart w:id="47" w:name="_Toc18262_WPSOffice_Level1"/>
      <w:bookmarkStart w:id="48" w:name="_Toc993"/>
      <w:r>
        <w:rPr>
          <w:rFonts w:hint="eastAsia" w:ascii="宋体" w:hAnsi="宋体" w:cs="宋体"/>
          <w:b/>
          <w:color w:val="000000"/>
          <w:szCs w:val="21"/>
        </w:rPr>
        <w:t>3.1采用规范和适用标准</w:t>
      </w:r>
      <w:bookmarkEnd w:id="42"/>
      <w:bookmarkEnd w:id="43"/>
      <w:bookmarkEnd w:id="44"/>
      <w:bookmarkEnd w:id="45"/>
      <w:bookmarkEnd w:id="46"/>
      <w:bookmarkEnd w:id="47"/>
      <w:bookmarkEnd w:id="48"/>
    </w:p>
    <w:p>
      <w:pPr>
        <w:pStyle w:val="88"/>
        <w:spacing w:line="360" w:lineRule="auto"/>
        <w:jc w:val="left"/>
        <w:outlineLvl w:val="9"/>
        <w:rPr>
          <w:rFonts w:cs="宋体"/>
          <w:snapToGrid/>
          <w:kern w:val="2"/>
          <w:sz w:val="21"/>
          <w:szCs w:val="21"/>
        </w:rPr>
      </w:pPr>
      <w:bookmarkStart w:id="49" w:name="_Toc29531"/>
      <w:r>
        <w:rPr>
          <w:rFonts w:hint="eastAsia" w:cs="宋体"/>
          <w:snapToGrid/>
          <w:color w:val="000000"/>
          <w:kern w:val="2"/>
          <w:sz w:val="21"/>
          <w:szCs w:val="21"/>
        </w:rPr>
        <w:t>3.1</w:t>
      </w:r>
      <w:r>
        <w:rPr>
          <w:rFonts w:hint="eastAsia" w:cs="宋体"/>
          <w:snapToGrid/>
          <w:kern w:val="2"/>
          <w:sz w:val="21"/>
          <w:szCs w:val="21"/>
        </w:rPr>
        <w:t>.1本需求书中招标方主要采用的规范及标准</w:t>
      </w:r>
      <w:bookmarkEnd w:id="49"/>
    </w:p>
    <w:p>
      <w:pPr>
        <w:tabs>
          <w:tab w:val="left" w:pos="576"/>
          <w:tab w:val="left" w:pos="945"/>
        </w:tabs>
        <w:spacing w:line="360" w:lineRule="auto"/>
        <w:ind w:firstLine="420" w:firstLineChars="200"/>
        <w:jc w:val="left"/>
        <w:rPr>
          <w:rFonts w:ascii="宋体" w:hAnsi="宋体" w:cs="宋体"/>
          <w:color w:val="000000"/>
          <w:szCs w:val="21"/>
        </w:rPr>
      </w:pPr>
      <w:r>
        <w:rPr>
          <w:rFonts w:hint="eastAsia" w:ascii="宋体" w:hAnsi="宋体" w:cs="宋体"/>
          <w:color w:val="000000"/>
          <w:szCs w:val="21"/>
        </w:rPr>
        <w:t>投标人须具有一种即插即用的仿真模拟器扩展装置的证书以保证系统后续升级扩展。</w:t>
      </w:r>
    </w:p>
    <w:p>
      <w:pPr>
        <w:pStyle w:val="105"/>
        <w:spacing w:line="360" w:lineRule="auto"/>
        <w:ind w:left="0" w:firstLine="420" w:firstLineChars="200"/>
        <w:jc w:val="left"/>
        <w:rPr>
          <w:rFonts w:hint="default" w:hAnsi="宋体" w:cs="宋体"/>
          <w:color w:val="000000"/>
          <w:szCs w:val="21"/>
        </w:rPr>
      </w:pPr>
      <w:r>
        <w:rPr>
          <w:rFonts w:hAnsi="宋体" w:cs="宋体"/>
          <w:color w:val="000000"/>
          <w:szCs w:val="21"/>
        </w:rPr>
        <w:t>投标人所投产品的设计制造需满足国际标准IEC、ISO、UIC的要求，以及其他的国家标准GB、行业标准、地方标准及规定的要求。以上各项标准以最新版本为准。</w:t>
      </w:r>
    </w:p>
    <w:p>
      <w:pPr>
        <w:spacing w:line="360" w:lineRule="auto"/>
        <w:jc w:val="left"/>
        <w:rPr>
          <w:rFonts w:ascii="宋体" w:hAnsi="宋体" w:cs="宋体"/>
          <w:b/>
          <w:szCs w:val="21"/>
        </w:rPr>
      </w:pPr>
      <w:bookmarkStart w:id="50" w:name="_Toc29511_WPSOffice_Level1"/>
      <w:bookmarkStart w:id="51" w:name="_Toc31360_WPSOffice_Level1"/>
      <w:bookmarkStart w:id="52" w:name="_Toc6943_WPSOffice_Level1"/>
      <w:r>
        <w:rPr>
          <w:rFonts w:hint="eastAsia" w:ascii="宋体" w:hAnsi="宋体" w:cs="宋体"/>
          <w:b/>
          <w:szCs w:val="21"/>
        </w:rPr>
        <w:t>3.2主要物资技术参数</w:t>
      </w:r>
      <w:bookmarkEnd w:id="50"/>
      <w:bookmarkEnd w:id="51"/>
      <w:bookmarkEnd w:id="52"/>
    </w:p>
    <w:p>
      <w:pPr>
        <w:spacing w:line="360" w:lineRule="auto"/>
        <w:jc w:val="left"/>
        <w:rPr>
          <w:rFonts w:ascii="宋体" w:hAnsi="宋体" w:cs="宋体"/>
          <w:bCs/>
          <w:color w:val="000000"/>
          <w:szCs w:val="21"/>
        </w:rPr>
        <w:sectPr>
          <w:headerReference r:id="rId11" w:type="default"/>
          <w:footerReference r:id="rId12" w:type="default"/>
          <w:pgSz w:w="11850" w:h="16783"/>
          <w:pgMar w:top="1440" w:right="1800" w:bottom="1440" w:left="1800" w:header="851" w:footer="992" w:gutter="0"/>
          <w:pgNumType w:start="20"/>
          <w:cols w:space="720" w:num="1"/>
          <w:docGrid w:type="lines" w:linePitch="312" w:charSpace="0"/>
        </w:sectPr>
      </w:pPr>
      <w:r>
        <w:rPr>
          <w:rFonts w:hint="eastAsia" w:ascii="宋体" w:hAnsi="宋体" w:cs="宋体"/>
          <w:bCs/>
          <w:color w:val="000000"/>
          <w:szCs w:val="21"/>
        </w:rPr>
        <w:t>4号线主要物资技术参数清单如下：</w:t>
      </w:r>
    </w:p>
    <w:tbl>
      <w:tblPr>
        <w:tblStyle w:val="46"/>
        <w:tblW w:w="14584" w:type="dxa"/>
        <w:tblInd w:w="-301" w:type="dxa"/>
        <w:tblLayout w:type="fixed"/>
        <w:tblCellMar>
          <w:top w:w="15" w:type="dxa"/>
          <w:left w:w="15" w:type="dxa"/>
          <w:bottom w:w="15" w:type="dxa"/>
          <w:right w:w="15" w:type="dxa"/>
        </w:tblCellMar>
      </w:tblPr>
      <w:tblGrid>
        <w:gridCol w:w="876"/>
        <w:gridCol w:w="1029"/>
        <w:gridCol w:w="1647"/>
        <w:gridCol w:w="9900"/>
        <w:gridCol w:w="1132"/>
      </w:tblGrid>
      <w:tr>
        <w:tblPrEx>
          <w:tblLayout w:type="fixed"/>
          <w:tblCellMar>
            <w:top w:w="15" w:type="dxa"/>
            <w:left w:w="15" w:type="dxa"/>
            <w:bottom w:w="15" w:type="dxa"/>
            <w:right w:w="15" w:type="dxa"/>
          </w:tblCellMar>
        </w:tblPrEx>
        <w:trPr>
          <w:trHeight w:val="596" w:hRule="atLeast"/>
          <w:tblHead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color w:val="000000"/>
                <w:kern w:val="0"/>
                <w:szCs w:val="21"/>
              </w:rPr>
              <w:t>本表序号</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bCs/>
                <w:color w:val="000000"/>
                <w:szCs w:val="21"/>
              </w:rPr>
              <w:t>4</w:t>
            </w:r>
            <w:r>
              <w:rPr>
                <w:rFonts w:hint="eastAsia" w:ascii="宋体" w:hAnsi="宋体" w:cs="宋体"/>
                <w:b/>
                <w:color w:val="000000"/>
                <w:kern w:val="0"/>
                <w:szCs w:val="21"/>
              </w:rPr>
              <w:t>号线清单表序号</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color w:val="000000"/>
                <w:kern w:val="0"/>
                <w:szCs w:val="21"/>
              </w:rPr>
              <w:t>物资名称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color w:val="000000"/>
                <w:kern w:val="0"/>
                <w:szCs w:val="21"/>
              </w:rPr>
              <w:t>技术参数</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Layout w:type="fixed"/>
          <w:tblCellMar>
            <w:top w:w="15" w:type="dxa"/>
            <w:left w:w="15" w:type="dxa"/>
            <w:bottom w:w="15" w:type="dxa"/>
            <w:right w:w="15" w:type="dxa"/>
          </w:tblCellMar>
        </w:tblPrEx>
        <w:trPr>
          <w:trHeight w:val="12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司机操纵台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1.钢结构</w:t>
            </w:r>
          </w:p>
          <w:p>
            <w:pPr>
              <w:widowControl/>
              <w:spacing w:line="420" w:lineRule="exact"/>
              <w:jc w:val="left"/>
              <w:rPr>
                <w:rFonts w:ascii="宋体" w:hAnsi="宋体" w:cs="宋体"/>
                <w:kern w:val="0"/>
                <w:szCs w:val="21"/>
              </w:rPr>
            </w:pPr>
            <w:r>
              <w:rPr>
                <w:rFonts w:hint="eastAsia" w:ascii="宋体" w:hAnsi="宋体" w:cs="宋体"/>
                <w:color w:val="000000"/>
                <w:kern w:val="0"/>
                <w:szCs w:val="21"/>
              </w:rPr>
              <w:t>2.主要操作设备包括司机控制器、开关门按钮及指示灯、列车模式开关、紧急按钮、停放制动按钮、通讯设备、升降弓按钮、HMI设备、ATC设备和双针风表等，与实际列车上的对应设备具有相同的功能和控制逻辑。</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0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行调控制台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包括控制台台体、控制台终端、触摸屏、控制台座椅（不锈钢仿皮质座椅）、电话、无线网卡、显示器等。</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5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3</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车站值班员</w:t>
            </w:r>
          </w:p>
          <w:p>
            <w:pPr>
              <w:widowControl/>
              <w:spacing w:line="420" w:lineRule="exact"/>
              <w:jc w:val="center"/>
              <w:rPr>
                <w:rFonts w:ascii="宋体" w:hAnsi="宋体" w:cs="宋体"/>
                <w:szCs w:val="21"/>
              </w:rPr>
            </w:pPr>
            <w:r>
              <w:rPr>
                <w:rFonts w:hint="eastAsia" w:ascii="宋体" w:hAnsi="宋体" w:cs="宋体"/>
                <w:color w:val="000000"/>
                <w:kern w:val="0"/>
                <w:szCs w:val="21"/>
              </w:rPr>
              <w:t>控制台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包括控制台台体、控制台终端、触摸屏、控制台座椅（不锈钢仿皮质座椅）、无线网卡、显示器等。</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8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4</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前向视景</w:t>
            </w:r>
          </w:p>
          <w:p>
            <w:pPr>
              <w:widowControl/>
              <w:spacing w:line="420" w:lineRule="exact"/>
              <w:jc w:val="center"/>
              <w:rPr>
                <w:rFonts w:ascii="宋体" w:hAnsi="宋体" w:cs="宋体"/>
                <w:szCs w:val="21"/>
              </w:rPr>
            </w:pPr>
            <w:r>
              <w:rPr>
                <w:rFonts w:hint="eastAsia" w:ascii="宋体" w:hAnsi="宋体" w:cs="宋体"/>
                <w:color w:val="000000"/>
                <w:kern w:val="0"/>
                <w:szCs w:val="21"/>
              </w:rPr>
              <w:t>显示器</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大屏显示器，不少于60英寸。</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71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5</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前向视景</w:t>
            </w:r>
          </w:p>
          <w:p>
            <w:pPr>
              <w:widowControl/>
              <w:spacing w:line="420" w:lineRule="exact"/>
              <w:jc w:val="center"/>
              <w:rPr>
                <w:rFonts w:ascii="宋体" w:hAnsi="宋体" w:cs="宋体"/>
                <w:szCs w:val="21"/>
              </w:rPr>
            </w:pPr>
            <w:r>
              <w:rPr>
                <w:rFonts w:hint="eastAsia" w:ascii="宋体" w:hAnsi="宋体" w:cs="宋体"/>
                <w:color w:val="000000"/>
                <w:kern w:val="0"/>
                <w:szCs w:val="21"/>
              </w:rPr>
              <w:t>显示终端</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终端采用定制工控机。</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22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6</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高速数据采集控制系统</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1.内置微机测控及通讯系统,可实现数据采集及输出以及通讯功能。</w:t>
            </w:r>
          </w:p>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2.PLC采集与控制，标准型CPU模块，继电器输出，220V AC供电，有输入输出。</w:t>
            </w:r>
          </w:p>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3.扩展模块EM：数字量输入模块</w:t>
            </w:r>
          </w:p>
          <w:p>
            <w:pPr>
              <w:widowControl/>
              <w:spacing w:line="420" w:lineRule="exact"/>
              <w:jc w:val="left"/>
              <w:rPr>
                <w:rFonts w:ascii="宋体" w:hAnsi="宋体" w:cs="宋体"/>
                <w:kern w:val="0"/>
                <w:szCs w:val="21"/>
              </w:rPr>
            </w:pPr>
            <w:r>
              <w:rPr>
                <w:rFonts w:hint="eastAsia" w:ascii="宋体" w:hAnsi="宋体" w:cs="宋体"/>
                <w:color w:val="000000"/>
                <w:kern w:val="0"/>
                <w:szCs w:val="21"/>
              </w:rPr>
              <w:t>4.信号板SB：通信信号板。</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11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7</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安全门就地控制盒</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1.司机操纵台左右两侧各一套。</w:t>
            </w:r>
          </w:p>
          <w:p>
            <w:pPr>
              <w:widowControl/>
              <w:spacing w:line="420" w:lineRule="exact"/>
              <w:jc w:val="left"/>
              <w:rPr>
                <w:rFonts w:ascii="宋体" w:hAnsi="宋体" w:cs="宋体"/>
                <w:kern w:val="0"/>
                <w:szCs w:val="21"/>
              </w:rPr>
            </w:pPr>
            <w:r>
              <w:rPr>
                <w:rFonts w:hint="eastAsia" w:ascii="宋体" w:hAnsi="宋体" w:cs="宋体"/>
                <w:color w:val="000000"/>
                <w:kern w:val="0"/>
                <w:szCs w:val="21"/>
              </w:rPr>
              <w:t>2.盘面包括指示灯（包括PSL允许、ASD开、互锁解除、门全关且锁紧等显示）、钥匙开关（包括PSL允许、互锁解除；按钮：开门、关门、灯测试等功能）。</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4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8</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司机座椅</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专业司机座椅，可调高度、靠背位置，面料材质真皮、皮革、绒布，填充物高回弹冷发泡海棉。</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24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9</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电气屏柜模拟台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1.采用一体式控制台，钢结构，内置定制工控机及21.5英寸显示系统。</w:t>
            </w:r>
          </w:p>
          <w:p>
            <w:pPr>
              <w:widowControl/>
              <w:spacing w:line="420" w:lineRule="exact"/>
              <w:jc w:val="left"/>
              <w:rPr>
                <w:rFonts w:ascii="宋体" w:hAnsi="宋体" w:cs="宋体"/>
                <w:kern w:val="0"/>
                <w:szCs w:val="21"/>
              </w:rPr>
            </w:pPr>
            <w:r>
              <w:rPr>
                <w:rFonts w:hint="eastAsia" w:ascii="宋体" w:hAnsi="宋体" w:cs="宋体"/>
                <w:color w:val="000000"/>
                <w:kern w:val="0"/>
                <w:szCs w:val="21"/>
              </w:rPr>
              <w:t>2.分视图显示区及鼠标键盘操作区两部分组成，安装有三维数字化虚拟列车软件。</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10</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控制台座椅</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不锈钢仿皮质座椅 弓形椅，具有抗氧化性高、提高耐磨性、抗腐蚀性、美观坚固，人工工程学靠背，完美腰部撑托，腰椎舒缓解释放压力。</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28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11</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侧窗显示器</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显示器能满足系统性能要求，能清晰展示列车侧面情况。</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32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12</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侧窗显示终端</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终端采用定制工控机，主要用于侧窗视景加载，给左右侧窗视景提供信号源。</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9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13</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电话机</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黑色，手柄按键一体化设计，使用更方便，各项指标均符合国家认证标准，使用更放心。</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36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14</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网络交换机</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千兆以太网交换机。</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9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15</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无线路由器</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企业VPN路由器，WAN口数量2个；LAN口数量3个，支持Qos限速功能，支持无线桥接，天线可拆卸，11N无线技术，无线传输速率高达300Mbps。</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100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16</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USB无线网卡</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网络标准：IEEE802.11ac，IEEE802.11n，IEEE802.11g，IEEE802.11b，IEEE802.11a；传输速率：433Mbps；发射功率：20dBm（最大值）；频率范围：双频（2.4G、5G）；总线接口：USB；内置天线。</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17</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音响设备</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小音箱，2.0声道，信噪比60dB，功率5W，供电方式DC 5V，尺寸70×72×72mm。</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31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18</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消防设备</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手提式干粉灭火器，2公斤。</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126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19</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模拟驾驶器控制软件</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提供驾驶平台及标准化作业环境。模拟驾驶操作系统的软件包含“分布式仿真服务器”、“Loco Module”、“动力学仿真”“HMI显示系统”、“CGI”、“声音系统”、“数据采集及输出系统”“仿真数据库”等。各子系统之间通过高性能的千兆以太网连接，从而保证系统间能流畅地协同工作。</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41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20</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考核题库</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主要可用于列车运行前的整备检查，包括走行部检查、司机室检查、客室检查、动车试验等，同时满足司机在列车运行时出现故障，可以通过此系统进行故障处理和解决。该系统满足在全三维数字化全真虚拟列车内进行故障的处理演练，并能满足列车在线路场景中进行突发非正常状况的处理演练。学员在试题的训练过程中，每套试题都预先设置有故障，列车运行到相应地点，故障即会被触发，视景系统能即时做出响应，学员可通过故障处理机对故障进行处理。具体内容包含：标准化作业：驾驶技能、出乘前检查、出入库作业、区间运行、上下客监护、不同模式驾驶、折返及交接班作业；故障处理：制动系统故障、牵引系统故障、辅助系统故障、车门故障；应急处置：区间火灾、区间无电、异物侵限。</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296" w:hRule="atLeast"/>
        </w:trPr>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21</w:t>
            </w:r>
          </w:p>
        </w:tc>
        <w:tc>
          <w:tcPr>
            <w:tcW w:w="102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21</w:t>
            </w:r>
          </w:p>
        </w:tc>
        <w:tc>
          <w:tcPr>
            <w:tcW w:w="1647"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操作记录及考评软件</w:t>
            </w:r>
          </w:p>
        </w:tc>
        <w:tc>
          <w:tcPr>
            <w:tcW w:w="9900"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szCs w:val="21"/>
              </w:rPr>
              <w:t>自动检测考试过程及结果，并自动评分。</w:t>
            </w:r>
          </w:p>
        </w:tc>
        <w:tc>
          <w:tcPr>
            <w:tcW w:w="1132"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01"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center"/>
              <w:rPr>
                <w:rFonts w:ascii="宋体" w:hAnsi="宋体" w:cs="宋体"/>
                <w:szCs w:val="21"/>
              </w:rPr>
            </w:pPr>
            <w:bookmarkStart w:id="53" w:name="_Toc26909"/>
            <w:bookmarkStart w:id="54" w:name="_Toc16160"/>
            <w:bookmarkStart w:id="55" w:name="_Toc22180_WPSOffice_Level1"/>
            <w:r>
              <w:rPr>
                <w:rFonts w:hint="eastAsia" w:ascii="宋体" w:hAnsi="宋体" w:cs="宋体"/>
                <w:szCs w:val="21"/>
              </w:rPr>
              <w:t>22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22</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考核控制终端管理系统</w:t>
            </w:r>
          </w:p>
        </w:tc>
        <w:tc>
          <w:tcPr>
            <w:tcW w:w="9900"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cs="宋体"/>
                <w:kern w:val="0"/>
                <w:szCs w:val="21"/>
              </w:rPr>
            </w:pPr>
            <w:r>
              <w:rPr>
                <w:rFonts w:hint="eastAsia" w:ascii="宋体" w:hAnsi="宋体" w:cs="宋体"/>
                <w:szCs w:val="21"/>
              </w:rPr>
              <w:t>承担着列车模拟器的全方位监管、控制和系统维护任务。</w:t>
            </w:r>
          </w:p>
        </w:tc>
        <w:tc>
          <w:tcPr>
            <w:tcW w:w="1132" w:type="dxa"/>
            <w:tcBorders>
              <w:top w:val="single" w:color="auto" w:sz="4" w:space="0"/>
              <w:left w:val="single" w:color="auto" w:sz="4" w:space="0"/>
              <w:bottom w:val="single" w:color="auto" w:sz="4" w:space="0"/>
              <w:right w:val="single" w:color="auto" w:sz="4" w:space="0"/>
            </w:tcBorders>
          </w:tcPr>
          <w:p>
            <w:pPr>
              <w:widowControl/>
              <w:spacing w:line="420" w:lineRule="exact"/>
              <w:jc w:val="center"/>
              <w:textAlignment w:val="center"/>
              <w:rPr>
                <w:rFonts w:ascii="宋体" w:hAnsi="宋体" w:cs="宋体"/>
                <w:szCs w:val="21"/>
              </w:rPr>
            </w:pPr>
          </w:p>
        </w:tc>
      </w:tr>
    </w:tbl>
    <w:p>
      <w:pPr>
        <w:pStyle w:val="127"/>
        <w:numPr>
          <w:ilvl w:val="0"/>
          <w:numId w:val="0"/>
        </w:numPr>
        <w:spacing w:before="312" w:beforeLines="100" w:line="360" w:lineRule="auto"/>
        <w:jc w:val="left"/>
        <w:rPr>
          <w:rFonts w:ascii="宋体" w:hAnsi="宋体" w:cs="宋体"/>
          <w:snapToGrid w:val="0"/>
          <w:color w:val="000000"/>
          <w:kern w:val="0"/>
          <w:sz w:val="21"/>
          <w:szCs w:val="21"/>
        </w:rPr>
        <w:sectPr>
          <w:pgSz w:w="16783" w:h="11850" w:orient="landscape"/>
          <w:pgMar w:top="1800" w:right="1440" w:bottom="1800" w:left="1440" w:header="851" w:footer="992" w:gutter="0"/>
          <w:cols w:space="720" w:num="1"/>
          <w:docGrid w:type="lines" w:linePitch="312" w:charSpace="0"/>
        </w:sectPr>
      </w:pPr>
    </w:p>
    <w:p>
      <w:pPr>
        <w:pStyle w:val="127"/>
        <w:numPr>
          <w:ilvl w:val="0"/>
          <w:numId w:val="0"/>
        </w:numPr>
        <w:spacing w:line="360" w:lineRule="auto"/>
        <w:ind w:firstLine="422" w:firstLineChars="200"/>
        <w:jc w:val="left"/>
        <w:rPr>
          <w:rFonts w:ascii="宋体" w:hAnsi="宋体" w:cs="宋体"/>
          <w:color w:val="000000"/>
          <w:sz w:val="21"/>
          <w:szCs w:val="21"/>
        </w:rPr>
      </w:pPr>
      <w:r>
        <w:rPr>
          <w:rFonts w:hint="eastAsia" w:ascii="宋体" w:hAnsi="宋体" w:cs="宋体"/>
          <w:snapToGrid w:val="0"/>
          <w:color w:val="000000"/>
          <w:kern w:val="0"/>
          <w:sz w:val="21"/>
          <w:szCs w:val="21"/>
        </w:rPr>
        <w:t>4</w:t>
      </w:r>
      <w:r>
        <w:rPr>
          <w:rFonts w:hint="eastAsia" w:ascii="宋体" w:hAnsi="宋体" w:cs="宋体"/>
          <w:color w:val="000000"/>
          <w:sz w:val="21"/>
          <w:szCs w:val="21"/>
        </w:rPr>
        <w:t>项目管理</w:t>
      </w:r>
      <w:bookmarkEnd w:id="53"/>
      <w:bookmarkEnd w:id="54"/>
      <w:bookmarkEnd w:id="55"/>
    </w:p>
    <w:p>
      <w:pPr>
        <w:autoSpaceDE w:val="0"/>
        <w:autoSpaceDN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投标方应指定专人负责设备的安装、调试、培训、维保等工作。</w:t>
      </w:r>
    </w:p>
    <w:p>
      <w:pPr>
        <w:pStyle w:val="127"/>
        <w:numPr>
          <w:ilvl w:val="0"/>
          <w:numId w:val="0"/>
        </w:numPr>
        <w:spacing w:line="360" w:lineRule="auto"/>
        <w:ind w:firstLine="422" w:firstLineChars="200"/>
        <w:jc w:val="left"/>
        <w:rPr>
          <w:rFonts w:ascii="宋体" w:hAnsi="宋体" w:cs="宋体"/>
          <w:snapToGrid w:val="0"/>
          <w:color w:val="000000"/>
          <w:kern w:val="0"/>
          <w:sz w:val="21"/>
          <w:szCs w:val="21"/>
        </w:rPr>
      </w:pPr>
      <w:bookmarkStart w:id="56" w:name="_Toc21921_WPSOffice_Level1"/>
      <w:bookmarkStart w:id="57" w:name="_Toc3236"/>
      <w:r>
        <w:rPr>
          <w:rFonts w:hint="eastAsia" w:ascii="宋体" w:hAnsi="宋体" w:cs="宋体"/>
          <w:snapToGrid w:val="0"/>
          <w:color w:val="000000"/>
          <w:kern w:val="0"/>
          <w:sz w:val="21"/>
          <w:szCs w:val="21"/>
        </w:rPr>
        <w:t>5验收</w:t>
      </w:r>
      <w:bookmarkEnd w:id="56"/>
      <w:r>
        <w:rPr>
          <w:rFonts w:hint="eastAsia" w:ascii="宋体" w:hAnsi="宋体" w:cs="宋体"/>
          <w:snapToGrid w:val="0"/>
          <w:color w:val="000000"/>
          <w:kern w:val="0"/>
          <w:sz w:val="21"/>
          <w:szCs w:val="21"/>
        </w:rPr>
        <w:t>要求</w:t>
      </w:r>
      <w:bookmarkEnd w:id="57"/>
    </w:p>
    <w:p>
      <w:pPr>
        <w:pStyle w:val="153"/>
        <w:spacing w:line="360" w:lineRule="auto"/>
        <w:ind w:firstLine="420" w:firstLineChars="200"/>
        <w:jc w:val="left"/>
        <w:rPr>
          <w:rFonts w:hint="default" w:cs="宋体"/>
          <w:color w:val="000000"/>
          <w:sz w:val="21"/>
          <w:szCs w:val="21"/>
        </w:rPr>
      </w:pPr>
      <w:bookmarkStart w:id="58" w:name="_Toc24976"/>
      <w:bookmarkStart w:id="59" w:name="_Toc30104"/>
      <w:r>
        <w:rPr>
          <w:rFonts w:cs="宋体"/>
          <w:b w:val="0"/>
          <w:bCs/>
          <w:color w:val="000000"/>
          <w:sz w:val="21"/>
          <w:szCs w:val="21"/>
        </w:rPr>
        <w:t>投标方交付的模拟驾驶器必须达到3.1.1提及的质量标准以及合格证书、技术性能参数、质量参数和国家质量标准。</w:t>
      </w:r>
      <w:bookmarkEnd w:id="58"/>
      <w:bookmarkEnd w:id="59"/>
    </w:p>
    <w:p>
      <w:pPr>
        <w:pStyle w:val="88"/>
        <w:spacing w:before="0" w:line="360" w:lineRule="auto"/>
        <w:ind w:firstLine="420" w:firstLineChars="200"/>
        <w:jc w:val="left"/>
        <w:rPr>
          <w:rFonts w:cs="宋体"/>
          <w:snapToGrid/>
          <w:color w:val="000000"/>
          <w:kern w:val="2"/>
          <w:sz w:val="21"/>
          <w:szCs w:val="21"/>
        </w:rPr>
      </w:pPr>
      <w:bookmarkStart w:id="60" w:name="_Toc31385"/>
      <w:bookmarkStart w:id="61" w:name="_Toc21834"/>
      <w:bookmarkStart w:id="62" w:name="_Toc5339_WPSOffice_Level1"/>
      <w:r>
        <w:rPr>
          <w:rFonts w:hint="eastAsia" w:cs="宋体"/>
          <w:snapToGrid/>
          <w:color w:val="000000"/>
          <w:kern w:val="2"/>
          <w:sz w:val="21"/>
          <w:szCs w:val="21"/>
        </w:rPr>
        <w:t>5.1检验方法</w:t>
      </w:r>
      <w:bookmarkEnd w:id="60"/>
      <w:bookmarkEnd w:id="61"/>
      <w:bookmarkEnd w:id="62"/>
    </w:p>
    <w:p>
      <w:pPr>
        <w:pStyle w:val="88"/>
        <w:spacing w:before="0" w:line="360" w:lineRule="auto"/>
        <w:ind w:firstLine="420" w:firstLineChars="200"/>
        <w:jc w:val="left"/>
        <w:rPr>
          <w:rFonts w:cs="宋体"/>
          <w:snapToGrid/>
          <w:color w:val="000000"/>
          <w:kern w:val="2"/>
          <w:sz w:val="21"/>
          <w:szCs w:val="21"/>
        </w:rPr>
      </w:pPr>
      <w:bookmarkStart w:id="63" w:name="_Toc2180"/>
      <w:bookmarkStart w:id="64" w:name="_Toc14214"/>
      <w:r>
        <w:rPr>
          <w:rFonts w:hint="eastAsia" w:cs="宋体"/>
          <w:snapToGrid/>
          <w:color w:val="000000"/>
          <w:kern w:val="2"/>
          <w:sz w:val="21"/>
          <w:szCs w:val="21"/>
        </w:rPr>
        <w:t>5.1.1采取目测和简易测量的方法对货物的外观检验，对照合格证书、检验报告等对产品进行检验。</w:t>
      </w:r>
      <w:bookmarkEnd w:id="63"/>
      <w:bookmarkEnd w:id="64"/>
    </w:p>
    <w:p>
      <w:pPr>
        <w:pStyle w:val="88"/>
        <w:spacing w:before="0" w:line="360" w:lineRule="auto"/>
        <w:ind w:firstLine="420" w:firstLineChars="200"/>
        <w:jc w:val="left"/>
        <w:rPr>
          <w:rFonts w:cs="宋体"/>
          <w:snapToGrid/>
          <w:color w:val="000000"/>
          <w:kern w:val="2"/>
          <w:sz w:val="21"/>
          <w:szCs w:val="21"/>
        </w:rPr>
      </w:pPr>
      <w:bookmarkStart w:id="65" w:name="_Toc29659"/>
      <w:bookmarkStart w:id="66" w:name="_Toc14933"/>
      <w:r>
        <w:rPr>
          <w:rFonts w:hint="eastAsia" w:cs="宋体"/>
          <w:snapToGrid/>
          <w:color w:val="000000"/>
          <w:kern w:val="2"/>
          <w:sz w:val="21"/>
          <w:szCs w:val="21"/>
        </w:rPr>
        <w:t>5.1.2采取人工测试的方式对模拟驾驶器的安装调试情况进行检验，如检验不合格（如出现无法使用或使用故障短时间内无法修复等情况），由此产生的费用由投标方支付。</w:t>
      </w:r>
      <w:bookmarkEnd w:id="65"/>
      <w:bookmarkEnd w:id="66"/>
    </w:p>
    <w:p>
      <w:pPr>
        <w:pStyle w:val="88"/>
        <w:spacing w:before="0" w:line="360" w:lineRule="auto"/>
        <w:ind w:firstLine="420" w:firstLineChars="200"/>
        <w:jc w:val="left"/>
        <w:rPr>
          <w:rFonts w:cs="宋体"/>
          <w:snapToGrid/>
          <w:color w:val="000000"/>
          <w:kern w:val="2"/>
          <w:sz w:val="21"/>
          <w:szCs w:val="21"/>
        </w:rPr>
      </w:pPr>
      <w:bookmarkStart w:id="67" w:name="_Toc28405"/>
      <w:bookmarkStart w:id="68" w:name="_Toc20502"/>
      <w:r>
        <w:rPr>
          <w:rFonts w:hint="eastAsia" w:cs="宋体"/>
          <w:snapToGrid/>
          <w:color w:val="000000"/>
          <w:kern w:val="2"/>
          <w:sz w:val="21"/>
          <w:szCs w:val="21"/>
        </w:rPr>
        <w:t>5.1.3</w:t>
      </w:r>
      <w:bookmarkEnd w:id="67"/>
      <w:r>
        <w:rPr>
          <w:rFonts w:hint="eastAsia" w:cs="宋体"/>
          <w:snapToGrid/>
          <w:color w:val="000000"/>
          <w:kern w:val="2"/>
          <w:sz w:val="21"/>
          <w:szCs w:val="21"/>
        </w:rPr>
        <w:t>包括但不限于以上检验方法。</w:t>
      </w:r>
      <w:bookmarkEnd w:id="68"/>
    </w:p>
    <w:p>
      <w:pPr>
        <w:pStyle w:val="88"/>
        <w:spacing w:before="0" w:line="360" w:lineRule="auto"/>
        <w:ind w:firstLine="420" w:firstLineChars="200"/>
        <w:jc w:val="left"/>
        <w:rPr>
          <w:rFonts w:cs="宋体"/>
          <w:snapToGrid/>
          <w:kern w:val="2"/>
          <w:sz w:val="21"/>
          <w:szCs w:val="21"/>
        </w:rPr>
      </w:pPr>
      <w:r>
        <w:rPr>
          <w:rFonts w:hint="eastAsia" w:cs="宋体"/>
          <w:snapToGrid/>
          <w:kern w:val="2"/>
          <w:sz w:val="21"/>
          <w:szCs w:val="21"/>
        </w:rPr>
        <w:t>5.2 有效期要求</w:t>
      </w:r>
    </w:p>
    <w:p>
      <w:pPr>
        <w:pStyle w:val="88"/>
        <w:spacing w:before="0" w:line="360" w:lineRule="auto"/>
        <w:ind w:firstLine="420" w:firstLineChars="200"/>
        <w:jc w:val="left"/>
        <w:rPr>
          <w:rFonts w:cs="宋体"/>
          <w:snapToGrid/>
          <w:kern w:val="2"/>
          <w:sz w:val="21"/>
          <w:szCs w:val="21"/>
        </w:rPr>
      </w:pPr>
      <w:r>
        <w:rPr>
          <w:rFonts w:hint="eastAsia" w:cs="宋体"/>
          <w:snapToGrid/>
          <w:kern w:val="2"/>
          <w:sz w:val="21"/>
          <w:szCs w:val="21"/>
        </w:rPr>
        <w:t>5.2.1 含有有效期的物资到货时有效期需在总有效期的六分之五时间范围内。如：有效期为</w:t>
      </w:r>
      <w:r>
        <w:rPr>
          <w:rFonts w:hint="eastAsia" w:cs="宋体"/>
          <w:snapToGrid/>
          <w:kern w:val="2"/>
          <w:sz w:val="21"/>
          <w:szCs w:val="21"/>
          <w:u w:val="single"/>
        </w:rPr>
        <w:t>24</w:t>
      </w:r>
      <w:r>
        <w:rPr>
          <w:rFonts w:hint="eastAsia" w:cs="宋体"/>
          <w:snapToGrid/>
          <w:kern w:val="2"/>
          <w:sz w:val="21"/>
          <w:szCs w:val="21"/>
        </w:rPr>
        <w:t>个月，从到货之日算起，剩余有效期不少于</w:t>
      </w:r>
      <w:r>
        <w:rPr>
          <w:rFonts w:hint="eastAsia" w:cs="宋体"/>
          <w:snapToGrid/>
          <w:kern w:val="2"/>
          <w:sz w:val="21"/>
          <w:szCs w:val="21"/>
          <w:u w:val="single"/>
        </w:rPr>
        <w:t>20</w:t>
      </w:r>
      <w:r>
        <w:rPr>
          <w:rFonts w:hint="eastAsia" w:cs="宋体"/>
          <w:snapToGrid/>
          <w:kern w:val="2"/>
          <w:sz w:val="21"/>
          <w:szCs w:val="21"/>
        </w:rPr>
        <w:t>个月。</w:t>
      </w:r>
    </w:p>
    <w:p>
      <w:pPr>
        <w:pStyle w:val="127"/>
        <w:numPr>
          <w:ilvl w:val="0"/>
          <w:numId w:val="0"/>
        </w:numPr>
        <w:spacing w:line="360" w:lineRule="auto"/>
        <w:ind w:firstLine="422" w:firstLineChars="200"/>
        <w:jc w:val="left"/>
        <w:rPr>
          <w:rFonts w:ascii="宋体" w:hAnsi="宋体" w:cs="宋体"/>
          <w:snapToGrid w:val="0"/>
          <w:color w:val="000000"/>
          <w:kern w:val="0"/>
          <w:sz w:val="21"/>
          <w:szCs w:val="21"/>
        </w:rPr>
      </w:pPr>
      <w:bookmarkStart w:id="69" w:name="_Toc4983"/>
      <w:bookmarkStart w:id="70" w:name="_Toc8417"/>
      <w:bookmarkStart w:id="71" w:name="_Toc32591_WPSOffice_Level1"/>
      <w:r>
        <w:rPr>
          <w:rFonts w:hint="eastAsia" w:ascii="宋体" w:hAnsi="宋体" w:cs="宋体"/>
          <w:snapToGrid w:val="0"/>
          <w:color w:val="000000"/>
          <w:kern w:val="0"/>
          <w:sz w:val="21"/>
          <w:szCs w:val="21"/>
        </w:rPr>
        <w:t>6质保期</w:t>
      </w:r>
      <w:bookmarkEnd w:id="69"/>
      <w:bookmarkEnd w:id="70"/>
      <w:bookmarkEnd w:id="71"/>
    </w:p>
    <w:p>
      <w:pPr>
        <w:pStyle w:val="153"/>
        <w:spacing w:line="360" w:lineRule="auto"/>
        <w:ind w:firstLine="422" w:firstLineChars="200"/>
        <w:jc w:val="left"/>
        <w:rPr>
          <w:rFonts w:hint="default" w:cs="宋体"/>
          <w:color w:val="000000"/>
          <w:sz w:val="21"/>
          <w:szCs w:val="21"/>
        </w:rPr>
      </w:pPr>
      <w:bookmarkStart w:id="72" w:name="_Toc29867"/>
      <w:bookmarkStart w:id="73" w:name="_Toc31583_WPSOffice_Level1"/>
      <w:bookmarkStart w:id="74" w:name="_Toc24020"/>
      <w:bookmarkStart w:id="75" w:name="_Toc29053_WPSOffice_Level1"/>
      <w:bookmarkStart w:id="76" w:name="_Toc31679_WPSOffice_Level1"/>
      <w:r>
        <w:rPr>
          <w:rFonts w:cs="宋体"/>
          <w:color w:val="000000"/>
          <w:sz w:val="21"/>
          <w:szCs w:val="21"/>
        </w:rPr>
        <w:t>6.1质保期要求</w:t>
      </w:r>
      <w:bookmarkEnd w:id="72"/>
      <w:bookmarkEnd w:id="73"/>
      <w:bookmarkEnd w:id="74"/>
      <w:bookmarkEnd w:id="75"/>
      <w:bookmarkEnd w:id="76"/>
    </w:p>
    <w:p>
      <w:pPr>
        <w:pStyle w:val="88"/>
        <w:spacing w:before="0" w:line="360" w:lineRule="auto"/>
        <w:ind w:firstLine="420" w:firstLineChars="200"/>
        <w:jc w:val="left"/>
        <w:outlineLvl w:val="9"/>
        <w:rPr>
          <w:rFonts w:cs="宋体"/>
          <w:snapToGrid/>
          <w:color w:val="000000"/>
          <w:kern w:val="2"/>
          <w:sz w:val="21"/>
          <w:szCs w:val="21"/>
        </w:rPr>
      </w:pPr>
      <w:bookmarkStart w:id="77" w:name="_Toc18925"/>
      <w:r>
        <w:rPr>
          <w:rFonts w:hint="eastAsia" w:cs="宋体"/>
          <w:snapToGrid/>
          <w:color w:val="000000"/>
          <w:kern w:val="2"/>
          <w:sz w:val="21"/>
          <w:szCs w:val="21"/>
        </w:rPr>
        <w:t>6.1.1</w:t>
      </w:r>
      <w:r>
        <w:rPr>
          <w:rFonts w:hint="eastAsia" w:cs="宋体"/>
          <w:snapToGrid/>
          <w:kern w:val="2"/>
          <w:sz w:val="21"/>
          <w:szCs w:val="21"/>
        </w:rPr>
        <w:t>需求清单中</w:t>
      </w:r>
      <w:r>
        <w:rPr>
          <w:rFonts w:hint="eastAsia" w:cs="宋体"/>
          <w:snapToGrid/>
          <w:color w:val="000000"/>
          <w:kern w:val="2"/>
          <w:sz w:val="21"/>
          <w:szCs w:val="21"/>
        </w:rPr>
        <w:t>所有物资的质保期从全部物资验收合格</w:t>
      </w:r>
      <w:r>
        <w:rPr>
          <w:rFonts w:hint="eastAsia" w:cs="宋体"/>
          <w:snapToGrid/>
          <w:kern w:val="2"/>
          <w:sz w:val="21"/>
          <w:szCs w:val="21"/>
        </w:rPr>
        <w:t>之日算起为</w:t>
      </w:r>
      <w:r>
        <w:rPr>
          <w:rFonts w:hint="eastAsia" w:cs="宋体"/>
          <w:snapToGrid/>
          <w:color w:val="000000"/>
          <w:kern w:val="2"/>
          <w:sz w:val="21"/>
          <w:szCs w:val="21"/>
          <w:u w:val="single"/>
        </w:rPr>
        <w:t>36</w:t>
      </w:r>
      <w:r>
        <w:rPr>
          <w:rFonts w:hint="eastAsia" w:cs="宋体"/>
          <w:snapToGrid/>
          <w:color w:val="000000"/>
          <w:kern w:val="2"/>
          <w:sz w:val="21"/>
          <w:szCs w:val="21"/>
        </w:rPr>
        <w:t>个月。</w:t>
      </w:r>
      <w:bookmarkEnd w:id="77"/>
    </w:p>
    <w:p>
      <w:pPr>
        <w:pStyle w:val="88"/>
        <w:spacing w:before="0" w:line="360" w:lineRule="auto"/>
        <w:ind w:firstLine="420" w:firstLineChars="200"/>
        <w:jc w:val="left"/>
        <w:outlineLvl w:val="9"/>
        <w:rPr>
          <w:rFonts w:cs="宋体"/>
          <w:snapToGrid/>
          <w:color w:val="000000"/>
          <w:kern w:val="2"/>
          <w:sz w:val="21"/>
          <w:szCs w:val="21"/>
        </w:rPr>
      </w:pPr>
      <w:bookmarkStart w:id="78" w:name="_Toc11058"/>
      <w:r>
        <w:rPr>
          <w:rFonts w:hint="eastAsia" w:cs="宋体"/>
          <w:snapToGrid/>
          <w:color w:val="000000"/>
          <w:kern w:val="2"/>
          <w:sz w:val="21"/>
          <w:szCs w:val="21"/>
        </w:rPr>
        <w:t>6.1.2如</w:t>
      </w:r>
      <w:r>
        <w:rPr>
          <w:rFonts w:hint="eastAsia" w:cs="宋体"/>
          <w:snapToGrid/>
          <w:kern w:val="2"/>
          <w:sz w:val="21"/>
          <w:szCs w:val="21"/>
        </w:rPr>
        <w:t>需求清单中</w:t>
      </w:r>
      <w:r>
        <w:rPr>
          <w:rFonts w:hint="eastAsia" w:cs="宋体"/>
          <w:snapToGrid/>
          <w:color w:val="000000"/>
          <w:kern w:val="2"/>
          <w:sz w:val="21"/>
          <w:szCs w:val="21"/>
        </w:rPr>
        <w:t>物资的原品牌生产商质保期/有效期高于</w:t>
      </w:r>
      <w:r>
        <w:rPr>
          <w:rFonts w:hint="eastAsia" w:cs="宋体"/>
          <w:snapToGrid/>
          <w:color w:val="000000"/>
          <w:kern w:val="2"/>
          <w:sz w:val="21"/>
          <w:szCs w:val="21"/>
          <w:u w:val="single"/>
        </w:rPr>
        <w:t>36</w:t>
      </w:r>
      <w:r>
        <w:rPr>
          <w:rFonts w:hint="eastAsia" w:cs="宋体"/>
          <w:snapToGrid/>
          <w:color w:val="000000"/>
          <w:kern w:val="2"/>
          <w:sz w:val="21"/>
          <w:szCs w:val="21"/>
        </w:rPr>
        <w:t>个月的，按原品牌生产商承诺的质保期执行。投标方不能免除质保期结束后，原品牌生产商质保期/有效期高于6.1.1规定的质保期期间的质量责任。</w:t>
      </w:r>
      <w:bookmarkEnd w:id="78"/>
    </w:p>
    <w:p>
      <w:pPr>
        <w:pStyle w:val="88"/>
        <w:spacing w:before="0" w:line="360" w:lineRule="auto"/>
        <w:ind w:firstLine="422" w:firstLineChars="200"/>
        <w:jc w:val="left"/>
        <w:outlineLvl w:val="9"/>
        <w:rPr>
          <w:rFonts w:cs="宋体"/>
          <w:b/>
          <w:color w:val="000000"/>
          <w:sz w:val="21"/>
          <w:szCs w:val="21"/>
        </w:rPr>
      </w:pPr>
      <w:bookmarkStart w:id="79" w:name="_Toc6435"/>
      <w:bookmarkStart w:id="80" w:name="_Toc18564_WPSOffice_Level1"/>
      <w:bookmarkStart w:id="81" w:name="_Toc15855"/>
      <w:r>
        <w:rPr>
          <w:rFonts w:hint="eastAsia" w:cs="宋体"/>
          <w:b/>
          <w:bCs/>
          <w:snapToGrid/>
          <w:color w:val="000000"/>
          <w:kern w:val="2"/>
          <w:sz w:val="21"/>
          <w:szCs w:val="21"/>
        </w:rPr>
        <w:t>6.2</w:t>
      </w:r>
      <w:r>
        <w:rPr>
          <w:rFonts w:hint="eastAsia" w:cs="宋体"/>
          <w:b/>
          <w:color w:val="000000"/>
          <w:sz w:val="21"/>
          <w:szCs w:val="21"/>
        </w:rPr>
        <w:t>质保期投标方的履约责任</w:t>
      </w:r>
      <w:bookmarkEnd w:id="79"/>
      <w:bookmarkEnd w:id="80"/>
    </w:p>
    <w:p>
      <w:pPr>
        <w:pStyle w:val="88"/>
        <w:spacing w:before="0" w:line="360" w:lineRule="auto"/>
        <w:ind w:firstLine="420" w:firstLineChars="200"/>
        <w:jc w:val="left"/>
        <w:rPr>
          <w:rFonts w:cs="宋体"/>
          <w:snapToGrid/>
          <w:color w:val="000000"/>
          <w:kern w:val="2"/>
          <w:sz w:val="21"/>
          <w:szCs w:val="21"/>
        </w:rPr>
      </w:pPr>
      <w:bookmarkStart w:id="82" w:name="_Toc15934"/>
      <w:bookmarkStart w:id="83" w:name="_Toc415755728"/>
      <w:bookmarkStart w:id="84" w:name="_Toc10689"/>
      <w:r>
        <w:rPr>
          <w:rFonts w:hint="eastAsia" w:cs="宋体"/>
          <w:snapToGrid/>
          <w:color w:val="000000"/>
          <w:kern w:val="2"/>
          <w:sz w:val="21"/>
          <w:szCs w:val="21"/>
        </w:rPr>
        <w:t>6.2.1若在正常质保期内出现的缺陷，招标方应以书面形式向投标方索赔，投标方应说明其缺陷产生的原因以及弥补缺陷的方法。</w:t>
      </w:r>
      <w:bookmarkEnd w:id="82"/>
      <w:bookmarkEnd w:id="83"/>
      <w:bookmarkEnd w:id="84"/>
    </w:p>
    <w:p>
      <w:pPr>
        <w:pStyle w:val="88"/>
        <w:spacing w:before="0" w:line="360" w:lineRule="auto"/>
        <w:ind w:firstLine="420" w:firstLineChars="200"/>
        <w:jc w:val="left"/>
        <w:rPr>
          <w:rFonts w:cs="宋体"/>
          <w:snapToGrid/>
          <w:color w:val="000000"/>
          <w:kern w:val="2"/>
          <w:sz w:val="21"/>
          <w:szCs w:val="21"/>
        </w:rPr>
      </w:pPr>
      <w:bookmarkStart w:id="85" w:name="_Toc11520"/>
      <w:bookmarkStart w:id="86" w:name="_Toc31112"/>
      <w:bookmarkStart w:id="87" w:name="_Toc415755729"/>
      <w:r>
        <w:rPr>
          <w:rFonts w:hint="eastAsia" w:cs="宋体"/>
          <w:snapToGrid/>
          <w:color w:val="000000"/>
          <w:kern w:val="2"/>
          <w:sz w:val="21"/>
          <w:szCs w:val="21"/>
        </w:rPr>
        <w:t>6.2.2除非另有规定，原则上投标方应在招标方提出索赔的</w:t>
      </w:r>
      <w:r>
        <w:rPr>
          <w:rFonts w:hint="eastAsia" w:cs="宋体"/>
          <w:snapToGrid/>
          <w:color w:val="000000"/>
          <w:kern w:val="2"/>
          <w:sz w:val="21"/>
          <w:szCs w:val="21"/>
          <w:u w:val="single"/>
        </w:rPr>
        <w:t>5</w:t>
      </w:r>
      <w:r>
        <w:rPr>
          <w:rFonts w:hint="eastAsia" w:cs="宋体"/>
          <w:snapToGrid/>
          <w:color w:val="000000"/>
          <w:kern w:val="2"/>
          <w:sz w:val="21"/>
          <w:szCs w:val="21"/>
        </w:rPr>
        <w:t>个工作日内完成补救，投标方应根据招标方的要求，尽快修复、更换或更新物资有缺陷的部分，以使物资的相应部分恢复到合同所规定的状态和规格。</w:t>
      </w:r>
      <w:bookmarkEnd w:id="85"/>
      <w:bookmarkEnd w:id="86"/>
      <w:bookmarkEnd w:id="87"/>
    </w:p>
    <w:p>
      <w:pPr>
        <w:pStyle w:val="88"/>
        <w:spacing w:before="0" w:line="360" w:lineRule="auto"/>
        <w:ind w:firstLine="420" w:firstLineChars="200"/>
        <w:jc w:val="left"/>
        <w:rPr>
          <w:rFonts w:cs="宋体"/>
          <w:snapToGrid/>
          <w:color w:val="000000"/>
          <w:kern w:val="2"/>
          <w:sz w:val="21"/>
          <w:szCs w:val="21"/>
        </w:rPr>
      </w:pPr>
      <w:bookmarkStart w:id="88" w:name="_Toc415755730"/>
      <w:bookmarkStart w:id="89" w:name="_Toc12537"/>
      <w:bookmarkStart w:id="90" w:name="_Toc4733"/>
      <w:r>
        <w:rPr>
          <w:rFonts w:hint="eastAsia" w:cs="宋体"/>
          <w:snapToGrid/>
          <w:color w:val="000000"/>
          <w:kern w:val="2"/>
          <w:sz w:val="21"/>
          <w:szCs w:val="21"/>
        </w:rPr>
        <w:t>6.2.3投标方应承担因修补物资而产生的所有费用，包括但不限于更新物资缺陷部分的费用及往返之间的运输费用。若投标方不能在6.2.2所规定的时限内完成物资的修补，招标方有权在通知投标方后自行修补缺损，其费用及风险均由投标方承担，但这并不影响合同所规定的投标方的责任。</w:t>
      </w:r>
      <w:bookmarkEnd w:id="88"/>
      <w:bookmarkEnd w:id="89"/>
      <w:bookmarkEnd w:id="90"/>
    </w:p>
    <w:p>
      <w:pPr>
        <w:pStyle w:val="88"/>
        <w:spacing w:before="0" w:line="360" w:lineRule="auto"/>
        <w:ind w:firstLine="420" w:firstLineChars="200"/>
        <w:jc w:val="left"/>
        <w:rPr>
          <w:rFonts w:cs="宋体"/>
          <w:snapToGrid/>
          <w:color w:val="000000"/>
          <w:kern w:val="2"/>
          <w:sz w:val="21"/>
          <w:szCs w:val="21"/>
        </w:rPr>
      </w:pPr>
      <w:bookmarkStart w:id="91" w:name="_Toc415755731"/>
      <w:bookmarkStart w:id="92" w:name="OLE_LINK17"/>
      <w:bookmarkStart w:id="93" w:name="_Toc24065"/>
      <w:bookmarkStart w:id="94" w:name="_Toc18221"/>
      <w:r>
        <w:rPr>
          <w:rFonts w:hint="eastAsia" w:cs="宋体"/>
          <w:snapToGrid/>
          <w:color w:val="000000"/>
          <w:kern w:val="2"/>
          <w:sz w:val="21"/>
          <w:szCs w:val="21"/>
        </w:rPr>
        <w:t>6.2.4质保期后投标方将提供产品全寿命周期的技术支持和物资的长期供货支持。在某些零部件的型号停产后，投标方需协助招标方找到替代品。</w:t>
      </w:r>
      <w:bookmarkEnd w:id="91"/>
      <w:bookmarkEnd w:id="92"/>
      <w:bookmarkEnd w:id="93"/>
      <w:bookmarkEnd w:id="94"/>
    </w:p>
    <w:p>
      <w:pPr>
        <w:pStyle w:val="88"/>
        <w:spacing w:before="0" w:line="360" w:lineRule="auto"/>
        <w:ind w:firstLine="420" w:firstLineChars="200"/>
        <w:jc w:val="left"/>
        <w:rPr>
          <w:rFonts w:cs="宋体"/>
          <w:snapToGrid/>
          <w:color w:val="000000"/>
          <w:kern w:val="2"/>
          <w:sz w:val="21"/>
          <w:szCs w:val="21"/>
        </w:rPr>
      </w:pPr>
      <w:bookmarkStart w:id="95" w:name="_Toc8485"/>
      <w:r>
        <w:rPr>
          <w:rFonts w:hint="eastAsia" w:cs="宋体"/>
          <w:snapToGrid/>
          <w:color w:val="000000"/>
          <w:kern w:val="2"/>
          <w:sz w:val="21"/>
          <w:szCs w:val="21"/>
        </w:rPr>
        <w:t>6.2.5投标方必须提供返修件的合格证及故障检测报告，明确标明故障部位及原因。需返厂维修的备件，如厂家在国内必须在</w:t>
      </w:r>
      <w:r>
        <w:rPr>
          <w:rFonts w:hint="eastAsia" w:cs="宋体"/>
          <w:snapToGrid/>
          <w:color w:val="000000"/>
          <w:kern w:val="2"/>
          <w:sz w:val="21"/>
          <w:szCs w:val="21"/>
          <w:u w:val="single"/>
        </w:rPr>
        <w:t>15</w:t>
      </w:r>
      <w:r>
        <w:rPr>
          <w:rFonts w:hint="eastAsia" w:cs="宋体"/>
          <w:snapToGrid/>
          <w:color w:val="000000"/>
          <w:kern w:val="2"/>
          <w:sz w:val="21"/>
          <w:szCs w:val="21"/>
        </w:rPr>
        <w:t>个工作日之内完成返修，如不能在限期内完成则以双方商定日期为准；如厂家在国外必须在</w:t>
      </w:r>
      <w:r>
        <w:rPr>
          <w:rFonts w:hint="eastAsia" w:cs="宋体"/>
          <w:snapToGrid/>
          <w:color w:val="000000"/>
          <w:kern w:val="2"/>
          <w:sz w:val="21"/>
          <w:szCs w:val="21"/>
          <w:u w:val="single"/>
        </w:rPr>
        <w:t>25</w:t>
      </w:r>
      <w:r>
        <w:rPr>
          <w:rFonts w:hint="eastAsia" w:cs="宋体"/>
          <w:snapToGrid/>
          <w:color w:val="000000"/>
          <w:kern w:val="2"/>
          <w:sz w:val="21"/>
          <w:szCs w:val="21"/>
        </w:rPr>
        <w:t>个工作日之内完成返修，如不能在限期内完成则以双方商定日期为准。</w:t>
      </w:r>
      <w:bookmarkEnd w:id="95"/>
    </w:p>
    <w:p>
      <w:pPr>
        <w:pStyle w:val="88"/>
        <w:spacing w:before="0" w:line="360" w:lineRule="auto"/>
        <w:ind w:firstLine="420" w:firstLineChars="200"/>
        <w:jc w:val="left"/>
        <w:rPr>
          <w:rFonts w:cs="宋体"/>
          <w:snapToGrid/>
          <w:color w:val="000000"/>
          <w:kern w:val="2"/>
          <w:sz w:val="21"/>
          <w:szCs w:val="21"/>
        </w:rPr>
      </w:pPr>
      <w:bookmarkStart w:id="96" w:name="_Toc1818"/>
      <w:r>
        <w:rPr>
          <w:rFonts w:hint="eastAsia" w:cs="宋体"/>
          <w:snapToGrid/>
          <w:color w:val="000000"/>
          <w:kern w:val="2"/>
          <w:sz w:val="21"/>
          <w:szCs w:val="21"/>
        </w:rPr>
        <w:t>6.2.6备件返厂维修时，需投标方负责给予替换件，保证现场有合格备件做库存。</w:t>
      </w:r>
      <w:bookmarkEnd w:id="96"/>
    </w:p>
    <w:p>
      <w:pPr>
        <w:pStyle w:val="88"/>
        <w:spacing w:before="0" w:line="360" w:lineRule="auto"/>
        <w:ind w:firstLine="420" w:firstLineChars="200"/>
        <w:jc w:val="left"/>
        <w:rPr>
          <w:rFonts w:cs="宋体"/>
          <w:snapToGrid/>
          <w:color w:val="000000"/>
          <w:kern w:val="2"/>
          <w:sz w:val="21"/>
          <w:szCs w:val="21"/>
        </w:rPr>
      </w:pPr>
      <w:bookmarkStart w:id="97" w:name="_Toc9681"/>
      <w:r>
        <w:rPr>
          <w:rFonts w:hint="eastAsia" w:cs="宋体"/>
          <w:snapToGrid/>
          <w:color w:val="000000"/>
          <w:kern w:val="2"/>
          <w:sz w:val="21"/>
          <w:szCs w:val="21"/>
        </w:rPr>
        <w:t>6.2.7若投标方因未满足技术规格要求而须对该备件进行更换时，投标方将无偿更换该备件，包括硬件及软件。</w:t>
      </w:r>
      <w:bookmarkEnd w:id="97"/>
    </w:p>
    <w:p>
      <w:pPr>
        <w:pStyle w:val="88"/>
        <w:spacing w:before="0" w:line="360" w:lineRule="auto"/>
        <w:ind w:firstLine="420" w:firstLineChars="200"/>
        <w:jc w:val="left"/>
        <w:rPr>
          <w:rFonts w:cs="宋体"/>
          <w:sz w:val="21"/>
          <w:szCs w:val="21"/>
        </w:rPr>
      </w:pPr>
      <w:bookmarkStart w:id="98" w:name="_Toc4948"/>
      <w:r>
        <w:rPr>
          <w:rFonts w:hint="eastAsia" w:cs="宋体"/>
          <w:snapToGrid/>
          <w:color w:val="000000"/>
          <w:kern w:val="2"/>
          <w:sz w:val="21"/>
          <w:szCs w:val="21"/>
        </w:rPr>
        <w:t>6.2.8质保期内发生的零部件不正常磨损，或成品质量不符合生产工艺要求，或非人为原因而损坏、失效的零部件、电子元器件和易损件，发生上述情况时，投标方须免费更换上述零部件、电子元器件和易损件。如并非上述原因造成的零部件损坏，招标方须</w:t>
      </w:r>
      <w:bookmarkStart w:id="99" w:name="OLE_LINK4"/>
      <w:r>
        <w:rPr>
          <w:rFonts w:hint="eastAsia" w:cs="宋体"/>
          <w:snapToGrid/>
          <w:color w:val="000000"/>
          <w:kern w:val="2"/>
          <w:sz w:val="21"/>
          <w:szCs w:val="21"/>
        </w:rPr>
        <w:t>同</w:t>
      </w:r>
      <w:bookmarkEnd w:id="99"/>
      <w:r>
        <w:rPr>
          <w:rFonts w:hint="eastAsia" w:cs="宋体"/>
          <w:snapToGrid/>
          <w:color w:val="000000"/>
          <w:kern w:val="2"/>
          <w:sz w:val="21"/>
          <w:szCs w:val="21"/>
        </w:rPr>
        <w:t>投标方进行协商并提供相应的技术支持。</w:t>
      </w:r>
      <w:bookmarkEnd w:id="98"/>
    </w:p>
    <w:bookmarkEnd w:id="81"/>
    <w:p>
      <w:pPr>
        <w:tabs>
          <w:tab w:val="left" w:pos="576"/>
          <w:tab w:val="left" w:pos="945"/>
        </w:tabs>
        <w:spacing w:line="360" w:lineRule="auto"/>
        <w:jc w:val="center"/>
        <w:rPr>
          <w:rFonts w:ascii="宋体" w:hAnsi="宋体" w:cs="宋体"/>
          <w:b/>
          <w:kern w:val="0"/>
          <w:sz w:val="32"/>
          <w:szCs w:val="32"/>
        </w:rPr>
      </w:pPr>
      <w:r>
        <w:rPr>
          <w:rFonts w:hint="eastAsia" w:ascii="宋体" w:hAnsi="宋体" w:cs="宋体"/>
          <w:b/>
          <w:bCs/>
          <w:color w:val="000000"/>
          <w:sz w:val="28"/>
          <w:szCs w:val="28"/>
        </w:rPr>
        <w:br w:type="page"/>
      </w:r>
      <w:bookmarkEnd w:id="20"/>
      <w:r>
        <w:rPr>
          <w:rFonts w:hint="eastAsia" w:ascii="宋体" w:hAnsi="宋体" w:cs="宋体"/>
          <w:b/>
          <w:kern w:val="0"/>
          <w:sz w:val="32"/>
          <w:szCs w:val="32"/>
        </w:rPr>
        <w:t>第五章  合同格式条款</w:t>
      </w:r>
      <w:bookmarkEnd w:id="21"/>
    </w:p>
    <w:p>
      <w:pPr>
        <w:wordWrap w:val="0"/>
        <w:jc w:val="right"/>
        <w:rPr>
          <w:rFonts w:ascii="宋体" w:hAnsi="宋体" w:cs="宋体"/>
          <w:color w:val="000000"/>
          <w:sz w:val="30"/>
          <w:szCs w:val="30"/>
        </w:rPr>
      </w:pPr>
      <w:bookmarkStart w:id="100" w:name="_Toc282103911"/>
      <w:bookmarkStart w:id="101" w:name="_Toc452727364"/>
      <w:bookmarkStart w:id="102" w:name="_Toc16867237"/>
      <w:bookmarkStart w:id="103" w:name="_Toc452306160"/>
      <w:bookmarkStart w:id="104" w:name="_Toc282123562"/>
      <w:bookmarkStart w:id="105" w:name="_Toc434897350"/>
      <w:bookmarkStart w:id="106" w:name="_Toc452727004"/>
      <w:bookmarkStart w:id="107" w:name="_Toc434462846"/>
      <w:bookmarkStart w:id="108" w:name="_Toc283621756"/>
      <w:bookmarkStart w:id="109" w:name="_Toc283559417"/>
      <w:bookmarkStart w:id="110" w:name="_Toc16866787"/>
      <w:bookmarkStart w:id="111" w:name="_Toc2063646"/>
      <w:bookmarkStart w:id="112" w:name="_Toc452800749"/>
      <w:bookmarkStart w:id="113" w:name="_Toc282128562"/>
      <w:bookmarkStart w:id="114" w:name="_Toc283565127"/>
      <w:bookmarkStart w:id="115" w:name="_Toc283626740"/>
      <w:bookmarkStart w:id="116" w:name="_Toc434460942"/>
      <w:bookmarkStart w:id="117" w:name="_Toc158610791"/>
      <w:bookmarkStart w:id="118" w:name="_Toc2063771"/>
      <w:bookmarkStart w:id="119" w:name="_Toc8343780"/>
      <w:bookmarkStart w:id="120" w:name="_Toc18403161"/>
      <w:bookmarkStart w:id="121" w:name="_Toc282120609"/>
      <w:bookmarkStart w:id="122" w:name="_Toc434462235"/>
      <w:bookmarkStart w:id="123" w:name="_Toc282104321"/>
      <w:bookmarkStart w:id="124" w:name="_Toc18403317"/>
      <w:bookmarkStart w:id="125" w:name="_Toc16900909"/>
      <w:bookmarkStart w:id="126" w:name="_Toc2063902"/>
      <w:bookmarkStart w:id="127" w:name="_Toc158620815"/>
      <w:r>
        <w:rPr>
          <w:rFonts w:hint="eastAsia" w:ascii="宋体" w:hAnsi="宋体" w:cs="宋体"/>
          <w:color w:val="000000"/>
          <w:sz w:val="24"/>
        </w:rPr>
        <w:t xml:space="preserve">   合同编号</w:t>
      </w:r>
      <w:r>
        <w:rPr>
          <w:rFonts w:hint="eastAsia" w:ascii="宋体" w:hAnsi="宋体" w:cs="宋体"/>
          <w:color w:val="000000"/>
          <w:sz w:val="30"/>
          <w:szCs w:val="30"/>
        </w:rPr>
        <w:t>:</w:t>
      </w:r>
      <w:r>
        <w:rPr>
          <w:rFonts w:hint="eastAsia" w:ascii="宋体" w:hAnsi="宋体" w:cs="宋体"/>
          <w:color w:val="000000"/>
          <w:sz w:val="24"/>
        </w:rPr>
        <w:t>长轨运  物合[2019]  号</w:t>
      </w:r>
    </w:p>
    <w:p>
      <w:pPr>
        <w:ind w:firstLine="25" w:firstLineChars="7"/>
        <w:rPr>
          <w:rFonts w:ascii="宋体" w:hAnsi="宋体" w:cs="宋体"/>
          <w:b/>
          <w:color w:val="000000"/>
          <w:sz w:val="36"/>
          <w:szCs w:val="36"/>
        </w:rPr>
      </w:pPr>
    </w:p>
    <w:p>
      <w:pPr>
        <w:ind w:firstLine="39" w:firstLineChars="7"/>
        <w:jc w:val="center"/>
        <w:rPr>
          <w:rFonts w:ascii="宋体" w:hAnsi="宋体" w:cs="宋体"/>
          <w:b/>
          <w:color w:val="000000"/>
          <w:sz w:val="44"/>
          <w:szCs w:val="44"/>
        </w:rPr>
      </w:pPr>
      <w:r>
        <w:rPr>
          <w:rFonts w:hint="eastAsia" w:ascii="宋体" w:hAnsi="宋体" w:cs="宋体"/>
          <w:b/>
          <w:color w:val="000000"/>
          <w:spacing w:val="20"/>
          <w:sz w:val="52"/>
          <w:szCs w:val="52"/>
        </w:rPr>
        <w:t>机电设备采购合同</w:t>
      </w:r>
    </w:p>
    <w:p>
      <w:pPr>
        <w:ind w:firstLine="31" w:firstLineChars="7"/>
        <w:jc w:val="center"/>
        <w:rPr>
          <w:rFonts w:ascii="宋体" w:hAnsi="宋体" w:cs="宋体"/>
          <w:b/>
          <w:color w:val="000000"/>
          <w:sz w:val="44"/>
          <w:szCs w:val="44"/>
        </w:rPr>
      </w:pPr>
    </w:p>
    <w:p>
      <w:pPr>
        <w:ind w:firstLine="25" w:firstLineChars="7"/>
        <w:jc w:val="left"/>
        <w:rPr>
          <w:rFonts w:ascii="宋体" w:hAnsi="宋体" w:cs="宋体"/>
          <w:b/>
          <w:color w:val="000000"/>
          <w:sz w:val="36"/>
          <w:szCs w:val="36"/>
        </w:rPr>
      </w:pPr>
    </w:p>
    <w:p>
      <w:pPr>
        <w:ind w:left="1405" w:hanging="1405" w:hangingChars="500"/>
        <w:rPr>
          <w:rFonts w:ascii="宋体" w:hAnsi="宋体" w:cs="宋体"/>
          <w:b/>
          <w:bCs/>
          <w:color w:val="000000"/>
          <w:sz w:val="28"/>
          <w:szCs w:val="28"/>
          <w:u w:val="dotted"/>
        </w:rPr>
      </w:pPr>
      <w:r>
        <w:rPr>
          <w:rFonts w:hint="eastAsia" w:ascii="宋体" w:hAnsi="宋体" w:cs="宋体"/>
          <w:b/>
          <w:color w:val="000000"/>
          <w:sz w:val="28"/>
          <w:szCs w:val="28"/>
        </w:rPr>
        <w:t>合同名称:</w:t>
      </w:r>
      <w:r>
        <w:rPr>
          <w:rFonts w:hint="eastAsia" w:ascii="宋体" w:hAnsi="宋体" w:cs="宋体"/>
          <w:b/>
          <w:color w:val="000000"/>
          <w:sz w:val="28"/>
          <w:szCs w:val="28"/>
          <w:u w:val="dotted"/>
        </w:rPr>
        <w:t xml:space="preserve">                      </w:t>
      </w:r>
    </w:p>
    <w:p>
      <w:pPr>
        <w:ind w:left="1405" w:hanging="1405" w:hangingChars="500"/>
        <w:jc w:val="left"/>
        <w:rPr>
          <w:rFonts w:ascii="宋体" w:hAnsi="宋体" w:cs="宋体"/>
          <w:b/>
          <w:color w:val="000000"/>
          <w:sz w:val="28"/>
          <w:szCs w:val="28"/>
          <w:u w:val="dotted"/>
        </w:rPr>
      </w:pPr>
    </w:p>
    <w:p>
      <w:pPr>
        <w:ind w:firstLine="20" w:firstLineChars="7"/>
        <w:jc w:val="center"/>
        <w:rPr>
          <w:rFonts w:ascii="宋体" w:hAnsi="宋体" w:cs="宋体"/>
          <w:b/>
          <w:color w:val="000000"/>
          <w:sz w:val="28"/>
          <w:szCs w:val="28"/>
          <w:u w:val="dotted"/>
        </w:rPr>
      </w:pPr>
    </w:p>
    <w:p>
      <w:pPr>
        <w:rPr>
          <w:rFonts w:ascii="宋体" w:hAnsi="宋体" w:cs="宋体"/>
          <w:color w:val="000000"/>
          <w:sz w:val="30"/>
          <w:szCs w:val="30"/>
        </w:rPr>
      </w:pPr>
    </w:p>
    <w:p>
      <w:pPr>
        <w:rPr>
          <w:rFonts w:ascii="宋体" w:hAnsi="宋体" w:cs="宋体"/>
          <w:b/>
          <w:color w:val="000000"/>
          <w:sz w:val="28"/>
          <w:szCs w:val="28"/>
          <w:u w:val="dotted"/>
        </w:rPr>
      </w:pPr>
    </w:p>
    <w:p>
      <w:pPr>
        <w:ind w:firstLine="20" w:firstLineChars="7"/>
        <w:rPr>
          <w:rFonts w:ascii="宋体" w:hAnsi="宋体" w:cs="宋体"/>
          <w:b/>
          <w:color w:val="000000"/>
          <w:sz w:val="28"/>
          <w:szCs w:val="28"/>
        </w:rPr>
      </w:pPr>
      <w:r>
        <w:rPr>
          <w:rFonts w:hint="eastAsia" w:ascii="宋体" w:hAnsi="宋体" w:cs="宋体"/>
          <w:b/>
          <w:color w:val="000000"/>
          <w:sz w:val="28"/>
          <w:szCs w:val="28"/>
        </w:rPr>
        <w:t>买    方：</w:t>
      </w:r>
      <w:r>
        <w:rPr>
          <w:rFonts w:hint="eastAsia" w:ascii="宋体" w:hAnsi="宋体" w:cs="宋体"/>
          <w:b/>
          <w:color w:val="000000"/>
          <w:sz w:val="28"/>
          <w:szCs w:val="28"/>
          <w:u w:val="dotted"/>
        </w:rPr>
        <w:t xml:space="preserve">                         </w:t>
      </w:r>
    </w:p>
    <w:p>
      <w:pPr>
        <w:ind w:firstLine="20" w:firstLineChars="7"/>
        <w:rPr>
          <w:rFonts w:ascii="宋体" w:hAnsi="宋体" w:cs="宋体"/>
          <w:b/>
          <w:color w:val="000000"/>
          <w:sz w:val="28"/>
          <w:szCs w:val="28"/>
        </w:rPr>
      </w:pPr>
      <w:r>
        <w:rPr>
          <w:rFonts w:hint="eastAsia" w:ascii="宋体" w:hAnsi="宋体" w:cs="宋体"/>
          <w:b/>
          <w:color w:val="000000"/>
          <w:sz w:val="28"/>
          <w:szCs w:val="28"/>
        </w:rPr>
        <w:t>卖    方：</w:t>
      </w:r>
      <w:r>
        <w:rPr>
          <w:rFonts w:hint="eastAsia" w:ascii="宋体" w:hAnsi="宋体" w:cs="宋体"/>
          <w:b/>
          <w:color w:val="000000"/>
          <w:sz w:val="28"/>
          <w:szCs w:val="28"/>
          <w:u w:val="dotted"/>
        </w:rPr>
        <w:t xml:space="preserve">                           </w:t>
      </w:r>
    </w:p>
    <w:p>
      <w:pPr>
        <w:pStyle w:val="13"/>
        <w:rPr>
          <w:rFonts w:ascii="宋体" w:hAnsi="宋体" w:cs="宋体"/>
          <w:b/>
          <w:color w:val="000000"/>
          <w:sz w:val="28"/>
          <w:szCs w:val="28"/>
        </w:rPr>
      </w:pPr>
    </w:p>
    <w:p>
      <w:pPr>
        <w:rPr>
          <w:rFonts w:ascii="宋体" w:hAnsi="宋体" w:cs="宋体"/>
          <w:b/>
          <w:color w:val="000000"/>
          <w:sz w:val="28"/>
          <w:szCs w:val="28"/>
        </w:rPr>
      </w:pPr>
    </w:p>
    <w:p>
      <w:pPr>
        <w:pStyle w:val="13"/>
        <w:rPr>
          <w:rFonts w:ascii="宋体" w:hAnsi="宋体" w:cs="宋体"/>
        </w:rPr>
      </w:pPr>
    </w:p>
    <w:p>
      <w:pPr>
        <w:ind w:firstLine="20" w:firstLineChars="7"/>
        <w:rPr>
          <w:rFonts w:ascii="宋体" w:hAnsi="宋体" w:cs="宋体"/>
          <w:b/>
          <w:color w:val="000000"/>
          <w:sz w:val="28"/>
          <w:szCs w:val="28"/>
          <w:u w:val="dotted"/>
        </w:rPr>
      </w:pPr>
      <w:r>
        <w:rPr>
          <w:rFonts w:hint="eastAsia" w:ascii="宋体" w:hAnsi="宋体" w:cs="宋体"/>
          <w:b/>
          <w:color w:val="000000"/>
          <w:sz w:val="28"/>
          <w:szCs w:val="28"/>
        </w:rPr>
        <w:t>签订地点：</w:t>
      </w:r>
      <w:r>
        <w:rPr>
          <w:rFonts w:hint="eastAsia" w:ascii="宋体" w:hAnsi="宋体" w:cs="宋体"/>
          <w:b/>
          <w:color w:val="000000"/>
          <w:sz w:val="28"/>
          <w:szCs w:val="28"/>
          <w:u w:val="dotted"/>
        </w:rPr>
        <w:t>湖南省长沙市</w:t>
      </w:r>
    </w:p>
    <w:p>
      <w:pPr>
        <w:ind w:firstLine="20" w:firstLineChars="7"/>
        <w:rPr>
          <w:rFonts w:ascii="宋体" w:hAnsi="宋体" w:cs="宋体"/>
          <w:b/>
          <w:color w:val="000000"/>
          <w:sz w:val="28"/>
          <w:szCs w:val="28"/>
        </w:rPr>
      </w:pPr>
    </w:p>
    <w:p>
      <w:pPr>
        <w:ind w:firstLine="20" w:firstLineChars="7"/>
        <w:rPr>
          <w:rFonts w:ascii="宋体" w:hAnsi="宋体" w:cs="宋体"/>
          <w:b/>
          <w:color w:val="000000"/>
          <w:sz w:val="28"/>
          <w:szCs w:val="28"/>
          <w:u w:val="dotted"/>
        </w:rPr>
      </w:pPr>
      <w:r>
        <w:rPr>
          <w:rFonts w:hint="eastAsia" w:ascii="宋体" w:hAnsi="宋体" w:cs="宋体"/>
          <w:b/>
          <w:color w:val="000000"/>
          <w:sz w:val="28"/>
          <w:szCs w:val="28"/>
        </w:rPr>
        <w:t>签订时间：</w:t>
      </w:r>
      <w:r>
        <w:rPr>
          <w:rFonts w:hint="eastAsia" w:ascii="宋体" w:hAnsi="宋体" w:cs="宋体"/>
          <w:b/>
          <w:color w:val="000000"/>
          <w:sz w:val="28"/>
          <w:szCs w:val="28"/>
          <w:u w:val="dotted"/>
        </w:rPr>
        <w:t>二〇一九年   月</w:t>
      </w:r>
    </w:p>
    <w:p>
      <w:pPr>
        <w:jc w:val="center"/>
        <w:rPr>
          <w:rFonts w:ascii="宋体" w:hAnsi="宋体" w:cs="宋体"/>
          <w:b/>
          <w:color w:val="000000"/>
          <w:sz w:val="24"/>
        </w:rPr>
        <w:sectPr>
          <w:pgSz w:w="11850" w:h="16783"/>
          <w:pgMar w:top="1440" w:right="1800" w:bottom="1440" w:left="1800" w:header="851" w:footer="992" w:gutter="0"/>
          <w:cols w:space="0" w:num="1"/>
          <w:docGrid w:type="lines" w:linePitch="312" w:charSpace="0"/>
        </w:sectPr>
      </w:pPr>
    </w:p>
    <w:p>
      <w:pPr>
        <w:pStyle w:val="14"/>
        <w:adjustRightInd w:val="0"/>
        <w:snapToGrid w:val="0"/>
        <w:spacing w:line="360" w:lineRule="auto"/>
        <w:ind w:firstLine="0"/>
        <w:jc w:val="center"/>
        <w:rPr>
          <w:rFonts w:ascii="宋体" w:hAnsi="宋体" w:cs="宋体"/>
          <w:sz w:val="24"/>
          <w:szCs w:val="24"/>
        </w:rPr>
      </w:pPr>
      <w:r>
        <w:rPr>
          <w:rFonts w:hint="eastAsia" w:ascii="宋体" w:hAnsi="宋体" w:cs="宋体"/>
          <w:b/>
          <w:bCs/>
          <w:sz w:val="32"/>
          <w:szCs w:val="32"/>
        </w:rPr>
        <w:t>第一部分 合同协议书</w:t>
      </w:r>
    </w:p>
    <w:p>
      <w:pPr>
        <w:pStyle w:val="14"/>
        <w:adjustRightInd w:val="0"/>
        <w:snapToGrid w:val="0"/>
        <w:spacing w:line="360" w:lineRule="auto"/>
        <w:ind w:firstLine="0"/>
        <w:rPr>
          <w:rFonts w:ascii="宋体" w:hAnsi="宋体" w:cs="宋体"/>
          <w:b/>
          <w:sz w:val="24"/>
          <w:szCs w:val="24"/>
        </w:rPr>
      </w:pPr>
    </w:p>
    <w:p>
      <w:pPr>
        <w:pStyle w:val="14"/>
        <w:adjustRightInd w:val="0"/>
        <w:snapToGrid w:val="0"/>
        <w:spacing w:line="360" w:lineRule="auto"/>
        <w:ind w:firstLine="0"/>
        <w:jc w:val="both"/>
        <w:rPr>
          <w:rFonts w:ascii="宋体" w:hAnsi="宋体" w:cs="宋体"/>
          <w:b/>
          <w:sz w:val="21"/>
          <w:szCs w:val="21"/>
          <w:u w:val="single"/>
        </w:rPr>
      </w:pPr>
      <w:r>
        <w:rPr>
          <w:rFonts w:hint="eastAsia" w:ascii="宋体" w:hAnsi="宋体" w:cs="宋体"/>
          <w:b/>
          <w:sz w:val="21"/>
          <w:szCs w:val="21"/>
        </w:rPr>
        <w:t>买方（全称）：</w:t>
      </w:r>
      <w:r>
        <w:rPr>
          <w:rFonts w:hint="eastAsia" w:ascii="宋体" w:hAnsi="宋体" w:cs="宋体"/>
          <w:b/>
          <w:sz w:val="21"/>
          <w:szCs w:val="21"/>
          <w:u w:val="single"/>
        </w:rPr>
        <w:t xml:space="preserve">                         </w:t>
      </w:r>
    </w:p>
    <w:p>
      <w:pPr>
        <w:pStyle w:val="14"/>
        <w:adjustRightInd w:val="0"/>
        <w:snapToGrid w:val="0"/>
        <w:spacing w:line="360" w:lineRule="auto"/>
        <w:ind w:firstLine="0"/>
        <w:jc w:val="both"/>
        <w:rPr>
          <w:rFonts w:ascii="宋体" w:hAnsi="宋体" w:cs="宋体"/>
          <w:b/>
          <w:sz w:val="21"/>
          <w:szCs w:val="21"/>
          <w:u w:val="single"/>
        </w:rPr>
      </w:pPr>
      <w:r>
        <w:rPr>
          <w:rFonts w:hint="eastAsia" w:ascii="宋体" w:hAnsi="宋体" w:cs="宋体"/>
          <w:b/>
          <w:sz w:val="21"/>
          <w:szCs w:val="21"/>
        </w:rPr>
        <w:t>卖方（全称）：</w:t>
      </w:r>
      <w:r>
        <w:rPr>
          <w:rFonts w:hint="eastAsia" w:ascii="宋体" w:hAnsi="宋体" w:cs="宋体"/>
          <w:b/>
          <w:sz w:val="21"/>
          <w:szCs w:val="21"/>
          <w:u w:val="single"/>
        </w:rPr>
        <w:t xml:space="preserve">                         </w:t>
      </w:r>
    </w:p>
    <w:p>
      <w:pPr>
        <w:pStyle w:val="14"/>
        <w:adjustRightInd w:val="0"/>
        <w:snapToGrid w:val="0"/>
        <w:spacing w:line="360" w:lineRule="auto"/>
        <w:ind w:firstLineChars="200"/>
        <w:rPr>
          <w:rFonts w:ascii="宋体" w:hAnsi="宋体" w:cs="宋体"/>
          <w:sz w:val="21"/>
          <w:szCs w:val="21"/>
        </w:rPr>
      </w:pPr>
      <w:r>
        <w:rPr>
          <w:rFonts w:hint="eastAsia" w:ascii="宋体" w:hAnsi="宋体" w:cs="宋体"/>
          <w:sz w:val="21"/>
          <w:szCs w:val="21"/>
        </w:rPr>
        <w:t>依照《中华人民共和国合同法》及其他有关法律、行政法规，遵循平等、自愿、公平和诚实信用的原则，买、卖双方就项目及有关事宜协商一致，于</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日在</w:t>
      </w:r>
      <w:r>
        <w:rPr>
          <w:rFonts w:hint="eastAsia" w:ascii="宋体" w:hAnsi="宋体" w:cs="宋体"/>
          <w:sz w:val="21"/>
          <w:szCs w:val="21"/>
          <w:u w:val="single"/>
        </w:rPr>
        <w:t>湖南省长沙市雨花区</w:t>
      </w:r>
      <w:r>
        <w:rPr>
          <w:rFonts w:hint="eastAsia" w:ascii="宋体" w:hAnsi="宋体" w:cs="宋体"/>
          <w:sz w:val="21"/>
          <w:szCs w:val="21"/>
        </w:rPr>
        <w:t>共同签订本合同。</w:t>
      </w:r>
    </w:p>
    <w:p>
      <w:pPr>
        <w:adjustRightInd w:val="0"/>
        <w:snapToGrid w:val="0"/>
        <w:spacing w:line="360" w:lineRule="auto"/>
        <w:ind w:firstLine="413" w:firstLineChars="196"/>
        <w:rPr>
          <w:rFonts w:ascii="宋体" w:hAnsi="宋体" w:cs="宋体"/>
          <w:b/>
          <w:szCs w:val="21"/>
        </w:rPr>
      </w:pPr>
      <w:r>
        <w:rPr>
          <w:rFonts w:hint="eastAsia" w:ascii="宋体" w:hAnsi="宋体" w:cs="宋体"/>
          <w:b/>
          <w:szCs w:val="21"/>
        </w:rPr>
        <w:t>一、项目概况</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1.1项目名称：</w:t>
      </w:r>
      <w:r>
        <w:rPr>
          <w:rFonts w:hint="eastAsia" w:ascii="宋体" w:hAnsi="宋体" w:cs="宋体"/>
          <w:b/>
          <w:szCs w:val="21"/>
          <w:u w:val="single"/>
        </w:rPr>
        <w:t xml:space="preserve">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1.2项目范围及工作内容：</w:t>
      </w:r>
      <w:r>
        <w:rPr>
          <w:rFonts w:hint="eastAsia" w:ascii="宋体" w:hAnsi="宋体" w:cs="宋体"/>
          <w:b/>
          <w:szCs w:val="21"/>
          <w:u w:val="single"/>
        </w:rPr>
        <w:t xml:space="preserve">                         </w:t>
      </w:r>
    </w:p>
    <w:p>
      <w:pPr>
        <w:adjustRightInd w:val="0"/>
        <w:snapToGrid w:val="0"/>
        <w:spacing w:line="360" w:lineRule="auto"/>
        <w:ind w:firstLine="413" w:firstLineChars="196"/>
        <w:rPr>
          <w:rFonts w:ascii="宋体" w:hAnsi="宋体" w:cs="宋体"/>
          <w:b/>
          <w:szCs w:val="21"/>
        </w:rPr>
      </w:pPr>
      <w:r>
        <w:rPr>
          <w:rFonts w:hint="eastAsia" w:ascii="宋体" w:hAnsi="宋体" w:cs="宋体"/>
          <w:b/>
          <w:szCs w:val="21"/>
        </w:rPr>
        <w:t>二、合同计划工期</w:t>
      </w:r>
    </w:p>
    <w:p>
      <w:pPr>
        <w:adjustRightInd w:val="0"/>
        <w:snapToGrid w:val="0"/>
        <w:spacing w:line="360" w:lineRule="auto"/>
        <w:ind w:firstLine="413" w:firstLineChars="196"/>
        <w:rPr>
          <w:rFonts w:ascii="宋体" w:hAnsi="宋体" w:cs="宋体"/>
          <w:b/>
          <w:szCs w:val="21"/>
          <w:u w:val="single"/>
        </w:rPr>
      </w:pPr>
      <w:r>
        <w:rPr>
          <w:rFonts w:hint="eastAsia" w:ascii="宋体" w:hAnsi="宋体" w:cs="宋体"/>
          <w:b/>
          <w:szCs w:val="21"/>
          <w:u w:val="single"/>
        </w:rPr>
        <w:t xml:space="preserve">                         </w:t>
      </w:r>
    </w:p>
    <w:p>
      <w:pPr>
        <w:adjustRightInd w:val="0"/>
        <w:snapToGrid w:val="0"/>
        <w:spacing w:line="360" w:lineRule="auto"/>
        <w:ind w:firstLine="482"/>
        <w:rPr>
          <w:rFonts w:ascii="宋体" w:hAnsi="宋体" w:cs="宋体"/>
          <w:b/>
          <w:szCs w:val="21"/>
        </w:rPr>
      </w:pPr>
      <w:r>
        <w:rPr>
          <w:rFonts w:hint="eastAsia" w:ascii="宋体" w:hAnsi="宋体" w:cs="宋体"/>
          <w:b/>
          <w:szCs w:val="21"/>
        </w:rPr>
        <w:t>三、合同价款</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3.1合同价款形式：</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u w:val="single"/>
        </w:rPr>
        <w:t>□总价合同</w:t>
      </w:r>
      <w:r>
        <w:rPr>
          <w:rFonts w:hint="eastAsia" w:ascii="宋体" w:hAnsi="宋体" w:cs="宋体"/>
          <w:bCs/>
          <w:szCs w:val="21"/>
        </w:rPr>
        <w:t>（</w:t>
      </w:r>
      <w:r>
        <w:rPr>
          <w:rFonts w:hint="eastAsia" w:ascii="宋体" w:hAnsi="宋体" w:cs="宋体"/>
          <w:szCs w:val="21"/>
        </w:rPr>
        <w:t>合同总价在合同执行过程中固定不变，不受政策、法规变化以及汇率浮动、物价指数浮动等因素的影响</w:t>
      </w:r>
      <w:r>
        <w:rPr>
          <w:rFonts w:hint="eastAsia" w:ascii="宋体" w:hAnsi="宋体" w:cs="宋体"/>
          <w:bCs/>
          <w:szCs w:val="21"/>
        </w:rPr>
        <w:t>）。</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u w:val="single"/>
        </w:rPr>
        <w:t>□单价合同</w:t>
      </w:r>
      <w:r>
        <w:rPr>
          <w:rFonts w:hint="eastAsia" w:ascii="宋体" w:hAnsi="宋体" w:cs="宋体"/>
          <w:bCs/>
          <w:szCs w:val="21"/>
        </w:rPr>
        <w:t>（</w:t>
      </w:r>
      <w:r>
        <w:rPr>
          <w:rFonts w:hint="eastAsia" w:ascii="宋体" w:hAnsi="宋体" w:cs="宋体"/>
          <w:szCs w:val="21"/>
        </w:rPr>
        <w:t>合同单价在合同执行过程中固定不变，不受政策、法规变化以及汇率浮动、物价指数浮动等因素的影响</w:t>
      </w:r>
      <w:r>
        <w:rPr>
          <w:rFonts w:hint="eastAsia" w:ascii="宋体" w:hAnsi="宋体" w:cs="宋体"/>
          <w:bCs/>
          <w:szCs w:val="21"/>
        </w:rPr>
        <w:t>）。</w:t>
      </w:r>
    </w:p>
    <w:p>
      <w:pPr>
        <w:adjustRightInd w:val="0"/>
        <w:snapToGrid w:val="0"/>
        <w:spacing w:line="360" w:lineRule="auto"/>
        <w:ind w:firstLine="420" w:firstLineChars="200"/>
        <w:rPr>
          <w:rFonts w:ascii="宋体" w:hAnsi="宋体" w:cs="宋体"/>
          <w:bCs/>
          <w:szCs w:val="21"/>
          <w:u w:val="single"/>
        </w:rPr>
      </w:pPr>
      <w:r>
        <w:rPr>
          <w:rFonts w:hint="eastAsia" w:ascii="宋体" w:hAnsi="宋体" w:cs="宋体"/>
          <w:bCs/>
          <w:szCs w:val="21"/>
          <w:u w:val="single"/>
        </w:rPr>
        <w:t xml:space="preserve">□                             </w:t>
      </w:r>
      <w:r>
        <w:rPr>
          <w:rFonts w:hint="eastAsia" w:ascii="宋体" w:hAnsi="宋体" w:cs="宋体"/>
          <w:bCs/>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3.2签约合同价（含税价）：人民币（大写）</w:t>
      </w:r>
      <w:r>
        <w:rPr>
          <w:rFonts w:hint="eastAsia" w:ascii="宋体" w:hAnsi="宋体" w:cs="宋体"/>
          <w:b/>
          <w:szCs w:val="21"/>
          <w:u w:val="single"/>
        </w:rPr>
        <w:t xml:space="preserve">        </w:t>
      </w:r>
      <w:r>
        <w:rPr>
          <w:rFonts w:hint="eastAsia" w:ascii="宋体" w:hAnsi="宋体" w:cs="宋体"/>
          <w:szCs w:val="21"/>
        </w:rPr>
        <w:t>（¥</w:t>
      </w:r>
      <w:r>
        <w:rPr>
          <w:rFonts w:hint="eastAsia" w:ascii="宋体" w:hAnsi="宋体" w:cs="宋体"/>
          <w:b/>
          <w:szCs w:val="21"/>
          <w:u w:val="single"/>
        </w:rPr>
        <w:t xml:space="preserve">        </w:t>
      </w:r>
      <w:r>
        <w:rPr>
          <w:rFonts w:hint="eastAsia" w:ascii="宋体" w:hAnsi="宋体" w:cs="宋体"/>
          <w:szCs w:val="21"/>
        </w:rPr>
        <w:t>）。具体详见签约合同价清单。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合同价格包括卖方为履行合同义务进行的设备制造前准备、设计联络（如有）、设备（包括备品备件、易损易耗件、专用工具)设计、制造、检验、包装、发货、运输至现场指定交货地点、装卸、安装（如有）/安装督导（如有）、检验及验收、调试、人员培训、向政府机构报检（如有）、试运行服务及质量保证服务等履行合同标的全过程产生的所有成本费用和利润以及卖方应承担的一切税费。</w:t>
      </w:r>
    </w:p>
    <w:p>
      <w:pPr>
        <w:tabs>
          <w:tab w:val="left" w:pos="1620"/>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四、价款支付</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4.1 预付款：</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本项目不支付预付款。</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4.2 履约验收完成付款：</w:t>
      </w:r>
      <w:r>
        <w:rPr>
          <w:rFonts w:hint="eastAsia" w:ascii="宋体" w:hAnsi="宋体" w:cs="宋体"/>
          <w:szCs w:val="21"/>
        </w:rPr>
        <w:t>卖方按合同约定完成所有货物供货、安装（如有）/安装督导（如有）及相关服务，项目整体验收合格</w:t>
      </w:r>
      <w:r>
        <w:rPr>
          <w:rFonts w:hint="eastAsia" w:ascii="宋体" w:hAnsi="宋体" w:cs="宋体"/>
          <w:color w:val="000000"/>
          <w:szCs w:val="21"/>
        </w:rPr>
        <w:t>且按买方相关规定办理履约验收，履约验收完成后，在收到卖方支付申请并证实完整后28个工作日内，支付至合同价格的95%。</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4.3 质保期满付款：质保期满且最终验收合格，收到卖方支付请求并经买方审核无误后28个工作日内，支付合同价格的剩余款项。</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4.4 卖方应理解本合同的资金来源为政府资金，款项的拨付须经有关部门批准，若买方在规定的支付期限内未支付合同价款，卖方不得以款项延迟支付而停止、拒绝履行本合同或要求买方支付任何利息。</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color w:val="000000"/>
          <w:szCs w:val="21"/>
        </w:rPr>
        <w:t>4.5 卖方提供的相关单据，其中增值税专用发票应符合税法相关规定，金额为合同总价款，包括收取的奖励费、包装物租金等价外费用，安装调试费、运输费不得另行开具服务类专用发票。</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五、质量标准、质量保证及质量保证期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5.1质量标准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质量标准应不低于中国国家、地方现行标准（各种试验报告、国家强制性认证证书）及相关行业标准及规定，不低于生产厂提供的出厂、验收标准，不低于合同文件中的相关要求。标准、法规及合同文件中的相关要求有不同规定时，按照高标准和高要求执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5.2质量保证</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5.2.1卖方应保证合同项下所供货物是全新的、未使用过的，是最新或目前的型号，货物应含有设计和材料的全部最新改进。卖方进一步保证，合同项下提供的全部货物没有设计、材料或工艺上的缺陷，或者没有因卖方的行为或疏忽而产生的缺陷，这些缺陷是所供货物在项目现场现行条件下正常使用可能产生的。</w:t>
      </w:r>
    </w:p>
    <w:p>
      <w:pPr>
        <w:tabs>
          <w:tab w:val="left" w:pos="1620"/>
        </w:tabs>
        <w:adjustRightInd w:val="0"/>
        <w:snapToGrid w:val="0"/>
        <w:spacing w:line="360" w:lineRule="auto"/>
        <w:ind w:firstLine="420" w:firstLineChars="200"/>
        <w:rPr>
          <w:rFonts w:ascii="宋体" w:hAnsi="宋体" w:cs="宋体"/>
          <w:szCs w:val="21"/>
        </w:rPr>
      </w:pPr>
      <w:r>
        <w:rPr>
          <w:rFonts w:hint="eastAsia" w:ascii="宋体" w:hAnsi="宋体" w:cs="宋体"/>
          <w:szCs w:val="21"/>
        </w:rPr>
        <w:t>5.2.2卖方保证合同项下的设备、系统及材料，在项目现场现有条件下，在正常维护和操作情况下，在货物寿命周期内出现的因卖方或卖方分包商的设计、材料选用及制造工艺产生的缺陷，卖方应负责及时修正。若由于设备、系统及材料在设计制造工艺上的缺陷（包括潜在缺陷）而导致质量、安全事故，给买方造成所有的损失应由卖方赔偿。</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5.3质量保证期</w:t>
      </w:r>
    </w:p>
    <w:p>
      <w:pPr>
        <w:tabs>
          <w:tab w:val="left" w:pos="1620"/>
        </w:tabs>
        <w:adjustRightInd w:val="0"/>
        <w:snapToGrid w:val="0"/>
        <w:spacing w:line="360" w:lineRule="auto"/>
        <w:ind w:firstLine="420" w:firstLineChars="200"/>
        <w:rPr>
          <w:rFonts w:ascii="宋体" w:hAnsi="宋体" w:cs="宋体"/>
          <w:szCs w:val="21"/>
        </w:rPr>
      </w:pPr>
      <w:r>
        <w:rPr>
          <w:rFonts w:hint="eastAsia" w:ascii="宋体" w:hAnsi="宋体" w:cs="宋体"/>
          <w:szCs w:val="21"/>
        </w:rPr>
        <w:t>5.3.1本合同货物的质量保证期自项目整体验收合格之日起计算</w:t>
      </w:r>
      <w:r>
        <w:rPr>
          <w:rFonts w:hint="eastAsia" w:ascii="宋体" w:hAnsi="宋体" w:cs="宋体"/>
          <w:szCs w:val="21"/>
          <w:u w:val="single"/>
        </w:rPr>
        <w:t xml:space="preserve">   </w:t>
      </w:r>
      <w:r>
        <w:rPr>
          <w:rFonts w:hint="eastAsia" w:ascii="宋体" w:hAnsi="宋体" w:cs="宋体"/>
          <w:szCs w:val="21"/>
        </w:rPr>
        <w:t>月，具体要求详见用户需求书/技术规格书。如货物原厂规定的质量保证期长于本合同约定的，以原厂规定为准。</w:t>
      </w:r>
    </w:p>
    <w:p>
      <w:pPr>
        <w:tabs>
          <w:tab w:val="left" w:pos="1248"/>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六、检验、测试和验收</w:t>
      </w:r>
    </w:p>
    <w:p>
      <w:pPr>
        <w:tabs>
          <w:tab w:val="left" w:pos="1620"/>
        </w:tabs>
        <w:adjustRightInd w:val="0"/>
        <w:snapToGrid w:val="0"/>
        <w:spacing w:line="360" w:lineRule="auto"/>
        <w:ind w:firstLine="420" w:firstLineChars="200"/>
        <w:rPr>
          <w:rFonts w:ascii="宋体" w:hAnsi="宋体" w:cs="宋体"/>
          <w:szCs w:val="21"/>
        </w:rPr>
      </w:pPr>
      <w:r>
        <w:rPr>
          <w:rFonts w:hint="eastAsia" w:ascii="宋体" w:hAnsi="宋体" w:cs="宋体"/>
          <w:szCs w:val="21"/>
        </w:rPr>
        <w:t>6.1卖方应按照经买方确认的供货清单进行交货，买卖双方依据经买方确认的供货清单办理检验、测试、验收。</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6.2检验、测试和验收可以在卖方或其分包人的驻地或现场指定交货地点或货物安装地点（如有）进行。如果在卖方或其分包人的驻地进行，进行检验、测试和验收的买方人员应能得到全部合理的设施和协助，买方不应为此承担费用。</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6.3 买方或其代表应有权检验、测试和验收货物，以确认货物是否符合用户需求书/技术规格书的要求，并且不承担额外的费用。买方应将进行检验和/或测试和／或验收的买方人员的身份通知卖方。</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6.4在货物交货前，卖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6.5如果任何被检验、测试和验收的货物不能满足用户需求书/技术规格书的要求，买方可以拒绝接受该货物，卖方应更换被拒绝的货物，或者免费进行必要的修改直至满足用户需求书/技术规格书的要求为止。</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6.6买方在货物到达买方指定的交货地点后对货物进行检验、测试及卖方在必要时拒绝接受货物的权力将不会因为货物在启运前通过了买方或其代表的检验、测试、验收和认可而受到限制或放弃。</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6.7检测、测试和验收具体要求按用户需求书/技术规格书执行。</w:t>
      </w:r>
    </w:p>
    <w:p>
      <w:pPr>
        <w:tabs>
          <w:tab w:val="left" w:pos="1248"/>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七、包装及运输</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7.1卖方应提供货物运至买方的现场指定交货地点所需要的包装，以防止货物在转运中损坏或变质。这类包装应采取防潮、防晒、防锈、防腐蚀、防震动及防止其它损坏的必要保护措施，从而保护货物能够经受多次搬运、装卸。</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7.2卖方在包装货物时应考虑到买方现场保管无空调、无抽湿、露天存放的条件，并按签约价格清单分类包装。包装箱尺寸及重量应考虑货物交货地点偏远程度以及在所有转运地点缺乏重型装卸设施的情况。</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7.3卖方应承担由于其包装或其防护措施不妥而引起货物锈蚀、损坏和丢失的任何损失的责任或费用。</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7.4卖方负责将货物运至买方的现场指定交货地点，并负责货物到达交货地点前后的装卸；由此所发生的的一切费用，包括但不限于运输、保险、中转、装卸和仓储等费用均含合同价格中。</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7.5包装及运输具体要求按用户需求书/技术规格书执行。</w:t>
      </w:r>
    </w:p>
    <w:p>
      <w:pPr>
        <w:tabs>
          <w:tab w:val="left" w:pos="1248"/>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八、备品备件及专用工具（如有）</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8.1卖方应按照用户需求书/技术规格书的规定提供项目所需的备品备件及专用工具。</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8.2卖方应提供下列与备品备件及专用工具有关的材料：</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（1）买方从卖方选购备品备件及专用工具的资料，但前提条件是该选择并不能免除卖方在合同保证期内所承担的义务；</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（2）在备件停止生产的情况下，卖方应事先将要停止生产的计划通知买方使买方有足够的时间采购所需的备品备件及专用工具；</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（3）在备品备件及专用工具停止生产后，如果买方要求，卖方应免费向买方提供备件的蓝图、图纸和规格。</w:t>
      </w:r>
    </w:p>
    <w:p>
      <w:pPr>
        <w:snapToGrid w:val="0"/>
        <w:spacing w:line="360" w:lineRule="auto"/>
        <w:ind w:firstLine="422" w:firstLineChars="200"/>
        <w:outlineLvl w:val="2"/>
        <w:rPr>
          <w:rFonts w:ascii="宋体" w:hAnsi="宋体" w:cs="宋体"/>
          <w:b/>
          <w:szCs w:val="21"/>
        </w:rPr>
      </w:pPr>
      <w:r>
        <w:rPr>
          <w:rFonts w:hint="eastAsia" w:ascii="宋体" w:hAnsi="宋体" w:cs="宋体"/>
          <w:b/>
          <w:szCs w:val="21"/>
        </w:rPr>
        <w:t>九、知识产权</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9.1卖方应保证，买方在中华人民共和国使用该货物或货物的任何一部分时，免受第三方提出的侵犯其专利权、商标权、著作权或其它知识产权的起诉。</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9.2卖方按本合同规定提供的货物及服务，使用了第三人专利、专有技术、技术秘密、商业秘密、著作权、商标权等知识产权的，卖方在签订合同时应向买方说明知识产权的权利人、名称等权利状况，相应知识产权使用费由卖方负责支付。</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9.3卖方提供的货物或服务，如侵犯了第三人专利，技术秘密、商业秘密、著作权、商标权等知识产权的，由此引起的全部法律责任和经济赔偿责任由卖方承担。</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9.4买方永久享有卖方为本合同项下提供的产品、软件、技术资料的使用权，并无需交纳特许使用费（如有此类费用的话）。卖方同意在任何情况下买方可以无偿使用卖方提供的产品、软件、技术资料。</w:t>
      </w:r>
    </w:p>
    <w:p>
      <w:pPr>
        <w:tabs>
          <w:tab w:val="left" w:pos="1248"/>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十、质量问题的处理</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10.1在合同规定的检验、安装、调试、验收和质量保证期内，因卖方原因造成货物质量问题，买方提出了书面通知（说明其缺陷或损坏的程度、提出弥补缺陷或损坏的要求），卖方应按照买方同意的下列一种或几种方式结合起来解决货物质量问题：</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（1）卖方同意退货并将货款退还给买方，并承担由此发生的一切损失和费用，包括利息、银行手续费、运费、保险费、检验费、仓储费、装卸费以及为看管和保护退回货物所需的其它必要费用。</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（2）根据货物的缺陷情况、损坏程度以及买方所遭受损失的金额，经买卖双方商定降低货物的价格。</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（3）用符合用户需求书/技术规格书规定的规格、质量和性能要求的新零件、部件和/或设备来更换有缺陷的部分和/或修补缺陷部分，卖方应承担一切费用和风险并负担买方蒙受的全部直接损失费用。</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（4）卖方装运的设备和材料出现短缺、误装或因卖方原因引起的损坏，卖方应无偿地补足短装货物，替换错装或损坏的货物。</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（5）安装调试及运行过程中，因卖方设备质量问题导致设备拆卸而引起相关接口设备的拆卸所产生的工程直接和间接费用均应由卖方承担。</w:t>
      </w:r>
    </w:p>
    <w:p>
      <w:pPr>
        <w:tabs>
          <w:tab w:val="left" w:pos="1620"/>
        </w:tabs>
        <w:adjustRightInd w:val="0"/>
        <w:snapToGrid w:val="0"/>
        <w:spacing w:line="360" w:lineRule="auto"/>
        <w:ind w:firstLine="420" w:firstLineChars="200"/>
        <w:rPr>
          <w:rFonts w:ascii="宋体" w:hAnsi="宋体" w:cs="宋体"/>
          <w:szCs w:val="21"/>
        </w:rPr>
      </w:pPr>
      <w:r>
        <w:rPr>
          <w:rFonts w:hint="eastAsia" w:ascii="宋体" w:hAnsi="宋体" w:cs="宋体"/>
          <w:szCs w:val="21"/>
        </w:rPr>
        <w:t>（6）若货物在质量保证期内需要更换、重新设计、修改或更新，则这部分更换、重新设计、修改或更新的货物的质量保证期自双方确认的修复完成日起重新计算。</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10.2买方买方以书面形式向卖方提出索赔，。应附上下列文件之一作为向卖方进行索赔的依据：</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（1）由各方授权代表签署的检验结果记录或开箱检验单；卖方代表拒不签署前述文件的，买方代表有权单方签署。</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（2）证明设备及材料的质量不能达到合同要求的试/检验结果报告；</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（3）国家相关行政监管机构或权威检验机构出具的检验证书。</w:t>
      </w:r>
    </w:p>
    <w:p>
      <w:pPr>
        <w:tabs>
          <w:tab w:val="left" w:pos="851"/>
        </w:tabs>
        <w:adjustRightInd w:val="0"/>
        <w:snapToGrid w:val="0"/>
        <w:spacing w:line="360" w:lineRule="auto"/>
        <w:ind w:firstLine="422" w:firstLineChars="200"/>
        <w:textAlignment w:val="baseline"/>
        <w:rPr>
          <w:rFonts w:ascii="宋体" w:hAnsi="宋体" w:cs="宋体"/>
          <w:szCs w:val="21"/>
        </w:rPr>
      </w:pPr>
      <w:r>
        <w:rPr>
          <w:rFonts w:hint="eastAsia" w:ascii="宋体" w:hAnsi="宋体" w:cs="宋体"/>
          <w:b/>
          <w:szCs w:val="21"/>
        </w:rPr>
        <w:t>十一、违约责任及合同解除</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11.1卖方未按照合同规定的时间交付货物和提供服务的，每延误一天，买方有权要求卖方交纳签约合同价1%的违约金；延期超过20天的，买方有权解除合同。</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11.2卖方提供的货物或服务不符合用户需求书/技术规格书要求，买方有权要求卖方交纳签约合同价10%/次的违约金，并负责更换合格的货物直至满足合同规定；更换两次仍未达到合同和/或技术要求的，买方有权解除合同，卖方应承担由此给买方造成的损失。</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11.3买方发出通知后，卖方无特殊原因未能按买方通知要求派遣人员到达现场进行服务的，每超出一天，买方有权要求卖方交纳人民币1000元/人·天的违约金。</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11.4无特殊原因，卖方未按要求参加买方组织的会议，买方有权要求卖方按1000元/次交纳违约金。</w:t>
      </w:r>
    </w:p>
    <w:p>
      <w:pPr>
        <w:tabs>
          <w:tab w:val="left" w:pos="851"/>
        </w:tabs>
        <w:adjustRightInd w:val="0"/>
        <w:snapToGrid w:val="0"/>
        <w:spacing w:line="360" w:lineRule="auto"/>
        <w:ind w:firstLine="420" w:firstLineChars="200"/>
        <w:rPr>
          <w:rFonts w:ascii="宋体" w:hAnsi="宋体" w:cs="宋体"/>
          <w:b/>
          <w:szCs w:val="21"/>
        </w:rPr>
      </w:pPr>
      <w:r>
        <w:rPr>
          <w:rFonts w:hint="eastAsia" w:ascii="宋体" w:hAnsi="宋体" w:cs="宋体"/>
          <w:szCs w:val="21"/>
        </w:rPr>
        <w:t>11.5因卖方安装督导人员（如有）或安装人员（如有）的工作疏忽、失误造成的安装进度延误、买方及第三方的误工等直接损失由卖方负责，具体损失由买方计算，经买卖双方协商确认后由卖方支付给损失方。</w:t>
      </w:r>
    </w:p>
    <w:p>
      <w:pPr>
        <w:pStyle w:val="41"/>
        <w:snapToGrid w:val="0"/>
        <w:spacing w:before="0" w:beforeAutospacing="0" w:after="0" w:afterAutospacing="0" w:line="360" w:lineRule="auto"/>
        <w:ind w:firstLine="420" w:firstLineChars="200"/>
        <w:rPr>
          <w:sz w:val="21"/>
          <w:szCs w:val="21"/>
        </w:rPr>
      </w:pPr>
      <w:r>
        <w:rPr>
          <w:rFonts w:hint="eastAsia"/>
          <w:sz w:val="21"/>
          <w:szCs w:val="21"/>
        </w:rPr>
        <w:t>11.6</w:t>
      </w:r>
      <w:r>
        <w:rPr>
          <w:rFonts w:hint="eastAsia"/>
          <w:color w:val="000000"/>
          <w:sz w:val="21"/>
          <w:szCs w:val="21"/>
        </w:rPr>
        <w:t>卖方未在本合同签订后15个工作日内提供履约担保的，每延迟一天卖方应按签约合同价的5‰向买方缴纳违约金，违约金最高不超过签约合同价的10%。</w:t>
      </w:r>
    </w:p>
    <w:p>
      <w:pPr>
        <w:tabs>
          <w:tab w:val="left" w:pos="1610"/>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11.7违约金以现金或转账方式交纳或从合同应付款项中扣除。买方开具收款收据、不提供发票，卖方不得因此冲减增值税专用发票金额。</w:t>
      </w:r>
    </w:p>
    <w:p>
      <w:pPr>
        <w:tabs>
          <w:tab w:val="left" w:pos="900"/>
        </w:tabs>
        <w:adjustRightInd w:val="0"/>
        <w:snapToGrid w:val="0"/>
        <w:spacing w:line="360" w:lineRule="auto"/>
        <w:ind w:firstLine="422" w:firstLineChars="200"/>
        <w:textAlignment w:val="baseline"/>
        <w:outlineLvl w:val="2"/>
        <w:rPr>
          <w:rFonts w:ascii="宋体" w:hAnsi="宋体" w:cs="宋体"/>
          <w:b/>
          <w:szCs w:val="21"/>
        </w:rPr>
      </w:pPr>
      <w:bookmarkStart w:id="128" w:name="_Toc437444948"/>
      <w:bookmarkStart w:id="129" w:name="_Toc9661"/>
      <w:bookmarkStart w:id="130" w:name="_Toc490669712"/>
      <w:bookmarkStart w:id="131" w:name="_Toc14042"/>
      <w:bookmarkStart w:id="132" w:name="_Toc17321"/>
      <w:r>
        <w:rPr>
          <w:rFonts w:hint="eastAsia" w:ascii="宋体" w:hAnsi="宋体" w:cs="宋体"/>
          <w:b/>
          <w:szCs w:val="21"/>
        </w:rPr>
        <w:t>十二、履约</w:t>
      </w:r>
      <w:bookmarkEnd w:id="128"/>
      <w:bookmarkEnd w:id="129"/>
      <w:bookmarkEnd w:id="130"/>
      <w:bookmarkEnd w:id="131"/>
      <w:bookmarkEnd w:id="132"/>
      <w:r>
        <w:rPr>
          <w:rFonts w:hint="eastAsia" w:ascii="宋体" w:hAnsi="宋体" w:cs="宋体"/>
          <w:b/>
          <w:szCs w:val="21"/>
        </w:rPr>
        <w:t>担保</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12.1 卖方</w:t>
      </w:r>
      <w:r>
        <w:rPr>
          <w:rFonts w:hint="eastAsia" w:ascii="宋体" w:hAnsi="宋体" w:cs="宋体"/>
          <w:kern w:val="0"/>
          <w:szCs w:val="21"/>
          <w:u w:val="single"/>
        </w:rPr>
        <w:t>■需要/□不需要</w:t>
      </w:r>
      <w:r>
        <w:rPr>
          <w:rFonts w:hint="eastAsia" w:ascii="宋体" w:hAnsi="宋体" w:cs="宋体"/>
          <w:kern w:val="0"/>
          <w:szCs w:val="21"/>
        </w:rPr>
        <w:t>提供履约担保。</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12.2 如需要卖方提供履约担保，则：</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12.2.1履约担保是办理付款的必要条件之一，卖方应在本合同签订后15个工作日内提供履约担保。</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12.2.2履约担保用于补偿买方因卖方不能完成其合同义务而蒙受的损失。</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12.2.3卖方提供履约担保的形式、金额及期限可采用以下两种方式之一：</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采用银行履约保函形式，银行履约保函的担保额度为签约合同价的10%，担保期限为自保函生效之日起，至项目整体验收合格之日止。银行履约保函应为在中国境内注册和营业的银行出具的、以买方为受益人首次申请即作为无条件付款的保函，银行履约保函格式具体详见合同附录。</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（2）采用现金形式，现金担保额度为签约合同价的10%，担保期限为履约保证金到账之日起，至项目整体验收合格之日止。履约担保以现金形式提交的，卖方应从其基本账户通过转帐或电汇至买方指定的账户。</w:t>
      </w:r>
      <w:r>
        <w:rPr>
          <w:rFonts w:hint="eastAsia" w:ascii="宋体" w:hAnsi="宋体" w:cs="宋体"/>
          <w:color w:val="000000"/>
          <w:szCs w:val="21"/>
        </w:rPr>
        <w:t>户名：</w:t>
      </w:r>
      <w:r>
        <w:rPr>
          <w:rFonts w:hint="eastAsia" w:ascii="宋体" w:hAnsi="宋体" w:cs="宋体"/>
          <w:color w:val="000000"/>
          <w:szCs w:val="21"/>
          <w:u w:val="single"/>
        </w:rPr>
        <w:t xml:space="preserve">      </w:t>
      </w:r>
      <w:r>
        <w:rPr>
          <w:rFonts w:hint="eastAsia" w:ascii="宋体" w:hAnsi="宋体" w:cs="宋体"/>
          <w:color w:val="000000"/>
          <w:szCs w:val="21"/>
        </w:rPr>
        <w:t>；开户行：</w:t>
      </w:r>
      <w:r>
        <w:rPr>
          <w:rFonts w:hint="eastAsia" w:ascii="宋体" w:hAnsi="宋体" w:cs="宋体"/>
          <w:color w:val="000000"/>
          <w:szCs w:val="21"/>
          <w:u w:val="single"/>
        </w:rPr>
        <w:t xml:space="preserve">     </w:t>
      </w:r>
      <w:r>
        <w:rPr>
          <w:rFonts w:hint="eastAsia" w:ascii="宋体" w:hAnsi="宋体" w:cs="宋体"/>
          <w:color w:val="000000"/>
          <w:szCs w:val="21"/>
        </w:rPr>
        <w:t>；账号：</w:t>
      </w:r>
      <w:r>
        <w:rPr>
          <w:rFonts w:hint="eastAsia" w:ascii="宋体" w:hAnsi="宋体" w:cs="宋体"/>
          <w:color w:val="000000"/>
          <w:szCs w:val="21"/>
          <w:u w:val="single"/>
        </w:rPr>
        <w:t xml:space="preserve">     </w:t>
      </w:r>
      <w:r>
        <w:rPr>
          <w:rFonts w:hint="eastAsia" w:ascii="宋体" w:hAnsi="宋体" w:cs="宋体"/>
          <w:color w:val="000000"/>
          <w:szCs w:val="21"/>
        </w:rPr>
        <w:t>。</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12.2.4在卖方完成其合同义务包括任何保证义务后，买方将把履约担保无息退还卖方。</w:t>
      </w:r>
    </w:p>
    <w:p>
      <w:pPr>
        <w:pStyle w:val="4"/>
        <w:keepNext w:val="0"/>
        <w:keepLines w:val="0"/>
        <w:tabs>
          <w:tab w:val="left" w:pos="0"/>
        </w:tabs>
        <w:snapToGrid w:val="0"/>
        <w:ind w:firstLine="422" w:firstLineChars="200"/>
        <w:rPr>
          <w:rFonts w:ascii="宋体" w:hAnsi="宋体" w:cs="宋体"/>
          <w:sz w:val="21"/>
          <w:szCs w:val="21"/>
        </w:rPr>
      </w:pPr>
      <w:r>
        <w:rPr>
          <w:rFonts w:hint="eastAsia" w:ascii="宋体" w:hAnsi="宋体" w:cs="宋体"/>
          <w:sz w:val="21"/>
          <w:szCs w:val="21"/>
        </w:rPr>
        <w:t>十三、不可抗力</w:t>
      </w:r>
    </w:p>
    <w:p>
      <w:pPr>
        <w:widowControl/>
        <w:snapToGrid w:val="0"/>
        <w:spacing w:line="360" w:lineRule="auto"/>
        <w:ind w:firstLine="420" w:firstLineChars="200"/>
        <w:jc w:val="left"/>
        <w:rPr>
          <w:rFonts w:ascii="宋体" w:hAnsi="宋体" w:cs="宋体"/>
          <w:szCs w:val="21"/>
          <w:shd w:val="clear" w:color="auto" w:fill="FFFFFF"/>
        </w:rPr>
      </w:pPr>
      <w:bookmarkStart w:id="133" w:name="_Toc351203608"/>
      <w:r>
        <w:rPr>
          <w:rFonts w:hint="eastAsia" w:ascii="宋体" w:hAnsi="宋体" w:cs="宋体"/>
          <w:szCs w:val="21"/>
          <w:shd w:val="clear" w:color="auto" w:fill="FFFFFF"/>
        </w:rPr>
        <w:t>13.1</w:t>
      </w:r>
      <w:bookmarkEnd w:id="133"/>
      <w:r>
        <w:rPr>
          <w:rFonts w:hint="eastAsia" w:ascii="宋体" w:hAnsi="宋体" w:cs="宋体"/>
          <w:szCs w:val="21"/>
          <w:shd w:val="clear" w:color="auto" w:fill="FFFFFF"/>
        </w:rPr>
        <w:t>不可抗力的确认</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不可抗力发生后，合同当事人应收集证明不可抗力发生及不可抗力造成损失的证据，并及时认真统计所造成的损失。合同当事人对是否属于不可抗力或其损失发生争议时，按第九条的约定处理。</w:t>
      </w:r>
    </w:p>
    <w:p>
      <w:pPr>
        <w:widowControl/>
        <w:snapToGrid w:val="0"/>
        <w:spacing w:line="360" w:lineRule="auto"/>
        <w:ind w:firstLine="420" w:firstLineChars="200"/>
        <w:jc w:val="left"/>
        <w:rPr>
          <w:rFonts w:ascii="宋体" w:hAnsi="宋体" w:cs="宋体"/>
          <w:szCs w:val="21"/>
          <w:shd w:val="clear" w:color="auto" w:fill="FFFFFF"/>
        </w:rPr>
      </w:pPr>
      <w:bookmarkStart w:id="134" w:name="_Toc296346619"/>
      <w:bookmarkEnd w:id="134"/>
      <w:bookmarkStart w:id="135" w:name="_Toc337558825"/>
      <w:bookmarkEnd w:id="135"/>
      <w:bookmarkStart w:id="136" w:name="_Toc296503118"/>
      <w:bookmarkEnd w:id="136"/>
      <w:bookmarkStart w:id="137" w:name="_Toc351203609"/>
      <w:r>
        <w:rPr>
          <w:rFonts w:hint="eastAsia" w:ascii="宋体" w:hAnsi="宋体" w:cs="宋体"/>
          <w:szCs w:val="21"/>
          <w:shd w:val="clear" w:color="auto" w:fill="FFFFFF"/>
        </w:rPr>
        <w:t>13.2</w:t>
      </w:r>
      <w:bookmarkEnd w:id="137"/>
      <w:r>
        <w:rPr>
          <w:rFonts w:hint="eastAsia" w:ascii="宋体" w:hAnsi="宋体" w:cs="宋体"/>
          <w:szCs w:val="21"/>
          <w:shd w:val="clear" w:color="auto" w:fill="FFFFFF"/>
        </w:rPr>
        <w:t>不可抗力的通知</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20" w:firstLineChars="200"/>
        <w:jc w:val="left"/>
        <w:rPr>
          <w:rFonts w:ascii="宋体" w:hAnsi="宋体" w:cs="宋体"/>
          <w:szCs w:val="21"/>
          <w:shd w:val="clear" w:color="auto" w:fill="FFFFFF"/>
        </w:rPr>
      </w:pPr>
      <w:bookmarkStart w:id="138" w:name="_Toc296503119"/>
      <w:bookmarkEnd w:id="138"/>
      <w:bookmarkStart w:id="139" w:name="_Toc337558826"/>
      <w:bookmarkEnd w:id="139"/>
      <w:bookmarkStart w:id="140" w:name="_Toc296346620"/>
      <w:bookmarkEnd w:id="140"/>
      <w:bookmarkStart w:id="141" w:name="_Toc351203610"/>
      <w:r>
        <w:rPr>
          <w:rFonts w:hint="eastAsia" w:ascii="宋体" w:hAnsi="宋体" w:cs="宋体"/>
          <w:szCs w:val="21"/>
          <w:shd w:val="clear" w:color="auto" w:fill="FFFFFF"/>
        </w:rPr>
        <w:t>13.3</w:t>
      </w:r>
      <w:bookmarkEnd w:id="141"/>
      <w:r>
        <w:rPr>
          <w:rFonts w:hint="eastAsia" w:ascii="宋体" w:hAnsi="宋体" w:cs="宋体"/>
          <w:szCs w:val="21"/>
          <w:shd w:val="clear" w:color="auto" w:fill="FFFFFF"/>
        </w:rPr>
        <w:t>不可抗力后果的承担</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不可抗力引起的后果及造成的损失由合同当事人按照法律规定及合同约定各自承担。不可抗力发生前已完成的监测工作应当按照合同约定进行支付。</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不可抗力发生后，合同当事人均应采取措施尽量避免和减少损失的扩大，任何一方当事人没有采取有效措施导致损失扩大的，应对扩大的损失承担责任。</w:t>
      </w:r>
    </w:p>
    <w:p>
      <w:pPr>
        <w:widowControl/>
        <w:snapToGrid w:val="0"/>
        <w:spacing w:line="360" w:lineRule="auto"/>
        <w:ind w:firstLine="420" w:firstLineChars="200"/>
        <w:jc w:val="left"/>
        <w:rPr>
          <w:rFonts w:ascii="宋体" w:hAnsi="宋体" w:cs="宋体"/>
          <w:szCs w:val="21"/>
        </w:rPr>
      </w:pPr>
      <w:r>
        <w:rPr>
          <w:rFonts w:hint="eastAsia" w:ascii="宋体" w:hAnsi="宋体" w:cs="宋体"/>
          <w:szCs w:val="21"/>
          <w:shd w:val="clear" w:color="auto" w:fill="FFFFFF"/>
        </w:rPr>
        <w:t>因合同一方迟延履行合同义务，在迟延履行期间遭遇不可抗力的，不免除其违约责任。</w:t>
      </w:r>
    </w:p>
    <w:p>
      <w:pPr>
        <w:tabs>
          <w:tab w:val="left" w:pos="540"/>
          <w:tab w:val="left" w:pos="720"/>
        </w:tabs>
        <w:adjustRightInd w:val="0"/>
        <w:snapToGrid w:val="0"/>
        <w:spacing w:line="360" w:lineRule="auto"/>
        <w:ind w:firstLine="422" w:firstLineChars="200"/>
        <w:jc w:val="left"/>
        <w:outlineLvl w:val="1"/>
        <w:rPr>
          <w:rFonts w:ascii="宋体" w:hAnsi="宋体" w:cs="宋体"/>
          <w:b/>
          <w:szCs w:val="21"/>
        </w:rPr>
      </w:pPr>
      <w:r>
        <w:rPr>
          <w:rFonts w:hint="eastAsia" w:ascii="宋体" w:hAnsi="宋体" w:cs="宋体"/>
          <w:b/>
          <w:szCs w:val="21"/>
        </w:rPr>
        <w:t>十四、合同生效及终止</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14.1 本合同自</w:t>
      </w:r>
      <w:r>
        <w:rPr>
          <w:rFonts w:hint="eastAsia" w:ascii="宋体" w:hAnsi="宋体" w:cs="宋体"/>
          <w:szCs w:val="21"/>
        </w:rPr>
        <w:t>双方法定代表人或其授权代表签字并加盖合同专用章</w:t>
      </w:r>
      <w:r>
        <w:rPr>
          <w:rFonts w:hint="eastAsia" w:ascii="宋体" w:hAnsi="宋体" w:cs="宋体"/>
          <w:bCs/>
          <w:szCs w:val="21"/>
        </w:rPr>
        <w:t>生效。</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14.2 买方、卖方履行合同全部义务，合同价款支付完毕，本合同即告终止。</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14.3 合同的权利义务终止后，合同当事人应遵循诚实信用原则，履行通知、协助和保密等义务。</w:t>
      </w:r>
    </w:p>
    <w:p>
      <w:pPr>
        <w:pStyle w:val="41"/>
        <w:snapToGrid w:val="0"/>
        <w:spacing w:before="0" w:beforeAutospacing="0" w:after="0" w:afterAutospacing="0" w:line="360" w:lineRule="auto"/>
        <w:ind w:firstLine="422" w:firstLineChars="200"/>
        <w:rPr>
          <w:b/>
          <w:sz w:val="21"/>
          <w:szCs w:val="21"/>
        </w:rPr>
      </w:pPr>
      <w:r>
        <w:rPr>
          <w:rFonts w:hint="eastAsia"/>
          <w:b/>
          <w:bCs/>
          <w:sz w:val="21"/>
          <w:szCs w:val="21"/>
        </w:rPr>
        <w:t>十五、</w:t>
      </w:r>
      <w:r>
        <w:rPr>
          <w:rFonts w:hint="eastAsia"/>
          <w:b/>
          <w:sz w:val="21"/>
          <w:szCs w:val="21"/>
        </w:rPr>
        <w:t>争议解决</w:t>
      </w:r>
    </w:p>
    <w:p>
      <w:pPr>
        <w:pStyle w:val="41"/>
        <w:snapToGrid w:val="0"/>
        <w:spacing w:before="0" w:beforeAutospacing="0" w:after="0" w:afterAutospacing="0" w:line="360" w:lineRule="auto"/>
        <w:ind w:firstLine="420" w:firstLineChars="200"/>
        <w:rPr>
          <w:sz w:val="21"/>
          <w:szCs w:val="21"/>
        </w:rPr>
      </w:pPr>
      <w:r>
        <w:rPr>
          <w:rFonts w:hint="eastAsia"/>
          <w:sz w:val="21"/>
          <w:szCs w:val="21"/>
        </w:rPr>
        <w:t>双方因履行本合同而发生的争议，应协商、调解解决。协商、调解不成的，确定按以下第</w:t>
      </w:r>
      <w:r>
        <w:rPr>
          <w:rFonts w:hint="eastAsia"/>
          <w:sz w:val="21"/>
          <w:szCs w:val="21"/>
          <w:u w:val="single"/>
        </w:rPr>
        <w:t>（2）</w:t>
      </w:r>
      <w:r>
        <w:rPr>
          <w:rFonts w:hint="eastAsia"/>
          <w:sz w:val="21"/>
          <w:szCs w:val="21"/>
        </w:rPr>
        <w:t>种方式处理：</w:t>
      </w:r>
    </w:p>
    <w:p>
      <w:pPr>
        <w:pStyle w:val="41"/>
        <w:snapToGrid w:val="0"/>
        <w:spacing w:before="0" w:beforeAutospacing="0" w:after="0" w:afterAutospacing="0" w:line="360" w:lineRule="auto"/>
        <w:ind w:firstLine="420" w:firstLineChars="200"/>
        <w:rPr>
          <w:sz w:val="21"/>
          <w:szCs w:val="21"/>
        </w:rPr>
      </w:pPr>
      <w:r>
        <w:rPr>
          <w:rFonts w:hint="eastAsia"/>
          <w:sz w:val="21"/>
          <w:szCs w:val="21"/>
        </w:rPr>
        <w:t>（1）提交</w:t>
      </w:r>
      <w:r>
        <w:rPr>
          <w:rFonts w:hint="eastAsia"/>
          <w:sz w:val="21"/>
          <w:szCs w:val="21"/>
          <w:u w:val="single"/>
        </w:rPr>
        <w:t>长沙</w:t>
      </w:r>
      <w:r>
        <w:rPr>
          <w:rFonts w:hint="eastAsia"/>
          <w:sz w:val="21"/>
          <w:szCs w:val="21"/>
        </w:rPr>
        <w:t>仲裁委员会仲裁；</w:t>
      </w:r>
    </w:p>
    <w:p>
      <w:pPr>
        <w:tabs>
          <w:tab w:val="left" w:pos="1610"/>
        </w:tabs>
        <w:adjustRightInd w:val="0"/>
        <w:snapToGrid w:val="0"/>
        <w:spacing w:line="360" w:lineRule="auto"/>
        <w:ind w:firstLine="420" w:firstLineChars="200"/>
        <w:textAlignment w:val="baseline"/>
        <w:rPr>
          <w:rFonts w:ascii="宋体" w:hAnsi="宋体" w:cs="宋体"/>
          <w:b/>
          <w:kern w:val="0"/>
          <w:szCs w:val="21"/>
          <w:shd w:val="clear" w:color="auto" w:fill="FFFFFF"/>
        </w:rPr>
      </w:pPr>
      <w:r>
        <w:rPr>
          <w:rFonts w:hint="eastAsia" w:ascii="宋体" w:hAnsi="宋体" w:cs="宋体"/>
          <w:szCs w:val="21"/>
        </w:rPr>
        <w:t>（2）</w:t>
      </w:r>
      <w:r>
        <w:rPr>
          <w:rFonts w:hint="eastAsia" w:ascii="宋体" w:hAnsi="宋体" w:cs="宋体"/>
          <w:kern w:val="0"/>
          <w:szCs w:val="21"/>
        </w:rPr>
        <w:t>依法向</w:t>
      </w:r>
      <w:r>
        <w:rPr>
          <w:rFonts w:hint="eastAsia" w:ascii="宋体" w:hAnsi="宋体" w:cs="宋体"/>
          <w:kern w:val="0"/>
          <w:szCs w:val="21"/>
          <w:u w:val="single"/>
        </w:rPr>
        <w:t>买方所在地</w:t>
      </w:r>
      <w:r>
        <w:rPr>
          <w:rFonts w:hint="eastAsia" w:ascii="宋体" w:hAnsi="宋体" w:cs="宋体"/>
          <w:kern w:val="0"/>
          <w:szCs w:val="21"/>
        </w:rPr>
        <w:t>人民法院起诉</w:t>
      </w:r>
      <w:r>
        <w:rPr>
          <w:rFonts w:hint="eastAsia" w:ascii="宋体" w:hAnsi="宋体" w:cs="宋体"/>
          <w:szCs w:val="21"/>
        </w:rPr>
        <w:t>。</w:t>
      </w:r>
    </w:p>
    <w:p>
      <w:pPr>
        <w:tabs>
          <w:tab w:val="left" w:pos="1610"/>
        </w:tabs>
        <w:adjustRightInd w:val="0"/>
        <w:snapToGrid w:val="0"/>
        <w:spacing w:line="360" w:lineRule="auto"/>
        <w:ind w:firstLine="422" w:firstLineChars="200"/>
        <w:textAlignment w:val="baseline"/>
        <w:rPr>
          <w:rFonts w:ascii="宋体" w:hAnsi="宋体" w:cs="宋体"/>
          <w:b/>
          <w:kern w:val="0"/>
          <w:szCs w:val="21"/>
          <w:shd w:val="clear" w:color="auto" w:fill="FFFFFF"/>
        </w:rPr>
      </w:pPr>
      <w:r>
        <w:rPr>
          <w:rFonts w:hint="eastAsia" w:ascii="宋体" w:hAnsi="宋体" w:cs="宋体"/>
          <w:b/>
          <w:kern w:val="0"/>
          <w:szCs w:val="21"/>
          <w:shd w:val="clear" w:color="auto" w:fill="FFFFFF"/>
        </w:rPr>
        <w:t>十六、其他约定</w:t>
      </w:r>
    </w:p>
    <w:p>
      <w:pPr>
        <w:tabs>
          <w:tab w:val="left" w:pos="1610"/>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16.1定义</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（1）“合同”系指买卖双方签署的、合同格式中载明的买卖双方所达成的协议，包括所有的附件、附录和上述文件所提到的构成合同的所有文件。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（2）“签约合同价”系指买方和卖方在合同协议书中确定的金额，即本项目的中标价或中选价或成交价。</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（3）“合同价格”系指根据本合同规定卖方在正确地完全履行合同义务后，买方应支付给卖方的价款，即经</w:t>
      </w:r>
      <w:r>
        <w:rPr>
          <w:rFonts w:hint="eastAsia" w:ascii="宋体" w:hAnsi="宋体" w:cs="宋体"/>
          <w:color w:val="000000"/>
          <w:szCs w:val="21"/>
        </w:rPr>
        <w:t>长沙市政府相关职能部门或经甲方审定的结算价格</w:t>
      </w:r>
      <w:r>
        <w:rPr>
          <w:rFonts w:hint="eastAsia" w:ascii="宋体" w:hAnsi="宋体" w:cs="宋体"/>
          <w:szCs w:val="21"/>
        </w:rPr>
        <w:t>。</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（4）“货物”系指卖方根据本合同规定向买方提供的设备、备品备件（含易损易耗件）、专用工具、仪器与仪表、模型（如有）、技术文件以及必须向买方提供的相关文件。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5）“服务”系指根据合同规定卖方承担与供货有关的服务，包括但不限于设计联络（如有）、设备设计（含工艺设计）、外协考察、出厂检验、试验、验收、安装（如有）/安装督导（如有）、单机（单系统）调试、联调配合、培训、售后服务、技术支持以及货物至合同指定地点的有关的包装、运输、装卸、仓储和相关保险等以及向政府有关机构报验（如果有）、质量保证期服务、提供技术文件及图纸和售后服务及合同中规定卖方应承担的其它义务等。</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（6）“验收”系指在本项目各阶段买方组织的用以确认货物质量、货物安装质量（如有）符合用户需求书/技术规格书要求的验收，包括到货验收、安装验收（如有）、项目整体验收。其中：</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“到货验收”系指货物到货或分批次到货后买方组织的现场指定交货的交货验收。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“安装验收”货物完成安装（如有）/安装督导（如有）后买方组织的对安装质量的验收。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“项目整体验收”系指合同约定所有货物完成供货、安装（如有）/安装督导（如有）及相关服务全部完成后买方组织的对项目履约情况的进行整体验收。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（7）“工程管理规定”系指政府相关职能部门及委托人已下发和在合同履约过程中陆续下发的文件、制度、规定等。工程管理规定作为本合同的组成部分，卖方在合同履行过程中应严格遵照执行。</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pStyle w:val="41"/>
        <w:snapToGrid w:val="0"/>
        <w:spacing w:before="0" w:beforeAutospacing="0" w:after="0" w:afterAutospacing="0" w:line="360" w:lineRule="auto"/>
        <w:ind w:firstLine="420" w:firstLineChars="200"/>
        <w:rPr>
          <w:sz w:val="21"/>
          <w:szCs w:val="21"/>
        </w:rPr>
      </w:pPr>
      <w:r>
        <w:rPr>
          <w:rFonts w:hint="eastAsia"/>
          <w:sz w:val="21"/>
          <w:szCs w:val="21"/>
        </w:rPr>
        <w:t>16.2合同组成及优先顺序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16.2.1本合同由以下文件组成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（1）补充协议（如有）；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（2）合同协议书；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kern w:val="0"/>
          <w:szCs w:val="21"/>
        </w:rPr>
        <w:t>合同附件（包括但不限于中选通知书（如有）、用户需求书/技术规格书、签约合同价格清单、</w:t>
      </w:r>
      <w:r>
        <w:rPr>
          <w:rFonts w:hint="eastAsia" w:ascii="宋体" w:hAnsi="宋体" w:cs="宋体"/>
          <w:szCs w:val="21"/>
        </w:rPr>
        <w:t>自主竞争性谈判文件/直接委托谈判文件及其附件（如有）、谈判响应文件及其附件（如有）</w:t>
      </w:r>
      <w:r>
        <w:rPr>
          <w:rFonts w:hint="eastAsia" w:ascii="宋体" w:hAnsi="宋体" w:cs="宋体"/>
          <w:kern w:val="0"/>
          <w:szCs w:val="21"/>
        </w:rPr>
        <w:t>）</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（4）其他构成本合同的文件以及在合同履行过程中形成的与合同有关的文件构成合同文件组成部分。</w:t>
      </w:r>
    </w:p>
    <w:p>
      <w:pPr>
        <w:snapToGrid w:val="0"/>
        <w:spacing w:line="360" w:lineRule="auto"/>
        <w:ind w:firstLine="420" w:firstLineChars="200"/>
        <w:rPr>
          <w:rFonts w:ascii="宋体" w:hAnsi="宋体" w:cs="宋体"/>
          <w:szCs w:val="21"/>
        </w:rPr>
      </w:pPr>
      <w:r>
        <w:rPr>
          <w:rFonts w:hint="eastAsia" w:ascii="宋体" w:hAnsi="宋体" w:cs="宋体"/>
          <w:szCs w:val="21"/>
        </w:rPr>
        <w:t>16.2.2上述组成合同的文件应认为是互为补充和解释的。如出现文件规定相互矛盾或冲突的，按上述合同文件序号从前向后确定适用顺序，顺序在先者优先适用；如果出现了意思含混或矛盾之处，属于同一类内容的文件，应以最新签署的为准。</w:t>
      </w:r>
    </w:p>
    <w:p>
      <w:pPr>
        <w:pStyle w:val="41"/>
        <w:snapToGrid w:val="0"/>
        <w:spacing w:before="0" w:beforeAutospacing="0" w:after="0" w:afterAutospacing="0" w:line="360" w:lineRule="auto"/>
        <w:ind w:firstLine="420" w:firstLineChars="200"/>
        <w:rPr>
          <w:sz w:val="21"/>
          <w:szCs w:val="21"/>
        </w:rPr>
      </w:pPr>
      <w:r>
        <w:rPr>
          <w:rFonts w:hint="eastAsia"/>
          <w:sz w:val="21"/>
          <w:szCs w:val="21"/>
        </w:rPr>
        <w:t>16.3本合同正本二份、副本十份，买方持正本一份、副本七份，卖方持正本一份、副本三份。合同正本与副本具有同等效力，当合同副本与正本之间存有差异时，以合同正本为准。</w:t>
      </w:r>
    </w:p>
    <w:p>
      <w:pPr>
        <w:pStyle w:val="41"/>
        <w:snapToGrid w:val="0"/>
        <w:spacing w:before="0" w:beforeAutospacing="0" w:after="0" w:afterAutospacing="0" w:line="360" w:lineRule="auto"/>
        <w:ind w:firstLine="420" w:firstLineChars="200"/>
        <w:rPr>
          <w:sz w:val="21"/>
          <w:szCs w:val="21"/>
        </w:rPr>
      </w:pPr>
      <w:r>
        <w:rPr>
          <w:rFonts w:hint="eastAsia"/>
          <w:sz w:val="21"/>
          <w:szCs w:val="21"/>
        </w:rPr>
        <w:t>16.4双方约定的其他事项</w:t>
      </w:r>
    </w:p>
    <w:p>
      <w:pPr>
        <w:pStyle w:val="41"/>
        <w:snapToGrid w:val="0"/>
        <w:spacing w:before="0" w:beforeAutospacing="0" w:after="0" w:afterAutospacing="0" w:line="360" w:lineRule="auto"/>
        <w:ind w:firstLine="422" w:firstLineChars="200"/>
        <w:rPr>
          <w:b/>
          <w:sz w:val="21"/>
          <w:szCs w:val="21"/>
          <w:u w:val="single"/>
        </w:rPr>
      </w:pPr>
      <w:r>
        <w:rPr>
          <w:rFonts w:hint="eastAsia"/>
          <w:b/>
          <w:sz w:val="21"/>
          <w:szCs w:val="21"/>
          <w:u w:val="single"/>
        </w:rPr>
        <w:t xml:space="preserve">                             </w:t>
      </w:r>
      <w:r>
        <w:rPr>
          <w:rFonts w:hint="eastAsia"/>
          <w:sz w:val="21"/>
          <w:szCs w:val="21"/>
        </w:rPr>
        <w:br w:type="page"/>
      </w:r>
    </w:p>
    <w:p>
      <w:pPr>
        <w:widowControl/>
        <w:snapToGrid w:val="0"/>
        <w:spacing w:line="360" w:lineRule="auto"/>
        <w:jc w:val="left"/>
        <w:rPr>
          <w:rFonts w:ascii="宋体" w:hAnsi="宋体" w:cs="宋体"/>
          <w:szCs w:val="21"/>
        </w:rPr>
      </w:pPr>
      <w:r>
        <w:rPr>
          <w:rFonts w:hint="eastAsia" w:ascii="宋体" w:hAnsi="宋体" w:cs="宋体"/>
          <w:szCs w:val="21"/>
        </w:rPr>
        <w:t>（本页无正文）</w:t>
      </w:r>
    </w:p>
    <w:p>
      <w:pPr>
        <w:widowControl/>
        <w:snapToGrid w:val="0"/>
        <w:spacing w:line="360" w:lineRule="auto"/>
        <w:ind w:firstLine="465"/>
        <w:jc w:val="left"/>
        <w:rPr>
          <w:rFonts w:ascii="宋体" w:hAnsi="宋体" w:cs="宋体"/>
          <w:szCs w:val="21"/>
        </w:rPr>
      </w:pPr>
    </w:p>
    <w:p>
      <w:pPr>
        <w:widowControl/>
        <w:snapToGrid w:val="0"/>
        <w:spacing w:line="360" w:lineRule="auto"/>
        <w:ind w:firstLine="465"/>
        <w:jc w:val="left"/>
        <w:rPr>
          <w:rFonts w:ascii="宋体" w:hAnsi="宋体" w:cs="宋体"/>
          <w:szCs w:val="21"/>
        </w:rPr>
      </w:pPr>
    </w:p>
    <w:tbl>
      <w:tblPr>
        <w:tblStyle w:val="46"/>
        <w:tblW w:w="8719" w:type="dxa"/>
        <w:jc w:val="center"/>
        <w:tblInd w:w="0" w:type="dxa"/>
        <w:tblLayout w:type="fixed"/>
        <w:tblCellMar>
          <w:top w:w="0" w:type="dxa"/>
          <w:left w:w="108" w:type="dxa"/>
          <w:bottom w:w="0" w:type="dxa"/>
          <w:right w:w="108" w:type="dxa"/>
        </w:tblCellMar>
      </w:tblPr>
      <w:tblGrid>
        <w:gridCol w:w="4467"/>
        <w:gridCol w:w="4252"/>
      </w:tblGrid>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买方：(盖章)</w:t>
            </w:r>
          </w:p>
          <w:p>
            <w:pPr>
              <w:pStyle w:val="25"/>
              <w:snapToGrid w:val="0"/>
              <w:spacing w:line="360" w:lineRule="auto"/>
              <w:rPr>
                <w:rFonts w:hAnsi="宋体" w:cs="宋体"/>
              </w:rPr>
            </w:pPr>
          </w:p>
        </w:tc>
        <w:tc>
          <w:tcPr>
            <w:tcW w:w="4252" w:type="dxa"/>
            <w:tcBorders>
              <w:top w:val="nil"/>
              <w:left w:val="nil"/>
              <w:bottom w:val="nil"/>
              <w:right w:val="nil"/>
            </w:tcBorders>
          </w:tcPr>
          <w:p>
            <w:pPr>
              <w:pStyle w:val="25"/>
              <w:snapToGrid w:val="0"/>
              <w:spacing w:line="360" w:lineRule="auto"/>
              <w:rPr>
                <w:rFonts w:hAnsi="宋体" w:cs="宋体"/>
              </w:rPr>
            </w:pPr>
            <w:r>
              <w:rPr>
                <w:rFonts w:hint="eastAsia" w:hAnsi="宋体" w:cs="宋体"/>
              </w:rPr>
              <w:t>卖方：（盖章）</w:t>
            </w:r>
          </w:p>
          <w:p>
            <w:pPr>
              <w:pStyle w:val="25"/>
              <w:snapToGrid w:val="0"/>
              <w:spacing w:line="360" w:lineRule="auto"/>
              <w:rPr>
                <w:rFonts w:hAnsi="宋体" w:cs="宋体"/>
              </w:rPr>
            </w:pPr>
          </w:p>
        </w:tc>
      </w:tr>
      <w:tr>
        <w:tblPrEx>
          <w:tblLayout w:type="fixed"/>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25"/>
              <w:snapToGrid w:val="0"/>
              <w:spacing w:line="360" w:lineRule="auto"/>
              <w:ind w:left="19" w:leftChars="9"/>
              <w:rPr>
                <w:rFonts w:hAnsi="宋体" w:cs="宋体"/>
              </w:rPr>
            </w:pPr>
            <w:r>
              <w:rPr>
                <w:rFonts w:hint="eastAsia" w:hAnsi="宋体" w:cs="宋体"/>
              </w:rPr>
              <w:t>法定代表人或其授权代表：</w:t>
            </w:r>
          </w:p>
          <w:p>
            <w:pPr>
              <w:pStyle w:val="25"/>
              <w:snapToGrid w:val="0"/>
              <w:spacing w:line="360" w:lineRule="auto"/>
              <w:ind w:left="19" w:leftChars="9"/>
              <w:rPr>
                <w:rFonts w:hAnsi="宋体" w:cs="宋体"/>
              </w:rPr>
            </w:pPr>
          </w:p>
          <w:p>
            <w:pPr>
              <w:pStyle w:val="25"/>
              <w:snapToGrid w:val="0"/>
              <w:spacing w:line="360" w:lineRule="auto"/>
              <w:ind w:left="19" w:leftChars="9"/>
              <w:rPr>
                <w:rFonts w:hAnsi="宋体" w:cs="宋体"/>
              </w:rPr>
            </w:pPr>
          </w:p>
        </w:tc>
        <w:tc>
          <w:tcPr>
            <w:tcW w:w="4252" w:type="dxa"/>
            <w:tcBorders>
              <w:top w:val="nil"/>
              <w:left w:val="nil"/>
              <w:bottom w:val="nil"/>
              <w:right w:val="nil"/>
            </w:tcBorders>
          </w:tcPr>
          <w:p>
            <w:pPr>
              <w:pStyle w:val="25"/>
              <w:snapToGrid w:val="0"/>
              <w:spacing w:line="360" w:lineRule="auto"/>
              <w:ind w:left="34" w:leftChars="16"/>
              <w:rPr>
                <w:rFonts w:hAnsi="宋体" w:cs="宋体"/>
              </w:rPr>
            </w:pPr>
            <w:r>
              <w:rPr>
                <w:rFonts w:hint="eastAsia" w:hAnsi="宋体" w:cs="宋体"/>
              </w:rPr>
              <w:t>法定代表人或其授权代表：</w:t>
            </w:r>
          </w:p>
          <w:p>
            <w:pPr>
              <w:pStyle w:val="25"/>
              <w:snapToGrid w:val="0"/>
              <w:spacing w:line="360" w:lineRule="auto"/>
              <w:ind w:left="34" w:leftChars="16"/>
              <w:rPr>
                <w:rFonts w:hAnsi="宋体" w:cs="宋体"/>
              </w:rPr>
            </w:pPr>
          </w:p>
          <w:p>
            <w:pPr>
              <w:pStyle w:val="25"/>
              <w:snapToGrid w:val="0"/>
              <w:spacing w:line="360" w:lineRule="auto"/>
              <w:ind w:left="34" w:leftChars="16"/>
              <w:rPr>
                <w:rFonts w:hAnsi="宋体" w:cs="宋体"/>
              </w:rPr>
            </w:pPr>
          </w:p>
        </w:tc>
      </w:tr>
      <w:tr>
        <w:tblPrEx>
          <w:tblLayout w:type="fixed"/>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 xml:space="preserve">地址： </w:t>
            </w:r>
          </w:p>
        </w:tc>
        <w:tc>
          <w:tcPr>
            <w:tcW w:w="4252" w:type="dxa"/>
            <w:tcBorders>
              <w:top w:val="nil"/>
              <w:left w:val="nil"/>
              <w:bottom w:val="nil"/>
              <w:right w:val="nil"/>
            </w:tcBorders>
          </w:tcPr>
          <w:p>
            <w:pPr>
              <w:pStyle w:val="25"/>
              <w:snapToGrid w:val="0"/>
              <w:spacing w:line="360" w:lineRule="auto"/>
              <w:rPr>
                <w:rFonts w:hAnsi="宋体" w:cs="宋体"/>
              </w:rPr>
            </w:pPr>
            <w:r>
              <w:rPr>
                <w:rFonts w:hint="eastAsia" w:hAnsi="宋体" w:cs="宋体"/>
              </w:rPr>
              <w:t>地址：</w:t>
            </w:r>
          </w:p>
        </w:tc>
      </w:tr>
      <w:tr>
        <w:tblPrEx>
          <w:tblLayout w:type="fixed"/>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 xml:space="preserve">邮编： </w:t>
            </w:r>
          </w:p>
        </w:tc>
        <w:tc>
          <w:tcPr>
            <w:tcW w:w="4252" w:type="dxa"/>
            <w:tcBorders>
              <w:top w:val="nil"/>
              <w:left w:val="nil"/>
              <w:bottom w:val="nil"/>
              <w:right w:val="nil"/>
            </w:tcBorders>
          </w:tcPr>
          <w:p>
            <w:pPr>
              <w:pStyle w:val="25"/>
              <w:snapToGrid w:val="0"/>
              <w:spacing w:line="360" w:lineRule="auto"/>
              <w:ind w:left="34" w:leftChars="16"/>
              <w:rPr>
                <w:rFonts w:hAnsi="宋体" w:cs="宋体"/>
              </w:rPr>
            </w:pPr>
            <w:r>
              <w:rPr>
                <w:rFonts w:hint="eastAsia" w:hAnsi="宋体" w:cs="宋体"/>
              </w:rPr>
              <w:t>邮编：</w:t>
            </w:r>
          </w:p>
        </w:tc>
      </w:tr>
      <w:tr>
        <w:tblPrEx>
          <w:tblLayout w:type="fixed"/>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25"/>
              <w:snapToGrid w:val="0"/>
              <w:spacing w:line="360" w:lineRule="auto"/>
              <w:ind w:left="19" w:leftChars="9"/>
              <w:rPr>
                <w:rFonts w:hAnsi="宋体" w:cs="宋体"/>
              </w:rPr>
            </w:pPr>
            <w:r>
              <w:rPr>
                <w:rFonts w:hint="eastAsia" w:hAnsi="宋体" w:cs="宋体"/>
              </w:rPr>
              <w:t xml:space="preserve">电话： </w:t>
            </w:r>
          </w:p>
        </w:tc>
        <w:tc>
          <w:tcPr>
            <w:tcW w:w="4252" w:type="dxa"/>
            <w:tcBorders>
              <w:top w:val="nil"/>
              <w:left w:val="nil"/>
              <w:bottom w:val="nil"/>
              <w:right w:val="nil"/>
            </w:tcBorders>
          </w:tcPr>
          <w:p>
            <w:pPr>
              <w:pStyle w:val="25"/>
              <w:snapToGrid w:val="0"/>
              <w:spacing w:line="360" w:lineRule="auto"/>
              <w:ind w:left="34" w:leftChars="16"/>
              <w:rPr>
                <w:rFonts w:hAnsi="宋体" w:cs="宋体"/>
              </w:rPr>
            </w:pPr>
            <w:r>
              <w:rPr>
                <w:rFonts w:hint="eastAsia" w:hAnsi="宋体" w:cs="宋体"/>
              </w:rPr>
              <w:t>电话：</w:t>
            </w:r>
          </w:p>
        </w:tc>
      </w:tr>
      <w:tr>
        <w:tblPrEx>
          <w:tblLayout w:type="fixed"/>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25"/>
              <w:snapToGrid w:val="0"/>
              <w:spacing w:line="360" w:lineRule="auto"/>
              <w:ind w:left="19" w:leftChars="9"/>
              <w:rPr>
                <w:rFonts w:hAnsi="宋体" w:cs="宋体"/>
              </w:rPr>
            </w:pPr>
            <w:r>
              <w:rPr>
                <w:rFonts w:hint="eastAsia" w:hAnsi="宋体" w:cs="宋体"/>
              </w:rPr>
              <w:t xml:space="preserve">传真： </w:t>
            </w:r>
          </w:p>
        </w:tc>
        <w:tc>
          <w:tcPr>
            <w:tcW w:w="4252" w:type="dxa"/>
            <w:tcBorders>
              <w:top w:val="nil"/>
              <w:left w:val="nil"/>
              <w:bottom w:val="nil"/>
              <w:right w:val="nil"/>
            </w:tcBorders>
          </w:tcPr>
          <w:p>
            <w:pPr>
              <w:pStyle w:val="25"/>
              <w:snapToGrid w:val="0"/>
              <w:spacing w:line="360" w:lineRule="auto"/>
              <w:rPr>
                <w:rFonts w:hAnsi="宋体" w:cs="宋体"/>
              </w:rPr>
            </w:pPr>
            <w:r>
              <w:rPr>
                <w:rFonts w:hint="eastAsia" w:hAnsi="宋体" w:cs="宋体"/>
              </w:rPr>
              <w:t>传真：</w:t>
            </w:r>
          </w:p>
        </w:tc>
      </w:tr>
      <w:tr>
        <w:tblPrEx>
          <w:tblLayout w:type="fixed"/>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开户银行：</w:t>
            </w:r>
          </w:p>
        </w:tc>
        <w:tc>
          <w:tcPr>
            <w:tcW w:w="4252" w:type="dxa"/>
            <w:tcBorders>
              <w:top w:val="nil"/>
              <w:left w:val="nil"/>
              <w:bottom w:val="nil"/>
              <w:right w:val="nil"/>
            </w:tcBorders>
          </w:tcPr>
          <w:p>
            <w:pPr>
              <w:pStyle w:val="25"/>
              <w:snapToGrid w:val="0"/>
              <w:spacing w:line="360" w:lineRule="auto"/>
              <w:rPr>
                <w:rFonts w:hAnsi="宋体" w:cs="宋体"/>
              </w:rPr>
            </w:pPr>
            <w:r>
              <w:rPr>
                <w:rFonts w:hint="eastAsia" w:hAnsi="宋体" w:cs="宋体"/>
              </w:rPr>
              <w:t>开户银行：</w:t>
            </w:r>
          </w:p>
        </w:tc>
      </w:tr>
      <w:tr>
        <w:tblPrEx>
          <w:tblLayout w:type="fixed"/>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账号：</w:t>
            </w:r>
          </w:p>
          <w:p>
            <w:pPr>
              <w:pStyle w:val="25"/>
              <w:snapToGrid w:val="0"/>
              <w:spacing w:line="360" w:lineRule="auto"/>
              <w:ind w:left="19" w:leftChars="9"/>
              <w:rPr>
                <w:rFonts w:hAnsi="宋体" w:cs="宋体"/>
              </w:rPr>
            </w:pPr>
          </w:p>
          <w:p>
            <w:pPr>
              <w:pStyle w:val="25"/>
              <w:snapToGrid w:val="0"/>
              <w:spacing w:line="360" w:lineRule="auto"/>
              <w:ind w:left="19" w:leftChars="9"/>
              <w:rPr>
                <w:rFonts w:hAnsi="宋体" w:cs="宋体"/>
              </w:rPr>
            </w:pPr>
            <w:r>
              <w:rPr>
                <w:rFonts w:hint="eastAsia" w:hAnsi="宋体" w:cs="宋体"/>
              </w:rPr>
              <w:t>时间：</w:t>
            </w:r>
          </w:p>
        </w:tc>
        <w:tc>
          <w:tcPr>
            <w:tcW w:w="4252" w:type="dxa"/>
            <w:tcBorders>
              <w:top w:val="nil"/>
              <w:left w:val="nil"/>
              <w:bottom w:val="nil"/>
              <w:right w:val="nil"/>
            </w:tcBorders>
          </w:tcPr>
          <w:p>
            <w:pPr>
              <w:pStyle w:val="25"/>
              <w:snapToGrid w:val="0"/>
              <w:spacing w:line="360" w:lineRule="auto"/>
              <w:ind w:left="34" w:leftChars="16"/>
              <w:rPr>
                <w:rFonts w:hAnsi="宋体" w:cs="宋体"/>
              </w:rPr>
            </w:pPr>
            <w:r>
              <w:rPr>
                <w:rFonts w:hint="eastAsia" w:hAnsi="宋体" w:cs="宋体"/>
              </w:rPr>
              <w:t>账号：</w:t>
            </w:r>
          </w:p>
          <w:p>
            <w:pPr>
              <w:pStyle w:val="25"/>
              <w:snapToGrid w:val="0"/>
              <w:spacing w:line="360" w:lineRule="auto"/>
              <w:ind w:left="34" w:leftChars="16"/>
              <w:rPr>
                <w:rFonts w:hAnsi="宋体" w:cs="宋体"/>
              </w:rPr>
            </w:pPr>
          </w:p>
          <w:p>
            <w:pPr>
              <w:pStyle w:val="25"/>
              <w:snapToGrid w:val="0"/>
              <w:spacing w:line="360" w:lineRule="auto"/>
              <w:ind w:left="34" w:leftChars="16"/>
              <w:rPr>
                <w:rFonts w:hAnsi="宋体" w:cs="宋体"/>
              </w:rPr>
            </w:pPr>
            <w:r>
              <w:rPr>
                <w:rFonts w:hint="eastAsia" w:hAnsi="宋体" w:cs="宋体"/>
              </w:rPr>
              <w:t>时间：</w:t>
            </w:r>
          </w:p>
        </w:tc>
      </w:tr>
    </w:tbl>
    <w:p>
      <w:pPr>
        <w:widowControl/>
        <w:jc w:val="left"/>
        <w:rPr>
          <w:rFonts w:ascii="宋体" w:hAnsi="宋体" w:cs="宋体"/>
          <w:b/>
          <w:sz w:val="24"/>
        </w:rPr>
      </w:pPr>
    </w:p>
    <w:p>
      <w:pPr>
        <w:widowControl/>
        <w:jc w:val="left"/>
        <w:rPr>
          <w:rFonts w:ascii="宋体" w:hAnsi="宋体" w:cs="宋体"/>
          <w:b/>
          <w:sz w:val="24"/>
        </w:rPr>
      </w:pPr>
      <w:r>
        <w:rPr>
          <w:rFonts w:hint="eastAsia" w:ascii="宋体" w:hAnsi="宋体" w:cs="宋体"/>
          <w:b/>
          <w:sz w:val="24"/>
        </w:rPr>
        <w:br w:type="page"/>
      </w:r>
    </w:p>
    <w:p>
      <w:pPr>
        <w:tabs>
          <w:tab w:val="left" w:pos="2580"/>
          <w:tab w:val="center" w:pos="5121"/>
        </w:tabs>
        <w:snapToGrid w:val="0"/>
        <w:jc w:val="center"/>
        <w:outlineLvl w:val="0"/>
        <w:rPr>
          <w:rFonts w:ascii="宋体" w:hAnsi="宋体" w:cs="宋体"/>
          <w:b/>
          <w:bCs/>
          <w:kern w:val="0"/>
          <w:sz w:val="32"/>
          <w:szCs w:val="32"/>
        </w:rPr>
      </w:pPr>
      <w:r>
        <w:rPr>
          <w:rFonts w:hint="eastAsia" w:ascii="宋体" w:hAnsi="宋体" w:cs="宋体"/>
          <w:b/>
          <w:bCs/>
          <w:kern w:val="0"/>
          <w:sz w:val="32"/>
          <w:szCs w:val="32"/>
        </w:rPr>
        <w:t>第二部分合同附件</w:t>
      </w:r>
    </w:p>
    <w:p>
      <w:pPr>
        <w:tabs>
          <w:tab w:val="left" w:pos="2580"/>
          <w:tab w:val="center" w:pos="5121"/>
        </w:tabs>
        <w:snapToGrid w:val="0"/>
        <w:spacing w:line="360" w:lineRule="auto"/>
        <w:ind w:firstLine="420" w:firstLineChars="200"/>
        <w:outlineLvl w:val="0"/>
        <w:rPr>
          <w:rFonts w:ascii="宋体" w:hAnsi="宋体" w:cs="宋体"/>
          <w:kern w:val="0"/>
          <w:szCs w:val="21"/>
        </w:rPr>
      </w:pPr>
      <w:r>
        <w:rPr>
          <w:rFonts w:hint="eastAsia" w:ascii="宋体" w:hAnsi="宋体" w:cs="宋体"/>
          <w:kern w:val="0"/>
          <w:szCs w:val="21"/>
        </w:rPr>
        <w:t>（包括但不限于用户需求书/技术规格书、签约合同价格清单、中选通知书（如有）、</w:t>
      </w:r>
      <w:r>
        <w:rPr>
          <w:rFonts w:hint="eastAsia" w:ascii="宋体" w:hAnsi="宋体" w:cs="宋体"/>
          <w:szCs w:val="21"/>
        </w:rPr>
        <w:t>自主竞争性谈判文件/直接委托谈判文件及其附件（如有）、谈判响应文件及其附件（如有）</w:t>
      </w:r>
      <w:r>
        <w:rPr>
          <w:rFonts w:hint="eastAsia" w:ascii="宋体" w:hAnsi="宋体" w:cs="宋体"/>
          <w:kern w:val="0"/>
          <w:szCs w:val="21"/>
        </w:rPr>
        <w:t>）</w:t>
      </w:r>
    </w:p>
    <w:p>
      <w:pPr>
        <w:widowControl/>
        <w:snapToGrid w:val="0"/>
        <w:spacing w:line="360" w:lineRule="auto"/>
        <w:ind w:firstLine="420" w:firstLineChars="200"/>
        <w:rPr>
          <w:rFonts w:ascii="宋体" w:hAnsi="宋体" w:cs="宋体"/>
          <w:szCs w:val="21"/>
        </w:rPr>
      </w:pPr>
    </w:p>
    <w:p>
      <w:pPr>
        <w:pStyle w:val="41"/>
        <w:snapToGrid w:val="0"/>
        <w:spacing w:before="0" w:beforeAutospacing="0" w:after="0" w:afterAutospacing="0" w:line="360" w:lineRule="auto"/>
        <w:ind w:firstLine="422" w:firstLineChars="200"/>
        <w:jc w:val="both"/>
        <w:rPr>
          <w:b/>
          <w:sz w:val="21"/>
          <w:szCs w:val="21"/>
        </w:rPr>
      </w:pPr>
      <w:r>
        <w:rPr>
          <w:rFonts w:hint="eastAsia"/>
          <w:b/>
          <w:sz w:val="21"/>
          <w:szCs w:val="21"/>
        </w:rPr>
        <w:t>附件1 中选通知书（如有）</w:t>
      </w:r>
    </w:p>
    <w:p>
      <w:pPr>
        <w:pStyle w:val="41"/>
        <w:snapToGrid w:val="0"/>
        <w:spacing w:before="0" w:beforeAutospacing="0" w:after="0" w:afterAutospacing="0" w:line="360" w:lineRule="auto"/>
        <w:ind w:firstLine="422" w:firstLineChars="200"/>
        <w:jc w:val="both"/>
        <w:rPr>
          <w:b/>
          <w:sz w:val="21"/>
          <w:szCs w:val="21"/>
        </w:rPr>
      </w:pPr>
      <w:r>
        <w:rPr>
          <w:rFonts w:hint="eastAsia"/>
          <w:b/>
          <w:sz w:val="21"/>
          <w:szCs w:val="21"/>
        </w:rPr>
        <w:t>附件2 用户需求书/技术规格书</w:t>
      </w:r>
    </w:p>
    <w:p>
      <w:pPr>
        <w:pStyle w:val="41"/>
        <w:snapToGrid w:val="0"/>
        <w:spacing w:before="0" w:beforeAutospacing="0" w:after="0" w:afterAutospacing="0" w:line="360" w:lineRule="auto"/>
        <w:ind w:firstLine="422" w:firstLineChars="200"/>
        <w:jc w:val="both"/>
        <w:rPr>
          <w:b/>
          <w:sz w:val="21"/>
          <w:szCs w:val="21"/>
        </w:rPr>
      </w:pPr>
      <w:r>
        <w:rPr>
          <w:rFonts w:hint="eastAsia"/>
          <w:b/>
          <w:sz w:val="21"/>
          <w:szCs w:val="21"/>
        </w:rPr>
        <w:t>附件3 签约合同价格清单</w:t>
      </w:r>
    </w:p>
    <w:p>
      <w:pPr>
        <w:pStyle w:val="41"/>
        <w:snapToGrid w:val="0"/>
        <w:spacing w:before="0" w:beforeAutospacing="0" w:after="0" w:afterAutospacing="0" w:line="360" w:lineRule="auto"/>
        <w:ind w:firstLine="422" w:firstLineChars="200"/>
        <w:jc w:val="both"/>
        <w:rPr>
          <w:b/>
          <w:sz w:val="21"/>
          <w:szCs w:val="21"/>
        </w:rPr>
      </w:pPr>
      <w:bookmarkStart w:id="142" w:name="_Toc471985084"/>
      <w:bookmarkStart w:id="143" w:name="_Toc471994703"/>
      <w:bookmarkStart w:id="144" w:name="_Toc13758"/>
      <w:bookmarkStart w:id="145" w:name="_Toc471984500"/>
      <w:bookmarkStart w:id="146" w:name="_Toc471994670"/>
      <w:bookmarkStart w:id="147" w:name="_Toc471995645"/>
      <w:bookmarkStart w:id="148" w:name="_Toc471994658"/>
      <w:r>
        <w:rPr>
          <w:rFonts w:hint="eastAsia"/>
          <w:b/>
          <w:sz w:val="21"/>
          <w:szCs w:val="21"/>
        </w:rPr>
        <w:t>附件4 自主竞争性谈判文件/直接委托谈判文件及其附件（如有，另册）</w:t>
      </w:r>
    </w:p>
    <w:p>
      <w:pPr>
        <w:pStyle w:val="41"/>
        <w:snapToGrid w:val="0"/>
        <w:spacing w:before="0" w:beforeAutospacing="0" w:after="0" w:afterAutospacing="0" w:line="360" w:lineRule="auto"/>
        <w:ind w:firstLine="422" w:firstLineChars="200"/>
        <w:jc w:val="both"/>
        <w:rPr>
          <w:b/>
          <w:sz w:val="21"/>
          <w:szCs w:val="21"/>
        </w:rPr>
      </w:pPr>
      <w:r>
        <w:rPr>
          <w:rFonts w:hint="eastAsia"/>
          <w:b/>
          <w:sz w:val="21"/>
          <w:szCs w:val="21"/>
        </w:rPr>
        <w:t>附件5 谈判响应文件及其附件（如有，另册）</w:t>
      </w:r>
    </w:p>
    <w:p>
      <w:pPr>
        <w:pStyle w:val="41"/>
        <w:snapToGrid w:val="0"/>
        <w:spacing w:before="0" w:beforeAutospacing="0" w:after="0" w:afterAutospacing="0" w:line="360" w:lineRule="auto"/>
        <w:rPr>
          <w:b/>
          <w:sz w:val="21"/>
          <w:szCs w:val="21"/>
        </w:rPr>
      </w:pPr>
    </w:p>
    <w:p>
      <w:pPr>
        <w:widowControl/>
        <w:jc w:val="center"/>
        <w:rPr>
          <w:rFonts w:ascii="宋体" w:hAnsi="宋体" w:cs="宋体"/>
          <w:b/>
          <w:bCs/>
          <w:sz w:val="32"/>
          <w:szCs w:val="32"/>
        </w:rPr>
      </w:pPr>
      <w:r>
        <w:rPr>
          <w:rFonts w:hint="eastAsia" w:ascii="宋体" w:hAnsi="宋体" w:cs="宋体"/>
          <w:b/>
        </w:rPr>
        <w:br w:type="page"/>
      </w:r>
      <w:r>
        <w:rPr>
          <w:rFonts w:hint="eastAsia" w:ascii="宋体" w:hAnsi="宋体" w:cs="宋体"/>
          <w:b/>
          <w:bCs/>
          <w:sz w:val="32"/>
          <w:szCs w:val="32"/>
        </w:rPr>
        <w:t>第三部分 合同附录</w:t>
      </w:r>
      <w:bookmarkEnd w:id="142"/>
      <w:bookmarkEnd w:id="143"/>
      <w:bookmarkEnd w:id="144"/>
      <w:bookmarkEnd w:id="145"/>
      <w:bookmarkEnd w:id="146"/>
      <w:bookmarkEnd w:id="147"/>
      <w:bookmarkEnd w:id="148"/>
    </w:p>
    <w:p>
      <w:pPr>
        <w:pStyle w:val="14"/>
        <w:snapToGrid w:val="0"/>
        <w:spacing w:line="360" w:lineRule="auto"/>
        <w:ind w:firstLine="422" w:firstLineChars="200"/>
        <w:outlineLvl w:val="1"/>
        <w:rPr>
          <w:rFonts w:ascii="宋体" w:hAnsi="宋体" w:cs="宋体"/>
          <w:b/>
          <w:sz w:val="21"/>
          <w:szCs w:val="21"/>
        </w:rPr>
      </w:pPr>
      <w:bookmarkStart w:id="149" w:name="_Toc6333"/>
      <w:r>
        <w:rPr>
          <w:rFonts w:hint="eastAsia" w:ascii="宋体" w:hAnsi="宋体" w:cs="宋体"/>
          <w:b/>
          <w:sz w:val="21"/>
          <w:szCs w:val="21"/>
        </w:rPr>
        <w:t>附录1  履约保函格式</w:t>
      </w:r>
      <w:bookmarkEnd w:id="149"/>
    </w:p>
    <w:p>
      <w:pPr>
        <w:pStyle w:val="14"/>
        <w:snapToGrid w:val="0"/>
        <w:spacing w:line="360" w:lineRule="auto"/>
        <w:ind w:firstLine="422" w:firstLineChars="200"/>
        <w:jc w:val="center"/>
        <w:rPr>
          <w:rFonts w:ascii="宋体" w:hAnsi="宋体" w:cs="宋体"/>
          <w:b/>
          <w:sz w:val="21"/>
          <w:szCs w:val="21"/>
        </w:rPr>
      </w:pPr>
      <w:r>
        <w:rPr>
          <w:rFonts w:hint="eastAsia" w:ascii="宋体" w:hAnsi="宋体" w:cs="宋体"/>
          <w:b/>
          <w:sz w:val="21"/>
          <w:szCs w:val="21"/>
        </w:rPr>
        <w:t>银行履约保函</w:t>
      </w:r>
    </w:p>
    <w:p>
      <w:pPr>
        <w:snapToGrid w:val="0"/>
        <w:spacing w:line="360" w:lineRule="auto"/>
        <w:ind w:right="480" w:firstLine="420" w:firstLineChars="200"/>
        <w:jc w:val="center"/>
        <w:rPr>
          <w:rFonts w:ascii="宋体" w:hAnsi="宋体" w:cs="宋体"/>
          <w:szCs w:val="21"/>
        </w:rPr>
      </w:pPr>
    </w:p>
    <w:p>
      <w:pPr>
        <w:snapToGrid w:val="0"/>
        <w:spacing w:line="360" w:lineRule="auto"/>
        <w:ind w:right="480" w:firstLine="420" w:firstLineChars="200"/>
        <w:jc w:val="right"/>
        <w:rPr>
          <w:rFonts w:ascii="宋体" w:hAnsi="宋体" w:cs="宋体"/>
          <w:szCs w:val="21"/>
          <w:u w:val="single"/>
        </w:rPr>
      </w:pPr>
      <w:r>
        <w:rPr>
          <w:rFonts w:hint="eastAsia" w:ascii="宋体" w:hAnsi="宋体" w:cs="宋体"/>
          <w:szCs w:val="21"/>
        </w:rPr>
        <w:t>保函编号：</w:t>
      </w:r>
      <w:r>
        <w:rPr>
          <w:rFonts w:hint="eastAsia" w:ascii="宋体" w:hAnsi="宋体" w:cs="宋体"/>
          <w:szCs w:val="21"/>
          <w:u w:val="single"/>
        </w:rPr>
        <w:t xml:space="preserve">             </w:t>
      </w:r>
    </w:p>
    <w:p>
      <w:pPr>
        <w:adjustRightInd w:val="0"/>
        <w:snapToGrid w:val="0"/>
        <w:spacing w:line="360" w:lineRule="auto"/>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（甲方名称）：</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（甲方名称，以下简称“你方”）与</w:t>
      </w:r>
      <w:r>
        <w:rPr>
          <w:rFonts w:hint="eastAsia" w:ascii="宋体" w:hAnsi="宋体" w:cs="宋体"/>
          <w:szCs w:val="21"/>
          <w:u w:val="single"/>
        </w:rPr>
        <w:t xml:space="preserve">             </w:t>
      </w:r>
      <w:r>
        <w:rPr>
          <w:rFonts w:hint="eastAsia" w:ascii="宋体" w:hAnsi="宋体" w:cs="宋体"/>
          <w:szCs w:val="21"/>
        </w:rPr>
        <w:t>（乙方名称，以下简称“乙方”）于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日协商一致共同签订合同编号为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合同》（以下简称“合同”）。 我方愿意无条件地、不可撤销地就乙方履行与你方签订的合同，向你方提供连带责任担保。</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1.担保金额为人民币（大写）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2.担保有效期为自本保函之日起至项目整体验收合格之日止。</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3.在本担保有效期内，因乙方违反合同约定的义务给你方造成经济损失时，我方在收到你方以书面形式提出的在担保金额内的赔偿要求后，在 7个工作日内无条件支付。</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4.你方和乙方按合同约定变更合同时，我方承担本担保规定的义务不变。</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5.因本保函发生的纠纷，可由双方协商解决，协商不成的，任何一方均可提请甲方所在地仲裁委员会仲裁。</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6.本保函自我方法定代表人或授权代理人签字并加盖公章之日起生效。</w:t>
      </w:r>
    </w:p>
    <w:p>
      <w:pPr>
        <w:adjustRightInd w:val="0"/>
        <w:snapToGrid w:val="0"/>
        <w:spacing w:line="360" w:lineRule="auto"/>
        <w:ind w:left="15" w:leftChars="7" w:firstLine="420" w:firstLineChars="200"/>
        <w:rPr>
          <w:rFonts w:ascii="宋体" w:hAnsi="宋体" w:cs="宋体"/>
          <w:szCs w:val="21"/>
        </w:rPr>
      </w:pP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担保人：</w:t>
      </w:r>
      <w:r>
        <w:rPr>
          <w:rFonts w:hint="eastAsia" w:ascii="宋体" w:hAnsi="宋体" w:cs="宋体"/>
          <w:szCs w:val="21"/>
          <w:u w:val="single"/>
        </w:rPr>
        <w:t xml:space="preserve">           </w:t>
      </w:r>
      <w:r>
        <w:rPr>
          <w:rFonts w:hint="eastAsia" w:ascii="宋体" w:hAnsi="宋体" w:cs="宋体"/>
          <w:szCs w:val="21"/>
        </w:rPr>
        <w:t>（盖单位章）</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法定代表人或授权代理人：</w:t>
      </w:r>
      <w:r>
        <w:rPr>
          <w:rFonts w:hint="eastAsia" w:ascii="宋体" w:hAnsi="宋体" w:cs="宋体"/>
          <w:szCs w:val="21"/>
          <w:u w:val="single"/>
        </w:rPr>
        <w:t xml:space="preserve">           </w:t>
      </w:r>
      <w:r>
        <w:rPr>
          <w:rFonts w:hint="eastAsia" w:ascii="宋体" w:hAnsi="宋体" w:cs="宋体"/>
          <w:szCs w:val="21"/>
        </w:rPr>
        <w:t>（签字）</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4"/>
        <w:snapToGrid w:val="0"/>
        <w:spacing w:line="360" w:lineRule="auto"/>
        <w:ind w:firstLine="0"/>
        <w:outlineLvl w:val="1"/>
        <w:rPr>
          <w:rFonts w:ascii="宋体" w:hAnsi="宋体" w:cs="宋体"/>
          <w:b/>
          <w:sz w:val="21"/>
          <w:szCs w:val="21"/>
        </w:rPr>
      </w:pPr>
      <w:r>
        <w:rPr>
          <w:rFonts w:hint="eastAsia" w:ascii="宋体" w:hAnsi="宋体" w:cs="宋体"/>
          <w:b/>
          <w:bCs/>
          <w:sz w:val="21"/>
          <w:szCs w:val="21"/>
          <w:lang w:val="zh-CN"/>
        </w:rPr>
        <w:br w:type="page"/>
      </w:r>
      <w:r>
        <w:rPr>
          <w:rFonts w:hint="eastAsia" w:ascii="宋体" w:hAnsi="宋体" w:cs="宋体"/>
          <w:b/>
          <w:sz w:val="21"/>
          <w:szCs w:val="21"/>
        </w:rPr>
        <w:t>附录2  授权委托书格式</w:t>
      </w:r>
    </w:p>
    <w:p>
      <w:pPr>
        <w:autoSpaceDE w:val="0"/>
        <w:autoSpaceDN w:val="0"/>
        <w:adjustRightInd w:val="0"/>
        <w:snapToGrid w:val="0"/>
        <w:spacing w:line="360" w:lineRule="auto"/>
        <w:jc w:val="left"/>
        <w:rPr>
          <w:rFonts w:ascii="宋体" w:hAnsi="宋体" w:cs="宋体"/>
          <w:kern w:val="0"/>
          <w:szCs w:val="21"/>
          <w:lang w:val="zh-CN"/>
        </w:rPr>
      </w:pPr>
    </w:p>
    <w:p>
      <w:pPr>
        <w:pStyle w:val="14"/>
        <w:snapToGrid w:val="0"/>
        <w:spacing w:line="360" w:lineRule="auto"/>
        <w:ind w:firstLine="422" w:firstLineChars="200"/>
        <w:jc w:val="center"/>
        <w:rPr>
          <w:rFonts w:ascii="宋体" w:hAnsi="宋体" w:cs="宋体"/>
          <w:b/>
          <w:sz w:val="21"/>
          <w:szCs w:val="21"/>
        </w:rPr>
      </w:pPr>
      <w:r>
        <w:rPr>
          <w:rFonts w:hint="eastAsia" w:ascii="宋体" w:hAnsi="宋体" w:cs="宋体"/>
          <w:b/>
          <w:sz w:val="21"/>
          <w:szCs w:val="21"/>
        </w:rPr>
        <w:t>授权委托书</w:t>
      </w:r>
    </w:p>
    <w:p>
      <w:pPr>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（国家名称）的</w:t>
      </w:r>
      <w:r>
        <w:rPr>
          <w:rFonts w:hint="eastAsia" w:ascii="宋体" w:hAnsi="宋体" w:cs="宋体"/>
          <w:szCs w:val="21"/>
          <w:u w:val="single"/>
        </w:rPr>
        <w:t xml:space="preserve">         </w:t>
      </w:r>
      <w:r>
        <w:rPr>
          <w:rFonts w:hint="eastAsia" w:ascii="宋体" w:hAnsi="宋体" w:cs="宋体"/>
          <w:szCs w:val="21"/>
        </w:rPr>
        <w:t>（乙方全称）在下面签字的</w:t>
      </w:r>
      <w:r>
        <w:rPr>
          <w:rFonts w:hint="eastAsia" w:ascii="宋体" w:hAnsi="宋体" w:cs="宋体"/>
          <w:szCs w:val="21"/>
          <w:u w:val="single"/>
        </w:rPr>
        <w:t xml:space="preserve">     </w:t>
      </w:r>
      <w:r>
        <w:rPr>
          <w:rFonts w:hint="eastAsia" w:ascii="宋体" w:hAnsi="宋体" w:cs="宋体"/>
          <w:szCs w:val="21"/>
        </w:rPr>
        <w:t>（法定代表人姓名、职务）代表本公司授权在下面签字的</w:t>
      </w:r>
      <w:r>
        <w:rPr>
          <w:rFonts w:hint="eastAsia" w:ascii="宋体" w:hAnsi="宋体" w:cs="宋体"/>
          <w:szCs w:val="21"/>
          <w:u w:val="single"/>
        </w:rPr>
        <w:t xml:space="preserve">      </w:t>
      </w:r>
      <w:r>
        <w:rPr>
          <w:rFonts w:hint="eastAsia" w:ascii="宋体" w:hAnsi="宋体" w:cs="宋体"/>
          <w:szCs w:val="21"/>
        </w:rPr>
        <w:t>（被授权人的姓名、职务）为本公司的合法代表，就合同编号为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项目合同的签约，并以本公司名义处理一切与之有关的事务。</w:t>
      </w:r>
    </w:p>
    <w:p>
      <w:pPr>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pPr>
        <w:tabs>
          <w:tab w:val="left" w:pos="720"/>
        </w:tabs>
        <w:snapToGrid w:val="0"/>
        <w:spacing w:before="156" w:beforeLines="50" w:after="156" w:afterLines="50" w:line="360" w:lineRule="auto"/>
        <w:ind w:firstLine="420" w:firstLineChars="200"/>
        <w:rPr>
          <w:rFonts w:ascii="宋体" w:hAnsi="宋体" w:cs="宋体"/>
          <w:szCs w:val="21"/>
        </w:rPr>
      </w:pP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授权代表（被授权人）签字：</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乙方全称（公章）：</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乙方地址：</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pPr>
        <w:spacing w:before="156" w:beforeLines="50" w:line="360" w:lineRule="auto"/>
        <w:ind w:firstLine="422" w:firstLineChars="200"/>
        <w:rPr>
          <w:rFonts w:ascii="宋体" w:hAnsi="宋体" w:cs="宋体"/>
          <w:b/>
          <w:szCs w:val="21"/>
        </w:rPr>
      </w:pPr>
    </w:p>
    <w:p>
      <w:pPr>
        <w:spacing w:before="156" w:beforeLines="50" w:line="360" w:lineRule="auto"/>
        <w:ind w:firstLine="422" w:firstLineChars="200"/>
        <w:rPr>
          <w:rFonts w:ascii="宋体" w:hAnsi="宋体" w:cs="宋体"/>
          <w:szCs w:val="21"/>
        </w:rPr>
      </w:pPr>
      <w:r>
        <w:rPr>
          <w:rFonts w:hint="eastAsia" w:ascii="宋体" w:hAnsi="宋体" w:cs="宋体"/>
          <w:b/>
          <w:szCs w:val="21"/>
        </w:rPr>
        <w:t>附：</w:t>
      </w:r>
      <w:r>
        <w:rPr>
          <w:rFonts w:hint="eastAsia" w:ascii="宋体" w:hAnsi="宋体" w:cs="宋体"/>
          <w:szCs w:val="21"/>
        </w:rPr>
        <w:t>授权双方身份证为彩色影印件</w:t>
      </w:r>
    </w:p>
    <w:p>
      <w:pPr>
        <w:spacing w:line="360" w:lineRule="auto"/>
        <w:rPr>
          <w:rFonts w:ascii="宋体" w:hAnsi="宋体" w:cs="宋体"/>
          <w:szCs w:val="21"/>
        </w:rPr>
      </w:pPr>
    </w:p>
    <w:p>
      <w:pPr>
        <w:pStyle w:val="41"/>
        <w:snapToGrid w:val="0"/>
        <w:spacing w:before="0" w:beforeAutospacing="0" w:after="0" w:afterAutospacing="0" w:line="360" w:lineRule="auto"/>
        <w:rPr>
          <w:b/>
          <w:sz w:val="21"/>
          <w:szCs w:val="21"/>
        </w:rPr>
      </w:pPr>
    </w:p>
    <w:p>
      <w:pPr>
        <w:rPr>
          <w:rFonts w:ascii="宋体" w:hAnsi="宋体" w:cs="宋体"/>
        </w:rPr>
      </w:pPr>
    </w:p>
    <w:p>
      <w:pPr>
        <w:rPr>
          <w:rFonts w:ascii="宋体" w:hAnsi="宋体" w:cs="宋体"/>
        </w:rPr>
      </w:pPr>
    </w:p>
    <w:p>
      <w:pPr>
        <w:snapToGrid w:val="0"/>
        <w:spacing w:line="360" w:lineRule="auto"/>
        <w:jc w:val="center"/>
        <w:rPr>
          <w:rFonts w:ascii="宋体" w:hAnsi="宋体" w:cs="宋体"/>
          <w:b/>
          <w:sz w:val="32"/>
          <w:szCs w:val="32"/>
        </w:rPr>
      </w:pPr>
    </w:p>
    <w:p>
      <w:pPr>
        <w:numPr>
          <w:ilvl w:val="0"/>
          <w:numId w:val="3"/>
        </w:numPr>
        <w:adjustRightInd w:val="0"/>
        <w:snapToGrid w:val="0"/>
        <w:spacing w:line="360" w:lineRule="auto"/>
        <w:jc w:val="center"/>
        <w:rPr>
          <w:rFonts w:ascii="宋体" w:hAnsi="宋体" w:cs="宋体"/>
          <w:b/>
          <w:snapToGrid w:val="0"/>
          <w:szCs w:val="21"/>
        </w:rPr>
      </w:pPr>
      <w:r>
        <w:rPr>
          <w:rFonts w:hint="eastAsia" w:ascii="宋体" w:hAnsi="宋体" w:cs="宋体"/>
          <w:b/>
          <w:snapToGrid w:val="0"/>
          <w:szCs w:val="21"/>
        </w:rPr>
        <w:br w:type="page"/>
      </w:r>
      <w:r>
        <w:rPr>
          <w:rFonts w:hint="eastAsia" w:ascii="宋体" w:hAnsi="宋体" w:cs="宋体"/>
          <w:b/>
          <w:snapToGrid w:val="0"/>
          <w:szCs w:val="21"/>
        </w:rPr>
        <w:t xml:space="preserve">  </w:t>
      </w:r>
      <w:bookmarkStart w:id="150" w:name="_Toc24345"/>
      <w:r>
        <w:rPr>
          <w:rFonts w:hint="eastAsia" w:ascii="宋体" w:hAnsi="宋体" w:cs="宋体"/>
          <w:b/>
          <w:snapToGrid w:val="0"/>
          <w:szCs w:val="21"/>
        </w:rPr>
        <w:t>用户需求书/技术规格书</w:t>
      </w:r>
      <w:bookmarkEnd w:id="150"/>
    </w:p>
    <w:p>
      <w:pPr>
        <w:adjustRightInd w:val="0"/>
        <w:snapToGrid w:val="0"/>
        <w:spacing w:line="360" w:lineRule="auto"/>
        <w:ind w:firstLine="422" w:firstLineChars="200"/>
        <w:jc w:val="center"/>
        <w:rPr>
          <w:rFonts w:ascii="宋体" w:hAnsi="宋体" w:cs="宋体"/>
          <w:b/>
          <w:snapToGrid w:val="0"/>
          <w:szCs w:val="21"/>
        </w:rPr>
      </w:pPr>
      <w:r>
        <w:rPr>
          <w:rFonts w:hint="eastAsia" w:ascii="宋体" w:hAnsi="宋体" w:cs="宋体"/>
          <w:b/>
          <w:snapToGrid w:val="0"/>
          <w:szCs w:val="21"/>
        </w:rPr>
        <w:br w:type="page"/>
      </w:r>
      <w:bookmarkStart w:id="151" w:name="_Toc23592"/>
      <w:r>
        <w:rPr>
          <w:rFonts w:hint="eastAsia" w:ascii="宋体" w:hAnsi="宋体" w:cs="宋体"/>
          <w:b/>
          <w:snapToGrid w:val="0"/>
          <w:szCs w:val="21"/>
        </w:rPr>
        <w:t>第四部分  合同附件</w:t>
      </w:r>
      <w:bookmarkEnd w:id="151"/>
    </w:p>
    <w:p>
      <w:pPr>
        <w:adjustRightInd w:val="0"/>
        <w:snapToGrid w:val="0"/>
        <w:spacing w:line="360" w:lineRule="auto"/>
        <w:rPr>
          <w:rFonts w:ascii="宋体" w:hAnsi="宋体" w:cs="宋体"/>
          <w:b/>
          <w:snapToGrid w:val="0"/>
          <w:szCs w:val="21"/>
        </w:rPr>
      </w:pPr>
      <w:bookmarkStart w:id="152" w:name="_Toc454978183"/>
      <w:bookmarkStart w:id="153" w:name="_Toc22058"/>
      <w:r>
        <w:rPr>
          <w:rFonts w:hint="eastAsia" w:ascii="宋体" w:hAnsi="宋体" w:cs="宋体"/>
          <w:b/>
          <w:snapToGrid w:val="0"/>
          <w:szCs w:val="21"/>
        </w:rPr>
        <w:t>附件一 价格清单</w:t>
      </w:r>
      <w:bookmarkEnd w:id="152"/>
      <w:bookmarkEnd w:id="153"/>
    </w:p>
    <w:tbl>
      <w:tblPr>
        <w:tblStyle w:val="4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370"/>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序号</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1</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服务期限</w:t>
            </w:r>
          </w:p>
        </w:tc>
        <w:tc>
          <w:tcPr>
            <w:tcW w:w="5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2</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签约合同价</w:t>
            </w:r>
          </w:p>
        </w:tc>
        <w:tc>
          <w:tcPr>
            <w:tcW w:w="5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3</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备注</w:t>
            </w:r>
          </w:p>
        </w:tc>
        <w:tc>
          <w:tcPr>
            <w:tcW w:w="5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p>
        </w:tc>
      </w:tr>
    </w:tbl>
    <w:p>
      <w:pPr>
        <w:adjustRightInd w:val="0"/>
        <w:snapToGrid w:val="0"/>
        <w:spacing w:line="360" w:lineRule="auto"/>
        <w:rPr>
          <w:rFonts w:ascii="宋体" w:hAnsi="宋体" w:cs="宋体"/>
          <w:b/>
          <w:snapToGrid w:val="0"/>
          <w:szCs w:val="21"/>
        </w:rPr>
      </w:pPr>
    </w:p>
    <w:p>
      <w:pPr>
        <w:adjustRightInd w:val="0"/>
        <w:snapToGrid w:val="0"/>
        <w:spacing w:line="360" w:lineRule="auto"/>
        <w:rPr>
          <w:rFonts w:ascii="宋体" w:hAnsi="宋体" w:cs="宋体"/>
          <w:b/>
          <w:snapToGrid w:val="0"/>
          <w:szCs w:val="21"/>
        </w:rPr>
      </w:pPr>
      <w:bookmarkStart w:id="154" w:name="_Toc454978184"/>
    </w:p>
    <w:p>
      <w:pPr>
        <w:adjustRightInd w:val="0"/>
        <w:snapToGrid w:val="0"/>
        <w:spacing w:line="360" w:lineRule="auto"/>
        <w:rPr>
          <w:rFonts w:ascii="宋体" w:hAnsi="宋体" w:cs="宋体"/>
          <w:b/>
          <w:snapToGrid w:val="0"/>
          <w:szCs w:val="21"/>
        </w:rPr>
      </w:pPr>
      <w:r>
        <w:rPr>
          <w:rFonts w:hint="eastAsia" w:ascii="宋体" w:hAnsi="宋体" w:cs="宋体"/>
          <w:b/>
          <w:snapToGrid w:val="0"/>
          <w:szCs w:val="21"/>
        </w:rPr>
        <w:t>附件二 中选通知书</w:t>
      </w:r>
      <w:bookmarkEnd w:id="154"/>
    </w:p>
    <w:p>
      <w:pPr>
        <w:adjustRightInd w:val="0"/>
        <w:snapToGrid w:val="0"/>
        <w:spacing w:line="360" w:lineRule="auto"/>
        <w:rPr>
          <w:rFonts w:ascii="宋体" w:hAnsi="宋体" w:cs="宋体"/>
          <w:b/>
          <w:snapToGrid w:val="0"/>
          <w:szCs w:val="21"/>
        </w:rPr>
      </w:pPr>
    </w:p>
    <w:p>
      <w:pPr>
        <w:adjustRightInd w:val="0"/>
        <w:snapToGrid w:val="0"/>
        <w:spacing w:line="360" w:lineRule="auto"/>
        <w:rPr>
          <w:rFonts w:ascii="宋体" w:hAnsi="宋体" w:cs="宋体"/>
          <w:b/>
          <w:snapToGrid w:val="0"/>
          <w:szCs w:val="21"/>
        </w:rPr>
      </w:pPr>
      <w:bookmarkStart w:id="155" w:name="_Toc454978185"/>
    </w:p>
    <w:p>
      <w:pPr>
        <w:adjustRightInd w:val="0"/>
        <w:snapToGrid w:val="0"/>
        <w:spacing w:line="360" w:lineRule="auto"/>
        <w:rPr>
          <w:rFonts w:ascii="宋体" w:hAnsi="宋体" w:cs="宋体"/>
          <w:b/>
          <w:snapToGrid w:val="0"/>
          <w:szCs w:val="21"/>
        </w:rPr>
      </w:pPr>
      <w:r>
        <w:rPr>
          <w:rFonts w:hint="eastAsia" w:ascii="宋体" w:hAnsi="宋体" w:cs="宋体"/>
          <w:b/>
          <w:snapToGrid w:val="0"/>
          <w:szCs w:val="21"/>
        </w:rPr>
        <w:t>附件三 答疑及澄清</w:t>
      </w:r>
    </w:p>
    <w:p>
      <w:pPr>
        <w:adjustRightInd w:val="0"/>
        <w:snapToGrid w:val="0"/>
        <w:spacing w:line="360" w:lineRule="auto"/>
        <w:rPr>
          <w:rFonts w:ascii="宋体" w:hAnsi="宋体" w:cs="宋体"/>
          <w:b/>
          <w:snapToGrid w:val="0"/>
          <w:szCs w:val="21"/>
          <w:u w:val="single"/>
        </w:rPr>
      </w:pPr>
    </w:p>
    <w:bookmarkEnd w:id="155"/>
    <w:p>
      <w:pPr>
        <w:adjustRightInd w:val="0"/>
        <w:snapToGrid w:val="0"/>
        <w:spacing w:line="360" w:lineRule="auto"/>
        <w:rPr>
          <w:rFonts w:ascii="宋体" w:hAnsi="宋体" w:cs="宋体"/>
          <w:b/>
          <w:snapToGrid w:val="0"/>
          <w:szCs w:val="21"/>
        </w:rPr>
      </w:pPr>
      <w:bookmarkStart w:id="156" w:name="_Toc24325"/>
      <w:bookmarkStart w:id="157" w:name="_Toc454978187"/>
    </w:p>
    <w:p>
      <w:pPr>
        <w:adjustRightInd w:val="0"/>
        <w:snapToGrid w:val="0"/>
        <w:spacing w:line="360" w:lineRule="auto"/>
        <w:rPr>
          <w:rFonts w:ascii="宋体" w:hAnsi="宋体" w:cs="宋体"/>
          <w:b/>
          <w:snapToGrid w:val="0"/>
          <w:szCs w:val="21"/>
          <w:u w:val="single"/>
        </w:rPr>
      </w:pPr>
      <w:r>
        <w:rPr>
          <w:rFonts w:hint="eastAsia" w:ascii="宋体" w:hAnsi="宋体" w:cs="宋体"/>
          <w:b/>
          <w:snapToGrid w:val="0"/>
          <w:szCs w:val="21"/>
        </w:rPr>
        <w:t>附件四 项目关键岗位人员表</w:t>
      </w:r>
      <w:bookmarkEnd w:id="156"/>
    </w:p>
    <w:p>
      <w:pPr>
        <w:adjustRightInd w:val="0"/>
        <w:snapToGrid w:val="0"/>
        <w:spacing w:line="360" w:lineRule="auto"/>
        <w:rPr>
          <w:rFonts w:ascii="宋体" w:hAnsi="宋体" w:cs="宋体"/>
          <w:b/>
          <w:snapToGrid w:val="0"/>
          <w:szCs w:val="21"/>
        </w:rPr>
      </w:pPr>
      <w:r>
        <w:rPr>
          <w:rFonts w:hint="eastAsia" w:ascii="宋体" w:hAnsi="宋体" w:cs="宋体"/>
          <w:b/>
          <w:snapToGrid w:val="0"/>
          <w:szCs w:val="21"/>
        </w:rPr>
        <w:br w:type="page"/>
      </w:r>
      <w:bookmarkStart w:id="158" w:name="_Toc16513"/>
      <w:r>
        <w:rPr>
          <w:rFonts w:hint="eastAsia" w:ascii="宋体" w:hAnsi="宋体" w:cs="宋体"/>
          <w:b/>
          <w:snapToGrid w:val="0"/>
          <w:szCs w:val="21"/>
        </w:rPr>
        <w:t>附件五 廉政</w:t>
      </w:r>
      <w:bookmarkEnd w:id="157"/>
      <w:r>
        <w:rPr>
          <w:rFonts w:hint="eastAsia" w:ascii="宋体" w:hAnsi="宋体" w:cs="宋体"/>
          <w:b/>
          <w:snapToGrid w:val="0"/>
          <w:szCs w:val="21"/>
        </w:rPr>
        <w:t>合同</w:t>
      </w:r>
      <w:bookmarkEnd w:id="158"/>
    </w:p>
    <w:p>
      <w:pPr>
        <w:autoSpaceDE w:val="0"/>
        <w:autoSpaceDN w:val="0"/>
        <w:adjustRightInd w:val="0"/>
        <w:snapToGrid w:val="0"/>
        <w:spacing w:line="360" w:lineRule="auto"/>
        <w:jc w:val="center"/>
        <w:textAlignment w:val="bottom"/>
        <w:rPr>
          <w:rFonts w:ascii="宋体" w:hAnsi="宋体" w:cs="宋体"/>
          <w:snapToGrid w:val="0"/>
          <w:szCs w:val="21"/>
        </w:rPr>
      </w:pPr>
      <w:bookmarkStart w:id="159" w:name="_Toc437444975"/>
      <w:r>
        <w:rPr>
          <w:rFonts w:hint="eastAsia" w:ascii="宋体" w:hAnsi="宋体" w:cs="宋体"/>
          <w:b/>
          <w:snapToGrid w:val="0"/>
          <w:szCs w:val="21"/>
        </w:rPr>
        <w:t>廉政</w:t>
      </w:r>
      <w:bookmarkEnd w:id="159"/>
      <w:r>
        <w:rPr>
          <w:rFonts w:hint="eastAsia" w:ascii="宋体" w:hAnsi="宋体" w:cs="宋体"/>
          <w:b/>
          <w:snapToGrid w:val="0"/>
          <w:szCs w:val="21"/>
        </w:rPr>
        <w:t>合同</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根据国家法律、法规以及有关廉政的规定，为做好项目中的党风廉政建设，保证项目高效优质，保证项目资金的安全和有效使用以及投资效益，</w:t>
      </w:r>
      <w:r>
        <w:rPr>
          <w:rFonts w:hint="eastAsia" w:ascii="宋体" w:hAnsi="宋体" w:cs="宋体"/>
          <w:snapToGrid w:val="0"/>
          <w:szCs w:val="21"/>
          <w:u w:val="single"/>
        </w:rPr>
        <w:t>长沙市轨道交通5号线一期工程筹备期车站公共场所卫生检测服务项目（2019-2020年度）</w:t>
      </w:r>
      <w:r>
        <w:rPr>
          <w:rFonts w:hint="eastAsia" w:ascii="宋体" w:hAnsi="宋体" w:cs="宋体"/>
          <w:snapToGrid w:val="0"/>
          <w:szCs w:val="21"/>
        </w:rPr>
        <w:t>的项目法人</w:t>
      </w:r>
      <w:r>
        <w:rPr>
          <w:rFonts w:hint="eastAsia" w:ascii="宋体" w:hAnsi="宋体" w:cs="宋体"/>
          <w:snapToGrid w:val="0"/>
          <w:szCs w:val="21"/>
          <w:u w:val="single"/>
        </w:rPr>
        <w:t xml:space="preserve">                   </w:t>
      </w:r>
      <w:r>
        <w:rPr>
          <w:rFonts w:hint="eastAsia" w:ascii="宋体" w:hAnsi="宋体" w:cs="宋体"/>
          <w:snapToGrid w:val="0"/>
          <w:szCs w:val="21"/>
        </w:rPr>
        <w:t>(以下称“甲方”)与</w:t>
      </w:r>
      <w:r>
        <w:rPr>
          <w:rFonts w:hint="eastAsia" w:ascii="宋体" w:hAnsi="宋体" w:cs="宋体"/>
          <w:snapToGrid w:val="0"/>
          <w:szCs w:val="21"/>
          <w:u w:val="single"/>
        </w:rPr>
        <w:t xml:space="preserve">                  </w:t>
      </w:r>
      <w:r>
        <w:rPr>
          <w:rFonts w:hint="eastAsia" w:ascii="宋体" w:hAnsi="宋体" w:cs="宋体"/>
          <w:snapToGrid w:val="0"/>
          <w:szCs w:val="21"/>
        </w:rPr>
        <w:t>（以下称“乙方”），特订立如下合同。</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第一条 甲乙双方的权利和义务</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（一）严格遵守党和国家有关法律法规及湖南省、长沙市的相关规定。</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（二）严格执行</w:t>
      </w:r>
      <w:r>
        <w:rPr>
          <w:rFonts w:hint="eastAsia" w:ascii="宋体" w:hAnsi="宋体" w:cs="宋体"/>
          <w:snapToGrid w:val="0"/>
          <w:szCs w:val="21"/>
          <w:u w:val="single"/>
        </w:rPr>
        <w:t>长沙市轨道交通5号线一期工程筹备期车站公共场所卫生检测服务项目（2019-2020年度）</w:t>
      </w:r>
      <w:r>
        <w:rPr>
          <w:rFonts w:hint="eastAsia" w:ascii="宋体" w:hAnsi="宋体" w:cs="宋体"/>
          <w:snapToGrid w:val="0"/>
          <w:szCs w:val="21"/>
        </w:rPr>
        <w:t>的合同文件（以下简称主合同），自觉按合同办事。</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（三）双方的业务活动坚持公开、公正、诚信、透明的原则（除法律认定的商业秘密和合同文件另有规定之外），不得损害国家和集体利益，违反项目建设规章制度。</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（四）建立健全廉政制度，开展廉政教育，设立廉政告示牌，公布举报电话，监督并认真查处违法违纪行为。</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（五）发现对方在业务活动中有违反廉政规定的行为，有及时提醒对方纠正的权利和义务。</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（六）发现对方严重违反本合同义务条款的行为，有向其上级有关部门举报、建议给予处理并要求告知处理结果的权利。</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第二条 甲方的义务</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（一）甲方及其工作人员不得索要或接受乙方的礼金、有价证券和贵重物品，不得在乙方报销任何应由甲方或个人支付的费用等。</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（二）甲方工作人员不得参加乙方安排的超标准宴请和娱乐活动；不得接受乙方提供的通讯工具、交通工具和高档办公用品等。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（三）甲方及其工作人员不得要求或者接受乙方为其住房装修、婚丧嫁娶活动、配偶子女的工作安排以及出国出境、旅游等提供方便等。</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第三条 乙方的义务</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（一）乙方不得以任何理由向甲方及其工作人员行贿或馈赠礼金、有价证券、贵重礼品。</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（二）乙方不得以任何名义为甲方及其工作人员报销应由甲方单位或个人支付的任何费用。</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（三）乙方不得以任何理由安排甲方工作人员参加超标准宴请及娱乐活动。</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（四）乙方不得为甲方单位和个人购置或提供通讯工具、交通工具和高档办公用品等。</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第四条 违约责任</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第五条</w:t>
      </w:r>
      <w:r>
        <w:rPr>
          <w:rFonts w:hint="eastAsia" w:ascii="宋体" w:hAnsi="宋体" w:cs="宋体"/>
          <w:snapToGrid w:val="0"/>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第六条</w:t>
      </w:r>
      <w:r>
        <w:rPr>
          <w:rFonts w:hint="eastAsia" w:ascii="宋体" w:hAnsi="宋体" w:cs="宋体"/>
          <w:snapToGrid w:val="0"/>
          <w:szCs w:val="21"/>
        </w:rPr>
        <w:t xml:space="preserve"> 本协议书有效期为甲乙双方签署之日起至合同完全履行完毕之日止。</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第七条</w:t>
      </w:r>
      <w:r>
        <w:rPr>
          <w:rFonts w:hint="eastAsia" w:ascii="宋体" w:hAnsi="宋体" w:cs="宋体"/>
          <w:snapToGrid w:val="0"/>
          <w:szCs w:val="21"/>
        </w:rPr>
        <w:t xml:space="preserve"> 本协议书作为主合同的附件，与主合同具有同等的法律效力，经合同双方签署立即生效。</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bCs/>
          <w:snapToGrid w:val="0"/>
          <w:szCs w:val="21"/>
        </w:rPr>
        <w:t>第八条</w:t>
      </w:r>
      <w:r>
        <w:rPr>
          <w:rFonts w:hint="eastAsia" w:ascii="宋体" w:hAnsi="宋体" w:cs="宋体"/>
          <w:snapToGrid w:val="0"/>
          <w:szCs w:val="21"/>
        </w:rPr>
        <w:t xml:space="preserve"> 发现有违反相关要求的，可通过以下途径举报：</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（1）监督举报电话（限短信方式）：15367896029，15367896120。</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（2）举报邮箱：yygsjbyx2015@163.com。</w:t>
      </w:r>
    </w:p>
    <w:p>
      <w:pPr>
        <w:adjustRightInd w:val="0"/>
        <w:snapToGrid w:val="0"/>
        <w:spacing w:line="360" w:lineRule="auto"/>
        <w:rPr>
          <w:rFonts w:ascii="宋体" w:hAnsi="宋体" w:cs="宋体"/>
          <w:snapToGrid w:val="0"/>
          <w:szCs w:val="21"/>
          <w:u w:val="single"/>
        </w:rPr>
      </w:pPr>
      <w:r>
        <w:rPr>
          <w:rFonts w:hint="eastAsia" w:ascii="宋体" w:hAnsi="宋体" w:cs="宋体"/>
          <w:snapToGrid w:val="0"/>
          <w:szCs w:val="21"/>
        </w:rPr>
        <w:t>甲方单位：</w:t>
      </w:r>
      <w:r>
        <w:rPr>
          <w:rFonts w:hint="eastAsia" w:ascii="宋体" w:hAnsi="宋体" w:cs="宋体"/>
          <w:snapToGrid w:val="0"/>
          <w:szCs w:val="21"/>
          <w:u w:val="single"/>
        </w:rPr>
        <w:t xml:space="preserve"> （盖章）       </w:t>
      </w:r>
      <w:r>
        <w:rPr>
          <w:rFonts w:hint="eastAsia" w:ascii="宋体" w:hAnsi="宋体" w:cs="宋体"/>
          <w:snapToGrid w:val="0"/>
          <w:szCs w:val="21"/>
        </w:rPr>
        <w:t xml:space="preserve">                   乙方单位：</w:t>
      </w:r>
      <w:r>
        <w:rPr>
          <w:rFonts w:hint="eastAsia" w:ascii="宋体" w:hAnsi="宋体" w:cs="宋体"/>
          <w:snapToGrid w:val="0"/>
          <w:szCs w:val="21"/>
          <w:u w:val="single"/>
        </w:rPr>
        <w:t xml:space="preserve"> （盖章）       </w:t>
      </w:r>
    </w:p>
    <w:p>
      <w:pPr>
        <w:adjustRightInd w:val="0"/>
        <w:snapToGrid w:val="0"/>
        <w:spacing w:line="360" w:lineRule="auto"/>
        <w:rPr>
          <w:rFonts w:ascii="宋体" w:hAnsi="宋体" w:cs="宋体"/>
          <w:snapToGrid w:val="0"/>
          <w:szCs w:val="21"/>
        </w:rPr>
      </w:pPr>
      <w:r>
        <w:rPr>
          <w:rFonts w:hint="eastAsia" w:ascii="宋体" w:hAnsi="宋体" w:cs="宋体"/>
          <w:snapToGrid w:val="0"/>
          <w:szCs w:val="21"/>
        </w:rPr>
        <w:t xml:space="preserve">法定代表人或授权代理人：（签字）             法定代表人或授权代理人：（签字）     </w:t>
      </w:r>
      <w:r>
        <w:rPr>
          <w:rFonts w:hint="eastAsia" w:ascii="宋体" w:hAnsi="宋体" w:cs="宋体"/>
          <w:snapToGrid w:val="0"/>
          <w:szCs w:val="21"/>
          <w:u w:val="single"/>
        </w:rPr>
        <w:t xml:space="preserve">  </w:t>
      </w:r>
      <w:r>
        <w:rPr>
          <w:rFonts w:hint="eastAsia" w:ascii="宋体" w:hAnsi="宋体" w:cs="宋体"/>
          <w:snapToGrid w:val="0"/>
          <w:szCs w:val="21"/>
        </w:rPr>
        <w:t xml:space="preserve">        </w:t>
      </w:r>
      <w:r>
        <w:rPr>
          <w:rFonts w:hint="eastAsia" w:ascii="宋体" w:hAnsi="宋体" w:cs="宋体"/>
          <w:snapToGrid w:val="0"/>
          <w:szCs w:val="21"/>
          <w:u w:val="single"/>
        </w:rPr>
        <w:t xml:space="preserve">            </w:t>
      </w:r>
    </w:p>
    <w:p>
      <w:pPr>
        <w:adjustRightInd w:val="0"/>
        <w:snapToGrid w:val="0"/>
        <w:spacing w:line="360" w:lineRule="auto"/>
        <w:rPr>
          <w:rFonts w:ascii="宋体" w:hAnsi="宋体" w:cs="宋体"/>
          <w:snapToGrid w:val="0"/>
          <w:szCs w:val="21"/>
          <w:u w:val="single"/>
        </w:rPr>
      </w:pPr>
      <w:r>
        <w:rPr>
          <w:rFonts w:hint="eastAsia" w:ascii="宋体" w:hAnsi="宋体" w:cs="宋体"/>
          <w:snapToGrid w:val="0"/>
          <w:szCs w:val="21"/>
          <w:u w:val="single"/>
        </w:rPr>
        <w:t xml:space="preserve">                          </w:t>
      </w:r>
      <w:r>
        <w:rPr>
          <w:rFonts w:hint="eastAsia" w:ascii="宋体" w:hAnsi="宋体" w:cs="宋体"/>
          <w:snapToGrid w:val="0"/>
          <w:szCs w:val="21"/>
        </w:rPr>
        <w:t xml:space="preserve">                  </w:t>
      </w:r>
      <w:r>
        <w:rPr>
          <w:rFonts w:hint="eastAsia" w:ascii="宋体" w:hAnsi="宋体" w:cs="宋体"/>
          <w:snapToGrid w:val="0"/>
          <w:szCs w:val="21"/>
          <w:u w:val="single"/>
        </w:rPr>
        <w:t xml:space="preserve">                          </w:t>
      </w:r>
    </w:p>
    <w:p>
      <w:pPr>
        <w:adjustRightInd w:val="0"/>
        <w:snapToGrid w:val="0"/>
        <w:spacing w:line="360" w:lineRule="auto"/>
        <w:rPr>
          <w:rFonts w:ascii="宋体" w:hAnsi="宋体" w:cs="宋体"/>
          <w:snapToGrid w:val="0"/>
          <w:szCs w:val="21"/>
        </w:rPr>
        <w:sectPr>
          <w:pgSz w:w="12240" w:h="15840"/>
          <w:pgMar w:top="1440" w:right="1800" w:bottom="1440" w:left="1800" w:header="720" w:footer="720" w:gutter="0"/>
          <w:cols w:space="0" w:num="1"/>
          <w:docGrid w:type="lines" w:linePitch="312" w:charSpace="0"/>
        </w:sectPr>
      </w:pPr>
      <w:r>
        <w:rPr>
          <w:rFonts w:hint="eastAsia" w:ascii="宋体" w:hAnsi="宋体" w:cs="宋体"/>
          <w:snapToGrid w:val="0"/>
          <w:szCs w:val="21"/>
        </w:rPr>
        <w:t>电话：</w:t>
      </w:r>
      <w:r>
        <w:rPr>
          <w:rFonts w:hint="eastAsia" w:ascii="宋体" w:hAnsi="宋体" w:cs="宋体"/>
          <w:snapToGrid w:val="0"/>
          <w:szCs w:val="21"/>
          <w:u w:val="single"/>
        </w:rPr>
        <w:t xml:space="preserve">                    </w:t>
      </w:r>
      <w:r>
        <w:rPr>
          <w:rFonts w:hint="eastAsia" w:ascii="宋体" w:hAnsi="宋体" w:cs="宋体"/>
          <w:snapToGrid w:val="0"/>
          <w:szCs w:val="21"/>
        </w:rPr>
        <w:t xml:space="preserve">                   电话：</w:t>
      </w:r>
      <w:r>
        <w:rPr>
          <w:rFonts w:hint="eastAsia" w:ascii="宋体" w:hAnsi="宋体" w:cs="宋体"/>
          <w:snapToGrid w:val="0"/>
          <w:szCs w:val="21"/>
          <w:u w:val="single"/>
        </w:rPr>
        <w:t xml:space="preserve">                         </w:t>
      </w:r>
    </w:p>
    <w:p>
      <w:pPr>
        <w:adjustRightInd w:val="0"/>
        <w:snapToGrid w:val="0"/>
        <w:spacing w:line="360" w:lineRule="auto"/>
        <w:jc w:val="center"/>
        <w:rPr>
          <w:rFonts w:ascii="宋体" w:hAnsi="宋体" w:cs="宋体"/>
          <w:b/>
          <w:snapToGrid w:val="0"/>
          <w:szCs w:val="21"/>
        </w:rPr>
      </w:pPr>
      <w:bookmarkStart w:id="160" w:name="_Toc454978188"/>
      <w:bookmarkStart w:id="161" w:name="_Toc17875"/>
      <w:r>
        <w:rPr>
          <w:rFonts w:hint="eastAsia" w:ascii="宋体" w:hAnsi="宋体" w:cs="宋体"/>
          <w:b/>
          <w:snapToGrid w:val="0"/>
          <w:szCs w:val="21"/>
        </w:rPr>
        <w:t>合同附录</w:t>
      </w:r>
      <w:bookmarkEnd w:id="160"/>
      <w:bookmarkEnd w:id="161"/>
    </w:p>
    <w:p>
      <w:pPr>
        <w:adjustRightInd w:val="0"/>
        <w:snapToGrid w:val="0"/>
        <w:spacing w:line="360" w:lineRule="auto"/>
        <w:rPr>
          <w:rFonts w:ascii="宋体" w:hAnsi="宋体" w:cs="宋体"/>
          <w:b/>
          <w:snapToGrid w:val="0"/>
          <w:szCs w:val="21"/>
        </w:rPr>
      </w:pPr>
      <w:bookmarkStart w:id="162" w:name="_Toc7872"/>
      <w:bookmarkStart w:id="163" w:name="_Toc454978189"/>
      <w:r>
        <w:rPr>
          <w:rFonts w:hint="eastAsia" w:ascii="宋体" w:hAnsi="宋体" w:cs="宋体"/>
          <w:b/>
          <w:snapToGrid w:val="0"/>
          <w:szCs w:val="21"/>
        </w:rPr>
        <w:t>附录一 授权委托书（格式）</w:t>
      </w:r>
      <w:bookmarkEnd w:id="162"/>
      <w:bookmarkEnd w:id="163"/>
    </w:p>
    <w:p>
      <w:pPr>
        <w:adjustRightInd w:val="0"/>
        <w:snapToGrid w:val="0"/>
        <w:spacing w:line="360" w:lineRule="auto"/>
        <w:jc w:val="center"/>
        <w:rPr>
          <w:rFonts w:ascii="宋体" w:hAnsi="宋体" w:cs="宋体"/>
          <w:b/>
          <w:snapToGrid w:val="0"/>
          <w:szCs w:val="21"/>
        </w:rPr>
      </w:pPr>
      <w:r>
        <w:rPr>
          <w:rFonts w:hint="eastAsia" w:ascii="宋体" w:hAnsi="宋体" w:cs="宋体"/>
          <w:b/>
          <w:snapToGrid w:val="0"/>
          <w:szCs w:val="21"/>
        </w:rPr>
        <w:t>授权委托书</w:t>
      </w:r>
    </w:p>
    <w:p>
      <w:pPr>
        <w:adjustRightInd w:val="0"/>
        <w:snapToGrid w:val="0"/>
        <w:spacing w:line="360" w:lineRule="auto"/>
        <w:rPr>
          <w:rFonts w:ascii="宋体" w:hAnsi="宋体" w:cs="宋体"/>
          <w:b/>
          <w:snapToGrid w:val="0"/>
          <w:szCs w:val="21"/>
        </w:rPr>
      </w:pPr>
    </w:p>
    <w:p>
      <w:pPr>
        <w:snapToGrid w:val="0"/>
        <w:spacing w:line="360" w:lineRule="auto"/>
        <w:ind w:firstLine="420" w:firstLineChars="200"/>
        <w:rPr>
          <w:rFonts w:ascii="宋体" w:hAnsi="宋体" w:cs="宋体"/>
          <w:szCs w:val="21"/>
        </w:rPr>
      </w:pPr>
      <w:bookmarkStart w:id="164" w:name="_Toc319826226"/>
      <w:bookmarkStart w:id="165" w:name="_Toc437444977"/>
      <w:bookmarkStart w:id="166" w:name="_Toc447089455"/>
      <w:bookmarkStart w:id="167" w:name="_Toc454978190"/>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（国家名称）的</w:t>
      </w:r>
      <w:r>
        <w:rPr>
          <w:rFonts w:hint="eastAsia" w:ascii="宋体" w:hAnsi="宋体" w:cs="宋体"/>
          <w:szCs w:val="21"/>
          <w:u w:val="single"/>
        </w:rPr>
        <w:t xml:space="preserve">           </w:t>
      </w:r>
      <w:r>
        <w:rPr>
          <w:rFonts w:hint="eastAsia" w:ascii="宋体" w:hAnsi="宋体" w:cs="宋体"/>
          <w:szCs w:val="21"/>
        </w:rPr>
        <w:t>（乙方全称）在下面签字的</w:t>
      </w:r>
      <w:r>
        <w:rPr>
          <w:rFonts w:hint="eastAsia" w:ascii="宋体" w:hAnsi="宋体" w:cs="宋体"/>
          <w:szCs w:val="21"/>
          <w:u w:val="single"/>
        </w:rPr>
        <w:t xml:space="preserve">          </w:t>
      </w:r>
      <w:r>
        <w:rPr>
          <w:rFonts w:hint="eastAsia" w:ascii="宋体" w:hAnsi="宋体" w:cs="宋体"/>
          <w:szCs w:val="21"/>
        </w:rPr>
        <w:t>（法定代表人姓名、职务）代表本公司授权在下面签字的</w:t>
      </w:r>
      <w:r>
        <w:rPr>
          <w:rFonts w:hint="eastAsia" w:ascii="宋体" w:hAnsi="宋体" w:cs="宋体"/>
          <w:szCs w:val="21"/>
          <w:u w:val="single"/>
        </w:rPr>
        <w:t xml:space="preserve">   </w:t>
      </w:r>
      <w:r>
        <w:rPr>
          <w:rFonts w:hint="eastAsia" w:ascii="宋体" w:hAnsi="宋体" w:cs="宋体"/>
          <w:szCs w:val="21"/>
        </w:rPr>
        <w:t>（被授权人的姓名、职务）为本公司的合法代表，就合同编号为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合同》（以下简称“合同”）的签约、执行和质量保证期服务、售后服务期服务等，并以本公司名义处理一切与之有关的事务。</w:t>
      </w:r>
    </w:p>
    <w:p>
      <w:pPr>
        <w:snapToGrid w:val="0"/>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pPr>
        <w:snapToGrid w:val="0"/>
        <w:spacing w:line="360" w:lineRule="auto"/>
        <w:ind w:firstLine="420" w:firstLineChars="200"/>
        <w:rPr>
          <w:rFonts w:ascii="宋体" w:hAnsi="宋体" w:cs="宋体"/>
          <w:szCs w:val="21"/>
        </w:rPr>
      </w:pPr>
    </w:p>
    <w:p>
      <w:pPr>
        <w:snapToGrid w:val="0"/>
        <w:spacing w:line="360" w:lineRule="auto"/>
        <w:ind w:firstLine="420" w:firstLineChars="200"/>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r>
        <w:rPr>
          <w:rFonts w:hint="eastAsia" w:ascii="宋体" w:hAnsi="宋体" w:cs="宋体"/>
          <w:szCs w:val="21"/>
        </w:rPr>
        <w:t>授权代表（被授权人，即授权代理人）签字：</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r>
        <w:rPr>
          <w:rFonts w:hint="eastAsia" w:ascii="宋体" w:hAnsi="宋体" w:cs="宋体"/>
          <w:szCs w:val="21"/>
        </w:rPr>
        <w:t>乙方全称（公章）：</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r>
        <w:rPr>
          <w:rFonts w:hint="eastAsia" w:ascii="宋体" w:hAnsi="宋体" w:cs="宋体"/>
          <w:szCs w:val="21"/>
        </w:rPr>
        <w:t>乙方地址：</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p>
    <w:p>
      <w:pPr>
        <w:snapToGrid w:val="0"/>
        <w:spacing w:line="360" w:lineRule="auto"/>
        <w:ind w:firstLine="422" w:firstLineChars="200"/>
        <w:rPr>
          <w:rFonts w:ascii="宋体" w:hAnsi="宋体" w:cs="宋体"/>
          <w:b/>
          <w:szCs w:val="21"/>
        </w:rPr>
      </w:pPr>
      <w:r>
        <w:rPr>
          <w:rFonts w:hint="eastAsia" w:ascii="宋体" w:hAnsi="宋体" w:cs="宋体"/>
          <w:b/>
          <w:szCs w:val="21"/>
        </w:rPr>
        <w:t>附：</w:t>
      </w:r>
      <w:r>
        <w:rPr>
          <w:rFonts w:hint="eastAsia" w:ascii="宋体" w:hAnsi="宋体" w:cs="宋体"/>
          <w:szCs w:val="21"/>
        </w:rPr>
        <w:t>授权人的法定代表人证明材料复印件（加盖单位公章）、授权人和被授权人的身份证彩色影印件（加盖单位公章）</w:t>
      </w:r>
    </w:p>
    <w:p>
      <w:pPr>
        <w:adjustRightInd w:val="0"/>
        <w:snapToGrid w:val="0"/>
        <w:spacing w:line="360" w:lineRule="auto"/>
        <w:ind w:firstLine="422" w:firstLineChars="200"/>
        <w:rPr>
          <w:rFonts w:ascii="宋体" w:hAnsi="宋体" w:cs="宋体"/>
          <w:b/>
          <w:bCs/>
          <w:szCs w:val="21"/>
        </w:rPr>
        <w:sectPr>
          <w:footerReference r:id="rId13"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rPr>
          <w:rFonts w:ascii="宋体" w:hAnsi="宋体" w:cs="宋体"/>
          <w:b/>
          <w:bCs/>
          <w:snapToGrid w:val="0"/>
          <w:szCs w:val="21"/>
        </w:rPr>
      </w:pPr>
      <w:bookmarkStart w:id="168" w:name="_Toc26298"/>
      <w:r>
        <w:rPr>
          <w:rFonts w:hint="eastAsia" w:ascii="宋体" w:hAnsi="宋体" w:cs="宋体"/>
          <w:b/>
          <w:snapToGrid w:val="0"/>
          <w:szCs w:val="21"/>
        </w:rPr>
        <w:t>附录二 银行履约保函</w:t>
      </w:r>
      <w:bookmarkEnd w:id="164"/>
      <w:bookmarkEnd w:id="165"/>
      <w:r>
        <w:rPr>
          <w:rFonts w:hint="eastAsia" w:ascii="宋体" w:hAnsi="宋体" w:cs="宋体"/>
          <w:b/>
          <w:snapToGrid w:val="0"/>
          <w:szCs w:val="21"/>
        </w:rPr>
        <w:t>（格式）</w:t>
      </w:r>
      <w:bookmarkEnd w:id="166"/>
      <w:bookmarkEnd w:id="167"/>
      <w:bookmarkEnd w:id="168"/>
    </w:p>
    <w:p>
      <w:pPr>
        <w:adjustRightInd w:val="0"/>
        <w:snapToGrid w:val="0"/>
        <w:spacing w:line="360" w:lineRule="auto"/>
        <w:jc w:val="center"/>
        <w:rPr>
          <w:rFonts w:ascii="宋体" w:hAnsi="宋体" w:cs="宋体"/>
          <w:b/>
          <w:snapToGrid w:val="0"/>
          <w:szCs w:val="21"/>
        </w:rPr>
      </w:pPr>
    </w:p>
    <w:p>
      <w:pPr>
        <w:adjustRightInd w:val="0"/>
        <w:snapToGrid w:val="0"/>
        <w:spacing w:line="360" w:lineRule="auto"/>
        <w:jc w:val="center"/>
        <w:rPr>
          <w:rFonts w:ascii="宋体" w:hAnsi="宋体" w:cs="宋体"/>
          <w:snapToGrid w:val="0"/>
          <w:szCs w:val="21"/>
        </w:rPr>
      </w:pPr>
      <w:r>
        <w:rPr>
          <w:rFonts w:hint="eastAsia" w:ascii="宋体" w:hAnsi="宋体" w:cs="宋体"/>
          <w:b/>
          <w:snapToGrid w:val="0"/>
          <w:szCs w:val="21"/>
        </w:rPr>
        <w:t>银行履约保函</w:t>
      </w:r>
    </w:p>
    <w:p>
      <w:pPr>
        <w:adjustRightInd w:val="0"/>
        <w:snapToGrid w:val="0"/>
        <w:spacing w:line="360" w:lineRule="auto"/>
        <w:ind w:right="480"/>
        <w:jc w:val="right"/>
        <w:rPr>
          <w:rFonts w:ascii="宋体" w:hAnsi="宋体" w:cs="宋体"/>
          <w:snapToGrid w:val="0"/>
          <w:szCs w:val="21"/>
          <w:u w:val="single"/>
        </w:rPr>
      </w:pPr>
      <w:r>
        <w:rPr>
          <w:rFonts w:hint="eastAsia" w:ascii="宋体" w:hAnsi="宋体" w:cs="宋体"/>
          <w:snapToGrid w:val="0"/>
          <w:szCs w:val="21"/>
        </w:rPr>
        <w:t>保函编号：</w:t>
      </w:r>
      <w:r>
        <w:rPr>
          <w:rFonts w:hint="eastAsia" w:ascii="宋体" w:hAnsi="宋体" w:cs="宋体"/>
          <w:snapToGrid w:val="0"/>
          <w:szCs w:val="21"/>
          <w:u w:val="single"/>
        </w:rPr>
        <w:t xml:space="preserve">             </w:t>
      </w:r>
    </w:p>
    <w:p>
      <w:pPr>
        <w:adjustRightInd w:val="0"/>
        <w:snapToGrid w:val="0"/>
        <w:spacing w:line="360" w:lineRule="auto"/>
        <w:ind w:right="480"/>
        <w:rPr>
          <w:rFonts w:ascii="宋体" w:hAnsi="宋体" w:cs="宋体"/>
          <w:snapToGrid w:val="0"/>
          <w:szCs w:val="21"/>
        </w:rPr>
      </w:pPr>
    </w:p>
    <w:p>
      <w:pPr>
        <w:adjustRightInd w:val="0"/>
        <w:snapToGrid w:val="0"/>
        <w:spacing w:line="360" w:lineRule="auto"/>
        <w:rPr>
          <w:rFonts w:ascii="宋体" w:hAnsi="宋体" w:cs="宋体"/>
          <w:snapToGrid w:val="0"/>
          <w:szCs w:val="21"/>
        </w:rPr>
      </w:pPr>
      <w:r>
        <w:rPr>
          <w:rFonts w:hint="eastAsia" w:ascii="宋体" w:hAnsi="宋体" w:cs="宋体"/>
          <w:snapToGrid w:val="0"/>
          <w:szCs w:val="21"/>
          <w:u w:val="single"/>
        </w:rPr>
        <w:t xml:space="preserve">                      </w:t>
      </w:r>
      <w:r>
        <w:rPr>
          <w:rFonts w:hint="eastAsia" w:ascii="宋体" w:hAnsi="宋体" w:cs="宋体"/>
          <w:snapToGrid w:val="0"/>
          <w:szCs w:val="21"/>
        </w:rPr>
        <w:t>（甲方名称）：</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鉴于</w:t>
      </w:r>
      <w:r>
        <w:rPr>
          <w:rFonts w:hint="eastAsia" w:ascii="宋体" w:hAnsi="宋体" w:cs="宋体"/>
          <w:snapToGrid w:val="0"/>
          <w:szCs w:val="21"/>
          <w:u w:val="single"/>
        </w:rPr>
        <w:t xml:space="preserve">           </w:t>
      </w:r>
      <w:r>
        <w:rPr>
          <w:rFonts w:hint="eastAsia" w:ascii="宋体" w:hAnsi="宋体" w:cs="宋体"/>
          <w:snapToGrid w:val="0"/>
          <w:szCs w:val="21"/>
        </w:rPr>
        <w:t xml:space="preserve">（甲方名称，以下简称“你方”）与 </w:t>
      </w:r>
      <w:r>
        <w:rPr>
          <w:rFonts w:hint="eastAsia" w:ascii="宋体" w:hAnsi="宋体" w:cs="宋体"/>
          <w:snapToGrid w:val="0"/>
          <w:szCs w:val="21"/>
          <w:u w:val="single"/>
        </w:rPr>
        <w:t xml:space="preserve">         </w:t>
      </w:r>
      <w:r>
        <w:rPr>
          <w:rFonts w:hint="eastAsia" w:ascii="宋体" w:hAnsi="宋体" w:cs="宋体"/>
          <w:snapToGrid w:val="0"/>
          <w:szCs w:val="21"/>
        </w:rPr>
        <w:t>（乙方名称，以下简称“乙方”）于</w:t>
      </w:r>
      <w:r>
        <w:rPr>
          <w:rFonts w:hint="eastAsia" w:ascii="宋体" w:hAnsi="宋体" w:cs="宋体"/>
          <w:snapToGrid w:val="0"/>
          <w:szCs w:val="21"/>
          <w:u w:val="single"/>
        </w:rPr>
        <w:t xml:space="preserve">     </w:t>
      </w:r>
      <w:r>
        <w:rPr>
          <w:rFonts w:hint="eastAsia" w:ascii="宋体" w:hAnsi="宋体" w:cs="宋体"/>
          <w:snapToGrid w:val="0"/>
          <w:szCs w:val="21"/>
        </w:rPr>
        <w:t>年</w:t>
      </w:r>
      <w:r>
        <w:rPr>
          <w:rFonts w:hint="eastAsia" w:ascii="宋体" w:hAnsi="宋体" w:cs="宋体"/>
          <w:snapToGrid w:val="0"/>
          <w:szCs w:val="21"/>
          <w:u w:val="single"/>
        </w:rPr>
        <w:t xml:space="preserve">   </w:t>
      </w:r>
      <w:r>
        <w:rPr>
          <w:rFonts w:hint="eastAsia" w:ascii="宋体" w:hAnsi="宋体" w:cs="宋体"/>
          <w:snapToGrid w:val="0"/>
          <w:szCs w:val="21"/>
        </w:rPr>
        <w:t>月</w:t>
      </w:r>
      <w:r>
        <w:rPr>
          <w:rFonts w:hint="eastAsia" w:ascii="宋体" w:hAnsi="宋体" w:cs="宋体"/>
          <w:snapToGrid w:val="0"/>
          <w:szCs w:val="21"/>
          <w:u w:val="single"/>
        </w:rPr>
        <w:t xml:space="preserve">   </w:t>
      </w:r>
      <w:r>
        <w:rPr>
          <w:rFonts w:hint="eastAsia" w:ascii="宋体" w:hAnsi="宋体" w:cs="宋体"/>
          <w:snapToGrid w:val="0"/>
          <w:szCs w:val="21"/>
        </w:rPr>
        <w:t>日协商一致共同签订合同编号为</w:t>
      </w:r>
      <w:r>
        <w:rPr>
          <w:rFonts w:hint="eastAsia" w:ascii="宋体" w:hAnsi="宋体" w:cs="宋体"/>
          <w:snapToGrid w:val="0"/>
          <w:szCs w:val="21"/>
          <w:u w:val="single"/>
        </w:rPr>
        <w:t xml:space="preserve">          </w:t>
      </w:r>
      <w:r>
        <w:rPr>
          <w:rFonts w:hint="eastAsia" w:ascii="宋体" w:hAnsi="宋体" w:cs="宋体"/>
          <w:snapToGrid w:val="0"/>
          <w:szCs w:val="21"/>
        </w:rPr>
        <w:t>的《</w:t>
      </w:r>
      <w:r>
        <w:rPr>
          <w:rFonts w:hint="eastAsia" w:ascii="宋体" w:hAnsi="宋体" w:cs="宋体"/>
          <w:snapToGrid w:val="0"/>
          <w:szCs w:val="21"/>
          <w:u w:val="single"/>
        </w:rPr>
        <w:t xml:space="preserve">               </w:t>
      </w:r>
      <w:r>
        <w:rPr>
          <w:rFonts w:hint="eastAsia" w:ascii="宋体" w:hAnsi="宋体" w:cs="宋体"/>
          <w:snapToGrid w:val="0"/>
          <w:szCs w:val="21"/>
        </w:rPr>
        <w:t>合同》（以下简称“合同”）。 我方愿意无条件地、不可撤销地就乙方履行与你方签订的合同，向你方提供连带责任担保。</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1.担保金额为合同价格的</w:t>
      </w:r>
      <w:r>
        <w:rPr>
          <w:rFonts w:hint="eastAsia" w:ascii="宋体" w:hAnsi="宋体" w:cs="宋体"/>
          <w:snapToGrid w:val="0"/>
          <w:szCs w:val="21"/>
          <w:u w:val="single"/>
        </w:rPr>
        <w:t>10</w:t>
      </w:r>
      <w:r>
        <w:rPr>
          <w:rFonts w:hint="eastAsia" w:ascii="宋体" w:hAnsi="宋体" w:cs="宋体"/>
          <w:snapToGrid w:val="0"/>
          <w:szCs w:val="21"/>
        </w:rPr>
        <w:t>%，即人民币（大写）</w:t>
      </w:r>
      <w:r>
        <w:rPr>
          <w:rFonts w:hint="eastAsia" w:ascii="宋体" w:hAnsi="宋体" w:cs="宋体"/>
          <w:snapToGrid w:val="0"/>
          <w:szCs w:val="21"/>
          <w:u w:val="single"/>
        </w:rPr>
        <w:t xml:space="preserve">           </w:t>
      </w:r>
      <w:r>
        <w:rPr>
          <w:rFonts w:hint="eastAsia" w:ascii="宋体" w:hAnsi="宋体" w:cs="宋体"/>
          <w:snapToGrid w:val="0"/>
          <w:szCs w:val="21"/>
        </w:rPr>
        <w:t>元（小写：¥</w:t>
      </w:r>
      <w:r>
        <w:rPr>
          <w:rFonts w:hint="eastAsia" w:ascii="宋体" w:hAnsi="宋体" w:cs="宋体"/>
          <w:snapToGrid w:val="0"/>
          <w:szCs w:val="21"/>
          <w:u w:val="single"/>
        </w:rPr>
        <w:t xml:space="preserve">        </w:t>
      </w:r>
      <w:r>
        <w:rPr>
          <w:rFonts w:hint="eastAsia" w:ascii="宋体" w:hAnsi="宋体" w:cs="宋体"/>
          <w:snapToGrid w:val="0"/>
          <w:szCs w:val="21"/>
        </w:rPr>
        <w:t>）。</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2. 担保有效期自你方与乙方签订的合同生效之日起至</w:t>
      </w:r>
      <w:r>
        <w:rPr>
          <w:rFonts w:hint="eastAsia" w:ascii="宋体" w:hAnsi="宋体" w:cs="宋体"/>
          <w:snapToGrid w:val="0"/>
          <w:szCs w:val="21"/>
          <w:u w:val="single"/>
        </w:rPr>
        <w:t xml:space="preserve">      </w:t>
      </w:r>
      <w:r>
        <w:rPr>
          <w:rFonts w:hint="eastAsia" w:ascii="宋体" w:hAnsi="宋体" w:cs="宋体"/>
          <w:snapToGrid w:val="0"/>
          <w:szCs w:val="21"/>
        </w:rPr>
        <w:t>之日止。</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3.在本担保有效期内，因乙方违反合同约定的义务给你方造成经济损失时，我方在收到你方以书面形式提出的在担保金额内的赔偿要求后，在7日内无条件支付。</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4.你方和乙方按合同约定变更合同时，我方承担本担保规定的义务不变。</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5.因本保函发生的纠纷，可由双方协商解决，协商不成的，向甲方住所地有管辖权的人民法院提起诉讼。</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6.本保函自我方法定代表人或授权代理人签字并加盖公章之日起生效。</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7.本保函失效后，请将本保函正本原件退回我行注销。未经我行书面同意，本保函不可转让，我行对除需方之外的任何第三方不承担任何责任。</w:t>
      </w:r>
    </w:p>
    <w:p>
      <w:pPr>
        <w:adjustRightInd w:val="0"/>
        <w:snapToGrid w:val="0"/>
        <w:spacing w:line="360" w:lineRule="auto"/>
        <w:ind w:left="15" w:leftChars="7" w:firstLine="420" w:firstLineChars="200"/>
        <w:rPr>
          <w:rFonts w:ascii="宋体" w:hAnsi="宋体" w:cs="宋体"/>
          <w:snapToGrid w:val="0"/>
          <w:szCs w:val="21"/>
          <w:u w:val="single"/>
        </w:rPr>
      </w:pPr>
      <w:r>
        <w:rPr>
          <w:rFonts w:hint="eastAsia" w:ascii="宋体" w:hAnsi="宋体" w:cs="宋体"/>
          <w:snapToGrid w:val="0"/>
          <w:szCs w:val="21"/>
        </w:rPr>
        <w:t>担保人：</w:t>
      </w:r>
      <w:r>
        <w:rPr>
          <w:rFonts w:hint="eastAsia" w:ascii="宋体" w:hAnsi="宋体" w:cs="宋体"/>
          <w:snapToGrid w:val="0"/>
          <w:szCs w:val="21"/>
          <w:u w:val="single"/>
        </w:rPr>
        <w:t xml:space="preserve">           </w:t>
      </w:r>
      <w:r>
        <w:rPr>
          <w:rFonts w:hint="eastAsia" w:ascii="宋体" w:hAnsi="宋体" w:cs="宋体"/>
          <w:snapToGrid w:val="0"/>
          <w:szCs w:val="21"/>
        </w:rPr>
        <w:t>（盖单位章）</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法定代表人或授权代理人：</w:t>
      </w:r>
      <w:r>
        <w:rPr>
          <w:rFonts w:hint="eastAsia" w:ascii="宋体" w:hAnsi="宋体" w:cs="宋体"/>
          <w:snapToGrid w:val="0"/>
          <w:szCs w:val="21"/>
          <w:u w:val="single"/>
        </w:rPr>
        <w:t xml:space="preserve">           </w:t>
      </w:r>
      <w:r>
        <w:rPr>
          <w:rFonts w:hint="eastAsia" w:ascii="宋体" w:hAnsi="宋体" w:cs="宋体"/>
          <w:snapToGrid w:val="0"/>
          <w:szCs w:val="21"/>
        </w:rPr>
        <w:t>（签字）</w:t>
      </w:r>
    </w:p>
    <w:p>
      <w:pPr>
        <w:adjustRightInd w:val="0"/>
        <w:snapToGrid w:val="0"/>
        <w:spacing w:line="360" w:lineRule="auto"/>
        <w:ind w:left="15" w:leftChars="7" w:firstLine="420" w:firstLineChars="200"/>
        <w:rPr>
          <w:rFonts w:ascii="宋体" w:hAnsi="宋体" w:cs="宋体"/>
          <w:snapToGrid w:val="0"/>
          <w:szCs w:val="21"/>
          <w:u w:val="single"/>
        </w:rPr>
      </w:pPr>
      <w:r>
        <w:rPr>
          <w:rFonts w:hint="eastAsia" w:ascii="宋体" w:hAnsi="宋体" w:cs="宋体"/>
          <w:snapToGrid w:val="0"/>
          <w:szCs w:val="21"/>
        </w:rPr>
        <w:t>地址：</w:t>
      </w:r>
      <w:r>
        <w:rPr>
          <w:rFonts w:hint="eastAsia" w:ascii="宋体" w:hAnsi="宋体" w:cs="宋体"/>
          <w:snapToGrid w:val="0"/>
          <w:szCs w:val="21"/>
          <w:u w:val="single"/>
        </w:rPr>
        <w:t xml:space="preserve">           </w:t>
      </w:r>
    </w:p>
    <w:p>
      <w:pPr>
        <w:adjustRightInd w:val="0"/>
        <w:snapToGrid w:val="0"/>
        <w:spacing w:line="360" w:lineRule="auto"/>
        <w:ind w:left="15" w:leftChars="7" w:firstLine="420" w:firstLineChars="200"/>
        <w:rPr>
          <w:rFonts w:ascii="宋体" w:hAnsi="宋体" w:cs="宋体"/>
          <w:snapToGrid w:val="0"/>
          <w:szCs w:val="21"/>
          <w:u w:val="single"/>
        </w:rPr>
      </w:pPr>
      <w:r>
        <w:rPr>
          <w:rFonts w:hint="eastAsia" w:ascii="宋体" w:hAnsi="宋体" w:cs="宋体"/>
          <w:snapToGrid w:val="0"/>
          <w:szCs w:val="21"/>
        </w:rPr>
        <w:t>邮政编码：</w:t>
      </w:r>
      <w:r>
        <w:rPr>
          <w:rFonts w:hint="eastAsia" w:ascii="宋体" w:hAnsi="宋体" w:cs="宋体"/>
          <w:snapToGrid w:val="0"/>
          <w:szCs w:val="21"/>
          <w:u w:val="single"/>
        </w:rPr>
        <w:t xml:space="preserve">           </w:t>
      </w:r>
    </w:p>
    <w:p>
      <w:pPr>
        <w:adjustRightInd w:val="0"/>
        <w:snapToGrid w:val="0"/>
        <w:spacing w:line="360" w:lineRule="auto"/>
        <w:ind w:left="15" w:leftChars="7" w:firstLine="420" w:firstLineChars="200"/>
        <w:rPr>
          <w:rFonts w:ascii="宋体" w:hAnsi="宋体" w:cs="宋体"/>
          <w:snapToGrid w:val="0"/>
          <w:szCs w:val="21"/>
          <w:u w:val="single"/>
        </w:rPr>
      </w:pPr>
      <w:r>
        <w:rPr>
          <w:rFonts w:hint="eastAsia" w:ascii="宋体" w:hAnsi="宋体" w:cs="宋体"/>
          <w:snapToGrid w:val="0"/>
          <w:szCs w:val="21"/>
        </w:rPr>
        <w:t xml:space="preserve">电话： </w:t>
      </w:r>
      <w:r>
        <w:rPr>
          <w:rFonts w:hint="eastAsia" w:ascii="宋体" w:hAnsi="宋体" w:cs="宋体"/>
          <w:snapToGrid w:val="0"/>
          <w:szCs w:val="21"/>
          <w:u w:val="single"/>
        </w:rPr>
        <w:t xml:space="preserve">          </w:t>
      </w:r>
    </w:p>
    <w:p>
      <w:pPr>
        <w:adjustRightInd w:val="0"/>
        <w:snapToGrid w:val="0"/>
        <w:spacing w:line="360" w:lineRule="auto"/>
        <w:ind w:left="15" w:leftChars="7" w:firstLine="420" w:firstLineChars="200"/>
        <w:rPr>
          <w:rFonts w:ascii="宋体" w:hAnsi="宋体" w:cs="宋体"/>
          <w:b/>
          <w:szCs w:val="21"/>
        </w:rPr>
      </w:pPr>
      <w:r>
        <w:rPr>
          <w:rFonts w:hint="eastAsia" w:ascii="宋体" w:hAnsi="宋体" w:cs="宋体"/>
          <w:snapToGrid w:val="0"/>
          <w:szCs w:val="21"/>
        </w:rPr>
        <w:t>传真：</w:t>
      </w:r>
      <w:r>
        <w:rPr>
          <w:rFonts w:hint="eastAsia" w:ascii="宋体" w:hAnsi="宋体" w:cs="宋体"/>
          <w:snapToGrid w:val="0"/>
          <w:szCs w:val="21"/>
          <w:u w:val="single"/>
        </w:rPr>
        <w:t xml:space="preserve">          </w:t>
      </w:r>
    </w:p>
    <w:p>
      <w:pPr>
        <w:pStyle w:val="3"/>
        <w:keepNext w:val="0"/>
        <w:spacing w:line="360" w:lineRule="auto"/>
        <w:ind w:firstLine="643" w:firstLineChars="200"/>
        <w:jc w:val="both"/>
        <w:rPr>
          <w:rFonts w:ascii="宋体" w:hAnsi="宋体" w:cs="宋体"/>
          <w:bCs w:val="0"/>
          <w:sz w:val="32"/>
          <w:szCs w:val="32"/>
        </w:rPr>
        <w:sectPr>
          <w:pgSz w:w="12240" w:h="15840"/>
          <w:pgMar w:top="1440" w:right="1800" w:bottom="1440" w:left="1800" w:header="720" w:footer="720" w:gutter="0"/>
          <w:cols w:space="720" w:num="1"/>
          <w:titlePg/>
          <w:docGrid w:type="lines" w:linePitch="323" w:charSpace="0"/>
        </w:sectPr>
      </w:pPr>
      <w:bookmarkStart w:id="169" w:name="_Toc7480"/>
    </w:p>
    <w:p>
      <w:pPr>
        <w:pStyle w:val="3"/>
        <w:keepNext w:val="0"/>
        <w:rPr>
          <w:rFonts w:ascii="宋体" w:hAnsi="宋体" w:cs="宋体"/>
          <w:bCs w:val="0"/>
          <w:sz w:val="32"/>
          <w:szCs w:val="32"/>
        </w:rPr>
      </w:pPr>
      <w:r>
        <w:rPr>
          <w:rFonts w:hint="eastAsia" w:ascii="宋体" w:hAnsi="宋体" w:cs="宋体"/>
          <w:bCs w:val="0"/>
          <w:sz w:val="32"/>
          <w:szCs w:val="32"/>
        </w:rPr>
        <w:t>第六章 响应文件组成</w:t>
      </w:r>
      <w:bookmarkEnd w:id="169"/>
    </w:p>
    <w:p>
      <w:pPr>
        <w:jc w:val="center"/>
        <w:rPr>
          <w:rFonts w:ascii="宋体" w:hAnsi="宋体" w:cs="宋体"/>
          <w:b/>
        </w:rPr>
      </w:pPr>
    </w:p>
    <w:p>
      <w:pPr>
        <w:jc w:val="center"/>
        <w:rPr>
          <w:rFonts w:ascii="宋体" w:hAnsi="宋体" w:cs="宋体"/>
          <w:b/>
        </w:rPr>
      </w:pPr>
      <w:r>
        <w:rPr>
          <w:rFonts w:ascii="宋体" w:hAnsi="宋体" w:cs="宋体"/>
        </w:rPr>
        <w:pict>
          <v:shape id="Quad Arrow 2" o:spid="_x0000_s1041" o:spt="202" type="#_x0000_t202" style="position:absolute;left:0pt;margin-left:333pt;margin-top:0pt;height:33pt;width:87.75pt;z-index:1024;mso-width-relative:page;mso-height-relative:page;" o:preferrelative="t" coordsize="21600,2160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jc w:val="center"/>
        <w:rPr>
          <w:rFonts w:ascii="宋体" w:hAnsi="宋体" w:cs="宋体"/>
          <w:b/>
          <w:bCs/>
          <w:sz w:val="52"/>
          <w:szCs w:val="52"/>
        </w:rPr>
      </w:pPr>
    </w:p>
    <w:p>
      <w:pPr>
        <w:adjustRightInd w:val="0"/>
        <w:snapToGrid w:val="0"/>
        <w:spacing w:line="400" w:lineRule="atLeast"/>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400" w:lineRule="atLeast"/>
        <w:jc w:val="center"/>
        <w:rPr>
          <w:rFonts w:ascii="宋体" w:hAnsi="宋体" w:cs="宋体"/>
          <w:b/>
          <w:bCs/>
          <w:sz w:val="52"/>
          <w:szCs w:val="52"/>
        </w:rPr>
      </w:pPr>
      <w:r>
        <w:rPr>
          <w:rFonts w:hint="eastAsia" w:ascii="宋体" w:hAnsi="宋体" w:cs="宋体"/>
          <w:b/>
          <w:bCs/>
          <w:sz w:val="52"/>
          <w:szCs w:val="52"/>
        </w:rPr>
        <w:t>响应文件</w:t>
      </w:r>
    </w:p>
    <w:p>
      <w:pPr>
        <w:pStyle w:val="25"/>
        <w:rPr>
          <w:rFonts w:hAnsi="宋体" w:cs="宋体"/>
          <w:b/>
          <w:sz w:val="32"/>
          <w:szCs w:val="32"/>
        </w:rPr>
      </w:pPr>
    </w:p>
    <w:p>
      <w:pPr>
        <w:pStyle w:val="25"/>
        <w:rPr>
          <w:rFonts w:hAnsi="宋体" w:cs="宋体"/>
          <w:b/>
          <w:sz w:val="32"/>
          <w:szCs w:val="32"/>
        </w:rPr>
      </w:pPr>
    </w:p>
    <w:p>
      <w:pPr>
        <w:pStyle w:val="25"/>
        <w:adjustRightInd w:val="0"/>
        <w:snapToGrid w:val="0"/>
        <w:spacing w:line="360" w:lineRule="auto"/>
        <w:rPr>
          <w:rFonts w:hAnsi="宋体" w:cs="宋体"/>
          <w:b/>
          <w:bCs/>
          <w:sz w:val="32"/>
          <w:szCs w:val="32"/>
          <w:u w:val="single"/>
        </w:rPr>
      </w:pPr>
      <w:r>
        <w:rPr>
          <w:rFonts w:hint="eastAsia" w:hAnsi="宋体" w:cs="宋体"/>
          <w:b/>
          <w:bCs/>
          <w:sz w:val="32"/>
          <w:szCs w:val="32"/>
        </w:rPr>
        <w:t>谈判项目名称：</w:t>
      </w:r>
      <w:r>
        <w:rPr>
          <w:rFonts w:hint="eastAsia" w:hAnsi="宋体" w:cs="宋体"/>
          <w:sz w:val="32"/>
          <w:szCs w:val="32"/>
          <w:u w:val="single"/>
        </w:rPr>
        <w:t xml:space="preserve">                      </w:t>
      </w: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jc w:val="center"/>
        <w:rPr>
          <w:rFonts w:hAnsi="宋体" w:cs="宋体"/>
          <w:b/>
          <w:bCs/>
          <w:sz w:val="32"/>
          <w:szCs w:val="32"/>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auto"/>
        <w:rPr>
          <w:rFonts w:ascii="宋体" w:hAnsi="宋体" w:cs="宋体"/>
          <w:b/>
          <w:sz w:val="44"/>
          <w:szCs w:val="44"/>
        </w:rPr>
        <w:sectPr>
          <w:pgSz w:w="12240" w:h="15840"/>
          <w:pgMar w:top="1440" w:right="1800" w:bottom="1440" w:left="1800" w:header="720" w:footer="720" w:gutter="0"/>
          <w:cols w:space="720" w:num="1"/>
          <w:titlePg/>
          <w:docGrid w:type="lines" w:linePitch="323"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3"/>
        <w:rPr>
          <w:rFonts w:ascii="宋体" w:hAnsi="宋体" w:cs="宋体"/>
        </w:rPr>
      </w:pPr>
    </w:p>
    <w:p>
      <w:pPr>
        <w:adjustRightInd w:val="0"/>
        <w:snapToGrid w:val="0"/>
        <w:spacing w:line="360" w:lineRule="auto"/>
        <w:ind w:firstLine="420" w:firstLineChars="200"/>
        <w:rPr>
          <w:rFonts w:ascii="宋体" w:hAnsi="宋体" w:cs="宋体"/>
          <w:szCs w:val="21"/>
        </w:rPr>
      </w:pPr>
      <w:bookmarkStart w:id="170" w:name="_Toc29299"/>
      <w:r>
        <w:rPr>
          <w:rFonts w:hint="eastAsia" w:ascii="宋体" w:hAnsi="宋体" w:cs="宋体"/>
          <w:szCs w:val="21"/>
        </w:rPr>
        <w:t>一、谈判承诺书</w:t>
      </w:r>
      <w:bookmarkEnd w:id="170"/>
    </w:p>
    <w:p>
      <w:pPr>
        <w:adjustRightInd w:val="0"/>
        <w:snapToGrid w:val="0"/>
        <w:spacing w:line="360" w:lineRule="auto"/>
        <w:ind w:firstLine="420" w:firstLineChars="200"/>
        <w:jc w:val="left"/>
        <w:rPr>
          <w:rFonts w:ascii="宋体" w:hAnsi="宋体" w:cs="宋体"/>
          <w:szCs w:val="21"/>
        </w:rPr>
      </w:pPr>
      <w:bookmarkStart w:id="171" w:name="_Toc10964"/>
      <w:r>
        <w:rPr>
          <w:rFonts w:hint="eastAsia" w:ascii="宋体" w:hAnsi="宋体" w:cs="宋体"/>
          <w:szCs w:val="21"/>
        </w:rPr>
        <w:t>二、法定代表人身份证明书</w:t>
      </w:r>
      <w:bookmarkEnd w:id="171"/>
    </w:p>
    <w:p>
      <w:pPr>
        <w:adjustRightInd w:val="0"/>
        <w:snapToGrid w:val="0"/>
        <w:spacing w:line="360" w:lineRule="auto"/>
        <w:ind w:firstLine="420" w:firstLineChars="200"/>
        <w:jc w:val="left"/>
        <w:rPr>
          <w:rFonts w:ascii="宋体" w:hAnsi="宋体" w:cs="宋体"/>
          <w:szCs w:val="21"/>
        </w:rPr>
      </w:pPr>
      <w:bookmarkStart w:id="172" w:name="_Toc13026"/>
      <w:r>
        <w:rPr>
          <w:rFonts w:hint="eastAsia" w:ascii="宋体" w:hAnsi="宋体" w:cs="宋体"/>
          <w:szCs w:val="21"/>
        </w:rPr>
        <w:t>三、授权委托书</w:t>
      </w:r>
      <w:bookmarkEnd w:id="172"/>
    </w:p>
    <w:p>
      <w:pPr>
        <w:adjustRightInd w:val="0"/>
        <w:snapToGrid w:val="0"/>
        <w:spacing w:line="360" w:lineRule="auto"/>
        <w:ind w:firstLine="420" w:firstLineChars="200"/>
        <w:jc w:val="left"/>
        <w:rPr>
          <w:rFonts w:ascii="宋体" w:hAnsi="宋体" w:cs="宋体"/>
          <w:szCs w:val="21"/>
        </w:rPr>
      </w:pPr>
      <w:bookmarkStart w:id="173" w:name="_Toc1497"/>
      <w:r>
        <w:rPr>
          <w:rFonts w:hint="eastAsia" w:ascii="宋体" w:hAnsi="宋体" w:cs="宋体"/>
          <w:szCs w:val="21"/>
        </w:rPr>
        <w:t>四、谈判单位资格条件证明文件</w:t>
      </w:r>
      <w:bookmarkEnd w:id="173"/>
    </w:p>
    <w:p>
      <w:pPr>
        <w:adjustRightInd w:val="0"/>
        <w:snapToGrid w:val="0"/>
        <w:spacing w:line="360" w:lineRule="auto"/>
        <w:ind w:firstLine="420" w:firstLineChars="200"/>
        <w:rPr>
          <w:rFonts w:ascii="宋体" w:hAnsi="宋体" w:cs="宋体"/>
          <w:szCs w:val="21"/>
        </w:rPr>
      </w:pPr>
      <w:bookmarkStart w:id="174" w:name="_Toc3969"/>
      <w:r>
        <w:rPr>
          <w:rFonts w:hint="eastAsia" w:ascii="宋体" w:hAnsi="宋体" w:cs="宋体"/>
          <w:szCs w:val="21"/>
        </w:rPr>
        <w:t>五、</w:t>
      </w:r>
      <w:r>
        <w:rPr>
          <w:rFonts w:hint="eastAsia" w:ascii="宋体" w:hAnsi="宋体" w:cs="宋体"/>
          <w:bCs/>
          <w:szCs w:val="21"/>
        </w:rPr>
        <w:t>服务方案</w:t>
      </w:r>
      <w:bookmarkEnd w:id="174"/>
      <w:r>
        <w:rPr>
          <w:rFonts w:hint="eastAsia" w:ascii="宋体" w:hAnsi="宋体" w:cs="宋体"/>
          <w:bCs/>
          <w:szCs w:val="21"/>
        </w:rPr>
        <w:t>（如有）</w:t>
      </w:r>
    </w:p>
    <w:p>
      <w:pPr>
        <w:adjustRightInd w:val="0"/>
        <w:snapToGrid w:val="0"/>
        <w:spacing w:line="360" w:lineRule="auto"/>
        <w:ind w:firstLine="420" w:firstLineChars="200"/>
        <w:jc w:val="left"/>
        <w:rPr>
          <w:rFonts w:ascii="宋体" w:hAnsi="宋体" w:cs="宋体"/>
          <w:szCs w:val="21"/>
        </w:rPr>
      </w:pPr>
      <w:bookmarkStart w:id="175" w:name="_Toc24332"/>
      <w:r>
        <w:rPr>
          <w:rFonts w:hint="eastAsia" w:ascii="宋体" w:hAnsi="宋体" w:cs="宋体"/>
          <w:szCs w:val="21"/>
        </w:rPr>
        <w:t>六、报价一览表</w:t>
      </w:r>
      <w:bookmarkEnd w:id="175"/>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七、分项报价表</w:t>
      </w:r>
    </w:p>
    <w:p>
      <w:pPr>
        <w:adjustRightInd w:val="0"/>
        <w:snapToGrid w:val="0"/>
        <w:spacing w:line="360" w:lineRule="auto"/>
        <w:ind w:firstLine="420" w:firstLineChars="200"/>
        <w:jc w:val="left"/>
        <w:rPr>
          <w:rFonts w:ascii="宋体" w:hAnsi="宋体" w:cs="宋体"/>
          <w:szCs w:val="21"/>
        </w:rPr>
      </w:pPr>
      <w:bookmarkStart w:id="176" w:name="_Toc3668"/>
      <w:r>
        <w:rPr>
          <w:rFonts w:hint="eastAsia" w:ascii="宋体" w:hAnsi="宋体" w:cs="宋体"/>
          <w:szCs w:val="21"/>
        </w:rPr>
        <w:t>八、</w:t>
      </w:r>
      <w:bookmarkEnd w:id="176"/>
      <w:r>
        <w:rPr>
          <w:rFonts w:hint="eastAsia" w:ascii="宋体" w:hAnsi="宋体" w:cs="宋体"/>
          <w:szCs w:val="21"/>
        </w:rPr>
        <w:t>其他资料（如有）</w:t>
      </w:r>
    </w:p>
    <w:p>
      <w:pPr>
        <w:ind w:firstLine="480" w:firstLineChars="200"/>
        <w:jc w:val="center"/>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一、谈判承诺书</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致(采购单位)：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项目名称)的竞争性谈判文件（谈判项目编号：</w:t>
      </w:r>
      <w:r>
        <w:rPr>
          <w:rFonts w:hint="eastAsia" w:ascii="宋体" w:hAnsi="宋体" w:cs="宋体"/>
          <w:szCs w:val="21"/>
          <w:u w:val="single"/>
        </w:rPr>
        <w:t xml:space="preserve">                 </w:t>
      </w:r>
      <w:r>
        <w:rPr>
          <w:rFonts w:hint="eastAsia" w:ascii="宋体" w:hAnsi="宋体" w:cs="宋体"/>
          <w:szCs w:val="21"/>
        </w:rPr>
        <w:t>）的全部内容，</w:t>
      </w:r>
      <w:r>
        <w:rPr>
          <w:rFonts w:hint="eastAsia" w:ascii="宋体" w:hAnsi="宋体" w:cs="宋体"/>
        </w:rPr>
        <w:t>知悉参加竞争性谈判的风险，我方承诺接受谈判文件的全部条款且无任何异议。</w:t>
      </w:r>
    </w:p>
    <w:p>
      <w:pPr>
        <w:pStyle w:val="25"/>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5"/>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日历天(响应文件有效期)遵守本响应文件中的承诺且在此期限期满之前均具有法律约束力。</w:t>
      </w:r>
    </w:p>
    <w:p>
      <w:pPr>
        <w:pStyle w:val="25"/>
        <w:adjustRightInd w:val="0"/>
        <w:snapToGrid w:val="0"/>
        <w:spacing w:line="360" w:lineRule="auto"/>
        <w:ind w:firstLine="420" w:firstLineChars="200"/>
        <w:rPr>
          <w:rFonts w:hint="eastAsia" w:hAnsi="宋体" w:cs="宋体"/>
        </w:rPr>
      </w:pPr>
      <w:r>
        <w:rPr>
          <w:rFonts w:hint="eastAsia" w:hAnsi="宋体" w:cs="宋体"/>
        </w:rPr>
        <w:t>三、我方提交的响应文件均为正本</w:t>
      </w:r>
      <w:r>
        <w:rPr>
          <w:rFonts w:hint="eastAsia" w:hAnsi="宋体" w:cs="宋体"/>
          <w:u w:val="single"/>
          <w:lang w:val="en-US" w:eastAsia="zh-CN"/>
        </w:rPr>
        <w:t xml:space="preserve">   </w:t>
      </w:r>
      <w:r>
        <w:rPr>
          <w:rFonts w:hint="eastAsia" w:hAnsi="宋体" w:cs="宋体"/>
        </w:rPr>
        <w:t>份和副本</w:t>
      </w:r>
      <w:r>
        <w:rPr>
          <w:rFonts w:hint="eastAsia" w:hAnsi="宋体" w:cs="宋体"/>
          <w:u w:val="single"/>
          <w:lang w:val="en-US" w:eastAsia="zh-CN"/>
        </w:rPr>
        <w:t xml:space="preserve">   </w:t>
      </w:r>
      <w:r>
        <w:rPr>
          <w:rFonts w:hint="eastAsia" w:hAnsi="宋体" w:cs="宋体"/>
        </w:rPr>
        <w:t>份，电子文件（包括响应文件全部内容）</w:t>
      </w:r>
    </w:p>
    <w:p>
      <w:pPr>
        <w:pStyle w:val="25"/>
        <w:adjustRightInd w:val="0"/>
        <w:snapToGrid w:val="0"/>
        <w:spacing w:line="360" w:lineRule="auto"/>
        <w:rPr>
          <w:rFonts w:hAnsi="宋体" w:cs="宋体"/>
          <w:bCs/>
        </w:rPr>
      </w:pPr>
      <w:r>
        <w:rPr>
          <w:rFonts w:hint="eastAsia" w:hAnsi="宋体" w:cs="宋体"/>
          <w:u w:val="single"/>
          <w:lang w:val="en-US" w:eastAsia="zh-CN"/>
        </w:rPr>
        <w:t xml:space="preserve">   </w:t>
      </w:r>
      <w:r>
        <w:rPr>
          <w:rFonts w:hint="eastAsia" w:hAnsi="宋体" w:cs="宋体"/>
        </w:rPr>
        <w:t>份，并保证响应文件提供的数据和材料是真实、准确的，且无低于成本的恶意报价行为。否则，愿承担由此引起的一切</w:t>
      </w:r>
      <w:r>
        <w:rPr>
          <w:rFonts w:hint="eastAsia" w:hAnsi="宋体" w:cs="宋体"/>
          <w:bCs/>
        </w:rPr>
        <w:t>法律责任。</w:t>
      </w:r>
    </w:p>
    <w:p>
      <w:pPr>
        <w:pStyle w:val="25"/>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5"/>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十、我方承诺完全响应本文件第四章“用户需求书”及第五章“合同格式条款”内的全部内容。</w:t>
      </w:r>
    </w:p>
    <w:p>
      <w:pPr>
        <w:spacing w:line="360" w:lineRule="auto"/>
        <w:ind w:firstLine="420" w:firstLineChars="200"/>
        <w:rPr>
          <w:rFonts w:ascii="宋体" w:hAnsi="宋体" w:cs="宋体"/>
        </w:rPr>
      </w:pPr>
      <w:r>
        <w:rPr>
          <w:rFonts w:hint="eastAsia" w:ascii="宋体" w:hAnsi="宋体" w:cs="宋体"/>
        </w:rPr>
        <w:t>十一、如有违反本承诺书内容的行为，愿意承担由此产生的法律责任及后果。</w:t>
      </w:r>
    </w:p>
    <w:p>
      <w:pPr>
        <w:adjustRightInd w:val="0"/>
        <w:snapToGrid w:val="0"/>
        <w:spacing w:line="360" w:lineRule="auto"/>
        <w:ind w:right="24" w:firstLine="420" w:firstLineChars="200"/>
        <w:rPr>
          <w:rFonts w:ascii="宋体" w:hAnsi="宋体" w:cs="宋体"/>
          <w:bCs/>
          <w:szCs w:val="21"/>
        </w:rPr>
      </w:pPr>
    </w:p>
    <w:p>
      <w:pPr>
        <w:pStyle w:val="25"/>
        <w:adjustRightInd w:val="0"/>
        <w:snapToGrid w:val="0"/>
        <w:spacing w:line="360" w:lineRule="auto"/>
        <w:ind w:firstLine="420" w:firstLineChars="200"/>
        <w:rPr>
          <w:rFonts w:hAnsi="宋体" w:cs="宋体"/>
        </w:rPr>
      </w:pPr>
    </w:p>
    <w:p>
      <w:pPr>
        <w:spacing w:line="360" w:lineRule="auto"/>
        <w:ind w:firstLine="420" w:firstLineChars="200"/>
        <w:rPr>
          <w:rFonts w:ascii="宋体" w:hAnsi="宋体" w:cs="宋体"/>
          <w:u w:val="single"/>
        </w:rPr>
      </w:pPr>
      <w:r>
        <w:rPr>
          <w:rFonts w:hint="eastAsia" w:ascii="宋体" w:hAnsi="宋体" w:cs="宋体"/>
        </w:rPr>
        <w:t>谈判单位名称：</w:t>
      </w:r>
      <w:r>
        <w:rPr>
          <w:rFonts w:hint="eastAsia" w:ascii="宋体" w:hAnsi="宋体" w:cs="宋体"/>
          <w:u w:val="single"/>
        </w:rPr>
        <w:t xml:space="preserve">    （盖单位章）    </w:t>
      </w:r>
    </w:p>
    <w:p>
      <w:pPr>
        <w:spacing w:line="360" w:lineRule="auto"/>
        <w:ind w:firstLine="420" w:firstLineChars="200"/>
        <w:rPr>
          <w:rFonts w:ascii="宋体" w:hAnsi="宋体" w:cs="宋体"/>
          <w:szCs w:val="21"/>
        </w:rPr>
      </w:pPr>
      <w:r>
        <w:rPr>
          <w:rFonts w:hint="eastAsia" w:ascii="宋体" w:hAnsi="宋体" w:cs="宋体"/>
          <w:szCs w:val="21"/>
        </w:rPr>
        <w:t>法定</w:t>
      </w:r>
      <w:r>
        <w:rPr>
          <w:rFonts w:hint="eastAsia" w:ascii="宋体" w:hAnsi="宋体" w:cs="宋体"/>
        </w:rPr>
        <w:t>代表</w:t>
      </w:r>
      <w:r>
        <w:rPr>
          <w:rFonts w:hint="eastAsia" w:ascii="宋体" w:hAnsi="宋体" w:cs="宋体"/>
          <w:szCs w:val="21"/>
        </w:rPr>
        <w:t>人(签字或盖章)：</w:t>
      </w:r>
      <w:r>
        <w:rPr>
          <w:rFonts w:hint="eastAsia" w:ascii="宋体" w:hAnsi="宋体" w:cs="宋体"/>
          <w:szCs w:val="21"/>
          <w:u w:val="single"/>
        </w:rPr>
        <w:t xml:space="preserve">               </w:t>
      </w:r>
    </w:p>
    <w:p>
      <w:pPr>
        <w:spacing w:line="360" w:lineRule="auto"/>
        <w:ind w:firstLine="420" w:firstLineChars="200"/>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rPr>
          <w:rFonts w:ascii="宋体" w:hAnsi="宋体" w:cs="宋体"/>
          <w:b/>
          <w:sz w:val="32"/>
          <w:szCs w:val="32"/>
        </w:rPr>
      </w:pPr>
      <w:r>
        <w:rPr>
          <w:rFonts w:hint="eastAsia" w:ascii="宋体" w:hAnsi="宋体" w:cs="宋体"/>
          <w:b/>
          <w:sz w:val="32"/>
          <w:szCs w:val="32"/>
        </w:rPr>
        <w:t>二、法定代表人身份证明书</w:t>
      </w:r>
    </w:p>
    <w:p>
      <w:pPr>
        <w:snapToGrid w:val="0"/>
        <w:spacing w:line="480" w:lineRule="auto"/>
        <w:rPr>
          <w:rFonts w:ascii="宋体" w:hAnsi="宋体" w:cs="宋体"/>
          <w:szCs w:val="21"/>
        </w:rPr>
      </w:pPr>
    </w:p>
    <w:p>
      <w:pPr>
        <w:autoSpaceDE w:val="0"/>
        <w:autoSpaceDN w:val="0"/>
        <w:adjustRightInd w:val="0"/>
        <w:snapToGrid w:val="0"/>
        <w:spacing w:before="161"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61"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61"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ascii="宋体" w:hAnsi="宋体" w:cs="宋体"/>
          <w:szCs w:val="21"/>
        </w:rPr>
        <w:pict>
          <v:rect id="Rectangle 7" o:spid="_x0000_s1042" o:spt="1" style="position:absolute;left:0pt;margin-left:222.1pt;margin-top:11.5pt;height:96.15pt;width:185.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cs="宋体"/>
          <w:szCs w:val="21"/>
        </w:rPr>
        <w:pict>
          <v:rect id="Rectangle 6" o:spid="_x0000_s1043" o:spt="1" style="position:absolute;left:0pt;margin-left:-8.8pt;margin-top:11.5pt;height:96.15pt;width:185.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rPr>
          <w:rFonts w:ascii="宋体" w:hAnsi="宋体" w:cs="宋体"/>
          <w:b/>
          <w:sz w:val="32"/>
          <w:szCs w:val="32"/>
        </w:rPr>
      </w:pPr>
      <w:r>
        <w:rPr>
          <w:rFonts w:hint="eastAsia" w:ascii="宋体" w:hAnsi="宋体" w:cs="宋体"/>
          <w:bCs/>
          <w:sz w:val="24"/>
        </w:rPr>
        <w:br w:type="page"/>
      </w:r>
      <w:r>
        <w:rPr>
          <w:rFonts w:hint="eastAsia" w:ascii="宋体" w:hAnsi="宋体" w:cs="宋体"/>
          <w:b/>
          <w:sz w:val="32"/>
          <w:szCs w:val="32"/>
        </w:rPr>
        <w:t>三、授权委托书</w:t>
      </w:r>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本授权书于年月日签字生效，特此声明。</w:t>
      </w:r>
    </w:p>
    <w:p>
      <w:pPr>
        <w:adjustRightInd w:val="0"/>
        <w:snapToGrid w:val="0"/>
        <w:spacing w:before="161" w:beforeLines="50" w:line="360" w:lineRule="auto"/>
        <w:ind w:firstLine="420" w:firstLineChars="200"/>
        <w:rPr>
          <w:rFonts w:ascii="宋体" w:hAnsi="宋体" w:cs="宋体"/>
          <w:szCs w:val="21"/>
        </w:rPr>
      </w:pPr>
      <w:r>
        <w:rPr>
          <w:rFonts w:ascii="宋体" w:hAnsi="宋体" w:cs="宋体"/>
          <w:szCs w:val="21"/>
        </w:rPr>
        <w:pict>
          <v:rect id="Rectangle 5" o:spid="_x0000_s1044" o:spt="1" style="position:absolute;left:0pt;margin-left:-9pt;margin-top:1.45pt;height:102.35pt;width:111.1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cs="宋体"/>
          <w:szCs w:val="21"/>
        </w:rPr>
        <w:pict>
          <v:rect id="Rectangle 4" o:spid="_x0000_s1045" o:spt="1" style="position:absolute;left:0pt;margin-left:272.1pt;margin-top:0.3pt;height:100.1pt;width:122.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w:r>
      <w:r>
        <w:rPr>
          <w:rFonts w:ascii="宋体" w:hAnsi="宋体" w:cs="宋体"/>
          <w:szCs w:val="21"/>
        </w:rPr>
        <w:pict>
          <v:rect id="Rectangle 3" o:spid="_x0000_s1046" o:spt="1" style="position:absolute;left:0pt;flip:x;margin-left:133.45pt;margin-top:1.35pt;height:100.65pt;width:112.8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2240" w:h="15840"/>
          <w:pgMar w:top="1440" w:right="1800" w:bottom="1440" w:left="1800" w:header="720" w:footer="720" w:gutter="0"/>
          <w:cols w:space="720" w:num="1"/>
          <w:titlePg/>
          <w:docGrid w:type="lines" w:linePitch="323"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80" w:lineRule="exact"/>
        <w:jc w:val="center"/>
        <w:rPr>
          <w:rFonts w:ascii="宋体" w:hAnsi="宋体" w:cs="宋体"/>
          <w:sz w:val="32"/>
          <w:szCs w:val="32"/>
        </w:rPr>
      </w:pPr>
      <w:r>
        <w:rPr>
          <w:rFonts w:hint="eastAsia" w:ascii="宋体" w:hAnsi="宋体" w:cs="宋体"/>
          <w:b/>
          <w:sz w:val="32"/>
          <w:szCs w:val="32"/>
        </w:rPr>
        <w:t>四、谈判单位资格证明文件</w:t>
      </w:r>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根据本谈判文件</w:t>
      </w:r>
      <w:r>
        <w:rPr>
          <w:rFonts w:hint="eastAsia" w:ascii="宋体" w:hAnsi="宋体" w:cs="宋体"/>
          <w:b/>
          <w:bCs/>
          <w:szCs w:val="21"/>
        </w:rPr>
        <w:t>前附表</w:t>
      </w:r>
      <w:r>
        <w:rPr>
          <w:rFonts w:hint="eastAsia" w:ascii="宋体" w:hAnsi="宋体" w:cs="宋体"/>
          <w:bCs/>
          <w:szCs w:val="21"/>
        </w:rPr>
        <w:t>内的资格要求，</w:t>
      </w:r>
      <w:r>
        <w:rPr>
          <w:rFonts w:hint="eastAsia" w:ascii="宋体" w:hAnsi="宋体"/>
          <w:bCs/>
          <w:szCs w:val="21"/>
        </w:rPr>
        <w:t>本章节须附下列证明文件复印件</w:t>
      </w:r>
      <w:r>
        <w:rPr>
          <w:rFonts w:hint="eastAsia" w:ascii="宋体" w:hAnsi="宋体" w:cs="宋体"/>
          <w:bCs/>
          <w:szCs w:val="21"/>
        </w:rPr>
        <w:t>：</w:t>
      </w:r>
    </w:p>
    <w:p>
      <w:pPr>
        <w:spacing w:line="360" w:lineRule="auto"/>
        <w:ind w:firstLine="420" w:firstLineChars="200"/>
        <w:rPr>
          <w:rFonts w:ascii="宋体" w:hAnsi="宋体" w:cs="宋体"/>
          <w:iCs/>
        </w:rPr>
      </w:pPr>
      <w:r>
        <w:rPr>
          <w:rFonts w:hint="eastAsia" w:ascii="宋体" w:hAnsi="宋体" w:cs="宋体"/>
          <w:iCs/>
        </w:rPr>
        <w:t>1.</w:t>
      </w:r>
      <w:r>
        <w:rPr>
          <w:rFonts w:hint="eastAsia" w:ascii="宋体" w:hAnsi="宋体"/>
          <w:iCs/>
        </w:rPr>
        <w:t>须提供营业执照副本复印件（须加盖谈判单位公章）；</w:t>
      </w:r>
    </w:p>
    <w:p>
      <w:pPr>
        <w:spacing w:line="360" w:lineRule="auto"/>
        <w:ind w:firstLine="420" w:firstLineChars="200"/>
        <w:rPr>
          <w:rFonts w:ascii="宋体" w:hAnsi="宋体" w:cs="宋体"/>
          <w:szCs w:val="21"/>
        </w:rPr>
      </w:pPr>
      <w:r>
        <w:rPr>
          <w:rFonts w:hint="eastAsia" w:ascii="宋体" w:hAnsi="宋体" w:cs="宋体"/>
          <w:iCs/>
        </w:rPr>
        <w:t>2.</w:t>
      </w:r>
      <w:r>
        <w:rPr>
          <w:rFonts w:hint="eastAsia" w:ascii="宋体" w:hAnsi="宋体" w:cs="宋体"/>
          <w:color w:val="000000"/>
        </w:rPr>
        <w:t>须提供国家交通运输部公布的研发中心认定结果通知文件的复印件，并</w:t>
      </w:r>
      <w:r>
        <w:rPr>
          <w:rFonts w:hint="eastAsia" w:ascii="宋体" w:hAnsi="宋体" w:cs="宋体"/>
          <w:szCs w:val="21"/>
        </w:rPr>
        <w:t>加盖谈判单位公章；</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rPr>
        <w:t>须提供所投产品（模拟驾驶器）经国家认监委认可的第三方检验机构出具的检验报告复印件，</w:t>
      </w:r>
      <w:r>
        <w:rPr>
          <w:rFonts w:hint="eastAsia" w:ascii="宋体" w:hAnsi="宋体" w:cs="宋体"/>
          <w:color w:val="000000"/>
        </w:rPr>
        <w:t>并</w:t>
      </w:r>
      <w:r>
        <w:rPr>
          <w:rFonts w:hint="eastAsia" w:ascii="宋体" w:hAnsi="宋体" w:cs="宋体"/>
          <w:szCs w:val="21"/>
        </w:rPr>
        <w:t>加盖谈判单位公章；</w:t>
      </w:r>
    </w:p>
    <w:p>
      <w:pPr>
        <w:pStyle w:val="13"/>
        <w:spacing w:line="360" w:lineRule="auto"/>
        <w:ind w:left="0" w:leftChars="0" w:firstLine="420" w:firstLineChars="200"/>
        <w:rPr>
          <w:rFonts w:ascii="宋体" w:hAnsi="宋体" w:cs="宋体"/>
          <w:szCs w:val="21"/>
        </w:rPr>
      </w:pPr>
      <w:r>
        <w:rPr>
          <w:rFonts w:hint="eastAsia" w:ascii="宋体" w:hAnsi="宋体" w:cs="宋体"/>
          <w:szCs w:val="21"/>
        </w:rPr>
        <w:t>4.谈判单位</w:t>
      </w:r>
      <w:r>
        <w:rPr>
          <w:rFonts w:hint="eastAsia" w:ascii="宋体" w:hAnsi="宋体" w:cs="宋体"/>
        </w:rPr>
        <w:t>在本项目响应文件递交截止之日前36个月内须具有单项合同金额不少于45万元的</w:t>
      </w:r>
      <w:r>
        <w:rPr>
          <w:rFonts w:hint="eastAsia" w:ascii="宋体" w:hAnsi="宋体" w:cs="宋体"/>
          <w:color w:val="000000"/>
          <w:szCs w:val="21"/>
        </w:rPr>
        <w:t>城市轨道交通列车司机竞赛设备</w:t>
      </w:r>
      <w:r>
        <w:rPr>
          <w:rFonts w:hint="eastAsia" w:ascii="宋体" w:hAnsi="宋体" w:cs="宋体"/>
        </w:rPr>
        <w:t>相关供货业绩</w:t>
      </w:r>
      <w:r>
        <w:rPr>
          <w:rFonts w:hint="eastAsia" w:ascii="宋体" w:hAnsi="宋体" w:cs="宋体"/>
          <w:color w:val="000000"/>
        </w:rPr>
        <w:t>。</w:t>
      </w:r>
    </w:p>
    <w:p>
      <w:pPr>
        <w:pStyle w:val="13"/>
        <w:spacing w:line="360" w:lineRule="auto"/>
        <w:ind w:left="0" w:leftChars="0" w:firstLine="420" w:firstLineChars="200"/>
        <w:rPr>
          <w:rFonts w:ascii="宋体" w:hAnsi="宋体" w:cs="宋体"/>
          <w:szCs w:val="21"/>
        </w:rPr>
      </w:pPr>
      <w:r>
        <w:rPr>
          <w:rFonts w:hint="eastAsia" w:ascii="宋体" w:hAnsi="宋体" w:cs="宋体"/>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kern w:val="0"/>
          <w:szCs w:val="21"/>
        </w:rPr>
      </w:pPr>
      <w:r>
        <w:rPr>
          <w:rFonts w:hint="eastAsia" w:ascii="宋体" w:hAnsi="宋体" w:cs="宋体"/>
          <w:szCs w:val="21"/>
        </w:rPr>
        <w:t>5.谈判单位认为与本项目</w:t>
      </w:r>
      <w:r>
        <w:rPr>
          <w:rFonts w:hint="eastAsia" w:ascii="宋体" w:hAnsi="宋体" w:cs="宋体"/>
          <w:kern w:val="0"/>
          <w:szCs w:val="21"/>
        </w:rPr>
        <w:t>资格条件有关的其它证明文件（如有，格式自拟）。</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1.上述证明文件复印件均须加盖谈判单位公章。</w:t>
      </w:r>
    </w:p>
    <w:p>
      <w:pPr>
        <w:adjustRightInd w:val="0"/>
        <w:snapToGrid w:val="0"/>
        <w:spacing w:line="360" w:lineRule="auto"/>
        <w:ind w:firstLine="422" w:firstLineChars="200"/>
        <w:rPr>
          <w:rFonts w:ascii="宋体" w:hAnsi="宋体" w:cs="宋体"/>
          <w:b/>
          <w:bCs/>
          <w:szCs w:val="21"/>
        </w:rPr>
        <w:sectPr>
          <w:pgSz w:w="12240" w:h="15840"/>
          <w:pgMar w:top="1440" w:right="1800" w:bottom="1440" w:left="1800" w:header="720" w:footer="720" w:gutter="0"/>
          <w:cols w:space="720" w:num="1"/>
          <w:titlePg/>
          <w:docGrid w:type="lines" w:linePitch="323" w:charSpace="0"/>
        </w:sectPr>
      </w:pPr>
      <w:r>
        <w:rPr>
          <w:rFonts w:hint="eastAsia" w:ascii="宋体" w:hAnsi="宋体" w:cs="宋体"/>
          <w:b/>
          <w:bCs/>
          <w:szCs w:val="21"/>
        </w:rPr>
        <w:t>2.上述证明文件原件须用文件袋单独包装，在响应文件递交的同时一并提交。</w:t>
      </w:r>
    </w:p>
    <w:p>
      <w:pPr>
        <w:adjustRightInd w:val="0"/>
        <w:snapToGrid w:val="0"/>
        <w:ind w:left="-88" w:leftChars="-42" w:firstLine="321" w:firstLineChars="100"/>
        <w:jc w:val="center"/>
        <w:rPr>
          <w:rFonts w:ascii="宋体" w:hAnsi="宋体" w:cs="宋体"/>
          <w:b/>
          <w:bCs/>
          <w:sz w:val="32"/>
          <w:szCs w:val="32"/>
        </w:rPr>
      </w:pPr>
      <w:r>
        <w:rPr>
          <w:rFonts w:hint="eastAsia" w:ascii="宋体" w:hAnsi="宋体" w:cs="宋体"/>
          <w:b/>
          <w:sz w:val="32"/>
          <w:szCs w:val="32"/>
        </w:rPr>
        <w:t>五、</w:t>
      </w:r>
      <w:r>
        <w:rPr>
          <w:rFonts w:hint="eastAsia" w:ascii="宋体" w:hAnsi="宋体" w:cs="宋体"/>
          <w:b/>
          <w:bCs/>
          <w:sz w:val="32"/>
          <w:szCs w:val="32"/>
        </w:rPr>
        <w:t>服务方案（如有）</w:t>
      </w:r>
    </w:p>
    <w:p>
      <w:pPr>
        <w:adjustRightInd w:val="0"/>
        <w:snapToGrid w:val="0"/>
        <w:ind w:left="-88" w:leftChars="-42" w:firstLine="321" w:firstLineChars="100"/>
        <w:jc w:val="center"/>
        <w:rPr>
          <w:rFonts w:ascii="宋体" w:hAnsi="宋体" w:cs="宋体"/>
          <w:b/>
          <w:bCs/>
          <w:sz w:val="32"/>
          <w:szCs w:val="32"/>
        </w:rPr>
      </w:pPr>
    </w:p>
    <w:p>
      <w:pPr>
        <w:adjustRightInd w:val="0"/>
        <w:snapToGrid w:val="0"/>
        <w:ind w:left="-88" w:leftChars="-42" w:firstLine="281" w:firstLineChars="100"/>
        <w:jc w:val="center"/>
        <w:rPr>
          <w:rFonts w:ascii="宋体" w:hAnsi="宋体" w:cs="宋体"/>
          <w:b/>
          <w:bCs/>
          <w:sz w:val="28"/>
          <w:szCs w:val="28"/>
        </w:rPr>
      </w:pPr>
    </w:p>
    <w:p>
      <w:pPr>
        <w:adjustRightInd w:val="0"/>
        <w:snapToGrid w:val="0"/>
        <w:ind w:firstLine="422" w:firstLineChars="200"/>
        <w:rPr>
          <w:rFonts w:ascii="宋体" w:hAnsi="宋体" w:cs="宋体"/>
          <w:b/>
          <w:szCs w:val="21"/>
        </w:rPr>
      </w:pPr>
      <w:r>
        <w:rPr>
          <w:rFonts w:hint="eastAsia" w:ascii="宋体" w:hAnsi="宋体" w:cs="宋体"/>
          <w:b/>
          <w:szCs w:val="21"/>
        </w:rPr>
        <w:t>1．服务方案说明</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1.1谈判单位应根据“用户需求书”规定编写服务方案或服务大纲。</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1.2服务方案或服务大纲应包括：(1)服务目标、范围和任务；(2)服务方案；(3)服务团队组织安排计划；(4)工作流程；(5)进度计划及保证措施；(6)质量保证措施；(7)合理化建议；(8)其他。</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7"/>
        <w:adjustRightInd w:val="0"/>
        <w:snapToGrid w:val="0"/>
        <w:spacing w:line="360" w:lineRule="auto"/>
        <w:ind w:firstLine="420" w:firstLineChars="200"/>
        <w:rPr>
          <w:rFonts w:ascii="宋体" w:hAnsi="宋体" w:cs="宋体"/>
          <w:bCs/>
          <w:sz w:val="21"/>
          <w:szCs w:val="21"/>
        </w:rPr>
      </w:pPr>
      <w:bookmarkStart w:id="177" w:name="_Toc29652"/>
      <w:bookmarkStart w:id="178" w:name="_Toc8554"/>
      <w:bookmarkStart w:id="179" w:name="_Toc2524"/>
      <w:bookmarkStart w:id="180" w:name="_Toc1547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77"/>
      <w:bookmarkEnd w:id="178"/>
      <w:bookmarkEnd w:id="179"/>
      <w:bookmarkEnd w:id="180"/>
    </w:p>
    <w:p>
      <w:pPr>
        <w:adjustRightInd w:val="0"/>
        <w:snapToGrid w:val="0"/>
        <w:spacing w:line="360" w:lineRule="auto"/>
        <w:ind w:firstLine="420" w:firstLineChars="200"/>
        <w:rPr>
          <w:rFonts w:ascii="宋体" w:hAnsi="宋体" w:cs="宋体"/>
          <w:szCs w:val="21"/>
        </w:rPr>
      </w:pPr>
      <w:bookmarkStart w:id="181" w:name="_Toc10577"/>
      <w:bookmarkStart w:id="182" w:name="_Toc6287"/>
      <w:bookmarkStart w:id="183" w:name="_Toc32054"/>
      <w:bookmarkStart w:id="184" w:name="_Toc8996"/>
      <w:r>
        <w:rPr>
          <w:rFonts w:hint="eastAsia" w:ascii="宋体" w:hAnsi="宋体" w:cs="宋体"/>
          <w:szCs w:val="21"/>
        </w:rPr>
        <w:t>法定代表人或其委托代理人(签字或盖章)：</w:t>
      </w:r>
      <w:bookmarkEnd w:id="181"/>
      <w:bookmarkEnd w:id="182"/>
      <w:bookmarkEnd w:id="183"/>
      <w:bookmarkEnd w:id="184"/>
      <w:r>
        <w:rPr>
          <w:rFonts w:hint="eastAsia" w:ascii="宋体" w:hAnsi="宋体" w:cs="宋体"/>
          <w:szCs w:val="21"/>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jc w:val="center"/>
        <w:rPr>
          <w:rFonts w:ascii="宋体" w:hAnsi="宋体" w:cs="宋体"/>
          <w:b/>
          <w:sz w:val="32"/>
          <w:szCs w:val="32"/>
        </w:rPr>
      </w:pPr>
      <w:r>
        <w:rPr>
          <w:rFonts w:hint="eastAsia" w:ascii="宋体" w:hAnsi="宋体" w:cs="宋体"/>
          <w:sz w:val="24"/>
        </w:rPr>
        <w:br w:type="page"/>
      </w:r>
      <w:r>
        <w:rPr>
          <w:rFonts w:hint="eastAsia" w:ascii="宋体" w:hAnsi="宋体" w:cs="宋体"/>
          <w:b/>
          <w:bCs/>
          <w:sz w:val="32"/>
          <w:szCs w:val="32"/>
        </w:rPr>
        <w:t>六、报价一览表</w:t>
      </w:r>
    </w:p>
    <w:p>
      <w:pPr>
        <w:adjustRightInd w:val="0"/>
        <w:snapToGrid w:val="0"/>
        <w:jc w:val="right"/>
        <w:rPr>
          <w:rFonts w:ascii="宋体" w:hAnsi="宋体" w:cs="宋体"/>
          <w:sz w:val="24"/>
        </w:rPr>
      </w:pPr>
    </w:p>
    <w:tbl>
      <w:tblPr>
        <w:tblStyle w:val="46"/>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atLeast"/>
        </w:trPr>
        <w:tc>
          <w:tcPr>
            <w:tcW w:w="1807"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项目名称</w:t>
            </w:r>
            <w:r>
              <w:rPr>
                <w:rFonts w:hint="eastAsia" w:ascii="宋体" w:hAnsi="宋体" w:cs="宋体"/>
                <w:szCs w:val="21"/>
              </w:rPr>
              <w:tab/>
            </w:r>
            <w:r>
              <w:rPr>
                <w:rFonts w:hint="eastAsia" w:ascii="宋体" w:hAnsi="宋体" w:cs="宋体"/>
                <w:szCs w:val="21"/>
              </w:rPr>
              <w:t>项目名称</w:t>
            </w:r>
          </w:p>
        </w:tc>
        <w:tc>
          <w:tcPr>
            <w:tcW w:w="8033" w:type="dxa"/>
            <w:gridSpan w:val="2"/>
            <w:vAlign w:val="center"/>
          </w:tcPr>
          <w:p>
            <w:pPr>
              <w:spacing w:line="42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1807"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项目编号</w:t>
            </w:r>
          </w:p>
        </w:tc>
        <w:tc>
          <w:tcPr>
            <w:tcW w:w="8033" w:type="dxa"/>
            <w:gridSpan w:val="2"/>
            <w:vAlign w:val="center"/>
          </w:tcPr>
          <w:p>
            <w:pPr>
              <w:spacing w:line="42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1807" w:type="dxa"/>
            <w:vAlign w:val="center"/>
          </w:tcPr>
          <w:p>
            <w:pPr>
              <w:spacing w:line="420" w:lineRule="exact"/>
              <w:jc w:val="center"/>
              <w:rPr>
                <w:rFonts w:ascii="宋体" w:hAnsi="宋体" w:cs="宋体"/>
                <w:szCs w:val="21"/>
              </w:rPr>
            </w:pPr>
            <w:r>
              <w:rPr>
                <w:rFonts w:hint="eastAsia" w:ascii="宋体" w:hAnsi="宋体" w:cs="宋体"/>
                <w:szCs w:val="21"/>
              </w:rPr>
              <w:t>服务期限</w:t>
            </w:r>
          </w:p>
        </w:tc>
        <w:tc>
          <w:tcPr>
            <w:tcW w:w="8033" w:type="dxa"/>
            <w:gridSpan w:val="2"/>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1807" w:type="dxa"/>
            <w:vAlign w:val="center"/>
          </w:tcPr>
          <w:p>
            <w:pPr>
              <w:spacing w:line="420" w:lineRule="exact"/>
              <w:jc w:val="center"/>
              <w:rPr>
                <w:rFonts w:ascii="宋体" w:hAnsi="宋体" w:cs="宋体"/>
                <w:b/>
                <w:szCs w:val="21"/>
              </w:rPr>
            </w:pPr>
            <w:r>
              <w:rPr>
                <w:rFonts w:hint="eastAsia" w:ascii="宋体" w:hAnsi="宋体" w:cs="宋体"/>
                <w:b/>
                <w:szCs w:val="21"/>
              </w:rPr>
              <w:t>谈判总报价</w:t>
            </w:r>
          </w:p>
        </w:tc>
        <w:tc>
          <w:tcPr>
            <w:tcW w:w="4017" w:type="dxa"/>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4016" w:type="dxa"/>
            <w:vAlign w:val="center"/>
          </w:tcPr>
          <w:p>
            <w:pPr>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1807" w:type="dxa"/>
            <w:vAlign w:val="center"/>
          </w:tcPr>
          <w:p>
            <w:pPr>
              <w:spacing w:line="420" w:lineRule="exact"/>
              <w:jc w:val="center"/>
              <w:rPr>
                <w:rFonts w:ascii="宋体" w:hAnsi="宋体" w:cs="宋体"/>
                <w:b/>
                <w:szCs w:val="21"/>
              </w:rPr>
            </w:pPr>
            <w:r>
              <w:rPr>
                <w:rFonts w:hint="eastAsia" w:ascii="宋体" w:hAnsi="宋体" w:cs="宋体"/>
                <w:szCs w:val="21"/>
              </w:rPr>
              <w:t>供货期</w:t>
            </w:r>
          </w:p>
        </w:tc>
        <w:tc>
          <w:tcPr>
            <w:tcW w:w="8033" w:type="dxa"/>
            <w:gridSpan w:val="2"/>
            <w:vAlign w:val="center"/>
          </w:tcPr>
          <w:p>
            <w:pPr>
              <w:spacing w:line="42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1807" w:type="dxa"/>
            <w:vAlign w:val="center"/>
          </w:tcPr>
          <w:p>
            <w:pPr>
              <w:spacing w:line="420" w:lineRule="exact"/>
              <w:jc w:val="center"/>
              <w:rPr>
                <w:rFonts w:ascii="宋体" w:hAnsi="宋体" w:cs="宋体"/>
                <w:b/>
                <w:szCs w:val="21"/>
              </w:rPr>
            </w:pPr>
            <w:r>
              <w:rPr>
                <w:rFonts w:hint="eastAsia" w:ascii="宋体" w:hAnsi="宋体" w:cs="宋体"/>
                <w:szCs w:val="21"/>
              </w:rPr>
              <w:t>质保期</w:t>
            </w:r>
          </w:p>
        </w:tc>
        <w:tc>
          <w:tcPr>
            <w:tcW w:w="8033" w:type="dxa"/>
            <w:gridSpan w:val="2"/>
            <w:vAlign w:val="center"/>
          </w:tcPr>
          <w:p>
            <w:pPr>
              <w:spacing w:line="42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1" w:hRule="atLeast"/>
        </w:trPr>
        <w:tc>
          <w:tcPr>
            <w:tcW w:w="1807" w:type="dxa"/>
            <w:vAlign w:val="center"/>
          </w:tcPr>
          <w:p>
            <w:pPr>
              <w:spacing w:line="420" w:lineRule="exact"/>
              <w:jc w:val="center"/>
              <w:rPr>
                <w:rFonts w:ascii="宋体" w:hAnsi="宋体" w:cs="宋体"/>
                <w:szCs w:val="21"/>
              </w:rPr>
            </w:pPr>
            <w:r>
              <w:rPr>
                <w:rFonts w:hint="eastAsia" w:ascii="宋体" w:hAnsi="宋体" w:cs="宋体"/>
                <w:szCs w:val="21"/>
              </w:rPr>
              <w:t>备  注</w:t>
            </w:r>
          </w:p>
        </w:tc>
        <w:tc>
          <w:tcPr>
            <w:tcW w:w="8033" w:type="dxa"/>
            <w:gridSpan w:val="2"/>
            <w:vAlign w:val="center"/>
          </w:tcPr>
          <w:p>
            <w:pPr>
              <w:spacing w:line="420" w:lineRule="exact"/>
              <w:rPr>
                <w:rFonts w:ascii="宋体" w:hAnsi="宋体" w:cs="宋体"/>
                <w:szCs w:val="21"/>
              </w:rPr>
            </w:pPr>
          </w:p>
        </w:tc>
      </w:tr>
    </w:tbl>
    <w:p>
      <w:pPr>
        <w:adjustRightInd w:val="0"/>
        <w:snapToGrid w:val="0"/>
        <w:spacing w:line="360" w:lineRule="auto"/>
        <w:rPr>
          <w:rFonts w:ascii="宋体" w:hAnsi="宋体" w:cs="宋体"/>
          <w:b/>
          <w:szCs w:val="21"/>
        </w:rPr>
      </w:pPr>
      <w:r>
        <w:rPr>
          <w:rFonts w:hint="eastAsia" w:ascii="宋体" w:hAnsi="宋体" w:cs="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2.本表内“谈判总报价”是包含了货物所有隐含的运输费、保险费、安装调试费、管理费、税金和利润等其他费用的报价。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7"/>
        <w:adjustRightInd w:val="0"/>
        <w:snapToGrid w:val="0"/>
        <w:spacing w:line="360" w:lineRule="auto"/>
        <w:rPr>
          <w:rFonts w:ascii="宋体" w:hAnsi="宋体" w:cs="宋体"/>
          <w:bCs/>
          <w:sz w:val="21"/>
          <w:szCs w:val="21"/>
        </w:rPr>
      </w:pPr>
      <w:bookmarkStart w:id="185" w:name="_Toc26371"/>
      <w:bookmarkStart w:id="186" w:name="_Toc15367"/>
      <w:bookmarkStart w:id="187" w:name="_Toc7373"/>
      <w:bookmarkStart w:id="188" w:name="_Toc22197"/>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85"/>
      <w:bookmarkEnd w:id="186"/>
      <w:bookmarkEnd w:id="187"/>
      <w:bookmarkEnd w:id="188"/>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89" w:name="_Toc3766"/>
      <w:bookmarkStart w:id="190" w:name="_Toc7637"/>
      <w:bookmarkStart w:id="191" w:name="_Toc14381"/>
      <w:bookmarkStart w:id="192" w:name="_Toc26095"/>
      <w:r>
        <w:rPr>
          <w:rFonts w:hint="eastAsia" w:ascii="宋体" w:hAnsi="宋体" w:cs="宋体"/>
          <w:szCs w:val="21"/>
        </w:rPr>
        <w:t>法定代表人或其委托代理人(签字或盖章)：</w:t>
      </w:r>
      <w:bookmarkEnd w:id="189"/>
      <w:bookmarkEnd w:id="190"/>
      <w:bookmarkEnd w:id="191"/>
      <w:bookmarkEnd w:id="192"/>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
          <w:sz w:val="32"/>
          <w:szCs w:val="32"/>
        </w:rPr>
        <w:br w:type="page"/>
      </w:r>
      <w:bookmarkStart w:id="193" w:name="_Toc28059"/>
      <w:bookmarkStart w:id="194" w:name="_Toc27599"/>
      <w:bookmarkStart w:id="195" w:name="_Toc26804"/>
      <w:r>
        <w:rPr>
          <w:rFonts w:hint="eastAsia" w:ascii="宋体" w:hAnsi="宋体" w:cs="宋体"/>
          <w:b/>
          <w:sz w:val="32"/>
          <w:szCs w:val="32"/>
        </w:rPr>
        <w:t>七、分项价格表</w:t>
      </w:r>
      <w:bookmarkEnd w:id="193"/>
      <w:bookmarkEnd w:id="194"/>
      <w:bookmarkEnd w:id="195"/>
    </w:p>
    <w:p>
      <w:pPr>
        <w:spacing w:line="360" w:lineRule="exact"/>
        <w:rPr>
          <w:rFonts w:ascii="宋体" w:hAnsi="宋体" w:cs="宋体"/>
          <w:b/>
        </w:rPr>
      </w:pPr>
    </w:p>
    <w:p>
      <w:pPr>
        <w:spacing w:line="360" w:lineRule="exact"/>
        <w:ind w:firstLine="210" w:firstLineChars="100"/>
        <w:jc w:val="left"/>
        <w:rPr>
          <w:rFonts w:ascii="宋体" w:hAnsi="宋体" w:cs="宋体"/>
        </w:rPr>
      </w:pPr>
      <w:r>
        <w:rPr>
          <w:rFonts w:hint="eastAsia" w:ascii="宋体" w:hAnsi="宋体" w:cs="宋体"/>
          <w:bCs/>
        </w:rPr>
        <w:t>项目</w:t>
      </w:r>
      <w:r>
        <w:rPr>
          <w:rFonts w:hint="eastAsia" w:ascii="宋体" w:hAnsi="宋体" w:cs="宋体"/>
        </w:rPr>
        <w:t>名称：                                                        金额单位：元</w:t>
      </w:r>
    </w:p>
    <w:tbl>
      <w:tblPr>
        <w:tblStyle w:val="46"/>
        <w:tblpPr w:leftFromText="180" w:rightFromText="180" w:vertAnchor="text" w:horzAnchor="page" w:tblpXSpec="center" w:tblpY="236"/>
        <w:tblOverlap w:val="never"/>
        <w:tblW w:w="983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6"/>
        <w:gridCol w:w="945"/>
        <w:gridCol w:w="560"/>
        <w:gridCol w:w="652"/>
        <w:gridCol w:w="690"/>
        <w:gridCol w:w="2625"/>
        <w:gridCol w:w="510"/>
        <w:gridCol w:w="636"/>
        <w:gridCol w:w="729"/>
        <w:gridCol w:w="843"/>
        <w:gridCol w:w="11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5" w:hRule="atLeast"/>
          <w:jc w:val="center"/>
        </w:trPr>
        <w:tc>
          <w:tcPr>
            <w:tcW w:w="506" w:type="dxa"/>
            <w:vAlign w:val="center"/>
          </w:tcPr>
          <w:p>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945" w:type="dxa"/>
            <w:tcBorders>
              <w:righ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物资名称</w:t>
            </w:r>
          </w:p>
        </w:tc>
        <w:tc>
          <w:tcPr>
            <w:tcW w:w="560" w:type="dxa"/>
            <w:tcBorders>
              <w:lef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规格</w:t>
            </w:r>
          </w:p>
        </w:tc>
        <w:tc>
          <w:tcPr>
            <w:tcW w:w="652" w:type="dxa"/>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参考品牌</w:t>
            </w:r>
          </w:p>
        </w:tc>
        <w:tc>
          <w:tcPr>
            <w:tcW w:w="690" w:type="dxa"/>
            <w:tcBorders>
              <w:righ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型号/</w:t>
            </w:r>
          </w:p>
          <w:p>
            <w:pPr>
              <w:widowControl/>
              <w:jc w:val="center"/>
              <w:rPr>
                <w:rFonts w:ascii="宋体" w:hAnsi="宋体" w:cs="宋体"/>
                <w:b/>
                <w:kern w:val="0"/>
                <w:sz w:val="18"/>
                <w:szCs w:val="18"/>
              </w:rPr>
            </w:pPr>
            <w:r>
              <w:rPr>
                <w:rFonts w:hint="eastAsia" w:ascii="宋体" w:hAnsi="宋体" w:cs="宋体"/>
                <w:b/>
                <w:kern w:val="0"/>
                <w:sz w:val="18"/>
                <w:szCs w:val="18"/>
              </w:rPr>
              <w:t>货号</w:t>
            </w:r>
          </w:p>
        </w:tc>
        <w:tc>
          <w:tcPr>
            <w:tcW w:w="2625" w:type="dxa"/>
            <w:tcBorders>
              <w:left w:val="single" w:color="auto" w:sz="4" w:space="0"/>
              <w:righ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详细参数</w:t>
            </w:r>
          </w:p>
        </w:tc>
        <w:tc>
          <w:tcPr>
            <w:tcW w:w="510" w:type="dxa"/>
            <w:tcBorders>
              <w:lef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单位</w:t>
            </w:r>
          </w:p>
        </w:tc>
        <w:tc>
          <w:tcPr>
            <w:tcW w:w="636" w:type="dxa"/>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需求</w:t>
            </w:r>
          </w:p>
          <w:p>
            <w:pPr>
              <w:widowControl/>
              <w:jc w:val="center"/>
              <w:rPr>
                <w:rFonts w:ascii="宋体" w:hAnsi="宋体" w:cs="宋体"/>
                <w:b/>
                <w:kern w:val="0"/>
                <w:sz w:val="18"/>
                <w:szCs w:val="18"/>
              </w:rPr>
            </w:pPr>
            <w:r>
              <w:rPr>
                <w:rFonts w:hint="eastAsia" w:ascii="宋体" w:hAnsi="宋体" w:cs="宋体"/>
                <w:b/>
                <w:kern w:val="0"/>
                <w:sz w:val="18"/>
                <w:szCs w:val="18"/>
              </w:rPr>
              <w:t>数量</w:t>
            </w:r>
          </w:p>
        </w:tc>
        <w:tc>
          <w:tcPr>
            <w:tcW w:w="729" w:type="dxa"/>
            <w:tcBorders>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单价（元）</w:t>
            </w:r>
          </w:p>
        </w:tc>
        <w:tc>
          <w:tcPr>
            <w:tcW w:w="843" w:type="dxa"/>
            <w:tcBorders>
              <w:left w:val="single" w:color="auto" w:sz="4"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合价（元）</w:t>
            </w:r>
          </w:p>
        </w:tc>
        <w:tc>
          <w:tcPr>
            <w:tcW w:w="1143" w:type="dxa"/>
            <w:tcBorders>
              <w:lef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1</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司机操纵台</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2500mm×665mm×1050mm</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numPr>
                <w:ilvl w:val="0"/>
                <w:numId w:val="4"/>
              </w:numPr>
              <w:jc w:val="left"/>
              <w:rPr>
                <w:rFonts w:ascii="宋体" w:hAnsi="宋体" w:cs="宋体"/>
                <w:kern w:val="0"/>
                <w:sz w:val="18"/>
                <w:szCs w:val="18"/>
              </w:rPr>
            </w:pPr>
            <w:r>
              <w:rPr>
                <w:rFonts w:hint="eastAsia" w:ascii="宋体" w:hAnsi="宋体" w:cs="宋体"/>
                <w:kern w:val="0"/>
                <w:sz w:val="18"/>
                <w:szCs w:val="18"/>
              </w:rPr>
              <w:t>钢结构。</w:t>
            </w:r>
          </w:p>
          <w:p>
            <w:pPr>
              <w:widowControl/>
              <w:numPr>
                <w:ilvl w:val="0"/>
                <w:numId w:val="4"/>
              </w:numPr>
              <w:jc w:val="left"/>
              <w:rPr>
                <w:rFonts w:ascii="宋体" w:hAnsi="宋体" w:cs="宋体"/>
                <w:szCs w:val="21"/>
              </w:rPr>
            </w:pPr>
            <w:r>
              <w:rPr>
                <w:rFonts w:hint="eastAsia" w:ascii="宋体" w:hAnsi="宋体" w:cs="宋体"/>
                <w:kern w:val="0"/>
                <w:sz w:val="18"/>
                <w:szCs w:val="18"/>
              </w:rPr>
              <w:t>主要操作设备包括司机控制器、开关门按钮及指示灯、列车模式开关、紧急按钮、停放制动按钮、通讯设备、升降弓按钮、HMI设备、ATC设备和双针风表等，与实际列车上的对应设备具有相同的功能和控制逻辑。</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台</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143" w:type="dxa"/>
            <w:tcBorders>
              <w:lef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2</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行调控制台</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包括控制台台体、控制台终端、触摸屏、控制台座椅（不锈钢仿皮质座椅）、电话、无线网卡、显示器等。</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143" w:type="dxa"/>
            <w:tcBorders>
              <w:lef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3</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车站值班员控制台</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包括控制台台体、控制台终端、触摸屏、控制台座椅（不锈钢仿皮质座椅）、无线网卡、显示器等。</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143" w:type="dxa"/>
            <w:tcBorders>
              <w:lef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4</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前向视景显示器</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≧60英寸</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大屏显示器，不少于60英寸。</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143" w:type="dxa"/>
            <w:tcBorders>
              <w:lef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5</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前向视景显示终端</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终端采用定制工控机。</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6</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高速数据采集控制系统</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numPr>
                <w:ilvl w:val="0"/>
                <w:numId w:val="5"/>
              </w:numPr>
              <w:jc w:val="left"/>
              <w:rPr>
                <w:rFonts w:ascii="宋体" w:hAnsi="宋体" w:cs="宋体"/>
                <w:kern w:val="0"/>
                <w:sz w:val="18"/>
                <w:szCs w:val="18"/>
              </w:rPr>
            </w:pPr>
            <w:r>
              <w:rPr>
                <w:rFonts w:hint="eastAsia" w:ascii="宋体" w:hAnsi="宋体" w:cs="宋体"/>
                <w:kern w:val="0"/>
                <w:sz w:val="18"/>
                <w:szCs w:val="18"/>
              </w:rPr>
              <w:t>内置微机测控及通讯系统,可实现数据采集及输出以及通讯功能。</w:t>
            </w:r>
          </w:p>
          <w:p>
            <w:pPr>
              <w:widowControl/>
              <w:numPr>
                <w:ilvl w:val="0"/>
                <w:numId w:val="5"/>
              </w:numPr>
              <w:jc w:val="left"/>
              <w:rPr>
                <w:rFonts w:ascii="宋体" w:hAnsi="宋体" w:cs="宋体"/>
                <w:kern w:val="0"/>
                <w:sz w:val="18"/>
                <w:szCs w:val="18"/>
              </w:rPr>
            </w:pPr>
            <w:r>
              <w:rPr>
                <w:rFonts w:hint="eastAsia" w:ascii="宋体" w:hAnsi="宋体" w:cs="宋体"/>
                <w:kern w:val="0"/>
                <w:sz w:val="18"/>
                <w:szCs w:val="18"/>
              </w:rPr>
              <w:t>PLC采集与控制，标准型 CPU 模块，继电器输出，220V AC供电，有输入输出。3.扩展模块EM：数字量输入模块</w:t>
            </w:r>
          </w:p>
          <w:p>
            <w:pPr>
              <w:widowControl/>
              <w:jc w:val="left"/>
              <w:rPr>
                <w:rFonts w:ascii="宋体" w:hAnsi="宋体" w:cs="宋体"/>
                <w:szCs w:val="21"/>
              </w:rPr>
            </w:pPr>
            <w:r>
              <w:rPr>
                <w:rFonts w:hint="eastAsia" w:ascii="宋体" w:hAnsi="宋体" w:cs="宋体"/>
                <w:kern w:val="0"/>
                <w:sz w:val="18"/>
                <w:szCs w:val="18"/>
              </w:rPr>
              <w:t>4.信号板SB：通信信号板。</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7</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安全门就地控制盒</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numPr>
                <w:ilvl w:val="0"/>
                <w:numId w:val="6"/>
              </w:numPr>
              <w:jc w:val="left"/>
              <w:rPr>
                <w:rFonts w:ascii="宋体" w:hAnsi="宋体" w:cs="宋体"/>
                <w:kern w:val="0"/>
                <w:sz w:val="18"/>
                <w:szCs w:val="18"/>
              </w:rPr>
            </w:pPr>
            <w:r>
              <w:rPr>
                <w:rFonts w:hint="eastAsia" w:ascii="宋体" w:hAnsi="宋体" w:cs="宋体"/>
                <w:kern w:val="0"/>
                <w:sz w:val="18"/>
                <w:szCs w:val="18"/>
              </w:rPr>
              <w:t>司机操纵台左右两侧各一套</w:t>
            </w:r>
          </w:p>
          <w:p>
            <w:pPr>
              <w:widowControl/>
              <w:numPr>
                <w:ilvl w:val="0"/>
                <w:numId w:val="6"/>
              </w:numPr>
              <w:jc w:val="left"/>
              <w:rPr>
                <w:rFonts w:ascii="宋体" w:hAnsi="宋体" w:cs="宋体"/>
                <w:szCs w:val="21"/>
              </w:rPr>
            </w:pPr>
            <w:r>
              <w:rPr>
                <w:rFonts w:hint="eastAsia" w:ascii="宋体" w:hAnsi="宋体" w:cs="宋体"/>
                <w:kern w:val="0"/>
                <w:sz w:val="18"/>
                <w:szCs w:val="18"/>
              </w:rPr>
              <w:t>盘面包括指示灯（包括PSL允许、ASD开、互锁解除、门全关且锁紧等显示）、钥匙开关（包括PSL允许、互锁解除；按钮：开门、关门、灯测试等功能）</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2</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8</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司机座椅</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专业司机座椅，可调高度、靠背位置，面料材质真皮、皮革、绒布，填充物高回弹冷发泡海棉。</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9</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电气屏柜模拟台</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620mm×450mm×1170mm</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numPr>
                <w:ilvl w:val="0"/>
                <w:numId w:val="7"/>
              </w:numPr>
              <w:jc w:val="left"/>
              <w:rPr>
                <w:rFonts w:ascii="宋体" w:hAnsi="宋体" w:cs="宋体"/>
                <w:kern w:val="0"/>
                <w:sz w:val="18"/>
                <w:szCs w:val="18"/>
              </w:rPr>
            </w:pPr>
            <w:r>
              <w:rPr>
                <w:rFonts w:hint="eastAsia" w:ascii="宋体" w:hAnsi="宋体" w:cs="宋体"/>
                <w:kern w:val="0"/>
                <w:sz w:val="18"/>
                <w:szCs w:val="18"/>
              </w:rPr>
              <w:t>采用一体式控制台，钢结构，内置定制工控机及21.5英寸显示系统，</w:t>
            </w:r>
          </w:p>
          <w:p>
            <w:pPr>
              <w:widowControl/>
              <w:numPr>
                <w:ilvl w:val="0"/>
                <w:numId w:val="7"/>
              </w:numPr>
              <w:jc w:val="left"/>
              <w:rPr>
                <w:rFonts w:ascii="宋体" w:hAnsi="宋体" w:cs="宋体"/>
                <w:szCs w:val="21"/>
              </w:rPr>
            </w:pPr>
            <w:r>
              <w:rPr>
                <w:rFonts w:hint="eastAsia" w:ascii="宋体" w:hAnsi="宋体" w:cs="宋体"/>
                <w:kern w:val="0"/>
                <w:sz w:val="18"/>
                <w:szCs w:val="18"/>
              </w:rPr>
              <w:t>分视图显示区及鼠标键盘操作区两部分组成，安装有三维数字化虚拟列车软件。</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10</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控制台座椅</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不锈钢仿皮质座椅 弓形椅，具有抗氧化性高、提高耐磨性、抗腐蚀性、美观坚固，人工工程学靠背，完美腰部撑托，腰椎舒缓解释放压力。</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个</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2</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11</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侧窗显示器</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32英寸</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显示器能满足系统性能要求，能清晰展示列车侧面情况。</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2</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12</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侧窗显示终端</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终端采用定制工控机，主要用于侧窗视景加载，给左右侧窗视景提供信号源。</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13</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电话机</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黑色，手柄按键一体化设计，使用更方便，各项指标均符合国家认证标准，使用更放心。</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个</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3</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14</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网络交换机</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8口</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千兆以太网交换机</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15</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无线路由器</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企业VPN路由器，WAN口数量2个；LAN口数量3个，支持Qos限速功能，支持无线桥接，天线可拆卸，11N无线技术，无线传输速率高达300Mbps。</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16</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USB无线网卡</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网络标准：IEEE 802.11ac，IEEE 802.11n，IEEE 802.11g，IEEE 802.11b，IEEE 802.11a ；传输速率：433Mbps；发射功率：20dBm（最大值）；频率范围：双频（2.4G、5G）；总线接口：USB；内置天线。</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4</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17</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音响设备</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小音箱，2.0声道，信噪比60dB，功率5W，供电方式DC 5V，尺寸70×72×72mm。</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3</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18</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消防设备</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手提式干粉灭火器，2公斤。</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19</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模拟驾驶器控制软件</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提供驾驶平台及标准化作业环境。模拟驾驶操作系统的软件包含“分布式仿真服务器”、“Loco Module”、 “动力学仿真”“HMI显示系统”、“CGI”、“声音系统”、“数据采集及输出系统”“仿真数据库”等。各子系统之间通过高性能的千兆以太网连接，从而保证系统间能流畅地协同工作。</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20</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考核题库</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主要可用于列车运行前的整备检查，包括走行部检查、司机室检查、客室检查、动车试验等，同时满足司机在列车运行时出现故障，可以通过此系统进行故障处理和解决。该系统满足在全三维数字化全真虚拟列车内进行故障的处理演练，并能满足列车在线路场景中进行突发非正常状况的处理演练。学员在试题的训练过程中，每套试题都预先设置有故障，列车运行到相应地点，故障即会被触发，视景系统能即时做出响应，学员可通过故障处理机对故障进行处理。具体内容包含：标准化作业：驾驶技能、出乘前检查、出入库作业、区间运行、上下客监护、不同模式驾驶、折返及交接班作业；故障处理：制动系统故障、牵引系统故障、辅助系统故障、车门故障；应急处置：区间火灾、区间无电、异物侵限。</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21</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操作记录及考评软件</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 w:val="18"/>
                <w:szCs w:val="18"/>
              </w:rPr>
              <w:t>自动检测考试过程及结果，并自动评分。</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22</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考核控制终端管理系统</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 w:val="18"/>
                <w:szCs w:val="18"/>
              </w:rPr>
              <w:t>承担着列车模拟器的全方位监管、控制和系统维护任务。</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jc w:val="center"/>
        </w:trPr>
        <w:tc>
          <w:tcPr>
            <w:tcW w:w="7124" w:type="dxa"/>
            <w:gridSpan w:val="8"/>
            <w:tcBorders>
              <w:right w:val="single" w:color="auto" w:sz="4" w:space="0"/>
            </w:tcBorders>
            <w:vAlign w:val="center"/>
          </w:tcPr>
          <w:p>
            <w:pPr>
              <w:adjustRightInd w:val="0"/>
              <w:snapToGrid w:val="0"/>
              <w:spacing w:line="360" w:lineRule="auto"/>
              <w:jc w:val="center"/>
              <w:rPr>
                <w:rFonts w:ascii="宋体" w:hAnsi="宋体" w:cs="宋体"/>
                <w:kern w:val="0"/>
                <w:szCs w:val="21"/>
                <w:lang w:bidi="ar"/>
              </w:rPr>
            </w:pPr>
            <w:r>
              <w:rPr>
                <w:rFonts w:hint="eastAsia" w:ascii="宋体" w:hAnsi="宋体" w:cs="宋体"/>
                <w:szCs w:val="21"/>
              </w:rPr>
              <w:t>合    计</w:t>
            </w:r>
          </w:p>
        </w:tc>
        <w:tc>
          <w:tcPr>
            <w:tcW w:w="2715" w:type="dxa"/>
            <w:gridSpan w:val="3"/>
            <w:tcBorders>
              <w:left w:val="single" w:color="auto" w:sz="4" w:space="0"/>
            </w:tcBorders>
            <w:vAlign w:val="center"/>
          </w:tcPr>
          <w:p>
            <w:pPr>
              <w:adjustRightInd w:val="0"/>
              <w:snapToGrid w:val="0"/>
              <w:spacing w:line="360" w:lineRule="auto"/>
              <w:jc w:val="center"/>
              <w:rPr>
                <w:rFonts w:ascii="宋体" w:hAnsi="宋体" w:cs="宋体"/>
                <w:szCs w:val="21"/>
              </w:rPr>
            </w:pPr>
          </w:p>
        </w:tc>
      </w:tr>
    </w:tbl>
    <w:p>
      <w:pPr>
        <w:pStyle w:val="13"/>
        <w:rPr>
          <w:rFonts w:ascii="宋体" w:hAnsi="宋体" w:cs="宋体"/>
        </w:rPr>
      </w:pPr>
    </w:p>
    <w:p>
      <w:pPr>
        <w:adjustRightInd w:val="0"/>
        <w:snapToGrid w:val="0"/>
        <w:spacing w:line="360" w:lineRule="auto"/>
        <w:ind w:left="-88" w:leftChars="-42"/>
        <w:rPr>
          <w:rFonts w:ascii="宋体" w:hAnsi="宋体" w:cs="宋体"/>
          <w:b/>
          <w:szCs w:val="21"/>
        </w:rPr>
      </w:pPr>
      <w:r>
        <w:rPr>
          <w:rFonts w:hint="eastAsia" w:ascii="宋体" w:hAnsi="宋体" w:cs="宋体"/>
          <w:b/>
          <w:szCs w:val="21"/>
        </w:rPr>
        <w:t>备注：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包含谈判文件“用户需求书”或其他部分对该项目所有要求的详细报价。“合计”金额应与《报价一览表》内“谈判总报价”金额一致。栏目“单价”为综合单价，应包含所有隐含的管理费、税金和利润等其他费用。</w:t>
      </w:r>
    </w:p>
    <w:p>
      <w:pPr>
        <w:pStyle w:val="27"/>
        <w:adjustRightInd w:val="0"/>
        <w:snapToGrid w:val="0"/>
        <w:spacing w:line="360" w:lineRule="auto"/>
        <w:outlineLvl w:val="0"/>
        <w:rPr>
          <w:rFonts w:ascii="宋体" w:hAnsi="宋体" w:cs="宋体"/>
          <w:sz w:val="21"/>
          <w:szCs w:val="21"/>
        </w:rPr>
      </w:pPr>
    </w:p>
    <w:p>
      <w:pPr>
        <w:pStyle w:val="27"/>
        <w:adjustRightInd w:val="0"/>
        <w:snapToGrid w:val="0"/>
        <w:spacing w:line="360" w:lineRule="auto"/>
        <w:outlineLvl w:val="0"/>
        <w:rPr>
          <w:rFonts w:ascii="宋体" w:hAnsi="宋体" w:cs="宋体"/>
          <w:sz w:val="21"/>
          <w:szCs w:val="21"/>
        </w:rPr>
      </w:pPr>
    </w:p>
    <w:p>
      <w:pPr>
        <w:pStyle w:val="27"/>
        <w:adjustRightInd w:val="0"/>
        <w:snapToGrid w:val="0"/>
        <w:spacing w:line="360" w:lineRule="auto"/>
        <w:ind w:firstLine="420" w:firstLineChars="200"/>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auto"/>
        <w:ind w:firstLine="420" w:firstLineChars="200"/>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rPr>
          <w:rFonts w:ascii="宋体" w:hAnsi="宋体" w:cs="宋体"/>
          <w:b/>
          <w:sz w:val="32"/>
          <w:szCs w:val="32"/>
        </w:rPr>
        <w:sectPr>
          <w:pgSz w:w="12240" w:h="15840"/>
          <w:pgMar w:top="1440" w:right="1183" w:bottom="1440" w:left="1134" w:header="720" w:footer="720" w:gutter="0"/>
          <w:cols w:space="720" w:num="1"/>
          <w:titlePg/>
          <w:docGrid w:type="lines" w:linePitch="323" w:charSpace="0"/>
        </w:sectPr>
      </w:pPr>
    </w:p>
    <w:p>
      <w:pPr>
        <w:rPr>
          <w:rFonts w:ascii="宋体" w:hAnsi="宋体" w:cs="宋体"/>
        </w:rPr>
      </w:pPr>
    </w:p>
    <w:p>
      <w:pPr>
        <w:spacing w:line="360" w:lineRule="exact"/>
        <w:jc w:val="center"/>
        <w:rPr>
          <w:rFonts w:ascii="宋体" w:hAnsi="宋体" w:cs="宋体"/>
          <w:b/>
          <w:sz w:val="32"/>
          <w:szCs w:val="32"/>
        </w:rPr>
      </w:pPr>
      <w:r>
        <w:rPr>
          <w:rFonts w:hint="eastAsia" w:ascii="宋体" w:hAnsi="宋体" w:cs="宋体"/>
          <w:b/>
          <w:sz w:val="32"/>
          <w:szCs w:val="32"/>
        </w:rPr>
        <w:t>八、其他资料(如有)</w:t>
      </w:r>
    </w:p>
    <w:p>
      <w:pPr>
        <w:adjustRightInd w:val="0"/>
        <w:snapToGrid w:val="0"/>
        <w:spacing w:before="161" w:beforeLines="50" w:line="360" w:lineRule="auto"/>
        <w:jc w:val="center"/>
        <w:rPr>
          <w:rFonts w:ascii="宋体" w:hAnsi="宋体" w:cs="宋体"/>
          <w:sz w:val="28"/>
          <w:szCs w:val="28"/>
        </w:rPr>
      </w:pPr>
    </w:p>
    <w:p>
      <w:pPr>
        <w:adjustRightInd w:val="0"/>
        <w:snapToGrid w:val="0"/>
        <w:spacing w:before="161" w:beforeLines="50" w:line="360" w:lineRule="auto"/>
        <w:jc w:val="center"/>
        <w:rPr>
          <w:rFonts w:ascii="宋体" w:hAnsi="宋体" w:cs="宋体"/>
          <w:szCs w:val="21"/>
        </w:rPr>
      </w:pPr>
      <w:bookmarkStart w:id="196" w:name="_Toc14328"/>
      <w:bookmarkStart w:id="197" w:name="_Toc15601"/>
      <w:bookmarkStart w:id="198" w:name="_Toc3706"/>
      <w:r>
        <w:rPr>
          <w:rFonts w:hint="eastAsia" w:ascii="宋体" w:hAnsi="宋体" w:cs="宋体"/>
          <w:szCs w:val="21"/>
        </w:rPr>
        <w:t>谈判单位认为需要提供的其他报价资料，格式自拟。</w:t>
      </w:r>
      <w:bookmarkEnd w:id="196"/>
      <w:bookmarkEnd w:id="197"/>
      <w:bookmarkEnd w:id="198"/>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3" o:spid="_x0000_s2070"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6" o:spid="_x0000_s2068"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69" o:spid="_x0000_s2069"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4" o:spid="_x0000_s2051"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9</w:t>
                </w:r>
                <w:r>
                  <w:rPr>
                    <w:lang w:val="zh-CN"/>
                  </w:rPr>
                  <w:fldChar w:fldCharType="end"/>
                </w:r>
              </w:p>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8" o:spid="_x0000_s2049"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14" o:spid="_x0000_s2053"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15" o:spid="_x0000_s2052"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10" o:spid="_x0000_s2055"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11" o:spid="_x0000_s2054"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w:pict>
        <v:shape id="_x0000_s2072" o:spid="_x0000_s2072"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1.25pt"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20</w:t>
                </w:r>
                <w:r>
                  <w:rPr>
                    <w:rFonts w:hint="eastAsia"/>
                  </w:rPr>
                  <w:fldChar w:fldCharType="end"/>
                </w:r>
              </w:p>
            </w:txbxContent>
          </v:textbox>
        </v:shape>
      </w:pic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7BCDA"/>
    <w:multiLevelType w:val="singleLevel"/>
    <w:tmpl w:val="A2B7BCDA"/>
    <w:lvl w:ilvl="0" w:tentative="0">
      <w:start w:val="3"/>
      <w:numFmt w:val="chineseCounting"/>
      <w:suff w:val="space"/>
      <w:lvlText w:val="第%1部分"/>
      <w:lvlJc w:val="left"/>
      <w:rPr>
        <w:rFonts w:hint="eastAsia"/>
      </w:rPr>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abstractNum w:abstractNumId="3">
    <w:nsid w:val="5D7F7FFA"/>
    <w:multiLevelType w:val="singleLevel"/>
    <w:tmpl w:val="5D7F7FFA"/>
    <w:lvl w:ilvl="0" w:tentative="0">
      <w:start w:val="1"/>
      <w:numFmt w:val="decimal"/>
      <w:lvlText w:val="%1."/>
      <w:lvlJc w:val="left"/>
      <w:pPr>
        <w:tabs>
          <w:tab w:val="left" w:pos="312"/>
        </w:tabs>
      </w:pPr>
    </w:lvl>
  </w:abstractNum>
  <w:abstractNum w:abstractNumId="4">
    <w:nsid w:val="5D7F801E"/>
    <w:multiLevelType w:val="singleLevel"/>
    <w:tmpl w:val="5D7F801E"/>
    <w:lvl w:ilvl="0" w:tentative="0">
      <w:start w:val="1"/>
      <w:numFmt w:val="decimal"/>
      <w:lvlText w:val="%1."/>
      <w:lvlJc w:val="left"/>
      <w:pPr>
        <w:tabs>
          <w:tab w:val="left" w:pos="312"/>
        </w:tabs>
      </w:pPr>
    </w:lvl>
  </w:abstractNum>
  <w:abstractNum w:abstractNumId="5">
    <w:nsid w:val="5D7F8031"/>
    <w:multiLevelType w:val="singleLevel"/>
    <w:tmpl w:val="5D7F8031"/>
    <w:lvl w:ilvl="0" w:tentative="0">
      <w:start w:val="1"/>
      <w:numFmt w:val="decimal"/>
      <w:lvlText w:val="%1."/>
      <w:lvlJc w:val="left"/>
      <w:pPr>
        <w:tabs>
          <w:tab w:val="left" w:pos="312"/>
        </w:tabs>
      </w:pPr>
    </w:lvl>
  </w:abstractNum>
  <w:abstractNum w:abstractNumId="6">
    <w:nsid w:val="5D7F8041"/>
    <w:multiLevelType w:val="singleLevel"/>
    <w:tmpl w:val="5D7F8041"/>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210"/>
  <w:drawingGridVerticalSpacing w:val="16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84A"/>
    <w:rsid w:val="00005EC9"/>
    <w:rsid w:val="00006D21"/>
    <w:rsid w:val="00016902"/>
    <w:rsid w:val="000274C6"/>
    <w:rsid w:val="00052640"/>
    <w:rsid w:val="00063D15"/>
    <w:rsid w:val="00074928"/>
    <w:rsid w:val="00091C9D"/>
    <w:rsid w:val="000C106E"/>
    <w:rsid w:val="000D12D7"/>
    <w:rsid w:val="000E7A00"/>
    <w:rsid w:val="00115FE6"/>
    <w:rsid w:val="001453A1"/>
    <w:rsid w:val="00162D59"/>
    <w:rsid w:val="00186162"/>
    <w:rsid w:val="001C23BF"/>
    <w:rsid w:val="002069C8"/>
    <w:rsid w:val="002139EB"/>
    <w:rsid w:val="0022188F"/>
    <w:rsid w:val="00222DFA"/>
    <w:rsid w:val="00224DF9"/>
    <w:rsid w:val="00230A1A"/>
    <w:rsid w:val="002314A3"/>
    <w:rsid w:val="002523FD"/>
    <w:rsid w:val="00255546"/>
    <w:rsid w:val="00286014"/>
    <w:rsid w:val="00294F68"/>
    <w:rsid w:val="002B1D56"/>
    <w:rsid w:val="003102A2"/>
    <w:rsid w:val="00331810"/>
    <w:rsid w:val="00380064"/>
    <w:rsid w:val="00381105"/>
    <w:rsid w:val="003958B2"/>
    <w:rsid w:val="0039632C"/>
    <w:rsid w:val="003B1109"/>
    <w:rsid w:val="003D080C"/>
    <w:rsid w:val="003F46A7"/>
    <w:rsid w:val="004014FD"/>
    <w:rsid w:val="00403EB6"/>
    <w:rsid w:val="00423B85"/>
    <w:rsid w:val="00453EE9"/>
    <w:rsid w:val="00473865"/>
    <w:rsid w:val="0048093D"/>
    <w:rsid w:val="00495DBC"/>
    <w:rsid w:val="00495F57"/>
    <w:rsid w:val="00504DED"/>
    <w:rsid w:val="00517CB9"/>
    <w:rsid w:val="00526589"/>
    <w:rsid w:val="00545140"/>
    <w:rsid w:val="0055214F"/>
    <w:rsid w:val="005556A5"/>
    <w:rsid w:val="0056143E"/>
    <w:rsid w:val="0058754B"/>
    <w:rsid w:val="005C688B"/>
    <w:rsid w:val="005E6BBB"/>
    <w:rsid w:val="00641E72"/>
    <w:rsid w:val="0068504A"/>
    <w:rsid w:val="0068515F"/>
    <w:rsid w:val="00687C87"/>
    <w:rsid w:val="006B6300"/>
    <w:rsid w:val="006D0A13"/>
    <w:rsid w:val="006E025D"/>
    <w:rsid w:val="006F5FAC"/>
    <w:rsid w:val="0070784A"/>
    <w:rsid w:val="007175A0"/>
    <w:rsid w:val="007279D3"/>
    <w:rsid w:val="00730CC6"/>
    <w:rsid w:val="00740D0D"/>
    <w:rsid w:val="00793ABB"/>
    <w:rsid w:val="0079784E"/>
    <w:rsid w:val="007D0446"/>
    <w:rsid w:val="007F3811"/>
    <w:rsid w:val="00802770"/>
    <w:rsid w:val="0081382B"/>
    <w:rsid w:val="008511F3"/>
    <w:rsid w:val="008B6242"/>
    <w:rsid w:val="008C7C9F"/>
    <w:rsid w:val="00915948"/>
    <w:rsid w:val="00923E97"/>
    <w:rsid w:val="00976388"/>
    <w:rsid w:val="009A5642"/>
    <w:rsid w:val="009B5270"/>
    <w:rsid w:val="009C10AF"/>
    <w:rsid w:val="009C51CE"/>
    <w:rsid w:val="009D41D7"/>
    <w:rsid w:val="009D7D4A"/>
    <w:rsid w:val="009E03FD"/>
    <w:rsid w:val="00A34DC1"/>
    <w:rsid w:val="00A41E73"/>
    <w:rsid w:val="00A618F2"/>
    <w:rsid w:val="00A61CCE"/>
    <w:rsid w:val="00A92B7C"/>
    <w:rsid w:val="00AA1709"/>
    <w:rsid w:val="00AB013C"/>
    <w:rsid w:val="00AD758B"/>
    <w:rsid w:val="00AF11ED"/>
    <w:rsid w:val="00B01BA0"/>
    <w:rsid w:val="00B51FCB"/>
    <w:rsid w:val="00B74689"/>
    <w:rsid w:val="00B82298"/>
    <w:rsid w:val="00C0069B"/>
    <w:rsid w:val="00C20479"/>
    <w:rsid w:val="00C532E5"/>
    <w:rsid w:val="00C57914"/>
    <w:rsid w:val="00C6008B"/>
    <w:rsid w:val="00C758E3"/>
    <w:rsid w:val="00CB534B"/>
    <w:rsid w:val="00CE51F2"/>
    <w:rsid w:val="00CE631C"/>
    <w:rsid w:val="00CE703D"/>
    <w:rsid w:val="00CF0192"/>
    <w:rsid w:val="00D164FE"/>
    <w:rsid w:val="00D31733"/>
    <w:rsid w:val="00D43330"/>
    <w:rsid w:val="00D52041"/>
    <w:rsid w:val="00D84A7F"/>
    <w:rsid w:val="00DA51BD"/>
    <w:rsid w:val="00DC7B54"/>
    <w:rsid w:val="00DF363F"/>
    <w:rsid w:val="00E32EEF"/>
    <w:rsid w:val="00E77817"/>
    <w:rsid w:val="00E944EE"/>
    <w:rsid w:val="00EF6911"/>
    <w:rsid w:val="00F37996"/>
    <w:rsid w:val="00F410E0"/>
    <w:rsid w:val="00F579E9"/>
    <w:rsid w:val="00F80431"/>
    <w:rsid w:val="00FA6734"/>
    <w:rsid w:val="00FE3699"/>
    <w:rsid w:val="00FE589F"/>
    <w:rsid w:val="01DE6B70"/>
    <w:rsid w:val="02016232"/>
    <w:rsid w:val="028D51BD"/>
    <w:rsid w:val="03D609D8"/>
    <w:rsid w:val="03ED3E80"/>
    <w:rsid w:val="05894214"/>
    <w:rsid w:val="069B52D2"/>
    <w:rsid w:val="06C32324"/>
    <w:rsid w:val="073C0D51"/>
    <w:rsid w:val="08C565F2"/>
    <w:rsid w:val="097D1C20"/>
    <w:rsid w:val="09D61CB2"/>
    <w:rsid w:val="0A426A0F"/>
    <w:rsid w:val="0A9A0228"/>
    <w:rsid w:val="0C164A2F"/>
    <w:rsid w:val="0D66668B"/>
    <w:rsid w:val="0E616540"/>
    <w:rsid w:val="0EE35C4D"/>
    <w:rsid w:val="0F017EE9"/>
    <w:rsid w:val="10703D88"/>
    <w:rsid w:val="110C2C29"/>
    <w:rsid w:val="110D463C"/>
    <w:rsid w:val="11FB259E"/>
    <w:rsid w:val="12281DA5"/>
    <w:rsid w:val="136544CD"/>
    <w:rsid w:val="15D00CD9"/>
    <w:rsid w:val="15DD7FEE"/>
    <w:rsid w:val="15ED6A1A"/>
    <w:rsid w:val="184738E0"/>
    <w:rsid w:val="1893797B"/>
    <w:rsid w:val="19035318"/>
    <w:rsid w:val="19630DF4"/>
    <w:rsid w:val="1A80468D"/>
    <w:rsid w:val="1AFC0AE8"/>
    <w:rsid w:val="1B324E6A"/>
    <w:rsid w:val="1B575122"/>
    <w:rsid w:val="1BE545F8"/>
    <w:rsid w:val="1C3228C1"/>
    <w:rsid w:val="1D5C448C"/>
    <w:rsid w:val="1D980D33"/>
    <w:rsid w:val="1E981D4A"/>
    <w:rsid w:val="1EFC3574"/>
    <w:rsid w:val="1FD401CA"/>
    <w:rsid w:val="20512691"/>
    <w:rsid w:val="219C6F36"/>
    <w:rsid w:val="21F1647A"/>
    <w:rsid w:val="233E41F0"/>
    <w:rsid w:val="23540F1C"/>
    <w:rsid w:val="24967E12"/>
    <w:rsid w:val="25AE5BE4"/>
    <w:rsid w:val="2658296F"/>
    <w:rsid w:val="267F0FB7"/>
    <w:rsid w:val="273B23BD"/>
    <w:rsid w:val="29060938"/>
    <w:rsid w:val="2951072C"/>
    <w:rsid w:val="29FE6640"/>
    <w:rsid w:val="2AC97A0D"/>
    <w:rsid w:val="2C074F20"/>
    <w:rsid w:val="2C162F55"/>
    <w:rsid w:val="2C3C6E9F"/>
    <w:rsid w:val="2C447CED"/>
    <w:rsid w:val="2C7627E2"/>
    <w:rsid w:val="2DDB7325"/>
    <w:rsid w:val="2DDC3B76"/>
    <w:rsid w:val="2E3B075A"/>
    <w:rsid w:val="2EA33208"/>
    <w:rsid w:val="2EF938A4"/>
    <w:rsid w:val="30F77CED"/>
    <w:rsid w:val="324F1840"/>
    <w:rsid w:val="32B27CA8"/>
    <w:rsid w:val="32F7027C"/>
    <w:rsid w:val="3326112B"/>
    <w:rsid w:val="33BD1A5D"/>
    <w:rsid w:val="343B7C3F"/>
    <w:rsid w:val="349537D0"/>
    <w:rsid w:val="34FC673B"/>
    <w:rsid w:val="359D78EF"/>
    <w:rsid w:val="36586AB4"/>
    <w:rsid w:val="36630339"/>
    <w:rsid w:val="36E403EC"/>
    <w:rsid w:val="38907664"/>
    <w:rsid w:val="38DE4586"/>
    <w:rsid w:val="392B2144"/>
    <w:rsid w:val="393442DF"/>
    <w:rsid w:val="39E27939"/>
    <w:rsid w:val="3A212368"/>
    <w:rsid w:val="3B235613"/>
    <w:rsid w:val="3C263F3D"/>
    <w:rsid w:val="3D350E98"/>
    <w:rsid w:val="40BE1148"/>
    <w:rsid w:val="41FF2F5F"/>
    <w:rsid w:val="425B2511"/>
    <w:rsid w:val="42A637B4"/>
    <w:rsid w:val="42B961A0"/>
    <w:rsid w:val="434660D0"/>
    <w:rsid w:val="441759EC"/>
    <w:rsid w:val="4431133A"/>
    <w:rsid w:val="4575004E"/>
    <w:rsid w:val="45BD7EF6"/>
    <w:rsid w:val="468D7167"/>
    <w:rsid w:val="469965DF"/>
    <w:rsid w:val="46B34912"/>
    <w:rsid w:val="46E17929"/>
    <w:rsid w:val="47FA61F4"/>
    <w:rsid w:val="48605FB4"/>
    <w:rsid w:val="48C832A8"/>
    <w:rsid w:val="48D33662"/>
    <w:rsid w:val="4962034B"/>
    <w:rsid w:val="4A164FC6"/>
    <w:rsid w:val="4AC5638E"/>
    <w:rsid w:val="4B87119D"/>
    <w:rsid w:val="4D40298C"/>
    <w:rsid w:val="4EC90D3E"/>
    <w:rsid w:val="4F071772"/>
    <w:rsid w:val="4F557EF1"/>
    <w:rsid w:val="4F792F65"/>
    <w:rsid w:val="500002B0"/>
    <w:rsid w:val="51322546"/>
    <w:rsid w:val="51482C9B"/>
    <w:rsid w:val="522D2330"/>
    <w:rsid w:val="52F421A7"/>
    <w:rsid w:val="5444354A"/>
    <w:rsid w:val="548A000A"/>
    <w:rsid w:val="550C1056"/>
    <w:rsid w:val="55CD6F55"/>
    <w:rsid w:val="5624265B"/>
    <w:rsid w:val="57477B2B"/>
    <w:rsid w:val="57C86EED"/>
    <w:rsid w:val="581C411C"/>
    <w:rsid w:val="583D5903"/>
    <w:rsid w:val="58F11BFD"/>
    <w:rsid w:val="596D221D"/>
    <w:rsid w:val="598409DC"/>
    <w:rsid w:val="59AD536C"/>
    <w:rsid w:val="59BC25A2"/>
    <w:rsid w:val="59D37CF1"/>
    <w:rsid w:val="5ADF6442"/>
    <w:rsid w:val="5B1146F6"/>
    <w:rsid w:val="5B1D7FDB"/>
    <w:rsid w:val="5B95287A"/>
    <w:rsid w:val="5C524815"/>
    <w:rsid w:val="5CDA0CDF"/>
    <w:rsid w:val="5D396783"/>
    <w:rsid w:val="5D481133"/>
    <w:rsid w:val="5D4F4FA5"/>
    <w:rsid w:val="5DA1750E"/>
    <w:rsid w:val="60C0201A"/>
    <w:rsid w:val="60F765D6"/>
    <w:rsid w:val="624A6D8F"/>
    <w:rsid w:val="62A85CDD"/>
    <w:rsid w:val="62CC2A90"/>
    <w:rsid w:val="62E35C5C"/>
    <w:rsid w:val="632A666E"/>
    <w:rsid w:val="6336440C"/>
    <w:rsid w:val="63922181"/>
    <w:rsid w:val="64546A26"/>
    <w:rsid w:val="6582193E"/>
    <w:rsid w:val="65E83D26"/>
    <w:rsid w:val="66585984"/>
    <w:rsid w:val="66D32C64"/>
    <w:rsid w:val="670D79CE"/>
    <w:rsid w:val="67392F67"/>
    <w:rsid w:val="673B1F5E"/>
    <w:rsid w:val="6787347C"/>
    <w:rsid w:val="684E2057"/>
    <w:rsid w:val="694E7A6F"/>
    <w:rsid w:val="69CE2E46"/>
    <w:rsid w:val="69EF1903"/>
    <w:rsid w:val="6A636C96"/>
    <w:rsid w:val="6ABE21AD"/>
    <w:rsid w:val="6AFE2969"/>
    <w:rsid w:val="6B4713CF"/>
    <w:rsid w:val="6B776B5F"/>
    <w:rsid w:val="6B96184C"/>
    <w:rsid w:val="6B9A5005"/>
    <w:rsid w:val="6CF25E26"/>
    <w:rsid w:val="6F850583"/>
    <w:rsid w:val="6FF33E1A"/>
    <w:rsid w:val="710E6F5D"/>
    <w:rsid w:val="71301318"/>
    <w:rsid w:val="730A11F0"/>
    <w:rsid w:val="73952AC6"/>
    <w:rsid w:val="760667A9"/>
    <w:rsid w:val="770C4A8E"/>
    <w:rsid w:val="77684BEC"/>
    <w:rsid w:val="781264F1"/>
    <w:rsid w:val="79EE69A0"/>
    <w:rsid w:val="7A851190"/>
    <w:rsid w:val="7AB93CAD"/>
    <w:rsid w:val="7AD51802"/>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271"/>
    <w:qFormat/>
    <w:uiPriority w:val="99"/>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99"/>
    <w:pPr>
      <w:ind w:left="420" w:leftChars="200"/>
    </w:pPr>
  </w:style>
  <w:style w:type="paragraph" w:styleId="14">
    <w:name w:val="Normal Indent"/>
    <w:basedOn w:val="1"/>
    <w:link w:val="335"/>
    <w:qFormat/>
    <w:uiPriority w:val="99"/>
    <w:pPr>
      <w:widowControl/>
      <w:ind w:firstLine="420"/>
      <w:jc w:val="left"/>
    </w:pPr>
    <w:rPr>
      <w:kern w:val="0"/>
      <w:sz w:val="20"/>
      <w:szCs w:val="20"/>
    </w:rPr>
  </w:style>
  <w:style w:type="paragraph" w:styleId="15">
    <w:name w:val="Document Map"/>
    <w:basedOn w:val="1"/>
    <w:link w:val="281"/>
    <w:qFormat/>
    <w:uiPriority w:val="0"/>
    <w:pPr>
      <w:shd w:val="clear" w:color="auto" w:fill="000080"/>
    </w:pPr>
  </w:style>
  <w:style w:type="paragraph" w:styleId="16">
    <w:name w:val="toa heading"/>
    <w:basedOn w:val="1"/>
    <w:next w:val="1"/>
    <w:unhideWhenUsed/>
    <w:qFormat/>
    <w:uiPriority w:val="0"/>
    <w:pPr>
      <w:spacing w:before="120"/>
    </w:pPr>
    <w:rPr>
      <w:rFonts w:hint="eastAsia" w:ascii="Arial" w:hAnsi="Arial"/>
    </w:rPr>
  </w:style>
  <w:style w:type="paragraph" w:styleId="17">
    <w:name w:val="annotation text"/>
    <w:basedOn w:val="1"/>
    <w:link w:val="263"/>
    <w:unhideWhenUsed/>
    <w:qFormat/>
    <w:uiPriority w:val="99"/>
    <w:pPr>
      <w:jc w:val="left"/>
    </w:pPr>
  </w:style>
  <w:style w:type="paragraph" w:styleId="18">
    <w:name w:val="Salutation"/>
    <w:basedOn w:val="1"/>
    <w:next w:val="1"/>
    <w:link w:val="268"/>
    <w:qFormat/>
    <w:uiPriority w:val="0"/>
    <w:rPr>
      <w:rFonts w:ascii="仿宋_GB2312" w:eastAsia="仿宋_GB2312"/>
      <w:sz w:val="24"/>
    </w:rPr>
  </w:style>
  <w:style w:type="paragraph" w:styleId="19">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0"/>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7"/>
    <w:next w:val="17"/>
    <w:link w:val="241"/>
    <w:qFormat/>
    <w:uiPriority w:val="0"/>
    <w:rPr>
      <w:rFonts w:ascii="Calibri" w:hAnsi="Calibri" w:cs="黑体"/>
      <w:b/>
      <w:bCs/>
    </w:rPr>
  </w:style>
  <w:style w:type="paragraph" w:styleId="45">
    <w:name w:val="Body Text First Indent"/>
    <w:basedOn w:val="2"/>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0"/>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2"/>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1"/>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5"/>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1"/>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5"/>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5"/>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表段落2"/>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link w:val="31"/>
    <w:qFormat/>
    <w:uiPriority w:val="0"/>
    <w:rPr>
      <w:sz w:val="18"/>
      <w:szCs w:val="18"/>
    </w:rPr>
  </w:style>
  <w:style w:type="character" w:customStyle="1" w:styleId="217">
    <w:name w:val="页脚 字符"/>
    <w:link w:val="30"/>
    <w:qFormat/>
    <w:uiPriority w:val="0"/>
    <w:rPr>
      <w:sz w:val="18"/>
      <w:szCs w:val="18"/>
    </w:rPr>
  </w:style>
  <w:style w:type="character" w:customStyle="1" w:styleId="218">
    <w:name w:val="标题 1 字符"/>
    <w:link w:val="3"/>
    <w:qFormat/>
    <w:uiPriority w:val="0"/>
    <w:rPr>
      <w:rFonts w:ascii="Times New Roman" w:hAnsi="Times New Roman" w:eastAsia="宋体" w:cs="Times New Roman"/>
      <w:b/>
      <w:bCs/>
      <w:kern w:val="0"/>
      <w:sz w:val="24"/>
      <w:szCs w:val="20"/>
    </w:rPr>
  </w:style>
  <w:style w:type="character" w:customStyle="1" w:styleId="219">
    <w:name w:val="标题 2 字符"/>
    <w:link w:val="4"/>
    <w:qFormat/>
    <w:uiPriority w:val="0"/>
    <w:rPr>
      <w:rFonts w:ascii="Arial" w:hAnsi="Arial" w:eastAsia="宋体" w:cs="Times New Roman"/>
      <w:b/>
      <w:bCs/>
      <w:kern w:val="0"/>
      <w:sz w:val="24"/>
      <w:szCs w:val="32"/>
    </w:rPr>
  </w:style>
  <w:style w:type="character" w:customStyle="1" w:styleId="220">
    <w:name w:val="标题 3 字符"/>
    <w:link w:val="5"/>
    <w:qFormat/>
    <w:uiPriority w:val="0"/>
    <w:rPr>
      <w:rFonts w:ascii="Times New Roman" w:hAnsi="Times New Roman" w:eastAsia="宋体" w:cs="Times New Roman"/>
      <w:b/>
      <w:bCs/>
      <w:kern w:val="0"/>
      <w:sz w:val="32"/>
      <w:szCs w:val="32"/>
    </w:rPr>
  </w:style>
  <w:style w:type="character" w:customStyle="1" w:styleId="221">
    <w:name w:val="标题 4 字符"/>
    <w:link w:val="6"/>
    <w:qFormat/>
    <w:uiPriority w:val="0"/>
    <w:rPr>
      <w:rFonts w:ascii="Arial" w:hAnsi="Arial" w:eastAsia="黑体" w:cs="Times New Roman"/>
      <w:b/>
      <w:bCs/>
      <w:kern w:val="0"/>
      <w:sz w:val="28"/>
      <w:szCs w:val="28"/>
    </w:rPr>
  </w:style>
  <w:style w:type="character" w:customStyle="1" w:styleId="222">
    <w:name w:val="标题 5 字符"/>
    <w:link w:val="7"/>
    <w:qFormat/>
    <w:uiPriority w:val="0"/>
    <w:rPr>
      <w:rFonts w:ascii="Times New Roman" w:hAnsi="Times New Roman" w:eastAsia="宋体" w:cs="Times New Roman"/>
      <w:b/>
      <w:bCs/>
      <w:kern w:val="0"/>
      <w:sz w:val="28"/>
      <w:szCs w:val="28"/>
    </w:rPr>
  </w:style>
  <w:style w:type="character" w:customStyle="1" w:styleId="223">
    <w:name w:val="标题 6 字符"/>
    <w:link w:val="8"/>
    <w:qFormat/>
    <w:uiPriority w:val="0"/>
    <w:rPr>
      <w:rFonts w:ascii="Arial" w:hAnsi="Arial" w:eastAsia="黑体" w:cs="Times New Roman"/>
      <w:b/>
      <w:bCs/>
      <w:kern w:val="0"/>
      <w:sz w:val="24"/>
      <w:szCs w:val="24"/>
    </w:rPr>
  </w:style>
  <w:style w:type="character" w:customStyle="1" w:styleId="224">
    <w:name w:val="标题 7 字符"/>
    <w:link w:val="9"/>
    <w:qFormat/>
    <w:uiPriority w:val="0"/>
    <w:rPr>
      <w:rFonts w:ascii="Times New Roman" w:hAnsi="Times New Roman" w:eastAsia="宋体" w:cs="Times New Roman"/>
      <w:b/>
      <w:bCs/>
      <w:kern w:val="0"/>
      <w:sz w:val="24"/>
      <w:szCs w:val="24"/>
    </w:rPr>
  </w:style>
  <w:style w:type="character" w:customStyle="1" w:styleId="225">
    <w:name w:val="标题 8 字符"/>
    <w:link w:val="10"/>
    <w:qFormat/>
    <w:uiPriority w:val="0"/>
    <w:rPr>
      <w:rFonts w:ascii="Arial" w:hAnsi="Arial" w:eastAsia="黑体" w:cs="Times New Roman"/>
      <w:kern w:val="0"/>
      <w:sz w:val="24"/>
      <w:szCs w:val="24"/>
    </w:rPr>
  </w:style>
  <w:style w:type="character" w:customStyle="1" w:styleId="226">
    <w:name w:val="标题 9 字符"/>
    <w:link w:val="11"/>
    <w:qFormat/>
    <w:uiPriority w:val="0"/>
    <w:rPr>
      <w:rFonts w:ascii="Arial" w:hAnsi="Arial" w:eastAsia="黑体" w:cs="Times New Roman"/>
      <w:kern w:val="0"/>
      <w:sz w:val="20"/>
      <w:szCs w:val="21"/>
    </w:rPr>
  </w:style>
  <w:style w:type="character" w:customStyle="1" w:styleId="227">
    <w:name w:val="正文文本 2 字符"/>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qFormat/>
    <w:uiPriority w:val="0"/>
    <w:rPr>
      <w:rFonts w:ascii="Cambria" w:hAnsi="Cambria" w:eastAsia="宋体" w:cs="Times New Roman"/>
      <w:b/>
      <w:bCs/>
      <w:sz w:val="28"/>
      <w:szCs w:val="28"/>
    </w:rPr>
  </w:style>
  <w:style w:type="character" w:customStyle="1" w:styleId="232">
    <w:name w:val="日期 Char"/>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qFormat/>
    <w:uiPriority w:val="0"/>
    <w:rPr>
      <w:rFonts w:hint="eastAsia" w:ascii="宋体" w:hAnsi="宋体" w:eastAsia="宋体" w:cs="宋体"/>
      <w:color w:val="000000"/>
      <w:sz w:val="18"/>
      <w:szCs w:val="18"/>
      <w:u w:val="none"/>
    </w:rPr>
  </w:style>
  <w:style w:type="character" w:customStyle="1" w:styleId="246">
    <w:name w:val="font01"/>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qFormat/>
    <w:uiPriority w:val="0"/>
    <w:rPr>
      <w:rFonts w:ascii="Times New Roman" w:hAnsi="Times New Roman" w:eastAsia="宋体" w:cs="Times New Roman"/>
      <w:sz w:val="18"/>
      <w:szCs w:val="18"/>
    </w:rPr>
  </w:style>
  <w:style w:type="character" w:customStyle="1" w:styleId="250">
    <w:name w:val="批注框文本 字符"/>
    <w:link w:val="29"/>
    <w:qFormat/>
    <w:locked/>
    <w:uiPriority w:val="0"/>
    <w:rPr>
      <w:rFonts w:ascii="Calibri" w:hAnsi="Calibri" w:eastAsia="宋体" w:cs="黑体"/>
      <w:sz w:val="18"/>
      <w:szCs w:val="18"/>
    </w:rPr>
  </w:style>
  <w:style w:type="character" w:customStyle="1" w:styleId="251">
    <w:name w:val="正文文本缩进 字符"/>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link w:val="43"/>
    <w:qFormat/>
    <w:uiPriority w:val="0"/>
    <w:rPr>
      <w:rFonts w:ascii="Cambria" w:hAnsi="Cambria" w:eastAsia="宋体" w:cs="Times New Roman"/>
      <w:b/>
      <w:sz w:val="32"/>
      <w:szCs w:val="24"/>
    </w:rPr>
  </w:style>
  <w:style w:type="character" w:customStyle="1" w:styleId="255">
    <w:name w:val="正文文本缩进 2 字符"/>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qFormat/>
    <w:uiPriority w:val="0"/>
    <w:rPr>
      <w:rFonts w:ascii="Times New Roman" w:hAnsi="Times New Roman" w:eastAsia="宋体" w:cs="Times New Roman"/>
      <w:b/>
      <w:bCs/>
      <w:szCs w:val="24"/>
    </w:rPr>
  </w:style>
  <w:style w:type="character" w:customStyle="1" w:styleId="263">
    <w:name w:val="批注文字 字符"/>
    <w:link w:val="17"/>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link w:val="40"/>
    <w:qFormat/>
    <w:uiPriority w:val="0"/>
    <w:rPr>
      <w:rFonts w:ascii="Arial" w:hAnsi="Arial" w:eastAsia="宋体" w:cs="Arial"/>
      <w:kern w:val="0"/>
      <w:sz w:val="24"/>
      <w:szCs w:val="24"/>
    </w:rPr>
  </w:style>
  <w:style w:type="character" w:customStyle="1" w:styleId="268">
    <w:name w:val="称呼 字符"/>
    <w:link w:val="18"/>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link w:val="2"/>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6"/>
    <w:qFormat/>
    <w:uiPriority w:val="0"/>
    <w:rPr>
      <w:rFonts w:ascii="Calibri" w:hAnsi="Calibri" w:eastAsia="宋体" w:cs="黑体"/>
      <w:sz w:val="16"/>
      <w:szCs w:val="16"/>
    </w:rPr>
  </w:style>
  <w:style w:type="character" w:customStyle="1" w:styleId="279">
    <w:name w:val="副标题 字符"/>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字符"/>
    <w:link w:val="15"/>
    <w:qFormat/>
    <w:uiPriority w:val="0"/>
    <w:rPr>
      <w:rFonts w:ascii="Times New Roman" w:hAnsi="Times New Roman" w:eastAsia="宋体" w:cs="Times New Roman"/>
      <w:szCs w:val="24"/>
      <w:shd w:val="clear" w:color="auto" w:fill="000080"/>
    </w:rPr>
  </w:style>
  <w:style w:type="character" w:customStyle="1" w:styleId="282">
    <w:name w:val="标题 1 Char"/>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qFormat/>
    <w:uiPriority w:val="0"/>
    <w:rPr>
      <w:rFonts w:ascii="Cambria" w:hAnsi="Cambria" w:eastAsia="宋体" w:cs="Times New Roman"/>
      <w:b/>
      <w:bCs/>
      <w:sz w:val="32"/>
      <w:szCs w:val="32"/>
    </w:rPr>
  </w:style>
  <w:style w:type="character" w:customStyle="1" w:styleId="286">
    <w:name w:val="纯文本 Char1"/>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qFormat/>
    <w:uiPriority w:val="0"/>
    <w:rPr>
      <w:rFonts w:ascii="Cambria" w:hAnsi="Cambria" w:eastAsia="宋体" w:cs="Times New Roman"/>
      <w:b/>
      <w:bCs/>
      <w:sz w:val="32"/>
      <w:szCs w:val="32"/>
    </w:rPr>
  </w:style>
  <w:style w:type="character" w:customStyle="1" w:styleId="292">
    <w:name w:val="font41"/>
    <w:qFormat/>
    <w:uiPriority w:val="0"/>
    <w:rPr>
      <w:rFonts w:hint="eastAsia" w:ascii="宋体" w:hAnsi="宋体" w:eastAsia="宋体" w:cs="宋体"/>
      <w:color w:val="000000"/>
      <w:sz w:val="22"/>
      <w:szCs w:val="22"/>
      <w:u w:val="single"/>
    </w:rPr>
  </w:style>
  <w:style w:type="character" w:customStyle="1" w:styleId="293">
    <w:name w:val="日期 字符"/>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qFormat/>
    <w:uiPriority w:val="0"/>
    <w:rPr>
      <w:rFonts w:ascii="Cambria" w:hAnsi="Cambria" w:eastAsia="宋体" w:cs="Times New Roman"/>
      <w:sz w:val="24"/>
      <w:szCs w:val="24"/>
    </w:rPr>
  </w:style>
  <w:style w:type="character" w:customStyle="1" w:styleId="302">
    <w:name w:val="正文文本 3 字符"/>
    <w:link w:val="19"/>
    <w:qFormat/>
    <w:uiPriority w:val="0"/>
    <w:rPr>
      <w:rFonts w:ascii="宋体" w:hAnsi="Times New Roman" w:eastAsia="宋体" w:cs="Times New Roman"/>
      <w:color w:val="000000"/>
      <w:kern w:val="0"/>
      <w:sz w:val="24"/>
      <w:szCs w:val="20"/>
    </w:rPr>
  </w:style>
  <w:style w:type="character" w:customStyle="1" w:styleId="303">
    <w:name w:val="font71"/>
    <w:qFormat/>
    <w:uiPriority w:val="0"/>
    <w:rPr>
      <w:rFonts w:hint="eastAsia" w:ascii="宋体" w:hAnsi="宋体" w:eastAsia="宋体" w:cs="宋体"/>
      <w:b/>
      <w:color w:val="000000"/>
      <w:sz w:val="22"/>
      <w:szCs w:val="22"/>
      <w:u w:val="none"/>
    </w:rPr>
  </w:style>
  <w:style w:type="character" w:customStyle="1" w:styleId="304">
    <w:name w:val="font21"/>
    <w:qFormat/>
    <w:uiPriority w:val="0"/>
    <w:rPr>
      <w:rFonts w:hint="eastAsia" w:ascii="宋体" w:hAnsi="宋体" w:eastAsia="宋体" w:cs="宋体"/>
      <w:color w:val="000000"/>
      <w:sz w:val="18"/>
      <w:szCs w:val="18"/>
      <w:u w:val="none"/>
    </w:rPr>
  </w:style>
  <w:style w:type="character" w:customStyle="1" w:styleId="305">
    <w:name w:val="标题 9 Char"/>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semiHidden/>
    <w:qFormat/>
    <w:uiPriority w:val="99"/>
    <w:rPr>
      <w:rFonts w:ascii="Times New Roman" w:hAnsi="Times New Roman" w:eastAsia="宋体" w:cs="Times New Roman"/>
      <w:szCs w:val="24"/>
    </w:rPr>
  </w:style>
  <w:style w:type="character" w:customStyle="1" w:styleId="319">
    <w:name w:val="正文文本缩进 字符1"/>
    <w:semiHidden/>
    <w:qFormat/>
    <w:uiPriority w:val="99"/>
    <w:rPr>
      <w:rFonts w:ascii="Times New Roman" w:hAnsi="Times New Roman" w:eastAsia="宋体" w:cs="Times New Roman"/>
      <w:szCs w:val="24"/>
    </w:rPr>
  </w:style>
  <w:style w:type="character" w:customStyle="1" w:styleId="320">
    <w:name w:val="正文文本 3 字符1"/>
    <w:semiHidden/>
    <w:qFormat/>
    <w:uiPriority w:val="99"/>
    <w:rPr>
      <w:rFonts w:ascii="Times New Roman" w:hAnsi="Times New Roman" w:eastAsia="宋体" w:cs="Times New Roman"/>
      <w:sz w:val="16"/>
      <w:szCs w:val="16"/>
    </w:rPr>
  </w:style>
  <w:style w:type="character" w:customStyle="1" w:styleId="321">
    <w:name w:val="称呼 字符1"/>
    <w:semiHidden/>
    <w:qFormat/>
    <w:uiPriority w:val="99"/>
    <w:rPr>
      <w:rFonts w:ascii="Times New Roman" w:hAnsi="Times New Roman" w:eastAsia="宋体" w:cs="Times New Roman"/>
      <w:szCs w:val="24"/>
    </w:rPr>
  </w:style>
  <w:style w:type="character" w:customStyle="1" w:styleId="322">
    <w:name w:val="批注框文本 字符1"/>
    <w:semiHidden/>
    <w:qFormat/>
    <w:uiPriority w:val="99"/>
    <w:rPr>
      <w:rFonts w:ascii="Times New Roman" w:hAnsi="Times New Roman" w:eastAsia="宋体" w:cs="Times New Roman"/>
      <w:sz w:val="18"/>
      <w:szCs w:val="18"/>
    </w:rPr>
  </w:style>
  <w:style w:type="character" w:customStyle="1" w:styleId="323">
    <w:name w:val="正文文本缩进 3 字符1"/>
    <w:semiHidden/>
    <w:qFormat/>
    <w:uiPriority w:val="99"/>
    <w:rPr>
      <w:rFonts w:ascii="Times New Roman" w:hAnsi="Times New Roman" w:eastAsia="宋体" w:cs="Times New Roman"/>
      <w:sz w:val="16"/>
      <w:szCs w:val="16"/>
    </w:rPr>
  </w:style>
  <w:style w:type="character" w:customStyle="1" w:styleId="324">
    <w:name w:val="文档结构图 字符1"/>
    <w:semiHidden/>
    <w:qFormat/>
    <w:uiPriority w:val="99"/>
    <w:rPr>
      <w:rFonts w:ascii="Microsoft YaHei UI" w:hAnsi="Times New Roman" w:eastAsia="Microsoft YaHei UI" w:cs="Times New Roman"/>
      <w:sz w:val="18"/>
      <w:szCs w:val="18"/>
    </w:rPr>
  </w:style>
  <w:style w:type="character" w:customStyle="1" w:styleId="325">
    <w:name w:val="日期 字符1"/>
    <w:semiHidden/>
    <w:qFormat/>
    <w:uiPriority w:val="99"/>
    <w:rPr>
      <w:rFonts w:ascii="Times New Roman" w:hAnsi="Times New Roman" w:eastAsia="宋体" w:cs="Times New Roman"/>
      <w:szCs w:val="24"/>
    </w:rPr>
  </w:style>
  <w:style w:type="character" w:customStyle="1" w:styleId="326">
    <w:name w:val="正文文本 字符1"/>
    <w:semiHidden/>
    <w:qFormat/>
    <w:uiPriority w:val="99"/>
    <w:rPr>
      <w:rFonts w:ascii="Times New Roman" w:hAnsi="Times New Roman" w:eastAsia="宋体" w:cs="Times New Roman"/>
      <w:szCs w:val="24"/>
    </w:rPr>
  </w:style>
  <w:style w:type="character" w:customStyle="1" w:styleId="327">
    <w:name w:val="批注文字 字符1"/>
    <w:semiHidden/>
    <w:qFormat/>
    <w:uiPriority w:val="99"/>
    <w:rPr>
      <w:rFonts w:ascii="Times New Roman" w:hAnsi="Times New Roman" w:eastAsia="宋体" w:cs="Times New Roman"/>
      <w:szCs w:val="24"/>
    </w:rPr>
  </w:style>
  <w:style w:type="character" w:customStyle="1" w:styleId="328">
    <w:name w:val="HTML 预设格式 字符1"/>
    <w:semiHidden/>
    <w:qFormat/>
    <w:uiPriority w:val="99"/>
    <w:rPr>
      <w:rFonts w:ascii="Courier New" w:hAnsi="Courier New" w:eastAsia="宋体" w:cs="Courier New"/>
      <w:sz w:val="20"/>
      <w:szCs w:val="20"/>
    </w:rPr>
  </w:style>
  <w:style w:type="character" w:customStyle="1" w:styleId="329">
    <w:name w:val="正文文本首行缩进 字符"/>
    <w:link w:val="45"/>
    <w:qFormat/>
    <w:uiPriority w:val="0"/>
    <w:rPr>
      <w:rFonts w:ascii="Times New Roman" w:hAnsi="Times New Roman" w:eastAsia="宋体" w:cs="Times New Roman"/>
      <w:szCs w:val="24"/>
    </w:rPr>
  </w:style>
  <w:style w:type="character" w:customStyle="1" w:styleId="330">
    <w:name w:val="正文文本 2 字符1"/>
    <w:semiHidden/>
    <w:qFormat/>
    <w:uiPriority w:val="99"/>
    <w:rPr>
      <w:rFonts w:ascii="Times New Roman" w:hAnsi="Times New Roman" w:eastAsia="宋体" w:cs="Times New Roman"/>
      <w:szCs w:val="24"/>
    </w:rPr>
  </w:style>
  <w:style w:type="character" w:customStyle="1" w:styleId="331">
    <w:name w:val="副标题 字符1"/>
    <w:qFormat/>
    <w:uiPriority w:val="11"/>
    <w:rPr>
      <w:b/>
      <w:bCs/>
      <w:kern w:val="28"/>
      <w:sz w:val="32"/>
      <w:szCs w:val="32"/>
    </w:rPr>
  </w:style>
  <w:style w:type="character" w:customStyle="1" w:styleId="332">
    <w:name w:val="批注主题 字符1"/>
    <w:semiHidden/>
    <w:qFormat/>
    <w:uiPriority w:val="99"/>
    <w:rPr>
      <w:rFonts w:ascii="Times New Roman" w:hAnsi="Times New Roman" w:eastAsia="宋体" w:cs="Times New Roman"/>
      <w:b/>
      <w:bCs/>
      <w:szCs w:val="24"/>
    </w:rPr>
  </w:style>
  <w:style w:type="character" w:customStyle="1" w:styleId="333">
    <w:name w:val="标题 字符1"/>
    <w:qFormat/>
    <w:uiPriority w:val="10"/>
    <w:rPr>
      <w:rFonts w:ascii="等线 Light" w:hAnsi="等线 Light" w:eastAsia="等线 Light" w:cs="黑体"/>
      <w:b/>
      <w:bCs/>
      <w:sz w:val="32"/>
      <w:szCs w:val="32"/>
    </w:rPr>
  </w:style>
  <w:style w:type="character" w:customStyle="1" w:styleId="334">
    <w:name w:val="纯文本 字符1"/>
    <w:semiHidden/>
    <w:qFormat/>
    <w:uiPriority w:val="99"/>
    <w:rPr>
      <w:rFonts w:ascii="等线" w:hAnsi="Courier New" w:cs="Courier New"/>
      <w:szCs w:val="24"/>
    </w:rPr>
  </w:style>
  <w:style w:type="character" w:customStyle="1" w:styleId="335">
    <w:name w:val="正文缩进 字符"/>
    <w:link w:val="14"/>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link w:val="177"/>
    <w:qFormat/>
    <w:uiPriority w:val="0"/>
    <w:rPr>
      <w:rFonts w:ascii="Arial" w:hAnsi="Arial" w:cs="宋体"/>
      <w:b/>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semiHidden/>
    <w:qFormat/>
    <w:uiPriority w:val="99"/>
    <w:rPr>
      <w:kern w:val="2"/>
      <w:sz w:val="18"/>
      <w:szCs w:val="18"/>
    </w:rPr>
  </w:style>
  <w:style w:type="character" w:customStyle="1" w:styleId="356">
    <w:name w:val="页眉 字符1"/>
    <w:semiHidden/>
    <w:qFormat/>
    <w:uiPriority w:val="99"/>
    <w:rPr>
      <w:kern w:val="2"/>
      <w:sz w:val="18"/>
      <w:szCs w:val="18"/>
    </w:rPr>
  </w:style>
  <w:style w:type="paragraph" w:customStyle="1" w:styleId="357">
    <w:name w:val="列出段落11"/>
    <w:basedOn w:val="1"/>
    <w:qFormat/>
    <w:uiPriority w:val="0"/>
    <w:pPr>
      <w:ind w:firstLine="420" w:firstLineChars="200"/>
    </w:pPr>
    <w:rPr>
      <w:rFonts w:hint="eastAsia"/>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0"/>
    <customShpInfo spid="_x0000_s2069"/>
    <customShpInfo spid="_x0000_s2051"/>
    <customShpInfo spid="_x0000_s2049"/>
    <customShpInfo spid="_x0000_s2053"/>
    <customShpInfo spid="_x0000_s2052"/>
    <customShpInfo spid="_x0000_s2055"/>
    <customShpInfo spid="_x0000_s2054"/>
    <customShpInfo spid="_x0000_s2072"/>
    <customShpInfo spid="_x0000_s2068"/>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4889</Words>
  <Characters>27872</Characters>
  <Lines>232</Lines>
  <Paragraphs>65</Paragraphs>
  <TotalTime>64</TotalTime>
  <ScaleCrop>false</ScaleCrop>
  <LinksUpToDate>false</LinksUpToDate>
  <CharactersWithSpaces>32696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2018-06-05T08:48:00Z</dcterms:created>
  <dc:creator>李 毅</dc:creator>
  <cp:lastModifiedBy>shenbenqian</cp:lastModifiedBy>
  <cp:lastPrinted>2019-09-18T01:11:00Z</cp:lastPrinted>
  <dcterms:modified xsi:type="dcterms:W3CDTF">2019-09-29T02:52:43Z</dcterms:modified>
  <dc:title>长沙市轨道交通运营有限公司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